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360" w:lineRule="auto"/>
        <w:ind w:firstLine="960"/>
        <w:jc w:val="center"/>
        <w:rPr>
          <w:rFonts w:ascii="仿宋_GB2312" w:hAnsi="微软雅黑" w:eastAsia="仿宋_GB2312" w:cs="仿宋_GB2312"/>
          <w:b/>
          <w:color w:val="000000"/>
          <w:sz w:val="32"/>
          <w:szCs w:val="32"/>
        </w:rPr>
      </w:pPr>
      <w:r>
        <w:rPr>
          <w:rFonts w:hint="eastAsia" w:ascii="仿宋_GB2312" w:hAnsi="微软雅黑" w:eastAsia="仿宋_GB2312" w:cs="仿宋_GB2312"/>
          <w:b/>
          <w:color w:val="000000"/>
          <w:sz w:val="32"/>
          <w:szCs w:val="32"/>
        </w:rPr>
        <w:t>许昌市人民防空办公室办公楼物业管理服务项目</w:t>
      </w:r>
    </w:p>
    <w:p>
      <w:pPr>
        <w:shd w:val="clear" w:color="auto" w:fill="FFFFFF"/>
        <w:adjustRightInd/>
        <w:snapToGrid/>
        <w:spacing w:after="0" w:line="360" w:lineRule="auto"/>
        <w:ind w:firstLine="960"/>
        <w:jc w:val="center"/>
        <w:rPr>
          <w:rFonts w:ascii="仿宋_GB2312" w:hAnsi="微软雅黑" w:eastAsia="仿宋_GB2312" w:cs="仿宋_GB2312"/>
          <w:b/>
          <w:color w:val="000000"/>
          <w:sz w:val="32"/>
          <w:szCs w:val="32"/>
        </w:rPr>
      </w:pPr>
      <w:r>
        <w:rPr>
          <w:rFonts w:hint="eastAsia" w:ascii="仿宋_GB2312" w:hAnsi="微软雅黑" w:eastAsia="仿宋_GB2312" w:cs="仿宋_GB2312"/>
          <w:b/>
          <w:color w:val="000000"/>
          <w:sz w:val="32"/>
          <w:szCs w:val="32"/>
        </w:rPr>
        <w:t>采购需求、评标标准等说明</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一、项目概况</w:t>
      </w:r>
    </w:p>
    <w:p>
      <w:pPr>
        <w:shd w:val="clear" w:color="auto" w:fill="FFFFFF"/>
        <w:adjustRightInd/>
        <w:snapToGrid/>
        <w:spacing w:after="0" w:line="360" w:lineRule="auto"/>
        <w:ind w:left="440" w:leftChars="200" w:firstLine="150" w:firstLineChars="50"/>
        <w:rPr>
          <w:rFonts w:ascii="宋体" w:hAnsi="宋体" w:eastAsia="宋体" w:cs="宋体"/>
          <w:color w:val="000000"/>
          <w:sz w:val="24"/>
          <w:szCs w:val="24"/>
        </w:rPr>
      </w:pPr>
      <w:r>
        <w:rPr>
          <w:rFonts w:hint="eastAsia" w:ascii="仿宋" w:hAnsi="仿宋" w:eastAsia="仿宋" w:cs="仿宋"/>
          <w:color w:val="000000"/>
          <w:sz w:val="30"/>
          <w:szCs w:val="30"/>
        </w:rPr>
        <w:t>（一）项目名称：许昌市人民防空办公室办公楼物业管理服务项目</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 xml:space="preserve">（二）采购方式：公开招标 </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（三）主要内容、数量及要求：本项目为许昌市人民防空办公室办公楼物业管理，包含主楼地上10层、地下1层（许昌市人防指挥中心）。</w:t>
      </w:r>
    </w:p>
    <w:p>
      <w:pPr>
        <w:shd w:val="clear" w:color="auto" w:fill="FFFFFF"/>
        <w:adjustRightInd/>
        <w:snapToGrid/>
        <w:spacing w:after="0" w:line="360" w:lineRule="auto"/>
        <w:ind w:firstLine="600"/>
        <w:rPr>
          <w:rFonts w:ascii="宋体" w:hAnsi="宋体" w:eastAsia="宋体" w:cs="宋体"/>
          <w:sz w:val="24"/>
          <w:szCs w:val="24"/>
        </w:rPr>
      </w:pPr>
      <w:r>
        <w:rPr>
          <w:rFonts w:hint="eastAsia" w:ascii="仿宋" w:hAnsi="仿宋" w:eastAsia="仿宋" w:cs="仿宋"/>
          <w:color w:val="000000"/>
          <w:sz w:val="30"/>
          <w:szCs w:val="30"/>
        </w:rPr>
        <w:t>（四）预算金额：90万元，最高</w:t>
      </w:r>
      <w:r>
        <w:rPr>
          <w:rFonts w:hint="eastAsia" w:ascii="仿宋" w:hAnsi="仿宋" w:eastAsia="仿宋" w:cs="仿宋"/>
          <w:sz w:val="30"/>
          <w:szCs w:val="30"/>
        </w:rPr>
        <w:t>限价：90万元。</w:t>
      </w:r>
    </w:p>
    <w:p>
      <w:pPr>
        <w:shd w:val="clear" w:color="auto" w:fill="FFFFFF"/>
        <w:adjustRightInd/>
        <w:snapToGrid/>
        <w:spacing w:after="0" w:line="360" w:lineRule="auto"/>
        <w:ind w:firstLine="600"/>
        <w:rPr>
          <w:rFonts w:ascii="宋体" w:hAnsi="宋体" w:eastAsia="宋体" w:cs="宋体"/>
          <w:sz w:val="24"/>
          <w:szCs w:val="24"/>
        </w:rPr>
      </w:pPr>
      <w:r>
        <w:rPr>
          <w:rFonts w:hint="eastAsia" w:ascii="仿宋" w:hAnsi="仿宋" w:eastAsia="仿宋" w:cs="仿宋"/>
          <w:sz w:val="30"/>
          <w:szCs w:val="30"/>
        </w:rPr>
        <w:t>（五）服务时间：自合同生效之日起一年。</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（六）服务地点：许昌市人民防空办公室。</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（七）进口产品：不允许</w:t>
      </w:r>
      <w:r>
        <w:rPr>
          <w:rFonts w:ascii="Arial" w:hAnsi="Arial" w:eastAsia="仿宋" w:cs="Arial"/>
          <w:color w:val="000000"/>
          <w:sz w:val="32"/>
        </w:rPr>
        <w:fldChar w:fldCharType="begin"/>
      </w:r>
      <w:r>
        <w:rPr>
          <w:rFonts w:ascii="Arial" w:hAnsi="Arial" w:eastAsia="仿宋" w:cs="Arial"/>
          <w:color w:val="000000"/>
          <w:sz w:val="32"/>
        </w:rPr>
        <w:instrText xml:space="preserve"> EQ \o\ac(</w:instrText>
      </w:r>
      <w:r>
        <w:rPr>
          <w:rFonts w:hint="eastAsia" w:ascii="Arial" w:hAnsi="Arial" w:eastAsia="仿宋" w:cs="Arial"/>
          <w:color w:val="000000"/>
          <w:sz w:val="32"/>
        </w:rPr>
        <w:instrText xml:space="preserve">□</w:instrText>
      </w:r>
      <w:r>
        <w:rPr>
          <w:rFonts w:ascii="Arial" w:hAnsi="Arial" w:eastAsia="仿宋" w:cs="Arial"/>
          <w:color w:val="000000"/>
          <w:sz w:val="32"/>
        </w:rPr>
        <w:instrText xml:space="preserve">,</w:instrText>
      </w:r>
      <w:r>
        <w:rPr>
          <w:rFonts w:ascii="Arial" w:hAnsi="Arial" w:eastAsia="仿宋" w:cs="Arial"/>
          <w:color w:val="000000"/>
          <w:position w:val="3"/>
        </w:rPr>
        <w:instrText xml:space="preserve">√</w:instrText>
      </w:r>
      <w:r>
        <w:rPr>
          <w:rFonts w:ascii="Arial" w:hAnsi="Arial" w:eastAsia="仿宋" w:cs="Arial"/>
          <w:color w:val="000000"/>
          <w:sz w:val="32"/>
        </w:rPr>
        <w:instrText xml:space="preserve">)</w:instrText>
      </w:r>
      <w:r>
        <w:rPr>
          <w:rFonts w:ascii="Arial" w:hAnsi="Arial" w:eastAsia="仿宋" w:cs="Arial"/>
          <w:color w:val="000000"/>
          <w:sz w:val="32"/>
        </w:rPr>
        <w:fldChar w:fldCharType="end"/>
      </w:r>
      <w:r>
        <w:rPr>
          <w:rFonts w:hint="eastAsia" w:ascii="仿宋" w:hAnsi="仿宋" w:eastAsia="仿宋" w:cs="仿宋"/>
          <w:color w:val="000000"/>
          <w:sz w:val="30"/>
          <w:szCs w:val="30"/>
        </w:rPr>
        <w:t>。</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（八）分包：不允许</w:t>
      </w:r>
      <w:r>
        <w:rPr>
          <w:rFonts w:ascii="Arial" w:hAnsi="Arial" w:eastAsia="仿宋" w:cs="Arial"/>
          <w:color w:val="000000"/>
          <w:sz w:val="32"/>
        </w:rPr>
        <w:fldChar w:fldCharType="begin"/>
      </w:r>
      <w:r>
        <w:rPr>
          <w:rFonts w:ascii="Arial" w:hAnsi="Arial" w:eastAsia="仿宋" w:cs="Arial"/>
          <w:color w:val="000000"/>
          <w:sz w:val="32"/>
        </w:rPr>
        <w:instrText xml:space="preserve"> EQ \o\ac(</w:instrText>
      </w:r>
      <w:r>
        <w:rPr>
          <w:rFonts w:hint="eastAsia" w:ascii="Arial" w:hAnsi="Arial" w:eastAsia="仿宋" w:cs="Arial"/>
          <w:color w:val="000000"/>
          <w:sz w:val="32"/>
        </w:rPr>
        <w:instrText xml:space="preserve">□</w:instrText>
      </w:r>
      <w:r>
        <w:rPr>
          <w:rFonts w:ascii="Arial" w:hAnsi="Arial" w:eastAsia="仿宋" w:cs="Arial"/>
          <w:color w:val="000000"/>
          <w:sz w:val="32"/>
        </w:rPr>
        <w:instrText xml:space="preserve">,</w:instrText>
      </w:r>
      <w:r>
        <w:rPr>
          <w:rFonts w:ascii="Arial" w:hAnsi="Arial" w:eastAsia="仿宋" w:cs="Arial"/>
          <w:color w:val="000000"/>
          <w:position w:val="3"/>
        </w:rPr>
        <w:instrText xml:space="preserve">√</w:instrText>
      </w:r>
      <w:r>
        <w:rPr>
          <w:rFonts w:ascii="Arial" w:hAnsi="Arial" w:eastAsia="仿宋" w:cs="Arial"/>
          <w:color w:val="000000"/>
          <w:sz w:val="32"/>
        </w:rPr>
        <w:instrText xml:space="preserve">)</w:instrText>
      </w:r>
      <w:r>
        <w:rPr>
          <w:rFonts w:ascii="Arial" w:hAnsi="Arial" w:eastAsia="仿宋" w:cs="Arial"/>
          <w:color w:val="000000"/>
          <w:sz w:val="32"/>
        </w:rPr>
        <w:fldChar w:fldCharType="end"/>
      </w:r>
      <w:r>
        <w:rPr>
          <w:rFonts w:hint="eastAsia" w:ascii="楷体" w:hAnsi="楷体" w:eastAsia="楷体" w:cs="宋体"/>
          <w:color w:val="000000"/>
          <w:sz w:val="28"/>
          <w:szCs w:val="28"/>
          <w:lang w:val="zh-CN"/>
        </w:rPr>
        <w:t>。</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二、需要落实的政府采购政策</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本项目落实中小微型企业扶持</w:t>
      </w:r>
      <w:r>
        <w:rPr>
          <w:rFonts w:hint="eastAsia" w:ascii="楷体" w:hAnsi="楷体" w:eastAsia="楷体" w:cs="宋体"/>
          <w:color w:val="000000"/>
          <w:sz w:val="28"/>
          <w:szCs w:val="28"/>
          <w:lang w:val="zh-CN"/>
        </w:rPr>
        <w:t>√</w:t>
      </w:r>
      <w:r>
        <w:rPr>
          <w:rFonts w:hint="eastAsia" w:ascii="仿宋" w:hAnsi="仿宋" w:eastAsia="仿宋" w:cs="仿宋"/>
          <w:color w:val="000000"/>
          <w:sz w:val="30"/>
          <w:szCs w:val="30"/>
        </w:rPr>
        <w:t>、残疾人福利性单位扶持</w:t>
      </w:r>
      <w:r>
        <w:rPr>
          <w:rFonts w:hint="eastAsia" w:ascii="楷体" w:hAnsi="楷体" w:eastAsia="楷体" w:cs="宋体"/>
          <w:color w:val="000000"/>
          <w:sz w:val="28"/>
          <w:szCs w:val="28"/>
          <w:lang w:val="zh-CN"/>
        </w:rPr>
        <w:t>√</w:t>
      </w:r>
      <w:r>
        <w:rPr>
          <w:rFonts w:hint="eastAsia" w:ascii="仿宋" w:hAnsi="仿宋" w:eastAsia="仿宋" w:cs="仿宋"/>
          <w:color w:val="000000"/>
          <w:sz w:val="30"/>
          <w:szCs w:val="30"/>
        </w:rPr>
        <w:t>等相关政府采购政策。</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三、投标人资格要求</w:t>
      </w:r>
    </w:p>
    <w:p>
      <w:pPr>
        <w:shd w:val="clear" w:color="auto" w:fill="FFFFFF"/>
        <w:spacing w:line="360" w:lineRule="auto"/>
        <w:ind w:firstLine="640" w:firstLineChars="200"/>
        <w:contextualSpacing/>
        <w:rPr>
          <w:rFonts w:ascii="楷体" w:hAnsi="楷体" w:eastAsia="楷体" w:cs="宋体"/>
          <w:color w:val="000000"/>
          <w:sz w:val="32"/>
          <w:szCs w:val="32"/>
        </w:rPr>
      </w:pPr>
      <w:r>
        <w:rPr>
          <w:rFonts w:hint="eastAsia" w:ascii="楷体" w:hAnsi="楷体" w:eastAsia="楷体" w:cs="宋体"/>
          <w:color w:val="000000"/>
          <w:sz w:val="32"/>
          <w:szCs w:val="32"/>
        </w:rPr>
        <w:t>（一）符合《中华人民共和国政府采购法》第二十二条的规定。</w:t>
      </w:r>
    </w:p>
    <w:p>
      <w:pPr>
        <w:shd w:val="clear" w:color="auto" w:fill="FFFFFF"/>
        <w:adjustRightInd/>
        <w:snapToGrid/>
        <w:spacing w:after="0" w:line="360" w:lineRule="auto"/>
        <w:ind w:firstLine="600"/>
        <w:rPr>
          <w:rFonts w:ascii="楷体" w:hAnsi="楷体" w:eastAsia="楷体" w:cs="宋体"/>
          <w:color w:val="000000"/>
          <w:sz w:val="32"/>
          <w:szCs w:val="32"/>
          <w:lang w:val="zh-CN"/>
        </w:rPr>
      </w:pPr>
      <w:r>
        <w:rPr>
          <w:rFonts w:hint="eastAsia" w:ascii="楷体" w:hAnsi="楷体" w:eastAsia="楷体" w:cs="宋体"/>
          <w:color w:val="000000"/>
          <w:sz w:val="32"/>
          <w:szCs w:val="32"/>
        </w:rPr>
        <w:t>（二）</w:t>
      </w:r>
      <w:r>
        <w:rPr>
          <w:rFonts w:hint="eastAsia" w:ascii="楷体" w:hAnsi="楷体" w:eastAsia="楷体" w:cs="宋体"/>
          <w:color w:val="000000"/>
          <w:sz w:val="32"/>
          <w:szCs w:val="32"/>
          <w:lang w:val="zh-CN"/>
        </w:rPr>
        <w:t>本次招标不接受联合体投标。</w:t>
      </w:r>
    </w:p>
    <w:p>
      <w:pPr>
        <w:shd w:val="clear" w:color="auto" w:fill="FFFFFF"/>
        <w:adjustRightInd/>
        <w:snapToGrid/>
        <w:spacing w:after="0" w:line="360" w:lineRule="auto"/>
        <w:ind w:firstLine="600"/>
        <w:rPr>
          <w:rFonts w:ascii="黑体" w:hAnsi="宋体" w:eastAsia="黑体"/>
          <w:color w:val="000000"/>
          <w:sz w:val="30"/>
          <w:szCs w:val="30"/>
        </w:rPr>
      </w:pPr>
      <w:r>
        <w:rPr>
          <w:rFonts w:hint="eastAsia" w:ascii="黑体" w:hAnsi="宋体" w:eastAsia="黑体"/>
          <w:color w:val="000000"/>
          <w:sz w:val="30"/>
          <w:szCs w:val="30"/>
        </w:rPr>
        <w:t>四、采购需求</w:t>
      </w:r>
    </w:p>
    <w:p>
      <w:pPr>
        <w:shd w:val="clear" w:color="auto" w:fill="FFFFFF"/>
        <w:adjustRightInd/>
        <w:snapToGrid/>
        <w:spacing w:after="0" w:line="360" w:lineRule="auto"/>
        <w:ind w:firstLine="600"/>
        <w:rPr>
          <w:rFonts w:ascii="黑体" w:hAnsi="宋体" w:eastAsia="黑体"/>
          <w:color w:val="000000"/>
          <w:sz w:val="30"/>
          <w:szCs w:val="30"/>
        </w:rPr>
      </w:pPr>
    </w:p>
    <w:p>
      <w:pPr>
        <w:numPr>
          <w:ilvl w:val="0"/>
          <w:numId w:val="1"/>
        </w:num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本项目需实现的功能或者目标：许昌市人民防空办公室办公楼物业管理，包含主楼地上10层、地下1层（许昌市人防指挥中心）。位置：许昌市东城区，东临东城区国税局，南临东城区派出所，西邻学院北路，北邻东城街。</w:t>
      </w:r>
    </w:p>
    <w:p>
      <w:pPr>
        <w:shd w:val="clear" w:color="auto" w:fill="FFFFFF"/>
        <w:adjustRightInd/>
        <w:snapToGrid/>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（二）服务标准</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1、投标人应满足人员配置要求</w:t>
      </w:r>
    </w:p>
    <w:tbl>
      <w:tblPr>
        <w:tblStyle w:val="10"/>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38"/>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岗位</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人数</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负责人</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1人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负责服务中心各项管理事务，监管各服务人员严格落实各项管理制度和服务标准，做好与甲方的沟通、对接等工作。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保安员</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大门岗2人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负责出入口人员、车辆出入管理以及大件物品的出入登记，物业区域内监控工作。实行3*8班制，夜间的监控工作由保安员负责。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监控员</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2人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行政班</w:t>
            </w:r>
            <w:r>
              <w:rPr>
                <w:rFonts w:hint="eastAsia" w:ascii="仿宋" w:hAnsi="仿宋" w:eastAsia="仿宋" w:cs="仿宋"/>
                <w:sz w:val="30"/>
                <w:szCs w:val="30"/>
              </w:rPr>
              <w:t>，持消防控制室值班操作人员上岗证，负责物业区</w:t>
            </w:r>
            <w:r>
              <w:rPr>
                <w:rFonts w:hint="eastAsia" w:ascii="仿宋" w:hAnsi="仿宋" w:eastAsia="仿宋" w:cs="仿宋"/>
                <w:color w:val="000000"/>
                <w:sz w:val="30"/>
                <w:szCs w:val="30"/>
              </w:rPr>
              <w:t>域内</w:t>
            </w:r>
            <w:r>
              <w:rPr>
                <w:rFonts w:hint="eastAsia" w:ascii="仿宋" w:hAnsi="仿宋" w:eastAsia="仿宋" w:cs="仿宋"/>
                <w:sz w:val="30"/>
                <w:szCs w:val="30"/>
              </w:rPr>
              <w:t>火灾和故障报警处置工作。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保洁员</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5人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每2层1人，负责区域内的保洁卫生工作。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内勤</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1人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报纸分发，会议服务，物业服务中心档案管理，会议室及领导办公室、休息室的清洁及被单换洗工作。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9"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维修员</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3人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sz w:val="30"/>
                <w:szCs w:val="30"/>
              </w:rPr>
              <w:t>持有国家能源局或国家电力监管委员会颁发的电工进网作业许可证，其中至少有一名持有高压电工进网作业许可证；</w:t>
            </w:r>
            <w:r>
              <w:rPr>
                <w:rFonts w:hint="eastAsia" w:ascii="仿宋" w:hAnsi="仿宋" w:eastAsia="仿宋" w:cs="仿宋"/>
                <w:color w:val="000000"/>
                <w:sz w:val="30"/>
                <w:szCs w:val="30"/>
              </w:rPr>
              <w:t>负责办公楼水电维修、设施设备日常巡检；</w:t>
            </w:r>
            <w:r>
              <w:rPr>
                <w:rFonts w:hint="eastAsia" w:ascii="仿宋" w:hAnsi="仿宋" w:eastAsia="仿宋" w:cs="仿宋"/>
                <w:sz w:val="30"/>
                <w:szCs w:val="30"/>
              </w:rPr>
              <w:t>监管与维保单位履行维保协议的有关内容；人防</w:t>
            </w:r>
            <w:r>
              <w:rPr>
                <w:rFonts w:hint="eastAsia" w:ascii="仿宋" w:hAnsi="仿宋" w:eastAsia="仿宋" w:cs="仿宋"/>
                <w:color w:val="000000"/>
                <w:sz w:val="30"/>
                <w:szCs w:val="30"/>
              </w:rPr>
              <w:t>指挥中心24小时水电维修工作；庭院绿化苗木的浇灌工作，日常修剪维护由公司调配专业绿化员养护，采购人不再出此费用；负责投标人为采购人领导办公室提供的盆景苗木的日常养护工作。</w:t>
            </w:r>
          </w:p>
        </w:tc>
      </w:tr>
    </w:tbl>
    <w:p>
      <w:pPr>
        <w:shd w:val="clear" w:color="auto" w:fill="FFFFFF"/>
        <w:adjustRightInd/>
        <w:snapToGrid/>
        <w:spacing w:after="0" w:line="360" w:lineRule="auto"/>
        <w:ind w:firstLine="600"/>
        <w:rPr>
          <w:rFonts w:ascii="仿宋" w:hAnsi="仿宋" w:eastAsia="仿宋" w:cs="仿宋"/>
          <w:color w:val="000000"/>
          <w:sz w:val="30"/>
          <w:szCs w:val="30"/>
        </w:rPr>
      </w:pP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2、人员基本要求</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2.1员工统一着装，佩戴标志；</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2.2服务热情主动，礼貌，细致；</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2.3职责清晰，制度、作业标准、流程完善；</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2.4管理人员有较高的政治思想素养和业务水平。</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2.5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2.6投标人须定期每三个月对管理服务人员进行岗位再培训。</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2.7工作期间管理服务人员对于突发事件必须能够在第一时间进行现场处置。</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3、内勤服务</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3.1有关办公室报纸分发工作。</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3.2层会议室、领导办公室及休息室的卫生保洁及被单换洗工作。</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3.4领导办公室花木的养护工作。</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4、公共秩序维护</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4.1巡逻人员应按巡逻路线规范巡逻，发现行人、车辆、建筑物设施等有异常情况的，应及时处理或报告。</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4.2消防设施每天巡查、定期进行消防训练、演练，应急预案齐全。</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4.3所有车辆停放规范、有序，指挥得当，无交通堵塞。</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5、保洁、绿化管理</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5.1 大厅</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5.1.1保持地面无脚印、无污渍、无烟蒂、无痰迹、无垃圾，每日尘推2次，楼梯、扶手每日擦试1次，大厅玻璃每周擦洗1次。</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5.1.2 大厅内的其它部位，如柱面、墙面、台面、沙发、公告栏等，整洁、无灰尘。</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5.1.3 玻璃大门无手印、灰尘，保持干净、光亮。</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5.1.4 果皮箱，保持光亮，无灰尘、痰迹。</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5.2公共区域</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5.2.1 每天清扫一次，地面保持清洁、光亮、无污迹、无水迹、无脚印。</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5.2.2 走道四角及踢脚板保持干净，无垃圾。</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5.2.3 垃圾桶按指定位置摆放，四周无散积垃圾，无异味。</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5.2.4 墙面及走道设施、门框、通风口，保持干净，无积灰。</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5.2.5 安全扶梯台阶保持清洁，无污物、垃圾；扶手保持光亮，无灰尘。</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5.2.6 保持电梯门光洁、明亮，轿厢及四壁地面干净、整洁。</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5.2.7 室外场地的台阶及地面，做到无垃圾、无灰尘、无烟蒂、无纸屑。</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5.2.8垃圾每天清运1次。</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5.3卫生间</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5.3.1 镜面光亮无灰尘，化妆台台面无水迹、无洗手液滴（或肥皂液滴）</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5.3.2 门及护板表面无尘、无划痕、无污迹。</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5.3.3 不锈钢光亮见本色。</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5.3.4 纸盒、便池要不间断清洁，保持无灰尘，无水迹。</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5.3.5 坐厕要通畅，不得有异物，不得有便渍、水锈和异味。</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5.3.6 小便池内无尿碱、烟头、痰迹等异物，及时更换樟脑球。</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5.3.7 地面保持干燥、无水迹。</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5.3.8 门转轴和门通风孔无积灰。</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5.3.9 纸篓内污物不超过2/3。</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5.3.10 建立夏季消杀制度，洗手间区域不得有蚊蝇存在。</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5.4停车区域</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5.4.1 保持道路畅通，无堆积垃圾及物品。</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5.4.2 保持地面无尘土、无垃圾。</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5.5玻璃及不锈钢</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5.5.1 玻璃无灰尘、无水迹，保持干净、光亮。</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5.5.2 玻璃上的污斑、手印应及时清除，保持清洁。</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5.5.3 要防止玻璃因清洁不当而发毛。</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5.5.4 爱护清洁工具，注意保养，不得用损坏的工具擦洗玻璃。</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5.5.5 不锈钢无灰尘、无水迹、无污迹、无手印。</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6、公共设施、设备管理、维护</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6.1建立、健全设施、设备台账；</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6.2建立设施、设备年度维保计划，并按照计划实施；</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6.3设备房管理做到制度齐全，标识齐全，24小时值班；</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6.4电梯、用电、消防等设备应急预案齐全，每年定期进行演练。</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6.5投标人自备管理服务等项目所需的物资装备。如：（包括但不限于）公共卫生、公共秩序、绿化养护、公共维修所需设施设备及日常办公用品。</w:t>
      </w:r>
    </w:p>
    <w:p>
      <w:pPr>
        <w:shd w:val="clear" w:color="auto" w:fill="FFFFFF"/>
        <w:adjustRightInd/>
        <w:snapToGrid/>
        <w:spacing w:after="0" w:line="360" w:lineRule="auto"/>
        <w:ind w:firstLine="600"/>
        <w:rPr>
          <w:rFonts w:ascii="宋体" w:hAnsi="宋体" w:eastAsia="宋体" w:cs="宋体"/>
          <w:color w:val="FF0000"/>
          <w:sz w:val="24"/>
          <w:szCs w:val="24"/>
        </w:rPr>
      </w:pPr>
      <w:r>
        <w:rPr>
          <w:rFonts w:hint="eastAsia" w:ascii="仿宋" w:hAnsi="仿宋" w:eastAsia="仿宋" w:cs="仿宋"/>
          <w:color w:val="000000"/>
          <w:sz w:val="30"/>
          <w:szCs w:val="30"/>
        </w:rPr>
        <w:t>（</w:t>
      </w:r>
      <w:r>
        <w:rPr>
          <w:rFonts w:hint="eastAsia" w:ascii="仿宋" w:hAnsi="仿宋" w:eastAsia="仿宋" w:cs="仿宋"/>
          <w:sz w:val="30"/>
          <w:szCs w:val="30"/>
        </w:rPr>
        <w:t>三）验收标准</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按照招标文件要求、投标文件响应和承诺验收。</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五、评标方法和评标标准</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（一）评标方法： 综合评分法</w:t>
      </w:r>
      <w:r>
        <w:rPr>
          <w:rFonts w:hint="eastAsia" w:ascii="楷体" w:hAnsi="楷体" w:eastAsia="楷体" w:cs="宋体"/>
          <w:color w:val="000000"/>
          <w:sz w:val="28"/>
          <w:szCs w:val="28"/>
          <w:lang w:val="zh-CN"/>
        </w:rPr>
        <w:t>√</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（二）综合评分法评标标准：</w:t>
      </w:r>
    </w:p>
    <w:tbl>
      <w:tblPr>
        <w:tblStyle w:val="10"/>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6"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分值构成</w:t>
            </w:r>
          </w:p>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(总分100分)</w:t>
            </w:r>
          </w:p>
        </w:tc>
        <w:tc>
          <w:tcPr>
            <w:tcW w:w="6920" w:type="dxa"/>
            <w:gridSpan w:val="2"/>
            <w:vAlign w:val="center"/>
          </w:tcPr>
          <w:p>
            <w:pPr>
              <w:widowControl w:val="0"/>
              <w:adjustRightInd/>
              <w:snapToGrid/>
              <w:spacing w:after="0" w:line="360" w:lineRule="auto"/>
              <w:ind w:firstLine="480" w:firstLineChars="200"/>
              <w:jc w:val="both"/>
              <w:rPr>
                <w:rFonts w:ascii="仿宋" w:hAnsi="仿宋" w:eastAsia="仿宋" w:cs="Times New Roman"/>
                <w:kern w:val="2"/>
                <w:sz w:val="24"/>
                <w:szCs w:val="24"/>
              </w:rPr>
            </w:pPr>
            <w:r>
              <w:rPr>
                <w:rFonts w:hint="eastAsia" w:ascii="仿宋" w:hAnsi="仿宋" w:eastAsia="仿宋" w:cs="Times New Roman"/>
                <w:kern w:val="2"/>
                <w:sz w:val="24"/>
                <w:szCs w:val="24"/>
              </w:rPr>
              <w:t>价格分值：</w:t>
            </w:r>
            <w:r>
              <w:rPr>
                <w:rFonts w:hint="eastAsia" w:ascii="仿宋" w:hAnsi="仿宋" w:eastAsia="仿宋" w:cs="Times New Roman"/>
                <w:kern w:val="2"/>
                <w:sz w:val="24"/>
                <w:szCs w:val="24"/>
                <w:u w:val="single"/>
              </w:rPr>
              <w:t xml:space="preserve">  20    </w:t>
            </w:r>
            <w:r>
              <w:rPr>
                <w:rFonts w:hint="eastAsia" w:ascii="仿宋" w:hAnsi="仿宋" w:eastAsia="仿宋" w:cs="Times New Roman"/>
                <w:kern w:val="2"/>
                <w:sz w:val="24"/>
                <w:szCs w:val="24"/>
              </w:rPr>
              <w:t>分</w:t>
            </w:r>
          </w:p>
          <w:p>
            <w:pPr>
              <w:widowControl w:val="0"/>
              <w:adjustRightInd/>
              <w:snapToGrid/>
              <w:spacing w:after="0" w:line="360" w:lineRule="auto"/>
              <w:ind w:firstLine="480" w:firstLineChars="200"/>
              <w:jc w:val="both"/>
              <w:rPr>
                <w:rFonts w:ascii="仿宋" w:hAnsi="仿宋" w:eastAsia="仿宋" w:cs="Times New Roman"/>
                <w:kern w:val="2"/>
                <w:sz w:val="24"/>
                <w:szCs w:val="24"/>
              </w:rPr>
            </w:pPr>
            <w:r>
              <w:rPr>
                <w:rFonts w:hint="eastAsia" w:ascii="仿宋" w:hAnsi="仿宋" w:eastAsia="仿宋" w:cs="Times New Roman"/>
                <w:kern w:val="2"/>
                <w:sz w:val="24"/>
                <w:szCs w:val="24"/>
              </w:rPr>
              <w:t>商务部分：</w:t>
            </w:r>
            <w:r>
              <w:rPr>
                <w:rFonts w:hint="eastAsia" w:ascii="仿宋" w:hAnsi="仿宋" w:eastAsia="仿宋" w:cs="Times New Roman"/>
                <w:kern w:val="2"/>
                <w:sz w:val="24"/>
                <w:szCs w:val="24"/>
                <w:u w:val="single"/>
              </w:rPr>
              <w:t xml:space="preserve">  45    </w:t>
            </w:r>
            <w:r>
              <w:rPr>
                <w:rFonts w:hint="eastAsia" w:ascii="仿宋" w:hAnsi="仿宋" w:eastAsia="仿宋" w:cs="Times New Roman"/>
                <w:kern w:val="2"/>
                <w:sz w:val="24"/>
                <w:szCs w:val="24"/>
              </w:rPr>
              <w:t>分</w:t>
            </w:r>
          </w:p>
          <w:p>
            <w:pPr>
              <w:widowControl w:val="0"/>
              <w:adjustRightInd/>
              <w:snapToGrid/>
              <w:spacing w:after="0" w:line="360" w:lineRule="auto"/>
              <w:ind w:firstLine="480" w:firstLineChars="200"/>
              <w:jc w:val="both"/>
              <w:rPr>
                <w:rFonts w:ascii="仿宋" w:hAnsi="仿宋" w:eastAsia="仿宋" w:cs="Times New Roman"/>
                <w:kern w:val="2"/>
                <w:sz w:val="24"/>
                <w:szCs w:val="24"/>
              </w:rPr>
            </w:pPr>
            <w:r>
              <w:rPr>
                <w:rFonts w:hint="eastAsia" w:ascii="仿宋" w:hAnsi="仿宋" w:eastAsia="仿宋" w:cs="Times New Roman"/>
                <w:kern w:val="2"/>
                <w:sz w:val="24"/>
                <w:szCs w:val="24"/>
              </w:rPr>
              <w:t>技术部分：</w:t>
            </w:r>
            <w:r>
              <w:rPr>
                <w:rFonts w:hint="eastAsia" w:ascii="仿宋" w:hAnsi="仿宋" w:eastAsia="仿宋" w:cs="Times New Roman"/>
                <w:kern w:val="2"/>
                <w:sz w:val="24"/>
                <w:szCs w:val="24"/>
                <w:u w:val="single"/>
              </w:rPr>
              <w:t xml:space="preserve">  35    </w:t>
            </w:r>
            <w:r>
              <w:rPr>
                <w:rFonts w:hint="eastAsia" w:ascii="仿宋" w:hAnsi="仿宋" w:eastAsia="仿宋" w:cs="Times New Roman"/>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966" w:type="dxa"/>
            <w:gridSpan w:val="3"/>
            <w:tcBorders>
              <w:bottom w:val="single" w:color="auto" w:sz="4" w:space="0"/>
            </w:tcBorders>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一、价格部分（满分</w:t>
            </w:r>
            <w:r>
              <w:rPr>
                <w:rFonts w:hint="eastAsia" w:ascii="仿宋" w:hAnsi="仿宋" w:eastAsia="仿宋" w:cs="Times New Roman"/>
                <w:b/>
                <w:kern w:val="2"/>
                <w:sz w:val="24"/>
                <w:szCs w:val="24"/>
                <w:u w:val="single"/>
              </w:rPr>
              <w:t xml:space="preserve"> 20  </w:t>
            </w:r>
            <w:r>
              <w:rPr>
                <w:rFonts w:hint="eastAsia" w:ascii="仿宋" w:hAnsi="仿宋" w:eastAsia="仿宋" w:cs="Times New Roman"/>
                <w:b/>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2046" w:type="dxa"/>
            <w:tcBorders>
              <w:top w:val="single" w:color="auto" w:sz="4" w:space="0"/>
            </w:tcBorders>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评分因素</w:t>
            </w:r>
          </w:p>
        </w:tc>
        <w:tc>
          <w:tcPr>
            <w:tcW w:w="5953" w:type="dxa"/>
            <w:tcBorders>
              <w:top w:val="single" w:color="auto" w:sz="4" w:space="0"/>
            </w:tcBorders>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评分标准</w:t>
            </w:r>
          </w:p>
        </w:tc>
        <w:tc>
          <w:tcPr>
            <w:tcW w:w="967" w:type="dxa"/>
            <w:tcBorders>
              <w:top w:val="single" w:color="auto" w:sz="4" w:space="0"/>
            </w:tcBorders>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2046" w:type="dxa"/>
            <w:tcBorders>
              <w:top w:val="single" w:color="auto" w:sz="4" w:space="0"/>
            </w:tcBorders>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投标报价</w:t>
            </w:r>
          </w:p>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评分标准</w:t>
            </w:r>
          </w:p>
        </w:tc>
        <w:tc>
          <w:tcPr>
            <w:tcW w:w="5953" w:type="dxa"/>
            <w:tcBorders>
              <w:top w:val="single" w:color="auto" w:sz="4" w:space="0"/>
            </w:tcBorders>
            <w:vAlign w:val="center"/>
          </w:tcPr>
          <w:p>
            <w:pPr>
              <w:widowControl w:val="0"/>
              <w:adjustRightInd/>
              <w:snapToGrid/>
              <w:spacing w:after="0"/>
              <w:jc w:val="both"/>
              <w:rPr>
                <w:rFonts w:ascii="仿宋" w:hAnsi="仿宋" w:eastAsia="仿宋" w:cs="Times New Roman"/>
                <w:kern w:val="2"/>
                <w:sz w:val="24"/>
                <w:szCs w:val="24"/>
              </w:rPr>
            </w:pPr>
            <w:r>
              <w:rPr>
                <w:rFonts w:hint="eastAsia" w:ascii="仿宋" w:hAnsi="仿宋" w:eastAsia="仿宋" w:cs="Times New Roman"/>
                <w:kern w:val="2"/>
                <w:sz w:val="24"/>
                <w:szCs w:val="24"/>
              </w:rPr>
              <w:t>评标基准价：满足招标文件要求的有效投标报价中，最低的投标报价为评标基准价。</w:t>
            </w:r>
          </w:p>
          <w:p>
            <w:pPr>
              <w:widowControl w:val="0"/>
              <w:adjustRightInd/>
              <w:snapToGrid/>
              <w:spacing w:after="0"/>
              <w:jc w:val="both"/>
              <w:rPr>
                <w:rFonts w:ascii="仿宋" w:hAnsi="仿宋" w:eastAsia="仿宋" w:cs="Times New Roman"/>
                <w:kern w:val="2"/>
                <w:sz w:val="24"/>
                <w:szCs w:val="24"/>
              </w:rPr>
            </w:pPr>
            <w:r>
              <w:rPr>
                <w:rFonts w:hint="eastAsia" w:ascii="仿宋" w:hAnsi="仿宋" w:eastAsia="仿宋" w:cs="Times New Roman"/>
                <w:kern w:val="2"/>
                <w:sz w:val="24"/>
                <w:szCs w:val="24"/>
              </w:rPr>
              <w:t>投标报价得分=（评标基准价/投标报价）×</w:t>
            </w:r>
            <w:r>
              <w:rPr>
                <w:rFonts w:hint="eastAsia" w:ascii="仿宋" w:hAnsi="仿宋" w:eastAsia="仿宋" w:cs="Times New Roman"/>
                <w:kern w:val="2"/>
                <w:sz w:val="24"/>
                <w:szCs w:val="24"/>
                <w:u w:val="single"/>
              </w:rPr>
              <w:t xml:space="preserve"> 20 </w:t>
            </w:r>
          </w:p>
        </w:tc>
        <w:tc>
          <w:tcPr>
            <w:tcW w:w="967" w:type="dxa"/>
            <w:tcBorders>
              <w:top w:val="single" w:color="auto" w:sz="4" w:space="0"/>
            </w:tcBorders>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u w:val="single"/>
              </w:rPr>
              <w:t xml:space="preserve"> 20 </w:t>
            </w:r>
            <w:r>
              <w:rPr>
                <w:rFonts w:hint="eastAsia" w:ascii="仿宋" w:hAnsi="仿宋" w:eastAsia="仿宋" w:cs="Times New Roman"/>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6" w:type="dxa"/>
            <w:gridSpan w:val="3"/>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二、商务部分（满分</w:t>
            </w:r>
            <w:r>
              <w:rPr>
                <w:rFonts w:hint="eastAsia" w:ascii="仿宋" w:hAnsi="仿宋" w:eastAsia="仿宋" w:cs="Times New Roman"/>
                <w:b/>
                <w:kern w:val="2"/>
                <w:sz w:val="24"/>
                <w:szCs w:val="24"/>
                <w:u w:val="single"/>
              </w:rPr>
              <w:t xml:space="preserve"> 45 </w:t>
            </w:r>
            <w:r>
              <w:rPr>
                <w:rFonts w:hint="eastAsia" w:ascii="仿宋" w:hAnsi="仿宋" w:eastAsia="仿宋" w:cs="Times New Roman"/>
                <w:b/>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2046" w:type="dxa"/>
            <w:tcBorders>
              <w:bottom w:val="single" w:color="auto" w:sz="4" w:space="0"/>
            </w:tcBorders>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评分因素</w:t>
            </w:r>
          </w:p>
        </w:tc>
        <w:tc>
          <w:tcPr>
            <w:tcW w:w="5953" w:type="dxa"/>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评分标准</w:t>
            </w:r>
          </w:p>
        </w:tc>
        <w:tc>
          <w:tcPr>
            <w:tcW w:w="967" w:type="dxa"/>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jc w:val="center"/>
        </w:trPr>
        <w:tc>
          <w:tcPr>
            <w:tcW w:w="2046" w:type="dxa"/>
            <w:vAlign w:val="center"/>
          </w:tcPr>
          <w:p>
            <w:pPr>
              <w:widowControl w:val="0"/>
              <w:adjustRightInd/>
              <w:snapToGrid/>
              <w:spacing w:after="0" w:line="36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信誉</w:t>
            </w:r>
          </w:p>
        </w:tc>
        <w:tc>
          <w:tcPr>
            <w:tcW w:w="5953" w:type="dxa"/>
            <w:vAlign w:val="center"/>
          </w:tcPr>
          <w:p>
            <w:pPr>
              <w:widowControl w:val="0"/>
              <w:adjustRightInd/>
              <w:snapToGrid/>
              <w:spacing w:after="0"/>
              <w:jc w:val="both"/>
              <w:rPr>
                <w:rFonts w:ascii="仿宋" w:hAnsi="仿宋" w:eastAsia="仿宋" w:cs="Times New Roman"/>
                <w:b/>
                <w:i/>
                <w:color w:val="548DD4"/>
                <w:sz w:val="24"/>
                <w:szCs w:val="24"/>
              </w:rPr>
            </w:pPr>
            <w:r>
              <w:rPr>
                <w:rFonts w:hint="eastAsia" w:ascii="仿宋" w:hAnsi="仿宋" w:eastAsia="仿宋" w:cs="Times New Roman"/>
                <w:kern w:val="2"/>
                <w:sz w:val="24"/>
                <w:szCs w:val="24"/>
              </w:rPr>
              <w:t>投标人须提供工商企业信用信息公示报告【国家企业信用信息公示系统http//www.gsxt.gov.cn包括基础信息、行政许可信息、行政处罚信息、列入经营异常名录信息、列入严重违法失信企业名单（黑名单）信息】</w:t>
            </w:r>
            <w:r>
              <w:rPr>
                <w:rFonts w:hint="eastAsia" w:ascii="仿宋" w:hAnsi="仿宋" w:eastAsia="仿宋" w:cs="Times New Roman"/>
                <w:kern w:val="2"/>
                <w:sz w:val="24"/>
                <w:szCs w:val="24"/>
                <w:lang w:val="en-US" w:eastAsia="zh-CN"/>
              </w:rPr>
              <w:t>;</w:t>
            </w:r>
            <w:r>
              <w:rPr>
                <w:rFonts w:hint="eastAsia" w:ascii="仿宋" w:hAnsi="仿宋" w:eastAsia="仿宋" w:cs="Times New Roman"/>
                <w:kern w:val="2"/>
                <w:sz w:val="24"/>
                <w:szCs w:val="24"/>
              </w:rPr>
              <w:t>企业所在地税务主</w:t>
            </w:r>
            <w:bookmarkStart w:id="0" w:name="_GoBack"/>
            <w:bookmarkEnd w:id="0"/>
            <w:r>
              <w:rPr>
                <w:rFonts w:hint="eastAsia" w:ascii="仿宋" w:hAnsi="仿宋" w:eastAsia="仿宋" w:cs="Times New Roman"/>
                <w:kern w:val="2"/>
                <w:sz w:val="24"/>
                <w:szCs w:val="24"/>
              </w:rPr>
              <w:t>管部门出具的纳税情况证明等信用情况（加盖企业所在地税务主管部门公章）。无不良信息者每项1分，未提供或有不良信息者不得分，满分2分。</w:t>
            </w:r>
          </w:p>
        </w:tc>
        <w:tc>
          <w:tcPr>
            <w:tcW w:w="967"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widowControl w:val="0"/>
              <w:adjustRightInd/>
              <w:snapToGrid/>
              <w:spacing w:after="0" w:line="36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企业实力</w:t>
            </w:r>
          </w:p>
        </w:tc>
        <w:tc>
          <w:tcPr>
            <w:tcW w:w="5953" w:type="dxa"/>
            <w:vAlign w:val="center"/>
          </w:tcPr>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1、投标人自2014年1月1日以来，类似物业管理项目获得过住建部门授予的优秀（示范）项目或者优秀公共物业项目荣誉称号，</w:t>
            </w:r>
            <w:r>
              <w:rPr>
                <w:rFonts w:hint="eastAsia" w:ascii="仿宋" w:hAnsi="仿宋" w:eastAsia="仿宋" w:cs="Times New Roman"/>
                <w:b/>
                <w:kern w:val="2"/>
                <w:sz w:val="24"/>
                <w:szCs w:val="24"/>
              </w:rPr>
              <w:t>市级的</w:t>
            </w:r>
            <w:r>
              <w:rPr>
                <w:rFonts w:hint="eastAsia" w:ascii="仿宋" w:hAnsi="仿宋" w:eastAsia="仿宋" w:cs="Times New Roman"/>
                <w:kern w:val="2"/>
                <w:sz w:val="24"/>
                <w:szCs w:val="24"/>
              </w:rPr>
              <w:t>加2分；</w:t>
            </w:r>
            <w:r>
              <w:rPr>
                <w:rFonts w:hint="eastAsia" w:ascii="仿宋" w:hAnsi="仿宋" w:eastAsia="仿宋" w:cs="Times New Roman"/>
                <w:b/>
                <w:kern w:val="2"/>
                <w:sz w:val="24"/>
                <w:szCs w:val="24"/>
              </w:rPr>
              <w:t>省级</w:t>
            </w:r>
            <w:r>
              <w:rPr>
                <w:rFonts w:hint="eastAsia" w:ascii="仿宋" w:hAnsi="仿宋" w:eastAsia="仿宋" w:cs="Times New Roman"/>
                <w:kern w:val="2"/>
                <w:sz w:val="24"/>
                <w:szCs w:val="24"/>
              </w:rPr>
              <w:t>及以上的加4分，此项满分4分，同级别奖项不累计加分，取最高分；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2、投标人通过质量管理体系认证、环境管理体系认证，每项2分，满分4分。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3、投标人通过第三方认证机构出具的信用等级AAA级认证的2分。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4、投标人设有企业党组织者的3分（以组织部门的审批文件为准）。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5、根据投标人在本项目以前社会对其认可度以及工商、银行、行业部门颁发的荣誉证书等情况，每提供一份荣誉证书加1.5分；满分4分。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（以上证书要求在投标文件中均须提供复印件加盖公章）</w:t>
            </w:r>
          </w:p>
        </w:tc>
        <w:tc>
          <w:tcPr>
            <w:tcW w:w="967"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u w:val="single"/>
              </w:rPr>
              <w:t>17</w:t>
            </w:r>
            <w:r>
              <w:rPr>
                <w:rFonts w:hint="eastAsia" w:ascii="仿宋" w:hAnsi="仿宋" w:eastAsia="仿宋" w:cs="Times New Roman"/>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widowControl w:val="0"/>
              <w:adjustRightInd/>
              <w:snapToGrid/>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业绩</w:t>
            </w:r>
          </w:p>
        </w:tc>
        <w:tc>
          <w:tcPr>
            <w:tcW w:w="5953" w:type="dxa"/>
            <w:vAlign w:val="center"/>
          </w:tcPr>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具有物业管理项目业绩，合同金额在90万元及以上（含90万元）的每份加4分，此项最高20分。（以上业绩需提供合同及验收报告，以合同签订日期为准）。</w:t>
            </w:r>
          </w:p>
        </w:tc>
        <w:tc>
          <w:tcPr>
            <w:tcW w:w="967"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u w:val="single"/>
              </w:rPr>
              <w:t xml:space="preserve"> 20 </w:t>
            </w:r>
            <w:r>
              <w:rPr>
                <w:rFonts w:hint="eastAsia" w:ascii="仿宋" w:hAnsi="仿宋" w:eastAsia="仿宋" w:cs="Times New Roman"/>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投标文件编制</w:t>
            </w:r>
          </w:p>
        </w:tc>
        <w:tc>
          <w:tcPr>
            <w:tcW w:w="5953" w:type="dxa"/>
            <w:vAlign w:val="center"/>
          </w:tcPr>
          <w:p>
            <w:pPr>
              <w:widowControl w:val="0"/>
              <w:adjustRightInd/>
              <w:snapToGrid/>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1、装订规范、文字清晰、无差错1分。</w:t>
            </w:r>
          </w:p>
          <w:p>
            <w:pPr>
              <w:widowControl w:val="0"/>
              <w:adjustRightInd/>
              <w:snapToGrid/>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2、所提供资料准确完整1分。</w:t>
            </w:r>
          </w:p>
        </w:tc>
        <w:tc>
          <w:tcPr>
            <w:tcW w:w="967" w:type="dxa"/>
            <w:vAlign w:val="center"/>
          </w:tcPr>
          <w:p>
            <w:pPr>
              <w:widowControl w:val="0"/>
              <w:adjustRightInd/>
              <w:snapToGrid/>
              <w:spacing w:after="0"/>
              <w:jc w:val="center"/>
              <w:rPr>
                <w:rFonts w:ascii="仿宋" w:hAnsi="仿宋" w:eastAsia="仿宋" w:cs="宋体"/>
                <w:kern w:val="2"/>
                <w:sz w:val="24"/>
                <w:szCs w:val="24"/>
              </w:rPr>
            </w:pPr>
            <w:r>
              <w:rPr>
                <w:rFonts w:hint="eastAsia" w:ascii="仿宋" w:hAnsi="仿宋" w:eastAsia="仿宋" w:cs="Times New Roman"/>
                <w:kern w:val="2"/>
                <w:sz w:val="24"/>
                <w:szCs w:val="24"/>
                <w:u w:val="single"/>
              </w:rPr>
              <w:t>2</w:t>
            </w:r>
            <w:r>
              <w:rPr>
                <w:rFonts w:hint="eastAsia" w:ascii="仿宋" w:hAnsi="仿宋" w:eastAsia="仿宋" w:cs="Times New Roman"/>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拟派驻人员</w:t>
            </w:r>
          </w:p>
        </w:tc>
        <w:tc>
          <w:tcPr>
            <w:tcW w:w="5953" w:type="dxa"/>
            <w:vAlign w:val="center"/>
          </w:tcPr>
          <w:p>
            <w:pPr>
              <w:widowControl w:val="0"/>
              <w:adjustRightInd/>
              <w:snapToGrid/>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在满足招标文件基础之上，每增加1名监控员或维修员加2分，满分4分（需提供消防控制室值班操作人员上岗证、国家能源局或国家电力监管委员会颁发的电工进网作业许可证均可）。</w:t>
            </w:r>
          </w:p>
        </w:tc>
        <w:tc>
          <w:tcPr>
            <w:tcW w:w="967" w:type="dxa"/>
            <w:vAlign w:val="center"/>
          </w:tcPr>
          <w:p>
            <w:pPr>
              <w:widowControl w:val="0"/>
              <w:adjustRightInd/>
              <w:snapToGrid/>
              <w:spacing w:after="0"/>
              <w:jc w:val="center"/>
              <w:rPr>
                <w:rFonts w:ascii="仿宋" w:hAnsi="仿宋" w:eastAsia="仿宋" w:cs="Times New Roman"/>
                <w:kern w:val="2"/>
                <w:sz w:val="24"/>
                <w:szCs w:val="24"/>
                <w:u w:val="single"/>
              </w:rPr>
            </w:pPr>
            <w:r>
              <w:rPr>
                <w:rFonts w:hint="eastAsia" w:ascii="仿宋" w:hAnsi="仿宋" w:eastAsia="仿宋" w:cs="Times New Roman"/>
                <w:kern w:val="2"/>
                <w:sz w:val="24"/>
                <w:szCs w:val="24"/>
                <w:u w:val="singl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966" w:type="dxa"/>
            <w:gridSpan w:val="3"/>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三、技术部分（满分</w:t>
            </w:r>
            <w:r>
              <w:rPr>
                <w:rFonts w:hint="eastAsia" w:ascii="仿宋" w:hAnsi="仿宋" w:eastAsia="仿宋" w:cs="Times New Roman"/>
                <w:b/>
                <w:kern w:val="2"/>
                <w:sz w:val="24"/>
                <w:szCs w:val="24"/>
                <w:u w:val="single"/>
              </w:rPr>
              <w:t xml:space="preserve"> 35 </w:t>
            </w:r>
            <w:r>
              <w:rPr>
                <w:rFonts w:hint="eastAsia" w:ascii="仿宋" w:hAnsi="仿宋" w:eastAsia="仿宋" w:cs="Times New Roman"/>
                <w:b/>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046" w:type="dxa"/>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评分因素</w:t>
            </w:r>
          </w:p>
        </w:tc>
        <w:tc>
          <w:tcPr>
            <w:tcW w:w="5953" w:type="dxa"/>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评分标准</w:t>
            </w:r>
          </w:p>
        </w:tc>
        <w:tc>
          <w:tcPr>
            <w:tcW w:w="967" w:type="dxa"/>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服务方案</w:t>
            </w:r>
          </w:p>
        </w:tc>
        <w:tc>
          <w:tcPr>
            <w:tcW w:w="5953" w:type="dxa"/>
            <w:vAlign w:val="center"/>
          </w:tcPr>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1、对服务项目背景现状、实际需求、运作要求等理解到位、分析全面深入的得7分，有相关描述的得3分，不提供不得分。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2、工作流程、作业程序及管理方案全面、规范、无漏项的，得7分，有相关描述的得3分，不提供不得分。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3、员工培训计划方案、绩效考核、管理全面、有效的，得7分，有相关描述的得3分，不提供不得分。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4、应急情况处理方案全面、有效的，得7分，有相关描述的得3分，不提供不得分。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5、管理人员岗位配置全面无缺岗，且人员数量科学合理的，得7分，有相关描述的得3分，不提供不得分。</w:t>
            </w:r>
          </w:p>
        </w:tc>
        <w:tc>
          <w:tcPr>
            <w:tcW w:w="967"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u w:val="single"/>
              </w:rPr>
              <w:t xml:space="preserve"> 35</w:t>
            </w:r>
            <w:r>
              <w:rPr>
                <w:rFonts w:hint="eastAsia" w:ascii="仿宋" w:hAnsi="仿宋" w:eastAsia="仿宋" w:cs="Times New Roman"/>
                <w:kern w:val="2"/>
                <w:sz w:val="24"/>
                <w:szCs w:val="24"/>
              </w:rPr>
              <w:t>分</w:t>
            </w:r>
          </w:p>
        </w:tc>
      </w:tr>
    </w:tbl>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六、采购资金支付</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（一）支付方式：银行转账</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（二）</w:t>
      </w:r>
      <w:r>
        <w:rPr>
          <w:rFonts w:hint="eastAsia" w:ascii="仿宋" w:hAnsi="仿宋" w:eastAsia="仿宋" w:cs="仿宋"/>
          <w:sz w:val="30"/>
          <w:szCs w:val="30"/>
        </w:rPr>
        <w:t>支付时间及条件：</w:t>
      </w:r>
      <w:r>
        <w:rPr>
          <w:rFonts w:hint="eastAsia" w:ascii="仿宋" w:hAnsi="仿宋" w:eastAsia="仿宋" w:cs="仿宋"/>
          <w:color w:val="000000"/>
          <w:sz w:val="30"/>
          <w:szCs w:val="30"/>
        </w:rPr>
        <w:t>招标人按照中标价每月平均支付物业服务费用。</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七、联系方式</w:t>
      </w:r>
    </w:p>
    <w:p>
      <w:pPr>
        <w:shd w:val="clear" w:color="auto" w:fill="FFFFFF"/>
        <w:adjustRightInd/>
        <w:snapToGrid/>
        <w:spacing w:after="0" w:line="360" w:lineRule="auto"/>
        <w:ind w:firstLine="795"/>
        <w:rPr>
          <w:rFonts w:ascii="宋体" w:hAnsi="宋体" w:eastAsia="宋体" w:cs="宋体"/>
          <w:color w:val="000000"/>
          <w:sz w:val="24"/>
          <w:szCs w:val="24"/>
        </w:rPr>
      </w:pPr>
      <w:r>
        <w:rPr>
          <w:rFonts w:hint="eastAsia" w:ascii="仿宋" w:hAnsi="仿宋" w:eastAsia="仿宋" w:cs="仿宋"/>
          <w:color w:val="000000"/>
          <w:sz w:val="30"/>
          <w:szCs w:val="30"/>
        </w:rPr>
        <w:t>联系人姓名：邹先生     联系电话：</w:t>
      </w:r>
      <w:r>
        <w:rPr>
          <w:rFonts w:hint="eastAsia" w:ascii="仿宋" w:hAnsi="仿宋" w:eastAsia="仿宋" w:cs="仿宋"/>
          <w:color w:val="000000"/>
          <w:sz w:val="30"/>
          <w:szCs w:val="30"/>
          <w:lang w:val="zh-CN"/>
        </w:rPr>
        <w:t>13938787766</w:t>
      </w:r>
    </w:p>
    <w:p>
      <w:pPr>
        <w:shd w:val="clear" w:color="auto" w:fill="FFFFFF"/>
        <w:adjustRightInd/>
        <w:snapToGrid/>
        <w:spacing w:after="0" w:line="360" w:lineRule="auto"/>
        <w:ind w:firstLine="795"/>
        <w:rPr>
          <w:rFonts w:ascii="仿宋" w:hAnsi="仿宋" w:eastAsia="仿宋" w:cs="仿宋"/>
          <w:color w:val="000000"/>
          <w:sz w:val="30"/>
          <w:szCs w:val="30"/>
        </w:rPr>
      </w:pPr>
      <w:r>
        <w:rPr>
          <w:rFonts w:hint="eastAsia" w:ascii="仿宋" w:hAnsi="仿宋" w:eastAsia="仿宋" w:cs="仿宋"/>
          <w:color w:val="000000"/>
          <w:sz w:val="30"/>
          <w:szCs w:val="30"/>
        </w:rPr>
        <w:t>单位地址：许昌市学院路和前进路交叉口</w:t>
      </w:r>
    </w:p>
    <w:p>
      <w:pPr>
        <w:shd w:val="clear" w:color="auto" w:fill="FFFFFF"/>
        <w:adjustRightInd/>
        <w:snapToGrid/>
        <w:spacing w:after="0" w:line="360" w:lineRule="auto"/>
        <w:ind w:firstLine="4350"/>
        <w:jc w:val="right"/>
        <w:rPr>
          <w:rFonts w:ascii="仿宋" w:hAnsi="仿宋" w:eastAsia="仿宋" w:cs="仿宋"/>
          <w:color w:val="000000"/>
          <w:sz w:val="30"/>
          <w:szCs w:val="30"/>
        </w:rPr>
      </w:pPr>
      <w:r>
        <w:rPr>
          <w:rFonts w:hint="eastAsia" w:ascii="仿宋" w:hAnsi="仿宋" w:eastAsia="仿宋" w:cs="仿宋"/>
          <w:color w:val="000000"/>
          <w:sz w:val="30"/>
          <w:szCs w:val="30"/>
        </w:rPr>
        <w:t>许昌市人民防空办公室</w:t>
      </w:r>
    </w:p>
    <w:p>
      <w:pPr>
        <w:shd w:val="clear" w:color="auto" w:fill="FFFFFF"/>
        <w:adjustRightInd/>
        <w:snapToGrid/>
        <w:spacing w:after="0" w:line="360" w:lineRule="auto"/>
        <w:ind w:firstLine="4350"/>
        <w:jc w:val="right"/>
        <w:rPr>
          <w:rFonts w:ascii="宋体" w:hAnsi="宋体" w:eastAsia="宋体" w:cs="宋体"/>
          <w:color w:val="000000"/>
          <w:sz w:val="24"/>
          <w:szCs w:val="24"/>
        </w:rPr>
      </w:pPr>
      <w:r>
        <w:rPr>
          <w:rFonts w:hint="eastAsia" w:ascii="仿宋" w:hAnsi="仿宋" w:eastAsia="仿宋" w:cs="仿宋"/>
          <w:color w:val="000000"/>
          <w:sz w:val="30"/>
          <w:szCs w:val="30"/>
        </w:rPr>
        <w:t>（加盖单位公章）</w:t>
      </w:r>
    </w:p>
    <w:p>
      <w:pPr>
        <w:shd w:val="clear" w:color="auto" w:fill="FFFFFF"/>
        <w:adjustRightInd/>
        <w:snapToGrid/>
        <w:spacing w:after="0" w:line="360" w:lineRule="auto"/>
        <w:ind w:right="600" w:firstLine="7050" w:firstLineChars="2350"/>
        <w:rPr>
          <w:rFonts w:ascii="宋体" w:hAnsi="宋体" w:eastAsia="宋体" w:cs="宋体"/>
          <w:color w:val="000000"/>
          <w:sz w:val="24"/>
          <w:szCs w:val="24"/>
        </w:rPr>
      </w:pPr>
      <w:r>
        <w:rPr>
          <w:rFonts w:hint="eastAsia" w:ascii="仿宋" w:hAnsi="仿宋" w:eastAsia="仿宋" w:cs="仿宋"/>
          <w:color w:val="000000"/>
          <w:sz w:val="30"/>
          <w:szCs w:val="30"/>
        </w:rPr>
        <w:t>年 月 日</w:t>
      </w:r>
    </w:p>
    <w:p>
      <w:pPr>
        <w:spacing w:line="360" w:lineRule="auto"/>
      </w:pPr>
    </w:p>
    <w:sectPr>
      <w:pgSz w:w="11906" w:h="16838"/>
      <w:pgMar w:top="1304" w:right="1418" w:bottom="1304"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79A1E"/>
    <w:multiLevelType w:val="singleLevel"/>
    <w:tmpl w:val="98279A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3DD"/>
    <w:rsid w:val="000D71AB"/>
    <w:rsid w:val="00122C85"/>
    <w:rsid w:val="001344AF"/>
    <w:rsid w:val="002631B9"/>
    <w:rsid w:val="002F03E9"/>
    <w:rsid w:val="003A30E0"/>
    <w:rsid w:val="003C7E71"/>
    <w:rsid w:val="00551FC7"/>
    <w:rsid w:val="00575E91"/>
    <w:rsid w:val="005A63AB"/>
    <w:rsid w:val="0063022B"/>
    <w:rsid w:val="0063572A"/>
    <w:rsid w:val="006B522A"/>
    <w:rsid w:val="006D793A"/>
    <w:rsid w:val="00755624"/>
    <w:rsid w:val="007A7604"/>
    <w:rsid w:val="007A7D00"/>
    <w:rsid w:val="007E5C2E"/>
    <w:rsid w:val="007F4D78"/>
    <w:rsid w:val="008433DD"/>
    <w:rsid w:val="008B487F"/>
    <w:rsid w:val="008C0EA4"/>
    <w:rsid w:val="008C1660"/>
    <w:rsid w:val="008C27E7"/>
    <w:rsid w:val="008F3493"/>
    <w:rsid w:val="00982DF3"/>
    <w:rsid w:val="00B172A0"/>
    <w:rsid w:val="00B53F2A"/>
    <w:rsid w:val="00D103F1"/>
    <w:rsid w:val="00D443A0"/>
    <w:rsid w:val="00D9099A"/>
    <w:rsid w:val="00E263E7"/>
    <w:rsid w:val="00E4329B"/>
    <w:rsid w:val="00EF1C64"/>
    <w:rsid w:val="00F61193"/>
    <w:rsid w:val="00F755E5"/>
    <w:rsid w:val="00F814BF"/>
    <w:rsid w:val="00FD4527"/>
    <w:rsid w:val="00FE500F"/>
    <w:rsid w:val="01CA1880"/>
    <w:rsid w:val="0277415D"/>
    <w:rsid w:val="0356667B"/>
    <w:rsid w:val="04B51459"/>
    <w:rsid w:val="09FC4119"/>
    <w:rsid w:val="0A0F2154"/>
    <w:rsid w:val="0A5810C1"/>
    <w:rsid w:val="0AF94CD6"/>
    <w:rsid w:val="0BD45DA1"/>
    <w:rsid w:val="0EFE58BD"/>
    <w:rsid w:val="0F654C2F"/>
    <w:rsid w:val="10D32257"/>
    <w:rsid w:val="1135006A"/>
    <w:rsid w:val="14B70F0D"/>
    <w:rsid w:val="14E92DFC"/>
    <w:rsid w:val="154B7D2D"/>
    <w:rsid w:val="1710238E"/>
    <w:rsid w:val="17F02925"/>
    <w:rsid w:val="18983989"/>
    <w:rsid w:val="19177112"/>
    <w:rsid w:val="19B74554"/>
    <w:rsid w:val="1A412F4C"/>
    <w:rsid w:val="1B1334FB"/>
    <w:rsid w:val="1B4E4D49"/>
    <w:rsid w:val="1B565D48"/>
    <w:rsid w:val="1DC422A1"/>
    <w:rsid w:val="1EB26B1D"/>
    <w:rsid w:val="22160910"/>
    <w:rsid w:val="24561805"/>
    <w:rsid w:val="257A65D9"/>
    <w:rsid w:val="25EB2527"/>
    <w:rsid w:val="286B20C6"/>
    <w:rsid w:val="29C678FB"/>
    <w:rsid w:val="2B8E03B9"/>
    <w:rsid w:val="2BDA07B4"/>
    <w:rsid w:val="2C960E41"/>
    <w:rsid w:val="2C965E41"/>
    <w:rsid w:val="2D6642E9"/>
    <w:rsid w:val="2E2F10A2"/>
    <w:rsid w:val="2E3101A2"/>
    <w:rsid w:val="2E4D58A6"/>
    <w:rsid w:val="30B82267"/>
    <w:rsid w:val="32DC16F1"/>
    <w:rsid w:val="350D66A7"/>
    <w:rsid w:val="36202326"/>
    <w:rsid w:val="36ED73FD"/>
    <w:rsid w:val="37BF306C"/>
    <w:rsid w:val="3826161B"/>
    <w:rsid w:val="38435392"/>
    <w:rsid w:val="39244C9A"/>
    <w:rsid w:val="39BD2F20"/>
    <w:rsid w:val="39EE19CA"/>
    <w:rsid w:val="39F9392E"/>
    <w:rsid w:val="3B140199"/>
    <w:rsid w:val="3DF83703"/>
    <w:rsid w:val="3FEA4FB4"/>
    <w:rsid w:val="40DF2ABF"/>
    <w:rsid w:val="428F4531"/>
    <w:rsid w:val="45D54360"/>
    <w:rsid w:val="473F2EFF"/>
    <w:rsid w:val="47440CB0"/>
    <w:rsid w:val="48454B57"/>
    <w:rsid w:val="48CD7F3E"/>
    <w:rsid w:val="4AE11309"/>
    <w:rsid w:val="4CB13B6F"/>
    <w:rsid w:val="4CED075C"/>
    <w:rsid w:val="4ECB5DCB"/>
    <w:rsid w:val="4F07156B"/>
    <w:rsid w:val="4F7E52AF"/>
    <w:rsid w:val="4FCD1646"/>
    <w:rsid w:val="50025040"/>
    <w:rsid w:val="5366759C"/>
    <w:rsid w:val="54A500CF"/>
    <w:rsid w:val="55312D6E"/>
    <w:rsid w:val="59C566D6"/>
    <w:rsid w:val="5A510638"/>
    <w:rsid w:val="5C062D6F"/>
    <w:rsid w:val="5D6A3D5C"/>
    <w:rsid w:val="607360AF"/>
    <w:rsid w:val="635C018E"/>
    <w:rsid w:val="66655CCF"/>
    <w:rsid w:val="67454146"/>
    <w:rsid w:val="6919601C"/>
    <w:rsid w:val="698C2B8E"/>
    <w:rsid w:val="6D3F38AA"/>
    <w:rsid w:val="6DC956C8"/>
    <w:rsid w:val="73F01DCF"/>
    <w:rsid w:val="751B75A5"/>
    <w:rsid w:val="7BC65507"/>
    <w:rsid w:val="7BDE58E2"/>
    <w:rsid w:val="7D624284"/>
    <w:rsid w:val="7E9048A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uiPriority w:val="99"/>
    <w:rPr>
      <w:b/>
      <w:bCs/>
    </w:rPr>
  </w:style>
  <w:style w:type="paragraph" w:styleId="3">
    <w:name w:val="annotation text"/>
    <w:basedOn w:val="1"/>
    <w:link w:val="12"/>
    <w:unhideWhenUsed/>
    <w:uiPriority w:val="99"/>
  </w:style>
  <w:style w:type="paragraph" w:styleId="4">
    <w:name w:val="Balloon Text"/>
    <w:basedOn w:val="1"/>
    <w:link w:val="14"/>
    <w:unhideWhenUsed/>
    <w:qFormat/>
    <w:uiPriority w:val="99"/>
    <w:pPr>
      <w:spacing w:after="0"/>
    </w:pPr>
    <w:rPr>
      <w:sz w:val="18"/>
      <w:szCs w:val="18"/>
    </w:rPr>
  </w:style>
  <w:style w:type="paragraph" w:styleId="5">
    <w:name w:val="footer"/>
    <w:basedOn w:val="1"/>
    <w:link w:val="16"/>
    <w:unhideWhenUsed/>
    <w:qFormat/>
    <w:uiPriority w:val="99"/>
    <w:pPr>
      <w:tabs>
        <w:tab w:val="center" w:pos="4153"/>
        <w:tab w:val="right" w:pos="8306"/>
      </w:tabs>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after="0"/>
    </w:pPr>
    <w:rPr>
      <w:rFonts w:ascii="宋体" w:hAnsi="宋体" w:eastAsia="宋体" w:cs="宋体"/>
      <w:sz w:val="24"/>
      <w:szCs w:val="24"/>
    </w:rPr>
  </w:style>
  <w:style w:type="character" w:styleId="9">
    <w:name w:val="annotation reference"/>
    <w:basedOn w:val="8"/>
    <w:unhideWhenUsed/>
    <w:qFormat/>
    <w:uiPriority w:val="99"/>
    <w:rPr>
      <w:sz w:val="21"/>
      <w:szCs w:val="21"/>
    </w:rPr>
  </w:style>
  <w:style w:type="paragraph" w:customStyle="1" w:styleId="11">
    <w:name w:val="列出段落1"/>
    <w:basedOn w:val="1"/>
    <w:qFormat/>
    <w:uiPriority w:val="34"/>
    <w:pPr>
      <w:ind w:firstLine="420" w:firstLineChars="200"/>
    </w:pPr>
  </w:style>
  <w:style w:type="character" w:customStyle="1" w:styleId="12">
    <w:name w:val="批注文字 Char"/>
    <w:basedOn w:val="8"/>
    <w:link w:val="3"/>
    <w:semiHidden/>
    <w:qFormat/>
    <w:uiPriority w:val="99"/>
    <w:rPr>
      <w:rFonts w:ascii="Tahoma" w:hAnsi="Tahoma"/>
    </w:rPr>
  </w:style>
  <w:style w:type="character" w:customStyle="1" w:styleId="13">
    <w:name w:val="批注主题 Char"/>
    <w:basedOn w:val="12"/>
    <w:link w:val="2"/>
    <w:semiHidden/>
    <w:qFormat/>
    <w:uiPriority w:val="99"/>
    <w:rPr>
      <w:b/>
      <w:bCs/>
    </w:rPr>
  </w:style>
  <w:style w:type="character" w:customStyle="1" w:styleId="14">
    <w:name w:val="批注框文本 Char"/>
    <w:basedOn w:val="8"/>
    <w:link w:val="4"/>
    <w:semiHidden/>
    <w:qFormat/>
    <w:uiPriority w:val="99"/>
    <w:rPr>
      <w:rFonts w:ascii="Tahoma" w:hAnsi="Tahoma"/>
      <w:sz w:val="18"/>
      <w:szCs w:val="18"/>
    </w:rPr>
  </w:style>
  <w:style w:type="character" w:customStyle="1" w:styleId="15">
    <w:name w:val="页眉 Char"/>
    <w:basedOn w:val="8"/>
    <w:link w:val="6"/>
    <w:semiHidden/>
    <w:qFormat/>
    <w:uiPriority w:val="99"/>
    <w:rPr>
      <w:rFonts w:ascii="Tahoma" w:hAnsi="Tahoma"/>
      <w:sz w:val="18"/>
      <w:szCs w:val="18"/>
    </w:rPr>
  </w:style>
  <w:style w:type="character" w:customStyle="1" w:styleId="16">
    <w:name w:val="页脚 Char"/>
    <w:basedOn w:val="8"/>
    <w:link w:val="5"/>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669</Words>
  <Characters>3816</Characters>
  <Lines>31</Lines>
  <Paragraphs>8</Paragraphs>
  <ScaleCrop>false</ScaleCrop>
  <LinksUpToDate>false</LinksUpToDate>
  <CharactersWithSpaces>4477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许昌市公共资源交易中心:杨丹丹</cp:lastModifiedBy>
  <dcterms:modified xsi:type="dcterms:W3CDTF">2018-03-14T06:04:24Z</dcterms:modified>
  <dc:title>政府采购项目采购需求提交说明</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