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left"/>
      </w:pPr>
      <w:bookmarkStart w:id="0" w:name="_GoBack"/>
      <w:bookmarkEnd w:id="0"/>
    </w:p>
    <w:p>
      <w:pPr>
        <w:widowControl/>
        <w:shd w:val="clear" w:color="auto" w:fill="FFFFFF"/>
        <w:spacing w:line="360" w:lineRule="atLeast"/>
        <w:ind w:firstLine="960"/>
      </w:pPr>
      <w:r>
        <w:rPr>
          <w:rFonts w:hint="eastAsia" w:ascii="仿宋_GB2312" w:hAnsi="微软雅黑" w:eastAsia="仿宋_GB2312" w:cs="仿宋_GB2312"/>
          <w:b/>
          <w:color w:val="000000"/>
          <w:kern w:val="0"/>
          <w:sz w:val="32"/>
          <w:szCs w:val="32"/>
          <w:u w:val="single"/>
          <w:shd w:val="clear" w:color="auto" w:fill="FFFFFF"/>
        </w:rPr>
        <w:t xml:space="preserve">  庭审网络直播设备  </w:t>
      </w:r>
      <w:r>
        <w:rPr>
          <w:rFonts w:ascii="仿宋_GB2312" w:hAnsi="微软雅黑" w:eastAsia="仿宋_GB2312" w:cs="仿宋_GB2312"/>
          <w:b/>
          <w:color w:val="000000"/>
          <w:kern w:val="0"/>
          <w:sz w:val="32"/>
          <w:szCs w:val="32"/>
          <w:shd w:val="clear" w:color="auto" w:fill="FFFFFF"/>
        </w:rPr>
        <w:t>采购需求、评标标准等说明</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 </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pPr>
      <w:r>
        <w:rPr>
          <w:rFonts w:hint="eastAsia" w:ascii="微软雅黑" w:hAnsi="微软雅黑" w:eastAsia="微软雅黑" w:cs="微软雅黑"/>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 （一）项目名称：庭审网络直播设备</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（二）采购方式：公开招标       </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（三）主要内容、一批</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（四）预算金额：66万元 ；最高限价：66万元</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（五）交付时间：中标后30日内</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（六）交付地点：许昌市中级人民法院</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（七）进口产品：允许□不允许</w:t>
      </w:r>
      <w:r>
        <w:rPr>
          <w:rFonts w:ascii="Arial" w:hAnsi="Arial" w:eastAsia="仿宋" w:cs="Arial"/>
          <w:color w:val="000000"/>
          <w:kern w:val="0"/>
          <w:sz w:val="30"/>
          <w:szCs w:val="30"/>
          <w:shd w:val="clear" w:color="auto" w:fill="FFFFFF"/>
        </w:rPr>
        <w:fldChar w:fldCharType="begin"/>
      </w:r>
      <w:r>
        <w:rPr>
          <w:rFonts w:ascii="Arial" w:hAnsi="Arial" w:eastAsia="仿宋" w:cs="Arial"/>
          <w:color w:val="000000"/>
          <w:kern w:val="0"/>
          <w:sz w:val="30"/>
          <w:szCs w:val="30"/>
          <w:shd w:val="clear" w:color="auto" w:fill="FFFFFF"/>
        </w:rPr>
        <w:instrText xml:space="preserve"> EQ \o\ac(</w:instrText>
      </w:r>
      <w:r>
        <w:rPr>
          <w:rFonts w:hint="eastAsia"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position w:val="3"/>
          <w:sz w:val="2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fldChar w:fldCharType="end"/>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（八）分包：允许□不允许</w:t>
      </w:r>
      <w:r>
        <w:rPr>
          <w:rFonts w:ascii="Arial" w:hAnsi="Arial" w:eastAsia="仿宋" w:cs="Arial"/>
          <w:color w:val="000000"/>
          <w:kern w:val="0"/>
          <w:sz w:val="30"/>
          <w:szCs w:val="30"/>
          <w:shd w:val="clear" w:color="auto" w:fill="FFFFFF"/>
        </w:rPr>
        <w:fldChar w:fldCharType="begin"/>
      </w:r>
      <w:r>
        <w:rPr>
          <w:rFonts w:ascii="Arial" w:hAnsi="Arial" w:eastAsia="仿宋" w:cs="Arial"/>
          <w:color w:val="000000"/>
          <w:kern w:val="0"/>
          <w:sz w:val="30"/>
          <w:szCs w:val="30"/>
          <w:shd w:val="clear" w:color="auto" w:fill="FFFFFF"/>
        </w:rPr>
        <w:instrText xml:space="preserve"> EQ \o\ac(</w:instrText>
      </w:r>
      <w:r>
        <w:rPr>
          <w:rFonts w:hint="eastAsia"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position w:val="3"/>
          <w:sz w:val="2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fldChar w:fldCharType="end"/>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本项目落实节能环保</w:t>
      </w:r>
      <w:r>
        <w:rPr>
          <w:rFonts w:ascii="楷体" w:hAnsi="楷体" w:eastAsia="楷体" w:cs="宋体"/>
          <w:color w:val="000000"/>
          <w:kern w:val="0"/>
          <w:sz w:val="28"/>
          <w:szCs w:val="28"/>
          <w:shd w:val="clear" w:color="auto" w:fill="FFFFFF"/>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shd w:val="clear" w:color="auto" w:fill="FFFFFF"/>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shd w:val="clear" w:color="auto" w:fill="FFFFFF"/>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shd w:val="clear" w:color="auto" w:fill="FFFFFF"/>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（二）本次招标接受□不接受</w:t>
      </w:r>
      <w:r>
        <w:rPr>
          <w:rFonts w:ascii="Arial" w:hAnsi="Arial" w:eastAsia="仿宋" w:cs="Arial"/>
          <w:color w:val="000000"/>
          <w:kern w:val="0"/>
          <w:sz w:val="30"/>
          <w:szCs w:val="30"/>
          <w:shd w:val="clear" w:color="auto" w:fill="FFFFFF"/>
        </w:rPr>
        <w:fldChar w:fldCharType="begin"/>
      </w:r>
      <w:r>
        <w:rPr>
          <w:rFonts w:ascii="Arial" w:hAnsi="Arial" w:eastAsia="仿宋" w:cs="Arial"/>
          <w:color w:val="000000"/>
          <w:kern w:val="0"/>
          <w:sz w:val="30"/>
          <w:szCs w:val="30"/>
          <w:shd w:val="clear" w:color="auto" w:fill="FFFFFF"/>
        </w:rPr>
        <w:instrText xml:space="preserve"> EQ \o\ac(</w:instrText>
      </w:r>
      <w:r>
        <w:rPr>
          <w:rFonts w:hint="eastAsia"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position w:val="3"/>
          <w:sz w:val="20"/>
          <w:szCs w:val="30"/>
          <w:shd w:val="clear" w:color="auto" w:fill="FFFFFF"/>
        </w:rPr>
        <w:instrText xml:space="preserve">√</w:instrText>
      </w:r>
      <w:r>
        <w:rPr>
          <w:rFonts w:ascii="Arial" w:hAnsi="Arial" w:eastAsia="仿宋" w:cs="Arial"/>
          <w:color w:val="000000"/>
          <w:kern w:val="0"/>
          <w:sz w:val="30"/>
          <w:szCs w:val="30"/>
          <w:shd w:val="clear" w:color="auto" w:fill="FFFFFF"/>
        </w:rPr>
        <w:instrText xml:space="preserve">)</w:instrText>
      </w:r>
      <w:r>
        <w:rPr>
          <w:rFonts w:ascii="Arial" w:hAnsi="Arial" w:eastAsia="仿宋" w:cs="Arial"/>
          <w:color w:val="000000"/>
          <w:kern w:val="0"/>
          <w:sz w:val="30"/>
          <w:szCs w:val="30"/>
          <w:shd w:val="clear" w:color="auto" w:fill="FFFFFF"/>
        </w:rPr>
        <w:fldChar w:fldCharType="end"/>
      </w:r>
      <w:r>
        <w:rPr>
          <w:rFonts w:hint="eastAsia" w:ascii="仿宋" w:hAnsi="仿宋" w:eastAsia="仿宋" w:cs="仿宋"/>
          <w:color w:val="000000"/>
          <w:kern w:val="0"/>
          <w:sz w:val="30"/>
          <w:szCs w:val="30"/>
          <w:shd w:val="clear" w:color="auto" w:fill="FFFFFF"/>
        </w:rPr>
        <w:t>联合体投标。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（三）根据采购项目特殊要求，规定投标人的特定条件</w:t>
      </w:r>
    </w:p>
    <w:p>
      <w:pPr>
        <w:widowControl/>
        <w:shd w:val="clear" w:color="auto" w:fill="FFFFFF"/>
        <w:spacing w:line="360" w:lineRule="atLeast"/>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无</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支持互联网庭审直播及上传同步完成</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（二）采购清单</w:t>
      </w:r>
    </w:p>
    <w:tbl>
      <w:tblPr>
        <w:tblStyle w:val="12"/>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3832"/>
        <w:gridCol w:w="1095"/>
        <w:gridCol w:w="1095"/>
        <w:gridCol w:w="16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pPr>
            <w:r>
              <w:rPr>
                <w:rFonts w:hint="eastAsia" w:ascii="仿宋" w:hAnsi="仿宋" w:eastAsia="仿宋" w:cs="仿宋"/>
                <w:b/>
                <w:color w:val="000000"/>
                <w:kern w:val="0"/>
                <w:sz w:val="24"/>
                <w:szCs w:val="24"/>
              </w:rPr>
              <w:t>序号</w:t>
            </w:r>
          </w:p>
        </w:tc>
        <w:tc>
          <w:tcPr>
            <w:tcW w:w="89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pPr>
            <w:r>
              <w:rPr>
                <w:rFonts w:hint="eastAsia" w:ascii="仿宋" w:hAnsi="仿宋" w:eastAsia="仿宋" w:cs="仿宋"/>
                <w:b/>
                <w:color w:val="000000"/>
                <w:kern w:val="0"/>
                <w:sz w:val="24"/>
                <w:szCs w:val="24"/>
              </w:rPr>
              <w:t>货物名称</w:t>
            </w:r>
          </w:p>
        </w:tc>
        <w:tc>
          <w:tcPr>
            <w:tcW w:w="383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pPr>
            <w:r>
              <w:rPr>
                <w:rFonts w:hint="eastAsia" w:ascii="仿宋" w:hAnsi="仿宋" w:eastAsia="仿宋" w:cs="仿宋"/>
                <w:b/>
                <w:color w:val="000000"/>
                <w:kern w:val="0"/>
                <w:sz w:val="24"/>
                <w:szCs w:val="24"/>
              </w:rPr>
              <w:t>技术规格及主要参数</w:t>
            </w:r>
          </w:p>
        </w:tc>
        <w:tc>
          <w:tcPr>
            <w:tcW w:w="10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pPr>
            <w:r>
              <w:rPr>
                <w:rFonts w:hint="eastAsia" w:ascii="仿宋" w:hAnsi="仿宋" w:eastAsia="仿宋" w:cs="仿宋"/>
                <w:b/>
                <w:color w:val="000000"/>
                <w:kern w:val="0"/>
                <w:sz w:val="24"/>
                <w:szCs w:val="24"/>
              </w:rPr>
              <w:t>单位</w:t>
            </w:r>
          </w:p>
        </w:tc>
        <w:tc>
          <w:tcPr>
            <w:tcW w:w="10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pPr>
            <w:r>
              <w:rPr>
                <w:rFonts w:hint="eastAsia" w:ascii="仿宋" w:hAnsi="仿宋" w:eastAsia="仿宋" w:cs="仿宋"/>
                <w:b/>
                <w:color w:val="000000"/>
                <w:kern w:val="0"/>
                <w:sz w:val="24"/>
                <w:szCs w:val="24"/>
              </w:rPr>
              <w:t>数量</w:t>
            </w:r>
          </w:p>
        </w:tc>
        <w:tc>
          <w:tcPr>
            <w:tcW w:w="1685"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pPr>
            <w:r>
              <w:rPr>
                <w:rFonts w:hint="eastAsia" w:ascii="仿宋" w:hAns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widowControl/>
              <w:jc w:val="center"/>
            </w:pPr>
            <w:r>
              <w:rPr>
                <w:rFonts w:hint="eastAsia" w:ascii="仿宋" w:hAnsi="仿宋" w:eastAsia="仿宋" w:cs="仿宋"/>
                <w:color w:val="000000"/>
                <w:kern w:val="0"/>
                <w:sz w:val="24"/>
                <w:szCs w:val="24"/>
              </w:rPr>
              <w:t>1</w:t>
            </w:r>
          </w:p>
        </w:tc>
        <w:tc>
          <w:tcPr>
            <w:tcW w:w="891" w:type="dxa"/>
            <w:tcBorders>
              <w:top w:val="nil"/>
              <w:left w:val="nil"/>
              <w:bottom w:val="single" w:color="auto" w:sz="8" w:space="0"/>
              <w:right w:val="single" w:color="auto" w:sz="8" w:space="0"/>
            </w:tcBorders>
            <w:shd w:val="clear" w:color="auto" w:fill="FFFFFF"/>
            <w:tcMar>
              <w:left w:w="105" w:type="dxa"/>
              <w:right w:w="105" w:type="dxa"/>
            </w:tcMar>
            <w:vAlign w:val="center"/>
          </w:tcPr>
          <w:p>
            <w:pPr>
              <w:widowControl/>
              <w:jc w:val="center"/>
            </w:pPr>
            <w:r>
              <w:rPr>
                <w:rFonts w:hint="eastAsia" w:cs="宋体" w:asciiTheme="minorEastAsia" w:hAnsiTheme="minorEastAsia"/>
                <w:color w:val="000000"/>
                <w:sz w:val="24"/>
                <w:szCs w:val="24"/>
              </w:rPr>
              <w:t>直播主控机</w:t>
            </w:r>
          </w:p>
        </w:tc>
        <w:tc>
          <w:tcPr>
            <w:tcW w:w="3832"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6"/>
              <w:rPr>
                <w:rFonts w:asciiTheme="minorEastAsia" w:hAnsiTheme="minorEastAsia"/>
                <w:color w:val="000000"/>
              </w:rPr>
            </w:pPr>
            <w:r>
              <w:rPr>
                <w:rFonts w:hint="eastAsia" w:asciiTheme="minorEastAsia" w:hAnsiTheme="minorEastAsia"/>
                <w:color w:val="000000"/>
              </w:rPr>
              <w:t>CPU：E3；</w:t>
            </w:r>
          </w:p>
          <w:p>
            <w:pPr>
              <w:pStyle w:val="6"/>
              <w:rPr>
                <w:rFonts w:asciiTheme="minorEastAsia" w:hAnsiTheme="minorEastAsia"/>
                <w:color w:val="000000"/>
              </w:rPr>
            </w:pPr>
            <w:r>
              <w:rPr>
                <w:rFonts w:hint="eastAsia" w:asciiTheme="minorEastAsia" w:hAnsiTheme="minorEastAsia"/>
                <w:color w:val="000000"/>
              </w:rPr>
              <w:t>内存：4G；</w:t>
            </w:r>
          </w:p>
          <w:p>
            <w:pPr>
              <w:pStyle w:val="6"/>
              <w:rPr>
                <w:rFonts w:asciiTheme="minorEastAsia" w:hAnsiTheme="minorEastAsia"/>
                <w:color w:val="000000"/>
              </w:rPr>
            </w:pPr>
            <w:r>
              <w:rPr>
                <w:rFonts w:hint="eastAsia" w:asciiTheme="minorEastAsia" w:hAnsiTheme="minorEastAsia"/>
                <w:color w:val="000000"/>
              </w:rPr>
              <w:t>硬盘：1T*2；</w:t>
            </w:r>
          </w:p>
          <w:p>
            <w:pPr>
              <w:pStyle w:val="6"/>
              <w:rPr>
                <w:rFonts w:asciiTheme="minorEastAsia" w:hAnsiTheme="minorEastAsia"/>
                <w:color w:val="000000"/>
              </w:rPr>
            </w:pPr>
            <w:r>
              <w:rPr>
                <w:rFonts w:hint="eastAsia" w:asciiTheme="minorEastAsia" w:hAnsiTheme="minorEastAsia"/>
                <w:color w:val="000000"/>
              </w:rPr>
              <w:t>网卡：10M/100M/1000M自适应；</w:t>
            </w:r>
          </w:p>
          <w:p>
            <w:pPr>
              <w:pStyle w:val="6"/>
              <w:rPr>
                <w:rFonts w:asciiTheme="minorEastAsia" w:hAnsiTheme="minorEastAsia"/>
                <w:color w:val="000000"/>
              </w:rPr>
            </w:pPr>
            <w:r>
              <w:rPr>
                <w:rFonts w:hint="eastAsia" w:asciiTheme="minorEastAsia" w:hAnsiTheme="minorEastAsia"/>
                <w:color w:val="000000"/>
              </w:rPr>
              <w:t>串口：支持；</w:t>
            </w:r>
          </w:p>
          <w:p>
            <w:pPr>
              <w:pStyle w:val="6"/>
              <w:rPr>
                <w:rFonts w:asciiTheme="minorEastAsia" w:hAnsiTheme="minorEastAsia"/>
                <w:color w:val="000000"/>
              </w:rPr>
            </w:pPr>
            <w:r>
              <w:rPr>
                <w:rFonts w:hint="eastAsia" w:asciiTheme="minorEastAsia" w:hAnsiTheme="minorEastAsia"/>
                <w:color w:val="000000"/>
              </w:rPr>
              <w:t>控制方式：内网；</w:t>
            </w:r>
          </w:p>
          <w:p>
            <w:pPr>
              <w:pStyle w:val="6"/>
              <w:rPr>
                <w:rFonts w:asciiTheme="minorEastAsia" w:hAnsiTheme="minorEastAsia"/>
                <w:color w:val="000000"/>
              </w:rPr>
            </w:pPr>
            <w:r>
              <w:rPr>
                <w:rFonts w:hint="eastAsia" w:asciiTheme="minorEastAsia" w:hAnsiTheme="minorEastAsia"/>
                <w:color w:val="000000"/>
              </w:rPr>
              <w:t>远程控制：支持；</w:t>
            </w:r>
          </w:p>
          <w:p>
            <w:pPr>
              <w:pStyle w:val="6"/>
              <w:rPr>
                <w:rFonts w:asciiTheme="minorEastAsia" w:hAnsiTheme="minorEastAsia"/>
                <w:color w:val="000000"/>
              </w:rPr>
            </w:pPr>
            <w:r>
              <w:rPr>
                <w:rFonts w:hint="eastAsia" w:asciiTheme="minorEastAsia" w:hAnsiTheme="minorEastAsia"/>
                <w:color w:val="000000"/>
              </w:rPr>
              <w:t>软件：内置直播控制软件，性能：能支持200个流的控制，200个客户端连接；</w:t>
            </w:r>
          </w:p>
          <w:p>
            <w:pPr>
              <w:pStyle w:val="6"/>
              <w:rPr>
                <w:szCs w:val="21"/>
              </w:rPr>
            </w:pPr>
            <w:r>
              <w:rPr>
                <w:rFonts w:hint="eastAsia"/>
                <w:szCs w:val="21"/>
              </w:rPr>
              <w:t>庭审直播官网服务：提供展现庭审直播视频的互联网站页面；</w:t>
            </w:r>
          </w:p>
          <w:p>
            <w:pPr>
              <w:pStyle w:val="6"/>
              <w:rPr>
                <w:szCs w:val="21"/>
              </w:rPr>
            </w:pPr>
            <w:r>
              <w:rPr>
                <w:rFonts w:hint="eastAsia"/>
                <w:szCs w:val="21"/>
              </w:rPr>
              <w:t>庭审直播视频分发存储：通过云计算平台提供庭审直播视频网络分发及录像存储；</w:t>
            </w:r>
          </w:p>
          <w:p>
            <w:pPr>
              <w:pStyle w:val="6"/>
              <w:rPr>
                <w:szCs w:val="21"/>
              </w:rPr>
            </w:pPr>
            <w:r>
              <w:rPr>
                <w:rFonts w:hint="eastAsia"/>
                <w:szCs w:val="21"/>
              </w:rPr>
              <w:t>微博司法公开页签接入：将许昌市中级人民法院官方微博页面接入微博（weibo.com）平台中的“司法公开”页签，展示典型案例、庭审直播、裁判文书、失信被执行人名单等司法公开信息；</w:t>
            </w:r>
          </w:p>
          <w:p>
            <w:pPr>
              <w:pStyle w:val="6"/>
              <w:rPr>
                <w:szCs w:val="21"/>
              </w:rPr>
            </w:pPr>
            <w:r>
              <w:rPr>
                <w:rFonts w:hint="eastAsia"/>
                <w:szCs w:val="21"/>
              </w:rPr>
              <w:t>媒体宣传报道：可实现通过新浪网法院频道对许昌市中级人民法院重要案件的审理及司法公开信息进行宣传报道；</w:t>
            </w:r>
          </w:p>
          <w:p>
            <w:pPr>
              <w:pStyle w:val="6"/>
              <w:rPr>
                <w:szCs w:val="21"/>
              </w:rPr>
            </w:pPr>
            <w:r>
              <w:rPr>
                <w:rFonts w:hint="eastAsia"/>
                <w:szCs w:val="21"/>
              </w:rPr>
              <w:t>提供免费接入中国庭审公开网服务。</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widowControl/>
              <w:jc w:val="center"/>
            </w:pPr>
            <w:r>
              <w:rPr>
                <w:rFonts w:hint="eastAsia" w:ascii="仿宋" w:hAnsi="仿宋" w:eastAsia="仿宋" w:cs="仿宋"/>
                <w:color w:val="000000"/>
                <w:kern w:val="0"/>
                <w:sz w:val="24"/>
                <w:szCs w:val="24"/>
              </w:rPr>
              <w:t>套</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widowControl/>
              <w:jc w:val="center"/>
            </w:pPr>
            <w:r>
              <w:rPr>
                <w:rFonts w:hint="eastAsia" w:ascii="仿宋" w:hAnsi="仿宋" w:eastAsia="仿宋" w:cs="仿宋"/>
                <w:color w:val="000000"/>
                <w:kern w:val="0"/>
                <w:sz w:val="24"/>
                <w:szCs w:val="24"/>
              </w:rPr>
              <w:t> 8</w:t>
            </w:r>
          </w:p>
        </w:tc>
        <w:tc>
          <w:tcPr>
            <w:tcW w:w="1685" w:type="dxa"/>
            <w:tcBorders>
              <w:top w:val="nil"/>
              <w:left w:val="nil"/>
              <w:bottom w:val="single" w:color="auto" w:sz="8" w:space="0"/>
              <w:right w:val="single" w:color="auto" w:sz="8" w:space="0"/>
            </w:tcBorders>
            <w:shd w:val="clear" w:color="auto" w:fill="FFFFFF"/>
            <w:vAlign w:val="center"/>
          </w:tcPr>
          <w:p>
            <w:pPr>
              <w:widowControl/>
              <w:jc w:val="center"/>
            </w:pPr>
            <w:r>
              <w:rPr>
                <w:rFonts w:hint="eastAsia" w:ascii="仿宋" w:hAnsi="仿宋" w:eastAsia="仿宋" w:cs="仿宋"/>
                <w:color w:val="000000"/>
                <w:kern w:val="0"/>
                <w:sz w:val="24"/>
                <w:szCs w:val="24"/>
              </w:rPr>
              <w:t>是</w:t>
            </w:r>
          </w:p>
        </w:tc>
      </w:tr>
    </w:tbl>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（三）采购标的执行标准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无</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（四）服务标准、期限、效率等要求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产品服务至少5年。</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（五）验收标准</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1"/>
        </w:numPr>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采购标的的其他技术、服务等要求</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无</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shd w:val="clear" w:color="auto" w:fill="FFFFFF"/>
          <w:lang w:val="zh-CN"/>
        </w:rPr>
        <w:t>√</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（二）综合评分法评标标准：</w:t>
      </w:r>
    </w:p>
    <w:tbl>
      <w:tblPr>
        <w:tblStyle w:val="12"/>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5025"/>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rPr>
              <w:t>分值构成</w:t>
            </w:r>
          </w:p>
          <w:p>
            <w:pPr>
              <w:widowControl/>
              <w:spacing w:line="330" w:lineRule="atLeast"/>
              <w:jc w:val="center"/>
            </w:pPr>
            <w:r>
              <w:rPr>
                <w:rFonts w:hint="eastAsia" w:ascii="仿宋" w:hAnsi="仿宋" w:eastAsia="仿宋" w:cs="仿宋"/>
                <w:color w:val="000000"/>
                <w:kern w:val="0"/>
                <w:sz w:val="24"/>
                <w:szCs w:val="24"/>
              </w:rPr>
              <w:t>(总分100分)</w:t>
            </w:r>
          </w:p>
        </w:tc>
        <w:tc>
          <w:tcPr>
            <w:tcW w:w="731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pPr>
            <w:r>
              <w:rPr>
                <w:rFonts w:hint="eastAsia" w:ascii="仿宋" w:hAnsi="仿宋" w:eastAsia="仿宋" w:cs="仿宋"/>
                <w:color w:val="000000"/>
                <w:kern w:val="0"/>
                <w:sz w:val="24"/>
                <w:szCs w:val="24"/>
              </w:rPr>
              <w:t>价格分值：</w:t>
            </w:r>
            <w:r>
              <w:rPr>
                <w:rFonts w:hint="eastAsia" w:ascii="仿宋" w:hAnsi="仿宋" w:eastAsia="仿宋" w:cs="仿宋"/>
                <w:color w:val="000000"/>
                <w:kern w:val="0"/>
                <w:sz w:val="24"/>
                <w:szCs w:val="24"/>
                <w:u w:val="single"/>
              </w:rPr>
              <w:t xml:space="preserve">   50   </w:t>
            </w:r>
            <w:r>
              <w:rPr>
                <w:rFonts w:hint="eastAsia" w:ascii="仿宋" w:hAnsi="仿宋" w:eastAsia="仿宋" w:cs="仿宋"/>
                <w:color w:val="000000"/>
                <w:kern w:val="0"/>
                <w:sz w:val="24"/>
                <w:szCs w:val="24"/>
              </w:rPr>
              <w:t>分</w:t>
            </w:r>
          </w:p>
          <w:p>
            <w:pPr>
              <w:widowControl/>
              <w:spacing w:line="360" w:lineRule="atLeast"/>
              <w:jc w:val="cente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u w:val="single"/>
              </w:rPr>
              <w:t>    25   </w:t>
            </w:r>
            <w:r>
              <w:rPr>
                <w:rFonts w:hint="eastAsia" w:ascii="仿宋" w:hAnsi="仿宋" w:eastAsia="仿宋" w:cs="仿宋"/>
                <w:color w:val="000000"/>
                <w:kern w:val="0"/>
                <w:sz w:val="24"/>
                <w:szCs w:val="24"/>
              </w:rPr>
              <w:t>分</w:t>
            </w:r>
          </w:p>
          <w:p>
            <w:pPr>
              <w:widowControl/>
              <w:spacing w:line="360" w:lineRule="atLeast"/>
              <w:jc w:val="center"/>
            </w:pPr>
            <w:r>
              <w:rPr>
                <w:rFonts w:hint="eastAsia" w:ascii="仿宋" w:hAnsi="仿宋" w:eastAsia="仿宋" w:cs="仿宋"/>
                <w:color w:val="000000"/>
                <w:kern w:val="0"/>
                <w:sz w:val="24"/>
                <w:szCs w:val="24"/>
              </w:rPr>
              <w:t>技术部分：</w:t>
            </w:r>
            <w:r>
              <w:rPr>
                <w:rFonts w:hint="eastAsia" w:ascii="宋体" w:hAnsi="宋体" w:eastAsia="宋体" w:cs="宋体"/>
                <w:color w:val="000000"/>
                <w:kern w:val="0"/>
                <w:sz w:val="24"/>
                <w:szCs w:val="24"/>
                <w:u w:val="single"/>
              </w:rPr>
              <w:t>  25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一、价格部分（满分50分）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rPr>
              <w:t>投标报价</w:t>
            </w:r>
          </w:p>
          <w:p>
            <w:pPr>
              <w:widowControl/>
              <w:spacing w:line="330" w:lineRule="atLeast"/>
              <w:jc w:val="center"/>
            </w:pPr>
            <w:r>
              <w:rPr>
                <w:rFonts w:hint="eastAsia" w:ascii="仿宋" w:hAnsi="仿宋" w:eastAsia="仿宋" w:cs="仿宋"/>
                <w:color w:val="000000"/>
                <w:kern w:val="0"/>
                <w:sz w:val="24"/>
                <w:szCs w:val="24"/>
              </w:rPr>
              <w:t>评分标准</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pPr>
            <w:r>
              <w:rPr>
                <w:rFonts w:hint="eastAsia" w:ascii="仿宋" w:hAnsi="仿宋" w:eastAsia="仿宋" w:cs="仿宋"/>
                <w:color w:val="000000"/>
                <w:kern w:val="0"/>
                <w:sz w:val="24"/>
                <w:szCs w:val="24"/>
              </w:rPr>
              <w:t>投标报价得分=（评标基准价/投标报价）×50</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u w:val="single"/>
              </w:rPr>
              <w:t>50</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二、商务部分（满分30分）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pPr>
            <w:r>
              <w:rPr>
                <w:rFonts w:hint="eastAsia" w:ascii="仿宋" w:hAnsi="仿宋" w:eastAsia="仿宋" w:cs="仿宋"/>
                <w:color w:val="000000"/>
                <w:kern w:val="0"/>
                <w:sz w:val="24"/>
                <w:szCs w:val="24"/>
              </w:rPr>
              <w:t>信誉</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szCs w:val="24"/>
              </w:rPr>
              <w:t>投标人须提供工商企业信用信息公示报告【国家企业信用信息公示系统http//www.gsxt.gov.cn包括基础信息、行政许可信息、</w:t>
            </w:r>
            <w:r>
              <w:rPr>
                <w:rFonts w:hint="eastAsia" w:ascii="仿宋" w:hAnsi="仿宋" w:eastAsia="仿宋" w:cs="仿宋"/>
                <w:color w:val="auto"/>
                <w:kern w:val="0"/>
                <w:sz w:val="24"/>
                <w:szCs w:val="24"/>
              </w:rPr>
              <w:t>行政处罚信息、列入经营异常名录信息、列入严重违法失信企业名单（黑名单）信息】、企业所在地税务主管部门出具的纳税情况证明等信用情况（加盖企</w:t>
            </w:r>
            <w:r>
              <w:rPr>
                <w:rFonts w:hint="eastAsia" w:ascii="仿宋" w:hAnsi="仿宋" w:eastAsia="仿宋" w:cs="仿宋"/>
                <w:color w:val="000000"/>
                <w:kern w:val="0"/>
                <w:sz w:val="24"/>
                <w:szCs w:val="24"/>
              </w:rPr>
              <w:t>业所在地税务主管部门公章），无不良信息者每项1分，未提供或有不良信息者不得分，满分2分。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pPr>
            <w:r>
              <w:rPr>
                <w:rFonts w:hint="eastAsia" w:ascii="仿宋" w:hAnsi="仿宋" w:eastAsia="仿宋" w:cstheme="minorEastAsia"/>
                <w:sz w:val="24"/>
                <w:szCs w:val="24"/>
              </w:rPr>
              <w:t>投标文件的规范程度</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color w:val="000000"/>
                <w:kern w:val="0"/>
                <w:sz w:val="24"/>
                <w:szCs w:val="24"/>
              </w:rPr>
            </w:pPr>
            <w:r>
              <w:rPr>
                <w:rFonts w:hint="eastAsia" w:ascii="仿宋" w:hAnsi="仿宋" w:eastAsia="仿宋" w:cstheme="minorEastAsia"/>
                <w:sz w:val="24"/>
                <w:szCs w:val="24"/>
              </w:rPr>
              <w:t>投标文件格式和内容严格按照招标文件要求编制；</w:t>
            </w:r>
            <w:r>
              <w:rPr>
                <w:rFonts w:hint="eastAsia" w:ascii="仿宋" w:hAnsi="仿宋" w:eastAsia="仿宋" w:cstheme="minorEastAsia"/>
                <w:spacing w:val="-6"/>
                <w:sz w:val="24"/>
                <w:szCs w:val="24"/>
              </w:rPr>
              <w:t>文字</w:t>
            </w:r>
            <w:r>
              <w:rPr>
                <w:rFonts w:hint="eastAsia" w:ascii="仿宋" w:hAnsi="仿宋" w:eastAsia="仿宋" w:cstheme="minorEastAsia"/>
                <w:spacing w:val="-6"/>
                <w:sz w:val="24"/>
                <w:szCs w:val="24"/>
                <w:lang w:val="en-US" w:eastAsia="zh-CN"/>
              </w:rPr>
              <w:t>及复印附件</w:t>
            </w:r>
            <w:r>
              <w:rPr>
                <w:rFonts w:hint="eastAsia" w:ascii="仿宋" w:hAnsi="仿宋" w:eastAsia="仿宋" w:cstheme="minorEastAsia"/>
                <w:spacing w:val="-6"/>
                <w:sz w:val="24"/>
                <w:szCs w:val="24"/>
              </w:rPr>
              <w:t>清晰、内容完整、装订整齐</w:t>
            </w:r>
            <w:r>
              <w:rPr>
                <w:rFonts w:hint="eastAsia" w:ascii="仿宋" w:hAnsi="仿宋" w:eastAsia="仿宋" w:cstheme="minorEastAsia"/>
                <w:spacing w:val="-6"/>
                <w:sz w:val="24"/>
                <w:szCs w:val="24"/>
                <w:lang w:eastAsia="zh-CN"/>
              </w:rPr>
              <w:t>、</w:t>
            </w:r>
            <w:r>
              <w:rPr>
                <w:rFonts w:hint="eastAsia" w:ascii="仿宋" w:hAnsi="仿宋" w:eastAsia="仿宋" w:cstheme="minorEastAsia"/>
                <w:spacing w:val="-6"/>
                <w:sz w:val="24"/>
                <w:szCs w:val="24"/>
              </w:rPr>
              <w:t>目录清晰查找方便</w:t>
            </w:r>
            <w:r>
              <w:rPr>
                <w:rFonts w:hint="eastAsia" w:ascii="仿宋" w:hAnsi="仿宋" w:eastAsia="仿宋" w:cstheme="minorEastAsia"/>
                <w:spacing w:val="-6"/>
                <w:sz w:val="24"/>
                <w:szCs w:val="24"/>
                <w:lang w:eastAsia="zh-CN"/>
              </w:rPr>
              <w:t>（</w:t>
            </w:r>
            <w:r>
              <w:rPr>
                <w:rFonts w:hint="eastAsia" w:ascii="仿宋" w:hAnsi="仿宋" w:eastAsia="仿宋" w:cstheme="minorEastAsia"/>
                <w:spacing w:val="-6"/>
                <w:sz w:val="24"/>
                <w:szCs w:val="24"/>
                <w:lang w:val="en-US" w:eastAsia="zh-CN"/>
              </w:rPr>
              <w:t>含评分索引</w:t>
            </w:r>
            <w:r>
              <w:rPr>
                <w:rFonts w:hint="eastAsia" w:ascii="仿宋" w:hAnsi="仿宋" w:eastAsia="仿宋" w:cstheme="minorEastAsia"/>
                <w:spacing w:val="-6"/>
                <w:sz w:val="24"/>
                <w:szCs w:val="24"/>
                <w:lang w:eastAsia="zh-CN"/>
              </w:rPr>
              <w:t>）</w:t>
            </w:r>
            <w:r>
              <w:rPr>
                <w:rFonts w:hint="eastAsia" w:ascii="仿宋" w:hAnsi="仿宋" w:eastAsia="仿宋" w:cstheme="minorEastAsia"/>
                <w:spacing w:val="-15"/>
                <w:sz w:val="24"/>
                <w:szCs w:val="24"/>
              </w:rPr>
              <w:t>；</w:t>
            </w:r>
            <w:r>
              <w:rPr>
                <w:rFonts w:hint="eastAsia" w:ascii="仿宋" w:hAnsi="仿宋" w:eastAsia="仿宋" w:cstheme="minorEastAsia"/>
                <w:spacing w:val="-15"/>
                <w:sz w:val="24"/>
                <w:szCs w:val="24"/>
                <w:lang w:val="en-US" w:eastAsia="zh-CN"/>
              </w:rPr>
              <w:t>每项得1分，满分4分</w:t>
            </w:r>
            <w:r>
              <w:rPr>
                <w:rFonts w:hint="eastAsia" w:ascii="仿宋" w:hAnsi="仿宋" w:eastAsia="仿宋" w:cstheme="minorEastAsia"/>
                <w:sz w:val="24"/>
                <w:szCs w:val="24"/>
              </w:rPr>
              <w:t>。</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u w:val="single"/>
              </w:rPr>
              <w:t> 4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00" w:lineRule="atLeast"/>
              <w:jc w:val="center"/>
            </w:pPr>
            <w:r>
              <w:rPr>
                <w:rFonts w:hint="eastAsia" w:ascii="仿宋" w:hAnsi="仿宋" w:eastAsia="仿宋" w:cs="仿宋"/>
                <w:color w:val="000000"/>
                <w:kern w:val="0"/>
                <w:sz w:val="24"/>
                <w:szCs w:val="24"/>
              </w:rPr>
              <w:t>业绩</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left"/>
            </w:pPr>
            <w:r>
              <w:rPr>
                <w:rFonts w:hint="eastAsia" w:ascii="仿宋" w:hAnsi="仿宋" w:eastAsia="仿宋" w:cs="仿宋"/>
                <w:color w:val="auto"/>
                <w:kern w:val="0"/>
                <w:sz w:val="24"/>
                <w:szCs w:val="24"/>
              </w:rPr>
              <w:t>投标人具有</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1</w:t>
            </w:r>
            <w:r>
              <w:rPr>
                <w:rFonts w:ascii="仿宋" w:hAnsi="仿宋" w:eastAsia="仿宋" w:cs="仿宋"/>
                <w:color w:val="auto"/>
                <w:kern w:val="0"/>
                <w:sz w:val="24"/>
                <w:szCs w:val="24"/>
              </w:rPr>
              <w:t>6</w:t>
            </w:r>
            <w:r>
              <w:rPr>
                <w:rFonts w:hint="eastAsia" w:ascii="仿宋" w:hAnsi="仿宋" w:eastAsia="仿宋" w:cs="仿宋"/>
                <w:color w:val="auto"/>
                <w:kern w:val="0"/>
                <w:sz w:val="24"/>
                <w:szCs w:val="24"/>
              </w:rPr>
              <w:t>年1月1日以来，类似项目</w:t>
            </w:r>
            <w:r>
              <w:rPr>
                <w:rFonts w:ascii="仿宋" w:hAnsi="仿宋" w:eastAsia="仿宋" w:cs="仿宋"/>
                <w:color w:val="auto"/>
                <w:kern w:val="0"/>
                <w:sz w:val="24"/>
                <w:szCs w:val="24"/>
              </w:rPr>
              <w:t>业绩</w:t>
            </w:r>
            <w:r>
              <w:rPr>
                <w:rFonts w:hint="eastAsia" w:ascii="仿宋" w:hAnsi="仿宋" w:eastAsia="仿宋" w:cs="仿宋"/>
                <w:color w:val="auto"/>
                <w:kern w:val="0"/>
                <w:sz w:val="24"/>
                <w:szCs w:val="24"/>
              </w:rPr>
              <w:t>，中标金额</w:t>
            </w:r>
            <w:r>
              <w:rPr>
                <w:rFonts w:ascii="仿宋" w:hAnsi="仿宋" w:eastAsia="仿宋" w:cs="仿宋"/>
                <w:color w:val="auto"/>
                <w:kern w:val="0"/>
                <w:sz w:val="24"/>
                <w:szCs w:val="24"/>
              </w:rPr>
              <w:t>60</w:t>
            </w:r>
            <w:r>
              <w:rPr>
                <w:rFonts w:hint="eastAsia" w:ascii="仿宋" w:hAnsi="仿宋" w:eastAsia="仿宋" w:cs="仿宋"/>
                <w:color w:val="auto"/>
                <w:kern w:val="0"/>
                <w:sz w:val="24"/>
                <w:szCs w:val="24"/>
              </w:rPr>
              <w:t>万元（含</w:t>
            </w:r>
            <w:r>
              <w:rPr>
                <w:rFonts w:ascii="仿宋" w:hAnsi="仿宋" w:eastAsia="仿宋" w:cs="仿宋"/>
                <w:color w:val="auto"/>
                <w:kern w:val="0"/>
                <w:sz w:val="24"/>
                <w:szCs w:val="24"/>
              </w:rPr>
              <w:t>60</w:t>
            </w:r>
            <w:r>
              <w:rPr>
                <w:rFonts w:hint="eastAsia" w:ascii="仿宋" w:hAnsi="仿宋" w:eastAsia="仿宋" w:cs="仿宋"/>
                <w:color w:val="auto"/>
                <w:kern w:val="0"/>
                <w:sz w:val="24"/>
                <w:szCs w:val="24"/>
              </w:rPr>
              <w:t>万元）以上的单个项目，每提供一份得3分，最高得分</w:t>
            </w:r>
            <w:r>
              <w:rPr>
                <w:rFonts w:ascii="仿宋" w:hAnsi="仿宋" w:eastAsia="仿宋" w:cs="仿宋"/>
                <w:color w:val="auto"/>
                <w:kern w:val="0"/>
                <w:sz w:val="24"/>
                <w:szCs w:val="24"/>
              </w:rPr>
              <w:t>9</w:t>
            </w:r>
            <w:r>
              <w:rPr>
                <w:rFonts w:hint="eastAsia" w:ascii="仿宋" w:hAnsi="仿宋" w:eastAsia="仿宋" w:cs="仿宋"/>
                <w:color w:val="auto"/>
                <w:kern w:val="0"/>
                <w:sz w:val="24"/>
                <w:szCs w:val="24"/>
              </w:rPr>
              <w:t>分。（合同原件备查，投标文件中</w:t>
            </w:r>
            <w:r>
              <w:rPr>
                <w:rFonts w:ascii="仿宋" w:hAnsi="仿宋" w:eastAsia="仿宋" w:cs="仿宋"/>
                <w:color w:val="auto"/>
                <w:kern w:val="0"/>
                <w:sz w:val="24"/>
                <w:szCs w:val="24"/>
              </w:rPr>
              <w:t>提供合同</w:t>
            </w:r>
            <w:r>
              <w:rPr>
                <w:rFonts w:hint="eastAsia" w:ascii="仿宋" w:hAnsi="仿宋" w:eastAsia="仿宋" w:cs="仿宋"/>
                <w:color w:val="auto"/>
                <w:kern w:val="0"/>
                <w:sz w:val="24"/>
                <w:szCs w:val="24"/>
              </w:rPr>
              <w:t>）</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u w:val="single"/>
              </w:rPr>
              <w:t> 9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hint="eastAsia" w:eastAsiaTheme="minorEastAsia"/>
                <w:lang w:eastAsia="zh-CN"/>
              </w:rPr>
            </w:pPr>
            <w:r>
              <w:rPr>
                <w:rFonts w:hint="eastAsia" w:ascii="仿宋" w:hAnsi="仿宋" w:eastAsia="仿宋" w:cs="仿宋"/>
                <w:color w:val="000000"/>
                <w:kern w:val="0"/>
                <w:sz w:val="24"/>
                <w:szCs w:val="24"/>
                <w:lang w:val="en-US" w:eastAsia="zh-CN"/>
              </w:rPr>
              <w:t>产品优势</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2"/>
              </w:numPr>
              <w:spacing w:line="400" w:lineRule="atLeas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提供所投产品具有中华人民共和国国家版权局颁发的音视频处理</w:t>
            </w:r>
            <w:r>
              <w:rPr>
                <w:rFonts w:hint="eastAsia" w:ascii="仿宋" w:hAnsi="仿宋" w:eastAsia="仿宋" w:cs="仿宋"/>
                <w:color w:val="auto"/>
                <w:kern w:val="0"/>
                <w:sz w:val="24"/>
                <w:szCs w:val="24"/>
              </w:rPr>
              <w:t>软件著作权登记证书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庭审直播软件著作权登记</w:t>
            </w:r>
            <w:r>
              <w:rPr>
                <w:rFonts w:hint="eastAsia" w:ascii="仿宋" w:hAnsi="仿宋" w:eastAsia="仿宋" w:cs="仿宋"/>
                <w:color w:val="000000"/>
                <w:kern w:val="0"/>
                <w:sz w:val="24"/>
                <w:szCs w:val="24"/>
              </w:rPr>
              <w:t>证书的</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每有一项</w:t>
            </w:r>
            <w:r>
              <w:rPr>
                <w:rFonts w:hint="eastAsia" w:ascii="仿宋" w:hAnsi="仿宋" w:eastAsia="仿宋" w:cs="仿宋"/>
                <w:color w:val="000000"/>
                <w:kern w:val="0"/>
                <w:sz w:val="24"/>
                <w:szCs w:val="24"/>
              </w:rPr>
              <w:t>得5分（投标文件中提供证书复印件加盖生产厂家公章）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满分10分。</w:t>
            </w:r>
          </w:p>
          <w:p>
            <w:pPr>
              <w:widowControl/>
              <w:numPr>
                <w:ilvl w:val="0"/>
                <w:numId w:val="0"/>
              </w:numPr>
              <w:spacing w:line="400" w:lineRule="atLeas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auto"/>
                <w:kern w:val="0"/>
                <w:sz w:val="24"/>
                <w:szCs w:val="24"/>
              </w:rPr>
              <w:t>投标人所投产品能够同步实现庭审直播和视频上传功能的，提供产品功能方案（非手动下载后上传），并加盖生产厂家公章，得5分。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rPr>
              <w:t> </w:t>
            </w:r>
            <w:r>
              <w:rPr>
                <w:rFonts w:hint="eastAsia" w:ascii="宋体" w:hAnsi="宋体" w:eastAsia="宋体" w:cs="宋体"/>
                <w:color w:val="000000"/>
                <w:kern w:val="0"/>
                <w:sz w:val="24"/>
                <w:szCs w:val="24"/>
                <w:u w:val="single"/>
              </w:rPr>
              <w:t> </w:t>
            </w:r>
            <w:r>
              <w:rPr>
                <w:rFonts w:hint="eastAsia" w:ascii="仿宋" w:hAnsi="仿宋" w:eastAsia="仿宋" w:cs="仿宋"/>
                <w:color w:val="000000"/>
                <w:kern w:val="0"/>
                <w:sz w:val="24"/>
                <w:szCs w:val="24"/>
                <w:u w:val="single"/>
              </w:rPr>
              <w:t>15</w:t>
            </w:r>
            <w:r>
              <w:rPr>
                <w:rFonts w:hint="eastAsia" w:ascii="宋体" w:hAnsi="宋体" w:eastAsia="宋体" w:cs="宋体"/>
                <w:color w:val="000000"/>
                <w:kern w:val="0"/>
                <w:sz w:val="24"/>
                <w:szCs w:val="24"/>
                <w:u w:val="single"/>
              </w:rPr>
              <w:t>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三、技术部分（满分</w:t>
            </w:r>
            <w:r>
              <w:rPr>
                <w:rFonts w:hint="eastAsia" w:ascii="仿宋" w:hAnsi="仿宋" w:eastAsia="仿宋" w:cs="仿宋"/>
                <w:b/>
                <w:color w:val="000000"/>
                <w:kern w:val="0"/>
                <w:sz w:val="24"/>
                <w:szCs w:val="24"/>
                <w:u w:val="single"/>
              </w:rPr>
              <w:t> 20 </w:t>
            </w:r>
            <w:r>
              <w:rPr>
                <w:rFonts w:hint="eastAsia" w:ascii="仿宋" w:hAnsi="仿宋" w:eastAsia="仿宋"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评分因素</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rPr>
              <w:t>对招标文件</w:t>
            </w:r>
          </w:p>
          <w:p>
            <w:pPr>
              <w:widowControl/>
              <w:spacing w:line="330" w:lineRule="atLeast"/>
              <w:jc w:val="center"/>
            </w:pPr>
            <w:r>
              <w:rPr>
                <w:rFonts w:hint="eastAsia" w:ascii="仿宋" w:hAnsi="仿宋" w:eastAsia="仿宋" w:cs="仿宋"/>
                <w:color w:val="000000"/>
                <w:kern w:val="0"/>
                <w:sz w:val="24"/>
                <w:szCs w:val="24"/>
              </w:rPr>
              <w:t>响应程度</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00" w:lineRule="atLeas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投标产品的技术参数完全满足招标文件要求的得</w:t>
            </w:r>
            <w:r>
              <w:rPr>
                <w:rFonts w:hint="eastAsia" w:ascii="仿宋" w:hAnsi="仿宋" w:eastAsia="仿宋" w:cs="仿宋"/>
                <w:color w:val="000000"/>
                <w:kern w:val="0"/>
                <w:sz w:val="24"/>
                <w:szCs w:val="24"/>
                <w:lang w:val="en-US" w:eastAsia="zh-CN"/>
              </w:rPr>
              <w:t>1</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eastAsia="zh-CN"/>
              </w:rPr>
              <w:t>。</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u w:val="single"/>
              </w:rPr>
              <w:t> 15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pPr>
            <w:r>
              <w:rPr>
                <w:rFonts w:hint="eastAsia" w:ascii="仿宋" w:hAnsi="仿宋" w:eastAsia="仿宋" w:cs="仿宋"/>
                <w:color w:val="000000"/>
                <w:kern w:val="0"/>
                <w:sz w:val="24"/>
                <w:szCs w:val="24"/>
              </w:rPr>
              <w:t>售后服务</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00" w:lineRule="atLeas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1、故障响应及处理时间快的得2分，较快的得1分，无不得分。</w:t>
            </w:r>
          </w:p>
          <w:p>
            <w:pPr>
              <w:widowControl/>
              <w:spacing w:line="400" w:lineRule="atLeas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、投标人提供的项目实施计划、技术</w:t>
            </w:r>
          </w:p>
          <w:p>
            <w:pPr>
              <w:widowControl/>
              <w:spacing w:line="400" w:lineRule="atLeas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培训方案、</w:t>
            </w:r>
            <w:r>
              <w:rPr>
                <w:rFonts w:hint="eastAsia" w:ascii="仿宋" w:hAnsi="仿宋" w:eastAsia="仿宋" w:cs="仿宋"/>
                <w:color w:val="000000"/>
                <w:kern w:val="0"/>
                <w:sz w:val="24"/>
                <w:szCs w:val="24"/>
                <w:lang w:val="en-US" w:eastAsia="zh-CN"/>
              </w:rPr>
              <w:t>产品升级</w:t>
            </w:r>
            <w:r>
              <w:rPr>
                <w:rFonts w:hint="eastAsia" w:ascii="仿宋" w:hAnsi="仿宋" w:eastAsia="仿宋" w:cs="仿宋"/>
                <w:color w:val="000000"/>
                <w:kern w:val="0"/>
                <w:sz w:val="24"/>
                <w:szCs w:val="24"/>
              </w:rPr>
              <w:t>方案详细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可</w:t>
            </w:r>
            <w:r>
              <w:rPr>
                <w:rFonts w:hint="eastAsia" w:ascii="仿宋" w:hAnsi="仿宋" w:eastAsia="仿宋" w:cs="仿宋"/>
                <w:color w:val="000000"/>
                <w:kern w:val="0"/>
                <w:sz w:val="24"/>
                <w:szCs w:val="24"/>
              </w:rPr>
              <w:t>操作性强的得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分；实施计划、培训方案及</w:t>
            </w:r>
            <w:r>
              <w:rPr>
                <w:rFonts w:hint="eastAsia" w:ascii="仿宋" w:hAnsi="仿宋" w:eastAsia="仿宋" w:cs="仿宋"/>
                <w:color w:val="000000"/>
                <w:kern w:val="0"/>
                <w:sz w:val="24"/>
                <w:szCs w:val="24"/>
                <w:lang w:val="en-US" w:eastAsia="zh-CN"/>
              </w:rPr>
              <w:t>产品升级</w:t>
            </w:r>
            <w:r>
              <w:rPr>
                <w:rFonts w:hint="eastAsia" w:ascii="仿宋" w:hAnsi="仿宋" w:eastAsia="仿宋" w:cs="仿宋"/>
                <w:color w:val="000000"/>
                <w:kern w:val="0"/>
                <w:sz w:val="24"/>
                <w:szCs w:val="24"/>
              </w:rPr>
              <w:t>方案</w:t>
            </w:r>
            <w:r>
              <w:rPr>
                <w:rFonts w:hint="eastAsia" w:ascii="仿宋" w:hAnsi="仿宋" w:eastAsia="仿宋" w:cs="仿宋"/>
                <w:color w:val="000000"/>
                <w:kern w:val="0"/>
                <w:sz w:val="24"/>
                <w:szCs w:val="24"/>
                <w:lang w:val="en-US" w:eastAsia="zh-CN"/>
              </w:rPr>
              <w:t>较简单</w:t>
            </w:r>
            <w:r>
              <w:rPr>
                <w:rFonts w:hint="eastAsia" w:ascii="仿宋" w:hAnsi="仿宋" w:eastAsia="仿宋" w:cs="仿宋"/>
                <w:color w:val="000000"/>
                <w:kern w:val="0"/>
                <w:sz w:val="24"/>
                <w:szCs w:val="24"/>
              </w:rPr>
              <w:t>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分；实施计划、培训方案及</w:t>
            </w:r>
            <w:r>
              <w:rPr>
                <w:rFonts w:hint="eastAsia" w:ascii="仿宋" w:hAnsi="仿宋" w:eastAsia="仿宋" w:cs="仿宋"/>
                <w:color w:val="000000"/>
                <w:kern w:val="0"/>
                <w:sz w:val="24"/>
                <w:szCs w:val="24"/>
                <w:lang w:val="en-US" w:eastAsia="zh-CN"/>
              </w:rPr>
              <w:t>升级</w:t>
            </w:r>
            <w:r>
              <w:rPr>
                <w:rFonts w:hint="eastAsia" w:ascii="仿宋" w:hAnsi="仿宋" w:eastAsia="仿宋" w:cs="仿宋"/>
                <w:color w:val="000000"/>
                <w:kern w:val="0"/>
                <w:sz w:val="24"/>
                <w:szCs w:val="24"/>
              </w:rPr>
              <w:t>方案不完整，可操作性不强的得1分。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szCs w:val="24"/>
                <w:u w:val="single"/>
              </w:rPr>
              <w:t> 5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417" w:type="dxa"/>
            <w:tcBorders>
              <w:top w:val="nil"/>
              <w:left w:val="nil"/>
              <w:bottom w:val="nil"/>
              <w:right w:val="nil"/>
            </w:tcBorders>
            <w:shd w:val="clear" w:color="auto" w:fill="FFFFFF"/>
            <w:vAlign w:val="center"/>
          </w:tcPr>
          <w:p>
            <w:pPr>
              <w:widowControl/>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rPr>
              <w:t> </w:t>
            </w:r>
          </w:p>
        </w:tc>
        <w:tc>
          <w:tcPr>
            <w:tcW w:w="20" w:type="dxa"/>
            <w:tcBorders>
              <w:top w:val="nil"/>
              <w:left w:val="nil"/>
              <w:bottom w:val="nil"/>
              <w:right w:val="nil"/>
            </w:tcBorders>
            <w:shd w:val="clear" w:color="auto" w:fill="FFFFFF"/>
            <w:vAlign w:val="center"/>
          </w:tcPr>
          <w:p>
            <w:pPr>
              <w:widowControl/>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rPr>
              <w:t> </w:t>
            </w:r>
          </w:p>
        </w:tc>
        <w:tc>
          <w:tcPr>
            <w:tcW w:w="20" w:type="dxa"/>
            <w:tcBorders>
              <w:top w:val="nil"/>
              <w:left w:val="nil"/>
              <w:bottom w:val="nil"/>
              <w:right w:val="nil"/>
            </w:tcBorders>
            <w:shd w:val="clear" w:color="auto" w:fill="FFFFFF"/>
            <w:vAlign w:val="center"/>
          </w:tcPr>
          <w:p>
            <w:pPr>
              <w:widowControl/>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rPr>
              <w:t> </w:t>
            </w:r>
          </w:p>
        </w:tc>
        <w:tc>
          <w:tcPr>
            <w:tcW w:w="5025" w:type="dxa"/>
            <w:tcBorders>
              <w:top w:val="nil"/>
              <w:left w:val="nil"/>
              <w:bottom w:val="nil"/>
              <w:right w:val="nil"/>
            </w:tcBorders>
            <w:shd w:val="clear" w:color="auto" w:fill="FFFFFF"/>
            <w:vAlign w:val="center"/>
          </w:tcPr>
          <w:p>
            <w:pPr>
              <w:widowControl/>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rPr>
              <w:t> </w:t>
            </w:r>
          </w:p>
        </w:tc>
        <w:tc>
          <w:tcPr>
            <w:tcW w:w="2250" w:type="dxa"/>
            <w:tcBorders>
              <w:top w:val="nil"/>
              <w:left w:val="nil"/>
              <w:bottom w:val="nil"/>
              <w:right w:val="nil"/>
            </w:tcBorders>
            <w:shd w:val="clear" w:color="auto" w:fill="FFFFFF"/>
            <w:vAlign w:val="center"/>
          </w:tcPr>
          <w:p>
            <w:pPr>
              <w:widowControl/>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rPr>
              <w:t> </w:t>
            </w:r>
          </w:p>
        </w:tc>
      </w:tr>
    </w:tbl>
    <w:p>
      <w:pPr>
        <w:widowControl/>
        <w:shd w:val="clear" w:color="auto" w:fill="FFFFFF"/>
        <w:spacing w:line="360" w:lineRule="atLeast"/>
        <w:ind w:firstLine="600"/>
        <w:jc w:val="left"/>
      </w:pPr>
      <w:r>
        <w:rPr>
          <w:rFonts w:hint="eastAsia" w:ascii="微软雅黑" w:hAnsi="微软雅黑" w:eastAsia="微软雅黑" w:cs="微软雅黑"/>
          <w:color w:val="000000"/>
          <w:kern w:val="0"/>
          <w:sz w:val="27"/>
          <w:szCs w:val="27"/>
          <w:shd w:val="clear" w:color="auto" w:fill="FFFFFF"/>
        </w:rPr>
        <w:t> </w:t>
      </w:r>
    </w:p>
    <w:p>
      <w:pPr>
        <w:widowControl/>
        <w:shd w:val="clear" w:color="auto" w:fill="FFFFFF"/>
        <w:spacing w:line="360" w:lineRule="atLeast"/>
        <w:jc w:val="left"/>
      </w:pP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（一）支付方式：</w:t>
      </w:r>
      <w:r>
        <w:rPr>
          <w:rFonts w:hint="eastAsia" w:ascii="仿宋" w:hAnsi="仿宋" w:eastAsia="仿宋" w:cs="仿宋"/>
          <w:color w:val="000000"/>
          <w:kern w:val="0"/>
          <w:sz w:val="30"/>
          <w:szCs w:val="30"/>
          <w:shd w:val="clear" w:color="auto" w:fill="FFFFFF"/>
          <w:lang w:eastAsia="zh-CN"/>
        </w:rPr>
        <w:t>银行</w:t>
      </w:r>
      <w:r>
        <w:rPr>
          <w:rFonts w:hint="eastAsia" w:ascii="仿宋" w:hAnsi="仿宋" w:eastAsia="仿宋" w:cs="仿宋"/>
          <w:color w:val="000000"/>
          <w:kern w:val="0"/>
          <w:sz w:val="30"/>
          <w:szCs w:val="30"/>
          <w:shd w:val="clear" w:color="auto" w:fill="FFFFFF"/>
          <w:lang w:val="en-US" w:eastAsia="zh-CN"/>
        </w:rPr>
        <w:t>转账</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rPr>
        <w:t>（二）支付时间及条件：</w:t>
      </w:r>
      <w:r>
        <w:rPr>
          <w:rFonts w:hint="eastAsia" w:ascii="仿宋" w:hAnsi="仿宋" w:eastAsia="仿宋" w:cs="仿宋"/>
          <w:color w:val="000000"/>
          <w:kern w:val="0"/>
          <w:sz w:val="30"/>
          <w:szCs w:val="30"/>
          <w:shd w:val="clear" w:color="auto" w:fill="FFFFFF"/>
          <w:lang w:val="en-US" w:eastAsia="zh-CN"/>
        </w:rPr>
        <w:t>验收合格后30日内支付合同总价款的90%，运行半年无故障支付剩余10%。</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rPr>
        <w:t>联系人姓名：</w:t>
      </w:r>
      <w:r>
        <w:rPr>
          <w:rFonts w:hint="eastAsia" w:ascii="仿宋" w:hAnsi="仿宋" w:eastAsia="仿宋" w:cs="仿宋"/>
          <w:color w:val="000000"/>
          <w:kern w:val="0"/>
          <w:sz w:val="30"/>
          <w:szCs w:val="30"/>
          <w:shd w:val="clear" w:color="auto" w:fill="FFFFFF"/>
          <w:lang w:val="en-US" w:eastAsia="zh-CN"/>
        </w:rPr>
        <w:t>陈先生</w:t>
      </w:r>
      <w:r>
        <w:rPr>
          <w:rFonts w:hint="eastAsia" w:ascii="仿宋" w:hAnsi="仿宋" w:eastAsia="仿宋" w:cs="仿宋"/>
          <w:color w:val="000000"/>
          <w:kern w:val="0"/>
          <w:sz w:val="30"/>
          <w:szCs w:val="30"/>
          <w:shd w:val="clear" w:color="auto" w:fill="FFFFFF"/>
        </w:rPr>
        <w:t>           联系电话：</w:t>
      </w:r>
      <w:r>
        <w:rPr>
          <w:rFonts w:hint="eastAsia" w:ascii="仿宋" w:hAnsi="仿宋" w:eastAsia="仿宋" w:cs="仿宋"/>
          <w:color w:val="000000"/>
          <w:kern w:val="0"/>
          <w:sz w:val="30"/>
          <w:szCs w:val="30"/>
          <w:shd w:val="clear" w:color="auto" w:fill="FFFFFF"/>
          <w:lang w:val="en-US" w:eastAsia="zh-CN"/>
        </w:rPr>
        <w:t>0374-2929015</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rPr>
        <w:t>单位地址：</w:t>
      </w:r>
      <w:r>
        <w:rPr>
          <w:rFonts w:hint="eastAsia" w:ascii="仿宋" w:hAnsi="仿宋" w:eastAsia="仿宋" w:cs="仿宋"/>
          <w:color w:val="000000"/>
          <w:kern w:val="0"/>
          <w:sz w:val="30"/>
          <w:szCs w:val="30"/>
          <w:shd w:val="clear" w:color="auto" w:fill="FFFFFF"/>
          <w:lang w:val="en-US" w:eastAsia="zh-CN"/>
        </w:rPr>
        <w:t>许昌市前进路东段</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rPr>
        <w:t> </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rPr>
        <w:t> </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rPr>
        <w:t> </w:t>
      </w:r>
    </w:p>
    <w:p>
      <w:pPr>
        <w:widowControl/>
        <w:shd w:val="clear" w:color="auto" w:fill="FFFFFF"/>
        <w:spacing w:line="330" w:lineRule="atLeast"/>
        <w:ind w:firstLine="3900" w:firstLineChars="1300"/>
        <w:jc w:val="both"/>
      </w:pPr>
      <w:r>
        <w:rPr>
          <w:rFonts w:hint="eastAsia" w:ascii="仿宋" w:hAnsi="仿宋" w:eastAsia="仿宋" w:cs="仿宋"/>
          <w:color w:val="000000"/>
          <w:kern w:val="0"/>
          <w:sz w:val="30"/>
          <w:szCs w:val="30"/>
          <w:shd w:val="clear" w:color="auto" w:fill="FFFFFF"/>
        </w:rPr>
        <w:t>单位全称</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许昌市中级人民法院</w:t>
      </w:r>
    </w:p>
    <w:p>
      <w:pPr>
        <w:widowControl/>
        <w:shd w:val="clear" w:color="auto" w:fill="FFFFFF"/>
        <w:spacing w:line="330" w:lineRule="atLeast"/>
        <w:ind w:firstLine="4800" w:firstLineChars="1600"/>
        <w:jc w:val="both"/>
      </w:pPr>
      <w:r>
        <w:rPr>
          <w:rFonts w:hint="eastAsia" w:ascii="仿宋" w:hAnsi="仿宋" w:eastAsia="仿宋" w:cs="仿宋"/>
          <w:color w:val="000000"/>
          <w:kern w:val="0"/>
          <w:sz w:val="30"/>
          <w:szCs w:val="30"/>
          <w:shd w:val="clear" w:color="auto" w:fill="FFFFFF"/>
          <w:lang w:val="en-US" w:eastAsia="zh-CN"/>
        </w:rPr>
        <w:t>2018</w:t>
      </w:r>
      <w:r>
        <w:rPr>
          <w:rFonts w:hint="eastAsia" w:ascii="仿宋" w:hAnsi="仿宋" w:eastAsia="仿宋" w:cs="仿宋"/>
          <w:color w:val="000000"/>
          <w:kern w:val="0"/>
          <w:sz w:val="30"/>
          <w:szCs w:val="30"/>
          <w:shd w:val="clear" w:color="auto" w:fill="FFFFFF"/>
        </w:rPr>
        <w:t>年</w:t>
      </w: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月</w:t>
      </w:r>
      <w:r>
        <w:rPr>
          <w:rFonts w:hint="eastAsia" w:ascii="仿宋" w:hAnsi="仿宋" w:eastAsia="仿宋" w:cs="仿宋"/>
          <w:color w:val="000000"/>
          <w:kern w:val="0"/>
          <w:sz w:val="30"/>
          <w:szCs w:val="30"/>
          <w:shd w:val="clear" w:color="auto" w:fill="FFFFFF"/>
          <w:lang w:val="en-US" w:eastAsia="zh-CN"/>
        </w:rPr>
        <w:t>29</w:t>
      </w:r>
      <w:r>
        <w:rPr>
          <w:rFonts w:hint="eastAsia" w:ascii="仿宋" w:hAnsi="仿宋" w:eastAsia="仿宋" w:cs="仿宋"/>
          <w:color w:val="000000"/>
          <w:kern w:val="0"/>
          <w:sz w:val="30"/>
          <w:szCs w:val="30"/>
          <w:shd w:val="clear" w:color="auto" w:fill="FFFFFF"/>
        </w:rPr>
        <w:t>日</w:t>
      </w:r>
    </w:p>
    <w:p>
      <w:pPr>
        <w:widowControl/>
        <w:shd w:val="clear" w:color="auto" w:fill="FFFFFF"/>
        <w:spacing w:line="330" w:lineRule="atLeast"/>
        <w:ind w:firstLine="5700"/>
        <w:jc w:val="right"/>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CFEF3"/>
    <w:multiLevelType w:val="singleLevel"/>
    <w:tmpl w:val="B3ACFEF3"/>
    <w:lvl w:ilvl="0" w:tentative="0">
      <w:start w:val="1"/>
      <w:numFmt w:val="decimal"/>
      <w:suff w:val="nothing"/>
      <w:lvlText w:val="%1、"/>
      <w:lvlJc w:val="left"/>
    </w:lvl>
  </w:abstractNum>
  <w:abstractNum w:abstractNumId="1">
    <w:nsid w:val="FB61C2D4"/>
    <w:multiLevelType w:val="singleLevel"/>
    <w:tmpl w:val="FB61C2D4"/>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050F"/>
    <w:rsid w:val="00057BA6"/>
    <w:rsid w:val="00172F41"/>
    <w:rsid w:val="00173E88"/>
    <w:rsid w:val="001810A4"/>
    <w:rsid w:val="001F3C57"/>
    <w:rsid w:val="00280062"/>
    <w:rsid w:val="003325C8"/>
    <w:rsid w:val="00344C89"/>
    <w:rsid w:val="0037050F"/>
    <w:rsid w:val="00442307"/>
    <w:rsid w:val="00447133"/>
    <w:rsid w:val="004B2AC6"/>
    <w:rsid w:val="00545B37"/>
    <w:rsid w:val="006C576F"/>
    <w:rsid w:val="006C66CF"/>
    <w:rsid w:val="007443B8"/>
    <w:rsid w:val="007E5331"/>
    <w:rsid w:val="008141E3"/>
    <w:rsid w:val="0096740E"/>
    <w:rsid w:val="009F4597"/>
    <w:rsid w:val="00A05878"/>
    <w:rsid w:val="00A06EA0"/>
    <w:rsid w:val="00A3199F"/>
    <w:rsid w:val="00AD374F"/>
    <w:rsid w:val="00B059FF"/>
    <w:rsid w:val="00B50E63"/>
    <w:rsid w:val="00CD045E"/>
    <w:rsid w:val="00D720CE"/>
    <w:rsid w:val="00DC042B"/>
    <w:rsid w:val="00E85111"/>
    <w:rsid w:val="00EC673D"/>
    <w:rsid w:val="00F60FAB"/>
    <w:rsid w:val="00F64CD2"/>
    <w:rsid w:val="00FE59D8"/>
    <w:rsid w:val="046C38CE"/>
    <w:rsid w:val="06671194"/>
    <w:rsid w:val="075B6555"/>
    <w:rsid w:val="0CE75E09"/>
    <w:rsid w:val="0ED56127"/>
    <w:rsid w:val="11EB5C78"/>
    <w:rsid w:val="15D501D3"/>
    <w:rsid w:val="206F66E4"/>
    <w:rsid w:val="20EE06A8"/>
    <w:rsid w:val="229455D3"/>
    <w:rsid w:val="240F3248"/>
    <w:rsid w:val="2D116E73"/>
    <w:rsid w:val="2F4750A8"/>
    <w:rsid w:val="2F5F5852"/>
    <w:rsid w:val="305E0E59"/>
    <w:rsid w:val="30C4516D"/>
    <w:rsid w:val="332F6DD9"/>
    <w:rsid w:val="366C3D56"/>
    <w:rsid w:val="3D180881"/>
    <w:rsid w:val="43BF479E"/>
    <w:rsid w:val="44427639"/>
    <w:rsid w:val="47214714"/>
    <w:rsid w:val="4AD83DA6"/>
    <w:rsid w:val="4AE50D3D"/>
    <w:rsid w:val="4B6A1E35"/>
    <w:rsid w:val="4B85513D"/>
    <w:rsid w:val="512F1B29"/>
    <w:rsid w:val="52101242"/>
    <w:rsid w:val="52B36C41"/>
    <w:rsid w:val="53D60537"/>
    <w:rsid w:val="587507CB"/>
    <w:rsid w:val="5A841867"/>
    <w:rsid w:val="5ABB1C05"/>
    <w:rsid w:val="5E047F7A"/>
    <w:rsid w:val="65C11925"/>
    <w:rsid w:val="65D7644C"/>
    <w:rsid w:val="67FD62AF"/>
    <w:rsid w:val="6B6E15D4"/>
    <w:rsid w:val="6C2E2C88"/>
    <w:rsid w:val="6DCF7652"/>
    <w:rsid w:val="70515709"/>
    <w:rsid w:val="746B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4"/>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styleId="11">
    <w:name w:val="annotation reference"/>
    <w:basedOn w:val="7"/>
    <w:semiHidden/>
    <w:unhideWhenUsed/>
    <w:qFormat/>
    <w:uiPriority w:val="99"/>
    <w:rPr>
      <w:sz w:val="21"/>
      <w:szCs w:val="21"/>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hover"/>
    <w:basedOn w:val="7"/>
    <w:qFormat/>
    <w:uiPriority w:val="0"/>
  </w:style>
  <w:style w:type="character" w:customStyle="1" w:styleId="16">
    <w:name w:val="green"/>
    <w:basedOn w:val="7"/>
    <w:qFormat/>
    <w:uiPriority w:val="0"/>
    <w:rPr>
      <w:color w:val="66AE00"/>
      <w:sz w:val="18"/>
      <w:szCs w:val="18"/>
    </w:rPr>
  </w:style>
  <w:style w:type="character" w:customStyle="1" w:styleId="17">
    <w:name w:val="red"/>
    <w:basedOn w:val="7"/>
    <w:qFormat/>
    <w:uiPriority w:val="0"/>
    <w:rPr>
      <w:color w:val="FF0000"/>
      <w:sz w:val="18"/>
      <w:szCs w:val="18"/>
    </w:rPr>
  </w:style>
  <w:style w:type="character" w:customStyle="1" w:styleId="18">
    <w:name w:val="red1"/>
    <w:basedOn w:val="7"/>
    <w:qFormat/>
    <w:uiPriority w:val="0"/>
    <w:rPr>
      <w:color w:val="66AE00"/>
      <w:sz w:val="18"/>
      <w:szCs w:val="18"/>
    </w:rPr>
  </w:style>
  <w:style w:type="character" w:customStyle="1" w:styleId="19">
    <w:name w:val="red2"/>
    <w:basedOn w:val="7"/>
    <w:qFormat/>
    <w:uiPriority w:val="0"/>
    <w:rPr>
      <w:color w:val="FF0000"/>
    </w:rPr>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paragraph" w:styleId="23">
    <w:name w:val="List Paragraph"/>
    <w:basedOn w:val="1"/>
    <w:unhideWhenUsed/>
    <w:qFormat/>
    <w:uiPriority w:val="99"/>
    <w:pPr>
      <w:ind w:firstLine="420" w:firstLineChars="200"/>
    </w:pPr>
  </w:style>
  <w:style w:type="character" w:customStyle="1" w:styleId="24">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A8F47-5436-4F8D-B466-8825BA8F0B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427</Words>
  <Characters>2436</Characters>
  <Lines>20</Lines>
  <Paragraphs>5</Paragraphs>
  <ScaleCrop>false</ScaleCrop>
  <LinksUpToDate>false</LinksUpToDate>
  <CharactersWithSpaces>2858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2017-12-21T00:52:00Z</dcterms:created>
  <dc:creator>Microsoft</dc:creator>
  <cp:lastModifiedBy>Administrator</cp:lastModifiedBy>
  <cp:lastPrinted>2018-03-21T06:46:00Z</cp:lastPrinted>
  <dcterms:modified xsi:type="dcterms:W3CDTF">2018-03-29T02:14:37Z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