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1F" w:rsidRDefault="00135A1F" w:rsidP="00280D0D">
      <w:pPr>
        <w:widowControl/>
        <w:shd w:val="clear" w:color="auto" w:fill="FFFFFF"/>
        <w:spacing w:line="360" w:lineRule="auto"/>
        <w:ind w:firstLineChars="300" w:firstLine="840"/>
        <w:contextualSpacing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D14F01">
        <w:rPr>
          <w:rFonts w:ascii="楷体" w:eastAsia="楷体" w:hAnsi="楷体" w:cs="Arial"/>
          <w:color w:val="000000"/>
          <w:kern w:val="0"/>
          <w:sz w:val="28"/>
          <w:szCs w:val="28"/>
          <w:lang w:val="zh-CN"/>
        </w:rPr>
        <w:t xml:space="preserve"> </w:t>
      </w:r>
      <w:r w:rsidR="00D14F01" w:rsidRPr="00D14F01"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>公共多媒体设备</w:t>
      </w:r>
      <w:r w:rsidRPr="00D14F01"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</w:t>
      </w:r>
      <w:r w:rsidRPr="00CE436B">
        <w:rPr>
          <w:rFonts w:ascii="Times New Roman" w:eastAsia="仿宋_GB2312" w:hAnsi="Times New Roman"/>
          <w:color w:val="000000"/>
          <w:kern w:val="0"/>
          <w:sz w:val="28"/>
          <w:szCs w:val="28"/>
          <w:u w:val="single"/>
        </w:rPr>
        <w:t xml:space="preserve">  </w:t>
      </w:r>
      <w:r w:rsidRPr="00280D0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采购需求、评标标准等说明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黑体" w:eastAsia="黑体" w:hAnsi="黑体" w:cs="黑体" w:hint="eastAsia"/>
          <w:color w:val="000000"/>
          <w:sz w:val="28"/>
          <w:szCs w:val="28"/>
          <w:lang w:val="zh-CN"/>
        </w:rPr>
        <w:t>一、</w:t>
      </w:r>
      <w:r w:rsidRPr="00D70482">
        <w:rPr>
          <w:rFonts w:ascii="黑体" w:eastAsia="黑体" w:hAnsi="黑体" w:cs="Arial" w:hint="eastAsia"/>
          <w:color w:val="000000"/>
          <w:sz w:val="28"/>
          <w:szCs w:val="28"/>
          <w:lang w:val="zh-CN"/>
        </w:rPr>
        <w:t>项目概况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 w:rsidRPr="00D70482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（一）项目名称：</w:t>
      </w:r>
      <w:r w:rsidR="00CD7155" w:rsidRPr="00CD7155">
        <w:rPr>
          <w:rFonts w:ascii="楷体" w:eastAsia="楷体" w:hAnsi="楷体" w:cs="Arial"/>
          <w:color w:val="000000"/>
          <w:kern w:val="0"/>
          <w:sz w:val="28"/>
          <w:szCs w:val="28"/>
          <w:lang w:val="zh-CN"/>
        </w:rPr>
        <w:t>公共多媒体设备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二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方式：</w:t>
      </w:r>
      <w:r w:rsidRPr="00D70482">
        <w:rPr>
          <w:rFonts w:ascii="宋体" w:cs="宋体"/>
          <w:color w:val="000000"/>
          <w:kern w:val="0"/>
          <w:sz w:val="28"/>
          <w:szCs w:val="28"/>
        </w:rPr>
        <w:t> </w:t>
      </w:r>
      <w:r w:rsidRPr="00712A19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公开招标</w:t>
      </w:r>
      <w:r w:rsidRPr="00712A19">
        <w:rPr>
          <w:rFonts w:ascii="楷体" w:eastAsia="楷体" w:hAnsi="楷体" w:cs="Arial"/>
          <w:color w:val="000000"/>
          <w:kern w:val="0"/>
          <w:sz w:val="28"/>
          <w:szCs w:val="28"/>
          <w:lang w:val="zh-CN"/>
        </w:rPr>
        <w:t>      </w:t>
      </w:r>
    </w:p>
    <w:p w:rsidR="00135A1F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三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 w:rsidRPr="00224656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主要内容、数量及要求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CD7155" w:rsidRPr="00CD7155">
        <w:rPr>
          <w:rFonts w:ascii="楷体" w:eastAsia="楷体" w:hAnsi="楷体" w:cs="Arial"/>
          <w:color w:val="000000"/>
          <w:kern w:val="0"/>
          <w:sz w:val="28"/>
          <w:szCs w:val="28"/>
          <w:lang w:val="zh-CN"/>
        </w:rPr>
        <w:t>公共多媒体设备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批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）预算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金额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F67B23">
        <w:rPr>
          <w:rFonts w:ascii="仿宋" w:eastAsia="仿宋" w:hAnsi="仿宋"/>
          <w:color w:val="000000"/>
          <w:sz w:val="32"/>
          <w:szCs w:val="32"/>
        </w:rPr>
        <w:t>760000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元；最高限价：</w:t>
      </w:r>
      <w:r w:rsidR="00F67B23">
        <w:rPr>
          <w:rFonts w:ascii="仿宋" w:eastAsia="仿宋" w:hAnsi="仿宋"/>
          <w:color w:val="000000"/>
          <w:sz w:val="32"/>
          <w:szCs w:val="32"/>
        </w:rPr>
        <w:t>760000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</w:t>
      </w:r>
    </w:p>
    <w:p w:rsidR="00135A1F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（五）交付（服务、完工）时间：</w:t>
      </w:r>
      <w:r w:rsidR="00F17938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合同签订后</w:t>
      </w:r>
      <w:r w:rsidR="00F67B23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30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天</w:t>
      </w:r>
    </w:p>
    <w:p w:rsidR="00135A1F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 w:rsidR="00135A1F" w:rsidRDefault="00135A1F" w:rsidP="004A30AF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（七）进口产品：允许□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135A1F" w:rsidRDefault="00135A1F" w:rsidP="004A30AF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（八）分包：允许</w:t>
      </w:r>
      <w:r w:rsidR="002D21B1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 w:rsidR="002A1B2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 w:rsidR="002A1B21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 w:rsidR="002A1B2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="002A1B21"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 w:rsidR="002A1B2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bookmarkStart w:id="0" w:name="_GoBack"/>
      <w:bookmarkEnd w:id="0"/>
    </w:p>
    <w:p w:rsidR="00135A1F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宋体"/>
          <w:color w:val="000000"/>
          <w:sz w:val="28"/>
          <w:szCs w:val="28"/>
          <w:lang w:val="zh-CN"/>
        </w:rPr>
      </w:pPr>
      <w:r w:rsidRPr="00194FB4">
        <w:rPr>
          <w:rFonts w:ascii="黑体" w:eastAsia="黑体" w:hAnsi="黑体" w:cs="宋体" w:hint="eastAsia"/>
          <w:color w:val="000000"/>
          <w:sz w:val="28"/>
          <w:szCs w:val="28"/>
          <w:lang w:val="zh-CN"/>
        </w:rPr>
        <w:t>二、需要落实的政府采购政策</w:t>
      </w:r>
    </w:p>
    <w:p w:rsidR="00135A1F" w:rsidRPr="00194FB4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本项目落实节能环保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、中小微型企业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扶持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支持</w:t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监狱企业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发展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、残疾人福利性单位扶持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等相关政府采购政策。</w:t>
      </w:r>
    </w:p>
    <w:p w:rsidR="00135A1F" w:rsidRPr="00D70482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三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投标人</w:t>
      </w:r>
      <w:r w:rsidRPr="00D70482"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资格要求</w:t>
      </w:r>
    </w:p>
    <w:p w:rsidR="00135A1F" w:rsidRPr="00D70482" w:rsidRDefault="00135A1F" w:rsidP="00E33DA9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具备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《政府采购法》第二十二条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第一款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规定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条件并提供相关材料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135A1F" w:rsidRPr="00323F3C" w:rsidRDefault="00135A1F" w:rsidP="00323F3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（二）本次招标接受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不接受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联合体投标。</w:t>
      </w:r>
    </w:p>
    <w:p w:rsidR="00135A1F" w:rsidRDefault="00135A1F" w:rsidP="008D598D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四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需求</w:t>
      </w:r>
    </w:p>
    <w:p w:rsidR="00135A1F" w:rsidRPr="00D70482" w:rsidRDefault="00135A1F" w:rsidP="00140543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（一）采购清单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276"/>
        <w:gridCol w:w="6095"/>
        <w:gridCol w:w="709"/>
        <w:gridCol w:w="708"/>
        <w:gridCol w:w="851"/>
      </w:tblGrid>
      <w:tr w:rsidR="00A96CE5" w:rsidRPr="00A131D8" w:rsidTr="003E2CDE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131D8">
              <w:rPr>
                <w:rFonts w:ascii="宋体" w:hAnsi="宋体" w:cs="宋体" w:hint="eastAsia"/>
                <w:bCs/>
                <w:sz w:val="24"/>
                <w:lang w:val="zh-CN"/>
              </w:rPr>
              <w:t>序号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131D8">
              <w:rPr>
                <w:rFonts w:ascii="宋体" w:hAnsi="宋体" w:cs="宋体" w:hint="eastAsia"/>
                <w:bCs/>
                <w:sz w:val="24"/>
                <w:lang w:val="zh-CN"/>
              </w:rPr>
              <w:t>名称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131D8">
              <w:rPr>
                <w:rFonts w:ascii="宋体" w:hAnsi="宋体" w:cs="宋体" w:hint="eastAsia"/>
                <w:bCs/>
                <w:sz w:val="24"/>
                <w:lang w:val="zh-CN"/>
              </w:rPr>
              <w:t>主要技术参数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131D8">
              <w:rPr>
                <w:rFonts w:ascii="宋体" w:hAnsi="宋体" w:cs="宋体" w:hint="eastAsia"/>
                <w:bCs/>
                <w:sz w:val="24"/>
                <w:lang w:val="zh-CN"/>
              </w:rPr>
              <w:t>单位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131D8">
              <w:rPr>
                <w:rFonts w:ascii="宋体" w:hAnsi="宋体" w:cs="宋体" w:hint="eastAsia"/>
                <w:bCs/>
                <w:sz w:val="24"/>
                <w:lang w:val="zh-CN"/>
              </w:rPr>
              <w:t>数量</w:t>
            </w:r>
          </w:p>
        </w:tc>
        <w:tc>
          <w:tcPr>
            <w:tcW w:w="851" w:type="dxa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 w:rsidRPr="00A96CE5">
              <w:rPr>
                <w:rFonts w:ascii="宋体" w:hAnsi="宋体" w:cs="宋体" w:hint="eastAsia"/>
                <w:bCs/>
                <w:sz w:val="24"/>
                <w:lang w:val="zh-CN"/>
              </w:rPr>
              <w:t>是否为核</w:t>
            </w:r>
            <w:r w:rsidRPr="00A96CE5">
              <w:rPr>
                <w:rFonts w:ascii="宋体" w:hAnsi="宋体" w:cs="宋体" w:hint="eastAsia"/>
                <w:bCs/>
                <w:sz w:val="24"/>
                <w:lang w:val="zh-CN"/>
              </w:rPr>
              <w:lastRenderedPageBreak/>
              <w:t>心产品</w:t>
            </w:r>
          </w:p>
        </w:tc>
      </w:tr>
      <w:tr w:rsidR="00A96CE5" w:rsidRPr="00A131D8" w:rsidTr="001E6C2D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教学一体机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b/>
                <w:sz w:val="24"/>
                <w:lang w:val="zh-CN"/>
              </w:rPr>
            </w:pPr>
            <w:r w:rsidRPr="00A131D8">
              <w:rPr>
                <w:rFonts w:ascii="宋体" w:cs="宋体" w:hint="eastAsia"/>
                <w:b/>
                <w:sz w:val="24"/>
                <w:lang w:val="zh-CN"/>
              </w:rPr>
              <w:t>一、硬件要求：</w:t>
            </w:r>
          </w:p>
          <w:p w:rsidR="00A96CE5" w:rsidRPr="00D84484" w:rsidRDefault="00A96CE5" w:rsidP="005C3628">
            <w:pPr>
              <w:pStyle w:val="a8"/>
              <w:widowControl/>
              <w:ind w:firstLineChars="0" w:firstLine="0"/>
              <w:rPr>
                <w:rFonts w:ascii="宋体" w:hAnsi="宋体" w:cs="宋体"/>
                <w:kern w:val="0"/>
                <w:sz w:val="24"/>
                <w:lang w:bidi="en-US"/>
              </w:rPr>
            </w:pPr>
            <w:r w:rsidRPr="00665B60">
              <w:rPr>
                <w:rFonts w:ascii="宋体" w:cs="宋体" w:hint="eastAsia"/>
                <w:sz w:val="24"/>
                <w:lang w:val="zh-CN"/>
              </w:rPr>
              <w:t>★</w:t>
            </w:r>
            <w:r w:rsidRPr="00D84484"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D84484">
              <w:rPr>
                <w:rFonts w:ascii="宋体" w:hAnsi="宋体" w:cs="宋体" w:hint="eastAsia"/>
                <w:kern w:val="0"/>
                <w:sz w:val="24"/>
                <w:lang w:bidi="en-US"/>
              </w:rPr>
              <w:t>必须为网络控制开关机和刷卡开关机同时并存，在网络管理端能体现出是谁在使用一体机。兼容学院现行一卡通系统，刷卡器必须</w:t>
            </w:r>
            <w:r>
              <w:rPr>
                <w:rFonts w:ascii="宋体" w:hAnsi="宋体" w:cs="宋体" w:hint="eastAsia"/>
                <w:kern w:val="0"/>
                <w:sz w:val="24"/>
                <w:lang w:bidi="en-US"/>
              </w:rPr>
              <w:t>为NFC类型,</w:t>
            </w:r>
            <w:r w:rsidRPr="00D84484">
              <w:rPr>
                <w:rFonts w:ascii="宋体" w:hAnsi="宋体" w:cs="宋体" w:hint="eastAsia"/>
                <w:kern w:val="0"/>
                <w:sz w:val="24"/>
                <w:lang w:bidi="en-US"/>
              </w:rPr>
              <w:t>保障5年以上的可靠性，安装实用美观，不易丢失。</w:t>
            </w:r>
          </w:p>
          <w:p w:rsidR="00A96CE5" w:rsidRPr="00EC68C1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lang w:bidi="en-US"/>
              </w:rPr>
            </w:pPr>
            <w:r w:rsidRPr="00665B60">
              <w:rPr>
                <w:rFonts w:ascii="宋体" w:cs="宋体" w:hint="eastAsia"/>
                <w:sz w:val="24"/>
                <w:lang w:val="zh-CN"/>
              </w:rPr>
              <w:t>★</w:t>
            </w:r>
            <w:r w:rsidRPr="00D84484">
              <w:rPr>
                <w:rFonts w:ascii="宋体" w:hAnsi="宋体" w:cs="宋体" w:hint="eastAsia"/>
                <w:kern w:val="0"/>
                <w:sz w:val="24"/>
                <w:lang w:bidi="en-US"/>
              </w:rPr>
              <w:t>2、采用金属安全框，一体化设计，边框最厚≤8mm</w:t>
            </w:r>
            <w:r w:rsidRPr="00EC68C1">
              <w:rPr>
                <w:rFonts w:ascii="宋体" w:hAnsi="宋体" w:cs="宋体" w:hint="eastAsia"/>
                <w:kern w:val="0"/>
                <w:sz w:val="24"/>
                <w:lang w:bidi="en-US"/>
              </w:rPr>
              <w:t>产品外观越薄越好。整机平均无故障时间MTBF≥</w:t>
            </w:r>
            <w:r>
              <w:rPr>
                <w:rFonts w:ascii="宋体" w:hAnsi="宋体" w:cs="宋体" w:hint="eastAsia"/>
                <w:kern w:val="0"/>
                <w:sz w:val="24"/>
                <w:lang w:bidi="en-US"/>
              </w:rPr>
              <w:t>10</w:t>
            </w:r>
            <w:r w:rsidRPr="00EC68C1">
              <w:rPr>
                <w:rFonts w:ascii="宋体" w:hAnsi="宋体" w:cs="宋体" w:hint="eastAsia"/>
                <w:kern w:val="0"/>
                <w:sz w:val="24"/>
                <w:lang w:bidi="en-US"/>
              </w:rPr>
              <w:t>0000H。</w:t>
            </w:r>
          </w:p>
          <w:p w:rsidR="00A96CE5" w:rsidRPr="00EC68C1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lang w:bidi="en-US"/>
              </w:rPr>
            </w:pPr>
            <w:r w:rsidRPr="00EC68C1">
              <w:rPr>
                <w:rFonts w:ascii="宋体" w:hAnsi="宋体" w:cs="宋体" w:hint="eastAsia"/>
                <w:kern w:val="0"/>
                <w:sz w:val="24"/>
                <w:lang w:bidi="en-US"/>
              </w:rPr>
              <w:t>3、显示尺寸70英寸，</w:t>
            </w:r>
            <w:r w:rsidRPr="00D84484">
              <w:rPr>
                <w:rFonts w:ascii="宋体" w:hAnsi="宋体" w:cs="宋体" w:hint="eastAsia"/>
                <w:kern w:val="0"/>
                <w:sz w:val="24"/>
                <w:lang w:bidi="en-US"/>
              </w:rPr>
              <w:t>A规屏</w:t>
            </w:r>
            <w:r w:rsidRPr="00EC68C1">
              <w:rPr>
                <w:rFonts w:ascii="宋体" w:hAnsi="宋体" w:cs="宋体" w:hint="eastAsia"/>
                <w:kern w:val="0"/>
                <w:sz w:val="24"/>
                <w:lang w:bidi="en-US"/>
              </w:rPr>
              <w:t>，分辨率满足数字全高清要求。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4、设备自带嵌入式操作系统，在该系统下可实现白板书写、PPT课件播放、多媒体播放、网页浏览，无需电脑即可上课使用。在安卓系统环境下能实现多笔同时书写。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5、具有触摸功能。可视角度≥170°。分辨率1920×1080。触摸类型：≥3点触摸。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6、触摸精度：≤3mm ；触摸方式：手指、笔，具有4点触摸功能，且无需安装驱动，即插即用。</w:t>
            </w:r>
            <w:r w:rsidRPr="00E13D68">
              <w:rPr>
                <w:rFonts w:ascii="宋体" w:hAnsi="宋体" w:cs="宋体" w:hint="eastAsia"/>
                <w:kern w:val="0"/>
                <w:sz w:val="24"/>
              </w:rPr>
              <w:t>提供双边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E13D68">
              <w:rPr>
                <w:rFonts w:ascii="宋体" w:hAnsi="宋体" w:cs="宋体" w:hint="eastAsia"/>
                <w:kern w:val="0"/>
                <w:sz w:val="24"/>
              </w:rPr>
              <w:t>个以上中英文标识快捷键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7、触摸精准性：整机屏幕触摸有效识别高度≤3.5mm。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8、书写流畅度：书写延迟时间需控制在100ms以内。</w:t>
            </w:r>
          </w:p>
          <w:p w:rsidR="00A96CE5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9、输入： AV/音频、VGA、YPbPr/YCbCr/音频、2路HDMI、2路USB。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665B60">
              <w:rPr>
                <w:rFonts w:ascii="宋体" w:cs="宋体" w:hint="eastAsia"/>
                <w:sz w:val="24"/>
                <w:lang w:val="zh-CN"/>
              </w:rPr>
              <w:t>★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其中前置USB接口≥2个。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10、支持USB接口无电脑播放多媒体文件，支持文件格式：MPEG、AVI、RM、JPG等多媒体文件。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11、通道智能切换：当外接笔记本时，设备能自动识别并切换到对应视频信号通道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12、一键节能：在不关闭整机电源的情况下可一键关闭液晶屏背光，并在触摸屏幕后可重新唤醒。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13、内置触摸中控功能菜单，将设备常用的信号源切换、声音调节、亮度对比度调整、图像分辨率调节等功能整合到同一中控菜单下，无须任何实体按键，任意通道下可通过手势在屏幕上调取该触摸菜单，方便快捷，避免繁琐操作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14、书写屏防划防撞，屏幕表面进行防眩光处理，且防撞击。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15、可根据外界环境光亮度和输入信号的变化调整背光灯管亮度，实现优良画质和节电功能。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16、在外接电脑下还具备一键切换信号源、一键打开白板软件、一键进入BIOS设置、PPT远程翻页等功能。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17、在无外接电脑情况下，设备仍可进行白板书写，且支持2人以上同时书写，并可调用多媒体素材及各通道画中画画面。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18、在任何通道画面上可进行书写批注、全屏截图功能。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19、内置计算机模块要求：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1、</w:t>
            </w:r>
            <w:r>
              <w:rPr>
                <w:rFonts w:ascii="宋体" w:cs="宋体" w:hint="eastAsia"/>
                <w:sz w:val="24"/>
                <w:lang w:val="zh-CN"/>
              </w:rPr>
              <w:t>方便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抽拉内置式，实现无单独接线的插拔，低噪音热管传导散热设计。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665B60">
              <w:rPr>
                <w:rFonts w:ascii="宋体" w:cs="宋体" w:hint="eastAsia"/>
                <w:sz w:val="24"/>
                <w:lang w:val="zh-CN"/>
              </w:rPr>
              <w:t>★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2、</w:t>
            </w:r>
            <w:r w:rsidRPr="00A131D8">
              <w:rPr>
                <w:rFonts w:ascii="宋体" w:cs="宋体" w:hint="eastAsia"/>
                <w:b/>
                <w:sz w:val="24"/>
                <w:lang w:val="zh-CN"/>
              </w:rPr>
              <w:t>内存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 xml:space="preserve"> 单条8GB。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3、CPU：Intel Core i5，硬盘500G/内置无线网卡、集成千兆网卡，显卡。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4、具有独立非扩张型的USB接口：≥2个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5、具有视频输出接口：VGA 接口≥1个。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19</w:t>
            </w:r>
            <w:r w:rsidRPr="00A131D8">
              <w:rPr>
                <w:rFonts w:ascii="宋体" w:cs="宋体"/>
                <w:sz w:val="24"/>
                <w:lang w:val="zh-CN"/>
              </w:rPr>
              <w:t>.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6、内置计算机不接受组装的兼容机。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b/>
                <w:sz w:val="24"/>
                <w:lang w:val="zh-CN"/>
              </w:rPr>
            </w:pPr>
            <w:r w:rsidRPr="00A131D8">
              <w:rPr>
                <w:rFonts w:ascii="宋体" w:cs="宋体" w:hint="eastAsia"/>
                <w:b/>
                <w:sz w:val="24"/>
                <w:lang w:val="zh-CN"/>
              </w:rPr>
              <w:t>二、软件要求：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1、支持OFFICE 、WPS系列软件等直接标注功能。提供多种笔型，多种线型的书写功能，可同时2人以上进行书写，具有多种书写效果，书写流畅、自如，能将手写文字自动识为标准输入字体。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2、提供多学科教学工具：数学、物理、化学、语文等学科工具栏，不同学科教学工具栏均在各自学科栏中出现。提供与现行教材配套的分年级分学科资源库。支持建白板，黑板，背景板面，桌面板面功能，支持无边界全屏书写功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3、提供多种类型多媒体文件导入功能；支持以嵌入式音频链接方式播放音频，并可设置播放的起止时间。视频链接播放可以支持嵌入到图片播放和播放器播放两种模式。可对视频进行动态批注。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4、支持自动、手动方式将声音与白板书写内容保存成为多媒体文件的功能，支持回放，复制等功能。支持多种教学软件，如：各种模拟实验室软件、几何画板软件等。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5、支持对PPT课件的直接导入，且导入的PPT可以根据需要进行二次编辑。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6、支持智能手势操作：在书写状态下，支持多点缩放、三指漫游、使用拳头擦除等。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7、可实现实时采集动态视频展台信号，并直接在屏幕上针对展台动态信号进行批注和标识。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8、具有与现行课程标准相匹配的可以通过网络免费下载。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9、配套软件内置互动式操作说明视频演示和帮助文档。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10、系统支持多种操作系统，支持win10。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1E6C2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1E6C2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30</w:t>
            </w:r>
          </w:p>
        </w:tc>
        <w:tc>
          <w:tcPr>
            <w:tcW w:w="851" w:type="dxa"/>
            <w:vAlign w:val="center"/>
          </w:tcPr>
          <w:p w:rsidR="00A96CE5" w:rsidRPr="00A131D8" w:rsidRDefault="00A96CE5" w:rsidP="001E6C2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是</w:t>
            </w:r>
          </w:p>
        </w:tc>
      </w:tr>
      <w:tr w:rsidR="00A96CE5" w:rsidRPr="00A131D8" w:rsidTr="003E2CDE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一体机配</w:t>
            </w: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套黑板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1.结构：内外双层结构，内层为一块固定书写板与一体</w:t>
            </w: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机正面平齐，外层为一块滑动书写板，滑动板配装刻有黑板品牌LOGO标识的挂锁，开闭自如确保一体机安全管理。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2.基本尺寸： 4000mm×1300mm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3.书写板面：采用优质烤漆钢板，厚度0.3mm，表面覆透明保护膜。板面为亚光墨绿色、漆膜硬度为6H、光泽度 6光泽单位，粗糙度为Ra1.6-3.2um，板面书写流畅字迹清晰、易擦拭。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4.内芯材料：选用高强度、吸音、防潮、阻燃聚苯乙烯板，14mm厚。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5.背板：优质蓝色防锈亚光彩涂钢板，纵向间隔80mm压有20mm加强筋，增强板体强度。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6.滑轮：上轮采用减震消音双滑道吊轮，下轮采用1字型平轮单滑动结构，滑轮使用高精度轴承，滑动流畅、噪音小；书写时定位精确不晃动、滑动板前后晃动小于0.5mm，经久耐用。数目各2组，上下均匀安装，推拉顺畅自如，无卡挤现象和尖锐的摩擦声，稳定性好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7.包角材料：采用抗老化高强度ABS工程塑料注塑成型。规格100mm×29mm，采用双壁成腔流线型设计，R25mm的圆角，正面带黑板品牌LOGO注册商标标识，无尖角毛刺。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8.粉尘刷：配带两用橡胶粉尘刷，可清扫粉笔槽内粉尘，不用时可代替粉尘孔塞。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9.限位档：黑板边框内部两侧安装滑动板限位档，防止活动黑板开启时撞击立框。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10.边框：采用高级亚光仿钢色铝合金，模具挤压一次成型，横框规格57mm×100mm，竖框规格29mm×100mm；边框经氧化、喷砂涂层处理，无明显眩光，根据一体机的</w:t>
            </w: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厚度配同色同质封板；横（立）框采用双层加强结构，厚 10 mm。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11.粉尘槽：配备宽度 30mm一体化粉尘槽，防止粉尘垂直落地；粉尘槽与下边框一体化设计，清扫时无粉尘死角；为防止粉笔等工具掉落，配备两用橡胶粉尘刷，可清扫粉笔槽内粉尘，不用时，可代替粉尘孔塞，堵住粉尘孔；粉尘槽与滑动系统分离，避免异物阻塞滑道。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套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30</w:t>
            </w:r>
          </w:p>
        </w:tc>
        <w:tc>
          <w:tcPr>
            <w:tcW w:w="851" w:type="dxa"/>
          </w:tcPr>
          <w:p w:rsidR="00A96CE5" w:rsidRPr="00A131D8" w:rsidRDefault="00B04A01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否</w:t>
            </w:r>
          </w:p>
        </w:tc>
      </w:tr>
      <w:tr w:rsidR="00A96CE5" w:rsidRPr="00A131D8" w:rsidTr="00B04A01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C5220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C52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投影机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/>
                <w:sz w:val="24"/>
                <w:lang w:val="zh-CN"/>
              </w:rPr>
              <w:t>3LCD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，5000流明以上，支持瞬间停电，带网络管理</w:t>
            </w:r>
            <w:r>
              <w:rPr>
                <w:rFonts w:ascii="宋体" w:cs="宋体" w:hint="eastAsia"/>
                <w:sz w:val="24"/>
                <w:lang w:val="zh-CN"/>
              </w:rPr>
              <w:t>功能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851" w:type="dxa"/>
            <w:vAlign w:val="center"/>
          </w:tcPr>
          <w:p w:rsidR="00A96CE5" w:rsidRPr="00A131D8" w:rsidRDefault="00B04A01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否</w:t>
            </w:r>
          </w:p>
        </w:tc>
      </w:tr>
      <w:tr w:rsidR="00A96CE5" w:rsidRPr="00A131D8" w:rsidTr="00B04A01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C5220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C52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超短焦投影机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超短焦3LCD投影机，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3200流明以上，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对比度≥10000，支持瞬间停电。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显示比例16:9。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带网络管理</w:t>
            </w:r>
            <w:r>
              <w:rPr>
                <w:rFonts w:ascii="宋体" w:cs="宋体" w:hint="eastAsia"/>
                <w:sz w:val="24"/>
                <w:lang w:val="zh-CN"/>
              </w:rPr>
              <w:t>功能</w:t>
            </w:r>
            <w:r w:rsidRPr="00A131D8">
              <w:rPr>
                <w:rFonts w:ascii="宋体" w:cs="宋体" w:hint="eastAsia"/>
                <w:sz w:val="24"/>
                <w:lang w:val="zh-CN"/>
              </w:rPr>
              <w:t>。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配套1个150寸电动屏幕（16:9）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配套HDMI信号线；</w:t>
            </w:r>
          </w:p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配套1个1g显存的并支持HDMI接口的显卡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套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51" w:type="dxa"/>
            <w:vAlign w:val="center"/>
          </w:tcPr>
          <w:p w:rsidR="00A96CE5" w:rsidRPr="00A131D8" w:rsidRDefault="00B04A01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否</w:t>
            </w:r>
          </w:p>
        </w:tc>
      </w:tr>
      <w:tr w:rsidR="00A96CE5" w:rsidRPr="00A131D8" w:rsidTr="00B04A01">
        <w:trPr>
          <w:trHeight w:val="552"/>
        </w:trPr>
        <w:tc>
          <w:tcPr>
            <w:tcW w:w="851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1276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配件</w:t>
            </w:r>
          </w:p>
        </w:tc>
        <w:tc>
          <w:tcPr>
            <w:tcW w:w="6095" w:type="dxa"/>
            <w:vAlign w:val="center"/>
          </w:tcPr>
          <w:p w:rsidR="00A96CE5" w:rsidRPr="00A131D8" w:rsidRDefault="00A96CE5" w:rsidP="005C362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35个3孔4位16A插排和电源线500米</w:t>
            </w:r>
          </w:p>
        </w:tc>
        <w:tc>
          <w:tcPr>
            <w:tcW w:w="709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批</w:t>
            </w:r>
          </w:p>
        </w:tc>
        <w:tc>
          <w:tcPr>
            <w:tcW w:w="708" w:type="dxa"/>
            <w:vAlign w:val="center"/>
          </w:tcPr>
          <w:p w:rsidR="00A96CE5" w:rsidRPr="00A131D8" w:rsidRDefault="00A96CE5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 w:rsidRPr="00A131D8"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851" w:type="dxa"/>
            <w:vAlign w:val="center"/>
          </w:tcPr>
          <w:p w:rsidR="00A96CE5" w:rsidRPr="00A131D8" w:rsidRDefault="00B04A01" w:rsidP="00B04A01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否</w:t>
            </w:r>
          </w:p>
        </w:tc>
      </w:tr>
    </w:tbl>
    <w:p w:rsidR="00135A1F" w:rsidRDefault="00135A1F" w:rsidP="00140543">
      <w:pPr>
        <w:widowControl/>
        <w:shd w:val="clear" w:color="auto" w:fill="FFFFFF"/>
        <w:spacing w:line="360" w:lineRule="auto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CE5C5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三</w:t>
      </w:r>
      <w:r w:rsidRPr="00CE5C5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验收标准</w:t>
      </w:r>
    </w:p>
    <w:p w:rsidR="00135A1F" w:rsidRPr="00851A16" w:rsidRDefault="00135A1F" w:rsidP="00851A1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由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采购人成立验收小组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出具验收书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列明各项标准的验收情况及项目总体评价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由验收双方共同签署。</w:t>
      </w:r>
    </w:p>
    <w:p w:rsidR="00135A1F" w:rsidRDefault="00135A1F" w:rsidP="0014054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五、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评标方法和评标标准</w:t>
      </w:r>
    </w:p>
    <w:p w:rsidR="00135A1F" w:rsidRPr="0046107D" w:rsidRDefault="00135A1F" w:rsidP="0046107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46107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（一）评标方法：最低评标价法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综合评分法</w: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46107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95788D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</w:p>
    <w:p w:rsidR="00135A1F" w:rsidRDefault="00135A1F" w:rsidP="005348DB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lastRenderedPageBreak/>
        <w:t>（二）综合评分法评标标准：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6"/>
        <w:gridCol w:w="5953"/>
        <w:gridCol w:w="967"/>
      </w:tblGrid>
      <w:tr w:rsidR="00135A1F" w:rsidRPr="002C1C1E" w:rsidTr="00685EBE">
        <w:trPr>
          <w:trHeight w:val="900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分值构成</w:t>
            </w:r>
          </w:p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/>
                <w:sz w:val="24"/>
                <w:szCs w:val="24"/>
              </w:rPr>
              <w:t>(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  <w:r w:rsidRPr="002C1C1E">
              <w:rPr>
                <w:rFonts w:ascii="仿宋" w:eastAsia="仿宋" w:hAnsi="仿宋"/>
                <w:sz w:val="24"/>
                <w:szCs w:val="24"/>
              </w:rPr>
              <w:t>100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C1C1E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6920" w:type="dxa"/>
            <w:gridSpan w:val="2"/>
            <w:vAlign w:val="center"/>
          </w:tcPr>
          <w:p w:rsidR="00135A1F" w:rsidRPr="002C1C1E" w:rsidRDefault="00135A1F" w:rsidP="00BA2EEE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价格分值：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</w:t>
            </w:r>
            <w:r w:rsidR="00AA38D4">
              <w:rPr>
                <w:rFonts w:ascii="仿宋" w:eastAsia="仿宋" w:hAnsi="仿宋" w:hint="eastAsia"/>
                <w:color w:val="FF0000"/>
                <w:sz w:val="24"/>
                <w:szCs w:val="24"/>
                <w:u w:val="single"/>
              </w:rPr>
              <w:t>49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  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:rsidR="00135A1F" w:rsidRPr="002C1C1E" w:rsidRDefault="00135A1F" w:rsidP="00BA2EEE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商务部分：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 </w:t>
            </w:r>
            <w:r w:rsidR="00BB719F">
              <w:rPr>
                <w:rFonts w:ascii="仿宋" w:eastAsia="仿宋" w:hAnsi="仿宋" w:hint="eastAsia"/>
                <w:color w:val="FF0000"/>
                <w:sz w:val="24"/>
                <w:szCs w:val="24"/>
                <w:u w:val="single"/>
              </w:rPr>
              <w:t>11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 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:rsidR="00135A1F" w:rsidRPr="002C1C1E" w:rsidRDefault="00135A1F" w:rsidP="00BB719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技术部分：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 </w:t>
            </w:r>
            <w:r w:rsidR="00BB719F">
              <w:rPr>
                <w:rFonts w:ascii="仿宋" w:eastAsia="仿宋" w:hAnsi="仿宋" w:hint="eastAsia"/>
                <w:color w:val="FF0000"/>
                <w:sz w:val="24"/>
                <w:szCs w:val="24"/>
                <w:u w:val="single"/>
              </w:rPr>
              <w:t>40</w:t>
            </w:r>
            <w:r w:rsidRPr="002C1C1E">
              <w:rPr>
                <w:rFonts w:ascii="仿宋" w:eastAsia="仿宋" w:hAnsi="仿宋"/>
                <w:color w:val="FF0000"/>
                <w:sz w:val="24"/>
                <w:szCs w:val="24"/>
                <w:u w:val="single"/>
              </w:rPr>
              <w:t xml:space="preserve">    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35A1F" w:rsidRPr="002C1C1E" w:rsidTr="005A44AE">
        <w:trPr>
          <w:trHeight w:val="567"/>
          <w:jc w:val="center"/>
        </w:trPr>
        <w:tc>
          <w:tcPr>
            <w:tcW w:w="8966" w:type="dxa"/>
            <w:gridSpan w:val="3"/>
            <w:vAlign w:val="center"/>
          </w:tcPr>
          <w:p w:rsidR="00135A1F" w:rsidRPr="002C1C1E" w:rsidRDefault="00135A1F" w:rsidP="00C8617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一、价格部分（满分</w:t>
            </w:r>
            <w:r w:rsidR="00C8617B">
              <w:rPr>
                <w:rFonts w:ascii="仿宋" w:eastAsia="仿宋" w:hAnsi="仿宋" w:hint="eastAsia"/>
                <w:b/>
                <w:color w:val="FF0000"/>
                <w:sz w:val="24"/>
                <w:szCs w:val="24"/>
                <w:u w:val="single"/>
              </w:rPr>
              <w:t>49</w:t>
            </w: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分）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 w:rsidR="00135A1F" w:rsidRPr="002C1C1E" w:rsidRDefault="00135A1F" w:rsidP="00AB50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135A1F" w:rsidRPr="002C1C1E" w:rsidTr="0046293F">
        <w:trPr>
          <w:trHeight w:val="1519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5953" w:type="dxa"/>
            <w:vAlign w:val="center"/>
          </w:tcPr>
          <w:p w:rsidR="00135A1F" w:rsidRPr="002C1C1E" w:rsidRDefault="00135A1F" w:rsidP="009F6D8F">
            <w:pPr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135A1F" w:rsidRPr="002C1C1E" w:rsidRDefault="00135A1F" w:rsidP="00C8617B">
            <w:pPr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投标报价得分</w:t>
            </w:r>
            <w:r w:rsidRPr="002C1C1E">
              <w:rPr>
                <w:rFonts w:ascii="仿宋" w:eastAsia="仿宋" w:hAnsi="仿宋"/>
                <w:sz w:val="24"/>
                <w:szCs w:val="24"/>
              </w:rPr>
              <w:t>=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（评标基准价</w:t>
            </w:r>
            <w:r w:rsidRPr="002C1C1E">
              <w:rPr>
                <w:rFonts w:ascii="仿宋" w:eastAsia="仿宋" w:hAnsi="仿宋"/>
                <w:sz w:val="24"/>
                <w:szCs w:val="24"/>
              </w:rPr>
              <w:t>/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投标报价）×</w:t>
            </w:r>
            <w:r w:rsidR="00C8617B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49</w:t>
            </w:r>
          </w:p>
        </w:tc>
        <w:tc>
          <w:tcPr>
            <w:tcW w:w="967" w:type="dxa"/>
            <w:vAlign w:val="center"/>
          </w:tcPr>
          <w:p w:rsidR="00135A1F" w:rsidRPr="002C1C1E" w:rsidRDefault="00C8617B" w:rsidP="00D673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  <w:r w:rsidR="00135A1F"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35A1F" w:rsidRPr="002C1C1E" w:rsidTr="005A44AE">
        <w:trPr>
          <w:trHeight w:val="567"/>
          <w:jc w:val="center"/>
        </w:trPr>
        <w:tc>
          <w:tcPr>
            <w:tcW w:w="8966" w:type="dxa"/>
            <w:gridSpan w:val="3"/>
            <w:vAlign w:val="center"/>
          </w:tcPr>
          <w:p w:rsidR="00135A1F" w:rsidRPr="002C1C1E" w:rsidRDefault="00135A1F" w:rsidP="004456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二、商务部分（满分</w:t>
            </w:r>
            <w:r w:rsidR="00445606">
              <w:rPr>
                <w:rFonts w:ascii="仿宋" w:eastAsia="仿宋" w:hAnsi="仿宋" w:hint="eastAsia"/>
                <w:b/>
                <w:color w:val="FF0000"/>
                <w:sz w:val="24"/>
                <w:szCs w:val="24"/>
                <w:u w:val="single"/>
              </w:rPr>
              <w:t>11</w:t>
            </w: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分）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135A1F" w:rsidRPr="002C1C1E" w:rsidTr="00BC6EFF">
        <w:trPr>
          <w:trHeight w:val="698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812432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信誉</w:t>
            </w:r>
          </w:p>
        </w:tc>
        <w:tc>
          <w:tcPr>
            <w:tcW w:w="5953" w:type="dxa"/>
            <w:vAlign w:val="center"/>
          </w:tcPr>
          <w:p w:rsidR="00135A1F" w:rsidRPr="00C6026C" w:rsidRDefault="00135A1F" w:rsidP="00462A91">
            <w:pPr>
              <w:rPr>
                <w:rFonts w:ascii="仿宋" w:eastAsia="仿宋" w:hAnsi="仿宋"/>
                <w:sz w:val="24"/>
                <w:szCs w:val="24"/>
              </w:rPr>
            </w:pPr>
            <w:r w:rsidRPr="00C6026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、投标人须提供工商企业信用信息公示报告【国家企业信用信息公示系统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http//</w:t>
            </w:r>
            <w:proofErr w:type="spellStart"/>
            <w:r w:rsidRPr="00C6026C">
              <w:rPr>
                <w:rFonts w:ascii="仿宋" w:eastAsia="仿宋" w:hAnsi="仿宋"/>
                <w:sz w:val="24"/>
                <w:szCs w:val="24"/>
              </w:rPr>
              <w:t>www.gsxt.gov.cn</w:t>
            </w:r>
            <w:proofErr w:type="spellEnd"/>
            <w:r w:rsidRPr="00C6026C">
              <w:rPr>
                <w:rFonts w:ascii="仿宋" w:eastAsia="仿宋" w:hAnsi="仿宋" w:hint="eastAsia"/>
                <w:sz w:val="24"/>
                <w:szCs w:val="24"/>
              </w:rPr>
              <w:t>包括基础信息、行政许可信息、行政处罚信息、列入经营异常名录信息、列入严重违法失信企业名单（黑名单）信息】、企业所在地税务主管部门出具的纳税情况证明等信用情况</w:t>
            </w:r>
            <w:r w:rsidR="002B5D3B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（加盖企业所在地税务主管部门公章）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，无不良信息者每项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分，未提供或有不良信息者不得分，满分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2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135A1F" w:rsidRDefault="00135A1F" w:rsidP="00A40CCF">
            <w:pPr>
              <w:rPr>
                <w:rFonts w:ascii="仿宋" w:eastAsia="仿宋" w:hAnsi="仿宋"/>
                <w:sz w:val="24"/>
                <w:szCs w:val="24"/>
              </w:rPr>
            </w:pPr>
            <w:r w:rsidRPr="00C6026C">
              <w:rPr>
                <w:rFonts w:ascii="仿宋" w:eastAsia="仿宋" w:hAnsi="仿宋"/>
                <w:sz w:val="24"/>
                <w:szCs w:val="24"/>
              </w:rPr>
              <w:t>2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、根据投标人在本项目以前社会对其认可度以及行政主管部门、工商、银行、行业部门颁发的荣誉证书等情况评定，基本分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分，每提供一份荣誉证书加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分，满分</w:t>
            </w:r>
            <w:r w:rsidRPr="00C6026C">
              <w:rPr>
                <w:rFonts w:ascii="仿宋" w:eastAsia="仿宋" w:hAnsi="仿宋"/>
                <w:sz w:val="24"/>
                <w:szCs w:val="24"/>
              </w:rPr>
              <w:t>3</w:t>
            </w:r>
            <w:r w:rsidRPr="00C6026C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021583" w:rsidRPr="00C6026C" w:rsidRDefault="00021583" w:rsidP="00A40CCF">
            <w:pPr>
              <w:rPr>
                <w:rFonts w:ascii="仿宋" w:eastAsia="仿宋" w:hAnsi="仿宋"/>
                <w:sz w:val="24"/>
                <w:szCs w:val="24"/>
              </w:rPr>
            </w:pPr>
            <w:r w:rsidRPr="00021583">
              <w:rPr>
                <w:rFonts w:ascii="仿宋" w:eastAsia="仿宋" w:hAnsi="仿宋" w:hint="eastAsia"/>
                <w:sz w:val="24"/>
                <w:szCs w:val="24"/>
              </w:rPr>
              <w:t>3、投标人提供货物需求中序号1教学一体机“整机平均无故障时间MTBF≥120000h</w:t>
            </w:r>
            <w:r w:rsidR="00140543">
              <w:rPr>
                <w:rFonts w:ascii="仿宋" w:eastAsia="仿宋" w:hAnsi="仿宋" w:hint="eastAsia"/>
                <w:sz w:val="24"/>
                <w:szCs w:val="24"/>
              </w:rPr>
              <w:t>”的国家设立的各级质量监测机构出具的质量</w:t>
            </w:r>
            <w:r w:rsidRPr="00021583">
              <w:rPr>
                <w:rFonts w:ascii="仿宋" w:eastAsia="仿宋" w:hAnsi="仿宋" w:hint="eastAsia"/>
                <w:sz w:val="24"/>
                <w:szCs w:val="24"/>
              </w:rPr>
              <w:t>检测报告证明文件并加盖公章,满分1分。</w:t>
            </w:r>
          </w:p>
        </w:tc>
        <w:tc>
          <w:tcPr>
            <w:tcW w:w="967" w:type="dxa"/>
            <w:vAlign w:val="center"/>
          </w:tcPr>
          <w:p w:rsidR="00135A1F" w:rsidRPr="002C1C1E" w:rsidRDefault="00021583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35A1F"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业绩</w:t>
            </w:r>
          </w:p>
        </w:tc>
        <w:tc>
          <w:tcPr>
            <w:tcW w:w="5953" w:type="dxa"/>
            <w:vAlign w:val="center"/>
          </w:tcPr>
          <w:p w:rsidR="00135A1F" w:rsidRPr="00C6026C" w:rsidRDefault="002D2118" w:rsidP="002F1D9A">
            <w:pPr>
              <w:rPr>
                <w:rFonts w:ascii="仿宋" w:eastAsia="仿宋" w:hAnsi="仿宋"/>
                <w:sz w:val="24"/>
                <w:szCs w:val="24"/>
              </w:rPr>
            </w:pPr>
            <w:r w:rsidRPr="00021583">
              <w:rPr>
                <w:rFonts w:ascii="仿宋" w:eastAsia="仿宋" w:hAnsi="仿宋" w:hint="eastAsia"/>
                <w:sz w:val="24"/>
                <w:szCs w:val="24"/>
              </w:rPr>
              <w:t>近3年以来具有类似项目业绩，合同及验收报告齐全的，每个1分，满分3分（以合同日期为准）。（以原件为准）</w:t>
            </w:r>
          </w:p>
        </w:tc>
        <w:tc>
          <w:tcPr>
            <w:tcW w:w="967" w:type="dxa"/>
            <w:vAlign w:val="center"/>
          </w:tcPr>
          <w:p w:rsidR="00135A1F" w:rsidRPr="002C1C1E" w:rsidRDefault="003C506E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35A1F"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2E26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投标文件规范程度</w:t>
            </w:r>
          </w:p>
        </w:tc>
        <w:tc>
          <w:tcPr>
            <w:tcW w:w="5953" w:type="dxa"/>
            <w:vAlign w:val="center"/>
          </w:tcPr>
          <w:p w:rsidR="00135A1F" w:rsidRPr="001F64BA" w:rsidRDefault="00135A1F" w:rsidP="002E269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F64BA">
              <w:rPr>
                <w:rFonts w:ascii="仿宋" w:eastAsia="仿宋" w:hAnsi="仿宋"/>
                <w:sz w:val="24"/>
                <w:szCs w:val="24"/>
              </w:rPr>
              <w:t>1</w:t>
            </w:r>
            <w:r w:rsidRPr="001F64BA">
              <w:rPr>
                <w:rFonts w:ascii="仿宋" w:eastAsia="仿宋" w:hAnsi="仿宋" w:hint="eastAsia"/>
                <w:sz w:val="24"/>
                <w:szCs w:val="24"/>
              </w:rPr>
              <w:t>、装订规范、文字清晰、无差错</w:t>
            </w:r>
            <w:r w:rsidRPr="001F64BA">
              <w:rPr>
                <w:rFonts w:ascii="仿宋" w:eastAsia="仿宋" w:hAnsi="仿宋"/>
                <w:sz w:val="24"/>
                <w:szCs w:val="24"/>
              </w:rPr>
              <w:t>1</w:t>
            </w:r>
            <w:r w:rsidRPr="001F64BA"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</w:p>
          <w:p w:rsidR="00135A1F" w:rsidRPr="002C1C1E" w:rsidRDefault="00135A1F" w:rsidP="00851A1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F64BA">
              <w:rPr>
                <w:rFonts w:ascii="仿宋" w:eastAsia="仿宋" w:hAnsi="仿宋"/>
                <w:sz w:val="24"/>
                <w:szCs w:val="24"/>
              </w:rPr>
              <w:t>2</w:t>
            </w:r>
            <w:r w:rsidRPr="001F64BA">
              <w:rPr>
                <w:rFonts w:ascii="仿宋" w:eastAsia="仿宋" w:hAnsi="仿宋" w:hint="eastAsia"/>
                <w:sz w:val="24"/>
                <w:szCs w:val="24"/>
              </w:rPr>
              <w:t>、所提供资料准确完整</w:t>
            </w:r>
            <w:r w:rsidRPr="001F64BA">
              <w:rPr>
                <w:rFonts w:ascii="仿宋" w:eastAsia="仿宋" w:hAnsi="仿宋"/>
                <w:sz w:val="24"/>
                <w:szCs w:val="24"/>
              </w:rPr>
              <w:t>1</w:t>
            </w:r>
            <w:r w:rsidRPr="001F64BA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967" w:type="dxa"/>
            <w:vAlign w:val="center"/>
          </w:tcPr>
          <w:p w:rsidR="00135A1F" w:rsidRPr="008274F5" w:rsidRDefault="00135A1F" w:rsidP="009F6D8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</w:tr>
      <w:tr w:rsidR="00135A1F" w:rsidRPr="002C1C1E" w:rsidTr="00140654">
        <w:trPr>
          <w:trHeight w:val="599"/>
          <w:jc w:val="center"/>
        </w:trPr>
        <w:tc>
          <w:tcPr>
            <w:tcW w:w="8966" w:type="dxa"/>
            <w:gridSpan w:val="3"/>
            <w:vAlign w:val="center"/>
          </w:tcPr>
          <w:p w:rsidR="00135A1F" w:rsidRPr="002C1C1E" w:rsidRDefault="00135A1F" w:rsidP="004456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技术部分（满分</w:t>
            </w:r>
            <w:r w:rsidR="00445606">
              <w:rPr>
                <w:rFonts w:ascii="仿宋" w:eastAsia="仿宋" w:hAnsi="仿宋" w:hint="eastAsia"/>
                <w:b/>
                <w:color w:val="FF0000"/>
                <w:sz w:val="24"/>
                <w:szCs w:val="24"/>
                <w:u w:val="single"/>
              </w:rPr>
              <w:t>40</w:t>
            </w: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分）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5953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967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135A1F" w:rsidRPr="002C1C1E" w:rsidTr="00BB2E53">
        <w:trPr>
          <w:trHeight w:val="2201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对招标文件</w:t>
            </w:r>
          </w:p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响应程度</w:t>
            </w:r>
          </w:p>
        </w:tc>
        <w:tc>
          <w:tcPr>
            <w:tcW w:w="5953" w:type="dxa"/>
            <w:vAlign w:val="center"/>
          </w:tcPr>
          <w:p w:rsidR="00D26607" w:rsidRPr="007F3AEF" w:rsidRDefault="00D26607" w:rsidP="00D2660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F3AEF">
              <w:rPr>
                <w:rFonts w:ascii="仿宋" w:eastAsia="仿宋" w:hAnsi="仿宋" w:hint="eastAsia"/>
                <w:sz w:val="24"/>
                <w:szCs w:val="24"/>
              </w:rPr>
              <w:t>1、不满足招标文件技术指标要求和商务条款规定的为无效投标。</w:t>
            </w:r>
          </w:p>
          <w:p w:rsidR="00135A1F" w:rsidRPr="00140543" w:rsidRDefault="00D26607" w:rsidP="0014054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F3AEF">
              <w:rPr>
                <w:rFonts w:ascii="仿宋" w:eastAsia="仿宋" w:hAnsi="仿宋" w:hint="eastAsia"/>
                <w:sz w:val="24"/>
                <w:szCs w:val="24"/>
              </w:rPr>
              <w:t>2、满足招标文件技术要求的基本分26分。所投产品技术参数优于“货物需求”中加★产品基本技术参数的，每一项加1分。满分为30分。</w:t>
            </w:r>
            <w:r w:rsidRPr="007F3AE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135A1F" w:rsidRPr="002C1C1E" w:rsidRDefault="00135A1F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/>
                <w:sz w:val="24"/>
                <w:szCs w:val="24"/>
              </w:rPr>
              <w:t xml:space="preserve">30 </w:t>
            </w:r>
            <w:r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35A1F" w:rsidRPr="002C1C1E" w:rsidTr="0046293F">
        <w:trPr>
          <w:trHeight w:val="567"/>
          <w:jc w:val="center"/>
        </w:trPr>
        <w:tc>
          <w:tcPr>
            <w:tcW w:w="2046" w:type="dxa"/>
            <w:vAlign w:val="center"/>
          </w:tcPr>
          <w:p w:rsidR="00135A1F" w:rsidRPr="002C1C1E" w:rsidRDefault="00135A1F" w:rsidP="002E2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C1E">
              <w:rPr>
                <w:rFonts w:ascii="仿宋" w:eastAsia="仿宋" w:hAnsi="仿宋" w:hint="eastAsia"/>
                <w:sz w:val="24"/>
                <w:szCs w:val="24"/>
              </w:rPr>
              <w:t>售后服务</w:t>
            </w:r>
          </w:p>
        </w:tc>
        <w:tc>
          <w:tcPr>
            <w:tcW w:w="5953" w:type="dxa"/>
            <w:vAlign w:val="center"/>
          </w:tcPr>
          <w:p w:rsidR="002F1D9A" w:rsidRPr="00A222B9" w:rsidRDefault="002F1D9A" w:rsidP="002F1D9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222B9">
              <w:rPr>
                <w:rFonts w:ascii="仿宋" w:eastAsia="仿宋" w:hAnsi="仿宋" w:hint="eastAsia"/>
                <w:sz w:val="24"/>
                <w:szCs w:val="24"/>
              </w:rPr>
              <w:t>1、解决问题时间：以小时为单位（四舍五入法，30分钟及以上按1小时计算），以24小时为起点，基本分1分，每减少1小时，加0.5分，满分2分。</w:t>
            </w:r>
          </w:p>
          <w:p w:rsidR="00135A1F" w:rsidRPr="002C1C1E" w:rsidRDefault="002F1D9A" w:rsidP="0014054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222B9">
              <w:rPr>
                <w:rFonts w:ascii="仿宋" w:eastAsia="仿宋" w:hAnsi="仿宋" w:hint="eastAsia"/>
                <w:sz w:val="24"/>
                <w:szCs w:val="24"/>
              </w:rPr>
              <w:t>2、免费保修时间：以年为单位（四舍五入法，6个月及以上按1年计算），以3年为起点，基本分1分，每增加1年加1分，满分8分。3年以下的不得分</w:t>
            </w:r>
            <w:r w:rsidR="00140543"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</w:tc>
        <w:tc>
          <w:tcPr>
            <w:tcW w:w="967" w:type="dxa"/>
            <w:vAlign w:val="center"/>
          </w:tcPr>
          <w:p w:rsidR="00135A1F" w:rsidRPr="002C1C1E" w:rsidRDefault="00CA7E31" w:rsidP="009F6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135A1F" w:rsidRPr="002C1C1E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</w:tbl>
    <w:p w:rsidR="00135A1F" w:rsidRDefault="00135A1F" w:rsidP="0062595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</w:p>
    <w:p w:rsidR="00135A1F" w:rsidRDefault="00135A1F" w:rsidP="0062595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六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采购资金支付</w:t>
      </w:r>
    </w:p>
    <w:p w:rsidR="00135A1F" w:rsidRDefault="00135A1F" w:rsidP="0062595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支付方式：银行转账</w:t>
      </w:r>
    </w:p>
    <w:p w:rsidR="00135A1F" w:rsidRPr="00323F3C" w:rsidRDefault="00135A1F" w:rsidP="00323F3C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（二）支付时间及条件：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经验收合格付合同总价款的</w:t>
      </w:r>
      <w:r w:rsidRPr="0063120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90%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，剩余</w:t>
      </w:r>
      <w:r w:rsidRPr="0063120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10%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满一年无质量问题一次付清。</w:t>
      </w:r>
    </w:p>
    <w:p w:rsidR="00135A1F" w:rsidRPr="00D70482" w:rsidRDefault="00135A1F" w:rsidP="00083A5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七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、联系方式</w:t>
      </w:r>
    </w:p>
    <w:p w:rsidR="00135A1F" w:rsidRDefault="00135A1F" w:rsidP="0066168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姓名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王甫</w:t>
      </w:r>
      <w:r w:rsidRPr="00D70482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      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 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18503749668</w:t>
      </w:r>
    </w:p>
    <w:p w:rsidR="00135A1F" w:rsidRDefault="00135A1F" w:rsidP="0066168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单位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新兴东路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号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许昌职业技术学院</w:t>
      </w:r>
    </w:p>
    <w:p w:rsidR="00135A1F" w:rsidRDefault="00135A1F" w:rsidP="0033359F">
      <w:pPr>
        <w:ind w:firstLineChars="1600" w:firstLine="4480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</w:p>
    <w:sectPr w:rsidR="00135A1F" w:rsidSect="00FB2526">
      <w:headerReference w:type="default" r:id="rId7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47" w:rsidRDefault="004B3E47" w:rsidP="00A7118E">
      <w:r>
        <w:separator/>
      </w:r>
    </w:p>
  </w:endnote>
  <w:endnote w:type="continuationSeparator" w:id="0">
    <w:p w:rsidR="004B3E47" w:rsidRDefault="004B3E47" w:rsidP="00A7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47" w:rsidRDefault="004B3E47" w:rsidP="00A7118E">
      <w:r>
        <w:separator/>
      </w:r>
    </w:p>
  </w:footnote>
  <w:footnote w:type="continuationSeparator" w:id="0">
    <w:p w:rsidR="004B3E47" w:rsidRDefault="004B3E47" w:rsidP="00A7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46" w:rsidRDefault="004D7D46" w:rsidP="007A3E9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FAE"/>
    <w:multiLevelType w:val="multilevel"/>
    <w:tmpl w:val="17B76FA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94C371B"/>
    <w:multiLevelType w:val="multilevel"/>
    <w:tmpl w:val="494C371B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4214BA"/>
    <w:multiLevelType w:val="singleLevel"/>
    <w:tmpl w:val="594214B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4B991F"/>
    <w:multiLevelType w:val="singleLevel"/>
    <w:tmpl w:val="594B99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4">
    <w:nsid w:val="5950AC21"/>
    <w:multiLevelType w:val="singleLevel"/>
    <w:tmpl w:val="5950AC21"/>
    <w:lvl w:ilvl="0">
      <w:start w:val="14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950AC55"/>
    <w:multiLevelType w:val="singleLevel"/>
    <w:tmpl w:val="5950AC55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950ACCA"/>
    <w:multiLevelType w:val="singleLevel"/>
    <w:tmpl w:val="5950ACCA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82"/>
    <w:rsid w:val="0000284D"/>
    <w:rsid w:val="00002F95"/>
    <w:rsid w:val="00020ED6"/>
    <w:rsid w:val="00021583"/>
    <w:rsid w:val="000241D3"/>
    <w:rsid w:val="0002708B"/>
    <w:rsid w:val="000304C8"/>
    <w:rsid w:val="00043FF0"/>
    <w:rsid w:val="00046D4A"/>
    <w:rsid w:val="00046E4A"/>
    <w:rsid w:val="000501BD"/>
    <w:rsid w:val="000502C2"/>
    <w:rsid w:val="0005306B"/>
    <w:rsid w:val="00053277"/>
    <w:rsid w:val="00062A08"/>
    <w:rsid w:val="00083A52"/>
    <w:rsid w:val="00085457"/>
    <w:rsid w:val="000865AF"/>
    <w:rsid w:val="00091F26"/>
    <w:rsid w:val="000B1E51"/>
    <w:rsid w:val="000C3E42"/>
    <w:rsid w:val="000E4F1A"/>
    <w:rsid w:val="000F5B62"/>
    <w:rsid w:val="00104B97"/>
    <w:rsid w:val="00115D6D"/>
    <w:rsid w:val="001334F1"/>
    <w:rsid w:val="00135A1F"/>
    <w:rsid w:val="00140543"/>
    <w:rsid w:val="00140654"/>
    <w:rsid w:val="0014437B"/>
    <w:rsid w:val="00151050"/>
    <w:rsid w:val="00153E84"/>
    <w:rsid w:val="00164B80"/>
    <w:rsid w:val="00173AF0"/>
    <w:rsid w:val="001748A7"/>
    <w:rsid w:val="00186F82"/>
    <w:rsid w:val="00194152"/>
    <w:rsid w:val="00194FB4"/>
    <w:rsid w:val="0019653D"/>
    <w:rsid w:val="001A26DC"/>
    <w:rsid w:val="001B402A"/>
    <w:rsid w:val="001C0F65"/>
    <w:rsid w:val="001D184E"/>
    <w:rsid w:val="001D4268"/>
    <w:rsid w:val="001D6998"/>
    <w:rsid w:val="001E1665"/>
    <w:rsid w:val="001E6C2D"/>
    <w:rsid w:val="001F2DDA"/>
    <w:rsid w:val="001F64BA"/>
    <w:rsid w:val="00205ED6"/>
    <w:rsid w:val="00206E34"/>
    <w:rsid w:val="00207CDF"/>
    <w:rsid w:val="0021315D"/>
    <w:rsid w:val="002141CE"/>
    <w:rsid w:val="00224656"/>
    <w:rsid w:val="00231B8F"/>
    <w:rsid w:val="00245B79"/>
    <w:rsid w:val="0025065A"/>
    <w:rsid w:val="002549EF"/>
    <w:rsid w:val="00274B19"/>
    <w:rsid w:val="0027710B"/>
    <w:rsid w:val="0028010A"/>
    <w:rsid w:val="00280D0D"/>
    <w:rsid w:val="002822E0"/>
    <w:rsid w:val="002A1B21"/>
    <w:rsid w:val="002A5800"/>
    <w:rsid w:val="002B5D3B"/>
    <w:rsid w:val="002C1C1E"/>
    <w:rsid w:val="002C3C96"/>
    <w:rsid w:val="002D1BFE"/>
    <w:rsid w:val="002D2118"/>
    <w:rsid w:val="002D21B1"/>
    <w:rsid w:val="002E2699"/>
    <w:rsid w:val="002F1D9A"/>
    <w:rsid w:val="00300698"/>
    <w:rsid w:val="003110E4"/>
    <w:rsid w:val="00313A24"/>
    <w:rsid w:val="00323F3C"/>
    <w:rsid w:val="00332C87"/>
    <w:rsid w:val="0033359F"/>
    <w:rsid w:val="00341433"/>
    <w:rsid w:val="00356FEB"/>
    <w:rsid w:val="00357598"/>
    <w:rsid w:val="0038357E"/>
    <w:rsid w:val="00385A2E"/>
    <w:rsid w:val="003A49D6"/>
    <w:rsid w:val="003B74EF"/>
    <w:rsid w:val="003C3216"/>
    <w:rsid w:val="003C506E"/>
    <w:rsid w:val="003E2CDE"/>
    <w:rsid w:val="003F1F8A"/>
    <w:rsid w:val="003F5CBC"/>
    <w:rsid w:val="003F756E"/>
    <w:rsid w:val="004063D5"/>
    <w:rsid w:val="0041118D"/>
    <w:rsid w:val="00413079"/>
    <w:rsid w:val="00417A1A"/>
    <w:rsid w:val="004349C5"/>
    <w:rsid w:val="004406E8"/>
    <w:rsid w:val="00445606"/>
    <w:rsid w:val="004522E6"/>
    <w:rsid w:val="0046107D"/>
    <w:rsid w:val="0046293F"/>
    <w:rsid w:val="00462A91"/>
    <w:rsid w:val="00470114"/>
    <w:rsid w:val="004727A9"/>
    <w:rsid w:val="00486EC7"/>
    <w:rsid w:val="00493E7F"/>
    <w:rsid w:val="004A30AF"/>
    <w:rsid w:val="004B0679"/>
    <w:rsid w:val="004B3456"/>
    <w:rsid w:val="004B3E47"/>
    <w:rsid w:val="004B7075"/>
    <w:rsid w:val="004C7898"/>
    <w:rsid w:val="004D071E"/>
    <w:rsid w:val="004D0B01"/>
    <w:rsid w:val="004D7D46"/>
    <w:rsid w:val="004E25DE"/>
    <w:rsid w:val="004E4D47"/>
    <w:rsid w:val="004E6805"/>
    <w:rsid w:val="004F3E62"/>
    <w:rsid w:val="00510018"/>
    <w:rsid w:val="0051066D"/>
    <w:rsid w:val="00510760"/>
    <w:rsid w:val="005119A0"/>
    <w:rsid w:val="00523F6D"/>
    <w:rsid w:val="00531C42"/>
    <w:rsid w:val="00533483"/>
    <w:rsid w:val="005337CC"/>
    <w:rsid w:val="005348DB"/>
    <w:rsid w:val="00537EC4"/>
    <w:rsid w:val="00550FB5"/>
    <w:rsid w:val="00552923"/>
    <w:rsid w:val="0056535E"/>
    <w:rsid w:val="0058224A"/>
    <w:rsid w:val="005A44AE"/>
    <w:rsid w:val="005B3311"/>
    <w:rsid w:val="005B6AAB"/>
    <w:rsid w:val="005C596F"/>
    <w:rsid w:val="005D5499"/>
    <w:rsid w:val="005E4046"/>
    <w:rsid w:val="005F03A1"/>
    <w:rsid w:val="006019EC"/>
    <w:rsid w:val="00602B26"/>
    <w:rsid w:val="006053CC"/>
    <w:rsid w:val="0061085B"/>
    <w:rsid w:val="00610E32"/>
    <w:rsid w:val="0061313E"/>
    <w:rsid w:val="0061422D"/>
    <w:rsid w:val="0062281C"/>
    <w:rsid w:val="00624297"/>
    <w:rsid w:val="0062595E"/>
    <w:rsid w:val="0063120A"/>
    <w:rsid w:val="006321D5"/>
    <w:rsid w:val="00635ED7"/>
    <w:rsid w:val="00636AAD"/>
    <w:rsid w:val="0063793C"/>
    <w:rsid w:val="0064653F"/>
    <w:rsid w:val="00654816"/>
    <w:rsid w:val="0066168C"/>
    <w:rsid w:val="00670AC5"/>
    <w:rsid w:val="006764D0"/>
    <w:rsid w:val="006813F4"/>
    <w:rsid w:val="00682E0D"/>
    <w:rsid w:val="006834C5"/>
    <w:rsid w:val="00685EBE"/>
    <w:rsid w:val="006863AE"/>
    <w:rsid w:val="00686D69"/>
    <w:rsid w:val="006942C8"/>
    <w:rsid w:val="006A53F0"/>
    <w:rsid w:val="006A71F6"/>
    <w:rsid w:val="006B450C"/>
    <w:rsid w:val="006C24FD"/>
    <w:rsid w:val="006C30D4"/>
    <w:rsid w:val="006C4E17"/>
    <w:rsid w:val="00707384"/>
    <w:rsid w:val="00712A19"/>
    <w:rsid w:val="00715FB5"/>
    <w:rsid w:val="007230B6"/>
    <w:rsid w:val="00723B7B"/>
    <w:rsid w:val="00731A27"/>
    <w:rsid w:val="0073358C"/>
    <w:rsid w:val="00735C20"/>
    <w:rsid w:val="0075740C"/>
    <w:rsid w:val="0077342A"/>
    <w:rsid w:val="00786524"/>
    <w:rsid w:val="007866A0"/>
    <w:rsid w:val="007A1988"/>
    <w:rsid w:val="007A28F1"/>
    <w:rsid w:val="007A3E9F"/>
    <w:rsid w:val="007B3EC7"/>
    <w:rsid w:val="007C60A8"/>
    <w:rsid w:val="007E1D6D"/>
    <w:rsid w:val="007E409B"/>
    <w:rsid w:val="007F3AEF"/>
    <w:rsid w:val="00800AFE"/>
    <w:rsid w:val="00812432"/>
    <w:rsid w:val="00813265"/>
    <w:rsid w:val="008162BA"/>
    <w:rsid w:val="00822C76"/>
    <w:rsid w:val="008274F5"/>
    <w:rsid w:val="00834346"/>
    <w:rsid w:val="00844D0E"/>
    <w:rsid w:val="00851A16"/>
    <w:rsid w:val="00863B55"/>
    <w:rsid w:val="00883D20"/>
    <w:rsid w:val="00887EB0"/>
    <w:rsid w:val="00891A49"/>
    <w:rsid w:val="008A0F34"/>
    <w:rsid w:val="008A7892"/>
    <w:rsid w:val="008B358E"/>
    <w:rsid w:val="008B5105"/>
    <w:rsid w:val="008B6D80"/>
    <w:rsid w:val="008C1773"/>
    <w:rsid w:val="008C627E"/>
    <w:rsid w:val="008D1F50"/>
    <w:rsid w:val="008D598D"/>
    <w:rsid w:val="008D5A3D"/>
    <w:rsid w:val="008E4F82"/>
    <w:rsid w:val="008E5DAA"/>
    <w:rsid w:val="008F0691"/>
    <w:rsid w:val="00907FD8"/>
    <w:rsid w:val="00916B8F"/>
    <w:rsid w:val="00921FD4"/>
    <w:rsid w:val="00932A4C"/>
    <w:rsid w:val="00937428"/>
    <w:rsid w:val="00940AC7"/>
    <w:rsid w:val="00941D1D"/>
    <w:rsid w:val="0095788D"/>
    <w:rsid w:val="00957F59"/>
    <w:rsid w:val="0096186A"/>
    <w:rsid w:val="009737D8"/>
    <w:rsid w:val="00987EBC"/>
    <w:rsid w:val="009970C6"/>
    <w:rsid w:val="009A1EE0"/>
    <w:rsid w:val="009B718A"/>
    <w:rsid w:val="009B7C17"/>
    <w:rsid w:val="009C12AB"/>
    <w:rsid w:val="009C5BF8"/>
    <w:rsid w:val="009E027F"/>
    <w:rsid w:val="009E12ED"/>
    <w:rsid w:val="009F6D8F"/>
    <w:rsid w:val="00A01417"/>
    <w:rsid w:val="00A01451"/>
    <w:rsid w:val="00A16EAB"/>
    <w:rsid w:val="00A222B9"/>
    <w:rsid w:val="00A27230"/>
    <w:rsid w:val="00A40CCF"/>
    <w:rsid w:val="00A5252A"/>
    <w:rsid w:val="00A55D17"/>
    <w:rsid w:val="00A7118E"/>
    <w:rsid w:val="00A83404"/>
    <w:rsid w:val="00A96CE5"/>
    <w:rsid w:val="00AA38D4"/>
    <w:rsid w:val="00AB233D"/>
    <w:rsid w:val="00AB5016"/>
    <w:rsid w:val="00AD3212"/>
    <w:rsid w:val="00AD5E42"/>
    <w:rsid w:val="00AD7C99"/>
    <w:rsid w:val="00AE1303"/>
    <w:rsid w:val="00B00167"/>
    <w:rsid w:val="00B0070F"/>
    <w:rsid w:val="00B04A01"/>
    <w:rsid w:val="00B121E0"/>
    <w:rsid w:val="00B21731"/>
    <w:rsid w:val="00B2386A"/>
    <w:rsid w:val="00B342D6"/>
    <w:rsid w:val="00B513EE"/>
    <w:rsid w:val="00B51449"/>
    <w:rsid w:val="00B518EF"/>
    <w:rsid w:val="00B578A0"/>
    <w:rsid w:val="00B62D14"/>
    <w:rsid w:val="00B779AB"/>
    <w:rsid w:val="00B87208"/>
    <w:rsid w:val="00B90798"/>
    <w:rsid w:val="00B94134"/>
    <w:rsid w:val="00BA02EC"/>
    <w:rsid w:val="00BA0D34"/>
    <w:rsid w:val="00BA2EEE"/>
    <w:rsid w:val="00BB2E53"/>
    <w:rsid w:val="00BB719F"/>
    <w:rsid w:val="00BC6EFF"/>
    <w:rsid w:val="00BD01B9"/>
    <w:rsid w:val="00BD5FBD"/>
    <w:rsid w:val="00BE28BB"/>
    <w:rsid w:val="00BE2F8B"/>
    <w:rsid w:val="00BE4130"/>
    <w:rsid w:val="00BE5571"/>
    <w:rsid w:val="00BE7674"/>
    <w:rsid w:val="00BF5438"/>
    <w:rsid w:val="00C01F58"/>
    <w:rsid w:val="00C03FD7"/>
    <w:rsid w:val="00C05A22"/>
    <w:rsid w:val="00C10157"/>
    <w:rsid w:val="00C1326F"/>
    <w:rsid w:val="00C13A23"/>
    <w:rsid w:val="00C14450"/>
    <w:rsid w:val="00C171BC"/>
    <w:rsid w:val="00C52205"/>
    <w:rsid w:val="00C55C54"/>
    <w:rsid w:val="00C6026C"/>
    <w:rsid w:val="00C61FD8"/>
    <w:rsid w:val="00C83940"/>
    <w:rsid w:val="00C85D05"/>
    <w:rsid w:val="00C8617B"/>
    <w:rsid w:val="00C9475D"/>
    <w:rsid w:val="00C96711"/>
    <w:rsid w:val="00CA0796"/>
    <w:rsid w:val="00CA7E31"/>
    <w:rsid w:val="00CC6C19"/>
    <w:rsid w:val="00CC7077"/>
    <w:rsid w:val="00CD285A"/>
    <w:rsid w:val="00CD7155"/>
    <w:rsid w:val="00CE1F17"/>
    <w:rsid w:val="00CE436B"/>
    <w:rsid w:val="00CE5C5F"/>
    <w:rsid w:val="00CE6EFF"/>
    <w:rsid w:val="00D031FB"/>
    <w:rsid w:val="00D110AB"/>
    <w:rsid w:val="00D14F01"/>
    <w:rsid w:val="00D26607"/>
    <w:rsid w:val="00D3075A"/>
    <w:rsid w:val="00D33579"/>
    <w:rsid w:val="00D33FED"/>
    <w:rsid w:val="00D37D8E"/>
    <w:rsid w:val="00D465D3"/>
    <w:rsid w:val="00D67372"/>
    <w:rsid w:val="00D70482"/>
    <w:rsid w:val="00D75D50"/>
    <w:rsid w:val="00D83478"/>
    <w:rsid w:val="00D85F12"/>
    <w:rsid w:val="00D91F99"/>
    <w:rsid w:val="00D94556"/>
    <w:rsid w:val="00DA071F"/>
    <w:rsid w:val="00DA235B"/>
    <w:rsid w:val="00DA319C"/>
    <w:rsid w:val="00DA488B"/>
    <w:rsid w:val="00DA733B"/>
    <w:rsid w:val="00DB463C"/>
    <w:rsid w:val="00DC4F63"/>
    <w:rsid w:val="00DE61D3"/>
    <w:rsid w:val="00DE6F65"/>
    <w:rsid w:val="00DF1B90"/>
    <w:rsid w:val="00DF572A"/>
    <w:rsid w:val="00E019F5"/>
    <w:rsid w:val="00E073BB"/>
    <w:rsid w:val="00E2408B"/>
    <w:rsid w:val="00E33DA9"/>
    <w:rsid w:val="00E37FEF"/>
    <w:rsid w:val="00E54079"/>
    <w:rsid w:val="00E605EF"/>
    <w:rsid w:val="00E64BDE"/>
    <w:rsid w:val="00E8547C"/>
    <w:rsid w:val="00E903BD"/>
    <w:rsid w:val="00E9768B"/>
    <w:rsid w:val="00EA16EA"/>
    <w:rsid w:val="00EA2D88"/>
    <w:rsid w:val="00EA3391"/>
    <w:rsid w:val="00EC0C81"/>
    <w:rsid w:val="00EC1448"/>
    <w:rsid w:val="00EC5CC8"/>
    <w:rsid w:val="00ED2A87"/>
    <w:rsid w:val="00EE58F7"/>
    <w:rsid w:val="00EF4103"/>
    <w:rsid w:val="00F06F0B"/>
    <w:rsid w:val="00F17938"/>
    <w:rsid w:val="00F23536"/>
    <w:rsid w:val="00F35294"/>
    <w:rsid w:val="00F5475C"/>
    <w:rsid w:val="00F67B23"/>
    <w:rsid w:val="00F91C14"/>
    <w:rsid w:val="00F91FE7"/>
    <w:rsid w:val="00FA1B54"/>
    <w:rsid w:val="00FA5B73"/>
    <w:rsid w:val="00FA7BC5"/>
    <w:rsid w:val="00FB0053"/>
    <w:rsid w:val="00FB2526"/>
    <w:rsid w:val="00FD52B8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70482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D7048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D70482"/>
    <w:rPr>
      <w:rFonts w:cs="Times New Roman"/>
      <w:b/>
      <w:bCs/>
    </w:rPr>
  </w:style>
  <w:style w:type="paragraph" w:styleId="a6">
    <w:name w:val="header"/>
    <w:basedOn w:val="a"/>
    <w:link w:val="Char"/>
    <w:uiPriority w:val="99"/>
    <w:rsid w:val="00A7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6"/>
    <w:uiPriority w:val="99"/>
    <w:locked/>
    <w:rsid w:val="00A7118E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7118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7"/>
    <w:uiPriority w:val="99"/>
    <w:locked/>
    <w:rsid w:val="00A7118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186F8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HTMLPreformattedChar">
    <w:name w:val="HTML Preformatted Char"/>
    <w:uiPriority w:val="99"/>
    <w:locked/>
    <w:rsid w:val="002E2699"/>
    <w:rPr>
      <w:rFonts w:ascii="宋体" w:eastAsia="宋体"/>
      <w:sz w:val="24"/>
    </w:rPr>
  </w:style>
  <w:style w:type="paragraph" w:styleId="HTML">
    <w:name w:val="HTML Preformatted"/>
    <w:basedOn w:val="a"/>
    <w:link w:val="HTMLChar"/>
    <w:uiPriority w:val="99"/>
    <w:rsid w:val="002E2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/>
    </w:rPr>
  </w:style>
  <w:style w:type="character" w:customStyle="1" w:styleId="HTMLChar">
    <w:name w:val="HTML 预设格式 Char"/>
    <w:link w:val="HTML"/>
    <w:uiPriority w:val="99"/>
    <w:semiHidden/>
    <w:locked/>
    <w:rsid w:val="0062281C"/>
    <w:rPr>
      <w:rFonts w:ascii="Courier New" w:hAnsi="Courier New" w:cs="Courier New"/>
      <w:sz w:val="20"/>
      <w:szCs w:val="20"/>
    </w:rPr>
  </w:style>
  <w:style w:type="character" w:customStyle="1" w:styleId="HTMLChar1">
    <w:name w:val="HTML 预设格式 Char1"/>
    <w:uiPriority w:val="99"/>
    <w:semiHidden/>
    <w:rsid w:val="002E2699"/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72"/>
    <w:qFormat/>
    <w:rsid w:val="00F5475C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rsid w:val="00205ED6"/>
    <w:rPr>
      <w:kern w:val="0"/>
      <w:sz w:val="18"/>
      <w:szCs w:val="18"/>
      <w:lang/>
    </w:rPr>
  </w:style>
  <w:style w:type="character" w:customStyle="1" w:styleId="Char1">
    <w:name w:val="批注框文本 Char"/>
    <w:link w:val="a9"/>
    <w:uiPriority w:val="99"/>
    <w:semiHidden/>
    <w:locked/>
    <w:rsid w:val="00205ED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6437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许昌市公共资源交易中心:孟莉</dc:creator>
  <cp:keywords/>
  <dc:description/>
  <cp:lastModifiedBy>许昌市公共资源交易中心:kemary</cp:lastModifiedBy>
  <cp:revision>332</cp:revision>
  <cp:lastPrinted>2018-03-21T07:19:00Z</cp:lastPrinted>
  <dcterms:created xsi:type="dcterms:W3CDTF">2017-11-17T04:20:00Z</dcterms:created>
  <dcterms:modified xsi:type="dcterms:W3CDTF">2018-03-21T07:30:00Z</dcterms:modified>
</cp:coreProperties>
</file>