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solid" w:color="FFFFFF"/>
        <w:wordWrap w:val="0"/>
        <w:spacing w:before="0" w:after="160" w:line="360" w:lineRule="atLeast"/>
        <w:ind w:right="0" w:firstLine="0"/>
        <w:jc w:val="center"/>
        <w:rPr>
          <w:rFonts w:hint="default" w:ascii="微软雅黑" w:hAnsi="微软雅黑" w:eastAsia="微软雅黑"/>
          <w:color w:val="000000"/>
          <w:position w:val="0"/>
          <w:sz w:val="27"/>
          <w:szCs w:val="27"/>
          <w:shd w:val="clear" w:color="000000" w:fill="FFFFFF"/>
        </w:rPr>
      </w:pPr>
      <w:r>
        <w:rPr>
          <w:rFonts w:hint="default" w:ascii="仿宋_GB2312" w:hAnsi="宋体" w:eastAsia="宋体"/>
          <w:b/>
          <w:color w:val="000000"/>
          <w:position w:val="0"/>
          <w:sz w:val="32"/>
          <w:szCs w:val="32"/>
          <w:shd w:val="clear" w:color="000000" w:fill="FFFFFF"/>
        </w:rPr>
        <w:t>党建“1369”工程“一机一屏”采购需求、评标标准等说明</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黑体" w:hAnsi="黑体" w:eastAsia="黑体"/>
          <w:color w:val="000000"/>
          <w:position w:val="0"/>
          <w:sz w:val="30"/>
          <w:szCs w:val="30"/>
          <w:shd w:val="clear" w:color="000000" w:fill="FFFFFF"/>
        </w:rPr>
        <w:t xml:space="preserve"> </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黑体" w:hAnsi="黑体" w:eastAsia="黑体"/>
          <w:color w:val="000000"/>
          <w:position w:val="0"/>
          <w:sz w:val="30"/>
          <w:szCs w:val="30"/>
          <w:shd w:val="clear" w:color="000000" w:fill="FFFFFF"/>
        </w:rPr>
        <w:t>一、项目概况</w:t>
      </w:r>
    </w:p>
    <w:p>
      <w:pPr>
        <w:numPr>
          <w:ilvl w:val="0"/>
          <w:numId w:val="0"/>
        </w:numPr>
        <w:shd w:val="solid" w:color="FFFFFF"/>
        <w:wordWrap w:val="0"/>
        <w:spacing w:before="0" w:after="160" w:line="360" w:lineRule="atLeast"/>
        <w:ind w:right="0" w:firstLine="0"/>
        <w:jc w:val="left"/>
        <w:rPr>
          <w:rFonts w:hint="default" w:ascii="仿宋_GB2312" w:hAnsi="仿宋_GB2312" w:eastAsia="仿宋_GB2312"/>
          <w:color w:val="000000"/>
          <w:position w:val="0"/>
          <w:sz w:val="30"/>
          <w:szCs w:val="30"/>
          <w:shd w:val="clear" w:color="000000" w:fill="FFFFFF"/>
        </w:rPr>
      </w:pPr>
      <w:r>
        <w:rPr>
          <w:rFonts w:hint="default" w:ascii="微软雅黑" w:hAnsi="微软雅黑" w:eastAsia="微软雅黑"/>
          <w:color w:val="000000"/>
          <w:position w:val="0"/>
          <w:sz w:val="30"/>
          <w:szCs w:val="30"/>
          <w:shd w:val="clear" w:color="000000" w:fill="FFFFFF"/>
        </w:rPr>
        <w:t xml:space="preserve">   </w:t>
      </w:r>
      <w:r>
        <w:rPr>
          <w:rFonts w:hint="default" w:ascii="仿宋" w:hAnsi="仿宋" w:eastAsia="仿宋"/>
          <w:color w:val="000000"/>
          <w:position w:val="0"/>
          <w:sz w:val="30"/>
          <w:szCs w:val="30"/>
          <w:shd w:val="clear" w:color="000000" w:fill="FFFFFF"/>
        </w:rPr>
        <w:t xml:space="preserve"> </w:t>
      </w:r>
      <w:r>
        <w:rPr>
          <w:rFonts w:hint="default" w:ascii="仿宋_GB2312" w:hAnsi="仿宋_GB2312" w:eastAsia="仿宋_GB2312"/>
          <w:color w:val="000000"/>
          <w:position w:val="0"/>
          <w:sz w:val="30"/>
          <w:szCs w:val="30"/>
          <w:shd w:val="clear" w:color="000000" w:fill="FFFFFF"/>
        </w:rPr>
        <w:t>（一）项目名称：党建“1369”工程“一机一屏”采购</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27"/>
          <w:szCs w:val="27"/>
          <w:shd w:val="clear" w:color="000000" w:fill="FFFFFF"/>
        </w:rPr>
      </w:pPr>
      <w:r>
        <w:rPr>
          <w:rFonts w:hint="default" w:ascii="仿宋_GB2312" w:hAnsi="仿宋_GB2312" w:eastAsia="仿宋_GB2312"/>
          <w:color w:val="000000"/>
          <w:position w:val="0"/>
          <w:sz w:val="30"/>
          <w:szCs w:val="30"/>
          <w:shd w:val="clear" w:color="000000" w:fill="FFFFFF"/>
        </w:rPr>
        <w:t xml:space="preserve">（二）采购方式：公开招标       </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30"/>
          <w:szCs w:val="30"/>
          <w:shd w:val="clear" w:color="000000" w:fill="FFFFFF"/>
        </w:rPr>
      </w:pPr>
      <w:r>
        <w:rPr>
          <w:rFonts w:hint="default" w:ascii="仿宋_GB2312" w:hAnsi="仿宋_GB2312" w:eastAsia="仿宋_GB2312"/>
          <w:color w:val="000000"/>
          <w:position w:val="0"/>
          <w:sz w:val="30"/>
          <w:szCs w:val="30"/>
          <w:shd w:val="clear" w:color="000000" w:fill="FFFFFF"/>
        </w:rPr>
        <w:t>（三）主要内容、数量及要求：</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auto"/>
          <w:position w:val="0"/>
          <w:sz w:val="30"/>
          <w:szCs w:val="30"/>
        </w:rPr>
      </w:pPr>
      <w:r>
        <w:rPr>
          <w:rFonts w:hint="default" w:ascii="仿宋_GB2312" w:hAnsi="仿宋_GB2312" w:eastAsia="仿宋_GB2312"/>
          <w:color w:val="000000"/>
          <w:position w:val="0"/>
          <w:sz w:val="30"/>
          <w:szCs w:val="30"/>
          <w:shd w:val="clear" w:color="000000" w:fill="FFFFFF"/>
        </w:rPr>
        <w:t>主要内容：</w:t>
      </w:r>
      <w:r>
        <w:rPr>
          <w:rFonts w:hint="default" w:ascii="仿宋_GB2312" w:hAnsi="仿宋_GB2312" w:eastAsia="仿宋_GB2312"/>
          <w:color w:val="auto"/>
          <w:position w:val="0"/>
          <w:sz w:val="30"/>
          <w:szCs w:val="30"/>
        </w:rPr>
        <w:t>根据全市党建观摩会议要求，今年我区打造完成20个全域社区。经部长办公会研究决定，为部分社区配备“一机一屏”及配备计算机。</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auto"/>
          <w:position w:val="0"/>
          <w:sz w:val="30"/>
          <w:szCs w:val="30"/>
        </w:rPr>
      </w:pPr>
      <w:r>
        <w:rPr>
          <w:rFonts w:hint="default" w:ascii="仿宋_GB2312" w:hAnsi="仿宋_GB2312" w:eastAsia="仿宋_GB2312"/>
          <w:color w:val="auto"/>
          <w:position w:val="0"/>
          <w:sz w:val="30"/>
          <w:szCs w:val="30"/>
        </w:rPr>
        <w:t>数量及要求：4*3拼接屏6套、3*3拼接屏7套、台式电脑40台、笔记本电脑20台等。</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27"/>
          <w:szCs w:val="27"/>
          <w:shd w:val="clear" w:color="000000" w:fill="FFFFFF"/>
        </w:rPr>
      </w:pPr>
      <w:r>
        <w:rPr>
          <w:rFonts w:hint="default" w:ascii="仿宋_GB2312" w:hAnsi="仿宋_GB2312" w:eastAsia="仿宋_GB2312"/>
          <w:color w:val="000000"/>
          <w:position w:val="0"/>
          <w:sz w:val="30"/>
          <w:szCs w:val="30"/>
          <w:shd w:val="clear" w:color="000000" w:fill="FFFFFF"/>
        </w:rPr>
        <w:t>（四）预算金额：2912000元；最高限价：2912000元</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27"/>
          <w:szCs w:val="27"/>
          <w:shd w:val="clear" w:color="000000" w:fill="FFFFFF"/>
        </w:rPr>
      </w:pPr>
      <w:r>
        <w:rPr>
          <w:rFonts w:hint="default" w:ascii="仿宋_GB2312" w:hAnsi="仿宋_GB2312" w:eastAsia="仿宋_GB2312"/>
          <w:color w:val="000000"/>
          <w:position w:val="0"/>
          <w:sz w:val="30"/>
          <w:szCs w:val="30"/>
          <w:shd w:val="clear" w:color="000000" w:fill="FFFFFF"/>
        </w:rPr>
        <w:t>（五）交付（服务、完工）时间：自合同签订之日起30个工作日内。</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27"/>
          <w:szCs w:val="27"/>
          <w:shd w:val="clear" w:color="000000" w:fill="FFFFFF"/>
        </w:rPr>
      </w:pPr>
      <w:r>
        <w:rPr>
          <w:rFonts w:hint="default" w:ascii="仿宋_GB2312" w:hAnsi="仿宋_GB2312" w:eastAsia="仿宋_GB2312"/>
          <w:color w:val="000000"/>
          <w:position w:val="0"/>
          <w:sz w:val="30"/>
          <w:szCs w:val="30"/>
          <w:shd w:val="clear" w:color="000000" w:fill="FFFFFF"/>
        </w:rPr>
        <w:t>（六）交付（服务、施工）地点：送至魏都区十三个社区便民服务站（含安装）。</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30"/>
          <w:szCs w:val="30"/>
          <w:shd w:val="clear" w:color="000000" w:fill="FFFFFF"/>
        </w:rPr>
      </w:pPr>
      <w:r>
        <w:rPr>
          <w:rFonts w:hint="default" w:ascii="仿宋_GB2312" w:hAnsi="仿宋_GB2312" w:eastAsia="仿宋_GB2312"/>
          <w:color w:val="000000"/>
          <w:position w:val="0"/>
          <w:sz w:val="30"/>
          <w:szCs w:val="30"/>
          <w:shd w:val="clear" w:color="000000" w:fill="FFFFFF"/>
        </w:rPr>
        <w:t>（七）进口产品：允许□不允许</w:t>
      </w:r>
      <w:r>
        <w:rPr>
          <w:rFonts w:hint="default" w:ascii="微软雅黑" w:hAnsi="微软雅黑" w:eastAsia="微软雅黑"/>
          <w:color w:val="000000"/>
          <w:position w:val="0"/>
          <w:sz w:val="27"/>
          <w:szCs w:val="27"/>
          <w:shd w:val="clear" w:color="000000" w:fill="FFFFFF"/>
        </w:rPr>
        <w:t>√</w:t>
      </w:r>
      <w:r>
        <w:rPr>
          <w:rFonts w:hint="default" w:ascii="仿宋_GB2312" w:hAnsi="仿宋_GB2312" w:eastAsia="仿宋_GB2312"/>
          <w:color w:val="000000"/>
          <w:position w:val="0"/>
          <w:sz w:val="30"/>
          <w:szCs w:val="30"/>
          <w:shd w:val="clear" w:color="000000" w:fill="FFFFFF"/>
        </w:rPr>
        <w:t>。</w:t>
      </w:r>
    </w:p>
    <w:p>
      <w:pPr>
        <w:numPr>
          <w:ilvl w:val="0"/>
          <w:numId w:val="0"/>
        </w:numPr>
        <w:shd w:val="solid" w:color="FFFFFF"/>
        <w:wordWrap w:val="0"/>
        <w:spacing w:before="0" w:after="160" w:line="360" w:lineRule="atLeast"/>
        <w:ind w:right="0" w:firstLine="600"/>
        <w:jc w:val="left"/>
        <w:rPr>
          <w:rFonts w:hint="default" w:ascii="仿宋_GB2312" w:hAnsi="仿宋_GB2312" w:eastAsia="仿宋_GB2312"/>
          <w:color w:val="000000"/>
          <w:position w:val="0"/>
          <w:sz w:val="27"/>
          <w:szCs w:val="27"/>
          <w:shd w:val="clear" w:color="000000" w:fill="FFFFFF"/>
        </w:rPr>
      </w:pPr>
      <w:r>
        <w:rPr>
          <w:rFonts w:hint="default" w:ascii="仿宋_GB2312" w:hAnsi="仿宋_GB2312" w:eastAsia="仿宋_GB2312"/>
          <w:color w:val="000000"/>
          <w:position w:val="0"/>
          <w:sz w:val="30"/>
          <w:szCs w:val="30"/>
          <w:shd w:val="clear" w:color="000000" w:fill="FFFFFF"/>
        </w:rPr>
        <w:t>（八）分包：允许□不允许</w:t>
      </w:r>
      <w:r>
        <w:rPr>
          <w:rFonts w:hint="default" w:ascii="微软雅黑" w:hAnsi="微软雅黑" w:eastAsia="微软雅黑"/>
          <w:color w:val="000000"/>
          <w:position w:val="0"/>
          <w:sz w:val="27"/>
          <w:szCs w:val="27"/>
          <w:shd w:val="clear" w:color="000000" w:fill="FFFFFF"/>
        </w:rPr>
        <w:t>√</w:t>
      </w:r>
      <w:r>
        <w:rPr>
          <w:rFonts w:hint="default" w:ascii="仿宋_GB2312" w:hAnsi="仿宋_GB2312" w:eastAsia="仿宋_GB2312"/>
          <w:color w:val="000000"/>
          <w:position w:val="0"/>
          <w:sz w:val="30"/>
          <w:szCs w:val="30"/>
          <w:shd w:val="clear" w:color="000000" w:fill="FFFFFF"/>
        </w:rPr>
        <w:t>。</w:t>
      </w:r>
    </w:p>
    <w:p>
      <w:pPr>
        <w:numPr>
          <w:ilvl w:val="0"/>
          <w:numId w:val="0"/>
        </w:numPr>
        <w:shd w:val="solid" w:color="FFFFFF"/>
        <w:wordWrap w:val="0"/>
        <w:spacing w:before="0" w:after="160" w:line="360" w:lineRule="atLeast"/>
        <w:ind w:right="0" w:firstLine="600"/>
        <w:jc w:val="left"/>
        <w:rPr>
          <w:rFonts w:hint="default" w:ascii="黑体" w:hAnsi="黑体" w:eastAsia="黑体"/>
          <w:color w:val="000000"/>
          <w:position w:val="0"/>
          <w:sz w:val="30"/>
          <w:szCs w:val="30"/>
          <w:shd w:val="clear" w:color="000000" w:fill="FFFFFF"/>
        </w:rPr>
      </w:pPr>
      <w:r>
        <w:rPr>
          <w:rFonts w:hint="default" w:ascii="黑体" w:hAnsi="黑体" w:eastAsia="黑体"/>
          <w:color w:val="000000"/>
          <w:position w:val="0"/>
          <w:sz w:val="30"/>
          <w:szCs w:val="30"/>
          <w:shd w:val="clear" w:color="000000" w:fill="FFFFFF"/>
        </w:rPr>
        <w:t>二、需要落实的政府采购政策</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仿宋" w:hAnsi="仿宋" w:eastAsia="仿宋"/>
          <w:color w:val="000000"/>
          <w:position w:val="0"/>
          <w:sz w:val="30"/>
          <w:szCs w:val="30"/>
          <w:shd w:val="clear" w:color="000000" w:fill="FFFFFF"/>
        </w:rPr>
        <w:t>本项目落实节能环保</w:t>
      </w:r>
      <w:r>
        <w:rPr>
          <w:rFonts w:hint="default" w:ascii="微软雅黑" w:hAnsi="微软雅黑" w:eastAsia="微软雅黑"/>
          <w:color w:val="000000"/>
          <w:position w:val="0"/>
          <w:sz w:val="27"/>
          <w:szCs w:val="27"/>
          <w:shd w:val="clear" w:color="000000" w:fill="FFFFFF"/>
        </w:rPr>
        <w:t>√</w:t>
      </w:r>
      <w:r>
        <w:rPr>
          <w:rFonts w:hint="default" w:ascii="仿宋" w:hAnsi="仿宋" w:eastAsia="仿宋"/>
          <w:color w:val="000000"/>
          <w:position w:val="0"/>
          <w:sz w:val="30"/>
          <w:szCs w:val="30"/>
          <w:shd w:val="clear" w:color="000000" w:fill="FFFFFF"/>
        </w:rPr>
        <w:t>、中小微型企业扶持</w:t>
      </w:r>
      <w:r>
        <w:rPr>
          <w:rFonts w:hint="default" w:ascii="微软雅黑" w:hAnsi="微软雅黑" w:eastAsia="微软雅黑"/>
          <w:color w:val="000000"/>
          <w:position w:val="0"/>
          <w:sz w:val="27"/>
          <w:szCs w:val="27"/>
          <w:shd w:val="clear" w:color="000000" w:fill="FFFFFF"/>
        </w:rPr>
        <w:t>√</w:t>
      </w:r>
      <w:r>
        <w:rPr>
          <w:rFonts w:hint="default" w:ascii="仿宋" w:hAnsi="仿宋" w:eastAsia="仿宋"/>
          <w:color w:val="000000"/>
          <w:position w:val="0"/>
          <w:sz w:val="30"/>
          <w:szCs w:val="30"/>
          <w:shd w:val="clear" w:color="000000" w:fill="FFFFFF"/>
        </w:rPr>
        <w:t>、支持监狱企业发展</w:t>
      </w:r>
      <w:r>
        <w:rPr>
          <w:rFonts w:hint="default" w:ascii="微软雅黑" w:hAnsi="微软雅黑" w:eastAsia="微软雅黑"/>
          <w:color w:val="000000"/>
          <w:position w:val="0"/>
          <w:sz w:val="27"/>
          <w:szCs w:val="27"/>
          <w:shd w:val="clear" w:color="000000" w:fill="FFFFFF"/>
        </w:rPr>
        <w:t>√</w:t>
      </w:r>
      <w:r>
        <w:rPr>
          <w:rFonts w:hint="default" w:ascii="仿宋" w:hAnsi="仿宋" w:eastAsia="仿宋"/>
          <w:color w:val="000000"/>
          <w:position w:val="0"/>
          <w:sz w:val="30"/>
          <w:szCs w:val="30"/>
          <w:shd w:val="clear" w:color="000000" w:fill="FFFFFF"/>
        </w:rPr>
        <w:t>、残疾人福利性单位扶持</w:t>
      </w:r>
      <w:r>
        <w:rPr>
          <w:rFonts w:hint="default" w:ascii="微软雅黑" w:hAnsi="微软雅黑" w:eastAsia="微软雅黑"/>
          <w:color w:val="000000"/>
          <w:position w:val="0"/>
          <w:sz w:val="27"/>
          <w:szCs w:val="27"/>
          <w:shd w:val="clear" w:color="000000" w:fill="FFFFFF"/>
        </w:rPr>
        <w:t>√</w:t>
      </w:r>
      <w:r>
        <w:rPr>
          <w:rFonts w:hint="default" w:ascii="仿宋_GB2312" w:hAnsi="仿宋_GB2312" w:eastAsia="仿宋_GB2312"/>
          <w:color w:val="auto"/>
          <w:position w:val="0"/>
          <w:sz w:val="30"/>
          <w:szCs w:val="30"/>
        </w:rPr>
        <w:t>，</w:t>
      </w:r>
      <w:r>
        <w:rPr>
          <w:rFonts w:hint="default" w:ascii="仿宋" w:hAnsi="仿宋" w:eastAsia="仿宋"/>
          <w:color w:val="000000"/>
          <w:position w:val="0"/>
          <w:sz w:val="30"/>
          <w:szCs w:val="30"/>
          <w:shd w:val="clear" w:color="000000" w:fill="FFFFFF"/>
        </w:rPr>
        <w:t>等相关政府采购政策。</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黑体" w:hAnsi="黑体" w:eastAsia="黑体"/>
          <w:color w:val="000000"/>
          <w:position w:val="0"/>
          <w:sz w:val="30"/>
          <w:szCs w:val="30"/>
          <w:shd w:val="clear" w:color="000000" w:fill="FFFFFF"/>
        </w:rPr>
        <w:t>三、投标人资格要求</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（一）具备《政府采购法》第二十二条第一款规定条件并提供相关材料。</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仿宋" w:hAnsi="仿宋" w:eastAsia="仿宋"/>
          <w:color w:val="000000"/>
          <w:position w:val="0"/>
          <w:sz w:val="30"/>
          <w:szCs w:val="30"/>
          <w:shd w:val="clear" w:color="000000" w:fill="FFFFFF"/>
        </w:rPr>
        <w:t>（二）本次招标不接受联合体投标。</w:t>
      </w:r>
    </w:p>
    <w:p>
      <w:pPr>
        <w:numPr>
          <w:ilvl w:val="0"/>
          <w:numId w:val="0"/>
        </w:numPr>
        <w:shd w:val="solid" w:color="FFFFFF"/>
        <w:wordWrap w:val="0"/>
        <w:spacing w:before="0" w:after="160" w:line="360" w:lineRule="atLeast"/>
        <w:ind w:right="0" w:firstLine="600"/>
        <w:jc w:val="left"/>
        <w:rPr>
          <w:rFonts w:hint="default" w:ascii="黑体" w:hAnsi="黑体" w:eastAsia="黑体"/>
          <w:color w:val="000000"/>
          <w:position w:val="0"/>
          <w:sz w:val="30"/>
          <w:szCs w:val="30"/>
          <w:shd w:val="clear" w:color="000000" w:fill="FFFFFF"/>
        </w:rPr>
      </w:pPr>
      <w:r>
        <w:rPr>
          <w:rFonts w:hint="default" w:ascii="黑体" w:hAnsi="黑体" w:eastAsia="黑体"/>
          <w:color w:val="000000"/>
          <w:position w:val="0"/>
          <w:sz w:val="30"/>
          <w:szCs w:val="30"/>
          <w:shd w:val="clear" w:color="000000" w:fill="FFFFFF"/>
        </w:rPr>
        <w:t>四、采购需求</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（一）本项目需实现的功能或者目标</w:t>
      </w:r>
    </w:p>
    <w:p>
      <w:pPr>
        <w:numPr>
          <w:ilvl w:val="0"/>
          <w:numId w:val="0"/>
        </w:numPr>
        <w:wordWrap w:val="0"/>
        <w:spacing w:before="0" w:after="160" w:line="600" w:lineRule="exact"/>
        <w:ind w:right="0" w:firstLine="640"/>
        <w:jc w:val="left"/>
        <w:rPr>
          <w:rFonts w:hint="default" w:ascii="仿宋_GB2312" w:hAnsi="仿宋" w:eastAsia="仿宋"/>
          <w:color w:val="auto"/>
          <w:position w:val="0"/>
          <w:sz w:val="32"/>
          <w:szCs w:val="32"/>
        </w:rPr>
      </w:pPr>
      <w:r>
        <w:rPr>
          <w:rFonts w:hint="default" w:ascii="仿宋_GB2312" w:hAnsi="仿宋" w:eastAsia="仿宋"/>
          <w:color w:val="auto"/>
          <w:position w:val="0"/>
          <w:sz w:val="32"/>
          <w:szCs w:val="32"/>
        </w:rPr>
        <w:t>根据全市党建观摩会议要求，今年我区打造完成20个全域社区。结合实际，决定为13个示范社区配备“一机一屏”及配备计算机。</w:t>
      </w:r>
    </w:p>
    <w:p>
      <w:pPr>
        <w:numPr>
          <w:ilvl w:val="0"/>
          <w:numId w:val="0"/>
        </w:numPr>
        <w:wordWrap w:val="0"/>
        <w:spacing w:before="0" w:after="160" w:line="600" w:lineRule="exact"/>
        <w:ind w:right="0" w:firstLine="640"/>
        <w:jc w:val="left"/>
        <w:rPr>
          <w:rFonts w:hint="default" w:ascii="仿宋_GB2312" w:hAnsi="仿宋" w:eastAsia="仿宋"/>
          <w:color w:val="auto"/>
          <w:position w:val="0"/>
          <w:sz w:val="32"/>
          <w:szCs w:val="32"/>
        </w:rPr>
      </w:pPr>
      <w:r>
        <w:rPr>
          <w:rFonts w:hint="default" w:ascii="仿宋_GB2312" w:hAnsi="仿宋" w:eastAsia="仿宋"/>
          <w:color w:val="auto"/>
          <w:position w:val="0"/>
          <w:sz w:val="32"/>
          <w:szCs w:val="32"/>
        </w:rPr>
        <w:t>确保各社区具有一个统一的工作系统和一个资源丰富的工作平台，努力提升社区服务群众的意识、能力和水平，为建设“五个魏都”奠定坚实基础。</w:t>
      </w:r>
    </w:p>
    <w:p>
      <w:pPr>
        <w:numPr>
          <w:ilvl w:val="0"/>
          <w:numId w:val="0"/>
        </w:numPr>
        <w:shd w:val="solid" w:color="FFFFFF"/>
        <w:wordWrap w:val="0"/>
        <w:spacing w:before="0" w:after="160" w:line="360" w:lineRule="atLeast"/>
        <w:ind w:right="0" w:firstLine="600"/>
        <w:jc w:val="left"/>
        <w:rPr>
          <w:rFonts w:hint="default" w:ascii="黑体" w:hAnsi="黑体" w:eastAsia="黑体"/>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（二）采购清单</w:t>
      </w:r>
    </w:p>
    <w:tbl>
      <w:tblPr>
        <w:tblStyle w:val="25"/>
        <w:tblW w:w="8858" w:type="dxa"/>
        <w:tblInd w:w="0" w:type="dxa"/>
        <w:tblLayout w:type="fixed"/>
        <w:tblCellMar>
          <w:top w:w="15" w:type="dxa"/>
          <w:left w:w="15" w:type="dxa"/>
          <w:bottom w:w="15" w:type="dxa"/>
          <w:right w:w="15" w:type="dxa"/>
        </w:tblCellMar>
      </w:tblPr>
      <w:tblGrid>
        <w:gridCol w:w="329"/>
        <w:gridCol w:w="759"/>
        <w:gridCol w:w="6361"/>
        <w:gridCol w:w="353"/>
        <w:gridCol w:w="428"/>
        <w:gridCol w:w="628"/>
      </w:tblGrid>
      <w:tr>
        <w:tblPrEx>
          <w:tblLayout w:type="fixed"/>
          <w:tblCellMar>
            <w:top w:w="15" w:type="dxa"/>
            <w:left w:w="15" w:type="dxa"/>
            <w:bottom w:w="15" w:type="dxa"/>
            <w:right w:w="15" w:type="dxa"/>
          </w:tblCellMar>
        </w:tblPrEx>
        <w:trPr>
          <w:trHeight w:val="532" w:hRule="atLeast"/>
        </w:trPr>
        <w:tc>
          <w:tcPr>
            <w:tcW w:w="32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序号</w:t>
            </w:r>
          </w:p>
        </w:tc>
        <w:tc>
          <w:tcPr>
            <w:tcW w:w="75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货物名称</w:t>
            </w:r>
          </w:p>
        </w:tc>
        <w:tc>
          <w:tcPr>
            <w:tcW w:w="6361"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技术规格及主要参数</w:t>
            </w:r>
          </w:p>
        </w:tc>
        <w:tc>
          <w:tcPr>
            <w:tcW w:w="353"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单位</w:t>
            </w:r>
          </w:p>
        </w:tc>
        <w:tc>
          <w:tcPr>
            <w:tcW w:w="428"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数量</w:t>
            </w:r>
          </w:p>
        </w:tc>
        <w:tc>
          <w:tcPr>
            <w:tcW w:w="628"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top"/>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是否为核心产品</w:t>
            </w:r>
          </w:p>
        </w:tc>
      </w:tr>
      <w:tr>
        <w:tblPrEx>
          <w:tblLayout w:type="fixed"/>
          <w:tblCellMar>
            <w:top w:w="15" w:type="dxa"/>
            <w:left w:w="15" w:type="dxa"/>
            <w:bottom w:w="15" w:type="dxa"/>
            <w:right w:w="15" w:type="dxa"/>
          </w:tblCellMar>
        </w:tblPrEx>
        <w:trPr>
          <w:trHeight w:val="56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台式电脑</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CPU:≥Intel四核i5-7500,主频≥3.4GHZ，缓存≥6M</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主板：IntelB250系列芯片组</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内存：≥4GB (DDR4 )</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硬盘：≥ 1T 7200 RPM 3.5" SATA</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声卡：集成或独立5.1声道声卡，提供后置3个立体声接口</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显卡：集成显卡</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网卡：≥10M/100M/1000M以太网卡</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电源：≤180W</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机箱：可立可卧，不大于8.5L</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显示器：标准尺寸21.5英寸显示器；与主机同一厂家;</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标配接口：≥ 1个VGA接口， USB接口≥8个，其中前置USB3.0接口≥4个</w:t>
            </w:r>
          </w:p>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USB键盘和鼠标。</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台</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40</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65"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2</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笔记本电脑</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CPU：英特尔 酷睿 i5-7200 处理器 (主频≥2.5GHz、3M 缓存，)</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内存：4GB DDR4  (4GBx1)</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硬盘：128G固态+500G机械硬盘</w:t>
            </w:r>
          </w:p>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显卡：独立显卡，显存≥2GB</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屏幕：14.0-英寸 HD (1366x768) 防眩光 LED背光显示器</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安全设备： 智能指纹识别系统登录，触控板（按键与触控板分离）、180度开合金转轴, 720p  摄像头含麦克风</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 xml:space="preserve">光驱：一键热插拔 DVD RW </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无线设备：802.11ac + 蓝牙 4.0</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电池：40 瓦时, 4-芯电池</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接口：自带VGA端口 、HDMI输出端口、RJ-45端口、4个USB 端口</w:t>
            </w:r>
            <w:r>
              <w:rPr>
                <w:rFonts w:hint="default" w:ascii="宋体" w:hAnsi="宋体" w:eastAsia="宋体"/>
                <w:color w:val="auto"/>
                <w:position w:val="0"/>
                <w:sz w:val="20"/>
                <w:szCs w:val="20"/>
              </w:rPr>
              <w:t xml:space="preserve"> </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台</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20</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027"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3</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3*3拼接屏</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 拼接单元尺寸：≥46"；</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2. 拼缝≤3.5mm;</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3. 背光模块类型：直下式LED；</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4. 亮度：≥500cd/㎡；</w:t>
            </w:r>
          </w:p>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5. 分辨率：1920×1080；</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6. 响应时间：8ms；</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7. 50000小时以上的使用寿命；</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8. 可视角度：水平178°/垂直178°；</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9. 可视区域（mm）: ≥1018(H) x 572 (V)</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10.主要输入接口类型：VGA+DVI+HDMI*2；单屏具有DP接口；全部输入接口：Analong D-SUB,DVI-D,DP,CVBS,HDMI1,HDMI2;主要输出接口：DVI-D（环路输出，最大支持10X10）；控制接口：RS232C(输入/输出)，RJ45;</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11.单屏可显示1080P，16:9高清图像显示；支持DnleTM数码自然影像技术；</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12.色调方面：每个显示屏都具备使用OSD菜单的颜色可调试能力；</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13.自动亮度调整：内置光敏传感器，根据环境光线强弱，自动调整大屏亮度；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14.液晶面板和整机为同一厂家生产；</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15.可以通过RS232和RJ45端口获取大屏状态参数。</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4</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安装支架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国标、定制拼接屏安装支架，长时间使用不生锈，平稳牢固美观.</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64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5</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图像拼接控制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1.信号输入：2路VGA/RGB全格式信号输入；9路视频输入，支持XGA， SXGA，SXGA+，UGA，WUGA等主流高清信号，单路可支持1920*1200/60HZ；</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2.输出信号：12路DVI-I输出，最大分辨率支持1920*1200；</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3.控制：标准RS232端口，网络控制；</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4.PCI插槽式全硬件构架，无CPU和操作系统；</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5启动迅速，硬件启动时间小于5秒钟；</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6.带与显示单元物理像数点对点的高清底图功能，预留USB接口可升级高清底图；</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7.支持红外，RS232串口控制；支持HDMI接口输出；具备HDSDI,HDMI,Ypbpr高清输入接口；视频信号切换无雪花现象。</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144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控制系统软件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1.采用232串口连接；</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2.具备屏幕墙功能：Video Wall（屏幕墙）是一组拼接起来的视频屏幕，每个屏幕显示一幅完整画面的一部分或所有屏幕都显示相同的画面，Video Wall (Screen divider)可用来分割屏幕；分割屏幕时可以选择不同布局的屏幕数；</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3.具备参数设置功能：通过软件可以非常方面的设置任意一个屏的性能参数（如亮度、对比度等等）。</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音频</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1"/>
                <w:szCs w:val="21"/>
                <w:u w:val="none"/>
              </w:rPr>
              <w:t>音频分离器+音响，支持视频音频同传</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8</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线材</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国标</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批</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9</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装修装饰</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屏幕四周铝塑板包边</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7</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432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10</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4*3拼接屏</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 拼接单元尺寸：≥46"；</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2. 拼缝≤3.5mm;</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3. 背光模块类型：直下式LED；</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4. 亮度：≥500cd/㎡；</w:t>
            </w:r>
          </w:p>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5. 分辨率：1920×1080；</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6. 响应时间：8ms；</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7. 50000小时以上的使用寿命；</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8. 可视角度：水平178°/垂直178°；</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9. 可视区域（mm）: ≥1018(H) x 572 (V)</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10.主要输入接口类型：VGA+DVI+HDMI*2；单屏具有DP接口；全部输入接口：Analong D-SUB,DVI-D,DP,CVBS,HDMI1,HDMI2;主要输出接口：DVI-D（环路输出，最大支持10X10）；控制接口：RS232C(输入/输出)，RJ45;</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11.单屏可显示1080P，16:9高清图像显示；支持DnleTM数码自然影像技术；</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12.色调方面：每个显示屏都具备使用OSD菜单的颜色可调试能力；</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13.自动亮度调整：内置光敏传感器，根据环境光线强弱，自动调整大屏亮度；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14.液晶面板和整机为同一厂家生产；</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15.可以通过RS232和RJ45端口获取大屏状态参数。</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是</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11</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安装支架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国标、定制拼接屏安装支架，长时间使用不生锈，平稳牢固美观.</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40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12</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图像拼接控制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1.信号输入：2路VGA/RGB全格式信号输入；9路视频输入，支持XGA， SXGA，SXGA+，UGA，WUGA等主流高清信号，单路可支持1920*1200/60HZ；</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2.输出信号：12路DVI-I输出，最大分辨率支持1920*1200；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3.控制：标准RS232端口，网络控制；</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4.PCI插槽式全硬件构架，无CPU和操作系统；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5启动迅速，硬件启动时间小于5秒钟；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6.带与显示单元物理像数点对点的高清底图功能，预留USB接口可升级高清底图；</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7.支持红外，RS232串口控制；支持HDMI接口输出；具备HDSDI,HDMI,Ypbpr高清输入接口；视频信号切换无雪花现象。</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48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13</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控制系统软件</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专业版控制软件，与大屏幕统一品牌。</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14</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音频</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1"/>
                <w:szCs w:val="21"/>
                <w:u w:val="none"/>
              </w:rPr>
              <w:t>音频分离器+音响，支持视频音频同传</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15</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线材</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国标</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批</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16</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装修装饰</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屏幕四周铝塑板包边</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6</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17</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施工费</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1440" w:hRule="atLeast"/>
        </w:trPr>
        <w:tc>
          <w:tcPr>
            <w:tcW w:w="3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18</w:t>
            </w:r>
          </w:p>
        </w:tc>
        <w:tc>
          <w:tcPr>
            <w:tcW w:w="75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查询机</w:t>
            </w:r>
          </w:p>
        </w:tc>
        <w:tc>
          <w:tcPr>
            <w:tcW w:w="636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000000"/>
                <w:position w:val="0"/>
                <w:sz w:val="20"/>
                <w:szCs w:val="20"/>
              </w:rPr>
            </w:pPr>
            <w:r>
              <w:rPr>
                <w:rFonts w:hint="default" w:ascii="宋体" w:hAnsi="宋体" w:eastAsia="宋体"/>
                <w:color w:val="auto"/>
                <w:position w:val="0"/>
                <w:sz w:val="20"/>
                <w:szCs w:val="20"/>
              </w:rPr>
              <w:t>1、尺寸：55寸；LED背光；2、显示面积：1209.6(H)X 680.4(V)；3、 整机厚度：≤110.6mm；显示比例： 16:9；4、液晶屏类型：节能屏 A规液晶屏；</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2、物理分辨率：3840x2160 ；显示色彩：24bit真彩（16.7M）；显示对比度：5000:1；亮度： 350cd/㎡；最大可视角：≈176°。</w:t>
            </w:r>
          </w:p>
        </w:tc>
        <w:tc>
          <w:tcPr>
            <w:tcW w:w="353"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套</w:t>
            </w:r>
          </w:p>
        </w:tc>
        <w:tc>
          <w:tcPr>
            <w:tcW w:w="4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11</w:t>
            </w:r>
          </w:p>
        </w:tc>
        <w:tc>
          <w:tcPr>
            <w:tcW w:w="628"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000000"/>
                <w:position w:val="0"/>
                <w:sz w:val="20"/>
                <w:szCs w:val="20"/>
              </w:rPr>
            </w:pPr>
            <w:r>
              <w:rPr>
                <w:rFonts w:hint="default" w:ascii="宋体" w:hAnsi="宋体" w:eastAsia="宋体"/>
                <w:color w:val="auto"/>
                <w:position w:val="0"/>
                <w:sz w:val="20"/>
                <w:szCs w:val="20"/>
              </w:rPr>
              <w:t>否</w:t>
            </w:r>
          </w:p>
        </w:tc>
      </w:tr>
    </w:tbl>
    <w:p>
      <w:pPr>
        <w:numPr>
          <w:ilvl w:val="0"/>
          <w:numId w:val="0"/>
        </w:numPr>
        <w:shd w:val="solid" w:color="FFFFFF"/>
        <w:wordWrap w:val="0"/>
        <w:spacing w:before="0" w:after="160" w:line="360" w:lineRule="atLeast"/>
        <w:ind w:right="0" w:firstLine="0"/>
        <w:jc w:val="left"/>
        <w:rPr>
          <w:rFonts w:hint="default" w:ascii="仿宋" w:hAnsi="仿宋" w:eastAsia="仿宋"/>
          <w:color w:val="000000"/>
          <w:position w:val="0"/>
          <w:sz w:val="30"/>
          <w:szCs w:val="30"/>
          <w:shd w:val="clear" w:color="000000" w:fill="FFFFFF"/>
        </w:rPr>
      </w:pPr>
    </w:p>
    <w:p>
      <w:pPr>
        <w:numPr>
          <w:ilvl w:val="0"/>
          <w:numId w:val="0"/>
        </w:numPr>
        <w:shd w:val="solid" w:color="FFFFFF"/>
        <w:wordWrap w:val="0"/>
        <w:spacing w:before="0" w:after="160" w:line="360" w:lineRule="atLeast"/>
        <w:ind w:right="0" w:firstLine="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（三）验收标准</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1.由采购人成立验收小组,按照采购合同的约定对中标人履约情况进行验收。验收时,按照采购合同的约定对每一项技术、服务、安全标准的履约情况进行确认。验收结束后,出具验收书。</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2、按照招标文件要求、投标文件响应和承诺验收。</w:t>
      </w:r>
    </w:p>
    <w:p>
      <w:pPr>
        <w:numPr>
          <w:numId w:val="0"/>
        </w:numPr>
        <w:shd w:val="solid" w:color="FFFFFF"/>
        <w:wordWrap w:val="0"/>
        <w:spacing w:before="0" w:after="160" w:line="360" w:lineRule="atLeast"/>
        <w:ind w:right="0" w:rightChars="0"/>
        <w:jc w:val="left"/>
        <w:rPr>
          <w:rFonts w:hint="default" w:ascii="仿宋" w:hAnsi="仿宋" w:eastAsia="仿宋"/>
          <w:color w:val="000000"/>
          <w:position w:val="0"/>
          <w:sz w:val="30"/>
          <w:szCs w:val="30"/>
          <w:shd w:val="clear" w:color="000000" w:fill="FFFFFF"/>
        </w:rPr>
      </w:pPr>
      <w:r>
        <w:rPr>
          <w:rFonts w:hint="eastAsia" w:ascii="仿宋" w:hAnsi="仿宋" w:eastAsia="仿宋"/>
          <w:color w:val="000000"/>
          <w:position w:val="0"/>
          <w:sz w:val="30"/>
          <w:szCs w:val="30"/>
          <w:shd w:val="clear" w:color="000000" w:fill="FFFFFF"/>
          <w:lang w:val="en-US" w:eastAsia="zh-CN"/>
        </w:rPr>
        <w:t>（四）</w:t>
      </w:r>
      <w:r>
        <w:rPr>
          <w:rFonts w:hint="default" w:ascii="仿宋" w:hAnsi="仿宋" w:eastAsia="仿宋"/>
          <w:color w:val="000000"/>
          <w:position w:val="0"/>
          <w:sz w:val="30"/>
          <w:szCs w:val="30"/>
          <w:shd w:val="clear" w:color="000000" w:fill="FFFFFF"/>
        </w:rPr>
        <w:t>采购标的的其他技术、服务等要求</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eastAsia" w:ascii="仿宋" w:hAnsi="仿宋" w:eastAsia="仿宋"/>
          <w:color w:val="000000"/>
          <w:position w:val="0"/>
          <w:sz w:val="30"/>
          <w:szCs w:val="30"/>
          <w:shd w:val="clear" w:color="000000" w:fill="FFFFFF"/>
          <w:lang w:val="en-US" w:eastAsia="zh-CN"/>
        </w:rPr>
        <w:t>1</w:t>
      </w:r>
      <w:r>
        <w:rPr>
          <w:rFonts w:hint="default" w:ascii="仿宋" w:hAnsi="仿宋" w:eastAsia="仿宋"/>
          <w:color w:val="000000"/>
          <w:position w:val="0"/>
          <w:sz w:val="30"/>
          <w:szCs w:val="30"/>
          <w:shd w:val="clear" w:color="000000" w:fill="FFFFFF"/>
        </w:rPr>
        <w:t>、要求提供所中标产品整机质保至少一年，否则为无效</w:t>
      </w:r>
      <w:r>
        <w:rPr>
          <w:rFonts w:hint="eastAsia" w:ascii="仿宋" w:hAnsi="仿宋" w:eastAsia="仿宋"/>
          <w:color w:val="000000"/>
          <w:position w:val="0"/>
          <w:sz w:val="30"/>
          <w:szCs w:val="30"/>
          <w:shd w:val="clear" w:color="000000" w:fill="FFFFFF"/>
          <w:lang w:eastAsia="zh-CN"/>
        </w:rPr>
        <w:t>投</w:t>
      </w:r>
      <w:r>
        <w:rPr>
          <w:rFonts w:hint="default" w:ascii="仿宋" w:hAnsi="仿宋" w:eastAsia="仿宋"/>
          <w:color w:val="000000"/>
          <w:position w:val="0"/>
          <w:sz w:val="30"/>
          <w:szCs w:val="30"/>
          <w:shd w:val="clear" w:color="000000" w:fill="FFFFFF"/>
        </w:rPr>
        <w:t>标。</w:t>
      </w:r>
    </w:p>
    <w:p>
      <w:pPr>
        <w:numPr>
          <w:ilvl w:val="0"/>
          <w:numId w:val="0"/>
        </w:numPr>
        <w:shd w:val="solid" w:color="FFFFFF"/>
        <w:wordWrap w:val="0"/>
        <w:spacing w:before="0" w:after="160" w:line="360" w:lineRule="atLeast"/>
        <w:ind w:right="0" w:firstLine="0"/>
        <w:jc w:val="left"/>
        <w:rPr>
          <w:rFonts w:hint="default" w:ascii="微软雅黑" w:hAnsi="微软雅黑" w:eastAsia="微软雅黑"/>
          <w:color w:val="000000"/>
          <w:position w:val="0"/>
          <w:sz w:val="27"/>
          <w:szCs w:val="27"/>
          <w:shd w:val="clear" w:color="000000" w:fill="FFFFFF"/>
        </w:rPr>
      </w:pPr>
      <w:r>
        <w:rPr>
          <w:rFonts w:hint="default" w:ascii="黑体" w:hAnsi="黑体" w:eastAsia="黑体"/>
          <w:color w:val="000000"/>
          <w:position w:val="0"/>
          <w:sz w:val="30"/>
          <w:szCs w:val="30"/>
          <w:shd w:val="clear" w:color="000000" w:fill="FFFFFF"/>
        </w:rPr>
        <w:t>五、评标方法和评标标准</w:t>
      </w:r>
    </w:p>
    <w:p>
      <w:pPr>
        <w:numPr>
          <w:ilvl w:val="0"/>
          <w:numId w:val="0"/>
        </w:numPr>
        <w:shd w:val="solid" w:color="FFFFFF"/>
        <w:wordWrap w:val="0"/>
        <w:spacing w:before="0" w:after="160" w:line="360" w:lineRule="atLeast"/>
        <w:ind w:right="0" w:firstLine="600"/>
        <w:jc w:val="left"/>
        <w:rPr>
          <w:rFonts w:hint="default" w:ascii="微软雅黑" w:hAnsi="微软雅黑" w:eastAsia="微软雅黑"/>
          <w:color w:val="000000"/>
          <w:position w:val="0"/>
          <w:sz w:val="27"/>
          <w:szCs w:val="27"/>
          <w:shd w:val="clear" w:color="000000" w:fill="FFFFFF"/>
        </w:rPr>
      </w:pPr>
      <w:r>
        <w:rPr>
          <w:rFonts w:hint="default" w:ascii="仿宋" w:hAnsi="仿宋" w:eastAsia="仿宋"/>
          <w:color w:val="000000"/>
          <w:position w:val="0"/>
          <w:sz w:val="30"/>
          <w:szCs w:val="30"/>
          <w:shd w:val="clear" w:color="000000" w:fill="FFFFFF"/>
        </w:rPr>
        <w:t>（一）评标方法：最低评标价法□ 综合评分法</w:t>
      </w:r>
      <w:r>
        <w:rPr>
          <w:rFonts w:hint="default" w:ascii="微软雅黑" w:hAnsi="微软雅黑" w:eastAsia="微软雅黑"/>
          <w:color w:val="000000"/>
          <w:position w:val="0"/>
          <w:sz w:val="27"/>
          <w:szCs w:val="27"/>
          <w:shd w:val="clear" w:color="000000" w:fill="FFFFFF"/>
        </w:rPr>
        <w:t>√</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（二）综合评分法评标标准：</w:t>
      </w:r>
    </w:p>
    <w:tbl>
      <w:tblPr>
        <w:tblStyle w:val="25"/>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b/>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分值构成</w:t>
            </w:r>
          </w:p>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(总分100分)</w:t>
            </w:r>
          </w:p>
        </w:tc>
        <w:tc>
          <w:tcPr>
            <w:tcW w:w="7768" w:type="dxa"/>
            <w:gridSpan w:val="2"/>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价格分值：40分</w:t>
            </w:r>
          </w:p>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商务部分：10分</w:t>
            </w:r>
          </w:p>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技术部分：50分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一、价格部分（满分40分）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投标报价</w:t>
            </w:r>
          </w:p>
          <w:p>
            <w:pPr>
              <w:numPr>
                <w:ilvl w:val="0"/>
                <w:numId w:val="0"/>
              </w:numPr>
              <w:shd w:val="solid" w:color="FFFFFF"/>
              <w:wordWrap w:val="0"/>
              <w:spacing w:before="0" w:after="160" w:line="36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rPr>
              <w:t>评分标准</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评标基准价：满足招标文件要求的有效投标报价中，最低的投标报价为评标基准价。</w:t>
            </w:r>
          </w:p>
          <w:p>
            <w:pPr>
              <w:numPr>
                <w:ilvl w:val="0"/>
                <w:numId w:val="0"/>
              </w:numPr>
              <w:shd w:val="solid" w:color="FFFFFF"/>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投标报价得分=（评标基准价/投标报价）×40</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二、商务部分（满分10分）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信誉</w:t>
            </w:r>
          </w:p>
        </w:tc>
        <w:tc>
          <w:tcPr>
            <w:tcW w:w="6601" w:type="dxa"/>
            <w:shd w:val="solid" w:color="FFFFFF" w:fill="auto"/>
            <w:tcMar>
              <w:left w:w="108" w:type="dxa"/>
              <w:right w:w="108" w:type="dxa"/>
            </w:tcMar>
            <w:vAlign w:val="center"/>
          </w:tcPr>
          <w:p>
            <w:pPr>
              <w:pStyle w:val="34"/>
              <w:numPr>
                <w:ilvl w:val="0"/>
                <w:numId w:val="0"/>
              </w:numPr>
              <w:wordWrap w:val="0"/>
              <w:spacing w:before="0" w:after="160" w:line="240" w:lineRule="auto"/>
              <w:ind w:right="0" w:firstLine="0"/>
              <w:jc w:val="left"/>
              <w:rPr>
                <w:rFonts w:hint="default" w:ascii="宋体" w:hAnsi="宋体" w:eastAsia="宋体"/>
                <w:color w:val="auto"/>
                <w:w w:val="100"/>
                <w:position w:val="0"/>
                <w:sz w:val="24"/>
                <w:szCs w:val="24"/>
                <w:shd w:val="clear"/>
              </w:rPr>
            </w:pPr>
            <w:r>
              <w:rPr>
                <w:rFonts w:hint="default" w:ascii="宋体" w:hAnsi="宋体" w:eastAsia="宋体"/>
                <w:color w:val="auto"/>
                <w:w w:val="100"/>
                <w:position w:val="0"/>
                <w:sz w:val="24"/>
                <w:szCs w:val="24"/>
                <w:shd w:val="clear"/>
              </w:rPr>
              <w:t>1、所投网络安全管理平台产品与网络接入控制系统产品生产厂商具有信息系统安全集成服务资质得4分，没有不得分，具有信息系统安全运维服务资质得4分，没有不得分，提供资质证书复印件并加盖生产厂商公章。</w:t>
            </w:r>
          </w:p>
          <w:p>
            <w:pPr>
              <w:pStyle w:val="34"/>
              <w:numPr>
                <w:ilvl w:val="0"/>
                <w:numId w:val="0"/>
              </w:numPr>
              <w:wordWrap w:val="0"/>
              <w:spacing w:before="0" w:after="160" w:line="240" w:lineRule="auto"/>
              <w:ind w:right="0" w:firstLine="0"/>
              <w:jc w:val="left"/>
              <w:rPr>
                <w:rFonts w:hint="default" w:ascii="宋体" w:hAnsi="宋体" w:eastAsia="宋体"/>
                <w:color w:val="auto"/>
                <w:w w:val="100"/>
                <w:position w:val="0"/>
                <w:sz w:val="24"/>
                <w:szCs w:val="24"/>
                <w:shd w:val="clear"/>
              </w:rPr>
            </w:pPr>
            <w:r>
              <w:rPr>
                <w:rFonts w:hint="default" w:ascii="宋体" w:hAnsi="宋体" w:eastAsia="宋体"/>
                <w:color w:val="auto"/>
                <w:w w:val="100"/>
                <w:position w:val="0"/>
                <w:sz w:val="24"/>
                <w:szCs w:val="24"/>
                <w:shd w:val="clear"/>
              </w:rPr>
              <w:t>2、提供所投应用软件平台产品备份还原软件及管理软件生产厂商著作权证书复印件并加盖生产厂商公章，有一个得1分，两个得2分，否则不得分。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3、投标人具有信用AAA等级证书得2分（以原件为准、未提供原件的不得分）。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业绩</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rPr>
              <w:t>提供2016年以来完成同类项目业绩，单项合同金额在100万以上（含100万），每提供1份得2分，最多得6分（中标通知书、合同及验收报告原件开标时备查，缺项不得分）。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三、技术部分（满分50分）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对招标文件响应程度</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不满足招标文件技术指标要求和商务条款规定的为无效投标，满足招标文件技术要求的基本分23分；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1、若投标人提供采购清单中序号10“4*3拼接屏”生产厂商的ISO9001质量体系认证得1分（提供加盖生产厂商公章证书复印件，否则不得分）。</w:t>
            </w:r>
          </w:p>
          <w:p>
            <w:pPr>
              <w:numPr>
                <w:ilvl w:val="0"/>
                <w:numId w:val="0"/>
              </w:numPr>
              <w:wordWrap w:val="0"/>
              <w:spacing w:before="0" w:after="160" w:line="24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2、若所投采购清单中序号1“台式电脑”、序号2“笔记本电脑”生产厂商通过中国合格评定国家认可委员会（CNAS）可靠性实验室认证的每一项得2分，满分4分（提供加盖生产厂商公章证书复印件，否则不得分）。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3、若投标人所投采购清单中序号1“台式电脑”、序号2“笔记本电脑”、序号3“3*3拼接屏”、序号10“4*3拼接屏”产品的技术参数高于招标文件要求的</w:t>
            </w:r>
            <w:r>
              <w:rPr>
                <w:rFonts w:hint="eastAsia" w:ascii="宋体" w:hAnsi="宋体" w:eastAsia="宋体"/>
                <w:color w:val="auto"/>
                <w:position w:val="0"/>
                <w:sz w:val="24"/>
                <w:szCs w:val="24"/>
                <w:lang w:eastAsia="zh-CN"/>
              </w:rPr>
              <w:t>，</w:t>
            </w:r>
            <w:r>
              <w:rPr>
                <w:rFonts w:hint="default" w:ascii="宋体" w:hAnsi="宋体" w:eastAsia="宋体"/>
                <w:color w:val="auto"/>
                <w:position w:val="0"/>
                <w:sz w:val="24"/>
                <w:szCs w:val="24"/>
              </w:rPr>
              <w:t>每一项产品得2分，满分8分（以加盖生产厂商公章的技术参数证明材料为准，否则不得分）。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售后服务承诺</w:t>
            </w:r>
          </w:p>
        </w:tc>
        <w:tc>
          <w:tcPr>
            <w:tcW w:w="6601" w:type="dxa"/>
            <w:shd w:val="solid" w:color="FFFFFF" w:fill="auto"/>
            <w:tcMar>
              <w:left w:w="108" w:type="dxa"/>
              <w:right w:w="108" w:type="dxa"/>
            </w:tcMar>
            <w:vAlign w:val="center"/>
          </w:tcPr>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1、核心产品免费质保1年得1分，每增加一年加1分，满分3分。</w:t>
            </w:r>
          </w:p>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2、解决问题时间：以小时为单位（四舍五入法，30分钟及以上按1小时计算），以4小时为起点，基本分1分，每减少1小时，加1分，满分4分。</w:t>
            </w:r>
          </w:p>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3、投标人提供所投采购清单中序号1“台式电脑”、序号2“笔记本电脑”、序号3“3*3拼接屏”、序号6“控制系统软件”、序号10“4*3拼接屏”产品生产厂家针对该项目的授权书</w:t>
            </w:r>
            <w:r>
              <w:rPr>
                <w:rFonts w:hint="eastAsia" w:ascii="宋体" w:hAnsi="宋体" w:eastAsia="宋体"/>
                <w:color w:val="auto"/>
                <w:position w:val="0"/>
                <w:sz w:val="24"/>
                <w:szCs w:val="24"/>
                <w:shd w:val="clear" w:color="000000" w:fill="FFFFFF"/>
                <w:lang w:eastAsia="zh-CN"/>
              </w:rPr>
              <w:t>、</w:t>
            </w:r>
            <w:bookmarkStart w:id="0" w:name="_GoBack"/>
            <w:bookmarkEnd w:id="0"/>
            <w:r>
              <w:rPr>
                <w:rFonts w:hint="default" w:ascii="宋体" w:hAnsi="宋体" w:eastAsia="宋体"/>
                <w:color w:val="auto"/>
                <w:position w:val="0"/>
                <w:sz w:val="24"/>
                <w:szCs w:val="24"/>
                <w:shd w:val="clear" w:color="000000" w:fill="FFFFFF"/>
              </w:rPr>
              <w:t>售后服务承诺函原件的各得1分，满分5分。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rPr>
              <w:t>投标文件规范程度</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rPr>
              <w:t>投标文件的编制符合招标文件规定、装订整齐、印刷精美得2分；否则不得分。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2</w:t>
            </w:r>
          </w:p>
        </w:tc>
      </w:tr>
    </w:tbl>
    <w:p>
      <w:pPr>
        <w:numPr>
          <w:ilvl w:val="0"/>
          <w:numId w:val="0"/>
        </w:numPr>
        <w:shd w:val="solid" w:color="FFFFFF"/>
        <w:wordWrap w:val="0"/>
        <w:spacing w:before="0" w:after="160" w:line="360" w:lineRule="atLeast"/>
        <w:ind w:right="0" w:firstLine="0"/>
        <w:jc w:val="left"/>
        <w:rPr>
          <w:rFonts w:hint="default" w:ascii="黑体" w:hAnsi="黑体" w:eastAsia="黑体"/>
          <w:color w:val="000000"/>
          <w:position w:val="0"/>
          <w:sz w:val="30"/>
          <w:szCs w:val="30"/>
          <w:shd w:val="clear" w:color="000000" w:fill="FFFFFF"/>
        </w:rPr>
      </w:pPr>
      <w:r>
        <w:rPr>
          <w:rFonts w:hint="default" w:ascii="黑体" w:hAnsi="黑体" w:eastAsia="黑体"/>
          <w:color w:val="000000"/>
          <w:position w:val="0"/>
          <w:sz w:val="30"/>
          <w:szCs w:val="30"/>
          <w:shd w:val="clear" w:color="000000" w:fill="FFFFFF"/>
        </w:rPr>
        <w:t>六、付款方式</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经验收合格后付合同总价款的90%，剩余10%满一年无质量问题一次付清。</w:t>
      </w:r>
    </w:p>
    <w:p>
      <w:pPr>
        <w:numPr>
          <w:ilvl w:val="0"/>
          <w:numId w:val="0"/>
        </w:numPr>
        <w:shd w:val="solid" w:color="FFFFFF"/>
        <w:wordWrap w:val="0"/>
        <w:spacing w:before="0" w:after="160" w:line="360" w:lineRule="atLeast"/>
        <w:ind w:right="0" w:firstLine="0"/>
        <w:jc w:val="left"/>
        <w:rPr>
          <w:rFonts w:hint="default" w:ascii="黑体" w:hAnsi="黑体" w:eastAsia="黑体"/>
          <w:color w:val="000000"/>
          <w:position w:val="0"/>
          <w:sz w:val="30"/>
          <w:szCs w:val="30"/>
          <w:shd w:val="clear" w:color="000000" w:fill="FFFFFF"/>
        </w:rPr>
      </w:pPr>
      <w:r>
        <w:rPr>
          <w:rFonts w:hint="default" w:ascii="黑体" w:hAnsi="黑体" w:eastAsia="黑体"/>
          <w:color w:val="000000"/>
          <w:position w:val="0"/>
          <w:sz w:val="30"/>
          <w:szCs w:val="30"/>
          <w:shd w:val="clear" w:color="000000" w:fill="FFFFFF"/>
        </w:rPr>
        <w:t>七、联系方式</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联系人姓名： 刘庆军          联系电话（固话）：2625883</w:t>
      </w:r>
    </w:p>
    <w:p>
      <w:pPr>
        <w:numPr>
          <w:ilvl w:val="0"/>
          <w:numId w:val="0"/>
        </w:numPr>
        <w:shd w:val="solid" w:color="FFFFFF"/>
        <w:wordWrap w:val="0"/>
        <w:spacing w:before="0" w:after="160" w:line="360" w:lineRule="atLeast"/>
        <w:ind w:right="0" w:firstLine="600"/>
        <w:jc w:val="left"/>
        <w:rPr>
          <w:rFonts w:hint="default" w:ascii="仿宋" w:hAnsi="仿宋" w:eastAsia="仿宋"/>
          <w:color w:val="000000"/>
          <w:position w:val="0"/>
          <w:sz w:val="30"/>
          <w:szCs w:val="30"/>
          <w:shd w:val="clear" w:color="000000" w:fill="FFFFFF"/>
        </w:rPr>
      </w:pPr>
      <w:r>
        <w:rPr>
          <w:rFonts w:hint="default" w:ascii="仿宋" w:hAnsi="仿宋" w:eastAsia="仿宋"/>
          <w:color w:val="000000"/>
          <w:position w:val="0"/>
          <w:sz w:val="30"/>
          <w:szCs w:val="30"/>
          <w:shd w:val="clear" w:color="000000" w:fill="FFFFFF"/>
        </w:rPr>
        <w:t>单位地址：许昌市天宝路区政府大楼1141室</w:t>
      </w:r>
    </w:p>
    <w:p>
      <w:pPr>
        <w:numPr>
          <w:ilvl w:val="0"/>
          <w:numId w:val="0"/>
        </w:numPr>
        <w:shd w:val="solid" w:color="FFFFFF"/>
        <w:wordWrap w:val="0"/>
        <w:spacing w:before="0" w:after="160" w:line="525" w:lineRule="atLeast"/>
        <w:ind w:right="0" w:firstLine="960"/>
        <w:jc w:val="left"/>
        <w:rPr>
          <w:rFonts w:hint="default" w:ascii="宋体" w:hAnsi="宋体" w:eastAsia="宋体"/>
          <w:color w:val="000000"/>
          <w:position w:val="0"/>
          <w:sz w:val="24"/>
          <w:szCs w:val="24"/>
          <w:shd w:val="clear" w:color="000000" w:fill="FFFFFF"/>
        </w:rPr>
      </w:pPr>
    </w:p>
    <w:p>
      <w:pPr>
        <w:numPr>
          <w:ilvl w:val="0"/>
          <w:numId w:val="0"/>
        </w:numPr>
        <w:shd w:val="solid" w:color="FFFFFF"/>
        <w:wordWrap w:val="0"/>
        <w:spacing w:before="0" w:after="160" w:line="525" w:lineRule="atLeast"/>
        <w:ind w:right="0" w:firstLine="960"/>
        <w:jc w:val="left"/>
        <w:rPr>
          <w:rFonts w:hint="default" w:ascii="宋体" w:hAnsi="宋体" w:eastAsia="宋体"/>
          <w:color w:val="000000"/>
          <w:position w:val="0"/>
          <w:sz w:val="24"/>
          <w:szCs w:val="24"/>
          <w:shd w:val="clear" w:color="000000" w:fill="FFFFFF"/>
        </w:rPr>
      </w:pPr>
    </w:p>
    <w:p>
      <w:pPr>
        <w:numPr>
          <w:ilvl w:val="0"/>
          <w:numId w:val="0"/>
        </w:numPr>
        <w:shd w:val="solid" w:color="FFFFFF"/>
        <w:wordWrap w:val="0"/>
        <w:spacing w:before="0" w:after="160" w:line="525" w:lineRule="atLeast"/>
        <w:ind w:right="0" w:firstLine="960"/>
        <w:jc w:val="left"/>
        <w:rPr>
          <w:rFonts w:hint="default" w:ascii="宋体" w:hAnsi="宋体" w:eastAsia="宋体"/>
          <w:color w:val="000000"/>
          <w:position w:val="0"/>
          <w:sz w:val="24"/>
          <w:szCs w:val="24"/>
          <w:shd w:val="clear" w:color="000000" w:fill="FFFFFF"/>
        </w:rPr>
      </w:pPr>
    </w:p>
    <w:p>
      <w:pPr>
        <w:numPr>
          <w:ilvl w:val="0"/>
          <w:numId w:val="0"/>
        </w:numPr>
        <w:shd w:val="solid" w:color="FFFFFF"/>
        <w:wordWrap w:val="0"/>
        <w:spacing w:before="0" w:after="160" w:line="525" w:lineRule="atLeast"/>
        <w:ind w:right="0" w:firstLine="960"/>
        <w:jc w:val="left"/>
        <w:rPr>
          <w:rFonts w:hint="default" w:ascii="宋体" w:hAnsi="宋体" w:eastAsia="宋体"/>
          <w:color w:val="000000"/>
          <w:position w:val="0"/>
          <w:sz w:val="24"/>
          <w:szCs w:val="24"/>
          <w:shd w:val="clear" w:color="000000" w:fill="FFFFFF"/>
        </w:rPr>
      </w:pPr>
    </w:p>
    <w:p>
      <w:pPr>
        <w:numPr>
          <w:ilvl w:val="0"/>
          <w:numId w:val="0"/>
        </w:numPr>
        <w:shd w:val="solid" w:color="FFFFFF"/>
        <w:wordWrap w:val="0"/>
        <w:spacing w:before="0" w:after="160" w:line="500" w:lineRule="exact"/>
        <w:ind w:right="600" w:firstLine="0"/>
        <w:jc w:val="right"/>
        <w:rPr>
          <w:rFonts w:hint="default" w:ascii="仿宋_GB2312" w:hAnsi="仿宋_GB2312" w:eastAsia="仿宋_GB2312"/>
          <w:smallCaps w:val="0"/>
          <w:color w:val="auto"/>
          <w:spacing w:val="0"/>
          <w:position w:val="0"/>
          <w:sz w:val="32"/>
          <w:szCs w:val="32"/>
        </w:rPr>
      </w:pPr>
    </w:p>
    <w:sectPr>
      <w:pgSz w:w="11906" w:h="16838"/>
      <w:pgMar w:top="1440" w:right="1800" w:bottom="1440" w:left="1800" w:header="708" w:footer="708" w:gutter="0"/>
      <w:pgNumType w:fmt="decimal"/>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isplayHorizontalDrawingGridEvery w:val="0"/>
  <w:displayVerticalDrawingGridEvery w:val="2"/>
  <w:noPunctuationKerning w:val="1"/>
  <w:characterSpacingControl w:val="doNotCompress"/>
  <w:compat>
    <w:useFELayout/>
    <w:compatSetting w:name="compatibilityMode" w:uri="http://schemas.microsoft.com/office/word" w:val="15"/>
  </w:compat>
  <w:rsids>
    <w:rsidRoot w:val="00000000"/>
    <w:rsid w:val="0B41133E"/>
    <w:rsid w:val="42941F08"/>
    <w:rsid w:val="555D41CC"/>
    <w:rsid w:val="5A7026F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pPr>
    <w:rPr>
      <w:rFonts w:ascii="Tahoma" w:hAnsi="Tahoma" w:eastAsia="Tahoma" w:cstheme="minorBidi"/>
      <w:w w:val="100"/>
      <w:sz w:val="20"/>
      <w:szCs w:val="20"/>
      <w:shd w:val="clear"/>
    </w:rPr>
  </w:style>
  <w:style w:type="paragraph" w:styleId="2">
    <w:name w:val="heading 1"/>
    <w:next w:val="1"/>
    <w:qFormat/>
    <w:uiPriority w:val="7"/>
    <w:pPr>
      <w:widowControl/>
      <w:wordWrap/>
      <w:autoSpaceDE/>
      <w:autoSpaceDN/>
      <w:jc w:val="both"/>
    </w:pPr>
    <w:rPr>
      <w:rFonts w:ascii="Calibri" w:hAnsi="Calibri" w:eastAsia="微软雅黑" w:cstheme="minorBidi"/>
      <w:w w:val="100"/>
      <w:sz w:val="28"/>
      <w:szCs w:val="28"/>
      <w:shd w:val="clear"/>
    </w:rPr>
  </w:style>
  <w:style w:type="paragraph" w:styleId="3">
    <w:name w:val="heading 2"/>
    <w:next w:val="1"/>
    <w:qFormat/>
    <w:uiPriority w:val="8"/>
    <w:pPr>
      <w:widowControl/>
      <w:wordWrap/>
      <w:autoSpaceDE/>
      <w:autoSpaceDN/>
      <w:jc w:val="both"/>
    </w:pPr>
    <w:rPr>
      <w:rFonts w:ascii="Calibri" w:hAnsi="Calibri" w:eastAsia="微软雅黑"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微软雅黑"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微软雅黑"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微软雅黑"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微软雅黑"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微软雅黑"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微软雅黑"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微软雅黑" w:cstheme="minorBidi"/>
      <w:w w:val="100"/>
      <w:sz w:val="21"/>
      <w:szCs w:val="21"/>
      <w:shd w:val="clear"/>
    </w:rPr>
  </w:style>
  <w:style w:type="character" w:default="1" w:styleId="22">
    <w:name w:val="Default Paragraph Font"/>
    <w:semiHidden/>
    <w:unhideWhenUsed/>
    <w:uiPriority w:val="2"/>
  </w:style>
  <w:style w:type="table" w:default="1" w:styleId="25">
    <w:name w:val="Normal Table"/>
    <w:semiHidden/>
    <w:unhideWhenUsed/>
    <w:qFormat/>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微软雅黑"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Calibri" w:hAnsi="Calibri" w:eastAsia="微软雅黑"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Calibri" w:hAnsi="Calibri" w:eastAsia="微软雅黑"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Calibri" w:hAnsi="Calibri" w:eastAsia="微软雅黑" w:cstheme="minorBidi"/>
      <w:w w:val="100"/>
      <w:sz w:val="21"/>
      <w:szCs w:val="21"/>
      <w:shd w:val="clear"/>
    </w:rPr>
  </w:style>
  <w:style w:type="paragraph" w:styleId="15">
    <w:name w:val="toc 1"/>
    <w:next w:val="1"/>
    <w:unhideWhenUsed/>
    <w:qFormat/>
    <w:uiPriority w:val="28"/>
    <w:pPr>
      <w:widowControl/>
      <w:wordWrap/>
      <w:autoSpaceDE/>
      <w:autoSpaceDN/>
      <w:jc w:val="both"/>
    </w:pPr>
    <w:rPr>
      <w:rFonts w:ascii="Calibri" w:hAnsi="Calibri" w:eastAsia="微软雅黑"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Calibri" w:hAnsi="Calibri" w:eastAsia="微软雅黑" w:cstheme="minorBidi"/>
      <w:w w:val="100"/>
      <w:sz w:val="21"/>
      <w:szCs w:val="21"/>
      <w:shd w:val="clear"/>
    </w:rPr>
  </w:style>
  <w:style w:type="paragraph" w:styleId="17">
    <w:name w:val="Subtitle"/>
    <w:qFormat/>
    <w:uiPriority w:val="16"/>
    <w:pPr>
      <w:widowControl/>
      <w:wordWrap/>
      <w:autoSpaceDE/>
      <w:autoSpaceDN/>
      <w:jc w:val="center"/>
    </w:pPr>
    <w:rPr>
      <w:rFonts w:ascii="Calibri" w:hAnsi="Calibri" w:eastAsia="微软雅黑"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Calibri" w:hAnsi="Calibri" w:eastAsia="微软雅黑"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Calibri" w:hAnsi="Calibri" w:eastAsia="微软雅黑"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Calibri" w:hAnsi="Calibri" w:eastAsia="微软雅黑" w:cstheme="minorBidi"/>
      <w:w w:val="100"/>
      <w:sz w:val="21"/>
      <w:szCs w:val="21"/>
      <w:shd w:val="clear"/>
    </w:rPr>
  </w:style>
  <w:style w:type="paragraph" w:styleId="21">
    <w:name w:val="Title"/>
    <w:qFormat/>
    <w:uiPriority w:val="6"/>
    <w:pPr>
      <w:widowControl/>
      <w:wordWrap/>
      <w:autoSpaceDE/>
      <w:autoSpaceDN/>
      <w:jc w:val="center"/>
    </w:pPr>
    <w:rPr>
      <w:rFonts w:ascii="Calibri" w:hAnsi="Calibri" w:eastAsia="微软雅黑" w:cstheme="minorBidi"/>
      <w:b/>
      <w:w w:val="100"/>
      <w:sz w:val="32"/>
      <w:szCs w:val="32"/>
      <w:shd w:val="clear"/>
    </w:rPr>
  </w:style>
  <w:style w:type="character" w:styleId="23">
    <w:name w:val="Strong"/>
    <w:qFormat/>
    <w:uiPriority w:val="20"/>
    <w:rPr>
      <w:b/>
      <w:w w:val="100"/>
      <w:sz w:val="21"/>
      <w:szCs w:val="21"/>
      <w:shd w:val="clear"/>
    </w:rPr>
  </w:style>
  <w:style w:type="character" w:styleId="24">
    <w:name w:val="Emphasis"/>
    <w:qFormat/>
    <w:uiPriority w:val="18"/>
    <w:rPr>
      <w:i/>
      <w:w w:val="100"/>
      <w:sz w:val="21"/>
      <w:szCs w:val="21"/>
      <w:shd w:val="clear"/>
    </w:rPr>
  </w:style>
  <w:style w:type="paragraph" w:styleId="26">
    <w:name w:val="No Spacing"/>
    <w:qFormat/>
    <w:uiPriority w:val="5"/>
    <w:pPr>
      <w:widowControl/>
      <w:wordWrap/>
      <w:autoSpaceDE/>
      <w:autoSpaceDN/>
      <w:jc w:val="both"/>
    </w:pPr>
    <w:rPr>
      <w:rFonts w:ascii="Calibri" w:hAnsi="Calibri" w:eastAsia="微软雅黑" w:cstheme="minorBidi"/>
      <w:w w:val="100"/>
      <w:sz w:val="21"/>
      <w:szCs w:val="21"/>
      <w:shd w:val="clear"/>
    </w:rPr>
  </w:style>
  <w:style w:type="character" w:customStyle="1" w:styleId="27">
    <w:name w:val="Subtle Emphasis"/>
    <w:qFormat/>
    <w:uiPriority w:val="17"/>
    <w:rPr>
      <w:i/>
      <w:color w:val="404040"/>
      <w:w w:val="100"/>
      <w:sz w:val="21"/>
      <w:szCs w:val="21"/>
      <w:shd w:val="clear"/>
    </w:rPr>
  </w:style>
  <w:style w:type="character" w:customStyle="1" w:styleId="28">
    <w:name w:val="Intense Emphasis"/>
    <w:qFormat/>
    <w:uiPriority w:val="19"/>
    <w:rPr>
      <w:i/>
      <w:color w:val="5B9BD5"/>
      <w:w w:val="100"/>
      <w:sz w:val="21"/>
      <w:szCs w:val="21"/>
      <w:shd w:val="clear"/>
    </w:rPr>
  </w:style>
  <w:style w:type="paragraph" w:styleId="29">
    <w:name w:val="Quote"/>
    <w:qFormat/>
    <w:uiPriority w:val="21"/>
    <w:pPr>
      <w:widowControl/>
      <w:wordWrap/>
      <w:autoSpaceDE/>
      <w:autoSpaceDN/>
      <w:ind w:left="864" w:right="864" w:firstLine="0"/>
      <w:jc w:val="center"/>
    </w:pPr>
    <w:rPr>
      <w:rFonts w:ascii="Calibri" w:hAnsi="Calibri" w:eastAsia="微软雅黑" w:cstheme="minorBidi"/>
      <w:i/>
      <w:color w:val="404040"/>
      <w:w w:val="100"/>
      <w:sz w:val="21"/>
      <w:szCs w:val="21"/>
      <w:shd w:val="clear"/>
    </w:rPr>
  </w:style>
  <w:style w:type="paragraph" w:styleId="30">
    <w:name w:val="Intense Quote"/>
    <w:qFormat/>
    <w:uiPriority w:val="22"/>
    <w:pPr>
      <w:widowControl/>
      <w:wordWrap/>
      <w:autoSpaceDE/>
      <w:autoSpaceDN/>
      <w:ind w:left="950" w:right="950" w:firstLine="0"/>
      <w:jc w:val="center"/>
    </w:pPr>
    <w:rPr>
      <w:rFonts w:ascii="Calibri" w:hAnsi="Calibri" w:eastAsia="微软雅黑" w:cstheme="minorBidi"/>
      <w:i/>
      <w:color w:val="5B9BD5"/>
      <w:w w:val="100"/>
      <w:sz w:val="21"/>
      <w:szCs w:val="21"/>
      <w:shd w:val="clear"/>
    </w:rPr>
  </w:style>
  <w:style w:type="character" w:customStyle="1" w:styleId="31">
    <w:name w:val="Subtle Reference"/>
    <w:qFormat/>
    <w:uiPriority w:val="23"/>
    <w:rPr>
      <w:smallCaps/>
      <w:color w:val="5A5A5A"/>
      <w:w w:val="100"/>
      <w:sz w:val="21"/>
      <w:szCs w:val="21"/>
      <w:shd w:val="clear"/>
    </w:rPr>
  </w:style>
  <w:style w:type="character" w:customStyle="1" w:styleId="32">
    <w:name w:val="Intense Reference"/>
    <w:qFormat/>
    <w:uiPriority w:val="24"/>
    <w:rPr>
      <w:b/>
      <w:smallCaps/>
      <w:color w:val="5B9BD5"/>
      <w:w w:val="100"/>
      <w:sz w:val="21"/>
      <w:szCs w:val="21"/>
      <w:shd w:val="clear"/>
    </w:rPr>
  </w:style>
  <w:style w:type="character" w:customStyle="1" w:styleId="33">
    <w:name w:val="Book Title"/>
    <w:qFormat/>
    <w:uiPriority w:val="25"/>
    <w:rPr>
      <w:b/>
      <w:i/>
      <w:w w:val="100"/>
      <w:sz w:val="21"/>
      <w:szCs w:val="21"/>
      <w:shd w:val="clear"/>
    </w:rPr>
  </w:style>
  <w:style w:type="paragraph" w:customStyle="1" w:styleId="34">
    <w:name w:val="List Paragraph"/>
    <w:basedOn w:val="1"/>
    <w:qFormat/>
    <w:uiPriority w:val="26"/>
    <w:pPr>
      <w:widowControl/>
      <w:ind w:firstLine="420"/>
    </w:pPr>
    <w:rPr>
      <w:rFonts w:ascii="宋体" w:hAnsi="宋体" w:eastAsia="宋体"/>
      <w:w w:val="100"/>
      <w:sz w:val="21"/>
      <w:szCs w:val="21"/>
      <w:shd w:val="clear"/>
    </w:rPr>
  </w:style>
  <w:style w:type="paragraph" w:customStyle="1" w:styleId="35">
    <w:name w:val="TOC Heading"/>
    <w:unhideWhenUsed/>
    <w:qFormat/>
    <w:uiPriority w:val="27"/>
    <w:pPr>
      <w:widowControl/>
      <w:wordWrap/>
      <w:autoSpaceDE/>
      <w:autoSpaceDN/>
    </w:pPr>
    <w:rPr>
      <w:rFonts w:ascii="Calibri" w:hAnsi="Calibri" w:eastAsia="微软雅黑" w:cstheme="minorBidi"/>
      <w:color w:val="2E74B5"/>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1</Lines>
  <Paragraphs>1</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2018-03-28T00:15:00Z</dcterms:created>
  <dc:creator>ST</dc:creator>
  <cp:lastModifiedBy>许昌市魏都区政府采购中心:许昌市魏都区政府采购中心</cp:lastModifiedBy>
  <dcterms:modified xsi:type="dcterms:W3CDTF">2018-03-29T07:02:59Z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