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0"/>
        <w:jc w:val="center"/>
        <w:rPr>
          <w:rFonts w:hint="eastAsia" w:ascii="宋体" w:hAnsi="宋体"/>
          <w:b/>
          <w:i w:val="0"/>
          <w:color w:val="000000"/>
          <w:sz w:val="36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i w:val="0"/>
          <w:color w:val="000000"/>
          <w:sz w:val="36"/>
          <w:u w:val="none"/>
          <w:shd w:val="clear" w:color="auto" w:fill="FFFFFF"/>
          <w:lang w:val="en-US" w:eastAsia="zh-CN"/>
        </w:rPr>
        <w:t>长招采竞字【2017】140号长葛市第一初级中学校园文化走廊项目二次竞争性谈判公告</w:t>
      </w:r>
    </w:p>
    <w:p>
      <w:pPr>
        <w:shd w:val="solid" w:color="FFFFFF" w:fill="auto"/>
        <w:autoSpaceDN w:val="0"/>
        <w:spacing w:line="360" w:lineRule="auto"/>
        <w:ind w:firstLine="709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受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长葛市第一初级中学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的委托，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长葛市公共资源交易中心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就“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长葛市第一初级中学校园文化走廊项目二次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一、项目基本情况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（一）项目名称：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长葛市第一初级中学校园文化走廊项目二次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（二）项目编号：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长招采竞字【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2017】140号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（三）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项目需求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主要建设内容包含：1、文化走廊阳光板屋面共182.4平方米，分别施用钢支撑、钢拉条、钢檩条、混凝土C1O垫层3.87立方米、独立基础C25、贴大理石地面284平方米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;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 xml:space="preserve"> 2、仿古式文化长廊120.6平方米，混凝土地坪高30公分、贴大理石地面97.2平方米。独立柱C25坐凳，长1.5米，高90公分、40套、墙面一般抹灰52平方米。砖砌体拆除2平方米。钢制防盗门安装3套10平方米，批墙466平方米，砌墙5.08平方米。屋面排水管分部小计24米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;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 xml:space="preserve"> 3、栽植桂花株高冠径1.5—2米两棵，香樟树根盘直径冠径5—8厘米，20株，栽植竹子树，竹胸径或根盘丛径6—8厘米，100株。点风景石1块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;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 xml:space="preserve"> 4、平整场地，227.4平方米，挖土方31平方米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;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 xml:space="preserve"> 5、长廊上屋脊7.8平方米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;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 xml:space="preserve"> 6、垃圾清运。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详细内容见谈判文件和工程量清单</w:t>
      </w:r>
      <w:r>
        <w:rPr>
          <w:rFonts w:hint="eastAsia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eastAsia="zh-CN"/>
        </w:rPr>
        <w:t>（四）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采购预算：</w:t>
      </w:r>
      <w:r>
        <w:rPr>
          <w:rFonts w:hint="default" w:ascii="Arial" w:hAnsi="Arial" w:eastAsia="仿宋" w:cs="Arial"/>
          <w:b/>
          <w:bCs/>
          <w:i w:val="0"/>
          <w:color w:val="000000"/>
          <w:sz w:val="28"/>
          <w:shd w:val="clear" w:color="auto" w:fill="FFFFFF"/>
          <w:lang w:eastAsia="zh-CN"/>
        </w:rPr>
        <w:t>¥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val="en-US" w:eastAsia="zh-CN"/>
        </w:rPr>
        <w:t>242185.72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元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。（含安全文明施工费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val="en-US" w:eastAsia="zh-CN"/>
        </w:rPr>
        <w:t>5186.93</w:t>
      </w:r>
      <w:bookmarkStart w:id="0" w:name="_GoBack"/>
      <w:bookmarkEnd w:id="0"/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）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val="en-US" w:eastAsia="zh-CN"/>
        </w:rPr>
        <w:t>(五) 工 期：25天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本项目落实中小微型企业、监狱企业扶持等相关政府采购政策。(详见招标文件)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竞标人须具备水利工程施工总承包三级（含）以上资质，具备独立法人资格，有良好的财务状况，具有有效的安全生产许可证，并在人员、设备、资金等方面具备相应的施工能力；项目经理具有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水利工程施工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专业贰级及以上注册建造师资格和有效的安全生产考核合格证。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四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（五）</w:t>
      </w:r>
      <w:r>
        <w:rPr>
          <w:rFonts w:hint="eastAsia" w:ascii="仿宋" w:hAnsi="仿宋" w:eastAsia="仿宋" w:cs="仿宋"/>
          <w:sz w:val="28"/>
          <w:szCs w:val="28"/>
        </w:rPr>
        <w:t>本项目不接受联合体报名，不得转包、挂靠及违法分包。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begin"/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诚信库网上注册相关资料下载”）；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在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投标报名时间内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登录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交易系统操作手册”）。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投标报名及获取招标文件时间：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2018年3月14日—2018年3月16日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FF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（一）投标截止及开标时间：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201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3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23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日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9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时（北京时间），</w:t>
      </w:r>
      <w:r>
        <w:rPr>
          <w:rFonts w:hint="default" w:ascii="仿宋" w:hAnsi="仿宋" w:eastAsia="仿宋"/>
          <w:b w:val="0"/>
          <w:i w:val="0"/>
          <w:color w:val="FF0000"/>
          <w:sz w:val="28"/>
          <w:shd w:val="clear" w:color="auto" w:fill="FFFFFF"/>
          <w:lang w:eastAsia="zh-CN"/>
        </w:rPr>
        <w:t>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FF0000"/>
          <w:sz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长葛市公共资源交易中心开标室（长葛市葛天大道东段商务区6#楼 4楼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七、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公告期限：自本公告发布之日起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个工作日。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八、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代理机构及采购单位地址、联系人、联系电话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代理机构：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6189667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采购单位：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长葛市第一初级中学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长葛市八七路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魏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 xml:space="preserve">先生 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13837405963</w:t>
      </w:r>
    </w:p>
    <w:p>
      <w:pPr>
        <w:shd w:val="solid" w:color="FFFFFF" w:fill="auto"/>
        <w:autoSpaceDN w:val="0"/>
        <w:spacing w:line="360" w:lineRule="auto"/>
        <w:ind w:firstLine="7847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238" w:firstLine="0"/>
        <w:jc w:val="right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长葛市第一初级中学</w:t>
      </w:r>
    </w:p>
    <w:p>
      <w:pPr>
        <w:shd w:val="solid" w:color="FFFFFF" w:fill="auto"/>
        <w:autoSpaceDN w:val="0"/>
        <w:spacing w:line="360" w:lineRule="auto"/>
        <w:ind w:right="238" w:firstLine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二〇一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八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三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DFF"/>
    <w:multiLevelType w:val="singleLevel"/>
    <w:tmpl w:val="5A153D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E684C"/>
    <w:rsid w:val="09CF6933"/>
    <w:rsid w:val="113F38B4"/>
    <w:rsid w:val="13AE67A7"/>
    <w:rsid w:val="16172415"/>
    <w:rsid w:val="171D55F3"/>
    <w:rsid w:val="21546166"/>
    <w:rsid w:val="2E4034F1"/>
    <w:rsid w:val="31AD2B4E"/>
    <w:rsid w:val="31F331ED"/>
    <w:rsid w:val="32555E8E"/>
    <w:rsid w:val="38907E2D"/>
    <w:rsid w:val="3BA34C33"/>
    <w:rsid w:val="3BCD5AF5"/>
    <w:rsid w:val="42687EDD"/>
    <w:rsid w:val="435F3826"/>
    <w:rsid w:val="43793C87"/>
    <w:rsid w:val="446A0E14"/>
    <w:rsid w:val="44D33980"/>
    <w:rsid w:val="4A463990"/>
    <w:rsid w:val="4BA3393A"/>
    <w:rsid w:val="4CDB68FB"/>
    <w:rsid w:val="510D33AE"/>
    <w:rsid w:val="544A0E3B"/>
    <w:rsid w:val="56C97D79"/>
    <w:rsid w:val="57273001"/>
    <w:rsid w:val="57D5084E"/>
    <w:rsid w:val="5A9E7AA8"/>
    <w:rsid w:val="61775537"/>
    <w:rsid w:val="681258CD"/>
    <w:rsid w:val="6C18781D"/>
    <w:rsid w:val="74D70ACC"/>
    <w:rsid w:val="780F3E40"/>
    <w:rsid w:val="7AC476F3"/>
    <w:rsid w:val="7EE32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8">
    <w:name w:val="p0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9">
    <w:name w:val="Char Char Char Char Char Char Char"/>
    <w:basedOn w:val="2"/>
    <w:qFormat/>
    <w:uiPriority w:val="99"/>
  </w:style>
  <w:style w:type="paragraph" w:customStyle="1" w:styleId="10">
    <w:name w:val="Char Char Char Char Char Char Char1"/>
    <w:basedOn w:val="2"/>
    <w:qFormat/>
    <w:uiPriority w:val="99"/>
    <w:rPr>
      <w:szCs w:val="20"/>
    </w:rPr>
  </w:style>
  <w:style w:type="character" w:customStyle="1" w:styleId="11">
    <w:name w:val="Document Map Char Char"/>
    <w:basedOn w:val="5"/>
    <w:link w:val="2"/>
    <w:qFormat/>
    <w:uiPriority w:val="99"/>
    <w:rPr>
      <w:rFonts w:cs="Times New Roman"/>
      <w:sz w:val="2"/>
    </w:rPr>
  </w:style>
  <w:style w:type="character" w:customStyle="1" w:styleId="12">
    <w:name w:val="Footer Char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5"/>
    <w:link w:val="4"/>
    <w:qFormat/>
    <w:uiPriority w:val="99"/>
    <w:rPr>
      <w:rFonts w:cs="Times New Roman"/>
      <w:sz w:val="18"/>
      <w:szCs w:val="18"/>
    </w:rPr>
  </w:style>
  <w:style w:type="character" w:customStyle="1" w:styleId="14">
    <w:name w:val="页码1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261</Words>
  <Characters>1492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测试单位6:胡晓欣</cp:lastModifiedBy>
  <cp:lastPrinted>2016-06-22T00:35:00Z</cp:lastPrinted>
  <dcterms:modified xsi:type="dcterms:W3CDTF">2018-03-12T01:55:15Z</dcterms:modified>
  <dc:title>长葛市公安局对讲机采购项目竞争性谈判公告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