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Lines="50" w:afterAutospacing="0"/>
        <w:jc w:val="center"/>
        <w:rPr>
          <w:rFonts w:cs="宋体"/>
          <w:b/>
          <w:bCs/>
          <w:spacing w:val="10"/>
          <w:kern w:val="2"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禹州市古城镇石龙王村“村村通”公路提升改造</w:t>
      </w:r>
      <w:r>
        <w:rPr>
          <w:rFonts w:hint="eastAsia" w:cs="宋体"/>
          <w:b/>
          <w:bCs/>
          <w:spacing w:val="10"/>
          <w:sz w:val="36"/>
          <w:szCs w:val="36"/>
        </w:rPr>
        <w:t>工程施工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招标公告</w:t>
      </w:r>
    </w:p>
    <w:p>
      <w:pPr>
        <w:spacing w:line="520" w:lineRule="exact"/>
        <w:rPr>
          <w:rFonts w:asciiTheme="minorEastAsia" w:hAnsiTheme="minorEastAsia" w:eastAsiaTheme="minorEastAsia"/>
          <w:b/>
          <w:bCs/>
          <w:kern w:val="11"/>
        </w:rPr>
      </w:pPr>
      <w:r>
        <w:rPr>
          <w:rFonts w:hint="eastAsia" w:asciiTheme="minorEastAsia" w:hAnsiTheme="minorEastAsia" w:eastAsiaTheme="minorEastAsia"/>
          <w:b/>
          <w:bCs/>
          <w:kern w:val="11"/>
        </w:rPr>
        <w:t>一、招标条件</w:t>
      </w:r>
    </w:p>
    <w:p>
      <w:pPr>
        <w:spacing w:line="520" w:lineRule="exact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 xml:space="preserve"> 本招标项目</w:t>
      </w:r>
      <w:r>
        <w:rPr>
          <w:rFonts w:hint="eastAsia" w:ascii="宋体" w:hAnsi="宋体" w:cs="宋体"/>
          <w:u w:val="single"/>
        </w:rPr>
        <w:t>禹州市古城镇石龙王村“村村通”公路提升改造</w:t>
      </w:r>
      <w:r>
        <w:rPr>
          <w:rFonts w:hint="eastAsia" w:ascii="宋体" w:hAnsi="宋体" w:cs="宋体"/>
          <w:spacing w:val="10"/>
          <w:u w:val="single"/>
        </w:rPr>
        <w:t>工程</w:t>
      </w:r>
      <w:r>
        <w:rPr>
          <w:rFonts w:hint="eastAsia" w:asciiTheme="minorEastAsia" w:hAnsiTheme="minorEastAsia" w:eastAsiaTheme="minorEastAsia"/>
          <w:kern w:val="11"/>
        </w:rPr>
        <w:t>已由</w:t>
      </w:r>
      <w:r>
        <w:rPr>
          <w:rFonts w:hint="eastAsia" w:asciiTheme="minorEastAsia" w:hAnsiTheme="minorEastAsia" w:eastAsiaTheme="minorEastAsia"/>
          <w:kern w:val="11"/>
          <w:u w:val="single"/>
        </w:rPr>
        <w:t>古城镇人民政府</w:t>
      </w:r>
      <w:r>
        <w:rPr>
          <w:rFonts w:hint="eastAsia" w:asciiTheme="minorEastAsia" w:hAnsiTheme="minorEastAsia" w:eastAsiaTheme="minorEastAsia"/>
          <w:kern w:val="11"/>
        </w:rPr>
        <w:t>以</w:t>
      </w:r>
      <w:r>
        <w:rPr>
          <w:rFonts w:hint="eastAsia" w:ascii="宋体" w:hAnsi="宋体" w:cs="宋体"/>
          <w:kern w:val="11"/>
          <w:u w:val="single"/>
        </w:rPr>
        <w:t>禹政办（2017）19号</w:t>
      </w:r>
      <w:r>
        <w:rPr>
          <w:rFonts w:hint="eastAsia" w:asciiTheme="minorEastAsia" w:hAnsiTheme="minorEastAsia" w:eastAsiaTheme="minorEastAsia"/>
          <w:kern w:val="11"/>
        </w:rPr>
        <w:t>批准建设，建设资金</w:t>
      </w:r>
      <w:r>
        <w:rPr>
          <w:rFonts w:hint="eastAsia" w:asciiTheme="minorEastAsia" w:hAnsiTheme="minorEastAsia" w:eastAsiaTheme="minorEastAsia"/>
          <w:kern w:val="11"/>
          <w:u w:val="single"/>
        </w:rPr>
        <w:t>来自财政资金</w:t>
      </w:r>
      <w:r>
        <w:rPr>
          <w:rFonts w:hint="eastAsia" w:ascii="宋体" w:hAnsi="宋体" w:cs="宋体"/>
          <w:kern w:val="11"/>
          <w:u w:val="single"/>
        </w:rPr>
        <w:t>+自筹资金</w:t>
      </w:r>
      <w:r>
        <w:rPr>
          <w:rFonts w:hint="eastAsia" w:asciiTheme="minorEastAsia" w:hAnsiTheme="minorEastAsia" w:eastAsiaTheme="minorEastAsia"/>
          <w:kern w:val="11"/>
        </w:rPr>
        <w:t>，出资比例为</w:t>
      </w:r>
      <w:r>
        <w:rPr>
          <w:rFonts w:hint="eastAsia" w:ascii="宋体" w:hAnsi="宋体" w:cs="宋体"/>
        </w:rPr>
        <w:t>财政约56%，自筹约44%</w:t>
      </w:r>
      <w:r>
        <w:rPr>
          <w:rFonts w:hint="eastAsia" w:asciiTheme="minorEastAsia" w:hAnsiTheme="minorEastAsia" w:eastAsiaTheme="minorEastAsia"/>
          <w:kern w:val="11"/>
        </w:rPr>
        <w:t>，招标人</w:t>
      </w:r>
      <w:r>
        <w:rPr>
          <w:rFonts w:hint="eastAsia" w:asciiTheme="minorEastAsia" w:hAnsiTheme="minorEastAsia" w:eastAsiaTheme="minorEastAsia"/>
        </w:rPr>
        <w:t>为</w:t>
      </w:r>
      <w:r>
        <w:rPr>
          <w:rFonts w:hint="eastAsia" w:asciiTheme="minorEastAsia" w:hAnsiTheme="minorEastAsia" w:eastAsiaTheme="minorEastAsia"/>
          <w:u w:val="single"/>
        </w:rPr>
        <w:t>禹州市古城镇人民政府</w:t>
      </w:r>
      <w:r>
        <w:rPr>
          <w:rFonts w:hint="eastAsia" w:asciiTheme="minorEastAsia" w:hAnsiTheme="minorEastAsia" w:eastAsiaTheme="minorEastAsia"/>
          <w:kern w:val="11"/>
        </w:rPr>
        <w:t>，项目已具备招标条件，现对该项目的施工进行国内公开招标。</w:t>
      </w:r>
    </w:p>
    <w:p>
      <w:pPr>
        <w:numPr>
          <w:ilvl w:val="0"/>
          <w:numId w:val="1"/>
        </w:numPr>
        <w:spacing w:line="520" w:lineRule="exact"/>
        <w:rPr>
          <w:rFonts w:asciiTheme="minorEastAsia" w:hAnsiTheme="minorEastAsia" w:eastAsiaTheme="minorEastAsia"/>
          <w:b/>
          <w:bCs/>
          <w:kern w:val="11"/>
        </w:rPr>
      </w:pPr>
      <w:r>
        <w:rPr>
          <w:rFonts w:hint="eastAsia" w:asciiTheme="minorEastAsia" w:hAnsiTheme="minorEastAsia" w:eastAsiaTheme="minorEastAsia"/>
          <w:b/>
          <w:bCs/>
          <w:kern w:val="11"/>
        </w:rPr>
        <w:t>项目概况与招标范围</w:t>
      </w:r>
    </w:p>
    <w:p>
      <w:pPr>
        <w:spacing w:line="520" w:lineRule="exact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ab/>
      </w:r>
      <w:r>
        <w:rPr>
          <w:rFonts w:hint="eastAsia" w:asciiTheme="minorEastAsia" w:hAnsiTheme="minorEastAsia" w:eastAsiaTheme="minorEastAsia"/>
          <w:kern w:val="11"/>
        </w:rPr>
        <w:t>2.1项目概况：</w:t>
      </w:r>
      <w:r>
        <w:rPr>
          <w:rFonts w:hint="eastAsia" w:ascii="宋体" w:hAnsi="宋体" w:cs="宋体"/>
        </w:rPr>
        <w:t>禹州市古城镇石龙王村“村村通”公路提升改造</w:t>
      </w:r>
      <w:r>
        <w:rPr>
          <w:rFonts w:hint="eastAsia" w:ascii="宋体" w:hAnsi="宋体" w:cs="宋体"/>
          <w:spacing w:val="10"/>
        </w:rPr>
        <w:t>工程施工</w:t>
      </w:r>
      <w:r>
        <w:rPr>
          <w:rFonts w:hint="eastAsia" w:asciiTheme="minorEastAsia" w:hAnsiTheme="minorEastAsia" w:eastAsiaTheme="minorEastAsia"/>
          <w:kern w:val="11"/>
        </w:rPr>
        <w:t>；</w:t>
      </w:r>
      <w:r>
        <w:rPr>
          <w:rFonts w:hint="eastAsia" w:ascii="宋体" w:hAnsi="宋体" w:cs="宋体"/>
          <w:bCs/>
        </w:rPr>
        <w:t>路线全长1.7</w:t>
      </w:r>
      <w:r>
        <w:rPr>
          <w:rFonts w:hint="eastAsia" w:ascii="宋体" w:hAnsi="宋体" w:cs="宋体"/>
          <w:kern w:val="0"/>
        </w:rPr>
        <w:t>5KM，标控制价</w:t>
      </w:r>
      <w:r>
        <w:rPr>
          <w:rFonts w:hint="eastAsia" w:ascii="宋体" w:hAnsi="宋体" w:cs="宋体"/>
          <w:kern w:val="11"/>
        </w:rPr>
        <w:t>：62769</w:t>
      </w:r>
      <w:r>
        <w:rPr>
          <w:rFonts w:hint="eastAsia" w:ascii="宋体" w:hAnsi="宋体" w:cs="宋体"/>
          <w:bCs/>
        </w:rPr>
        <w:t>0.00元</w:t>
      </w:r>
      <w:r>
        <w:rPr>
          <w:rFonts w:hint="eastAsia" w:ascii="宋体" w:hAnsi="宋体" w:cs="宋体"/>
          <w:kern w:val="0"/>
        </w:rPr>
        <w:t>。</w:t>
      </w:r>
    </w:p>
    <w:p>
      <w:pPr>
        <w:spacing w:line="360" w:lineRule="auto"/>
        <w:ind w:firstLine="420" w:firstLineChars="200"/>
        <w:jc w:val="both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kern w:val="11"/>
          <w:sz w:val="21"/>
          <w:szCs w:val="21"/>
        </w:rPr>
        <w:t xml:space="preserve">2.2 招标编号：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JSGC-J-2018027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2.3 建设地点：</w:t>
      </w:r>
      <w:r>
        <w:rPr>
          <w:rFonts w:hint="eastAsia" w:ascii="宋体" w:hAnsi="宋体" w:cs="宋体"/>
          <w:kern w:val="11"/>
        </w:rPr>
        <w:t>禹州市古城镇</w:t>
      </w:r>
      <w:r>
        <w:rPr>
          <w:rFonts w:hint="eastAsia" w:ascii="宋体" w:hAnsi="宋体" w:cs="宋体"/>
        </w:rPr>
        <w:t>石龙王村</w:t>
      </w:r>
      <w:r>
        <w:rPr>
          <w:rFonts w:hint="eastAsia" w:ascii="宋体" w:hAnsi="宋体" w:cs="宋体"/>
          <w:kern w:val="11"/>
        </w:rPr>
        <w:t>。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 xml:space="preserve">2.4 施工工期：60日历天。     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2.5 工程质量：合格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2.6 招标范围：施工图纸及招标文件工程量清单范围内的全部内容。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2.7 标段划分：1个标段。</w:t>
      </w:r>
    </w:p>
    <w:p>
      <w:pPr>
        <w:spacing w:line="520" w:lineRule="exact"/>
        <w:rPr>
          <w:rFonts w:asciiTheme="minorEastAsia" w:hAnsiTheme="minorEastAsia" w:eastAsiaTheme="minorEastAsia"/>
          <w:b/>
          <w:bCs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三、</w:t>
      </w:r>
      <w:r>
        <w:rPr>
          <w:rFonts w:hint="eastAsia" w:asciiTheme="minorEastAsia" w:hAnsiTheme="minorEastAsia" w:eastAsiaTheme="minorEastAsia"/>
          <w:b/>
          <w:bCs/>
          <w:kern w:val="11"/>
        </w:rPr>
        <w:t>投标人资格要求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3.1投标人应具备独立法人资格，具有行政主管部门核发的公路工程施工总承包三级及以上资质；拟派项目经理须具备公路工程</w:t>
      </w:r>
      <w:r>
        <w:rPr>
          <w:rFonts w:hint="eastAsia" w:asciiTheme="minorEastAsia" w:hAnsiTheme="minorEastAsia" w:eastAsiaTheme="minorEastAsia"/>
          <w:color w:val="auto"/>
          <w:kern w:val="11"/>
        </w:rPr>
        <w:t>专业二级及以上</w:t>
      </w:r>
      <w:r>
        <w:rPr>
          <w:rFonts w:hint="eastAsia" w:asciiTheme="minorEastAsia" w:hAnsiTheme="minorEastAsia" w:eastAsiaTheme="minorEastAsia"/>
          <w:kern w:val="11"/>
        </w:rPr>
        <w:t>注册建造师执业资格，并具有有效安全生产考核合格证，且未担任其它在施建设工程项目；近三年（2015年01月01日以来）类似工程施工业绩，并在人员、设备、资金等方面具备相应的施工能力；</w:t>
      </w:r>
    </w:p>
    <w:p>
      <w:pPr>
        <w:pStyle w:val="3"/>
        <w:kinsoku w:val="0"/>
        <w:overflowPunct w:val="0"/>
        <w:ind w:right="113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投标 人应 进 入 交 通 运 输 部 “ 全 国 公 路 建 设 市 场 信 用 信 息 管 理 系 统 （ 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http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：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>//glxy.mot.gov.cn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）”中的公路工程施工资质企业名录，且投标人名称和资质与该名录 中的相应企业名称和资质完全一致。</w:t>
      </w:r>
    </w:p>
    <w:p>
      <w:pPr>
        <w:pStyle w:val="3"/>
        <w:kinsoku w:val="0"/>
        <w:overflowPunct w:val="0"/>
        <w:spacing w:line="290" w:lineRule="auto"/>
        <w:ind w:left="149" w:right="227" w:firstLine="479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3.2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本次招标不接受联合体投标。</w:t>
      </w:r>
    </w:p>
    <w:p>
      <w:pPr>
        <w:pStyle w:val="3"/>
        <w:kinsoku w:val="0"/>
        <w:overflowPunct w:val="0"/>
        <w:spacing w:line="307" w:lineRule="auto"/>
        <w:ind w:left="109" w:leftChars="52" w:right="109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3.3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被招标项目所在地省级交通运输主管部门评为D信用等级的投标人，不得参加投标。</w:t>
      </w:r>
    </w:p>
    <w:p>
      <w:pPr>
        <w:pStyle w:val="3"/>
        <w:kinsoku w:val="0"/>
        <w:overflowPunct w:val="0"/>
        <w:spacing w:line="307" w:lineRule="auto"/>
        <w:ind w:left="109" w:leftChars="52" w:right="109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3.4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与招标人存在利害关系可能影响招标公正性的单位，不得参加投标。单位负责人为同一人或存在控股、管理关系的不同单位，不得参加同一标段投标，否则，相关投标均无效。</w:t>
      </w:r>
    </w:p>
    <w:p>
      <w:pPr>
        <w:pStyle w:val="3"/>
        <w:kinsoku w:val="0"/>
        <w:overflowPunct w:val="0"/>
        <w:spacing w:line="307" w:lineRule="auto"/>
        <w:ind w:left="109" w:leftChars="52" w:right="109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3.5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在“信用中国”网站（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asciiTheme="minorEastAsia" w:hAnsiTheme="minorEastAsia" w:eastAsiaTheme="minorEastAsia"/>
          <w:color w:val="auto"/>
          <w:kern w:val="11"/>
          <w:sz w:val="21"/>
          <w:szCs w:val="21"/>
        </w:rPr>
        <w:t>http://www.creditchina.gov.cn/</w:t>
      </w:r>
      <w:r>
        <w:rPr>
          <w:rFonts w:asciiTheme="minorEastAsia" w:hAnsiTheme="minorEastAsia" w:eastAsiaTheme="minorEastAsia"/>
          <w:color w:val="auto"/>
          <w:kern w:val="11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）中被列入失信被执行人 名单的投标人，不得参加投标。</w:t>
      </w:r>
    </w:p>
    <w:p>
      <w:pPr>
        <w:spacing w:line="520" w:lineRule="exact"/>
        <w:rPr>
          <w:rFonts w:asciiTheme="minorEastAsia" w:hAnsiTheme="minorEastAsia" w:eastAsiaTheme="minorEastAsia"/>
          <w:b/>
          <w:bCs/>
          <w:kern w:val="11"/>
        </w:rPr>
      </w:pPr>
      <w:r>
        <w:rPr>
          <w:rFonts w:hint="eastAsia" w:asciiTheme="minorEastAsia" w:hAnsiTheme="minorEastAsia" w:eastAsiaTheme="minorEastAsia"/>
          <w:b/>
          <w:bCs/>
          <w:kern w:val="11"/>
        </w:rPr>
        <w:t>四、招标文件获取</w:t>
      </w:r>
    </w:p>
    <w:p>
      <w:pPr>
        <w:pStyle w:val="3"/>
        <w:kinsoku w:val="0"/>
        <w:overflowPunct w:val="0"/>
        <w:spacing w:line="290" w:lineRule="auto"/>
        <w:ind w:left="184" w:right="227" w:firstLine="539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4.1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凡有意参加投标者，请在全国公共资源交易平台（河南省·许昌市)（以下简称“电子交易 平台”，网址：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>http://www.xczbtb.com/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）进行网员注册，并领取 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CA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数字证书。</w:t>
      </w:r>
    </w:p>
    <w:p>
      <w:pPr>
        <w:pStyle w:val="3"/>
        <w:kinsoku w:val="0"/>
        <w:overflowPunct w:val="0"/>
        <w:spacing w:line="300" w:lineRule="auto"/>
        <w:ind w:left="184" w:right="140" w:firstLine="539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4.2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完成网员注册后，请于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>公告发布之日起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至2018年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月2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日9时00分（北京时间），通过互联网使用 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CA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数字证书登 录“电子交易平台”，明确所投标段，下载招标文件、 图纸和参考资料。</w:t>
      </w:r>
    </w:p>
    <w:p>
      <w:pPr>
        <w:pStyle w:val="3"/>
        <w:kinsoku w:val="0"/>
        <w:overflowPunct w:val="0"/>
        <w:spacing w:line="300" w:lineRule="auto"/>
        <w:ind w:left="184" w:right="230" w:firstLine="539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4.3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招标文件每套售价500元，于递交投标文件时向招标代理机构缴纳，，售后不退。</w:t>
      </w:r>
    </w:p>
    <w:p>
      <w:pPr>
        <w:pStyle w:val="3"/>
        <w:kinsoku w:val="0"/>
        <w:overflowPunct w:val="0"/>
        <w:spacing w:line="290" w:lineRule="auto"/>
        <w:ind w:left="184" w:right="227" w:firstLine="539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特别提示：所有投标单位请时刻关注《全国公共资源交易平台（河南省·许昌市)》，该项目所有澄清、修改、答疑、变更均在《全国公共资源交易平台（河南省·许昌市)》发布，不再另行通知。如未及时查看影响其投标，后果自负。</w:t>
      </w:r>
    </w:p>
    <w:p>
      <w:pPr>
        <w:spacing w:line="520" w:lineRule="exact"/>
        <w:rPr>
          <w:rFonts w:asciiTheme="minorEastAsia" w:hAnsiTheme="minorEastAsia" w:eastAsiaTheme="minorEastAsia"/>
          <w:b/>
          <w:bCs/>
          <w:color w:val="auto"/>
          <w:kern w:val="11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11"/>
        </w:rPr>
        <w:t>五、投标文件的递交及相关事宜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color w:val="auto"/>
          <w:kern w:val="11"/>
        </w:rPr>
      </w:pPr>
      <w:r>
        <w:rPr>
          <w:rFonts w:hint="eastAsia" w:asciiTheme="minorEastAsia" w:hAnsiTheme="minorEastAsia" w:eastAsiaTheme="minorEastAsia"/>
          <w:color w:val="auto"/>
          <w:kern w:val="11"/>
        </w:rPr>
        <w:t>5.1投标文件递交的截止时间为2018年3月2</w:t>
      </w:r>
      <w:r>
        <w:rPr>
          <w:rFonts w:hint="eastAsia" w:asciiTheme="minorEastAsia" w:hAnsiTheme="minorEastAsia" w:eastAsiaTheme="minorEastAsia"/>
          <w:color w:val="auto"/>
          <w:kern w:val="1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kern w:val="11"/>
        </w:rPr>
        <w:t>日 9时00分（北京时间），投标人应于当日8 时00分至9 时 00分将投标文件递交至禹州市公共资源交易中心第一开标室。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color w:val="auto"/>
          <w:kern w:val="11"/>
        </w:rPr>
      </w:pPr>
      <w:r>
        <w:rPr>
          <w:rFonts w:hint="eastAsia" w:asciiTheme="minorEastAsia" w:hAnsiTheme="minorEastAsia" w:eastAsiaTheme="minorEastAsia"/>
          <w:color w:val="auto"/>
          <w:kern w:val="11"/>
        </w:rPr>
        <w:t>5.2逾期送达的、未送达指定地点的或不按照招标文件要求密封的投标文件，招标人不予受理；</w:t>
      </w:r>
    </w:p>
    <w:p>
      <w:pPr>
        <w:spacing w:line="520" w:lineRule="exact"/>
        <w:rPr>
          <w:rFonts w:asciiTheme="minorEastAsia" w:hAnsiTheme="minorEastAsia" w:eastAsiaTheme="minorEastAsia"/>
          <w:b/>
          <w:bCs/>
          <w:kern w:val="11"/>
        </w:rPr>
      </w:pPr>
      <w:r>
        <w:rPr>
          <w:rFonts w:hint="eastAsia" w:asciiTheme="minorEastAsia" w:hAnsiTheme="minorEastAsia" w:eastAsiaTheme="minorEastAsia"/>
          <w:b/>
          <w:bCs/>
          <w:kern w:val="11"/>
        </w:rPr>
        <w:t>六、发布公告媒介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color w:val="auto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本次招标公告同时在</w:t>
      </w:r>
      <w:r>
        <w:rPr>
          <w:rFonts w:asciiTheme="minorEastAsia" w:hAnsiTheme="minorEastAsia" w:eastAsiaTheme="minorEastAsia"/>
          <w:color w:val="auto"/>
        </w:rPr>
        <w:t>《</w:t>
      </w:r>
      <w:r>
        <w:rPr>
          <w:rFonts w:hint="eastAsia" w:asciiTheme="minorEastAsia" w:hAnsiTheme="minorEastAsia" w:eastAsiaTheme="minorEastAsia"/>
          <w:color w:val="auto"/>
        </w:rPr>
        <w:t>河南省电子招标投标公共服务平台</w:t>
      </w:r>
      <w:r>
        <w:rPr>
          <w:rFonts w:asciiTheme="minorEastAsia" w:hAnsiTheme="minorEastAsia" w:eastAsiaTheme="minorEastAsia"/>
          <w:color w:val="auto"/>
        </w:rPr>
        <w:t>》、《全国公共资源交易平台（河南省·许昌市)》</w:t>
      </w:r>
      <w:r>
        <w:rPr>
          <w:rFonts w:hint="eastAsia" w:asciiTheme="minorEastAsia" w:hAnsiTheme="minorEastAsia" w:eastAsiaTheme="minorEastAsia"/>
          <w:color w:val="auto"/>
          <w:kern w:val="11"/>
        </w:rPr>
        <w:t>发布。</w:t>
      </w:r>
    </w:p>
    <w:p>
      <w:pPr>
        <w:spacing w:line="520" w:lineRule="exact"/>
        <w:rPr>
          <w:rFonts w:asciiTheme="minorEastAsia" w:hAnsiTheme="minorEastAsia" w:eastAsiaTheme="minorEastAsia"/>
          <w:b/>
          <w:bCs/>
          <w:color w:val="auto"/>
          <w:kern w:val="11"/>
        </w:rPr>
      </w:pPr>
      <w:r>
        <w:rPr>
          <w:rFonts w:hint="eastAsia" w:asciiTheme="minorEastAsia" w:hAnsiTheme="minorEastAsia" w:eastAsiaTheme="minorEastAsia"/>
          <w:b/>
          <w:bCs/>
          <w:color w:val="auto"/>
          <w:kern w:val="11"/>
        </w:rPr>
        <w:t>七、联系方式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招 标 人：</w:t>
      </w:r>
      <w:r>
        <w:rPr>
          <w:rFonts w:hint="eastAsia" w:ascii="宋体" w:hAnsi="宋体" w:cs="宋体"/>
        </w:rPr>
        <w:t>禹州市古城镇人民政府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地址：</w:t>
      </w:r>
      <w:r>
        <w:rPr>
          <w:rFonts w:hint="eastAsia" w:ascii="宋体" w:hAnsi="宋体" w:cs="宋体"/>
        </w:rPr>
        <w:t>禹州市古城镇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联系人：</w:t>
      </w:r>
      <w:r>
        <w:rPr>
          <w:rFonts w:hint="eastAsia" w:ascii="宋体" w:hAnsi="宋体" w:cs="宋体"/>
          <w:bCs/>
          <w:kern w:val="0"/>
        </w:rPr>
        <w:t>王建锋</w:t>
      </w:r>
    </w:p>
    <w:p>
      <w:pPr>
        <w:spacing w:line="520" w:lineRule="exact"/>
        <w:ind w:firstLine="420" w:firstLineChars="200"/>
        <w:rPr>
          <w:rFonts w:ascii="宋体" w:hAnsi="宋体" w:cs="宋体"/>
        </w:rPr>
      </w:pPr>
      <w:r>
        <w:rPr>
          <w:rFonts w:hint="eastAsia" w:asciiTheme="minorEastAsia" w:hAnsiTheme="minorEastAsia" w:eastAsiaTheme="minorEastAsia"/>
          <w:kern w:val="11"/>
        </w:rPr>
        <w:t>电话：</w:t>
      </w:r>
      <w:r>
        <w:rPr>
          <w:rFonts w:hint="eastAsia" w:ascii="宋体" w:hAnsi="宋体" w:cs="宋体"/>
        </w:rPr>
        <w:t>0374-8621688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招标代理机构：</w:t>
      </w:r>
      <w:r>
        <w:rPr>
          <w:rFonts w:hint="eastAsia" w:ascii="宋体" w:hAnsi="宋体" w:cs="宋体"/>
        </w:rPr>
        <w:t>河南呈祥工程咨询有限公司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地址： 汝州望嵩中路46号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</w:rPr>
      </w:pPr>
      <w:r>
        <w:rPr>
          <w:rFonts w:hint="eastAsia" w:asciiTheme="minorEastAsia" w:hAnsiTheme="minorEastAsia" w:eastAsiaTheme="minorEastAsia"/>
          <w:kern w:val="11"/>
        </w:rPr>
        <w:t>联系人：</w:t>
      </w:r>
      <w:r>
        <w:rPr>
          <w:rFonts w:hint="eastAsia" w:ascii="宋体" w:hAnsi="宋体" w:cs="宋体"/>
        </w:rPr>
        <w:t>漫书娜</w:t>
      </w:r>
    </w:p>
    <w:p>
      <w:pPr>
        <w:spacing w:line="520" w:lineRule="exact"/>
        <w:ind w:firstLine="420" w:firstLineChars="200"/>
        <w:rPr>
          <w:rFonts w:asciiTheme="minorEastAsia" w:hAnsiTheme="minorEastAsia" w:eastAsiaTheme="minorEastAsia"/>
          <w:kern w:val="11"/>
          <w:sz w:val="21"/>
          <w:szCs w:val="21"/>
        </w:rPr>
      </w:pPr>
      <w:r>
        <w:rPr>
          <w:rFonts w:hint="eastAsia" w:asciiTheme="minorEastAsia" w:hAnsiTheme="minorEastAsia" w:eastAsiaTheme="minorEastAsia"/>
          <w:kern w:val="11"/>
        </w:rPr>
        <w:t>电话</w:t>
      </w:r>
      <w:r>
        <w:rPr>
          <w:rFonts w:hint="eastAsia" w:asciiTheme="minorEastAsia" w:hAnsiTheme="minorEastAsia" w:eastAsiaTheme="minorEastAsia"/>
          <w:color w:val="0000FF"/>
          <w:kern w:val="11"/>
        </w:rPr>
        <w:t>：</w:t>
      </w:r>
      <w:r>
        <w:rPr>
          <w:rFonts w:hint="eastAsia" w:ascii="宋体" w:hAnsi="宋体" w:cs="仿宋"/>
          <w:sz w:val="21"/>
          <w:szCs w:val="21"/>
        </w:rPr>
        <w:t>0374-2767699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567" w:right="1797" w:bottom="56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0AC1"/>
    <w:multiLevelType w:val="multilevel"/>
    <w:tmpl w:val="6FC40AC1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BC9"/>
    <w:rsid w:val="000546D6"/>
    <w:rsid w:val="001540E7"/>
    <w:rsid w:val="00265BC9"/>
    <w:rsid w:val="00340BBB"/>
    <w:rsid w:val="00341097"/>
    <w:rsid w:val="00481BC8"/>
    <w:rsid w:val="005821EC"/>
    <w:rsid w:val="005D77EB"/>
    <w:rsid w:val="006409D2"/>
    <w:rsid w:val="00761520"/>
    <w:rsid w:val="008B638F"/>
    <w:rsid w:val="009C7066"/>
    <w:rsid w:val="009F72EE"/>
    <w:rsid w:val="00CC559B"/>
    <w:rsid w:val="00CE76BE"/>
    <w:rsid w:val="00D82B26"/>
    <w:rsid w:val="00DA4239"/>
    <w:rsid w:val="00FB48E8"/>
    <w:rsid w:val="02CB3DEB"/>
    <w:rsid w:val="0FE257FE"/>
    <w:rsid w:val="14C74761"/>
    <w:rsid w:val="18240109"/>
    <w:rsid w:val="18466442"/>
    <w:rsid w:val="237E415A"/>
    <w:rsid w:val="283B3A6F"/>
    <w:rsid w:val="2BEC3A34"/>
    <w:rsid w:val="30121C45"/>
    <w:rsid w:val="326D03E1"/>
    <w:rsid w:val="39343A41"/>
    <w:rsid w:val="3C806A2C"/>
    <w:rsid w:val="4F7015CA"/>
    <w:rsid w:val="50DE0716"/>
    <w:rsid w:val="56174DEB"/>
    <w:rsid w:val="57A83EE5"/>
    <w:rsid w:val="5D6B1ED5"/>
    <w:rsid w:val="623B1D4C"/>
    <w:rsid w:val="65B01C02"/>
    <w:rsid w:val="68B229AB"/>
    <w:rsid w:val="781313BC"/>
    <w:rsid w:val="79480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line="520" w:lineRule="exact"/>
    </w:pPr>
    <w:rPr>
      <w:rFonts w:ascii="仿宋_GB2312" w:hAnsi="宋体" w:eastAsia="仿宋_GB2312" w:cs="宋体"/>
      <w:color w:val="008000"/>
      <w:sz w:val="24"/>
      <w:szCs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217</Words>
  <Characters>1239</Characters>
  <Lines>10</Lines>
  <Paragraphs>2</Paragraphs>
  <ScaleCrop>false</ScaleCrop>
  <LinksUpToDate>false</LinksUpToDate>
  <CharactersWithSpaces>1454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2017-10-24T08:17:00Z</cp:lastPrinted>
  <dcterms:modified xsi:type="dcterms:W3CDTF">2018-03-07T01:23:03Z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