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hint="eastAsia" w:ascii="黑体" w:hAnsi="黑体" w:eastAsia="黑体" w:cs="黑体"/>
          <w:bCs/>
          <w:w w:val="90"/>
          <w:sz w:val="44"/>
          <w:szCs w:val="44"/>
        </w:rPr>
      </w:pPr>
    </w:p>
    <w:p>
      <w:pPr>
        <w:ind w:firstLine="792" w:firstLineChars="200"/>
        <w:rPr>
          <w:rFonts w:ascii="黑体" w:hAnsi="黑体" w:eastAsia="黑体" w:cs="黑体"/>
          <w:bCs/>
          <w:w w:val="90"/>
          <w:sz w:val="44"/>
          <w:szCs w:val="44"/>
        </w:rPr>
      </w:pPr>
      <w:r>
        <w:rPr>
          <w:rFonts w:hint="eastAsia" w:ascii="黑体" w:hAnsi="黑体" w:eastAsia="黑体" w:cs="黑体"/>
          <w:bCs/>
          <w:w w:val="90"/>
          <w:sz w:val="44"/>
          <w:szCs w:val="44"/>
        </w:rPr>
        <w:t>禹州市浅井镇人民政府薄壳核桃苗采购项目</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采购单位：禹州市浅井镇人民政府</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禹州市浅井镇人民政府薄壳核桃苗采购项目</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8049</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eastAsia="zh-CN"/>
        </w:rPr>
        <w:t>浅井镇人民政府薄壳核桃苗</w:t>
      </w:r>
      <w:r>
        <w:rPr>
          <w:rFonts w:hint="eastAsia" w:ascii="仿宋" w:hAnsi="仿宋" w:eastAsia="仿宋" w:cs="仿宋"/>
          <w:b/>
          <w:bCs/>
          <w:sz w:val="32"/>
          <w:szCs w:val="32"/>
        </w:rPr>
        <w:t>采购项目</w:t>
      </w:r>
    </w:p>
    <w:p>
      <w:pPr>
        <w:ind w:firstLine="3534" w:firstLineChars="11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函</w:t>
      </w:r>
    </w:p>
    <w:p>
      <w:pPr>
        <w:ind w:firstLine="2108" w:firstLineChars="700"/>
        <w:jc w:val="both"/>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禹州市政府采购中心受禹州市浅井镇人民政府的委托，就“禹州市浅井镇人民政府薄壳核桃苗采购项目”进行公开招标，欢迎合格的投标人前来投标。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1、采购人：禹州市浅井镇人民政府</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2、项目名称：禹州市浅井镇人民政府薄壳核桃苗采购项目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8049</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4、项目需求：薄壳核桃苗</w:t>
      </w:r>
      <w:r>
        <w:rPr>
          <w:rFonts w:hint="eastAsia" w:ascii="仿宋" w:hAnsi="仿宋" w:eastAsia="仿宋" w:cs="仿宋"/>
          <w:sz w:val="24"/>
          <w:szCs w:val="24"/>
          <w:lang w:val="en-US" w:eastAsia="zh-CN"/>
        </w:rPr>
        <w:t xml:space="preserve">  92500株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78.625万元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78.625万元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3、投标商须具有林木种子生产许可证和林木种子经营许可证；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6</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3</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　</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禹州市浅井镇人民政府</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浅井镇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田先生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13733648088</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80" w:firstLineChars="2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687" w:firstLineChars="700"/>
        <w:rPr>
          <w:rFonts w:ascii="仿宋" w:hAnsi="仿宋" w:eastAsia="仿宋" w:cs="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rPr>
                <w:rFonts w:ascii="仿宋" w:hAnsi="仿宋" w:eastAsia="仿宋"/>
                <w:color w:val="000000"/>
                <w:kern w:val="0"/>
                <w:sz w:val="24"/>
                <w:szCs w:val="24"/>
              </w:rPr>
            </w:pPr>
            <w:r>
              <w:rPr>
                <w:rFonts w:hint="eastAsia" w:ascii="仿宋" w:hAnsi="仿宋" w:eastAsia="仿宋"/>
                <w:sz w:val="24"/>
                <w:szCs w:val="24"/>
              </w:rPr>
              <w:t>禹州市浅井镇人民政府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sz w:val="24"/>
                <w:szCs w:val="24"/>
              </w:rPr>
              <w:t>禹州市浅井镇人民政府薄壳核桃苗采购项目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lang w:eastAsia="zh-CN"/>
              </w:rPr>
              <w:t>以</w:t>
            </w:r>
            <w:r>
              <w:rPr>
                <w:rFonts w:hint="eastAsia" w:ascii="仿宋" w:hAnsi="仿宋" w:eastAsia="仿宋" w:cs="仿宋"/>
                <w:bCs/>
                <w:sz w:val="24"/>
                <w:szCs w:val="24"/>
              </w:rPr>
              <w:t>签订采购合同</w:t>
            </w:r>
            <w:r>
              <w:rPr>
                <w:rFonts w:hint="eastAsia" w:ascii="仿宋" w:hAnsi="仿宋" w:eastAsia="仿宋" w:cs="仿宋"/>
                <w:bCs/>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29</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78.625</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6"/>
        </w:numPr>
        <w:spacing w:line="360" w:lineRule="auto"/>
        <w:rPr>
          <w:rFonts w:hint="eastAsia" w:ascii="仿宋" w:hAnsi="仿宋" w:eastAsia="仿宋"/>
          <w:b/>
          <w:sz w:val="24"/>
          <w:szCs w:val="24"/>
          <w:lang w:val="en-US" w:eastAsia="zh-CN"/>
        </w:rPr>
      </w:pPr>
      <w:r>
        <w:rPr>
          <w:rFonts w:hint="eastAsia" w:ascii="仿宋" w:hAnsi="仿宋" w:eastAsia="仿宋"/>
          <w:b/>
          <w:sz w:val="24"/>
          <w:szCs w:val="24"/>
        </w:rPr>
        <w:t>采购内容及参数要求:</w:t>
      </w:r>
      <w:r>
        <w:rPr>
          <w:rFonts w:hint="eastAsia" w:ascii="仿宋" w:hAnsi="仿宋" w:eastAsia="仿宋"/>
          <w:b/>
          <w:sz w:val="24"/>
          <w:szCs w:val="24"/>
          <w:lang w:val="en-US" w:eastAsia="zh-CN"/>
        </w:rPr>
        <w:t xml:space="preserve">  薄壳核桃苗  92500株</w:t>
      </w:r>
    </w:p>
    <w:tbl>
      <w:tblPr>
        <w:tblStyle w:val="37"/>
        <w:tblW w:w="9885"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876"/>
        <w:gridCol w:w="906"/>
        <w:gridCol w:w="1270"/>
        <w:gridCol w:w="1092"/>
        <w:gridCol w:w="1356"/>
        <w:gridCol w:w="1157"/>
        <w:gridCol w:w="109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798" w:type="dxa"/>
            <w:vAlign w:val="top"/>
          </w:tcPr>
          <w:p>
            <w:pPr>
              <w:jc w:val="center"/>
              <w:rPr>
                <w:rFonts w:hint="eastAsia" w:ascii="仿宋_GB2312" w:eastAsia="仿宋_GB2312"/>
                <w:szCs w:val="24"/>
              </w:rPr>
            </w:pPr>
            <w:r>
              <w:rPr>
                <w:rFonts w:hint="eastAsia" w:ascii="仿宋_GB2312" w:eastAsia="仿宋_GB2312"/>
                <w:szCs w:val="24"/>
              </w:rPr>
              <w:t>苗木</w:t>
            </w:r>
          </w:p>
          <w:p>
            <w:pPr>
              <w:jc w:val="center"/>
              <w:rPr>
                <w:rFonts w:hint="eastAsia" w:ascii="仿宋_GB2312" w:eastAsia="仿宋_GB2312"/>
                <w:szCs w:val="24"/>
              </w:rPr>
            </w:pPr>
            <w:r>
              <w:rPr>
                <w:rFonts w:hint="eastAsia" w:ascii="仿宋_GB2312" w:eastAsia="仿宋_GB2312"/>
                <w:szCs w:val="24"/>
              </w:rPr>
              <w:t>品种</w:t>
            </w:r>
          </w:p>
        </w:tc>
        <w:tc>
          <w:tcPr>
            <w:tcW w:w="876" w:type="dxa"/>
            <w:vAlign w:val="top"/>
          </w:tcPr>
          <w:p>
            <w:pPr>
              <w:jc w:val="center"/>
              <w:rPr>
                <w:rFonts w:hint="eastAsia" w:ascii="仿宋_GB2312" w:eastAsia="仿宋_GB2312"/>
                <w:szCs w:val="24"/>
              </w:rPr>
            </w:pPr>
            <w:r>
              <w:rPr>
                <w:rFonts w:hint="eastAsia" w:ascii="仿宋_GB2312" w:eastAsia="仿宋_GB2312"/>
                <w:szCs w:val="24"/>
              </w:rPr>
              <w:t>等级</w:t>
            </w:r>
          </w:p>
        </w:tc>
        <w:tc>
          <w:tcPr>
            <w:tcW w:w="906" w:type="dxa"/>
            <w:vAlign w:val="top"/>
          </w:tcPr>
          <w:p>
            <w:pPr>
              <w:jc w:val="center"/>
              <w:rPr>
                <w:rFonts w:hint="eastAsia" w:ascii="仿宋_GB2312" w:eastAsia="仿宋_GB2312"/>
                <w:szCs w:val="24"/>
              </w:rPr>
            </w:pPr>
            <w:r>
              <w:rPr>
                <w:rFonts w:hint="eastAsia" w:ascii="仿宋_GB2312" w:eastAsia="仿宋_GB2312"/>
                <w:szCs w:val="24"/>
              </w:rPr>
              <w:t>生长年</w:t>
            </w:r>
          </w:p>
        </w:tc>
        <w:tc>
          <w:tcPr>
            <w:tcW w:w="1270" w:type="dxa"/>
            <w:vAlign w:val="top"/>
          </w:tcPr>
          <w:p>
            <w:pPr>
              <w:jc w:val="center"/>
              <w:rPr>
                <w:rFonts w:hint="eastAsia" w:ascii="仿宋_GB2312" w:eastAsia="仿宋_GB2312"/>
                <w:szCs w:val="24"/>
              </w:rPr>
            </w:pPr>
            <w:r>
              <w:rPr>
                <w:rFonts w:hint="eastAsia" w:ascii="仿宋_GB2312" w:eastAsia="仿宋_GB2312"/>
                <w:szCs w:val="24"/>
              </w:rPr>
              <w:t>砧木</w:t>
            </w:r>
          </w:p>
          <w:p>
            <w:pPr>
              <w:jc w:val="center"/>
              <w:rPr>
                <w:rFonts w:hint="eastAsia" w:ascii="仿宋_GB2312" w:eastAsia="仿宋_GB2312"/>
                <w:szCs w:val="24"/>
              </w:rPr>
            </w:pPr>
            <w:r>
              <w:rPr>
                <w:rFonts w:hint="eastAsia" w:ascii="仿宋_GB2312" w:eastAsia="仿宋_GB2312"/>
                <w:szCs w:val="24"/>
              </w:rPr>
              <w:t>高／cm</w:t>
            </w:r>
          </w:p>
        </w:tc>
        <w:tc>
          <w:tcPr>
            <w:tcW w:w="1092" w:type="dxa"/>
            <w:vAlign w:val="top"/>
          </w:tcPr>
          <w:p>
            <w:pPr>
              <w:jc w:val="center"/>
              <w:rPr>
                <w:rFonts w:hint="eastAsia" w:ascii="仿宋_GB2312" w:eastAsia="仿宋_GB2312"/>
                <w:szCs w:val="24"/>
              </w:rPr>
            </w:pPr>
            <w:r>
              <w:rPr>
                <w:rFonts w:hint="eastAsia" w:ascii="仿宋_GB2312" w:eastAsia="仿宋_GB2312"/>
                <w:szCs w:val="24"/>
              </w:rPr>
              <w:t>嫁接苗</w:t>
            </w:r>
          </w:p>
          <w:p>
            <w:pPr>
              <w:jc w:val="center"/>
              <w:rPr>
                <w:rFonts w:hint="eastAsia" w:ascii="仿宋_GB2312" w:eastAsia="仿宋_GB2312"/>
                <w:szCs w:val="24"/>
              </w:rPr>
            </w:pPr>
            <w:r>
              <w:rPr>
                <w:rFonts w:hint="eastAsia" w:ascii="仿宋_GB2312" w:eastAsia="仿宋_GB2312"/>
                <w:szCs w:val="24"/>
              </w:rPr>
              <w:t>高／cm</w:t>
            </w:r>
          </w:p>
        </w:tc>
        <w:tc>
          <w:tcPr>
            <w:tcW w:w="1356" w:type="dxa"/>
            <w:vAlign w:val="top"/>
          </w:tcPr>
          <w:p>
            <w:pPr>
              <w:jc w:val="center"/>
              <w:rPr>
                <w:rFonts w:hint="eastAsia" w:ascii="仿宋_GB2312" w:eastAsia="仿宋_GB2312"/>
                <w:szCs w:val="24"/>
              </w:rPr>
            </w:pPr>
            <w:r>
              <w:rPr>
                <w:rFonts w:hint="eastAsia" w:ascii="仿宋_GB2312" w:eastAsia="仿宋_GB2312"/>
                <w:szCs w:val="24"/>
              </w:rPr>
              <w:t>径粗／cm</w:t>
            </w:r>
          </w:p>
        </w:tc>
        <w:tc>
          <w:tcPr>
            <w:tcW w:w="1157" w:type="dxa"/>
            <w:vAlign w:val="top"/>
          </w:tcPr>
          <w:p>
            <w:pPr>
              <w:jc w:val="center"/>
              <w:rPr>
                <w:rFonts w:hint="eastAsia" w:ascii="仿宋_GB2312" w:eastAsia="仿宋_GB2312"/>
                <w:szCs w:val="24"/>
              </w:rPr>
            </w:pPr>
            <w:r>
              <w:rPr>
                <w:rFonts w:hint="eastAsia" w:ascii="仿宋_GB2312" w:eastAsia="仿宋_GB2312"/>
                <w:szCs w:val="24"/>
              </w:rPr>
              <w:t>主根／cm</w:t>
            </w:r>
          </w:p>
        </w:tc>
        <w:tc>
          <w:tcPr>
            <w:tcW w:w="1095" w:type="dxa"/>
            <w:vAlign w:val="top"/>
          </w:tcPr>
          <w:p>
            <w:pPr>
              <w:jc w:val="center"/>
              <w:rPr>
                <w:rFonts w:hint="eastAsia" w:ascii="仿宋_GB2312" w:eastAsia="仿宋_GB2312"/>
                <w:szCs w:val="24"/>
              </w:rPr>
            </w:pPr>
            <w:r>
              <w:rPr>
                <w:rFonts w:hint="eastAsia" w:ascii="仿宋_GB2312" w:eastAsia="仿宋_GB2312"/>
                <w:szCs w:val="24"/>
              </w:rPr>
              <w:t>侧根数</w:t>
            </w:r>
          </w:p>
        </w:tc>
        <w:tc>
          <w:tcPr>
            <w:tcW w:w="1335" w:type="dxa"/>
            <w:vAlign w:val="top"/>
          </w:tcPr>
          <w:p>
            <w:pPr>
              <w:jc w:val="center"/>
              <w:rPr>
                <w:rFonts w:hint="eastAsia" w:ascii="仿宋_GB2312" w:eastAsia="仿宋_GB2312"/>
                <w:szCs w:val="24"/>
              </w:rPr>
            </w:pPr>
            <w:r>
              <w:rPr>
                <w:rFonts w:hint="eastAsia" w:ascii="仿宋_GB2312" w:eastAsia="仿宋_GB2312"/>
                <w:szCs w:val="24"/>
              </w:rPr>
              <w:t>地径／cm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vAlign w:val="top"/>
          </w:tcPr>
          <w:p>
            <w:pPr>
              <w:jc w:val="center"/>
              <w:rPr>
                <w:rFonts w:hint="eastAsia" w:ascii="仿宋_GB2312" w:eastAsia="仿宋_GB2312"/>
                <w:szCs w:val="24"/>
              </w:rPr>
            </w:pPr>
            <w:r>
              <w:rPr>
                <w:rFonts w:hint="eastAsia" w:ascii="仿宋_GB2312" w:eastAsia="仿宋_GB2312"/>
                <w:szCs w:val="24"/>
              </w:rPr>
              <w:t>核桃苗</w:t>
            </w:r>
          </w:p>
        </w:tc>
        <w:tc>
          <w:tcPr>
            <w:tcW w:w="876" w:type="dxa"/>
            <w:vAlign w:val="top"/>
          </w:tcPr>
          <w:p>
            <w:pPr>
              <w:jc w:val="center"/>
              <w:rPr>
                <w:rFonts w:hint="eastAsia" w:ascii="仿宋_GB2312" w:eastAsia="仿宋_GB2312"/>
                <w:szCs w:val="24"/>
              </w:rPr>
            </w:pPr>
            <w:r>
              <w:rPr>
                <w:rFonts w:hint="eastAsia" w:ascii="仿宋_GB2312" w:eastAsia="仿宋_GB2312"/>
                <w:szCs w:val="24"/>
              </w:rPr>
              <w:t>1级</w:t>
            </w:r>
          </w:p>
        </w:tc>
        <w:tc>
          <w:tcPr>
            <w:tcW w:w="906" w:type="dxa"/>
            <w:vAlign w:val="top"/>
          </w:tcPr>
          <w:p>
            <w:pPr>
              <w:jc w:val="center"/>
              <w:rPr>
                <w:rFonts w:hint="eastAsia" w:ascii="仿宋_GB2312" w:eastAsia="仿宋_GB2312"/>
                <w:szCs w:val="24"/>
              </w:rPr>
            </w:pPr>
            <w:r>
              <w:rPr>
                <w:rFonts w:hint="eastAsia" w:ascii="仿宋_GB2312" w:eastAsia="仿宋_GB2312"/>
                <w:szCs w:val="24"/>
              </w:rPr>
              <w:t>2年</w:t>
            </w:r>
          </w:p>
        </w:tc>
        <w:tc>
          <w:tcPr>
            <w:tcW w:w="1270" w:type="dxa"/>
            <w:vAlign w:val="top"/>
          </w:tcPr>
          <w:p>
            <w:pPr>
              <w:jc w:val="center"/>
              <w:rPr>
                <w:rFonts w:hint="eastAsia" w:ascii="仿宋_GB2312" w:eastAsia="仿宋_GB2312"/>
                <w:szCs w:val="24"/>
              </w:rPr>
            </w:pPr>
            <w:r>
              <w:rPr>
                <w:rFonts w:hint="eastAsia" w:ascii="仿宋_GB2312" w:eastAsia="仿宋_GB2312"/>
                <w:szCs w:val="24"/>
              </w:rPr>
              <w:t>15～20</w:t>
            </w:r>
          </w:p>
        </w:tc>
        <w:tc>
          <w:tcPr>
            <w:tcW w:w="1092" w:type="dxa"/>
            <w:vAlign w:val="top"/>
          </w:tcPr>
          <w:p>
            <w:pPr>
              <w:jc w:val="center"/>
              <w:rPr>
                <w:rFonts w:hint="eastAsia" w:hAnsi="宋体" w:cs="宋体"/>
                <w:szCs w:val="24"/>
              </w:rPr>
            </w:pPr>
            <w:r>
              <w:rPr>
                <w:rFonts w:hint="eastAsia" w:hAnsi="宋体" w:cs="宋体"/>
                <w:szCs w:val="24"/>
              </w:rPr>
              <w:t>﹥80</w:t>
            </w:r>
          </w:p>
        </w:tc>
        <w:tc>
          <w:tcPr>
            <w:tcW w:w="1356" w:type="dxa"/>
            <w:vAlign w:val="top"/>
          </w:tcPr>
          <w:p>
            <w:pPr>
              <w:jc w:val="center"/>
              <w:rPr>
                <w:rFonts w:hint="eastAsia" w:ascii="仿宋_GB2312" w:eastAsia="仿宋_GB2312"/>
                <w:szCs w:val="24"/>
              </w:rPr>
            </w:pPr>
            <w:r>
              <w:rPr>
                <w:rFonts w:hint="eastAsia" w:hAnsi="宋体" w:cs="宋体"/>
                <w:szCs w:val="24"/>
              </w:rPr>
              <w:t>﹥1.0</w:t>
            </w:r>
          </w:p>
        </w:tc>
        <w:tc>
          <w:tcPr>
            <w:tcW w:w="1157" w:type="dxa"/>
            <w:vAlign w:val="top"/>
          </w:tcPr>
          <w:p>
            <w:pPr>
              <w:jc w:val="center"/>
              <w:rPr>
                <w:rFonts w:hint="eastAsia" w:ascii="仿宋_GB2312" w:eastAsia="仿宋_GB2312"/>
                <w:szCs w:val="24"/>
              </w:rPr>
            </w:pPr>
            <w:r>
              <w:rPr>
                <w:rFonts w:hint="eastAsia" w:ascii="仿宋_GB2312" w:eastAsia="仿宋_GB2312"/>
                <w:szCs w:val="24"/>
              </w:rPr>
              <w:t>20</w:t>
            </w:r>
          </w:p>
        </w:tc>
        <w:tc>
          <w:tcPr>
            <w:tcW w:w="1095" w:type="dxa"/>
            <w:vAlign w:val="top"/>
          </w:tcPr>
          <w:p>
            <w:pPr>
              <w:jc w:val="center"/>
              <w:rPr>
                <w:rFonts w:hint="eastAsia" w:ascii="仿宋_GB2312" w:eastAsia="仿宋_GB2312"/>
                <w:szCs w:val="24"/>
              </w:rPr>
            </w:pPr>
            <w:r>
              <w:rPr>
                <w:rFonts w:hint="eastAsia" w:ascii="仿宋_GB2312" w:eastAsia="仿宋_GB2312"/>
                <w:szCs w:val="24"/>
              </w:rPr>
              <w:t>不少于</w:t>
            </w:r>
          </w:p>
          <w:p>
            <w:pPr>
              <w:jc w:val="center"/>
              <w:rPr>
                <w:rFonts w:hint="eastAsia" w:ascii="仿宋_GB2312" w:eastAsia="仿宋_GB2312"/>
                <w:szCs w:val="24"/>
              </w:rPr>
            </w:pPr>
            <w:r>
              <w:rPr>
                <w:rFonts w:hint="eastAsia" w:ascii="仿宋_GB2312" w:eastAsia="仿宋_GB2312"/>
                <w:szCs w:val="24"/>
              </w:rPr>
              <w:t>20条</w:t>
            </w:r>
          </w:p>
        </w:tc>
        <w:tc>
          <w:tcPr>
            <w:tcW w:w="1335" w:type="dxa"/>
            <w:vAlign w:val="top"/>
          </w:tcPr>
          <w:p>
            <w:pPr>
              <w:jc w:val="center"/>
              <w:rPr>
                <w:rFonts w:hint="eastAsia" w:ascii="仿宋_GB2312" w:eastAsia="仿宋_GB2312"/>
                <w:szCs w:val="24"/>
              </w:rPr>
            </w:pPr>
            <w:r>
              <w:rPr>
                <w:rFonts w:hint="eastAsia" w:ascii="仿宋_GB2312" w:eastAsia="仿宋_GB2312"/>
                <w:szCs w:val="24"/>
              </w:rPr>
              <w:t>1.5</w:t>
            </w:r>
          </w:p>
        </w:tc>
      </w:tr>
    </w:tbl>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直观综合标准：</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1.品种优良、砧木高15～20厘米；</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2.苗木通直，色泽正常；苗木径木质化；</w:t>
      </w:r>
    </w:p>
    <w:p>
      <w:pPr>
        <w:tabs>
          <w:tab w:val="left" w:pos="5963"/>
        </w:tabs>
        <w:spacing w:line="420" w:lineRule="exact"/>
        <w:ind w:firstLine="480" w:firstLineChars="200"/>
        <w:rPr>
          <w:rFonts w:hint="eastAsia" w:ascii="仿宋" w:hAnsi="仿宋" w:eastAsia="仿宋"/>
          <w:b/>
          <w:sz w:val="24"/>
          <w:szCs w:val="24"/>
          <w:lang w:val="en-US" w:eastAsia="zh-CN"/>
        </w:rPr>
      </w:pPr>
      <w:r>
        <w:rPr>
          <w:rFonts w:hint="eastAsia" w:ascii="仿宋" w:hAnsi="仿宋" w:eastAsia="仿宋" w:cs="仿宋"/>
          <w:sz w:val="24"/>
          <w:szCs w:val="24"/>
        </w:rPr>
        <w:t>3.不失水，无病虫害、无机械伤（截跟除外）</w:t>
      </w:r>
      <w:r>
        <w:rPr>
          <w:rFonts w:hint="eastAsia" w:ascii="仿宋_GB2312" w:eastAsia="仿宋_GB2312"/>
          <w:sz w:val="32"/>
          <w:szCs w:val="32"/>
        </w:rPr>
        <w:t>。</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r>
        <w:rPr>
          <w:rFonts w:hint="eastAsia" w:ascii="仿宋" w:hAnsi="仿宋" w:eastAsia="仿宋" w:cs="仿宋"/>
          <w:sz w:val="24"/>
          <w:szCs w:val="24"/>
          <w:lang w:eastAsia="zh-CN"/>
        </w:rPr>
        <w:t>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
          <w:bCs/>
          <w:color w:val="FF0000"/>
          <w:sz w:val="24"/>
          <w:szCs w:val="24"/>
          <w:lang w:val="en-US" w:eastAsia="zh-CN"/>
        </w:rPr>
      </w:pPr>
      <w:r>
        <w:rPr>
          <w:rFonts w:hint="eastAsia" w:ascii="仿宋" w:hAnsi="仿宋" w:eastAsia="仿宋" w:cs="宋体"/>
          <w:b/>
          <w:bCs/>
          <w:color w:val="FF0000"/>
          <w:sz w:val="24"/>
          <w:szCs w:val="24"/>
          <w:lang w:val="en-US" w:eastAsia="zh-CN"/>
        </w:rPr>
        <w:t>投标商须对此项做出承诺（格式自拟）。</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bookmarkStart w:id="0" w:name="_GoBack"/>
            <w:bookmarkEnd w:id="0"/>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CB1C"/>
    <w:multiLevelType w:val="singleLevel"/>
    <w:tmpl w:val="28A4CB1C"/>
    <w:lvl w:ilvl="0" w:tentative="0">
      <w:start w:val="19"/>
      <w:numFmt w:val="decimal"/>
      <w:suff w:val="nothing"/>
      <w:lvlText w:val="%1、"/>
      <w:lvlJc w:val="left"/>
    </w:lvl>
  </w:abstractNum>
  <w:abstractNum w:abstractNumId="1">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E374A4"/>
    <w:multiLevelType w:val="singleLevel"/>
    <w:tmpl w:val="56E374A4"/>
    <w:lvl w:ilvl="0" w:tentative="0">
      <w:start w:val="9"/>
      <w:numFmt w:val="decimal"/>
      <w:pStyle w:val="119"/>
      <w:suff w:val="nothing"/>
      <w:lvlText w:val="%1、"/>
      <w:lvlJc w:val="left"/>
    </w:lvl>
  </w:abstractNum>
  <w:abstractNum w:abstractNumId="3">
    <w:nsid w:val="5A27AEF7"/>
    <w:multiLevelType w:val="singleLevel"/>
    <w:tmpl w:val="5A27AEF7"/>
    <w:lvl w:ilvl="0" w:tentative="0">
      <w:start w:val="2"/>
      <w:numFmt w:val="chineseCounting"/>
      <w:suff w:val="nothing"/>
      <w:lvlText w:val="（%1）"/>
      <w:lvlJc w:val="left"/>
    </w:lvl>
  </w:abstractNum>
  <w:abstractNum w:abstractNumId="4">
    <w:nsid w:val="5A41E5C1"/>
    <w:multiLevelType w:val="singleLevel"/>
    <w:tmpl w:val="5A41E5C1"/>
    <w:lvl w:ilvl="0" w:tentative="0">
      <w:start w:val="1"/>
      <w:numFmt w:val="chineseCounting"/>
      <w:suff w:val="space"/>
      <w:lvlText w:val="第%1部分"/>
      <w:lvlJc w:val="left"/>
    </w:lvl>
  </w:abstractNum>
  <w:abstractNum w:abstractNumId="5">
    <w:nsid w:val="7058D16D"/>
    <w:multiLevelType w:val="singleLevel"/>
    <w:tmpl w:val="7058D16D"/>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3921E0B"/>
    <w:rsid w:val="03CB53C9"/>
    <w:rsid w:val="03D744EF"/>
    <w:rsid w:val="04252D6C"/>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350DEF"/>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772901"/>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3C65BD"/>
    <w:rsid w:val="328D4D46"/>
    <w:rsid w:val="330F0CEB"/>
    <w:rsid w:val="3329532C"/>
    <w:rsid w:val="333C55A2"/>
    <w:rsid w:val="33EF6302"/>
    <w:rsid w:val="3473229E"/>
    <w:rsid w:val="349F7EC2"/>
    <w:rsid w:val="34B022E5"/>
    <w:rsid w:val="34CE04B2"/>
    <w:rsid w:val="34E635D0"/>
    <w:rsid w:val="34E90CF4"/>
    <w:rsid w:val="34F94C42"/>
    <w:rsid w:val="35020BCE"/>
    <w:rsid w:val="35736992"/>
    <w:rsid w:val="35943D18"/>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36A53D4"/>
    <w:rsid w:val="53857B5E"/>
    <w:rsid w:val="54C67D23"/>
    <w:rsid w:val="555B4B61"/>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83B92"/>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2018-03-07T08:01:45Z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