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sz w:val="36"/>
          <w:szCs w:val="36"/>
        </w:rPr>
      </w:pPr>
    </w:p>
    <w:p>
      <w:pPr>
        <w:jc w:val="center"/>
        <w:rPr>
          <w:rFonts w:ascii="黑体" w:hAnsi="华文中宋" w:eastAsia="黑体"/>
          <w:b/>
          <w:sz w:val="36"/>
          <w:szCs w:val="36"/>
        </w:rPr>
      </w:pPr>
    </w:p>
    <w:p>
      <w:pPr>
        <w:jc w:val="center"/>
        <w:rPr>
          <w:rFonts w:ascii="宋体" w:hAnsi="宋体"/>
          <w:sz w:val="72"/>
          <w:szCs w:val="72"/>
        </w:rPr>
      </w:pPr>
      <w:bookmarkStart w:id="0" w:name="_Toc234382569"/>
      <w:r>
        <w:rPr>
          <w:rFonts w:hint="eastAsia" w:ascii="宋体" w:hAnsi="宋体"/>
          <w:sz w:val="72"/>
          <w:szCs w:val="72"/>
        </w:rPr>
        <w:t>建安区</w:t>
      </w:r>
      <w:r>
        <w:rPr>
          <w:rFonts w:ascii="宋体" w:hAnsi="宋体"/>
          <w:sz w:val="72"/>
          <w:szCs w:val="72"/>
        </w:rPr>
        <w:t>建设工程</w:t>
      </w:r>
    </w:p>
    <w:p>
      <w:pPr>
        <w:jc w:val="center"/>
        <w:rPr>
          <w:rFonts w:eastAsia="华文中宋"/>
          <w:sz w:val="84"/>
          <w:szCs w:val="84"/>
        </w:rPr>
      </w:pPr>
    </w:p>
    <w:p>
      <w:pPr>
        <w:jc w:val="center"/>
        <w:rPr>
          <w:rFonts w:eastAsia="华文中宋"/>
          <w:sz w:val="84"/>
          <w:szCs w:val="84"/>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eastAsia="华文中宋"/>
          <w:sz w:val="44"/>
          <w:szCs w:val="44"/>
        </w:rPr>
      </w:pPr>
    </w:p>
    <w:p>
      <w:pPr>
        <w:rPr>
          <w:rFonts w:eastAsia="华文中宋"/>
          <w:sz w:val="44"/>
          <w:szCs w:val="44"/>
        </w:rPr>
      </w:pPr>
    </w:p>
    <w:p>
      <w:pPr>
        <w:rPr>
          <w:rFonts w:eastAsia="华文中宋"/>
          <w:sz w:val="44"/>
          <w:szCs w:val="44"/>
        </w:rPr>
      </w:pPr>
    </w:p>
    <w:p>
      <w:pPr>
        <w:rPr>
          <w:rFonts w:eastAsia="华文中宋"/>
          <w:sz w:val="44"/>
          <w:szCs w:val="44"/>
        </w:rPr>
      </w:pPr>
    </w:p>
    <w:p>
      <w:pPr>
        <w:spacing w:line="360" w:lineRule="auto"/>
        <w:jc w:val="left"/>
        <w:rPr>
          <w:rFonts w:hint="eastAsia" w:ascii="宋体" w:hAnsi="宋体"/>
          <w:sz w:val="36"/>
          <w:szCs w:val="36"/>
          <w:lang w:val="en-US" w:eastAsia="zh-CN"/>
        </w:rPr>
      </w:pPr>
      <w:r>
        <w:rPr>
          <w:rFonts w:hint="eastAsia" w:ascii="宋体" w:hAnsi="宋体"/>
          <w:sz w:val="36"/>
          <w:szCs w:val="36"/>
        </w:rPr>
        <w:t xml:space="preserve">     </w:t>
      </w:r>
      <w:r>
        <w:rPr>
          <w:rFonts w:hint="eastAsia" w:ascii="宋体" w:hAnsi="宋体"/>
          <w:sz w:val="36"/>
          <w:szCs w:val="36"/>
          <w:lang w:val="en-US" w:eastAsia="zh-CN"/>
        </w:rPr>
        <w:t xml:space="preserve"> 项目编号：建安建工公字〔2018〕24号</w:t>
      </w:r>
    </w:p>
    <w:p>
      <w:pPr>
        <w:spacing w:line="360" w:lineRule="auto"/>
        <w:ind w:firstLine="1080" w:firstLineChars="300"/>
        <w:jc w:val="left"/>
        <w:rPr>
          <w:rFonts w:ascii="宋体" w:hAnsi="宋体"/>
          <w:sz w:val="36"/>
          <w:szCs w:val="36"/>
          <w:lang w:val="en-US"/>
        </w:rPr>
      </w:pPr>
      <w:r>
        <w:rPr>
          <w:rFonts w:ascii="宋体" w:hAnsi="宋体"/>
          <w:sz w:val="36"/>
          <w:szCs w:val="36"/>
        </w:rPr>
        <w:t>项目名称：</w:t>
      </w:r>
      <w:r>
        <w:rPr>
          <w:rFonts w:hint="eastAsia" w:ascii="宋体" w:hAnsi="宋体"/>
          <w:sz w:val="36"/>
          <w:szCs w:val="36"/>
          <w:lang w:val="en-US" w:eastAsia="zh-CN"/>
        </w:rPr>
        <w:t>田园综合体小召乡绰韩村村道改建工程</w:t>
      </w:r>
    </w:p>
    <w:p>
      <w:pPr>
        <w:spacing w:line="360" w:lineRule="auto"/>
        <w:ind w:left="1134" w:leftChars="540"/>
        <w:jc w:val="left"/>
        <w:rPr>
          <w:rFonts w:hint="eastAsia" w:ascii="宋体" w:hAnsi="宋体"/>
          <w:sz w:val="36"/>
          <w:szCs w:val="36"/>
          <w:lang w:val="en-US" w:eastAsia="zh-CN"/>
        </w:rPr>
      </w:pPr>
      <w:r>
        <w:rPr>
          <w:rFonts w:ascii="宋体" w:hAnsi="宋体"/>
          <w:sz w:val="36"/>
          <w:szCs w:val="36"/>
        </w:rPr>
        <w:t>招 标 人：</w:t>
      </w:r>
      <w:r>
        <w:rPr>
          <w:rFonts w:hint="eastAsia" w:ascii="宋体" w:hAnsi="宋体"/>
          <w:sz w:val="36"/>
          <w:szCs w:val="36"/>
        </w:rPr>
        <w:t>许昌市建安区</w:t>
      </w:r>
      <w:r>
        <w:rPr>
          <w:rFonts w:hint="eastAsia" w:ascii="宋体" w:hAnsi="宋体"/>
          <w:sz w:val="36"/>
          <w:szCs w:val="36"/>
          <w:lang w:val="en-US" w:eastAsia="zh-CN"/>
        </w:rPr>
        <w:t>交通运输局</w:t>
      </w:r>
    </w:p>
    <w:p>
      <w:pPr>
        <w:spacing w:line="360" w:lineRule="auto"/>
        <w:ind w:left="1134" w:leftChars="540"/>
        <w:jc w:val="left"/>
        <w:rPr>
          <w:rFonts w:ascii="宋体" w:hAnsi="宋体"/>
          <w:sz w:val="36"/>
          <w:szCs w:val="36"/>
          <w:lang w:val="en-US"/>
        </w:rPr>
      </w:pPr>
      <w:r>
        <w:rPr>
          <w:rFonts w:ascii="宋体" w:hAnsi="宋体"/>
          <w:sz w:val="36"/>
          <w:szCs w:val="36"/>
        </w:rPr>
        <w:t>代理机构：</w:t>
      </w:r>
      <w:r>
        <w:rPr>
          <w:rFonts w:hint="eastAsia" w:ascii="宋体" w:hAnsi="宋体"/>
          <w:sz w:val="36"/>
          <w:szCs w:val="36"/>
          <w:lang w:val="en-US" w:eastAsia="zh-CN"/>
        </w:rPr>
        <w:t>河南省地标工程管理有限公司</w:t>
      </w:r>
    </w:p>
    <w:p>
      <w:pPr>
        <w:jc w:val="center"/>
        <w:rPr>
          <w:rFonts w:ascii="宋体" w:hAnsi="宋体"/>
          <w:sz w:val="24"/>
        </w:rPr>
      </w:pPr>
      <w:r>
        <w:rPr>
          <w:rFonts w:hint="eastAsia" w:ascii="宋体" w:hAnsi="宋体"/>
          <w:sz w:val="36"/>
          <w:szCs w:val="36"/>
        </w:rPr>
        <w:t>二〇一</w:t>
      </w:r>
      <w:r>
        <w:rPr>
          <w:rFonts w:hint="eastAsia" w:ascii="宋体" w:hAnsi="宋体"/>
          <w:sz w:val="36"/>
          <w:szCs w:val="36"/>
          <w:lang w:val="en-US" w:eastAsia="zh-CN"/>
        </w:rPr>
        <w:t>八</w:t>
      </w:r>
      <w:r>
        <w:rPr>
          <w:rFonts w:hint="eastAsia" w:ascii="宋体" w:hAnsi="宋体"/>
          <w:sz w:val="36"/>
          <w:szCs w:val="36"/>
        </w:rPr>
        <w:t>年</w:t>
      </w:r>
      <w:r>
        <w:rPr>
          <w:rFonts w:hint="eastAsia" w:ascii="宋体" w:hAnsi="宋体"/>
          <w:sz w:val="36"/>
          <w:szCs w:val="36"/>
          <w:lang w:val="en-US" w:eastAsia="zh-CN"/>
        </w:rPr>
        <w:t>三</w:t>
      </w:r>
      <w:r>
        <w:rPr>
          <w:rFonts w:hint="eastAsia" w:ascii="宋体" w:hAnsi="宋体"/>
          <w:sz w:val="36"/>
          <w:szCs w:val="36"/>
        </w:rPr>
        <w:t xml:space="preserve">月 </w:t>
      </w:r>
    </w:p>
    <w:p>
      <w:pPr>
        <w:rPr>
          <w:rFonts w:ascii="宋体" w:hAnsi="宋体"/>
          <w:sz w:val="24"/>
        </w:rPr>
      </w:pPr>
    </w:p>
    <w:p>
      <w:pPr>
        <w:rPr>
          <w:rFonts w:ascii="宋体" w:hAnsi="宋体"/>
          <w:sz w:val="24"/>
        </w:rPr>
      </w:pPr>
    </w:p>
    <w:p>
      <w:pPr>
        <w:rPr>
          <w:rFonts w:ascii="宋体" w:hAnsi="宋体"/>
          <w:sz w:val="24"/>
        </w:rPr>
      </w:pPr>
    </w:p>
    <w:p>
      <w:pPr>
        <w:spacing w:line="360" w:lineRule="auto"/>
        <w:jc w:val="center"/>
        <w:rPr>
          <w:rFonts w:ascii="宋体" w:hAnsi="宋体"/>
          <w:b/>
          <w:bCs/>
          <w:sz w:val="48"/>
          <w:szCs w:val="48"/>
        </w:rPr>
        <w:sectPr>
          <w:headerReference r:id="rId4" w:type="default"/>
          <w:footerReference r:id="rId5" w:type="default"/>
          <w:footnotePr>
            <w:numFmt w:val="decimalEnclosedCircleChinese"/>
            <w:numRestart w:val="eachPage"/>
          </w:footnotePr>
          <w:pgSz w:w="11907" w:h="16840"/>
          <w:pgMar w:top="1440" w:right="1304" w:bottom="1440" w:left="1304" w:header="720" w:footer="907" w:gutter="0"/>
          <w:pgNumType w:start="1"/>
          <w:cols w:space="720" w:num="1"/>
        </w:sectPr>
      </w:pPr>
    </w:p>
    <w:p>
      <w:pPr>
        <w:spacing w:line="360" w:lineRule="auto"/>
        <w:jc w:val="center"/>
        <w:rPr>
          <w:rFonts w:ascii="宋体" w:hAnsi="宋体"/>
          <w:b/>
          <w:bCs/>
          <w:sz w:val="48"/>
          <w:szCs w:val="48"/>
        </w:rPr>
      </w:pPr>
      <w:r>
        <w:rPr>
          <w:rFonts w:hint="eastAsia" w:ascii="宋体" w:hAnsi="宋体"/>
          <w:b/>
          <w:bCs/>
          <w:sz w:val="48"/>
          <w:szCs w:val="48"/>
        </w:rPr>
        <w:t>目  录</w:t>
      </w:r>
    </w:p>
    <w:p>
      <w:pPr>
        <w:pStyle w:val="28"/>
        <w:tabs>
          <w:tab w:val="right" w:leader="dot" w:pos="9299"/>
        </w:tabs>
        <w:spacing w:line="360" w:lineRule="auto"/>
        <w:rPr>
          <w:rFonts w:asciiTheme="minorEastAsia" w:hAnsiTheme="minorEastAsia" w:eastAsiaTheme="minorEastAsia" w:cstheme="minorEastAsia"/>
          <w:sz w:val="28"/>
          <w:szCs w:val="28"/>
        </w:rPr>
      </w:pPr>
      <w:r>
        <w:rPr>
          <w:rFonts w:ascii="宋体" w:hAnsi="宋体"/>
          <w:sz w:val="52"/>
          <w:szCs w:val="52"/>
        </w:rPr>
        <w:fldChar w:fldCharType="begin"/>
      </w:r>
      <w:r>
        <w:rPr>
          <w:rFonts w:ascii="宋体" w:hAnsi="宋体"/>
          <w:sz w:val="52"/>
          <w:szCs w:val="52"/>
        </w:rPr>
        <w:instrText xml:space="preserve"> TOC \o "1-1" \h \z \u </w:instrText>
      </w:r>
      <w:r>
        <w:rPr>
          <w:rFonts w:ascii="宋体" w:hAnsi="宋体"/>
          <w:sz w:val="52"/>
          <w:szCs w:val="52"/>
        </w:rPr>
        <w:fldChar w:fldCharType="separate"/>
      </w:r>
      <w:r>
        <w:fldChar w:fldCharType="begin"/>
      </w:r>
      <w:r>
        <w:instrText xml:space="preserve"> HYPERLINK \l "_Toc240" </w:instrText>
      </w:r>
      <w:r>
        <w:fldChar w:fldCharType="separate"/>
      </w:r>
      <w:r>
        <w:rPr>
          <w:rFonts w:hint="eastAsia" w:asciiTheme="minorEastAsia" w:hAnsiTheme="minorEastAsia" w:eastAsiaTheme="minorEastAsia" w:cstheme="minorEastAsia"/>
          <w:bCs/>
          <w:sz w:val="28"/>
          <w:szCs w:val="28"/>
        </w:rPr>
        <w:t>第一章 招标公告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8"/>
        <w:tabs>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"_Toc30837" </w:instrText>
      </w:r>
      <w:r>
        <w:fldChar w:fldCharType="separate"/>
      </w:r>
      <w:r>
        <w:rPr>
          <w:rFonts w:hint="eastAsia" w:asciiTheme="minorEastAsia" w:hAnsiTheme="minorEastAsia" w:eastAsiaTheme="minorEastAsia" w:cstheme="minorEastAsia"/>
          <w:bCs/>
          <w:sz w:val="28"/>
          <w:szCs w:val="28"/>
        </w:rPr>
        <w:t>第二章 投标人须知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_Toc30837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8"/>
        <w:tabs>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"_Toc28210" </w:instrText>
      </w:r>
      <w:r>
        <w:fldChar w:fldCharType="separate"/>
      </w:r>
      <w:r>
        <w:rPr>
          <w:rFonts w:hint="eastAsia" w:asciiTheme="minorEastAsia" w:hAnsiTheme="minorEastAsia" w:eastAsiaTheme="minorEastAsia" w:cstheme="minorEastAsia"/>
          <w:bCs/>
          <w:sz w:val="28"/>
          <w:szCs w:val="28"/>
        </w:rPr>
        <w:t>第三章 评标办法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_Toc28210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8"/>
        <w:tabs>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"_Toc13221" </w:instrText>
      </w:r>
      <w:r>
        <w:fldChar w:fldCharType="separate"/>
      </w:r>
      <w:r>
        <w:rPr>
          <w:rFonts w:hint="eastAsia" w:asciiTheme="minorEastAsia" w:hAnsiTheme="minorEastAsia" w:eastAsiaTheme="minorEastAsia" w:cstheme="minorEastAsia"/>
          <w:sz w:val="28"/>
          <w:szCs w:val="28"/>
        </w:rPr>
        <w:t>第四章 合同条款及格式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_Toc13221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8"/>
        <w:tabs>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"_Toc5321" </w:instrText>
      </w:r>
      <w:r>
        <w:fldChar w:fldCharType="separate"/>
      </w:r>
      <w:r>
        <w:rPr>
          <w:rFonts w:hint="eastAsia" w:asciiTheme="minorEastAsia" w:hAnsiTheme="minorEastAsia" w:eastAsiaTheme="minorEastAsia" w:cstheme="minorEastAsia"/>
          <w:sz w:val="28"/>
          <w:szCs w:val="28"/>
        </w:rPr>
        <w:t>第五章 工程量清单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_Toc5321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8"/>
        <w:tabs>
          <w:tab w:val="right" w:pos="2400"/>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"_Toc20155" </w:instrText>
      </w:r>
      <w:r>
        <w:fldChar w:fldCharType="separate"/>
      </w:r>
      <w:r>
        <w:rPr>
          <w:rFonts w:hint="eastAsia" w:asciiTheme="minorEastAsia" w:hAnsiTheme="minorEastAsia" w:eastAsiaTheme="minorEastAsia" w:cstheme="minorEastAsia"/>
          <w:bCs/>
          <w:sz w:val="28"/>
          <w:szCs w:val="28"/>
        </w:rPr>
        <w:t xml:space="preserve">第六章 </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t>图纸（另附）</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_Toc20155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8"/>
        <w:tabs>
          <w:tab w:val="right" w:pos="2400"/>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"_Toc18036" </w:instrText>
      </w:r>
      <w:r>
        <w:fldChar w:fldCharType="separate"/>
      </w:r>
      <w:r>
        <w:rPr>
          <w:rFonts w:hint="eastAsia" w:asciiTheme="minorEastAsia" w:hAnsiTheme="minorEastAsia" w:eastAsiaTheme="minorEastAsia" w:cstheme="minorEastAsia"/>
          <w:bCs/>
          <w:sz w:val="28"/>
          <w:szCs w:val="28"/>
        </w:rPr>
        <w:t>第七章</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t xml:space="preserve"> 技术规范（另册）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_Toc18036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8"/>
        <w:tabs>
          <w:tab w:val="right" w:pos="2400"/>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"_Toc27978" </w:instrText>
      </w:r>
      <w:r>
        <w:fldChar w:fldCharType="separate"/>
      </w:r>
      <w:r>
        <w:rPr>
          <w:rFonts w:hint="eastAsia" w:asciiTheme="minorEastAsia" w:hAnsiTheme="minorEastAsia" w:eastAsiaTheme="minorEastAsia" w:cstheme="minorEastAsia"/>
          <w:bCs/>
          <w:sz w:val="28"/>
          <w:szCs w:val="28"/>
        </w:rPr>
        <w:t>第八章</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t xml:space="preserve"> 投标文件格式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_Toc27978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8"/>
        <w:tabs>
          <w:tab w:val="right" w:leader="dot" w:pos="9299"/>
        </w:tabs>
        <w:spacing w:line="360" w:lineRule="auto"/>
      </w:pPr>
      <w:r>
        <w:fldChar w:fldCharType="begin"/>
      </w:r>
      <w:r>
        <w:instrText xml:space="preserve"> HYPERLINK \l "_Toc12556" </w:instrText>
      </w:r>
      <w:r>
        <w:fldChar w:fldCharType="separate"/>
      </w:r>
      <w:r>
        <w:rPr>
          <w:rFonts w:hint="eastAsia" w:asciiTheme="minorEastAsia" w:hAnsiTheme="minorEastAsia" w:eastAsiaTheme="minorEastAsia" w:cstheme="minorEastAsia"/>
          <w:bCs/>
          <w:sz w:val="28"/>
          <w:szCs w:val="28"/>
        </w:rPr>
        <w:t>第九章 投标人须知前附表规定的其他材料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_Toc12556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rPr>
          <w:rFonts w:ascii="宋体" w:hAnsi="宋体"/>
          <w:sz w:val="52"/>
          <w:szCs w:val="52"/>
        </w:rPr>
      </w:pPr>
      <w:r>
        <w:rPr>
          <w:rFonts w:ascii="宋体" w:hAnsi="宋体"/>
          <w:szCs w:val="52"/>
        </w:rPr>
        <w:fldChar w:fldCharType="end"/>
      </w: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jc w:val="center"/>
        <w:outlineLvl w:val="0"/>
        <w:rPr>
          <w:rFonts w:ascii="黑体" w:eastAsia="黑体"/>
          <w:bCs/>
          <w:sz w:val="44"/>
          <w:szCs w:val="44"/>
        </w:rPr>
      </w:pPr>
      <w:bookmarkStart w:id="1" w:name="_Toc240"/>
    </w:p>
    <w:p>
      <w:pPr>
        <w:jc w:val="center"/>
        <w:outlineLvl w:val="0"/>
        <w:rPr>
          <w:rFonts w:ascii="黑体" w:hAnsi="宋体" w:eastAsia="黑体"/>
          <w:bCs/>
          <w:sz w:val="44"/>
          <w:szCs w:val="44"/>
        </w:rPr>
      </w:pPr>
      <w:r>
        <w:rPr>
          <w:rFonts w:hint="eastAsia" w:ascii="黑体" w:eastAsia="黑体"/>
          <w:bCs/>
          <w:sz w:val="44"/>
          <w:szCs w:val="44"/>
        </w:rPr>
        <w:t>第一章  招标公告</w:t>
      </w:r>
      <w:bookmarkEnd w:id="1"/>
    </w:p>
    <w:p>
      <w:pPr>
        <w:rPr>
          <w:rFonts w:ascii="宋体" w:hAnsi="宋体"/>
          <w:sz w:val="24"/>
        </w:rPr>
      </w:pPr>
    </w:p>
    <w:bookmarkEnd w:id="0"/>
    <w:p>
      <w:pPr>
        <w:spacing w:line="360" w:lineRule="auto"/>
        <w:jc w:val="center"/>
        <w:rPr>
          <w:rFonts w:hint="eastAsia" w:ascii="宋体" w:hAnsi="宋体"/>
          <w:b/>
          <w:sz w:val="32"/>
          <w:szCs w:val="32"/>
        </w:rPr>
      </w:pPr>
      <w:r>
        <w:rPr>
          <w:rFonts w:hint="eastAsia" w:ascii="宋体" w:hAnsi="宋体"/>
          <w:b/>
          <w:sz w:val="32"/>
          <w:szCs w:val="32"/>
        </w:rPr>
        <w:t>建安建工公字〔201</w:t>
      </w:r>
      <w:r>
        <w:rPr>
          <w:rFonts w:hint="eastAsia" w:ascii="宋体" w:hAnsi="宋体"/>
          <w:b/>
          <w:sz w:val="32"/>
          <w:szCs w:val="32"/>
          <w:lang w:val="en-US" w:eastAsia="zh-CN"/>
        </w:rPr>
        <w:t>8</w:t>
      </w:r>
      <w:r>
        <w:rPr>
          <w:rFonts w:hint="eastAsia" w:ascii="宋体" w:hAnsi="宋体"/>
          <w:b/>
          <w:sz w:val="32"/>
          <w:szCs w:val="32"/>
        </w:rPr>
        <w:t>〕</w:t>
      </w:r>
      <w:r>
        <w:rPr>
          <w:rFonts w:hint="eastAsia" w:ascii="宋体" w:hAnsi="宋体"/>
          <w:b/>
          <w:sz w:val="32"/>
          <w:szCs w:val="32"/>
          <w:lang w:val="en-US" w:eastAsia="zh-CN"/>
        </w:rPr>
        <w:t xml:space="preserve">24 </w:t>
      </w:r>
      <w:r>
        <w:rPr>
          <w:rFonts w:hint="eastAsia" w:ascii="宋体" w:hAnsi="宋体"/>
          <w:b/>
          <w:sz w:val="32"/>
          <w:szCs w:val="32"/>
        </w:rPr>
        <w:t>号</w:t>
      </w:r>
    </w:p>
    <w:p>
      <w:pPr>
        <w:spacing w:line="360" w:lineRule="auto"/>
        <w:jc w:val="center"/>
        <w:rPr>
          <w:rFonts w:ascii="宋体" w:hAnsi="宋体"/>
          <w:b/>
          <w:sz w:val="32"/>
          <w:szCs w:val="32"/>
        </w:rPr>
      </w:pPr>
      <w:r>
        <w:rPr>
          <w:rFonts w:hint="eastAsia" w:ascii="宋体" w:hAnsi="宋体"/>
          <w:b/>
          <w:sz w:val="32"/>
          <w:szCs w:val="32"/>
        </w:rPr>
        <w:t>许昌市建安区</w:t>
      </w:r>
      <w:r>
        <w:rPr>
          <w:rFonts w:hint="eastAsia" w:ascii="宋体" w:hAnsi="宋体"/>
          <w:b/>
          <w:sz w:val="32"/>
          <w:szCs w:val="32"/>
          <w:lang w:val="en-US" w:eastAsia="zh-CN"/>
        </w:rPr>
        <w:t>交通运输局</w:t>
      </w:r>
    </w:p>
    <w:p>
      <w:pPr>
        <w:spacing w:line="360" w:lineRule="auto"/>
        <w:jc w:val="center"/>
        <w:rPr>
          <w:rFonts w:hint="eastAsia" w:ascii="宋体" w:hAnsi="宋体"/>
          <w:b/>
          <w:sz w:val="32"/>
          <w:szCs w:val="32"/>
          <w:lang w:val="en-US" w:eastAsia="zh-CN"/>
        </w:rPr>
      </w:pPr>
      <w:r>
        <w:rPr>
          <w:rFonts w:hint="eastAsia" w:ascii="宋体" w:hAnsi="宋体"/>
          <w:b/>
          <w:sz w:val="32"/>
          <w:szCs w:val="32"/>
          <w:lang w:val="en-US" w:eastAsia="zh-CN"/>
        </w:rPr>
        <w:t>田园综合体小召乡绰韩村村道改建工程</w:t>
      </w:r>
    </w:p>
    <w:p>
      <w:pPr>
        <w:spacing w:line="360" w:lineRule="auto"/>
        <w:jc w:val="center"/>
        <w:rPr>
          <w:rFonts w:ascii="宋体" w:hAnsi="宋体"/>
          <w:b/>
          <w:sz w:val="32"/>
          <w:szCs w:val="32"/>
        </w:rPr>
      </w:pPr>
      <w:r>
        <w:rPr>
          <w:rFonts w:hint="eastAsia" w:ascii="宋体" w:hAnsi="宋体"/>
          <w:b/>
          <w:sz w:val="32"/>
          <w:szCs w:val="32"/>
        </w:rPr>
        <w:t>公开招标公告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b/>
          <w:sz w:val="24"/>
        </w:rPr>
      </w:pPr>
      <w:r>
        <w:rPr>
          <w:rFonts w:hint="eastAsia" w:ascii="宋体" w:hAnsi="宋体"/>
          <w:b/>
          <w:sz w:val="24"/>
        </w:rPr>
        <w:t>一、项目概况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sz w:val="24"/>
          <w:lang w:val="en-US" w:eastAsia="zh-CN"/>
        </w:rPr>
      </w:pPr>
      <w:r>
        <w:rPr>
          <w:rFonts w:hint="eastAsia" w:ascii="宋体" w:hAnsi="宋体"/>
          <w:sz w:val="24"/>
          <w:lang w:val="en-US" w:eastAsia="zh-CN"/>
        </w:rPr>
        <w:t>1、项目编号：建安建工公字〔2018〕24 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ascii="宋体" w:hAnsi="宋体"/>
          <w:sz w:val="24"/>
        </w:rPr>
      </w:pPr>
      <w:r>
        <w:rPr>
          <w:rFonts w:hint="eastAsia" w:ascii="宋体" w:hAnsi="宋体"/>
          <w:sz w:val="24"/>
        </w:rPr>
        <w:t>2、项目名称：</w:t>
      </w:r>
      <w:r>
        <w:rPr>
          <w:rFonts w:hint="eastAsia" w:ascii="宋体" w:hAnsi="宋体"/>
          <w:sz w:val="24"/>
          <w:lang w:val="en-US" w:eastAsia="zh-CN"/>
        </w:rPr>
        <w:t>田园综合体小召乡绰韩村村道改建工程</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3、招标单位：许昌市建安区</w:t>
      </w:r>
      <w:r>
        <w:rPr>
          <w:rFonts w:hint="eastAsia" w:ascii="宋体" w:hAnsi="宋体"/>
          <w:sz w:val="24"/>
          <w:lang w:val="en-US" w:eastAsia="zh-CN"/>
        </w:rPr>
        <w:t>交通运输局</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4、项目规模：</w:t>
      </w:r>
      <w:r>
        <w:rPr>
          <w:rFonts w:hint="eastAsia" w:ascii="宋体" w:hAnsi="宋体"/>
          <w:sz w:val="24"/>
          <w:lang w:val="en-US" w:eastAsia="zh-CN"/>
        </w:rPr>
        <w:t>该项目按四级公路标准分别对村内和村外道路进行升级改造，道路全长工7.14km。</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5、资金预算：</w:t>
      </w:r>
      <w:r>
        <w:rPr>
          <w:rFonts w:hint="eastAsia" w:ascii="宋体" w:hAnsi="宋体"/>
          <w:sz w:val="24"/>
          <w:lang w:val="en-US" w:eastAsia="zh-CN"/>
        </w:rPr>
        <w:t>6171185.81</w:t>
      </w:r>
      <w:r>
        <w:rPr>
          <w:rFonts w:hint="eastAsia" w:ascii="宋体" w:hAnsi="宋体"/>
          <w:sz w:val="24"/>
        </w:rPr>
        <w:t>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6、计划工期：</w:t>
      </w:r>
      <w:r>
        <w:rPr>
          <w:rFonts w:hint="eastAsia" w:ascii="宋体" w:hAnsi="宋体"/>
          <w:sz w:val="24"/>
          <w:lang w:val="en-US" w:eastAsia="zh-CN"/>
        </w:rPr>
        <w:t>45</w:t>
      </w:r>
      <w:r>
        <w:rPr>
          <w:rFonts w:hint="eastAsia" w:ascii="宋体" w:hAnsi="宋体"/>
          <w:sz w:val="24"/>
        </w:rPr>
        <w:t>日历天。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7、质量要求：合格。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8、不组织勘察施工现场。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b/>
          <w:sz w:val="24"/>
        </w:rPr>
      </w:pPr>
      <w:r>
        <w:rPr>
          <w:rFonts w:hint="eastAsia" w:ascii="宋体" w:hAnsi="宋体"/>
          <w:b/>
          <w:sz w:val="24"/>
        </w:rPr>
        <w:t>二、投标人资格要求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2.1 须具备独立法人资格；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2.2须具备建设行政主管部门颁发的公路工程施工总承包叁级及以上资质，并具备有效的企业安全生产许可证，在人员、设备、资金等方面具有相应的施工能力。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根据《河南省公路建设市场从业单位及人员信用管理办法》第二十一条“对信用考核定级为D级即黑名单的从业单位，”不得参与本项目投标。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自201</w:t>
      </w:r>
      <w:r>
        <w:rPr>
          <w:rFonts w:hint="eastAsia" w:ascii="宋体" w:hAnsi="宋体"/>
          <w:sz w:val="24"/>
          <w:lang w:val="en-US" w:eastAsia="zh-CN"/>
        </w:rPr>
        <w:t>5</w:t>
      </w:r>
      <w:r>
        <w:rPr>
          <w:rFonts w:hint="eastAsia" w:ascii="宋体" w:hAnsi="宋体"/>
          <w:sz w:val="24"/>
        </w:rPr>
        <w:t>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lang w:val="en-US" w:eastAsia="zh-CN"/>
        </w:rPr>
      </w:pPr>
      <w:r>
        <w:rPr>
          <w:rFonts w:hint="eastAsia" w:ascii="宋体" w:hAnsi="宋体"/>
          <w:sz w:val="24"/>
          <w:lang w:val="en-US" w:eastAsia="zh-CN"/>
        </w:rPr>
        <w:t>2.6 不接受失信被执行人的投标。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b/>
          <w:sz w:val="24"/>
        </w:rPr>
      </w:pPr>
      <w:r>
        <w:rPr>
          <w:rFonts w:hint="eastAsia" w:ascii="宋体" w:hAnsi="宋体"/>
          <w:b/>
          <w:sz w:val="24"/>
        </w:rPr>
        <w:t>三、投标报名时间及方式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1、报名时间：2018年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6</w:t>
      </w:r>
      <w:r>
        <w:rPr>
          <w:rFonts w:hint="eastAsia" w:ascii="宋体" w:hAnsi="宋体"/>
          <w:sz w:val="24"/>
        </w:rPr>
        <w:t>日至2018年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2、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3、在投标截止时间前均可登录【全国公共资源交易平台（河南省·许昌市）】“投标人/供应商登录”入口（http://221.14.6.70:8088/ggzy/）自行下载招标文件等（详见“常见问题解答-交易系统操作手册”）。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b/>
          <w:sz w:val="24"/>
        </w:rPr>
      </w:pPr>
      <w:r>
        <w:rPr>
          <w:rFonts w:hint="eastAsia" w:ascii="宋体" w:hAnsi="宋体"/>
          <w:b/>
          <w:sz w:val="24"/>
        </w:rPr>
        <w:t>四、招标文件和施工图纸的获取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 xml:space="preserve">1、招标文件、工程量清单及图纸的获取：报名截止日前均可在全国公共资源交易平台（河南省·许昌市）自行下载。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2、招标文件每套售价300元，递交投标文件时缴纳给招标代理机构，售后不退。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b/>
          <w:sz w:val="24"/>
        </w:rPr>
      </w:pPr>
      <w:r>
        <w:rPr>
          <w:rFonts w:hint="eastAsia" w:ascii="宋体" w:hAnsi="宋体"/>
          <w:b/>
          <w:sz w:val="24"/>
        </w:rPr>
        <w:t>五、投标文件的递交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1、投标文件递交的截止时间为201</w:t>
      </w:r>
      <w:r>
        <w:rPr>
          <w:rFonts w:hint="eastAsia" w:ascii="宋体" w:hAnsi="宋体"/>
          <w:sz w:val="24"/>
          <w:lang w:val="en-US" w:eastAsia="zh-CN"/>
        </w:rPr>
        <w:t>8</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27</w:t>
      </w:r>
      <w:r>
        <w:rPr>
          <w:rFonts w:hint="eastAsia" w:ascii="宋体" w:hAnsi="宋体"/>
          <w:sz w:val="24"/>
        </w:rPr>
        <w:t>日9时30分，地点为许昌市建安区新元大道兴业大厦4楼4167室。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2、逾期送达的或者未送达指定地点的投标文件，招标人不予受理。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3、未通过全国公共资源交易平台（河南省·许昌市）下载招标文件的投标人，其投标文件不予受理。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b/>
          <w:sz w:val="24"/>
        </w:rPr>
      </w:pPr>
      <w:r>
        <w:rPr>
          <w:rFonts w:hint="eastAsia" w:ascii="宋体" w:hAnsi="宋体"/>
          <w:b/>
          <w:sz w:val="24"/>
        </w:rPr>
        <w:t>六、发布公告的媒介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本公告同时在《全国公共资源交易平台（河南省·许昌市）》</w:t>
      </w:r>
      <w:r>
        <w:rPr>
          <w:rFonts w:hint="eastAsia" w:ascii="宋体" w:hAnsi="宋体"/>
          <w:sz w:val="24"/>
          <w:lang w:val="en-US" w:eastAsia="zh-CN"/>
        </w:rPr>
        <w:t>和《河南省电子招标投标公共服务平台》</w:t>
      </w:r>
      <w:r>
        <w:rPr>
          <w:rFonts w:hint="eastAsia" w:ascii="宋体" w:hAnsi="宋体"/>
          <w:sz w:val="24"/>
        </w:rPr>
        <w:t>上发布。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b/>
          <w:sz w:val="24"/>
        </w:rPr>
      </w:pPr>
      <w:r>
        <w:rPr>
          <w:rFonts w:hint="eastAsia" w:ascii="宋体" w:hAnsi="宋体"/>
          <w:b/>
          <w:sz w:val="24"/>
        </w:rPr>
        <w:t>七、联系方式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招  标  人：许昌市建安区</w:t>
      </w:r>
      <w:r>
        <w:rPr>
          <w:rFonts w:hint="eastAsia" w:ascii="宋体" w:hAnsi="宋体"/>
          <w:sz w:val="24"/>
          <w:lang w:val="en-US" w:eastAsia="zh-CN"/>
        </w:rPr>
        <w:t>交通运输局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宋体" w:hAnsi="宋体"/>
          <w:sz w:val="24"/>
        </w:rPr>
      </w:pPr>
      <w:r>
        <w:rPr>
          <w:rFonts w:hint="eastAsia" w:ascii="宋体" w:hAnsi="宋体"/>
          <w:sz w:val="24"/>
        </w:rPr>
        <w:t>项目负责人：</w:t>
      </w:r>
      <w:r>
        <w:rPr>
          <w:rFonts w:hint="eastAsia" w:ascii="宋体" w:hAnsi="宋体"/>
          <w:sz w:val="24"/>
          <w:lang w:val="en-US" w:eastAsia="zh-CN"/>
        </w:rPr>
        <w:t>黄向远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lang w:val="en-US" w:eastAsia="zh-CN"/>
        </w:rPr>
      </w:pPr>
      <w:r>
        <w:rPr>
          <w:rFonts w:hint="eastAsia" w:ascii="宋体" w:hAnsi="宋体"/>
          <w:sz w:val="24"/>
        </w:rPr>
        <w:t>电      话：1</w:t>
      </w:r>
      <w:r>
        <w:rPr>
          <w:rFonts w:hint="eastAsia" w:ascii="宋体" w:hAnsi="宋体"/>
          <w:sz w:val="24"/>
          <w:lang w:val="en-US" w:eastAsia="zh-CN"/>
        </w:rPr>
        <w:t>8803743200</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lang w:val="en-US" w:eastAsia="zh-CN"/>
        </w:rPr>
      </w:pPr>
      <w:r>
        <w:rPr>
          <w:rFonts w:hint="eastAsia" w:ascii="宋体" w:hAnsi="宋体"/>
          <w:sz w:val="24"/>
        </w:rPr>
        <w:t>代 理 机 构：</w:t>
      </w:r>
      <w:r>
        <w:rPr>
          <w:rFonts w:hint="eastAsia" w:ascii="宋体" w:hAnsi="宋体"/>
          <w:sz w:val="24"/>
          <w:lang w:val="en-US" w:eastAsia="zh-CN"/>
        </w:rPr>
        <w:t>河南省地标工程管理有限公司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lang w:val="en-US" w:eastAsia="zh-CN"/>
        </w:rPr>
      </w:pPr>
      <w:r>
        <w:rPr>
          <w:rFonts w:hint="eastAsia" w:ascii="宋体" w:hAnsi="宋体"/>
          <w:sz w:val="24"/>
        </w:rPr>
        <w:t>项目负责人：</w:t>
      </w:r>
      <w:r>
        <w:rPr>
          <w:rFonts w:hint="eastAsia" w:ascii="宋体" w:hAnsi="宋体"/>
          <w:sz w:val="24"/>
          <w:lang w:val="en-US" w:eastAsia="zh-CN"/>
        </w:rPr>
        <w:t>王  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sz w:val="24"/>
          <w:lang w:val="en-US" w:eastAsia="zh-CN"/>
        </w:rPr>
      </w:pPr>
      <w:r>
        <w:rPr>
          <w:rFonts w:hint="eastAsia" w:ascii="宋体" w:hAnsi="宋体"/>
          <w:sz w:val="24"/>
        </w:rPr>
        <w:t>电      话：1</w:t>
      </w:r>
      <w:r>
        <w:rPr>
          <w:rFonts w:hint="eastAsia" w:ascii="宋体" w:hAnsi="宋体"/>
          <w:sz w:val="24"/>
          <w:lang w:val="en-US" w:eastAsia="zh-CN"/>
        </w:rPr>
        <w:t>3569971108</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textAlignment w:val="auto"/>
        <w:outlineLvl w:val="9"/>
        <w:rPr>
          <w:rFonts w:hint="eastAsia"/>
          <w:lang w:val="en-US" w:eastAsia="zh-CN"/>
        </w:rPr>
      </w:pPr>
      <w:r>
        <w:rPr>
          <w:rFonts w:hint="eastAsia"/>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6930" w:firstLineChars="3300"/>
        <w:textAlignment w:val="auto"/>
        <w:outlineLvl w:val="9"/>
        <w:rPr>
          <w:rFonts w:hint="eastAsia"/>
          <w:lang w:val="en-US" w:eastAsia="zh-CN"/>
        </w:rPr>
      </w:pPr>
      <w:r>
        <w:rPr>
          <w:rFonts w:hint="eastAsia"/>
          <w:lang w:val="en-US" w:eastAsia="zh-CN"/>
        </w:rPr>
        <w:t>许昌市建安区交通运输局</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7350" w:firstLineChars="3500"/>
        <w:textAlignment w:val="auto"/>
        <w:outlineLvl w:val="9"/>
        <w:rPr>
          <w:rFonts w:hint="eastAsia" w:ascii="黑体" w:eastAsia="黑体"/>
          <w:bCs/>
          <w:sz w:val="44"/>
          <w:szCs w:val="44"/>
        </w:rPr>
      </w:pPr>
      <w:r>
        <w:rPr>
          <w:rFonts w:hint="eastAsia"/>
          <w:lang w:val="en-US" w:eastAsia="zh-CN"/>
        </w:rPr>
        <w:t>2018年3月5日</w:t>
      </w:r>
      <w:bookmarkStart w:id="2" w:name="_Toc30837"/>
    </w:p>
    <w:p>
      <w:pPr>
        <w:jc w:val="center"/>
        <w:outlineLvl w:val="0"/>
        <w:rPr>
          <w:rFonts w:ascii="宋体" w:hAnsi="宋体"/>
          <w:sz w:val="44"/>
          <w:szCs w:val="44"/>
        </w:rPr>
      </w:pPr>
      <w:r>
        <w:rPr>
          <w:rFonts w:hint="eastAsia" w:ascii="黑体" w:eastAsia="黑体"/>
          <w:bCs/>
          <w:sz w:val="44"/>
          <w:szCs w:val="44"/>
        </w:rPr>
        <w:t>第二章  投标人须知</w:t>
      </w:r>
      <w:bookmarkEnd w:id="2"/>
    </w:p>
    <w:p>
      <w:pPr>
        <w:spacing w:line="360" w:lineRule="auto"/>
        <w:jc w:val="center"/>
        <w:rPr>
          <w:rFonts w:ascii="宋体" w:hAnsi="宋体"/>
          <w:b/>
          <w:sz w:val="24"/>
        </w:rPr>
      </w:pPr>
      <w:bookmarkStart w:id="3" w:name="_Toc234382587"/>
      <w:r>
        <w:rPr>
          <w:rFonts w:hint="eastAsia" w:ascii="黑体" w:eastAsia="黑体"/>
          <w:sz w:val="30"/>
          <w:szCs w:val="30"/>
        </w:rPr>
        <w:t>投标人须知前附表</w:t>
      </w:r>
      <w:bookmarkEnd w:id="3"/>
      <w:bookmarkStart w:id="4" w:name="_Hlt111980600"/>
      <w:bookmarkEnd w:id="4"/>
    </w:p>
    <w:tbl>
      <w:tblPr>
        <w:tblStyle w:val="45"/>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0"/>
        <w:gridCol w:w="2004"/>
        <w:gridCol w:w="579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02" w:type="dxa"/>
          </w:tcPr>
          <w:p>
            <w:pPr>
              <w:spacing w:line="360" w:lineRule="auto"/>
              <w:jc w:val="center"/>
              <w:rPr>
                <w:rFonts w:ascii="宋体" w:hAnsi="宋体"/>
                <w:sz w:val="24"/>
              </w:rPr>
            </w:pPr>
            <w:r>
              <w:rPr>
                <w:rFonts w:hint="eastAsia" w:ascii="宋体" w:hAnsi="宋体"/>
                <w:sz w:val="24"/>
              </w:rPr>
              <w:t>条款号</w:t>
            </w:r>
          </w:p>
        </w:tc>
        <w:tc>
          <w:tcPr>
            <w:tcW w:w="2084" w:type="dxa"/>
            <w:gridSpan w:val="2"/>
            <w:vAlign w:val="center"/>
          </w:tcPr>
          <w:p>
            <w:pPr>
              <w:spacing w:line="360" w:lineRule="auto"/>
              <w:jc w:val="center"/>
              <w:rPr>
                <w:rFonts w:ascii="宋体" w:hAnsi="宋体"/>
                <w:sz w:val="24"/>
              </w:rPr>
            </w:pPr>
            <w:r>
              <w:rPr>
                <w:rFonts w:hint="eastAsia" w:ascii="宋体" w:hAnsi="宋体"/>
                <w:sz w:val="24"/>
              </w:rPr>
              <w:t>条 款 名 称</w:t>
            </w:r>
          </w:p>
        </w:tc>
        <w:tc>
          <w:tcPr>
            <w:tcW w:w="5805" w:type="dxa"/>
            <w:gridSpan w:val="2"/>
            <w:vAlign w:val="center"/>
          </w:tcPr>
          <w:p>
            <w:pPr>
              <w:spacing w:line="360" w:lineRule="auto"/>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1.1.1</w:t>
            </w:r>
          </w:p>
        </w:tc>
        <w:tc>
          <w:tcPr>
            <w:tcW w:w="2084" w:type="dxa"/>
            <w:gridSpan w:val="2"/>
            <w:vAlign w:val="center"/>
          </w:tcPr>
          <w:p>
            <w:pPr>
              <w:spacing w:line="360" w:lineRule="exact"/>
              <w:jc w:val="center"/>
              <w:rPr>
                <w:rFonts w:ascii="宋体" w:hAnsi="宋体"/>
                <w:sz w:val="24"/>
              </w:rPr>
            </w:pPr>
            <w:r>
              <w:rPr>
                <w:rFonts w:hint="eastAsia" w:ascii="宋体" w:hAnsi="宋体"/>
                <w:sz w:val="24"/>
              </w:rPr>
              <w:t>招标人</w:t>
            </w:r>
          </w:p>
        </w:tc>
        <w:tc>
          <w:tcPr>
            <w:tcW w:w="5805" w:type="dxa"/>
            <w:gridSpan w:val="2"/>
            <w:tcBorders>
              <w:bottom w:val="single" w:color="auto" w:sz="4" w:space="0"/>
            </w:tcBorders>
            <w:vAlign w:val="center"/>
          </w:tcPr>
          <w:p>
            <w:pPr>
              <w:tabs>
                <w:tab w:val="left" w:pos="4536"/>
              </w:tabs>
              <w:spacing w:line="360" w:lineRule="exact"/>
              <w:rPr>
                <w:rFonts w:ascii="宋体" w:hAnsi="宋体"/>
                <w:sz w:val="24"/>
                <w:lang w:val="en-US"/>
              </w:rPr>
            </w:pPr>
            <w:r>
              <w:rPr>
                <w:rFonts w:ascii="宋体" w:hAnsi="宋体"/>
                <w:sz w:val="24"/>
              </w:rPr>
              <w:t>招标人：</w:t>
            </w:r>
            <w:r>
              <w:rPr>
                <w:rFonts w:hint="eastAsia" w:ascii="宋体" w:hAnsi="宋体"/>
                <w:sz w:val="24"/>
              </w:rPr>
              <w:t>许昌市建安区</w:t>
            </w:r>
            <w:r>
              <w:rPr>
                <w:rFonts w:hint="eastAsia" w:ascii="宋体" w:hAnsi="宋体"/>
                <w:sz w:val="24"/>
                <w:lang w:val="en-US" w:eastAsia="zh-CN"/>
              </w:rPr>
              <w:t>交通运输局</w:t>
            </w:r>
          </w:p>
          <w:p>
            <w:pPr>
              <w:tabs>
                <w:tab w:val="left" w:pos="4536"/>
              </w:tabs>
              <w:spacing w:line="360" w:lineRule="exact"/>
              <w:rPr>
                <w:rFonts w:ascii="宋体" w:hAnsi="宋体"/>
                <w:sz w:val="24"/>
                <w:u w:val="single"/>
              </w:rPr>
            </w:pPr>
            <w:r>
              <w:rPr>
                <w:rFonts w:hint="eastAsia" w:ascii="宋体" w:hAnsi="宋体"/>
                <w:sz w:val="24"/>
              </w:rPr>
              <w:t>地    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1.1.2</w:t>
            </w:r>
          </w:p>
        </w:tc>
        <w:tc>
          <w:tcPr>
            <w:tcW w:w="2084" w:type="dxa"/>
            <w:gridSpan w:val="2"/>
            <w:vAlign w:val="center"/>
          </w:tcPr>
          <w:p>
            <w:pPr>
              <w:spacing w:line="360" w:lineRule="exact"/>
              <w:jc w:val="center"/>
              <w:rPr>
                <w:rFonts w:ascii="宋体" w:hAnsi="宋体"/>
                <w:sz w:val="24"/>
              </w:rPr>
            </w:pPr>
            <w:r>
              <w:rPr>
                <w:rFonts w:hint="eastAsia" w:ascii="宋体" w:hAnsi="宋体"/>
                <w:sz w:val="24"/>
              </w:rPr>
              <w:t>招标代理机构</w:t>
            </w:r>
          </w:p>
        </w:tc>
        <w:tc>
          <w:tcPr>
            <w:tcW w:w="5805" w:type="dxa"/>
            <w:gridSpan w:val="2"/>
            <w:tcBorders>
              <w:bottom w:val="single" w:color="auto" w:sz="4" w:space="0"/>
            </w:tcBorders>
            <w:vAlign w:val="center"/>
          </w:tcPr>
          <w:p>
            <w:pPr>
              <w:tabs>
                <w:tab w:val="left" w:pos="4536"/>
              </w:tabs>
              <w:spacing w:line="360" w:lineRule="exact"/>
              <w:rPr>
                <w:rFonts w:hint="eastAsia" w:ascii="宋体" w:hAnsi="宋体"/>
                <w:sz w:val="24"/>
                <w:lang w:val="en-US" w:eastAsia="zh-CN"/>
              </w:rPr>
            </w:pPr>
            <w:r>
              <w:rPr>
                <w:rFonts w:hint="eastAsia" w:ascii="宋体" w:hAnsi="宋体"/>
                <w:sz w:val="24"/>
              </w:rPr>
              <w:t>名      称：</w:t>
            </w:r>
            <w:r>
              <w:rPr>
                <w:rFonts w:hint="eastAsia" w:ascii="宋体" w:hAnsi="宋体"/>
                <w:sz w:val="24"/>
                <w:lang w:val="en-US" w:eastAsia="zh-CN"/>
              </w:rPr>
              <w:t>河南省地标工程管理有限公司</w:t>
            </w:r>
          </w:p>
          <w:p>
            <w:pPr>
              <w:tabs>
                <w:tab w:val="left" w:pos="4536"/>
              </w:tabs>
              <w:spacing w:line="360" w:lineRule="exact"/>
              <w:rPr>
                <w:rFonts w:ascii="宋体" w:hAnsi="宋体"/>
                <w:sz w:val="24"/>
              </w:rPr>
            </w:pPr>
            <w:r>
              <w:rPr>
                <w:rFonts w:hint="eastAsia" w:ascii="宋体" w:hAnsi="宋体"/>
                <w:sz w:val="24"/>
              </w:rPr>
              <w:t>项目负责人：</w:t>
            </w:r>
            <w:r>
              <w:rPr>
                <w:rFonts w:hint="eastAsia" w:ascii="宋体" w:hAnsi="宋体"/>
                <w:sz w:val="24"/>
                <w:lang w:val="en-US" w:eastAsia="zh-CN"/>
              </w:rPr>
              <w:t>王  丽</w:t>
            </w:r>
          </w:p>
          <w:p>
            <w:pPr>
              <w:tabs>
                <w:tab w:val="left" w:pos="4536"/>
              </w:tabs>
              <w:spacing w:line="360" w:lineRule="exact"/>
              <w:rPr>
                <w:rFonts w:ascii="宋体" w:hAnsi="宋体"/>
                <w:sz w:val="24"/>
              </w:rPr>
            </w:pPr>
            <w:r>
              <w:rPr>
                <w:rFonts w:hint="eastAsia" w:ascii="宋体" w:hAnsi="宋体"/>
                <w:sz w:val="24"/>
              </w:rPr>
              <w:t>电      话：1</w:t>
            </w:r>
            <w:r>
              <w:rPr>
                <w:rFonts w:hint="eastAsia" w:ascii="宋体" w:hAnsi="宋体"/>
                <w:sz w:val="24"/>
                <w:lang w:val="en-US" w:eastAsia="zh-CN"/>
              </w:rPr>
              <w:t>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1.1.3</w:t>
            </w:r>
          </w:p>
        </w:tc>
        <w:tc>
          <w:tcPr>
            <w:tcW w:w="2084" w:type="dxa"/>
            <w:gridSpan w:val="2"/>
            <w:tcBorders>
              <w:right w:val="single" w:color="auto" w:sz="4" w:space="0"/>
            </w:tcBorders>
            <w:vAlign w:val="center"/>
          </w:tcPr>
          <w:p>
            <w:pPr>
              <w:spacing w:line="360" w:lineRule="exact"/>
              <w:jc w:val="center"/>
              <w:rPr>
                <w:rFonts w:ascii="宋体" w:hAnsi="宋体"/>
                <w:sz w:val="24"/>
              </w:rPr>
            </w:pPr>
            <w:r>
              <w:rPr>
                <w:rFonts w:hint="eastAsia" w:ascii="宋体" w:hAnsi="宋体"/>
                <w:sz w:val="24"/>
              </w:rPr>
              <w:t>项目名称</w:t>
            </w:r>
          </w:p>
        </w:tc>
        <w:tc>
          <w:tcPr>
            <w:tcW w:w="5805" w:type="dxa"/>
            <w:gridSpan w:val="2"/>
            <w:tcBorders>
              <w:left w:val="single" w:color="auto" w:sz="4" w:space="0"/>
              <w:right w:val="single" w:color="auto" w:sz="4" w:space="0"/>
            </w:tcBorders>
            <w:vAlign w:val="center"/>
          </w:tcPr>
          <w:p>
            <w:pPr>
              <w:tabs>
                <w:tab w:val="right" w:leader="dot" w:pos="8295"/>
              </w:tabs>
              <w:spacing w:line="360" w:lineRule="exact"/>
              <w:rPr>
                <w:rFonts w:hint="eastAsia" w:ascii="宋体" w:hAnsi="宋体" w:eastAsia="宋体"/>
                <w:sz w:val="24"/>
                <w:lang w:eastAsia="zh-CN"/>
              </w:rPr>
            </w:pPr>
            <w:r>
              <w:rPr>
                <w:rFonts w:hint="eastAsia" w:ascii="宋体" w:hAnsi="宋体"/>
                <w:sz w:val="24"/>
                <w:lang w:val="en-US" w:eastAsia="zh-CN"/>
              </w:rPr>
              <w:t>田园综合体小召乡绰韩村村道改建工程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1.1.4</w:t>
            </w:r>
          </w:p>
        </w:tc>
        <w:tc>
          <w:tcPr>
            <w:tcW w:w="2084" w:type="dxa"/>
            <w:gridSpan w:val="2"/>
            <w:tcBorders>
              <w:right w:val="single" w:color="auto" w:sz="4" w:space="0"/>
            </w:tcBorders>
            <w:vAlign w:val="center"/>
          </w:tcPr>
          <w:p>
            <w:pPr>
              <w:spacing w:line="360" w:lineRule="exact"/>
              <w:jc w:val="center"/>
              <w:rPr>
                <w:rFonts w:ascii="宋体" w:hAnsi="宋体"/>
                <w:sz w:val="24"/>
              </w:rPr>
            </w:pPr>
            <w:r>
              <w:rPr>
                <w:rFonts w:hint="eastAsia" w:ascii="宋体" w:hAnsi="宋体"/>
                <w:sz w:val="24"/>
              </w:rPr>
              <w:t>建设地点</w:t>
            </w:r>
          </w:p>
        </w:tc>
        <w:tc>
          <w:tcPr>
            <w:tcW w:w="5805" w:type="dxa"/>
            <w:gridSpan w:val="2"/>
            <w:tcBorders>
              <w:left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许昌市建安区</w:t>
            </w:r>
            <w:r>
              <w:rPr>
                <w:rFonts w:hint="eastAsia" w:ascii="宋体" w:hAnsi="宋体"/>
                <w:sz w:val="24"/>
                <w:lang w:val="en-US" w:eastAsia="zh-CN"/>
              </w:rPr>
              <w:t>小召乡绰韩村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1.1.5</w:t>
            </w:r>
          </w:p>
        </w:tc>
        <w:tc>
          <w:tcPr>
            <w:tcW w:w="2084" w:type="dxa"/>
            <w:gridSpan w:val="2"/>
            <w:tcBorders>
              <w:right w:val="single" w:color="auto" w:sz="4" w:space="0"/>
            </w:tcBorders>
            <w:vAlign w:val="center"/>
          </w:tcPr>
          <w:p>
            <w:pPr>
              <w:spacing w:line="360" w:lineRule="exact"/>
              <w:jc w:val="center"/>
              <w:rPr>
                <w:rFonts w:ascii="宋体" w:hAnsi="宋体"/>
                <w:sz w:val="24"/>
              </w:rPr>
            </w:pPr>
            <w:r>
              <w:rPr>
                <w:rFonts w:hint="eastAsia" w:ascii="宋体" w:hAnsi="宋体"/>
                <w:sz w:val="24"/>
              </w:rPr>
              <w:t>资金来源</w:t>
            </w:r>
          </w:p>
        </w:tc>
        <w:tc>
          <w:tcPr>
            <w:tcW w:w="5805" w:type="dxa"/>
            <w:gridSpan w:val="2"/>
            <w:tcBorders>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1.2.2</w:t>
            </w:r>
          </w:p>
        </w:tc>
        <w:tc>
          <w:tcPr>
            <w:tcW w:w="2084" w:type="dxa"/>
            <w:gridSpan w:val="2"/>
            <w:vAlign w:val="center"/>
          </w:tcPr>
          <w:p>
            <w:pPr>
              <w:spacing w:line="360" w:lineRule="exact"/>
              <w:jc w:val="center"/>
              <w:rPr>
                <w:rFonts w:ascii="宋体" w:hAnsi="宋体"/>
                <w:sz w:val="24"/>
              </w:rPr>
            </w:pPr>
            <w:r>
              <w:rPr>
                <w:rFonts w:hint="eastAsia" w:ascii="宋体" w:hAnsi="宋体"/>
                <w:sz w:val="24"/>
              </w:rPr>
              <w:t>出资比例</w:t>
            </w:r>
          </w:p>
        </w:tc>
        <w:tc>
          <w:tcPr>
            <w:tcW w:w="5805" w:type="dxa"/>
            <w:gridSpan w:val="2"/>
            <w:tcBorders>
              <w:top w:val="single" w:color="auto" w:sz="4" w:space="0"/>
            </w:tcBorders>
            <w:vAlign w:val="center"/>
          </w:tcPr>
          <w:p>
            <w:pPr>
              <w:spacing w:line="360" w:lineRule="exact"/>
              <w:rPr>
                <w:rFonts w:ascii="宋体" w:hAnsi="宋体"/>
                <w:sz w:val="24"/>
              </w:rPr>
            </w:pPr>
            <w:r>
              <w:rPr>
                <w:rFonts w:hint="eastAsia" w:ascii="宋体" w:hAnsi="宋体"/>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1.2.3</w:t>
            </w:r>
          </w:p>
        </w:tc>
        <w:tc>
          <w:tcPr>
            <w:tcW w:w="2084" w:type="dxa"/>
            <w:gridSpan w:val="2"/>
            <w:vAlign w:val="center"/>
          </w:tcPr>
          <w:p>
            <w:pPr>
              <w:spacing w:line="360" w:lineRule="exact"/>
              <w:jc w:val="center"/>
              <w:rPr>
                <w:rFonts w:ascii="宋体" w:hAnsi="宋体"/>
                <w:sz w:val="24"/>
              </w:rPr>
            </w:pPr>
            <w:r>
              <w:rPr>
                <w:rFonts w:hint="eastAsia" w:ascii="宋体" w:hAnsi="宋体"/>
                <w:sz w:val="24"/>
              </w:rPr>
              <w:t>资金落实情况</w:t>
            </w:r>
          </w:p>
        </w:tc>
        <w:tc>
          <w:tcPr>
            <w:tcW w:w="5805" w:type="dxa"/>
            <w:gridSpan w:val="2"/>
            <w:vAlign w:val="center"/>
          </w:tcPr>
          <w:p>
            <w:pPr>
              <w:spacing w:line="360" w:lineRule="exact"/>
              <w:rPr>
                <w:rFonts w:ascii="宋体" w:hAnsi="宋体"/>
                <w:sz w:val="24"/>
              </w:rPr>
            </w:pPr>
            <w:r>
              <w:rPr>
                <w:rFonts w:hint="eastAsia" w:ascii="宋体" w:hAnsi="宋体"/>
                <w:sz w:val="24"/>
              </w:rPr>
              <w:t>建设资金已落实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1.3.1</w:t>
            </w:r>
          </w:p>
        </w:tc>
        <w:tc>
          <w:tcPr>
            <w:tcW w:w="2084" w:type="dxa"/>
            <w:gridSpan w:val="2"/>
            <w:vAlign w:val="center"/>
          </w:tcPr>
          <w:p>
            <w:pPr>
              <w:spacing w:line="360" w:lineRule="exact"/>
              <w:jc w:val="center"/>
              <w:rPr>
                <w:rFonts w:ascii="宋体" w:hAnsi="宋体"/>
                <w:sz w:val="24"/>
              </w:rPr>
            </w:pPr>
            <w:r>
              <w:rPr>
                <w:rFonts w:hint="eastAsia" w:ascii="宋体" w:hAnsi="宋体"/>
                <w:sz w:val="24"/>
              </w:rPr>
              <w:t>招标范围</w:t>
            </w:r>
          </w:p>
        </w:tc>
        <w:tc>
          <w:tcPr>
            <w:tcW w:w="5805" w:type="dxa"/>
            <w:gridSpan w:val="2"/>
            <w:vAlign w:val="center"/>
          </w:tcPr>
          <w:p>
            <w:pPr>
              <w:spacing w:line="360" w:lineRule="exact"/>
              <w:rPr>
                <w:rFonts w:ascii="宋体" w:hAnsi="宋体"/>
                <w:sz w:val="24"/>
              </w:rPr>
            </w:pPr>
            <w:r>
              <w:rPr>
                <w:rFonts w:hint="eastAsia" w:ascii="宋体" w:hAnsi="宋体" w:cs="宋体"/>
                <w:kern w:val="0"/>
                <w:sz w:val="24"/>
                <w:shd w:val="clear" w:color="auto" w:fill="FFFFFF"/>
              </w:rPr>
              <w:t>招标文件、工程量清单、施工图、设计变更及答疑纪要范围内的所有工程内容。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1.3.2</w:t>
            </w:r>
          </w:p>
        </w:tc>
        <w:tc>
          <w:tcPr>
            <w:tcW w:w="2084" w:type="dxa"/>
            <w:gridSpan w:val="2"/>
            <w:vAlign w:val="center"/>
          </w:tcPr>
          <w:p>
            <w:pPr>
              <w:spacing w:line="360" w:lineRule="exact"/>
              <w:jc w:val="center"/>
              <w:rPr>
                <w:rFonts w:ascii="宋体" w:hAnsi="宋体"/>
                <w:sz w:val="24"/>
              </w:rPr>
            </w:pPr>
            <w:r>
              <w:rPr>
                <w:rFonts w:hint="eastAsia" w:ascii="宋体" w:hAnsi="宋体"/>
                <w:sz w:val="24"/>
              </w:rPr>
              <w:t>工期要求</w:t>
            </w:r>
          </w:p>
        </w:tc>
        <w:tc>
          <w:tcPr>
            <w:tcW w:w="5805" w:type="dxa"/>
            <w:gridSpan w:val="2"/>
            <w:vAlign w:val="center"/>
          </w:tcPr>
          <w:p>
            <w:pPr>
              <w:tabs>
                <w:tab w:val="right" w:leader="dot" w:pos="8295"/>
              </w:tabs>
              <w:spacing w:line="360" w:lineRule="exact"/>
              <w:jc w:val="left"/>
              <w:rPr>
                <w:sz w:val="24"/>
              </w:rPr>
            </w:pPr>
            <w:r>
              <w:rPr>
                <w:rFonts w:hint="eastAsia"/>
                <w:sz w:val="24"/>
                <w:lang w:val="en-US" w:eastAsia="zh-CN"/>
              </w:rPr>
              <w:t>45</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1.3.3</w:t>
            </w:r>
          </w:p>
        </w:tc>
        <w:tc>
          <w:tcPr>
            <w:tcW w:w="2084" w:type="dxa"/>
            <w:gridSpan w:val="2"/>
            <w:vAlign w:val="center"/>
          </w:tcPr>
          <w:p>
            <w:pPr>
              <w:spacing w:line="360" w:lineRule="exact"/>
              <w:jc w:val="center"/>
              <w:rPr>
                <w:rFonts w:ascii="宋体" w:hAnsi="宋体"/>
                <w:sz w:val="24"/>
              </w:rPr>
            </w:pPr>
            <w:r>
              <w:rPr>
                <w:rFonts w:hint="eastAsia" w:ascii="宋体" w:hAnsi="宋体"/>
                <w:sz w:val="24"/>
              </w:rPr>
              <w:t>质量要求</w:t>
            </w:r>
          </w:p>
        </w:tc>
        <w:tc>
          <w:tcPr>
            <w:tcW w:w="5805" w:type="dxa"/>
            <w:gridSpan w:val="2"/>
            <w:vAlign w:val="center"/>
          </w:tcPr>
          <w:p>
            <w:pPr>
              <w:tabs>
                <w:tab w:val="right" w:leader="dot" w:pos="8295"/>
              </w:tabs>
              <w:spacing w:line="360" w:lineRule="exact"/>
              <w:rPr>
                <w:sz w:val="24"/>
                <w:u w:val="single"/>
              </w:rPr>
            </w:pPr>
            <w:r>
              <w:rPr>
                <w:rFonts w:hint="eastAsia"/>
                <w:sz w:val="24"/>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202" w:type="dxa"/>
            <w:tcBorders>
              <w:top w:val="single" w:color="auto" w:sz="4" w:space="0"/>
              <w:left w:val="single" w:color="auto" w:sz="4" w:space="0"/>
            </w:tcBorders>
            <w:vAlign w:val="center"/>
          </w:tcPr>
          <w:p>
            <w:pPr>
              <w:spacing w:line="360" w:lineRule="exact"/>
              <w:jc w:val="center"/>
              <w:rPr>
                <w:rFonts w:ascii="宋体" w:hAnsi="宋体"/>
                <w:sz w:val="24"/>
                <w:vertAlign w:val="superscript"/>
              </w:rPr>
            </w:pPr>
            <w:r>
              <w:rPr>
                <w:rFonts w:ascii="宋体" w:hAnsi="宋体"/>
                <w:sz w:val="24"/>
              </w:rPr>
              <w:t>1.4.</w:t>
            </w:r>
            <w:r>
              <w:rPr>
                <w:rFonts w:hint="eastAsia" w:ascii="宋体" w:hAnsi="宋体"/>
                <w:sz w:val="24"/>
              </w:rPr>
              <w:t>1</w:t>
            </w:r>
          </w:p>
        </w:tc>
        <w:tc>
          <w:tcPr>
            <w:tcW w:w="2084" w:type="dxa"/>
            <w:gridSpan w:val="2"/>
            <w:tcBorders>
              <w:top w:val="single" w:color="auto" w:sz="4" w:space="0"/>
            </w:tcBorders>
            <w:vAlign w:val="center"/>
          </w:tcPr>
          <w:p>
            <w:pPr>
              <w:spacing w:line="360" w:lineRule="exact"/>
              <w:jc w:val="center"/>
              <w:rPr>
                <w:rFonts w:ascii="宋体" w:hAnsi="宋体"/>
                <w:sz w:val="24"/>
              </w:rPr>
            </w:pPr>
            <w:r>
              <w:rPr>
                <w:rFonts w:ascii="宋体" w:hAnsi="宋体"/>
                <w:sz w:val="24"/>
              </w:rPr>
              <w:t>投标人资质条件、能力和信誉</w:t>
            </w:r>
          </w:p>
        </w:tc>
        <w:tc>
          <w:tcPr>
            <w:tcW w:w="5805" w:type="dxa"/>
            <w:gridSpan w:val="2"/>
            <w:tcBorders>
              <w:right w:val="single" w:color="auto" w:sz="4" w:space="0"/>
            </w:tcBorders>
            <w:vAlign w:val="center"/>
          </w:tcPr>
          <w:p>
            <w:pPr>
              <w:spacing w:line="360" w:lineRule="exact"/>
              <w:rPr>
                <w:rFonts w:ascii="宋体" w:hAnsi="宋体"/>
                <w:sz w:val="24"/>
              </w:rPr>
            </w:pPr>
            <w:r>
              <w:rPr>
                <w:rFonts w:ascii="宋体" w:hAnsi="宋体"/>
                <w:sz w:val="24"/>
              </w:rPr>
              <w:t>资质条件：</w:t>
            </w:r>
            <w:r>
              <w:rPr>
                <w:rFonts w:hint="eastAsia" w:ascii="宋体" w:hAnsi="宋体"/>
                <w:sz w:val="24"/>
              </w:rPr>
              <w:t>见附录1</w:t>
            </w:r>
          </w:p>
          <w:p>
            <w:pPr>
              <w:spacing w:line="360" w:lineRule="exact"/>
              <w:rPr>
                <w:rFonts w:ascii="宋体" w:hAnsi="宋体"/>
                <w:sz w:val="24"/>
              </w:rPr>
            </w:pPr>
            <w:r>
              <w:rPr>
                <w:rFonts w:ascii="宋体" w:hAnsi="宋体"/>
                <w:sz w:val="24"/>
              </w:rPr>
              <w:t>财务要求：</w:t>
            </w:r>
            <w:r>
              <w:rPr>
                <w:rFonts w:hint="eastAsia" w:ascii="宋体" w:hAnsi="宋体"/>
                <w:sz w:val="24"/>
              </w:rPr>
              <w:t>见附录2</w:t>
            </w:r>
          </w:p>
          <w:p>
            <w:pPr>
              <w:spacing w:line="360" w:lineRule="exact"/>
              <w:rPr>
                <w:rFonts w:ascii="宋体" w:hAnsi="宋体"/>
                <w:sz w:val="24"/>
              </w:rPr>
            </w:pPr>
            <w:r>
              <w:rPr>
                <w:rFonts w:ascii="宋体" w:hAnsi="宋体"/>
                <w:sz w:val="24"/>
              </w:rPr>
              <w:t>业绩要求：</w:t>
            </w:r>
            <w:r>
              <w:rPr>
                <w:rFonts w:hint="eastAsia" w:ascii="宋体" w:hAnsi="宋体"/>
                <w:sz w:val="24"/>
              </w:rPr>
              <w:t>见附录3</w:t>
            </w:r>
          </w:p>
          <w:p>
            <w:pPr>
              <w:spacing w:line="360" w:lineRule="exact"/>
              <w:rPr>
                <w:rFonts w:ascii="宋体" w:hAnsi="宋体"/>
                <w:sz w:val="24"/>
              </w:rPr>
            </w:pPr>
            <w:r>
              <w:rPr>
                <w:rFonts w:hint="eastAsia" w:ascii="宋体" w:hAnsi="宋体"/>
                <w:sz w:val="24"/>
              </w:rPr>
              <w:t>信誉要求：见附录4</w:t>
            </w:r>
          </w:p>
          <w:p>
            <w:pPr>
              <w:spacing w:line="360" w:lineRule="exact"/>
              <w:rPr>
                <w:rFonts w:ascii="宋体" w:hAnsi="宋体"/>
                <w:sz w:val="24"/>
              </w:rPr>
            </w:pPr>
            <w:r>
              <w:rPr>
                <w:rFonts w:hint="eastAsia" w:ascii="宋体" w:hAnsi="宋体"/>
                <w:sz w:val="24"/>
              </w:rPr>
              <w:t>项目经理和项目总工资格：见附录5</w:t>
            </w:r>
          </w:p>
          <w:p>
            <w:pPr>
              <w:spacing w:line="360" w:lineRule="exact"/>
              <w:rPr>
                <w:rFonts w:ascii="宋体" w:hAnsi="宋体"/>
                <w:sz w:val="24"/>
              </w:rPr>
            </w:pPr>
            <w:r>
              <w:rPr>
                <w:rFonts w:hint="eastAsia" w:ascii="宋体" w:hAnsi="宋体"/>
                <w:sz w:val="24"/>
              </w:rPr>
              <w:t>其他要求：见附录6和7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1.9.1</w:t>
            </w:r>
          </w:p>
        </w:tc>
        <w:tc>
          <w:tcPr>
            <w:tcW w:w="2084" w:type="dxa"/>
            <w:gridSpan w:val="2"/>
            <w:vAlign w:val="center"/>
          </w:tcPr>
          <w:p>
            <w:pPr>
              <w:spacing w:line="360" w:lineRule="exact"/>
              <w:jc w:val="center"/>
              <w:rPr>
                <w:rFonts w:ascii="宋体" w:hAnsi="宋体"/>
                <w:sz w:val="24"/>
              </w:rPr>
            </w:pPr>
            <w:r>
              <w:rPr>
                <w:rFonts w:hint="eastAsia" w:ascii="宋体" w:hAnsi="宋体"/>
                <w:sz w:val="24"/>
              </w:rPr>
              <w:t>踏勘现场</w:t>
            </w:r>
          </w:p>
        </w:tc>
        <w:tc>
          <w:tcPr>
            <w:tcW w:w="5805" w:type="dxa"/>
            <w:gridSpan w:val="2"/>
            <w:vAlign w:val="center"/>
          </w:tcPr>
          <w:p>
            <w:pPr>
              <w:spacing w:line="360" w:lineRule="exact"/>
              <w:rPr>
                <w:rFonts w:ascii="宋体" w:hAnsi="宋体"/>
                <w:sz w:val="24"/>
              </w:rPr>
            </w:pPr>
            <w:r>
              <w:rPr>
                <w:rFonts w:hint="eastAsia" w:ascii="宋体" w:hAnsi="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1.10.1</w:t>
            </w:r>
          </w:p>
        </w:tc>
        <w:tc>
          <w:tcPr>
            <w:tcW w:w="2084" w:type="dxa"/>
            <w:gridSpan w:val="2"/>
            <w:vAlign w:val="center"/>
          </w:tcPr>
          <w:p>
            <w:pPr>
              <w:spacing w:line="360" w:lineRule="exact"/>
              <w:jc w:val="center"/>
              <w:rPr>
                <w:rFonts w:ascii="宋体" w:hAnsi="宋体"/>
                <w:sz w:val="24"/>
              </w:rPr>
            </w:pPr>
            <w:r>
              <w:rPr>
                <w:rFonts w:hint="eastAsia" w:ascii="宋体" w:hAnsi="宋体"/>
                <w:sz w:val="24"/>
              </w:rPr>
              <w:t>投标预备会</w:t>
            </w:r>
          </w:p>
        </w:tc>
        <w:tc>
          <w:tcPr>
            <w:tcW w:w="5805" w:type="dxa"/>
            <w:gridSpan w:val="2"/>
            <w:vAlign w:val="center"/>
          </w:tcPr>
          <w:p>
            <w:pPr>
              <w:spacing w:line="360" w:lineRule="exact"/>
              <w:rPr>
                <w:rFonts w:ascii="宋体" w:hAnsi="宋体"/>
                <w:sz w:val="24"/>
              </w:rPr>
            </w:pPr>
            <w:r>
              <w:rPr>
                <w:rFonts w:hint="eastAsia" w:ascii="宋体" w:hAnsi="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1.10.2</w:t>
            </w:r>
          </w:p>
        </w:tc>
        <w:tc>
          <w:tcPr>
            <w:tcW w:w="2084" w:type="dxa"/>
            <w:gridSpan w:val="2"/>
            <w:vAlign w:val="center"/>
          </w:tcPr>
          <w:p>
            <w:pPr>
              <w:spacing w:line="360" w:lineRule="exact"/>
              <w:jc w:val="center"/>
              <w:rPr>
                <w:rFonts w:ascii="宋体" w:hAnsi="宋体"/>
                <w:sz w:val="24"/>
              </w:rPr>
            </w:pPr>
            <w:r>
              <w:rPr>
                <w:rFonts w:hint="eastAsia" w:ascii="宋体" w:hAnsi="宋体"/>
                <w:sz w:val="24"/>
              </w:rPr>
              <w:t>投标人提出问题的截止时间</w:t>
            </w:r>
          </w:p>
        </w:tc>
        <w:tc>
          <w:tcPr>
            <w:tcW w:w="5805" w:type="dxa"/>
            <w:gridSpan w:val="2"/>
            <w:vAlign w:val="center"/>
          </w:tcPr>
          <w:p>
            <w:pPr>
              <w:spacing w:line="360" w:lineRule="exact"/>
              <w:rPr>
                <w:rFonts w:ascii="宋体" w:hAnsi="宋体"/>
                <w:sz w:val="24"/>
              </w:rPr>
            </w:pPr>
            <w:r>
              <w:rPr>
                <w:rFonts w:hint="eastAsia" w:ascii="宋体" w:hAnsi="宋体"/>
                <w:sz w:val="24"/>
              </w:rPr>
              <w:t>递交投标文件的截止之日10日前以书面形式提出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1.10.3</w:t>
            </w:r>
          </w:p>
        </w:tc>
        <w:tc>
          <w:tcPr>
            <w:tcW w:w="2084" w:type="dxa"/>
            <w:gridSpan w:val="2"/>
            <w:vAlign w:val="center"/>
          </w:tcPr>
          <w:p>
            <w:pPr>
              <w:spacing w:line="360" w:lineRule="exact"/>
              <w:jc w:val="center"/>
              <w:rPr>
                <w:rFonts w:ascii="宋体" w:hAnsi="宋体"/>
                <w:sz w:val="24"/>
              </w:rPr>
            </w:pPr>
            <w:r>
              <w:rPr>
                <w:rFonts w:hint="eastAsia" w:ascii="宋体" w:hAnsi="宋体"/>
                <w:sz w:val="24"/>
              </w:rPr>
              <w:t>招标人书面澄清的时间</w:t>
            </w:r>
          </w:p>
        </w:tc>
        <w:tc>
          <w:tcPr>
            <w:tcW w:w="5805" w:type="dxa"/>
            <w:gridSpan w:val="2"/>
            <w:vAlign w:val="center"/>
          </w:tcPr>
          <w:p>
            <w:pPr>
              <w:spacing w:line="360" w:lineRule="exact"/>
              <w:rPr>
                <w:rFonts w:ascii="宋体" w:hAnsi="宋体"/>
                <w:sz w:val="24"/>
              </w:rPr>
            </w:pPr>
            <w:r>
              <w:rPr>
                <w:rFonts w:hint="eastAsia" w:ascii="宋体" w:hAnsi="宋体"/>
                <w:sz w:val="24"/>
              </w:rPr>
              <w:t>递交投标文件的截止之日15日前以书面形式提出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1.11</w:t>
            </w:r>
          </w:p>
        </w:tc>
        <w:tc>
          <w:tcPr>
            <w:tcW w:w="2084" w:type="dxa"/>
            <w:gridSpan w:val="2"/>
            <w:vAlign w:val="center"/>
          </w:tcPr>
          <w:p>
            <w:pPr>
              <w:spacing w:line="360" w:lineRule="exact"/>
              <w:jc w:val="center"/>
              <w:rPr>
                <w:rFonts w:ascii="宋体" w:hAnsi="宋体"/>
                <w:sz w:val="24"/>
              </w:rPr>
            </w:pPr>
            <w:r>
              <w:rPr>
                <w:rFonts w:hint="eastAsia" w:ascii="宋体" w:hAnsi="宋体"/>
                <w:sz w:val="24"/>
              </w:rPr>
              <w:t>偏离</w:t>
            </w:r>
          </w:p>
        </w:tc>
        <w:tc>
          <w:tcPr>
            <w:tcW w:w="5805" w:type="dxa"/>
            <w:gridSpan w:val="2"/>
            <w:vAlign w:val="center"/>
          </w:tcPr>
          <w:p>
            <w:pPr>
              <w:spacing w:line="360" w:lineRule="exact"/>
              <w:rPr>
                <w:rFonts w:ascii="宋体" w:hAnsi="宋体"/>
                <w:sz w:val="24"/>
              </w:rPr>
            </w:pPr>
            <w:r>
              <w:rPr>
                <w:rFonts w:hint="eastAsia" w:ascii="宋体" w:hAnsi="宋体"/>
                <w:sz w:val="24"/>
              </w:rPr>
              <w:t>不允许</w:t>
            </w:r>
            <w:bookmarkStart w:id="319" w:name="_GoBack"/>
            <w:bookmarkEnd w:id="3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2.2.1</w:t>
            </w:r>
          </w:p>
        </w:tc>
        <w:tc>
          <w:tcPr>
            <w:tcW w:w="2084" w:type="dxa"/>
            <w:gridSpan w:val="2"/>
            <w:vAlign w:val="center"/>
          </w:tcPr>
          <w:p>
            <w:pPr>
              <w:spacing w:line="360" w:lineRule="exact"/>
              <w:jc w:val="center"/>
              <w:rPr>
                <w:rFonts w:ascii="宋体" w:hAnsi="宋体"/>
                <w:sz w:val="24"/>
              </w:rPr>
            </w:pPr>
            <w:r>
              <w:rPr>
                <w:rFonts w:hint="eastAsia" w:ascii="宋体" w:hAnsi="宋体"/>
                <w:sz w:val="24"/>
              </w:rPr>
              <w:t>投标人要求澄清招标文件的截止时间</w:t>
            </w:r>
          </w:p>
        </w:tc>
        <w:tc>
          <w:tcPr>
            <w:tcW w:w="5805" w:type="dxa"/>
            <w:gridSpan w:val="2"/>
            <w:vAlign w:val="center"/>
          </w:tcPr>
          <w:p>
            <w:pPr>
              <w:spacing w:line="360" w:lineRule="exact"/>
              <w:rPr>
                <w:rFonts w:ascii="宋体" w:hAnsi="宋体"/>
                <w:sz w:val="24"/>
              </w:rPr>
            </w:pPr>
            <w:r>
              <w:rPr>
                <w:rFonts w:hint="eastAsia" w:ascii="宋体" w:hAnsi="宋体"/>
                <w:sz w:val="24"/>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202" w:type="dxa"/>
            <w:vAlign w:val="center"/>
          </w:tcPr>
          <w:p>
            <w:pPr>
              <w:spacing w:line="360" w:lineRule="exact"/>
              <w:rPr>
                <w:rFonts w:hint="eastAsia" w:ascii="宋体" w:hAnsi="宋体"/>
                <w:sz w:val="24"/>
              </w:rPr>
            </w:pPr>
            <w:r>
              <w:rPr>
                <w:rFonts w:hint="eastAsia" w:ascii="宋体" w:hAnsi="宋体"/>
                <w:sz w:val="24"/>
              </w:rPr>
              <w:t>2.2.2</w:t>
            </w:r>
          </w:p>
        </w:tc>
        <w:tc>
          <w:tcPr>
            <w:tcW w:w="2084" w:type="dxa"/>
            <w:gridSpan w:val="2"/>
            <w:vAlign w:val="center"/>
          </w:tcPr>
          <w:p>
            <w:pPr>
              <w:spacing w:line="360" w:lineRule="exact"/>
              <w:rPr>
                <w:rFonts w:hint="eastAsia" w:ascii="宋体" w:hAnsi="宋体"/>
                <w:sz w:val="24"/>
              </w:rPr>
            </w:pPr>
            <w:r>
              <w:rPr>
                <w:rFonts w:hint="eastAsia" w:ascii="宋体" w:hAnsi="宋体"/>
                <w:sz w:val="24"/>
              </w:rPr>
              <w:t>投标截止时间</w:t>
            </w:r>
          </w:p>
        </w:tc>
        <w:tc>
          <w:tcPr>
            <w:tcW w:w="5805" w:type="dxa"/>
            <w:gridSpan w:val="2"/>
            <w:vAlign w:val="center"/>
          </w:tcPr>
          <w:p>
            <w:pPr>
              <w:spacing w:line="360" w:lineRule="exact"/>
              <w:rPr>
                <w:rFonts w:hint="eastAsia" w:ascii="宋体" w:hAnsi="宋体"/>
                <w:sz w:val="24"/>
              </w:rPr>
            </w:pPr>
            <w:r>
              <w:rPr>
                <w:rFonts w:hint="eastAsia" w:ascii="宋体" w:hAnsi="宋体"/>
                <w:sz w:val="24"/>
              </w:rPr>
              <w:t>201</w:t>
            </w:r>
            <w:r>
              <w:rPr>
                <w:rFonts w:hint="eastAsia" w:ascii="宋体" w:hAnsi="宋体"/>
                <w:sz w:val="24"/>
                <w:lang w:val="en-US" w:eastAsia="zh-CN"/>
              </w:rPr>
              <w:t>8</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27</w:t>
            </w:r>
            <w:r>
              <w:rPr>
                <w:rFonts w:hint="eastAsia" w:ascii="宋体" w:hAnsi="宋体"/>
                <w:sz w:val="24"/>
              </w:rPr>
              <w:t>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2.2.3</w:t>
            </w:r>
          </w:p>
        </w:tc>
        <w:tc>
          <w:tcPr>
            <w:tcW w:w="2084" w:type="dxa"/>
            <w:gridSpan w:val="2"/>
            <w:vAlign w:val="center"/>
          </w:tcPr>
          <w:p>
            <w:pPr>
              <w:spacing w:line="360" w:lineRule="exact"/>
              <w:jc w:val="center"/>
              <w:rPr>
                <w:rFonts w:ascii="宋体" w:hAnsi="宋体"/>
                <w:sz w:val="24"/>
              </w:rPr>
            </w:pPr>
            <w:r>
              <w:rPr>
                <w:rFonts w:hint="eastAsia" w:ascii="宋体" w:hAnsi="宋体"/>
                <w:sz w:val="24"/>
              </w:rPr>
              <w:t>投标人确认收到招标文件澄清的时间</w:t>
            </w:r>
          </w:p>
        </w:tc>
        <w:tc>
          <w:tcPr>
            <w:tcW w:w="5805" w:type="dxa"/>
            <w:gridSpan w:val="2"/>
            <w:vAlign w:val="center"/>
          </w:tcPr>
          <w:p>
            <w:pPr>
              <w:spacing w:line="360" w:lineRule="exact"/>
              <w:rPr>
                <w:rFonts w:ascii="宋体" w:hAnsi="宋体"/>
                <w:sz w:val="24"/>
              </w:rPr>
            </w:pPr>
            <w:r>
              <w:rPr>
                <w:rFonts w:hint="eastAsia" w:ascii="宋体" w:hAnsi="宋体"/>
                <w:sz w:val="24"/>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2.3.2</w:t>
            </w:r>
          </w:p>
        </w:tc>
        <w:tc>
          <w:tcPr>
            <w:tcW w:w="2084" w:type="dxa"/>
            <w:gridSpan w:val="2"/>
            <w:vAlign w:val="center"/>
          </w:tcPr>
          <w:p>
            <w:pPr>
              <w:spacing w:line="360" w:lineRule="exact"/>
              <w:jc w:val="center"/>
              <w:rPr>
                <w:rFonts w:ascii="宋体" w:hAnsi="宋体"/>
                <w:sz w:val="24"/>
              </w:rPr>
            </w:pPr>
            <w:r>
              <w:rPr>
                <w:rFonts w:hint="eastAsia" w:ascii="宋体" w:hAnsi="宋体"/>
                <w:sz w:val="24"/>
              </w:rPr>
              <w:t>投标人确认收到招标文件修改的时间</w:t>
            </w:r>
          </w:p>
        </w:tc>
        <w:tc>
          <w:tcPr>
            <w:tcW w:w="5805" w:type="dxa"/>
            <w:gridSpan w:val="2"/>
            <w:vAlign w:val="center"/>
          </w:tcPr>
          <w:p>
            <w:pPr>
              <w:spacing w:line="360" w:lineRule="exact"/>
              <w:rPr>
                <w:rFonts w:ascii="宋体" w:hAnsi="宋体"/>
                <w:sz w:val="24"/>
              </w:rPr>
            </w:pPr>
            <w:r>
              <w:rPr>
                <w:rFonts w:hint="eastAsia" w:ascii="宋体" w:hAnsi="宋体"/>
                <w:sz w:val="24"/>
              </w:rPr>
              <w:t>收到修改后</w:t>
            </w:r>
            <w:r>
              <w:rPr>
                <w:rFonts w:hint="eastAsia" w:ascii="宋体" w:hAnsi="宋体"/>
                <w:sz w:val="24"/>
                <w:u w:val="single"/>
              </w:rPr>
              <w:t>24</w:t>
            </w:r>
            <w:r>
              <w:rPr>
                <w:rFonts w:hint="eastAsia" w:ascii="宋体" w:hAnsi="宋体"/>
                <w:sz w:val="24"/>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3.1.1</w:t>
            </w:r>
          </w:p>
        </w:tc>
        <w:tc>
          <w:tcPr>
            <w:tcW w:w="2084" w:type="dxa"/>
            <w:gridSpan w:val="2"/>
            <w:vAlign w:val="center"/>
          </w:tcPr>
          <w:p>
            <w:pPr>
              <w:spacing w:line="360" w:lineRule="exact"/>
              <w:jc w:val="center"/>
              <w:rPr>
                <w:rFonts w:ascii="宋体" w:hAnsi="宋体"/>
                <w:sz w:val="24"/>
              </w:rPr>
            </w:pPr>
            <w:r>
              <w:rPr>
                <w:rFonts w:hint="eastAsia" w:ascii="宋体" w:hAnsi="宋体"/>
                <w:sz w:val="24"/>
              </w:rPr>
              <w:t>构成投标文件的其他材料</w:t>
            </w:r>
          </w:p>
        </w:tc>
        <w:tc>
          <w:tcPr>
            <w:tcW w:w="5805" w:type="dxa"/>
            <w:gridSpan w:val="2"/>
            <w:vAlign w:val="center"/>
          </w:tcPr>
          <w:p>
            <w:pPr>
              <w:spacing w:line="360" w:lineRule="exact"/>
              <w:rPr>
                <w:rFonts w:ascii="宋体" w:hAnsi="宋体"/>
                <w:sz w:val="24"/>
              </w:rPr>
            </w:pPr>
            <w:r>
              <w:rPr>
                <w:rFonts w:hint="eastAsia" w:ascii="宋体" w:hAnsi="宋体"/>
                <w:sz w:val="24"/>
              </w:rPr>
              <w:t>（1）投标人认为其它需要补充的内容</w:t>
            </w:r>
          </w:p>
          <w:p>
            <w:pPr>
              <w:spacing w:line="360" w:lineRule="exact"/>
              <w:rPr>
                <w:rFonts w:ascii="宋体" w:hAnsi="宋体"/>
                <w:b/>
                <w:sz w:val="24"/>
              </w:rPr>
            </w:pPr>
            <w:r>
              <w:rPr>
                <w:rFonts w:hint="eastAsia" w:ascii="宋体" w:hAnsi="宋体"/>
                <w:sz w:val="24"/>
              </w:rPr>
              <w:t>（2）本项目所发出的补遗书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1202" w:type="dxa"/>
            <w:tcBorders>
              <w:left w:val="single" w:color="auto" w:sz="4" w:space="0"/>
            </w:tcBorders>
            <w:vAlign w:val="center"/>
          </w:tcPr>
          <w:p>
            <w:pPr>
              <w:adjustRightInd w:val="0"/>
              <w:snapToGrid w:val="0"/>
              <w:spacing w:line="360" w:lineRule="exact"/>
              <w:jc w:val="center"/>
              <w:rPr>
                <w:sz w:val="24"/>
              </w:rPr>
            </w:pPr>
            <w:r>
              <w:rPr>
                <w:sz w:val="24"/>
              </w:rPr>
              <w:t>3.2.4</w:t>
            </w:r>
          </w:p>
        </w:tc>
        <w:tc>
          <w:tcPr>
            <w:tcW w:w="2084" w:type="dxa"/>
            <w:gridSpan w:val="2"/>
            <w:vAlign w:val="center"/>
          </w:tcPr>
          <w:p>
            <w:pPr>
              <w:adjustRightInd w:val="0"/>
              <w:snapToGrid w:val="0"/>
              <w:spacing w:line="360" w:lineRule="exact"/>
              <w:jc w:val="center"/>
              <w:rPr>
                <w:sz w:val="24"/>
              </w:rPr>
            </w:pPr>
            <w:r>
              <w:rPr>
                <w:sz w:val="24"/>
              </w:rPr>
              <w:t>近年完成的类似项目的年份要求</w:t>
            </w:r>
          </w:p>
        </w:tc>
        <w:tc>
          <w:tcPr>
            <w:tcW w:w="5805" w:type="dxa"/>
            <w:gridSpan w:val="2"/>
            <w:tcBorders>
              <w:right w:val="single" w:color="auto" w:sz="4" w:space="0"/>
            </w:tcBorders>
            <w:vAlign w:val="center"/>
          </w:tcPr>
          <w:p>
            <w:pPr>
              <w:adjustRightInd w:val="0"/>
              <w:snapToGrid w:val="0"/>
              <w:spacing w:line="360" w:lineRule="exact"/>
              <w:rPr>
                <w:sz w:val="24"/>
              </w:rPr>
            </w:pPr>
            <w:r>
              <w:rPr>
                <w:sz w:val="24"/>
              </w:rPr>
              <w:t>2</w:t>
            </w:r>
            <w:r>
              <w:rPr>
                <w:rFonts w:hint="eastAsia" w:ascii="宋体" w:hAnsi="宋体"/>
                <w:color w:val="000000"/>
                <w:sz w:val="24"/>
              </w:rPr>
              <w:t>01</w:t>
            </w:r>
            <w:r>
              <w:rPr>
                <w:rFonts w:hint="eastAsia" w:hAnsi="宋体"/>
                <w:color w:val="000000"/>
                <w:sz w:val="24"/>
                <w:lang w:val="en-US" w:eastAsia="zh-CN"/>
              </w:rPr>
              <w:t>5</w:t>
            </w:r>
            <w:r>
              <w:rPr>
                <w:rFonts w:hint="eastAsia" w:ascii="宋体" w:hAnsi="宋体"/>
                <w:color w:val="000000"/>
                <w:sz w:val="24"/>
              </w:rPr>
              <w:t>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202" w:type="dxa"/>
            <w:tcBorders>
              <w:bottom w:val="single" w:color="auto" w:sz="4" w:space="0"/>
            </w:tcBorders>
            <w:vAlign w:val="center"/>
          </w:tcPr>
          <w:p>
            <w:pPr>
              <w:spacing w:line="360" w:lineRule="exact"/>
              <w:jc w:val="center"/>
              <w:rPr>
                <w:rFonts w:ascii="宋体" w:hAnsi="宋体"/>
                <w:sz w:val="24"/>
              </w:rPr>
            </w:pPr>
            <w:r>
              <w:rPr>
                <w:rFonts w:hint="eastAsia" w:ascii="宋体" w:hAnsi="宋体"/>
                <w:sz w:val="24"/>
              </w:rPr>
              <w:t>3.2.9</w:t>
            </w:r>
          </w:p>
        </w:tc>
        <w:tc>
          <w:tcPr>
            <w:tcW w:w="2084" w:type="dxa"/>
            <w:gridSpan w:val="2"/>
            <w:tcBorders>
              <w:bottom w:val="single" w:color="auto" w:sz="4" w:space="0"/>
            </w:tcBorders>
            <w:vAlign w:val="center"/>
          </w:tcPr>
          <w:p>
            <w:pPr>
              <w:spacing w:line="360" w:lineRule="exact"/>
              <w:jc w:val="center"/>
              <w:rPr>
                <w:rFonts w:ascii="宋体" w:hAnsi="宋体"/>
                <w:sz w:val="24"/>
              </w:rPr>
            </w:pPr>
            <w:r>
              <w:rPr>
                <w:rFonts w:hint="eastAsia" w:ascii="宋体" w:hAnsi="宋体"/>
                <w:sz w:val="24"/>
              </w:rPr>
              <w:t>调价函</w:t>
            </w:r>
          </w:p>
        </w:tc>
        <w:tc>
          <w:tcPr>
            <w:tcW w:w="5805" w:type="dxa"/>
            <w:gridSpan w:val="2"/>
            <w:tcBorders>
              <w:bottom w:val="single" w:color="auto" w:sz="4" w:space="0"/>
            </w:tcBorders>
            <w:vAlign w:val="center"/>
          </w:tcPr>
          <w:p>
            <w:pPr>
              <w:spacing w:line="360" w:lineRule="exact"/>
              <w:rPr>
                <w:rFonts w:ascii="宋体" w:hAnsi="宋体"/>
                <w:sz w:val="24"/>
              </w:rPr>
            </w:pPr>
            <w:r>
              <w:rPr>
                <w:rFonts w:hint="eastAsia" w:ascii="宋体" w:hAnsi="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202" w:type="dxa"/>
            <w:tcBorders>
              <w:bottom w:val="single" w:color="auto" w:sz="4" w:space="0"/>
            </w:tcBorders>
            <w:vAlign w:val="center"/>
          </w:tcPr>
          <w:p>
            <w:pPr>
              <w:spacing w:line="360" w:lineRule="exact"/>
              <w:jc w:val="center"/>
              <w:rPr>
                <w:rFonts w:ascii="宋体" w:hAnsi="宋体"/>
                <w:sz w:val="24"/>
              </w:rPr>
            </w:pPr>
            <w:r>
              <w:rPr>
                <w:rFonts w:hint="eastAsia" w:ascii="宋体" w:hAnsi="宋体"/>
                <w:sz w:val="24"/>
              </w:rPr>
              <w:t>3.3.1</w:t>
            </w:r>
          </w:p>
        </w:tc>
        <w:tc>
          <w:tcPr>
            <w:tcW w:w="2084" w:type="dxa"/>
            <w:gridSpan w:val="2"/>
            <w:tcBorders>
              <w:bottom w:val="single" w:color="auto" w:sz="4" w:space="0"/>
            </w:tcBorders>
            <w:vAlign w:val="center"/>
          </w:tcPr>
          <w:p>
            <w:pPr>
              <w:spacing w:line="360" w:lineRule="exact"/>
              <w:jc w:val="center"/>
              <w:rPr>
                <w:rFonts w:ascii="宋体" w:hAnsi="宋体"/>
                <w:sz w:val="24"/>
              </w:rPr>
            </w:pPr>
            <w:r>
              <w:rPr>
                <w:rFonts w:hint="eastAsia" w:ascii="宋体" w:hAnsi="宋体"/>
                <w:sz w:val="24"/>
              </w:rPr>
              <w:t>投标有效期</w:t>
            </w:r>
          </w:p>
        </w:tc>
        <w:tc>
          <w:tcPr>
            <w:tcW w:w="5805" w:type="dxa"/>
            <w:gridSpan w:val="2"/>
            <w:tcBorders>
              <w:bottom w:val="single" w:color="auto" w:sz="4" w:space="0"/>
            </w:tcBorders>
            <w:vAlign w:val="center"/>
          </w:tcPr>
          <w:p>
            <w:pPr>
              <w:spacing w:line="360" w:lineRule="exact"/>
              <w:rPr>
                <w:rFonts w:ascii="宋体" w:hAnsi="宋体"/>
                <w:sz w:val="24"/>
              </w:rPr>
            </w:pPr>
            <w:r>
              <w:rPr>
                <w:rFonts w:hint="eastAsia" w:ascii="宋体" w:hAnsi="宋体"/>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202" w:type="dxa"/>
            <w:tcBorders>
              <w:top w:val="single" w:color="auto" w:sz="4" w:space="0"/>
            </w:tcBorders>
            <w:vAlign w:val="center"/>
          </w:tcPr>
          <w:p>
            <w:pPr>
              <w:spacing w:line="360" w:lineRule="exact"/>
              <w:jc w:val="center"/>
              <w:rPr>
                <w:rFonts w:ascii="宋体" w:hAnsi="宋体"/>
                <w:sz w:val="24"/>
              </w:rPr>
            </w:pPr>
            <w:r>
              <w:rPr>
                <w:rFonts w:hint="eastAsia" w:ascii="宋体" w:hAnsi="宋体"/>
                <w:sz w:val="24"/>
              </w:rPr>
              <w:t>3.6</w:t>
            </w:r>
          </w:p>
        </w:tc>
        <w:tc>
          <w:tcPr>
            <w:tcW w:w="2084" w:type="dxa"/>
            <w:gridSpan w:val="2"/>
            <w:tcBorders>
              <w:top w:val="single" w:color="auto" w:sz="4" w:space="0"/>
            </w:tcBorders>
            <w:vAlign w:val="center"/>
          </w:tcPr>
          <w:p>
            <w:pPr>
              <w:spacing w:line="360" w:lineRule="exact"/>
              <w:ind w:left="5" w:leftChars="-67" w:right="-107" w:rightChars="-51" w:hanging="146" w:hangingChars="61"/>
              <w:jc w:val="center"/>
              <w:rPr>
                <w:rFonts w:ascii="宋体" w:hAnsi="宋体"/>
                <w:sz w:val="24"/>
              </w:rPr>
            </w:pPr>
            <w:r>
              <w:rPr>
                <w:rFonts w:hint="eastAsia" w:ascii="宋体" w:hAnsi="宋体"/>
                <w:sz w:val="24"/>
              </w:rPr>
              <w:t>是否允许递交备选投标方案</w:t>
            </w:r>
          </w:p>
        </w:tc>
        <w:tc>
          <w:tcPr>
            <w:tcW w:w="5805" w:type="dxa"/>
            <w:gridSpan w:val="2"/>
            <w:tcBorders>
              <w:top w:val="single" w:color="auto" w:sz="4" w:space="0"/>
            </w:tcBorders>
            <w:vAlign w:val="center"/>
          </w:tcPr>
          <w:p>
            <w:pPr>
              <w:spacing w:line="360" w:lineRule="exact"/>
              <w:rPr>
                <w:rFonts w:ascii="宋体" w:hAnsi="宋体"/>
                <w:sz w:val="24"/>
              </w:rPr>
            </w:pPr>
            <w:r>
              <w:rPr>
                <w:rFonts w:hint="eastAsia"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3.7.3</w:t>
            </w:r>
          </w:p>
        </w:tc>
        <w:tc>
          <w:tcPr>
            <w:tcW w:w="2084" w:type="dxa"/>
            <w:gridSpan w:val="2"/>
            <w:vAlign w:val="center"/>
          </w:tcPr>
          <w:p>
            <w:pPr>
              <w:spacing w:line="360" w:lineRule="exact"/>
              <w:jc w:val="center"/>
              <w:rPr>
                <w:rFonts w:ascii="宋体" w:hAnsi="宋体"/>
                <w:sz w:val="24"/>
              </w:rPr>
            </w:pPr>
            <w:r>
              <w:rPr>
                <w:rFonts w:hint="eastAsia" w:ascii="宋体" w:hAnsi="宋体"/>
                <w:sz w:val="24"/>
              </w:rPr>
              <w:t>签字或盖章要求</w:t>
            </w:r>
          </w:p>
        </w:tc>
        <w:tc>
          <w:tcPr>
            <w:tcW w:w="5805" w:type="dxa"/>
            <w:gridSpan w:val="2"/>
            <w:vAlign w:val="center"/>
          </w:tcPr>
          <w:p>
            <w:pPr>
              <w:spacing w:line="360" w:lineRule="exact"/>
              <w:rPr>
                <w:rFonts w:ascii="宋体" w:hAnsi="宋体"/>
                <w:color w:val="000000"/>
                <w:szCs w:val="21"/>
              </w:rPr>
            </w:pPr>
            <w:r>
              <w:rPr>
                <w:rFonts w:hint="eastAsia" w:ascii="宋体" w:hAnsi="宋体"/>
                <w:sz w:val="24"/>
              </w:rPr>
              <w:t>投标文件正本应用不褪色的墨水书写或打印，并由投标人的法定代表人或其委托代理人逐页亲笔签署姓名（封面、目录和本页正文内容已由投标人的法定代表人，其委托代理人签署姓名的可不签署），不得使用签名章或其它电子制版签名。投标文件格式中凡要求“盖单位公章”的位置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3.7.4</w:t>
            </w:r>
          </w:p>
        </w:tc>
        <w:tc>
          <w:tcPr>
            <w:tcW w:w="2084" w:type="dxa"/>
            <w:gridSpan w:val="2"/>
            <w:vAlign w:val="center"/>
          </w:tcPr>
          <w:p>
            <w:pPr>
              <w:spacing w:line="360" w:lineRule="exact"/>
              <w:jc w:val="center"/>
              <w:rPr>
                <w:rFonts w:ascii="宋体" w:hAnsi="宋体"/>
                <w:sz w:val="24"/>
              </w:rPr>
            </w:pPr>
            <w:r>
              <w:rPr>
                <w:rFonts w:hint="eastAsia" w:ascii="宋体" w:hAnsi="宋体"/>
                <w:sz w:val="24"/>
              </w:rPr>
              <w:t>投标文件及电子版本的份数</w:t>
            </w:r>
          </w:p>
        </w:tc>
        <w:tc>
          <w:tcPr>
            <w:tcW w:w="5805" w:type="dxa"/>
            <w:gridSpan w:val="2"/>
            <w:vAlign w:val="center"/>
          </w:tcPr>
          <w:p>
            <w:pPr>
              <w:spacing w:line="360" w:lineRule="exact"/>
              <w:rPr>
                <w:rFonts w:ascii="宋体" w:hAnsi="宋体"/>
                <w:sz w:val="24"/>
              </w:rPr>
            </w:pPr>
            <w:r>
              <w:rPr>
                <w:rFonts w:hint="eastAsia" w:ascii="宋体" w:hAnsi="宋体"/>
                <w:sz w:val="24"/>
              </w:rPr>
              <w:t>正本1份，副本4份，</w:t>
            </w:r>
            <w:r>
              <w:rPr>
                <w:rFonts w:hint="eastAsia" w:ascii="宋体" w:hAnsi="宋体"/>
                <w:sz w:val="24"/>
                <w:szCs w:val="28"/>
              </w:rPr>
              <w:t>U盘电子版本</w:t>
            </w:r>
            <w:r>
              <w:rPr>
                <w:rFonts w:hint="eastAsia" w:ascii="宋体" w:hAnsi="宋体"/>
                <w:sz w:val="24"/>
              </w:rPr>
              <w:t>1</w:t>
            </w:r>
            <w:r>
              <w:rPr>
                <w:rFonts w:hint="eastAsia" w:ascii="宋体" w:hAnsi="宋体"/>
                <w:sz w:val="24"/>
                <w:szCs w:val="28"/>
              </w:rPr>
              <w:t>份（U盘外贴标签注明单位名称和标段，电子版本应包括投标文件全部内容及已标价的工程量清单，且保证能够有效读取）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3.7.5</w:t>
            </w:r>
          </w:p>
        </w:tc>
        <w:tc>
          <w:tcPr>
            <w:tcW w:w="2084" w:type="dxa"/>
            <w:gridSpan w:val="2"/>
            <w:vAlign w:val="center"/>
          </w:tcPr>
          <w:p>
            <w:pPr>
              <w:spacing w:line="360" w:lineRule="exact"/>
              <w:jc w:val="center"/>
              <w:rPr>
                <w:rFonts w:ascii="宋体" w:hAnsi="宋体"/>
                <w:sz w:val="24"/>
              </w:rPr>
            </w:pPr>
            <w:r>
              <w:rPr>
                <w:rFonts w:hint="eastAsia" w:ascii="宋体" w:hAnsi="宋体"/>
                <w:sz w:val="24"/>
              </w:rPr>
              <w:t>装订要求</w:t>
            </w:r>
          </w:p>
        </w:tc>
        <w:tc>
          <w:tcPr>
            <w:tcW w:w="5805" w:type="dxa"/>
            <w:gridSpan w:val="2"/>
            <w:vAlign w:val="center"/>
          </w:tcPr>
          <w:p>
            <w:pPr>
              <w:spacing w:line="360" w:lineRule="exact"/>
              <w:rPr>
                <w:rFonts w:ascii="宋体" w:hAnsi="宋体"/>
                <w:sz w:val="24"/>
              </w:rPr>
            </w:pPr>
            <w:r>
              <w:rPr>
                <w:rFonts w:hint="eastAsia" w:ascii="宋体" w:hAnsi="宋体"/>
                <w:sz w:val="24"/>
              </w:rPr>
              <w:t>胶装（商务及技术部分、投标报价和工程量清单部分分别密封胶装）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202" w:type="dxa"/>
            <w:tcBorders>
              <w:left w:val="single" w:color="auto" w:sz="4" w:space="0"/>
            </w:tcBorders>
            <w:vAlign w:val="center"/>
          </w:tcPr>
          <w:p>
            <w:pPr>
              <w:spacing w:line="360" w:lineRule="exact"/>
              <w:jc w:val="center"/>
              <w:rPr>
                <w:rFonts w:ascii="宋体" w:hAnsi="宋体"/>
                <w:sz w:val="24"/>
              </w:rPr>
            </w:pPr>
            <w:r>
              <w:rPr>
                <w:rFonts w:hint="eastAsia" w:ascii="宋体" w:hAnsi="宋体"/>
                <w:sz w:val="24"/>
              </w:rPr>
              <w:t>4.1.2</w:t>
            </w:r>
          </w:p>
        </w:tc>
        <w:tc>
          <w:tcPr>
            <w:tcW w:w="2084" w:type="dxa"/>
            <w:gridSpan w:val="2"/>
            <w:vAlign w:val="center"/>
          </w:tcPr>
          <w:p>
            <w:pPr>
              <w:spacing w:line="360" w:lineRule="exact"/>
              <w:jc w:val="center"/>
              <w:rPr>
                <w:rFonts w:ascii="宋体" w:hAnsi="宋体"/>
                <w:sz w:val="24"/>
              </w:rPr>
            </w:pPr>
            <w:r>
              <w:rPr>
                <w:rFonts w:hint="eastAsia" w:ascii="宋体" w:hAnsi="宋体"/>
                <w:sz w:val="24"/>
              </w:rPr>
              <w:t>封套上写明</w:t>
            </w:r>
          </w:p>
        </w:tc>
        <w:tc>
          <w:tcPr>
            <w:tcW w:w="5805" w:type="dxa"/>
            <w:gridSpan w:val="2"/>
            <w:tcBorders>
              <w:right w:val="single" w:color="auto" w:sz="4" w:space="0"/>
            </w:tcBorders>
            <w:vAlign w:val="center"/>
          </w:tcPr>
          <w:p>
            <w:pPr>
              <w:spacing w:line="360" w:lineRule="exact"/>
              <w:ind w:left="113" w:right="113"/>
              <w:rPr>
                <w:rFonts w:ascii="宋体" w:hAnsi="宋体"/>
                <w:sz w:val="24"/>
              </w:rPr>
            </w:pPr>
            <w:r>
              <w:rPr>
                <w:rFonts w:hint="eastAsia" w:ascii="宋体" w:hAnsi="宋体"/>
                <w:sz w:val="24"/>
              </w:rPr>
              <w:t>投标文件第一个信封（商务及技术文件）内层封套：</w:t>
            </w:r>
          </w:p>
          <w:p>
            <w:pPr>
              <w:spacing w:line="360" w:lineRule="exact"/>
              <w:ind w:left="113" w:right="113"/>
              <w:rPr>
                <w:rFonts w:ascii="宋体" w:hAnsi="宋体"/>
                <w:sz w:val="24"/>
                <w:u w:val="single"/>
              </w:rPr>
            </w:pPr>
            <w:r>
              <w:rPr>
                <w:rFonts w:hint="eastAsia" w:ascii="宋体" w:hAnsi="宋体"/>
                <w:sz w:val="24"/>
              </w:rPr>
              <w:t>投标人邮政编码：</w:t>
            </w:r>
          </w:p>
          <w:p>
            <w:pPr>
              <w:spacing w:line="360" w:lineRule="exact"/>
              <w:ind w:left="113" w:right="113"/>
              <w:rPr>
                <w:rFonts w:ascii="宋体" w:hAnsi="宋体"/>
                <w:sz w:val="24"/>
              </w:rPr>
            </w:pPr>
            <w:r>
              <w:rPr>
                <w:rFonts w:hint="eastAsia" w:ascii="宋体" w:hAnsi="宋体"/>
                <w:sz w:val="24"/>
              </w:rPr>
              <w:t>投标人地址：</w:t>
            </w:r>
          </w:p>
          <w:p>
            <w:pPr>
              <w:spacing w:line="360" w:lineRule="exact"/>
              <w:ind w:left="113" w:right="113"/>
              <w:rPr>
                <w:rFonts w:ascii="宋体" w:hAnsi="宋体"/>
                <w:sz w:val="24"/>
              </w:rPr>
            </w:pPr>
            <w:r>
              <w:rPr>
                <w:rFonts w:hint="eastAsia" w:ascii="宋体" w:hAnsi="宋体"/>
                <w:sz w:val="24"/>
              </w:rPr>
              <w:t>投标人名称：</w:t>
            </w:r>
          </w:p>
          <w:p>
            <w:pPr>
              <w:spacing w:line="360" w:lineRule="exact"/>
              <w:ind w:left="113" w:right="113"/>
              <w:rPr>
                <w:rFonts w:ascii="宋体" w:hAnsi="宋体"/>
                <w:sz w:val="24"/>
              </w:rPr>
            </w:pPr>
            <w:r>
              <w:rPr>
                <w:rFonts w:hint="eastAsia" w:ascii="宋体" w:hAnsi="宋体"/>
                <w:sz w:val="24"/>
              </w:rPr>
              <w:t>投标人联系人：</w:t>
            </w:r>
          </w:p>
          <w:p>
            <w:pPr>
              <w:spacing w:line="360" w:lineRule="exact"/>
              <w:ind w:left="113" w:right="113"/>
              <w:rPr>
                <w:rFonts w:ascii="宋体" w:hAnsi="宋体"/>
                <w:sz w:val="24"/>
              </w:rPr>
            </w:pPr>
            <w:r>
              <w:rPr>
                <w:rFonts w:hint="eastAsia" w:ascii="宋体" w:hAnsi="宋体"/>
                <w:sz w:val="24"/>
              </w:rPr>
              <w:t>投标人联系电话：</w:t>
            </w:r>
          </w:p>
          <w:p>
            <w:pPr>
              <w:spacing w:line="360" w:lineRule="exact"/>
              <w:ind w:left="113" w:right="113"/>
              <w:rPr>
                <w:rFonts w:ascii="宋体" w:hAnsi="宋体"/>
                <w:sz w:val="24"/>
              </w:rPr>
            </w:pPr>
            <w:r>
              <w:rPr>
                <w:rFonts w:hint="eastAsia" w:ascii="宋体" w:hAnsi="宋体"/>
                <w:sz w:val="24"/>
              </w:rPr>
              <w:t>招标人地址及名称：（寄）</w:t>
            </w:r>
          </w:p>
          <w:p>
            <w:pPr>
              <w:spacing w:line="360" w:lineRule="exact"/>
              <w:ind w:left="113" w:right="113"/>
              <w:rPr>
                <w:rFonts w:ascii="宋体" w:hAnsi="宋体"/>
                <w:sz w:val="24"/>
              </w:rPr>
            </w:pPr>
            <w:r>
              <w:rPr>
                <w:rFonts w:hint="eastAsia" w:ascii="宋体" w:hAnsi="宋体"/>
                <w:sz w:val="24"/>
              </w:rPr>
              <w:t>投标文件第一个信封（商务及技术文件）外层封套：</w:t>
            </w:r>
          </w:p>
          <w:p>
            <w:pPr>
              <w:spacing w:line="360" w:lineRule="exact"/>
              <w:ind w:left="113" w:right="113"/>
              <w:rPr>
                <w:rFonts w:ascii="宋体" w:hAnsi="宋体"/>
                <w:sz w:val="24"/>
              </w:rPr>
            </w:pPr>
            <w:r>
              <w:rPr>
                <w:rFonts w:hint="eastAsia" w:ascii="宋体" w:hAnsi="宋体"/>
                <w:sz w:val="24"/>
              </w:rPr>
              <w:t>招标人地址：</w:t>
            </w:r>
          </w:p>
          <w:p>
            <w:pPr>
              <w:spacing w:line="360" w:lineRule="exact"/>
              <w:ind w:left="113" w:right="113"/>
              <w:rPr>
                <w:rFonts w:ascii="宋体" w:hAnsi="宋体"/>
                <w:sz w:val="24"/>
              </w:rPr>
            </w:pPr>
            <w:r>
              <w:rPr>
                <w:rFonts w:hint="eastAsia" w:ascii="宋体" w:hAnsi="宋体"/>
                <w:sz w:val="24"/>
              </w:rPr>
              <w:t>招标人名称：</w:t>
            </w:r>
          </w:p>
          <w:p>
            <w:pPr>
              <w:spacing w:line="360" w:lineRule="exact"/>
              <w:ind w:left="113" w:right="113"/>
              <w:rPr>
                <w:rFonts w:ascii="宋体" w:hAnsi="宋体"/>
                <w:sz w:val="24"/>
              </w:rPr>
            </w:pPr>
            <w:r>
              <w:rPr>
                <w:rFonts w:hint="eastAsia" w:ascii="宋体" w:hAnsi="宋体"/>
                <w:sz w:val="24"/>
              </w:rPr>
              <w:t>（项目名称）标段施工招标第一个信封（商务及技术文件）投标文件</w:t>
            </w:r>
          </w:p>
          <w:p>
            <w:pPr>
              <w:spacing w:line="360" w:lineRule="exact"/>
              <w:ind w:left="113" w:right="113"/>
              <w:rPr>
                <w:rFonts w:ascii="宋体" w:hAnsi="宋体"/>
                <w:sz w:val="24"/>
              </w:rPr>
            </w:pPr>
            <w:r>
              <w:rPr>
                <w:rFonts w:hint="eastAsia" w:ascii="宋体" w:hAnsi="宋体"/>
                <w:sz w:val="24"/>
              </w:rPr>
              <w:t>在年月日时分前不得开启</w:t>
            </w:r>
          </w:p>
          <w:p>
            <w:pPr>
              <w:spacing w:line="360" w:lineRule="exact"/>
              <w:ind w:left="113" w:right="113"/>
              <w:rPr>
                <w:rFonts w:ascii="宋体" w:hAnsi="宋体"/>
                <w:sz w:val="24"/>
              </w:rPr>
            </w:pPr>
            <w:r>
              <w:rPr>
                <w:rFonts w:hint="eastAsia" w:ascii="宋体" w:hAnsi="宋体"/>
                <w:sz w:val="24"/>
              </w:rPr>
              <w:t>投标文件第二个信封（投标报价和工程量清单）内层封套：</w:t>
            </w:r>
          </w:p>
          <w:p>
            <w:pPr>
              <w:spacing w:line="360" w:lineRule="exact"/>
              <w:ind w:left="113" w:right="113"/>
              <w:rPr>
                <w:rFonts w:ascii="宋体" w:hAnsi="宋体"/>
                <w:sz w:val="24"/>
              </w:rPr>
            </w:pPr>
            <w:r>
              <w:rPr>
                <w:rFonts w:hint="eastAsia" w:ascii="宋体" w:hAnsi="宋体"/>
                <w:sz w:val="24"/>
              </w:rPr>
              <w:t>投标人邮政编码：</w:t>
            </w:r>
          </w:p>
          <w:p>
            <w:pPr>
              <w:spacing w:line="360" w:lineRule="exact"/>
              <w:ind w:left="113" w:right="113"/>
              <w:rPr>
                <w:rFonts w:ascii="宋体" w:hAnsi="宋体"/>
                <w:sz w:val="24"/>
              </w:rPr>
            </w:pPr>
            <w:r>
              <w:rPr>
                <w:rFonts w:hint="eastAsia" w:ascii="宋体" w:hAnsi="宋体"/>
                <w:sz w:val="24"/>
              </w:rPr>
              <w:t>投标人地址：</w:t>
            </w:r>
          </w:p>
          <w:p>
            <w:pPr>
              <w:spacing w:line="360" w:lineRule="exact"/>
              <w:ind w:left="113" w:right="113"/>
              <w:rPr>
                <w:rFonts w:ascii="宋体" w:hAnsi="宋体"/>
                <w:sz w:val="24"/>
              </w:rPr>
            </w:pPr>
            <w:r>
              <w:rPr>
                <w:rFonts w:hint="eastAsia" w:ascii="宋体" w:hAnsi="宋体"/>
                <w:sz w:val="24"/>
              </w:rPr>
              <w:t>投标人名称：</w:t>
            </w:r>
          </w:p>
          <w:p>
            <w:pPr>
              <w:spacing w:line="360" w:lineRule="exact"/>
              <w:ind w:left="113" w:right="113"/>
              <w:rPr>
                <w:rFonts w:ascii="宋体" w:hAnsi="宋体"/>
                <w:sz w:val="24"/>
              </w:rPr>
            </w:pPr>
            <w:r>
              <w:rPr>
                <w:rFonts w:hint="eastAsia" w:ascii="宋体" w:hAnsi="宋体"/>
                <w:sz w:val="24"/>
              </w:rPr>
              <w:t>投标人联系人：</w:t>
            </w:r>
          </w:p>
          <w:p>
            <w:pPr>
              <w:spacing w:line="360" w:lineRule="exact"/>
              <w:ind w:left="113" w:right="113"/>
              <w:rPr>
                <w:rFonts w:ascii="宋体" w:hAnsi="宋体"/>
                <w:sz w:val="24"/>
              </w:rPr>
            </w:pPr>
            <w:r>
              <w:rPr>
                <w:rFonts w:hint="eastAsia" w:ascii="宋体" w:hAnsi="宋体"/>
                <w:sz w:val="24"/>
              </w:rPr>
              <w:t>投标人联系电话：</w:t>
            </w:r>
          </w:p>
          <w:p>
            <w:pPr>
              <w:spacing w:line="360" w:lineRule="exact"/>
              <w:ind w:left="113" w:right="113"/>
              <w:rPr>
                <w:rFonts w:ascii="宋体" w:hAnsi="宋体"/>
                <w:sz w:val="24"/>
              </w:rPr>
            </w:pPr>
            <w:r>
              <w:rPr>
                <w:rFonts w:hint="eastAsia" w:ascii="宋体" w:hAnsi="宋体"/>
                <w:sz w:val="24"/>
              </w:rPr>
              <w:t>招标人地址及名称：（寄）</w:t>
            </w:r>
          </w:p>
          <w:p>
            <w:pPr>
              <w:spacing w:line="360" w:lineRule="exact"/>
              <w:ind w:left="113" w:right="113"/>
              <w:rPr>
                <w:rFonts w:ascii="宋体" w:hAnsi="宋体"/>
                <w:sz w:val="24"/>
              </w:rPr>
            </w:pPr>
            <w:r>
              <w:rPr>
                <w:rFonts w:hint="eastAsia" w:ascii="宋体" w:hAnsi="宋体"/>
                <w:sz w:val="24"/>
              </w:rPr>
              <w:t>投标文件第二个信封（投标报价和工程量清单）外层封套：</w:t>
            </w:r>
          </w:p>
          <w:p>
            <w:pPr>
              <w:spacing w:line="360" w:lineRule="exact"/>
              <w:ind w:left="113" w:right="113"/>
              <w:rPr>
                <w:rFonts w:ascii="宋体" w:hAnsi="宋体"/>
                <w:sz w:val="24"/>
              </w:rPr>
            </w:pPr>
            <w:r>
              <w:rPr>
                <w:rFonts w:hint="eastAsia" w:ascii="宋体" w:hAnsi="宋体"/>
                <w:sz w:val="24"/>
              </w:rPr>
              <w:t>招标人地址：</w:t>
            </w:r>
          </w:p>
          <w:p>
            <w:pPr>
              <w:spacing w:line="360" w:lineRule="exact"/>
              <w:ind w:left="113" w:right="113"/>
              <w:rPr>
                <w:rFonts w:ascii="宋体" w:hAnsi="宋体"/>
                <w:sz w:val="24"/>
              </w:rPr>
            </w:pPr>
            <w:r>
              <w:rPr>
                <w:rFonts w:hint="eastAsia" w:ascii="宋体" w:hAnsi="宋体"/>
                <w:sz w:val="24"/>
              </w:rPr>
              <w:t>招标人名称：</w:t>
            </w:r>
          </w:p>
          <w:p>
            <w:pPr>
              <w:spacing w:line="360" w:lineRule="exact"/>
              <w:ind w:left="113" w:right="113"/>
              <w:rPr>
                <w:rFonts w:ascii="宋体" w:hAnsi="宋体"/>
                <w:sz w:val="24"/>
              </w:rPr>
            </w:pPr>
            <w:r>
              <w:rPr>
                <w:rFonts w:hint="eastAsia" w:ascii="宋体" w:hAnsi="宋体"/>
                <w:sz w:val="24"/>
              </w:rPr>
              <w:t>（项目名称）标段施工招标第二个信封（投标报价和工程量清单）投标文件</w:t>
            </w:r>
          </w:p>
          <w:p>
            <w:pPr>
              <w:spacing w:line="360" w:lineRule="exact"/>
              <w:ind w:left="113" w:right="113"/>
              <w:rPr>
                <w:rFonts w:ascii="宋体" w:hAnsi="宋体"/>
                <w:sz w:val="24"/>
              </w:rPr>
            </w:pPr>
            <w:r>
              <w:rPr>
                <w:rFonts w:hint="eastAsia" w:ascii="宋体" w:hAnsi="宋体"/>
                <w:sz w:val="24"/>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4.2.2</w:t>
            </w:r>
          </w:p>
        </w:tc>
        <w:tc>
          <w:tcPr>
            <w:tcW w:w="2084" w:type="dxa"/>
            <w:gridSpan w:val="2"/>
            <w:vAlign w:val="center"/>
          </w:tcPr>
          <w:p>
            <w:pPr>
              <w:spacing w:line="360" w:lineRule="exact"/>
              <w:jc w:val="center"/>
              <w:rPr>
                <w:rFonts w:ascii="宋体" w:hAnsi="宋体"/>
                <w:sz w:val="24"/>
              </w:rPr>
            </w:pPr>
            <w:r>
              <w:rPr>
                <w:rFonts w:hint="eastAsia" w:ascii="宋体" w:hAnsi="宋体"/>
                <w:sz w:val="24"/>
              </w:rPr>
              <w:t>递交投标文件</w:t>
            </w:r>
          </w:p>
          <w:p>
            <w:pPr>
              <w:spacing w:line="360" w:lineRule="exact"/>
              <w:jc w:val="center"/>
              <w:rPr>
                <w:rFonts w:ascii="宋体" w:hAnsi="宋体"/>
                <w:sz w:val="24"/>
              </w:rPr>
            </w:pPr>
            <w:r>
              <w:rPr>
                <w:rFonts w:hint="eastAsia" w:ascii="宋体" w:hAnsi="宋体"/>
                <w:sz w:val="24"/>
              </w:rPr>
              <w:t>地点</w:t>
            </w:r>
          </w:p>
        </w:tc>
        <w:tc>
          <w:tcPr>
            <w:tcW w:w="5805" w:type="dxa"/>
            <w:gridSpan w:val="2"/>
            <w:vAlign w:val="center"/>
          </w:tcPr>
          <w:p>
            <w:pPr>
              <w:spacing w:line="360" w:lineRule="exact"/>
              <w:rPr>
                <w:rFonts w:ascii="宋体" w:hAnsi="宋体"/>
                <w:b/>
                <w:sz w:val="24"/>
              </w:rPr>
            </w:pPr>
            <w:r>
              <w:rPr>
                <w:rFonts w:hint="eastAsia" w:ascii="宋体" w:hAnsi="宋体"/>
                <w:sz w:val="24"/>
              </w:rPr>
              <w:t>许昌市建安区兴业大厦4楼4167室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4.2.3</w:t>
            </w:r>
          </w:p>
        </w:tc>
        <w:tc>
          <w:tcPr>
            <w:tcW w:w="2084" w:type="dxa"/>
            <w:gridSpan w:val="2"/>
            <w:vAlign w:val="center"/>
          </w:tcPr>
          <w:p>
            <w:pPr>
              <w:spacing w:line="360" w:lineRule="exact"/>
              <w:jc w:val="center"/>
              <w:rPr>
                <w:rFonts w:ascii="宋体" w:hAnsi="宋体"/>
                <w:sz w:val="24"/>
              </w:rPr>
            </w:pPr>
            <w:r>
              <w:rPr>
                <w:rFonts w:hint="eastAsia" w:ascii="宋体" w:hAnsi="宋体"/>
                <w:sz w:val="24"/>
              </w:rPr>
              <w:t>是否退还投标文件</w:t>
            </w:r>
          </w:p>
        </w:tc>
        <w:tc>
          <w:tcPr>
            <w:tcW w:w="5805" w:type="dxa"/>
            <w:gridSpan w:val="2"/>
            <w:vAlign w:val="center"/>
          </w:tcPr>
          <w:p>
            <w:pPr>
              <w:spacing w:line="360" w:lineRule="exact"/>
              <w:rPr>
                <w:rFonts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202" w:type="dxa"/>
            <w:vAlign w:val="center"/>
          </w:tcPr>
          <w:p>
            <w:pPr>
              <w:spacing w:line="360" w:lineRule="exact"/>
              <w:rPr>
                <w:rFonts w:hint="eastAsia" w:ascii="宋体" w:hAnsi="宋体"/>
                <w:sz w:val="24"/>
              </w:rPr>
            </w:pPr>
            <w:r>
              <w:rPr>
                <w:rFonts w:hint="eastAsia" w:ascii="宋体" w:hAnsi="宋体"/>
                <w:sz w:val="24"/>
              </w:rPr>
              <w:t>5.1</w:t>
            </w:r>
          </w:p>
        </w:tc>
        <w:tc>
          <w:tcPr>
            <w:tcW w:w="2084" w:type="dxa"/>
            <w:gridSpan w:val="2"/>
            <w:vAlign w:val="center"/>
          </w:tcPr>
          <w:p>
            <w:pPr>
              <w:spacing w:line="360" w:lineRule="exact"/>
              <w:rPr>
                <w:rFonts w:hint="eastAsia" w:ascii="宋体" w:hAnsi="宋体"/>
                <w:sz w:val="24"/>
              </w:rPr>
            </w:pPr>
            <w:r>
              <w:rPr>
                <w:rFonts w:hint="eastAsia" w:ascii="宋体" w:hAnsi="宋体"/>
                <w:sz w:val="24"/>
              </w:rPr>
              <w:t>开标时间和地点</w:t>
            </w:r>
          </w:p>
        </w:tc>
        <w:tc>
          <w:tcPr>
            <w:tcW w:w="5805" w:type="dxa"/>
            <w:gridSpan w:val="2"/>
            <w:vAlign w:val="center"/>
          </w:tcPr>
          <w:p>
            <w:pPr>
              <w:spacing w:line="360" w:lineRule="exact"/>
              <w:rPr>
                <w:rFonts w:hint="eastAsia" w:ascii="宋体" w:hAnsi="宋体"/>
                <w:sz w:val="24"/>
              </w:rPr>
            </w:pPr>
            <w:r>
              <w:rPr>
                <w:rFonts w:hint="eastAsia" w:ascii="宋体" w:hAnsi="宋体"/>
                <w:sz w:val="24"/>
              </w:rPr>
              <w:t>开标时间：201</w:t>
            </w:r>
            <w:r>
              <w:rPr>
                <w:rFonts w:hint="eastAsia" w:ascii="宋体" w:hAnsi="宋体"/>
                <w:sz w:val="24"/>
                <w:lang w:val="en-US" w:eastAsia="zh-CN"/>
              </w:rPr>
              <w:t>8</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27</w:t>
            </w:r>
            <w:r>
              <w:rPr>
                <w:rFonts w:hint="eastAsia" w:ascii="宋体" w:hAnsi="宋体"/>
                <w:sz w:val="24"/>
              </w:rPr>
              <w:t>日9时30分</w:t>
            </w:r>
          </w:p>
          <w:p>
            <w:pPr>
              <w:spacing w:line="360" w:lineRule="exact"/>
              <w:rPr>
                <w:rFonts w:hint="eastAsia" w:ascii="宋体" w:hAnsi="宋体"/>
                <w:sz w:val="24"/>
              </w:rPr>
            </w:pPr>
            <w:r>
              <w:rPr>
                <w:rFonts w:hint="eastAsia" w:ascii="宋体" w:hAnsi="宋体"/>
                <w:sz w:val="24"/>
              </w:rPr>
              <w:t>开标地点：许昌市建安区兴业大厦4楼4167室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5.2.1</w:t>
            </w:r>
          </w:p>
        </w:tc>
        <w:tc>
          <w:tcPr>
            <w:tcW w:w="2084" w:type="dxa"/>
            <w:gridSpan w:val="2"/>
            <w:vAlign w:val="center"/>
          </w:tcPr>
          <w:p>
            <w:pPr>
              <w:spacing w:line="360" w:lineRule="exact"/>
              <w:jc w:val="center"/>
              <w:rPr>
                <w:rFonts w:ascii="宋体" w:hAnsi="宋体"/>
                <w:sz w:val="24"/>
              </w:rPr>
            </w:pPr>
            <w:r>
              <w:rPr>
                <w:rFonts w:hint="eastAsia" w:ascii="宋体" w:hAnsi="宋体"/>
                <w:sz w:val="24"/>
              </w:rPr>
              <w:t>开标程序</w:t>
            </w:r>
          </w:p>
        </w:tc>
        <w:tc>
          <w:tcPr>
            <w:tcW w:w="5805" w:type="dxa"/>
            <w:gridSpan w:val="2"/>
            <w:vAlign w:val="center"/>
          </w:tcPr>
          <w:p>
            <w:pPr>
              <w:spacing w:line="360" w:lineRule="exact"/>
              <w:ind w:left="113" w:right="113"/>
              <w:rPr>
                <w:rFonts w:ascii="宋体" w:hAnsi="宋体"/>
                <w:sz w:val="24"/>
              </w:rPr>
            </w:pPr>
            <w:r>
              <w:rPr>
                <w:rFonts w:hint="eastAsia" w:ascii="宋体" w:hAnsi="宋体"/>
                <w:sz w:val="24"/>
              </w:rPr>
              <w:t>密封情况检查：由投标人代表检查其投标文件是否密封完好。</w:t>
            </w:r>
          </w:p>
          <w:p>
            <w:pPr>
              <w:spacing w:line="360" w:lineRule="exact"/>
              <w:ind w:left="113" w:right="113"/>
              <w:rPr>
                <w:rFonts w:ascii="宋体" w:hAnsi="宋体"/>
                <w:b/>
                <w:sz w:val="24"/>
              </w:rPr>
            </w:pPr>
            <w:r>
              <w:rPr>
                <w:rFonts w:hint="eastAsia" w:ascii="宋体" w:hAnsi="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6.1.1</w:t>
            </w:r>
          </w:p>
        </w:tc>
        <w:tc>
          <w:tcPr>
            <w:tcW w:w="2084" w:type="dxa"/>
            <w:gridSpan w:val="2"/>
            <w:vAlign w:val="center"/>
          </w:tcPr>
          <w:p>
            <w:pPr>
              <w:spacing w:line="360" w:lineRule="exact"/>
              <w:rPr>
                <w:rFonts w:hAnsi="宋体" w:cs="仿宋_GB2312"/>
                <w:b/>
                <w:sz w:val="24"/>
              </w:rPr>
            </w:pPr>
            <w:r>
              <w:rPr>
                <w:rFonts w:hint="eastAsia" w:hAnsi="宋体" w:cs="仿宋_GB2312"/>
                <w:b/>
                <w:sz w:val="24"/>
              </w:rPr>
              <w:t>评标委员会的组建</w:t>
            </w:r>
          </w:p>
        </w:tc>
        <w:tc>
          <w:tcPr>
            <w:tcW w:w="5805" w:type="dxa"/>
            <w:gridSpan w:val="2"/>
            <w:vAlign w:val="center"/>
          </w:tcPr>
          <w:p>
            <w:pPr>
              <w:spacing w:line="360" w:lineRule="exact"/>
              <w:rPr>
                <w:rFonts w:hAnsi="宋体" w:cs="仿宋_GB2312"/>
                <w:b/>
                <w:sz w:val="24"/>
              </w:rPr>
            </w:pPr>
            <w:r>
              <w:rPr>
                <w:rFonts w:hint="eastAsia" w:hAnsi="宋体" w:cs="仿宋_GB2312"/>
                <w:b/>
                <w:sz w:val="24"/>
              </w:rPr>
              <w:t>评标委员会构成： 5人，其中招标人代表1人，专家 4 人；</w:t>
            </w:r>
          </w:p>
          <w:p>
            <w:pPr>
              <w:spacing w:line="360" w:lineRule="exact"/>
              <w:rPr>
                <w:rFonts w:hAnsi="宋体" w:cs="仿宋_GB2312"/>
                <w:b/>
                <w:sz w:val="24"/>
              </w:rPr>
            </w:pPr>
            <w:r>
              <w:rPr>
                <w:rFonts w:hint="eastAsia" w:hAnsi="宋体" w:cs="仿宋_GB2312"/>
                <w:b/>
                <w:sz w:val="24"/>
              </w:rPr>
              <w:t>评标专家确定方式：从 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6.3</w:t>
            </w:r>
          </w:p>
        </w:tc>
        <w:tc>
          <w:tcPr>
            <w:tcW w:w="2084" w:type="dxa"/>
            <w:gridSpan w:val="2"/>
            <w:vAlign w:val="center"/>
          </w:tcPr>
          <w:p>
            <w:pPr>
              <w:spacing w:line="360" w:lineRule="exact"/>
              <w:jc w:val="center"/>
              <w:rPr>
                <w:rFonts w:ascii="宋体" w:hAnsi="宋体"/>
                <w:sz w:val="24"/>
              </w:rPr>
            </w:pPr>
            <w:r>
              <w:rPr>
                <w:rFonts w:hint="eastAsia" w:ascii="宋体" w:hAnsi="宋体"/>
                <w:sz w:val="24"/>
              </w:rPr>
              <w:t>评标办法</w:t>
            </w:r>
          </w:p>
        </w:tc>
        <w:tc>
          <w:tcPr>
            <w:tcW w:w="5805" w:type="dxa"/>
            <w:gridSpan w:val="2"/>
            <w:vAlign w:val="center"/>
          </w:tcPr>
          <w:p>
            <w:pPr>
              <w:spacing w:line="360" w:lineRule="exact"/>
              <w:rPr>
                <w:rFonts w:ascii="宋体" w:hAnsi="宋体"/>
                <w:sz w:val="24"/>
              </w:rPr>
            </w:pPr>
            <w:r>
              <w:rPr>
                <w:rFonts w:hint="eastAsia" w:ascii="宋体" w:hAnsi="宋体"/>
                <w:b/>
                <w:sz w:val="24"/>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6.4</w:t>
            </w:r>
          </w:p>
        </w:tc>
        <w:tc>
          <w:tcPr>
            <w:tcW w:w="2084" w:type="dxa"/>
            <w:gridSpan w:val="2"/>
            <w:vAlign w:val="center"/>
          </w:tcPr>
          <w:p>
            <w:pPr>
              <w:spacing w:line="360" w:lineRule="exact"/>
              <w:jc w:val="center"/>
              <w:rPr>
                <w:rFonts w:ascii="宋体" w:hAnsi="宋体"/>
                <w:sz w:val="24"/>
              </w:rPr>
            </w:pPr>
            <w:r>
              <w:rPr>
                <w:rFonts w:hint="eastAsia" w:ascii="宋体" w:hAnsi="宋体"/>
                <w:sz w:val="24"/>
              </w:rPr>
              <w:t>招标控制价</w:t>
            </w:r>
          </w:p>
        </w:tc>
        <w:tc>
          <w:tcPr>
            <w:tcW w:w="5805" w:type="dxa"/>
            <w:gridSpan w:val="2"/>
            <w:vAlign w:val="center"/>
          </w:tcPr>
          <w:p>
            <w:pPr>
              <w:spacing w:line="360" w:lineRule="exact"/>
              <w:rPr>
                <w:rFonts w:hAnsi="宋体" w:cs="仿宋_GB2312"/>
                <w:b/>
                <w:sz w:val="24"/>
              </w:rPr>
            </w:pPr>
            <w:r>
              <w:rPr>
                <w:rFonts w:hint="eastAsia" w:ascii="宋体" w:hAnsi="宋体"/>
                <w:b/>
                <w:bCs/>
                <w:sz w:val="24"/>
              </w:rPr>
              <w:t>招标控制价：</w:t>
            </w:r>
            <w:r>
              <w:rPr>
                <w:rFonts w:hint="eastAsia" w:hAnsi="宋体" w:cs="仿宋_GB2312"/>
                <w:b/>
                <w:sz w:val="24"/>
                <w:lang w:val="en-US" w:eastAsia="zh-CN"/>
              </w:rPr>
              <w:t>陆佰壹拾柒万壹仟壹佰捌拾伍元捌角壹分</w:t>
            </w:r>
            <w:r>
              <w:rPr>
                <w:rFonts w:hint="eastAsia" w:hAnsi="宋体" w:cs="仿宋_GB2312"/>
                <w:b/>
                <w:sz w:val="24"/>
              </w:rPr>
              <w:t>（小写：</w:t>
            </w:r>
            <w:r>
              <w:rPr>
                <w:rFonts w:hint="eastAsia" w:hAnsi="宋体" w:cs="仿宋_GB2312"/>
                <w:b/>
                <w:sz w:val="24"/>
                <w:lang w:val="en-US" w:eastAsia="zh-CN"/>
              </w:rPr>
              <w:t>6171185.81</w:t>
            </w:r>
            <w:r>
              <w:rPr>
                <w:rFonts w:hint="eastAsia" w:hAnsi="宋体" w:cs="仿宋_GB2312"/>
                <w:b/>
                <w:sz w:val="24"/>
              </w:rPr>
              <w:t>元）</w:t>
            </w:r>
          </w:p>
          <w:p>
            <w:pPr>
              <w:spacing w:line="360" w:lineRule="exact"/>
              <w:rPr>
                <w:rFonts w:hAnsi="宋体" w:cs="仿宋_GB2312"/>
                <w:b/>
              </w:rPr>
            </w:pPr>
            <w:r>
              <w:rPr>
                <w:rFonts w:hint="eastAsia" w:hAnsi="宋体" w:cs="仿宋_GB2312"/>
                <w:b/>
                <w:sz w:val="24"/>
              </w:rPr>
              <w:t>凡投标人的投标报价超出“</w:t>
            </w:r>
            <w:r>
              <w:rPr>
                <w:rFonts w:hAnsi="宋体" w:cs="仿宋_GB2312"/>
                <w:b/>
                <w:sz w:val="24"/>
              </w:rPr>
              <w:t>招标控制价</w:t>
            </w:r>
            <w:r>
              <w:rPr>
                <w:rFonts w:hint="eastAsia" w:hAnsi="宋体" w:cs="仿宋_GB2312"/>
                <w:b/>
                <w:sz w:val="24"/>
              </w:rPr>
              <w:t>”（不含等于“</w:t>
            </w:r>
            <w:r>
              <w:rPr>
                <w:rFonts w:hAnsi="宋体" w:cs="仿宋_GB2312"/>
                <w:b/>
                <w:sz w:val="24"/>
              </w:rPr>
              <w:t>招标控制价</w:t>
            </w:r>
            <w:r>
              <w:rPr>
                <w:rFonts w:hint="eastAsia" w:hAnsi="宋体" w:cs="仿宋_GB2312"/>
                <w:b/>
                <w:sz w:val="24"/>
              </w:rPr>
              <w:t>”）的，该投标人的投标文件应作废标处理。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1" w:hRule="exact"/>
          <w:jc w:val="center"/>
        </w:trPr>
        <w:tc>
          <w:tcPr>
            <w:tcW w:w="1202" w:type="dxa"/>
            <w:vAlign w:val="center"/>
          </w:tcPr>
          <w:p>
            <w:pPr>
              <w:spacing w:line="360" w:lineRule="exact"/>
              <w:jc w:val="center"/>
              <w:rPr>
                <w:rFonts w:ascii="宋体" w:hAnsi="宋体"/>
                <w:sz w:val="24"/>
              </w:rPr>
            </w:pPr>
            <w:r>
              <w:rPr>
                <w:rFonts w:hint="eastAsia" w:ascii="宋体" w:hAnsi="宋体"/>
                <w:sz w:val="24"/>
              </w:rPr>
              <w:t>6.5</w:t>
            </w:r>
          </w:p>
        </w:tc>
        <w:tc>
          <w:tcPr>
            <w:tcW w:w="2084" w:type="dxa"/>
            <w:gridSpan w:val="2"/>
            <w:vAlign w:val="center"/>
          </w:tcPr>
          <w:p>
            <w:pPr>
              <w:spacing w:line="360" w:lineRule="exact"/>
              <w:ind w:left="237"/>
              <w:jc w:val="center"/>
              <w:rPr>
                <w:rFonts w:ascii="宋体" w:hAnsi="宋体" w:cs="仿宋_GB2312"/>
                <w:kern w:val="0"/>
                <w:sz w:val="24"/>
              </w:rPr>
            </w:pPr>
            <w:r>
              <w:rPr>
                <w:rFonts w:hint="eastAsia" w:ascii="宋体" w:hAnsi="宋体" w:cs="仿宋_GB2312"/>
                <w:kern w:val="0"/>
                <w:sz w:val="24"/>
              </w:rPr>
              <w:t xml:space="preserve">投标文件的拒收 </w:t>
            </w:r>
          </w:p>
          <w:p>
            <w:pPr>
              <w:spacing w:line="360" w:lineRule="exact"/>
              <w:jc w:val="center"/>
              <w:rPr>
                <w:rFonts w:ascii="宋体" w:hAnsi="宋体"/>
                <w:sz w:val="24"/>
              </w:rPr>
            </w:pPr>
          </w:p>
        </w:tc>
        <w:tc>
          <w:tcPr>
            <w:tcW w:w="5805" w:type="dxa"/>
            <w:gridSpan w:val="2"/>
            <w:vAlign w:val="center"/>
          </w:tcPr>
          <w:p>
            <w:pPr>
              <w:spacing w:line="360" w:lineRule="exact"/>
              <w:rPr>
                <w:rFonts w:ascii="宋体" w:hAnsi="宋体"/>
                <w:spacing w:val="2"/>
                <w:sz w:val="24"/>
              </w:rPr>
            </w:pPr>
            <w:r>
              <w:rPr>
                <w:rFonts w:hint="eastAsia" w:ascii="宋体" w:hAnsi="宋体"/>
                <w:spacing w:val="2"/>
                <w:sz w:val="24"/>
              </w:rPr>
              <w:t xml:space="preserve">  1、</w:t>
            </w:r>
            <w:r>
              <w:rPr>
                <w:rFonts w:hint="eastAsia" w:hAnsi="宋体"/>
                <w:spacing w:val="2"/>
                <w:sz w:val="24"/>
              </w:rPr>
              <w:t>未按招标文件规定提交投标保证金的，</w:t>
            </w:r>
            <w:r>
              <w:rPr>
                <w:rFonts w:hint="eastAsia" w:ascii="宋体" w:hAnsi="宋体"/>
                <w:spacing w:val="2"/>
                <w:sz w:val="24"/>
              </w:rPr>
              <w:t>投标文件将被拒收。</w:t>
            </w:r>
          </w:p>
          <w:p>
            <w:pPr>
              <w:spacing w:line="360" w:lineRule="exact"/>
              <w:rPr>
                <w:rFonts w:ascii="宋体" w:hAnsi="宋体"/>
                <w:color w:val="C00000"/>
                <w:spacing w:val="2"/>
                <w:sz w:val="24"/>
              </w:rPr>
            </w:pPr>
            <w:r>
              <w:rPr>
                <w:rFonts w:hint="eastAsia" w:ascii="宋体" w:hAnsi="宋体"/>
                <w:spacing w:val="2"/>
                <w:sz w:val="24"/>
              </w:rPr>
              <w:t>2、法定代表人</w:t>
            </w:r>
            <w:r>
              <w:rPr>
                <w:rFonts w:hint="eastAsia" w:hAnsi="宋体"/>
                <w:sz w:val="24"/>
              </w:rPr>
              <w:t>或</w:t>
            </w:r>
            <w:r>
              <w:rPr>
                <w:rFonts w:hint="eastAsia" w:ascii="宋体" w:hAnsi="宋体"/>
                <w:sz w:val="24"/>
              </w:rPr>
              <w:t>其委托代理人</w:t>
            </w:r>
            <w:r>
              <w:rPr>
                <w:rFonts w:hint="eastAsia" w:hAnsi="宋体" w:cs="仿宋_GB2312"/>
                <w:sz w:val="24"/>
              </w:rPr>
              <w:t>（持有效的授权委托书）在规定时间内未携带本人身份证到开标现场并签到的</w:t>
            </w:r>
            <w:r>
              <w:rPr>
                <w:rFonts w:hint="eastAsia" w:ascii="宋体" w:hAnsi="宋体"/>
                <w:spacing w:val="2"/>
                <w:sz w:val="24"/>
              </w:rPr>
              <w:t xml:space="preserve">，投标文件将被拒收。  </w:t>
            </w:r>
          </w:p>
          <w:p>
            <w:pPr>
              <w:spacing w:line="360" w:lineRule="exact"/>
              <w:rPr>
                <w:rFonts w:ascii="宋体" w:hAnsi="宋体"/>
                <w:spacing w:val="2"/>
                <w:sz w:val="24"/>
              </w:rPr>
            </w:pPr>
            <w:r>
              <w:rPr>
                <w:rFonts w:hint="eastAsia" w:ascii="宋体" w:hAnsi="宋体"/>
                <w:spacing w:val="2"/>
                <w:sz w:val="24"/>
              </w:rPr>
              <w:t>3、投标文件逾期送达或未按招标文件要求密封的，投标文件将被拒收。</w:t>
            </w:r>
          </w:p>
          <w:p>
            <w:pPr>
              <w:spacing w:line="360" w:lineRule="exact"/>
              <w:rPr>
                <w:rFonts w:ascii="宋体" w:hAnsi="宋体"/>
                <w:spacing w:val="2"/>
                <w:sz w:val="24"/>
              </w:rPr>
            </w:pPr>
            <w:r>
              <w:rPr>
                <w:rFonts w:hint="eastAsia" w:ascii="宋体" w:hAnsi="宋体"/>
                <w:spacing w:val="2"/>
                <w:sz w:val="24"/>
              </w:rPr>
              <w:t xml:space="preserve">  4、未按规定支付招标文件费用的。</w:t>
            </w:r>
          </w:p>
          <w:p>
            <w:pPr>
              <w:spacing w:line="360" w:lineRule="exact"/>
              <w:rPr>
                <w:rFonts w:hAnsi="宋体" w:cs="仿宋_GB2312"/>
                <w:b/>
                <w:sz w:val="24"/>
              </w:rPr>
            </w:pPr>
            <w:r>
              <w:rPr>
                <w:rFonts w:hint="eastAsia" w:ascii="宋体" w:hAnsi="宋体"/>
                <w:spacing w:val="2"/>
                <w:sz w:val="24"/>
              </w:rPr>
              <w:t xml:space="preserve">  5、未通过</w:t>
            </w:r>
            <w:r>
              <w:rPr>
                <w:rFonts w:hint="eastAsia" w:ascii="宋体" w:hAnsi="宋体"/>
                <w:sz w:val="24"/>
              </w:rPr>
              <w:t>全国公共资源交易平台（河南省·许昌市）</w:t>
            </w:r>
            <w:r>
              <w:rPr>
                <w:rFonts w:hint="eastAsia" w:ascii="宋体" w:hAnsi="宋体"/>
                <w:spacing w:val="2"/>
                <w:sz w:val="24"/>
              </w:rPr>
              <w:t xml:space="preserve">下载招标文件的。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202" w:type="dxa"/>
            <w:vAlign w:val="center"/>
          </w:tcPr>
          <w:p>
            <w:pPr>
              <w:spacing w:line="360" w:lineRule="exact"/>
              <w:jc w:val="center"/>
              <w:rPr>
                <w:rFonts w:ascii="宋体" w:hAnsi="宋体"/>
                <w:sz w:val="24"/>
              </w:rPr>
            </w:pPr>
            <w:r>
              <w:rPr>
                <w:rFonts w:hint="eastAsia" w:ascii="宋体" w:hAnsi="宋体"/>
                <w:sz w:val="24"/>
              </w:rPr>
              <w:t>7.1</w:t>
            </w:r>
          </w:p>
        </w:tc>
        <w:tc>
          <w:tcPr>
            <w:tcW w:w="2084" w:type="dxa"/>
            <w:gridSpan w:val="2"/>
            <w:vAlign w:val="center"/>
          </w:tcPr>
          <w:p>
            <w:pPr>
              <w:spacing w:line="360" w:lineRule="exact"/>
              <w:ind w:left="-107" w:leftChars="-51" w:right="-107" w:rightChars="-51"/>
              <w:jc w:val="center"/>
              <w:rPr>
                <w:rFonts w:ascii="宋体" w:hAnsi="宋体"/>
                <w:sz w:val="24"/>
              </w:rPr>
            </w:pPr>
            <w:r>
              <w:rPr>
                <w:rFonts w:hint="eastAsia" w:ascii="宋体" w:hAnsi="宋体"/>
                <w:sz w:val="24"/>
              </w:rPr>
              <w:t>是否授权评标委员会确定中标人</w:t>
            </w:r>
          </w:p>
        </w:tc>
        <w:tc>
          <w:tcPr>
            <w:tcW w:w="5805" w:type="dxa"/>
            <w:gridSpan w:val="2"/>
            <w:vAlign w:val="center"/>
          </w:tcPr>
          <w:p>
            <w:pPr>
              <w:spacing w:line="360" w:lineRule="exact"/>
              <w:rPr>
                <w:rFonts w:ascii="宋体" w:hAnsi="宋体"/>
                <w:sz w:val="24"/>
              </w:rPr>
            </w:pPr>
            <w:r>
              <w:rPr>
                <w:rFonts w:hint="eastAsia" w:ascii="宋体" w:hAnsi="宋体"/>
                <w:sz w:val="24"/>
              </w:rPr>
              <w:t>否，推荐的中标候选人数为1-3名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9084" w:type="dxa"/>
            <w:gridSpan w:val="4"/>
            <w:tcBorders>
              <w:left w:val="single" w:color="auto" w:sz="4" w:space="0"/>
              <w:right w:val="single" w:color="auto" w:sz="4" w:space="0"/>
            </w:tcBorders>
            <w:vAlign w:val="center"/>
          </w:tcPr>
          <w:p>
            <w:pPr>
              <w:spacing w:line="360" w:lineRule="exact"/>
              <w:ind w:left="113" w:right="113"/>
              <w:rPr>
                <w:rFonts w:ascii="宋体" w:hAnsi="宋体"/>
                <w:sz w:val="24"/>
              </w:rPr>
            </w:pPr>
            <w:r>
              <w:rPr>
                <w:rFonts w:hint="eastAsia" w:ascii="宋体" w:hAnsi="宋体"/>
                <w:sz w:val="24"/>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tcBorders>
            <w:vAlign w:val="center"/>
          </w:tcPr>
          <w:p>
            <w:pPr>
              <w:spacing w:line="360" w:lineRule="exact"/>
              <w:jc w:val="center"/>
              <w:rPr>
                <w:rFonts w:ascii="宋体" w:hAnsi="宋体"/>
                <w:b/>
                <w:sz w:val="24"/>
              </w:rPr>
            </w:pPr>
            <w:r>
              <w:rPr>
                <w:rFonts w:hint="eastAsia" w:ascii="宋体" w:hAnsi="宋体"/>
                <w:b/>
                <w:sz w:val="24"/>
              </w:rPr>
              <w:t>1</w:t>
            </w:r>
          </w:p>
        </w:tc>
        <w:tc>
          <w:tcPr>
            <w:tcW w:w="7802" w:type="dxa"/>
            <w:gridSpan w:val="2"/>
            <w:tcBorders>
              <w:right w:val="single" w:color="auto" w:sz="4" w:space="0"/>
            </w:tcBorders>
            <w:vAlign w:val="center"/>
          </w:tcPr>
          <w:p>
            <w:pPr>
              <w:spacing w:line="360" w:lineRule="exact"/>
              <w:ind w:left="113" w:right="113"/>
              <w:rPr>
                <w:rFonts w:ascii="宋体" w:hAnsi="宋体"/>
                <w:b/>
                <w:sz w:val="24"/>
              </w:rPr>
            </w:pPr>
            <w:r>
              <w:rPr>
                <w:rFonts w:hint="eastAsia" w:ascii="宋体" w:hAnsi="宋体"/>
                <w:b/>
                <w:sz w:val="24"/>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bottom w:val="single" w:color="auto" w:sz="4" w:space="0"/>
            </w:tcBorders>
            <w:vAlign w:val="center"/>
          </w:tcPr>
          <w:p>
            <w:pPr>
              <w:spacing w:line="360" w:lineRule="exact"/>
              <w:jc w:val="center"/>
              <w:rPr>
                <w:rFonts w:ascii="宋体" w:hAnsi="宋体"/>
                <w:b/>
                <w:sz w:val="24"/>
              </w:rPr>
            </w:pPr>
            <w:r>
              <w:rPr>
                <w:rFonts w:hint="eastAsia" w:ascii="宋体" w:hAnsi="宋体"/>
                <w:b/>
                <w:sz w:val="24"/>
              </w:rPr>
              <w:t>2</w:t>
            </w:r>
          </w:p>
        </w:tc>
        <w:tc>
          <w:tcPr>
            <w:tcW w:w="7802" w:type="dxa"/>
            <w:gridSpan w:val="2"/>
            <w:tcBorders>
              <w:bottom w:val="single" w:color="auto" w:sz="4" w:space="0"/>
              <w:right w:val="single" w:color="auto" w:sz="4" w:space="0"/>
            </w:tcBorders>
            <w:vAlign w:val="center"/>
          </w:tcPr>
          <w:p>
            <w:pPr>
              <w:spacing w:line="360" w:lineRule="exact"/>
              <w:ind w:left="113" w:right="113"/>
              <w:rPr>
                <w:rFonts w:ascii="宋体" w:hAnsi="宋体"/>
                <w:sz w:val="24"/>
              </w:rPr>
            </w:pPr>
            <w:r>
              <w:rPr>
                <w:rFonts w:hint="eastAsia" w:ascii="宋体" w:hAnsi="宋体"/>
                <w:b/>
                <w:sz w:val="24"/>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spacing w:line="360" w:lineRule="exact"/>
              <w:ind w:left="113" w:right="113"/>
              <w:jc w:val="center"/>
              <w:rPr>
                <w:rFonts w:ascii="宋体" w:hAnsi="宋体"/>
                <w:sz w:val="24"/>
              </w:rPr>
            </w:pPr>
            <w:r>
              <w:rPr>
                <w:rFonts w:hint="eastAsia" w:ascii="宋体" w:hAnsi="宋体"/>
                <w:b/>
                <w:sz w:val="24"/>
              </w:rPr>
              <w:t>3</w:t>
            </w:r>
          </w:p>
        </w:tc>
        <w:tc>
          <w:tcPr>
            <w:tcW w:w="7802" w:type="dxa"/>
            <w:gridSpan w:val="2"/>
            <w:tcBorders>
              <w:right w:val="single" w:color="auto" w:sz="4" w:space="0"/>
            </w:tcBorders>
            <w:vAlign w:val="center"/>
          </w:tcPr>
          <w:p>
            <w:pPr>
              <w:widowControl/>
              <w:spacing w:line="500" w:lineRule="exact"/>
              <w:ind w:firstLine="482" w:firstLineChars="200"/>
              <w:rPr>
                <w:rFonts w:ascii="宋体" w:hAnsi="宋体"/>
                <w:sz w:val="24"/>
              </w:rPr>
            </w:pPr>
            <w:r>
              <w:rPr>
                <w:rFonts w:hint="eastAsia" w:ascii="宋体" w:hAnsi="宋体"/>
                <w:b/>
                <w:sz w:val="24"/>
              </w:rPr>
              <w:t>在中标通知书发出前，招标人将中标候选人的情况在《全国公共资源交易平台（河南省·许昌市）》</w:t>
            </w:r>
            <w:r>
              <w:rPr>
                <w:rFonts w:hint="eastAsia" w:ascii="宋体" w:hAnsi="宋体"/>
                <w:b/>
                <w:sz w:val="24"/>
                <w:lang w:val="en-US" w:eastAsia="zh-CN"/>
              </w:rPr>
              <w:t>和《河南省电子招标投标公共服务平台》</w:t>
            </w:r>
            <w:r>
              <w:rPr>
                <w:rFonts w:hint="eastAsia" w:ascii="宋体" w:hAnsi="宋体"/>
                <w:b/>
                <w:sz w:val="24"/>
              </w:rPr>
              <w:t>上予以公示，公示期不少于3日。根据《关于在招标投标活动中全面开展行贿犯罪档案查询的通知》（高检会〔2015〕3号）要求，中标企业领取中标通知书时需提供注册地或项目所在地检察机关出具的行贿犯罪档案查询结果告知函（告知函需在有效期内，查询对象包含单位、法定代表人、项目经理、授权委托人）；若中标候选人第一名存在行贿犯罪记录，按照招标委员会提供的评标报告，按序推荐中标候选人，若均存在行贿犯罪记录，则招标人重新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spacing w:line="360" w:lineRule="exact"/>
              <w:ind w:left="113" w:right="113"/>
              <w:jc w:val="center"/>
              <w:rPr>
                <w:rFonts w:ascii="宋体" w:hAnsi="宋体"/>
                <w:sz w:val="24"/>
              </w:rPr>
            </w:pPr>
            <w:r>
              <w:rPr>
                <w:rFonts w:hint="eastAsia" w:ascii="宋体" w:hAnsi="宋体"/>
                <w:b/>
                <w:sz w:val="24"/>
              </w:rPr>
              <w:t>4</w:t>
            </w:r>
          </w:p>
        </w:tc>
        <w:tc>
          <w:tcPr>
            <w:tcW w:w="7802" w:type="dxa"/>
            <w:gridSpan w:val="2"/>
            <w:tcBorders>
              <w:right w:val="single" w:color="auto" w:sz="4" w:space="0"/>
            </w:tcBorders>
            <w:vAlign w:val="center"/>
          </w:tcPr>
          <w:p>
            <w:pPr>
              <w:spacing w:line="360" w:lineRule="exact"/>
              <w:ind w:left="113" w:right="113"/>
              <w:rPr>
                <w:rFonts w:ascii="宋体" w:hAnsi="宋体"/>
                <w:sz w:val="24"/>
              </w:rPr>
            </w:pPr>
            <w:r>
              <w:rPr>
                <w:rFonts w:hint="eastAsia" w:ascii="宋体" w:hAnsi="宋体"/>
                <w:b/>
                <w:sz w:val="24"/>
              </w:rPr>
              <w:t>投标人在投标截止时间前应随时关注全国公共资源交易平台（河南省·许昌市）电子平台发出的有关本工程的答疑、修改等相关内容。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jc w:val="center"/>
        </w:trPr>
        <w:tc>
          <w:tcPr>
            <w:tcW w:w="1282" w:type="dxa"/>
            <w:gridSpan w:val="2"/>
            <w:tcBorders>
              <w:left w:val="single" w:color="auto" w:sz="4" w:space="0"/>
            </w:tcBorders>
            <w:vAlign w:val="center"/>
          </w:tcPr>
          <w:p>
            <w:pPr>
              <w:spacing w:line="360" w:lineRule="exact"/>
              <w:ind w:left="113" w:right="113"/>
              <w:jc w:val="center"/>
              <w:rPr>
                <w:rFonts w:ascii="宋体" w:hAnsi="宋体"/>
                <w:b/>
                <w:sz w:val="24"/>
              </w:rPr>
            </w:pPr>
            <w:r>
              <w:rPr>
                <w:rFonts w:hint="eastAsia" w:ascii="宋体" w:hAnsi="宋体"/>
                <w:b/>
                <w:sz w:val="24"/>
              </w:rPr>
              <w:t>5</w:t>
            </w:r>
          </w:p>
        </w:tc>
        <w:tc>
          <w:tcPr>
            <w:tcW w:w="7802" w:type="dxa"/>
            <w:gridSpan w:val="2"/>
            <w:tcBorders>
              <w:right w:val="single" w:color="auto" w:sz="4" w:space="0"/>
            </w:tcBorders>
            <w:vAlign w:val="center"/>
          </w:tcPr>
          <w:p>
            <w:pPr>
              <w:spacing w:line="360" w:lineRule="exact"/>
              <w:ind w:left="113" w:right="113"/>
              <w:rPr>
                <w:rFonts w:ascii="宋体" w:hAnsi="宋体"/>
                <w:b/>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404" w:hRule="atLeast"/>
          <w:jc w:val="center"/>
        </w:trPr>
        <w:tc>
          <w:tcPr>
            <w:tcW w:w="1282" w:type="dxa"/>
            <w:gridSpan w:val="2"/>
            <w:tcBorders>
              <w:left w:val="single" w:color="auto" w:sz="4" w:space="0"/>
            </w:tcBorders>
            <w:vAlign w:val="center"/>
          </w:tcPr>
          <w:p>
            <w:pPr>
              <w:spacing w:line="360" w:lineRule="exact"/>
              <w:ind w:left="113" w:right="113"/>
              <w:jc w:val="center"/>
              <w:rPr>
                <w:rFonts w:ascii="宋体" w:hAnsi="宋体"/>
                <w:b/>
                <w:sz w:val="24"/>
              </w:rPr>
            </w:pPr>
            <w:r>
              <w:rPr>
                <w:rFonts w:hint="eastAsia" w:ascii="宋体" w:hAnsi="宋体"/>
                <w:b/>
                <w:sz w:val="24"/>
              </w:rPr>
              <w:t>6</w:t>
            </w:r>
          </w:p>
        </w:tc>
        <w:tc>
          <w:tcPr>
            <w:tcW w:w="7802" w:type="dxa"/>
            <w:gridSpan w:val="2"/>
            <w:tcBorders>
              <w:right w:val="single" w:color="auto" w:sz="4" w:space="0"/>
            </w:tcBorders>
            <w:vAlign w:val="center"/>
          </w:tcPr>
          <w:p>
            <w:pPr>
              <w:spacing w:line="360" w:lineRule="exact"/>
              <w:ind w:left="113" w:right="113"/>
              <w:rPr>
                <w:rFonts w:ascii="宋体" w:hAnsi="宋体"/>
                <w:b/>
                <w:bCs/>
                <w:sz w:val="24"/>
              </w:rPr>
            </w:pPr>
            <w:r>
              <w:rPr>
                <w:rFonts w:hint="eastAsia" w:ascii="宋体" w:hAnsi="宋体"/>
                <w:b/>
                <w:bCs/>
                <w:sz w:val="24"/>
              </w:rPr>
              <w:t>类似工程是指公路工程。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spacing w:line="360" w:lineRule="exact"/>
              <w:ind w:left="113" w:right="113"/>
              <w:jc w:val="center"/>
              <w:rPr>
                <w:rFonts w:ascii="宋体" w:hAnsi="宋体"/>
                <w:b/>
                <w:sz w:val="24"/>
              </w:rPr>
            </w:pPr>
            <w:r>
              <w:rPr>
                <w:rFonts w:hint="eastAsia" w:ascii="宋体" w:hAnsi="宋体"/>
                <w:b/>
                <w:sz w:val="24"/>
              </w:rPr>
              <w:t>7</w:t>
            </w:r>
          </w:p>
        </w:tc>
        <w:tc>
          <w:tcPr>
            <w:tcW w:w="7802" w:type="dxa"/>
            <w:gridSpan w:val="2"/>
            <w:tcBorders>
              <w:right w:val="single" w:color="auto" w:sz="4" w:space="0"/>
            </w:tcBorders>
            <w:vAlign w:val="center"/>
          </w:tcPr>
          <w:p>
            <w:pPr>
              <w:spacing w:line="360" w:lineRule="exact"/>
              <w:ind w:left="113" w:right="113"/>
              <w:rPr>
                <w:rFonts w:ascii="宋体" w:hAnsi="宋体"/>
                <w:b/>
                <w:bCs/>
                <w:sz w:val="24"/>
              </w:rPr>
            </w:pPr>
            <w:r>
              <w:rPr>
                <w:rFonts w:hint="eastAsia" w:ascii="宋体" w:hAnsi="宋体"/>
                <w:b/>
                <w:bCs/>
                <w:sz w:val="24"/>
              </w:rPr>
              <w:t>潜在投标人如对招标文件有异议，请在规定时间内在</w:t>
            </w:r>
            <w:r>
              <w:rPr>
                <w:rFonts w:hint="eastAsia" w:ascii="宋体" w:hAnsi="宋体"/>
                <w:b/>
                <w:sz w:val="24"/>
              </w:rPr>
              <w:t>全国公共资源交易平台（河南省·许昌市）</w:t>
            </w:r>
            <w:r>
              <w:rPr>
                <w:rFonts w:hint="eastAsia" w:ascii="宋体" w:hAnsi="宋体"/>
                <w:b/>
                <w:bCs/>
                <w:sz w:val="24"/>
              </w:rPr>
              <w:t>平台上提出，以其他方式递交的异议不予接受。</w:t>
            </w:r>
          </w:p>
        </w:tc>
      </w:tr>
    </w:tbl>
    <w:p>
      <w:pPr>
        <w:pStyle w:val="4"/>
        <w:spacing w:before="240" w:after="240" w:line="240" w:lineRule="auto"/>
        <w:jc w:val="center"/>
        <w:rPr>
          <w:rFonts w:ascii="黑体" w:eastAsia="黑体"/>
          <w:sz w:val="30"/>
          <w:szCs w:val="30"/>
          <w:vertAlign w:val="superscript"/>
        </w:rPr>
      </w:pPr>
      <w:bookmarkStart w:id="5" w:name="_Toc234382588"/>
      <w:r>
        <w:rPr>
          <w:rFonts w:hint="eastAsia" w:ascii="黑体" w:eastAsia="黑体"/>
          <w:sz w:val="30"/>
          <w:szCs w:val="30"/>
        </w:rPr>
        <w:br w:type="page"/>
      </w:r>
      <w:bookmarkStart w:id="6" w:name="_Toc485889001"/>
      <w:bookmarkStart w:id="7" w:name="_Toc486277862"/>
      <w:bookmarkStart w:id="8" w:name="_Toc31404"/>
      <w:r>
        <w:rPr>
          <w:rFonts w:hint="eastAsia" w:ascii="黑体" w:eastAsia="黑体"/>
          <w:sz w:val="30"/>
          <w:szCs w:val="30"/>
        </w:rPr>
        <w:t>附录1   资格审查条件(资质最低条件)</w:t>
      </w:r>
      <w:bookmarkEnd w:id="5"/>
      <w:bookmarkEnd w:id="6"/>
      <w:bookmarkEnd w:id="7"/>
      <w:bookmarkEnd w:id="8"/>
    </w:p>
    <w:tbl>
      <w:tblPr>
        <w:tblStyle w:val="45"/>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rPr>
            </w:pPr>
            <w:r>
              <w:rPr>
                <w:rFonts w:hint="eastAsia" w:ascii="宋体" w:hAnsi="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2、资质要求：</w:t>
            </w:r>
            <w:r>
              <w:rPr>
                <w:rFonts w:hint="eastAsia" w:ascii="宋体" w:hAnsi="宋体" w:cs="宋体"/>
                <w:kern w:val="0"/>
                <w:sz w:val="24"/>
                <w:lang w:val="zh-CN"/>
              </w:rPr>
              <w:t>公路工程施工总承包叁级及以上资</w:t>
            </w:r>
            <w:r>
              <w:rPr>
                <w:rFonts w:hint="eastAsia" w:ascii="宋体" w:hAnsi="宋体" w:cs="宋体"/>
                <w:kern w:val="0"/>
                <w:sz w:val="24"/>
              </w:rPr>
              <w:t>质，并具备有效的企业安全生产许可证，在人员、设备、资金等方面具有相应能力的施工企业。</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附录2   资格审查条件(财务最低要求)</w:t>
      </w:r>
    </w:p>
    <w:tbl>
      <w:tblPr>
        <w:tblStyle w:val="45"/>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rPr>
            </w:pPr>
            <w:r>
              <w:rPr>
                <w:rFonts w:hint="eastAsia" w:ascii="宋体" w:hAnsi="宋体"/>
                <w:sz w:val="24"/>
              </w:rPr>
              <w:t>投标申请人应提交最近三年内（201</w:t>
            </w:r>
            <w:r>
              <w:rPr>
                <w:rFonts w:hint="eastAsia" w:ascii="宋体" w:hAnsi="宋体"/>
                <w:sz w:val="24"/>
                <w:lang w:val="en-US" w:eastAsia="zh-CN"/>
              </w:rPr>
              <w:t>4</w:t>
            </w:r>
            <w:r>
              <w:rPr>
                <w:rFonts w:hint="eastAsia" w:ascii="宋体" w:hAnsi="宋体"/>
                <w:sz w:val="24"/>
              </w:rPr>
              <w:t>年1月1日至2016年12月31日）(</w:t>
            </w:r>
            <w:r>
              <w:rPr>
                <w:rFonts w:hint="eastAsia" w:hAnsi="宋体"/>
                <w:bCs/>
                <w:sz w:val="24"/>
              </w:rPr>
              <w:t>若公司成立未满三年，须提供成立当年至今的财务报告</w:t>
            </w:r>
            <w:r>
              <w:rPr>
                <w:rFonts w:hint="eastAsia" w:ascii="宋体" w:hAnsi="宋体"/>
                <w:sz w:val="24"/>
              </w:rPr>
              <w:t>)经审计的资产负债表、</w:t>
            </w:r>
            <w:r>
              <w:rPr>
                <w:rFonts w:hint="eastAsia" w:ascii="宋体" w:hAnsi="宋体"/>
                <w:sz w:val="24"/>
                <w:lang w:val="en-US" w:eastAsia="zh-CN"/>
              </w:rPr>
              <w:t>利润表</w:t>
            </w:r>
            <w:r>
              <w:rPr>
                <w:rFonts w:hint="eastAsia" w:ascii="宋体" w:hAnsi="宋体"/>
                <w:sz w:val="24"/>
              </w:rPr>
              <w:t>、现金流量表，证明资格预审申请人的财务状况良好，财务无亏损，没有被接管、冻结、破产状态；必要时，业主将向投标申请人的开户银行进行查询；</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rPr>
          <w:rFonts w:ascii="宋体" w:hAnsi="宋体"/>
          <w:sz w:val="24"/>
        </w:rPr>
      </w:pPr>
    </w:p>
    <w:p>
      <w:pPr>
        <w:rPr>
          <w:rFonts w:ascii="宋体" w:hAnsi="宋体"/>
          <w:sz w:val="24"/>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附录3   资格审查条件(业绩最低要求)</w:t>
      </w:r>
    </w:p>
    <w:tbl>
      <w:tblPr>
        <w:tblStyle w:val="45"/>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30" w:hRule="atLeast"/>
          <w:jc w:val="center"/>
        </w:trPr>
        <w:tc>
          <w:tcPr>
            <w:tcW w:w="9239" w:type="dxa"/>
            <w:vAlign w:val="center"/>
          </w:tcPr>
          <w:p>
            <w:pPr>
              <w:spacing w:line="480" w:lineRule="exact"/>
              <w:ind w:firstLine="480" w:firstLineChars="200"/>
              <w:rPr>
                <w:rFonts w:ascii="宋体" w:hAnsi="宋体"/>
                <w:sz w:val="24"/>
              </w:rPr>
            </w:pPr>
            <w:r>
              <w:rPr>
                <w:rFonts w:hint="eastAsia" w:ascii="宋体" w:hAnsi="宋体"/>
                <w:sz w:val="24"/>
              </w:rPr>
              <w:t>自201</w:t>
            </w:r>
            <w:r>
              <w:rPr>
                <w:rFonts w:hint="eastAsia" w:hAnsi="宋体"/>
                <w:sz w:val="24"/>
                <w:lang w:val="en-US" w:eastAsia="zh-CN"/>
              </w:rPr>
              <w:t>5</w:t>
            </w:r>
            <w:r>
              <w:rPr>
                <w:rFonts w:hint="eastAsia" w:ascii="宋体" w:hAnsi="宋体"/>
                <w:sz w:val="24"/>
              </w:rPr>
              <w:t xml:space="preserve">年1月1日以来，企业有2项类似工程（公路工程）施工经历； </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附录4   资格审查条件(信誉最低要求)</w:t>
      </w:r>
    </w:p>
    <w:tbl>
      <w:tblPr>
        <w:tblStyle w:val="45"/>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480" w:lineRule="exact"/>
              <w:ind w:firstLine="480" w:firstLineChars="200"/>
              <w:rPr>
                <w:rFonts w:ascii="宋体" w:hAnsi="宋体"/>
                <w:sz w:val="24"/>
              </w:rPr>
            </w:pPr>
            <w:r>
              <w:rPr>
                <w:rFonts w:hint="eastAsia" w:ascii="宋体" w:hAnsi="宋体"/>
                <w:sz w:val="24"/>
              </w:rPr>
              <w:t>自201</w:t>
            </w:r>
            <w:r>
              <w:rPr>
                <w:rFonts w:hint="eastAsia" w:ascii="宋体" w:hAnsi="宋体"/>
                <w:sz w:val="24"/>
                <w:lang w:val="en-US" w:eastAsia="zh-CN"/>
              </w:rPr>
              <w:t>5</w:t>
            </w:r>
            <w:r>
              <w:rPr>
                <w:rFonts w:hint="eastAsia" w:ascii="宋体" w:hAnsi="宋体"/>
                <w:sz w:val="24"/>
              </w:rPr>
              <w:t>年以来在经营活动中没有重大违法记录（以检察机关出具的查询行贿犯罪档案结果告知函为准）。</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附录5   资格审查条件(项目经理和项目总工最低要求)</w:t>
      </w:r>
    </w:p>
    <w:tbl>
      <w:tblPr>
        <w:tblStyle w:val="45"/>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rPr>
            </w:pPr>
            <w:r>
              <w:rPr>
                <w:rFonts w:hint="eastAsia" w:ascii="宋体" w:hAnsi="宋体"/>
                <w:sz w:val="24"/>
              </w:rPr>
              <w:t>人  员</w:t>
            </w:r>
          </w:p>
        </w:tc>
        <w:tc>
          <w:tcPr>
            <w:tcW w:w="1984" w:type="dxa"/>
            <w:vAlign w:val="center"/>
          </w:tcPr>
          <w:p>
            <w:pPr>
              <w:jc w:val="center"/>
              <w:rPr>
                <w:rFonts w:ascii="宋体" w:hAnsi="宋体"/>
                <w:sz w:val="24"/>
              </w:rPr>
            </w:pPr>
            <w:r>
              <w:rPr>
                <w:rFonts w:hint="eastAsia" w:ascii="宋体" w:hAnsi="宋体"/>
                <w:sz w:val="24"/>
              </w:rPr>
              <w:t>数  量</w:t>
            </w:r>
          </w:p>
        </w:tc>
        <w:tc>
          <w:tcPr>
            <w:tcW w:w="5020"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rPr>
            </w:pPr>
            <w:r>
              <w:rPr>
                <w:rFonts w:hint="eastAsia" w:ascii="宋体" w:hAnsi="宋体"/>
                <w:sz w:val="24"/>
              </w:rPr>
              <w:t>项目经理</w:t>
            </w:r>
          </w:p>
        </w:tc>
        <w:tc>
          <w:tcPr>
            <w:tcW w:w="1984" w:type="dxa"/>
            <w:vAlign w:val="center"/>
          </w:tcPr>
          <w:p>
            <w:pPr>
              <w:jc w:val="center"/>
              <w:rPr>
                <w:rFonts w:ascii="宋体" w:hAnsi="宋体"/>
                <w:sz w:val="24"/>
              </w:rPr>
            </w:pPr>
            <w:r>
              <w:rPr>
                <w:rFonts w:hint="eastAsia" w:ascii="宋体" w:hAnsi="宋体"/>
                <w:sz w:val="24"/>
              </w:rPr>
              <w:t>1</w:t>
            </w:r>
          </w:p>
        </w:tc>
        <w:tc>
          <w:tcPr>
            <w:tcW w:w="5020" w:type="dxa"/>
          </w:tcPr>
          <w:p>
            <w:pPr>
              <w:rPr>
                <w:szCs w:val="21"/>
              </w:rPr>
            </w:pPr>
          </w:p>
          <w:p>
            <w:pPr>
              <w:rPr>
                <w:szCs w:val="21"/>
              </w:rPr>
            </w:pPr>
          </w:p>
          <w:p>
            <w:pPr>
              <w:rPr>
                <w:szCs w:val="21"/>
              </w:rPr>
            </w:pPr>
          </w:p>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rPr>
            </w:pPr>
            <w:r>
              <w:rPr>
                <w:rFonts w:hint="eastAsia" w:ascii="宋体" w:hAnsi="宋体"/>
                <w:sz w:val="24"/>
              </w:rPr>
              <w:t>项目总工程师</w:t>
            </w:r>
          </w:p>
        </w:tc>
        <w:tc>
          <w:tcPr>
            <w:tcW w:w="1984" w:type="dxa"/>
            <w:vAlign w:val="center"/>
          </w:tcPr>
          <w:p>
            <w:pPr>
              <w:jc w:val="center"/>
              <w:rPr>
                <w:rFonts w:ascii="宋体" w:hAnsi="宋体"/>
                <w:sz w:val="24"/>
              </w:rPr>
            </w:pPr>
            <w:r>
              <w:rPr>
                <w:rFonts w:hint="eastAsia" w:ascii="宋体" w:hAnsi="宋体"/>
                <w:sz w:val="24"/>
              </w:rPr>
              <w:t>1</w:t>
            </w:r>
          </w:p>
        </w:tc>
        <w:tc>
          <w:tcPr>
            <w:tcW w:w="5020" w:type="dxa"/>
          </w:tcPr>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附录6  资格审查条件(其他主要管理人员和技术人员最低要求)</w:t>
      </w:r>
    </w:p>
    <w:tbl>
      <w:tblPr>
        <w:tblStyle w:val="45"/>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highlight w:val="yellow"/>
              </w:rPr>
            </w:pPr>
          </w:p>
        </w:tc>
        <w:tc>
          <w:tcPr>
            <w:tcW w:w="1997" w:type="dxa"/>
            <w:vAlign w:val="center"/>
          </w:tcPr>
          <w:p>
            <w:pPr>
              <w:jc w:val="center"/>
              <w:rPr>
                <w:szCs w:val="21"/>
                <w:highlight w:val="yellow"/>
              </w:rPr>
            </w:pPr>
          </w:p>
        </w:tc>
        <w:tc>
          <w:tcPr>
            <w:tcW w:w="5053" w:type="dxa"/>
            <w:vAlign w:val="center"/>
          </w:tcPr>
          <w:p>
            <w:pPr>
              <w:rPr>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highlight w:val="yellow"/>
              </w:rPr>
            </w:pPr>
          </w:p>
        </w:tc>
        <w:tc>
          <w:tcPr>
            <w:tcW w:w="1997" w:type="dxa"/>
            <w:vAlign w:val="center"/>
          </w:tcPr>
          <w:p>
            <w:pPr>
              <w:jc w:val="center"/>
              <w:rPr>
                <w:szCs w:val="21"/>
                <w:highlight w:val="yellow"/>
              </w:rPr>
            </w:pPr>
          </w:p>
        </w:tc>
        <w:tc>
          <w:tcPr>
            <w:tcW w:w="5053" w:type="dxa"/>
            <w:vAlign w:val="center"/>
          </w:tcPr>
          <w:p>
            <w:pPr>
              <w:rPr>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FF0000"/>
                <w:szCs w:val="21"/>
              </w:rPr>
            </w:pPr>
          </w:p>
        </w:tc>
        <w:tc>
          <w:tcPr>
            <w:tcW w:w="1997" w:type="dxa"/>
            <w:vAlign w:val="center"/>
          </w:tcPr>
          <w:p>
            <w:pPr>
              <w:jc w:val="center"/>
              <w:rPr>
                <w:color w:val="FF0000"/>
                <w:szCs w:val="21"/>
              </w:rPr>
            </w:pPr>
          </w:p>
        </w:tc>
        <w:tc>
          <w:tcPr>
            <w:tcW w:w="5053" w:type="dxa"/>
            <w:vAlign w:val="center"/>
          </w:tcPr>
          <w:p>
            <w:pPr>
              <w:spacing w:line="400" w:lineRule="exact"/>
              <w:jc w:val="left"/>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jc w:val="center"/>
              <w:rPr>
                <w:rFonts w:ascii="宋体" w:hAnsi="宋体"/>
                <w:sz w:val="24"/>
              </w:rPr>
            </w:pPr>
          </w:p>
        </w:tc>
      </w:tr>
    </w:tbl>
    <w:p>
      <w:pPr>
        <w:rPr>
          <w:rFonts w:ascii="宋体" w:hAnsi="宋体"/>
          <w:sz w:val="24"/>
        </w:rPr>
      </w:pPr>
      <w:r>
        <w:rPr>
          <w:rFonts w:hint="eastAsia" w:ascii="宋体" w:hAnsi="宋体"/>
          <w:sz w:val="24"/>
        </w:rPr>
        <w:t>只需做出承诺，不再提供相关证明原件及复印件。</w:t>
      </w:r>
    </w:p>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bookmarkStart w:id="9" w:name="_Toc234382589"/>
      <w:r>
        <w:rPr>
          <w:rFonts w:hint="eastAsia" w:ascii="黑体" w:eastAsia="黑体"/>
          <w:b/>
          <w:bCs/>
          <w:kern w:val="44"/>
          <w:sz w:val="30"/>
          <w:szCs w:val="30"/>
        </w:rPr>
        <w:t>附录7   资格审查条件(关键设备最低条件)</w:t>
      </w:r>
    </w:p>
    <w:tbl>
      <w:tblPr>
        <w:tblStyle w:val="45"/>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80"/>
        <w:gridCol w:w="2428"/>
        <w:gridCol w:w="999"/>
        <w:gridCol w:w="1142"/>
        <w:gridCol w:w="20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jc w:val="center"/>
              <w:rPr>
                <w:rFonts w:ascii="宋体" w:hAnsi="宋体"/>
                <w:szCs w:val="21"/>
              </w:rPr>
            </w:pPr>
            <w:r>
              <w:rPr>
                <w:rFonts w:hint="eastAsia" w:ascii="宋体" w:hAnsi="宋体"/>
                <w:szCs w:val="21"/>
              </w:rPr>
              <w:t>设备名称</w:t>
            </w:r>
          </w:p>
        </w:tc>
        <w:tc>
          <w:tcPr>
            <w:tcW w:w="2428" w:type="dxa"/>
            <w:vAlign w:val="center"/>
          </w:tcPr>
          <w:p>
            <w:pPr>
              <w:jc w:val="center"/>
              <w:rPr>
                <w:rFonts w:ascii="宋体" w:hAnsi="宋体"/>
                <w:szCs w:val="21"/>
              </w:rPr>
            </w:pPr>
            <w:r>
              <w:rPr>
                <w:rFonts w:hint="eastAsia" w:ascii="宋体" w:hAnsi="宋体"/>
                <w:szCs w:val="21"/>
              </w:rPr>
              <w:t>规格、功率及容量</w:t>
            </w:r>
          </w:p>
        </w:tc>
        <w:tc>
          <w:tcPr>
            <w:tcW w:w="999" w:type="dxa"/>
            <w:vAlign w:val="center"/>
          </w:tcPr>
          <w:p>
            <w:pPr>
              <w:jc w:val="center"/>
              <w:rPr>
                <w:rFonts w:ascii="宋体" w:hAnsi="宋体"/>
                <w:szCs w:val="21"/>
              </w:rPr>
            </w:pPr>
            <w:r>
              <w:rPr>
                <w:rFonts w:hint="eastAsia" w:ascii="宋体" w:hAnsi="宋体"/>
                <w:szCs w:val="21"/>
              </w:rPr>
              <w:t>单位</w:t>
            </w:r>
          </w:p>
        </w:tc>
        <w:tc>
          <w:tcPr>
            <w:tcW w:w="1142" w:type="dxa"/>
            <w:vAlign w:val="center"/>
          </w:tcPr>
          <w:p>
            <w:pPr>
              <w:jc w:val="center"/>
              <w:rPr>
                <w:rFonts w:ascii="宋体" w:hAnsi="宋体"/>
                <w:szCs w:val="21"/>
              </w:rPr>
            </w:pPr>
            <w:r>
              <w:rPr>
                <w:rFonts w:hint="eastAsia" w:ascii="宋体" w:hAnsi="宋体"/>
                <w:szCs w:val="21"/>
              </w:rPr>
              <w:t>最低数量要求</w:t>
            </w:r>
          </w:p>
        </w:tc>
        <w:tc>
          <w:tcPr>
            <w:tcW w:w="2073" w:type="dxa"/>
            <w:vAlign w:val="center"/>
          </w:tcPr>
          <w:p>
            <w:pPr>
              <w:jc w:val="center"/>
              <w:rPr>
                <w:rFonts w:ascii="宋体" w:hAnsi="宋体"/>
                <w:szCs w:val="21"/>
              </w:rPr>
            </w:pPr>
            <w:r>
              <w:rPr>
                <w:szCs w:val="21"/>
              </w:rPr>
              <w:t>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水泥砼搅拌站</w:t>
            </w:r>
          </w:p>
        </w:tc>
        <w:tc>
          <w:tcPr>
            <w:tcW w:w="2428" w:type="dxa"/>
            <w:vAlign w:val="center"/>
          </w:tcPr>
          <w:p>
            <w:pPr>
              <w:spacing w:line="400" w:lineRule="exact"/>
              <w:jc w:val="center"/>
              <w:rPr>
                <w:szCs w:val="21"/>
              </w:rPr>
            </w:pPr>
            <w:r>
              <w:rPr>
                <w:rFonts w:hint="eastAsia"/>
                <w:szCs w:val="21"/>
              </w:rPr>
              <w:t>满足施工需要</w:t>
            </w:r>
          </w:p>
        </w:tc>
        <w:tc>
          <w:tcPr>
            <w:tcW w:w="999" w:type="dxa"/>
            <w:vAlign w:val="center"/>
          </w:tcPr>
          <w:p>
            <w:pPr>
              <w:spacing w:line="400" w:lineRule="exact"/>
              <w:jc w:val="center"/>
              <w:rPr>
                <w:szCs w:val="21"/>
              </w:rPr>
            </w:pPr>
            <w:r>
              <w:rPr>
                <w:szCs w:val="21"/>
              </w:rPr>
              <w:t>台</w:t>
            </w:r>
          </w:p>
        </w:tc>
        <w:tc>
          <w:tcPr>
            <w:tcW w:w="1142" w:type="dxa"/>
            <w:vAlign w:val="center"/>
          </w:tcPr>
          <w:p>
            <w:pPr>
              <w:spacing w:line="400" w:lineRule="exact"/>
              <w:jc w:val="center"/>
              <w:rPr>
                <w:szCs w:val="21"/>
              </w:rPr>
            </w:pPr>
            <w:r>
              <w:rPr>
                <w:szCs w:val="21"/>
              </w:rPr>
              <w:t>1</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沥青砼拌和站</w:t>
            </w:r>
          </w:p>
        </w:tc>
        <w:tc>
          <w:tcPr>
            <w:tcW w:w="2428" w:type="dxa"/>
            <w:vAlign w:val="center"/>
          </w:tcPr>
          <w:p>
            <w:pPr>
              <w:spacing w:line="400" w:lineRule="exact"/>
              <w:jc w:val="center"/>
              <w:rPr>
                <w:szCs w:val="21"/>
              </w:rPr>
            </w:pPr>
            <w:r>
              <w:rPr>
                <w:szCs w:val="21"/>
              </w:rPr>
              <w:t>满足施工需要</w:t>
            </w:r>
          </w:p>
        </w:tc>
        <w:tc>
          <w:tcPr>
            <w:tcW w:w="999" w:type="dxa"/>
            <w:vAlign w:val="center"/>
          </w:tcPr>
          <w:p>
            <w:pPr>
              <w:spacing w:line="400" w:lineRule="exact"/>
              <w:jc w:val="center"/>
              <w:rPr>
                <w:szCs w:val="21"/>
              </w:rPr>
            </w:pPr>
            <w:r>
              <w:rPr>
                <w:szCs w:val="21"/>
              </w:rPr>
              <w:t>台</w:t>
            </w:r>
          </w:p>
        </w:tc>
        <w:tc>
          <w:tcPr>
            <w:tcW w:w="1142" w:type="dxa"/>
            <w:vAlign w:val="center"/>
          </w:tcPr>
          <w:p>
            <w:pPr>
              <w:spacing w:line="400" w:lineRule="exact"/>
              <w:jc w:val="center"/>
              <w:rPr>
                <w:szCs w:val="21"/>
              </w:rPr>
            </w:pPr>
            <w:r>
              <w:rPr>
                <w:rFonts w:hint="eastAsia"/>
                <w:szCs w:val="21"/>
              </w:rPr>
              <w:t>1</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水泥砼搅拌运输车</w:t>
            </w:r>
          </w:p>
        </w:tc>
        <w:tc>
          <w:tcPr>
            <w:tcW w:w="2428" w:type="dxa"/>
            <w:vAlign w:val="center"/>
          </w:tcPr>
          <w:p>
            <w:pPr>
              <w:spacing w:line="400" w:lineRule="exact"/>
              <w:jc w:val="center"/>
              <w:rPr>
                <w:szCs w:val="21"/>
              </w:rPr>
            </w:pPr>
            <w:r>
              <w:rPr>
                <w:rFonts w:hint="eastAsia"/>
                <w:szCs w:val="21"/>
              </w:rPr>
              <w:t>满足施工需要</w:t>
            </w:r>
          </w:p>
        </w:tc>
        <w:tc>
          <w:tcPr>
            <w:tcW w:w="999" w:type="dxa"/>
            <w:vAlign w:val="center"/>
          </w:tcPr>
          <w:p>
            <w:pPr>
              <w:spacing w:line="400" w:lineRule="exact"/>
              <w:jc w:val="center"/>
              <w:rPr>
                <w:szCs w:val="21"/>
              </w:rPr>
            </w:pPr>
            <w:r>
              <w:rPr>
                <w:rFonts w:hint="eastAsia"/>
                <w:szCs w:val="21"/>
              </w:rPr>
              <w:t>台</w:t>
            </w:r>
          </w:p>
        </w:tc>
        <w:tc>
          <w:tcPr>
            <w:tcW w:w="1142" w:type="dxa"/>
            <w:vAlign w:val="center"/>
          </w:tcPr>
          <w:p>
            <w:pPr>
              <w:spacing w:line="400" w:lineRule="exact"/>
              <w:jc w:val="center"/>
              <w:rPr>
                <w:szCs w:val="21"/>
              </w:rPr>
            </w:pPr>
            <w:r>
              <w:rPr>
                <w:rFonts w:hint="eastAsia"/>
                <w:szCs w:val="21"/>
              </w:rPr>
              <w:t>3</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水泥砼输送泵</w:t>
            </w:r>
          </w:p>
        </w:tc>
        <w:tc>
          <w:tcPr>
            <w:tcW w:w="2428" w:type="dxa"/>
            <w:vAlign w:val="center"/>
          </w:tcPr>
          <w:p>
            <w:pPr>
              <w:spacing w:line="400" w:lineRule="exact"/>
              <w:jc w:val="center"/>
              <w:rPr>
                <w:szCs w:val="21"/>
              </w:rPr>
            </w:pPr>
            <w:r>
              <w:rPr>
                <w:szCs w:val="21"/>
              </w:rPr>
              <w:t>满足施工需要</w:t>
            </w:r>
          </w:p>
        </w:tc>
        <w:tc>
          <w:tcPr>
            <w:tcW w:w="999" w:type="dxa"/>
            <w:vAlign w:val="center"/>
          </w:tcPr>
          <w:p>
            <w:pPr>
              <w:spacing w:line="400" w:lineRule="exact"/>
              <w:jc w:val="center"/>
              <w:rPr>
                <w:szCs w:val="21"/>
              </w:rPr>
            </w:pPr>
            <w:r>
              <w:rPr>
                <w:rFonts w:hint="eastAsia"/>
                <w:szCs w:val="21"/>
              </w:rPr>
              <w:t>台</w:t>
            </w:r>
          </w:p>
        </w:tc>
        <w:tc>
          <w:tcPr>
            <w:tcW w:w="1142" w:type="dxa"/>
            <w:vAlign w:val="center"/>
          </w:tcPr>
          <w:p>
            <w:pPr>
              <w:spacing w:line="400" w:lineRule="exact"/>
              <w:jc w:val="center"/>
              <w:rPr>
                <w:szCs w:val="21"/>
              </w:rPr>
            </w:pPr>
            <w:r>
              <w:rPr>
                <w:szCs w:val="21"/>
              </w:rPr>
              <w:t>1</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风镐</w:t>
            </w:r>
          </w:p>
        </w:tc>
        <w:tc>
          <w:tcPr>
            <w:tcW w:w="2428" w:type="dxa"/>
            <w:vAlign w:val="center"/>
          </w:tcPr>
          <w:p>
            <w:pPr>
              <w:spacing w:line="400" w:lineRule="exact"/>
              <w:jc w:val="center"/>
              <w:rPr>
                <w:szCs w:val="21"/>
              </w:rPr>
            </w:pPr>
            <w:r>
              <w:rPr>
                <w:rFonts w:hint="eastAsia"/>
                <w:szCs w:val="21"/>
              </w:rPr>
              <w:t>满足施工需要</w:t>
            </w:r>
          </w:p>
        </w:tc>
        <w:tc>
          <w:tcPr>
            <w:tcW w:w="999" w:type="dxa"/>
            <w:vAlign w:val="center"/>
          </w:tcPr>
          <w:p>
            <w:pPr>
              <w:spacing w:line="440" w:lineRule="exact"/>
              <w:jc w:val="center"/>
              <w:rPr>
                <w:szCs w:val="21"/>
              </w:rPr>
            </w:pPr>
            <w:r>
              <w:rPr>
                <w:szCs w:val="21"/>
              </w:rPr>
              <w:t>台</w:t>
            </w:r>
          </w:p>
        </w:tc>
        <w:tc>
          <w:tcPr>
            <w:tcW w:w="1142" w:type="dxa"/>
            <w:vAlign w:val="center"/>
          </w:tcPr>
          <w:p>
            <w:pPr>
              <w:spacing w:line="440" w:lineRule="exact"/>
              <w:jc w:val="center"/>
              <w:rPr>
                <w:szCs w:val="21"/>
              </w:rPr>
            </w:pPr>
            <w:r>
              <w:rPr>
                <w:rFonts w:hint="eastAsia"/>
                <w:szCs w:val="21"/>
              </w:rPr>
              <w:t>4</w:t>
            </w:r>
          </w:p>
        </w:tc>
        <w:tc>
          <w:tcPr>
            <w:tcW w:w="2073" w:type="dxa"/>
            <w:vAlign w:val="center"/>
          </w:tcPr>
          <w:p>
            <w:pPr>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szCs w:val="21"/>
              </w:rPr>
              <w:t>水泥混凝土路面振捣设备</w:t>
            </w:r>
          </w:p>
        </w:tc>
        <w:tc>
          <w:tcPr>
            <w:tcW w:w="2428" w:type="dxa"/>
            <w:vAlign w:val="center"/>
          </w:tcPr>
          <w:p>
            <w:pPr>
              <w:spacing w:line="400" w:lineRule="exact"/>
              <w:jc w:val="center"/>
              <w:rPr>
                <w:szCs w:val="21"/>
              </w:rPr>
            </w:pPr>
            <w:r>
              <w:rPr>
                <w:rFonts w:hint="eastAsia"/>
                <w:szCs w:val="21"/>
              </w:rPr>
              <w:t>满足施工需要</w:t>
            </w:r>
          </w:p>
        </w:tc>
        <w:tc>
          <w:tcPr>
            <w:tcW w:w="999" w:type="dxa"/>
            <w:vAlign w:val="center"/>
          </w:tcPr>
          <w:p>
            <w:pPr>
              <w:spacing w:line="440" w:lineRule="exact"/>
              <w:jc w:val="center"/>
              <w:rPr>
                <w:szCs w:val="21"/>
              </w:rPr>
            </w:pPr>
            <w:r>
              <w:rPr>
                <w:rFonts w:hint="eastAsia"/>
                <w:szCs w:val="21"/>
              </w:rPr>
              <w:t>套</w:t>
            </w:r>
          </w:p>
        </w:tc>
        <w:tc>
          <w:tcPr>
            <w:tcW w:w="1142" w:type="dxa"/>
            <w:vAlign w:val="center"/>
          </w:tcPr>
          <w:p>
            <w:pPr>
              <w:spacing w:line="440" w:lineRule="exact"/>
              <w:jc w:val="center"/>
              <w:rPr>
                <w:szCs w:val="21"/>
              </w:rPr>
            </w:pPr>
            <w:r>
              <w:rPr>
                <w:rFonts w:hint="eastAsia"/>
                <w:szCs w:val="21"/>
              </w:rPr>
              <w:t>4</w:t>
            </w:r>
          </w:p>
        </w:tc>
        <w:tc>
          <w:tcPr>
            <w:tcW w:w="2073" w:type="dxa"/>
            <w:vAlign w:val="center"/>
          </w:tcPr>
          <w:p>
            <w:pPr>
              <w:spacing w:line="44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吊车</w:t>
            </w:r>
          </w:p>
        </w:tc>
        <w:tc>
          <w:tcPr>
            <w:tcW w:w="2428" w:type="dxa"/>
            <w:vAlign w:val="center"/>
          </w:tcPr>
          <w:p>
            <w:pPr>
              <w:spacing w:line="400" w:lineRule="exact"/>
              <w:jc w:val="center"/>
              <w:rPr>
                <w:szCs w:val="21"/>
              </w:rPr>
            </w:pPr>
            <w:r>
              <w:rPr>
                <w:szCs w:val="21"/>
              </w:rPr>
              <w:t>满足施工需要</w:t>
            </w:r>
          </w:p>
        </w:tc>
        <w:tc>
          <w:tcPr>
            <w:tcW w:w="999" w:type="dxa"/>
            <w:vAlign w:val="center"/>
          </w:tcPr>
          <w:p>
            <w:pPr>
              <w:spacing w:line="400" w:lineRule="exact"/>
              <w:jc w:val="center"/>
              <w:rPr>
                <w:szCs w:val="21"/>
              </w:rPr>
            </w:pPr>
            <w:r>
              <w:rPr>
                <w:rFonts w:hint="eastAsia"/>
                <w:szCs w:val="21"/>
              </w:rPr>
              <w:t>台</w:t>
            </w:r>
          </w:p>
        </w:tc>
        <w:tc>
          <w:tcPr>
            <w:tcW w:w="1142" w:type="dxa"/>
            <w:vAlign w:val="center"/>
          </w:tcPr>
          <w:p>
            <w:pPr>
              <w:spacing w:line="400" w:lineRule="exact"/>
              <w:jc w:val="center"/>
              <w:rPr>
                <w:szCs w:val="21"/>
              </w:rPr>
            </w:pPr>
            <w:r>
              <w:rPr>
                <w:rFonts w:hint="eastAsia"/>
                <w:szCs w:val="21"/>
              </w:rPr>
              <w:t>1</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挖掘机</w:t>
            </w:r>
          </w:p>
        </w:tc>
        <w:tc>
          <w:tcPr>
            <w:tcW w:w="2428" w:type="dxa"/>
            <w:vAlign w:val="center"/>
          </w:tcPr>
          <w:p>
            <w:pPr>
              <w:spacing w:line="400" w:lineRule="exact"/>
              <w:jc w:val="center"/>
              <w:rPr>
                <w:szCs w:val="21"/>
              </w:rPr>
            </w:pPr>
            <w:r>
              <w:rPr>
                <w:szCs w:val="21"/>
              </w:rPr>
              <w:t>满足施工需要</w:t>
            </w:r>
          </w:p>
        </w:tc>
        <w:tc>
          <w:tcPr>
            <w:tcW w:w="999" w:type="dxa"/>
            <w:vAlign w:val="center"/>
          </w:tcPr>
          <w:p>
            <w:pPr>
              <w:spacing w:line="400" w:lineRule="exact"/>
              <w:jc w:val="center"/>
              <w:rPr>
                <w:szCs w:val="21"/>
              </w:rPr>
            </w:pPr>
            <w:r>
              <w:rPr>
                <w:szCs w:val="21"/>
              </w:rPr>
              <w:t>台</w:t>
            </w:r>
          </w:p>
        </w:tc>
        <w:tc>
          <w:tcPr>
            <w:tcW w:w="1142" w:type="dxa"/>
            <w:vAlign w:val="center"/>
          </w:tcPr>
          <w:p>
            <w:pPr>
              <w:spacing w:line="400" w:lineRule="exact"/>
              <w:jc w:val="center"/>
              <w:rPr>
                <w:szCs w:val="21"/>
              </w:rPr>
            </w:pPr>
            <w:r>
              <w:rPr>
                <w:rFonts w:hint="eastAsia"/>
                <w:szCs w:val="21"/>
              </w:rPr>
              <w:t>1</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装载机</w:t>
            </w:r>
          </w:p>
        </w:tc>
        <w:tc>
          <w:tcPr>
            <w:tcW w:w="2428" w:type="dxa"/>
            <w:vAlign w:val="center"/>
          </w:tcPr>
          <w:p>
            <w:pPr>
              <w:spacing w:line="400" w:lineRule="exact"/>
              <w:jc w:val="center"/>
              <w:rPr>
                <w:szCs w:val="21"/>
              </w:rPr>
            </w:pPr>
            <w:r>
              <w:rPr>
                <w:rFonts w:hint="eastAsia"/>
                <w:szCs w:val="21"/>
              </w:rPr>
              <w:t>满足施工需要</w:t>
            </w:r>
          </w:p>
        </w:tc>
        <w:tc>
          <w:tcPr>
            <w:tcW w:w="999" w:type="dxa"/>
            <w:vAlign w:val="center"/>
          </w:tcPr>
          <w:p>
            <w:pPr>
              <w:spacing w:line="400" w:lineRule="exact"/>
              <w:jc w:val="center"/>
              <w:rPr>
                <w:szCs w:val="21"/>
              </w:rPr>
            </w:pPr>
            <w:r>
              <w:rPr>
                <w:szCs w:val="21"/>
              </w:rPr>
              <w:t>套</w:t>
            </w:r>
          </w:p>
        </w:tc>
        <w:tc>
          <w:tcPr>
            <w:tcW w:w="1142" w:type="dxa"/>
            <w:vAlign w:val="center"/>
          </w:tcPr>
          <w:p>
            <w:pPr>
              <w:spacing w:line="400" w:lineRule="exact"/>
              <w:jc w:val="center"/>
              <w:rPr>
                <w:szCs w:val="21"/>
              </w:rPr>
            </w:pPr>
            <w:r>
              <w:rPr>
                <w:rFonts w:hint="eastAsia"/>
                <w:szCs w:val="21"/>
              </w:rPr>
              <w:t>2</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2000KN压力试验机</w:t>
            </w:r>
          </w:p>
        </w:tc>
        <w:tc>
          <w:tcPr>
            <w:tcW w:w="2428" w:type="dxa"/>
            <w:vAlign w:val="center"/>
          </w:tcPr>
          <w:p>
            <w:pPr>
              <w:spacing w:line="400" w:lineRule="exact"/>
              <w:jc w:val="center"/>
              <w:rPr>
                <w:szCs w:val="21"/>
              </w:rPr>
            </w:pPr>
            <w:r>
              <w:rPr>
                <w:rFonts w:hint="eastAsia"/>
                <w:szCs w:val="21"/>
              </w:rPr>
              <w:t>满足施工需要</w:t>
            </w:r>
          </w:p>
        </w:tc>
        <w:tc>
          <w:tcPr>
            <w:tcW w:w="999" w:type="dxa"/>
            <w:vAlign w:val="center"/>
          </w:tcPr>
          <w:p>
            <w:pPr>
              <w:spacing w:line="400" w:lineRule="exact"/>
              <w:jc w:val="center"/>
              <w:rPr>
                <w:szCs w:val="21"/>
              </w:rPr>
            </w:pPr>
            <w:r>
              <w:rPr>
                <w:szCs w:val="21"/>
              </w:rPr>
              <w:t>台</w:t>
            </w:r>
          </w:p>
        </w:tc>
        <w:tc>
          <w:tcPr>
            <w:tcW w:w="1142" w:type="dxa"/>
            <w:vAlign w:val="center"/>
          </w:tcPr>
          <w:p>
            <w:pPr>
              <w:spacing w:line="400" w:lineRule="exact"/>
              <w:jc w:val="center"/>
              <w:rPr>
                <w:szCs w:val="21"/>
              </w:rPr>
            </w:pPr>
            <w:r>
              <w:rPr>
                <w:rFonts w:hint="eastAsia"/>
                <w:szCs w:val="21"/>
              </w:rPr>
              <w:t>1</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60KN万能材料试验机</w:t>
            </w:r>
          </w:p>
        </w:tc>
        <w:tc>
          <w:tcPr>
            <w:tcW w:w="2428" w:type="dxa"/>
            <w:vAlign w:val="center"/>
          </w:tcPr>
          <w:p>
            <w:pPr>
              <w:spacing w:line="400" w:lineRule="exact"/>
              <w:jc w:val="center"/>
              <w:rPr>
                <w:szCs w:val="21"/>
              </w:rPr>
            </w:pPr>
            <w:r>
              <w:rPr>
                <w:rFonts w:hint="eastAsia"/>
                <w:szCs w:val="21"/>
              </w:rPr>
              <w:t>满足施工需要</w:t>
            </w:r>
          </w:p>
        </w:tc>
        <w:tc>
          <w:tcPr>
            <w:tcW w:w="999" w:type="dxa"/>
            <w:vAlign w:val="center"/>
          </w:tcPr>
          <w:p>
            <w:pPr>
              <w:spacing w:line="400" w:lineRule="exact"/>
              <w:jc w:val="center"/>
              <w:rPr>
                <w:szCs w:val="21"/>
              </w:rPr>
            </w:pPr>
            <w:r>
              <w:rPr>
                <w:rFonts w:hint="eastAsia"/>
                <w:szCs w:val="21"/>
              </w:rPr>
              <w:t>台</w:t>
            </w:r>
          </w:p>
        </w:tc>
        <w:tc>
          <w:tcPr>
            <w:tcW w:w="1142" w:type="dxa"/>
            <w:vAlign w:val="center"/>
          </w:tcPr>
          <w:p>
            <w:pPr>
              <w:spacing w:line="400" w:lineRule="exact"/>
              <w:jc w:val="center"/>
              <w:rPr>
                <w:szCs w:val="21"/>
              </w:rPr>
            </w:pPr>
            <w:r>
              <w:rPr>
                <w:rFonts w:hint="eastAsia"/>
                <w:szCs w:val="21"/>
              </w:rPr>
              <w:t>1</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水泥试验设备</w:t>
            </w:r>
          </w:p>
        </w:tc>
        <w:tc>
          <w:tcPr>
            <w:tcW w:w="2428" w:type="dxa"/>
            <w:vAlign w:val="center"/>
          </w:tcPr>
          <w:p>
            <w:pPr>
              <w:spacing w:line="400" w:lineRule="exact"/>
              <w:jc w:val="center"/>
              <w:rPr>
                <w:szCs w:val="21"/>
              </w:rPr>
            </w:pPr>
            <w:r>
              <w:rPr>
                <w:szCs w:val="21"/>
              </w:rPr>
              <w:t>满足施工需要</w:t>
            </w:r>
          </w:p>
        </w:tc>
        <w:tc>
          <w:tcPr>
            <w:tcW w:w="999" w:type="dxa"/>
            <w:vAlign w:val="center"/>
          </w:tcPr>
          <w:p>
            <w:pPr>
              <w:spacing w:line="400" w:lineRule="exact"/>
              <w:jc w:val="center"/>
              <w:rPr>
                <w:szCs w:val="21"/>
              </w:rPr>
            </w:pPr>
            <w:r>
              <w:rPr>
                <w:rFonts w:hint="eastAsia"/>
                <w:szCs w:val="21"/>
              </w:rPr>
              <w:t>台</w:t>
            </w:r>
          </w:p>
        </w:tc>
        <w:tc>
          <w:tcPr>
            <w:tcW w:w="1142" w:type="dxa"/>
            <w:vAlign w:val="center"/>
          </w:tcPr>
          <w:p>
            <w:pPr>
              <w:spacing w:line="400" w:lineRule="exact"/>
              <w:jc w:val="center"/>
              <w:rPr>
                <w:szCs w:val="21"/>
              </w:rPr>
            </w:pPr>
            <w:r>
              <w:rPr>
                <w:rFonts w:hint="eastAsia"/>
                <w:szCs w:val="21"/>
              </w:rPr>
              <w:t>1</w:t>
            </w:r>
          </w:p>
        </w:tc>
        <w:tc>
          <w:tcPr>
            <w:tcW w:w="2073" w:type="dxa"/>
            <w:vAlign w:val="center"/>
          </w:tcPr>
          <w:p>
            <w:pPr>
              <w:spacing w:line="400" w:lineRule="exact"/>
              <w:jc w:val="center"/>
              <w:rPr>
                <w:szCs w:val="21"/>
              </w:rPr>
            </w:pPr>
            <w:r>
              <w:rPr>
                <w:szCs w:val="21"/>
              </w:rPr>
              <w:t>近5年内购置</w:t>
            </w:r>
          </w:p>
        </w:tc>
      </w:tr>
      <w:tr>
        <w:tblPrEx>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标准养护箱</w:t>
            </w:r>
          </w:p>
        </w:tc>
        <w:tc>
          <w:tcPr>
            <w:tcW w:w="2428" w:type="dxa"/>
            <w:vAlign w:val="center"/>
          </w:tcPr>
          <w:p>
            <w:pPr>
              <w:spacing w:line="400" w:lineRule="exact"/>
              <w:jc w:val="center"/>
              <w:rPr>
                <w:szCs w:val="21"/>
              </w:rPr>
            </w:pPr>
            <w:r>
              <w:rPr>
                <w:rFonts w:hint="eastAsia"/>
                <w:szCs w:val="21"/>
              </w:rPr>
              <w:t>满足施工需要</w:t>
            </w:r>
          </w:p>
        </w:tc>
        <w:tc>
          <w:tcPr>
            <w:tcW w:w="999" w:type="dxa"/>
            <w:vAlign w:val="center"/>
          </w:tcPr>
          <w:p>
            <w:pPr>
              <w:spacing w:line="400" w:lineRule="exact"/>
              <w:jc w:val="center"/>
              <w:rPr>
                <w:szCs w:val="21"/>
              </w:rPr>
            </w:pPr>
            <w:r>
              <w:rPr>
                <w:szCs w:val="21"/>
              </w:rPr>
              <w:t>台</w:t>
            </w:r>
          </w:p>
        </w:tc>
        <w:tc>
          <w:tcPr>
            <w:tcW w:w="1142" w:type="dxa"/>
            <w:vAlign w:val="center"/>
          </w:tcPr>
          <w:p>
            <w:pPr>
              <w:spacing w:line="400" w:lineRule="exact"/>
              <w:jc w:val="center"/>
              <w:rPr>
                <w:szCs w:val="21"/>
              </w:rPr>
            </w:pPr>
            <w:r>
              <w:rPr>
                <w:rFonts w:hint="eastAsia"/>
                <w:szCs w:val="21"/>
              </w:rPr>
              <w:t>1</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全站仪及附件</w:t>
            </w:r>
          </w:p>
        </w:tc>
        <w:tc>
          <w:tcPr>
            <w:tcW w:w="2428" w:type="dxa"/>
            <w:vAlign w:val="center"/>
          </w:tcPr>
          <w:p>
            <w:pPr>
              <w:spacing w:line="400" w:lineRule="exact"/>
              <w:jc w:val="center"/>
              <w:rPr>
                <w:szCs w:val="21"/>
              </w:rPr>
            </w:pPr>
            <w:r>
              <w:rPr>
                <w:rFonts w:hint="eastAsia"/>
                <w:szCs w:val="21"/>
              </w:rPr>
              <w:t>满足施工需要</w:t>
            </w:r>
          </w:p>
        </w:tc>
        <w:tc>
          <w:tcPr>
            <w:tcW w:w="999" w:type="dxa"/>
            <w:vAlign w:val="center"/>
          </w:tcPr>
          <w:p>
            <w:pPr>
              <w:spacing w:line="400" w:lineRule="exact"/>
              <w:jc w:val="center"/>
              <w:rPr>
                <w:szCs w:val="21"/>
              </w:rPr>
            </w:pPr>
            <w:r>
              <w:rPr>
                <w:szCs w:val="21"/>
              </w:rPr>
              <w:t>台</w:t>
            </w:r>
          </w:p>
        </w:tc>
        <w:tc>
          <w:tcPr>
            <w:tcW w:w="1142" w:type="dxa"/>
            <w:vAlign w:val="center"/>
          </w:tcPr>
          <w:p>
            <w:pPr>
              <w:spacing w:line="400" w:lineRule="exact"/>
              <w:jc w:val="center"/>
              <w:rPr>
                <w:szCs w:val="21"/>
              </w:rPr>
            </w:pPr>
            <w:r>
              <w:rPr>
                <w:rFonts w:hint="eastAsia"/>
                <w:szCs w:val="21"/>
              </w:rPr>
              <w:t>1</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r>
              <w:rPr>
                <w:rFonts w:hint="eastAsia"/>
                <w:szCs w:val="21"/>
              </w:rPr>
              <w:t>自动安平水准仪</w:t>
            </w:r>
          </w:p>
        </w:tc>
        <w:tc>
          <w:tcPr>
            <w:tcW w:w="2428" w:type="dxa"/>
            <w:vAlign w:val="center"/>
          </w:tcPr>
          <w:p>
            <w:pPr>
              <w:spacing w:line="400" w:lineRule="exact"/>
              <w:jc w:val="center"/>
              <w:rPr>
                <w:szCs w:val="21"/>
              </w:rPr>
            </w:pPr>
            <w:r>
              <w:rPr>
                <w:szCs w:val="21"/>
              </w:rPr>
              <w:t>满足施工需要</w:t>
            </w:r>
          </w:p>
        </w:tc>
        <w:tc>
          <w:tcPr>
            <w:tcW w:w="999" w:type="dxa"/>
            <w:vAlign w:val="center"/>
          </w:tcPr>
          <w:p>
            <w:pPr>
              <w:spacing w:line="400" w:lineRule="exact"/>
              <w:jc w:val="center"/>
              <w:rPr>
                <w:szCs w:val="21"/>
              </w:rPr>
            </w:pPr>
            <w:r>
              <w:rPr>
                <w:rFonts w:hint="eastAsia"/>
                <w:szCs w:val="21"/>
              </w:rPr>
              <w:t>台</w:t>
            </w:r>
          </w:p>
        </w:tc>
        <w:tc>
          <w:tcPr>
            <w:tcW w:w="1142" w:type="dxa"/>
            <w:vAlign w:val="center"/>
          </w:tcPr>
          <w:p>
            <w:pPr>
              <w:spacing w:line="400" w:lineRule="exact"/>
              <w:jc w:val="center"/>
              <w:rPr>
                <w:szCs w:val="21"/>
              </w:rPr>
            </w:pPr>
            <w:r>
              <w:rPr>
                <w:rFonts w:hint="eastAsia"/>
                <w:szCs w:val="21"/>
              </w:rPr>
              <w:t>2</w:t>
            </w:r>
          </w:p>
        </w:tc>
        <w:tc>
          <w:tcPr>
            <w:tcW w:w="2073" w:type="dxa"/>
            <w:vAlign w:val="center"/>
          </w:tcPr>
          <w:p>
            <w:pPr>
              <w:spacing w:line="400" w:lineRule="exact"/>
              <w:jc w:val="center"/>
              <w:rPr>
                <w:szCs w:val="21"/>
              </w:rPr>
            </w:pPr>
            <w:r>
              <w:rPr>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p>
        </w:tc>
        <w:tc>
          <w:tcPr>
            <w:tcW w:w="2428" w:type="dxa"/>
            <w:vAlign w:val="center"/>
          </w:tcPr>
          <w:p>
            <w:pPr>
              <w:spacing w:line="400" w:lineRule="exact"/>
              <w:jc w:val="center"/>
              <w:rPr>
                <w:szCs w:val="21"/>
              </w:rPr>
            </w:pPr>
          </w:p>
        </w:tc>
        <w:tc>
          <w:tcPr>
            <w:tcW w:w="999" w:type="dxa"/>
            <w:vAlign w:val="center"/>
          </w:tcPr>
          <w:p>
            <w:pPr>
              <w:spacing w:line="400" w:lineRule="exact"/>
              <w:jc w:val="center"/>
              <w:rPr>
                <w:szCs w:val="21"/>
              </w:rPr>
            </w:pPr>
          </w:p>
        </w:tc>
        <w:tc>
          <w:tcPr>
            <w:tcW w:w="1142" w:type="dxa"/>
          </w:tcPr>
          <w:p>
            <w:pPr>
              <w:spacing w:line="400" w:lineRule="exact"/>
              <w:jc w:val="center"/>
              <w:rPr>
                <w:szCs w:val="21"/>
              </w:rPr>
            </w:pPr>
          </w:p>
        </w:tc>
        <w:tc>
          <w:tcPr>
            <w:tcW w:w="2073"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jc w:val="center"/>
              <w:rPr>
                <w:szCs w:val="21"/>
              </w:rPr>
            </w:pPr>
          </w:p>
        </w:tc>
        <w:tc>
          <w:tcPr>
            <w:tcW w:w="2428" w:type="dxa"/>
            <w:vAlign w:val="center"/>
          </w:tcPr>
          <w:p>
            <w:pPr>
              <w:spacing w:line="400" w:lineRule="exact"/>
              <w:jc w:val="center"/>
              <w:rPr>
                <w:szCs w:val="21"/>
              </w:rPr>
            </w:pPr>
          </w:p>
        </w:tc>
        <w:tc>
          <w:tcPr>
            <w:tcW w:w="999" w:type="dxa"/>
            <w:vAlign w:val="center"/>
          </w:tcPr>
          <w:p>
            <w:pPr>
              <w:spacing w:line="400" w:lineRule="exact"/>
              <w:jc w:val="center"/>
              <w:rPr>
                <w:szCs w:val="21"/>
              </w:rPr>
            </w:pPr>
          </w:p>
        </w:tc>
        <w:tc>
          <w:tcPr>
            <w:tcW w:w="1142" w:type="dxa"/>
          </w:tcPr>
          <w:p>
            <w:pPr>
              <w:spacing w:line="400" w:lineRule="exact"/>
              <w:jc w:val="center"/>
              <w:rPr>
                <w:szCs w:val="21"/>
              </w:rPr>
            </w:pPr>
          </w:p>
        </w:tc>
        <w:tc>
          <w:tcPr>
            <w:tcW w:w="2073" w:type="dxa"/>
            <w:vAlign w:val="center"/>
          </w:tcPr>
          <w:p>
            <w:pPr>
              <w:spacing w:line="400" w:lineRule="exact"/>
              <w:jc w:val="center"/>
              <w:rPr>
                <w:szCs w:val="21"/>
              </w:rPr>
            </w:pPr>
          </w:p>
        </w:tc>
      </w:tr>
    </w:tbl>
    <w:p>
      <w:pPr>
        <w:rPr>
          <w:rFonts w:hint="eastAsia" w:ascii="宋体" w:hAnsi="宋体"/>
          <w:sz w:val="24"/>
        </w:rPr>
      </w:pPr>
      <w:r>
        <w:rPr>
          <w:rFonts w:hint="eastAsia" w:ascii="宋体" w:hAnsi="宋体"/>
          <w:sz w:val="24"/>
        </w:rPr>
        <w:t>只需做出承诺，不再提供相关证明原件及复印件。</w:t>
      </w:r>
      <w:bookmarkEnd w:id="9"/>
      <w:bookmarkStart w:id="10" w:name="_Toc2209"/>
      <w:bookmarkStart w:id="11" w:name="_Toc486277863"/>
      <w:bookmarkStart w:id="12" w:name="_Toc485889002"/>
    </w:p>
    <w:p>
      <w:pPr>
        <w:pStyle w:val="2"/>
        <w:rPr>
          <w:rFonts w:hint="eastAsia" w:ascii="宋体" w:hAnsi="宋体"/>
          <w:sz w:val="24"/>
        </w:rPr>
      </w:pPr>
    </w:p>
    <w:p>
      <w:pPr>
        <w:pStyle w:val="2"/>
        <w:rPr>
          <w:rFonts w:hint="eastAsia" w:ascii="宋体" w:hAnsi="宋体"/>
          <w:sz w:val="24"/>
        </w:rPr>
      </w:pPr>
    </w:p>
    <w:p>
      <w:pPr>
        <w:pStyle w:val="4"/>
        <w:spacing w:beforeLines="50" w:after="0" w:line="400" w:lineRule="exact"/>
        <w:rPr>
          <w:rFonts w:ascii="宋体" w:hAnsi="宋体"/>
          <w:sz w:val="24"/>
          <w:szCs w:val="24"/>
        </w:rPr>
      </w:pPr>
      <w:r>
        <w:rPr>
          <w:rFonts w:ascii="宋体" w:hAnsi="宋体"/>
          <w:sz w:val="24"/>
          <w:szCs w:val="24"/>
        </w:rPr>
        <w:t>1. 总则</w:t>
      </w:r>
      <w:bookmarkEnd w:id="10"/>
      <w:bookmarkEnd w:id="11"/>
      <w:bookmarkEnd w:id="12"/>
    </w:p>
    <w:p>
      <w:pPr>
        <w:pStyle w:val="4"/>
        <w:spacing w:beforeLines="50" w:after="0" w:line="400" w:lineRule="exact"/>
        <w:rPr>
          <w:rFonts w:ascii="宋体" w:hAnsi="宋体"/>
          <w:sz w:val="24"/>
          <w:szCs w:val="24"/>
        </w:rPr>
      </w:pPr>
      <w:bookmarkStart w:id="13" w:name="_Toc29730"/>
      <w:bookmarkStart w:id="14" w:name="_Toc234382590"/>
      <w:bookmarkStart w:id="15" w:name="_Toc486277864"/>
      <w:bookmarkStart w:id="16" w:name="_Toc485889003"/>
      <w:r>
        <w:rPr>
          <w:rFonts w:ascii="宋体" w:hAnsi="宋体"/>
          <w:sz w:val="24"/>
          <w:szCs w:val="24"/>
        </w:rPr>
        <w:t>1.1 项目概况</w:t>
      </w:r>
      <w:bookmarkEnd w:id="13"/>
      <w:bookmarkEnd w:id="14"/>
      <w:bookmarkEnd w:id="15"/>
      <w:bookmarkEnd w:id="16"/>
    </w:p>
    <w:p>
      <w:pPr>
        <w:spacing w:line="400" w:lineRule="exact"/>
        <w:ind w:firstLine="480"/>
        <w:rPr>
          <w:rFonts w:ascii="宋体" w:hAnsi="宋体"/>
          <w:sz w:val="24"/>
        </w:rPr>
      </w:pPr>
      <w:bookmarkStart w:id="17" w:name="_Toc234382591"/>
      <w:r>
        <w:rPr>
          <w:rFonts w:hint="eastAsia" w:ascii="宋体" w:hAnsi="宋体"/>
          <w:sz w:val="24"/>
        </w:rPr>
        <w:t>1.1.1根据《中华人民共和国招标投标法》等有关法律、法规和规章的规定，本招标项目已具备招标条件，现对本工程施工进行招标，</w:t>
      </w:r>
      <w:r>
        <w:rPr>
          <w:rFonts w:hint="eastAsia" w:ascii="宋体" w:hAnsi="宋体" w:cs="宋体"/>
          <w:color w:val="000000"/>
          <w:sz w:val="24"/>
        </w:rPr>
        <w:t>择优选定投标人。</w:t>
      </w:r>
    </w:p>
    <w:p>
      <w:pPr>
        <w:spacing w:line="400" w:lineRule="exact"/>
        <w:ind w:firstLine="480"/>
        <w:rPr>
          <w:rFonts w:ascii="宋体" w:hAnsi="宋体"/>
          <w:sz w:val="24"/>
        </w:rPr>
      </w:pPr>
      <w:r>
        <w:rPr>
          <w:rFonts w:hint="eastAsia" w:ascii="宋体" w:hAnsi="宋体"/>
          <w:sz w:val="24"/>
        </w:rPr>
        <w:t>1.1.2 本招标项目招标人：见投标人须知前附表。</w:t>
      </w:r>
    </w:p>
    <w:p>
      <w:pPr>
        <w:spacing w:line="400" w:lineRule="exact"/>
        <w:ind w:firstLine="480"/>
        <w:rPr>
          <w:rFonts w:ascii="宋体" w:hAnsi="宋体"/>
          <w:sz w:val="24"/>
        </w:rPr>
      </w:pPr>
      <w:r>
        <w:rPr>
          <w:rFonts w:hint="eastAsia" w:ascii="宋体" w:hAnsi="宋体"/>
          <w:sz w:val="24"/>
        </w:rPr>
        <w:t>1.1.3 本标段招标代理机构：见投标人须知前附表。</w:t>
      </w:r>
    </w:p>
    <w:p>
      <w:pPr>
        <w:spacing w:line="400" w:lineRule="exact"/>
        <w:ind w:firstLine="480"/>
        <w:rPr>
          <w:rFonts w:ascii="宋体" w:hAnsi="宋体"/>
          <w:sz w:val="24"/>
        </w:rPr>
      </w:pPr>
      <w:r>
        <w:rPr>
          <w:rFonts w:hint="eastAsia" w:ascii="宋体" w:hAnsi="宋体"/>
          <w:sz w:val="24"/>
        </w:rPr>
        <w:t>1.1.4 本招标项目名称：见投标人须知前附表。</w:t>
      </w:r>
    </w:p>
    <w:p>
      <w:pPr>
        <w:spacing w:line="400" w:lineRule="exact"/>
        <w:ind w:firstLine="480"/>
        <w:rPr>
          <w:rFonts w:ascii="宋体" w:hAnsi="宋体"/>
          <w:sz w:val="24"/>
        </w:rPr>
      </w:pPr>
      <w:r>
        <w:rPr>
          <w:rFonts w:hint="eastAsia" w:ascii="宋体" w:hAnsi="宋体"/>
          <w:sz w:val="24"/>
        </w:rPr>
        <w:t>1.1.5 本标段建设地点：见投标人须知前附表。</w:t>
      </w:r>
    </w:p>
    <w:p>
      <w:pPr>
        <w:pStyle w:val="4"/>
        <w:spacing w:beforeLines="50" w:after="0" w:line="400" w:lineRule="exact"/>
        <w:rPr>
          <w:rFonts w:ascii="宋体" w:hAnsi="宋体"/>
          <w:sz w:val="24"/>
          <w:szCs w:val="24"/>
        </w:rPr>
      </w:pPr>
      <w:bookmarkStart w:id="18" w:name="_Toc14323"/>
      <w:bookmarkStart w:id="19" w:name="_Toc486277865"/>
      <w:bookmarkStart w:id="20" w:name="_Toc485889004"/>
      <w:r>
        <w:rPr>
          <w:rFonts w:ascii="宋体" w:hAnsi="宋体"/>
          <w:sz w:val="24"/>
          <w:szCs w:val="24"/>
        </w:rPr>
        <w:t>1.</w:t>
      </w:r>
      <w:r>
        <w:rPr>
          <w:rFonts w:hint="eastAsia" w:ascii="宋体" w:hAnsi="宋体"/>
          <w:sz w:val="24"/>
          <w:szCs w:val="24"/>
        </w:rPr>
        <w:t>2</w:t>
      </w:r>
      <w:r>
        <w:rPr>
          <w:rFonts w:ascii="宋体" w:hAnsi="宋体"/>
          <w:sz w:val="24"/>
          <w:szCs w:val="24"/>
        </w:rPr>
        <w:t>资金来源和落实情况</w:t>
      </w:r>
      <w:bookmarkEnd w:id="18"/>
      <w:bookmarkEnd w:id="19"/>
      <w:bookmarkEnd w:id="20"/>
    </w:p>
    <w:bookmarkEnd w:id="17"/>
    <w:p>
      <w:pPr>
        <w:spacing w:line="400" w:lineRule="exact"/>
        <w:ind w:firstLine="480"/>
        <w:rPr>
          <w:rFonts w:ascii="宋体" w:hAnsi="宋体"/>
          <w:sz w:val="24"/>
        </w:rPr>
      </w:pPr>
      <w:r>
        <w:rPr>
          <w:rFonts w:hint="eastAsia" w:ascii="宋体" w:hAnsi="宋体"/>
          <w:sz w:val="24"/>
        </w:rPr>
        <w:t>1.2.1 本招标项目的资金来源：见投标人须知前附表。</w:t>
      </w:r>
    </w:p>
    <w:p>
      <w:pPr>
        <w:spacing w:line="400" w:lineRule="exact"/>
        <w:ind w:firstLine="480"/>
        <w:rPr>
          <w:rFonts w:ascii="宋体" w:hAnsi="宋体"/>
          <w:sz w:val="24"/>
        </w:rPr>
      </w:pPr>
      <w:r>
        <w:rPr>
          <w:rFonts w:hint="eastAsia" w:ascii="宋体" w:hAnsi="宋体"/>
          <w:sz w:val="24"/>
        </w:rPr>
        <w:t>1.2.2 本招标项目的出资比例：见投标人须知前附表。</w:t>
      </w:r>
    </w:p>
    <w:p>
      <w:pPr>
        <w:spacing w:line="400" w:lineRule="exact"/>
        <w:ind w:firstLine="480"/>
        <w:rPr>
          <w:rFonts w:ascii="宋体" w:hAnsi="宋体"/>
          <w:sz w:val="24"/>
        </w:rPr>
      </w:pPr>
      <w:r>
        <w:rPr>
          <w:rFonts w:hint="eastAsia" w:ascii="宋体" w:hAnsi="宋体"/>
          <w:sz w:val="24"/>
        </w:rPr>
        <w:t>1.2.3 本招标项目的资金落实情况：见投标人须知前附表。</w:t>
      </w:r>
    </w:p>
    <w:p>
      <w:pPr>
        <w:pStyle w:val="4"/>
        <w:spacing w:beforeLines="50" w:after="0" w:line="400" w:lineRule="exact"/>
        <w:rPr>
          <w:rFonts w:ascii="宋体" w:hAnsi="宋体"/>
          <w:sz w:val="24"/>
          <w:szCs w:val="24"/>
        </w:rPr>
      </w:pPr>
      <w:bookmarkStart w:id="21" w:name="_Toc17973"/>
      <w:bookmarkStart w:id="22" w:name="_Toc234382592"/>
      <w:bookmarkStart w:id="23" w:name="_Toc486277866"/>
      <w:bookmarkStart w:id="24" w:name="_Toc485889005"/>
      <w:r>
        <w:rPr>
          <w:rFonts w:ascii="宋体" w:hAnsi="宋体"/>
          <w:sz w:val="24"/>
          <w:szCs w:val="24"/>
        </w:rPr>
        <w:t>1.3 招标范围、计划工期和质量要求</w:t>
      </w:r>
      <w:bookmarkEnd w:id="21"/>
      <w:bookmarkEnd w:id="22"/>
      <w:bookmarkEnd w:id="23"/>
      <w:bookmarkEnd w:id="24"/>
    </w:p>
    <w:p>
      <w:pPr>
        <w:spacing w:line="400" w:lineRule="exact"/>
        <w:ind w:firstLine="480"/>
        <w:rPr>
          <w:rFonts w:ascii="宋体" w:hAnsi="宋体"/>
          <w:sz w:val="24"/>
        </w:rPr>
      </w:pPr>
      <w:r>
        <w:rPr>
          <w:rFonts w:ascii="宋体" w:hAnsi="宋体"/>
          <w:sz w:val="24"/>
        </w:rPr>
        <w:t>1.3.1 本次招标范围：见投标人须知前附表。</w:t>
      </w:r>
    </w:p>
    <w:p>
      <w:pPr>
        <w:spacing w:line="400" w:lineRule="exact"/>
        <w:ind w:firstLine="480"/>
        <w:rPr>
          <w:rFonts w:ascii="宋体" w:hAnsi="宋体"/>
          <w:sz w:val="24"/>
        </w:rPr>
      </w:pPr>
      <w:r>
        <w:rPr>
          <w:rFonts w:ascii="宋体" w:hAnsi="宋体"/>
          <w:sz w:val="24"/>
        </w:rPr>
        <w:t>1.3.2 本标段的计划工期：见投标人须知前附表。</w:t>
      </w:r>
    </w:p>
    <w:p>
      <w:pPr>
        <w:spacing w:line="400" w:lineRule="exact"/>
        <w:ind w:firstLine="480"/>
        <w:rPr>
          <w:rFonts w:ascii="宋体" w:hAnsi="宋体"/>
          <w:sz w:val="24"/>
        </w:rPr>
      </w:pPr>
      <w:r>
        <w:rPr>
          <w:rFonts w:ascii="宋体" w:hAnsi="宋体"/>
          <w:sz w:val="24"/>
        </w:rPr>
        <w:t>1.3.3 本标段的质量要求：见投标人须知前附表。</w:t>
      </w:r>
    </w:p>
    <w:p>
      <w:pPr>
        <w:pStyle w:val="4"/>
        <w:spacing w:beforeLines="50" w:after="0" w:line="400" w:lineRule="exact"/>
        <w:rPr>
          <w:rFonts w:ascii="宋体" w:hAnsi="宋体"/>
          <w:sz w:val="24"/>
          <w:szCs w:val="24"/>
        </w:rPr>
      </w:pPr>
      <w:bookmarkStart w:id="25" w:name="_Toc234382594"/>
      <w:bookmarkStart w:id="26" w:name="_Toc486277867"/>
      <w:bookmarkStart w:id="27" w:name="_Toc485889006"/>
      <w:bookmarkStart w:id="28" w:name="_Toc2109"/>
      <w:r>
        <w:rPr>
          <w:rFonts w:ascii="宋体" w:hAnsi="宋体"/>
          <w:sz w:val="24"/>
          <w:szCs w:val="24"/>
        </w:rPr>
        <w:t>1.4 投标人资格要求（适用于未进行资格预审的）</w:t>
      </w:r>
      <w:bookmarkEnd w:id="25"/>
      <w:bookmarkEnd w:id="26"/>
      <w:bookmarkEnd w:id="27"/>
      <w:bookmarkEnd w:id="28"/>
    </w:p>
    <w:p>
      <w:pPr>
        <w:spacing w:line="400" w:lineRule="exact"/>
        <w:ind w:firstLine="480" w:firstLineChars="200"/>
        <w:rPr>
          <w:rFonts w:ascii="宋体" w:hAnsi="宋体"/>
          <w:sz w:val="24"/>
        </w:rPr>
      </w:pPr>
      <w:r>
        <w:rPr>
          <w:rFonts w:ascii="宋体" w:hAnsi="宋体"/>
          <w:sz w:val="24"/>
        </w:rPr>
        <w:t>1.4.1 投标人应具备承担本标段施工的资质条件、能力和信誉。</w:t>
      </w:r>
    </w:p>
    <w:p>
      <w:pPr>
        <w:spacing w:line="400" w:lineRule="exact"/>
        <w:ind w:firstLine="480" w:firstLineChars="200"/>
        <w:rPr>
          <w:rFonts w:ascii="宋体" w:hAnsi="宋体"/>
          <w:sz w:val="24"/>
        </w:rPr>
      </w:pPr>
      <w:r>
        <w:rPr>
          <w:rFonts w:ascii="宋体" w:hAnsi="宋体"/>
          <w:sz w:val="24"/>
        </w:rPr>
        <w:t>（1）资质条件：见投标人须知前附表；</w:t>
      </w:r>
    </w:p>
    <w:p>
      <w:pPr>
        <w:spacing w:line="400" w:lineRule="exact"/>
        <w:ind w:firstLine="480" w:firstLineChars="200"/>
        <w:rPr>
          <w:rFonts w:ascii="宋体" w:hAnsi="宋体"/>
          <w:sz w:val="24"/>
        </w:rPr>
      </w:pPr>
      <w:r>
        <w:rPr>
          <w:rFonts w:ascii="宋体" w:hAnsi="宋体"/>
          <w:sz w:val="24"/>
        </w:rPr>
        <w:t>（2）财务要求：见投标人须知前附表；</w:t>
      </w:r>
    </w:p>
    <w:p>
      <w:pPr>
        <w:spacing w:line="400" w:lineRule="exact"/>
        <w:ind w:firstLine="480" w:firstLineChars="200"/>
        <w:rPr>
          <w:rFonts w:ascii="宋体" w:hAnsi="宋体"/>
          <w:sz w:val="24"/>
        </w:rPr>
      </w:pPr>
      <w:r>
        <w:rPr>
          <w:rFonts w:ascii="宋体" w:hAnsi="宋体"/>
          <w:sz w:val="24"/>
        </w:rPr>
        <w:t>（3）业绩要求：见投标人须知前附表；</w:t>
      </w:r>
    </w:p>
    <w:p>
      <w:pPr>
        <w:spacing w:line="400" w:lineRule="exact"/>
        <w:ind w:firstLine="480" w:firstLineChars="200"/>
        <w:rPr>
          <w:rFonts w:ascii="宋体" w:hAnsi="宋体"/>
          <w:sz w:val="24"/>
        </w:rPr>
      </w:pPr>
      <w:r>
        <w:rPr>
          <w:rFonts w:ascii="宋体" w:hAnsi="宋体"/>
          <w:sz w:val="24"/>
        </w:rPr>
        <w:t>（4）信誉要求：见投标人须知前附表;</w:t>
      </w:r>
    </w:p>
    <w:p>
      <w:pPr>
        <w:spacing w:line="400" w:lineRule="exact"/>
        <w:ind w:firstLine="480" w:firstLineChars="200"/>
        <w:rPr>
          <w:rFonts w:ascii="宋体" w:hAnsi="宋体"/>
          <w:sz w:val="24"/>
        </w:rPr>
      </w:pPr>
      <w:r>
        <w:rPr>
          <w:rFonts w:ascii="宋体" w:hAnsi="宋体"/>
          <w:sz w:val="24"/>
        </w:rPr>
        <w:t>（5）项目经理资格：见投标人须知前附表；</w:t>
      </w:r>
    </w:p>
    <w:p>
      <w:pPr>
        <w:spacing w:line="400" w:lineRule="exact"/>
        <w:ind w:firstLine="480" w:firstLineChars="200"/>
        <w:rPr>
          <w:rFonts w:ascii="宋体" w:hAnsi="宋体"/>
          <w:sz w:val="24"/>
        </w:rPr>
      </w:pPr>
      <w:r>
        <w:rPr>
          <w:rFonts w:ascii="宋体" w:hAnsi="宋体"/>
          <w:sz w:val="24"/>
        </w:rPr>
        <w:t>（6）其他要求：见投标人须知前附表。</w:t>
      </w:r>
    </w:p>
    <w:p>
      <w:pPr>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spacing w:line="400" w:lineRule="exact"/>
        <w:ind w:firstLine="480" w:firstLineChars="200"/>
        <w:rPr>
          <w:rFonts w:ascii="宋体" w:hAnsi="宋体"/>
          <w:sz w:val="24"/>
        </w:rPr>
      </w:pPr>
      <w:r>
        <w:rPr>
          <w:rFonts w:ascii="宋体" w:hAnsi="宋体"/>
          <w:sz w:val="24"/>
        </w:rPr>
        <w:t>1.4.3 投标人不得存在下列情形之一：</w:t>
      </w:r>
    </w:p>
    <w:p>
      <w:pPr>
        <w:spacing w:line="400" w:lineRule="exact"/>
        <w:ind w:firstLine="480" w:firstLineChars="200"/>
        <w:rPr>
          <w:rFonts w:ascii="宋体" w:hAnsi="宋体"/>
          <w:sz w:val="24"/>
        </w:rPr>
      </w:pPr>
      <w:r>
        <w:rPr>
          <w:rFonts w:ascii="宋体" w:hAnsi="宋体"/>
          <w:sz w:val="24"/>
        </w:rPr>
        <w:t>（1）为招标人不具有独立法人资格的附属机构（单位）；</w:t>
      </w:r>
    </w:p>
    <w:p>
      <w:pPr>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spacing w:line="400" w:lineRule="exact"/>
        <w:ind w:firstLine="480" w:firstLineChars="200"/>
        <w:rPr>
          <w:rFonts w:ascii="宋体" w:hAnsi="宋体"/>
          <w:sz w:val="24"/>
        </w:rPr>
      </w:pPr>
      <w:r>
        <w:rPr>
          <w:rFonts w:ascii="宋体" w:hAnsi="宋体"/>
          <w:sz w:val="24"/>
        </w:rPr>
        <w:t>（3）为本标段的监理人；</w:t>
      </w:r>
    </w:p>
    <w:p>
      <w:pPr>
        <w:spacing w:line="400" w:lineRule="exact"/>
        <w:ind w:firstLine="480" w:firstLineChars="200"/>
        <w:rPr>
          <w:rFonts w:ascii="宋体" w:hAnsi="宋体"/>
          <w:sz w:val="24"/>
        </w:rPr>
      </w:pPr>
      <w:r>
        <w:rPr>
          <w:rFonts w:ascii="宋体" w:hAnsi="宋体"/>
          <w:sz w:val="24"/>
        </w:rPr>
        <w:t>（4）为本标段的代建人；</w:t>
      </w:r>
    </w:p>
    <w:p>
      <w:pPr>
        <w:spacing w:line="400" w:lineRule="exact"/>
        <w:ind w:firstLine="480" w:firstLineChars="200"/>
        <w:rPr>
          <w:rFonts w:ascii="宋体" w:hAnsi="宋体"/>
          <w:sz w:val="24"/>
        </w:rPr>
      </w:pPr>
      <w:r>
        <w:rPr>
          <w:rFonts w:ascii="宋体" w:hAnsi="宋体"/>
          <w:sz w:val="24"/>
        </w:rPr>
        <w:t>（5）为本标段提供招标代理服务的；</w:t>
      </w:r>
    </w:p>
    <w:p>
      <w:pPr>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spacing w:line="400" w:lineRule="exact"/>
        <w:ind w:firstLine="480" w:firstLineChars="200"/>
        <w:rPr>
          <w:rFonts w:ascii="宋体" w:hAnsi="宋体"/>
          <w:sz w:val="24"/>
        </w:rPr>
      </w:pPr>
      <w:r>
        <w:rPr>
          <w:rFonts w:ascii="宋体" w:hAnsi="宋体"/>
          <w:sz w:val="24"/>
        </w:rPr>
        <w:t>（9）被责令停业的；</w:t>
      </w:r>
    </w:p>
    <w:p>
      <w:pPr>
        <w:spacing w:line="400" w:lineRule="exact"/>
        <w:ind w:firstLine="480" w:firstLineChars="200"/>
        <w:rPr>
          <w:rFonts w:ascii="宋体" w:hAnsi="宋体"/>
          <w:sz w:val="24"/>
        </w:rPr>
      </w:pPr>
      <w:r>
        <w:rPr>
          <w:rFonts w:ascii="宋体" w:hAnsi="宋体"/>
          <w:sz w:val="24"/>
        </w:rPr>
        <w:t>（10）被暂停或取消投标资格的；</w:t>
      </w:r>
    </w:p>
    <w:p>
      <w:pPr>
        <w:spacing w:line="400" w:lineRule="exact"/>
        <w:ind w:firstLine="480" w:firstLineChars="200"/>
        <w:rPr>
          <w:rFonts w:ascii="宋体" w:hAnsi="宋体"/>
          <w:sz w:val="24"/>
        </w:rPr>
      </w:pPr>
      <w:r>
        <w:rPr>
          <w:rFonts w:ascii="宋体" w:hAnsi="宋体"/>
          <w:sz w:val="24"/>
        </w:rPr>
        <w:t>（11）财产被接管或冻结的；</w:t>
      </w:r>
    </w:p>
    <w:p>
      <w:pPr>
        <w:spacing w:line="400" w:lineRule="exact"/>
        <w:ind w:firstLine="480" w:firstLineChars="200"/>
        <w:rPr>
          <w:rFonts w:ascii="宋体" w:hAnsi="宋体"/>
          <w:sz w:val="24"/>
        </w:rPr>
      </w:pPr>
      <w:r>
        <w:rPr>
          <w:rFonts w:ascii="宋体" w:hAnsi="宋体"/>
          <w:sz w:val="24"/>
        </w:rPr>
        <w:t>（12）在最近三年内有骗取中标或严重违约或重大工程质量问题的</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（13）涉及正在诉讼的案件，或涉及正在诉讼的案件但经审查委员会认定不会对承担本项目造成重大影响；</w:t>
      </w:r>
    </w:p>
    <w:p>
      <w:pPr>
        <w:spacing w:line="400" w:lineRule="exact"/>
        <w:ind w:firstLine="480" w:firstLineChars="200"/>
        <w:rPr>
          <w:rFonts w:ascii="宋体" w:hAnsi="宋体"/>
          <w:sz w:val="24"/>
        </w:rPr>
      </w:pPr>
      <w:r>
        <w:rPr>
          <w:rFonts w:hint="eastAsia" w:ascii="宋体" w:hAnsi="宋体"/>
          <w:sz w:val="24"/>
        </w:rPr>
        <w:t>（14）被省级及以上交通主管部门取消项目所在地的投标资格或禁止进入该区域公路建设市场且处于有效期内；</w:t>
      </w:r>
    </w:p>
    <w:p>
      <w:pPr>
        <w:spacing w:line="400" w:lineRule="exact"/>
        <w:ind w:firstLine="480" w:firstLineChars="200"/>
        <w:rPr>
          <w:rFonts w:ascii="宋体" w:hAnsi="宋体"/>
          <w:sz w:val="24"/>
        </w:rPr>
      </w:pPr>
      <w:r>
        <w:rPr>
          <w:rFonts w:hint="eastAsia" w:ascii="宋体" w:hAnsi="宋体"/>
          <w:sz w:val="24"/>
        </w:rPr>
        <w:t>（15）为投资参股本项目的法人单位。</w:t>
      </w:r>
    </w:p>
    <w:p>
      <w:pPr>
        <w:pStyle w:val="4"/>
        <w:spacing w:beforeLines="50" w:after="0" w:line="400" w:lineRule="exact"/>
        <w:rPr>
          <w:rFonts w:ascii="宋体" w:hAnsi="宋体"/>
          <w:sz w:val="24"/>
          <w:szCs w:val="24"/>
        </w:rPr>
      </w:pPr>
      <w:bookmarkStart w:id="29" w:name="_Toc234382595"/>
      <w:bookmarkStart w:id="30" w:name="_Toc486277868"/>
      <w:bookmarkStart w:id="31" w:name="_Toc19946"/>
      <w:bookmarkStart w:id="32" w:name="_Toc485889007"/>
      <w:r>
        <w:rPr>
          <w:rFonts w:ascii="宋体" w:hAnsi="宋体"/>
          <w:sz w:val="24"/>
          <w:szCs w:val="24"/>
        </w:rPr>
        <w:t>1.5 费用承担</w:t>
      </w:r>
      <w:bookmarkEnd w:id="29"/>
      <w:bookmarkEnd w:id="30"/>
      <w:bookmarkEnd w:id="31"/>
      <w:bookmarkEnd w:id="32"/>
    </w:p>
    <w:p>
      <w:pPr>
        <w:spacing w:line="400" w:lineRule="exact"/>
        <w:ind w:firstLine="480" w:firstLineChars="200"/>
        <w:rPr>
          <w:rFonts w:ascii="宋体" w:hAnsi="宋体"/>
          <w:sz w:val="24"/>
        </w:rPr>
      </w:pPr>
      <w:r>
        <w:rPr>
          <w:rFonts w:ascii="宋体" w:hAnsi="宋体"/>
          <w:sz w:val="24"/>
        </w:rPr>
        <w:t>投标人准备和参加投标活动发生的费用自理。</w:t>
      </w:r>
    </w:p>
    <w:p>
      <w:pPr>
        <w:pStyle w:val="4"/>
        <w:spacing w:beforeLines="50" w:after="0" w:line="400" w:lineRule="exact"/>
        <w:rPr>
          <w:rFonts w:ascii="宋体" w:hAnsi="宋体"/>
          <w:sz w:val="24"/>
          <w:szCs w:val="24"/>
        </w:rPr>
      </w:pPr>
      <w:bookmarkStart w:id="33" w:name="_Toc8968"/>
      <w:bookmarkStart w:id="34" w:name="_Toc485889008"/>
      <w:bookmarkStart w:id="35" w:name="_Toc486277869"/>
      <w:bookmarkStart w:id="36" w:name="_Toc234382596"/>
      <w:r>
        <w:rPr>
          <w:rFonts w:ascii="宋体" w:hAnsi="宋体"/>
          <w:sz w:val="24"/>
          <w:szCs w:val="24"/>
        </w:rPr>
        <w:t>1.6 保密</w:t>
      </w:r>
      <w:bookmarkEnd w:id="33"/>
      <w:bookmarkEnd w:id="34"/>
      <w:bookmarkEnd w:id="35"/>
      <w:bookmarkEnd w:id="36"/>
    </w:p>
    <w:p>
      <w:pPr>
        <w:spacing w:line="400" w:lineRule="exact"/>
        <w:ind w:firstLine="480" w:firstLineChars="20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pPr>
        <w:pStyle w:val="4"/>
        <w:spacing w:beforeLines="50" w:after="0" w:line="400" w:lineRule="exact"/>
        <w:rPr>
          <w:rFonts w:ascii="宋体" w:hAnsi="宋体"/>
          <w:sz w:val="24"/>
          <w:szCs w:val="24"/>
        </w:rPr>
      </w:pPr>
      <w:bookmarkStart w:id="37" w:name="_Toc485889009"/>
      <w:bookmarkStart w:id="38" w:name="_Toc486277870"/>
      <w:bookmarkStart w:id="39" w:name="_Toc5358"/>
      <w:bookmarkStart w:id="40" w:name="_Toc234382597"/>
      <w:r>
        <w:rPr>
          <w:rFonts w:ascii="宋体" w:hAnsi="宋体"/>
          <w:sz w:val="24"/>
          <w:szCs w:val="24"/>
        </w:rPr>
        <w:t>1.7 语言文字</w:t>
      </w:r>
      <w:bookmarkEnd w:id="37"/>
      <w:bookmarkEnd w:id="38"/>
      <w:bookmarkEnd w:id="39"/>
      <w:bookmarkEnd w:id="40"/>
    </w:p>
    <w:p>
      <w:pPr>
        <w:spacing w:line="400" w:lineRule="exact"/>
        <w:ind w:firstLine="480" w:firstLineChars="200"/>
        <w:rPr>
          <w:rFonts w:ascii="宋体" w:hAnsi="宋体"/>
          <w:sz w:val="24"/>
        </w:rPr>
      </w:pPr>
      <w:r>
        <w:rPr>
          <w:rFonts w:ascii="宋体" w:hAnsi="宋体"/>
          <w:sz w:val="24"/>
        </w:rPr>
        <w:t>除专用术语外，与招标投标有关的语言均使用中文。必要时专用术语应附有中文注释。</w:t>
      </w:r>
    </w:p>
    <w:p>
      <w:pPr>
        <w:pStyle w:val="4"/>
        <w:spacing w:beforeLines="50" w:after="0" w:line="400" w:lineRule="exact"/>
        <w:rPr>
          <w:rFonts w:ascii="宋体" w:hAnsi="宋体"/>
          <w:sz w:val="24"/>
          <w:szCs w:val="24"/>
        </w:rPr>
      </w:pPr>
      <w:bookmarkStart w:id="41" w:name="_Toc105"/>
      <w:bookmarkStart w:id="42" w:name="_Toc234382598"/>
      <w:bookmarkStart w:id="43" w:name="_Toc486277871"/>
      <w:bookmarkStart w:id="44" w:name="_Toc485889010"/>
      <w:r>
        <w:rPr>
          <w:rFonts w:ascii="宋体" w:hAnsi="宋体"/>
          <w:sz w:val="24"/>
          <w:szCs w:val="24"/>
        </w:rPr>
        <w:t>1.8 计量单位</w:t>
      </w:r>
      <w:bookmarkEnd w:id="41"/>
      <w:bookmarkEnd w:id="42"/>
      <w:bookmarkEnd w:id="43"/>
      <w:bookmarkEnd w:id="44"/>
    </w:p>
    <w:p>
      <w:pPr>
        <w:spacing w:line="400" w:lineRule="exact"/>
        <w:ind w:firstLine="480" w:firstLineChars="200"/>
        <w:rPr>
          <w:rFonts w:ascii="宋体" w:hAnsi="宋体"/>
          <w:sz w:val="24"/>
        </w:rPr>
      </w:pPr>
      <w:r>
        <w:rPr>
          <w:rFonts w:ascii="宋体" w:hAnsi="宋体"/>
          <w:sz w:val="24"/>
        </w:rPr>
        <w:t>所有计量均采用中华人民共和国法定计量单位。</w:t>
      </w:r>
    </w:p>
    <w:p>
      <w:pPr>
        <w:pStyle w:val="4"/>
        <w:spacing w:beforeLines="50" w:after="0" w:line="400" w:lineRule="exact"/>
        <w:rPr>
          <w:rFonts w:ascii="宋体" w:hAnsi="宋体"/>
          <w:sz w:val="24"/>
          <w:szCs w:val="24"/>
        </w:rPr>
      </w:pPr>
      <w:bookmarkStart w:id="45" w:name="_Toc234382599"/>
      <w:bookmarkStart w:id="46" w:name="_Toc485889011"/>
      <w:bookmarkStart w:id="47" w:name="_Toc486277872"/>
      <w:bookmarkStart w:id="48" w:name="_Toc31645"/>
      <w:r>
        <w:rPr>
          <w:rFonts w:ascii="宋体" w:hAnsi="宋体"/>
          <w:sz w:val="24"/>
          <w:szCs w:val="24"/>
        </w:rPr>
        <w:t>1.9 踏勘现场</w:t>
      </w:r>
      <w:bookmarkEnd w:id="45"/>
      <w:bookmarkEnd w:id="46"/>
      <w:bookmarkEnd w:id="47"/>
      <w:bookmarkEnd w:id="48"/>
    </w:p>
    <w:p>
      <w:pPr>
        <w:spacing w:line="400" w:lineRule="exact"/>
        <w:ind w:firstLine="480" w:firstLineChars="20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sz w:val="24"/>
        </w:rPr>
      </w:pPr>
      <w:r>
        <w:rPr>
          <w:rFonts w:ascii="宋体" w:hAnsi="宋体"/>
          <w:sz w:val="24"/>
        </w:rPr>
        <w:t>1.9.2 投标人踏勘现场发生的费用自理。</w:t>
      </w:r>
    </w:p>
    <w:p>
      <w:pPr>
        <w:spacing w:line="400" w:lineRule="exact"/>
        <w:ind w:firstLine="480" w:firstLineChars="200"/>
        <w:rPr>
          <w:rFonts w:ascii="宋体" w:hAnsi="宋体"/>
          <w:sz w:val="24"/>
        </w:rPr>
      </w:pPr>
      <w:r>
        <w:rPr>
          <w:rFonts w:ascii="宋体" w:hAnsi="宋体"/>
          <w:sz w:val="24"/>
        </w:rPr>
        <w:t>1.9.3 除招标人的原因外，投标人自行负责在踏勘现场中所发生的人员伤亡和财产损失。</w:t>
      </w:r>
    </w:p>
    <w:p>
      <w:pPr>
        <w:spacing w:line="400" w:lineRule="exact"/>
        <w:ind w:firstLine="480" w:firstLineChars="20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sz w:val="24"/>
        </w:rPr>
      </w:pPr>
      <w:r>
        <w:rPr>
          <w:rFonts w:hint="eastAsia" w:ascii="宋体" w:hAnsi="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spacing w:beforeLines="50" w:after="0" w:line="400" w:lineRule="exact"/>
        <w:rPr>
          <w:rFonts w:ascii="宋体" w:hAnsi="宋体"/>
          <w:sz w:val="24"/>
          <w:szCs w:val="24"/>
        </w:rPr>
      </w:pPr>
      <w:bookmarkStart w:id="49" w:name="_Toc234382600"/>
      <w:bookmarkStart w:id="50" w:name="_Toc486277873"/>
      <w:bookmarkStart w:id="51" w:name="_Toc3462"/>
      <w:bookmarkStart w:id="52" w:name="_Toc485889012"/>
      <w:r>
        <w:rPr>
          <w:rFonts w:ascii="宋体" w:hAnsi="宋体"/>
          <w:sz w:val="24"/>
          <w:szCs w:val="24"/>
        </w:rPr>
        <w:t>1.10 投标预备会</w:t>
      </w:r>
      <w:bookmarkEnd w:id="49"/>
      <w:r>
        <w:rPr>
          <w:rFonts w:hint="eastAsia" w:ascii="宋体" w:hAnsi="宋体"/>
          <w:sz w:val="24"/>
          <w:szCs w:val="24"/>
        </w:rPr>
        <w:t>（无）</w:t>
      </w:r>
      <w:bookmarkEnd w:id="50"/>
      <w:bookmarkEnd w:id="51"/>
      <w:bookmarkEnd w:id="52"/>
    </w:p>
    <w:p>
      <w:pPr>
        <w:pStyle w:val="4"/>
        <w:spacing w:beforeLines="50" w:after="0" w:line="400" w:lineRule="exact"/>
        <w:rPr>
          <w:rFonts w:ascii="宋体" w:hAnsi="宋体"/>
          <w:sz w:val="24"/>
          <w:szCs w:val="24"/>
        </w:rPr>
      </w:pPr>
      <w:bookmarkStart w:id="53" w:name="_Toc22514"/>
      <w:bookmarkStart w:id="54" w:name="_Toc234382601"/>
      <w:bookmarkStart w:id="55" w:name="_Toc485889013"/>
      <w:bookmarkStart w:id="56" w:name="_Toc486277874"/>
      <w:r>
        <w:rPr>
          <w:rFonts w:ascii="宋体" w:hAnsi="宋体"/>
          <w:sz w:val="24"/>
          <w:szCs w:val="24"/>
        </w:rPr>
        <w:t>1.11 分包</w:t>
      </w:r>
      <w:bookmarkEnd w:id="53"/>
      <w:bookmarkEnd w:id="54"/>
      <w:bookmarkEnd w:id="55"/>
      <w:bookmarkEnd w:id="56"/>
    </w:p>
    <w:p>
      <w:pPr>
        <w:spacing w:line="400" w:lineRule="exact"/>
        <w:ind w:firstLine="480" w:firstLineChars="200"/>
        <w:rPr>
          <w:rFonts w:ascii="宋体" w:hAnsi="宋体"/>
          <w:sz w:val="24"/>
        </w:rPr>
      </w:pPr>
      <w:r>
        <w:rPr>
          <w:rFonts w:hint="eastAsia" w:ascii="宋体" w:hAnsi="宋体"/>
          <w:sz w:val="24"/>
        </w:rPr>
        <w:t xml:space="preserve">本项目严禁转包和违规分包，且不得再次分包。投标人拟在中标后将中标项目的部分非主体、非关键性工作进行分包的，应符合以下规定： </w:t>
      </w:r>
    </w:p>
    <w:p>
      <w:pPr>
        <w:spacing w:line="400" w:lineRule="exact"/>
        <w:ind w:firstLine="480" w:firstLineChars="200"/>
        <w:rPr>
          <w:rFonts w:ascii="宋体" w:hAnsi="宋体"/>
          <w:sz w:val="24"/>
        </w:rPr>
      </w:pPr>
      <w:r>
        <w:rPr>
          <w:rFonts w:hint="eastAsia" w:ascii="宋体" w:hAnsi="宋体"/>
          <w:sz w:val="24"/>
        </w:rPr>
        <w:t>分包内容要求：允许分包的工程范围仅限于非关键性工程或者适合专业化队伍施工的专业工程；</w:t>
      </w:r>
    </w:p>
    <w:p>
      <w:pPr>
        <w:spacing w:line="400" w:lineRule="exact"/>
        <w:ind w:firstLine="480" w:firstLineChars="200"/>
        <w:rPr>
          <w:rFonts w:ascii="宋体" w:hAnsi="宋体"/>
          <w:sz w:val="24"/>
        </w:rPr>
      </w:pPr>
      <w:r>
        <w:rPr>
          <w:rFonts w:hint="eastAsia" w:ascii="宋体" w:hAnsi="宋体"/>
          <w:sz w:val="24"/>
        </w:rPr>
        <w:t>分包金额要求：专业工程分包的工程量累计不得超过总工程量的30%；</w:t>
      </w:r>
    </w:p>
    <w:p>
      <w:pPr>
        <w:spacing w:line="400" w:lineRule="exact"/>
        <w:ind w:firstLine="480" w:firstLineChars="200"/>
        <w:rPr>
          <w:rFonts w:ascii="宋体" w:hAnsi="宋体"/>
          <w:sz w:val="24"/>
        </w:rPr>
      </w:pPr>
      <w:r>
        <w:rPr>
          <w:rFonts w:hint="eastAsia" w:ascii="宋体" w:hAnsi="宋体"/>
          <w:sz w:val="24"/>
        </w:rPr>
        <w:t>接受分包的第三人资质要求：分包人的资格能力应与其分包工程的标准和规模相适应，具备相应的专业承包资质或劳务分包资质；</w:t>
      </w:r>
    </w:p>
    <w:p>
      <w:pPr>
        <w:spacing w:line="400" w:lineRule="exact"/>
        <w:ind w:firstLine="480" w:firstLineChars="200"/>
        <w:rPr>
          <w:rFonts w:ascii="宋体" w:hAnsi="宋体"/>
          <w:sz w:val="24"/>
        </w:rPr>
      </w:pPr>
      <w:r>
        <w:rPr>
          <w:rFonts w:hint="eastAsia" w:ascii="宋体" w:hAnsi="宋体"/>
          <w:sz w:val="24"/>
        </w:rPr>
        <w:t>其他要求；投标人如有分包计划，应按第八章“投标文件格式”的要求填写“拟分包项目调查表”，且投标人中标后的分包应满足合同条款第4.3款的相关要求。</w:t>
      </w:r>
    </w:p>
    <w:p>
      <w:pPr>
        <w:pStyle w:val="4"/>
        <w:spacing w:beforeLines="50" w:after="0" w:line="400" w:lineRule="exact"/>
        <w:rPr>
          <w:rFonts w:ascii="宋体" w:hAnsi="宋体"/>
          <w:sz w:val="24"/>
          <w:szCs w:val="24"/>
          <w:vertAlign w:val="superscript"/>
        </w:rPr>
      </w:pPr>
      <w:bookmarkStart w:id="57" w:name="_Toc486277875"/>
      <w:bookmarkStart w:id="58" w:name="_Toc234382602"/>
      <w:bookmarkStart w:id="59" w:name="_Toc6184"/>
      <w:bookmarkStart w:id="60" w:name="_Toc485889014"/>
      <w:r>
        <w:rPr>
          <w:rFonts w:ascii="宋体" w:hAnsi="宋体"/>
          <w:sz w:val="24"/>
          <w:szCs w:val="24"/>
        </w:rPr>
        <w:t>1.12 偏离</w:t>
      </w:r>
      <w:bookmarkEnd w:id="57"/>
      <w:bookmarkEnd w:id="58"/>
      <w:bookmarkEnd w:id="59"/>
      <w:bookmarkEnd w:id="60"/>
    </w:p>
    <w:p>
      <w:pPr>
        <w:spacing w:line="400" w:lineRule="exact"/>
        <w:ind w:firstLine="480" w:firstLineChars="200"/>
        <w:rPr>
          <w:rFonts w:ascii="宋体" w:hAnsi="宋体"/>
          <w:sz w:val="24"/>
        </w:rPr>
      </w:pPr>
      <w:r>
        <w:rPr>
          <w:rFonts w:ascii="宋体" w:hAnsi="宋体"/>
          <w:sz w:val="24"/>
        </w:rPr>
        <w:t>投标人须知前附表允许投标文件偏离招标文件某些要求的，偏离应当符合招标文件规定的偏离范围和幅度。</w:t>
      </w:r>
    </w:p>
    <w:p>
      <w:pPr>
        <w:spacing w:line="400" w:lineRule="exact"/>
        <w:ind w:firstLine="480" w:firstLineChars="200"/>
        <w:rPr>
          <w:rFonts w:ascii="宋体" w:hAnsi="宋体"/>
          <w:sz w:val="24"/>
        </w:rPr>
      </w:pPr>
      <w:r>
        <w:rPr>
          <w:rFonts w:hint="eastAsia" w:ascii="宋体" w:hAnsi="宋体"/>
          <w:sz w:val="24"/>
        </w:rPr>
        <w:t>偏离即偏差，偏差分重大偏差和细微偏差。</w:t>
      </w:r>
    </w:p>
    <w:p>
      <w:pPr>
        <w:spacing w:line="400" w:lineRule="exact"/>
        <w:ind w:firstLine="480" w:firstLineChars="200"/>
        <w:rPr>
          <w:rFonts w:ascii="宋体" w:hAnsi="宋体"/>
          <w:sz w:val="24"/>
        </w:rPr>
      </w:pPr>
      <w:r>
        <w:rPr>
          <w:rFonts w:hint="eastAsia" w:ascii="宋体" w:hAnsi="宋体"/>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spacing w:line="400" w:lineRule="exact"/>
        <w:ind w:firstLine="480" w:firstLineChars="200"/>
        <w:rPr>
          <w:rFonts w:ascii="宋体" w:hAnsi="宋体"/>
          <w:sz w:val="24"/>
        </w:rPr>
      </w:pPr>
      <w:r>
        <w:rPr>
          <w:rFonts w:hint="eastAsia" w:ascii="宋体" w:hAnsi="宋体"/>
          <w:sz w:val="24"/>
        </w:rPr>
        <w:t>1.12.2 投标文件中的下列偏差为细微偏差：</w:t>
      </w:r>
    </w:p>
    <w:p>
      <w:pPr>
        <w:spacing w:line="400" w:lineRule="exact"/>
        <w:ind w:firstLine="480" w:firstLineChars="200"/>
        <w:rPr>
          <w:rFonts w:ascii="宋体" w:hAnsi="宋体"/>
          <w:sz w:val="24"/>
        </w:rPr>
      </w:pPr>
      <w:r>
        <w:rPr>
          <w:rFonts w:hint="eastAsia" w:ascii="宋体" w:hAnsi="宋体"/>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ascii="宋体" w:hAnsi="宋体"/>
          <w:sz w:val="24"/>
        </w:rPr>
      </w:pPr>
      <w:r>
        <w:rPr>
          <w:rFonts w:hint="eastAsia" w:ascii="宋体" w:hAnsi="宋体"/>
          <w:sz w:val="24"/>
        </w:rPr>
        <w:t>（2）施工组织设计（含关键工程技术方案）和项目管理机构不够完善。</w:t>
      </w:r>
    </w:p>
    <w:p>
      <w:pPr>
        <w:spacing w:line="400" w:lineRule="exact"/>
        <w:ind w:firstLine="480" w:firstLineChars="200"/>
        <w:rPr>
          <w:rFonts w:ascii="宋体" w:hAnsi="宋体"/>
          <w:sz w:val="24"/>
        </w:rPr>
      </w:pPr>
      <w:r>
        <w:rPr>
          <w:rFonts w:hint="eastAsia" w:ascii="宋体" w:hAnsi="宋体"/>
          <w:sz w:val="24"/>
        </w:rPr>
        <w:t>1.12.3 评标委员会对投标文件中的细微偏差按如下规定处理：</w:t>
      </w:r>
    </w:p>
    <w:p>
      <w:pPr>
        <w:spacing w:line="400" w:lineRule="exact"/>
        <w:ind w:firstLine="480" w:firstLineChars="200"/>
        <w:rPr>
          <w:rFonts w:ascii="宋体" w:hAnsi="宋体"/>
          <w:sz w:val="24"/>
        </w:rPr>
      </w:pPr>
      <w:r>
        <w:rPr>
          <w:rFonts w:hint="eastAsia" w:ascii="宋体" w:hAnsi="宋体"/>
          <w:sz w:val="24"/>
        </w:rPr>
        <w:t>（1）对于本章第1.12.2项（1）目所述的细微偏差，按照第三章“评标办法”第3.1.3项和第3.1.4项的规定予以修正并要求投标人进行澄清；</w:t>
      </w:r>
    </w:p>
    <w:p>
      <w:pPr>
        <w:spacing w:line="400" w:lineRule="exact"/>
        <w:ind w:firstLine="480" w:firstLineChars="200"/>
        <w:rPr>
          <w:rFonts w:ascii="宋体" w:hAnsi="宋体"/>
          <w:sz w:val="24"/>
        </w:rPr>
      </w:pPr>
      <w:r>
        <w:rPr>
          <w:rFonts w:hint="eastAsia" w:ascii="宋体" w:hAnsi="宋体"/>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spacing w:beforeLines="50" w:after="0" w:line="400" w:lineRule="exact"/>
        <w:rPr>
          <w:rFonts w:ascii="宋体" w:hAnsi="宋体"/>
          <w:sz w:val="24"/>
          <w:szCs w:val="24"/>
        </w:rPr>
      </w:pPr>
      <w:bookmarkStart w:id="61" w:name="_Toc486277876"/>
      <w:bookmarkStart w:id="62" w:name="_Toc485889015"/>
      <w:bookmarkStart w:id="63" w:name="_Toc22855"/>
      <w:bookmarkStart w:id="64" w:name="_Toc234382603"/>
      <w:r>
        <w:rPr>
          <w:rFonts w:ascii="宋体" w:hAnsi="宋体"/>
          <w:sz w:val="24"/>
          <w:szCs w:val="24"/>
        </w:rPr>
        <w:t>2. 招标文件</w:t>
      </w:r>
      <w:bookmarkEnd w:id="61"/>
      <w:bookmarkEnd w:id="62"/>
      <w:bookmarkEnd w:id="63"/>
      <w:bookmarkEnd w:id="64"/>
    </w:p>
    <w:p>
      <w:pPr>
        <w:pStyle w:val="4"/>
        <w:spacing w:beforeLines="50" w:after="0" w:line="400" w:lineRule="exact"/>
        <w:rPr>
          <w:rFonts w:ascii="宋体" w:hAnsi="宋体"/>
          <w:sz w:val="24"/>
          <w:szCs w:val="24"/>
        </w:rPr>
      </w:pPr>
      <w:bookmarkStart w:id="65" w:name="_Toc234382604"/>
      <w:bookmarkStart w:id="66" w:name="_Toc485889016"/>
      <w:bookmarkStart w:id="67" w:name="_Toc486277877"/>
      <w:bookmarkStart w:id="68" w:name="_Toc12310"/>
      <w:r>
        <w:rPr>
          <w:rFonts w:ascii="宋体" w:hAnsi="宋体"/>
          <w:sz w:val="24"/>
          <w:szCs w:val="24"/>
        </w:rPr>
        <w:t>2.1 招标文件的组成</w:t>
      </w:r>
      <w:bookmarkEnd w:id="65"/>
      <w:bookmarkEnd w:id="66"/>
      <w:bookmarkEnd w:id="67"/>
      <w:bookmarkEnd w:id="68"/>
    </w:p>
    <w:p>
      <w:pPr>
        <w:spacing w:line="400" w:lineRule="exact"/>
        <w:ind w:firstLine="480" w:firstLineChars="200"/>
        <w:rPr>
          <w:rFonts w:ascii="宋体" w:hAnsi="宋体"/>
          <w:sz w:val="24"/>
        </w:rPr>
      </w:pPr>
      <w:r>
        <w:rPr>
          <w:rFonts w:ascii="宋体" w:hAnsi="宋体"/>
          <w:sz w:val="24"/>
        </w:rPr>
        <w:t>本招标文件包括：</w:t>
      </w:r>
    </w:p>
    <w:p>
      <w:pPr>
        <w:spacing w:line="400" w:lineRule="exact"/>
        <w:ind w:firstLine="480" w:firstLineChars="200"/>
        <w:rPr>
          <w:rFonts w:ascii="宋体" w:hAnsi="宋体"/>
          <w:sz w:val="24"/>
        </w:rPr>
      </w:pPr>
      <w:r>
        <w:rPr>
          <w:rFonts w:ascii="宋体" w:hAnsi="宋体"/>
          <w:sz w:val="24"/>
        </w:rPr>
        <w:t>（1）招标公告；</w:t>
      </w:r>
    </w:p>
    <w:p>
      <w:pPr>
        <w:spacing w:line="400" w:lineRule="exact"/>
        <w:ind w:firstLine="480" w:firstLineChars="200"/>
        <w:rPr>
          <w:rFonts w:ascii="宋体" w:hAnsi="宋体"/>
          <w:sz w:val="24"/>
        </w:rPr>
      </w:pPr>
      <w:r>
        <w:rPr>
          <w:rFonts w:ascii="宋体" w:hAnsi="宋体"/>
          <w:sz w:val="24"/>
        </w:rPr>
        <w:t>（2）投标人须知；</w:t>
      </w:r>
    </w:p>
    <w:p>
      <w:pPr>
        <w:spacing w:line="400" w:lineRule="exact"/>
        <w:ind w:firstLine="480" w:firstLineChars="200"/>
        <w:rPr>
          <w:rFonts w:ascii="宋体" w:hAnsi="宋体"/>
          <w:sz w:val="24"/>
        </w:rPr>
      </w:pPr>
      <w:r>
        <w:rPr>
          <w:rFonts w:ascii="宋体" w:hAnsi="宋体"/>
          <w:sz w:val="24"/>
        </w:rPr>
        <w:t>（3）评标办法；</w:t>
      </w:r>
    </w:p>
    <w:p>
      <w:pPr>
        <w:spacing w:line="400" w:lineRule="exact"/>
        <w:ind w:firstLine="480" w:firstLineChars="200"/>
        <w:rPr>
          <w:rFonts w:ascii="宋体" w:hAnsi="宋体"/>
          <w:sz w:val="24"/>
        </w:rPr>
      </w:pPr>
      <w:r>
        <w:rPr>
          <w:rFonts w:ascii="宋体" w:hAnsi="宋体"/>
          <w:sz w:val="24"/>
        </w:rPr>
        <w:t>（4）合同条款及格式；</w:t>
      </w:r>
    </w:p>
    <w:p>
      <w:pPr>
        <w:spacing w:line="400" w:lineRule="exact"/>
        <w:ind w:firstLine="480" w:firstLineChars="200"/>
        <w:rPr>
          <w:rFonts w:ascii="宋体" w:hAnsi="宋体"/>
          <w:sz w:val="24"/>
        </w:rPr>
      </w:pPr>
      <w:r>
        <w:rPr>
          <w:rFonts w:ascii="宋体" w:hAnsi="宋体"/>
          <w:sz w:val="24"/>
        </w:rPr>
        <w:t>（5）工程量清单；</w:t>
      </w:r>
    </w:p>
    <w:p>
      <w:pPr>
        <w:spacing w:line="400" w:lineRule="exact"/>
        <w:ind w:firstLine="480" w:firstLineChars="200"/>
        <w:rPr>
          <w:rFonts w:ascii="宋体" w:hAnsi="宋体"/>
          <w:sz w:val="24"/>
        </w:rPr>
      </w:pPr>
      <w:r>
        <w:rPr>
          <w:rFonts w:ascii="宋体" w:hAnsi="宋体"/>
          <w:sz w:val="24"/>
        </w:rPr>
        <w:t>（6）图纸</w:t>
      </w:r>
      <w:r>
        <w:rPr>
          <w:rFonts w:hint="eastAsia" w:ascii="宋体" w:hAnsi="宋体"/>
          <w:sz w:val="24"/>
        </w:rPr>
        <w:t>（另附）</w:t>
      </w:r>
      <w:r>
        <w:rPr>
          <w:rFonts w:ascii="宋体" w:hAnsi="宋体"/>
          <w:sz w:val="24"/>
        </w:rPr>
        <w:t>；</w:t>
      </w:r>
    </w:p>
    <w:p>
      <w:pPr>
        <w:spacing w:line="400" w:lineRule="exact"/>
        <w:ind w:firstLine="480" w:firstLineChars="200"/>
        <w:rPr>
          <w:rFonts w:ascii="宋体" w:hAnsi="宋体"/>
          <w:sz w:val="24"/>
        </w:rPr>
      </w:pPr>
      <w:r>
        <w:rPr>
          <w:rFonts w:ascii="宋体" w:hAnsi="宋体"/>
          <w:sz w:val="24"/>
        </w:rPr>
        <w:t>（7）技术</w:t>
      </w:r>
      <w:r>
        <w:rPr>
          <w:rFonts w:hint="eastAsia" w:ascii="宋体" w:hAnsi="宋体"/>
          <w:sz w:val="24"/>
        </w:rPr>
        <w:t>规范</w:t>
      </w:r>
      <w:r>
        <w:rPr>
          <w:rFonts w:ascii="宋体" w:hAnsi="宋体"/>
          <w:sz w:val="24"/>
        </w:rPr>
        <w:t>；</w:t>
      </w:r>
    </w:p>
    <w:p>
      <w:pPr>
        <w:spacing w:line="400" w:lineRule="exact"/>
        <w:ind w:firstLine="480" w:firstLineChars="200"/>
        <w:rPr>
          <w:rFonts w:ascii="宋体" w:hAnsi="宋体"/>
          <w:sz w:val="24"/>
        </w:rPr>
      </w:pPr>
      <w:r>
        <w:rPr>
          <w:rFonts w:ascii="宋体" w:hAnsi="宋体"/>
          <w:sz w:val="24"/>
        </w:rPr>
        <w:t>（8）投标文件格式；</w:t>
      </w:r>
    </w:p>
    <w:p>
      <w:pPr>
        <w:spacing w:line="400" w:lineRule="exact"/>
        <w:ind w:firstLine="480" w:firstLineChars="200"/>
        <w:rPr>
          <w:rFonts w:ascii="宋体" w:hAnsi="宋体"/>
          <w:sz w:val="24"/>
        </w:rPr>
      </w:pPr>
      <w:r>
        <w:rPr>
          <w:rFonts w:ascii="宋体" w:hAnsi="宋体"/>
          <w:sz w:val="24"/>
        </w:rPr>
        <w:t>（9）投标人须知前附表规定的其他材料。</w:t>
      </w:r>
    </w:p>
    <w:p>
      <w:pPr>
        <w:spacing w:line="400" w:lineRule="exact"/>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pPr>
        <w:spacing w:line="400" w:lineRule="exact"/>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pPr>
        <w:pStyle w:val="4"/>
        <w:spacing w:beforeLines="50" w:after="0" w:line="400" w:lineRule="exact"/>
        <w:rPr>
          <w:rFonts w:ascii="宋体" w:hAnsi="宋体"/>
          <w:sz w:val="24"/>
          <w:szCs w:val="24"/>
        </w:rPr>
      </w:pPr>
      <w:bookmarkStart w:id="69" w:name="_Toc234382605"/>
      <w:bookmarkStart w:id="70" w:name="_Toc486277878"/>
      <w:bookmarkStart w:id="71" w:name="_Toc485889017"/>
      <w:bookmarkStart w:id="72" w:name="_Toc16084"/>
      <w:r>
        <w:rPr>
          <w:rFonts w:ascii="宋体" w:hAnsi="宋体"/>
          <w:sz w:val="24"/>
          <w:szCs w:val="24"/>
        </w:rPr>
        <w:t>2.2 招标文件的澄清</w:t>
      </w:r>
      <w:bookmarkEnd w:id="69"/>
      <w:bookmarkEnd w:id="70"/>
      <w:bookmarkEnd w:id="71"/>
      <w:bookmarkEnd w:id="72"/>
    </w:p>
    <w:p>
      <w:pPr>
        <w:spacing w:line="400" w:lineRule="exact"/>
        <w:ind w:firstLine="480" w:firstLineChars="200"/>
        <w:rPr>
          <w:rFonts w:ascii="宋体" w:hAnsi="宋体" w:cs="宋体"/>
          <w:kern w:val="0"/>
          <w:sz w:val="24"/>
        </w:rPr>
      </w:pPr>
      <w:bookmarkStart w:id="73" w:name="_Toc234382606"/>
      <w:r>
        <w:rPr>
          <w:rFonts w:hint="eastAsia" w:ascii="宋体" w:hAnsi="宋体" w:cs="宋体"/>
          <w:kern w:val="0"/>
          <w:sz w:val="24"/>
        </w:rPr>
        <w:t>2.2.1投标人应仔细阅读和检查招标文件的全部内容。如发现缺页或附件不全，</w:t>
      </w:r>
      <w:r>
        <w:rPr>
          <w:rFonts w:hint="eastAsia" w:ascii="宋体" w:hAnsi="宋体"/>
          <w:sz w:val="24"/>
        </w:rPr>
        <w:t>通过</w:t>
      </w:r>
      <w:r>
        <w:rPr>
          <w:rFonts w:hint="eastAsia" w:ascii="宋体" w:hAnsi="宋体" w:cs="宋体"/>
          <w:kern w:val="0"/>
          <w:sz w:val="24"/>
        </w:rPr>
        <w:t>全国公共资源交易平台（河南省·许昌市）</w:t>
      </w:r>
      <w:r>
        <w:rPr>
          <w:rFonts w:hint="eastAsia" w:ascii="宋体" w:hAnsi="宋体"/>
          <w:sz w:val="24"/>
        </w:rPr>
        <w:t>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spacing w:line="400" w:lineRule="exact"/>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招标文件的澄清将在投标人须知前附表规定的投标截止时间15天前通过</w:t>
      </w:r>
      <w:r>
        <w:rPr>
          <w:rFonts w:hint="eastAsia" w:ascii="宋体" w:hAnsi="宋体" w:cs="宋体"/>
          <w:kern w:val="0"/>
          <w:sz w:val="24"/>
        </w:rPr>
        <w:t>全国公共资源交易平台（河南省·许昌市）</w:t>
      </w:r>
      <w:r>
        <w:rPr>
          <w:rFonts w:hint="eastAsia" w:ascii="宋体" w:hAnsi="宋体"/>
          <w:sz w:val="24"/>
        </w:rPr>
        <w:t>电子平台发出，但不指明澄清问题的来源。如果澄清发出的时间距投标截止时间不足15天，相应延长投标截止时间。</w:t>
      </w:r>
    </w:p>
    <w:p>
      <w:pPr>
        <w:spacing w:line="400" w:lineRule="exact"/>
        <w:ind w:firstLine="480" w:firstLineChars="200"/>
        <w:rPr>
          <w:rFonts w:ascii="宋体" w:hAnsi="宋体"/>
          <w:sz w:val="24"/>
        </w:rPr>
      </w:pPr>
      <w:r>
        <w:rPr>
          <w:rFonts w:ascii="宋体" w:hAnsi="宋体"/>
          <w:sz w:val="24"/>
        </w:rPr>
        <w:t xml:space="preserve">2.2.3 </w:t>
      </w:r>
      <w:r>
        <w:rPr>
          <w:rFonts w:hint="eastAsia" w:ascii="宋体" w:hAnsi="宋体"/>
          <w:sz w:val="24"/>
        </w:rPr>
        <w:t>所有澄清、答疑全部以</w:t>
      </w:r>
      <w:r>
        <w:rPr>
          <w:rFonts w:hint="eastAsia" w:ascii="宋体" w:hAnsi="宋体" w:cs="宋体"/>
          <w:kern w:val="0"/>
          <w:sz w:val="24"/>
        </w:rPr>
        <w:t>全国公共资源交易平台（河南省·许昌市）</w:t>
      </w:r>
      <w:r>
        <w:rPr>
          <w:rFonts w:hint="eastAsia" w:ascii="宋体" w:hAnsi="宋体"/>
          <w:sz w:val="24"/>
        </w:rPr>
        <w:t>电子平台发出的为准，不再接受书面形式的递交。</w:t>
      </w:r>
    </w:p>
    <w:p>
      <w:pPr>
        <w:pStyle w:val="4"/>
        <w:spacing w:beforeLines="50" w:after="0" w:line="400" w:lineRule="exact"/>
        <w:rPr>
          <w:rFonts w:ascii="宋体" w:hAnsi="宋体"/>
          <w:sz w:val="24"/>
          <w:szCs w:val="24"/>
        </w:rPr>
      </w:pPr>
      <w:bookmarkStart w:id="74" w:name="_Toc486277879"/>
      <w:bookmarkStart w:id="75" w:name="_Toc29706"/>
      <w:bookmarkStart w:id="76" w:name="_Toc485889018"/>
      <w:r>
        <w:rPr>
          <w:rFonts w:ascii="宋体" w:hAnsi="宋体"/>
          <w:sz w:val="24"/>
          <w:szCs w:val="24"/>
        </w:rPr>
        <w:t>2.3 招标文件的修改</w:t>
      </w:r>
      <w:bookmarkEnd w:id="73"/>
      <w:bookmarkEnd w:id="74"/>
      <w:bookmarkEnd w:id="75"/>
      <w:bookmarkEnd w:id="76"/>
    </w:p>
    <w:p>
      <w:pPr>
        <w:spacing w:line="400" w:lineRule="exact"/>
        <w:ind w:firstLine="480" w:firstLineChars="200"/>
        <w:rPr>
          <w:rFonts w:ascii="宋体" w:hAnsi="宋体" w:cs="宋体"/>
          <w:kern w:val="0"/>
          <w:sz w:val="24"/>
        </w:rPr>
      </w:pPr>
      <w:bookmarkStart w:id="77" w:name="_Toc234382607"/>
      <w:r>
        <w:rPr>
          <w:rFonts w:ascii="宋体" w:hAnsi="宋体" w:cs="宋体"/>
          <w:kern w:val="0"/>
          <w:sz w:val="24"/>
        </w:rPr>
        <w:t xml:space="preserve">2.3.1 </w:t>
      </w:r>
      <w:r>
        <w:rPr>
          <w:rFonts w:hint="eastAsia" w:ascii="宋体" w:hAnsi="宋体" w:cs="宋体"/>
          <w:kern w:val="0"/>
          <w:sz w:val="24"/>
        </w:rPr>
        <w:t>在投标截止时间</w:t>
      </w:r>
      <w:r>
        <w:rPr>
          <w:rFonts w:ascii="宋体" w:hAnsi="宋体" w:cs="宋体"/>
          <w:kern w:val="0"/>
          <w:sz w:val="24"/>
        </w:rPr>
        <w:t>15</w:t>
      </w:r>
      <w:r>
        <w:rPr>
          <w:rFonts w:hint="eastAsia" w:ascii="宋体" w:hAnsi="宋体" w:cs="宋体"/>
          <w:kern w:val="0"/>
          <w:sz w:val="24"/>
        </w:rPr>
        <w:t>天前，招标人可以通过公共资源交易系统电子平台修改招标文件，如果修改招标文件的时间距投标截止时间不足</w:t>
      </w:r>
      <w:r>
        <w:rPr>
          <w:rFonts w:ascii="宋体" w:hAnsi="宋体" w:cs="宋体"/>
          <w:kern w:val="0"/>
          <w:sz w:val="24"/>
        </w:rPr>
        <w:t xml:space="preserve">15 </w:t>
      </w:r>
      <w:r>
        <w:rPr>
          <w:rFonts w:hint="eastAsia" w:ascii="宋体" w:hAnsi="宋体" w:cs="宋体"/>
          <w:kern w:val="0"/>
          <w:sz w:val="24"/>
        </w:rPr>
        <w:t>天，相应延长投标截止时间。</w:t>
      </w:r>
    </w:p>
    <w:p>
      <w:pPr>
        <w:spacing w:line="400" w:lineRule="exact"/>
        <w:ind w:firstLine="480" w:firstLineChars="200"/>
        <w:rPr>
          <w:rFonts w:ascii="宋体" w:hAnsi="宋体" w:cs="宋体"/>
          <w:kern w:val="0"/>
          <w:sz w:val="24"/>
        </w:rPr>
      </w:pPr>
      <w:bookmarkStart w:id="78" w:name="_Toc486277880"/>
      <w:bookmarkStart w:id="79" w:name="_Toc485889019"/>
      <w:r>
        <w:rPr>
          <w:rFonts w:hint="eastAsia" w:ascii="宋体" w:hAnsi="宋体" w:cs="宋体"/>
          <w:kern w:val="0"/>
          <w:sz w:val="24"/>
        </w:rPr>
        <w:t>2.3.2 当招标文件（含评标、定标办法）、补充通知、答疑纪要，内容相互矛盾时，以最后发出的通知（或纪要）为准。</w:t>
      </w:r>
      <w:bookmarkEnd w:id="78"/>
      <w:bookmarkEnd w:id="79"/>
    </w:p>
    <w:p>
      <w:pPr>
        <w:pStyle w:val="4"/>
        <w:spacing w:beforeLines="50" w:after="0" w:line="400" w:lineRule="exact"/>
        <w:rPr>
          <w:rFonts w:ascii="宋体" w:hAnsi="宋体"/>
          <w:sz w:val="24"/>
          <w:szCs w:val="24"/>
        </w:rPr>
      </w:pPr>
      <w:bookmarkStart w:id="80" w:name="_Toc8003"/>
      <w:bookmarkStart w:id="81" w:name="_Toc486277881"/>
      <w:bookmarkStart w:id="82" w:name="_Toc485889020"/>
      <w:r>
        <w:rPr>
          <w:rFonts w:ascii="宋体" w:hAnsi="宋体"/>
          <w:sz w:val="24"/>
          <w:szCs w:val="24"/>
        </w:rPr>
        <w:t>3. 投标文件</w:t>
      </w:r>
      <w:bookmarkEnd w:id="77"/>
      <w:bookmarkEnd w:id="80"/>
      <w:bookmarkEnd w:id="81"/>
      <w:bookmarkEnd w:id="82"/>
    </w:p>
    <w:p>
      <w:pPr>
        <w:pStyle w:val="4"/>
        <w:spacing w:beforeLines="50" w:after="0" w:line="400" w:lineRule="exact"/>
        <w:rPr>
          <w:rFonts w:ascii="宋体" w:hAnsi="宋体"/>
          <w:sz w:val="24"/>
          <w:szCs w:val="24"/>
        </w:rPr>
      </w:pPr>
      <w:bookmarkStart w:id="83" w:name="_Toc485889021"/>
      <w:bookmarkStart w:id="84" w:name="_Toc234382608"/>
      <w:bookmarkStart w:id="85" w:name="_Toc486277882"/>
      <w:bookmarkStart w:id="86" w:name="_Toc12156"/>
      <w:r>
        <w:rPr>
          <w:rFonts w:ascii="宋体" w:hAnsi="宋体"/>
          <w:sz w:val="24"/>
          <w:szCs w:val="24"/>
        </w:rPr>
        <w:t>3.1 投标文件的组成</w:t>
      </w:r>
      <w:bookmarkEnd w:id="83"/>
      <w:bookmarkEnd w:id="84"/>
      <w:bookmarkEnd w:id="85"/>
      <w:bookmarkEnd w:id="86"/>
    </w:p>
    <w:p>
      <w:pPr>
        <w:spacing w:line="400" w:lineRule="exact"/>
        <w:ind w:firstLine="480" w:firstLineChars="200"/>
        <w:rPr>
          <w:rFonts w:ascii="宋体" w:hAnsi="宋体"/>
          <w:sz w:val="24"/>
        </w:rPr>
      </w:pPr>
      <w:r>
        <w:rPr>
          <w:rFonts w:ascii="宋体" w:hAnsi="宋体"/>
          <w:sz w:val="24"/>
        </w:rPr>
        <w:t>3.1.1 投标文件应包括下列内容：</w:t>
      </w:r>
    </w:p>
    <w:p>
      <w:pPr>
        <w:spacing w:line="400" w:lineRule="exact"/>
        <w:ind w:firstLine="480" w:firstLineChars="200"/>
        <w:rPr>
          <w:rFonts w:ascii="宋体" w:hAnsi="宋体"/>
          <w:sz w:val="24"/>
        </w:rPr>
      </w:pPr>
      <w:r>
        <w:rPr>
          <w:rFonts w:hint="eastAsia" w:ascii="宋体" w:hAnsi="宋体"/>
          <w:sz w:val="24"/>
        </w:rPr>
        <w:t>第一个信封（商务及技术文件）：</w:t>
      </w:r>
    </w:p>
    <w:p>
      <w:pPr>
        <w:spacing w:line="400" w:lineRule="exact"/>
        <w:ind w:firstLine="480" w:firstLineChars="200"/>
        <w:rPr>
          <w:rFonts w:ascii="宋体" w:hAnsi="宋体"/>
          <w:sz w:val="24"/>
        </w:rPr>
      </w:pPr>
      <w:r>
        <w:rPr>
          <w:rFonts w:ascii="宋体" w:hAnsi="宋体"/>
          <w:sz w:val="24"/>
        </w:rPr>
        <w:t>（1）投标函及投标函附录；</w:t>
      </w:r>
    </w:p>
    <w:p>
      <w:pPr>
        <w:spacing w:line="400" w:lineRule="exact"/>
        <w:ind w:firstLine="480" w:firstLineChars="200"/>
        <w:rPr>
          <w:rFonts w:ascii="宋体" w:hAnsi="宋体"/>
          <w:sz w:val="24"/>
        </w:rPr>
      </w:pPr>
      <w:r>
        <w:rPr>
          <w:rFonts w:ascii="宋体" w:hAnsi="宋体"/>
          <w:sz w:val="24"/>
        </w:rPr>
        <w:t>（2）法定代表人身份证明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）投标保证金；</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）施工组织设计；</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）项目管理机构；</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）资格审查资料；</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主要进场管理人员和技术人员最低要求；</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关键设备最低条件；</w:t>
      </w:r>
    </w:p>
    <w:p>
      <w:pPr>
        <w:spacing w:line="400" w:lineRule="exact"/>
        <w:ind w:firstLine="480" w:firstLineChars="200"/>
        <w:rPr>
          <w:rFonts w:ascii="宋体" w:hAnsi="宋体"/>
          <w:sz w:val="24"/>
        </w:rPr>
      </w:pPr>
      <w:r>
        <w:rPr>
          <w:rFonts w:hint="eastAsia" w:ascii="宋体" w:hAnsi="宋体"/>
          <w:sz w:val="24"/>
        </w:rPr>
        <w:t>（9）农民工工资支付承诺书；</w:t>
      </w:r>
    </w:p>
    <w:p>
      <w:pPr>
        <w:spacing w:line="400" w:lineRule="exact"/>
        <w:ind w:firstLine="480" w:firstLineChars="200"/>
        <w:rPr>
          <w:rFonts w:ascii="宋体" w:hAnsi="宋体"/>
          <w:sz w:val="24"/>
        </w:rPr>
      </w:pPr>
      <w:r>
        <w:rPr>
          <w:rFonts w:hint="eastAsia" w:ascii="宋体" w:hAnsi="宋体"/>
          <w:sz w:val="24"/>
        </w:rPr>
        <w:t>（10）扬尘治理专项承诺书；</w:t>
      </w:r>
    </w:p>
    <w:p>
      <w:pPr>
        <w:spacing w:line="400" w:lineRule="exact"/>
        <w:ind w:firstLine="480" w:firstLineChars="200"/>
        <w:rPr>
          <w:rFonts w:ascii="宋体" w:hAnsi="宋体"/>
          <w:sz w:val="24"/>
        </w:rPr>
      </w:pPr>
      <w:r>
        <w:rPr>
          <w:rFonts w:hint="eastAsia" w:ascii="宋体" w:hAnsi="宋体"/>
          <w:sz w:val="24"/>
        </w:rPr>
        <w:t>（11）其他材料。</w:t>
      </w:r>
    </w:p>
    <w:p>
      <w:pPr>
        <w:spacing w:line="400" w:lineRule="exact"/>
        <w:ind w:firstLine="480" w:firstLineChars="200"/>
        <w:rPr>
          <w:rFonts w:ascii="宋体" w:hAnsi="宋体"/>
          <w:sz w:val="24"/>
        </w:rPr>
      </w:pPr>
      <w:r>
        <w:rPr>
          <w:rFonts w:hint="eastAsia" w:ascii="宋体" w:hAnsi="宋体"/>
          <w:sz w:val="24"/>
        </w:rPr>
        <w:t>第二个信封（投标报价和工程量清单）</w:t>
      </w:r>
    </w:p>
    <w:p>
      <w:pPr>
        <w:spacing w:line="400" w:lineRule="exact"/>
        <w:ind w:firstLine="480" w:firstLineChars="200"/>
        <w:rPr>
          <w:rFonts w:ascii="宋体" w:hAnsi="宋体"/>
          <w:sz w:val="24"/>
        </w:rPr>
      </w:pPr>
      <w:r>
        <w:rPr>
          <w:rFonts w:hint="eastAsia" w:ascii="宋体" w:hAnsi="宋体"/>
          <w:sz w:val="24"/>
        </w:rPr>
        <w:t>（1）投标函；</w:t>
      </w:r>
    </w:p>
    <w:p>
      <w:pPr>
        <w:spacing w:line="400" w:lineRule="exact"/>
        <w:ind w:firstLine="480" w:firstLineChars="200"/>
        <w:rPr>
          <w:rFonts w:ascii="宋体" w:hAnsi="宋体"/>
          <w:sz w:val="24"/>
        </w:rPr>
      </w:pPr>
      <w:r>
        <w:rPr>
          <w:rFonts w:hint="eastAsia" w:ascii="宋体" w:hAnsi="宋体"/>
          <w:sz w:val="24"/>
        </w:rPr>
        <w:t>（2）已标价工程量清单；</w:t>
      </w:r>
    </w:p>
    <w:p>
      <w:pPr>
        <w:spacing w:line="400" w:lineRule="exact"/>
        <w:ind w:firstLine="480" w:firstLineChars="200"/>
        <w:rPr>
          <w:rFonts w:ascii="宋体" w:hAnsi="宋体"/>
          <w:sz w:val="24"/>
        </w:rPr>
      </w:pPr>
      <w:r>
        <w:rPr>
          <w:rFonts w:hint="eastAsia" w:ascii="宋体" w:hAnsi="宋体"/>
          <w:sz w:val="24"/>
        </w:rPr>
        <w:t>（3）拟分包项目情况表；</w:t>
      </w:r>
    </w:p>
    <w:p>
      <w:pPr>
        <w:spacing w:line="400" w:lineRule="exact"/>
        <w:ind w:firstLine="480" w:firstLineChars="200"/>
        <w:rPr>
          <w:rFonts w:ascii="宋体" w:hAnsi="宋体"/>
          <w:sz w:val="24"/>
        </w:rPr>
      </w:pPr>
      <w:r>
        <w:rPr>
          <w:rFonts w:hint="eastAsia" w:ascii="宋体" w:hAnsi="宋体"/>
          <w:sz w:val="24"/>
        </w:rPr>
        <w:t>（4）合同用款估算表。</w:t>
      </w:r>
    </w:p>
    <w:p>
      <w:pPr>
        <w:pStyle w:val="4"/>
        <w:spacing w:beforeLines="50" w:after="0" w:line="400" w:lineRule="exact"/>
        <w:rPr>
          <w:rFonts w:ascii="宋体" w:hAnsi="宋体"/>
          <w:sz w:val="24"/>
          <w:szCs w:val="24"/>
        </w:rPr>
      </w:pPr>
      <w:bookmarkStart w:id="87" w:name="_Toc486277883"/>
      <w:bookmarkStart w:id="88" w:name="_Toc12761"/>
      <w:bookmarkStart w:id="89" w:name="_Toc234382609"/>
      <w:bookmarkStart w:id="90" w:name="_Toc485889022"/>
      <w:r>
        <w:rPr>
          <w:rFonts w:ascii="宋体" w:hAnsi="宋体"/>
          <w:sz w:val="24"/>
          <w:szCs w:val="24"/>
        </w:rPr>
        <w:t>3.2 投标报价</w:t>
      </w:r>
      <w:bookmarkEnd w:id="87"/>
      <w:bookmarkEnd w:id="88"/>
      <w:bookmarkEnd w:id="89"/>
      <w:bookmarkEnd w:id="90"/>
    </w:p>
    <w:p>
      <w:pPr>
        <w:spacing w:line="400" w:lineRule="exact"/>
        <w:ind w:firstLine="480" w:firstLineChars="200"/>
        <w:rPr>
          <w:rFonts w:ascii="宋体" w:hAnsi="宋体"/>
          <w:sz w:val="24"/>
        </w:rPr>
      </w:pPr>
      <w:r>
        <w:rPr>
          <w:rFonts w:ascii="宋体" w:hAnsi="宋体"/>
          <w:sz w:val="24"/>
        </w:rPr>
        <w:t>3.2.1 投标人应按第五章“工程量清单”的要求填写相应表格。</w:t>
      </w:r>
    </w:p>
    <w:p>
      <w:pPr>
        <w:spacing w:line="400" w:lineRule="exact"/>
        <w:ind w:firstLine="480" w:firstLineChars="200"/>
        <w:rPr>
          <w:rFonts w:ascii="宋体" w:hAnsi="宋体"/>
          <w:sz w:val="24"/>
        </w:rPr>
      </w:pPr>
      <w:r>
        <w:rPr>
          <w:rFonts w:hint="eastAsia" w:ascii="宋体" w:hAnsi="宋体"/>
          <w:sz w:val="24"/>
        </w:rPr>
        <w:t>投标人应按投标人须知前附表规定的方式填写工程量清单。</w:t>
      </w:r>
    </w:p>
    <w:p>
      <w:pPr>
        <w:spacing w:line="400" w:lineRule="exact"/>
        <w:ind w:firstLine="480" w:firstLineChars="200"/>
        <w:rPr>
          <w:rFonts w:ascii="宋体" w:hAnsi="宋体"/>
          <w:sz w:val="24"/>
        </w:rPr>
      </w:pPr>
      <w:r>
        <w:rPr>
          <w:rFonts w:hint="eastAsia" w:ascii="宋体" w:hAnsi="宋体"/>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spacing w:line="400" w:lineRule="exact"/>
        <w:ind w:firstLine="480" w:firstLineChars="20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pPr>
        <w:spacing w:line="400" w:lineRule="exact"/>
        <w:ind w:firstLine="480" w:firstLineChars="200"/>
        <w:rPr>
          <w:rFonts w:ascii="宋体" w:hAnsi="宋体"/>
          <w:sz w:val="24"/>
        </w:rPr>
      </w:pPr>
      <w:r>
        <w:rPr>
          <w:rFonts w:hint="eastAsia" w:ascii="宋体" w:hAnsi="宋体"/>
          <w:sz w:val="24"/>
        </w:rPr>
        <w:t>3.2.3 投标人如果发现工程量清单中的数量与图纸中数量不一致时，应立即通知招标人核查，除非招标人以书面方式予以更正，否则，应以工程量清单中列出的数量为准。</w:t>
      </w:r>
    </w:p>
    <w:p>
      <w:pPr>
        <w:spacing w:line="400" w:lineRule="exact"/>
        <w:ind w:firstLine="480" w:firstLineChars="200"/>
        <w:rPr>
          <w:rFonts w:ascii="宋体" w:hAnsi="宋体"/>
          <w:sz w:val="24"/>
        </w:rPr>
      </w:pPr>
      <w:r>
        <w:rPr>
          <w:rFonts w:hint="eastAsia" w:ascii="宋体" w:hAnsi="宋体"/>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400" w:lineRule="exact"/>
        <w:ind w:firstLine="480" w:firstLineChars="200"/>
        <w:rPr>
          <w:rFonts w:ascii="宋体" w:hAnsi="宋体"/>
          <w:sz w:val="24"/>
        </w:rPr>
      </w:pPr>
      <w:r>
        <w:rPr>
          <w:rFonts w:hint="eastAsia" w:ascii="宋体" w:hAnsi="宋体"/>
          <w:sz w:val="24"/>
        </w:rPr>
        <w:t>3.2.5 除投标人须知前附表另有规定外，招标人不接受调价函。若招标人接受调价函，则应在招标文件中给出调价函的格式。投标人若有调价函则应遵循如下规定：</w:t>
      </w:r>
    </w:p>
    <w:p>
      <w:pPr>
        <w:spacing w:line="400" w:lineRule="exact"/>
        <w:ind w:firstLine="480" w:firstLineChars="200"/>
        <w:rPr>
          <w:rFonts w:ascii="宋体" w:hAnsi="宋体"/>
          <w:sz w:val="24"/>
        </w:rPr>
      </w:pPr>
      <w:r>
        <w:rPr>
          <w:rFonts w:hint="eastAsia" w:ascii="宋体" w:hAnsi="宋体"/>
          <w:sz w:val="24"/>
        </w:rPr>
        <w:t>（1）调价函必须采用招标文件规定的格式；调价函应说明调价后的最终报价，并以最终报价为准，而且投标人只能有一次调价的机会。</w:t>
      </w:r>
    </w:p>
    <w:p>
      <w:pPr>
        <w:spacing w:line="400" w:lineRule="exact"/>
        <w:ind w:firstLine="480" w:firstLineChars="200"/>
        <w:rPr>
          <w:rFonts w:ascii="宋体" w:hAnsi="宋体"/>
          <w:sz w:val="24"/>
        </w:rPr>
      </w:pPr>
      <w:r>
        <w:rPr>
          <w:rFonts w:hint="eastAsia" w:ascii="宋体" w:hAnsi="宋体"/>
          <w:sz w:val="24"/>
        </w:rPr>
        <w:t>（2）工程量清单中招标人指定的报价不允许调价。</w:t>
      </w:r>
    </w:p>
    <w:p>
      <w:pPr>
        <w:spacing w:line="400" w:lineRule="exact"/>
        <w:ind w:firstLine="480" w:firstLineChars="200"/>
        <w:rPr>
          <w:rFonts w:ascii="宋体" w:hAnsi="宋体"/>
          <w:sz w:val="24"/>
        </w:rPr>
      </w:pPr>
      <w:r>
        <w:rPr>
          <w:rFonts w:hint="eastAsia" w:ascii="宋体" w:hAnsi="宋体"/>
          <w:sz w:val="24"/>
        </w:rPr>
        <w:t>（3）调价函必须附有调价后的工程量清单；调价函必须粘贴或机械装订在投标文件正本首页，与投标文件一起密封提交。</w:t>
      </w:r>
    </w:p>
    <w:p>
      <w:pPr>
        <w:spacing w:line="400" w:lineRule="exact"/>
        <w:ind w:firstLine="480" w:firstLineChars="200"/>
        <w:rPr>
          <w:rFonts w:ascii="宋体" w:hAnsi="宋体"/>
          <w:sz w:val="24"/>
        </w:rPr>
      </w:pPr>
      <w:r>
        <w:rPr>
          <w:rFonts w:hint="eastAsia" w:ascii="宋体" w:hAnsi="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00" w:lineRule="exact"/>
        <w:ind w:firstLine="480" w:firstLineChars="200"/>
        <w:rPr>
          <w:rFonts w:ascii="宋体" w:hAnsi="宋体"/>
          <w:sz w:val="24"/>
        </w:rPr>
      </w:pPr>
      <w:r>
        <w:rPr>
          <w:rFonts w:hint="eastAsia" w:ascii="宋体" w:hAnsi="宋体"/>
          <w:sz w:val="24"/>
        </w:rPr>
        <w:t>（4）若招标人接受调价函，投标人调价后的工程量清单和有效调价函的大写金额报价应保持一致，如果报价金额出现差异时，则以有效调价函的大写金额报价为准。</w:t>
      </w:r>
    </w:p>
    <w:p>
      <w:pPr>
        <w:spacing w:line="400" w:lineRule="exact"/>
        <w:ind w:firstLine="480" w:firstLineChars="200"/>
        <w:rPr>
          <w:rFonts w:ascii="宋体" w:hAnsi="宋体"/>
          <w:sz w:val="24"/>
        </w:rPr>
      </w:pPr>
      <w:r>
        <w:rPr>
          <w:rFonts w:hint="eastAsia" w:ascii="宋体" w:hAnsi="宋体"/>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spacing w:beforeLines="50" w:after="0" w:line="400" w:lineRule="exact"/>
        <w:rPr>
          <w:rFonts w:ascii="宋体" w:hAnsi="宋体"/>
          <w:sz w:val="24"/>
          <w:szCs w:val="24"/>
        </w:rPr>
      </w:pPr>
      <w:bookmarkStart w:id="91" w:name="_Toc234382610"/>
      <w:bookmarkStart w:id="92" w:name="_Toc486277884"/>
      <w:bookmarkStart w:id="93" w:name="_Toc6040"/>
      <w:bookmarkStart w:id="94" w:name="_Toc485889023"/>
      <w:r>
        <w:rPr>
          <w:rFonts w:ascii="宋体" w:hAnsi="宋体"/>
          <w:sz w:val="24"/>
          <w:szCs w:val="24"/>
        </w:rPr>
        <w:t>3.3 投标有效期</w:t>
      </w:r>
      <w:bookmarkEnd w:id="91"/>
      <w:bookmarkEnd w:id="92"/>
      <w:bookmarkEnd w:id="93"/>
      <w:bookmarkEnd w:id="94"/>
    </w:p>
    <w:p>
      <w:pPr>
        <w:spacing w:line="400" w:lineRule="exact"/>
        <w:ind w:firstLine="480" w:firstLineChars="200"/>
        <w:rPr>
          <w:rFonts w:ascii="宋体" w:hAnsi="宋体"/>
          <w:sz w:val="24"/>
        </w:rPr>
      </w:pPr>
      <w:r>
        <w:rPr>
          <w:rFonts w:ascii="宋体" w:hAnsi="宋体"/>
          <w:sz w:val="24"/>
        </w:rPr>
        <w:t>3.3.1 在投标人须知前附表规定的投标有效期内，投标人不得要求撤销或修改其投标文件。</w:t>
      </w:r>
    </w:p>
    <w:p>
      <w:pPr>
        <w:spacing w:line="400" w:lineRule="exact"/>
        <w:ind w:firstLine="480" w:firstLineChars="20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spacing w:beforeLines="50" w:after="0" w:line="400" w:lineRule="exact"/>
        <w:rPr>
          <w:rFonts w:ascii="宋体" w:hAnsi="宋体"/>
          <w:sz w:val="24"/>
          <w:szCs w:val="24"/>
        </w:rPr>
      </w:pPr>
      <w:bookmarkStart w:id="95" w:name="_Toc19976"/>
      <w:bookmarkStart w:id="96" w:name="_Toc485889024"/>
      <w:bookmarkStart w:id="97" w:name="_Toc234382611"/>
      <w:bookmarkStart w:id="98" w:name="_Toc486277885"/>
      <w:r>
        <w:rPr>
          <w:rFonts w:ascii="宋体" w:hAnsi="宋体"/>
          <w:sz w:val="24"/>
          <w:szCs w:val="24"/>
        </w:rPr>
        <w:t>3.4 投标保证金</w:t>
      </w:r>
      <w:bookmarkEnd w:id="95"/>
      <w:bookmarkEnd w:id="96"/>
      <w:bookmarkEnd w:id="97"/>
      <w:bookmarkEnd w:id="98"/>
    </w:p>
    <w:p>
      <w:pPr>
        <w:spacing w:line="400" w:lineRule="exact"/>
        <w:ind w:firstLine="480" w:firstLineChars="200"/>
        <w:rPr>
          <w:rFonts w:ascii="宋体" w:hAnsi="宋体"/>
          <w:sz w:val="24"/>
        </w:rPr>
      </w:pPr>
      <w:bookmarkStart w:id="99" w:name="_Toc234382613"/>
      <w:r>
        <w:rPr>
          <w:rFonts w:ascii="宋体" w:hAnsi="宋体"/>
          <w:sz w:val="24"/>
        </w:rPr>
        <w:t>3.4.1 投标人在递交投标文件的同时，应按</w:t>
      </w:r>
      <w:r>
        <w:rPr>
          <w:rFonts w:ascii="宋体" w:hAnsi="宋体"/>
          <w:b/>
          <w:sz w:val="24"/>
        </w:rPr>
        <w:t>附表</w:t>
      </w:r>
      <w:r>
        <w:rPr>
          <w:rFonts w:hint="eastAsia" w:ascii="宋体" w:hAnsi="宋体"/>
          <w:b/>
          <w:sz w:val="24"/>
        </w:rPr>
        <w:t>一</w:t>
      </w:r>
      <w:r>
        <w:rPr>
          <w:rFonts w:ascii="宋体" w:hAnsi="宋体"/>
          <w:sz w:val="24"/>
        </w:rPr>
        <w:t>规定的金额</w:t>
      </w:r>
      <w:r>
        <w:rPr>
          <w:rFonts w:hint="eastAsia" w:ascii="宋体" w:hAnsi="宋体"/>
          <w:sz w:val="24"/>
        </w:rPr>
        <w:t>和</w:t>
      </w:r>
      <w:r>
        <w:rPr>
          <w:rFonts w:ascii="宋体" w:hAnsi="宋体"/>
          <w:sz w:val="24"/>
        </w:rPr>
        <w:t>形式递交投标保证金，并作为其投标文件的组成部分。</w:t>
      </w:r>
    </w:p>
    <w:p>
      <w:pPr>
        <w:spacing w:line="400" w:lineRule="exact"/>
        <w:ind w:firstLine="480" w:firstLineChars="200"/>
        <w:rPr>
          <w:rFonts w:ascii="宋体" w:hAnsi="宋体"/>
          <w:sz w:val="24"/>
        </w:rPr>
      </w:pPr>
      <w:r>
        <w:rPr>
          <w:rFonts w:ascii="宋体" w:hAnsi="宋体"/>
          <w:sz w:val="24"/>
        </w:rPr>
        <w:t>3.4.2 投标人不按本章第 3.4.1 项要求提交投标保证金的，其投标文件作废标处理。</w:t>
      </w:r>
    </w:p>
    <w:p>
      <w:pPr>
        <w:spacing w:line="400" w:lineRule="exact"/>
        <w:ind w:firstLine="480" w:firstLineChars="200"/>
        <w:rPr>
          <w:rFonts w:hint="eastAsia" w:ascii="宋体" w:hAnsi="宋体"/>
          <w:sz w:val="24"/>
        </w:rPr>
      </w:pPr>
      <w:r>
        <w:rPr>
          <w:rFonts w:ascii="宋体" w:hAnsi="宋体"/>
          <w:sz w:val="24"/>
        </w:rPr>
        <w:t xml:space="preserve">3.4.3 </w:t>
      </w:r>
      <w:r>
        <w:rPr>
          <w:rFonts w:hint="eastAsia" w:ascii="宋体" w:hAnsi="宋体"/>
          <w:sz w:val="24"/>
        </w:rPr>
        <w:t xml:space="preserve">  投标保证金的退还：</w:t>
      </w:r>
    </w:p>
    <w:p>
      <w:pPr>
        <w:spacing w:line="400" w:lineRule="exact"/>
        <w:ind w:firstLine="480" w:firstLineChars="200"/>
        <w:rPr>
          <w:rFonts w:hint="eastAsia" w:ascii="宋体" w:hAnsi="宋体"/>
          <w:sz w:val="24"/>
        </w:rPr>
      </w:pPr>
      <w:r>
        <w:rPr>
          <w:rFonts w:hint="eastAsia" w:ascii="宋体" w:hAnsi="宋体"/>
          <w:sz w:val="24"/>
        </w:rPr>
        <w:t>（1）中标公告发出后，5个工作日内退还非中标候选人投标保证金及银行同期活期存款利息。</w:t>
      </w:r>
    </w:p>
    <w:p>
      <w:pPr>
        <w:spacing w:line="400" w:lineRule="exact"/>
        <w:ind w:firstLine="480" w:firstLineChars="200"/>
        <w:rPr>
          <w:rFonts w:hint="eastAsia" w:ascii="宋体" w:hAnsi="宋体"/>
          <w:sz w:val="24"/>
        </w:rPr>
      </w:pPr>
      <w:r>
        <w:rPr>
          <w:rFonts w:hint="eastAsia" w:ascii="宋体" w:hAnsi="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400" w:lineRule="exact"/>
        <w:ind w:firstLine="480" w:firstLineChars="200"/>
        <w:rPr>
          <w:rFonts w:hint="eastAsia" w:ascii="宋体" w:hAnsi="宋体"/>
          <w:sz w:val="24"/>
        </w:rPr>
      </w:pPr>
      <w:r>
        <w:rPr>
          <w:rFonts w:hint="eastAsia" w:ascii="宋体" w:hAnsi="宋体"/>
          <w:sz w:val="24"/>
        </w:rPr>
        <w:t>（3）项目废标或招标人终止招标的，在此后5个工作日内退还投标保证金及银行同期活期存利息。</w:t>
      </w:r>
    </w:p>
    <w:p>
      <w:pPr>
        <w:spacing w:line="400" w:lineRule="exact"/>
        <w:ind w:firstLine="480" w:firstLineChars="200"/>
        <w:rPr>
          <w:rFonts w:hint="eastAsia" w:ascii="宋体" w:hAnsi="宋体"/>
          <w:sz w:val="24"/>
        </w:rPr>
      </w:pPr>
      <w:r>
        <w:rPr>
          <w:rFonts w:hint="eastAsia" w:ascii="宋体" w:hAnsi="宋体"/>
          <w:sz w:val="24"/>
        </w:rPr>
        <w:t>（4）投标活动中出现质疑、投诉的，中标候选人、质疑人和被质疑人、投诉人和被投诉人的投标保证金暂停退还。</w:t>
      </w:r>
    </w:p>
    <w:p>
      <w:pPr>
        <w:spacing w:line="400" w:lineRule="exact"/>
        <w:ind w:firstLine="480" w:firstLineChars="200"/>
        <w:rPr>
          <w:rFonts w:hint="eastAsia" w:ascii="宋体" w:hAnsi="宋体"/>
          <w:sz w:val="24"/>
        </w:rPr>
      </w:pPr>
      <w:r>
        <w:rPr>
          <w:rFonts w:hint="eastAsia" w:ascii="宋体" w:hAnsi="宋体"/>
          <w:sz w:val="24"/>
        </w:rPr>
        <w:t>（5）相关投标人有违法违规行为的项目，其投标保证金暂不退还，待行政监督部门对相关情况处置后，按照有关规定办理。</w:t>
      </w:r>
    </w:p>
    <w:p>
      <w:pPr>
        <w:spacing w:line="400" w:lineRule="exact"/>
        <w:ind w:firstLine="480" w:firstLineChars="200"/>
        <w:rPr>
          <w:rFonts w:hint="eastAsia" w:ascii="宋体" w:hAnsi="宋体"/>
          <w:sz w:val="24"/>
        </w:rPr>
      </w:pPr>
      <w:r>
        <w:rPr>
          <w:rFonts w:hint="eastAsia" w:ascii="宋体" w:hAnsi="宋体"/>
          <w:sz w:val="24"/>
        </w:rPr>
        <w:t>（6）退还投标保证金，除另有规定外，一般以转账方式一次性退还至投标保证金的原提交账户。</w:t>
      </w:r>
    </w:p>
    <w:p>
      <w:pPr>
        <w:spacing w:line="400" w:lineRule="exact"/>
        <w:ind w:firstLine="480" w:firstLineChars="200"/>
        <w:rPr>
          <w:rFonts w:hint="eastAsia" w:ascii="宋体" w:hAnsi="宋体"/>
          <w:sz w:val="24"/>
        </w:rPr>
      </w:pPr>
      <w:r>
        <w:rPr>
          <w:rFonts w:hint="eastAsia" w:ascii="宋体" w:hAnsi="宋体"/>
          <w:sz w:val="24"/>
          <w:lang w:val="en-US" w:eastAsia="zh-CN"/>
        </w:rPr>
        <w:t>3.4.4</w:t>
      </w:r>
      <w:r>
        <w:rPr>
          <w:rFonts w:hint="eastAsia" w:ascii="宋体" w:hAnsi="宋体"/>
          <w:sz w:val="24"/>
        </w:rPr>
        <w:t>投标人有下列情形之一的，不予退还投标保证金：</w:t>
      </w:r>
    </w:p>
    <w:p>
      <w:pPr>
        <w:spacing w:line="400" w:lineRule="exact"/>
        <w:ind w:firstLine="480" w:firstLineChars="200"/>
        <w:rPr>
          <w:rFonts w:hint="eastAsia" w:ascii="宋体" w:hAnsi="宋体"/>
          <w:sz w:val="24"/>
        </w:rPr>
      </w:pPr>
      <w:r>
        <w:rPr>
          <w:rFonts w:hint="eastAsia" w:ascii="宋体" w:hAnsi="宋体"/>
          <w:sz w:val="24"/>
        </w:rPr>
        <w:t xml:space="preserve">（一）在招标文件要求提交投标文件的截止时间后至投标文件有效期满前撤回投标的； </w:t>
      </w:r>
    </w:p>
    <w:p>
      <w:pPr>
        <w:spacing w:line="400" w:lineRule="exact"/>
        <w:ind w:firstLine="480" w:firstLineChars="200"/>
        <w:rPr>
          <w:rFonts w:hint="eastAsia" w:ascii="宋体" w:hAnsi="宋体"/>
          <w:sz w:val="24"/>
        </w:rPr>
      </w:pPr>
      <w:r>
        <w:rPr>
          <w:rFonts w:hint="eastAsia" w:ascii="宋体" w:hAnsi="宋体"/>
          <w:sz w:val="24"/>
        </w:rPr>
        <w:t xml:space="preserve">（二）中标通知书发出后，中标人无故放弃中标项目或无正当理由在规定时间内不与招标人签订合同或未按招标文件规定提交履约担保的； </w:t>
      </w:r>
    </w:p>
    <w:p>
      <w:pPr>
        <w:spacing w:line="400" w:lineRule="exact"/>
        <w:ind w:firstLine="480" w:firstLineChars="200"/>
        <w:rPr>
          <w:rFonts w:hint="eastAsia" w:ascii="宋体" w:hAnsi="宋体"/>
          <w:sz w:val="24"/>
        </w:rPr>
      </w:pPr>
      <w:r>
        <w:rPr>
          <w:rFonts w:hint="eastAsia" w:ascii="宋体" w:hAnsi="宋体"/>
          <w:sz w:val="24"/>
        </w:rPr>
        <w:t xml:space="preserve"> （三）将中标项目转让给他人，或者在投标文件中未说明，且未经招标人同意，将中标项目分包给他人的； </w:t>
      </w:r>
    </w:p>
    <w:p>
      <w:pPr>
        <w:spacing w:line="400" w:lineRule="exact"/>
        <w:ind w:firstLine="480" w:firstLineChars="200"/>
        <w:rPr>
          <w:rFonts w:hint="eastAsia" w:ascii="宋体" w:hAnsi="宋体"/>
          <w:sz w:val="24"/>
        </w:rPr>
      </w:pPr>
      <w:r>
        <w:rPr>
          <w:rFonts w:hint="eastAsia" w:ascii="宋体" w:hAnsi="宋体"/>
          <w:sz w:val="24"/>
        </w:rPr>
        <w:t xml:space="preserve"> （四）投标人在招投标活动中弄虚作假、围标串标，骗取中标并经招投标行政监督部门调查核实的； </w:t>
      </w:r>
    </w:p>
    <w:p>
      <w:pPr>
        <w:spacing w:line="400" w:lineRule="exact"/>
        <w:ind w:firstLine="480" w:firstLineChars="200"/>
        <w:rPr>
          <w:rFonts w:hint="eastAsia" w:ascii="宋体" w:hAnsi="宋体"/>
          <w:sz w:val="24"/>
        </w:rPr>
      </w:pPr>
      <w:r>
        <w:rPr>
          <w:rFonts w:hint="eastAsia" w:ascii="宋体" w:hAnsi="宋体"/>
          <w:sz w:val="24"/>
        </w:rPr>
        <w:t xml:space="preserve"> （五）拒绝履行合同义务的；</w:t>
      </w:r>
    </w:p>
    <w:p>
      <w:pPr>
        <w:spacing w:line="400" w:lineRule="exact"/>
        <w:ind w:firstLine="480" w:firstLineChars="200"/>
        <w:rPr>
          <w:rFonts w:hint="eastAsia" w:ascii="宋体" w:hAnsi="宋体"/>
          <w:sz w:val="24"/>
        </w:rPr>
      </w:pPr>
      <w:r>
        <w:rPr>
          <w:rFonts w:hint="eastAsia" w:ascii="宋体" w:hAnsi="宋体"/>
          <w:sz w:val="24"/>
        </w:rPr>
        <w:t xml:space="preserve"> （六）相关法律、法规规定不予退还的其它情形。</w:t>
      </w:r>
    </w:p>
    <w:p>
      <w:pPr>
        <w:spacing w:line="400" w:lineRule="exact"/>
        <w:ind w:firstLine="480" w:firstLineChars="200"/>
        <w:rPr>
          <w:rFonts w:ascii="宋体" w:hAnsi="宋体"/>
          <w:sz w:val="24"/>
        </w:rPr>
      </w:pPr>
      <w:r>
        <w:rPr>
          <w:rFonts w:hint="eastAsia" w:ascii="宋体" w:hAnsi="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spacing w:beforeLines="50" w:after="0" w:line="400" w:lineRule="exact"/>
        <w:rPr>
          <w:rFonts w:ascii="宋体" w:hAnsi="宋体"/>
          <w:sz w:val="24"/>
          <w:szCs w:val="24"/>
        </w:rPr>
      </w:pPr>
      <w:bookmarkStart w:id="100" w:name="_Toc10524"/>
      <w:bookmarkStart w:id="101" w:name="_Toc486277886"/>
      <w:bookmarkStart w:id="102" w:name="_Toc485889025"/>
      <w:r>
        <w:rPr>
          <w:rFonts w:ascii="宋体" w:hAnsi="宋体"/>
          <w:sz w:val="24"/>
          <w:szCs w:val="24"/>
        </w:rPr>
        <w:t>3.5 资格审查资料</w:t>
      </w:r>
      <w:bookmarkEnd w:id="99"/>
      <w:bookmarkEnd w:id="100"/>
      <w:bookmarkEnd w:id="101"/>
      <w:bookmarkEnd w:id="102"/>
    </w:p>
    <w:p>
      <w:pPr>
        <w:spacing w:line="400" w:lineRule="exact"/>
        <w:ind w:firstLine="480" w:firstLineChars="200"/>
        <w:rPr>
          <w:rFonts w:ascii="宋体" w:hAnsi="宋体"/>
          <w:sz w:val="24"/>
        </w:rPr>
      </w:pPr>
      <w:r>
        <w:rPr>
          <w:rFonts w:ascii="宋体" w:hAnsi="宋体"/>
          <w:sz w:val="24"/>
        </w:rPr>
        <w:t>3.5.1 “投标人基本情况表”应附</w:t>
      </w:r>
      <w:r>
        <w:rPr>
          <w:rFonts w:hint="eastAsia" w:ascii="宋体" w:hAnsi="宋体"/>
          <w:sz w:val="24"/>
        </w:rPr>
        <w:t>企业法人</w:t>
      </w:r>
      <w:r>
        <w:rPr>
          <w:rFonts w:ascii="宋体" w:hAnsi="宋体"/>
          <w:sz w:val="24"/>
        </w:rPr>
        <w:t>营业执照副本</w:t>
      </w:r>
      <w:r>
        <w:rPr>
          <w:rFonts w:hint="eastAsia" w:ascii="宋体" w:hAnsi="宋体"/>
          <w:sz w:val="24"/>
        </w:rPr>
        <w:t>（全本）的复印件（并加盖单位章）、施工资质证书副本（全本）的复印件（并加盖单位章）、安全生产许可证副本（全本）的复印件（并加盖单位章）、基本账户开户许可证的复印件（并加盖单位章）</w:t>
      </w:r>
      <w:r>
        <w:rPr>
          <w:rFonts w:ascii="宋体" w:hAnsi="宋体"/>
          <w:sz w:val="24"/>
        </w:rPr>
        <w:t>。</w:t>
      </w:r>
    </w:p>
    <w:p>
      <w:pPr>
        <w:spacing w:line="400" w:lineRule="exact"/>
        <w:ind w:firstLine="480" w:firstLineChars="200"/>
        <w:rPr>
          <w:rFonts w:ascii="宋体" w:hAnsi="宋体"/>
          <w:sz w:val="24"/>
        </w:rPr>
      </w:pPr>
      <w:r>
        <w:rPr>
          <w:rFonts w:hint="eastAsia" w:ascii="宋体" w:hAnsi="宋体"/>
          <w:sz w:val="24"/>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pPr>
        <w:spacing w:line="400" w:lineRule="exact"/>
        <w:ind w:firstLine="480" w:firstLineChars="200"/>
        <w:rPr>
          <w:rFonts w:ascii="宋体" w:hAnsi="宋体"/>
          <w:sz w:val="24"/>
        </w:rPr>
      </w:pPr>
      <w:r>
        <w:rPr>
          <w:rFonts w:ascii="宋体" w:hAnsi="宋体"/>
          <w:sz w:val="24"/>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80" w:firstLineChars="200"/>
        <w:rPr>
          <w:rFonts w:ascii="宋体" w:hAnsi="宋体"/>
          <w:sz w:val="24"/>
        </w:rPr>
      </w:pPr>
      <w:r>
        <w:rPr>
          <w:rFonts w:ascii="宋体" w:hAnsi="宋体"/>
          <w:sz w:val="24"/>
        </w:rPr>
        <w:t>3.5.3 “近年完成的类似项目情况表”应附合同协议书和中标通知书或工程接收证书（工程竣工验收证书）的复印件，具体年份要求见投标人须知前附表。每张表格只填写一个项目，并标明序号。</w:t>
      </w:r>
    </w:p>
    <w:p>
      <w:pPr>
        <w:spacing w:line="400" w:lineRule="exact"/>
        <w:ind w:firstLine="480" w:firstLineChars="200"/>
        <w:rPr>
          <w:rFonts w:ascii="宋体" w:hAnsi="宋体"/>
          <w:sz w:val="24"/>
        </w:rPr>
      </w:pPr>
      <w:r>
        <w:rPr>
          <w:rFonts w:hint="eastAsia" w:ascii="宋体" w:hAnsi="宋体"/>
          <w:sz w:val="24"/>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ascii="宋体" w:hAnsi="宋体"/>
          <w:sz w:val="24"/>
        </w:rPr>
      </w:pPr>
      <w:r>
        <w:rPr>
          <w:rFonts w:ascii="宋体" w:hAnsi="宋体"/>
          <w:sz w:val="24"/>
        </w:rPr>
        <w:t>3.5.4 “正在施工和新承接的项目情况表”应附中标通知书和合同协议书复印件。每张表格只填写一个项目，并标明序号。</w:t>
      </w:r>
    </w:p>
    <w:p>
      <w:pPr>
        <w:spacing w:line="400" w:lineRule="exact"/>
        <w:ind w:firstLine="480" w:firstLineChars="200"/>
        <w:rPr>
          <w:rFonts w:ascii="宋体" w:hAnsi="宋体"/>
          <w:sz w:val="24"/>
        </w:rPr>
      </w:pPr>
      <w:r>
        <w:rPr>
          <w:rFonts w:ascii="宋体" w:hAnsi="宋体"/>
          <w:sz w:val="24"/>
        </w:rPr>
        <w:t>3.5.5 “近年发生的诉讼及仲裁情况”应说明相关情况，并附法院或仲裁机构作出的判决、裁决等有关法律文书复印件，具体年份要求见投标人须知前附表。</w:t>
      </w:r>
    </w:p>
    <w:p>
      <w:pPr>
        <w:spacing w:line="400" w:lineRule="exact"/>
        <w:ind w:firstLine="480" w:firstLineChars="200"/>
        <w:rPr>
          <w:rFonts w:ascii="宋体" w:hAnsi="宋体"/>
          <w:sz w:val="24"/>
        </w:rPr>
      </w:pPr>
      <w:r>
        <w:rPr>
          <w:rFonts w:ascii="宋体" w:hAnsi="宋体"/>
          <w:sz w:val="24"/>
        </w:rPr>
        <w:t>3.5.6 投标人须知前附表规定接受联合体投标的，本章第3.5.1项至第3.5.5项规定的表格和资料应包括联合体各方相关情况。</w:t>
      </w:r>
    </w:p>
    <w:p>
      <w:pPr>
        <w:spacing w:line="400" w:lineRule="exact"/>
        <w:ind w:firstLine="480" w:firstLineChars="200"/>
        <w:rPr>
          <w:rFonts w:ascii="宋体" w:hAnsi="宋体"/>
          <w:color w:val="FF0000"/>
          <w:sz w:val="24"/>
        </w:rPr>
      </w:pPr>
      <w:r>
        <w:rPr>
          <w:rFonts w:hint="eastAsia" w:ascii="宋体" w:hAnsi="宋体"/>
          <w:sz w:val="24"/>
        </w:rPr>
        <w:t>3.5.7 投标人在投标文件中填报的项目经理和项目总工不允许更换。</w:t>
      </w:r>
    </w:p>
    <w:p>
      <w:pPr>
        <w:spacing w:line="400" w:lineRule="exact"/>
        <w:ind w:firstLine="480" w:firstLineChars="200"/>
        <w:rPr>
          <w:rFonts w:ascii="宋体" w:hAnsi="宋体"/>
          <w:sz w:val="24"/>
        </w:rPr>
      </w:pPr>
      <w:r>
        <w:rPr>
          <w:rFonts w:hint="eastAsia" w:ascii="宋体" w:hAnsi="宋体"/>
          <w:sz w:val="24"/>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spacing w:beforeLines="50" w:after="0" w:line="400" w:lineRule="exact"/>
        <w:rPr>
          <w:rFonts w:ascii="宋体" w:hAnsi="宋体"/>
          <w:sz w:val="24"/>
          <w:szCs w:val="24"/>
        </w:rPr>
      </w:pPr>
      <w:bookmarkStart w:id="103" w:name="_Toc486277887"/>
      <w:bookmarkStart w:id="104" w:name="_Toc15460"/>
      <w:bookmarkStart w:id="105" w:name="_Toc485889026"/>
      <w:bookmarkStart w:id="106" w:name="_Toc234382614"/>
      <w:r>
        <w:rPr>
          <w:rFonts w:ascii="宋体" w:hAnsi="宋体"/>
          <w:sz w:val="24"/>
          <w:szCs w:val="24"/>
        </w:rPr>
        <w:t>3.6 备选投标方案</w:t>
      </w:r>
      <w:bookmarkEnd w:id="103"/>
      <w:bookmarkEnd w:id="104"/>
      <w:bookmarkEnd w:id="105"/>
      <w:bookmarkEnd w:id="106"/>
    </w:p>
    <w:p>
      <w:pPr>
        <w:spacing w:line="400" w:lineRule="exact"/>
        <w:ind w:firstLine="480" w:firstLineChars="20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Lines="50" w:after="0" w:line="400" w:lineRule="exact"/>
        <w:rPr>
          <w:rFonts w:ascii="宋体" w:hAnsi="宋体"/>
          <w:sz w:val="24"/>
          <w:szCs w:val="24"/>
        </w:rPr>
      </w:pPr>
      <w:bookmarkStart w:id="107" w:name="_Toc234382615"/>
      <w:bookmarkStart w:id="108" w:name="_Toc486277888"/>
      <w:bookmarkStart w:id="109" w:name="_Toc485889027"/>
      <w:bookmarkStart w:id="110" w:name="_Toc30194"/>
      <w:r>
        <w:rPr>
          <w:rFonts w:ascii="宋体" w:hAnsi="宋体"/>
          <w:sz w:val="24"/>
          <w:szCs w:val="24"/>
        </w:rPr>
        <w:t>3.7 投标文件的编制</w:t>
      </w:r>
      <w:bookmarkEnd w:id="107"/>
      <w:bookmarkEnd w:id="108"/>
      <w:bookmarkEnd w:id="109"/>
      <w:bookmarkEnd w:id="110"/>
    </w:p>
    <w:p>
      <w:pPr>
        <w:spacing w:line="400" w:lineRule="exact"/>
        <w:ind w:firstLine="480" w:firstLineChars="200"/>
        <w:rPr>
          <w:rFonts w:ascii="宋体" w:hAnsi="宋体"/>
          <w:sz w:val="24"/>
        </w:rPr>
      </w:pPr>
      <w:r>
        <w:rPr>
          <w:rFonts w:ascii="宋体" w:hAnsi="宋体"/>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sz w:val="24"/>
        </w:rPr>
      </w:pPr>
      <w:r>
        <w:rPr>
          <w:rFonts w:ascii="宋体" w:hAnsi="宋体"/>
          <w:sz w:val="24"/>
        </w:rPr>
        <w:t>3.7.2 投标文件应当对招标文件有关工期、投标有效期、质量要求、技术标准和要求、招标范围等实质性内容作出响应。</w:t>
      </w:r>
    </w:p>
    <w:p>
      <w:pPr>
        <w:spacing w:line="400" w:lineRule="exact"/>
        <w:ind w:firstLine="480" w:firstLineChars="200"/>
        <w:rPr>
          <w:rFonts w:ascii="宋体" w:hAnsi="宋体"/>
          <w:sz w:val="24"/>
        </w:rPr>
      </w:pPr>
      <w:r>
        <w:rPr>
          <w:rFonts w:ascii="宋体" w:hAnsi="宋体"/>
          <w:sz w:val="24"/>
        </w:rPr>
        <w:t xml:space="preserve">3.7.3 </w:t>
      </w:r>
      <w:r>
        <w:rPr>
          <w:rFonts w:hint="eastAsia" w:ascii="宋体" w:hAnsi="宋体"/>
          <w:sz w:val="24"/>
        </w:rPr>
        <w:t>投标文件应用不褪色的材料书写或打印，投标函及投标函附录、承诺函、已标价工程量清单（包括工程量清单说明、投标报价说明、计日工说明、其他说明及工程量清单各项表格&lt;工程量清单表5.1～表5.5&g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400" w:lineRule="exact"/>
        <w:ind w:firstLine="480" w:firstLineChars="200"/>
        <w:rPr>
          <w:rFonts w:ascii="宋体" w:hAnsi="宋体"/>
          <w:sz w:val="24"/>
        </w:rPr>
      </w:pPr>
      <w:r>
        <w:rPr>
          <w:rFonts w:hint="eastAsia" w:ascii="宋体" w:hAnsi="宋体"/>
          <w:sz w:val="24"/>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spacing w:line="400" w:lineRule="exact"/>
        <w:ind w:firstLine="480" w:firstLineChars="200"/>
        <w:rPr>
          <w:rFonts w:ascii="宋体" w:hAnsi="宋体"/>
          <w:sz w:val="24"/>
        </w:rPr>
      </w:pPr>
      <w:r>
        <w:rPr>
          <w:rFonts w:hint="eastAsia" w:ascii="宋体" w:hAnsi="宋体"/>
          <w:sz w:val="24"/>
        </w:rPr>
        <w:t>如果由投标人的法定代表人亲自签署投标文件，则不需提交授权委托书。</w:t>
      </w:r>
    </w:p>
    <w:p>
      <w:pPr>
        <w:spacing w:line="400" w:lineRule="exact"/>
        <w:ind w:firstLine="480" w:firstLineChars="200"/>
        <w:rPr>
          <w:rFonts w:ascii="宋体" w:hAnsi="宋体"/>
          <w:sz w:val="24"/>
        </w:rPr>
      </w:pPr>
      <w:r>
        <w:rPr>
          <w:rFonts w:hint="eastAsia" w:ascii="宋体" w:hAnsi="宋体"/>
          <w:sz w:val="24"/>
        </w:rPr>
        <w:t>投标文件应尽量避免涂改、行间插字或删除。如果出现上述情况，改动之处应加盖单位章或由投标人的法定代表人或其授权的代理人签字确认。</w:t>
      </w:r>
    </w:p>
    <w:p>
      <w:pPr>
        <w:spacing w:line="400" w:lineRule="exact"/>
        <w:ind w:firstLine="480" w:firstLineChars="200"/>
        <w:rPr>
          <w:rFonts w:ascii="宋体" w:hAnsi="宋体"/>
          <w:sz w:val="24"/>
        </w:rPr>
      </w:pPr>
      <w:r>
        <w:rPr>
          <w:rFonts w:hint="eastAsia" w:ascii="宋体" w:hAnsi="宋体"/>
          <w:sz w:val="24"/>
        </w:rPr>
        <w:t>签字或盖章的其他要求见投标人须知前附表。</w:t>
      </w:r>
    </w:p>
    <w:p>
      <w:pPr>
        <w:spacing w:line="400" w:lineRule="exact"/>
        <w:ind w:firstLine="480" w:firstLineChars="200"/>
        <w:rPr>
          <w:rFonts w:ascii="宋体" w:hAnsi="宋体"/>
          <w:sz w:val="24"/>
        </w:rPr>
      </w:pPr>
      <w:r>
        <w:rPr>
          <w:rFonts w:ascii="宋体" w:hAnsi="宋体"/>
          <w:sz w:val="24"/>
        </w:rPr>
        <w:t>3.7.4 投标文件正本一份</w:t>
      </w:r>
      <w:r>
        <w:rPr>
          <w:rFonts w:hint="eastAsia" w:ascii="宋体" w:hAnsi="宋体"/>
          <w:sz w:val="24"/>
        </w:rPr>
        <w:t>，</w:t>
      </w:r>
      <w:r>
        <w:rPr>
          <w:rFonts w:ascii="宋体" w:hAnsi="宋体"/>
          <w:sz w:val="24"/>
        </w:rPr>
        <w:t>副本份数见投标人须知前附表。正本和副本的封面上应清楚地标记“正本”或“副本”的字样。当副本和正本不一致时，以正本为准。</w:t>
      </w:r>
    </w:p>
    <w:p>
      <w:pPr>
        <w:spacing w:line="400" w:lineRule="exact"/>
        <w:ind w:firstLine="480" w:firstLineChars="200"/>
        <w:rPr>
          <w:rFonts w:ascii="宋体" w:hAnsi="宋体"/>
          <w:sz w:val="24"/>
        </w:rPr>
      </w:pPr>
      <w:r>
        <w:rPr>
          <w:rFonts w:ascii="宋体" w:hAnsi="宋体"/>
          <w:sz w:val="24"/>
        </w:rPr>
        <w:t>3.7.5 投标文件的正本与副本应分别装订成册</w:t>
      </w:r>
      <w:r>
        <w:rPr>
          <w:rFonts w:hint="eastAsia" w:ascii="宋体" w:hAnsi="宋体"/>
          <w:sz w:val="24"/>
        </w:rPr>
        <w:t>（A4纸幅）</w:t>
      </w:r>
      <w:r>
        <w:rPr>
          <w:rFonts w:ascii="宋体" w:hAnsi="宋体"/>
          <w:sz w:val="24"/>
        </w:rPr>
        <w:t>，并编制目录</w:t>
      </w:r>
      <w:r>
        <w:rPr>
          <w:rFonts w:hint="eastAsia" w:ascii="宋体" w:hAnsi="宋体"/>
          <w:sz w:val="24"/>
        </w:rPr>
        <w:t>、且逐页标注连续页码。投标文件不得采用活页夹装订，否则，招标人对由于投标文件装订松散而造成的丢失或其他后果不承担任何责任。装订的其他要求见投标人须知前附表。</w:t>
      </w:r>
    </w:p>
    <w:p>
      <w:pPr>
        <w:pStyle w:val="4"/>
        <w:spacing w:beforeLines="50" w:after="0" w:line="400" w:lineRule="exact"/>
        <w:rPr>
          <w:rFonts w:ascii="宋体" w:hAnsi="宋体"/>
          <w:sz w:val="24"/>
          <w:szCs w:val="24"/>
        </w:rPr>
      </w:pPr>
      <w:bookmarkStart w:id="111" w:name="_Toc485889028"/>
      <w:bookmarkStart w:id="112" w:name="_Toc486277889"/>
      <w:bookmarkStart w:id="113" w:name="_Toc234382616"/>
      <w:bookmarkStart w:id="114" w:name="_Toc3142"/>
      <w:r>
        <w:rPr>
          <w:rFonts w:ascii="宋体" w:hAnsi="宋体"/>
          <w:sz w:val="24"/>
          <w:szCs w:val="24"/>
        </w:rPr>
        <w:t>4. 投标</w:t>
      </w:r>
      <w:bookmarkEnd w:id="111"/>
      <w:bookmarkEnd w:id="112"/>
      <w:bookmarkEnd w:id="113"/>
      <w:bookmarkEnd w:id="114"/>
    </w:p>
    <w:p>
      <w:pPr>
        <w:pStyle w:val="4"/>
        <w:spacing w:beforeLines="50" w:after="0" w:line="400" w:lineRule="exact"/>
        <w:rPr>
          <w:rFonts w:ascii="宋体" w:hAnsi="宋体"/>
          <w:sz w:val="24"/>
          <w:szCs w:val="24"/>
        </w:rPr>
      </w:pPr>
      <w:bookmarkStart w:id="115" w:name="_Toc234382617"/>
      <w:bookmarkStart w:id="116" w:name="_Toc486277890"/>
      <w:bookmarkStart w:id="117" w:name="_Toc485889029"/>
      <w:bookmarkStart w:id="118" w:name="_Toc26813"/>
      <w:r>
        <w:rPr>
          <w:rFonts w:ascii="宋体" w:hAnsi="宋体"/>
          <w:sz w:val="24"/>
          <w:szCs w:val="24"/>
        </w:rPr>
        <w:t>4.1 投标文件的密封和标记</w:t>
      </w:r>
      <w:bookmarkEnd w:id="115"/>
      <w:bookmarkEnd w:id="116"/>
      <w:bookmarkEnd w:id="117"/>
      <w:bookmarkEnd w:id="118"/>
    </w:p>
    <w:p>
      <w:pPr>
        <w:spacing w:line="400" w:lineRule="exact"/>
        <w:ind w:firstLine="480" w:firstLineChars="200"/>
        <w:rPr>
          <w:rFonts w:ascii="宋体" w:hAnsi="宋体"/>
          <w:sz w:val="24"/>
        </w:rPr>
      </w:pPr>
      <w:r>
        <w:rPr>
          <w:rFonts w:hint="eastAsia" w:ascii="宋体" w:hAnsi="宋体"/>
          <w:sz w:val="24"/>
        </w:rPr>
        <w:t>4.1.1 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sz w:val="24"/>
        </w:rPr>
      </w:pPr>
      <w:r>
        <w:rPr>
          <w:rFonts w:ascii="宋体" w:hAnsi="宋体"/>
          <w:sz w:val="24"/>
        </w:rPr>
        <w:t>4.1.2 投标文件的封套上应清楚地标记“正本”或“副本”字样，</w:t>
      </w:r>
      <w:r>
        <w:rPr>
          <w:rFonts w:hint="eastAsia" w:ascii="宋体" w:hAnsi="宋体"/>
          <w:sz w:val="24"/>
        </w:rPr>
        <w:t>投标文件第一个信封（商务及技术文件）以及第二个信封（投标报价和工程量清单）</w:t>
      </w:r>
      <w:r>
        <w:rPr>
          <w:rFonts w:ascii="宋体" w:hAnsi="宋体"/>
          <w:sz w:val="24"/>
        </w:rPr>
        <w:t>封套上应写明的其他内容见投标人须知前附表。</w:t>
      </w:r>
    </w:p>
    <w:p>
      <w:pPr>
        <w:spacing w:line="400" w:lineRule="exact"/>
        <w:ind w:firstLine="480" w:firstLineChars="200"/>
        <w:rPr>
          <w:rFonts w:ascii="宋体" w:hAnsi="宋体"/>
          <w:sz w:val="24"/>
        </w:rPr>
      </w:pPr>
      <w:r>
        <w:rPr>
          <w:rFonts w:ascii="宋体" w:hAnsi="宋体"/>
          <w:sz w:val="24"/>
        </w:rPr>
        <w:t>4.1.3 未按本章第4.1.1项或第4.1.2项要求密封和加写标记的投标文件，招标人不予受理。</w:t>
      </w:r>
    </w:p>
    <w:p>
      <w:pPr>
        <w:pStyle w:val="4"/>
        <w:spacing w:beforeLines="50" w:after="0" w:line="400" w:lineRule="exact"/>
        <w:rPr>
          <w:rFonts w:ascii="宋体" w:hAnsi="宋体"/>
          <w:sz w:val="24"/>
          <w:szCs w:val="24"/>
        </w:rPr>
      </w:pPr>
      <w:bookmarkStart w:id="119" w:name="_Toc31665"/>
      <w:bookmarkStart w:id="120" w:name="_Toc486277891"/>
      <w:bookmarkStart w:id="121" w:name="_Toc234382618"/>
      <w:bookmarkStart w:id="122" w:name="_Toc485889030"/>
      <w:r>
        <w:rPr>
          <w:rFonts w:ascii="宋体" w:hAnsi="宋体"/>
          <w:sz w:val="24"/>
          <w:szCs w:val="24"/>
        </w:rPr>
        <w:t>4.2 投标文件的递交</w:t>
      </w:r>
      <w:bookmarkEnd w:id="119"/>
      <w:bookmarkEnd w:id="120"/>
      <w:bookmarkEnd w:id="121"/>
      <w:bookmarkEnd w:id="122"/>
    </w:p>
    <w:p>
      <w:pPr>
        <w:spacing w:line="400" w:lineRule="exact"/>
        <w:ind w:firstLine="480" w:firstLineChars="200"/>
        <w:rPr>
          <w:rFonts w:ascii="宋体" w:hAnsi="宋体"/>
          <w:sz w:val="24"/>
        </w:rPr>
      </w:pPr>
      <w:r>
        <w:rPr>
          <w:rFonts w:ascii="宋体" w:hAnsi="宋体"/>
          <w:sz w:val="24"/>
        </w:rPr>
        <w:t>4.2.1 投标人应在本章第 2.2.2 项规定的投标截止时间前递交投标文件。</w:t>
      </w:r>
    </w:p>
    <w:p>
      <w:pPr>
        <w:spacing w:line="400" w:lineRule="exact"/>
        <w:ind w:firstLine="480" w:firstLineChars="200"/>
        <w:rPr>
          <w:rFonts w:ascii="宋体" w:hAnsi="宋体"/>
          <w:sz w:val="24"/>
        </w:rPr>
      </w:pPr>
      <w:r>
        <w:rPr>
          <w:rFonts w:ascii="宋体" w:hAnsi="宋体"/>
          <w:sz w:val="24"/>
        </w:rPr>
        <w:t>4.2.2 投标人递交投标文件的地点：见投标人须知前附表。</w:t>
      </w:r>
    </w:p>
    <w:p>
      <w:pPr>
        <w:spacing w:line="400" w:lineRule="exact"/>
        <w:ind w:firstLine="480" w:firstLineChars="200"/>
        <w:rPr>
          <w:rFonts w:ascii="宋体" w:hAnsi="宋体"/>
          <w:sz w:val="24"/>
        </w:rPr>
      </w:pPr>
      <w:r>
        <w:rPr>
          <w:rFonts w:ascii="宋体" w:hAnsi="宋体"/>
          <w:sz w:val="24"/>
        </w:rPr>
        <w:t>4.2.3 除投标人须知前附表另有规定外，投标人所递交的投标文件不予退还。</w:t>
      </w:r>
    </w:p>
    <w:p>
      <w:pPr>
        <w:spacing w:line="400" w:lineRule="exact"/>
        <w:ind w:firstLine="480" w:firstLineChars="200"/>
        <w:rPr>
          <w:rFonts w:ascii="宋体" w:hAnsi="宋体"/>
          <w:sz w:val="24"/>
        </w:rPr>
      </w:pPr>
      <w:r>
        <w:rPr>
          <w:rFonts w:ascii="宋体" w:hAnsi="宋体"/>
          <w:sz w:val="24"/>
        </w:rPr>
        <w:t>4.2.4 招标人收到投标文件后，向投标人出具签收凭证。</w:t>
      </w:r>
    </w:p>
    <w:p>
      <w:pPr>
        <w:spacing w:line="400" w:lineRule="exact"/>
        <w:ind w:firstLine="480" w:firstLineChars="200"/>
        <w:rPr>
          <w:rFonts w:ascii="宋体" w:hAnsi="宋体"/>
          <w:sz w:val="24"/>
        </w:rPr>
      </w:pPr>
      <w:r>
        <w:rPr>
          <w:rFonts w:ascii="宋体" w:hAnsi="宋体"/>
          <w:sz w:val="24"/>
        </w:rPr>
        <w:t>4.2.5 逾期送达的或者未送达指定地点的投标文件，招标人不予受理。</w:t>
      </w:r>
    </w:p>
    <w:p>
      <w:pPr>
        <w:spacing w:line="400" w:lineRule="exact"/>
        <w:ind w:firstLine="480" w:firstLineChars="200"/>
        <w:rPr>
          <w:rFonts w:ascii="宋体" w:hAnsi="宋体"/>
          <w:sz w:val="24"/>
        </w:rPr>
      </w:pPr>
      <w:r>
        <w:rPr>
          <w:rFonts w:hint="eastAsia" w:ascii="宋体" w:hAnsi="宋体"/>
          <w:sz w:val="24"/>
        </w:rPr>
        <w:t>4.2.6在特殊情况下，招标人如果决定延后递交投标截止时间，应在投标人须知前附表规定的时间前，</w:t>
      </w:r>
      <w:r>
        <w:rPr>
          <w:rFonts w:hint="eastAsia" w:hAnsi="宋体"/>
          <w:spacing w:val="2"/>
          <w:sz w:val="24"/>
        </w:rPr>
        <w:t>通过</w:t>
      </w:r>
      <w:r>
        <w:rPr>
          <w:rFonts w:hint="eastAsia" w:ascii="宋体" w:hAnsi="宋体"/>
          <w:spacing w:val="2"/>
          <w:sz w:val="24"/>
        </w:rPr>
        <w:t>公共资源交易系统电子平台</w:t>
      </w:r>
      <w:r>
        <w:rPr>
          <w:rFonts w:hint="eastAsia" w:ascii="宋体" w:hAnsi="宋体"/>
          <w:sz w:val="24"/>
        </w:rPr>
        <w:t>延后投标截止时间。在此情况下，招标人和投标人的权利和义务相应延后至新的投标截止时间。</w:t>
      </w:r>
    </w:p>
    <w:p>
      <w:pPr>
        <w:pStyle w:val="4"/>
        <w:spacing w:beforeLines="50" w:after="0" w:line="400" w:lineRule="exact"/>
        <w:rPr>
          <w:rFonts w:ascii="宋体" w:hAnsi="宋体"/>
          <w:sz w:val="24"/>
          <w:szCs w:val="24"/>
        </w:rPr>
      </w:pPr>
      <w:bookmarkStart w:id="123" w:name="_Toc485889031"/>
      <w:bookmarkStart w:id="124" w:name="_Toc234382619"/>
      <w:bookmarkStart w:id="125" w:name="_Toc30135"/>
      <w:bookmarkStart w:id="126" w:name="_Toc486277892"/>
      <w:r>
        <w:rPr>
          <w:rFonts w:ascii="宋体" w:hAnsi="宋体"/>
          <w:sz w:val="24"/>
          <w:szCs w:val="24"/>
        </w:rPr>
        <w:t>4.3 投标文件的修改与撤回</w:t>
      </w:r>
      <w:bookmarkEnd w:id="123"/>
      <w:bookmarkEnd w:id="124"/>
      <w:bookmarkEnd w:id="125"/>
      <w:bookmarkEnd w:id="126"/>
    </w:p>
    <w:p>
      <w:pPr>
        <w:spacing w:line="400" w:lineRule="exact"/>
        <w:ind w:firstLine="480" w:firstLineChars="200"/>
        <w:rPr>
          <w:rFonts w:ascii="宋体" w:hAnsi="宋体"/>
          <w:sz w:val="24"/>
        </w:rPr>
      </w:pPr>
      <w:r>
        <w:rPr>
          <w:rFonts w:ascii="宋体" w:hAnsi="宋体"/>
          <w:sz w:val="24"/>
        </w:rPr>
        <w:t>4.3.1 在本章第 2.2.2 项规定的投标截止时间前，投标人可以修改或撤回已递交的投标文件，但应以书面形式通知招标人。</w:t>
      </w:r>
    </w:p>
    <w:p>
      <w:pPr>
        <w:spacing w:line="400" w:lineRule="exact"/>
        <w:ind w:firstLine="480" w:firstLineChars="200"/>
        <w:rPr>
          <w:rFonts w:ascii="宋体" w:hAnsi="宋体"/>
          <w:sz w:val="24"/>
        </w:rPr>
      </w:pPr>
      <w:r>
        <w:rPr>
          <w:rFonts w:ascii="宋体" w:hAnsi="宋体"/>
          <w:sz w:val="24"/>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sz w:val="24"/>
        </w:rPr>
      </w:pPr>
      <w:r>
        <w:rPr>
          <w:rFonts w:ascii="宋体" w:hAnsi="宋体"/>
          <w:sz w:val="24"/>
        </w:rPr>
        <w:t>4.3.3 修改的内容为投标文件的组成部分。修改的投标文件应按照本章第3条、第4条规定进行编制、密封、标记和递交，并标明“修改”字样。</w:t>
      </w:r>
    </w:p>
    <w:p>
      <w:pPr>
        <w:pStyle w:val="4"/>
        <w:spacing w:beforeLines="50" w:after="0" w:line="400" w:lineRule="exact"/>
        <w:rPr>
          <w:rFonts w:ascii="宋体" w:hAnsi="宋体"/>
          <w:sz w:val="24"/>
          <w:szCs w:val="24"/>
        </w:rPr>
      </w:pPr>
      <w:bookmarkStart w:id="127" w:name="_Toc11058"/>
      <w:bookmarkStart w:id="128" w:name="_Toc485889032"/>
      <w:bookmarkStart w:id="129" w:name="_Toc486277893"/>
      <w:bookmarkStart w:id="130" w:name="_Toc234382620"/>
      <w:r>
        <w:rPr>
          <w:rFonts w:ascii="宋体" w:hAnsi="宋体"/>
          <w:sz w:val="24"/>
          <w:szCs w:val="24"/>
        </w:rPr>
        <w:t>5. 开标</w:t>
      </w:r>
      <w:bookmarkEnd w:id="127"/>
      <w:bookmarkEnd w:id="128"/>
      <w:bookmarkEnd w:id="129"/>
      <w:bookmarkEnd w:id="130"/>
    </w:p>
    <w:p>
      <w:pPr>
        <w:pStyle w:val="4"/>
        <w:spacing w:beforeLines="50" w:after="0" w:line="400" w:lineRule="exact"/>
        <w:rPr>
          <w:rFonts w:ascii="宋体" w:hAnsi="宋体"/>
          <w:sz w:val="24"/>
          <w:szCs w:val="24"/>
        </w:rPr>
      </w:pPr>
      <w:bookmarkStart w:id="131" w:name="_Toc486277894"/>
      <w:bookmarkStart w:id="132" w:name="_Toc234382622"/>
      <w:bookmarkStart w:id="133" w:name="_Toc485889033"/>
      <w:bookmarkStart w:id="134" w:name="_Toc11150"/>
      <w:r>
        <w:rPr>
          <w:rFonts w:ascii="宋体" w:hAnsi="宋体"/>
          <w:sz w:val="24"/>
          <w:szCs w:val="24"/>
        </w:rPr>
        <w:t>5.1 开标时间和地点</w:t>
      </w:r>
      <w:bookmarkEnd w:id="131"/>
      <w:bookmarkEnd w:id="132"/>
      <w:bookmarkEnd w:id="133"/>
      <w:bookmarkEnd w:id="134"/>
    </w:p>
    <w:p>
      <w:pPr>
        <w:spacing w:line="400" w:lineRule="exact"/>
        <w:ind w:firstLine="480" w:firstLineChars="200"/>
        <w:rPr>
          <w:rFonts w:ascii="宋体" w:hAnsi="宋体"/>
          <w:sz w:val="24"/>
        </w:rPr>
      </w:pPr>
      <w:r>
        <w:rPr>
          <w:rFonts w:ascii="宋体" w:hAnsi="宋体"/>
          <w:sz w:val="24"/>
        </w:rPr>
        <w:t>招标人在本章第 2.2.2 项规定的投标截止时间（开标时间）和投标人须知前附表规定的地点</w:t>
      </w:r>
      <w:r>
        <w:rPr>
          <w:rFonts w:hint="eastAsia" w:ascii="宋体" w:hAnsi="宋体"/>
          <w:sz w:val="24"/>
        </w:rPr>
        <w:t>对收到的投标文件第一个信封（商务及技术文件）</w:t>
      </w:r>
      <w:r>
        <w:rPr>
          <w:rFonts w:ascii="宋体" w:hAnsi="宋体"/>
          <w:sz w:val="24"/>
        </w:rPr>
        <w:t>公开开标，并邀请所有投标人的法定代表人或其委托代理人准时参加。</w:t>
      </w:r>
    </w:p>
    <w:p>
      <w:pPr>
        <w:spacing w:line="400" w:lineRule="exact"/>
        <w:ind w:firstLine="480" w:firstLineChars="200"/>
        <w:rPr>
          <w:rFonts w:ascii="宋体" w:hAnsi="宋体"/>
          <w:sz w:val="24"/>
        </w:rPr>
      </w:pPr>
      <w:r>
        <w:rPr>
          <w:rFonts w:hint="eastAsia" w:ascii="宋体" w:hAnsi="宋体"/>
          <w:sz w:val="24"/>
        </w:rPr>
        <w:t>招标人在投标人须知前附表规定的时间和地点对投标文件第二个信封（投标报价和工程量清单）进行开标，并邀请所有投标人的法定代表人或其委托代理人准时参加。</w:t>
      </w:r>
    </w:p>
    <w:p>
      <w:pPr>
        <w:spacing w:line="400" w:lineRule="exact"/>
        <w:ind w:firstLine="480" w:firstLineChars="200"/>
        <w:rPr>
          <w:rFonts w:ascii="宋体" w:hAnsi="宋体"/>
          <w:sz w:val="24"/>
        </w:rPr>
      </w:pPr>
      <w:r>
        <w:rPr>
          <w:rFonts w:hint="eastAsia" w:ascii="宋体" w:hAnsi="宋体"/>
          <w:sz w:val="24"/>
        </w:rPr>
        <w:t>投标人若未派法定代表人或委托代理人出席开标活动，视为该投标人默认开标结果。</w:t>
      </w:r>
    </w:p>
    <w:p>
      <w:pPr>
        <w:pStyle w:val="4"/>
        <w:spacing w:beforeLines="50" w:after="0" w:line="400" w:lineRule="exact"/>
        <w:rPr>
          <w:rFonts w:ascii="宋体" w:hAnsi="宋体"/>
          <w:sz w:val="24"/>
          <w:szCs w:val="24"/>
        </w:rPr>
      </w:pPr>
      <w:bookmarkStart w:id="135" w:name="_Toc234382624"/>
      <w:bookmarkStart w:id="136" w:name="_Toc26054"/>
      <w:bookmarkStart w:id="137" w:name="_Toc485889034"/>
      <w:bookmarkStart w:id="138" w:name="_Toc486277895"/>
      <w:r>
        <w:rPr>
          <w:rFonts w:ascii="宋体" w:hAnsi="宋体"/>
          <w:sz w:val="24"/>
          <w:szCs w:val="24"/>
        </w:rPr>
        <w:t>5.2 开标程序</w:t>
      </w:r>
      <w:bookmarkEnd w:id="135"/>
      <w:bookmarkEnd w:id="136"/>
      <w:bookmarkEnd w:id="137"/>
      <w:bookmarkEnd w:id="138"/>
    </w:p>
    <w:p>
      <w:pPr>
        <w:spacing w:line="400" w:lineRule="exact"/>
        <w:ind w:firstLine="480" w:firstLineChars="200"/>
        <w:rPr>
          <w:rFonts w:ascii="宋体" w:hAnsi="宋体"/>
          <w:sz w:val="24"/>
        </w:rPr>
      </w:pPr>
      <w:r>
        <w:rPr>
          <w:rFonts w:hint="eastAsia" w:ascii="宋体" w:hAnsi="宋体"/>
          <w:sz w:val="24"/>
        </w:rPr>
        <w:t xml:space="preserve">5.2.1 </w:t>
      </w:r>
      <w:r>
        <w:rPr>
          <w:rFonts w:ascii="宋体" w:hAnsi="宋体"/>
          <w:sz w:val="24"/>
        </w:rPr>
        <w:t>主持人按下列程序</w:t>
      </w:r>
      <w:r>
        <w:rPr>
          <w:rFonts w:hint="eastAsia" w:ascii="宋体" w:hAnsi="宋体"/>
          <w:sz w:val="24"/>
        </w:rPr>
        <w:t>对投标文件第一个信封（商务及技术文件）</w:t>
      </w:r>
      <w:r>
        <w:rPr>
          <w:rFonts w:ascii="宋体" w:hAnsi="宋体"/>
          <w:sz w:val="24"/>
        </w:rPr>
        <w:t>进行开标：</w:t>
      </w:r>
    </w:p>
    <w:p>
      <w:pPr>
        <w:spacing w:line="400" w:lineRule="exact"/>
        <w:ind w:firstLine="480" w:firstLineChars="200"/>
        <w:rPr>
          <w:rFonts w:ascii="宋体" w:hAnsi="宋体"/>
          <w:sz w:val="24"/>
        </w:rPr>
      </w:pPr>
      <w:r>
        <w:rPr>
          <w:rFonts w:ascii="宋体" w:hAnsi="宋体"/>
          <w:sz w:val="24"/>
        </w:rPr>
        <w:t>（1）宣布开标纪律；</w:t>
      </w:r>
    </w:p>
    <w:p>
      <w:pPr>
        <w:spacing w:line="400" w:lineRule="exact"/>
        <w:ind w:firstLine="480" w:firstLineChars="200"/>
        <w:rPr>
          <w:rFonts w:ascii="宋体" w:hAnsi="宋体"/>
          <w:sz w:val="24"/>
        </w:rPr>
      </w:pPr>
      <w:r>
        <w:rPr>
          <w:rFonts w:ascii="宋体" w:hAnsi="宋体"/>
          <w:sz w:val="24"/>
        </w:rPr>
        <w:t>（2）公布在投标截止时间前递交投标文件的投标人名称，并点名确认投标人是否派人到场；</w:t>
      </w:r>
    </w:p>
    <w:p>
      <w:pPr>
        <w:spacing w:line="400" w:lineRule="exact"/>
        <w:ind w:firstLine="480" w:firstLineChars="200"/>
        <w:rPr>
          <w:rFonts w:ascii="宋体" w:hAnsi="宋体"/>
          <w:sz w:val="24"/>
        </w:rPr>
      </w:pPr>
      <w:r>
        <w:rPr>
          <w:rFonts w:ascii="宋体" w:hAnsi="宋体"/>
          <w:sz w:val="24"/>
        </w:rPr>
        <w:t>（3）宣布开标人、唱标人、记录人、监标人等有关人员姓名；</w:t>
      </w:r>
    </w:p>
    <w:p>
      <w:pPr>
        <w:spacing w:line="400" w:lineRule="exact"/>
        <w:ind w:firstLine="480" w:firstLineChars="200"/>
        <w:rPr>
          <w:rFonts w:ascii="宋体" w:hAnsi="宋体"/>
          <w:sz w:val="24"/>
        </w:rPr>
      </w:pPr>
      <w:r>
        <w:rPr>
          <w:rFonts w:ascii="宋体" w:hAnsi="宋体"/>
          <w:sz w:val="24"/>
        </w:rPr>
        <w:t>（4）按照投标人须知前附表规定检查投标文件的密封情况；</w:t>
      </w:r>
    </w:p>
    <w:p>
      <w:pPr>
        <w:spacing w:line="400" w:lineRule="exact"/>
        <w:ind w:firstLine="480" w:firstLineChars="200"/>
        <w:rPr>
          <w:rFonts w:ascii="宋体" w:hAnsi="宋体"/>
          <w:sz w:val="24"/>
        </w:rPr>
      </w:pPr>
      <w:r>
        <w:rPr>
          <w:rFonts w:ascii="宋体" w:hAnsi="宋体"/>
          <w:sz w:val="24"/>
        </w:rPr>
        <w:t>（5）按照投标人须知前附表的规定确定并宣布投标文件开标顺序；</w:t>
      </w:r>
    </w:p>
    <w:p>
      <w:pPr>
        <w:spacing w:line="400" w:lineRule="exact"/>
        <w:ind w:firstLine="480" w:firstLineChars="200"/>
        <w:rPr>
          <w:rFonts w:ascii="宋体" w:hAnsi="宋体"/>
          <w:sz w:val="24"/>
        </w:rPr>
      </w:pPr>
      <w:r>
        <w:rPr>
          <w:rFonts w:ascii="宋体" w:hAnsi="宋体"/>
          <w:sz w:val="24"/>
        </w:rPr>
        <w:t>（6）按照宣布的开标顺序当众开标，公布投标人名称、标段名称、投标保证金的递交情况、质量目标、工期及其他内容，并记录在案；</w:t>
      </w:r>
    </w:p>
    <w:p>
      <w:pPr>
        <w:spacing w:line="400" w:lineRule="exact"/>
        <w:ind w:firstLine="480" w:firstLineChars="200"/>
        <w:rPr>
          <w:rFonts w:ascii="宋体" w:hAnsi="宋体"/>
          <w:sz w:val="24"/>
        </w:rPr>
      </w:pPr>
      <w:r>
        <w:rPr>
          <w:rFonts w:ascii="宋体" w:hAnsi="宋体"/>
          <w:sz w:val="24"/>
        </w:rPr>
        <w:t>（7）投标人代表、招标人代表、监标人、记录人等有关人员在开标记录上签字确认；</w:t>
      </w:r>
    </w:p>
    <w:p>
      <w:pPr>
        <w:spacing w:line="400" w:lineRule="exact"/>
        <w:ind w:firstLine="480" w:firstLineChars="200"/>
        <w:rPr>
          <w:rFonts w:ascii="宋体" w:hAnsi="宋体"/>
          <w:sz w:val="24"/>
        </w:rPr>
      </w:pPr>
      <w:r>
        <w:rPr>
          <w:rFonts w:ascii="宋体" w:hAnsi="宋体"/>
          <w:sz w:val="24"/>
        </w:rPr>
        <w:t>（8）开标</w:t>
      </w:r>
      <w:r>
        <w:rPr>
          <w:rFonts w:hint="eastAsia" w:ascii="宋体" w:hAnsi="宋体"/>
          <w:sz w:val="24"/>
        </w:rPr>
        <w:t>会议</w:t>
      </w:r>
      <w:r>
        <w:rPr>
          <w:rFonts w:ascii="宋体" w:hAnsi="宋体"/>
          <w:sz w:val="24"/>
        </w:rPr>
        <w:t>结束。</w:t>
      </w:r>
    </w:p>
    <w:p>
      <w:pPr>
        <w:spacing w:line="400" w:lineRule="exact"/>
        <w:ind w:firstLine="480" w:firstLineChars="200"/>
        <w:rPr>
          <w:rFonts w:ascii="宋体" w:hAnsi="宋体"/>
          <w:sz w:val="24"/>
        </w:rPr>
      </w:pPr>
      <w:r>
        <w:rPr>
          <w:rFonts w:hint="eastAsia" w:ascii="宋体" w:hAnsi="宋体"/>
          <w:sz w:val="24"/>
        </w:rPr>
        <w:t>5.2.2 若招标人宣读的内容与投标文件不符时，投标人有权在开标现场提出异议，经监标人当场核查确认之后，可重新宣读其投标文件。若投标人现场未提出异议，则认为投标人已确认招标人宣读的内容。</w:t>
      </w:r>
    </w:p>
    <w:p>
      <w:pPr>
        <w:spacing w:line="400" w:lineRule="exact"/>
        <w:ind w:firstLine="480" w:firstLineChars="200"/>
        <w:rPr>
          <w:rFonts w:ascii="宋体" w:hAnsi="宋体"/>
          <w:sz w:val="24"/>
        </w:rPr>
      </w:pPr>
      <w:r>
        <w:rPr>
          <w:rFonts w:hint="eastAsia" w:ascii="宋体" w:hAnsi="宋体"/>
          <w:sz w:val="24"/>
        </w:rPr>
        <w:t>5.2.3 投标文件第二个信封（投标报价和工程量清单）不予开封，并交监标人密封保存。</w:t>
      </w:r>
    </w:p>
    <w:p>
      <w:pPr>
        <w:spacing w:line="400" w:lineRule="exact"/>
        <w:ind w:firstLine="480" w:firstLineChars="200"/>
        <w:rPr>
          <w:rFonts w:ascii="宋体" w:hAnsi="宋体"/>
          <w:sz w:val="24"/>
        </w:rPr>
      </w:pPr>
      <w:r>
        <w:rPr>
          <w:rFonts w:hint="eastAsia" w:ascii="宋体" w:hAnsi="宋体"/>
          <w:sz w:val="24"/>
        </w:rPr>
        <w:t>5.2.4 招标人将按照本章第5.1款规定的时间和地点对投标文件第二个信封（投标报价和工程量清单）进行开标。主持人按下列程序进行开标：</w:t>
      </w:r>
    </w:p>
    <w:p>
      <w:pPr>
        <w:spacing w:line="400" w:lineRule="exact"/>
        <w:ind w:firstLine="480" w:firstLineChars="200"/>
        <w:rPr>
          <w:rFonts w:ascii="宋体" w:hAnsi="宋体"/>
          <w:sz w:val="24"/>
        </w:rPr>
      </w:pPr>
      <w:r>
        <w:rPr>
          <w:rFonts w:hint="eastAsia" w:ascii="宋体" w:hAnsi="宋体"/>
          <w:sz w:val="24"/>
        </w:rPr>
        <w:t>（1）宣布开标纪律；</w:t>
      </w:r>
    </w:p>
    <w:p>
      <w:pPr>
        <w:spacing w:line="400" w:lineRule="exact"/>
        <w:ind w:firstLine="480" w:firstLineChars="200"/>
        <w:rPr>
          <w:rFonts w:ascii="宋体" w:hAnsi="宋体"/>
          <w:sz w:val="24"/>
        </w:rPr>
      </w:pPr>
      <w:r>
        <w:rPr>
          <w:rFonts w:hint="eastAsia" w:ascii="宋体" w:hAnsi="宋体"/>
          <w:sz w:val="24"/>
        </w:rPr>
        <w:t>（2）当中拆开投标文件第一个信封（商务及技术文件）评审结果的的密封袋，宣布通过投标文件第一个信封（商务及技术文件）评审的投标人名单，并点名确认投标人是否派人到场；</w:t>
      </w:r>
    </w:p>
    <w:p>
      <w:pPr>
        <w:spacing w:line="400" w:lineRule="exact"/>
        <w:ind w:firstLine="480" w:firstLineChars="200"/>
        <w:rPr>
          <w:rFonts w:ascii="宋体" w:hAnsi="宋体"/>
          <w:sz w:val="24"/>
        </w:rPr>
      </w:pPr>
      <w:r>
        <w:rPr>
          <w:rFonts w:hint="eastAsia" w:ascii="宋体" w:hAnsi="宋体"/>
          <w:sz w:val="24"/>
        </w:rPr>
        <w:t>（3）宣布开标人、唱标人、记录人、监标人等有关人员姓名；</w:t>
      </w:r>
    </w:p>
    <w:p>
      <w:pPr>
        <w:spacing w:line="400" w:lineRule="exact"/>
        <w:ind w:firstLine="480" w:firstLineChars="200"/>
        <w:rPr>
          <w:rFonts w:ascii="宋体" w:hAnsi="宋体"/>
          <w:sz w:val="24"/>
        </w:rPr>
      </w:pPr>
      <w:r>
        <w:rPr>
          <w:rFonts w:hint="eastAsia" w:ascii="宋体" w:hAnsi="宋体"/>
          <w:sz w:val="24"/>
        </w:rPr>
        <w:t>（4）按照投标人须知前附表规定检查投标文件情况；</w:t>
      </w:r>
    </w:p>
    <w:p>
      <w:pPr>
        <w:spacing w:line="400" w:lineRule="exact"/>
        <w:ind w:firstLine="480" w:firstLineChars="200"/>
        <w:rPr>
          <w:rFonts w:ascii="宋体" w:hAnsi="宋体"/>
          <w:sz w:val="24"/>
        </w:rPr>
      </w:pPr>
      <w:r>
        <w:rPr>
          <w:rFonts w:hint="eastAsia" w:ascii="宋体" w:hAnsi="宋体"/>
          <w:sz w:val="24"/>
        </w:rPr>
        <w:t>（5）按照投标人须知前附表的规定确定并宣布投标文件开标顺序；</w:t>
      </w:r>
    </w:p>
    <w:p>
      <w:pPr>
        <w:spacing w:line="400" w:lineRule="exact"/>
        <w:ind w:firstLine="480" w:firstLineChars="200"/>
        <w:rPr>
          <w:rFonts w:ascii="宋体" w:hAnsi="宋体"/>
          <w:sz w:val="24"/>
        </w:rPr>
      </w:pPr>
      <w:r>
        <w:rPr>
          <w:rFonts w:hint="eastAsia" w:ascii="宋体" w:hAnsi="宋体"/>
          <w:sz w:val="24"/>
        </w:rPr>
        <w:t>（6）设有标底的，公布标底；</w:t>
      </w:r>
    </w:p>
    <w:p>
      <w:pPr>
        <w:spacing w:line="400" w:lineRule="exact"/>
        <w:ind w:firstLine="480" w:firstLineChars="200"/>
        <w:rPr>
          <w:rFonts w:ascii="宋体" w:hAnsi="宋体"/>
          <w:sz w:val="24"/>
        </w:rPr>
      </w:pPr>
      <w:r>
        <w:rPr>
          <w:rFonts w:hint="eastAsia" w:ascii="宋体" w:hAnsi="宋体"/>
          <w:sz w:val="24"/>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w:t>
      </w:r>
      <w:r>
        <w:rPr>
          <w:rStyle w:val="44"/>
          <w:rFonts w:ascii="宋体" w:hAnsi="宋体"/>
          <w:sz w:val="24"/>
        </w:rPr>
        <w:footnoteReference w:id="0"/>
      </w:r>
      <w:r>
        <w:rPr>
          <w:rFonts w:hint="eastAsia" w:ascii="宋体" w:hAnsi="宋体"/>
          <w:sz w:val="24"/>
        </w:rPr>
        <w:t>及其他内容，并记录在案，将未通过投标文件第一个信封（商务及技术文件）评审的投标文件第二个信封（投标报价和工程量清单）退还给投标人；</w:t>
      </w:r>
    </w:p>
    <w:p>
      <w:pPr>
        <w:spacing w:line="400" w:lineRule="exact"/>
        <w:ind w:firstLine="480" w:firstLineChars="200"/>
        <w:rPr>
          <w:rFonts w:ascii="宋体" w:hAnsi="宋体"/>
          <w:sz w:val="24"/>
        </w:rPr>
      </w:pPr>
      <w:r>
        <w:rPr>
          <w:rFonts w:hint="eastAsia" w:ascii="宋体" w:hAnsi="宋体"/>
          <w:sz w:val="24"/>
        </w:rPr>
        <w:t>（8）投标人代表、招标人代表、监标人、记录人等有关人员在开标记录上签字确认；</w:t>
      </w:r>
    </w:p>
    <w:p>
      <w:pPr>
        <w:spacing w:line="400" w:lineRule="exact"/>
        <w:ind w:firstLine="480" w:firstLineChars="200"/>
        <w:rPr>
          <w:rFonts w:ascii="宋体" w:hAnsi="宋体"/>
          <w:sz w:val="24"/>
        </w:rPr>
      </w:pPr>
      <w:r>
        <w:rPr>
          <w:rFonts w:hint="eastAsia" w:ascii="宋体" w:hAnsi="宋体"/>
          <w:sz w:val="24"/>
        </w:rPr>
        <w:t>（9）开标会议结束。</w:t>
      </w:r>
    </w:p>
    <w:p>
      <w:pPr>
        <w:spacing w:line="400" w:lineRule="exact"/>
        <w:ind w:firstLine="480" w:firstLineChars="200"/>
        <w:rPr>
          <w:rFonts w:ascii="宋体" w:hAnsi="宋体"/>
          <w:sz w:val="24"/>
        </w:rPr>
      </w:pPr>
      <w:r>
        <w:rPr>
          <w:rFonts w:hint="eastAsia" w:ascii="宋体" w:hAnsi="宋体"/>
          <w:sz w:val="24"/>
        </w:rPr>
        <w:t>5.2.5 第二个信封（投标报价和工程量清单）开标过程中，若招标人发现投标文件出现以下任一情况，经监标人确认并当场宣布为废标：</w:t>
      </w:r>
    </w:p>
    <w:p>
      <w:pPr>
        <w:spacing w:line="400" w:lineRule="exact"/>
        <w:ind w:firstLine="480" w:firstLineChars="200"/>
        <w:rPr>
          <w:rFonts w:ascii="宋体" w:hAnsi="宋体"/>
          <w:sz w:val="24"/>
        </w:rPr>
      </w:pPr>
      <w:r>
        <w:rPr>
          <w:rFonts w:hint="eastAsia" w:ascii="宋体" w:hAnsi="宋体"/>
          <w:sz w:val="24"/>
        </w:rPr>
        <w:t>（1）未在投标函上填写投标总价；</w:t>
      </w:r>
    </w:p>
    <w:p>
      <w:pPr>
        <w:spacing w:line="400" w:lineRule="exact"/>
        <w:ind w:firstLine="480" w:firstLineChars="200"/>
        <w:rPr>
          <w:rFonts w:ascii="宋体" w:hAnsi="宋体"/>
          <w:sz w:val="24"/>
        </w:rPr>
      </w:pPr>
      <w:r>
        <w:rPr>
          <w:rFonts w:hint="eastAsia" w:ascii="宋体" w:hAnsi="宋体"/>
          <w:sz w:val="24"/>
        </w:rPr>
        <w:t>（2）投标报价或调价函中的报价超出招标人公布的投标控制价上限（如有）。</w:t>
      </w:r>
    </w:p>
    <w:p>
      <w:pPr>
        <w:spacing w:line="400" w:lineRule="exact"/>
        <w:ind w:firstLine="480" w:firstLineChars="200"/>
        <w:rPr>
          <w:rFonts w:ascii="宋体" w:hAnsi="宋体"/>
          <w:sz w:val="24"/>
        </w:rPr>
      </w:pPr>
      <w:r>
        <w:rPr>
          <w:rFonts w:hint="eastAsia" w:ascii="宋体" w:hAnsi="宋体"/>
          <w:sz w:val="24"/>
        </w:rPr>
        <w:t>5.2.6 若招标人宣读的内容与投标文件不符时，投标人有权在开标现场提出异议，经监标人当场核查确认之后，可重新宣读其投标文件。若投标人现场未提出异议，则认为投标人已确认招标人宣读的内容。</w:t>
      </w:r>
    </w:p>
    <w:p>
      <w:pPr>
        <w:pStyle w:val="4"/>
        <w:spacing w:beforeLines="50" w:after="0" w:line="400" w:lineRule="exact"/>
        <w:rPr>
          <w:rFonts w:ascii="宋体" w:hAnsi="宋体"/>
          <w:sz w:val="24"/>
          <w:szCs w:val="24"/>
        </w:rPr>
      </w:pPr>
      <w:bookmarkStart w:id="139" w:name="_Toc27685"/>
      <w:bookmarkStart w:id="140" w:name="_Toc486277896"/>
      <w:bookmarkStart w:id="141" w:name="_Toc485889035"/>
      <w:bookmarkStart w:id="142" w:name="_Toc234382625"/>
      <w:r>
        <w:rPr>
          <w:rFonts w:ascii="宋体" w:hAnsi="宋体"/>
          <w:sz w:val="24"/>
          <w:szCs w:val="24"/>
        </w:rPr>
        <w:t>6. 评标</w:t>
      </w:r>
      <w:bookmarkEnd w:id="139"/>
      <w:bookmarkEnd w:id="140"/>
      <w:bookmarkEnd w:id="141"/>
      <w:bookmarkEnd w:id="142"/>
    </w:p>
    <w:p>
      <w:pPr>
        <w:pStyle w:val="4"/>
        <w:spacing w:beforeLines="50" w:after="0" w:line="400" w:lineRule="exact"/>
        <w:rPr>
          <w:rFonts w:ascii="宋体" w:hAnsi="宋体"/>
          <w:sz w:val="24"/>
          <w:szCs w:val="24"/>
        </w:rPr>
      </w:pPr>
      <w:bookmarkStart w:id="143" w:name="_Toc485889036"/>
      <w:bookmarkStart w:id="144" w:name="_Toc234382626"/>
      <w:bookmarkStart w:id="145" w:name="_Toc17693"/>
      <w:bookmarkStart w:id="146" w:name="_Toc486277897"/>
      <w:r>
        <w:rPr>
          <w:rFonts w:ascii="宋体" w:hAnsi="宋体"/>
          <w:sz w:val="24"/>
          <w:szCs w:val="24"/>
        </w:rPr>
        <w:t>6.1 评标委员会</w:t>
      </w:r>
      <w:bookmarkEnd w:id="143"/>
      <w:bookmarkEnd w:id="144"/>
      <w:bookmarkEnd w:id="145"/>
      <w:bookmarkEnd w:id="146"/>
    </w:p>
    <w:p>
      <w:pPr>
        <w:spacing w:line="400" w:lineRule="exact"/>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sz w:val="24"/>
        </w:rPr>
      </w:pPr>
      <w:r>
        <w:rPr>
          <w:rFonts w:ascii="宋体" w:hAnsi="宋体"/>
          <w:sz w:val="24"/>
        </w:rPr>
        <w:t>6.1.2 评标委员会成员有下列情形之一的，应当回避：</w:t>
      </w:r>
    </w:p>
    <w:p>
      <w:pPr>
        <w:spacing w:line="400" w:lineRule="exact"/>
        <w:ind w:firstLine="480" w:firstLineChars="200"/>
        <w:rPr>
          <w:rFonts w:ascii="宋体" w:hAnsi="宋体"/>
          <w:sz w:val="24"/>
        </w:rPr>
      </w:pPr>
      <w:r>
        <w:rPr>
          <w:rFonts w:ascii="宋体" w:hAnsi="宋体"/>
          <w:sz w:val="24"/>
        </w:rPr>
        <w:t>（1）招标人或投标人的主要负责人的近亲属；</w:t>
      </w:r>
    </w:p>
    <w:p>
      <w:pPr>
        <w:spacing w:line="400" w:lineRule="exact"/>
        <w:ind w:firstLine="480" w:firstLineChars="200"/>
        <w:rPr>
          <w:rFonts w:ascii="宋体" w:hAnsi="宋体"/>
          <w:sz w:val="24"/>
        </w:rPr>
      </w:pPr>
      <w:r>
        <w:rPr>
          <w:rFonts w:ascii="宋体" w:hAnsi="宋体"/>
          <w:sz w:val="24"/>
        </w:rPr>
        <w:t>（2）项目主管部门或者行政监督部门的人员；</w:t>
      </w:r>
    </w:p>
    <w:p>
      <w:pPr>
        <w:spacing w:line="400" w:lineRule="exact"/>
        <w:ind w:firstLine="480" w:firstLineChars="200"/>
        <w:rPr>
          <w:rFonts w:ascii="宋体" w:hAnsi="宋体"/>
          <w:sz w:val="24"/>
        </w:rPr>
      </w:pPr>
      <w:r>
        <w:rPr>
          <w:rFonts w:ascii="宋体" w:hAnsi="宋体"/>
          <w:sz w:val="24"/>
        </w:rPr>
        <w:t>（3）与投标人有经济利益关系，可能影响对投标公正评审的；</w:t>
      </w:r>
    </w:p>
    <w:p>
      <w:pPr>
        <w:spacing w:line="400" w:lineRule="exact"/>
        <w:ind w:firstLine="480" w:firstLineChars="200"/>
        <w:rPr>
          <w:rFonts w:ascii="宋体" w:hAnsi="宋体"/>
          <w:sz w:val="24"/>
        </w:rPr>
      </w:pPr>
      <w:r>
        <w:rPr>
          <w:rFonts w:ascii="宋体" w:hAnsi="宋体"/>
          <w:sz w:val="24"/>
        </w:rPr>
        <w:t>（4）曾因在招标、评标以及其他与招标投标有关活动中从事违法行为而受过行政处罚或刑事处罚的。</w:t>
      </w:r>
    </w:p>
    <w:p>
      <w:pPr>
        <w:pStyle w:val="4"/>
        <w:spacing w:beforeLines="50" w:after="0" w:line="400" w:lineRule="exact"/>
        <w:rPr>
          <w:rFonts w:ascii="宋体" w:hAnsi="宋体"/>
          <w:sz w:val="24"/>
          <w:szCs w:val="24"/>
        </w:rPr>
      </w:pPr>
      <w:bookmarkStart w:id="147" w:name="_Toc486277898"/>
      <w:bookmarkStart w:id="148" w:name="_Toc485889037"/>
      <w:bookmarkStart w:id="149" w:name="_Toc234382627"/>
      <w:bookmarkStart w:id="150" w:name="_Toc5222"/>
      <w:r>
        <w:rPr>
          <w:rFonts w:ascii="宋体" w:hAnsi="宋体"/>
          <w:sz w:val="24"/>
          <w:szCs w:val="24"/>
        </w:rPr>
        <w:t>6.2 评标原则</w:t>
      </w:r>
      <w:bookmarkEnd w:id="147"/>
      <w:bookmarkEnd w:id="148"/>
      <w:bookmarkEnd w:id="149"/>
      <w:bookmarkEnd w:id="150"/>
    </w:p>
    <w:p>
      <w:pPr>
        <w:spacing w:line="400" w:lineRule="exact"/>
        <w:ind w:firstLine="480" w:firstLineChars="200"/>
        <w:rPr>
          <w:rFonts w:ascii="宋体" w:hAnsi="宋体"/>
          <w:sz w:val="24"/>
        </w:rPr>
      </w:pPr>
      <w:r>
        <w:rPr>
          <w:rFonts w:ascii="宋体" w:hAnsi="宋体"/>
          <w:sz w:val="24"/>
        </w:rPr>
        <w:t>评标活动遵循公平、公正、科学和择优的原则。</w:t>
      </w:r>
    </w:p>
    <w:p>
      <w:pPr>
        <w:pStyle w:val="4"/>
        <w:spacing w:beforeLines="50" w:after="0" w:line="400" w:lineRule="exact"/>
        <w:rPr>
          <w:rFonts w:ascii="宋体" w:hAnsi="宋体"/>
          <w:sz w:val="24"/>
          <w:szCs w:val="24"/>
        </w:rPr>
      </w:pPr>
      <w:bookmarkStart w:id="151" w:name="_Toc234382628"/>
      <w:bookmarkStart w:id="152" w:name="_Toc31911"/>
      <w:bookmarkStart w:id="153" w:name="_Toc485889038"/>
      <w:bookmarkStart w:id="154" w:name="_Toc486277899"/>
      <w:r>
        <w:rPr>
          <w:rFonts w:ascii="宋体" w:hAnsi="宋体"/>
          <w:sz w:val="24"/>
          <w:szCs w:val="24"/>
        </w:rPr>
        <w:t>6.3 评标</w:t>
      </w:r>
      <w:bookmarkEnd w:id="151"/>
      <w:bookmarkEnd w:id="152"/>
      <w:bookmarkEnd w:id="153"/>
      <w:bookmarkEnd w:id="154"/>
    </w:p>
    <w:p>
      <w:pPr>
        <w:spacing w:line="400" w:lineRule="exact"/>
        <w:ind w:firstLine="480" w:firstLineChars="20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pPr>
        <w:pStyle w:val="4"/>
        <w:spacing w:beforeLines="150" w:after="480" w:line="400" w:lineRule="exact"/>
        <w:rPr>
          <w:rFonts w:ascii="宋体" w:hAnsi="宋体"/>
          <w:sz w:val="24"/>
          <w:szCs w:val="24"/>
        </w:rPr>
      </w:pPr>
      <w:bookmarkStart w:id="155" w:name="_Toc486277900"/>
      <w:bookmarkStart w:id="156" w:name="_Toc21378"/>
      <w:bookmarkStart w:id="157" w:name="_Toc485889039"/>
      <w:bookmarkStart w:id="158" w:name="_Toc234382629"/>
      <w:r>
        <w:rPr>
          <w:rFonts w:ascii="宋体" w:hAnsi="宋体"/>
          <w:sz w:val="24"/>
          <w:szCs w:val="24"/>
        </w:rPr>
        <w:t>7. 合同授予</w:t>
      </w:r>
      <w:bookmarkEnd w:id="155"/>
      <w:bookmarkEnd w:id="156"/>
      <w:bookmarkEnd w:id="157"/>
      <w:bookmarkEnd w:id="158"/>
    </w:p>
    <w:p>
      <w:pPr>
        <w:pStyle w:val="4"/>
        <w:spacing w:before="0" w:after="0" w:line="400" w:lineRule="exact"/>
        <w:rPr>
          <w:rFonts w:ascii="宋体" w:hAnsi="宋体"/>
          <w:sz w:val="24"/>
          <w:szCs w:val="24"/>
        </w:rPr>
      </w:pPr>
      <w:bookmarkStart w:id="159" w:name="_Toc485889040"/>
      <w:bookmarkStart w:id="160" w:name="_Toc486277901"/>
      <w:bookmarkStart w:id="161" w:name="_Toc234382630"/>
      <w:bookmarkStart w:id="162" w:name="_Toc10828"/>
      <w:r>
        <w:rPr>
          <w:rFonts w:ascii="宋体" w:hAnsi="宋体"/>
          <w:sz w:val="24"/>
          <w:szCs w:val="24"/>
        </w:rPr>
        <w:t>7.1 定标方式</w:t>
      </w:r>
      <w:bookmarkEnd w:id="159"/>
      <w:bookmarkEnd w:id="160"/>
      <w:bookmarkEnd w:id="161"/>
      <w:bookmarkEnd w:id="162"/>
    </w:p>
    <w:p>
      <w:pPr>
        <w:spacing w:line="400" w:lineRule="exact"/>
        <w:ind w:firstLine="480" w:firstLineChars="20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pPr>
        <w:pStyle w:val="4"/>
        <w:spacing w:beforeLines="50" w:after="0" w:line="400" w:lineRule="exact"/>
        <w:rPr>
          <w:rFonts w:ascii="宋体" w:hAnsi="宋体"/>
          <w:sz w:val="24"/>
          <w:szCs w:val="24"/>
        </w:rPr>
      </w:pPr>
      <w:bookmarkStart w:id="163" w:name="_Toc486277902"/>
      <w:bookmarkStart w:id="164" w:name="_Toc485889041"/>
      <w:bookmarkStart w:id="165" w:name="_Toc13648"/>
      <w:bookmarkStart w:id="166" w:name="_Toc234382631"/>
      <w:r>
        <w:rPr>
          <w:rFonts w:ascii="宋体" w:hAnsi="宋体"/>
          <w:sz w:val="24"/>
          <w:szCs w:val="24"/>
        </w:rPr>
        <w:t>7.2 中标通知</w:t>
      </w:r>
      <w:bookmarkEnd w:id="163"/>
      <w:bookmarkEnd w:id="164"/>
      <w:bookmarkEnd w:id="165"/>
      <w:bookmarkEnd w:id="166"/>
    </w:p>
    <w:p>
      <w:pPr>
        <w:spacing w:line="400" w:lineRule="exact"/>
        <w:ind w:firstLine="480" w:firstLineChars="20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pPr>
        <w:pStyle w:val="4"/>
        <w:spacing w:beforeLines="50" w:after="0" w:line="400" w:lineRule="exact"/>
        <w:rPr>
          <w:rFonts w:ascii="宋体" w:hAnsi="宋体"/>
          <w:sz w:val="24"/>
          <w:szCs w:val="24"/>
        </w:rPr>
      </w:pPr>
      <w:bookmarkStart w:id="167" w:name="_Toc234382633"/>
      <w:bookmarkStart w:id="168" w:name="_Toc485889042"/>
      <w:bookmarkStart w:id="169" w:name="_Toc16842"/>
      <w:bookmarkStart w:id="170" w:name="_Toc486277903"/>
      <w:r>
        <w:rPr>
          <w:rFonts w:ascii="宋体" w:hAnsi="宋体"/>
          <w:sz w:val="24"/>
          <w:szCs w:val="24"/>
        </w:rPr>
        <w:t>7.</w:t>
      </w:r>
      <w:r>
        <w:rPr>
          <w:rFonts w:hint="eastAsia" w:ascii="宋体" w:hAnsi="宋体"/>
          <w:sz w:val="24"/>
          <w:szCs w:val="24"/>
        </w:rPr>
        <w:t>3</w:t>
      </w:r>
      <w:r>
        <w:rPr>
          <w:rFonts w:ascii="宋体" w:hAnsi="宋体"/>
          <w:sz w:val="24"/>
          <w:szCs w:val="24"/>
        </w:rPr>
        <w:t>签订合同</w:t>
      </w:r>
      <w:bookmarkEnd w:id="167"/>
      <w:bookmarkEnd w:id="168"/>
      <w:bookmarkEnd w:id="169"/>
      <w:bookmarkEnd w:id="170"/>
    </w:p>
    <w:p>
      <w:pPr>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.2 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sz w:val="24"/>
        </w:rPr>
      </w:pPr>
      <w:r>
        <w:rPr>
          <w:rFonts w:hint="eastAsia" w:ascii="宋体" w:hAnsi="宋体"/>
          <w:sz w:val="24"/>
        </w:rPr>
        <w:t>7.3.3 签约合同价的确定原则如下：</w:t>
      </w:r>
    </w:p>
    <w:p>
      <w:pPr>
        <w:spacing w:line="400" w:lineRule="exact"/>
        <w:ind w:firstLine="480" w:firstLineChars="200"/>
        <w:rPr>
          <w:rFonts w:ascii="宋体" w:hAnsi="宋体"/>
          <w:sz w:val="24"/>
        </w:rPr>
      </w:pPr>
      <w:r>
        <w:rPr>
          <w:rFonts w:hint="eastAsia" w:ascii="宋体" w:hAnsi="宋体"/>
          <w:sz w:val="24"/>
        </w:rPr>
        <w:t>（1）按照评标办法规定对投标报价进行修正后，若休整后的最终投标报价小于开标时的投标函文字报价，则签订合同时以修正后的最终投标为准；</w:t>
      </w:r>
    </w:p>
    <w:p>
      <w:pPr>
        <w:spacing w:line="400" w:lineRule="exact"/>
        <w:ind w:firstLine="480" w:firstLineChars="200"/>
        <w:rPr>
          <w:rFonts w:ascii="宋体" w:hAnsi="宋体"/>
          <w:sz w:val="24"/>
        </w:rPr>
      </w:pPr>
      <w:r>
        <w:rPr>
          <w:rFonts w:hint="eastAsia" w:ascii="宋体" w:hAnsi="宋体"/>
          <w:sz w:val="24"/>
        </w:rPr>
        <w:t>（2）按照评标办法规定对投标报价进行修正后，若修正后的最终投标报价大于开标时的投标函文字报价，则签订合同时以开标时的投标函文字报价为准，同时按比例修正相应子目的单价或合价。</w:t>
      </w:r>
    </w:p>
    <w:p>
      <w:pPr>
        <w:spacing w:line="400" w:lineRule="exact"/>
        <w:ind w:firstLine="480" w:firstLineChars="200"/>
        <w:rPr>
          <w:rFonts w:ascii="宋体" w:hAnsi="宋体"/>
          <w:sz w:val="24"/>
        </w:rPr>
      </w:pPr>
      <w:r>
        <w:rPr>
          <w:rFonts w:hint="eastAsia" w:ascii="宋体" w:hAnsi="宋体"/>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spacing w:line="400" w:lineRule="exact"/>
        <w:ind w:firstLine="480" w:firstLineChars="200"/>
        <w:rPr>
          <w:rFonts w:ascii="宋体" w:hAnsi="宋体"/>
          <w:sz w:val="24"/>
        </w:rPr>
      </w:pPr>
      <w:r>
        <w:rPr>
          <w:rFonts w:hint="eastAsia" w:ascii="宋体" w:hAnsi="宋体"/>
          <w:sz w:val="24"/>
        </w:rPr>
        <w:t>7.3.5 如果根据本章第3.5.3项（适用于已进行资格预审的）、第3.5.8项（适用于未进行资格预审的）、第7.3.2项或第7.4.1项规定，招标人取消了中标人的中标资格，在此情况下，招标人可将合同授予下一个中标候选人，或者按规定重新组织招标。</w:t>
      </w:r>
    </w:p>
    <w:p>
      <w:pPr>
        <w:pStyle w:val="4"/>
        <w:spacing w:beforeLines="50" w:after="0" w:line="400" w:lineRule="exact"/>
        <w:rPr>
          <w:rFonts w:ascii="宋体" w:hAnsi="宋体"/>
          <w:sz w:val="24"/>
          <w:szCs w:val="24"/>
        </w:rPr>
      </w:pPr>
      <w:bookmarkStart w:id="171" w:name="_Toc234382634"/>
      <w:bookmarkStart w:id="172" w:name="_Toc16570"/>
      <w:bookmarkStart w:id="173" w:name="_Toc486277904"/>
      <w:bookmarkStart w:id="174" w:name="_Toc485889043"/>
      <w:r>
        <w:rPr>
          <w:rFonts w:ascii="宋体" w:hAnsi="宋体"/>
          <w:sz w:val="24"/>
          <w:szCs w:val="24"/>
        </w:rPr>
        <w:t>8. 重新招标和不再招标</w:t>
      </w:r>
      <w:bookmarkEnd w:id="171"/>
      <w:bookmarkEnd w:id="172"/>
      <w:bookmarkEnd w:id="173"/>
      <w:bookmarkEnd w:id="174"/>
    </w:p>
    <w:p>
      <w:pPr>
        <w:pStyle w:val="4"/>
        <w:spacing w:beforeLines="50" w:after="0" w:line="400" w:lineRule="exact"/>
        <w:rPr>
          <w:rFonts w:ascii="宋体" w:hAnsi="宋体"/>
          <w:sz w:val="24"/>
          <w:szCs w:val="24"/>
        </w:rPr>
      </w:pPr>
      <w:bookmarkStart w:id="175" w:name="_Toc486277905"/>
      <w:bookmarkStart w:id="176" w:name="_Toc234382635"/>
      <w:bookmarkStart w:id="177" w:name="_Toc4100"/>
      <w:bookmarkStart w:id="178" w:name="_Toc485889044"/>
      <w:r>
        <w:rPr>
          <w:rFonts w:ascii="宋体" w:hAnsi="宋体"/>
          <w:sz w:val="24"/>
          <w:szCs w:val="24"/>
        </w:rPr>
        <w:t>8.1 重新招标</w:t>
      </w:r>
      <w:bookmarkEnd w:id="175"/>
      <w:bookmarkEnd w:id="176"/>
      <w:bookmarkEnd w:id="177"/>
      <w:bookmarkEnd w:id="178"/>
    </w:p>
    <w:p>
      <w:pPr>
        <w:spacing w:line="400" w:lineRule="exact"/>
        <w:ind w:firstLine="480" w:firstLineChars="200"/>
        <w:rPr>
          <w:rFonts w:ascii="宋体" w:hAnsi="宋体"/>
          <w:sz w:val="24"/>
        </w:rPr>
      </w:pPr>
      <w:r>
        <w:rPr>
          <w:rFonts w:ascii="宋体" w:hAnsi="宋体"/>
          <w:sz w:val="24"/>
        </w:rPr>
        <w:t>有下列情形之一的，招标人将重新招标：</w:t>
      </w:r>
    </w:p>
    <w:p>
      <w:pPr>
        <w:spacing w:line="400" w:lineRule="exact"/>
        <w:ind w:firstLine="480" w:firstLineChars="200"/>
        <w:rPr>
          <w:rFonts w:ascii="宋体" w:hAnsi="宋体"/>
          <w:sz w:val="24"/>
        </w:rPr>
      </w:pPr>
      <w:r>
        <w:rPr>
          <w:rFonts w:ascii="宋体" w:hAnsi="宋体"/>
          <w:sz w:val="24"/>
        </w:rPr>
        <w:t>（1）投标截止时间止，投标人少于3个的；</w:t>
      </w:r>
    </w:p>
    <w:p>
      <w:pPr>
        <w:spacing w:line="400" w:lineRule="exact"/>
        <w:ind w:firstLine="480" w:firstLineChars="200"/>
        <w:rPr>
          <w:rFonts w:ascii="宋体" w:hAnsi="宋体"/>
          <w:sz w:val="24"/>
        </w:rPr>
      </w:pPr>
      <w:r>
        <w:rPr>
          <w:rFonts w:ascii="宋体" w:hAnsi="宋体"/>
          <w:sz w:val="24"/>
        </w:rPr>
        <w:t>（2）经评标委员会评审后否决所有投标的</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（3）中标候选人均未与招标人签订合同的；</w:t>
      </w:r>
    </w:p>
    <w:p>
      <w:pPr>
        <w:spacing w:line="400" w:lineRule="exact"/>
        <w:ind w:firstLine="480" w:firstLineChars="200"/>
        <w:rPr>
          <w:rFonts w:ascii="宋体" w:hAnsi="宋体"/>
          <w:sz w:val="24"/>
        </w:rPr>
      </w:pPr>
      <w:r>
        <w:rPr>
          <w:rFonts w:hint="eastAsia" w:ascii="宋体" w:hAnsi="宋体"/>
          <w:sz w:val="24"/>
        </w:rPr>
        <w:t>（4）法律规定的其他情形。</w:t>
      </w:r>
    </w:p>
    <w:p>
      <w:pPr>
        <w:pStyle w:val="4"/>
        <w:spacing w:beforeLines="50" w:after="0" w:line="400" w:lineRule="exact"/>
        <w:rPr>
          <w:rFonts w:ascii="宋体" w:hAnsi="宋体"/>
          <w:sz w:val="24"/>
          <w:szCs w:val="24"/>
        </w:rPr>
      </w:pPr>
      <w:bookmarkStart w:id="179" w:name="_Toc21063"/>
      <w:bookmarkStart w:id="180" w:name="_Toc234382636"/>
      <w:bookmarkStart w:id="181" w:name="_Toc486277906"/>
      <w:bookmarkStart w:id="182" w:name="_Toc485889045"/>
      <w:r>
        <w:rPr>
          <w:rFonts w:ascii="宋体" w:hAnsi="宋体"/>
          <w:sz w:val="24"/>
          <w:szCs w:val="24"/>
        </w:rPr>
        <w:t>8.2 不再招标</w:t>
      </w:r>
      <w:bookmarkEnd w:id="179"/>
      <w:bookmarkEnd w:id="180"/>
      <w:bookmarkEnd w:id="181"/>
      <w:bookmarkEnd w:id="182"/>
    </w:p>
    <w:p>
      <w:pPr>
        <w:spacing w:line="400" w:lineRule="exact"/>
        <w:ind w:firstLine="480" w:firstLineChars="20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pPr>
        <w:pStyle w:val="4"/>
        <w:spacing w:beforeLines="50" w:after="0" w:line="400" w:lineRule="exact"/>
        <w:rPr>
          <w:rFonts w:ascii="宋体" w:hAnsi="宋体"/>
          <w:sz w:val="24"/>
          <w:szCs w:val="24"/>
        </w:rPr>
      </w:pPr>
      <w:bookmarkStart w:id="183" w:name="_Toc234382637"/>
      <w:bookmarkStart w:id="184" w:name="_Toc485889046"/>
      <w:bookmarkStart w:id="185" w:name="_Toc486277907"/>
      <w:bookmarkStart w:id="186" w:name="_Toc32202"/>
      <w:r>
        <w:rPr>
          <w:rFonts w:ascii="宋体" w:hAnsi="宋体"/>
          <w:sz w:val="24"/>
          <w:szCs w:val="24"/>
        </w:rPr>
        <w:t>9. 纪律和监督</w:t>
      </w:r>
      <w:bookmarkEnd w:id="183"/>
      <w:bookmarkEnd w:id="184"/>
      <w:bookmarkEnd w:id="185"/>
      <w:bookmarkEnd w:id="186"/>
    </w:p>
    <w:p>
      <w:pPr>
        <w:pStyle w:val="4"/>
        <w:spacing w:beforeLines="50" w:after="0" w:line="400" w:lineRule="exact"/>
        <w:rPr>
          <w:rFonts w:ascii="宋体" w:hAnsi="宋体"/>
          <w:sz w:val="24"/>
          <w:szCs w:val="24"/>
        </w:rPr>
      </w:pPr>
      <w:bookmarkStart w:id="187" w:name="_Toc234382638"/>
      <w:bookmarkStart w:id="188" w:name="_Toc23625"/>
      <w:bookmarkStart w:id="189" w:name="_Toc486277908"/>
      <w:bookmarkStart w:id="190" w:name="_Toc485889047"/>
      <w:r>
        <w:rPr>
          <w:rFonts w:ascii="宋体" w:hAnsi="宋体"/>
          <w:sz w:val="24"/>
          <w:szCs w:val="24"/>
        </w:rPr>
        <w:t>9.1 对招标人的纪律要求</w:t>
      </w:r>
      <w:bookmarkEnd w:id="187"/>
      <w:bookmarkEnd w:id="188"/>
      <w:bookmarkEnd w:id="189"/>
      <w:bookmarkEnd w:id="190"/>
    </w:p>
    <w:p>
      <w:pPr>
        <w:spacing w:line="400" w:lineRule="exact"/>
        <w:ind w:firstLine="480" w:firstLineChars="20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sz w:val="24"/>
          <w:szCs w:val="24"/>
        </w:rPr>
      </w:pPr>
      <w:bookmarkStart w:id="191" w:name="_Toc486277909"/>
      <w:bookmarkStart w:id="192" w:name="_Toc13796"/>
      <w:bookmarkStart w:id="193" w:name="_Toc234382639"/>
      <w:bookmarkStart w:id="194" w:name="_Toc485889048"/>
      <w:r>
        <w:rPr>
          <w:rFonts w:ascii="宋体" w:hAnsi="宋体"/>
          <w:sz w:val="24"/>
          <w:szCs w:val="24"/>
        </w:rPr>
        <w:t>9.2 对投标人的纪律要求</w:t>
      </w:r>
      <w:bookmarkEnd w:id="191"/>
      <w:bookmarkEnd w:id="192"/>
      <w:bookmarkEnd w:id="193"/>
      <w:bookmarkEnd w:id="194"/>
    </w:p>
    <w:p>
      <w:pPr>
        <w:spacing w:line="400" w:lineRule="exact"/>
        <w:ind w:firstLine="480" w:firstLineChars="20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sz w:val="24"/>
          <w:szCs w:val="24"/>
        </w:rPr>
      </w:pPr>
      <w:bookmarkStart w:id="195" w:name="_Toc234382640"/>
      <w:bookmarkStart w:id="196" w:name="_Toc486277910"/>
      <w:bookmarkStart w:id="197" w:name="_Toc485889049"/>
      <w:bookmarkStart w:id="198" w:name="_Toc16702"/>
      <w:r>
        <w:rPr>
          <w:rFonts w:ascii="宋体" w:hAnsi="宋体"/>
          <w:sz w:val="24"/>
          <w:szCs w:val="24"/>
        </w:rPr>
        <w:t>9.3 对评标委员会成员的纪律要求</w:t>
      </w:r>
      <w:bookmarkEnd w:id="195"/>
      <w:bookmarkEnd w:id="196"/>
      <w:bookmarkEnd w:id="197"/>
      <w:bookmarkEnd w:id="198"/>
    </w:p>
    <w:p>
      <w:pPr>
        <w:spacing w:line="400" w:lineRule="exact"/>
        <w:ind w:firstLine="480" w:firstLineChars="20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sz w:val="24"/>
          <w:szCs w:val="24"/>
        </w:rPr>
      </w:pPr>
      <w:bookmarkStart w:id="199" w:name="_Toc485889050"/>
      <w:bookmarkStart w:id="200" w:name="_Toc12383"/>
      <w:bookmarkStart w:id="201" w:name="_Toc234382641"/>
      <w:bookmarkStart w:id="202" w:name="_Toc486277911"/>
      <w:r>
        <w:rPr>
          <w:rFonts w:ascii="宋体" w:hAnsi="宋体"/>
          <w:sz w:val="24"/>
          <w:szCs w:val="24"/>
        </w:rPr>
        <w:t>9.4 对与评标活动有关的工作人员的纪律要求</w:t>
      </w:r>
      <w:bookmarkEnd w:id="199"/>
      <w:bookmarkEnd w:id="200"/>
      <w:bookmarkEnd w:id="201"/>
      <w:bookmarkEnd w:id="202"/>
    </w:p>
    <w:p>
      <w:pPr>
        <w:spacing w:line="400" w:lineRule="exact"/>
        <w:ind w:firstLine="480" w:firstLineChars="20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sz w:val="24"/>
          <w:szCs w:val="24"/>
        </w:rPr>
      </w:pPr>
      <w:bookmarkStart w:id="203" w:name="_Toc234382642"/>
      <w:bookmarkStart w:id="204" w:name="_Toc485889051"/>
      <w:bookmarkStart w:id="205" w:name="_Toc25179"/>
      <w:bookmarkStart w:id="206" w:name="_Toc486277912"/>
      <w:r>
        <w:rPr>
          <w:rFonts w:ascii="宋体" w:hAnsi="宋体"/>
          <w:sz w:val="24"/>
          <w:szCs w:val="24"/>
        </w:rPr>
        <w:t>9.5 投诉</w:t>
      </w:r>
      <w:bookmarkEnd w:id="203"/>
      <w:bookmarkEnd w:id="204"/>
      <w:bookmarkEnd w:id="205"/>
      <w:bookmarkEnd w:id="206"/>
    </w:p>
    <w:p>
      <w:pPr>
        <w:spacing w:line="400" w:lineRule="exact"/>
        <w:ind w:firstLine="480" w:firstLineChars="200"/>
        <w:rPr>
          <w:rFonts w:ascii="宋体" w:hAnsi="宋体"/>
          <w:sz w:val="24"/>
        </w:rPr>
      </w:pPr>
      <w:r>
        <w:rPr>
          <w:rFonts w:ascii="宋体" w:hAnsi="宋体"/>
          <w:sz w:val="24"/>
        </w:rPr>
        <w:t>投标人和其他利害关系人认为本次招标活动违反法律、法规和规章规定的，有权向有关行政监督部门投诉。</w:t>
      </w:r>
    </w:p>
    <w:p>
      <w:pPr>
        <w:spacing w:line="400" w:lineRule="exact"/>
        <w:ind w:firstLine="480" w:firstLineChars="200"/>
        <w:rPr>
          <w:rFonts w:ascii="宋体" w:hAnsi="宋体"/>
          <w:sz w:val="24"/>
        </w:rPr>
      </w:pPr>
      <w:r>
        <w:rPr>
          <w:rFonts w:hint="eastAsia" w:ascii="宋体" w:hAnsi="宋体"/>
          <w:sz w:val="24"/>
        </w:rPr>
        <w:t>监督部门的联系方式见投标人须知前附表。</w:t>
      </w:r>
    </w:p>
    <w:p>
      <w:pPr>
        <w:pStyle w:val="4"/>
        <w:spacing w:beforeLines="50" w:after="0" w:line="400" w:lineRule="exact"/>
        <w:rPr>
          <w:rFonts w:ascii="宋体" w:hAnsi="宋体"/>
          <w:sz w:val="24"/>
          <w:szCs w:val="24"/>
        </w:rPr>
      </w:pPr>
      <w:bookmarkStart w:id="207" w:name="_Toc485889052"/>
      <w:bookmarkStart w:id="208" w:name="_Toc234382643"/>
      <w:bookmarkStart w:id="209" w:name="_Toc30072"/>
      <w:bookmarkStart w:id="210" w:name="_Toc486277913"/>
      <w:r>
        <w:rPr>
          <w:rFonts w:ascii="宋体" w:hAnsi="宋体"/>
          <w:sz w:val="24"/>
          <w:szCs w:val="24"/>
        </w:rPr>
        <w:t>10. 需要补充的其他内容</w:t>
      </w:r>
      <w:bookmarkEnd w:id="207"/>
      <w:bookmarkEnd w:id="208"/>
      <w:bookmarkEnd w:id="209"/>
      <w:bookmarkEnd w:id="210"/>
    </w:p>
    <w:p>
      <w:pPr>
        <w:spacing w:line="400" w:lineRule="exact"/>
        <w:ind w:firstLine="480" w:firstLineChars="200"/>
        <w:rPr>
          <w:rFonts w:ascii="宋体" w:hAnsi="宋体"/>
          <w:sz w:val="24"/>
        </w:rPr>
      </w:pPr>
      <w:r>
        <w:rPr>
          <w:rFonts w:ascii="宋体" w:hAnsi="宋体"/>
          <w:sz w:val="24"/>
        </w:rPr>
        <w:t>需要补充的其他内容：见投标人须知前附表。</w:t>
      </w:r>
    </w:p>
    <w:p>
      <w:pPr>
        <w:spacing w:line="480" w:lineRule="exact"/>
        <w:jc w:val="left"/>
        <w:rPr>
          <w:rFonts w:hint="eastAsia" w:ascii="方正小标宋简体" w:hAnsi="黑体" w:eastAsia="方正小标宋简体"/>
          <w:b/>
          <w:bCs/>
          <w:sz w:val="32"/>
          <w:szCs w:val="32"/>
        </w:rPr>
      </w:pPr>
      <w:bookmarkStart w:id="211" w:name="_Toc234382644"/>
    </w:p>
    <w:p>
      <w:pPr>
        <w:spacing w:line="480" w:lineRule="exact"/>
        <w:jc w:val="left"/>
        <w:rPr>
          <w:rFonts w:hint="eastAsia" w:ascii="方正小标宋简体" w:hAnsi="黑体" w:eastAsia="方正小标宋简体"/>
          <w:b/>
          <w:bCs/>
          <w:sz w:val="32"/>
          <w:szCs w:val="32"/>
        </w:rPr>
      </w:pPr>
    </w:p>
    <w:p>
      <w:pPr>
        <w:spacing w:line="480" w:lineRule="exact"/>
        <w:jc w:val="left"/>
        <w:rPr>
          <w:rFonts w:hint="eastAsia" w:ascii="方正小标宋简体" w:hAnsi="黑体" w:eastAsia="方正小标宋简体"/>
          <w:b/>
          <w:bCs/>
          <w:sz w:val="32"/>
          <w:szCs w:val="32"/>
        </w:rPr>
      </w:pPr>
    </w:p>
    <w:p>
      <w:pPr>
        <w:spacing w:line="480" w:lineRule="exact"/>
        <w:jc w:val="left"/>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240" w:firstLineChars="100"/>
              <w:rPr>
                <w:rFonts w:hint="eastAsia" w:ascii="仿宋_GB2312" w:hAnsi="宋体" w:eastAsia="仿宋_GB2312" w:cs="宋体"/>
                <w:bCs/>
                <w:sz w:val="24"/>
                <w:lang w:val="en-US" w:eastAsia="zh-CN"/>
              </w:rPr>
            </w:pPr>
            <w:r>
              <w:rPr>
                <w:rFonts w:hint="eastAsia" w:ascii="仿宋_GB2312" w:hAnsi="宋体" w:eastAsia="仿宋_GB2312" w:cs="宋体"/>
                <w:bCs/>
                <w:sz w:val="24"/>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bCs/>
                <w:sz w:val="24"/>
                <w:lang w:val="en-US" w:eastAsia="zh-CN"/>
              </w:rPr>
            </w:pPr>
            <w:r>
              <w:rPr>
                <w:rFonts w:hint="eastAsia" w:ascii="仿宋_GB2312" w:hAnsi="宋体" w:eastAsia="仿宋_GB2312" w:cs="宋体"/>
                <w:bCs/>
                <w:sz w:val="24"/>
                <w:lang w:val="en-US" w:eastAsia="zh-CN"/>
              </w:rPr>
              <w:t>建安建工公字〔2018〕24号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rPr>
                <w:rFonts w:hint="eastAsia" w:ascii="仿宋_GB2312" w:hAnsi="宋体" w:eastAsia="仿宋_GB2312" w:cs="宋体"/>
                <w:sz w:val="24"/>
              </w:rPr>
            </w:pPr>
            <w:r>
              <w:rPr>
                <w:rFonts w:hint="eastAsia" w:ascii="仿宋_GB2312" w:hAnsi="宋体" w:eastAsia="仿宋_GB2312" w:cs="宋体"/>
                <w:bCs/>
                <w:sz w:val="24"/>
              </w:rPr>
              <w:t xml:space="preserve"> </w:t>
            </w:r>
            <w:r>
              <w:rPr>
                <w:rFonts w:hint="eastAsia" w:ascii="仿宋_GB2312" w:hAnsi="宋体" w:eastAsia="仿宋_GB2312" w:cs="宋体"/>
                <w:bCs/>
                <w:sz w:val="24"/>
                <w:lang w:val="en-US" w:eastAsia="zh-CN"/>
              </w:rPr>
              <w:t>田园综合体小召乡绰韩村村道改建工程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hint="eastAsia"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仿宋_GB2312" w:hAnsi="宋体" w:eastAsia="仿宋_GB2312" w:cs="宋体"/>
                <w:sz w:val="24"/>
              </w:rPr>
            </w:pPr>
            <w:r>
              <w:rPr>
                <w:rFonts w:hint="eastAsia" w:ascii="仿宋_GB2312" w:hAnsi="宋体" w:eastAsia="仿宋_GB2312" w:cs="宋体"/>
                <w:sz w:val="24"/>
              </w:rPr>
              <w:t>金额：人民币</w:t>
            </w:r>
            <w:r>
              <w:rPr>
                <w:rFonts w:hint="eastAsia" w:ascii="仿宋_GB2312" w:hAnsi="宋体" w:eastAsia="仿宋_GB2312" w:cs="宋体"/>
                <w:sz w:val="24"/>
                <w:lang w:val="en-US" w:eastAsia="zh-CN"/>
              </w:rPr>
              <w:t>壹拾贰万元整</w:t>
            </w:r>
            <w:r>
              <w:rPr>
                <w:rFonts w:hint="eastAsia" w:ascii="仿宋_GB2312" w:hAnsi="宋体" w:eastAsia="仿宋_GB2312" w:cs="宋体"/>
                <w:sz w:val="24"/>
              </w:rPr>
              <w:t>（</w:t>
            </w:r>
            <w:r>
              <w:rPr>
                <w:rFonts w:hint="eastAsia" w:ascii="仿宋_GB2312" w:hAnsi="宋体" w:eastAsia="仿宋_GB2312" w:cs="宋体"/>
                <w:sz w:val="24"/>
                <w:lang w:val="en-US" w:eastAsia="zh-CN"/>
              </w:rPr>
              <w:t>120000.00</w:t>
            </w:r>
            <w:r>
              <w:rPr>
                <w:rFonts w:hint="eastAsia" w:ascii="仿宋_GB2312" w:hAnsi="宋体" w:eastAsia="仿宋_GB2312"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2.1投标人网上报名后，登录</w:t>
            </w:r>
            <w:r>
              <w:rPr>
                <w:rFonts w:hint="eastAsia" w:ascii="仿宋_GB2312" w:eastAsia="仿宋_GB2312"/>
              </w:rPr>
              <w:fldChar w:fldCharType="begin"/>
            </w:r>
            <w:r>
              <w:rPr>
                <w:rFonts w:hint="eastAsia" w:ascii="仿宋_GB2312" w:eastAsia="仿宋_GB2312"/>
              </w:rPr>
              <w:instrText xml:space="preserve">HYPERLINK "http://221.14.6.70:8088/ggzy"</w:instrText>
            </w:r>
            <w:r>
              <w:rPr>
                <w:rFonts w:hint="eastAsia" w:ascii="仿宋_GB2312" w:eastAsia="仿宋_GB2312"/>
              </w:rPr>
              <w:fldChar w:fldCharType="separate"/>
            </w:r>
            <w:r>
              <w:rPr>
                <w:rStyle w:val="42"/>
                <w:rFonts w:hint="eastAsia" w:ascii="仿宋_GB2312" w:hAnsi="宋体" w:eastAsia="仿宋_GB2312" w:cs="宋体"/>
                <w:sz w:val="24"/>
              </w:rPr>
              <w:t>http://221.14.6.70:8088/ggzy</w:t>
            </w:r>
            <w:r>
              <w:rPr>
                <w:rFonts w:hint="eastAsia" w:ascii="仿宋_GB2312" w:eastAsia="仿宋_GB2312"/>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jc w:val="center"/>
        <w:rPr>
          <w:rFonts w:ascii="黑体" w:hAnsi="宋体" w:eastAsia="黑体"/>
          <w:sz w:val="36"/>
          <w:szCs w:val="36"/>
        </w:rPr>
      </w:pPr>
    </w:p>
    <w:p>
      <w:pPr>
        <w:jc w:val="center"/>
        <w:rPr>
          <w:rFonts w:hint="eastAsia" w:ascii="黑体" w:hAnsi="宋体" w:eastAsia="黑体"/>
          <w:sz w:val="36"/>
          <w:szCs w:val="36"/>
        </w:rPr>
      </w:pPr>
    </w:p>
    <w:bookmarkEnd w:id="211"/>
    <w:tbl>
      <w:tblPr>
        <w:tblStyle w:val="4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int="eastAsia"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hint="eastAsia"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int="eastAsia"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int="eastAsia"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hint="eastAsia"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spacing w:afterLines="50" w:line="440" w:lineRule="exact"/>
        <w:rPr>
          <w:rFonts w:hint="eastAsia" w:ascii="黑体" w:eastAsia="黑体"/>
          <w:b/>
          <w:color w:val="000000"/>
          <w:sz w:val="24"/>
        </w:rPr>
      </w:pPr>
    </w:p>
    <w:p>
      <w:pPr>
        <w:pStyle w:val="2"/>
        <w:rPr>
          <w:rFonts w:hint="eastAsia" w:ascii="黑体" w:eastAsia="黑体"/>
          <w:b/>
          <w:color w:val="000000"/>
          <w:sz w:val="24"/>
        </w:rPr>
      </w:pPr>
    </w:p>
    <w:p>
      <w:pPr>
        <w:jc w:val="center"/>
        <w:rPr>
          <w:rFonts w:hint="eastAsia"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45"/>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华文中宋" w:eastAsia="仿宋_GB2312"/>
                <w:sz w:val="24"/>
              </w:rPr>
            </w:pPr>
            <w:r>
              <w:rPr>
                <w:rFonts w:hint="eastAsia" w:ascii="仿宋_GB2312" w:hAnsi="新宋体" w:eastAsia="仿宋_GB2312" w:cs="新宋体"/>
                <w:sz w:val="24"/>
              </w:rPr>
              <w:t>年   月   日</w:t>
            </w:r>
          </w:p>
        </w:tc>
      </w:tr>
    </w:tbl>
    <w:p>
      <w:pPr>
        <w:rPr>
          <w:rFonts w:hint="eastAsia"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rPr>
          <w:rFonts w:hint="eastAsia" w:ascii="黑体" w:eastAsia="黑体"/>
          <w:b/>
          <w:color w:val="000000"/>
          <w:sz w:val="24"/>
        </w:rPr>
      </w:pPr>
    </w:p>
    <w:p>
      <w:pPr>
        <w:pStyle w:val="2"/>
        <w:rPr>
          <w:rFonts w:hint="eastAsia" w:ascii="黑体" w:eastAsia="黑体"/>
          <w:b/>
          <w:color w:val="000000"/>
          <w:sz w:val="24"/>
        </w:rPr>
      </w:pPr>
    </w:p>
    <w:p>
      <w:pPr>
        <w:pStyle w:val="2"/>
        <w:rPr>
          <w:rFonts w:hint="eastAsia" w:ascii="黑体" w:eastAsia="黑体"/>
          <w:b/>
          <w:color w:val="000000"/>
          <w:sz w:val="24"/>
        </w:rPr>
      </w:pPr>
    </w:p>
    <w:p>
      <w:pPr>
        <w:spacing w:afterLines="50" w:line="440" w:lineRule="exact"/>
        <w:rPr>
          <w:rFonts w:ascii="黑体" w:eastAsia="黑体"/>
          <w:b/>
          <w:color w:val="000000"/>
          <w:sz w:val="24"/>
        </w:rPr>
      </w:pPr>
      <w:r>
        <w:rPr>
          <w:rFonts w:hint="eastAsia" w:ascii="黑体" w:eastAsia="黑体"/>
          <w:b/>
          <w:color w:val="000000"/>
          <w:sz w:val="24"/>
        </w:rPr>
        <w:t>附表二：提交证件及业绩格式</w:t>
      </w:r>
    </w:p>
    <w:p>
      <w:pPr>
        <w:spacing w:afterLines="50" w:line="440" w:lineRule="exact"/>
        <w:ind w:firstLine="562" w:firstLineChars="200"/>
        <w:rPr>
          <w:rFonts w:ascii="新宋体" w:hAnsi="新宋体" w:eastAsia="新宋体"/>
          <w:sz w:val="28"/>
          <w:szCs w:val="28"/>
        </w:rPr>
      </w:pPr>
      <w:r>
        <w:rPr>
          <w:rFonts w:hint="eastAsia" w:ascii="新宋体" w:hAnsi="新宋体" w:eastAsia="新宋体"/>
          <w:b/>
          <w:sz w:val="28"/>
          <w:szCs w:val="28"/>
        </w:rPr>
        <w:t>工程提交证件及业绩提交及领取一览表</w:t>
      </w:r>
    </w:p>
    <w:tbl>
      <w:tblPr>
        <w:tblStyle w:val="45"/>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jc w:val="center"/>
              <w:rPr>
                <w:rFonts w:ascii="新宋体" w:hAnsi="新宋体" w:eastAsia="新宋体"/>
                <w:b/>
                <w:szCs w:val="21"/>
              </w:rPr>
            </w:pPr>
            <w:r>
              <w:rPr>
                <w:rFonts w:hint="eastAsia" w:ascii="新宋体" w:hAnsi="新宋体" w:eastAsia="新宋体"/>
                <w:b/>
                <w:szCs w:val="21"/>
              </w:rPr>
              <w:t>投标单位</w:t>
            </w:r>
          </w:p>
        </w:tc>
        <w:tc>
          <w:tcPr>
            <w:tcW w:w="4777" w:type="dxa"/>
            <w:gridSpan w:val="3"/>
            <w:vAlign w:val="center"/>
          </w:tcPr>
          <w:p>
            <w:pPr>
              <w:ind w:firstLine="422" w:firstLineChars="200"/>
              <w:jc w:val="center"/>
              <w:rPr>
                <w:rFonts w:ascii="新宋体" w:hAnsi="新宋体" w:eastAsia="新宋体"/>
                <w:b/>
                <w:szCs w:val="21"/>
              </w:rPr>
            </w:pPr>
            <w:r>
              <w:rPr>
                <w:rFonts w:hint="eastAsia" w:ascii="新宋体" w:hAnsi="新宋体" w:eastAsia="新宋体"/>
                <w:b/>
                <w:szCs w:val="21"/>
              </w:rPr>
              <w:t>（盖章）</w:t>
            </w:r>
          </w:p>
        </w:tc>
        <w:tc>
          <w:tcPr>
            <w:tcW w:w="795" w:type="dxa"/>
            <w:vAlign w:val="center"/>
          </w:tcPr>
          <w:p>
            <w:pPr>
              <w:jc w:val="center"/>
              <w:rPr>
                <w:rFonts w:ascii="新宋体" w:hAnsi="新宋体" w:eastAsia="新宋体"/>
                <w:b/>
                <w:szCs w:val="21"/>
              </w:rPr>
            </w:pPr>
            <w:r>
              <w:rPr>
                <w:rFonts w:hint="eastAsia" w:ascii="新宋体" w:hAnsi="新宋体" w:eastAsia="新宋体"/>
                <w:b/>
                <w:szCs w:val="21"/>
              </w:rPr>
              <w:t>联系电话</w:t>
            </w:r>
          </w:p>
        </w:tc>
        <w:tc>
          <w:tcPr>
            <w:tcW w:w="1832" w:type="dxa"/>
            <w:gridSpan w:val="3"/>
            <w:vAlign w:val="center"/>
          </w:tcPr>
          <w:p>
            <w:pPr>
              <w:ind w:firstLine="422" w:firstLineChars="200"/>
              <w:jc w:val="center"/>
              <w:rPr>
                <w:rFonts w:ascii="新宋体" w:hAnsi="新宋体" w:eastAsia="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szCs w:val="21"/>
              </w:rPr>
            </w:pPr>
            <w:r>
              <w:rPr>
                <w:rFonts w:hint="eastAsia" w:ascii="新宋体" w:hAnsi="新宋体" w:eastAsia="新宋体"/>
                <w:b/>
                <w:szCs w:val="21"/>
              </w:rPr>
              <w:t>序号</w:t>
            </w:r>
          </w:p>
        </w:tc>
        <w:tc>
          <w:tcPr>
            <w:tcW w:w="6940" w:type="dxa"/>
            <w:gridSpan w:val="6"/>
            <w:vAlign w:val="center"/>
          </w:tcPr>
          <w:p>
            <w:pPr>
              <w:ind w:firstLine="422" w:firstLineChars="200"/>
              <w:jc w:val="center"/>
              <w:rPr>
                <w:rFonts w:ascii="新宋体" w:hAnsi="新宋体" w:eastAsia="新宋体"/>
                <w:b/>
                <w:szCs w:val="21"/>
              </w:rPr>
            </w:pPr>
            <w:r>
              <w:rPr>
                <w:rFonts w:hint="eastAsia" w:ascii="新宋体" w:hAnsi="新宋体" w:eastAsia="新宋体"/>
                <w:b/>
                <w:szCs w:val="21"/>
              </w:rPr>
              <w:t>证件名称</w:t>
            </w:r>
          </w:p>
        </w:tc>
        <w:tc>
          <w:tcPr>
            <w:tcW w:w="813" w:type="dxa"/>
            <w:vAlign w:val="center"/>
          </w:tcPr>
          <w:p>
            <w:pPr>
              <w:jc w:val="center"/>
              <w:rPr>
                <w:rFonts w:ascii="新宋体" w:hAnsi="新宋体" w:eastAsia="新宋体"/>
                <w:b/>
                <w:szCs w:val="21"/>
              </w:rPr>
            </w:pPr>
            <w:r>
              <w:rPr>
                <w:rFonts w:hint="eastAsia" w:ascii="新宋体" w:hAnsi="新宋体" w:eastAsia="新宋体"/>
                <w:b/>
                <w:szCs w:val="21"/>
              </w:rPr>
              <w:t>份数</w:t>
            </w:r>
          </w:p>
        </w:tc>
        <w:tc>
          <w:tcPr>
            <w:tcW w:w="800" w:type="dxa"/>
            <w:vAlign w:val="center"/>
          </w:tcPr>
          <w:p>
            <w:pPr>
              <w:jc w:val="center"/>
              <w:rPr>
                <w:rFonts w:ascii="新宋体" w:hAnsi="新宋体" w:eastAsia="新宋体"/>
                <w:b/>
                <w:szCs w:val="21"/>
              </w:rPr>
            </w:pPr>
            <w:r>
              <w:rPr>
                <w:rFonts w:hint="eastAsia" w:ascii="新宋体" w:hAnsi="新宋体" w:eastAsia="新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jc w:val="center"/>
              <w:rPr>
                <w:rFonts w:ascii="新宋体" w:hAnsi="新宋体" w:eastAsia="新宋体"/>
                <w:b/>
                <w:szCs w:val="21"/>
              </w:rPr>
            </w:pPr>
            <w:r>
              <w:rPr>
                <w:rFonts w:hint="eastAsia" w:ascii="新宋体" w:hAnsi="新宋体" w:eastAsia="新宋体"/>
                <w:b/>
                <w:szCs w:val="21"/>
              </w:rPr>
              <w:t>提交及归还时间</w:t>
            </w:r>
          </w:p>
        </w:tc>
        <w:tc>
          <w:tcPr>
            <w:tcW w:w="3320" w:type="dxa"/>
            <w:vAlign w:val="center"/>
          </w:tcPr>
          <w:p>
            <w:pPr>
              <w:rPr>
                <w:rFonts w:ascii="新宋体" w:hAnsi="新宋体" w:eastAsia="新宋体"/>
                <w:b/>
                <w:szCs w:val="21"/>
              </w:rPr>
            </w:pPr>
            <w:r>
              <w:rPr>
                <w:rFonts w:hint="eastAsia" w:ascii="新宋体" w:hAnsi="新宋体" w:eastAsia="新宋体"/>
                <w:b/>
                <w:szCs w:val="21"/>
              </w:rPr>
              <w:t>提交时间：    年  月   日   时</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szCs w:val="21"/>
              </w:rPr>
            </w:pPr>
            <w:r>
              <w:rPr>
                <w:rFonts w:hint="eastAsia" w:ascii="新宋体" w:hAnsi="新宋体" w:eastAsia="新宋体"/>
                <w:b/>
                <w:szCs w:val="21"/>
              </w:rPr>
              <w:t>投标单位授权委托人</w:t>
            </w:r>
          </w:p>
        </w:tc>
        <w:tc>
          <w:tcPr>
            <w:tcW w:w="3320" w:type="dxa"/>
            <w:vAlign w:val="center"/>
          </w:tcPr>
          <w:p>
            <w:pPr>
              <w:rPr>
                <w:rFonts w:ascii="新宋体" w:hAnsi="新宋体" w:eastAsia="新宋体"/>
                <w:b/>
                <w:szCs w:val="21"/>
              </w:rPr>
            </w:pPr>
            <w:r>
              <w:rPr>
                <w:rFonts w:hint="eastAsia" w:ascii="新宋体" w:hAnsi="新宋体" w:eastAsia="新宋体"/>
                <w:b/>
                <w:szCs w:val="21"/>
              </w:rPr>
              <w:t>提交人签字：</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szCs w:val="21"/>
              </w:rPr>
            </w:pPr>
            <w:r>
              <w:rPr>
                <w:rFonts w:hint="eastAsia" w:ascii="新宋体" w:hAnsi="新宋体" w:eastAsia="新宋体"/>
                <w:b/>
                <w:szCs w:val="21"/>
              </w:rPr>
              <w:t>招标人或代理机构</w:t>
            </w:r>
          </w:p>
        </w:tc>
        <w:tc>
          <w:tcPr>
            <w:tcW w:w="3320" w:type="dxa"/>
            <w:vAlign w:val="center"/>
          </w:tcPr>
          <w:p>
            <w:pPr>
              <w:rPr>
                <w:rFonts w:ascii="新宋体" w:hAnsi="新宋体" w:eastAsia="新宋体"/>
                <w:b/>
                <w:szCs w:val="21"/>
              </w:rPr>
            </w:pPr>
            <w:r>
              <w:rPr>
                <w:rFonts w:hint="eastAsia" w:ascii="新宋体" w:hAnsi="新宋体" w:eastAsia="新宋体"/>
                <w:b/>
                <w:szCs w:val="21"/>
              </w:rPr>
              <w:t>签收人签字：</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发放人签字：</w:t>
            </w:r>
          </w:p>
        </w:tc>
      </w:tr>
    </w:tbl>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注：</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1、投标人向评标委员会提交的所有证书及相关材料应打印目录并加盖公章；</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2、提交时按该目录对照核查，未打印到目录上的证件经双方共同签字予以接收，目录上有而证件原件中没有的经招标代理机构和投标人双方确认后，共同签字取消该项。</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3、招标人或委托的代理机构和投标单位委托人双方对照目录核查后，由双方签字确认。</w:t>
      </w:r>
    </w:p>
    <w:p>
      <w:pPr>
        <w:pStyle w:val="4"/>
        <w:spacing w:beforeLines="50" w:after="0" w:line="400" w:lineRule="exact"/>
        <w:ind w:firstLine="420" w:firstLineChars="200"/>
        <w:rPr>
          <w:rFonts w:ascii="黑体" w:hAnsi="宋体" w:eastAsia="黑体"/>
          <w:sz w:val="24"/>
          <w:szCs w:val="24"/>
          <w:vertAlign w:val="superscript"/>
        </w:rPr>
      </w:pPr>
      <w:bookmarkStart w:id="212" w:name="_Toc2916"/>
      <w:bookmarkStart w:id="213" w:name="_Toc486277914"/>
      <w:bookmarkStart w:id="214" w:name="_Toc485889053"/>
      <w:r>
        <w:rPr>
          <w:rFonts w:hint="eastAsia" w:ascii="新宋体" w:hAnsi="新宋体" w:eastAsia="新宋体"/>
          <w:b w:val="0"/>
          <w:bCs w:val="0"/>
          <w:kern w:val="2"/>
          <w:sz w:val="21"/>
          <w:szCs w:val="21"/>
        </w:rPr>
        <w:t>4、评标委员会依法成立后，不再接受投标人任何材料。</w:t>
      </w:r>
      <w:r>
        <w:rPr>
          <w:rFonts w:hint="eastAsia" w:ascii="黑体" w:hAnsi="宋体" w:eastAsia="黑体"/>
          <w:sz w:val="24"/>
          <w:szCs w:val="24"/>
        </w:rPr>
        <w:br w:type="page"/>
      </w:r>
      <w:r>
        <w:rPr>
          <w:rFonts w:hint="eastAsia" w:ascii="黑体" w:hAnsi="宋体" w:eastAsia="黑体"/>
          <w:sz w:val="24"/>
          <w:szCs w:val="24"/>
        </w:rPr>
        <w:t>附表三：开标记录表</w:t>
      </w:r>
      <w:bookmarkEnd w:id="212"/>
      <w:bookmarkEnd w:id="213"/>
      <w:bookmarkEnd w:id="214"/>
    </w:p>
    <w:p>
      <w:pPr>
        <w:rPr>
          <w:rFonts w:ascii="宋体" w:hAnsi="宋体"/>
          <w:sz w:val="24"/>
        </w:rPr>
      </w:pPr>
    </w:p>
    <w:p>
      <w:pPr>
        <w:pStyle w:val="4"/>
        <w:spacing w:beforeLines="50" w:afterLines="50" w:line="400" w:lineRule="exact"/>
        <w:jc w:val="center"/>
        <w:rPr>
          <w:rFonts w:ascii="黑体" w:hAnsi="宋体" w:eastAsia="黑体"/>
          <w:sz w:val="28"/>
          <w:szCs w:val="28"/>
        </w:rPr>
      </w:pPr>
      <w:bookmarkStart w:id="215" w:name="_Toc485889054"/>
      <w:bookmarkStart w:id="216" w:name="_Toc15502"/>
      <w:bookmarkStart w:id="217" w:name="_Toc486277915"/>
      <w:bookmarkStart w:id="218" w:name="_Toc234382645"/>
      <w:r>
        <w:rPr>
          <w:rFonts w:ascii="黑体" w:hAnsi="宋体" w:eastAsia="黑体"/>
          <w:sz w:val="28"/>
          <w:szCs w:val="28"/>
        </w:rPr>
        <w:t>（项目名称）标段施工开标记录表</w:t>
      </w:r>
      <w:bookmarkEnd w:id="215"/>
      <w:bookmarkEnd w:id="216"/>
      <w:bookmarkEnd w:id="217"/>
      <w:bookmarkEnd w:id="218"/>
    </w:p>
    <w:p>
      <w:pPr>
        <w:jc w:val="right"/>
        <w:rPr>
          <w:rFonts w:ascii="宋体" w:hAnsi="宋体"/>
          <w:sz w:val="24"/>
        </w:rPr>
      </w:pPr>
      <w:r>
        <w:rPr>
          <w:rFonts w:ascii="宋体" w:hAnsi="宋体"/>
          <w:sz w:val="24"/>
        </w:rPr>
        <w:t>开标时间：年月日时分</w:t>
      </w:r>
    </w:p>
    <w:tbl>
      <w:tblPr>
        <w:tblStyle w:val="45"/>
        <w:tblW w:w="9037" w:type="dxa"/>
        <w:jc w:val="center"/>
        <w:tblInd w:w="0" w:type="dxa"/>
        <w:tblLayout w:type="fixed"/>
        <w:tblCellMar>
          <w:top w:w="0" w:type="dxa"/>
          <w:left w:w="0" w:type="dxa"/>
          <w:bottom w:w="0" w:type="dxa"/>
          <w:right w:w="0" w:type="dxa"/>
        </w:tblCellMar>
      </w:tblPr>
      <w:tblGrid>
        <w:gridCol w:w="1011"/>
        <w:gridCol w:w="1012"/>
        <w:gridCol w:w="1012"/>
        <w:gridCol w:w="1289"/>
        <w:gridCol w:w="1253"/>
        <w:gridCol w:w="1401"/>
        <w:gridCol w:w="1032"/>
        <w:gridCol w:w="1027"/>
      </w:tblGrid>
      <w:tr>
        <w:tblPrEx>
          <w:tblLayout w:type="fixed"/>
          <w:tblCellMar>
            <w:top w:w="0" w:type="dxa"/>
            <w:left w:w="0" w:type="dxa"/>
            <w:bottom w:w="0" w:type="dxa"/>
            <w:right w:w="0" w:type="dxa"/>
          </w:tblCellMar>
        </w:tblPrEx>
        <w:trPr>
          <w:trHeight w:val="861"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送达情况</w:t>
            </w: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投标报价</w:t>
            </w:r>
          </w:p>
          <w:p>
            <w:pPr>
              <w:jc w:val="center"/>
              <w:rPr>
                <w:rFonts w:ascii="宋体" w:hAnsi="宋体"/>
                <w:szCs w:val="21"/>
              </w:rPr>
            </w:pPr>
            <w:r>
              <w:rPr>
                <w:rFonts w:hint="eastAsia" w:ascii="宋体" w:hAnsi="宋体"/>
                <w:szCs w:val="21"/>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是否超过投标控制价上限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备注</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签名</w:t>
            </w: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4324"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招标人编制的标底或投标控制价上限（如有）</w:t>
            </w:r>
          </w:p>
        </w:tc>
        <w:tc>
          <w:tcPr>
            <w:tcW w:w="125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r>
    </w:tbl>
    <w:p>
      <w:pPr>
        <w:rPr>
          <w:rFonts w:ascii="宋体" w:hAnsi="宋体"/>
          <w:sz w:val="24"/>
        </w:rPr>
      </w:pPr>
    </w:p>
    <w:p>
      <w:pPr>
        <w:rPr>
          <w:rFonts w:ascii="宋体" w:hAnsi="宋体"/>
          <w:sz w:val="24"/>
          <w:u w:val="single"/>
        </w:rPr>
      </w:pPr>
      <w:r>
        <w:rPr>
          <w:rFonts w:ascii="宋体" w:hAnsi="宋体"/>
          <w:sz w:val="24"/>
        </w:rPr>
        <w:t>招标人代表：记录人：</w:t>
      </w:r>
      <w:r>
        <w:rPr>
          <w:rFonts w:hint="eastAsia" w:ascii="宋体" w:hAnsi="宋体"/>
          <w:sz w:val="24"/>
        </w:rPr>
        <w:t xml:space="preserve">     监标人：</w:t>
      </w:r>
    </w:p>
    <w:p>
      <w:pPr>
        <w:rPr>
          <w:rFonts w:ascii="宋体" w:hAnsi="宋体"/>
          <w:sz w:val="24"/>
        </w:rPr>
      </w:pPr>
    </w:p>
    <w:p>
      <w:pPr>
        <w:rPr>
          <w:rFonts w:ascii="宋体" w:hAnsi="宋体"/>
          <w:sz w:val="24"/>
        </w:rPr>
      </w:pPr>
      <w:r>
        <w:rPr>
          <w:rFonts w:ascii="宋体" w:hAnsi="宋体"/>
          <w:sz w:val="24"/>
        </w:rPr>
        <w:t>年月日</w:t>
      </w:r>
    </w:p>
    <w:p>
      <w:pPr>
        <w:rPr>
          <w:rFonts w:ascii="黑体" w:hAnsi="宋体" w:eastAsia="黑体"/>
          <w:b/>
          <w:sz w:val="24"/>
        </w:rPr>
      </w:pPr>
      <w:r>
        <w:rPr>
          <w:rFonts w:ascii="宋体" w:hAnsi="宋体"/>
          <w:sz w:val="24"/>
        </w:rPr>
        <w:br w:type="page"/>
      </w:r>
      <w:bookmarkStart w:id="219" w:name="_Toc234382646"/>
      <w:r>
        <w:rPr>
          <w:rFonts w:ascii="黑体" w:hAnsi="宋体" w:eastAsia="黑体"/>
          <w:b/>
          <w:sz w:val="24"/>
        </w:rPr>
        <w:t>附表</w:t>
      </w:r>
      <w:r>
        <w:rPr>
          <w:rFonts w:hint="eastAsia" w:ascii="黑体" w:hAnsi="宋体" w:eastAsia="黑体"/>
          <w:b/>
          <w:sz w:val="24"/>
        </w:rPr>
        <w:t>四</w:t>
      </w:r>
      <w:r>
        <w:rPr>
          <w:rFonts w:ascii="黑体" w:hAnsi="宋体" w:eastAsia="黑体"/>
          <w:b/>
          <w:sz w:val="24"/>
        </w:rPr>
        <w:t>：问题澄清通知</w:t>
      </w:r>
      <w:bookmarkEnd w:id="219"/>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u w:val="single"/>
        </w:rPr>
        <w:t>（投标人名称）</w:t>
      </w: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ascii="宋体" w:hAnsi="宋体"/>
          <w:sz w:val="24"/>
        </w:rPr>
        <w:t>（项目名称）标段施工招标的评标委员会，对你方的投标文件进行了仔细的审查，现需你方对下列问题以书面形式予以澄清：</w:t>
      </w: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ascii="宋体" w:hAnsi="宋体"/>
          <w:sz w:val="24"/>
        </w:rPr>
        <w:t>请将上述问题的澄清于年月日时前递交至（详细地址）或传真至（传真号码）。采用传真方式的，应在年月日时前将原件递交至（详细地址）。</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u w:val="single"/>
        </w:rPr>
      </w:pPr>
      <w:r>
        <w:rPr>
          <w:rFonts w:hint="eastAsia" w:ascii="宋体" w:hAnsi="宋体"/>
          <w:sz w:val="24"/>
          <w:u w:val="single"/>
        </w:rPr>
        <w:t xml:space="preserve"> （项目名称）  标段施工招标评标委员会</w:t>
      </w:r>
    </w:p>
    <w:p>
      <w:pPr>
        <w:jc w:val="right"/>
        <w:rPr>
          <w:rFonts w:ascii="宋体" w:hAnsi="宋体"/>
          <w:sz w:val="24"/>
          <w:u w:val="single"/>
        </w:rPr>
      </w:pPr>
      <w:r>
        <w:rPr>
          <w:rFonts w:hint="eastAsia" w:ascii="宋体" w:hAnsi="宋体"/>
          <w:sz w:val="24"/>
          <w:u w:val="single"/>
        </w:rPr>
        <w:t>招标人</w:t>
      </w:r>
      <w:r>
        <w:rPr>
          <w:rFonts w:ascii="宋体" w:hAnsi="宋体"/>
          <w:sz w:val="24"/>
          <w:u w:val="single"/>
        </w:rPr>
        <w:t>：（</w:t>
      </w:r>
      <w:r>
        <w:rPr>
          <w:rFonts w:hint="eastAsia" w:ascii="宋体" w:hAnsi="宋体"/>
          <w:sz w:val="24"/>
          <w:u w:val="single"/>
        </w:rPr>
        <w:t>盖单位章</w:t>
      </w:r>
      <w:r>
        <w:rPr>
          <w:rFonts w:ascii="宋体" w:hAnsi="宋体"/>
          <w:sz w:val="24"/>
          <w:u w:val="single"/>
        </w:rPr>
        <w:t>）</w:t>
      </w:r>
    </w:p>
    <w:p>
      <w:pPr>
        <w:rPr>
          <w:rFonts w:ascii="宋体" w:hAnsi="宋体"/>
          <w:sz w:val="24"/>
        </w:rPr>
      </w:pPr>
    </w:p>
    <w:p>
      <w:pPr>
        <w:rPr>
          <w:rFonts w:ascii="宋体" w:hAnsi="宋体"/>
          <w:sz w:val="24"/>
        </w:rPr>
      </w:pPr>
    </w:p>
    <w:p>
      <w:pPr>
        <w:rPr>
          <w:rFonts w:ascii="宋体" w:hAnsi="宋体"/>
          <w:sz w:val="24"/>
        </w:rPr>
      </w:pPr>
      <w:r>
        <w:rPr>
          <w:rFonts w:ascii="宋体" w:hAnsi="宋体"/>
          <w:sz w:val="24"/>
        </w:rPr>
        <w:t>年月日</w:t>
      </w:r>
    </w:p>
    <w:p>
      <w:pPr>
        <w:rPr>
          <w:rFonts w:ascii="宋体" w:hAnsi="宋体"/>
          <w:sz w:val="24"/>
        </w:rPr>
      </w:pPr>
    </w:p>
    <w:p>
      <w:pPr>
        <w:rPr>
          <w:rFonts w:ascii="黑体" w:hAnsi="宋体" w:eastAsia="黑体"/>
          <w:b/>
          <w:sz w:val="24"/>
        </w:rPr>
      </w:pPr>
      <w:r>
        <w:rPr>
          <w:rFonts w:ascii="宋体" w:hAnsi="宋体"/>
          <w:sz w:val="24"/>
        </w:rPr>
        <w:br w:type="page"/>
      </w:r>
      <w:bookmarkStart w:id="220" w:name="_Toc234382647"/>
      <w:r>
        <w:rPr>
          <w:rFonts w:ascii="黑体" w:hAnsi="宋体" w:eastAsia="黑体"/>
          <w:b/>
          <w:sz w:val="24"/>
        </w:rPr>
        <w:t>附表</w:t>
      </w:r>
      <w:r>
        <w:rPr>
          <w:rFonts w:hint="eastAsia" w:ascii="黑体" w:hAnsi="宋体" w:eastAsia="黑体"/>
          <w:b/>
          <w:sz w:val="24"/>
        </w:rPr>
        <w:t>五</w:t>
      </w:r>
      <w:r>
        <w:rPr>
          <w:rFonts w:ascii="黑体" w:hAnsi="宋体" w:eastAsia="黑体"/>
          <w:b/>
          <w:sz w:val="24"/>
        </w:rPr>
        <w:t>：问题的澄清</w:t>
      </w:r>
      <w:bookmarkEnd w:id="220"/>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80" w:firstLineChars="200"/>
        <w:rPr>
          <w:rFonts w:ascii="宋体" w:hAnsi="宋体"/>
          <w:sz w:val="24"/>
        </w:rPr>
      </w:pPr>
      <w:r>
        <w:rPr>
          <w:rFonts w:ascii="宋体" w:hAnsi="宋体"/>
          <w:sz w:val="24"/>
        </w:rPr>
        <w:t xml:space="preserve">（项目名称）标段施工招标评标委员会：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问题澄清通知（编号：）已收悉，现澄清如下：</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40" w:lineRule="exact"/>
        <w:rPr>
          <w:rFonts w:ascii="宋体" w:hAnsi="宋体"/>
          <w:sz w:val="24"/>
        </w:rPr>
      </w:pPr>
      <w:r>
        <w:rPr>
          <w:rFonts w:ascii="宋体" w:hAnsi="宋体"/>
          <w:sz w:val="24"/>
        </w:rPr>
        <w:t xml:space="preserve">投标人：（盖单位章） </w:t>
      </w:r>
    </w:p>
    <w:p>
      <w:pPr>
        <w:spacing w:line="440" w:lineRule="exact"/>
        <w:rPr>
          <w:rFonts w:ascii="宋体" w:hAnsi="宋体"/>
          <w:sz w:val="24"/>
        </w:rPr>
      </w:pPr>
      <w:r>
        <w:rPr>
          <w:rFonts w:ascii="宋体" w:hAnsi="宋体"/>
          <w:sz w:val="24"/>
        </w:rPr>
        <w:t>法定代表人或其委托代理人：（签字）</w:t>
      </w:r>
    </w:p>
    <w:p>
      <w:pPr>
        <w:rPr>
          <w:rFonts w:ascii="宋体" w:hAnsi="宋体"/>
          <w:sz w:val="24"/>
        </w:rPr>
      </w:pPr>
    </w:p>
    <w:p>
      <w:pPr>
        <w:rPr>
          <w:rFonts w:ascii="宋体" w:hAnsi="宋体"/>
          <w:sz w:val="24"/>
        </w:rPr>
      </w:pPr>
      <w:r>
        <w:rPr>
          <w:rFonts w:ascii="宋体" w:hAnsi="宋体"/>
          <w:sz w:val="24"/>
        </w:rPr>
        <w:t>年月日</w:t>
      </w:r>
    </w:p>
    <w:p>
      <w:pPr>
        <w:rPr>
          <w:rFonts w:ascii="宋体" w:hAnsi="宋体"/>
          <w:sz w:val="24"/>
        </w:rPr>
      </w:pPr>
    </w:p>
    <w:p>
      <w:pPr>
        <w:rPr>
          <w:rFonts w:ascii="宋体" w:hAnsi="宋体"/>
          <w:sz w:val="24"/>
        </w:rPr>
      </w:pPr>
    </w:p>
    <w:p>
      <w:pPr>
        <w:rPr>
          <w:rFonts w:ascii="黑体" w:hAnsi="宋体" w:eastAsia="黑体"/>
          <w:b/>
          <w:sz w:val="24"/>
        </w:rPr>
      </w:pPr>
      <w:r>
        <w:rPr>
          <w:rFonts w:ascii="宋体" w:hAnsi="宋体"/>
          <w:sz w:val="24"/>
        </w:rPr>
        <w:br w:type="page"/>
      </w:r>
      <w:bookmarkStart w:id="221" w:name="_Toc234382648"/>
      <w:r>
        <w:rPr>
          <w:rFonts w:ascii="黑体" w:hAnsi="宋体" w:eastAsia="黑体"/>
          <w:b/>
          <w:sz w:val="24"/>
        </w:rPr>
        <w:t>附表</w:t>
      </w:r>
      <w:r>
        <w:rPr>
          <w:rFonts w:hint="eastAsia" w:ascii="黑体" w:hAnsi="宋体" w:eastAsia="黑体"/>
          <w:b/>
          <w:sz w:val="24"/>
        </w:rPr>
        <w:t>六</w:t>
      </w:r>
      <w:r>
        <w:rPr>
          <w:rFonts w:ascii="黑体" w:hAnsi="宋体" w:eastAsia="黑体"/>
          <w:b/>
          <w:sz w:val="24"/>
        </w:rPr>
        <w:t>：中标通知书</w:t>
      </w:r>
      <w:bookmarkEnd w:id="221"/>
    </w:p>
    <w:p>
      <w:pPr>
        <w:jc w:val="center"/>
        <w:rPr>
          <w:b/>
          <w:sz w:val="44"/>
          <w:szCs w:val="44"/>
        </w:rPr>
      </w:pPr>
      <w:r>
        <w:rPr>
          <w:rFonts w:hint="eastAsia"/>
          <w:b/>
          <w:sz w:val="44"/>
          <w:szCs w:val="44"/>
        </w:rPr>
        <w:t>中 标 通 知 书</w:t>
      </w:r>
    </w:p>
    <w:p>
      <w:pPr>
        <w:ind w:right="-208" w:rightChars="-99"/>
        <w:jc w:val="center"/>
        <w:rPr>
          <w:u w:val="single"/>
        </w:rPr>
      </w:pPr>
      <w:r>
        <w:rPr>
          <w:rFonts w:hint="eastAsia"/>
        </w:rPr>
        <w:t xml:space="preserve">                                                      编号：</w:t>
      </w:r>
      <w:r>
        <w:rPr>
          <w:rFonts w:hint="eastAsia" w:ascii="宋体" w:hAnsi="宋体"/>
          <w:spacing w:val="1"/>
          <w:kern w:val="0"/>
          <w:szCs w:val="21"/>
          <w:u w:val="single"/>
        </w:rPr>
        <w:t>合同段</w:t>
      </w:r>
    </w:p>
    <w:p>
      <w:pPr>
        <w:ind w:right="-208" w:rightChars="-99"/>
        <w:rPr>
          <w:u w:val="single"/>
        </w:rPr>
      </w:pPr>
      <w:r>
        <w:rPr>
          <w:rFonts w:ascii="宋体" w:hAnsi="宋体"/>
          <w:szCs w:val="21"/>
        </w:rPr>
        <w:t>（中标人名称）：</w:t>
      </w:r>
    </w:p>
    <w:p>
      <w:pPr>
        <w:spacing w:line="460" w:lineRule="exact"/>
        <w:ind w:left="-178" w:leftChars="-85" w:right="-208" w:rightChars="-99" w:firstLine="420" w:firstLineChars="200"/>
        <w:rPr>
          <w:szCs w:val="21"/>
        </w:rPr>
      </w:pPr>
      <w:r>
        <w:rPr>
          <w:rFonts w:hint="eastAsia"/>
          <w:szCs w:val="21"/>
        </w:rPr>
        <w:t>根据</w:t>
      </w:r>
      <w:r>
        <w:rPr>
          <w:rFonts w:ascii="宋体" w:hAnsi="宋体"/>
          <w:szCs w:val="21"/>
        </w:rPr>
        <w:t>（项目名称）标段</w:t>
      </w:r>
      <w:r>
        <w:rPr>
          <w:rFonts w:hint="eastAsia"/>
          <w:szCs w:val="21"/>
        </w:rPr>
        <w:t>招标文件和贵公司</w:t>
      </w:r>
      <w:r>
        <w:rPr>
          <w:rFonts w:ascii="宋体" w:hAnsi="宋体"/>
          <w:szCs w:val="21"/>
        </w:rPr>
        <w:t>于（投标日期）所递交的投标文件</w:t>
      </w:r>
      <w:r>
        <w:rPr>
          <w:rFonts w:hint="eastAsia" w:ascii="宋体" w:hAnsi="宋体"/>
          <w:szCs w:val="21"/>
        </w:rPr>
        <w:t>，</w:t>
      </w:r>
      <w:r>
        <w:rPr>
          <w:rFonts w:hint="eastAsia"/>
          <w:szCs w:val="21"/>
        </w:rPr>
        <w:t>经评标委员会评审推荐，现确定贵公司为上述招标项目的中标人，主要内容如下：</w:t>
      </w:r>
    </w:p>
    <w:tbl>
      <w:tblPr>
        <w:tblStyle w:val="45"/>
        <w:tblW w:w="9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985"/>
        <w:gridCol w:w="22"/>
        <w:gridCol w:w="1127"/>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17" w:type="dxa"/>
            <w:vAlign w:val="center"/>
          </w:tcPr>
          <w:p>
            <w:pPr>
              <w:spacing w:line="440" w:lineRule="exact"/>
              <w:jc w:val="center"/>
              <w:rPr>
                <w:szCs w:val="21"/>
              </w:rPr>
            </w:pPr>
            <w:r>
              <w:rPr>
                <w:rFonts w:hint="eastAsia"/>
                <w:szCs w:val="21"/>
              </w:rPr>
              <w:t>项目名称</w:t>
            </w:r>
          </w:p>
        </w:tc>
        <w:tc>
          <w:tcPr>
            <w:tcW w:w="3007" w:type="dxa"/>
            <w:gridSpan w:val="2"/>
            <w:vAlign w:val="center"/>
          </w:tcPr>
          <w:p>
            <w:pPr>
              <w:spacing w:line="440" w:lineRule="exact"/>
              <w:jc w:val="center"/>
              <w:rPr>
                <w:szCs w:val="21"/>
              </w:rPr>
            </w:pPr>
          </w:p>
        </w:tc>
        <w:tc>
          <w:tcPr>
            <w:tcW w:w="1127" w:type="dxa"/>
            <w:vAlign w:val="center"/>
          </w:tcPr>
          <w:p>
            <w:pPr>
              <w:spacing w:line="440" w:lineRule="exact"/>
              <w:jc w:val="center"/>
              <w:rPr>
                <w:szCs w:val="21"/>
              </w:rPr>
            </w:pPr>
            <w:r>
              <w:rPr>
                <w:rFonts w:hint="eastAsia"/>
                <w:szCs w:val="21"/>
              </w:rPr>
              <w:t>项目规模</w:t>
            </w:r>
          </w:p>
        </w:tc>
        <w:tc>
          <w:tcPr>
            <w:tcW w:w="2995"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17" w:type="dxa"/>
            <w:vAlign w:val="center"/>
          </w:tcPr>
          <w:p>
            <w:pPr>
              <w:spacing w:line="480" w:lineRule="auto"/>
              <w:jc w:val="center"/>
              <w:rPr>
                <w:szCs w:val="21"/>
              </w:rPr>
            </w:pPr>
            <w:r>
              <w:rPr>
                <w:rFonts w:hint="eastAsia"/>
                <w:szCs w:val="21"/>
              </w:rPr>
              <w:t>招标方式</w:t>
            </w:r>
          </w:p>
        </w:tc>
        <w:tc>
          <w:tcPr>
            <w:tcW w:w="3007" w:type="dxa"/>
            <w:gridSpan w:val="2"/>
            <w:vAlign w:val="center"/>
          </w:tcPr>
          <w:p>
            <w:pPr>
              <w:spacing w:line="480" w:lineRule="auto"/>
              <w:jc w:val="center"/>
              <w:rPr>
                <w:szCs w:val="21"/>
              </w:rPr>
            </w:pPr>
          </w:p>
        </w:tc>
        <w:tc>
          <w:tcPr>
            <w:tcW w:w="1127" w:type="dxa"/>
            <w:vAlign w:val="center"/>
          </w:tcPr>
          <w:p>
            <w:pPr>
              <w:spacing w:line="480" w:lineRule="auto"/>
              <w:jc w:val="center"/>
              <w:rPr>
                <w:szCs w:val="21"/>
              </w:rPr>
            </w:pPr>
            <w:r>
              <w:rPr>
                <w:rFonts w:hint="eastAsia"/>
                <w:szCs w:val="21"/>
              </w:rPr>
              <w:t>工程地点</w:t>
            </w:r>
          </w:p>
        </w:tc>
        <w:tc>
          <w:tcPr>
            <w:tcW w:w="2995" w:type="dxa"/>
            <w:vAlign w:val="center"/>
          </w:tcPr>
          <w:p>
            <w:pPr>
              <w:spacing w:line="48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917" w:type="dxa"/>
            <w:vAlign w:val="center"/>
          </w:tcPr>
          <w:p>
            <w:pPr>
              <w:spacing w:line="480" w:lineRule="auto"/>
              <w:jc w:val="center"/>
              <w:rPr>
                <w:szCs w:val="21"/>
              </w:rPr>
            </w:pPr>
            <w:r>
              <w:rPr>
                <w:rFonts w:hint="eastAsia"/>
                <w:szCs w:val="21"/>
              </w:rPr>
              <w:t>中标范围</w:t>
            </w:r>
          </w:p>
        </w:tc>
        <w:tc>
          <w:tcPr>
            <w:tcW w:w="7129" w:type="dxa"/>
            <w:gridSpan w:val="4"/>
            <w:vAlign w:val="center"/>
          </w:tcPr>
          <w:p>
            <w:pPr>
              <w:ind w:firstLine="424" w:firstLineChars="200"/>
              <w:jc w:val="center"/>
              <w:rPr>
                <w:rFonts w:ascii="宋体" w:hAnsi="宋体"/>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917" w:type="dxa"/>
            <w:vAlign w:val="center"/>
          </w:tcPr>
          <w:p>
            <w:pPr>
              <w:spacing w:line="480" w:lineRule="auto"/>
              <w:jc w:val="center"/>
              <w:rPr>
                <w:szCs w:val="21"/>
              </w:rPr>
            </w:pPr>
            <w:r>
              <w:rPr>
                <w:rFonts w:hint="eastAsia"/>
                <w:szCs w:val="21"/>
              </w:rPr>
              <w:t>中标造价</w:t>
            </w:r>
          </w:p>
        </w:tc>
        <w:tc>
          <w:tcPr>
            <w:tcW w:w="7129" w:type="dxa"/>
            <w:gridSpan w:val="4"/>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917" w:type="dxa"/>
            <w:vAlign w:val="center"/>
          </w:tcPr>
          <w:p>
            <w:pPr>
              <w:spacing w:line="480" w:lineRule="auto"/>
              <w:jc w:val="center"/>
              <w:rPr>
                <w:szCs w:val="21"/>
              </w:rPr>
            </w:pPr>
            <w:r>
              <w:rPr>
                <w:rFonts w:hint="eastAsia"/>
                <w:szCs w:val="21"/>
              </w:rPr>
              <w:t>中标工期</w:t>
            </w:r>
          </w:p>
        </w:tc>
        <w:tc>
          <w:tcPr>
            <w:tcW w:w="2985" w:type="dxa"/>
            <w:vAlign w:val="center"/>
          </w:tcPr>
          <w:p>
            <w:pPr>
              <w:spacing w:line="480" w:lineRule="auto"/>
              <w:jc w:val="center"/>
              <w:rPr>
                <w:szCs w:val="21"/>
              </w:rPr>
            </w:pPr>
          </w:p>
        </w:tc>
        <w:tc>
          <w:tcPr>
            <w:tcW w:w="1149" w:type="dxa"/>
            <w:gridSpan w:val="2"/>
            <w:vAlign w:val="center"/>
          </w:tcPr>
          <w:p>
            <w:pPr>
              <w:spacing w:line="480" w:lineRule="auto"/>
              <w:jc w:val="center"/>
              <w:rPr>
                <w:szCs w:val="21"/>
              </w:rPr>
            </w:pPr>
            <w:r>
              <w:rPr>
                <w:rFonts w:hint="eastAsia"/>
                <w:szCs w:val="21"/>
              </w:rPr>
              <w:t>工程质量</w:t>
            </w:r>
          </w:p>
        </w:tc>
        <w:tc>
          <w:tcPr>
            <w:tcW w:w="2995" w:type="dxa"/>
            <w:vAlign w:val="center"/>
          </w:tcPr>
          <w:p>
            <w:pPr>
              <w:spacing w:line="48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917" w:type="dxa"/>
            <w:vAlign w:val="center"/>
          </w:tcPr>
          <w:p>
            <w:pPr>
              <w:spacing w:line="420" w:lineRule="exact"/>
              <w:jc w:val="center"/>
              <w:rPr>
                <w:spacing w:val="-12"/>
                <w:szCs w:val="21"/>
              </w:rPr>
            </w:pPr>
            <w:r>
              <w:rPr>
                <w:rFonts w:hint="eastAsia"/>
                <w:spacing w:val="-12"/>
                <w:szCs w:val="21"/>
              </w:rPr>
              <w:t>建造师或总监理工程师证书编号</w:t>
            </w:r>
          </w:p>
        </w:tc>
        <w:tc>
          <w:tcPr>
            <w:tcW w:w="2985" w:type="dxa"/>
            <w:vAlign w:val="center"/>
          </w:tcPr>
          <w:p>
            <w:pPr>
              <w:spacing w:line="420" w:lineRule="exact"/>
              <w:jc w:val="center"/>
              <w:rPr>
                <w:szCs w:val="21"/>
              </w:rPr>
            </w:pPr>
          </w:p>
        </w:tc>
        <w:tc>
          <w:tcPr>
            <w:tcW w:w="1149" w:type="dxa"/>
            <w:gridSpan w:val="2"/>
            <w:vAlign w:val="center"/>
          </w:tcPr>
          <w:p>
            <w:pPr>
              <w:spacing w:line="440" w:lineRule="exact"/>
              <w:jc w:val="center"/>
              <w:rPr>
                <w:szCs w:val="21"/>
              </w:rPr>
            </w:pPr>
            <w:r>
              <w:rPr>
                <w:rFonts w:hint="eastAsia"/>
                <w:szCs w:val="21"/>
              </w:rPr>
              <w:t>项目技术负责人</w:t>
            </w:r>
          </w:p>
        </w:tc>
        <w:tc>
          <w:tcPr>
            <w:tcW w:w="2995" w:type="dxa"/>
            <w:vAlign w:val="center"/>
          </w:tcPr>
          <w:p>
            <w:pPr>
              <w:spacing w:line="48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4902" w:type="dxa"/>
            <w:gridSpan w:val="2"/>
            <w:vAlign w:val="center"/>
          </w:tcPr>
          <w:p>
            <w:pPr>
              <w:spacing w:line="480" w:lineRule="auto"/>
              <w:rPr>
                <w:szCs w:val="21"/>
              </w:rPr>
            </w:pPr>
            <w:r>
              <w:rPr>
                <w:rFonts w:hint="eastAsia"/>
                <w:szCs w:val="21"/>
              </w:rPr>
              <w:t>建设单位（招标人签字盖章）</w:t>
            </w:r>
          </w:p>
          <w:p>
            <w:pPr>
              <w:spacing w:line="480" w:lineRule="auto"/>
              <w:jc w:val="center"/>
              <w:rPr>
                <w:szCs w:val="21"/>
              </w:rPr>
            </w:pPr>
          </w:p>
          <w:p>
            <w:pPr>
              <w:spacing w:line="480" w:lineRule="auto"/>
              <w:jc w:val="center"/>
              <w:rPr>
                <w:szCs w:val="21"/>
              </w:rPr>
            </w:pPr>
            <w:r>
              <w:rPr>
                <w:rFonts w:hint="eastAsia"/>
                <w:szCs w:val="21"/>
              </w:rPr>
              <w:t>年    月    日</w:t>
            </w:r>
          </w:p>
        </w:tc>
        <w:tc>
          <w:tcPr>
            <w:tcW w:w="4144" w:type="dxa"/>
            <w:gridSpan w:val="3"/>
            <w:vAlign w:val="center"/>
          </w:tcPr>
          <w:p>
            <w:pPr>
              <w:spacing w:line="480" w:lineRule="auto"/>
              <w:rPr>
                <w:szCs w:val="21"/>
              </w:rPr>
            </w:pPr>
            <w:r>
              <w:rPr>
                <w:rFonts w:hint="eastAsia"/>
                <w:szCs w:val="21"/>
              </w:rPr>
              <w:t>招标投标交易中心（签字盖章）</w:t>
            </w:r>
          </w:p>
          <w:p>
            <w:pPr>
              <w:spacing w:line="480" w:lineRule="auto"/>
              <w:jc w:val="center"/>
              <w:rPr>
                <w:szCs w:val="21"/>
              </w:rPr>
            </w:pPr>
          </w:p>
          <w:p>
            <w:pPr>
              <w:spacing w:line="480" w:lineRule="auto"/>
              <w:ind w:firstLine="1470" w:firstLineChars="700"/>
              <w:jc w:val="center"/>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jc w:val="center"/>
        </w:trPr>
        <w:tc>
          <w:tcPr>
            <w:tcW w:w="9046" w:type="dxa"/>
            <w:gridSpan w:val="5"/>
            <w:vAlign w:val="center"/>
          </w:tcPr>
          <w:p>
            <w:pPr>
              <w:spacing w:line="480" w:lineRule="auto"/>
              <w:rPr>
                <w:szCs w:val="21"/>
              </w:rPr>
            </w:pPr>
            <w:r>
              <w:rPr>
                <w:rFonts w:hint="eastAsia"/>
                <w:szCs w:val="21"/>
              </w:rPr>
              <w:t>监督机构备案意见：</w:t>
            </w:r>
          </w:p>
          <w:p>
            <w:pPr>
              <w:spacing w:line="380" w:lineRule="exact"/>
              <w:jc w:val="center"/>
              <w:rPr>
                <w:szCs w:val="21"/>
              </w:rPr>
            </w:pPr>
          </w:p>
          <w:p>
            <w:pPr>
              <w:spacing w:line="380" w:lineRule="exact"/>
              <w:rPr>
                <w:szCs w:val="21"/>
              </w:rPr>
            </w:pPr>
          </w:p>
          <w:p>
            <w:pPr>
              <w:spacing w:line="480" w:lineRule="auto"/>
              <w:ind w:firstLine="5460" w:firstLineChars="2600"/>
              <w:jc w:val="center"/>
              <w:rPr>
                <w:szCs w:val="21"/>
              </w:rPr>
            </w:pPr>
            <w:r>
              <w:rPr>
                <w:rFonts w:hint="eastAsia"/>
                <w:szCs w:val="21"/>
              </w:rPr>
              <w:t xml:space="preserve">  年    月    日</w:t>
            </w:r>
          </w:p>
        </w:tc>
      </w:tr>
    </w:tbl>
    <w:p>
      <w:pPr>
        <w:spacing w:line="480" w:lineRule="auto"/>
        <w:ind w:firstLine="210" w:firstLineChars="100"/>
        <w:rPr>
          <w:rFonts w:ascii="宋体" w:hAnsi="宋体"/>
          <w:szCs w:val="21"/>
        </w:rPr>
      </w:pPr>
      <w:r>
        <w:rPr>
          <w:rFonts w:hint="eastAsia" w:ascii="宋体" w:hAnsi="宋体"/>
          <w:szCs w:val="21"/>
        </w:rPr>
        <w:t>本通知书一式六份</w:t>
      </w:r>
    </w:p>
    <w:p>
      <w:pPr>
        <w:rPr>
          <w:rFonts w:ascii="宋体" w:hAnsi="宋体"/>
          <w:sz w:val="24"/>
        </w:rPr>
      </w:pPr>
    </w:p>
    <w:p>
      <w:pPr>
        <w:rPr>
          <w:rFonts w:ascii="黑体" w:hAnsi="宋体" w:eastAsia="黑体"/>
          <w:b/>
          <w:sz w:val="24"/>
        </w:rPr>
      </w:pPr>
      <w:r>
        <w:rPr>
          <w:rFonts w:ascii="宋体" w:hAnsi="宋体"/>
          <w:sz w:val="24"/>
        </w:rPr>
        <w:br w:type="page"/>
      </w:r>
      <w:bookmarkStart w:id="222" w:name="_Toc234382649"/>
      <w:r>
        <w:rPr>
          <w:rFonts w:ascii="黑体" w:hAnsi="宋体" w:eastAsia="黑体"/>
          <w:b/>
          <w:sz w:val="24"/>
        </w:rPr>
        <w:t>附表</w:t>
      </w:r>
      <w:r>
        <w:rPr>
          <w:rFonts w:hint="eastAsia" w:ascii="黑体" w:hAnsi="宋体" w:eastAsia="黑体"/>
          <w:b/>
          <w:sz w:val="24"/>
        </w:rPr>
        <w:t>七</w:t>
      </w:r>
      <w:r>
        <w:rPr>
          <w:rFonts w:ascii="黑体" w:hAnsi="宋体" w:eastAsia="黑体"/>
          <w:b/>
          <w:sz w:val="24"/>
        </w:rPr>
        <w:t>：中标结果通知书</w:t>
      </w:r>
      <w:bookmarkEnd w:id="222"/>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中标结果通知书</w:t>
      </w:r>
    </w:p>
    <w:p>
      <w:pPr>
        <w:rPr>
          <w:rFonts w:ascii="宋体" w:hAnsi="宋体"/>
          <w:sz w:val="24"/>
        </w:rPr>
      </w:pPr>
    </w:p>
    <w:p>
      <w:pPr>
        <w:rPr>
          <w:rFonts w:ascii="宋体" w:hAnsi="宋体"/>
          <w:sz w:val="24"/>
        </w:rPr>
      </w:pPr>
      <w:r>
        <w:rPr>
          <w:rFonts w:ascii="宋体" w:hAnsi="宋体"/>
          <w:sz w:val="24"/>
        </w:rPr>
        <w:t>（未中标人名称）：</w:t>
      </w:r>
    </w:p>
    <w:p>
      <w:pPr>
        <w:rPr>
          <w:rFonts w:ascii="宋体" w:hAnsi="宋体"/>
          <w:sz w:val="24"/>
        </w:rPr>
      </w:pPr>
    </w:p>
    <w:p>
      <w:pPr>
        <w:spacing w:line="400" w:lineRule="exact"/>
        <w:ind w:firstLine="480" w:firstLineChars="200"/>
        <w:rPr>
          <w:rFonts w:ascii="宋体" w:hAnsi="宋体"/>
          <w:sz w:val="24"/>
        </w:rPr>
      </w:pPr>
      <w:r>
        <w:rPr>
          <w:rFonts w:ascii="宋体" w:hAnsi="宋体"/>
          <w:sz w:val="24"/>
        </w:rPr>
        <w:t>我方已接受（中标人名称）于（投标日期）所递交的（项目名称）标段施工投标文件，确定（中标人名称）为中标人。</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感谢你单位对我们工作的大力支持！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招标人：（盖单位章） </w:t>
      </w:r>
    </w:p>
    <w:p>
      <w:pPr>
        <w:spacing w:line="400" w:lineRule="exact"/>
        <w:ind w:firstLine="480" w:firstLineChars="200"/>
        <w:rPr>
          <w:rFonts w:ascii="宋体" w:hAnsi="宋体"/>
          <w:sz w:val="24"/>
        </w:rPr>
      </w:pPr>
      <w:r>
        <w:rPr>
          <w:rFonts w:hint="eastAsia" w:ascii="宋体" w:hAnsi="宋体"/>
          <w:sz w:val="24"/>
        </w:rPr>
        <w:t xml:space="preserve">                              招标代理</w:t>
      </w:r>
      <w:r>
        <w:rPr>
          <w:rFonts w:ascii="宋体" w:hAnsi="宋体"/>
          <w:sz w:val="24"/>
        </w:rPr>
        <w:t>：</w:t>
      </w:r>
      <w:r>
        <w:rPr>
          <w:rFonts w:hint="eastAsia" w:ascii="宋体" w:hAnsi="宋体"/>
          <w:sz w:val="24"/>
        </w:rPr>
        <w:t>（盖单位章）</w:t>
      </w:r>
    </w:p>
    <w:p>
      <w:pPr>
        <w:spacing w:line="400" w:lineRule="exact"/>
        <w:ind w:firstLine="480" w:firstLineChars="200"/>
        <w:rPr>
          <w:rFonts w:ascii="宋体" w:hAnsi="宋体"/>
          <w:sz w:val="24"/>
        </w:rPr>
      </w:pPr>
      <w:r>
        <w:rPr>
          <w:rFonts w:ascii="宋体" w:hAnsi="宋体"/>
          <w:sz w:val="24"/>
        </w:rPr>
        <w:t>年月日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黑体" w:hAnsi="宋体" w:eastAsia="黑体"/>
          <w:b/>
          <w:sz w:val="24"/>
        </w:rPr>
      </w:pPr>
      <w:r>
        <w:rPr>
          <w:rFonts w:ascii="宋体" w:hAnsi="宋体"/>
          <w:sz w:val="24"/>
        </w:rPr>
        <w:br w:type="page"/>
      </w:r>
      <w:bookmarkStart w:id="223" w:name="_Toc234382650"/>
      <w:r>
        <w:rPr>
          <w:rFonts w:ascii="黑体" w:hAnsi="宋体" w:eastAsia="黑体"/>
          <w:b/>
          <w:sz w:val="24"/>
        </w:rPr>
        <w:t>附表</w:t>
      </w:r>
      <w:r>
        <w:rPr>
          <w:rFonts w:hint="eastAsia" w:ascii="黑体" w:hAnsi="宋体" w:eastAsia="黑体"/>
          <w:b/>
          <w:sz w:val="24"/>
        </w:rPr>
        <w:t>八</w:t>
      </w:r>
      <w:r>
        <w:rPr>
          <w:rFonts w:ascii="黑体" w:hAnsi="宋体" w:eastAsia="黑体"/>
          <w:b/>
          <w:sz w:val="24"/>
        </w:rPr>
        <w:t>：确认通知</w:t>
      </w:r>
      <w:bookmarkEnd w:id="223"/>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确认通知</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rPr>
        <w:t>（招标人名称）：</w:t>
      </w:r>
    </w:p>
    <w:p>
      <w:pPr>
        <w:rPr>
          <w:rFonts w:ascii="宋体" w:hAnsi="宋体"/>
          <w:sz w:val="24"/>
        </w:rPr>
      </w:pPr>
    </w:p>
    <w:p>
      <w:pPr>
        <w:spacing w:line="400" w:lineRule="exact"/>
        <w:ind w:firstLine="480" w:firstLineChars="200"/>
        <w:rPr>
          <w:rFonts w:ascii="宋体" w:hAnsi="宋体"/>
          <w:sz w:val="24"/>
        </w:rPr>
      </w:pPr>
      <w:r>
        <w:rPr>
          <w:rFonts w:ascii="宋体" w:hAnsi="宋体"/>
          <w:sz w:val="24"/>
        </w:rPr>
        <w:t>我方已接到你方年月日发出的（项目名称）标段施工招标关于的通知，我方已于年月日收到。</w:t>
      </w:r>
    </w:p>
    <w:p>
      <w:pPr>
        <w:spacing w:line="400" w:lineRule="exact"/>
        <w:ind w:firstLine="480" w:firstLineChars="200"/>
        <w:rPr>
          <w:rFonts w:ascii="宋体" w:hAnsi="宋体"/>
          <w:sz w:val="24"/>
        </w:rPr>
      </w:pPr>
      <w:r>
        <w:rPr>
          <w:rFonts w:ascii="宋体" w:hAnsi="宋体"/>
          <w:sz w:val="24"/>
        </w:rPr>
        <w:t>特此确认。</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sz w:val="24"/>
        </w:rPr>
        <w:t>投标人：（盖单位章）</w:t>
      </w:r>
    </w:p>
    <w:p>
      <w:pPr>
        <w:rPr>
          <w:rFonts w:ascii="宋体" w:hAnsi="宋体"/>
          <w:sz w:val="24"/>
        </w:rPr>
      </w:pPr>
    </w:p>
    <w:p>
      <w:pPr>
        <w:rPr>
          <w:rFonts w:ascii="宋体" w:hAnsi="宋体"/>
          <w:sz w:val="24"/>
        </w:rPr>
      </w:pPr>
      <w:r>
        <w:rPr>
          <w:rFonts w:ascii="宋体" w:hAnsi="宋体"/>
          <w:sz w:val="24"/>
        </w:rPr>
        <w:t>年月日</w:t>
      </w:r>
    </w:p>
    <w:p>
      <w:pPr>
        <w:pStyle w:val="4"/>
        <w:spacing w:beforeLines="50" w:after="0"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黑体" w:eastAsia="黑体"/>
          <w:sz w:val="52"/>
          <w:szCs w:val="52"/>
        </w:rPr>
      </w:pPr>
      <w:r>
        <w:rPr>
          <w:rFonts w:ascii="宋体" w:hAnsi="宋体"/>
          <w:sz w:val="24"/>
        </w:rPr>
        <w:br w:type="page"/>
      </w:r>
    </w:p>
    <w:p>
      <w:pPr>
        <w:numPr>
          <w:ilvl w:val="0"/>
          <w:numId w:val="1"/>
        </w:numPr>
        <w:jc w:val="center"/>
        <w:outlineLvl w:val="0"/>
        <w:rPr>
          <w:rFonts w:ascii="黑体" w:eastAsia="黑体"/>
          <w:bCs/>
          <w:sz w:val="44"/>
          <w:szCs w:val="44"/>
        </w:rPr>
      </w:pPr>
      <w:bookmarkStart w:id="224" w:name="_Toc28210"/>
      <w:r>
        <w:rPr>
          <w:rFonts w:ascii="黑体" w:eastAsia="黑体"/>
          <w:bCs/>
          <w:sz w:val="44"/>
          <w:szCs w:val="44"/>
        </w:rPr>
        <w:t>评标办法</w:t>
      </w:r>
      <w:bookmarkEnd w:id="224"/>
    </w:p>
    <w:p>
      <w:pPr>
        <w:jc w:val="center"/>
        <w:outlineLvl w:val="0"/>
        <w:rPr>
          <w:rFonts w:ascii="宋体" w:hAnsi="宋体"/>
          <w:sz w:val="44"/>
          <w:szCs w:val="44"/>
        </w:rPr>
      </w:pPr>
      <w:bookmarkStart w:id="225" w:name="_Toc28682"/>
      <w:r>
        <w:rPr>
          <w:rFonts w:hint="eastAsia" w:ascii="宋体" w:hAnsi="宋体"/>
          <w:sz w:val="44"/>
          <w:szCs w:val="44"/>
        </w:rPr>
        <w:t>评标办法(技术评分最低标价法)</w:t>
      </w:r>
      <w:bookmarkEnd w:id="225"/>
    </w:p>
    <w:p>
      <w:pPr>
        <w:widowControl/>
        <w:shd w:val="clear" w:color="auto" w:fill="FFFFFF"/>
        <w:spacing w:line="450" w:lineRule="atLeast"/>
        <w:jc w:val="center"/>
        <w:rPr>
          <w:rFonts w:ascii="宋体" w:hAnsi="宋体"/>
          <w:sz w:val="24"/>
        </w:rPr>
      </w:pPr>
      <w:r>
        <w:rPr>
          <w:rFonts w:hint="eastAsia" w:ascii="宋体" w:hAnsi="宋体"/>
          <w:sz w:val="24"/>
        </w:rPr>
        <w:t>依据公路工程建设项目招标投标管理办法（中华人民共和国交通运输部令2015年第24号）</w:t>
      </w:r>
    </w:p>
    <w:p>
      <w:pPr>
        <w:widowControl/>
        <w:shd w:val="clear" w:color="auto" w:fill="FFFFFF"/>
        <w:spacing w:line="450" w:lineRule="atLeast"/>
        <w:jc w:val="center"/>
        <w:rPr>
          <w:rFonts w:ascii="宋体" w:hAnsi="宋体"/>
          <w:sz w:val="24"/>
        </w:rPr>
      </w:pPr>
    </w:p>
    <w:p>
      <w:pPr>
        <w:jc w:val="center"/>
        <w:rPr>
          <w:rFonts w:ascii="宋体" w:hAnsi="宋体"/>
          <w:sz w:val="24"/>
        </w:rPr>
      </w:pPr>
      <w:r>
        <w:rPr>
          <w:rFonts w:hint="eastAsia" w:ascii="宋体" w:hAnsi="宋体"/>
          <w:sz w:val="24"/>
        </w:rPr>
        <w:t>评标办法前附表</w:t>
      </w:r>
    </w:p>
    <w:tbl>
      <w:tblPr>
        <w:tblStyle w:val="45"/>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219" w:type="dxa"/>
            <w:tcBorders>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jc w:val="center"/>
              <w:rPr>
                <w:rFonts w:ascii="宋体" w:hAnsi="宋体"/>
                <w:b/>
                <w:szCs w:val="21"/>
              </w:rPr>
            </w:pPr>
            <w:r>
              <w:rPr>
                <w:rFonts w:hint="eastAsia" w:ascii="宋体" w:hAnsi="宋体"/>
                <w:b/>
                <w:szCs w:val="21"/>
              </w:rPr>
              <w:t>条款内容</w:t>
            </w:r>
          </w:p>
        </w:tc>
        <w:tc>
          <w:tcPr>
            <w:tcW w:w="7380" w:type="dxa"/>
            <w:vAlign w:val="center"/>
          </w:tcPr>
          <w:p>
            <w:pPr>
              <w:jc w:val="cente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14"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形式评审与</w:t>
            </w:r>
          </w:p>
          <w:p>
            <w:pPr>
              <w:jc w:val="center"/>
              <w:rPr>
                <w:rFonts w:ascii="宋体" w:hAnsi="宋体"/>
                <w:szCs w:val="21"/>
              </w:rPr>
            </w:pPr>
            <w:r>
              <w:rPr>
                <w:rFonts w:hint="eastAsia" w:ascii="宋体" w:hAnsi="宋体"/>
                <w:szCs w:val="21"/>
              </w:rPr>
              <w:t>响应性评审</w:t>
            </w:r>
          </w:p>
          <w:p>
            <w:pPr>
              <w:jc w:val="center"/>
              <w:rPr>
                <w:rFonts w:ascii="宋体" w:hAnsi="宋体"/>
                <w:szCs w:val="21"/>
                <w:highlight w:val="yellow"/>
              </w:rPr>
            </w:pPr>
            <w:r>
              <w:rPr>
                <w:rFonts w:hint="eastAsia" w:ascii="宋体" w:hAnsi="宋体"/>
                <w:szCs w:val="21"/>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rPr>
            </w:pPr>
            <w:r>
              <w:rPr>
                <w:rFonts w:hint="eastAsia" w:ascii="宋体" w:hAnsi="宋体"/>
                <w:b/>
                <w:szCs w:val="21"/>
              </w:rPr>
              <w:t>第一个信封（商务及技术文件）评审标准：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a.投标函按招标文件规定填报了工期、工程质量目标及安全目标；</w:t>
            </w:r>
          </w:p>
          <w:p>
            <w:pPr>
              <w:spacing w:line="400" w:lineRule="exact"/>
              <w:ind w:firstLine="420" w:firstLineChars="200"/>
              <w:jc w:val="left"/>
              <w:rPr>
                <w:rFonts w:ascii="宋体" w:hAnsi="宋体"/>
                <w:szCs w:val="21"/>
              </w:rPr>
            </w:pPr>
            <w:r>
              <w:rPr>
                <w:rFonts w:hint="eastAsia" w:ascii="宋体" w:hAnsi="宋体"/>
                <w:szCs w:val="21"/>
              </w:rPr>
              <w:t>b.投标函附录的所有数据均符合招标文件规定；</w:t>
            </w:r>
          </w:p>
          <w:p>
            <w:pPr>
              <w:spacing w:line="400" w:lineRule="exact"/>
              <w:ind w:firstLine="420" w:firstLineChars="200"/>
              <w:jc w:val="left"/>
              <w:rPr>
                <w:rFonts w:ascii="宋体" w:hAnsi="宋体"/>
                <w:szCs w:val="21"/>
              </w:rPr>
            </w:pPr>
            <w:r>
              <w:rPr>
                <w:rFonts w:hint="eastAsia" w:ascii="宋体" w:hAnsi="宋体"/>
                <w:szCs w:val="21"/>
              </w:rPr>
              <w:t>c.承诺函文字与招标文件规定一致，未进行修改和删减；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d.按照招标文件规定的格式、内容编制了施工组织设计及项目管理</w:t>
            </w:r>
          </w:p>
          <w:p>
            <w:pPr>
              <w:spacing w:line="400" w:lineRule="exact"/>
              <w:ind w:firstLine="420" w:firstLineChars="200"/>
              <w:jc w:val="left"/>
              <w:rPr>
                <w:rFonts w:ascii="宋体" w:hAnsi="宋体"/>
                <w:szCs w:val="21"/>
              </w:rPr>
            </w:pPr>
            <w:r>
              <w:rPr>
                <w:rFonts w:hint="eastAsia" w:ascii="宋体" w:hAnsi="宋体"/>
                <w:szCs w:val="21"/>
              </w:rPr>
              <w:t>机构相关图表；</w:t>
            </w:r>
          </w:p>
          <w:p>
            <w:pPr>
              <w:spacing w:line="400" w:lineRule="exact"/>
              <w:ind w:firstLine="420" w:firstLineChars="200"/>
              <w:jc w:val="left"/>
              <w:rPr>
                <w:rFonts w:ascii="宋体" w:hAnsi="宋体"/>
                <w:szCs w:val="21"/>
              </w:rPr>
            </w:pPr>
            <w:r>
              <w:rPr>
                <w:rFonts w:hint="eastAsia" w:ascii="宋体" w:hAnsi="宋体"/>
                <w:szCs w:val="21"/>
              </w:rPr>
              <w:t>e.投标文件组成齐全完整，内容均按规定填写。</w:t>
            </w:r>
          </w:p>
          <w:p>
            <w:pPr>
              <w:spacing w:line="400" w:lineRule="exact"/>
              <w:ind w:firstLine="420" w:firstLineChars="200"/>
              <w:jc w:val="left"/>
              <w:rPr>
                <w:rFonts w:ascii="宋体" w:hAnsi="宋体"/>
                <w:szCs w:val="21"/>
              </w:rPr>
            </w:pPr>
            <w:r>
              <w:rPr>
                <w:rFonts w:hint="eastAsia" w:ascii="宋体" w:hAnsi="宋体"/>
                <w:szCs w:val="21"/>
              </w:rPr>
              <w:t>(2) 投标文件上法定代表人或其授权代理人的签字、投标人的单位</w:t>
            </w:r>
          </w:p>
          <w:p>
            <w:pPr>
              <w:spacing w:line="400" w:lineRule="exact"/>
              <w:ind w:firstLine="420" w:firstLineChars="200"/>
              <w:jc w:val="left"/>
              <w:rPr>
                <w:rFonts w:ascii="宋体" w:hAnsi="宋体"/>
                <w:szCs w:val="21"/>
              </w:rPr>
            </w:pPr>
            <w:r>
              <w:rPr>
                <w:rFonts w:hint="eastAsia" w:ascii="宋体" w:hAnsi="宋体"/>
                <w:szCs w:val="21"/>
              </w:rPr>
              <w:t>章盖章齐全，符合招标文件规定。</w:t>
            </w:r>
          </w:p>
          <w:p>
            <w:pPr>
              <w:spacing w:line="400" w:lineRule="exact"/>
              <w:ind w:firstLine="420" w:firstLineChars="200"/>
              <w:jc w:val="left"/>
              <w:rPr>
                <w:rFonts w:ascii="宋体" w:hAnsi="宋体"/>
                <w:szCs w:val="21"/>
              </w:rPr>
            </w:pPr>
            <w:r>
              <w:rPr>
                <w:rFonts w:hint="eastAsia" w:ascii="宋体" w:hAnsi="宋体"/>
                <w:szCs w:val="21"/>
              </w:rPr>
              <w:t>(3) 投标人按照招标文件的规定提供了投标保证金</w:t>
            </w:r>
          </w:p>
          <w:p>
            <w:pPr>
              <w:spacing w:line="400" w:lineRule="exact"/>
              <w:ind w:firstLine="420" w:firstLineChars="200"/>
              <w:jc w:val="left"/>
              <w:rPr>
                <w:rFonts w:ascii="宋体" w:hAnsi="宋体"/>
                <w:szCs w:val="21"/>
              </w:rPr>
            </w:pPr>
            <w:r>
              <w:rPr>
                <w:rFonts w:hint="eastAsia" w:ascii="宋体" w:hAnsi="宋体"/>
                <w:szCs w:val="21"/>
              </w:rPr>
              <w:t>(4)投标文件上法定代表人或其授权代理人的签字、投标人的单位章盖章齐全，符合招标文件规定：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(5)投标文件中未出现有关投标报价的内容。</w:t>
            </w:r>
          </w:p>
          <w:p>
            <w:pPr>
              <w:spacing w:line="400" w:lineRule="exact"/>
              <w:ind w:firstLine="420" w:firstLineChars="200"/>
              <w:jc w:val="left"/>
              <w:rPr>
                <w:rFonts w:ascii="宋体" w:hAnsi="宋体"/>
                <w:szCs w:val="21"/>
              </w:rPr>
            </w:pPr>
            <w:r>
              <w:rPr>
                <w:rFonts w:hint="eastAsia" w:ascii="宋体" w:hAnsi="宋体"/>
                <w:szCs w:val="21"/>
              </w:rPr>
              <w:t>(6)投标文件载明的招标项目完成期限未超过招标文件规定的时</w:t>
            </w:r>
          </w:p>
          <w:p>
            <w:pPr>
              <w:spacing w:line="400" w:lineRule="exact"/>
              <w:ind w:firstLine="420" w:firstLineChars="200"/>
              <w:jc w:val="left"/>
              <w:rPr>
                <w:rFonts w:ascii="宋体" w:hAnsi="宋体"/>
                <w:szCs w:val="21"/>
              </w:rPr>
            </w:pPr>
            <w:r>
              <w:rPr>
                <w:rFonts w:hint="eastAsia" w:ascii="宋体" w:hAnsi="宋体"/>
                <w:szCs w:val="21"/>
              </w:rPr>
              <w:t>限。</w:t>
            </w:r>
          </w:p>
          <w:p>
            <w:pPr>
              <w:spacing w:line="400" w:lineRule="exact"/>
              <w:ind w:firstLine="420" w:firstLineChars="200"/>
              <w:jc w:val="left"/>
              <w:rPr>
                <w:rFonts w:ascii="宋体" w:hAnsi="宋体"/>
                <w:szCs w:val="21"/>
              </w:rPr>
            </w:pPr>
            <w:r>
              <w:rPr>
                <w:rFonts w:hint="eastAsia" w:ascii="宋体" w:hAnsi="宋体"/>
                <w:szCs w:val="21"/>
              </w:rPr>
              <w:t>(7)投标文件对招标文件的实质性要求和条件作出响应。</w:t>
            </w:r>
          </w:p>
          <w:p>
            <w:pPr>
              <w:spacing w:line="400" w:lineRule="exact"/>
              <w:ind w:firstLine="420" w:firstLineChars="200"/>
              <w:jc w:val="left"/>
              <w:rPr>
                <w:rFonts w:ascii="宋体" w:hAnsi="宋体"/>
                <w:szCs w:val="21"/>
              </w:rPr>
            </w:pPr>
            <w:r>
              <w:rPr>
                <w:rFonts w:hint="eastAsia" w:ascii="宋体" w:hAnsi="宋体"/>
                <w:szCs w:val="21"/>
              </w:rPr>
              <w:t>(8)权利义务符合招标文件规定：</w:t>
            </w:r>
          </w:p>
          <w:p>
            <w:pPr>
              <w:spacing w:line="400" w:lineRule="exact"/>
              <w:ind w:firstLine="420" w:firstLineChars="200"/>
              <w:jc w:val="left"/>
              <w:rPr>
                <w:rFonts w:ascii="宋体" w:hAnsi="宋体"/>
                <w:szCs w:val="21"/>
              </w:rPr>
            </w:pPr>
            <w:r>
              <w:rPr>
                <w:rFonts w:hint="eastAsia" w:ascii="宋体" w:hAnsi="宋体"/>
                <w:szCs w:val="21"/>
              </w:rPr>
              <w:t>a.投标人应接受招标文件规定的风险划分原则，未提出新的风险划</w:t>
            </w:r>
          </w:p>
          <w:p>
            <w:pPr>
              <w:spacing w:line="400" w:lineRule="exact"/>
              <w:ind w:firstLine="420" w:firstLineChars="200"/>
              <w:jc w:val="left"/>
              <w:rPr>
                <w:rFonts w:ascii="宋体" w:hAnsi="宋体"/>
                <w:szCs w:val="21"/>
              </w:rPr>
            </w:pPr>
            <w:r>
              <w:rPr>
                <w:rFonts w:hint="eastAsia" w:ascii="宋体" w:hAnsi="宋体"/>
                <w:szCs w:val="21"/>
              </w:rPr>
              <w:t>分办法；</w:t>
            </w:r>
          </w:p>
          <w:p>
            <w:pPr>
              <w:spacing w:line="400" w:lineRule="exact"/>
              <w:ind w:firstLine="420" w:firstLineChars="200"/>
              <w:jc w:val="left"/>
              <w:rPr>
                <w:rFonts w:ascii="宋体" w:hAnsi="宋体"/>
                <w:szCs w:val="21"/>
              </w:rPr>
            </w:pPr>
            <w:r>
              <w:rPr>
                <w:rFonts w:hint="eastAsia" w:ascii="宋体" w:hAnsi="宋体"/>
                <w:szCs w:val="21"/>
              </w:rPr>
              <w:t>b.投标人未增加发包人的责任范围，或减少投标人义务；</w:t>
            </w:r>
          </w:p>
          <w:p>
            <w:pPr>
              <w:spacing w:line="400" w:lineRule="exact"/>
              <w:ind w:firstLine="420" w:firstLineChars="200"/>
              <w:jc w:val="left"/>
              <w:rPr>
                <w:rFonts w:ascii="宋体" w:hAnsi="宋体"/>
                <w:szCs w:val="21"/>
              </w:rPr>
            </w:pPr>
            <w:r>
              <w:rPr>
                <w:rFonts w:hint="eastAsia" w:ascii="宋体" w:hAnsi="宋体"/>
                <w:szCs w:val="21"/>
              </w:rPr>
              <w:t>c.投标人未提出不同的工程验收、计量、支付办法；</w:t>
            </w:r>
          </w:p>
          <w:p>
            <w:pPr>
              <w:spacing w:line="400" w:lineRule="exact"/>
              <w:ind w:firstLine="420" w:firstLineChars="200"/>
              <w:jc w:val="left"/>
              <w:rPr>
                <w:rFonts w:ascii="宋体" w:hAnsi="宋体"/>
                <w:szCs w:val="21"/>
              </w:rPr>
            </w:pPr>
            <w:r>
              <w:rPr>
                <w:rFonts w:hint="eastAsia" w:ascii="宋体" w:hAnsi="宋体"/>
                <w:szCs w:val="21"/>
              </w:rPr>
              <w:t>d.投标人对合同纠纷、事故处理办法未提出异议；</w:t>
            </w:r>
          </w:p>
          <w:p>
            <w:pPr>
              <w:spacing w:line="400" w:lineRule="exact"/>
              <w:ind w:firstLine="420" w:firstLineChars="200"/>
              <w:jc w:val="left"/>
              <w:rPr>
                <w:rFonts w:ascii="宋体" w:hAnsi="宋体"/>
                <w:szCs w:val="21"/>
              </w:rPr>
            </w:pPr>
            <w:r>
              <w:rPr>
                <w:rFonts w:hint="eastAsia" w:ascii="宋体" w:hAnsi="宋体"/>
                <w:szCs w:val="21"/>
              </w:rPr>
              <w:t>e.投标人在投标活动中无欺诈行为；</w:t>
            </w:r>
          </w:p>
          <w:p>
            <w:pPr>
              <w:spacing w:line="400" w:lineRule="exact"/>
              <w:ind w:firstLine="420" w:firstLineChars="200"/>
              <w:jc w:val="left"/>
              <w:rPr>
                <w:rFonts w:ascii="宋体" w:hAnsi="宋体"/>
                <w:szCs w:val="21"/>
              </w:rPr>
            </w:pPr>
            <w:r>
              <w:rPr>
                <w:rFonts w:hint="eastAsia" w:ascii="宋体" w:hAnsi="宋体"/>
                <w:szCs w:val="21"/>
              </w:rPr>
              <w:t>f.投标人未对合同条款有重要保留。</w:t>
            </w:r>
          </w:p>
          <w:p>
            <w:pPr>
              <w:spacing w:line="400" w:lineRule="exact"/>
              <w:ind w:firstLine="420" w:firstLineChars="200"/>
              <w:jc w:val="left"/>
              <w:rPr>
                <w:rFonts w:ascii="宋体" w:hAnsi="宋体"/>
                <w:szCs w:val="21"/>
              </w:rPr>
            </w:pPr>
            <w:r>
              <w:rPr>
                <w:rFonts w:hint="eastAsia" w:ascii="宋体" w:hAnsi="宋体"/>
                <w:szCs w:val="21"/>
              </w:rPr>
              <w:t>(9)投标文件正、副本份数符合招标文件第二章“投标人须知”第</w:t>
            </w:r>
          </w:p>
          <w:p>
            <w:pPr>
              <w:spacing w:line="400" w:lineRule="exact"/>
              <w:ind w:firstLine="420" w:firstLineChars="200"/>
              <w:jc w:val="left"/>
              <w:rPr>
                <w:rFonts w:ascii="宋体" w:hAnsi="宋体"/>
                <w:szCs w:val="21"/>
              </w:rPr>
            </w:pPr>
            <w:r>
              <w:rPr>
                <w:rFonts w:hint="eastAsia" w:ascii="宋体" w:hAnsi="宋体"/>
                <w:szCs w:val="21"/>
              </w:rPr>
              <w:t>3.7.4 项规定。</w:t>
            </w:r>
          </w:p>
          <w:p>
            <w:pPr>
              <w:spacing w:line="400" w:lineRule="exact"/>
              <w:jc w:val="left"/>
              <w:rPr>
                <w:rFonts w:ascii="宋体" w:hAnsi="宋体"/>
                <w:b/>
                <w:szCs w:val="21"/>
              </w:rPr>
            </w:pPr>
            <w:r>
              <w:rPr>
                <w:rFonts w:hint="eastAsia" w:ascii="宋体" w:hAnsi="宋体"/>
                <w:b/>
                <w:szCs w:val="21"/>
              </w:rPr>
              <w:t>第二个信封（报价文件）评审标准：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内容齐全完整：</w:t>
            </w:r>
          </w:p>
          <w:p>
            <w:pPr>
              <w:spacing w:line="400" w:lineRule="exact"/>
              <w:ind w:firstLine="420" w:firstLineChars="200"/>
              <w:jc w:val="left"/>
              <w:rPr>
                <w:rFonts w:ascii="宋体" w:hAnsi="宋体"/>
                <w:szCs w:val="21"/>
              </w:rPr>
            </w:pPr>
            <w:r>
              <w:rPr>
                <w:rFonts w:hint="eastAsia" w:ascii="宋体" w:hAnsi="宋体"/>
                <w:szCs w:val="21"/>
              </w:rPr>
              <w:t>a.投标函按招标文件规定填报了投标价（包括大写金额和小写金</w:t>
            </w:r>
          </w:p>
          <w:p>
            <w:pPr>
              <w:spacing w:line="400" w:lineRule="exact"/>
              <w:ind w:firstLine="420" w:firstLineChars="200"/>
              <w:jc w:val="left"/>
              <w:rPr>
                <w:rFonts w:ascii="宋体" w:hAnsi="宋体"/>
                <w:szCs w:val="21"/>
              </w:rPr>
            </w:pPr>
            <w:r>
              <w:rPr>
                <w:rFonts w:hint="eastAsia" w:ascii="宋体" w:hAnsi="宋体"/>
                <w:szCs w:val="21"/>
              </w:rPr>
              <w:t>额），且投标价未超过招标文件设定的最高投标限价（如有）；</w:t>
            </w:r>
          </w:p>
          <w:p>
            <w:pPr>
              <w:spacing w:line="400" w:lineRule="exact"/>
              <w:ind w:firstLine="420" w:firstLineChars="200"/>
              <w:jc w:val="left"/>
              <w:rPr>
                <w:rFonts w:ascii="宋体" w:hAnsi="宋体"/>
                <w:szCs w:val="21"/>
              </w:rPr>
            </w:pPr>
            <w:r>
              <w:rPr>
                <w:rFonts w:hint="eastAsia" w:ascii="宋体" w:hAnsi="宋体"/>
                <w:szCs w:val="21"/>
              </w:rPr>
              <w:t>b.已标价工程量清单说明文字与招标文件规定一致，未进行修改和</w:t>
            </w:r>
          </w:p>
          <w:p>
            <w:pPr>
              <w:spacing w:line="400" w:lineRule="exact"/>
              <w:ind w:firstLine="420" w:firstLineChars="200"/>
              <w:jc w:val="left"/>
              <w:rPr>
                <w:rFonts w:ascii="宋体" w:hAnsi="宋体"/>
                <w:szCs w:val="21"/>
              </w:rPr>
            </w:pPr>
            <w:r>
              <w:rPr>
                <w:rFonts w:hint="eastAsia" w:ascii="宋体" w:hAnsi="宋体"/>
                <w:szCs w:val="21"/>
              </w:rPr>
              <w:t>删减。</w:t>
            </w:r>
          </w:p>
          <w:p>
            <w:pPr>
              <w:spacing w:line="400" w:lineRule="exact"/>
              <w:ind w:firstLine="420" w:firstLineChars="200"/>
              <w:jc w:val="left"/>
              <w:rPr>
                <w:rFonts w:ascii="宋体" w:hAnsi="宋体"/>
                <w:szCs w:val="21"/>
              </w:rPr>
            </w:pPr>
            <w:r>
              <w:rPr>
                <w:rFonts w:hint="eastAsia" w:ascii="宋体" w:hAnsi="宋体"/>
                <w:szCs w:val="21"/>
              </w:rPr>
              <w:t>(2)投标文件上法定代表人或其授权代理人的签字、投标人的单位章</w:t>
            </w:r>
          </w:p>
          <w:p>
            <w:pPr>
              <w:spacing w:line="400" w:lineRule="exact"/>
              <w:ind w:firstLine="420" w:firstLineChars="200"/>
              <w:jc w:val="left"/>
              <w:rPr>
                <w:rFonts w:ascii="宋体" w:hAnsi="宋体"/>
                <w:szCs w:val="21"/>
              </w:rPr>
            </w:pPr>
            <w:r>
              <w:rPr>
                <w:rFonts w:hint="eastAsia" w:ascii="宋体" w:hAnsi="宋体"/>
                <w:szCs w:val="21"/>
              </w:rPr>
              <w:t>盖章齐全，符合招标文件规定。</w:t>
            </w:r>
          </w:p>
          <w:p>
            <w:pPr>
              <w:spacing w:line="400" w:lineRule="exact"/>
              <w:ind w:firstLine="420" w:firstLineChars="200"/>
              <w:jc w:val="left"/>
              <w:rPr>
                <w:rFonts w:ascii="宋体" w:hAnsi="宋体"/>
                <w:szCs w:val="21"/>
              </w:rPr>
            </w:pPr>
            <w:r>
              <w:rPr>
                <w:rFonts w:hint="eastAsia" w:ascii="宋体" w:hAnsi="宋体"/>
                <w:szCs w:val="21"/>
              </w:rPr>
              <w:t>(3)同一投标人未提交两个以上不同的投标报价，但招标文件要求提</w:t>
            </w:r>
          </w:p>
          <w:p>
            <w:pPr>
              <w:spacing w:line="400" w:lineRule="exact"/>
              <w:ind w:firstLine="420" w:firstLineChars="200"/>
              <w:jc w:val="left"/>
              <w:rPr>
                <w:rFonts w:ascii="宋体" w:hAnsi="宋体"/>
                <w:szCs w:val="21"/>
              </w:rPr>
            </w:pPr>
            <w:r>
              <w:rPr>
                <w:rFonts w:hint="eastAsia" w:ascii="宋体" w:hAnsi="宋体"/>
                <w:szCs w:val="21"/>
              </w:rPr>
              <w:t>交备选投标的除外。</w:t>
            </w:r>
          </w:p>
          <w:p>
            <w:pPr>
              <w:spacing w:line="400" w:lineRule="exact"/>
              <w:ind w:firstLine="420" w:firstLineChars="200"/>
              <w:jc w:val="left"/>
              <w:rPr>
                <w:rFonts w:ascii="宋体" w:hAnsi="宋体"/>
                <w:szCs w:val="21"/>
              </w:rPr>
            </w:pPr>
            <w:r>
              <w:rPr>
                <w:rFonts w:hint="eastAsia" w:ascii="宋体" w:hAnsi="宋体"/>
                <w:szCs w:val="21"/>
              </w:rPr>
              <w:t>(4)投标人若填写工程量固化清单，填写完毕的工程量固化清单未对</w:t>
            </w:r>
          </w:p>
          <w:p>
            <w:pPr>
              <w:spacing w:line="400" w:lineRule="exact"/>
              <w:ind w:firstLine="420" w:firstLineChars="200"/>
              <w:jc w:val="left"/>
              <w:rPr>
                <w:rFonts w:ascii="宋体" w:hAnsi="宋体"/>
                <w:szCs w:val="21"/>
              </w:rPr>
            </w:pPr>
            <w:r>
              <w:rPr>
                <w:rFonts w:hint="eastAsia" w:ascii="宋体" w:hAnsi="宋体"/>
                <w:szCs w:val="21"/>
              </w:rPr>
              <w:t>工程量固化清单电子文件中的数据、格式和运算定义进行修改。</w:t>
            </w:r>
          </w:p>
          <w:p>
            <w:pPr>
              <w:spacing w:line="400" w:lineRule="exact"/>
              <w:ind w:firstLine="420" w:firstLineChars="200"/>
              <w:jc w:val="left"/>
              <w:rPr>
                <w:rFonts w:ascii="宋体" w:hAnsi="宋体"/>
                <w:szCs w:val="21"/>
              </w:rPr>
            </w:pPr>
            <w:r>
              <w:rPr>
                <w:rFonts w:hint="eastAsia" w:ascii="宋体" w:hAnsi="宋体"/>
                <w:szCs w:val="21"/>
              </w:rPr>
              <w:t>(5)投标文件正、副本份数符合招标文件第二章“投标人须知”第</w:t>
            </w:r>
          </w:p>
          <w:p>
            <w:pPr>
              <w:spacing w:line="400" w:lineRule="exact"/>
              <w:ind w:firstLine="420" w:firstLineChars="200"/>
              <w:jc w:val="left"/>
              <w:rPr>
                <w:rFonts w:ascii="宋体" w:hAnsi="宋体"/>
                <w:b/>
                <w:szCs w:val="21"/>
                <w:highlight w:val="yellow"/>
              </w:rPr>
            </w:pPr>
            <w:r>
              <w:rPr>
                <w:rFonts w:hint="eastAsia" w:ascii="宋体" w:hAnsi="宋体"/>
                <w:szCs w:val="21"/>
              </w:rPr>
              <w:t>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214" w:type="dxa"/>
            <w:tcBorders>
              <w:left w:val="single" w:color="auto" w:sz="4" w:space="0"/>
              <w:bottom w:val="single" w:color="auto" w:sz="4" w:space="0"/>
            </w:tcBorders>
            <w:vAlign w:val="center"/>
          </w:tcPr>
          <w:p>
            <w:pPr>
              <w:jc w:val="center"/>
              <w:rPr>
                <w:rFonts w:ascii="宋体" w:hAnsi="宋体"/>
                <w:szCs w:val="21"/>
              </w:rPr>
            </w:pPr>
            <w:r>
              <w:rPr>
                <w:rFonts w:hint="eastAsia" w:ascii="宋体" w:hAnsi="宋体"/>
                <w:szCs w:val="21"/>
              </w:rPr>
              <w:t>资格评审标准</w:t>
            </w:r>
          </w:p>
        </w:tc>
        <w:tc>
          <w:tcPr>
            <w:tcW w:w="7380"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(1)投标人具备有效的营业执照、资质证书和安全生产许可证和基本账户开户许可证；</w:t>
            </w:r>
          </w:p>
          <w:p>
            <w:pPr>
              <w:spacing w:line="400" w:lineRule="exact"/>
              <w:ind w:firstLine="420" w:firstLineChars="200"/>
              <w:rPr>
                <w:rFonts w:ascii="宋体" w:hAnsi="宋体"/>
                <w:szCs w:val="21"/>
              </w:rPr>
            </w:pPr>
            <w:r>
              <w:rPr>
                <w:rFonts w:hint="eastAsia" w:ascii="宋体" w:hAnsi="宋体"/>
                <w:szCs w:val="21"/>
              </w:rPr>
              <w:t>(2)投标人的资质等级符合招标文件规定；</w:t>
            </w:r>
          </w:p>
          <w:p>
            <w:pPr>
              <w:spacing w:line="400" w:lineRule="exact"/>
              <w:ind w:firstLine="420" w:firstLineChars="200"/>
              <w:rPr>
                <w:rFonts w:ascii="宋体" w:hAnsi="宋体"/>
                <w:szCs w:val="21"/>
              </w:rPr>
            </w:pPr>
            <w:r>
              <w:rPr>
                <w:rFonts w:hint="eastAsia" w:ascii="宋体" w:hAnsi="宋体"/>
                <w:szCs w:val="21"/>
              </w:rPr>
              <w:t>(3)投标人的财务状况符合招标文件规定；</w:t>
            </w:r>
          </w:p>
          <w:p>
            <w:pPr>
              <w:spacing w:line="400" w:lineRule="exact"/>
              <w:ind w:firstLine="420" w:firstLineChars="200"/>
              <w:rPr>
                <w:rFonts w:ascii="宋体" w:hAnsi="宋体"/>
                <w:szCs w:val="21"/>
              </w:rPr>
            </w:pPr>
            <w:r>
              <w:rPr>
                <w:rFonts w:hint="eastAsia" w:ascii="宋体" w:hAnsi="宋体"/>
                <w:szCs w:val="21"/>
              </w:rPr>
              <w:t>(4)投标人的类似项目业绩符合招标文件规定；</w:t>
            </w:r>
          </w:p>
          <w:p>
            <w:pPr>
              <w:spacing w:line="400" w:lineRule="exact"/>
              <w:ind w:firstLine="420" w:firstLineChars="200"/>
              <w:rPr>
                <w:rFonts w:ascii="宋体" w:hAnsi="宋体"/>
                <w:szCs w:val="21"/>
              </w:rPr>
            </w:pPr>
            <w:r>
              <w:rPr>
                <w:rFonts w:hint="eastAsia" w:ascii="宋体" w:hAnsi="宋体"/>
                <w:szCs w:val="21"/>
              </w:rPr>
              <w:t>(5)投标人的信誉符合招标文件规定；</w:t>
            </w:r>
          </w:p>
          <w:p>
            <w:pPr>
              <w:spacing w:line="400" w:lineRule="exact"/>
              <w:ind w:firstLine="420" w:firstLineChars="200"/>
              <w:rPr>
                <w:rFonts w:ascii="宋体" w:hAnsi="宋体"/>
                <w:szCs w:val="21"/>
              </w:rPr>
            </w:pPr>
            <w:r>
              <w:rPr>
                <w:rFonts w:hint="eastAsia" w:ascii="宋体" w:hAnsi="宋体"/>
                <w:szCs w:val="21"/>
              </w:rPr>
              <w:t>(6)投标人的项目经理资格符合招标文件规定；</w:t>
            </w:r>
          </w:p>
          <w:p>
            <w:pPr>
              <w:spacing w:line="400" w:lineRule="exact"/>
              <w:ind w:firstLine="420" w:firstLineChars="200"/>
              <w:rPr>
                <w:rFonts w:ascii="宋体" w:hAnsi="宋体"/>
                <w:szCs w:val="21"/>
              </w:rPr>
            </w:pPr>
            <w:r>
              <w:rPr>
                <w:rFonts w:hint="eastAsia" w:ascii="宋体" w:hAnsi="宋体"/>
                <w:szCs w:val="21"/>
              </w:rPr>
              <w:t>(7)投标人的其他要求符合招标文件规定；</w:t>
            </w:r>
          </w:p>
          <w:p>
            <w:pPr>
              <w:spacing w:line="400" w:lineRule="exact"/>
              <w:ind w:firstLine="420" w:firstLineChars="200"/>
              <w:rPr>
                <w:rFonts w:ascii="宋体" w:hAnsi="宋体"/>
                <w:szCs w:val="21"/>
              </w:rPr>
            </w:pPr>
            <w:r>
              <w:rPr>
                <w:rFonts w:hint="eastAsia" w:ascii="宋体" w:hAnsi="宋体"/>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8"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214"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第一个信封</w:t>
            </w:r>
          </w:p>
          <w:p>
            <w:pPr>
              <w:jc w:val="center"/>
              <w:rPr>
                <w:rFonts w:ascii="宋体" w:hAnsi="宋体"/>
                <w:szCs w:val="21"/>
              </w:rPr>
            </w:pPr>
            <w:r>
              <w:rPr>
                <w:rFonts w:hint="eastAsia" w:ascii="宋体" w:hAnsi="宋体"/>
                <w:szCs w:val="21"/>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施工组织设计50分</w:t>
            </w:r>
          </w:p>
          <w:p>
            <w:pPr>
              <w:spacing w:line="400" w:lineRule="exact"/>
              <w:ind w:firstLine="420" w:firstLineChars="200"/>
              <w:jc w:val="left"/>
              <w:rPr>
                <w:rFonts w:ascii="宋体" w:hAnsi="宋体"/>
                <w:szCs w:val="21"/>
              </w:rPr>
            </w:pPr>
            <w:r>
              <w:rPr>
                <w:rFonts w:hint="eastAsia" w:ascii="宋体" w:hAnsi="宋体"/>
                <w:szCs w:val="21"/>
              </w:rPr>
              <w:t>项目管理机构10分</w:t>
            </w:r>
          </w:p>
          <w:p>
            <w:pPr>
              <w:spacing w:line="400" w:lineRule="exact"/>
              <w:ind w:firstLine="420" w:firstLineChars="200"/>
              <w:jc w:val="left"/>
              <w:rPr>
                <w:rFonts w:ascii="宋体" w:hAnsi="宋体"/>
                <w:szCs w:val="21"/>
              </w:rPr>
            </w:pPr>
            <w:r>
              <w:rPr>
                <w:rFonts w:hint="eastAsia" w:ascii="宋体" w:hAnsi="宋体"/>
                <w:szCs w:val="21"/>
              </w:rPr>
              <w:t>技术能力30分</w:t>
            </w:r>
          </w:p>
          <w:p>
            <w:pPr>
              <w:spacing w:line="400" w:lineRule="exact"/>
              <w:ind w:firstLine="420" w:firstLineChars="200"/>
              <w:jc w:val="left"/>
              <w:rPr>
                <w:rFonts w:ascii="宋体" w:hAnsi="宋体"/>
                <w:szCs w:val="21"/>
              </w:rPr>
            </w:pPr>
            <w:r>
              <w:rPr>
                <w:rFonts w:hint="eastAsia" w:ascii="宋体" w:hAnsi="宋体"/>
                <w:szCs w:val="21"/>
              </w:rPr>
              <w:t>履约信誉10分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jc w:val="center"/>
              <w:rPr>
                <w:rFonts w:ascii="宋体" w:hAnsi="宋体"/>
                <w:b/>
                <w:szCs w:val="21"/>
              </w:rPr>
            </w:pPr>
            <w:r>
              <w:rPr>
                <w:rFonts w:hint="eastAsia" w:ascii="宋体" w:hAnsi="宋体"/>
                <w:b/>
                <w:szCs w:val="21"/>
              </w:rPr>
              <w:t>条款内容</w:t>
            </w:r>
          </w:p>
        </w:tc>
        <w:tc>
          <w:tcPr>
            <w:tcW w:w="7380" w:type="dxa"/>
            <w:vAlign w:val="center"/>
          </w:tcPr>
          <w:p>
            <w:pPr>
              <w:jc w:val="cente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214"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施工组织设计（0-50分）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400" w:lineRule="exact"/>
              <w:ind w:firstLine="420" w:firstLineChars="200"/>
              <w:rPr>
                <w:rFonts w:ascii="宋体" w:hAnsi="宋体"/>
                <w:szCs w:val="21"/>
              </w:rPr>
            </w:pPr>
            <w:r>
              <w:rPr>
                <w:rFonts w:hint="eastAsia" w:ascii="宋体" w:hAnsi="宋体"/>
                <w:szCs w:val="21"/>
              </w:rPr>
              <w:t>（1）总体施工组织布置及规划                   0-2分</w:t>
            </w:r>
          </w:p>
          <w:p>
            <w:pPr>
              <w:spacing w:line="400" w:lineRule="exact"/>
              <w:ind w:firstLine="420" w:firstLineChars="200"/>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400" w:lineRule="exact"/>
              <w:ind w:firstLine="420" w:firstLineChars="200"/>
              <w:rPr>
                <w:rFonts w:ascii="宋体" w:hAnsi="宋体"/>
                <w:szCs w:val="21"/>
              </w:rPr>
            </w:pPr>
            <w:r>
              <w:rPr>
                <w:rFonts w:hint="eastAsia" w:ascii="宋体" w:hAnsi="宋体"/>
                <w:szCs w:val="21"/>
              </w:rPr>
              <w:t>（3）工期的保证体系及保证措施                 0-3分</w:t>
            </w:r>
          </w:p>
          <w:p>
            <w:pPr>
              <w:spacing w:line="400" w:lineRule="exact"/>
              <w:ind w:firstLine="420" w:firstLineChars="200"/>
              <w:rPr>
                <w:rFonts w:ascii="宋体" w:hAnsi="宋体"/>
                <w:szCs w:val="21"/>
              </w:rPr>
            </w:pPr>
            <w:r>
              <w:rPr>
                <w:rFonts w:hint="eastAsia" w:ascii="宋体" w:hAnsi="宋体"/>
                <w:szCs w:val="21"/>
              </w:rPr>
              <w:t>（4）工程质量管理体系及保证措施               0-3分</w:t>
            </w:r>
          </w:p>
          <w:p>
            <w:pPr>
              <w:spacing w:line="400" w:lineRule="exact"/>
              <w:ind w:firstLine="420" w:firstLineChars="200"/>
              <w:rPr>
                <w:rFonts w:ascii="宋体" w:hAnsi="宋体"/>
                <w:szCs w:val="21"/>
              </w:rPr>
            </w:pPr>
            <w:r>
              <w:rPr>
                <w:rFonts w:hint="eastAsia" w:ascii="宋体" w:hAnsi="宋体"/>
                <w:szCs w:val="21"/>
              </w:rPr>
              <w:t>（5）安全生产管理体系及保证措施               0-3分</w:t>
            </w:r>
          </w:p>
          <w:p>
            <w:pPr>
              <w:spacing w:line="400" w:lineRule="exact"/>
              <w:ind w:firstLine="420" w:firstLineChars="200"/>
              <w:rPr>
                <w:rFonts w:ascii="宋体" w:hAnsi="宋体"/>
                <w:b/>
                <w:bCs/>
                <w:szCs w:val="21"/>
              </w:rPr>
            </w:pPr>
            <w:r>
              <w:rPr>
                <w:rFonts w:hint="eastAsia" w:ascii="宋体" w:hAnsi="宋体"/>
                <w:szCs w:val="21"/>
              </w:rPr>
              <w:t>（6）环境保护、水土保持保证体系及保证措施</w:t>
            </w:r>
            <w:r>
              <w:rPr>
                <w:rFonts w:hint="eastAsia" w:ascii="宋体" w:hAnsi="宋体"/>
                <w:b/>
                <w:bCs/>
                <w:szCs w:val="21"/>
              </w:rPr>
              <w:t xml:space="preserve">（含扬尘治理措施）                                                                  </w:t>
            </w:r>
          </w:p>
          <w:p>
            <w:pPr>
              <w:spacing w:line="400" w:lineRule="exact"/>
              <w:ind w:firstLine="5250" w:firstLineChars="2500"/>
              <w:rPr>
                <w:rFonts w:ascii="宋体" w:hAnsi="宋体"/>
                <w:szCs w:val="21"/>
              </w:rPr>
            </w:pPr>
            <w:r>
              <w:rPr>
                <w:rFonts w:hint="eastAsia" w:ascii="宋体" w:hAnsi="宋体"/>
                <w:szCs w:val="21"/>
              </w:rPr>
              <w:t>0-3分</w:t>
            </w:r>
          </w:p>
          <w:p>
            <w:pPr>
              <w:spacing w:line="400" w:lineRule="exact"/>
              <w:ind w:firstLine="420" w:firstLineChars="200"/>
              <w:rPr>
                <w:rFonts w:ascii="宋体" w:hAnsi="宋体"/>
                <w:szCs w:val="21"/>
              </w:rPr>
            </w:pPr>
            <w:r>
              <w:rPr>
                <w:rFonts w:hint="eastAsia" w:ascii="宋体" w:hAnsi="宋体"/>
                <w:szCs w:val="21"/>
              </w:rPr>
              <w:t>（7）文明施工、文物保护保证体系及保证措施     0-3分</w:t>
            </w:r>
          </w:p>
          <w:p>
            <w:pPr>
              <w:spacing w:line="400" w:lineRule="exact"/>
              <w:ind w:firstLine="420" w:firstLineChars="200"/>
              <w:rPr>
                <w:rFonts w:ascii="宋体" w:hAnsi="宋体"/>
                <w:szCs w:val="21"/>
              </w:rPr>
            </w:pPr>
            <w:r>
              <w:rPr>
                <w:rFonts w:hint="eastAsia" w:ascii="宋体" w:hAnsi="宋体"/>
                <w:szCs w:val="21"/>
              </w:rPr>
              <w:t>（8）项目风险预测与防范，事故应急预案         0-3分</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施工组织设计除采用文字表述外可附下列图表，图表及格式要求附后。</w:t>
            </w:r>
          </w:p>
          <w:p>
            <w:pPr>
              <w:spacing w:line="400" w:lineRule="exact"/>
              <w:ind w:firstLine="420" w:firstLineChars="200"/>
              <w:rPr>
                <w:rFonts w:ascii="宋体" w:hAnsi="宋体"/>
                <w:szCs w:val="21"/>
              </w:rPr>
            </w:pPr>
            <w:r>
              <w:rPr>
                <w:rFonts w:hint="eastAsia" w:ascii="宋体" w:hAnsi="宋体"/>
                <w:szCs w:val="21"/>
              </w:rPr>
              <w:t xml:space="preserve">   附表一  施工总体计划表                     0-3分</w:t>
            </w:r>
          </w:p>
          <w:p>
            <w:pPr>
              <w:spacing w:line="400" w:lineRule="exact"/>
              <w:ind w:firstLine="420" w:firstLineChars="200"/>
              <w:rPr>
                <w:rFonts w:ascii="宋体" w:hAnsi="宋体"/>
                <w:szCs w:val="21"/>
              </w:rPr>
            </w:pPr>
            <w:r>
              <w:rPr>
                <w:rFonts w:hint="eastAsia" w:ascii="宋体" w:hAnsi="宋体"/>
                <w:szCs w:val="21"/>
              </w:rPr>
              <w:t xml:space="preserve">   附表二  分项工程进度率计划（斜率图）       0-3分 </w:t>
            </w:r>
          </w:p>
          <w:p>
            <w:pPr>
              <w:spacing w:line="400" w:lineRule="exact"/>
              <w:ind w:firstLine="420" w:firstLineChars="200"/>
              <w:rPr>
                <w:rFonts w:ascii="宋体" w:hAnsi="宋体"/>
                <w:szCs w:val="21"/>
              </w:rPr>
            </w:pPr>
            <w:r>
              <w:rPr>
                <w:rFonts w:hint="eastAsia" w:ascii="宋体" w:hAnsi="宋体"/>
                <w:szCs w:val="21"/>
              </w:rPr>
              <w:t xml:space="preserve">   附表三  工程管理曲线                       0-3分</w:t>
            </w:r>
          </w:p>
          <w:p>
            <w:pPr>
              <w:spacing w:line="400" w:lineRule="exact"/>
              <w:ind w:firstLine="420" w:firstLineChars="200"/>
              <w:rPr>
                <w:rFonts w:ascii="宋体" w:hAnsi="宋体"/>
                <w:szCs w:val="21"/>
              </w:rPr>
            </w:pPr>
            <w:r>
              <w:rPr>
                <w:rFonts w:hint="eastAsia" w:ascii="宋体" w:hAnsi="宋体"/>
                <w:szCs w:val="21"/>
              </w:rPr>
              <w:t xml:space="preserve">   附表四  分项工程生产率和施工周期表         0-3分</w:t>
            </w:r>
          </w:p>
          <w:p>
            <w:pPr>
              <w:spacing w:line="400" w:lineRule="exact"/>
              <w:ind w:firstLine="420" w:firstLineChars="200"/>
              <w:rPr>
                <w:rFonts w:ascii="宋体" w:hAnsi="宋体"/>
                <w:szCs w:val="21"/>
              </w:rPr>
            </w:pPr>
            <w:r>
              <w:rPr>
                <w:rFonts w:hint="eastAsia" w:ascii="宋体" w:hAnsi="宋体"/>
                <w:szCs w:val="21"/>
              </w:rPr>
              <w:t xml:space="preserve">   附表五  施工总平面图                       0-3分</w:t>
            </w:r>
          </w:p>
          <w:p>
            <w:pPr>
              <w:spacing w:line="400" w:lineRule="exact"/>
              <w:ind w:firstLine="420" w:firstLineChars="200"/>
              <w:rPr>
                <w:rFonts w:ascii="宋体" w:hAnsi="宋体"/>
                <w:szCs w:val="21"/>
              </w:rPr>
            </w:pPr>
            <w:r>
              <w:rPr>
                <w:rFonts w:hint="eastAsia" w:ascii="宋体" w:hAnsi="宋体"/>
                <w:szCs w:val="21"/>
              </w:rPr>
              <w:t xml:space="preserve">   附表六  劳动力计划表                       0-3分</w:t>
            </w:r>
          </w:p>
          <w:p>
            <w:pPr>
              <w:spacing w:line="400" w:lineRule="exact"/>
              <w:ind w:firstLine="735" w:firstLineChars="350"/>
              <w:rPr>
                <w:rFonts w:ascii="宋体" w:hAnsi="宋体"/>
                <w:szCs w:val="21"/>
              </w:rPr>
            </w:pPr>
            <w:r>
              <w:rPr>
                <w:rFonts w:hint="eastAsia" w:ascii="宋体" w:hAnsi="宋体"/>
                <w:szCs w:val="21"/>
              </w:rPr>
              <w:t>附表七  临时用地计划表                     0-3分</w:t>
            </w:r>
          </w:p>
          <w:p>
            <w:pPr>
              <w:spacing w:line="400" w:lineRule="exact"/>
              <w:ind w:firstLine="735" w:firstLineChars="350"/>
              <w:rPr>
                <w:rFonts w:ascii="宋体" w:hAnsi="宋体"/>
                <w:szCs w:val="21"/>
              </w:rPr>
            </w:pPr>
            <w:r>
              <w:rPr>
                <w:rFonts w:hint="eastAsia" w:ascii="宋体" w:hAnsi="宋体"/>
                <w:szCs w:val="21"/>
              </w:rPr>
              <w:t>附表八  外供电力需求计划表                 0-2分</w:t>
            </w:r>
          </w:p>
          <w:p>
            <w:pPr>
              <w:spacing w:line="400" w:lineRule="exact"/>
              <w:ind w:firstLine="420" w:firstLineChars="200"/>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rPr>
            </w:pPr>
            <w:r>
              <w:rPr>
                <w:rFonts w:hint="eastAsia" w:ascii="宋体" w:hAnsi="宋体"/>
                <w:szCs w:val="21"/>
              </w:rPr>
              <w:t>2.2.3</w:t>
            </w:r>
          </w:p>
        </w:tc>
        <w:tc>
          <w:tcPr>
            <w:tcW w:w="1214" w:type="dxa"/>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项目管理机构（0-10分）</w:t>
            </w:r>
          </w:p>
        </w:tc>
        <w:tc>
          <w:tcPr>
            <w:tcW w:w="7380" w:type="dxa"/>
            <w:tcBorders>
              <w:top w:val="single" w:color="auto" w:sz="4" w:space="0"/>
              <w:left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 施工员、质检员、安全员、材料员、预算员配备齐全得5分,每缺一个扣1分；</w:t>
            </w:r>
          </w:p>
          <w:p>
            <w:pPr>
              <w:spacing w:line="400" w:lineRule="exact"/>
              <w:ind w:firstLine="420" w:firstLineChars="200"/>
              <w:rPr>
                <w:rFonts w:ascii="宋体" w:hAnsi="宋体"/>
                <w:szCs w:val="21"/>
              </w:rPr>
            </w:pPr>
            <w:r>
              <w:rPr>
                <w:rFonts w:hint="eastAsia" w:ascii="宋体" w:hAnsi="宋体"/>
                <w:szCs w:val="21"/>
              </w:rPr>
              <w:t>2、 项目总工具有中级技术职称者得3分，高级者得5分。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2.2.4</w:t>
            </w:r>
          </w:p>
        </w:tc>
        <w:tc>
          <w:tcPr>
            <w:tcW w:w="1214"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技术能力</w:t>
            </w:r>
          </w:p>
          <w:p>
            <w:pPr>
              <w:jc w:val="center"/>
              <w:rPr>
                <w:rFonts w:ascii="宋体" w:hAnsi="宋体"/>
                <w:szCs w:val="21"/>
              </w:rPr>
            </w:pPr>
            <w:r>
              <w:rPr>
                <w:rFonts w:hint="eastAsia" w:ascii="宋体" w:hAnsi="宋体"/>
                <w:szCs w:val="21"/>
              </w:rPr>
              <w:t>（0-30分）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1、企业业绩（15分）</w:t>
            </w:r>
          </w:p>
          <w:p>
            <w:pPr>
              <w:spacing w:line="400" w:lineRule="exact"/>
              <w:rPr>
                <w:rFonts w:ascii="宋体" w:hAnsi="宋体"/>
                <w:szCs w:val="21"/>
              </w:rPr>
            </w:pPr>
            <w:r>
              <w:rPr>
                <w:rFonts w:hint="eastAsia" w:ascii="宋体" w:hAnsi="宋体"/>
                <w:szCs w:val="21"/>
              </w:rPr>
              <w:t xml:space="preserve">    近年来企业承建过类似项目每项得</w:t>
            </w:r>
            <w:r>
              <w:rPr>
                <w:rFonts w:hint="eastAsia" w:ascii="宋体" w:hAnsi="宋体"/>
                <w:szCs w:val="21"/>
                <w:lang w:val="en-US" w:eastAsia="zh-CN"/>
              </w:rPr>
              <w:t>5</w:t>
            </w:r>
            <w:r>
              <w:rPr>
                <w:rFonts w:hint="eastAsia" w:ascii="宋体" w:hAnsi="宋体"/>
                <w:szCs w:val="21"/>
              </w:rPr>
              <w:t>分，本项最高15分（须提供合同原件、中标通知书原件、竣工验收证明材料原件和中标公示网页版）；</w:t>
            </w:r>
          </w:p>
          <w:p>
            <w:pPr>
              <w:spacing w:line="400" w:lineRule="exact"/>
              <w:rPr>
                <w:rFonts w:ascii="宋体" w:hAnsi="宋体"/>
                <w:szCs w:val="21"/>
              </w:rPr>
            </w:pPr>
            <w:r>
              <w:rPr>
                <w:rFonts w:hint="eastAsia" w:ascii="宋体" w:hAnsi="宋体"/>
                <w:szCs w:val="21"/>
              </w:rPr>
              <w:t>2、项目经理业绩（15分）</w:t>
            </w:r>
          </w:p>
          <w:p>
            <w:pPr>
              <w:spacing w:line="400" w:lineRule="exact"/>
              <w:ind w:firstLine="420" w:firstLineChars="200"/>
              <w:rPr>
                <w:rFonts w:ascii="宋体" w:hAnsi="宋体"/>
                <w:b/>
                <w:bCs/>
                <w:szCs w:val="21"/>
              </w:rPr>
            </w:pPr>
            <w:r>
              <w:rPr>
                <w:rFonts w:hint="eastAsia" w:ascii="宋体" w:hAnsi="宋体"/>
                <w:szCs w:val="21"/>
              </w:rPr>
              <w:t>近年来拟派建造师承建过类似项目每项得5分，本项最高15分（须提供合同原件、中标通知书原件、竣工验收证明材料原件和中标公示网页版，若上述资料不显示项目经理姓名，还须同时提供相关证明文件）</w:t>
            </w:r>
            <w:r>
              <w:rPr>
                <w:rFonts w:hint="eastAsia" w:ascii="宋体" w:hAnsi="宋体"/>
                <w:b/>
                <w:bCs/>
                <w:szCs w:val="21"/>
              </w:rPr>
              <w:t>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2.2.5</w:t>
            </w:r>
          </w:p>
        </w:tc>
        <w:tc>
          <w:tcPr>
            <w:tcW w:w="1214"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履约信誉（0-10分）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1、企业信用（4分）</w:t>
            </w:r>
          </w:p>
          <w:p>
            <w:pPr>
              <w:spacing w:line="400" w:lineRule="exact"/>
              <w:ind w:firstLine="420" w:firstLineChars="200"/>
              <w:rPr>
                <w:rFonts w:ascii="宋体" w:hAnsi="宋体"/>
                <w:szCs w:val="21"/>
              </w:rPr>
            </w:pPr>
            <w:r>
              <w:rPr>
                <w:rFonts w:ascii="宋体" w:hAnsi="宋体"/>
                <w:szCs w:val="21"/>
              </w:rPr>
              <w:t>投标人须提供工商企业信用信息公示报告（国家企业信用信息公示系统http//</w:t>
            </w:r>
            <w:r>
              <w:rPr>
                <w:rFonts w:ascii="宋体" w:hAnsi="宋体"/>
                <w:szCs w:val="21"/>
              </w:rPr>
              <w:drawing>
                <wp:inline distT="0" distB="0" distL="0" distR="0">
                  <wp:extent cx="190500" cy="142875"/>
                  <wp:effectExtent l="0" t="0" r="0" b="9525"/>
                  <wp:docPr id="2" name="图片 2"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GJ$ACOF(TYDYECOKVDY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hint="eastAsia" w:ascii="宋体" w:hAnsi="宋体"/>
                <w:szCs w:val="21"/>
              </w:rPr>
              <w:t>。</w:t>
            </w:r>
            <w:r>
              <w:rPr>
                <w:rFonts w:ascii="宋体" w:hAnsi="宋体"/>
                <w:szCs w:val="21"/>
              </w:rPr>
              <w:t>无不良信息者每项得</w:t>
            </w:r>
            <w:r>
              <w:rPr>
                <w:rFonts w:hint="eastAsia" w:ascii="宋体" w:hAnsi="宋体"/>
                <w:szCs w:val="21"/>
              </w:rPr>
              <w:t>2</w:t>
            </w:r>
            <w:r>
              <w:rPr>
                <w:rFonts w:ascii="宋体" w:hAnsi="宋体"/>
                <w:szCs w:val="21"/>
              </w:rPr>
              <w:t>分，最多得</w:t>
            </w:r>
            <w:r>
              <w:rPr>
                <w:rFonts w:hint="eastAsia" w:ascii="宋体" w:hAnsi="宋体"/>
                <w:szCs w:val="21"/>
              </w:rPr>
              <w:t>4</w:t>
            </w:r>
            <w:r>
              <w:rPr>
                <w:rFonts w:ascii="宋体" w:hAnsi="宋体"/>
                <w:szCs w:val="21"/>
              </w:rPr>
              <w:t>分，未提供或有不良信息者不得分。</w:t>
            </w:r>
          </w:p>
          <w:p>
            <w:pPr>
              <w:spacing w:line="400" w:lineRule="exact"/>
              <w:ind w:firstLine="420" w:firstLineChars="200"/>
              <w:rPr>
                <w:rFonts w:ascii="宋体" w:hAnsi="宋体"/>
                <w:szCs w:val="21"/>
              </w:rPr>
            </w:pPr>
            <w:r>
              <w:rPr>
                <w:rFonts w:hint="eastAsia" w:ascii="宋体" w:hAnsi="宋体"/>
                <w:szCs w:val="21"/>
              </w:rPr>
              <w:t>2、服务承诺（含扬尘治理等内容）（6分）</w:t>
            </w:r>
          </w:p>
          <w:p>
            <w:pPr>
              <w:spacing w:line="400" w:lineRule="exact"/>
              <w:ind w:firstLine="420" w:firstLineChars="200"/>
              <w:rPr>
                <w:rFonts w:ascii="宋体" w:hAnsi="宋体"/>
                <w:szCs w:val="21"/>
              </w:rPr>
            </w:pPr>
            <w:r>
              <w:rPr>
                <w:rFonts w:hint="eastAsia" w:ascii="宋体" w:hAnsi="宋体"/>
                <w:szCs w:val="21"/>
              </w:rPr>
              <w:t>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需要补充的其他内容：</w:t>
            </w:r>
          </w:p>
          <w:p>
            <w:pPr>
              <w:ind w:firstLine="420" w:firstLineChars="20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ind w:firstLine="420" w:firstLineChars="200"/>
            </w:pPr>
            <w:r>
              <w:rPr>
                <w:rFonts w:hint="eastAsia"/>
              </w:rPr>
              <w:t>评标程序如下：</w:t>
            </w:r>
          </w:p>
          <w:p>
            <w:pPr>
              <w:spacing w:line="340" w:lineRule="exact"/>
            </w:pPr>
            <w:r>
              <w:rPr>
                <w:rFonts w:hint="eastAsia"/>
              </w:rPr>
              <w:t>1、招标人按照第二章“投标人须知”第5.2.1-5.2.3项的规定对投标文件第一信封（商务及技术文件）进行开标。</w:t>
            </w:r>
          </w:p>
          <w:p>
            <w:pPr>
              <w:spacing w:line="340" w:lineRule="exact"/>
            </w:pPr>
            <w:r>
              <w:rPr>
                <w:rFonts w:hint="eastAsia"/>
              </w:rPr>
              <w:t>2、评标</w:t>
            </w:r>
            <w:r>
              <w:rPr>
                <w:rFonts w:hint="eastAsia"/>
                <w:lang w:val="en-US" w:eastAsia="zh-CN"/>
              </w:rPr>
              <w:t>委</w:t>
            </w:r>
            <w:r>
              <w:rPr>
                <w:rFonts w:hint="eastAsia"/>
              </w:rPr>
              <w:t>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pPr>
              <w:spacing w:line="340" w:lineRule="exact"/>
            </w:pPr>
            <w:r>
              <w:rPr>
                <w:rFonts w:hint="eastAsia"/>
              </w:rPr>
              <w:t>3、招标人按照第二章“投标人须知”第5.2.4-5.2.6项的规定对投标文件第一信封（商务及技术文件）评审得分前 3 名的投标文件第二个信封（投标文件）进行开启。</w:t>
            </w:r>
          </w:p>
          <w:p>
            <w:pPr>
              <w:spacing w:line="340" w:lineRule="exact"/>
            </w:pPr>
            <w:r>
              <w:rPr>
                <w:rFonts w:hint="eastAsia"/>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hint="eastAsia" w:ascii="宋体" w:hAnsi="宋体"/>
                <w:b/>
                <w:szCs w:val="21"/>
                <w:lang w:val="en-US" w:eastAsia="zh-CN"/>
              </w:rPr>
            </w:pPr>
            <w:r>
              <w:rPr>
                <w:rFonts w:hint="eastAsia"/>
              </w:rPr>
              <w:t>5、本评分标准中所要求提供的各种证明材料，投标文件中须提供复印件，且在评标时按要求提供与复印件一致的原件，否则不得分。</w:t>
            </w:r>
          </w:p>
          <w:p>
            <w:pPr>
              <w:keepNext w:val="0"/>
              <w:keepLines w:val="0"/>
              <w:pageBreakBefore w:val="0"/>
              <w:widowControl w:val="0"/>
              <w:kinsoku/>
              <w:wordWrap/>
              <w:overflowPunct/>
              <w:topLinePunct w:val="0"/>
              <w:autoSpaceDE/>
              <w:autoSpaceDN/>
              <w:bidi w:val="0"/>
              <w:adjustRightInd/>
              <w:snapToGrid w:val="0"/>
              <w:spacing w:line="410" w:lineRule="exact"/>
              <w:ind w:left="0" w:leftChars="0" w:right="0" w:rightChars="0" w:firstLine="484"/>
              <w:jc w:val="both"/>
              <w:textAlignment w:val="auto"/>
              <w:outlineLvl w:val="9"/>
              <w:rPr>
                <w:rFonts w:hint="eastAsia" w:hAnsi="宋体" w:cs="宋体"/>
                <w:b/>
                <w:bCs/>
                <w:sz w:val="24"/>
                <w:szCs w:val="24"/>
              </w:rPr>
            </w:pPr>
            <w:r>
              <w:rPr>
                <w:rFonts w:hint="eastAsia" w:hAnsi="宋体" w:cs="宋体"/>
                <w:b/>
                <w:bCs/>
                <w:sz w:val="24"/>
                <w:szCs w:val="24"/>
              </w:rPr>
              <w:t>注：1）近年年份要求：2015年1月1日以来；</w:t>
            </w:r>
          </w:p>
          <w:p>
            <w:pPr>
              <w:keepNext w:val="0"/>
              <w:keepLines w:val="0"/>
              <w:pageBreakBefore w:val="0"/>
              <w:widowControl w:val="0"/>
              <w:kinsoku/>
              <w:wordWrap/>
              <w:overflowPunct/>
              <w:topLinePunct w:val="0"/>
              <w:autoSpaceDE/>
              <w:autoSpaceDN/>
              <w:bidi w:val="0"/>
              <w:adjustRightInd/>
              <w:snapToGrid w:val="0"/>
              <w:spacing w:line="410" w:lineRule="exact"/>
              <w:ind w:left="0" w:leftChars="0" w:right="0" w:rightChars="0" w:firstLine="484"/>
              <w:jc w:val="both"/>
              <w:textAlignment w:val="auto"/>
              <w:outlineLvl w:val="9"/>
              <w:rPr>
                <w:rFonts w:hint="eastAsia" w:eastAsia="宋体"/>
                <w:lang w:val="en-US" w:eastAsia="zh-CN"/>
              </w:rPr>
            </w:pPr>
            <w:r>
              <w:rPr>
                <w:rFonts w:hint="eastAsia" w:hAnsi="宋体" w:cs="宋体"/>
                <w:b/>
                <w:bCs/>
                <w:sz w:val="24"/>
                <w:szCs w:val="24"/>
              </w:rPr>
              <w:t xml:space="preserve">    </w:t>
            </w:r>
            <w:r>
              <w:rPr>
                <w:rFonts w:hint="eastAsia" w:hAnsi="宋体" w:cs="宋体"/>
                <w:b/>
                <w:bCs/>
                <w:sz w:val="24"/>
                <w:szCs w:val="24"/>
                <w:lang w:val="en-US" w:eastAsia="zh-CN"/>
              </w:rPr>
              <w:t>2</w:t>
            </w:r>
            <w:r>
              <w:rPr>
                <w:rFonts w:hint="eastAsia" w:hAnsi="宋体" w:cs="宋体"/>
                <w:b/>
                <w:bCs/>
                <w:sz w:val="24"/>
                <w:szCs w:val="24"/>
              </w:rPr>
              <w:t>）业绩合同以合同签订日期为准，获奖证书以发证日期为准。</w:t>
            </w:r>
          </w:p>
        </w:tc>
      </w:tr>
    </w:tbl>
    <w:p>
      <w:pPr>
        <w:spacing w:line="500" w:lineRule="exact"/>
        <w:rPr>
          <w:rFonts w:ascii="宋体" w:hAnsi="宋体"/>
          <w:b/>
          <w:sz w:val="24"/>
        </w:rPr>
      </w:pPr>
      <w:r>
        <w:rPr>
          <w:rFonts w:hint="eastAsia" w:ascii="宋体" w:hAnsi="宋体"/>
          <w:b/>
          <w:sz w:val="24"/>
        </w:rPr>
        <w:t>1.评标办法</w:t>
      </w:r>
    </w:p>
    <w:p>
      <w:pPr>
        <w:spacing w:line="500" w:lineRule="exact"/>
        <w:ind w:firstLine="480" w:firstLineChars="200"/>
        <w:rPr>
          <w:rFonts w:ascii="宋体" w:hAnsi="宋体"/>
          <w:sz w:val="24"/>
        </w:rPr>
      </w:pPr>
      <w:r>
        <w:rPr>
          <w:rFonts w:hint="eastAsia" w:ascii="宋体" w:hAnsi="宋体"/>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sz w:val="24"/>
        </w:rPr>
      </w:pPr>
      <w:r>
        <w:rPr>
          <w:rFonts w:hint="eastAsia" w:ascii="宋体" w:hAnsi="宋体"/>
          <w:b/>
          <w:sz w:val="24"/>
        </w:rPr>
        <w:t>2.评审标准</w:t>
      </w:r>
    </w:p>
    <w:p>
      <w:pPr>
        <w:spacing w:line="500" w:lineRule="exact"/>
        <w:ind w:firstLine="480" w:firstLineChars="200"/>
        <w:rPr>
          <w:rFonts w:ascii="宋体" w:hAnsi="宋体"/>
          <w:sz w:val="24"/>
        </w:rPr>
      </w:pPr>
      <w:r>
        <w:rPr>
          <w:rFonts w:hint="eastAsia" w:ascii="宋体" w:hAnsi="宋体"/>
          <w:sz w:val="24"/>
        </w:rPr>
        <w:t>2.1初步评审标准</w:t>
      </w:r>
    </w:p>
    <w:p>
      <w:pPr>
        <w:spacing w:line="500" w:lineRule="exact"/>
        <w:ind w:firstLine="480" w:firstLineChars="200"/>
        <w:rPr>
          <w:rFonts w:ascii="宋体" w:hAnsi="宋体"/>
          <w:sz w:val="24"/>
        </w:rPr>
      </w:pPr>
      <w:r>
        <w:rPr>
          <w:rFonts w:hint="eastAsia" w:ascii="宋体" w:hAnsi="宋体"/>
          <w:sz w:val="24"/>
        </w:rPr>
        <w:t>2.1.1形式评审标准：见评标办法前附表。</w:t>
      </w:r>
    </w:p>
    <w:p>
      <w:pPr>
        <w:spacing w:line="500" w:lineRule="exact"/>
        <w:ind w:firstLine="480" w:firstLineChars="200"/>
        <w:rPr>
          <w:rFonts w:ascii="宋体" w:hAnsi="宋体"/>
          <w:sz w:val="24"/>
        </w:rPr>
      </w:pPr>
      <w:r>
        <w:rPr>
          <w:rFonts w:hint="eastAsia" w:ascii="宋体" w:hAnsi="宋体"/>
          <w:sz w:val="24"/>
        </w:rPr>
        <w:t>2.1.2资格评审标准：见评标办法前附表。</w:t>
      </w:r>
    </w:p>
    <w:p>
      <w:pPr>
        <w:spacing w:line="500" w:lineRule="exact"/>
        <w:ind w:firstLine="480" w:firstLineChars="200"/>
        <w:rPr>
          <w:rFonts w:ascii="宋体" w:hAnsi="宋体"/>
          <w:sz w:val="24"/>
        </w:rPr>
      </w:pPr>
      <w:r>
        <w:rPr>
          <w:rFonts w:hint="eastAsia" w:ascii="宋体" w:hAnsi="宋体"/>
          <w:sz w:val="24"/>
        </w:rPr>
        <w:t>2.1.3响应性评审标准：见评标办法前附表。</w:t>
      </w:r>
    </w:p>
    <w:p>
      <w:pPr>
        <w:spacing w:line="500" w:lineRule="exact"/>
        <w:ind w:firstLine="480" w:firstLineChars="200"/>
        <w:rPr>
          <w:rFonts w:ascii="宋体" w:hAnsi="宋体"/>
          <w:sz w:val="24"/>
        </w:rPr>
      </w:pPr>
      <w:r>
        <w:rPr>
          <w:rFonts w:hint="eastAsia" w:ascii="宋体" w:hAnsi="宋体"/>
          <w:sz w:val="24"/>
        </w:rPr>
        <w:t xml:space="preserve">2.2 分值构成与评分标准 </w:t>
      </w:r>
    </w:p>
    <w:p>
      <w:pPr>
        <w:spacing w:line="500" w:lineRule="exact"/>
        <w:ind w:firstLine="480" w:firstLineChars="200"/>
        <w:rPr>
          <w:rFonts w:ascii="宋体" w:hAnsi="宋体"/>
          <w:sz w:val="24"/>
        </w:rPr>
      </w:pPr>
      <w:r>
        <w:rPr>
          <w:rFonts w:hint="eastAsia" w:ascii="宋体" w:hAnsi="宋体"/>
          <w:sz w:val="24"/>
        </w:rPr>
        <w:t xml:space="preserve">2.2.1 分值构成 </w:t>
      </w:r>
    </w:p>
    <w:p>
      <w:pPr>
        <w:spacing w:line="500" w:lineRule="exact"/>
        <w:ind w:firstLine="480" w:firstLineChars="200"/>
        <w:rPr>
          <w:rFonts w:ascii="宋体" w:hAnsi="宋体"/>
          <w:sz w:val="24"/>
        </w:rPr>
      </w:pPr>
      <w:r>
        <w:rPr>
          <w:rFonts w:hint="eastAsia" w:ascii="宋体" w:hAnsi="宋体"/>
          <w:sz w:val="24"/>
        </w:rPr>
        <w:t>施工组织设计：见评标办法前附表。</w:t>
      </w:r>
    </w:p>
    <w:p>
      <w:pPr>
        <w:spacing w:line="500" w:lineRule="exact"/>
        <w:ind w:firstLine="480" w:firstLineChars="200"/>
        <w:rPr>
          <w:rFonts w:ascii="宋体" w:hAnsi="宋体"/>
          <w:sz w:val="24"/>
        </w:rPr>
      </w:pPr>
      <w:r>
        <w:rPr>
          <w:rFonts w:hint="eastAsia" w:ascii="宋体" w:hAnsi="宋体"/>
          <w:sz w:val="24"/>
        </w:rPr>
        <w:t>项目管理机构：见评标办法前附表。</w:t>
      </w:r>
    </w:p>
    <w:p>
      <w:pPr>
        <w:spacing w:line="500" w:lineRule="exact"/>
        <w:ind w:firstLine="480" w:firstLineChars="200"/>
        <w:rPr>
          <w:rFonts w:ascii="宋体" w:hAnsi="宋体"/>
          <w:sz w:val="24"/>
        </w:rPr>
      </w:pPr>
      <w:r>
        <w:rPr>
          <w:rFonts w:hint="eastAsia" w:ascii="宋体" w:hAnsi="宋体"/>
          <w:sz w:val="24"/>
        </w:rPr>
        <w:t>技术能力：见评标办法前附表。</w:t>
      </w:r>
    </w:p>
    <w:p>
      <w:pPr>
        <w:spacing w:line="500" w:lineRule="exact"/>
        <w:ind w:firstLine="480" w:firstLineChars="200"/>
        <w:rPr>
          <w:rFonts w:ascii="宋体" w:hAnsi="宋体"/>
          <w:sz w:val="24"/>
        </w:rPr>
      </w:pPr>
      <w:r>
        <w:rPr>
          <w:rFonts w:hint="eastAsia" w:ascii="宋体" w:hAnsi="宋体"/>
          <w:sz w:val="24"/>
        </w:rPr>
        <w:t>履约信誉：见评标办法前附表。</w:t>
      </w:r>
    </w:p>
    <w:p>
      <w:pPr>
        <w:spacing w:line="500" w:lineRule="exact"/>
        <w:ind w:firstLine="480" w:firstLineChars="200"/>
        <w:rPr>
          <w:rFonts w:ascii="宋体" w:hAnsi="宋体"/>
          <w:sz w:val="24"/>
        </w:rPr>
      </w:pPr>
      <w:r>
        <w:rPr>
          <w:rFonts w:hint="eastAsia" w:ascii="宋体" w:hAnsi="宋体"/>
          <w:sz w:val="24"/>
        </w:rPr>
        <w:t xml:space="preserve">2.2.2 施工组织设计评审标准 </w:t>
      </w:r>
    </w:p>
    <w:p>
      <w:pPr>
        <w:spacing w:line="500" w:lineRule="exact"/>
        <w:ind w:firstLine="480" w:firstLineChars="200"/>
        <w:rPr>
          <w:rFonts w:ascii="宋体" w:hAnsi="宋体"/>
          <w:sz w:val="24"/>
        </w:rPr>
      </w:pPr>
      <w:r>
        <w:rPr>
          <w:rFonts w:hint="eastAsia" w:ascii="宋体" w:hAnsi="宋体"/>
          <w:sz w:val="24"/>
        </w:rPr>
        <w:t xml:space="preserve">施工组织设计评审标准：见评标办法前附表。 </w:t>
      </w:r>
    </w:p>
    <w:p>
      <w:pPr>
        <w:spacing w:line="500" w:lineRule="exact"/>
        <w:ind w:firstLine="480" w:firstLineChars="200"/>
        <w:rPr>
          <w:rFonts w:ascii="宋体" w:hAnsi="宋体"/>
          <w:sz w:val="24"/>
        </w:rPr>
      </w:pPr>
      <w:r>
        <w:rPr>
          <w:rFonts w:hint="eastAsia" w:ascii="宋体" w:hAnsi="宋体"/>
          <w:sz w:val="24"/>
        </w:rPr>
        <w:t xml:space="preserve">2.2.3 项目管理机构评审标准 </w:t>
      </w:r>
    </w:p>
    <w:p>
      <w:pPr>
        <w:spacing w:line="500" w:lineRule="exact"/>
        <w:ind w:firstLine="480" w:firstLineChars="200"/>
        <w:rPr>
          <w:rFonts w:ascii="宋体" w:hAnsi="宋体"/>
          <w:sz w:val="24"/>
        </w:rPr>
      </w:pPr>
      <w:r>
        <w:rPr>
          <w:rFonts w:hint="eastAsia" w:ascii="宋体" w:hAnsi="宋体"/>
          <w:sz w:val="24"/>
        </w:rPr>
        <w:t xml:space="preserve">项目管理机构评审标准：见评标办法前附表。 </w:t>
      </w:r>
    </w:p>
    <w:p>
      <w:pPr>
        <w:spacing w:line="500" w:lineRule="exact"/>
        <w:ind w:firstLine="480" w:firstLineChars="200"/>
        <w:rPr>
          <w:rFonts w:ascii="宋体" w:hAnsi="宋体"/>
          <w:sz w:val="24"/>
        </w:rPr>
      </w:pPr>
      <w:r>
        <w:rPr>
          <w:rFonts w:hint="eastAsia" w:ascii="宋体" w:hAnsi="宋体"/>
          <w:sz w:val="24"/>
        </w:rPr>
        <w:t xml:space="preserve">2.2.4 技术能力评审标准 </w:t>
      </w:r>
    </w:p>
    <w:p>
      <w:pPr>
        <w:spacing w:line="500" w:lineRule="exact"/>
        <w:ind w:firstLine="480" w:firstLineChars="200"/>
        <w:rPr>
          <w:rFonts w:ascii="宋体" w:hAnsi="宋体"/>
          <w:sz w:val="24"/>
        </w:rPr>
      </w:pPr>
      <w:r>
        <w:rPr>
          <w:rFonts w:hint="eastAsia" w:ascii="宋体" w:hAnsi="宋体"/>
          <w:sz w:val="24"/>
        </w:rPr>
        <w:t>技术能力评审标准：见评标办法前附表。</w:t>
      </w:r>
    </w:p>
    <w:p>
      <w:pPr>
        <w:spacing w:line="500" w:lineRule="exact"/>
        <w:ind w:firstLine="480" w:firstLineChars="200"/>
        <w:rPr>
          <w:rFonts w:ascii="宋体" w:hAnsi="宋体"/>
          <w:sz w:val="24"/>
        </w:rPr>
      </w:pPr>
      <w:r>
        <w:rPr>
          <w:rFonts w:hint="eastAsia" w:ascii="宋体" w:hAnsi="宋体"/>
          <w:sz w:val="24"/>
        </w:rPr>
        <w:t>2.2.5履约信誉评审标准</w:t>
      </w:r>
    </w:p>
    <w:p>
      <w:pPr>
        <w:spacing w:line="500" w:lineRule="exact"/>
        <w:ind w:firstLine="480" w:firstLineChars="200"/>
        <w:rPr>
          <w:rFonts w:ascii="宋体" w:hAnsi="宋体"/>
          <w:sz w:val="24"/>
        </w:rPr>
      </w:pPr>
      <w:r>
        <w:rPr>
          <w:rFonts w:hint="eastAsia" w:ascii="宋体" w:hAnsi="宋体"/>
          <w:sz w:val="24"/>
        </w:rPr>
        <w:t xml:space="preserve">履约信誉评审标准：见评标办法前附表。 </w:t>
      </w:r>
    </w:p>
    <w:p>
      <w:pPr>
        <w:spacing w:line="500" w:lineRule="exact"/>
        <w:rPr>
          <w:rFonts w:ascii="宋体" w:hAnsi="宋体"/>
          <w:b/>
          <w:sz w:val="24"/>
        </w:rPr>
      </w:pPr>
      <w:r>
        <w:rPr>
          <w:rFonts w:hint="eastAsia" w:ascii="宋体" w:hAnsi="宋体"/>
          <w:b/>
          <w:sz w:val="24"/>
        </w:rPr>
        <w:t>3.评标程序</w:t>
      </w:r>
    </w:p>
    <w:p>
      <w:pPr>
        <w:spacing w:line="500" w:lineRule="exact"/>
        <w:rPr>
          <w:rFonts w:ascii="宋体" w:hAnsi="宋体"/>
          <w:b/>
          <w:sz w:val="24"/>
        </w:rPr>
      </w:pPr>
      <w:r>
        <w:rPr>
          <w:rFonts w:hint="eastAsia" w:ascii="宋体" w:hAnsi="宋体"/>
          <w:b/>
          <w:sz w:val="24"/>
        </w:rPr>
        <w:t>3.1初步评审</w:t>
      </w:r>
    </w:p>
    <w:p>
      <w:pPr>
        <w:spacing w:line="500" w:lineRule="exact"/>
        <w:ind w:firstLine="482" w:firstLineChars="200"/>
        <w:rPr>
          <w:rFonts w:ascii="宋体" w:hAnsi="宋体"/>
          <w:sz w:val="24"/>
        </w:rPr>
      </w:pPr>
      <w:r>
        <w:rPr>
          <w:rFonts w:hint="eastAsia" w:ascii="宋体" w:hAnsi="宋体"/>
          <w:b/>
          <w:sz w:val="24"/>
        </w:rPr>
        <w:t>3.1.1</w:t>
      </w:r>
      <w:r>
        <w:rPr>
          <w:rFonts w:hint="eastAsia" w:ascii="宋体" w:hAnsi="宋体"/>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sz w:val="24"/>
        </w:rPr>
      </w:pPr>
      <w:r>
        <w:rPr>
          <w:rFonts w:hint="eastAsia" w:ascii="宋体" w:hAnsi="宋体"/>
          <w:b/>
          <w:sz w:val="24"/>
        </w:rPr>
        <w:t xml:space="preserve">3.1.2 </w:t>
      </w:r>
      <w:r>
        <w:rPr>
          <w:rFonts w:hint="eastAsia" w:ascii="宋体" w:hAnsi="宋体"/>
          <w:sz w:val="24"/>
        </w:rPr>
        <w:t>投标人有以下情形之一的其投标作废标处理：</w:t>
      </w:r>
    </w:p>
    <w:p>
      <w:pPr>
        <w:spacing w:line="500" w:lineRule="exact"/>
        <w:ind w:firstLine="480" w:firstLineChars="200"/>
        <w:rPr>
          <w:rFonts w:ascii="宋体" w:hAnsi="宋体"/>
          <w:sz w:val="24"/>
        </w:rPr>
      </w:pPr>
      <w:r>
        <w:rPr>
          <w:rFonts w:hint="eastAsia" w:ascii="宋体" w:hAnsi="宋体"/>
          <w:sz w:val="24"/>
        </w:rPr>
        <w:t xml:space="preserve">（1）第二章“投标人须知”第 1.4.3 项规定的任何一种情形的。 </w:t>
      </w:r>
    </w:p>
    <w:p>
      <w:pPr>
        <w:spacing w:line="500" w:lineRule="exact"/>
        <w:ind w:firstLine="480" w:firstLineChars="200"/>
        <w:rPr>
          <w:rFonts w:ascii="宋体" w:hAnsi="宋体"/>
          <w:sz w:val="24"/>
        </w:rPr>
      </w:pPr>
      <w:r>
        <w:rPr>
          <w:rFonts w:hint="eastAsia" w:ascii="宋体" w:hAnsi="宋体"/>
          <w:sz w:val="24"/>
        </w:rPr>
        <w:t>（2）串通投标或弄虚作假或有其他违法行为的。</w:t>
      </w:r>
    </w:p>
    <w:p>
      <w:pPr>
        <w:spacing w:line="500" w:lineRule="exact"/>
        <w:ind w:firstLine="482" w:firstLineChars="200"/>
        <w:rPr>
          <w:rFonts w:ascii="宋体" w:hAnsi="宋体"/>
          <w:sz w:val="24"/>
        </w:rPr>
      </w:pPr>
      <w:r>
        <w:rPr>
          <w:rFonts w:hint="eastAsia" w:ascii="宋体" w:hAnsi="宋体"/>
          <w:b/>
          <w:sz w:val="24"/>
        </w:rPr>
        <w:t>3.1.3</w:t>
      </w:r>
      <w:r>
        <w:rPr>
          <w:rFonts w:hint="eastAsia" w:ascii="宋体" w:hAnsi="宋体"/>
          <w:sz w:val="24"/>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(1)投标文件中的大写金额与小写金额不一致的，以大写金额为准；</w:t>
      </w:r>
    </w:p>
    <w:p>
      <w:pPr>
        <w:spacing w:line="500" w:lineRule="exact"/>
        <w:ind w:firstLine="480" w:firstLineChars="200"/>
        <w:rPr>
          <w:rFonts w:ascii="宋体" w:hAnsi="宋体"/>
          <w:sz w:val="24"/>
        </w:rPr>
      </w:pPr>
      <w:r>
        <w:rPr>
          <w:rFonts w:hint="eastAsia" w:ascii="宋体" w:hAnsi="宋体"/>
          <w:sz w:val="24"/>
        </w:rPr>
        <w:t>(2)总价金额与依据单价计算出的结果不一致的，以单价金额为准修正总价，但单价金额小数点有明显错误的除外；</w:t>
      </w:r>
    </w:p>
    <w:p>
      <w:pPr>
        <w:spacing w:line="500" w:lineRule="exact"/>
        <w:ind w:firstLine="480" w:firstLineChars="200"/>
        <w:rPr>
          <w:rFonts w:ascii="宋体" w:hAnsi="宋体"/>
          <w:sz w:val="24"/>
        </w:rPr>
      </w:pPr>
      <w:r>
        <w:rPr>
          <w:rFonts w:hint="eastAsia" w:ascii="宋体" w:hAnsi="宋体"/>
          <w:sz w:val="24"/>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sz w:val="24"/>
        </w:rPr>
      </w:pPr>
      <w:r>
        <w:rPr>
          <w:rFonts w:hint="eastAsia" w:ascii="宋体" w:hAnsi="宋体"/>
          <w:sz w:val="24"/>
        </w:rPr>
        <w:t>(4)当各子目的合价累计不等于总价时，应以各子目合价累计数为准，修正总价。</w:t>
      </w:r>
    </w:p>
    <w:p>
      <w:pPr>
        <w:spacing w:line="500" w:lineRule="exact"/>
        <w:ind w:firstLine="482" w:firstLineChars="200"/>
        <w:rPr>
          <w:rFonts w:ascii="宋体" w:hAnsi="宋体"/>
          <w:sz w:val="24"/>
        </w:rPr>
      </w:pPr>
      <w:r>
        <w:rPr>
          <w:rFonts w:hint="eastAsia" w:ascii="宋体" w:hAnsi="宋体"/>
          <w:b/>
          <w:sz w:val="24"/>
        </w:rPr>
        <w:t>3.1.4</w:t>
      </w:r>
      <w:r>
        <w:rPr>
          <w:rFonts w:hint="eastAsia" w:ascii="宋体" w:hAnsi="宋体"/>
          <w:sz w:val="24"/>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sz w:val="24"/>
        </w:rPr>
      </w:pPr>
      <w:r>
        <w:rPr>
          <w:rFonts w:hint="eastAsia" w:ascii="宋体" w:hAnsi="宋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sz w:val="24"/>
        </w:rPr>
      </w:pPr>
      <w:r>
        <w:rPr>
          <w:rFonts w:hint="eastAsia" w:ascii="宋体" w:hAnsi="宋体"/>
          <w:sz w:val="24"/>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sz w:val="24"/>
        </w:rPr>
      </w:pPr>
      <w:r>
        <w:rPr>
          <w:rFonts w:hint="eastAsia" w:ascii="宋体" w:hAnsi="宋体"/>
          <w:b/>
          <w:sz w:val="24"/>
        </w:rPr>
        <w:t>3.1.5</w:t>
      </w:r>
      <w:r>
        <w:rPr>
          <w:rFonts w:hint="eastAsia" w:ascii="宋体" w:hAnsi="宋体"/>
          <w:sz w:val="24"/>
        </w:rPr>
        <w:t>修正后的最终投标报价若超过投标控制价上限(如有)，投标人的投标文件作废标处理。</w:t>
      </w:r>
    </w:p>
    <w:p>
      <w:pPr>
        <w:spacing w:line="500" w:lineRule="exact"/>
        <w:ind w:firstLine="482" w:firstLineChars="200"/>
        <w:rPr>
          <w:rFonts w:ascii="宋体" w:hAnsi="宋体"/>
          <w:sz w:val="24"/>
        </w:rPr>
      </w:pPr>
      <w:r>
        <w:rPr>
          <w:rFonts w:hint="eastAsia" w:ascii="宋体" w:hAnsi="宋体"/>
          <w:b/>
          <w:sz w:val="24"/>
        </w:rPr>
        <w:t>3.1.6</w:t>
      </w:r>
      <w:r>
        <w:rPr>
          <w:rFonts w:hint="eastAsia" w:ascii="宋体" w:hAnsi="宋体"/>
          <w:sz w:val="24"/>
        </w:rPr>
        <w:t>修正后的最终投标报价作为签订合同的一个依据，不参与评标价得分的计算。</w:t>
      </w:r>
    </w:p>
    <w:p>
      <w:pPr>
        <w:spacing w:line="500" w:lineRule="exact"/>
        <w:ind w:firstLine="482" w:firstLineChars="200"/>
        <w:rPr>
          <w:rFonts w:ascii="宋体" w:hAnsi="宋体"/>
          <w:b/>
          <w:sz w:val="24"/>
        </w:rPr>
      </w:pPr>
      <w:r>
        <w:rPr>
          <w:rFonts w:hint="eastAsia" w:ascii="宋体" w:hAnsi="宋体"/>
          <w:b/>
          <w:sz w:val="24"/>
        </w:rPr>
        <w:t xml:space="preserve">3.2 详细评审 </w:t>
      </w:r>
    </w:p>
    <w:p>
      <w:pPr>
        <w:spacing w:line="500" w:lineRule="exact"/>
        <w:ind w:firstLine="480" w:firstLineChars="200"/>
        <w:rPr>
          <w:rFonts w:ascii="宋体" w:hAnsi="宋体"/>
          <w:sz w:val="24"/>
        </w:rPr>
      </w:pPr>
      <w:r>
        <w:rPr>
          <w:rFonts w:hint="eastAsia" w:ascii="宋体" w:hAnsi="宋体"/>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sz w:val="24"/>
        </w:rPr>
      </w:pPr>
      <w:r>
        <w:rPr>
          <w:rFonts w:hint="eastAsia" w:ascii="宋体" w:hAnsi="宋体"/>
          <w:sz w:val="24"/>
        </w:rPr>
        <w:t xml:space="preserve">3.2.2 评标得分计算保留小数点后两位，小数点后第三位“四舍五入”。 </w:t>
      </w:r>
    </w:p>
    <w:p>
      <w:pPr>
        <w:spacing w:line="500" w:lineRule="exact"/>
        <w:ind w:firstLine="480" w:firstLineChars="200"/>
        <w:rPr>
          <w:rFonts w:ascii="宋体" w:hAnsi="宋体"/>
          <w:sz w:val="24"/>
        </w:rPr>
      </w:pPr>
      <w:r>
        <w:rPr>
          <w:rFonts w:hint="eastAsia" w:ascii="宋体" w:hAnsi="宋体"/>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sz w:val="24"/>
        </w:rPr>
      </w:pPr>
      <w:r>
        <w:rPr>
          <w:rFonts w:hint="eastAsia" w:ascii="宋体" w:hAnsi="宋体"/>
          <w:b/>
          <w:sz w:val="24"/>
        </w:rPr>
        <w:t xml:space="preserve">3.3 </w:t>
      </w:r>
      <w:r>
        <w:rPr>
          <w:rFonts w:hint="eastAsia" w:ascii="宋体" w:hAnsi="宋体"/>
          <w:sz w:val="24"/>
        </w:rPr>
        <w:t xml:space="preserve">投标文件的澄清和补正 </w:t>
      </w:r>
    </w:p>
    <w:p>
      <w:pPr>
        <w:spacing w:line="500" w:lineRule="exact"/>
        <w:ind w:firstLine="480" w:firstLineChars="200"/>
        <w:rPr>
          <w:rFonts w:ascii="宋体" w:hAnsi="宋体"/>
          <w:sz w:val="24"/>
        </w:rPr>
      </w:pPr>
      <w:r>
        <w:rPr>
          <w:rFonts w:hint="eastAsia" w:ascii="宋体" w:hAnsi="宋体"/>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sz w:val="24"/>
        </w:rPr>
      </w:pPr>
      <w:r>
        <w:rPr>
          <w:rFonts w:hint="eastAsia" w:ascii="宋体" w:hAnsi="宋体"/>
          <w:sz w:val="24"/>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sz w:val="24"/>
        </w:rPr>
      </w:pPr>
      <w:r>
        <w:rPr>
          <w:rFonts w:hint="eastAsia" w:ascii="宋体" w:hAnsi="宋体"/>
          <w:sz w:val="24"/>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sz w:val="24"/>
        </w:rPr>
      </w:pPr>
      <w:r>
        <w:rPr>
          <w:rFonts w:hint="eastAsia" w:ascii="宋体" w:hAnsi="宋体"/>
          <w:b/>
          <w:sz w:val="24"/>
        </w:rPr>
        <w:t>3.3.4</w:t>
      </w:r>
      <w:r>
        <w:rPr>
          <w:rFonts w:hint="eastAsia" w:ascii="宋体" w:hAnsi="宋体"/>
          <w:sz w:val="24"/>
        </w:rPr>
        <w:t>凡超出招标文件规定的或给发包人带来未曾要求的利益的变化、偏差或其他因素在评标时不予考虑。</w:t>
      </w:r>
    </w:p>
    <w:p>
      <w:pPr>
        <w:spacing w:line="500" w:lineRule="exact"/>
        <w:rPr>
          <w:rFonts w:ascii="宋体" w:hAnsi="宋体"/>
          <w:b/>
          <w:sz w:val="24"/>
        </w:rPr>
      </w:pPr>
      <w:r>
        <w:rPr>
          <w:rFonts w:hint="eastAsia" w:ascii="宋体" w:hAnsi="宋体"/>
          <w:b/>
          <w:sz w:val="24"/>
        </w:rPr>
        <w:t>3.4评标结果</w:t>
      </w:r>
    </w:p>
    <w:p>
      <w:pPr>
        <w:spacing w:line="340" w:lineRule="exact"/>
        <w:rPr>
          <w:rFonts w:ascii="宋体" w:hAnsi="宋体"/>
          <w:sz w:val="24"/>
        </w:rPr>
      </w:pPr>
      <w:r>
        <w:rPr>
          <w:rFonts w:hint="eastAsia" w:ascii="宋体" w:hAnsi="宋体"/>
          <w:sz w:val="24"/>
        </w:rPr>
        <w:t xml:space="preserve">   3.4.1评标委员会按照通过投标文件第一信封（商务及技术文件）评审的前三名投标报价由低到高的顺序推荐中标候选人。 </w:t>
      </w:r>
    </w:p>
    <w:p>
      <w:pPr>
        <w:spacing w:line="500" w:lineRule="exact"/>
        <w:rPr>
          <w:rFonts w:ascii="宋体" w:hAnsi="宋体"/>
          <w:sz w:val="24"/>
        </w:rPr>
      </w:pPr>
      <w:r>
        <w:rPr>
          <w:rFonts w:hint="eastAsia" w:ascii="宋体" w:hAnsi="宋体"/>
          <w:sz w:val="24"/>
        </w:rPr>
        <w:t xml:space="preserve">   3.4.2 评标委员会完成评标后，应当向招标人提交书面评标报告。</w:t>
      </w:r>
    </w:p>
    <w:p>
      <w:pPr>
        <w:spacing w:line="340" w:lineRule="exact"/>
        <w:ind w:firstLine="480" w:firstLineChars="200"/>
        <w:rPr>
          <w:rFonts w:ascii="宋体" w:hAnsi="宋体"/>
          <w:sz w:val="24"/>
        </w:rPr>
      </w:pPr>
    </w:p>
    <w:p>
      <w:pPr>
        <w:spacing w:line="340" w:lineRule="exact"/>
        <w:ind w:firstLine="480" w:firstLineChars="200"/>
        <w:rPr>
          <w:rFonts w:ascii="宋体" w:hAnsi="宋体"/>
          <w:sz w:val="24"/>
        </w:rPr>
      </w:pPr>
    </w:p>
    <w:p>
      <w:pPr>
        <w:spacing w:line="500" w:lineRule="exact"/>
        <w:ind w:firstLine="482" w:firstLineChars="200"/>
        <w:rPr>
          <w:rFonts w:ascii="宋体" w:hAnsi="宋体"/>
          <w:b/>
          <w:bCs/>
          <w:sz w:val="24"/>
        </w:rPr>
      </w:pPr>
      <w:r>
        <w:rPr>
          <w:rFonts w:hint="eastAsia" w:ascii="宋体" w:hAnsi="宋体"/>
          <w:b/>
          <w:bCs/>
          <w:sz w:val="24"/>
        </w:rPr>
        <w:t>需要注意的问题：</w:t>
      </w:r>
    </w:p>
    <w:p>
      <w:pPr>
        <w:spacing w:line="500" w:lineRule="exact"/>
        <w:ind w:firstLine="482" w:firstLineChars="200"/>
        <w:rPr>
          <w:rFonts w:ascii="宋体" w:hAnsi="宋体"/>
          <w:b/>
          <w:bCs/>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rPr>
          <w:sz w:val="24"/>
        </w:rPr>
      </w:pPr>
    </w:p>
    <w:p>
      <w:pPr>
        <w:adjustRightInd w:val="0"/>
        <w:snapToGrid w:val="0"/>
        <w:spacing w:line="360" w:lineRule="auto"/>
        <w:ind w:firstLine="883" w:firstLineChars="200"/>
        <w:jc w:val="center"/>
        <w:rPr>
          <w:b/>
          <w:bCs/>
          <w:sz w:val="44"/>
        </w:rPr>
      </w:pPr>
    </w:p>
    <w:p>
      <w:pPr>
        <w:adjustRightInd w:val="0"/>
        <w:snapToGrid w:val="0"/>
        <w:spacing w:line="360" w:lineRule="auto"/>
        <w:ind w:firstLine="883" w:firstLineChars="200"/>
        <w:jc w:val="center"/>
        <w:rPr>
          <w:b/>
          <w:bCs/>
          <w:sz w:val="44"/>
        </w:rPr>
      </w:pPr>
    </w:p>
    <w:p>
      <w:pPr>
        <w:adjustRightInd w:val="0"/>
        <w:snapToGrid w:val="0"/>
        <w:spacing w:line="360" w:lineRule="auto"/>
        <w:ind w:firstLine="883" w:firstLineChars="200"/>
        <w:jc w:val="center"/>
        <w:rPr>
          <w:b/>
          <w:bCs/>
          <w:sz w:val="44"/>
        </w:rPr>
      </w:pPr>
    </w:p>
    <w:p>
      <w:pPr>
        <w:adjustRightInd w:val="0"/>
        <w:snapToGrid w:val="0"/>
        <w:spacing w:line="360" w:lineRule="auto"/>
        <w:ind w:firstLine="883" w:firstLineChars="200"/>
        <w:jc w:val="center"/>
        <w:rPr>
          <w:b/>
          <w:bCs/>
          <w:sz w:val="44"/>
        </w:rPr>
      </w:pPr>
    </w:p>
    <w:p>
      <w:pPr>
        <w:adjustRightInd w:val="0"/>
        <w:snapToGrid w:val="0"/>
        <w:spacing w:line="360" w:lineRule="auto"/>
        <w:ind w:firstLine="883" w:firstLineChars="200"/>
        <w:jc w:val="center"/>
        <w:rPr>
          <w:b/>
          <w:bCs/>
          <w:sz w:val="44"/>
        </w:rPr>
      </w:pPr>
    </w:p>
    <w:p>
      <w:pPr>
        <w:tabs>
          <w:tab w:val="left" w:pos="4500"/>
        </w:tabs>
        <w:spacing w:line="520" w:lineRule="exact"/>
        <w:rPr>
          <w:b/>
          <w:bCs/>
          <w:sz w:val="44"/>
        </w:rPr>
      </w:pPr>
    </w:p>
    <w:p>
      <w:pPr>
        <w:tabs>
          <w:tab w:val="left" w:pos="4500"/>
        </w:tabs>
        <w:spacing w:line="520" w:lineRule="exact"/>
        <w:jc w:val="center"/>
        <w:rPr>
          <w:b/>
          <w:bCs/>
          <w:sz w:val="44"/>
        </w:rPr>
      </w:pPr>
    </w:p>
    <w:p>
      <w:pPr>
        <w:adjustRightInd w:val="0"/>
        <w:snapToGrid w:val="0"/>
        <w:spacing w:line="360" w:lineRule="auto"/>
        <w:jc w:val="center"/>
        <w:outlineLvl w:val="0"/>
        <w:rPr>
          <w:rFonts w:ascii="黑体" w:eastAsia="黑体"/>
          <w:sz w:val="44"/>
          <w:szCs w:val="44"/>
        </w:rPr>
      </w:pPr>
      <w:bookmarkStart w:id="226" w:name="_Toc13221"/>
      <w:r>
        <w:rPr>
          <w:rFonts w:hint="eastAsia" w:ascii="黑体" w:eastAsia="黑体"/>
          <w:sz w:val="44"/>
          <w:szCs w:val="44"/>
        </w:rPr>
        <w:t>第四章 合同条款及格式</w:t>
      </w:r>
      <w:bookmarkEnd w:id="226"/>
    </w:p>
    <w:p>
      <w:pPr>
        <w:adjustRightInd w:val="0"/>
        <w:snapToGrid w:val="0"/>
        <w:spacing w:line="360" w:lineRule="auto"/>
        <w:jc w:val="center"/>
        <w:outlineLvl w:val="0"/>
        <w:rPr>
          <w:rFonts w:ascii="黑体" w:eastAsia="黑体"/>
          <w:bCs/>
          <w:sz w:val="36"/>
          <w:szCs w:val="36"/>
        </w:rPr>
      </w:pPr>
      <w:bookmarkStart w:id="227" w:name="_Toc9501"/>
      <w:r>
        <w:rPr>
          <w:rFonts w:hint="eastAsia" w:ascii="黑体" w:eastAsia="黑体"/>
          <w:bCs/>
          <w:sz w:val="36"/>
          <w:szCs w:val="36"/>
        </w:rPr>
        <w:t>第一节 通用合同条款</w:t>
      </w:r>
      <w:bookmarkEnd w:id="227"/>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sz w:val="44"/>
          <w:szCs w:val="44"/>
        </w:rPr>
      </w:pPr>
      <w:r>
        <w:rPr>
          <w:rFonts w:hint="eastAsia" w:ascii="仿宋_GB2312" w:eastAsia="仿宋_GB2312"/>
          <w:sz w:val="24"/>
        </w:rPr>
        <w:t>参见中华人民共和国《标准施工招标文件》（2007年版）</w: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pageBreakBefore/>
        <w:tabs>
          <w:tab w:val="left" w:pos="4500"/>
        </w:tabs>
        <w:spacing w:line="520" w:lineRule="exact"/>
        <w:jc w:val="center"/>
        <w:rPr>
          <w:rFonts w:ascii="黑体" w:eastAsia="黑体"/>
          <w:bCs/>
          <w:sz w:val="36"/>
          <w:szCs w:val="36"/>
        </w:rPr>
      </w:pPr>
      <w:r>
        <w:rPr>
          <w:rFonts w:hint="eastAsia" w:ascii="黑体" w:eastAsia="黑体"/>
          <w:bCs/>
          <w:sz w:val="36"/>
          <w:szCs w:val="36"/>
        </w:rPr>
        <w:t>第二节 专用合同条款</w:t>
      </w:r>
    </w:p>
    <w:p>
      <w:pPr>
        <w:tabs>
          <w:tab w:val="left" w:pos="4500"/>
        </w:tabs>
        <w:spacing w:line="520" w:lineRule="exact"/>
        <w:rPr>
          <w:rFonts w:hAnsi="宋体"/>
          <w:bCs/>
          <w:sz w:val="24"/>
          <w:szCs w:val="28"/>
        </w:rPr>
      </w:pPr>
    </w:p>
    <w:p>
      <w:pPr>
        <w:adjustRightInd w:val="0"/>
        <w:snapToGrid w:val="0"/>
        <w:spacing w:beforeLines="100" w:afterLines="100" w:line="360" w:lineRule="auto"/>
        <w:jc w:val="center"/>
        <w:rPr>
          <w:rFonts w:eastAsia="黑体"/>
          <w:sz w:val="32"/>
          <w:szCs w:val="32"/>
        </w:rPr>
      </w:pPr>
      <w:bookmarkStart w:id="228" w:name="_Toc132601562"/>
      <w:r>
        <w:rPr>
          <w:rFonts w:eastAsia="黑体"/>
          <w:sz w:val="32"/>
          <w:szCs w:val="32"/>
        </w:rPr>
        <w:t>A．公路行业标准专用合同条款</w:t>
      </w:r>
    </w:p>
    <w:p>
      <w:pPr>
        <w:adjustRightInd w:val="0"/>
        <w:snapToGrid w:val="0"/>
        <w:spacing w:line="360" w:lineRule="auto"/>
        <w:rPr>
          <w:rFonts w:eastAsia="黑体"/>
          <w:sz w:val="24"/>
        </w:rPr>
      </w:pPr>
      <w:r>
        <w:rPr>
          <w:rFonts w:eastAsia="黑体"/>
          <w:sz w:val="24"/>
        </w:rPr>
        <w:t>1．一般约定</w:t>
      </w:r>
    </w:p>
    <w:p>
      <w:pPr>
        <w:adjustRightInd w:val="0"/>
        <w:snapToGrid w:val="0"/>
        <w:spacing w:line="360" w:lineRule="auto"/>
        <w:rPr>
          <w:rFonts w:eastAsia="黑体"/>
          <w:sz w:val="24"/>
        </w:rPr>
      </w:pPr>
      <w:r>
        <w:rPr>
          <w:rFonts w:eastAsia="黑体"/>
          <w:sz w:val="24"/>
        </w:rPr>
        <w:t>1.1词语定义</w:t>
      </w:r>
    </w:p>
    <w:p>
      <w:pPr>
        <w:adjustRightInd w:val="0"/>
        <w:snapToGrid w:val="0"/>
        <w:spacing w:line="360" w:lineRule="auto"/>
        <w:ind w:firstLine="480" w:firstLineChars="200"/>
        <w:rPr>
          <w:rFonts w:eastAsia="黑体"/>
          <w:sz w:val="24"/>
        </w:rPr>
      </w:pPr>
      <w:r>
        <w:rPr>
          <w:rFonts w:eastAsia="黑体"/>
          <w:sz w:val="24"/>
        </w:rPr>
        <w:t>1.1.1合同</w:t>
      </w:r>
    </w:p>
    <w:p>
      <w:pPr>
        <w:adjustRightInd w:val="0"/>
        <w:snapToGrid w:val="0"/>
        <w:spacing w:line="360" w:lineRule="auto"/>
        <w:ind w:firstLine="720" w:firstLineChars="300"/>
        <w:rPr>
          <w:sz w:val="24"/>
        </w:rPr>
      </w:pPr>
      <w:r>
        <w:rPr>
          <w:sz w:val="24"/>
        </w:rPr>
        <w:t>1.1.1.6技术规范：为本合同所约定的</w:t>
      </w:r>
      <w:r>
        <w:rPr>
          <w:rFonts w:ascii="宋体" w:hAnsi="宋体"/>
          <w:sz w:val="24"/>
        </w:rPr>
        <w:t>技</w:t>
      </w:r>
      <w:r>
        <w:rPr>
          <w:sz w:val="24"/>
        </w:rPr>
        <w:t>术标准和要求。</w:t>
      </w:r>
    </w:p>
    <w:p>
      <w:pPr>
        <w:adjustRightInd w:val="0"/>
        <w:snapToGrid w:val="0"/>
        <w:spacing w:line="360" w:lineRule="auto"/>
        <w:ind w:firstLine="720" w:firstLineChars="300"/>
        <w:rPr>
          <w:sz w:val="24"/>
        </w:rPr>
      </w:pPr>
      <w:r>
        <w:rPr>
          <w:sz w:val="24"/>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rPr>
      </w:pPr>
      <w:r>
        <w:rPr>
          <w:sz w:val="24"/>
        </w:rPr>
        <w:t>本项增加第1</w:t>
      </w:r>
      <w:r>
        <w:rPr>
          <w:rFonts w:hint="eastAsia"/>
          <w:sz w:val="24"/>
        </w:rPr>
        <w:t>.</w:t>
      </w:r>
      <w:r>
        <w:rPr>
          <w:sz w:val="24"/>
        </w:rPr>
        <w:t>1</w:t>
      </w:r>
      <w:r>
        <w:rPr>
          <w:rFonts w:hint="eastAsia"/>
          <w:sz w:val="24"/>
        </w:rPr>
        <w:t>.</w:t>
      </w:r>
      <w:r>
        <w:rPr>
          <w:sz w:val="24"/>
        </w:rPr>
        <w:t>1</w:t>
      </w:r>
      <w:r>
        <w:rPr>
          <w:rFonts w:hint="eastAsia"/>
          <w:sz w:val="24"/>
        </w:rPr>
        <w:t>.</w:t>
      </w:r>
      <w:r>
        <w:rPr>
          <w:sz w:val="24"/>
        </w:rPr>
        <w:t>10目：</w:t>
      </w:r>
    </w:p>
    <w:p>
      <w:pPr>
        <w:adjustRightInd w:val="0"/>
        <w:snapToGrid w:val="0"/>
        <w:spacing w:line="360" w:lineRule="auto"/>
        <w:ind w:firstLine="720" w:firstLineChars="300"/>
        <w:rPr>
          <w:sz w:val="24"/>
        </w:rPr>
      </w:pPr>
      <w:r>
        <w:rPr>
          <w:sz w:val="24"/>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rPr>
      </w:pPr>
      <w:r>
        <w:rPr>
          <w:rFonts w:eastAsia="黑体"/>
          <w:sz w:val="24"/>
        </w:rPr>
        <w:t>1.1.2合同当事人和人员</w:t>
      </w:r>
    </w:p>
    <w:p>
      <w:pPr>
        <w:adjustRightInd w:val="0"/>
        <w:snapToGrid w:val="0"/>
        <w:spacing w:line="360" w:lineRule="auto"/>
        <w:ind w:firstLine="720" w:firstLineChars="300"/>
        <w:rPr>
          <w:sz w:val="24"/>
          <w:u w:val="single"/>
        </w:rPr>
      </w:pPr>
      <w:r>
        <w:rPr>
          <w:sz w:val="24"/>
        </w:rPr>
        <w:t>1</w:t>
      </w:r>
      <w:r>
        <w:rPr>
          <w:rFonts w:hint="eastAsia"/>
          <w:sz w:val="24"/>
        </w:rPr>
        <w:t>.</w:t>
      </w:r>
      <w:r>
        <w:rPr>
          <w:sz w:val="24"/>
        </w:rPr>
        <w:t>1.2.2发包人：</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rFonts w:hint="eastAsia"/>
          <w:sz w:val="24"/>
        </w:rPr>
        <w:t>1.1</w:t>
      </w:r>
      <w:r>
        <w:rPr>
          <w:sz w:val="24"/>
        </w:rPr>
        <w:t>.2.6监理人</w:t>
      </w:r>
      <w:r>
        <w:rPr>
          <w:rFonts w:hint="eastAsia"/>
          <w:sz w:val="24"/>
        </w:rPr>
        <w:t>：</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sz w:val="24"/>
        </w:rPr>
        <w:t>本项增加第1</w:t>
      </w:r>
      <w:r>
        <w:rPr>
          <w:rFonts w:hint="eastAsia"/>
          <w:sz w:val="24"/>
        </w:rPr>
        <w:t>.</w:t>
      </w:r>
      <w:r>
        <w:rPr>
          <w:sz w:val="24"/>
        </w:rPr>
        <w:t>1.2.8目：</w:t>
      </w:r>
    </w:p>
    <w:p>
      <w:pPr>
        <w:adjustRightInd w:val="0"/>
        <w:snapToGrid w:val="0"/>
        <w:spacing w:line="360" w:lineRule="auto"/>
        <w:ind w:firstLine="720" w:firstLineChars="300"/>
        <w:rPr>
          <w:sz w:val="24"/>
        </w:rPr>
      </w:pPr>
      <w:r>
        <w:rPr>
          <w:sz w:val="24"/>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w:t>
      </w:r>
      <w:r>
        <w:rPr>
          <w:rFonts w:hint="eastAsia" w:eastAsia="黑体"/>
          <w:sz w:val="24"/>
        </w:rPr>
        <w:t>.</w:t>
      </w:r>
      <w:r>
        <w:rPr>
          <w:rFonts w:eastAsia="黑体"/>
          <w:sz w:val="24"/>
        </w:rPr>
        <w:t>3工程和设备</w:t>
      </w:r>
    </w:p>
    <w:p>
      <w:pPr>
        <w:adjustRightInd w:val="0"/>
        <w:snapToGrid w:val="0"/>
        <w:spacing w:line="360" w:lineRule="auto"/>
        <w:ind w:firstLine="720" w:firstLineChars="300"/>
        <w:rPr>
          <w:sz w:val="24"/>
        </w:rPr>
      </w:pPr>
      <w:r>
        <w:rPr>
          <w:sz w:val="24"/>
        </w:rPr>
        <w:t>1.1.3.4单位工程：指在建设项目中，根据签订的合同，具有独立施工条件的工程。</w:t>
      </w:r>
    </w:p>
    <w:p>
      <w:pPr>
        <w:adjustRightInd w:val="0"/>
        <w:snapToGrid w:val="0"/>
        <w:spacing w:line="360" w:lineRule="auto"/>
        <w:ind w:firstLine="720" w:firstLineChars="300"/>
        <w:rPr>
          <w:sz w:val="24"/>
        </w:rPr>
      </w:pPr>
      <w:r>
        <w:rPr>
          <w:sz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rPr>
      </w:pPr>
      <w:r>
        <w:rPr>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rPr>
      </w:pPr>
      <w:r>
        <w:rPr>
          <w:sz w:val="24"/>
        </w:rPr>
        <w:t>本项增加第1．1.3．12、1．1.3．13目：</w:t>
      </w:r>
    </w:p>
    <w:p>
      <w:pPr>
        <w:adjustRightInd w:val="0"/>
        <w:snapToGrid w:val="0"/>
        <w:spacing w:line="360" w:lineRule="auto"/>
        <w:ind w:firstLine="720" w:firstLineChars="300"/>
        <w:rPr>
          <w:sz w:val="24"/>
        </w:rPr>
      </w:pPr>
      <w:r>
        <w:rPr>
          <w:sz w:val="24"/>
        </w:rPr>
        <w:t>1</w:t>
      </w:r>
      <w:r>
        <w:rPr>
          <w:rFonts w:hint="eastAsia"/>
          <w:sz w:val="24"/>
        </w:rPr>
        <w:t>.</w:t>
      </w:r>
      <w:r>
        <w:rPr>
          <w:sz w:val="24"/>
        </w:rPr>
        <w:t>1.3.12分部工程：指在单位工程中，按结构部位、路段长度及施工特点或施工任务划分的若干个工程。</w:t>
      </w:r>
    </w:p>
    <w:p>
      <w:pPr>
        <w:adjustRightInd w:val="0"/>
        <w:snapToGrid w:val="0"/>
        <w:spacing w:line="360" w:lineRule="auto"/>
        <w:ind w:firstLine="720" w:firstLineChars="300"/>
        <w:rPr>
          <w:sz w:val="24"/>
        </w:rPr>
      </w:pPr>
      <w:r>
        <w:rPr>
          <w:sz w:val="24"/>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rPr>
      </w:pPr>
      <w:r>
        <w:rPr>
          <w:rFonts w:eastAsia="黑体"/>
          <w:sz w:val="24"/>
        </w:rPr>
        <w:t>1.1.4日期</w:t>
      </w:r>
    </w:p>
    <w:p>
      <w:pPr>
        <w:adjustRightInd w:val="0"/>
        <w:snapToGrid w:val="0"/>
        <w:spacing w:line="360" w:lineRule="auto"/>
        <w:ind w:firstLine="720" w:firstLineChars="300"/>
        <w:rPr>
          <w:sz w:val="24"/>
        </w:rPr>
      </w:pPr>
      <w:r>
        <w:rPr>
          <w:sz w:val="24"/>
        </w:rPr>
        <w:t>1.1.4.5缺陷责任期：自实际竣工日期起计算</w:t>
      </w:r>
      <w:r>
        <w:rPr>
          <w:rFonts w:hint="eastAsia"/>
          <w:sz w:val="24"/>
        </w:rPr>
        <w:t>1</w:t>
      </w:r>
      <w:r>
        <w:rPr>
          <w:sz w:val="24"/>
        </w:rPr>
        <w:t>年。</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1.6其他</w:t>
      </w:r>
    </w:p>
    <w:p>
      <w:pPr>
        <w:adjustRightInd w:val="0"/>
        <w:snapToGrid w:val="0"/>
        <w:spacing w:line="360" w:lineRule="auto"/>
        <w:ind w:firstLine="720" w:firstLineChars="300"/>
        <w:rPr>
          <w:sz w:val="24"/>
        </w:rPr>
      </w:pPr>
      <w:r>
        <w:rPr>
          <w:sz w:val="24"/>
        </w:rPr>
        <w:t>本项增加第1．1.6.2至1．1.6.5目：</w:t>
      </w:r>
    </w:p>
    <w:p>
      <w:pPr>
        <w:adjustRightInd w:val="0"/>
        <w:snapToGrid w:val="0"/>
        <w:spacing w:line="360" w:lineRule="auto"/>
        <w:ind w:firstLine="720" w:firstLineChars="300"/>
        <w:rPr>
          <w:sz w:val="24"/>
        </w:rPr>
      </w:pPr>
      <w:r>
        <w:rPr>
          <w:sz w:val="24"/>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rPr>
      </w:pPr>
      <w:r>
        <w:rPr>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rPr>
      </w:pPr>
      <w:r>
        <w:rPr>
          <w:sz w:val="24"/>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rPr>
      </w:pPr>
      <w:r>
        <w:rPr>
          <w:sz w:val="24"/>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sz w:val="24"/>
        </w:rPr>
      </w:pPr>
      <w:r>
        <w:rPr>
          <w:rFonts w:eastAsia="黑体"/>
          <w:sz w:val="24"/>
        </w:rPr>
        <w:t>1.4合同文件的优先顺序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rPr>
      </w:pPr>
      <w:r>
        <w:rPr>
          <w:sz w:val="24"/>
        </w:rPr>
        <w:t>（1</w:t>
      </w:r>
      <w:r>
        <w:rPr>
          <w:rFonts w:hint="eastAsia"/>
          <w:sz w:val="24"/>
        </w:rPr>
        <w:t>）</w:t>
      </w:r>
      <w:r>
        <w:rPr>
          <w:sz w:val="24"/>
        </w:rPr>
        <w:t>合同协议书及各种合同附件（含评标期间和合同谈判过程中的澄清文件和补充资料）；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）其他合同文件。</w:t>
      </w:r>
    </w:p>
    <w:p>
      <w:pPr>
        <w:adjustRightInd w:val="0"/>
        <w:snapToGrid w:val="0"/>
        <w:spacing w:beforeLines="100" w:line="360" w:lineRule="auto"/>
        <w:rPr>
          <w:rFonts w:eastAsia="黑体"/>
          <w:sz w:val="24"/>
        </w:rPr>
      </w:pPr>
      <w:r>
        <w:rPr>
          <w:rFonts w:eastAsia="黑体"/>
          <w:sz w:val="24"/>
        </w:rPr>
        <w:t>1.5合同协议书</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制备本合同文件的费用由发包人承担。在合同协议书签订并生效之前，投标函和中标通知书将约束双方。</w:t>
      </w:r>
    </w:p>
    <w:p>
      <w:pPr>
        <w:adjustRightInd w:val="0"/>
        <w:snapToGrid w:val="0"/>
        <w:spacing w:beforeLines="100" w:line="360" w:lineRule="auto"/>
        <w:rPr>
          <w:rFonts w:eastAsia="黑体"/>
          <w:sz w:val="24"/>
        </w:rPr>
      </w:pPr>
      <w:r>
        <w:rPr>
          <w:rFonts w:eastAsia="黑体"/>
          <w:sz w:val="24"/>
        </w:rPr>
        <w:t>1.6图纸和承包人文件</w:t>
      </w:r>
    </w:p>
    <w:p>
      <w:pPr>
        <w:adjustRightInd w:val="0"/>
        <w:snapToGrid w:val="0"/>
        <w:spacing w:line="360" w:lineRule="auto"/>
        <w:ind w:firstLine="480" w:firstLineChars="200"/>
        <w:rPr>
          <w:rFonts w:eastAsia="黑体"/>
          <w:sz w:val="24"/>
        </w:rPr>
      </w:pPr>
      <w:r>
        <w:rPr>
          <w:rFonts w:eastAsia="黑体"/>
          <w:sz w:val="24"/>
        </w:rPr>
        <w:t>1.6.1图纸的提供</w:t>
      </w:r>
    </w:p>
    <w:p>
      <w:pPr>
        <w:adjustRightInd w:val="0"/>
        <w:snapToGrid w:val="0"/>
        <w:spacing w:line="360" w:lineRule="auto"/>
        <w:ind w:firstLine="480" w:firstLineChars="200"/>
        <w:rPr>
          <w:sz w:val="24"/>
        </w:rPr>
      </w:pPr>
      <w:r>
        <w:rPr>
          <w:rFonts w:hint="eastAsia"/>
          <w:sz w:val="24"/>
        </w:rPr>
        <w:t>本项细化为：</w:t>
      </w:r>
    </w:p>
    <w:p>
      <w:pPr>
        <w:adjustRightInd w:val="0"/>
        <w:snapToGrid w:val="0"/>
        <w:spacing w:line="360" w:lineRule="auto"/>
        <w:ind w:firstLine="480" w:firstLineChars="200"/>
        <w:rPr>
          <w:sz w:val="24"/>
        </w:rPr>
      </w:pPr>
      <w:r>
        <w:rPr>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rPr>
      </w:pPr>
      <w:r>
        <w:rPr>
          <w:rFonts w:eastAsia="黑体"/>
          <w:sz w:val="24"/>
        </w:rPr>
        <w:t>1.6.2承包人提供的文件</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rPr>
      </w:pPr>
      <w:r>
        <w:rPr>
          <w:rFonts w:eastAsia="黑体"/>
          <w:sz w:val="24"/>
        </w:rPr>
        <w:t>1.6.3图纸的修改</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rPr>
      </w:pPr>
      <w:r>
        <w:rPr>
          <w:rFonts w:eastAsia="黑体"/>
          <w:sz w:val="24"/>
        </w:rPr>
        <w:t>1.6.4图纸的错误</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sz w:val="24"/>
        </w:rPr>
      </w:pPr>
      <w:r>
        <w:rPr>
          <w:rFonts w:eastAsia="黑体"/>
          <w:sz w:val="24"/>
        </w:rPr>
        <w:t>1.7联络</w:t>
      </w:r>
    </w:p>
    <w:p>
      <w:pPr>
        <w:adjustRightInd w:val="0"/>
        <w:snapToGrid w:val="0"/>
        <w:spacing w:line="360" w:lineRule="auto"/>
        <w:ind w:firstLine="480" w:firstLineChars="200"/>
        <w:rPr>
          <w:rFonts w:eastAsia="黑体"/>
          <w:sz w:val="24"/>
        </w:rPr>
      </w:pPr>
      <w:r>
        <w:rPr>
          <w:rFonts w:eastAsia="黑体"/>
          <w:sz w:val="24"/>
        </w:rPr>
        <w:t>1.7.2来往函件送达的期限：</w:t>
      </w:r>
      <w:r>
        <w:rPr>
          <w:rFonts w:hint="eastAsia" w:eastAsia="黑体"/>
          <w:sz w:val="24"/>
          <w:u w:val="single"/>
        </w:rPr>
        <w:t xml:space="preserve">  （见项目专用合同条款）  </w:t>
      </w:r>
    </w:p>
    <w:p>
      <w:pPr>
        <w:adjustRightInd w:val="0"/>
        <w:snapToGrid w:val="0"/>
        <w:spacing w:beforeLines="100" w:line="360" w:lineRule="auto"/>
        <w:rPr>
          <w:rFonts w:eastAsia="黑体"/>
          <w:sz w:val="24"/>
        </w:rPr>
      </w:pPr>
      <w:r>
        <w:rPr>
          <w:rFonts w:eastAsia="黑体"/>
          <w:sz w:val="24"/>
        </w:rPr>
        <w:t>1.9严禁贿赔</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sz w:val="24"/>
        </w:rPr>
      </w:pPr>
      <w:r>
        <w:rPr>
          <w:rFonts w:eastAsia="黑体"/>
          <w:sz w:val="24"/>
        </w:rPr>
        <w:t>2</w:t>
      </w:r>
      <w:r>
        <w:rPr>
          <w:rFonts w:hint="eastAsia" w:eastAsia="黑体"/>
          <w:sz w:val="24"/>
        </w:rPr>
        <w:t>．</w:t>
      </w:r>
      <w:r>
        <w:rPr>
          <w:rFonts w:eastAsia="黑体"/>
          <w:sz w:val="24"/>
        </w:rPr>
        <w:t>发包人义务</w:t>
      </w:r>
    </w:p>
    <w:p>
      <w:pPr>
        <w:adjustRightInd w:val="0"/>
        <w:snapToGrid w:val="0"/>
        <w:spacing w:line="360" w:lineRule="auto"/>
        <w:rPr>
          <w:rFonts w:eastAsia="黑体"/>
          <w:sz w:val="24"/>
        </w:rPr>
      </w:pPr>
      <w:r>
        <w:rPr>
          <w:rFonts w:eastAsia="黑体"/>
          <w:sz w:val="24"/>
        </w:rPr>
        <w:t>2.3提供施工场地</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2.3.1提供永久占地</w:t>
      </w:r>
    </w:p>
    <w:p>
      <w:pPr>
        <w:adjustRightInd w:val="0"/>
        <w:snapToGrid w:val="0"/>
        <w:spacing w:line="360" w:lineRule="auto"/>
        <w:ind w:firstLine="480" w:firstLineChars="200"/>
        <w:rPr>
          <w:sz w:val="24"/>
        </w:rPr>
      </w:pPr>
      <w:r>
        <w:rPr>
          <w:sz w:val="24"/>
        </w:rPr>
        <w:t>（1</w:t>
      </w:r>
      <w:r>
        <w:rPr>
          <w:rFonts w:hint="eastAsia"/>
          <w:sz w:val="24"/>
        </w:rPr>
        <w:t>）</w:t>
      </w:r>
      <w:r>
        <w:rPr>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rPr>
      </w:pPr>
      <w:r>
        <w:rPr>
          <w:sz w:val="24"/>
        </w:rPr>
        <w:t>2.3.2提供临时占地</w:t>
      </w:r>
    </w:p>
    <w:p>
      <w:pPr>
        <w:adjustRightInd w:val="0"/>
        <w:snapToGrid w:val="0"/>
        <w:spacing w:line="360" w:lineRule="auto"/>
        <w:ind w:firstLine="480" w:firstLineChars="20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sz w:val="24"/>
        </w:rPr>
      </w:pPr>
      <w:r>
        <w:rPr>
          <w:rFonts w:eastAsia="黑体"/>
          <w:sz w:val="24"/>
        </w:rPr>
        <w:t>2.8其他义务</w:t>
      </w:r>
    </w:p>
    <w:p>
      <w:pPr>
        <w:adjustRightInd w:val="0"/>
        <w:snapToGrid w:val="0"/>
        <w:spacing w:line="360" w:lineRule="auto"/>
        <w:ind w:firstLine="480" w:firstLineChars="200"/>
        <w:rPr>
          <w:sz w:val="24"/>
          <w:u w:val="single"/>
        </w:rPr>
      </w:pPr>
      <w:r>
        <w:rPr>
          <w:sz w:val="24"/>
        </w:rPr>
        <w:t>发包人应履行的其他义务</w:t>
      </w:r>
      <w:r>
        <w:rPr>
          <w:rFonts w:hint="eastAsia"/>
          <w:sz w:val="24"/>
        </w:rPr>
        <w:t>：</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eastAsia="黑体"/>
          <w:sz w:val="24"/>
        </w:rPr>
        <w:t>3</w:t>
      </w:r>
      <w:r>
        <w:rPr>
          <w:rFonts w:hint="eastAsia" w:eastAsia="黑体"/>
          <w:sz w:val="24"/>
        </w:rPr>
        <w:t>．</w:t>
      </w:r>
      <w:r>
        <w:rPr>
          <w:rFonts w:eastAsia="黑体"/>
          <w:sz w:val="24"/>
        </w:rPr>
        <w:t>监理人</w:t>
      </w:r>
    </w:p>
    <w:p>
      <w:pPr>
        <w:adjustRightInd w:val="0"/>
        <w:snapToGrid w:val="0"/>
        <w:spacing w:line="360" w:lineRule="auto"/>
        <w:rPr>
          <w:rFonts w:eastAsia="黑体"/>
          <w:sz w:val="24"/>
        </w:rPr>
      </w:pPr>
      <w:r>
        <w:rPr>
          <w:rFonts w:eastAsia="黑体"/>
          <w:sz w:val="24"/>
        </w:rPr>
        <w:t>3.1监理人的职责和权力</w:t>
      </w:r>
    </w:p>
    <w:p>
      <w:pPr>
        <w:adjustRightInd w:val="0"/>
        <w:snapToGrid w:val="0"/>
        <w:spacing w:line="360" w:lineRule="auto"/>
        <w:ind w:firstLine="480" w:firstLineChars="200"/>
        <w:rPr>
          <w:sz w:val="24"/>
        </w:rPr>
      </w:pPr>
      <w:r>
        <w:rPr>
          <w:sz w:val="24"/>
        </w:rPr>
        <w:t>3.1</w:t>
      </w:r>
      <w:r>
        <w:rPr>
          <w:rFonts w:hint="eastAsia"/>
          <w:sz w:val="24"/>
        </w:rPr>
        <w:t>.</w:t>
      </w:r>
      <w:r>
        <w:rPr>
          <w:sz w:val="24"/>
        </w:rPr>
        <w:t>1项补充：</w:t>
      </w:r>
    </w:p>
    <w:p>
      <w:pPr>
        <w:adjustRightInd w:val="0"/>
        <w:snapToGrid w:val="0"/>
        <w:spacing w:line="360" w:lineRule="auto"/>
        <w:ind w:firstLine="480" w:firstLineChars="200"/>
        <w:rPr>
          <w:sz w:val="24"/>
        </w:rPr>
      </w:pPr>
      <w:r>
        <w:rPr>
          <w:sz w:val="24"/>
        </w:rPr>
        <w:t>监理人在行使下列权力前需要经发包人事先批准：</w:t>
      </w:r>
    </w:p>
    <w:p>
      <w:pPr>
        <w:adjustRightInd w:val="0"/>
        <w:snapToGrid w:val="0"/>
        <w:spacing w:line="360" w:lineRule="auto"/>
        <w:ind w:firstLine="480" w:firstLineChars="200"/>
        <w:rPr>
          <w:sz w:val="24"/>
        </w:rPr>
      </w:pPr>
      <w:r>
        <w:rPr>
          <w:sz w:val="24"/>
        </w:rPr>
        <w:t>（1</w:t>
      </w:r>
      <w:r>
        <w:rPr>
          <w:rFonts w:hint="eastAsia"/>
          <w:sz w:val="24"/>
        </w:rPr>
        <w:t>）</w:t>
      </w:r>
      <w:r>
        <w:rPr>
          <w:sz w:val="24"/>
        </w:rPr>
        <w:t>根据第4.3款，同意分包本工程的某非主体和关键性工作；</w:t>
      </w:r>
    </w:p>
    <w:p>
      <w:pPr>
        <w:adjustRightInd w:val="0"/>
        <w:snapToGrid w:val="0"/>
        <w:spacing w:line="360" w:lineRule="auto"/>
        <w:ind w:firstLine="480" w:firstLineChars="200"/>
        <w:rPr>
          <w:sz w:val="24"/>
        </w:rPr>
      </w:pPr>
      <w:r>
        <w:rPr>
          <w:sz w:val="24"/>
        </w:rPr>
        <w:t>（2）确定第4.11款下产生的费用增加额；</w:t>
      </w:r>
    </w:p>
    <w:p>
      <w:pPr>
        <w:adjustRightInd w:val="0"/>
        <w:snapToGrid w:val="0"/>
        <w:spacing w:line="360" w:lineRule="auto"/>
        <w:ind w:firstLine="480" w:firstLineChars="200"/>
        <w:rPr>
          <w:sz w:val="24"/>
        </w:rPr>
      </w:pPr>
      <w:r>
        <w:rPr>
          <w:rFonts w:hint="eastAsia"/>
          <w:sz w:val="24"/>
        </w:rPr>
        <w:t>（</w:t>
      </w:r>
      <w:r>
        <w:rPr>
          <w:sz w:val="24"/>
        </w:rPr>
        <w:t>3）根据第11</w:t>
      </w:r>
      <w:r>
        <w:rPr>
          <w:rFonts w:hint="eastAsia"/>
          <w:sz w:val="24"/>
        </w:rPr>
        <w:t>.</w:t>
      </w:r>
      <w:r>
        <w:rPr>
          <w:sz w:val="24"/>
        </w:rPr>
        <w:t>1款、12.3款、12.4款发布开工通知、暂停施工指示或复工通矢日；</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决定第11.3款、11.4款下的工期延长；</w:t>
      </w:r>
    </w:p>
    <w:p>
      <w:pPr>
        <w:adjustRightInd w:val="0"/>
        <w:snapToGrid w:val="0"/>
        <w:spacing w:line="360" w:lineRule="auto"/>
        <w:ind w:firstLine="480" w:firstLineChars="200"/>
        <w:rPr>
          <w:sz w:val="24"/>
        </w:rPr>
      </w:pPr>
      <w:r>
        <w:rPr>
          <w:sz w:val="24"/>
        </w:rPr>
        <w:t>（5</w:t>
      </w:r>
      <w:r>
        <w:rPr>
          <w:rFonts w:hint="eastAsia"/>
          <w:sz w:val="24"/>
        </w:rPr>
        <w:t>）</w:t>
      </w:r>
      <w:r>
        <w:rPr>
          <w:sz w:val="24"/>
        </w:rPr>
        <w:t>审查批准技术规范或设计的变更；</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rPr>
      </w:pPr>
      <w:r>
        <w:rPr>
          <w:sz w:val="24"/>
        </w:rPr>
        <w:t>（7）确定第23.1款项下的索赔额；</w:t>
      </w:r>
    </w:p>
    <w:p>
      <w:pPr>
        <w:adjustRightInd w:val="0"/>
        <w:snapToGrid w:val="0"/>
        <w:spacing w:line="360" w:lineRule="auto"/>
        <w:ind w:firstLine="480" w:firstLineChars="200"/>
        <w:rPr>
          <w:sz w:val="24"/>
        </w:rPr>
      </w:pPr>
      <w:r>
        <w:rPr>
          <w:sz w:val="24"/>
        </w:rPr>
        <w:t>（8</w:t>
      </w:r>
      <w:r>
        <w:rPr>
          <w:rFonts w:hint="eastAsia"/>
          <w:sz w:val="24"/>
        </w:rPr>
        <w:t>）</w:t>
      </w:r>
      <w:r>
        <w:rPr>
          <w:sz w:val="24"/>
        </w:rPr>
        <w:t>按照第15.6款决定有关暂列金额的使用；</w:t>
      </w:r>
    </w:p>
    <w:p>
      <w:pPr>
        <w:adjustRightInd w:val="0"/>
        <w:snapToGrid w:val="0"/>
        <w:spacing w:line="360" w:lineRule="auto"/>
        <w:ind w:firstLine="480" w:firstLineChars="200"/>
        <w:rPr>
          <w:sz w:val="24"/>
        </w:rPr>
      </w:pPr>
      <w:r>
        <w:rPr>
          <w:sz w:val="24"/>
        </w:rPr>
        <w:t>（9</w:t>
      </w:r>
      <w:r>
        <w:rPr>
          <w:rFonts w:hint="eastAsia"/>
          <w:sz w:val="24"/>
        </w:rPr>
        <w:t>）</w:t>
      </w:r>
      <w:r>
        <w:rPr>
          <w:sz w:val="24"/>
        </w:rPr>
        <w:t>确定第15.8款项下的暂估价金额；</w:t>
      </w:r>
    </w:p>
    <w:p>
      <w:pPr>
        <w:adjustRightInd w:val="0"/>
        <w:snapToGrid w:val="0"/>
        <w:spacing w:line="360" w:lineRule="auto"/>
        <w:ind w:firstLine="480" w:firstLineChars="200"/>
        <w:rPr>
          <w:sz w:val="24"/>
        </w:rPr>
      </w:pPr>
      <w:r>
        <w:rPr>
          <w:sz w:val="24"/>
        </w:rPr>
        <w:t>（10</w:t>
      </w:r>
      <w:r>
        <w:rPr>
          <w:rFonts w:hint="eastAsia"/>
          <w:sz w:val="24"/>
        </w:rPr>
        <w:t>）</w:t>
      </w:r>
      <w:r>
        <w:rPr>
          <w:sz w:val="24"/>
        </w:rPr>
        <w:t>确定第15.4款下变更工作的单价。</w:t>
      </w:r>
    </w:p>
    <w:p>
      <w:pPr>
        <w:adjustRightInd w:val="0"/>
        <w:snapToGrid w:val="0"/>
        <w:spacing w:line="360" w:lineRule="auto"/>
        <w:ind w:firstLine="480" w:firstLineChars="20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sz w:val="24"/>
        </w:rPr>
      </w:pPr>
      <w:r>
        <w:rPr>
          <w:rFonts w:eastAsia="黑体"/>
          <w:sz w:val="24"/>
        </w:rPr>
        <w:t>3.5商定或确定</w:t>
      </w:r>
    </w:p>
    <w:p>
      <w:pPr>
        <w:adjustRightInd w:val="0"/>
        <w:snapToGrid w:val="0"/>
        <w:spacing w:line="360" w:lineRule="auto"/>
        <w:ind w:firstLine="480" w:firstLineChars="200"/>
        <w:rPr>
          <w:rFonts w:eastAsia="黑体"/>
          <w:sz w:val="24"/>
        </w:rPr>
      </w:pPr>
      <w:r>
        <w:rPr>
          <w:rFonts w:eastAsia="黑体"/>
          <w:sz w:val="24"/>
        </w:rPr>
        <w:t>3.5</w:t>
      </w:r>
      <w:r>
        <w:rPr>
          <w:rFonts w:hint="eastAsia" w:eastAsia="黑体"/>
          <w:sz w:val="24"/>
        </w:rPr>
        <w:t>.</w:t>
      </w:r>
      <w:r>
        <w:rPr>
          <w:rFonts w:eastAsia="黑体"/>
          <w:sz w:val="24"/>
        </w:rPr>
        <w:t>1项补充：</w:t>
      </w:r>
    </w:p>
    <w:p>
      <w:pPr>
        <w:adjustRightInd w:val="0"/>
        <w:snapToGrid w:val="0"/>
        <w:spacing w:line="360" w:lineRule="auto"/>
        <w:ind w:firstLine="480" w:firstLineChars="200"/>
        <w:rPr>
          <w:sz w:val="24"/>
        </w:rPr>
      </w:pPr>
      <w:r>
        <w:rPr>
          <w:sz w:val="24"/>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sz w:val="24"/>
        </w:rPr>
      </w:pPr>
      <w:r>
        <w:rPr>
          <w:rFonts w:eastAsia="黑体"/>
          <w:sz w:val="24"/>
        </w:rPr>
        <w:t>4</w:t>
      </w:r>
      <w:r>
        <w:rPr>
          <w:rFonts w:hint="eastAsia" w:eastAsia="黑体"/>
          <w:sz w:val="24"/>
        </w:rPr>
        <w:t>．</w:t>
      </w:r>
      <w:r>
        <w:rPr>
          <w:rFonts w:eastAsia="黑体"/>
          <w:sz w:val="24"/>
        </w:rPr>
        <w:t>承包人</w:t>
      </w:r>
    </w:p>
    <w:p>
      <w:pPr>
        <w:adjustRightInd w:val="0"/>
        <w:snapToGrid w:val="0"/>
        <w:spacing w:line="360" w:lineRule="auto"/>
        <w:rPr>
          <w:rFonts w:eastAsia="黑体"/>
          <w:sz w:val="24"/>
        </w:rPr>
      </w:pPr>
      <w:r>
        <w:rPr>
          <w:rFonts w:eastAsia="黑体"/>
          <w:sz w:val="24"/>
        </w:rPr>
        <w:t>4.1承包人的一般义务</w:t>
      </w:r>
    </w:p>
    <w:p>
      <w:pPr>
        <w:adjustRightInd w:val="0"/>
        <w:snapToGrid w:val="0"/>
        <w:spacing w:line="360" w:lineRule="auto"/>
        <w:ind w:firstLine="480" w:firstLineChars="200"/>
        <w:rPr>
          <w:rFonts w:eastAsia="黑体"/>
          <w:sz w:val="24"/>
        </w:rPr>
      </w:pPr>
      <w:r>
        <w:rPr>
          <w:rFonts w:eastAsia="黑体"/>
          <w:sz w:val="24"/>
        </w:rPr>
        <w:t>4</w:t>
      </w:r>
      <w:r>
        <w:rPr>
          <w:rFonts w:hint="eastAsia" w:eastAsia="黑体"/>
          <w:sz w:val="24"/>
        </w:rPr>
        <w:t>.</w:t>
      </w:r>
      <w:r>
        <w:rPr>
          <w:rFonts w:eastAsia="黑体"/>
          <w:sz w:val="24"/>
        </w:rPr>
        <w:t>1.2依法纳税</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承包人应按有关法律规定纳税。应缴纳的税费应按项目专用合同条款的约定：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包括在工程量清单第100章相应的支付子目中；或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分摊在工程量清单各工程子目的单价或总额价内。</w:t>
      </w:r>
    </w:p>
    <w:p>
      <w:pPr>
        <w:adjustRightInd w:val="0"/>
        <w:snapToGrid w:val="0"/>
        <w:spacing w:line="360" w:lineRule="auto"/>
        <w:ind w:firstLine="480" w:firstLineChars="200"/>
        <w:rPr>
          <w:rFonts w:eastAsia="黑体"/>
          <w:sz w:val="24"/>
        </w:rPr>
      </w:pPr>
      <w:r>
        <w:rPr>
          <w:rFonts w:eastAsia="黑体"/>
          <w:sz w:val="24"/>
        </w:rPr>
        <w:t>4.1.8为他人提供方便</w:t>
      </w:r>
    </w:p>
    <w:p>
      <w:pPr>
        <w:adjustRightInd w:val="0"/>
        <w:snapToGrid w:val="0"/>
        <w:spacing w:line="360" w:lineRule="auto"/>
        <w:ind w:firstLine="480" w:firstLineChars="200"/>
        <w:rPr>
          <w:sz w:val="24"/>
        </w:rPr>
      </w:pPr>
      <w:r>
        <w:rPr>
          <w:sz w:val="24"/>
        </w:rPr>
        <w:t>承包人为他人提供条件的内容：</w:t>
      </w:r>
      <w:r>
        <w:rPr>
          <w:rFonts w:hint="eastAsia" w:ascii="宋体" w:hAnsi="宋体"/>
          <w:sz w:val="24"/>
          <w:u w:val="single"/>
        </w:rPr>
        <w:t xml:space="preserve">  （见项目专用合同条款）  </w:t>
      </w:r>
    </w:p>
    <w:p>
      <w:pPr>
        <w:adjustRightInd w:val="0"/>
        <w:snapToGrid w:val="0"/>
        <w:spacing w:line="360" w:lineRule="auto"/>
        <w:ind w:firstLine="480" w:firstLineChars="200"/>
        <w:rPr>
          <w:rFonts w:eastAsia="黑体"/>
          <w:sz w:val="24"/>
          <w:u w:val="single"/>
        </w:rPr>
      </w:pPr>
      <w:r>
        <w:rPr>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360" w:lineRule="auto"/>
        <w:ind w:firstLine="480" w:firstLineChars="200"/>
        <w:rPr>
          <w:rFonts w:eastAsia="黑体"/>
          <w:sz w:val="24"/>
        </w:rPr>
      </w:pPr>
      <w:r>
        <w:rPr>
          <w:rFonts w:eastAsia="黑体"/>
          <w:sz w:val="24"/>
        </w:rPr>
        <w:t>4.1.9工程的维护和照管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rPr>
      </w:pPr>
      <w:r>
        <w:rPr>
          <w:rFonts w:eastAsia="黑体"/>
          <w:sz w:val="24"/>
        </w:rPr>
        <w:t>4.1</w:t>
      </w:r>
      <w:r>
        <w:rPr>
          <w:rFonts w:hint="eastAsia" w:eastAsia="黑体"/>
          <w:sz w:val="24"/>
        </w:rPr>
        <w:t>.</w:t>
      </w:r>
      <w:r>
        <w:rPr>
          <w:rFonts w:eastAsia="黑体"/>
          <w:sz w:val="24"/>
        </w:rPr>
        <w:t>10其他义务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承包人应履行项目专用合同条款约定的其他义务。</w:t>
      </w:r>
    </w:p>
    <w:p>
      <w:pPr>
        <w:adjustRightInd w:val="0"/>
        <w:snapToGrid w:val="0"/>
        <w:spacing w:beforeLines="100" w:line="360" w:lineRule="auto"/>
        <w:rPr>
          <w:rFonts w:eastAsia="黑体"/>
          <w:sz w:val="24"/>
        </w:rPr>
      </w:pPr>
      <w:r>
        <w:rPr>
          <w:rFonts w:eastAsia="黑体"/>
          <w:sz w:val="24"/>
        </w:rPr>
        <w:t>4.2履约担保</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pPr>
        <w:adjustRightInd w:val="0"/>
        <w:snapToGrid w:val="0"/>
        <w:spacing w:beforeLines="100" w:line="360" w:lineRule="auto"/>
        <w:rPr>
          <w:rFonts w:eastAsia="黑体"/>
          <w:sz w:val="24"/>
        </w:rPr>
      </w:pPr>
      <w:r>
        <w:rPr>
          <w:rFonts w:eastAsia="黑体"/>
          <w:sz w:val="24"/>
        </w:rPr>
        <w:t>4.3分包</w:t>
      </w:r>
    </w:p>
    <w:p>
      <w:pPr>
        <w:adjustRightInd w:val="0"/>
        <w:snapToGrid w:val="0"/>
        <w:spacing w:line="360" w:lineRule="auto"/>
        <w:ind w:firstLine="480" w:firstLineChars="200"/>
        <w:rPr>
          <w:rFonts w:eastAsia="黑体"/>
          <w:sz w:val="24"/>
        </w:rPr>
      </w:pPr>
      <w:r>
        <w:rPr>
          <w:rFonts w:eastAsia="黑体"/>
          <w:sz w:val="24"/>
        </w:rPr>
        <w:t>4.3.2项细化为：</w:t>
      </w:r>
    </w:p>
    <w:p>
      <w:pPr>
        <w:adjustRightInd w:val="0"/>
        <w:snapToGrid w:val="0"/>
        <w:spacing w:line="360" w:lineRule="auto"/>
        <w:ind w:firstLine="480" w:firstLineChars="200"/>
        <w:rPr>
          <w:sz w:val="24"/>
        </w:rPr>
      </w:pPr>
      <w:r>
        <w:rPr>
          <w:sz w:val="24"/>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rPr>
      </w:pPr>
      <w:r>
        <w:rPr>
          <w:rFonts w:eastAsia="黑体"/>
          <w:sz w:val="24"/>
        </w:rPr>
        <w:t>4.3.3项至4.3.5项细化为：</w:t>
      </w:r>
    </w:p>
    <w:p>
      <w:pPr>
        <w:adjustRightInd w:val="0"/>
        <w:snapToGrid w:val="0"/>
        <w:spacing w:line="360" w:lineRule="auto"/>
        <w:ind w:firstLine="480" w:firstLineChars="200"/>
        <w:rPr>
          <w:rFonts w:eastAsia="黑体"/>
          <w:sz w:val="24"/>
        </w:rPr>
      </w:pPr>
      <w:r>
        <w:rPr>
          <w:rFonts w:eastAsia="黑体"/>
          <w:sz w:val="24"/>
        </w:rPr>
        <w:t>4.3.3专业分包</w:t>
      </w:r>
    </w:p>
    <w:p>
      <w:pPr>
        <w:adjustRightInd w:val="0"/>
        <w:snapToGrid w:val="0"/>
        <w:spacing w:line="360" w:lineRule="auto"/>
        <w:ind w:firstLine="480" w:firstLineChars="200"/>
        <w:rPr>
          <w:sz w:val="24"/>
        </w:rPr>
      </w:pPr>
      <w:r>
        <w:rPr>
          <w:sz w:val="24"/>
        </w:rPr>
        <w:t>在工程施工过程中，承包人如有专业分包计划，则必须遵守以下规定：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允许专业分包的工程范围仅限于分部工程或分项工程、适合专业化队伍施工的工程，专业分包的工程量不得超过总工程量的30%</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rPr>
      </w:pPr>
      <w:r>
        <w:rPr>
          <w:sz w:val="24"/>
        </w:rPr>
        <w:t>（3</w:t>
      </w:r>
      <w:r>
        <w:rPr>
          <w:rFonts w:hint="eastAsia"/>
          <w:sz w:val="24"/>
        </w:rPr>
        <w:t>）</w:t>
      </w:r>
      <w:r>
        <w:rPr>
          <w:sz w:val="24"/>
        </w:rPr>
        <w:t>专业分包工程不得再次分包或转包；</w:t>
      </w:r>
    </w:p>
    <w:p>
      <w:pPr>
        <w:adjustRightInd w:val="0"/>
        <w:snapToGrid w:val="0"/>
        <w:spacing w:line="360" w:lineRule="auto"/>
        <w:ind w:firstLine="480" w:firstLineChars="200"/>
        <w:rPr>
          <w:sz w:val="24"/>
        </w:rPr>
      </w:pPr>
      <w:r>
        <w:rPr>
          <w:sz w:val="24"/>
        </w:rPr>
        <w:t>（4）承包人应对专业分包工程的工程质量及专业分包人职工的行为、违约和疏忽承担责任；</w:t>
      </w:r>
    </w:p>
    <w:p>
      <w:pPr>
        <w:adjustRightInd w:val="0"/>
        <w:snapToGrid w:val="0"/>
        <w:spacing w:line="360" w:lineRule="auto"/>
        <w:ind w:firstLine="480" w:firstLineChars="200"/>
        <w:rPr>
          <w:sz w:val="24"/>
        </w:rPr>
      </w:pP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rPr>
      </w:pP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rPr>
      </w:pP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rFonts w:eastAsia="黑体"/>
          <w:sz w:val="24"/>
        </w:rPr>
      </w:pPr>
      <w:r>
        <w:rPr>
          <w:rFonts w:eastAsia="黑体"/>
          <w:sz w:val="24"/>
        </w:rPr>
        <w:t>4.3.4劳务分包</w:t>
      </w:r>
    </w:p>
    <w:p>
      <w:pPr>
        <w:adjustRightInd w:val="0"/>
        <w:snapToGrid w:val="0"/>
        <w:spacing w:line="360" w:lineRule="auto"/>
        <w:ind w:firstLine="480" w:firstLineChars="200"/>
        <w:rPr>
          <w:sz w:val="24"/>
        </w:rPr>
      </w:pPr>
      <w:r>
        <w:rPr>
          <w:sz w:val="24"/>
        </w:rPr>
        <w:t>在工程施工过程中，承包人如有劳务分包计划，则必须遵守以下规定：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rPr>
      </w:pPr>
      <w:r>
        <w:rPr>
          <w:sz w:val="24"/>
        </w:rPr>
        <w:t>（3</w:t>
      </w:r>
      <w:r>
        <w:rPr>
          <w:rFonts w:hint="eastAsia"/>
          <w:sz w:val="24"/>
        </w:rPr>
        <w:t>）</w:t>
      </w:r>
      <w:r>
        <w:rPr>
          <w:sz w:val="24"/>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rPr>
      </w:pPr>
      <w:r>
        <w:rPr>
          <w:sz w:val="24"/>
        </w:rPr>
        <w:t>（4）承包人应对劳务分包人职工的行为、违约和疏忽所造成的后果负完全连带责任。</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beforeLines="100" w:line="360" w:lineRule="auto"/>
        <w:rPr>
          <w:rFonts w:eastAsia="黑体"/>
          <w:sz w:val="24"/>
        </w:rPr>
      </w:pPr>
      <w:r>
        <w:rPr>
          <w:rFonts w:eastAsia="黑体"/>
          <w:sz w:val="24"/>
        </w:rPr>
        <w:t>4.4联合体</w:t>
      </w:r>
    </w:p>
    <w:p>
      <w:pPr>
        <w:adjustRightInd w:val="0"/>
        <w:snapToGrid w:val="0"/>
        <w:spacing w:line="360" w:lineRule="auto"/>
        <w:ind w:firstLine="480" w:firstLineChars="200"/>
        <w:rPr>
          <w:sz w:val="24"/>
        </w:rPr>
      </w:pPr>
      <w:r>
        <w:rPr>
          <w:sz w:val="24"/>
        </w:rPr>
        <w:t>本款增加第4.4.4项：</w:t>
      </w:r>
    </w:p>
    <w:p>
      <w:pPr>
        <w:adjustRightInd w:val="0"/>
        <w:snapToGrid w:val="0"/>
        <w:spacing w:line="360" w:lineRule="auto"/>
        <w:ind w:firstLine="480" w:firstLineChars="200"/>
        <w:rPr>
          <w:sz w:val="24"/>
        </w:rPr>
      </w:pPr>
      <w:r>
        <w:rPr>
          <w:sz w:val="24"/>
        </w:rPr>
        <w:t>4.4.4未经发包人事先同意，联合体的组成与结构不得变动。</w:t>
      </w:r>
    </w:p>
    <w:p>
      <w:pPr>
        <w:adjustRightInd w:val="0"/>
        <w:snapToGrid w:val="0"/>
        <w:spacing w:beforeLines="100" w:line="360" w:lineRule="auto"/>
        <w:rPr>
          <w:rFonts w:eastAsia="黑体"/>
          <w:sz w:val="24"/>
        </w:rPr>
      </w:pPr>
      <w:r>
        <w:rPr>
          <w:rFonts w:eastAsia="黑体"/>
          <w:sz w:val="24"/>
        </w:rPr>
        <w:t>4.6承包人人员的管理</w:t>
      </w:r>
    </w:p>
    <w:p>
      <w:pPr>
        <w:adjustRightInd w:val="0"/>
        <w:snapToGrid w:val="0"/>
        <w:spacing w:line="360" w:lineRule="auto"/>
        <w:ind w:firstLine="480" w:firstLineChars="200"/>
        <w:rPr>
          <w:rFonts w:eastAsia="黑体"/>
          <w:sz w:val="24"/>
        </w:rPr>
      </w:pPr>
      <w:r>
        <w:rPr>
          <w:rFonts w:eastAsia="黑体"/>
          <w:sz w:val="24"/>
        </w:rPr>
        <w:t>4.6.3项细化为：</w:t>
      </w:r>
    </w:p>
    <w:p>
      <w:pPr>
        <w:adjustRightInd w:val="0"/>
        <w:snapToGrid w:val="0"/>
        <w:spacing w:line="360" w:lineRule="auto"/>
        <w:ind w:firstLine="480" w:firstLineChars="20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pPr>
        <w:adjustRightInd w:val="0"/>
        <w:snapToGrid w:val="0"/>
        <w:spacing w:line="360" w:lineRule="auto"/>
        <w:ind w:firstLine="480" w:firstLineChars="200"/>
        <w:rPr>
          <w:sz w:val="24"/>
        </w:rPr>
      </w:pPr>
      <w:r>
        <w:rPr>
          <w:sz w:val="24"/>
        </w:rPr>
        <w:t>本款增加第4.6.5项：</w:t>
      </w:r>
    </w:p>
    <w:p>
      <w:pPr>
        <w:adjustRightInd w:val="0"/>
        <w:snapToGrid w:val="0"/>
        <w:spacing w:line="360" w:lineRule="auto"/>
        <w:ind w:firstLine="480" w:firstLineChars="200"/>
        <w:rPr>
          <w:sz w:val="24"/>
        </w:rPr>
      </w:pPr>
      <w:r>
        <w:rPr>
          <w:sz w:val="24"/>
        </w:rPr>
        <w:t>4.6.5尽管承包人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pPr>
        <w:adjustRightInd w:val="0"/>
        <w:snapToGrid w:val="0"/>
        <w:spacing w:beforeLines="100" w:line="360" w:lineRule="auto"/>
        <w:rPr>
          <w:rFonts w:eastAsia="黑体"/>
          <w:sz w:val="24"/>
        </w:rPr>
      </w:pPr>
      <w:r>
        <w:rPr>
          <w:rFonts w:eastAsia="黑体"/>
          <w:sz w:val="24"/>
        </w:rPr>
        <w:t>4.7撤换承包人项目经理和其他人员</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pPr>
        <w:adjustRightInd w:val="0"/>
        <w:snapToGrid w:val="0"/>
        <w:spacing w:beforeLines="100" w:line="360" w:lineRule="auto"/>
        <w:rPr>
          <w:rFonts w:eastAsia="黑体"/>
          <w:sz w:val="24"/>
        </w:rPr>
      </w:pPr>
      <w:r>
        <w:rPr>
          <w:rFonts w:eastAsia="黑体"/>
          <w:sz w:val="24"/>
        </w:rPr>
        <w:t>4.8保障承包人人员的合法权益</w:t>
      </w:r>
    </w:p>
    <w:p>
      <w:pPr>
        <w:adjustRightInd w:val="0"/>
        <w:snapToGrid w:val="0"/>
        <w:spacing w:line="360" w:lineRule="auto"/>
        <w:ind w:firstLine="480" w:firstLineChars="200"/>
        <w:rPr>
          <w:sz w:val="24"/>
        </w:rPr>
      </w:pPr>
      <w:r>
        <w:rPr>
          <w:sz w:val="24"/>
        </w:rPr>
        <w:t>本款增加第4.8.7项：</w:t>
      </w:r>
    </w:p>
    <w:p>
      <w:pPr>
        <w:adjustRightInd w:val="0"/>
        <w:snapToGrid w:val="0"/>
        <w:spacing w:line="360" w:lineRule="auto"/>
        <w:ind w:firstLine="480" w:firstLineChars="200"/>
        <w:rPr>
          <w:sz w:val="24"/>
        </w:rPr>
      </w:pPr>
      <w:r>
        <w:rPr>
          <w:sz w:val="24"/>
        </w:rPr>
        <w:t>4.8.7承包人应自费采取必须的卫生防护措施，经常保持现场及其驻地整洁和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sz w:val="24"/>
        </w:rPr>
      </w:pPr>
      <w:r>
        <w:rPr>
          <w:rFonts w:eastAsia="黑体"/>
          <w:sz w:val="24"/>
        </w:rPr>
        <w:t>4.10承包人现场查勘</w:t>
      </w:r>
    </w:p>
    <w:p>
      <w:pPr>
        <w:adjustRightInd w:val="0"/>
        <w:snapToGrid w:val="0"/>
        <w:spacing w:line="360" w:lineRule="auto"/>
        <w:ind w:firstLine="480" w:firstLineChars="200"/>
        <w:rPr>
          <w:sz w:val="24"/>
        </w:rPr>
      </w:pPr>
      <w:r>
        <w:rPr>
          <w:sz w:val="24"/>
        </w:rPr>
        <w:t>4.10.1项补充：</w:t>
      </w:r>
    </w:p>
    <w:p>
      <w:pPr>
        <w:adjustRightInd w:val="0"/>
        <w:snapToGrid w:val="0"/>
        <w:spacing w:line="360" w:lineRule="auto"/>
        <w:ind w:firstLine="480" w:firstLineChars="20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sz w:val="24"/>
        </w:rPr>
      </w:pPr>
      <w:r>
        <w:rPr>
          <w:rFonts w:eastAsia="黑体"/>
          <w:sz w:val="24"/>
        </w:rPr>
        <w:t>4.11不利物质条件</w:t>
      </w:r>
    </w:p>
    <w:p>
      <w:pPr>
        <w:adjustRightInd w:val="0"/>
        <w:snapToGrid w:val="0"/>
        <w:spacing w:line="360" w:lineRule="auto"/>
        <w:ind w:firstLine="480" w:firstLineChars="200"/>
        <w:rPr>
          <w:sz w:val="24"/>
        </w:rPr>
      </w:pPr>
      <w:r>
        <w:rPr>
          <w:sz w:val="24"/>
        </w:rPr>
        <w:t>4.11.1不利物质条件的范围：</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本款增加第4.11.3项：</w:t>
      </w:r>
    </w:p>
    <w:p>
      <w:pPr>
        <w:adjustRightInd w:val="0"/>
        <w:snapToGrid w:val="0"/>
        <w:spacing w:line="360" w:lineRule="auto"/>
        <w:ind w:firstLine="480" w:firstLineChars="200"/>
        <w:rPr>
          <w:sz w:val="24"/>
        </w:rPr>
      </w:pPr>
      <w:r>
        <w:rPr>
          <w:sz w:val="24"/>
        </w:rPr>
        <w:t>4.11.3可预见的不利物质条件</w:t>
      </w:r>
    </w:p>
    <w:p>
      <w:pPr>
        <w:adjustRightInd w:val="0"/>
        <w:snapToGrid w:val="0"/>
        <w:spacing w:line="360" w:lineRule="auto"/>
        <w:ind w:firstLine="480" w:firstLineChars="200"/>
        <w:rPr>
          <w:sz w:val="24"/>
        </w:rPr>
      </w:pP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rPr>
      </w:pP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增加第4.12款：</w:t>
      </w:r>
    </w:p>
    <w:p>
      <w:pPr>
        <w:adjustRightInd w:val="0"/>
        <w:snapToGrid w:val="0"/>
        <w:spacing w:line="360" w:lineRule="auto"/>
        <w:rPr>
          <w:rFonts w:eastAsia="黑体"/>
          <w:sz w:val="24"/>
        </w:rPr>
      </w:pPr>
      <w:r>
        <w:rPr>
          <w:rFonts w:eastAsia="黑体"/>
          <w:sz w:val="24"/>
        </w:rPr>
        <w:t>4.12投标文件的完备性</w:t>
      </w:r>
    </w:p>
    <w:p>
      <w:pPr>
        <w:adjustRightInd w:val="0"/>
        <w:snapToGrid w:val="0"/>
        <w:spacing w:line="360" w:lineRule="auto"/>
        <w:ind w:firstLine="480" w:firstLineChars="20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sz w:val="24"/>
        </w:rPr>
      </w:pPr>
      <w:r>
        <w:rPr>
          <w:rFonts w:eastAsia="黑体"/>
          <w:sz w:val="24"/>
        </w:rPr>
        <w:t>5</w:t>
      </w:r>
      <w:r>
        <w:rPr>
          <w:rFonts w:hint="eastAsia" w:eastAsia="黑体"/>
          <w:sz w:val="24"/>
        </w:rPr>
        <w:t>．</w:t>
      </w:r>
      <w:r>
        <w:rPr>
          <w:rFonts w:eastAsia="黑体"/>
          <w:sz w:val="24"/>
        </w:rPr>
        <w:t>材料和工程设备</w:t>
      </w:r>
    </w:p>
    <w:p>
      <w:pPr>
        <w:adjustRightInd w:val="0"/>
        <w:snapToGrid w:val="0"/>
        <w:spacing w:line="360" w:lineRule="auto"/>
        <w:rPr>
          <w:rFonts w:eastAsia="黑体"/>
          <w:sz w:val="24"/>
        </w:rPr>
      </w:pPr>
      <w:r>
        <w:rPr>
          <w:rFonts w:eastAsia="黑体"/>
          <w:sz w:val="24"/>
        </w:rPr>
        <w:t>5.2发包人提供的材料和工程设备</w:t>
      </w:r>
    </w:p>
    <w:p>
      <w:pPr>
        <w:adjustRightInd w:val="0"/>
        <w:snapToGrid w:val="0"/>
        <w:spacing w:line="360" w:lineRule="auto"/>
        <w:ind w:firstLine="480" w:firstLineChars="200"/>
        <w:rPr>
          <w:sz w:val="24"/>
        </w:rPr>
      </w:pPr>
      <w:r>
        <w:rPr>
          <w:sz w:val="24"/>
        </w:rPr>
        <w:t>5.2.3项补充：</w:t>
      </w:r>
    </w:p>
    <w:p>
      <w:pPr>
        <w:adjustRightInd w:val="0"/>
        <w:snapToGrid w:val="0"/>
        <w:spacing w:line="360" w:lineRule="auto"/>
        <w:ind w:firstLine="480" w:firstLineChars="20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rPr>
      </w:pPr>
      <w:r>
        <w:rPr>
          <w:rFonts w:eastAsia="黑体"/>
          <w:sz w:val="24"/>
        </w:rPr>
        <w:t>6</w:t>
      </w:r>
      <w:r>
        <w:rPr>
          <w:rFonts w:hint="eastAsia" w:eastAsia="黑体"/>
          <w:sz w:val="24"/>
        </w:rPr>
        <w:t>．</w:t>
      </w:r>
      <w:r>
        <w:rPr>
          <w:rFonts w:eastAsia="黑体"/>
          <w:sz w:val="24"/>
        </w:rPr>
        <w:t>施工设备和临时设施</w:t>
      </w:r>
    </w:p>
    <w:p>
      <w:pPr>
        <w:adjustRightInd w:val="0"/>
        <w:snapToGrid w:val="0"/>
        <w:spacing w:line="360" w:lineRule="auto"/>
        <w:rPr>
          <w:rFonts w:eastAsia="黑体"/>
          <w:sz w:val="24"/>
        </w:rPr>
      </w:pPr>
      <w:r>
        <w:rPr>
          <w:rFonts w:eastAsia="黑体"/>
          <w:sz w:val="24"/>
        </w:rPr>
        <w:t>6.2发包人提供的施工设备和临时设施</w:t>
      </w:r>
    </w:p>
    <w:p>
      <w:pPr>
        <w:adjustRightInd w:val="0"/>
        <w:snapToGrid w:val="0"/>
        <w:spacing w:line="360" w:lineRule="auto"/>
        <w:ind w:firstLine="480" w:firstLineChars="200"/>
        <w:rPr>
          <w:sz w:val="24"/>
        </w:rPr>
      </w:pPr>
      <w:r>
        <w:rPr>
          <w:sz w:val="24"/>
        </w:rPr>
        <w:t>发包人是否提供施工设备或临时设施：</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sz w:val="24"/>
        </w:rPr>
      </w:pPr>
      <w:r>
        <w:rPr>
          <w:rFonts w:eastAsia="黑体"/>
          <w:sz w:val="24"/>
        </w:rPr>
        <w:t>6.3要求承包人增加或更换施工设备</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sz w:val="24"/>
        </w:rPr>
      </w:pPr>
      <w:r>
        <w:rPr>
          <w:rFonts w:eastAsia="黑体"/>
          <w:sz w:val="24"/>
        </w:rPr>
        <w:t>7．交通运输</w:t>
      </w:r>
    </w:p>
    <w:p>
      <w:pPr>
        <w:adjustRightInd w:val="0"/>
        <w:snapToGrid w:val="0"/>
        <w:spacing w:line="360" w:lineRule="auto"/>
        <w:rPr>
          <w:rFonts w:eastAsia="黑体"/>
          <w:sz w:val="24"/>
        </w:rPr>
      </w:pPr>
      <w:r>
        <w:rPr>
          <w:rFonts w:eastAsia="黑体"/>
          <w:sz w:val="24"/>
        </w:rPr>
        <w:t>7.1道路通行权和场外设施</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道路通行权由承包人办理并承担费用，需要发包人协调时，发包人应协助承包人办理相关手续。</w:t>
      </w:r>
    </w:p>
    <w:p>
      <w:pPr>
        <w:adjustRightInd w:val="0"/>
        <w:snapToGrid w:val="0"/>
        <w:spacing w:beforeLines="100" w:line="360" w:lineRule="auto"/>
        <w:rPr>
          <w:rFonts w:eastAsia="黑体"/>
          <w:sz w:val="24"/>
        </w:rPr>
      </w:pPr>
      <w:r>
        <w:rPr>
          <w:rFonts w:eastAsia="黑体"/>
          <w:sz w:val="24"/>
        </w:rPr>
        <w:t>8</w:t>
      </w:r>
      <w:r>
        <w:rPr>
          <w:rFonts w:hint="eastAsia" w:eastAsia="黑体"/>
          <w:sz w:val="24"/>
        </w:rPr>
        <w:t>．</w:t>
      </w:r>
      <w:r>
        <w:rPr>
          <w:rFonts w:eastAsia="黑体"/>
          <w:sz w:val="24"/>
        </w:rPr>
        <w:t>测量放线</w:t>
      </w:r>
    </w:p>
    <w:p>
      <w:pPr>
        <w:adjustRightInd w:val="0"/>
        <w:snapToGrid w:val="0"/>
        <w:spacing w:line="360" w:lineRule="auto"/>
        <w:rPr>
          <w:rFonts w:eastAsia="黑体"/>
          <w:sz w:val="24"/>
        </w:rPr>
      </w:pPr>
      <w:r>
        <w:rPr>
          <w:rFonts w:eastAsia="黑体"/>
          <w:sz w:val="24"/>
        </w:rPr>
        <w:t>8.1施工控制网</w:t>
      </w:r>
    </w:p>
    <w:p>
      <w:pPr>
        <w:adjustRightInd w:val="0"/>
        <w:snapToGrid w:val="0"/>
        <w:spacing w:line="360" w:lineRule="auto"/>
        <w:ind w:firstLine="480" w:firstLineChars="200"/>
        <w:rPr>
          <w:sz w:val="24"/>
        </w:rPr>
      </w:pPr>
      <w:r>
        <w:rPr>
          <w:sz w:val="24"/>
        </w:rPr>
        <w:t>8.1．1项约定为：</w:t>
      </w:r>
    </w:p>
    <w:p>
      <w:pPr>
        <w:adjustRightInd w:val="0"/>
        <w:snapToGrid w:val="0"/>
        <w:spacing w:line="360" w:lineRule="auto"/>
        <w:ind w:firstLine="480" w:firstLineChars="20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pPr>
        <w:adjustRightInd w:val="0"/>
        <w:snapToGrid w:val="0"/>
        <w:spacing w:line="360" w:lineRule="auto"/>
        <w:ind w:firstLine="480" w:firstLineChars="200"/>
        <w:rPr>
          <w:sz w:val="24"/>
        </w:rPr>
      </w:pPr>
      <w:r>
        <w:rPr>
          <w:sz w:val="24"/>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sz w:val="24"/>
        </w:rPr>
      </w:pPr>
      <w:r>
        <w:rPr>
          <w:rFonts w:eastAsia="黑体"/>
          <w:sz w:val="24"/>
        </w:rPr>
        <w:t>8.2施工测量</w:t>
      </w:r>
    </w:p>
    <w:p>
      <w:pPr>
        <w:adjustRightInd w:val="0"/>
        <w:snapToGrid w:val="0"/>
        <w:spacing w:line="360" w:lineRule="auto"/>
        <w:ind w:firstLine="480" w:firstLineChars="200"/>
        <w:rPr>
          <w:sz w:val="24"/>
        </w:rPr>
      </w:pPr>
      <w:r>
        <w:rPr>
          <w:sz w:val="24"/>
        </w:rPr>
        <w:t>8.2.1项补充：</w:t>
      </w:r>
    </w:p>
    <w:p>
      <w:pPr>
        <w:adjustRightInd w:val="0"/>
        <w:snapToGrid w:val="0"/>
        <w:spacing w:line="360" w:lineRule="auto"/>
        <w:ind w:firstLine="480" w:firstLineChars="200"/>
        <w:rPr>
          <w:sz w:val="24"/>
        </w:rPr>
      </w:pPr>
      <w:r>
        <w:rPr>
          <w:sz w:val="24"/>
        </w:rPr>
        <w:t>承包人应负责施工测量放线工作的准确性。</w:t>
      </w:r>
    </w:p>
    <w:p>
      <w:pPr>
        <w:adjustRightInd w:val="0"/>
        <w:snapToGrid w:val="0"/>
        <w:spacing w:beforeLines="100" w:line="360" w:lineRule="auto"/>
        <w:rPr>
          <w:rFonts w:eastAsia="黑体"/>
          <w:sz w:val="24"/>
        </w:rPr>
      </w:pPr>
      <w:r>
        <w:rPr>
          <w:rFonts w:eastAsia="黑体"/>
          <w:sz w:val="24"/>
        </w:rPr>
        <w:t>8.3基准资料错误的责任</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承包人应对发包人提供的基准资料进行核实，发现错误，应及时通知监理人和发包人，否则应承担相应责任。</w:t>
      </w:r>
    </w:p>
    <w:p>
      <w:pPr>
        <w:adjustRightInd w:val="0"/>
        <w:snapToGrid w:val="0"/>
        <w:spacing w:beforeLines="100" w:line="360" w:lineRule="auto"/>
        <w:rPr>
          <w:rFonts w:eastAsia="黑体"/>
          <w:sz w:val="24"/>
        </w:rPr>
      </w:pPr>
      <w:r>
        <w:rPr>
          <w:rFonts w:eastAsia="黑体"/>
          <w:sz w:val="24"/>
        </w:rPr>
        <w:t>8.4监理人使用施工控制网</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经监理人批准，其他相关承包人也可免费使用施工控制网。</w:t>
      </w:r>
    </w:p>
    <w:p>
      <w:pPr>
        <w:adjustRightInd w:val="0"/>
        <w:snapToGrid w:val="0"/>
        <w:spacing w:beforeLines="100" w:line="360" w:lineRule="auto"/>
        <w:rPr>
          <w:rFonts w:eastAsia="黑体"/>
          <w:sz w:val="24"/>
        </w:rPr>
      </w:pPr>
      <w:r>
        <w:rPr>
          <w:rFonts w:eastAsia="黑体"/>
          <w:sz w:val="24"/>
        </w:rPr>
        <w:t>9</w:t>
      </w:r>
      <w:r>
        <w:rPr>
          <w:rFonts w:hint="eastAsia" w:eastAsia="黑体"/>
          <w:sz w:val="24"/>
        </w:rPr>
        <w:t>．</w:t>
      </w:r>
      <w:r>
        <w:rPr>
          <w:rFonts w:eastAsia="黑体"/>
          <w:sz w:val="24"/>
        </w:rPr>
        <w:t>施工安全、治安保卫和环境保护</w:t>
      </w:r>
    </w:p>
    <w:p>
      <w:pPr>
        <w:adjustRightInd w:val="0"/>
        <w:snapToGrid w:val="0"/>
        <w:spacing w:line="360" w:lineRule="auto"/>
        <w:rPr>
          <w:rFonts w:eastAsia="黑体"/>
          <w:sz w:val="24"/>
        </w:rPr>
      </w:pPr>
      <w:r>
        <w:rPr>
          <w:rFonts w:eastAsia="黑体"/>
          <w:sz w:val="24"/>
        </w:rPr>
        <w:t>9.1发包人的施工安全责任</w:t>
      </w:r>
    </w:p>
    <w:p>
      <w:pPr>
        <w:adjustRightInd w:val="0"/>
        <w:snapToGrid w:val="0"/>
        <w:spacing w:line="360" w:lineRule="auto"/>
        <w:ind w:firstLine="480" w:firstLineChars="200"/>
        <w:rPr>
          <w:sz w:val="24"/>
        </w:rPr>
      </w:pPr>
      <w:r>
        <w:rPr>
          <w:sz w:val="24"/>
        </w:rPr>
        <w:t>9.1.3项补充：</w:t>
      </w:r>
    </w:p>
    <w:p>
      <w:pPr>
        <w:adjustRightInd w:val="0"/>
        <w:snapToGrid w:val="0"/>
        <w:spacing w:line="360" w:lineRule="auto"/>
        <w:ind w:firstLine="480" w:firstLineChars="200"/>
        <w:rPr>
          <w:sz w:val="24"/>
        </w:rPr>
      </w:pPr>
      <w:r>
        <w:rPr>
          <w:sz w:val="24"/>
        </w:rPr>
        <w:t>如果承包人或其雇员也对上述人身伤亡或财产损失负有部分责任时，承包人也应承担相应赔偿责任。</w:t>
      </w:r>
    </w:p>
    <w:p>
      <w:pPr>
        <w:adjustRightInd w:val="0"/>
        <w:snapToGrid w:val="0"/>
        <w:spacing w:beforeLines="100" w:line="360" w:lineRule="auto"/>
        <w:rPr>
          <w:rFonts w:eastAsia="黑体"/>
          <w:sz w:val="24"/>
        </w:rPr>
      </w:pPr>
      <w:r>
        <w:rPr>
          <w:rFonts w:eastAsia="黑体"/>
          <w:sz w:val="24"/>
        </w:rPr>
        <w:t>9.2承包人的施工安全责任</w:t>
      </w:r>
    </w:p>
    <w:p>
      <w:pPr>
        <w:adjustRightInd w:val="0"/>
        <w:snapToGrid w:val="0"/>
        <w:spacing w:line="360" w:lineRule="auto"/>
        <w:ind w:firstLine="480" w:firstLineChars="200"/>
        <w:rPr>
          <w:sz w:val="24"/>
        </w:rPr>
      </w:pPr>
      <w:r>
        <w:rPr>
          <w:sz w:val="24"/>
        </w:rPr>
        <w:t>9.2.1项细化为：</w:t>
      </w:r>
    </w:p>
    <w:p>
      <w:pPr>
        <w:adjustRightInd w:val="0"/>
        <w:snapToGrid w:val="0"/>
        <w:spacing w:line="360" w:lineRule="auto"/>
        <w:ind w:firstLine="480" w:firstLineChars="20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rPr>
      </w:pPr>
      <w:r>
        <w:rPr>
          <w:sz w:val="24"/>
        </w:rPr>
        <w:t>本项目需要编制专项施工方案的工程包括但不限于以下内容：</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不良地质条件下有潜在危险性的土方、石方开挖；</w:t>
      </w:r>
    </w:p>
    <w:p>
      <w:pPr>
        <w:adjustRightInd w:val="0"/>
        <w:snapToGrid w:val="0"/>
        <w:spacing w:line="360" w:lineRule="auto"/>
        <w:ind w:firstLine="480" w:firstLineChars="200"/>
        <w:rPr>
          <w:sz w:val="24"/>
        </w:rPr>
      </w:pPr>
      <w:r>
        <w:rPr>
          <w:rFonts w:hint="eastAsia"/>
          <w:sz w:val="24"/>
        </w:rPr>
        <w:t>（</w:t>
      </w:r>
      <w:r>
        <w:rPr>
          <w:sz w:val="24"/>
        </w:rPr>
        <w:t>2）滑坡和高边坡处理；</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桩基础、挡墙基础、深水基础及围堰工程；</w:t>
      </w:r>
    </w:p>
    <w:p>
      <w:pPr>
        <w:adjustRightInd w:val="0"/>
        <w:snapToGrid w:val="0"/>
        <w:spacing w:line="360" w:lineRule="auto"/>
        <w:ind w:firstLine="480" w:firstLineChars="200"/>
        <w:rPr>
          <w:sz w:val="24"/>
        </w:rPr>
      </w:pPr>
      <w:r>
        <w:rPr>
          <w:rFonts w:hint="eastAsia"/>
          <w:sz w:val="24"/>
        </w:rPr>
        <w:t>（</w:t>
      </w:r>
      <w:r>
        <w:rPr>
          <w:sz w:val="24"/>
        </w:rPr>
        <w:t>4）桥梁工程中的梁、拱、柱等构件施工等；</w:t>
      </w:r>
    </w:p>
    <w:p>
      <w:pPr>
        <w:adjustRightInd w:val="0"/>
        <w:snapToGrid w:val="0"/>
        <w:spacing w:line="360" w:lineRule="auto"/>
        <w:ind w:firstLine="480" w:firstLineChars="200"/>
        <w:rPr>
          <w:sz w:val="24"/>
        </w:rPr>
      </w:pPr>
      <w:r>
        <w:rPr>
          <w:rFonts w:hint="eastAsia"/>
          <w:sz w:val="24"/>
        </w:rPr>
        <w:t>（</w:t>
      </w:r>
      <w:r>
        <w:rPr>
          <w:sz w:val="24"/>
        </w:rPr>
        <w:t>5）隧道工程中的不良地质隧道、高瓦斯隧道等；</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pPr>
        <w:adjustRightInd w:val="0"/>
        <w:snapToGrid w:val="0"/>
        <w:spacing w:line="360" w:lineRule="auto"/>
        <w:ind w:firstLine="480" w:firstLineChars="200"/>
        <w:rPr>
          <w:sz w:val="24"/>
        </w:rPr>
      </w:pPr>
      <w:r>
        <w:rPr>
          <w:sz w:val="24"/>
        </w:rPr>
        <w:t>（7）水下工程中的水下焊接、混凝土浇注、爆破工程等；</w:t>
      </w:r>
    </w:p>
    <w:p>
      <w:pPr>
        <w:adjustRightInd w:val="0"/>
        <w:snapToGrid w:val="0"/>
        <w:spacing w:line="360" w:lineRule="auto"/>
        <w:ind w:firstLine="480" w:firstLineChars="200"/>
        <w:rPr>
          <w:sz w:val="24"/>
        </w:rPr>
      </w:pPr>
      <w:r>
        <w:rPr>
          <w:rFonts w:hint="eastAsia"/>
          <w:sz w:val="24"/>
        </w:rPr>
        <w:t>（</w:t>
      </w:r>
      <w:r>
        <w:rPr>
          <w:sz w:val="24"/>
        </w:rPr>
        <w:t>8</w:t>
      </w:r>
      <w:r>
        <w:rPr>
          <w:rFonts w:hint="eastAsia"/>
          <w:sz w:val="24"/>
        </w:rPr>
        <w:t>）</w:t>
      </w:r>
      <w:r>
        <w:rPr>
          <w:sz w:val="24"/>
        </w:rPr>
        <w:t>爆破工程；</w:t>
      </w:r>
    </w:p>
    <w:p>
      <w:pPr>
        <w:adjustRightInd w:val="0"/>
        <w:snapToGrid w:val="0"/>
        <w:spacing w:line="360" w:lineRule="auto"/>
        <w:ind w:firstLine="480" w:firstLineChars="200"/>
        <w:rPr>
          <w:sz w:val="24"/>
        </w:rPr>
      </w:pPr>
      <w:r>
        <w:rPr>
          <w:rFonts w:hint="eastAsia"/>
          <w:sz w:val="24"/>
        </w:rPr>
        <w:t>（</w:t>
      </w:r>
      <w:r>
        <w:rPr>
          <w:sz w:val="24"/>
        </w:rPr>
        <w:t>9）大型临时工程中的大型支架、模板、便桥的架设与拆除；桥梁、码头的加固与拆除；</w:t>
      </w:r>
    </w:p>
    <w:p>
      <w:pPr>
        <w:adjustRightInd w:val="0"/>
        <w:snapToGrid w:val="0"/>
        <w:spacing w:line="360" w:lineRule="auto"/>
        <w:ind w:firstLine="480" w:firstLineChars="200"/>
        <w:rPr>
          <w:sz w:val="24"/>
        </w:rPr>
      </w:pPr>
      <w:r>
        <w:rPr>
          <w:rFonts w:hint="eastAsia"/>
          <w:sz w:val="24"/>
        </w:rPr>
        <w:t>（10）</w:t>
      </w:r>
      <w:r>
        <w:rPr>
          <w:sz w:val="24"/>
        </w:rPr>
        <w:t>其他危险性较大的工程。</w:t>
      </w:r>
    </w:p>
    <w:p>
      <w:pPr>
        <w:adjustRightInd w:val="0"/>
        <w:snapToGrid w:val="0"/>
        <w:spacing w:line="360" w:lineRule="auto"/>
        <w:ind w:firstLine="480" w:firstLineChars="20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rPr>
      </w:pPr>
      <w:r>
        <w:rPr>
          <w:sz w:val="24"/>
        </w:rPr>
        <w:t>本款增加第9.2.8至9.2.11项：</w:t>
      </w:r>
    </w:p>
    <w:p>
      <w:pPr>
        <w:adjustRightInd w:val="0"/>
        <w:snapToGrid w:val="0"/>
        <w:spacing w:line="360" w:lineRule="auto"/>
        <w:ind w:firstLine="480" w:firstLineChars="200"/>
        <w:rPr>
          <w:sz w:val="24"/>
        </w:rPr>
      </w:pPr>
      <w:r>
        <w:rPr>
          <w:sz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rPr>
      </w:pPr>
      <w:r>
        <w:rPr>
          <w:sz w:val="24"/>
        </w:rPr>
        <w:t>（1</w:t>
      </w:r>
      <w:r>
        <w:rPr>
          <w:rFonts w:hint="eastAsia"/>
          <w:sz w:val="24"/>
        </w:rPr>
        <w:t>）</w:t>
      </w:r>
      <w:r>
        <w:rPr>
          <w:sz w:val="24"/>
        </w:rPr>
        <w:t>按《公路水运工程安全生产监督管理办法》规定的最低数量和资质条件配备专职安全生产管理人员；</w:t>
      </w:r>
    </w:p>
    <w:p>
      <w:pPr>
        <w:adjustRightInd w:val="0"/>
        <w:snapToGrid w:val="0"/>
        <w:spacing w:line="360" w:lineRule="auto"/>
        <w:ind w:firstLine="480" w:firstLineChars="200"/>
        <w:rPr>
          <w:sz w:val="24"/>
        </w:rPr>
      </w:pPr>
      <w:r>
        <w:rPr>
          <w:rFonts w:hint="eastAsia"/>
          <w:sz w:val="24"/>
        </w:rPr>
        <w:t>（</w:t>
      </w:r>
      <w:r>
        <w:rPr>
          <w:sz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rPr>
      </w:pP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pPr>
        <w:adjustRightInd w:val="0"/>
        <w:snapToGrid w:val="0"/>
        <w:spacing w:line="360" w:lineRule="auto"/>
        <w:ind w:firstLine="480" w:firstLineChars="200"/>
        <w:rPr>
          <w:sz w:val="24"/>
        </w:rPr>
      </w:pP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rPr>
      </w:pPr>
      <w:r>
        <w:rPr>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rPr>
      </w:pPr>
      <w:r>
        <w:rPr>
          <w:sz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rPr>
      </w:pPr>
      <w:r>
        <w:rPr>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sz w:val="24"/>
        </w:rPr>
      </w:pPr>
      <w:r>
        <w:rPr>
          <w:rFonts w:eastAsia="黑体"/>
          <w:sz w:val="24"/>
        </w:rPr>
        <w:t>9.4环境保护</w:t>
      </w:r>
    </w:p>
    <w:p>
      <w:pPr>
        <w:adjustRightInd w:val="0"/>
        <w:snapToGrid w:val="0"/>
        <w:spacing w:line="360" w:lineRule="auto"/>
        <w:ind w:firstLine="480" w:firstLineChars="200"/>
        <w:rPr>
          <w:sz w:val="24"/>
        </w:rPr>
      </w:pPr>
      <w:r>
        <w:rPr>
          <w:sz w:val="24"/>
        </w:rPr>
        <w:t>本款增加第9.4.7至9.4.9项：</w:t>
      </w:r>
    </w:p>
    <w:p>
      <w:pPr>
        <w:adjustRightInd w:val="0"/>
        <w:snapToGrid w:val="0"/>
        <w:spacing w:line="360" w:lineRule="auto"/>
        <w:ind w:firstLine="480" w:firstLineChars="200"/>
        <w:rPr>
          <w:sz w:val="24"/>
        </w:rPr>
      </w:pPr>
      <w:r>
        <w:rPr>
          <w:sz w:val="24"/>
        </w:rPr>
        <w:t>9.4.7承包人应切实执行技术规范中有关环境保护方面的条款和规定。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rPr>
      </w:pPr>
      <w:r>
        <w:rPr>
          <w:sz w:val="24"/>
        </w:rPr>
        <w:t>a</w:t>
      </w:r>
      <w:r>
        <w:rPr>
          <w:rFonts w:hint="eastAsia"/>
          <w:sz w:val="24"/>
        </w:rPr>
        <w:t>．</w:t>
      </w:r>
      <w:r>
        <w:rPr>
          <w:sz w:val="24"/>
        </w:rPr>
        <w:t>拌和设备应有较好的密封，或有防尘设备。</w:t>
      </w:r>
    </w:p>
    <w:p>
      <w:pPr>
        <w:adjustRightInd w:val="0"/>
        <w:snapToGrid w:val="0"/>
        <w:spacing w:line="360" w:lineRule="auto"/>
        <w:ind w:firstLine="480" w:firstLineChars="200"/>
        <w:rPr>
          <w:sz w:val="24"/>
        </w:rPr>
      </w:pPr>
      <w:r>
        <w:rPr>
          <w:sz w:val="24"/>
        </w:rPr>
        <w:t>b</w:t>
      </w:r>
      <w:r>
        <w:rPr>
          <w:rFonts w:hint="eastAsia"/>
          <w:sz w:val="24"/>
        </w:rPr>
        <w:t>．</w:t>
      </w:r>
      <w:r>
        <w:rPr>
          <w:sz w:val="24"/>
        </w:rPr>
        <w:t>施工通道、沥青混凝土拌和站及灰土拌和站应经常进行洒水降尘。</w:t>
      </w:r>
    </w:p>
    <w:p>
      <w:pPr>
        <w:adjustRightInd w:val="0"/>
        <w:snapToGrid w:val="0"/>
        <w:spacing w:line="360" w:lineRule="auto"/>
        <w:ind w:firstLine="480" w:firstLineChars="200"/>
        <w:rPr>
          <w:sz w:val="24"/>
        </w:rPr>
      </w:pPr>
      <w:r>
        <w:rPr>
          <w:sz w:val="24"/>
        </w:rPr>
        <w:t>c．路面施工应注意保持水份，以免扬尘。</w:t>
      </w:r>
    </w:p>
    <w:p>
      <w:pPr>
        <w:adjustRightInd w:val="0"/>
        <w:snapToGrid w:val="0"/>
        <w:spacing w:line="360" w:lineRule="auto"/>
        <w:ind w:firstLine="480" w:firstLineChars="200"/>
        <w:rPr>
          <w:sz w:val="24"/>
        </w:rPr>
      </w:pPr>
      <w:r>
        <w:rPr>
          <w:sz w:val="24"/>
        </w:rPr>
        <w:t>d</w:t>
      </w:r>
      <w:r>
        <w:rPr>
          <w:rFonts w:hint="eastAsia"/>
          <w:sz w:val="24"/>
        </w:rPr>
        <w:t>．</w:t>
      </w:r>
      <w:r>
        <w:rPr>
          <w:sz w:val="24"/>
        </w:rPr>
        <w:t>隧道出渣和桥梁钻孔灌注桩施工时排除的泥浆要进行妥善处理，严禁向河流或农田排放。</w:t>
      </w:r>
    </w:p>
    <w:p>
      <w:pPr>
        <w:adjustRightInd w:val="0"/>
        <w:snapToGrid w:val="0"/>
        <w:spacing w:line="360" w:lineRule="auto"/>
        <w:ind w:firstLine="480" w:firstLineChars="200"/>
        <w:rPr>
          <w:sz w:val="24"/>
        </w:rPr>
      </w:pPr>
      <w:r>
        <w:rPr>
          <w:sz w:val="24"/>
        </w:rPr>
        <w:t>（3</w:t>
      </w:r>
      <w:r>
        <w:rPr>
          <w:rFonts w:hint="eastAsia"/>
          <w:sz w:val="24"/>
        </w:rPr>
        <w:t>）</w:t>
      </w:r>
      <w:r>
        <w:rPr>
          <w:sz w:val="24"/>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rPr>
      </w:pPr>
      <w:r>
        <w:rPr>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sz w:val="24"/>
        </w:rPr>
      </w:pPr>
      <w:r>
        <w:rPr>
          <w:rFonts w:eastAsia="黑体"/>
          <w:sz w:val="24"/>
        </w:rPr>
        <w:t>10</w:t>
      </w:r>
      <w:r>
        <w:rPr>
          <w:rFonts w:hint="eastAsia" w:eastAsia="黑体"/>
          <w:sz w:val="24"/>
        </w:rPr>
        <w:t>．</w:t>
      </w:r>
      <w:r>
        <w:rPr>
          <w:rFonts w:eastAsia="黑体"/>
          <w:sz w:val="24"/>
        </w:rPr>
        <w:t>进度计划</w:t>
      </w:r>
    </w:p>
    <w:p>
      <w:pPr>
        <w:adjustRightInd w:val="0"/>
        <w:snapToGrid w:val="0"/>
        <w:spacing w:line="360" w:lineRule="auto"/>
        <w:rPr>
          <w:rFonts w:eastAsia="黑体"/>
          <w:sz w:val="24"/>
        </w:rPr>
      </w:pPr>
      <w:r>
        <w:rPr>
          <w:rFonts w:eastAsia="黑体"/>
          <w:sz w:val="24"/>
        </w:rPr>
        <w:t>10.1合同进度计划</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承包人编制施工方案的内容：</w:t>
      </w:r>
      <w:r>
        <w:rPr>
          <w:sz w:val="24"/>
          <w:u w:val="single"/>
        </w:rPr>
        <w:t>（见项目专用合同条款）</w:t>
      </w:r>
    </w:p>
    <w:p>
      <w:pPr>
        <w:adjustRightInd w:val="0"/>
        <w:snapToGrid w:val="0"/>
        <w:spacing w:line="360" w:lineRule="auto"/>
        <w:ind w:firstLine="480" w:firstLineChars="200"/>
        <w:rPr>
          <w:sz w:val="24"/>
        </w:rPr>
      </w:pPr>
      <w:r>
        <w:rPr>
          <w:sz w:val="24"/>
        </w:rPr>
        <w:t>承包人向监理人报送施工进度计划和施工方案说明的期限：</w:t>
      </w:r>
      <w:r>
        <w:rPr>
          <w:rFonts w:hint="eastAsia"/>
          <w:sz w:val="24"/>
          <w:u w:val="single"/>
        </w:rPr>
        <w:t>签订合同协议书后</w:t>
      </w:r>
      <w:r>
        <w:rPr>
          <w:sz w:val="24"/>
          <w:u w:val="single"/>
        </w:rPr>
        <w:t>28天之内</w:t>
      </w:r>
      <w:r>
        <w:rPr>
          <w:sz w:val="24"/>
        </w:rPr>
        <w:t>。</w:t>
      </w:r>
    </w:p>
    <w:p>
      <w:pPr>
        <w:adjustRightInd w:val="0"/>
        <w:snapToGrid w:val="0"/>
        <w:spacing w:line="360" w:lineRule="auto"/>
        <w:ind w:firstLine="480" w:firstLineChars="200"/>
        <w:rPr>
          <w:sz w:val="24"/>
        </w:rPr>
      </w:pPr>
      <w:r>
        <w:rPr>
          <w:sz w:val="24"/>
        </w:rPr>
        <w:t>监理人应在</w:t>
      </w:r>
      <w:r>
        <w:rPr>
          <w:rFonts w:hint="eastAsia"/>
          <w:sz w:val="24"/>
          <w:u w:val="single"/>
        </w:rPr>
        <w:t>14</w:t>
      </w:r>
      <w:r>
        <w:rPr>
          <w:sz w:val="24"/>
        </w:rPr>
        <w:t>天内对承包人施工进度计划和施工方案说明予以批复或提出修改意见。</w:t>
      </w:r>
    </w:p>
    <w:p>
      <w:pPr>
        <w:adjustRightInd w:val="0"/>
        <w:snapToGrid w:val="0"/>
        <w:spacing w:line="360" w:lineRule="auto"/>
        <w:ind w:firstLine="480" w:firstLineChars="200"/>
        <w:rPr>
          <w:sz w:val="24"/>
        </w:rPr>
      </w:pPr>
      <w:r>
        <w:rPr>
          <w:sz w:val="24"/>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sz w:val="24"/>
        </w:rPr>
      </w:pPr>
      <w:r>
        <w:rPr>
          <w:rFonts w:eastAsia="黑体"/>
          <w:sz w:val="24"/>
        </w:rPr>
        <w:t>10.2合同进度计划的修订</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承包人提交合同进度计划修订申请报告，并附有关措施和相关资料的期限：</w:t>
      </w:r>
      <w:r>
        <w:rPr>
          <w:sz w:val="24"/>
          <w:u w:val="single"/>
        </w:rPr>
        <w:t>实际进度发生滞后的当月25日前</w:t>
      </w:r>
      <w:r>
        <w:rPr>
          <w:sz w:val="24"/>
        </w:rPr>
        <w:t>。</w:t>
      </w:r>
    </w:p>
    <w:p>
      <w:pPr>
        <w:adjustRightInd w:val="0"/>
        <w:snapToGrid w:val="0"/>
        <w:spacing w:line="360" w:lineRule="auto"/>
        <w:ind w:firstLine="480" w:firstLineChars="200"/>
        <w:rPr>
          <w:sz w:val="24"/>
        </w:rPr>
      </w:pPr>
      <w:r>
        <w:rPr>
          <w:sz w:val="24"/>
        </w:rPr>
        <w:t>监理人批复修订合同进度计划的期限：</w:t>
      </w:r>
      <w:r>
        <w:rPr>
          <w:rFonts w:hint="eastAsia"/>
          <w:sz w:val="24"/>
          <w:u w:val="single"/>
        </w:rPr>
        <w:t>收到修订合同进度计划后14天内</w:t>
      </w:r>
      <w:r>
        <w:rPr>
          <w:sz w:val="24"/>
        </w:rPr>
        <w:t>。</w:t>
      </w:r>
    </w:p>
    <w:p>
      <w:pPr>
        <w:adjustRightInd w:val="0"/>
        <w:snapToGrid w:val="0"/>
        <w:spacing w:line="360" w:lineRule="auto"/>
        <w:rPr>
          <w:sz w:val="24"/>
        </w:rPr>
      </w:pPr>
      <w:r>
        <w:rPr>
          <w:sz w:val="24"/>
        </w:rPr>
        <w:t>增加第10.3、10.4款：</w:t>
      </w:r>
    </w:p>
    <w:p>
      <w:pPr>
        <w:adjustRightInd w:val="0"/>
        <w:snapToGrid w:val="0"/>
        <w:spacing w:beforeLines="100" w:line="360" w:lineRule="auto"/>
        <w:rPr>
          <w:rFonts w:eastAsia="黑体"/>
          <w:sz w:val="24"/>
        </w:rPr>
      </w:pPr>
      <w:r>
        <w:rPr>
          <w:rFonts w:eastAsia="黑体"/>
          <w:sz w:val="24"/>
        </w:rPr>
        <w:t>10.3年度施工计划</w:t>
      </w:r>
    </w:p>
    <w:p>
      <w:pPr>
        <w:adjustRightInd w:val="0"/>
        <w:snapToGrid w:val="0"/>
        <w:spacing w:line="360" w:lineRule="auto"/>
        <w:ind w:firstLine="480" w:firstLineChars="200"/>
        <w:rPr>
          <w:sz w:val="24"/>
        </w:rPr>
      </w:pPr>
      <w:r>
        <w:rPr>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sz w:val="24"/>
        </w:rPr>
      </w:pPr>
      <w:r>
        <w:rPr>
          <w:rFonts w:eastAsia="黑体"/>
          <w:sz w:val="24"/>
        </w:rPr>
        <w:t>10.4合同用款计划</w:t>
      </w:r>
    </w:p>
    <w:p>
      <w:pPr>
        <w:adjustRightInd w:val="0"/>
        <w:snapToGrid w:val="0"/>
        <w:spacing w:line="360" w:lineRule="auto"/>
        <w:ind w:firstLine="480" w:firstLineChars="200"/>
        <w:rPr>
          <w:sz w:val="24"/>
        </w:rPr>
      </w:pPr>
      <w:r>
        <w:rPr>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sz w:val="24"/>
        </w:rPr>
      </w:pPr>
      <w:r>
        <w:rPr>
          <w:rFonts w:eastAsia="黑体"/>
          <w:sz w:val="24"/>
        </w:rPr>
        <w:t>11．开工和竣工</w:t>
      </w:r>
    </w:p>
    <w:p>
      <w:pPr>
        <w:adjustRightInd w:val="0"/>
        <w:snapToGrid w:val="0"/>
        <w:spacing w:line="360" w:lineRule="auto"/>
        <w:rPr>
          <w:rFonts w:eastAsia="黑体"/>
          <w:sz w:val="24"/>
        </w:rPr>
      </w:pPr>
      <w:r>
        <w:rPr>
          <w:rFonts w:eastAsia="黑体"/>
          <w:sz w:val="24"/>
        </w:rPr>
        <w:t>11.1开工</w:t>
      </w:r>
    </w:p>
    <w:p>
      <w:pPr>
        <w:adjustRightInd w:val="0"/>
        <w:snapToGrid w:val="0"/>
        <w:spacing w:line="360" w:lineRule="auto"/>
        <w:ind w:firstLine="480" w:firstLineChars="200"/>
        <w:rPr>
          <w:sz w:val="24"/>
        </w:rPr>
      </w:pPr>
      <w:r>
        <w:rPr>
          <w:sz w:val="24"/>
        </w:rPr>
        <w:t>11</w:t>
      </w:r>
      <w:r>
        <w:rPr>
          <w:rFonts w:hint="eastAsia"/>
          <w:sz w:val="24"/>
        </w:rPr>
        <w:t>.</w:t>
      </w:r>
      <w:r>
        <w:rPr>
          <w:sz w:val="24"/>
        </w:rPr>
        <w:t>1.2项补充：</w:t>
      </w:r>
    </w:p>
    <w:p>
      <w:pPr>
        <w:adjustRightInd w:val="0"/>
        <w:snapToGrid w:val="0"/>
        <w:spacing w:line="360" w:lineRule="auto"/>
        <w:ind w:firstLine="480" w:firstLineChars="200"/>
        <w:rPr>
          <w:sz w:val="24"/>
        </w:rPr>
      </w:pPr>
      <w:r>
        <w:rPr>
          <w:sz w:val="24"/>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sz w:val="24"/>
        </w:rPr>
      </w:pPr>
      <w:r>
        <w:rPr>
          <w:rFonts w:eastAsia="黑体"/>
          <w:sz w:val="24"/>
        </w:rPr>
        <w:t>11.3发包人的工期延误</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sz w:val="24"/>
        </w:rPr>
      </w:pPr>
      <w:r>
        <w:rPr>
          <w:rFonts w:eastAsia="黑体"/>
          <w:sz w:val="24"/>
        </w:rPr>
        <w:t>11.4异常恶劣的气候条件</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sz w:val="24"/>
        </w:rPr>
      </w:pPr>
      <w:r>
        <w:rPr>
          <w:rFonts w:eastAsia="黑体"/>
          <w:sz w:val="24"/>
        </w:rPr>
        <w:t>11.5承包人的工期延误</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rPr>
      </w:pP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sz w:val="24"/>
        </w:rPr>
      </w:pPr>
      <w:r>
        <w:rPr>
          <w:rFonts w:eastAsia="黑体"/>
          <w:sz w:val="24"/>
        </w:rPr>
        <w:t>11.6工期提前</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64" w:firstLineChars="200"/>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rPr>
      </w:pPr>
      <w:r>
        <w:rPr>
          <w:sz w:val="24"/>
        </w:rPr>
        <w:t>增加第11.7款：</w:t>
      </w:r>
    </w:p>
    <w:p>
      <w:pPr>
        <w:adjustRightInd w:val="0"/>
        <w:snapToGrid w:val="0"/>
        <w:spacing w:beforeLines="100" w:line="360" w:lineRule="auto"/>
        <w:rPr>
          <w:rFonts w:eastAsia="黑体"/>
          <w:sz w:val="24"/>
        </w:rPr>
      </w:pPr>
      <w:r>
        <w:rPr>
          <w:rFonts w:eastAsia="黑体"/>
          <w:sz w:val="24"/>
        </w:rPr>
        <w:t>11.7</w:t>
      </w:r>
      <w:r>
        <w:rPr>
          <w:rFonts w:hint="eastAsia" w:eastAsia="黑体"/>
          <w:sz w:val="24"/>
        </w:rPr>
        <w:t>工</w:t>
      </w:r>
      <w:r>
        <w:rPr>
          <w:rFonts w:eastAsia="黑体"/>
          <w:sz w:val="24"/>
        </w:rPr>
        <w:t>作时</w:t>
      </w:r>
      <w:r>
        <w:rPr>
          <w:rFonts w:hint="eastAsia" w:eastAsia="黑体"/>
          <w:sz w:val="24"/>
        </w:rPr>
        <w:t>间</w:t>
      </w:r>
      <w:r>
        <w:rPr>
          <w:rFonts w:eastAsia="黑体"/>
          <w:sz w:val="24"/>
        </w:rPr>
        <w:t>的限制</w:t>
      </w:r>
    </w:p>
    <w:p>
      <w:pPr>
        <w:adjustRightInd w:val="0"/>
        <w:snapToGrid w:val="0"/>
        <w:spacing w:line="360" w:lineRule="auto"/>
        <w:ind w:firstLine="480" w:firstLineChars="200"/>
        <w:rPr>
          <w:sz w:val="24"/>
        </w:rPr>
      </w:pPr>
      <w:r>
        <w:rPr>
          <w:sz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rPr>
      </w:pPr>
      <w:r>
        <w:rPr>
          <w:sz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rPr>
      </w:pPr>
      <w:r>
        <w:rPr>
          <w:sz w:val="24"/>
        </w:rPr>
        <w:t>本款规定不适用于习惯上或施工本身要求实行连续生产的作业。</w:t>
      </w:r>
    </w:p>
    <w:p>
      <w:pPr>
        <w:adjustRightInd w:val="0"/>
        <w:snapToGrid w:val="0"/>
        <w:spacing w:beforeLines="100" w:line="360" w:lineRule="auto"/>
        <w:rPr>
          <w:rFonts w:eastAsia="黑体"/>
          <w:sz w:val="24"/>
        </w:rPr>
      </w:pPr>
      <w:r>
        <w:rPr>
          <w:rFonts w:eastAsia="黑体"/>
          <w:sz w:val="24"/>
        </w:rPr>
        <w:t>12</w:t>
      </w:r>
      <w:r>
        <w:rPr>
          <w:rFonts w:hint="eastAsia" w:eastAsia="黑体"/>
          <w:sz w:val="24"/>
        </w:rPr>
        <w:t>．</w:t>
      </w:r>
      <w:r>
        <w:rPr>
          <w:rFonts w:eastAsia="黑体"/>
          <w:sz w:val="24"/>
        </w:rPr>
        <w:t>暂停施工</w:t>
      </w:r>
    </w:p>
    <w:p>
      <w:pPr>
        <w:adjustRightInd w:val="0"/>
        <w:snapToGrid w:val="0"/>
        <w:spacing w:line="360" w:lineRule="auto"/>
        <w:ind w:firstLine="480" w:firstLineChars="200"/>
        <w:rPr>
          <w:sz w:val="24"/>
        </w:rPr>
      </w:pPr>
      <w:r>
        <w:rPr>
          <w:sz w:val="24"/>
        </w:rPr>
        <w:t>12.1承包人暂停施工的责任</w:t>
      </w:r>
    </w:p>
    <w:p>
      <w:pPr>
        <w:adjustRightInd w:val="0"/>
        <w:snapToGrid w:val="0"/>
        <w:spacing w:line="360" w:lineRule="auto"/>
        <w:ind w:firstLine="480" w:firstLineChars="200"/>
        <w:rPr>
          <w:sz w:val="24"/>
        </w:rPr>
      </w:pPr>
      <w:r>
        <w:rPr>
          <w:sz w:val="24"/>
        </w:rPr>
        <w:t>12.1（5</w:t>
      </w:r>
      <w:r>
        <w:rPr>
          <w:rFonts w:hint="eastAsia"/>
          <w:sz w:val="24"/>
        </w:rPr>
        <w:t>）</w:t>
      </w:r>
      <w:r>
        <w:rPr>
          <w:sz w:val="24"/>
        </w:rPr>
        <w:t>项补充：</w:t>
      </w:r>
    </w:p>
    <w:p>
      <w:pPr>
        <w:adjustRightInd w:val="0"/>
        <w:snapToGrid w:val="0"/>
        <w:spacing w:line="360" w:lineRule="auto"/>
        <w:ind w:firstLine="480" w:firstLineChars="200"/>
        <w:rPr>
          <w:sz w:val="24"/>
        </w:rPr>
      </w:pPr>
      <w:r>
        <w:rPr>
          <w:sz w:val="24"/>
        </w:rPr>
        <w:t>（5</w:t>
      </w:r>
      <w:r>
        <w:rPr>
          <w:rFonts w:hint="eastAsia"/>
          <w:sz w:val="24"/>
        </w:rPr>
        <w:t>）</w:t>
      </w:r>
      <w:r>
        <w:rPr>
          <w:sz w:val="24"/>
        </w:rPr>
        <w:t>现场气候条件导致的必要停工（第11.4款规定的异常恶劣的气候条件除外）；</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项目专用合同条款约定由承包人承担的其他暂停施工。</w:t>
      </w:r>
    </w:p>
    <w:p>
      <w:pPr>
        <w:adjustRightInd w:val="0"/>
        <w:snapToGrid w:val="0"/>
        <w:spacing w:beforeLines="100" w:line="360" w:lineRule="auto"/>
        <w:rPr>
          <w:rFonts w:eastAsia="黑体"/>
          <w:sz w:val="24"/>
        </w:rPr>
      </w:pPr>
      <w:r>
        <w:rPr>
          <w:rFonts w:eastAsia="黑体"/>
          <w:sz w:val="24"/>
        </w:rPr>
        <w:t>13．工程质量</w:t>
      </w:r>
    </w:p>
    <w:p>
      <w:pPr>
        <w:adjustRightInd w:val="0"/>
        <w:snapToGrid w:val="0"/>
        <w:spacing w:line="360" w:lineRule="auto"/>
        <w:rPr>
          <w:rFonts w:eastAsia="黑体"/>
          <w:sz w:val="24"/>
        </w:rPr>
      </w:pPr>
      <w:r>
        <w:rPr>
          <w:rFonts w:eastAsia="黑体"/>
          <w:sz w:val="24"/>
        </w:rPr>
        <w:t>13.1工程质量要求</w:t>
      </w:r>
    </w:p>
    <w:p>
      <w:pPr>
        <w:adjustRightInd w:val="0"/>
        <w:snapToGrid w:val="0"/>
        <w:spacing w:line="360" w:lineRule="auto"/>
        <w:ind w:firstLine="480" w:firstLineChars="200"/>
        <w:rPr>
          <w:sz w:val="24"/>
        </w:rPr>
      </w:pPr>
      <w:r>
        <w:rPr>
          <w:sz w:val="24"/>
        </w:rPr>
        <w:t>13.1</w:t>
      </w:r>
      <w:r>
        <w:rPr>
          <w:rFonts w:hint="eastAsia"/>
          <w:sz w:val="24"/>
        </w:rPr>
        <w:t>.</w:t>
      </w:r>
      <w:r>
        <w:rPr>
          <w:sz w:val="24"/>
        </w:rPr>
        <w:t>1项约定为：</w:t>
      </w:r>
    </w:p>
    <w:p>
      <w:pPr>
        <w:adjustRightInd w:val="0"/>
        <w:snapToGrid w:val="0"/>
        <w:spacing w:line="360" w:lineRule="auto"/>
        <w:ind w:firstLine="480" w:firstLineChars="200"/>
        <w:rPr>
          <w:sz w:val="24"/>
        </w:rPr>
      </w:pPr>
      <w:r>
        <w:rPr>
          <w:sz w:val="24"/>
        </w:rPr>
        <w:t>工程质量验收按技术规范及交通部《公路工程质量验收评定标准》执行。本款增加第13．1.4至13．1.6项：</w:t>
      </w:r>
    </w:p>
    <w:p>
      <w:pPr>
        <w:adjustRightInd w:val="0"/>
        <w:snapToGrid w:val="0"/>
        <w:spacing w:line="360" w:lineRule="auto"/>
        <w:ind w:firstLine="480" w:firstLineChars="200"/>
        <w:rPr>
          <w:sz w:val="24"/>
        </w:rPr>
      </w:pPr>
      <w:r>
        <w:rPr>
          <w:sz w:val="24"/>
        </w:rPr>
        <w:t>13.1.4承包人对工程质量终身负责。</w:t>
      </w:r>
    </w:p>
    <w:p>
      <w:pPr>
        <w:adjustRightInd w:val="0"/>
        <w:snapToGrid w:val="0"/>
        <w:spacing w:line="360" w:lineRule="auto"/>
        <w:ind w:firstLine="480" w:firstLineChars="200"/>
        <w:rPr>
          <w:sz w:val="24"/>
        </w:rPr>
      </w:pPr>
      <w:r>
        <w:rPr>
          <w:sz w:val="24"/>
        </w:rPr>
        <w:t>13</w:t>
      </w:r>
      <w:r>
        <w:rPr>
          <w:rFonts w:hint="eastAsia"/>
          <w:sz w:val="24"/>
        </w:rPr>
        <w:t>.</w:t>
      </w:r>
      <w:r>
        <w:rPr>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rPr>
      </w:pPr>
      <w:r>
        <w:rPr>
          <w:sz w:val="24"/>
        </w:rPr>
        <w:t>13.1.6发包人对存在质量问题或质量隐患的工程有权直接发布或授权监理人发布停工令、复工令。</w:t>
      </w:r>
    </w:p>
    <w:p>
      <w:pPr>
        <w:adjustRightInd w:val="0"/>
        <w:snapToGrid w:val="0"/>
        <w:spacing w:beforeLines="100" w:line="360" w:lineRule="auto"/>
        <w:rPr>
          <w:rFonts w:eastAsia="黑体"/>
          <w:sz w:val="24"/>
        </w:rPr>
      </w:pPr>
      <w:r>
        <w:rPr>
          <w:rFonts w:eastAsia="黑体"/>
          <w:sz w:val="24"/>
        </w:rPr>
        <w:t>13.2承包人的质量管理</w:t>
      </w:r>
    </w:p>
    <w:p>
      <w:pPr>
        <w:adjustRightInd w:val="0"/>
        <w:snapToGrid w:val="0"/>
        <w:spacing w:line="360" w:lineRule="auto"/>
        <w:ind w:firstLine="480" w:firstLineChars="200"/>
        <w:rPr>
          <w:sz w:val="24"/>
        </w:rPr>
      </w:pPr>
      <w:r>
        <w:rPr>
          <w:sz w:val="24"/>
        </w:rPr>
        <w:t>13.2.1项补充：</w:t>
      </w:r>
    </w:p>
    <w:p>
      <w:pPr>
        <w:adjustRightInd w:val="0"/>
        <w:snapToGrid w:val="0"/>
        <w:spacing w:line="360" w:lineRule="auto"/>
        <w:ind w:firstLine="480" w:firstLineChars="200"/>
        <w:rPr>
          <w:sz w:val="24"/>
        </w:rPr>
      </w:pPr>
      <w:r>
        <w:rPr>
          <w:sz w:val="24"/>
        </w:rPr>
        <w:t>承包人提交工程质量保证措施文件的期限：</w:t>
      </w:r>
      <w:r>
        <w:rPr>
          <w:sz w:val="24"/>
          <w:u w:val="single"/>
        </w:rPr>
        <w:t>签订合同协议书后28天之内</w:t>
      </w:r>
      <w:r>
        <w:rPr>
          <w:sz w:val="24"/>
        </w:rPr>
        <w:t>。</w:t>
      </w:r>
    </w:p>
    <w:p>
      <w:pPr>
        <w:adjustRightInd w:val="0"/>
        <w:snapToGrid w:val="0"/>
        <w:spacing w:line="360" w:lineRule="auto"/>
        <w:ind w:firstLine="480" w:firstLineChars="200"/>
        <w:rPr>
          <w:sz w:val="24"/>
        </w:rPr>
      </w:pPr>
      <w:r>
        <w:rPr>
          <w:sz w:val="24"/>
        </w:rPr>
        <w:t>本款增加第13.2.3至13.2.5项：</w:t>
      </w:r>
    </w:p>
    <w:p>
      <w:pPr>
        <w:adjustRightInd w:val="0"/>
        <w:snapToGrid w:val="0"/>
        <w:spacing w:line="360" w:lineRule="auto"/>
        <w:ind w:firstLine="480" w:firstLineChars="200"/>
        <w:rPr>
          <w:sz w:val="24"/>
        </w:rPr>
      </w:pPr>
      <w:r>
        <w:rPr>
          <w:sz w:val="24"/>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rPr>
      </w:pPr>
      <w:r>
        <w:rPr>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rPr>
      </w:pPr>
      <w:r>
        <w:rPr>
          <w:sz w:val="24"/>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sz w:val="24"/>
        </w:rPr>
      </w:pPr>
      <w:r>
        <w:rPr>
          <w:rFonts w:eastAsia="黑体"/>
          <w:sz w:val="24"/>
        </w:rPr>
        <w:t>13.4监理人的质量检查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rPr>
      </w:pPr>
      <w:r>
        <w:rPr>
          <w:sz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sz w:val="24"/>
        </w:rPr>
      </w:pPr>
      <w:r>
        <w:rPr>
          <w:rFonts w:eastAsia="黑体"/>
          <w:sz w:val="24"/>
        </w:rPr>
        <w:t>13.5工程隐蔽部位覆盖前的检查</w:t>
      </w:r>
    </w:p>
    <w:p>
      <w:pPr>
        <w:adjustRightInd w:val="0"/>
        <w:snapToGrid w:val="0"/>
        <w:spacing w:line="360" w:lineRule="auto"/>
        <w:ind w:firstLine="480" w:firstLineChars="200"/>
        <w:rPr>
          <w:sz w:val="24"/>
        </w:rPr>
      </w:pPr>
      <w:r>
        <w:rPr>
          <w:sz w:val="24"/>
        </w:rPr>
        <w:t>13.5.1通知监理人检查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sz w:val="24"/>
        </w:rPr>
      </w:pPr>
      <w:r>
        <w:rPr>
          <w:rFonts w:eastAsia="黑体"/>
          <w:sz w:val="24"/>
        </w:rPr>
        <w:t>13.6清除不合格工程</w:t>
      </w:r>
    </w:p>
    <w:p>
      <w:pPr>
        <w:adjustRightInd w:val="0"/>
        <w:snapToGrid w:val="0"/>
        <w:spacing w:line="360" w:lineRule="auto"/>
        <w:ind w:firstLine="480" w:firstLineChars="200"/>
        <w:rPr>
          <w:sz w:val="24"/>
        </w:rPr>
      </w:pPr>
      <w:r>
        <w:rPr>
          <w:sz w:val="24"/>
        </w:rPr>
        <w:t>13.6.1项细化为：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sz w:val="24"/>
        </w:rPr>
      </w:pPr>
      <w:r>
        <w:rPr>
          <w:rFonts w:eastAsia="黑体"/>
          <w:sz w:val="24"/>
        </w:rPr>
        <w:t>14</w:t>
      </w:r>
      <w:r>
        <w:rPr>
          <w:rFonts w:hint="eastAsia" w:eastAsia="黑体"/>
          <w:sz w:val="24"/>
        </w:rPr>
        <w:t>．</w:t>
      </w:r>
      <w:r>
        <w:rPr>
          <w:rFonts w:eastAsia="黑体"/>
          <w:sz w:val="24"/>
        </w:rPr>
        <w:t>试验和检验</w:t>
      </w:r>
    </w:p>
    <w:p>
      <w:pPr>
        <w:adjustRightInd w:val="0"/>
        <w:snapToGrid w:val="0"/>
        <w:spacing w:line="360" w:lineRule="auto"/>
        <w:rPr>
          <w:sz w:val="24"/>
        </w:rPr>
      </w:pPr>
      <w:r>
        <w:rPr>
          <w:rFonts w:hAnsi="宋体"/>
          <w:sz w:val="24"/>
        </w:rPr>
        <w:t>增加第</w:t>
      </w:r>
      <w:r>
        <w:rPr>
          <w:sz w:val="24"/>
        </w:rPr>
        <w:t>14.4</w:t>
      </w:r>
      <w:r>
        <w:rPr>
          <w:rFonts w:hAnsi="宋体"/>
          <w:sz w:val="24"/>
        </w:rPr>
        <w:t>款：</w:t>
      </w:r>
    </w:p>
    <w:p>
      <w:pPr>
        <w:adjustRightInd w:val="0"/>
        <w:snapToGrid w:val="0"/>
        <w:spacing w:line="360" w:lineRule="auto"/>
        <w:rPr>
          <w:rFonts w:eastAsia="黑体"/>
          <w:sz w:val="24"/>
        </w:rPr>
      </w:pPr>
      <w:r>
        <w:rPr>
          <w:rFonts w:eastAsia="黑体"/>
          <w:sz w:val="24"/>
        </w:rPr>
        <w:t>14.4试验和检验费用</w:t>
      </w:r>
    </w:p>
    <w:p>
      <w:pPr>
        <w:adjustRightInd w:val="0"/>
        <w:snapToGrid w:val="0"/>
        <w:spacing w:line="360" w:lineRule="auto"/>
        <w:ind w:firstLine="480" w:firstLineChars="200"/>
        <w:rPr>
          <w:sz w:val="24"/>
        </w:rPr>
      </w:pPr>
      <w:r>
        <w:rPr>
          <w:sz w:val="24"/>
        </w:rPr>
        <w:t>（1</w:t>
      </w:r>
      <w:r>
        <w:rPr>
          <w:rFonts w:hint="eastAsia"/>
          <w:sz w:val="24"/>
        </w:rPr>
        <w:t>）</w:t>
      </w:r>
      <w:r>
        <w:rPr>
          <w:sz w:val="24"/>
        </w:rPr>
        <w:t>承包人应负责提供进行试验和检验所需的全部样品，并承担其费用。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sz w:val="24"/>
        </w:rPr>
      </w:pPr>
      <w:r>
        <w:rPr>
          <w:rFonts w:eastAsia="黑体"/>
          <w:sz w:val="24"/>
        </w:rPr>
        <w:t>15</w:t>
      </w:r>
      <w:r>
        <w:rPr>
          <w:rFonts w:hint="eastAsia" w:eastAsia="黑体"/>
          <w:sz w:val="24"/>
        </w:rPr>
        <w:t>．</w:t>
      </w:r>
      <w:r>
        <w:rPr>
          <w:rFonts w:eastAsia="黑体"/>
          <w:sz w:val="24"/>
        </w:rPr>
        <w:t>变更</w:t>
      </w:r>
    </w:p>
    <w:p>
      <w:pPr>
        <w:adjustRightInd w:val="0"/>
        <w:snapToGrid w:val="0"/>
        <w:spacing w:line="360" w:lineRule="auto"/>
        <w:rPr>
          <w:rFonts w:eastAsia="黑体"/>
          <w:sz w:val="24"/>
        </w:rPr>
      </w:pPr>
      <w:r>
        <w:rPr>
          <w:rFonts w:eastAsia="黑体"/>
          <w:sz w:val="24"/>
        </w:rPr>
        <w:t>15.1变更的范围和内容</w:t>
      </w:r>
    </w:p>
    <w:p>
      <w:pPr>
        <w:adjustRightInd w:val="0"/>
        <w:snapToGrid w:val="0"/>
        <w:spacing w:line="360" w:lineRule="auto"/>
        <w:ind w:firstLine="480" w:firstLineChars="200"/>
        <w:rPr>
          <w:sz w:val="24"/>
        </w:rPr>
      </w:pPr>
      <w:r>
        <w:rPr>
          <w:sz w:val="24"/>
        </w:rPr>
        <w:t>15.1（1）项细化为：</w:t>
      </w:r>
    </w:p>
    <w:p>
      <w:pPr>
        <w:adjustRightInd w:val="0"/>
        <w:snapToGrid w:val="0"/>
        <w:spacing w:line="360" w:lineRule="auto"/>
        <w:ind w:firstLine="480" w:firstLineChars="200"/>
        <w:rPr>
          <w:sz w:val="24"/>
        </w:rPr>
      </w:pPr>
      <w:r>
        <w:rPr>
          <w:sz w:val="24"/>
        </w:rPr>
        <w:t>（1</w:t>
      </w:r>
      <w:r>
        <w:rPr>
          <w:rFonts w:hint="eastAsia"/>
          <w:sz w:val="24"/>
        </w:rPr>
        <w:t>）</w:t>
      </w:r>
      <w:r>
        <w:rPr>
          <w:sz w:val="24"/>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设计变更程序应执行交通部《公路工程设计变更管理办法》的相关规定。</w:t>
      </w:r>
    </w:p>
    <w:p>
      <w:pPr>
        <w:adjustRightInd w:val="0"/>
        <w:snapToGrid w:val="0"/>
        <w:spacing w:beforeLines="100" w:line="360" w:lineRule="auto"/>
        <w:rPr>
          <w:rFonts w:eastAsia="黑体"/>
          <w:sz w:val="24"/>
        </w:rPr>
      </w:pPr>
      <w:r>
        <w:rPr>
          <w:rFonts w:eastAsia="黑体"/>
          <w:sz w:val="24"/>
        </w:rPr>
        <w:t>15.4变更的估价原则</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除项目专用合同条款另有约定外，因变更引起的价格调整按照本款约定处理。</w:t>
      </w:r>
    </w:p>
    <w:p>
      <w:pPr>
        <w:adjustRightInd w:val="0"/>
        <w:snapToGrid w:val="0"/>
        <w:spacing w:line="360" w:lineRule="auto"/>
        <w:ind w:firstLine="480" w:firstLineChars="200"/>
        <w:rPr>
          <w:sz w:val="24"/>
        </w:rPr>
      </w:pPr>
      <w:r>
        <w:rPr>
          <w:sz w:val="24"/>
        </w:rPr>
        <w:t>15.4.1如果取消某项工作，则该项工作的总额价不予支付；</w:t>
      </w:r>
    </w:p>
    <w:p>
      <w:pPr>
        <w:adjustRightInd w:val="0"/>
        <w:snapToGrid w:val="0"/>
        <w:spacing w:line="360" w:lineRule="auto"/>
        <w:ind w:firstLine="480" w:firstLineChars="200"/>
        <w:rPr>
          <w:sz w:val="24"/>
        </w:rPr>
      </w:pPr>
      <w:r>
        <w:rPr>
          <w:sz w:val="24"/>
        </w:rPr>
        <w:t>15.4.2已标价工程量清单中有适用于变更工作的子目的，采用该子目的单价。</w:t>
      </w:r>
    </w:p>
    <w:p>
      <w:pPr>
        <w:adjustRightInd w:val="0"/>
        <w:snapToGrid w:val="0"/>
        <w:spacing w:line="360" w:lineRule="auto"/>
        <w:ind w:firstLine="480" w:firstLineChars="200"/>
        <w:rPr>
          <w:sz w:val="24"/>
        </w:rPr>
      </w:pPr>
      <w:r>
        <w:rPr>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rPr>
      </w:pPr>
      <w:r>
        <w:rPr>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rPr>
      </w:pPr>
      <w:r>
        <w:rPr>
          <w:sz w:val="24"/>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rPr>
      </w:pPr>
      <w:r>
        <w:rPr>
          <w:rFonts w:eastAsia="黑体"/>
          <w:sz w:val="24"/>
        </w:rPr>
        <w:t>15.5承包人的合理化建议</w:t>
      </w:r>
    </w:p>
    <w:p>
      <w:pPr>
        <w:adjustRightInd w:val="0"/>
        <w:snapToGrid w:val="0"/>
        <w:spacing w:line="360" w:lineRule="auto"/>
        <w:ind w:firstLine="480" w:firstLineChars="200"/>
        <w:rPr>
          <w:sz w:val="24"/>
        </w:rPr>
      </w:pPr>
      <w:r>
        <w:rPr>
          <w:sz w:val="24"/>
        </w:rPr>
        <w:t>15.5.2项约定为：</w:t>
      </w:r>
    </w:p>
    <w:p>
      <w:pPr>
        <w:adjustRightInd w:val="0"/>
        <w:snapToGrid w:val="0"/>
        <w:spacing w:line="360" w:lineRule="auto"/>
        <w:ind w:firstLine="480" w:firstLineChars="200"/>
        <w:rPr>
          <w:sz w:val="24"/>
        </w:rPr>
      </w:pPr>
      <w:r>
        <w:rPr>
          <w:sz w:val="24"/>
        </w:rPr>
        <w:t>承包人提出的合理化建议缩短了工期，发包人按专用合同条款第11.6款的规定给予奖励。</w:t>
      </w:r>
    </w:p>
    <w:p>
      <w:pPr>
        <w:adjustRightInd w:val="0"/>
        <w:snapToGrid w:val="0"/>
        <w:spacing w:line="360" w:lineRule="auto"/>
        <w:ind w:firstLine="480" w:firstLineChars="20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pPr>
        <w:adjustRightInd w:val="0"/>
        <w:snapToGrid w:val="0"/>
        <w:spacing w:line="360" w:lineRule="auto"/>
        <w:ind w:firstLine="480" w:firstLineChars="200"/>
        <w:rPr>
          <w:sz w:val="24"/>
        </w:rPr>
      </w:pPr>
      <w:r>
        <w:rPr>
          <w:sz w:val="24"/>
        </w:rPr>
        <w:t>15.6暂列金额</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rPr>
      </w:pPr>
      <w:r>
        <w:rPr>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rPr>
      </w:pPr>
      <w:r>
        <w:rPr>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rPr>
      </w:pPr>
      <w:r>
        <w:rPr>
          <w:rFonts w:eastAsia="黑体"/>
          <w:sz w:val="24"/>
        </w:rPr>
        <w:t>15.8暂估价</w:t>
      </w:r>
    </w:p>
    <w:p>
      <w:pPr>
        <w:adjustRightInd w:val="0"/>
        <w:snapToGrid w:val="0"/>
        <w:spacing w:line="360" w:lineRule="auto"/>
        <w:ind w:firstLine="480" w:firstLineChars="200"/>
        <w:rPr>
          <w:sz w:val="24"/>
        </w:rPr>
      </w:pPr>
      <w:r>
        <w:rPr>
          <w:sz w:val="24"/>
        </w:rPr>
        <w:t>15.8.1项补充：</w:t>
      </w:r>
    </w:p>
    <w:p>
      <w:pPr>
        <w:adjustRightInd w:val="0"/>
        <w:snapToGrid w:val="0"/>
        <w:spacing w:line="360" w:lineRule="auto"/>
        <w:ind w:firstLine="480" w:firstLineChars="20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承包人应与特殊分包人或供应商签订分包合同。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rPr>
      </w:pPr>
      <w:r>
        <w:rPr>
          <w:sz w:val="24"/>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rPr>
      </w:pP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pPr>
        <w:adjustRightInd w:val="0"/>
        <w:snapToGrid w:val="0"/>
        <w:spacing w:line="360" w:lineRule="auto"/>
        <w:ind w:firstLine="480" w:firstLineChars="200"/>
        <w:rPr>
          <w:sz w:val="24"/>
        </w:rPr>
      </w:pPr>
      <w:r>
        <w:rPr>
          <w:sz w:val="24"/>
        </w:rPr>
        <w:t>a</w:t>
      </w:r>
      <w:r>
        <w:rPr>
          <w:rFonts w:hint="eastAsia"/>
          <w:sz w:val="24"/>
        </w:rPr>
        <w:t>．</w:t>
      </w:r>
      <w:r>
        <w:rPr>
          <w:sz w:val="24"/>
        </w:rPr>
        <w:t>按照监理人的指令，并根据特殊分包合同的约定，由承包人己支付或应支付的实际价款；</w:t>
      </w:r>
    </w:p>
    <w:p>
      <w:pPr>
        <w:adjustRightInd w:val="0"/>
        <w:snapToGrid w:val="0"/>
        <w:spacing w:line="360" w:lineRule="auto"/>
        <w:ind w:firstLine="480" w:firstLineChars="20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rPr>
      </w:pPr>
      <w:r>
        <w:rPr>
          <w:rFonts w:eastAsia="黑体"/>
          <w:sz w:val="24"/>
        </w:rPr>
        <w:t>16</w:t>
      </w:r>
      <w:r>
        <w:rPr>
          <w:rFonts w:hint="eastAsia" w:eastAsia="黑体"/>
          <w:sz w:val="24"/>
        </w:rPr>
        <w:t>．</w:t>
      </w:r>
      <w:r>
        <w:rPr>
          <w:rFonts w:eastAsia="黑体"/>
          <w:sz w:val="24"/>
        </w:rPr>
        <w:t>价格调整</w:t>
      </w:r>
    </w:p>
    <w:p>
      <w:pPr>
        <w:adjustRightInd w:val="0"/>
        <w:snapToGrid w:val="0"/>
        <w:spacing w:line="360" w:lineRule="auto"/>
        <w:rPr>
          <w:rFonts w:eastAsia="黑体"/>
          <w:sz w:val="24"/>
        </w:rPr>
      </w:pPr>
      <w:r>
        <w:rPr>
          <w:rFonts w:eastAsia="黑体"/>
          <w:sz w:val="24"/>
        </w:rPr>
        <w:t>16.1物价波动引起的价格调整</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（1</w:t>
      </w:r>
      <w:r>
        <w:rPr>
          <w:rFonts w:hint="eastAsia"/>
          <w:sz w:val="24"/>
        </w:rPr>
        <w:t>）</w:t>
      </w:r>
      <w:r>
        <w:rPr>
          <w:sz w:val="24"/>
        </w:rPr>
        <w:t>因物价波动引起的价格调整按照</w:t>
      </w:r>
      <w:r>
        <w:rPr>
          <w:rFonts w:hint="eastAsia"/>
          <w:sz w:val="24"/>
          <w:u w:val="single"/>
        </w:rPr>
        <w:t xml:space="preserve">  第16.1.1或16.1.2项  </w:t>
      </w:r>
      <w:r>
        <w:rPr>
          <w:sz w:val="24"/>
        </w:rPr>
        <w:t>约定的原则处理；或者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pPr>
        <w:adjustRightInd w:val="0"/>
        <w:snapToGrid w:val="0"/>
        <w:spacing w:line="360" w:lineRule="auto"/>
        <w:ind w:firstLine="480" w:firstLineChars="200"/>
        <w:rPr>
          <w:sz w:val="24"/>
        </w:rPr>
      </w:pPr>
      <w:r>
        <w:rPr>
          <w:sz w:val="24"/>
        </w:rPr>
        <w:t>16.1.1采用价格指数调整价格差额</w:t>
      </w:r>
    </w:p>
    <w:p>
      <w:pPr>
        <w:adjustRightInd w:val="0"/>
        <w:snapToGrid w:val="0"/>
        <w:spacing w:line="360" w:lineRule="auto"/>
        <w:ind w:firstLine="480" w:firstLineChars="200"/>
        <w:rPr>
          <w:sz w:val="24"/>
        </w:rPr>
      </w:pPr>
      <w:r>
        <w:rPr>
          <w:sz w:val="24"/>
        </w:rPr>
        <w:t>16.1</w:t>
      </w:r>
      <w:r>
        <w:rPr>
          <w:rFonts w:hint="eastAsia"/>
          <w:sz w:val="24"/>
        </w:rPr>
        <w:t>.</w:t>
      </w:r>
      <w:r>
        <w:rPr>
          <w:sz w:val="24"/>
        </w:rPr>
        <w:t>1</w:t>
      </w:r>
      <w:r>
        <w:rPr>
          <w:rFonts w:hint="eastAsia"/>
          <w:sz w:val="24"/>
        </w:rPr>
        <w:t>.</w:t>
      </w:r>
      <w:r>
        <w:rPr>
          <w:sz w:val="24"/>
        </w:rPr>
        <w:t>1价格调整公式</w:t>
      </w:r>
    </w:p>
    <w:p>
      <w:pPr>
        <w:adjustRightInd w:val="0"/>
        <w:snapToGrid w:val="0"/>
        <w:spacing w:line="360" w:lineRule="auto"/>
        <w:ind w:firstLine="480" w:firstLineChars="200"/>
        <w:rPr>
          <w:sz w:val="24"/>
        </w:rPr>
      </w:pPr>
      <w:r>
        <w:rPr>
          <w:sz w:val="24"/>
        </w:rPr>
        <w:t>本目细化为：</w:t>
      </w:r>
    </w:p>
    <w:p>
      <w:pPr>
        <w:adjustRightInd w:val="0"/>
        <w:snapToGrid w:val="0"/>
        <w:spacing w:line="360" w:lineRule="auto"/>
        <w:ind w:firstLine="480" w:firstLineChars="200"/>
        <w:rPr>
          <w:sz w:val="24"/>
        </w:rPr>
      </w:pPr>
      <w:r>
        <w:rPr>
          <w:sz w:val="24"/>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rPr>
      </w:pPr>
      <w:r>
        <w:rPr>
          <w:rFonts w:hint="eastAsia" w:ascii="黑体" w:eastAsia="黑体"/>
          <w:sz w:val="34"/>
        </w:rPr>
        <w:t>△</w:t>
      </w:r>
      <w:r>
        <w:rPr>
          <w:rFonts w:eastAsia="黑体"/>
          <w:i/>
          <w:sz w:val="34"/>
        </w:rPr>
        <w:t>P</w:t>
      </w:r>
      <w:r>
        <w:rPr>
          <w:rFonts w:hint="eastAsia" w:ascii="黑体" w:eastAsia="黑体"/>
          <w:sz w:val="40"/>
        </w:rPr>
        <w:t>=</w:t>
      </w:r>
      <w:r>
        <w:rPr>
          <w:rFonts w:eastAsia="黑体"/>
          <w:i/>
          <w:sz w:val="32"/>
        </w:rPr>
        <w:t>P</w:t>
      </w:r>
      <w:r>
        <w:rPr>
          <w:rFonts w:eastAsia="黑体"/>
          <w:sz w:val="32"/>
          <w:vertAlign w:val="subscript"/>
        </w:rPr>
        <w:t>0</w:t>
      </w:r>
      <w:r>
        <w:rPr>
          <w:rFonts w:ascii="黑体" w:eastAsia="黑体"/>
          <w:position w:val="-34"/>
          <w:sz w:val="40"/>
        </w:rPr>
        <w:object>
          <v:shape id="_x0000_i1025" o:spt="75" type="#_x0000_t75" style="height:40pt;width:27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adjustRightInd w:val="0"/>
        <w:snapToGrid w:val="0"/>
        <w:spacing w:line="360" w:lineRule="auto"/>
        <w:ind w:firstLine="480" w:firstLineChars="200"/>
        <w:rPr>
          <w:sz w:val="24"/>
        </w:rPr>
      </w:pPr>
      <w:r>
        <w:rPr>
          <w:sz w:val="24"/>
        </w:rPr>
        <w:t>式中：</w:t>
      </w:r>
      <w:r>
        <w:rPr>
          <w:rFonts w:hint="eastAsia" w:ascii="黑体" w:eastAsia="黑体"/>
          <w:sz w:val="28"/>
          <w:szCs w:val="28"/>
        </w:rPr>
        <w:t>△</w:t>
      </w:r>
      <w:r>
        <w:rPr>
          <w:rFonts w:eastAsia="黑体"/>
          <w:i/>
          <w:sz w:val="28"/>
          <w:szCs w:val="28"/>
        </w:rPr>
        <w:t>P</w:t>
      </w:r>
      <w:r>
        <w:rPr>
          <w:sz w:val="24"/>
        </w:rPr>
        <w:t>一需调整的价格差额；</w:t>
      </w:r>
    </w:p>
    <w:p>
      <w:pPr>
        <w:adjustRightInd w:val="0"/>
        <w:snapToGrid w:val="0"/>
        <w:spacing w:line="360" w:lineRule="auto"/>
        <w:ind w:firstLine="480" w:firstLineChars="200"/>
        <w:rPr>
          <w:sz w:val="24"/>
        </w:rPr>
      </w:pPr>
      <w:r>
        <w:rPr>
          <w:sz w:val="24"/>
        </w:rPr>
        <w:t>P。一第17.3.3项、第17.5.2项和第17.6.2项约定的付款证书中承包人应得到的</w:t>
      </w:r>
      <w:r>
        <w:rPr>
          <w:rFonts w:hint="eastAsia"/>
          <w:sz w:val="24"/>
        </w:rPr>
        <w:t>已</w:t>
      </w:r>
      <w:r>
        <w:rPr>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rPr>
      </w:pPr>
      <w:r>
        <w:rPr>
          <w:sz w:val="24"/>
        </w:rPr>
        <w:t>A</w:t>
      </w:r>
      <w:r>
        <w:rPr>
          <w:rFonts w:hint="eastAsia"/>
          <w:sz w:val="24"/>
        </w:rPr>
        <w:t>--</w:t>
      </w:r>
      <w:r>
        <w:rPr>
          <w:sz w:val="24"/>
        </w:rPr>
        <w:t>定值权重（即不调部分的权重）；</w:t>
      </w:r>
    </w:p>
    <w:p>
      <w:pPr>
        <w:adjustRightInd w:val="0"/>
        <w:snapToGrid w:val="0"/>
        <w:spacing w:line="360" w:lineRule="auto"/>
        <w:ind w:firstLine="480" w:firstLineChars="20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pPr>
        <w:adjustRightInd w:val="0"/>
        <w:snapToGrid w:val="0"/>
        <w:spacing w:line="360" w:lineRule="auto"/>
        <w:ind w:firstLine="480" w:firstLineChars="200"/>
        <w:rPr>
          <w:sz w:val="24"/>
        </w:rPr>
      </w:pPr>
      <w:r>
        <w:rPr>
          <w:sz w:val="24"/>
        </w:rPr>
        <w:t>A=1</w:t>
      </w:r>
      <w:r>
        <w:rPr>
          <w:rFonts w:hint="eastAsia"/>
          <w:sz w:val="24"/>
        </w:rPr>
        <w:t>－</w:t>
      </w:r>
      <w:r>
        <w:rPr>
          <w:sz w:val="24"/>
        </w:rPr>
        <w:t>（B</w:t>
      </w:r>
      <w:r>
        <w:rPr>
          <w:sz w:val="24"/>
          <w:vertAlign w:val="subscript"/>
        </w:rPr>
        <w:t>1</w:t>
      </w:r>
      <w:r>
        <w:rPr>
          <w:sz w:val="24"/>
        </w:rPr>
        <w:t>＋B</w:t>
      </w:r>
      <w:r>
        <w:rPr>
          <w:rFonts w:hint="eastAsia"/>
          <w:sz w:val="24"/>
          <w:vertAlign w:val="subscript"/>
        </w:rPr>
        <w:t>2</w:t>
      </w:r>
      <w:r>
        <w:rPr>
          <w:sz w:val="24"/>
        </w:rPr>
        <w:t>＋B</w:t>
      </w:r>
      <w:r>
        <w:rPr>
          <w:rFonts w:hint="eastAsia"/>
          <w:sz w:val="24"/>
          <w:vertAlign w:val="subscript"/>
        </w:rPr>
        <w:t>3</w:t>
      </w:r>
      <w:r>
        <w:rPr>
          <w:sz w:val="24"/>
        </w:rPr>
        <w:t>＋……＋B</w:t>
      </w:r>
      <w:r>
        <w:rPr>
          <w:rFonts w:hint="eastAsia"/>
          <w:sz w:val="24"/>
          <w:vertAlign w:val="subscript"/>
        </w:rPr>
        <w:t>n</w:t>
      </w:r>
      <w:r>
        <w:rPr>
          <w:sz w:val="24"/>
        </w:rPr>
        <w:t>）；</w:t>
      </w:r>
    </w:p>
    <w:p>
      <w:pPr>
        <w:adjustRightInd w:val="0"/>
        <w:snapToGrid w:val="0"/>
        <w:spacing w:line="360" w:lineRule="auto"/>
        <w:ind w:firstLine="480" w:firstLineChars="20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rPr>
      </w:pPr>
      <w:r>
        <w:rPr>
          <w:sz w:val="24"/>
        </w:rPr>
        <w:t>F</w:t>
      </w:r>
      <w:r>
        <w:rPr>
          <w:sz w:val="24"/>
          <w:vertAlign w:val="subscript"/>
        </w:rPr>
        <w:t>ol</w:t>
      </w:r>
      <w:r>
        <w:rPr>
          <w:sz w:val="24"/>
        </w:rPr>
        <w:t>；F</w:t>
      </w:r>
      <w:r>
        <w:rPr>
          <w:sz w:val="24"/>
          <w:vertAlign w:val="subscript"/>
        </w:rPr>
        <w:t>o</w:t>
      </w:r>
      <w:r>
        <w:rPr>
          <w:rFonts w:hint="eastAsia"/>
          <w:sz w:val="24"/>
          <w:vertAlign w:val="subscript"/>
        </w:rPr>
        <w:t>2</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pPr>
        <w:adjustRightInd w:val="0"/>
        <w:snapToGrid w:val="0"/>
        <w:spacing w:line="360" w:lineRule="auto"/>
        <w:ind w:firstLine="480" w:firstLineChars="200"/>
        <w:rPr>
          <w:sz w:val="24"/>
        </w:rPr>
      </w:pPr>
      <w:r>
        <w:rPr>
          <w:sz w:val="24"/>
        </w:rPr>
        <w:t>在采用价格调整公式进行调价时，还应遵守以下规定：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合同价格在投标所在年份不作调整，此后每年按价格调整公式调整一次。</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rPr>
      </w:pPr>
      <w:r>
        <w:rPr>
          <w:sz w:val="24"/>
        </w:rPr>
        <w:t>16.1.1.4承包人工期延误后的价格调整</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rPr>
      </w:pPr>
      <w:r>
        <w:rPr>
          <w:rFonts w:eastAsia="黑体"/>
          <w:sz w:val="24"/>
        </w:rPr>
        <w:t>17</w:t>
      </w:r>
      <w:r>
        <w:rPr>
          <w:rFonts w:hint="eastAsia" w:eastAsia="黑体"/>
          <w:sz w:val="24"/>
        </w:rPr>
        <w:t>．</w:t>
      </w:r>
      <w:r>
        <w:rPr>
          <w:rFonts w:eastAsia="黑体"/>
          <w:sz w:val="24"/>
        </w:rPr>
        <w:t>计量与支付</w:t>
      </w:r>
    </w:p>
    <w:p>
      <w:pPr>
        <w:adjustRightInd w:val="0"/>
        <w:snapToGrid w:val="0"/>
        <w:spacing w:line="360" w:lineRule="auto"/>
        <w:rPr>
          <w:rFonts w:eastAsia="黑体"/>
          <w:sz w:val="24"/>
        </w:rPr>
      </w:pPr>
      <w:r>
        <w:rPr>
          <w:rFonts w:eastAsia="黑体"/>
          <w:sz w:val="24"/>
        </w:rPr>
        <w:t>17</w:t>
      </w:r>
      <w:r>
        <w:rPr>
          <w:rFonts w:hint="eastAsia" w:eastAsia="黑体"/>
          <w:sz w:val="24"/>
        </w:rPr>
        <w:t>.</w:t>
      </w:r>
      <w:r>
        <w:rPr>
          <w:rFonts w:eastAsia="黑体"/>
          <w:sz w:val="24"/>
        </w:rPr>
        <w:t>1计量</w:t>
      </w:r>
    </w:p>
    <w:p>
      <w:pPr>
        <w:adjustRightInd w:val="0"/>
        <w:snapToGrid w:val="0"/>
        <w:spacing w:line="360" w:lineRule="auto"/>
        <w:ind w:firstLine="480" w:firstLineChars="200"/>
        <w:rPr>
          <w:sz w:val="24"/>
        </w:rPr>
      </w:pPr>
      <w:r>
        <w:rPr>
          <w:sz w:val="24"/>
        </w:rPr>
        <w:t>17.1.2计量方法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rPr>
      </w:pPr>
      <w:r>
        <w:rPr>
          <w:sz w:val="24"/>
        </w:rPr>
        <w:t>17.1.4单价子目的计量</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rPr>
      </w:pPr>
      <w:r>
        <w:rPr>
          <w:rFonts w:hint="eastAsia"/>
          <w:sz w:val="24"/>
        </w:rPr>
        <w:t>17.1.6 路面养护期计量方法</w:t>
      </w:r>
    </w:p>
    <w:p>
      <w:pPr>
        <w:adjustRightInd w:val="0"/>
        <w:snapToGrid w:val="0"/>
        <w:spacing w:line="360" w:lineRule="auto"/>
        <w:ind w:firstLine="480" w:firstLineChars="200"/>
        <w:rPr>
          <w:sz w:val="24"/>
        </w:rPr>
      </w:pPr>
      <w:r>
        <w:rPr>
          <w:rFonts w:hint="eastAsia"/>
          <w:sz w:val="24"/>
        </w:rPr>
        <w:t>（一）路面养护所有工作内容包含在综合报价中，不单独计量支付。</w:t>
      </w:r>
    </w:p>
    <w:p>
      <w:pPr>
        <w:adjustRightInd w:val="0"/>
        <w:snapToGrid w:val="0"/>
        <w:spacing w:line="360" w:lineRule="auto"/>
        <w:ind w:firstLine="480" w:firstLineChars="200"/>
        <w:rPr>
          <w:sz w:val="24"/>
        </w:rPr>
      </w:pPr>
      <w:r>
        <w:rPr>
          <w:rFonts w:hint="eastAsia"/>
          <w:sz w:val="24"/>
        </w:rPr>
        <w:t>（二</w:t>
      </w:r>
      <w:r>
        <w:rPr>
          <w:sz w:val="24"/>
        </w:rPr>
        <w:t>）</w:t>
      </w:r>
      <w:r>
        <w:rPr>
          <w:rFonts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rPr>
      </w:pPr>
      <w:r>
        <w:rPr>
          <w:rFonts w:hint="eastAsia"/>
          <w:sz w:val="24"/>
        </w:rPr>
        <w:t>（1）除了合同另有规定外，所有计量单位均为公制；</w:t>
      </w:r>
    </w:p>
    <w:p>
      <w:pPr>
        <w:adjustRightInd w:val="0"/>
        <w:snapToGrid w:val="0"/>
        <w:spacing w:line="360" w:lineRule="auto"/>
        <w:ind w:firstLine="480" w:firstLineChars="200"/>
        <w:rPr>
          <w:sz w:val="24"/>
        </w:rPr>
      </w:pPr>
      <w:r>
        <w:rPr>
          <w:rFonts w:hint="eastAsia"/>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rPr>
      </w:pPr>
      <w:r>
        <w:rPr>
          <w:rFonts w:hint="eastAsia"/>
          <w:sz w:val="24"/>
        </w:rPr>
        <w:t>（3）每次计量支付基数为年度养护费用的百分比值，分别按照养护年度第一次计量40%，第二次计量60%；</w:t>
      </w:r>
    </w:p>
    <w:p>
      <w:pPr>
        <w:adjustRightInd w:val="0"/>
        <w:snapToGrid w:val="0"/>
        <w:spacing w:line="360" w:lineRule="auto"/>
        <w:ind w:firstLine="480" w:firstLineChars="200"/>
        <w:rPr>
          <w:sz w:val="24"/>
        </w:rPr>
      </w:pPr>
      <w:r>
        <w:rPr>
          <w:rFonts w:hint="eastAsia"/>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rPr>
      </w:pPr>
      <w:r>
        <w:rPr>
          <w:rFonts w:hint="eastAsia"/>
          <w:sz w:val="24"/>
        </w:rPr>
        <w:t>第一养护年度，IRI指数须达到：IRI≤1.3</w:t>
      </w:r>
    </w:p>
    <w:p>
      <w:pPr>
        <w:adjustRightInd w:val="0"/>
        <w:snapToGrid w:val="0"/>
        <w:spacing w:line="360" w:lineRule="auto"/>
        <w:ind w:firstLine="480" w:firstLineChars="200"/>
        <w:rPr>
          <w:sz w:val="24"/>
        </w:rPr>
      </w:pPr>
      <w:r>
        <w:rPr>
          <w:rFonts w:hint="eastAsia"/>
          <w:sz w:val="24"/>
        </w:rPr>
        <w:t>a.当1.3＜IRI≤1.4时，扣除该期计量的10%；</w:t>
      </w:r>
    </w:p>
    <w:p>
      <w:pPr>
        <w:adjustRightInd w:val="0"/>
        <w:snapToGrid w:val="0"/>
        <w:spacing w:line="360" w:lineRule="auto"/>
        <w:ind w:firstLine="480" w:firstLineChars="200"/>
        <w:rPr>
          <w:sz w:val="24"/>
        </w:rPr>
      </w:pPr>
      <w:r>
        <w:rPr>
          <w:rFonts w:hint="eastAsia"/>
          <w:sz w:val="24"/>
        </w:rPr>
        <w:t>b.当1.4＜IRI≤1.5时，以1.4为基数，再扣除该期计量的10%，责令承包人更换技术和质量负责人，并向其公司通报；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c.当IRI＞1.5时，将视为承包人违约，扣除该期计量，解除合同，并追究承包人的违约责任。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第二养护年度，IRI指数须≤1.4</w:t>
      </w:r>
    </w:p>
    <w:p>
      <w:pPr>
        <w:adjustRightInd w:val="0"/>
        <w:snapToGrid w:val="0"/>
        <w:spacing w:line="360" w:lineRule="auto"/>
        <w:ind w:firstLine="480" w:firstLineChars="200"/>
        <w:rPr>
          <w:sz w:val="24"/>
        </w:rPr>
      </w:pPr>
      <w:r>
        <w:rPr>
          <w:rFonts w:hint="eastAsia"/>
          <w:sz w:val="24"/>
        </w:rPr>
        <w:t>a.当1.4＜IRI≤1.5时，扣除该期计量的10%；</w:t>
      </w:r>
    </w:p>
    <w:p>
      <w:pPr>
        <w:adjustRightInd w:val="0"/>
        <w:snapToGrid w:val="0"/>
        <w:spacing w:line="360" w:lineRule="auto"/>
        <w:ind w:firstLine="480" w:firstLineChars="200"/>
        <w:rPr>
          <w:sz w:val="24"/>
        </w:rPr>
      </w:pPr>
      <w:r>
        <w:rPr>
          <w:rFonts w:hint="eastAsia"/>
          <w:sz w:val="24"/>
        </w:rPr>
        <w:t>b.当1.5＜IRI≤1.6时，以1.5为基数，再扣除该期计量的10%，责令承包人更换技术和质量负责人，并向其公司通报；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c.当IRI＞1.6时，将视为承包人违约，扣除该期计量，解除合同，并追究承包人的违约责任。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第三养护年度，IRI指数须达到：IRI≤1.5</w:t>
      </w:r>
    </w:p>
    <w:p>
      <w:pPr>
        <w:adjustRightInd w:val="0"/>
        <w:snapToGrid w:val="0"/>
        <w:spacing w:line="360" w:lineRule="auto"/>
        <w:ind w:firstLine="480" w:firstLineChars="200"/>
        <w:rPr>
          <w:sz w:val="24"/>
        </w:rPr>
      </w:pPr>
      <w:r>
        <w:rPr>
          <w:rFonts w:hint="eastAsia"/>
          <w:sz w:val="24"/>
        </w:rPr>
        <w:t>a.当1.5＜IRI≤1.6时，扣除该期计量的10%；</w:t>
      </w:r>
    </w:p>
    <w:p>
      <w:pPr>
        <w:adjustRightInd w:val="0"/>
        <w:snapToGrid w:val="0"/>
        <w:spacing w:line="360" w:lineRule="auto"/>
        <w:ind w:firstLine="480" w:firstLineChars="200"/>
        <w:rPr>
          <w:sz w:val="24"/>
        </w:rPr>
      </w:pPr>
      <w:r>
        <w:rPr>
          <w:rFonts w:hint="eastAsia"/>
          <w:sz w:val="24"/>
        </w:rPr>
        <w:t>b.当1.6＜IRI≤1.7时，以1.6为基数，再扣除该期计量的10%，责令承包人更换技术和质量负责人，并向其公司通报；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c.当IRI＞1.7时，将视为承包人违约，扣除该期计量，解除合同，并追究承包人的违约责任。</w:t>
      </w:r>
    </w:p>
    <w:p>
      <w:pPr>
        <w:spacing w:line="360" w:lineRule="auto"/>
        <w:ind w:firstLine="470" w:firstLineChars="196"/>
        <w:rPr>
          <w:sz w:val="24"/>
        </w:rPr>
      </w:pPr>
      <w:r>
        <w:rPr>
          <w:rFonts w:hint="eastAsia"/>
          <w:sz w:val="24"/>
        </w:rPr>
        <w:t>每次检测IRI值小于规定值的，给予全额计量。</w:t>
      </w:r>
    </w:p>
    <w:p>
      <w:pPr>
        <w:spacing w:line="360" w:lineRule="auto"/>
        <w:ind w:firstLine="470" w:firstLineChars="196"/>
        <w:rPr>
          <w:sz w:val="24"/>
        </w:rPr>
      </w:pPr>
      <w:r>
        <w:rPr>
          <w:rFonts w:hint="eastAsia"/>
          <w:sz w:val="24"/>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rPr>
      </w:pPr>
      <w:r>
        <w:rPr>
          <w:rFonts w:hint="eastAsia"/>
          <w:sz w:val="24"/>
        </w:rPr>
        <w:t>当96.0＞综合养护指数值≥94.0时，每降低0.5分，扣除当期计量的5％；</w:t>
      </w:r>
    </w:p>
    <w:p>
      <w:pPr>
        <w:spacing w:line="360" w:lineRule="auto"/>
        <w:ind w:firstLine="470" w:firstLineChars="196"/>
        <w:rPr>
          <w:sz w:val="24"/>
        </w:rPr>
      </w:pPr>
      <w:r>
        <w:rPr>
          <w:rFonts w:hint="eastAsia"/>
          <w:sz w:val="24"/>
        </w:rPr>
        <w:t>当94.0＞综合养护指数值≥92.0时，以94分为基数，每降低0.5分，再扣除当期计量的10％，并要求承包商在规定的时间内更换项目经理和技术负责人；</w:t>
      </w:r>
    </w:p>
    <w:p>
      <w:pPr>
        <w:spacing w:line="360" w:lineRule="auto"/>
        <w:ind w:firstLine="470" w:firstLineChars="196"/>
        <w:rPr>
          <w:sz w:val="24"/>
        </w:rPr>
      </w:pPr>
      <w:r>
        <w:rPr>
          <w:rFonts w:hint="eastAsia"/>
          <w:sz w:val="24"/>
        </w:rPr>
        <w:t>当任一季度综合养护指数值≤92时，将视为承包商违约，业主将扣除承包商本期所有计量，并予以解除合同。</w:t>
      </w:r>
    </w:p>
    <w:p>
      <w:pPr>
        <w:spacing w:line="360" w:lineRule="auto"/>
        <w:ind w:firstLine="470" w:firstLineChars="196"/>
        <w:rPr>
          <w:sz w:val="24"/>
        </w:rPr>
      </w:pPr>
      <w:r>
        <w:rPr>
          <w:rFonts w:hint="eastAsia"/>
          <w:sz w:val="24"/>
        </w:rPr>
        <w:t>（6）以上国际平整度指数（IRI</w:t>
      </w:r>
      <w:r>
        <w:rPr>
          <w:sz w:val="24"/>
        </w:rPr>
        <w:t>）</w:t>
      </w:r>
      <w:r>
        <w:rPr>
          <w:rFonts w:hint="eastAsia"/>
          <w:sz w:val="24"/>
        </w:rPr>
        <w:t>和综合养护指数实行双控，任一指标低于规定值，均按照上述要求处罚，并且实行以上处罚时不免除合同规定的其它处罚。</w:t>
      </w:r>
    </w:p>
    <w:p>
      <w:pPr>
        <w:spacing w:line="360" w:lineRule="auto"/>
        <w:ind w:firstLine="470" w:firstLineChars="196"/>
        <w:rPr>
          <w:sz w:val="24"/>
        </w:rPr>
      </w:pPr>
      <w:r>
        <w:rPr>
          <w:rFonts w:hint="eastAsia"/>
          <w:sz w:val="24"/>
        </w:rPr>
        <w:t>（7</w:t>
      </w:r>
      <w:r>
        <w:rPr>
          <w:sz w:val="24"/>
        </w:rPr>
        <w:t>）</w:t>
      </w:r>
      <w:r>
        <w:rPr>
          <w:rFonts w:hint="eastAsia"/>
          <w:sz w:val="24"/>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rPr>
      </w:pPr>
      <w:r>
        <w:rPr>
          <w:rFonts w:eastAsia="黑体"/>
          <w:sz w:val="24"/>
        </w:rPr>
        <w:t>17.2预付款</w:t>
      </w:r>
    </w:p>
    <w:p>
      <w:pPr>
        <w:adjustRightInd w:val="0"/>
        <w:snapToGrid w:val="0"/>
        <w:spacing w:line="360" w:lineRule="auto"/>
        <w:ind w:firstLine="480" w:firstLineChars="200"/>
        <w:rPr>
          <w:sz w:val="24"/>
        </w:rPr>
      </w:pPr>
      <w:r>
        <w:rPr>
          <w:sz w:val="24"/>
        </w:rPr>
        <w:t>17.2.1预付款</w:t>
      </w:r>
    </w:p>
    <w:p>
      <w:pPr>
        <w:adjustRightInd w:val="0"/>
        <w:snapToGrid w:val="0"/>
        <w:spacing w:line="360" w:lineRule="auto"/>
        <w:ind w:firstLine="480" w:firstLineChars="200"/>
        <w:rPr>
          <w:sz w:val="24"/>
        </w:rPr>
      </w:pPr>
      <w:r>
        <w:rPr>
          <w:sz w:val="24"/>
        </w:rPr>
        <w:t>本项约定的预付款包括开工预付款和材料、设备预付款。具体额度和预付办法如下：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开工预付款的额度为签约合同价的％（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pPr>
        <w:adjustRightInd w:val="0"/>
        <w:snapToGrid w:val="0"/>
        <w:spacing w:line="360" w:lineRule="auto"/>
        <w:ind w:firstLine="480" w:firstLineChars="200"/>
        <w:rPr>
          <w:sz w:val="24"/>
        </w:rPr>
      </w:pPr>
      <w:r>
        <w:rPr>
          <w:sz w:val="24"/>
        </w:rPr>
        <w:t>a</w:t>
      </w:r>
      <w:r>
        <w:rPr>
          <w:rFonts w:hint="eastAsia"/>
          <w:sz w:val="24"/>
        </w:rPr>
        <w:t>．</w:t>
      </w:r>
      <w:r>
        <w:rPr>
          <w:sz w:val="24"/>
        </w:rPr>
        <w:t>材料、设备符合规范要求并经监理人认可；</w:t>
      </w:r>
    </w:p>
    <w:p>
      <w:pPr>
        <w:adjustRightInd w:val="0"/>
        <w:snapToGrid w:val="0"/>
        <w:spacing w:line="360" w:lineRule="auto"/>
        <w:ind w:firstLine="480" w:firstLineChars="200"/>
        <w:rPr>
          <w:sz w:val="24"/>
        </w:rPr>
      </w:pPr>
      <w:r>
        <w:rPr>
          <w:sz w:val="24"/>
        </w:rPr>
        <w:t>b</w:t>
      </w:r>
      <w:r>
        <w:rPr>
          <w:rFonts w:hint="eastAsia"/>
          <w:sz w:val="24"/>
        </w:rPr>
        <w:t>．</w:t>
      </w:r>
      <w:r>
        <w:rPr>
          <w:sz w:val="24"/>
        </w:rPr>
        <w:t>承包人已出具材料、设备费用凭证或支付单据；以及</w:t>
      </w:r>
    </w:p>
    <w:p>
      <w:pPr>
        <w:adjustRightInd w:val="0"/>
        <w:snapToGrid w:val="0"/>
        <w:spacing w:line="360" w:lineRule="auto"/>
        <w:ind w:firstLine="480" w:firstLineChars="200"/>
        <w:rPr>
          <w:sz w:val="24"/>
        </w:rPr>
      </w:pPr>
      <w:r>
        <w:rPr>
          <w:sz w:val="24"/>
        </w:rPr>
        <w:t>c</w:t>
      </w:r>
      <w:r>
        <w:rPr>
          <w:rFonts w:hint="eastAsia"/>
          <w:sz w:val="24"/>
        </w:rPr>
        <w:t>．</w:t>
      </w:r>
      <w:r>
        <w:rPr>
          <w:sz w:val="24"/>
        </w:rPr>
        <w:t>材料、设备已在现场交货，且存储良好，监理人认为材料、设备的存储方法符合要求。</w:t>
      </w:r>
    </w:p>
    <w:p>
      <w:pPr>
        <w:adjustRightInd w:val="0"/>
        <w:snapToGrid w:val="0"/>
        <w:spacing w:line="360" w:lineRule="auto"/>
        <w:ind w:firstLine="480" w:firstLineChars="200"/>
        <w:rPr>
          <w:sz w:val="24"/>
        </w:rPr>
      </w:pPr>
      <w:r>
        <w:rPr>
          <w:sz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rPr>
      </w:pPr>
      <w:r>
        <w:rPr>
          <w:sz w:val="24"/>
        </w:rPr>
        <w:t>17.2.2预付款保函</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rPr>
      </w:pPr>
      <w:r>
        <w:rPr>
          <w:sz w:val="24"/>
        </w:rPr>
        <w:t>17:2.3预付款的扣回与还清本项约定为：</w:t>
      </w:r>
    </w:p>
    <w:p>
      <w:pPr>
        <w:adjustRightInd w:val="0"/>
        <w:snapToGrid w:val="0"/>
        <w:spacing w:line="360" w:lineRule="auto"/>
        <w:ind w:firstLine="480" w:firstLineChars="200"/>
        <w:rPr>
          <w:sz w:val="24"/>
        </w:rPr>
      </w:pPr>
      <w:r>
        <w:rPr>
          <w:sz w:val="24"/>
        </w:rPr>
        <w:t>（1</w:t>
      </w:r>
      <w:r>
        <w:rPr>
          <w:rFonts w:hint="eastAsia"/>
          <w:sz w:val="24"/>
        </w:rPr>
        <w:t>）</w:t>
      </w:r>
      <w:r>
        <w:rPr>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rPr>
      </w:pPr>
      <w:r>
        <w:rPr>
          <w:rFonts w:eastAsia="黑体"/>
          <w:sz w:val="24"/>
        </w:rPr>
        <w:t>17.3工程进度付款</w:t>
      </w:r>
    </w:p>
    <w:p>
      <w:pPr>
        <w:adjustRightInd w:val="0"/>
        <w:snapToGrid w:val="0"/>
        <w:spacing w:line="360" w:lineRule="auto"/>
        <w:ind w:firstLine="480" w:firstLineChars="200"/>
        <w:rPr>
          <w:sz w:val="24"/>
        </w:rPr>
      </w:pPr>
      <w:r>
        <w:rPr>
          <w:sz w:val="24"/>
        </w:rPr>
        <w:t>17.3.2进度付款申请单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承包人在每个付款周期末，向监理人提交进度付款申请单的份数：份（在项目专用条款数据表中约定）。</w:t>
      </w:r>
    </w:p>
    <w:p>
      <w:pPr>
        <w:adjustRightInd w:val="0"/>
        <w:snapToGrid w:val="0"/>
        <w:spacing w:line="360" w:lineRule="auto"/>
        <w:ind w:firstLine="480" w:firstLineChars="200"/>
        <w:rPr>
          <w:sz w:val="24"/>
        </w:rPr>
      </w:pPr>
      <w:r>
        <w:rPr>
          <w:sz w:val="24"/>
        </w:rPr>
        <w:t>本项（6）目细化为：</w:t>
      </w:r>
    </w:p>
    <w:p>
      <w:pPr>
        <w:adjustRightInd w:val="0"/>
        <w:snapToGrid w:val="0"/>
        <w:spacing w:line="360" w:lineRule="auto"/>
        <w:ind w:firstLine="480" w:firstLineChars="200"/>
        <w:rPr>
          <w:sz w:val="24"/>
        </w:rPr>
      </w:pPr>
      <w:r>
        <w:rPr>
          <w:sz w:val="24"/>
        </w:rPr>
        <w:t>（6）根据第16条应增加和扣减的价格调整金额；</w:t>
      </w:r>
    </w:p>
    <w:p>
      <w:pPr>
        <w:adjustRightInd w:val="0"/>
        <w:snapToGrid w:val="0"/>
        <w:spacing w:line="360" w:lineRule="auto"/>
        <w:ind w:firstLine="480" w:firstLineChars="200"/>
        <w:rPr>
          <w:sz w:val="24"/>
        </w:rPr>
      </w:pPr>
      <w:r>
        <w:rPr>
          <w:rFonts w:hint="eastAsia"/>
          <w:sz w:val="24"/>
        </w:rPr>
        <w:t>（</w:t>
      </w:r>
      <w:r>
        <w:rPr>
          <w:sz w:val="24"/>
        </w:rPr>
        <w:t>7）根据合同应增加和扣减的其他金额。</w:t>
      </w:r>
    </w:p>
    <w:p>
      <w:pPr>
        <w:adjustRightInd w:val="0"/>
        <w:snapToGrid w:val="0"/>
        <w:spacing w:line="360" w:lineRule="auto"/>
        <w:ind w:firstLine="480" w:firstLineChars="200"/>
        <w:rPr>
          <w:sz w:val="24"/>
        </w:rPr>
      </w:pPr>
      <w:r>
        <w:rPr>
          <w:sz w:val="24"/>
        </w:rPr>
        <w:t>17.3.3进度付款证书和支付时间</w:t>
      </w:r>
    </w:p>
    <w:p>
      <w:pPr>
        <w:adjustRightInd w:val="0"/>
        <w:snapToGrid w:val="0"/>
        <w:spacing w:line="360" w:lineRule="auto"/>
        <w:ind w:firstLine="480" w:firstLineChars="200"/>
        <w:rPr>
          <w:sz w:val="24"/>
        </w:rPr>
      </w:pPr>
      <w:r>
        <w:rPr>
          <w:sz w:val="24"/>
        </w:rPr>
        <w:t>本项（1</w:t>
      </w:r>
      <w:r>
        <w:rPr>
          <w:rFonts w:hint="eastAsia"/>
          <w:sz w:val="24"/>
        </w:rPr>
        <w:t>）</w:t>
      </w:r>
      <w:r>
        <w:rPr>
          <w:sz w:val="24"/>
        </w:rPr>
        <w:t>目补充：</w:t>
      </w:r>
    </w:p>
    <w:p>
      <w:pPr>
        <w:adjustRightInd w:val="0"/>
        <w:snapToGrid w:val="0"/>
        <w:spacing w:line="360" w:lineRule="auto"/>
        <w:ind w:firstLine="480" w:firstLineChars="20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目约定为：</w:t>
      </w:r>
    </w:p>
    <w:p>
      <w:pPr>
        <w:adjustRightInd w:val="0"/>
        <w:snapToGrid w:val="0"/>
        <w:spacing w:line="360" w:lineRule="auto"/>
        <w:ind w:firstLine="480" w:firstLineChars="200"/>
        <w:rPr>
          <w:sz w:val="24"/>
        </w:rPr>
      </w:pPr>
      <w:r>
        <w:rPr>
          <w:sz w:val="24"/>
        </w:rPr>
        <w:t>发包人不按期支付的，按</w:t>
      </w:r>
      <w:r>
        <w:rPr>
          <w:rFonts w:hint="eastAsia" w:ascii="宋体" w:hAnsi="宋体"/>
          <w:sz w:val="24"/>
        </w:rPr>
        <w:t>‰天（</w:t>
      </w:r>
      <w:r>
        <w:rPr>
          <w:sz w:val="24"/>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rPr>
      </w:pPr>
      <w:r>
        <w:rPr>
          <w:sz w:val="24"/>
        </w:rPr>
        <w:t>本项</w:t>
      </w:r>
      <w:r>
        <w:rPr>
          <w:rFonts w:hint="eastAsia"/>
          <w:sz w:val="24"/>
        </w:rPr>
        <w:t>（</w:t>
      </w:r>
      <w:r>
        <w:rPr>
          <w:sz w:val="24"/>
        </w:rPr>
        <w:t>4</w:t>
      </w:r>
      <w:r>
        <w:rPr>
          <w:rFonts w:hint="eastAsia"/>
          <w:sz w:val="24"/>
        </w:rPr>
        <w:t>）</w:t>
      </w:r>
      <w:r>
        <w:rPr>
          <w:sz w:val="24"/>
        </w:rPr>
        <w:t>目约定为：</w:t>
      </w:r>
    </w:p>
    <w:p>
      <w:pPr>
        <w:adjustRightInd w:val="0"/>
        <w:snapToGrid w:val="0"/>
        <w:spacing w:line="360" w:lineRule="auto"/>
        <w:ind w:firstLine="480" w:firstLineChars="200"/>
        <w:rPr>
          <w:sz w:val="24"/>
        </w:rPr>
      </w:pPr>
      <w:r>
        <w:rPr>
          <w:sz w:val="24"/>
        </w:rPr>
        <w:t>进度付款涉及政府投资资金的，按照以下规定办理：</w:t>
      </w:r>
      <w:r>
        <w:rPr>
          <w:rFonts w:hint="eastAsia"/>
          <w:sz w:val="24"/>
          <w:u w:val="single"/>
        </w:rPr>
        <w:t xml:space="preserve">  （见项目专用合同条款</w:t>
      </w:r>
      <w:r>
        <w:rPr>
          <w:sz w:val="24"/>
          <w:u w:val="single"/>
        </w:rPr>
        <w:t>）</w:t>
      </w:r>
    </w:p>
    <w:p>
      <w:pPr>
        <w:adjustRightInd w:val="0"/>
        <w:snapToGrid w:val="0"/>
        <w:spacing w:beforeLines="100" w:line="360" w:lineRule="auto"/>
        <w:rPr>
          <w:rFonts w:eastAsia="黑体"/>
          <w:sz w:val="24"/>
        </w:rPr>
      </w:pPr>
      <w:r>
        <w:rPr>
          <w:rFonts w:eastAsia="黑体"/>
          <w:sz w:val="24"/>
        </w:rPr>
        <w:t>17.4质量保证金</w:t>
      </w:r>
    </w:p>
    <w:p>
      <w:pPr>
        <w:adjustRightInd w:val="0"/>
        <w:snapToGrid w:val="0"/>
        <w:spacing w:line="360" w:lineRule="auto"/>
        <w:ind w:firstLine="480" w:firstLineChars="200"/>
        <w:rPr>
          <w:rFonts w:eastAsia="黑体"/>
          <w:sz w:val="24"/>
        </w:rPr>
      </w:pPr>
      <w:r>
        <w:rPr>
          <w:rFonts w:eastAsia="黑体"/>
          <w:sz w:val="24"/>
        </w:rPr>
        <w:t>17.4.1项细化为：</w:t>
      </w:r>
    </w:p>
    <w:p>
      <w:pPr>
        <w:adjustRightInd w:val="0"/>
        <w:snapToGrid w:val="0"/>
        <w:spacing w:line="360" w:lineRule="auto"/>
        <w:ind w:firstLine="480" w:firstLineChars="200"/>
        <w:rPr>
          <w:sz w:val="24"/>
        </w:rPr>
      </w:pPr>
      <w:r>
        <w:rPr>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sz w:val="24"/>
        </w:rPr>
      </w:pPr>
      <w:r>
        <w:rPr>
          <w:rFonts w:eastAsia="黑体"/>
          <w:sz w:val="24"/>
        </w:rPr>
        <w:t>17.5竣工结算</w:t>
      </w:r>
    </w:p>
    <w:p>
      <w:pPr>
        <w:adjustRightInd w:val="0"/>
        <w:snapToGrid w:val="0"/>
        <w:spacing w:line="360" w:lineRule="auto"/>
        <w:ind w:firstLine="480" w:firstLineChars="200"/>
        <w:rPr>
          <w:rFonts w:eastAsia="黑体"/>
          <w:sz w:val="24"/>
        </w:rPr>
      </w:pPr>
      <w:r>
        <w:rPr>
          <w:rFonts w:eastAsia="黑体"/>
          <w:sz w:val="24"/>
        </w:rPr>
        <w:t>17.5.1竣工付款申请单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承包人向监理人提交竣工付款申请单（包括相关证明材料）的份数：份（在项目专用条款数据表中约定）；期限：</w:t>
      </w:r>
      <w:r>
        <w:rPr>
          <w:sz w:val="24"/>
          <w:u w:val="single"/>
        </w:rPr>
        <w:t>工程接收证书签发后42天内</w:t>
      </w:r>
      <w:r>
        <w:rPr>
          <w:rFonts w:hint="eastAsia"/>
          <w:sz w:val="24"/>
        </w:rPr>
        <w:t>。</w:t>
      </w:r>
    </w:p>
    <w:p>
      <w:pPr>
        <w:adjustRightInd w:val="0"/>
        <w:snapToGrid w:val="0"/>
        <w:spacing w:beforeLines="100" w:line="360" w:lineRule="auto"/>
        <w:rPr>
          <w:rFonts w:eastAsia="黑体"/>
          <w:sz w:val="24"/>
        </w:rPr>
      </w:pPr>
      <w:r>
        <w:rPr>
          <w:rFonts w:eastAsia="黑体"/>
          <w:sz w:val="24"/>
        </w:rPr>
        <w:t>17.6最终结清</w:t>
      </w:r>
    </w:p>
    <w:p>
      <w:pPr>
        <w:adjustRightInd w:val="0"/>
        <w:snapToGrid w:val="0"/>
        <w:spacing w:line="360" w:lineRule="auto"/>
        <w:ind w:firstLine="480" w:firstLineChars="200"/>
        <w:rPr>
          <w:rFonts w:eastAsia="黑体"/>
          <w:sz w:val="24"/>
        </w:rPr>
      </w:pPr>
      <w:r>
        <w:rPr>
          <w:rFonts w:eastAsia="黑体"/>
          <w:sz w:val="24"/>
        </w:rPr>
        <w:t>17.6.1最终结清申请单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承包人向监理人提交最终结清申请单（包括相关证明材料）的份数：份（在项目专用条款数据表中约定）；期限：</w:t>
      </w:r>
      <w:r>
        <w:rPr>
          <w:sz w:val="24"/>
          <w:u w:val="single"/>
        </w:rPr>
        <w:t>缺陷责任期终止证书签发后28天内</w:t>
      </w:r>
      <w:r>
        <w:rPr>
          <w:sz w:val="24"/>
        </w:rPr>
        <w:t>。</w:t>
      </w:r>
    </w:p>
    <w:p>
      <w:pPr>
        <w:adjustRightInd w:val="0"/>
        <w:snapToGrid w:val="0"/>
        <w:spacing w:line="360" w:lineRule="auto"/>
        <w:ind w:firstLine="480" w:firstLineChars="200"/>
        <w:rPr>
          <w:sz w:val="24"/>
        </w:rPr>
      </w:pPr>
      <w:r>
        <w:rPr>
          <w:sz w:val="24"/>
        </w:rPr>
        <w:t>最终结清申请单中的总金额应认为是代表了根据合同规定应付给承包人的全部款项的最后结算。</w:t>
      </w:r>
    </w:p>
    <w:p>
      <w:pPr>
        <w:adjustRightInd w:val="0"/>
        <w:snapToGrid w:val="0"/>
        <w:spacing w:beforeLines="100" w:line="360" w:lineRule="auto"/>
        <w:rPr>
          <w:rFonts w:eastAsia="黑体"/>
          <w:sz w:val="24"/>
        </w:rPr>
      </w:pPr>
      <w:r>
        <w:rPr>
          <w:rFonts w:eastAsia="黑体"/>
          <w:sz w:val="24"/>
        </w:rPr>
        <w:t>18．竣工验收</w:t>
      </w:r>
    </w:p>
    <w:p>
      <w:pPr>
        <w:adjustRightInd w:val="0"/>
        <w:snapToGrid w:val="0"/>
        <w:spacing w:line="360" w:lineRule="auto"/>
        <w:rPr>
          <w:rFonts w:eastAsia="黑体"/>
          <w:sz w:val="24"/>
        </w:rPr>
      </w:pPr>
      <w:r>
        <w:rPr>
          <w:rFonts w:eastAsia="黑体"/>
          <w:sz w:val="24"/>
        </w:rPr>
        <w:t>18.1竣工验收的含义</w:t>
      </w:r>
    </w:p>
    <w:p>
      <w:pPr>
        <w:adjustRightInd w:val="0"/>
        <w:snapToGrid w:val="0"/>
        <w:spacing w:line="360" w:lineRule="auto"/>
        <w:ind w:firstLine="480" w:firstLineChars="200"/>
        <w:rPr>
          <w:sz w:val="24"/>
        </w:rPr>
      </w:pPr>
      <w:r>
        <w:rPr>
          <w:sz w:val="24"/>
        </w:rPr>
        <w:t>本款增加第18.1.4项：</w:t>
      </w:r>
    </w:p>
    <w:p>
      <w:pPr>
        <w:adjustRightInd w:val="0"/>
        <w:snapToGrid w:val="0"/>
        <w:spacing w:line="360" w:lineRule="auto"/>
        <w:ind w:firstLine="480" w:firstLineChars="200"/>
        <w:rPr>
          <w:sz w:val="24"/>
        </w:rPr>
      </w:pPr>
      <w:r>
        <w:rPr>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rPr>
      </w:pPr>
      <w:r>
        <w:rPr>
          <w:rFonts w:eastAsia="黑体"/>
          <w:sz w:val="24"/>
        </w:rPr>
        <w:t>18.3验收</w:t>
      </w:r>
    </w:p>
    <w:p>
      <w:pPr>
        <w:adjustRightInd w:val="0"/>
        <w:snapToGrid w:val="0"/>
        <w:spacing w:line="360" w:lineRule="auto"/>
        <w:ind w:firstLine="480" w:firstLineChars="200"/>
        <w:rPr>
          <w:rFonts w:eastAsia="黑体"/>
          <w:sz w:val="24"/>
        </w:rPr>
      </w:pPr>
      <w:r>
        <w:rPr>
          <w:rFonts w:eastAsia="黑体"/>
          <w:sz w:val="24"/>
        </w:rPr>
        <w:t>18.3.2项补充：</w:t>
      </w:r>
    </w:p>
    <w:p>
      <w:pPr>
        <w:adjustRightInd w:val="0"/>
        <w:snapToGrid w:val="0"/>
        <w:spacing w:line="360" w:lineRule="auto"/>
        <w:ind w:firstLine="480" w:firstLineChars="20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rPr>
      </w:pPr>
      <w:r>
        <w:rPr>
          <w:sz w:val="24"/>
        </w:rPr>
        <w:t>18.3.5项约定为：</w:t>
      </w:r>
    </w:p>
    <w:p>
      <w:pPr>
        <w:adjustRightInd w:val="0"/>
        <w:snapToGrid w:val="0"/>
        <w:spacing w:line="360" w:lineRule="auto"/>
        <w:ind w:firstLine="480" w:firstLineChars="200"/>
        <w:rPr>
          <w:sz w:val="24"/>
        </w:rPr>
      </w:pPr>
      <w:r>
        <w:rPr>
          <w:sz w:val="24"/>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rPr>
      </w:pPr>
      <w:r>
        <w:rPr>
          <w:sz w:val="24"/>
        </w:rPr>
        <w:t>本款增加第18.3.7项：</w:t>
      </w:r>
    </w:p>
    <w:p>
      <w:pPr>
        <w:adjustRightInd w:val="0"/>
        <w:snapToGrid w:val="0"/>
        <w:spacing w:line="360" w:lineRule="auto"/>
        <w:ind w:firstLine="480" w:firstLineChars="200"/>
        <w:rPr>
          <w:sz w:val="24"/>
        </w:rPr>
      </w:pPr>
      <w:r>
        <w:rPr>
          <w:sz w:val="24"/>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rPr>
      </w:pPr>
      <w:r>
        <w:rPr>
          <w:rFonts w:eastAsia="黑体"/>
          <w:sz w:val="24"/>
        </w:rPr>
        <w:t>18.5施工期运行</w:t>
      </w:r>
    </w:p>
    <w:p>
      <w:pPr>
        <w:adjustRightInd w:val="0"/>
        <w:snapToGrid w:val="0"/>
        <w:spacing w:line="360" w:lineRule="auto"/>
        <w:ind w:firstLine="480" w:firstLineChars="200"/>
        <w:rPr>
          <w:sz w:val="24"/>
        </w:rPr>
      </w:pPr>
      <w:r>
        <w:rPr>
          <w:sz w:val="24"/>
        </w:rPr>
        <w:t>18.5.1项约定：</w:t>
      </w:r>
    </w:p>
    <w:p>
      <w:pPr>
        <w:adjustRightInd w:val="0"/>
        <w:snapToGrid w:val="0"/>
        <w:spacing w:line="360" w:lineRule="auto"/>
        <w:ind w:firstLine="480" w:firstLineChars="200"/>
        <w:rPr>
          <w:sz w:val="24"/>
          <w:u w:val="single"/>
        </w:rPr>
      </w:pPr>
      <w:r>
        <w:rPr>
          <w:sz w:val="24"/>
        </w:rPr>
        <w:t>单位工程或工程设备是否需投入施工期运行：</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hint="eastAsia" w:eastAsia="黑体"/>
          <w:sz w:val="24"/>
        </w:rPr>
        <w:t>18.6试运行</w:t>
      </w:r>
    </w:p>
    <w:p>
      <w:pPr>
        <w:adjustRightInd w:val="0"/>
        <w:snapToGrid w:val="0"/>
        <w:spacing w:line="360" w:lineRule="auto"/>
        <w:ind w:firstLine="480" w:firstLineChars="200"/>
        <w:rPr>
          <w:sz w:val="24"/>
        </w:rPr>
      </w:pPr>
      <w:r>
        <w:rPr>
          <w:sz w:val="24"/>
        </w:rPr>
        <w:t>18.6.1项约定：</w:t>
      </w:r>
    </w:p>
    <w:p>
      <w:pPr>
        <w:adjustRightInd w:val="0"/>
        <w:snapToGrid w:val="0"/>
        <w:spacing w:line="360" w:lineRule="auto"/>
        <w:ind w:firstLine="480" w:firstLineChars="200"/>
        <w:rPr>
          <w:sz w:val="24"/>
          <w:u w:val="single"/>
        </w:rPr>
      </w:pPr>
      <w:r>
        <w:rPr>
          <w:sz w:val="24"/>
        </w:rPr>
        <w:t>本工程及工程设备是否进行试运行：</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试运行的内容：</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试运行的费用约定：</w:t>
      </w:r>
      <w:r>
        <w:rPr>
          <w:rFonts w:hint="eastAsia"/>
          <w:sz w:val="24"/>
          <w:u w:val="single"/>
        </w:rPr>
        <w:t xml:space="preserve">  （见项目专用合同条款）</w:t>
      </w:r>
    </w:p>
    <w:p>
      <w:pPr>
        <w:adjustRightInd w:val="0"/>
        <w:snapToGrid w:val="0"/>
        <w:spacing w:beforeLines="100" w:line="360" w:lineRule="auto"/>
        <w:rPr>
          <w:rFonts w:eastAsia="黑体"/>
          <w:sz w:val="24"/>
        </w:rPr>
      </w:pPr>
      <w:r>
        <w:rPr>
          <w:rFonts w:eastAsia="黑体"/>
          <w:sz w:val="24"/>
        </w:rPr>
        <w:t>本条增加第18.9款：</w:t>
      </w:r>
    </w:p>
    <w:p>
      <w:pPr>
        <w:adjustRightInd w:val="0"/>
        <w:snapToGrid w:val="0"/>
        <w:spacing w:line="360" w:lineRule="auto"/>
        <w:rPr>
          <w:rFonts w:eastAsia="黑体"/>
          <w:sz w:val="24"/>
        </w:rPr>
      </w:pPr>
      <w:r>
        <w:rPr>
          <w:rFonts w:eastAsia="黑体"/>
          <w:sz w:val="24"/>
        </w:rPr>
        <w:t>18.9竣工文件</w:t>
      </w:r>
    </w:p>
    <w:p>
      <w:pPr>
        <w:adjustRightInd w:val="0"/>
        <w:snapToGrid w:val="0"/>
        <w:spacing w:line="360" w:lineRule="auto"/>
        <w:ind w:firstLine="480" w:firstLineChars="20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rPr>
      </w:pPr>
      <w:r>
        <w:rPr>
          <w:rFonts w:eastAsia="黑体"/>
          <w:sz w:val="24"/>
        </w:rPr>
        <w:t>19</w:t>
      </w:r>
      <w:r>
        <w:rPr>
          <w:rFonts w:hint="eastAsia" w:eastAsia="黑体"/>
          <w:sz w:val="24"/>
        </w:rPr>
        <w:t>．</w:t>
      </w:r>
      <w:r>
        <w:rPr>
          <w:rFonts w:eastAsia="黑体"/>
          <w:sz w:val="24"/>
        </w:rPr>
        <w:t>缺陷责任与保修责任</w:t>
      </w:r>
    </w:p>
    <w:p>
      <w:pPr>
        <w:adjustRightInd w:val="0"/>
        <w:snapToGrid w:val="0"/>
        <w:spacing w:line="360" w:lineRule="auto"/>
        <w:rPr>
          <w:rFonts w:eastAsia="黑体"/>
          <w:sz w:val="24"/>
        </w:rPr>
      </w:pPr>
      <w:r>
        <w:rPr>
          <w:rFonts w:eastAsia="黑体"/>
          <w:sz w:val="24"/>
        </w:rPr>
        <w:t>19.2缺陷责任</w:t>
      </w:r>
    </w:p>
    <w:p>
      <w:pPr>
        <w:adjustRightInd w:val="0"/>
        <w:snapToGrid w:val="0"/>
        <w:spacing w:line="360" w:lineRule="auto"/>
        <w:ind w:firstLine="480" w:firstLineChars="200"/>
        <w:rPr>
          <w:sz w:val="24"/>
        </w:rPr>
      </w:pPr>
      <w:r>
        <w:rPr>
          <w:sz w:val="24"/>
        </w:rPr>
        <w:t>19.2.2项补充：</w:t>
      </w:r>
    </w:p>
    <w:p>
      <w:pPr>
        <w:adjustRightInd w:val="0"/>
        <w:snapToGrid w:val="0"/>
        <w:spacing w:line="360" w:lineRule="auto"/>
        <w:ind w:firstLine="480" w:firstLineChars="200"/>
        <w:rPr>
          <w:sz w:val="24"/>
        </w:rPr>
      </w:pPr>
      <w:r>
        <w:rPr>
          <w:sz w:val="24"/>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rPr>
      </w:pPr>
      <w:r>
        <w:rPr>
          <w:sz w:val="24"/>
        </w:rPr>
        <w:t>19.2.3项补充：</w:t>
      </w:r>
    </w:p>
    <w:p>
      <w:pPr>
        <w:adjustRightInd w:val="0"/>
        <w:snapToGrid w:val="0"/>
        <w:spacing w:line="360" w:lineRule="auto"/>
        <w:ind w:firstLine="480" w:firstLineChars="200"/>
        <w:rPr>
          <w:sz w:val="24"/>
        </w:rPr>
      </w:pPr>
      <w:r>
        <w:rPr>
          <w:sz w:val="24"/>
        </w:rPr>
        <w:t>在缺陷责任期内，下述原因造成的缺陷修复和查验费用应由承包人自行负责：</w:t>
      </w:r>
    </w:p>
    <w:p>
      <w:pPr>
        <w:adjustRightInd w:val="0"/>
        <w:snapToGrid w:val="0"/>
        <w:spacing w:line="360" w:lineRule="auto"/>
        <w:ind w:firstLine="480" w:firstLineChars="200"/>
        <w:rPr>
          <w:sz w:val="24"/>
        </w:rPr>
      </w:pPr>
      <w:r>
        <w:rPr>
          <w:sz w:val="24"/>
        </w:rPr>
        <w:t>（1</w:t>
      </w:r>
      <w:r>
        <w:rPr>
          <w:rFonts w:hint="eastAsia"/>
          <w:sz w:val="24"/>
        </w:rPr>
        <w:t>）</w:t>
      </w:r>
      <w:r>
        <w:rPr>
          <w:sz w:val="24"/>
        </w:rPr>
        <w:t>承包人所用的材料、设备或操作工艺不符合合同要求；或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承包人的疏忽或未遵守合同中对承包人规定的义务。</w:t>
      </w:r>
    </w:p>
    <w:p>
      <w:pPr>
        <w:adjustRightInd w:val="0"/>
        <w:snapToGrid w:val="0"/>
        <w:spacing w:beforeLines="100" w:line="360" w:lineRule="auto"/>
        <w:rPr>
          <w:rFonts w:eastAsia="黑体"/>
          <w:sz w:val="24"/>
        </w:rPr>
      </w:pPr>
      <w:r>
        <w:rPr>
          <w:rFonts w:eastAsia="黑体"/>
          <w:sz w:val="24"/>
        </w:rPr>
        <w:t>19.3缺陷责任期的延长</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rPr>
      </w:pPr>
      <w:r>
        <w:rPr>
          <w:rFonts w:eastAsia="黑体"/>
          <w:sz w:val="24"/>
        </w:rPr>
        <w:t>19.5承包人的进入权</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rPr>
      </w:pPr>
      <w:r>
        <w:rPr>
          <w:rFonts w:eastAsia="黑体"/>
          <w:sz w:val="24"/>
        </w:rPr>
        <w:t>19.7保修责任</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rPr>
      </w:pPr>
      <w:r>
        <w:rPr>
          <w:sz w:val="24"/>
        </w:rPr>
        <w:t>（2</w:t>
      </w:r>
      <w:r>
        <w:rPr>
          <w:rFonts w:hint="eastAsia"/>
          <w:sz w:val="24"/>
        </w:rPr>
        <w:t>）</w:t>
      </w:r>
      <w:r>
        <w:rPr>
          <w:sz w:val="24"/>
        </w:rPr>
        <w:t>在全部工程竣工验收前，已经发包人提前验收的单位工程，其保修期的起算日期相应提前。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工程保修期终止后28天内，监理人签发保修期终止证书。</w:t>
      </w:r>
    </w:p>
    <w:p>
      <w:pPr>
        <w:adjustRightInd w:val="0"/>
        <w:snapToGrid w:val="0"/>
        <w:spacing w:beforeLines="100" w:line="360" w:lineRule="auto"/>
        <w:rPr>
          <w:rFonts w:eastAsia="黑体"/>
          <w:sz w:val="24"/>
        </w:rPr>
      </w:pPr>
      <w:r>
        <w:rPr>
          <w:rFonts w:eastAsia="黑体"/>
          <w:sz w:val="24"/>
        </w:rPr>
        <w:t>19.</w:t>
      </w:r>
      <w:r>
        <w:rPr>
          <w:rFonts w:hint="eastAsia" w:eastAsia="黑体"/>
          <w:sz w:val="24"/>
        </w:rPr>
        <w:t>8路面保修</w:t>
      </w:r>
    </w:p>
    <w:p>
      <w:pPr>
        <w:adjustRightInd w:val="0"/>
        <w:snapToGrid w:val="0"/>
        <w:spacing w:line="360" w:lineRule="auto"/>
        <w:ind w:firstLine="480" w:firstLineChars="200"/>
        <w:rPr>
          <w:sz w:val="24"/>
        </w:rPr>
      </w:pPr>
      <w:r>
        <w:rPr>
          <w:rFonts w:hint="eastAsia"/>
          <w:sz w:val="24"/>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rPr>
      </w:pPr>
      <w:r>
        <w:rPr>
          <w:rFonts w:eastAsia="黑体"/>
          <w:sz w:val="24"/>
        </w:rPr>
        <w:t>20</w:t>
      </w:r>
      <w:r>
        <w:rPr>
          <w:rFonts w:hint="eastAsia" w:eastAsia="黑体"/>
          <w:sz w:val="24"/>
        </w:rPr>
        <w:t>．</w:t>
      </w:r>
      <w:r>
        <w:rPr>
          <w:rFonts w:eastAsia="黑体"/>
          <w:sz w:val="24"/>
        </w:rPr>
        <w:t>保险</w:t>
      </w:r>
    </w:p>
    <w:p>
      <w:pPr>
        <w:adjustRightInd w:val="0"/>
        <w:snapToGrid w:val="0"/>
        <w:spacing w:line="360" w:lineRule="auto"/>
        <w:rPr>
          <w:rFonts w:eastAsia="黑体"/>
          <w:sz w:val="24"/>
        </w:rPr>
      </w:pPr>
      <w:r>
        <w:rPr>
          <w:rFonts w:eastAsia="黑体"/>
          <w:sz w:val="24"/>
        </w:rPr>
        <w:t>20.1工程保险</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pPr>
        <w:adjustRightInd w:val="0"/>
        <w:snapToGrid w:val="0"/>
        <w:spacing w:line="360" w:lineRule="auto"/>
        <w:ind w:firstLine="480" w:firstLineChars="200"/>
        <w:rPr>
          <w:sz w:val="24"/>
        </w:rPr>
      </w:pPr>
      <w:r>
        <w:rPr>
          <w:sz w:val="24"/>
        </w:rPr>
        <w:t>保险金额：工程量清单第100章（不含建筑工程一切险及第三者责任险的保险费）至700章的合计金额。</w:t>
      </w:r>
    </w:p>
    <w:p>
      <w:pPr>
        <w:adjustRightInd w:val="0"/>
        <w:snapToGrid w:val="0"/>
        <w:spacing w:line="360" w:lineRule="auto"/>
        <w:ind w:firstLine="480" w:firstLineChars="200"/>
        <w:rPr>
          <w:sz w:val="24"/>
        </w:rPr>
      </w:pPr>
      <w:r>
        <w:rPr>
          <w:sz w:val="24"/>
        </w:rPr>
        <w:t>保险费率：</w:t>
      </w:r>
      <w:r>
        <w:rPr>
          <w:rFonts w:hint="eastAsia"/>
          <w:sz w:val="24"/>
        </w:rPr>
        <w:t>%</w:t>
      </w:r>
      <w:r>
        <w:rPr>
          <w:sz w:val="24"/>
        </w:rPr>
        <w:t>（在项目专用条款数据中约定）</w:t>
      </w:r>
    </w:p>
    <w:p>
      <w:pPr>
        <w:adjustRightInd w:val="0"/>
        <w:snapToGrid w:val="0"/>
        <w:spacing w:line="360" w:lineRule="auto"/>
        <w:ind w:firstLine="480" w:firstLineChars="200"/>
        <w:rPr>
          <w:sz w:val="24"/>
        </w:rPr>
      </w:pPr>
      <w:r>
        <w:rPr>
          <w:sz w:val="24"/>
        </w:rPr>
        <w:t>保险期限：开工日起直至本合同工程签发缺陷责任期终止证书止（即合同工期＋缺陷责任期）</w:t>
      </w:r>
    </w:p>
    <w:p>
      <w:pPr>
        <w:adjustRightInd w:val="0"/>
        <w:snapToGrid w:val="0"/>
        <w:spacing w:line="360" w:lineRule="auto"/>
        <w:ind w:firstLine="480" w:firstLineChars="200"/>
        <w:rPr>
          <w:sz w:val="24"/>
        </w:rPr>
      </w:pPr>
      <w:r>
        <w:rPr>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20.4第三者责任险</w:t>
      </w:r>
    </w:p>
    <w:p>
      <w:pPr>
        <w:adjustRightInd w:val="0"/>
        <w:snapToGrid w:val="0"/>
        <w:spacing w:line="360" w:lineRule="auto"/>
        <w:ind w:firstLine="480" w:firstLineChars="200"/>
        <w:rPr>
          <w:sz w:val="24"/>
        </w:rPr>
      </w:pPr>
      <w:r>
        <w:rPr>
          <w:sz w:val="24"/>
        </w:rPr>
        <w:t>20.4.2项约定为：</w:t>
      </w:r>
    </w:p>
    <w:p>
      <w:pPr>
        <w:adjustRightInd w:val="0"/>
        <w:snapToGrid w:val="0"/>
        <w:spacing w:line="360" w:lineRule="auto"/>
        <w:ind w:firstLine="480" w:firstLineChars="200"/>
        <w:rPr>
          <w:sz w:val="24"/>
        </w:rPr>
      </w:pPr>
      <w:r>
        <w:rPr>
          <w:sz w:val="24"/>
        </w:rPr>
        <w:t>第三者责任险的最低保险金额：万元人民币，事故次数不限（不计免赔额）</w:t>
      </w:r>
    </w:p>
    <w:p>
      <w:pPr>
        <w:adjustRightInd w:val="0"/>
        <w:snapToGrid w:val="0"/>
        <w:spacing w:line="360" w:lineRule="auto"/>
        <w:ind w:firstLine="480" w:firstLineChars="200"/>
        <w:rPr>
          <w:sz w:val="24"/>
        </w:rPr>
      </w:pPr>
      <w:r>
        <w:rPr>
          <w:sz w:val="24"/>
        </w:rPr>
        <w:t>保险费率：％。（在项目专用合同条款中约定）</w:t>
      </w:r>
    </w:p>
    <w:p>
      <w:pPr>
        <w:adjustRightInd w:val="0"/>
        <w:snapToGrid w:val="0"/>
        <w:spacing w:line="360" w:lineRule="auto"/>
        <w:ind w:firstLine="480" w:firstLineChars="200"/>
        <w:rPr>
          <w:sz w:val="24"/>
        </w:rPr>
      </w:pPr>
      <w:r>
        <w:rPr>
          <w:sz w:val="24"/>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20.5其他保险</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rPr>
      </w:pPr>
      <w:r>
        <w:rPr>
          <w:rFonts w:eastAsia="黑体"/>
          <w:sz w:val="24"/>
        </w:rPr>
        <w:t>20.6对各项保险的一般要求</w:t>
      </w:r>
    </w:p>
    <w:p>
      <w:pPr>
        <w:adjustRightInd w:val="0"/>
        <w:snapToGrid w:val="0"/>
        <w:spacing w:line="360" w:lineRule="auto"/>
        <w:ind w:firstLine="480" w:firstLineChars="200"/>
        <w:rPr>
          <w:sz w:val="24"/>
        </w:rPr>
      </w:pPr>
      <w:r>
        <w:rPr>
          <w:sz w:val="24"/>
        </w:rPr>
        <w:t>20.6.1保险凭证</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承包人向发包人提交各项保险生效的证据和保险单副本的期限：</w:t>
      </w:r>
      <w:r>
        <w:rPr>
          <w:rFonts w:hint="eastAsia"/>
          <w:sz w:val="24"/>
          <w:u w:val="single"/>
        </w:rPr>
        <w:t xml:space="preserve">  开工后56天内 </w:t>
      </w:r>
      <w:r>
        <w:rPr>
          <w:sz w:val="24"/>
        </w:rPr>
        <w:t>。</w:t>
      </w:r>
    </w:p>
    <w:p>
      <w:pPr>
        <w:adjustRightInd w:val="0"/>
        <w:snapToGrid w:val="0"/>
        <w:spacing w:line="360" w:lineRule="auto"/>
        <w:ind w:firstLine="480" w:firstLineChars="200"/>
        <w:rPr>
          <w:sz w:val="24"/>
        </w:rPr>
      </w:pPr>
      <w:r>
        <w:rPr>
          <w:sz w:val="24"/>
        </w:rPr>
        <w:t>20.6.3持续保险</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在整个合同期内，承包人应按合同条款保证足够的保险额。</w:t>
      </w:r>
    </w:p>
    <w:p>
      <w:pPr>
        <w:adjustRightInd w:val="0"/>
        <w:snapToGrid w:val="0"/>
        <w:spacing w:line="360" w:lineRule="auto"/>
        <w:ind w:firstLine="480" w:firstLineChars="200"/>
        <w:rPr>
          <w:sz w:val="24"/>
        </w:rPr>
      </w:pPr>
      <w:r>
        <w:rPr>
          <w:sz w:val="24"/>
        </w:rPr>
        <w:t>20.6.4保险</w:t>
      </w:r>
      <w:r>
        <w:rPr>
          <w:rFonts w:hint="eastAsia"/>
          <w:sz w:val="24"/>
        </w:rPr>
        <w:t>金</w:t>
      </w:r>
      <w:r>
        <w:rPr>
          <w:sz w:val="24"/>
        </w:rPr>
        <w:t>不足的补偿</w:t>
      </w:r>
    </w:p>
    <w:p>
      <w:pPr>
        <w:adjustRightInd w:val="0"/>
        <w:snapToGrid w:val="0"/>
        <w:spacing w:line="360" w:lineRule="auto"/>
        <w:ind w:firstLine="480" w:firstLineChars="200"/>
        <w:rPr>
          <w:sz w:val="24"/>
        </w:rPr>
      </w:pPr>
      <w:r>
        <w:rPr>
          <w:sz w:val="24"/>
        </w:rPr>
        <w:t xml:space="preserve">本项细化为： </w:t>
      </w:r>
    </w:p>
    <w:p>
      <w:pPr>
        <w:adjustRightInd w:val="0"/>
        <w:snapToGrid w:val="0"/>
        <w:spacing w:line="360" w:lineRule="auto"/>
        <w:ind w:firstLine="480" w:firstLineChars="200"/>
        <w:rPr>
          <w:sz w:val="24"/>
        </w:rPr>
      </w:pPr>
      <w:r>
        <w:rPr>
          <w:sz w:val="24"/>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rPr>
      </w:pPr>
      <w:r>
        <w:rPr>
          <w:sz w:val="24"/>
        </w:rPr>
        <w:t>20.6.5未按约定投保的补救</w:t>
      </w:r>
    </w:p>
    <w:p>
      <w:pPr>
        <w:adjustRightInd w:val="0"/>
        <w:snapToGrid w:val="0"/>
        <w:spacing w:line="360" w:lineRule="auto"/>
        <w:ind w:firstLine="480" w:firstLineChars="200"/>
        <w:rPr>
          <w:sz w:val="24"/>
        </w:rPr>
      </w:pPr>
      <w:r>
        <w:rPr>
          <w:sz w:val="24"/>
        </w:rPr>
        <w:t>本项（2）目细化为：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rPr>
      </w:pPr>
      <w:r>
        <w:rPr>
          <w:rFonts w:eastAsia="黑体"/>
          <w:sz w:val="24"/>
        </w:rPr>
        <w:t>21．不可抗力</w:t>
      </w:r>
    </w:p>
    <w:p>
      <w:pPr>
        <w:adjustRightInd w:val="0"/>
        <w:snapToGrid w:val="0"/>
        <w:spacing w:line="360" w:lineRule="auto"/>
        <w:rPr>
          <w:rFonts w:eastAsia="黑体"/>
          <w:sz w:val="24"/>
        </w:rPr>
      </w:pPr>
      <w:r>
        <w:rPr>
          <w:rFonts w:eastAsia="黑体"/>
          <w:sz w:val="24"/>
        </w:rPr>
        <w:t>21.1不可抗力的确认</w:t>
      </w:r>
    </w:p>
    <w:p>
      <w:pPr>
        <w:adjustRightInd w:val="0"/>
        <w:snapToGrid w:val="0"/>
        <w:spacing w:line="360" w:lineRule="auto"/>
        <w:ind w:firstLine="480" w:firstLineChars="200"/>
        <w:rPr>
          <w:sz w:val="24"/>
        </w:rPr>
      </w:pPr>
      <w:r>
        <w:rPr>
          <w:sz w:val="24"/>
        </w:rPr>
        <w:t>21</w:t>
      </w:r>
      <w:r>
        <w:rPr>
          <w:rFonts w:hint="eastAsia"/>
          <w:sz w:val="24"/>
        </w:rPr>
        <w:t>.</w:t>
      </w:r>
      <w:r>
        <w:rPr>
          <w:sz w:val="24"/>
        </w:rPr>
        <w:t>1</w:t>
      </w:r>
      <w:r>
        <w:rPr>
          <w:rFonts w:hint="eastAsia"/>
          <w:sz w:val="24"/>
        </w:rPr>
        <w:t>.</w:t>
      </w:r>
      <w:r>
        <w:rPr>
          <w:sz w:val="24"/>
        </w:rPr>
        <w:t>1项细化为：</w:t>
      </w:r>
    </w:p>
    <w:p>
      <w:pPr>
        <w:adjustRightInd w:val="0"/>
        <w:snapToGrid w:val="0"/>
        <w:spacing w:line="360" w:lineRule="auto"/>
        <w:ind w:firstLine="480" w:firstLineChars="200"/>
        <w:rPr>
          <w:sz w:val="24"/>
        </w:rPr>
      </w:pPr>
      <w:r>
        <w:rPr>
          <w:sz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rPr>
      </w:pPr>
      <w:r>
        <w:rPr>
          <w:sz w:val="24"/>
        </w:rPr>
        <w:t>（3）核反应、辐射或放射性污染；</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pPr>
        <w:adjustRightInd w:val="0"/>
        <w:snapToGrid w:val="0"/>
        <w:spacing w:line="360" w:lineRule="auto"/>
        <w:ind w:firstLine="480" w:firstLineChars="200"/>
        <w:rPr>
          <w:sz w:val="24"/>
        </w:rPr>
      </w:pPr>
      <w:r>
        <w:rPr>
          <w:sz w:val="24"/>
        </w:rPr>
        <w:t>（5</w:t>
      </w:r>
      <w:r>
        <w:rPr>
          <w:rFonts w:hint="eastAsia"/>
          <w:sz w:val="24"/>
        </w:rPr>
        <w:t>）</w:t>
      </w:r>
      <w:r>
        <w:rPr>
          <w:sz w:val="24"/>
        </w:rPr>
        <w:t>瘟疫；</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项目专用合同条款约定的其他情形。</w:t>
      </w:r>
    </w:p>
    <w:p>
      <w:pPr>
        <w:adjustRightInd w:val="0"/>
        <w:snapToGrid w:val="0"/>
        <w:spacing w:beforeLines="100" w:line="360" w:lineRule="auto"/>
        <w:rPr>
          <w:rFonts w:eastAsia="黑体"/>
          <w:sz w:val="24"/>
        </w:rPr>
      </w:pPr>
      <w:r>
        <w:rPr>
          <w:rFonts w:eastAsia="黑体"/>
          <w:sz w:val="24"/>
        </w:rPr>
        <w:t>21.3不可抗力后果及其处理</w:t>
      </w:r>
    </w:p>
    <w:p>
      <w:pPr>
        <w:adjustRightInd w:val="0"/>
        <w:snapToGrid w:val="0"/>
        <w:spacing w:line="360" w:lineRule="auto"/>
        <w:ind w:firstLine="480" w:firstLineChars="200"/>
        <w:rPr>
          <w:sz w:val="24"/>
        </w:rPr>
      </w:pPr>
      <w:r>
        <w:rPr>
          <w:sz w:val="24"/>
        </w:rPr>
        <w:t>21.3.4因不可抗力解除合同本项细化为：</w:t>
      </w:r>
    </w:p>
    <w:p>
      <w:pPr>
        <w:adjustRightInd w:val="0"/>
        <w:snapToGrid w:val="0"/>
        <w:spacing w:line="360" w:lineRule="auto"/>
        <w:ind w:firstLine="480" w:firstLineChars="200"/>
        <w:rPr>
          <w:sz w:val="24"/>
        </w:rPr>
      </w:pPr>
      <w:r>
        <w:rPr>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rPr>
      </w:pPr>
      <w:r>
        <w:rPr>
          <w:rFonts w:eastAsia="黑体"/>
          <w:sz w:val="24"/>
        </w:rPr>
        <w:t>22</w:t>
      </w:r>
      <w:r>
        <w:rPr>
          <w:rFonts w:hint="eastAsia" w:eastAsia="黑体"/>
          <w:sz w:val="24"/>
        </w:rPr>
        <w:t>．</w:t>
      </w:r>
      <w:r>
        <w:rPr>
          <w:rFonts w:eastAsia="黑体"/>
          <w:sz w:val="24"/>
        </w:rPr>
        <w:t>违约</w:t>
      </w:r>
    </w:p>
    <w:p>
      <w:pPr>
        <w:adjustRightInd w:val="0"/>
        <w:snapToGrid w:val="0"/>
        <w:spacing w:line="360" w:lineRule="auto"/>
        <w:rPr>
          <w:rFonts w:eastAsia="黑体"/>
          <w:sz w:val="24"/>
        </w:rPr>
      </w:pPr>
      <w:r>
        <w:rPr>
          <w:rFonts w:eastAsia="黑体"/>
          <w:sz w:val="24"/>
        </w:rPr>
        <w:t>22.1承包人违约</w:t>
      </w:r>
    </w:p>
    <w:p>
      <w:pPr>
        <w:adjustRightInd w:val="0"/>
        <w:snapToGrid w:val="0"/>
        <w:spacing w:line="360" w:lineRule="auto"/>
        <w:ind w:firstLine="480" w:firstLineChars="200"/>
        <w:rPr>
          <w:sz w:val="24"/>
        </w:rPr>
      </w:pPr>
      <w:r>
        <w:rPr>
          <w:sz w:val="24"/>
        </w:rPr>
        <w:t>22.1.1承包人违约的情形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rPr>
      </w:pPr>
      <w:r>
        <w:rPr>
          <w:sz w:val="24"/>
        </w:rPr>
        <w:t>本项</w:t>
      </w:r>
      <w:r>
        <w:rPr>
          <w:rFonts w:hint="eastAsia"/>
          <w:sz w:val="24"/>
        </w:rPr>
        <w:t>（</w:t>
      </w:r>
      <w:r>
        <w:rPr>
          <w:sz w:val="24"/>
        </w:rPr>
        <w:t>7</w:t>
      </w:r>
      <w:r>
        <w:rPr>
          <w:rFonts w:hint="eastAsia"/>
          <w:sz w:val="24"/>
        </w:rPr>
        <w:t>）</w:t>
      </w:r>
      <w:r>
        <w:rPr>
          <w:sz w:val="24"/>
        </w:rPr>
        <w:t>目细化为：</w:t>
      </w:r>
    </w:p>
    <w:p>
      <w:pPr>
        <w:adjustRightInd w:val="0"/>
        <w:snapToGrid w:val="0"/>
        <w:spacing w:line="360" w:lineRule="auto"/>
        <w:ind w:firstLine="480" w:firstLineChars="200"/>
        <w:rPr>
          <w:sz w:val="24"/>
        </w:rPr>
      </w:pPr>
      <w:r>
        <w:rPr>
          <w:sz w:val="24"/>
        </w:rPr>
        <w:t>（7</w:t>
      </w:r>
      <w:r>
        <w:rPr>
          <w:rFonts w:hint="eastAsia"/>
          <w:sz w:val="24"/>
        </w:rPr>
        <w:t>）</w:t>
      </w:r>
      <w:r>
        <w:rPr>
          <w:sz w:val="24"/>
        </w:rPr>
        <w:t>承包人未能按期开工；</w:t>
      </w:r>
    </w:p>
    <w:p>
      <w:pPr>
        <w:adjustRightInd w:val="0"/>
        <w:snapToGrid w:val="0"/>
        <w:spacing w:line="360" w:lineRule="auto"/>
        <w:ind w:firstLine="480" w:firstLineChars="200"/>
        <w:rPr>
          <w:sz w:val="24"/>
        </w:rPr>
      </w:pPr>
      <w:r>
        <w:rPr>
          <w:sz w:val="24"/>
        </w:rPr>
        <w:t>（8</w:t>
      </w:r>
      <w:r>
        <w:rPr>
          <w:rFonts w:hint="eastAsia"/>
          <w:sz w:val="24"/>
        </w:rPr>
        <w:t>）</w:t>
      </w:r>
      <w:r>
        <w:rPr>
          <w:sz w:val="24"/>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rPr>
      </w:pPr>
      <w:r>
        <w:rPr>
          <w:rFonts w:hint="eastAsia"/>
          <w:sz w:val="24"/>
        </w:rPr>
        <w:t>（</w:t>
      </w:r>
      <w:r>
        <w:rPr>
          <w:sz w:val="24"/>
        </w:rPr>
        <w:t>9</w:t>
      </w:r>
      <w:r>
        <w:rPr>
          <w:rFonts w:hint="eastAsia"/>
          <w:sz w:val="24"/>
        </w:rPr>
        <w:t>）</w:t>
      </w:r>
      <w:r>
        <w:rPr>
          <w:sz w:val="24"/>
        </w:rPr>
        <w:t>承包人不按合同约定履行义务的其他情况。</w:t>
      </w:r>
    </w:p>
    <w:p>
      <w:pPr>
        <w:adjustRightInd w:val="0"/>
        <w:snapToGrid w:val="0"/>
        <w:spacing w:line="360" w:lineRule="auto"/>
        <w:ind w:firstLine="480" w:firstLineChars="200"/>
        <w:rPr>
          <w:sz w:val="24"/>
        </w:rPr>
      </w:pPr>
      <w:r>
        <w:rPr>
          <w:sz w:val="24"/>
        </w:rPr>
        <w:t>22.1.2对承包人违约的处理</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rPr>
      </w:pPr>
      <w:r>
        <w:rPr>
          <w:rFonts w:eastAsia="黑体"/>
          <w:sz w:val="24"/>
        </w:rPr>
        <w:t>22.2发包人违约</w:t>
      </w:r>
    </w:p>
    <w:p>
      <w:pPr>
        <w:adjustRightInd w:val="0"/>
        <w:snapToGrid w:val="0"/>
        <w:spacing w:line="360" w:lineRule="auto"/>
        <w:ind w:firstLine="480" w:firstLineChars="200"/>
        <w:rPr>
          <w:sz w:val="24"/>
        </w:rPr>
      </w:pPr>
      <w:r>
        <w:rPr>
          <w:sz w:val="24"/>
        </w:rPr>
        <w:t>22.2.4解除合同后的付款</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rPr>
      </w:pPr>
      <w:r>
        <w:rPr>
          <w:rFonts w:eastAsia="黑体"/>
          <w:sz w:val="24"/>
        </w:rPr>
        <w:t>23</w:t>
      </w:r>
      <w:r>
        <w:rPr>
          <w:rFonts w:hint="eastAsia" w:eastAsia="黑体"/>
          <w:sz w:val="24"/>
        </w:rPr>
        <w:t>．</w:t>
      </w:r>
      <w:r>
        <w:rPr>
          <w:rFonts w:eastAsia="黑体"/>
          <w:sz w:val="24"/>
        </w:rPr>
        <w:t>索赔</w:t>
      </w:r>
    </w:p>
    <w:p>
      <w:pPr>
        <w:adjustRightInd w:val="0"/>
        <w:snapToGrid w:val="0"/>
        <w:spacing w:line="360" w:lineRule="auto"/>
        <w:rPr>
          <w:rFonts w:eastAsia="黑体"/>
          <w:sz w:val="24"/>
        </w:rPr>
      </w:pPr>
      <w:r>
        <w:rPr>
          <w:rFonts w:eastAsia="黑体"/>
          <w:sz w:val="24"/>
        </w:rPr>
        <w:t>23.1承包人索赔的提出</w:t>
      </w:r>
    </w:p>
    <w:p>
      <w:pPr>
        <w:adjustRightInd w:val="0"/>
        <w:snapToGrid w:val="0"/>
        <w:spacing w:line="360" w:lineRule="auto"/>
        <w:ind w:firstLine="480" w:firstLineChars="200"/>
        <w:rPr>
          <w:sz w:val="24"/>
        </w:rPr>
      </w:pPr>
      <w:r>
        <w:rPr>
          <w:sz w:val="24"/>
        </w:rPr>
        <w:t>本款</w:t>
      </w:r>
      <w:r>
        <w:rPr>
          <w:rFonts w:hint="eastAsia"/>
          <w:sz w:val="24"/>
        </w:rPr>
        <w:t>（</w:t>
      </w:r>
      <w:r>
        <w:rPr>
          <w:sz w:val="24"/>
        </w:rPr>
        <w:t>4）项细化为：</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rPr>
      </w:pPr>
      <w:r>
        <w:rPr>
          <w:rFonts w:eastAsia="黑体"/>
          <w:sz w:val="24"/>
        </w:rPr>
        <w:t>23.2承包人索赔处理程序</w:t>
      </w:r>
    </w:p>
    <w:p>
      <w:pPr>
        <w:adjustRightInd w:val="0"/>
        <w:snapToGrid w:val="0"/>
        <w:spacing w:line="360" w:lineRule="auto"/>
        <w:ind w:firstLine="480" w:firstLineChars="200"/>
        <w:rPr>
          <w:sz w:val="24"/>
        </w:rPr>
      </w:pPr>
      <w:r>
        <w:rPr>
          <w:sz w:val="24"/>
        </w:rPr>
        <w:t>本款（2</w:t>
      </w:r>
      <w:r>
        <w:rPr>
          <w:rFonts w:hint="eastAsia"/>
          <w:sz w:val="24"/>
        </w:rPr>
        <w:t>）</w:t>
      </w:r>
      <w:r>
        <w:rPr>
          <w:sz w:val="24"/>
        </w:rPr>
        <w:t>项细化为：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rPr>
      </w:pPr>
      <w:r>
        <w:rPr>
          <w:rFonts w:eastAsia="黑体"/>
          <w:sz w:val="24"/>
        </w:rPr>
        <w:t>24</w:t>
      </w:r>
      <w:r>
        <w:rPr>
          <w:rFonts w:hint="eastAsia" w:eastAsia="黑体"/>
          <w:sz w:val="24"/>
        </w:rPr>
        <w:t>．</w:t>
      </w:r>
      <w:r>
        <w:rPr>
          <w:rFonts w:eastAsia="黑体"/>
          <w:sz w:val="24"/>
        </w:rPr>
        <w:t>争议的解决</w:t>
      </w:r>
    </w:p>
    <w:p>
      <w:pPr>
        <w:adjustRightInd w:val="0"/>
        <w:snapToGrid w:val="0"/>
        <w:spacing w:line="360" w:lineRule="auto"/>
        <w:rPr>
          <w:rFonts w:eastAsia="黑体"/>
          <w:sz w:val="24"/>
        </w:rPr>
      </w:pPr>
      <w:r>
        <w:rPr>
          <w:rFonts w:eastAsia="黑体"/>
          <w:sz w:val="24"/>
        </w:rPr>
        <w:t>24.1争议的解决方式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争议的最终解决方式：</w:t>
      </w:r>
      <w:r>
        <w:rPr>
          <w:rFonts w:hint="eastAsia"/>
          <w:sz w:val="24"/>
          <w:u w:val="single"/>
        </w:rPr>
        <w:t xml:space="preserve">   仲裁或诉讼   </w:t>
      </w:r>
      <w:r>
        <w:rPr>
          <w:sz w:val="24"/>
        </w:rPr>
        <w:t>（在项目专用条款数据中约定）</w:t>
      </w:r>
    </w:p>
    <w:p>
      <w:pPr>
        <w:adjustRightInd w:val="0"/>
        <w:snapToGrid w:val="0"/>
        <w:spacing w:line="360" w:lineRule="auto"/>
        <w:ind w:firstLine="480" w:firstLineChars="200"/>
        <w:rPr>
          <w:sz w:val="24"/>
        </w:rPr>
      </w:pPr>
      <w:r>
        <w:rPr>
          <w:sz w:val="24"/>
        </w:rPr>
        <w:t>如采用仲裁，仲裁委员会名称：</w:t>
      </w:r>
      <w:r>
        <w:rPr>
          <w:sz w:val="24"/>
          <w:u w:val="single"/>
        </w:rPr>
        <w:t>（在项目专用条款数据中约定）</w:t>
      </w:r>
    </w:p>
    <w:p>
      <w:pPr>
        <w:adjustRightInd w:val="0"/>
        <w:snapToGrid w:val="0"/>
        <w:spacing w:beforeLines="100" w:line="360" w:lineRule="auto"/>
        <w:rPr>
          <w:rFonts w:eastAsia="黑体"/>
          <w:sz w:val="24"/>
        </w:rPr>
      </w:pPr>
      <w:r>
        <w:rPr>
          <w:rFonts w:eastAsia="黑体"/>
          <w:sz w:val="24"/>
        </w:rPr>
        <w:t>24.3争议评审</w:t>
      </w:r>
    </w:p>
    <w:p>
      <w:pPr>
        <w:adjustRightInd w:val="0"/>
        <w:snapToGrid w:val="0"/>
        <w:spacing w:line="360" w:lineRule="auto"/>
        <w:ind w:firstLine="480" w:firstLineChars="200"/>
        <w:rPr>
          <w:sz w:val="24"/>
        </w:rPr>
      </w:pPr>
      <w:r>
        <w:rPr>
          <w:sz w:val="24"/>
        </w:rPr>
        <w:t>24.3</w:t>
      </w:r>
      <w:r>
        <w:rPr>
          <w:rFonts w:hint="eastAsia"/>
          <w:sz w:val="24"/>
        </w:rPr>
        <w:t>.</w:t>
      </w:r>
      <w:r>
        <w:rPr>
          <w:sz w:val="24"/>
        </w:rPr>
        <w:t>1项补充：</w:t>
      </w:r>
    </w:p>
    <w:p>
      <w:pPr>
        <w:adjustRightInd w:val="0"/>
        <w:snapToGrid w:val="0"/>
        <w:spacing w:line="360" w:lineRule="auto"/>
        <w:ind w:firstLine="480" w:firstLineChars="200"/>
        <w:rPr>
          <w:sz w:val="24"/>
        </w:rPr>
      </w:pPr>
      <w:r>
        <w:rPr>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rPr>
      </w:pPr>
      <w:r>
        <w:rPr>
          <w:rFonts w:eastAsia="黑体"/>
          <w:sz w:val="24"/>
        </w:rPr>
        <w:t>本条增加第24.4</w:t>
      </w:r>
      <w:r>
        <w:rPr>
          <w:rFonts w:hint="eastAsia" w:eastAsia="黑体"/>
          <w:sz w:val="24"/>
        </w:rPr>
        <w:t>、</w:t>
      </w:r>
      <w:r>
        <w:rPr>
          <w:rFonts w:eastAsia="黑体"/>
          <w:sz w:val="24"/>
        </w:rPr>
        <w:t>24.5款（适用于采用仲裁方式最终解决争议的项目）：</w:t>
      </w:r>
    </w:p>
    <w:p>
      <w:pPr>
        <w:adjustRightInd w:val="0"/>
        <w:snapToGrid w:val="0"/>
        <w:spacing w:line="360" w:lineRule="auto"/>
        <w:rPr>
          <w:rFonts w:eastAsia="黑体"/>
          <w:sz w:val="24"/>
        </w:rPr>
      </w:pPr>
      <w:r>
        <w:rPr>
          <w:rFonts w:eastAsia="黑体"/>
          <w:sz w:val="24"/>
        </w:rPr>
        <w:t>24.4仲裁</w:t>
      </w:r>
    </w:p>
    <w:p>
      <w:pPr>
        <w:adjustRightInd w:val="0"/>
        <w:snapToGrid w:val="0"/>
        <w:spacing w:line="360" w:lineRule="auto"/>
        <w:ind w:firstLine="480" w:firstLineChars="200"/>
        <w:rPr>
          <w:sz w:val="24"/>
        </w:rPr>
      </w:pPr>
      <w:r>
        <w:rPr>
          <w:sz w:val="24"/>
        </w:rPr>
        <w:t>（1</w:t>
      </w:r>
      <w:r>
        <w:rPr>
          <w:rFonts w:hint="eastAsia"/>
          <w:sz w:val="24"/>
        </w:rPr>
        <w:t>）</w:t>
      </w:r>
      <w:r>
        <w:rPr>
          <w:sz w:val="24"/>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rPr>
      </w:pPr>
      <w:r>
        <w:rPr>
          <w:sz w:val="24"/>
        </w:rPr>
        <w:t>（3</w:t>
      </w:r>
      <w:r>
        <w:rPr>
          <w:rFonts w:hint="eastAsia"/>
          <w:sz w:val="24"/>
        </w:rPr>
        <w:t>）</w:t>
      </w:r>
      <w:r>
        <w:rPr>
          <w:sz w:val="24"/>
        </w:rPr>
        <w:t>仲裁裁决是终局性的并对发包人和承包人双方具有约束力。</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pPr>
        <w:adjustRightInd w:val="0"/>
        <w:snapToGrid w:val="0"/>
        <w:spacing w:beforeLines="100" w:line="360" w:lineRule="auto"/>
        <w:rPr>
          <w:rFonts w:eastAsia="黑体"/>
          <w:sz w:val="24"/>
        </w:rPr>
      </w:pPr>
      <w:r>
        <w:rPr>
          <w:rFonts w:eastAsia="黑体"/>
          <w:sz w:val="24"/>
        </w:rPr>
        <w:t>24.5诉讼</w:t>
      </w:r>
    </w:p>
    <w:p>
      <w:pPr>
        <w:adjustRightInd w:val="0"/>
        <w:snapToGrid w:val="0"/>
        <w:spacing w:line="360" w:lineRule="auto"/>
        <w:ind w:firstLine="480" w:firstLineChars="200"/>
        <w:rPr>
          <w:sz w:val="24"/>
        </w:rPr>
      </w:pPr>
      <w:r>
        <w:rPr>
          <w:sz w:val="24"/>
        </w:rPr>
        <w:t>（1</w:t>
      </w:r>
      <w:r>
        <w:rPr>
          <w:rFonts w:hint="eastAsia"/>
          <w:sz w:val="24"/>
        </w:rPr>
        <w:t>）</w:t>
      </w:r>
      <w:r>
        <w:rPr>
          <w:sz w:val="24"/>
        </w:rPr>
        <w:t>任何一方不履行仲裁机构的裁决的，对方可以向有管辖权的人民法院申请执行。受申请的人民法院应当执行。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pStyle w:val="21"/>
        <w:snapToGrid w:val="0"/>
        <w:spacing w:line="300" w:lineRule="auto"/>
        <w:rPr>
          <w:b/>
          <w:bCs/>
          <w:color w:val="auto"/>
          <w:sz w:val="44"/>
        </w:rPr>
      </w:pPr>
    </w:p>
    <w:p>
      <w:pPr>
        <w:pStyle w:val="21"/>
        <w:snapToGrid w:val="0"/>
        <w:spacing w:line="300" w:lineRule="auto"/>
        <w:rPr>
          <w:b/>
          <w:bCs/>
          <w:color w:val="auto"/>
          <w:sz w:val="44"/>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pStyle w:val="2"/>
        <w:rPr>
          <w:rFonts w:ascii="黑体" w:eastAsia="黑体"/>
          <w:bCs/>
          <w:sz w:val="36"/>
          <w:szCs w:val="36"/>
        </w:rPr>
      </w:pPr>
    </w:p>
    <w:p>
      <w:pPr>
        <w:pStyle w:val="2"/>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r>
        <w:rPr>
          <w:rFonts w:hint="eastAsia" w:ascii="黑体" w:eastAsia="黑体"/>
          <w:bCs/>
          <w:sz w:val="36"/>
          <w:szCs w:val="36"/>
        </w:rPr>
        <w:t>B.项目专用合同条款</w:t>
      </w:r>
    </w:p>
    <w:p>
      <w:pPr>
        <w:tabs>
          <w:tab w:val="left" w:pos="4500"/>
        </w:tabs>
        <w:spacing w:line="520" w:lineRule="exact"/>
        <w:jc w:val="center"/>
        <w:rPr>
          <w:rFonts w:ascii="黑体" w:eastAsia="黑体"/>
          <w:bCs/>
          <w:sz w:val="36"/>
          <w:szCs w:val="36"/>
        </w:rPr>
      </w:pPr>
    </w:p>
    <w:p>
      <w:pPr>
        <w:spacing w:line="360" w:lineRule="auto"/>
        <w:ind w:firstLine="480" w:firstLineChars="200"/>
        <w:rPr>
          <w:rFonts w:ascii="宋体" w:hAnsi="宋体"/>
          <w:sz w:val="24"/>
        </w:rPr>
      </w:pPr>
      <w:r>
        <w:rPr>
          <w:rFonts w:hint="eastAsia" w:ascii="宋体" w:hAnsi="宋体"/>
          <w:sz w:val="24"/>
        </w:rPr>
        <w:t>1.1 考虑养护工程的特殊性，项目工程量增减变量难以去确定，因此项目清单单价杜绝不平衡报价。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rPr>
      </w:pPr>
      <w:r>
        <w:rPr>
          <w:rFonts w:hint="eastAsia" w:ascii="宋体" w:hAnsi="宋体"/>
          <w:sz w:val="24"/>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rPr>
      </w:pPr>
      <w:r>
        <w:rPr>
          <w:rFonts w:hint="eastAsia" w:ascii="宋体" w:hAnsi="宋体"/>
          <w:sz w:val="24"/>
        </w:rPr>
        <w:t>1.3本工程质量目标要求竣工为合格工程（以政府公路工程质量监督机构国家验收评定为依据）。</w:t>
      </w:r>
    </w:p>
    <w:p>
      <w:pPr>
        <w:adjustRightInd w:val="0"/>
        <w:snapToGrid w:val="0"/>
        <w:spacing w:line="360" w:lineRule="auto"/>
        <w:ind w:firstLine="480" w:firstLineChars="200"/>
        <w:rPr>
          <w:rFonts w:ascii="宋体" w:hAnsi="宋体"/>
          <w:sz w:val="24"/>
        </w:rPr>
      </w:pPr>
      <w:r>
        <w:rPr>
          <w:rFonts w:hint="eastAsia" w:ascii="宋体" w:hAnsi="宋体"/>
          <w:sz w:val="24"/>
        </w:rPr>
        <w:t>2.1价格调整：</w:t>
      </w:r>
    </w:p>
    <w:p>
      <w:pPr>
        <w:adjustRightInd w:val="0"/>
        <w:snapToGrid w:val="0"/>
        <w:spacing w:line="360" w:lineRule="auto"/>
        <w:ind w:firstLine="480" w:firstLineChars="200"/>
        <w:rPr>
          <w:rFonts w:ascii="宋体" w:hAnsi="宋体"/>
          <w:sz w:val="24"/>
        </w:rPr>
      </w:pPr>
      <w:r>
        <w:rPr>
          <w:rFonts w:hint="eastAsia" w:ascii="宋体" w:hAnsi="宋体"/>
          <w:sz w:val="24"/>
        </w:rPr>
        <w:t>2.1.1调整材料种类：水泥、沥青、燃料油、中粗砂、碎石。</w:t>
      </w:r>
    </w:p>
    <w:p>
      <w:pPr>
        <w:adjustRightInd w:val="0"/>
        <w:snapToGrid w:val="0"/>
        <w:spacing w:line="360" w:lineRule="auto"/>
        <w:ind w:firstLine="480" w:firstLineChars="200"/>
        <w:rPr>
          <w:rFonts w:ascii="宋体" w:hAnsi="宋体"/>
          <w:sz w:val="24"/>
        </w:rPr>
      </w:pPr>
      <w:r>
        <w:rPr>
          <w:rFonts w:hint="eastAsia" w:ascii="宋体" w:hAnsi="宋体"/>
          <w:sz w:val="24"/>
        </w:rPr>
        <w:t>2.1.2材料基准价格：招标人报价中材料价格。</w:t>
      </w:r>
    </w:p>
    <w:p>
      <w:pPr>
        <w:adjustRightInd w:val="0"/>
        <w:snapToGrid w:val="0"/>
        <w:spacing w:line="360" w:lineRule="auto"/>
        <w:ind w:firstLine="480" w:firstLineChars="200"/>
        <w:rPr>
          <w:rFonts w:ascii="宋体" w:hAnsi="宋体"/>
          <w:sz w:val="24"/>
        </w:rPr>
      </w:pPr>
      <w:r>
        <w:rPr>
          <w:rFonts w:hint="eastAsia" w:ascii="宋体" w:hAnsi="宋体"/>
          <w:sz w:val="24"/>
        </w:rPr>
        <w:t>2.1.3材料数量：以当期计量工程量确定，燃料油数量按照部颁定额消耗量分析方法确定，延期计量的，以实际完成时间计算。材料价格涨、降超出10％的可进行价格调整。</w:t>
      </w:r>
    </w:p>
    <w:p>
      <w:pPr>
        <w:adjustRightInd w:val="0"/>
        <w:snapToGrid w:val="0"/>
        <w:spacing w:line="360" w:lineRule="auto"/>
        <w:ind w:firstLine="480" w:firstLineChars="200"/>
        <w:rPr>
          <w:rFonts w:ascii="宋体" w:hAnsi="宋体"/>
          <w:sz w:val="24"/>
        </w:rPr>
      </w:pPr>
      <w:r>
        <w:rPr>
          <w:rFonts w:hint="eastAsia" w:ascii="宋体" w:hAnsi="宋体"/>
          <w:sz w:val="24"/>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3、双方承担比例：材料价格涨（降）幅度超过10％的部分，由承包人和业主进行协商解决。</w:t>
      </w:r>
    </w:p>
    <w:p>
      <w:pPr>
        <w:adjustRightInd w:val="0"/>
        <w:snapToGrid w:val="0"/>
        <w:spacing w:line="360" w:lineRule="auto"/>
        <w:ind w:firstLine="480" w:firstLineChars="200"/>
        <w:rPr>
          <w:rFonts w:ascii="宋体" w:hAnsi="宋体"/>
          <w:sz w:val="24"/>
        </w:rPr>
      </w:pPr>
      <w:r>
        <w:rPr>
          <w:rFonts w:hint="eastAsia" w:ascii="宋体" w:hAnsi="宋体"/>
          <w:sz w:val="24"/>
        </w:rPr>
        <w:t>4、因施工单位原因造成工期延误的，在延误期间价格变化引起的增加费用由施工单位承担。</w:t>
      </w:r>
    </w:p>
    <w:p>
      <w:pPr>
        <w:spacing w:line="360" w:lineRule="auto"/>
        <w:ind w:firstLine="480" w:firstLineChars="200"/>
        <w:rPr>
          <w:rFonts w:ascii="宋体" w:hAnsi="宋体"/>
          <w:sz w:val="24"/>
        </w:rPr>
      </w:pPr>
      <w:r>
        <w:rPr>
          <w:rFonts w:hint="eastAsia" w:ascii="宋体" w:hAnsi="宋体"/>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jc w:val="center"/>
        <w:rPr>
          <w:rFonts w:ascii="黑体" w:eastAsia="黑体"/>
          <w:sz w:val="32"/>
          <w:szCs w:val="32"/>
        </w:rPr>
      </w:pPr>
      <w:r>
        <w:rPr>
          <w:rFonts w:ascii="黑体" w:eastAsia="黑体"/>
          <w:bCs/>
          <w:sz w:val="36"/>
          <w:szCs w:val="36"/>
        </w:rPr>
        <w:br w:type="page"/>
      </w:r>
      <w:r>
        <w:rPr>
          <w:rFonts w:hint="eastAsia" w:ascii="黑体" w:eastAsia="黑体"/>
          <w:sz w:val="32"/>
          <w:szCs w:val="32"/>
        </w:rPr>
        <w:t>项目专用条款数据表</w:t>
      </w:r>
    </w:p>
    <w:p>
      <w:pPr>
        <w:adjustRightInd w:val="0"/>
        <w:snapToGrid w:val="0"/>
        <w:spacing w:line="360" w:lineRule="auto"/>
        <w:rPr>
          <w:sz w:val="24"/>
        </w:rPr>
      </w:pPr>
      <w:r>
        <w:rPr>
          <w:rFonts w:hint="eastAsia"/>
          <w:sz w:val="24"/>
        </w:rPr>
        <w:t>说明：本数据表是项目专用合同条款中适用于本项目的信息和数据的归纳与提</w:t>
      </w:r>
    </w:p>
    <w:p>
      <w:pPr>
        <w:adjustRightInd w:val="0"/>
        <w:snapToGrid w:val="0"/>
        <w:spacing w:line="360" w:lineRule="auto"/>
        <w:ind w:firstLine="811" w:firstLineChars="338"/>
        <w:rPr>
          <w:sz w:val="24"/>
        </w:rPr>
      </w:pPr>
      <w:r>
        <w:rPr>
          <w:rFonts w:hint="eastAsia"/>
          <w:sz w:val="24"/>
        </w:rPr>
        <w:t>示，是项目专用合同条款的组成部分。第三卷投标函附录中的数据（供</w:t>
      </w:r>
    </w:p>
    <w:p>
      <w:pPr>
        <w:adjustRightInd w:val="0"/>
        <w:snapToGrid w:val="0"/>
        <w:spacing w:line="360" w:lineRule="auto"/>
        <w:ind w:firstLine="811" w:firstLineChars="338"/>
        <w:rPr>
          <w:sz w:val="24"/>
        </w:rPr>
      </w:pPr>
      <w:r>
        <w:rPr>
          <w:rFonts w:hint="eastAsia"/>
          <w:sz w:val="24"/>
        </w:rPr>
        <w:t>投标人确认）与本表所列有重复。编写招标文件的单位应仔细校核，不</w:t>
      </w:r>
    </w:p>
    <w:p>
      <w:pPr>
        <w:adjustRightInd w:val="0"/>
        <w:snapToGrid w:val="0"/>
        <w:spacing w:line="360" w:lineRule="auto"/>
        <w:ind w:firstLine="811" w:firstLineChars="338"/>
        <w:rPr>
          <w:sz w:val="24"/>
        </w:rPr>
      </w:pPr>
      <w:r>
        <w:rPr>
          <w:rFonts w:hint="eastAsia"/>
          <w:sz w:val="24"/>
        </w:rPr>
        <w:t>使数据出现差错或不一致。</w:t>
      </w:r>
    </w:p>
    <w:tbl>
      <w:tblPr>
        <w:tblStyle w:val="45"/>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jc w:val="center"/>
              <w:rPr>
                <w:sz w:val="24"/>
              </w:rPr>
            </w:pPr>
            <w:r>
              <w:rPr>
                <w:rFonts w:hint="eastAsia"/>
                <w:sz w:val="24"/>
              </w:rPr>
              <w:t>序号</w:t>
            </w:r>
          </w:p>
        </w:tc>
        <w:tc>
          <w:tcPr>
            <w:tcW w:w="1134" w:type="dxa"/>
            <w:vAlign w:val="center"/>
          </w:tcPr>
          <w:p>
            <w:pPr>
              <w:adjustRightInd w:val="0"/>
              <w:snapToGrid w:val="0"/>
              <w:spacing w:line="312" w:lineRule="auto"/>
              <w:jc w:val="center"/>
              <w:rPr>
                <w:sz w:val="24"/>
              </w:rPr>
            </w:pPr>
            <w:r>
              <w:rPr>
                <w:rFonts w:hint="eastAsia"/>
                <w:sz w:val="24"/>
              </w:rPr>
              <w:t>条款号</w:t>
            </w:r>
          </w:p>
        </w:tc>
        <w:tc>
          <w:tcPr>
            <w:tcW w:w="7027" w:type="dxa"/>
            <w:vAlign w:val="center"/>
          </w:tcPr>
          <w:p>
            <w:pPr>
              <w:adjustRightInd w:val="0"/>
              <w:snapToGrid w:val="0"/>
              <w:spacing w:line="312" w:lineRule="auto"/>
              <w:jc w:val="center"/>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1</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1.1.2.2</w:t>
            </w:r>
          </w:p>
        </w:tc>
        <w:tc>
          <w:tcPr>
            <w:tcW w:w="7027" w:type="dxa"/>
          </w:tcPr>
          <w:p>
            <w:pPr>
              <w:adjustRightInd w:val="0"/>
              <w:snapToGrid w:val="0"/>
              <w:spacing w:line="312" w:lineRule="auto"/>
              <w:rPr>
                <w:color w:val="000000" w:themeColor="text1"/>
                <w:sz w:val="24"/>
                <w:lang w:val="en-US"/>
              </w:rPr>
            </w:pPr>
            <w:r>
              <w:rPr>
                <w:rFonts w:hint="eastAsia"/>
                <w:color w:val="000000" w:themeColor="text1"/>
                <w:sz w:val="24"/>
              </w:rPr>
              <w:t>发包人：许昌市建安区</w:t>
            </w:r>
            <w:r>
              <w:rPr>
                <w:rFonts w:hint="eastAsia"/>
                <w:color w:val="000000" w:themeColor="text1"/>
                <w:sz w:val="24"/>
                <w:lang w:val="en-US" w:eastAsia="zh-CN"/>
              </w:rPr>
              <w:t>交通运输局</w:t>
            </w:r>
          </w:p>
          <w:p>
            <w:pPr>
              <w:adjustRightInd w:val="0"/>
              <w:snapToGrid w:val="0"/>
              <w:spacing w:line="312" w:lineRule="auto"/>
              <w:rPr>
                <w:color w:val="000000" w:themeColor="text1"/>
                <w:sz w:val="24"/>
              </w:rPr>
            </w:pPr>
            <w:r>
              <w:rPr>
                <w:rFonts w:hint="eastAsia"/>
                <w:color w:val="000000" w:themeColor="text1"/>
                <w:sz w:val="24"/>
              </w:rPr>
              <w:t>地址： 许昌市建安区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2</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1.1.2.6</w:t>
            </w:r>
          </w:p>
        </w:tc>
        <w:tc>
          <w:tcPr>
            <w:tcW w:w="7027" w:type="dxa"/>
          </w:tcPr>
          <w:p>
            <w:pPr>
              <w:adjustRightInd w:val="0"/>
              <w:snapToGrid w:val="0"/>
              <w:spacing w:line="312" w:lineRule="auto"/>
              <w:rPr>
                <w:color w:val="000000" w:themeColor="text1"/>
                <w:sz w:val="24"/>
              </w:rPr>
            </w:pPr>
            <w:r>
              <w:rPr>
                <w:rFonts w:hint="eastAsia"/>
                <w:color w:val="000000" w:themeColor="text1"/>
                <w:sz w:val="24"/>
              </w:rPr>
              <w:t>监理人：</w:t>
            </w:r>
          </w:p>
          <w:p>
            <w:pPr>
              <w:adjustRightInd w:val="0"/>
              <w:snapToGrid w:val="0"/>
              <w:spacing w:line="312" w:lineRule="auto"/>
              <w:rPr>
                <w:color w:val="000000" w:themeColor="text1"/>
                <w:sz w:val="24"/>
              </w:rPr>
            </w:pPr>
            <w:r>
              <w:rPr>
                <w:rFonts w:hint="eastAsia"/>
                <w:color w:val="000000" w:themeColor="text1"/>
                <w:sz w:val="24"/>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3</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1.1.4.3</w:t>
            </w:r>
          </w:p>
        </w:tc>
        <w:tc>
          <w:tcPr>
            <w:tcW w:w="7027" w:type="dxa"/>
          </w:tcPr>
          <w:p>
            <w:pPr>
              <w:adjustRightInd w:val="0"/>
              <w:snapToGrid w:val="0"/>
              <w:spacing w:line="312" w:lineRule="auto"/>
              <w:rPr>
                <w:color w:val="000000" w:themeColor="text1"/>
                <w:sz w:val="24"/>
              </w:rPr>
            </w:pPr>
            <w:r>
              <w:rPr>
                <w:rFonts w:hint="eastAsia"/>
                <w:color w:val="000000" w:themeColor="text1"/>
                <w:sz w:val="24"/>
              </w:rPr>
              <w:t>工期：</w:t>
            </w:r>
            <w:r>
              <w:rPr>
                <w:rFonts w:hint="eastAsia"/>
                <w:color w:val="000000" w:themeColor="text1"/>
                <w:sz w:val="24"/>
                <w:u w:val="single"/>
              </w:rPr>
              <w:t xml:space="preserve"> 45 </w:t>
            </w:r>
            <w:r>
              <w:rPr>
                <w:rFonts w:hint="eastAsia"/>
                <w:color w:val="000000" w:themeColor="text1"/>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4</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1.1.4.5</w:t>
            </w:r>
          </w:p>
        </w:tc>
        <w:tc>
          <w:tcPr>
            <w:tcW w:w="7027" w:type="dxa"/>
          </w:tcPr>
          <w:p>
            <w:pPr>
              <w:adjustRightInd w:val="0"/>
              <w:snapToGrid w:val="0"/>
              <w:spacing w:line="312" w:lineRule="auto"/>
              <w:rPr>
                <w:color w:val="000000" w:themeColor="text1"/>
                <w:sz w:val="24"/>
              </w:rPr>
            </w:pPr>
            <w:r>
              <w:rPr>
                <w:rFonts w:hint="eastAsia"/>
                <w:color w:val="000000" w:themeColor="text1"/>
                <w:sz w:val="24"/>
              </w:rPr>
              <w:t>缺陷责任期：</w:t>
            </w:r>
            <w:r>
              <w:rPr>
                <w:rFonts w:hint="eastAsia"/>
                <w:color w:val="000000" w:themeColor="text1"/>
                <w:sz w:val="24"/>
                <w:u w:val="single"/>
              </w:rPr>
              <w:t xml:space="preserve">  2  </w:t>
            </w:r>
            <w:r>
              <w:rPr>
                <w:rFonts w:hint="eastAsia"/>
                <w:color w:val="000000" w:themeColor="text1"/>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5</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1.6.3</w:t>
            </w:r>
          </w:p>
        </w:tc>
        <w:tc>
          <w:tcPr>
            <w:tcW w:w="7027" w:type="dxa"/>
          </w:tcPr>
          <w:p>
            <w:pPr>
              <w:adjustRightInd w:val="0"/>
              <w:snapToGrid w:val="0"/>
              <w:spacing w:line="312" w:lineRule="auto"/>
              <w:rPr>
                <w:color w:val="000000" w:themeColor="text1"/>
                <w:sz w:val="24"/>
                <w:u w:val="single"/>
              </w:rPr>
            </w:pPr>
            <w:r>
              <w:rPr>
                <w:rFonts w:hint="eastAsia"/>
                <w:color w:val="000000" w:themeColor="text1"/>
                <w:sz w:val="24"/>
              </w:rPr>
              <w:t>图纸需要修改和补充的，应由监理人取得发包人同意后，在该工程或工程相应部位施工前</w:t>
            </w:r>
            <w:r>
              <w:rPr>
                <w:rFonts w:hint="eastAsia"/>
                <w:color w:val="000000" w:themeColor="text1"/>
                <w:sz w:val="24"/>
                <w:u w:val="single"/>
              </w:rPr>
              <w:t xml:space="preserve"> 7 </w:t>
            </w:r>
            <w:r>
              <w:rPr>
                <w:rFonts w:hint="eastAsia"/>
                <w:color w:val="000000" w:themeColor="text1"/>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6</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3.1.1</w:t>
            </w:r>
          </w:p>
        </w:tc>
        <w:tc>
          <w:tcPr>
            <w:tcW w:w="7027" w:type="dxa"/>
          </w:tcPr>
          <w:p>
            <w:pPr>
              <w:adjustRightInd w:val="0"/>
              <w:snapToGrid w:val="0"/>
              <w:spacing w:line="312" w:lineRule="auto"/>
              <w:rPr>
                <w:color w:val="000000" w:themeColor="text1"/>
                <w:sz w:val="24"/>
              </w:rPr>
            </w:pPr>
            <w:r>
              <w:rPr>
                <w:rFonts w:hint="eastAsia"/>
                <w:color w:val="000000" w:themeColor="text1"/>
                <w:sz w:val="24"/>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7</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10.1</w:t>
            </w:r>
          </w:p>
        </w:tc>
        <w:tc>
          <w:tcPr>
            <w:tcW w:w="7027" w:type="dxa"/>
          </w:tcPr>
          <w:p>
            <w:pPr>
              <w:adjustRightInd w:val="0"/>
              <w:snapToGrid w:val="0"/>
              <w:spacing w:line="312" w:lineRule="auto"/>
              <w:rPr>
                <w:color w:val="000000" w:themeColor="text1"/>
                <w:sz w:val="24"/>
              </w:rPr>
            </w:pPr>
            <w:r>
              <w:rPr>
                <w:rFonts w:hint="eastAsia"/>
                <w:color w:val="000000" w:themeColor="text1"/>
                <w:sz w:val="24"/>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8</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10.2</w:t>
            </w:r>
          </w:p>
        </w:tc>
        <w:tc>
          <w:tcPr>
            <w:tcW w:w="7027" w:type="dxa"/>
          </w:tcPr>
          <w:p>
            <w:pPr>
              <w:adjustRightInd w:val="0"/>
              <w:snapToGrid w:val="0"/>
              <w:spacing w:line="312" w:lineRule="auto"/>
              <w:rPr>
                <w:color w:val="000000" w:themeColor="text1"/>
                <w:sz w:val="24"/>
              </w:rPr>
            </w:pPr>
            <w:r>
              <w:rPr>
                <w:rFonts w:hint="eastAsia"/>
                <w:color w:val="000000" w:themeColor="text1"/>
                <w:sz w:val="22"/>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9</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10.4</w:t>
            </w:r>
          </w:p>
        </w:tc>
        <w:tc>
          <w:tcPr>
            <w:tcW w:w="7027" w:type="dxa"/>
          </w:tcPr>
          <w:p>
            <w:pPr>
              <w:adjustRightInd w:val="0"/>
              <w:snapToGrid w:val="0"/>
              <w:spacing w:line="312" w:lineRule="auto"/>
              <w:rPr>
                <w:color w:val="000000" w:themeColor="text1"/>
                <w:sz w:val="24"/>
              </w:rPr>
            </w:pPr>
            <w:r>
              <w:rPr>
                <w:rFonts w:hint="eastAsia"/>
                <w:color w:val="000000" w:themeColor="text1"/>
                <w:sz w:val="24"/>
              </w:rPr>
              <w:t>提交合同用款计划的时间：</w:t>
            </w:r>
          </w:p>
          <w:p>
            <w:pPr>
              <w:adjustRightInd w:val="0"/>
              <w:snapToGrid w:val="0"/>
              <w:spacing w:line="312" w:lineRule="auto"/>
              <w:rPr>
                <w:color w:val="000000" w:themeColor="text1"/>
                <w:sz w:val="24"/>
              </w:rPr>
            </w:pPr>
            <w:r>
              <w:rPr>
                <w:rFonts w:hint="eastAsia"/>
                <w:color w:val="000000" w:themeColor="text1"/>
                <w:sz w:val="24"/>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10</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11.1</w:t>
            </w:r>
          </w:p>
        </w:tc>
        <w:tc>
          <w:tcPr>
            <w:tcW w:w="7027" w:type="dxa"/>
          </w:tcPr>
          <w:p>
            <w:pPr>
              <w:adjustRightInd w:val="0"/>
              <w:snapToGrid w:val="0"/>
              <w:spacing w:line="312" w:lineRule="auto"/>
              <w:rPr>
                <w:color w:val="000000" w:themeColor="text1"/>
                <w:sz w:val="24"/>
              </w:rPr>
            </w:pPr>
            <w:r>
              <w:rPr>
                <w:rFonts w:hint="eastAsia"/>
                <w:color w:val="000000" w:themeColor="text1"/>
                <w:sz w:val="24"/>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11</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11.5</w:t>
            </w:r>
          </w:p>
        </w:tc>
        <w:tc>
          <w:tcPr>
            <w:tcW w:w="7027" w:type="dxa"/>
          </w:tcPr>
          <w:p>
            <w:pPr>
              <w:adjustRightInd w:val="0"/>
              <w:snapToGrid w:val="0"/>
              <w:spacing w:line="312" w:lineRule="auto"/>
              <w:rPr>
                <w:color w:val="000000" w:themeColor="text1"/>
                <w:sz w:val="24"/>
              </w:rPr>
            </w:pPr>
            <w:r>
              <w:rPr>
                <w:rFonts w:hint="eastAsia"/>
                <w:color w:val="000000" w:themeColor="text1"/>
                <w:sz w:val="24"/>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12</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11.5</w:t>
            </w:r>
          </w:p>
        </w:tc>
        <w:tc>
          <w:tcPr>
            <w:tcW w:w="7027" w:type="dxa"/>
          </w:tcPr>
          <w:p>
            <w:pPr>
              <w:adjustRightInd w:val="0"/>
              <w:snapToGrid w:val="0"/>
              <w:spacing w:line="312" w:lineRule="auto"/>
              <w:rPr>
                <w:color w:val="000000" w:themeColor="text1"/>
                <w:sz w:val="24"/>
              </w:rPr>
            </w:pPr>
            <w:r>
              <w:rPr>
                <w:rFonts w:hint="eastAsia"/>
                <w:color w:val="000000" w:themeColor="text1"/>
                <w:sz w:val="24"/>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13</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11.6</w:t>
            </w:r>
          </w:p>
        </w:tc>
        <w:tc>
          <w:tcPr>
            <w:tcW w:w="7027" w:type="dxa"/>
          </w:tcPr>
          <w:p>
            <w:pPr>
              <w:adjustRightInd w:val="0"/>
              <w:snapToGrid w:val="0"/>
              <w:spacing w:line="312" w:lineRule="auto"/>
              <w:rPr>
                <w:color w:val="000000" w:themeColor="text1"/>
                <w:sz w:val="24"/>
              </w:rPr>
            </w:pPr>
            <w:r>
              <w:rPr>
                <w:rFonts w:hint="eastAsia"/>
                <w:color w:val="000000" w:themeColor="text1"/>
                <w:sz w:val="24"/>
              </w:rPr>
              <w:t>提前竣工的奖金：人民币</w:t>
            </w:r>
            <w:r>
              <w:rPr>
                <w:rFonts w:hint="eastAsia"/>
                <w:color w:val="000000" w:themeColor="text1"/>
                <w:sz w:val="24"/>
                <w:u w:val="single"/>
              </w:rPr>
              <w:t xml:space="preserve">  0 </w:t>
            </w:r>
            <w:r>
              <w:rPr>
                <w:rFonts w:hint="eastAsia"/>
                <w:color w:val="000000" w:themeColor="text1"/>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000000" w:themeColor="text1"/>
                <w:sz w:val="24"/>
              </w:rPr>
            </w:pPr>
            <w:r>
              <w:rPr>
                <w:rFonts w:hint="eastAsia"/>
                <w:color w:val="000000" w:themeColor="text1"/>
                <w:sz w:val="24"/>
              </w:rPr>
              <w:t>14</w:t>
            </w:r>
          </w:p>
        </w:tc>
        <w:tc>
          <w:tcPr>
            <w:tcW w:w="1134" w:type="dxa"/>
            <w:vAlign w:val="center"/>
          </w:tcPr>
          <w:p>
            <w:pPr>
              <w:adjustRightInd w:val="0"/>
              <w:snapToGrid w:val="0"/>
              <w:spacing w:line="312" w:lineRule="auto"/>
              <w:jc w:val="center"/>
              <w:rPr>
                <w:color w:val="000000" w:themeColor="text1"/>
                <w:sz w:val="24"/>
              </w:rPr>
            </w:pPr>
            <w:r>
              <w:rPr>
                <w:rFonts w:hint="eastAsia"/>
                <w:color w:val="000000" w:themeColor="text1"/>
                <w:sz w:val="24"/>
              </w:rPr>
              <w:t>11.6</w:t>
            </w:r>
          </w:p>
        </w:tc>
        <w:tc>
          <w:tcPr>
            <w:tcW w:w="7027" w:type="dxa"/>
          </w:tcPr>
          <w:p>
            <w:pPr>
              <w:adjustRightInd w:val="0"/>
              <w:snapToGrid w:val="0"/>
              <w:spacing w:line="312" w:lineRule="auto"/>
              <w:rPr>
                <w:color w:val="000000" w:themeColor="text1"/>
                <w:sz w:val="24"/>
              </w:rPr>
            </w:pPr>
            <w:r>
              <w:rPr>
                <w:rFonts w:hint="eastAsia"/>
                <w:color w:val="000000" w:themeColor="text1"/>
                <w:sz w:val="24"/>
              </w:rPr>
              <w:t>提前竣工的奖金限额：签约合同价的</w:t>
            </w:r>
            <w:r>
              <w:rPr>
                <w:rFonts w:hint="eastAsia"/>
                <w:color w:val="000000" w:themeColor="text1"/>
                <w:sz w:val="24"/>
                <w:u w:val="single"/>
              </w:rPr>
              <w:t xml:space="preserve"> 0 </w:t>
            </w:r>
            <w:r>
              <w:rPr>
                <w:rFonts w:hint="eastAsia"/>
                <w:color w:val="000000" w:themeColor="text1"/>
                <w:sz w:val="24"/>
              </w:rPr>
              <w:t>%</w:t>
            </w:r>
          </w:p>
        </w:tc>
      </w:tr>
    </w:tbl>
    <w:p>
      <w:pPr>
        <w:rPr>
          <w:color w:val="000000" w:themeColor="text1"/>
          <w:sz w:val="18"/>
          <w:szCs w:val="18"/>
        </w:rPr>
      </w:pPr>
    </w:p>
    <w:p>
      <w:pPr>
        <w:rPr>
          <w:color w:val="000000" w:themeColor="text1"/>
          <w:sz w:val="18"/>
          <w:szCs w:val="18"/>
        </w:rPr>
      </w:pPr>
      <w:r>
        <w:rPr>
          <w:color w:val="000000" w:themeColor="text1"/>
          <w:sz w:val="18"/>
          <w:szCs w:val="18"/>
        </w:rPr>
        <w:br w:type="page"/>
      </w:r>
    </w:p>
    <w:tbl>
      <w:tblPr>
        <w:tblStyle w:val="45"/>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序号</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条款号</w:t>
            </w:r>
          </w:p>
        </w:tc>
        <w:tc>
          <w:tcPr>
            <w:tcW w:w="7560" w:type="dxa"/>
            <w:vAlign w:val="center"/>
          </w:tcPr>
          <w:p>
            <w:pPr>
              <w:adjustRightInd w:val="0"/>
              <w:snapToGrid w:val="0"/>
              <w:spacing w:line="324" w:lineRule="auto"/>
              <w:jc w:val="center"/>
              <w:rPr>
                <w:color w:val="000000" w:themeColor="text1"/>
                <w:sz w:val="24"/>
              </w:rPr>
            </w:pPr>
            <w:r>
              <w:rPr>
                <w:rFonts w:hint="eastAsia"/>
                <w:color w:val="000000" w:themeColor="text1"/>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15</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15.2.2</w:t>
            </w:r>
          </w:p>
        </w:tc>
        <w:tc>
          <w:tcPr>
            <w:tcW w:w="7560" w:type="dxa"/>
          </w:tcPr>
          <w:p>
            <w:pPr>
              <w:adjustRightInd w:val="0"/>
              <w:snapToGrid w:val="0"/>
              <w:spacing w:line="324" w:lineRule="auto"/>
              <w:rPr>
                <w:color w:val="000000" w:themeColor="text1"/>
                <w:sz w:val="24"/>
              </w:rPr>
            </w:pPr>
            <w:r>
              <w:rPr>
                <w:rFonts w:hint="eastAsia"/>
                <w:color w:val="000000" w:themeColor="text1"/>
                <w:sz w:val="24"/>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16</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16.1</w:t>
            </w:r>
          </w:p>
        </w:tc>
        <w:tc>
          <w:tcPr>
            <w:tcW w:w="7560" w:type="dxa"/>
          </w:tcPr>
          <w:p>
            <w:pPr>
              <w:adjustRightInd w:val="0"/>
              <w:snapToGrid w:val="0"/>
              <w:spacing w:line="324" w:lineRule="auto"/>
              <w:rPr>
                <w:color w:val="000000" w:themeColor="text1"/>
                <w:sz w:val="24"/>
              </w:rPr>
            </w:pPr>
            <w:r>
              <w:rPr>
                <w:rFonts w:hint="eastAsia"/>
                <w:color w:val="000000" w:themeColor="text1"/>
                <w:sz w:val="24"/>
              </w:rPr>
              <w:t>因物价波动引起的价格调整按照</w:t>
            </w:r>
            <w:r>
              <w:rPr>
                <w:rFonts w:hint="eastAsia"/>
                <w:color w:val="000000" w:themeColor="text1"/>
                <w:sz w:val="24"/>
                <w:u w:val="single"/>
              </w:rPr>
              <w:t>第16.1.1或16.1.2</w:t>
            </w:r>
            <w:r>
              <w:rPr>
                <w:rFonts w:hint="eastAsia"/>
                <w:color w:val="000000" w:themeColor="text1"/>
                <w:sz w:val="24"/>
              </w:rPr>
              <w:t>项约定的原则处理或合同期内不调价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17</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17.2.1</w:t>
            </w:r>
          </w:p>
        </w:tc>
        <w:tc>
          <w:tcPr>
            <w:tcW w:w="7560" w:type="dxa"/>
          </w:tcPr>
          <w:p>
            <w:pPr>
              <w:adjustRightInd w:val="0"/>
              <w:snapToGrid w:val="0"/>
              <w:spacing w:line="324" w:lineRule="auto"/>
              <w:rPr>
                <w:color w:val="000000" w:themeColor="text1"/>
                <w:sz w:val="24"/>
              </w:rPr>
            </w:pPr>
            <w:r>
              <w:rPr>
                <w:rFonts w:hint="eastAsia"/>
                <w:color w:val="000000" w:themeColor="text1"/>
                <w:sz w:val="24"/>
              </w:rPr>
              <w:t>开工预付款比例：%签约合同价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18</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17.2.1</w:t>
            </w:r>
          </w:p>
        </w:tc>
        <w:tc>
          <w:tcPr>
            <w:tcW w:w="7560" w:type="dxa"/>
          </w:tcPr>
          <w:p>
            <w:pPr>
              <w:adjustRightInd w:val="0"/>
              <w:snapToGrid w:val="0"/>
              <w:spacing w:line="324" w:lineRule="auto"/>
              <w:rPr>
                <w:color w:val="000000" w:themeColor="text1"/>
                <w:sz w:val="24"/>
              </w:rPr>
            </w:pPr>
            <w:r>
              <w:rPr>
                <w:rFonts w:hint="eastAsia"/>
                <w:color w:val="000000" w:themeColor="text1"/>
                <w:sz w:val="24"/>
              </w:rPr>
              <w:t>材料、设备预付款比例：等主要材料、设备单据所列费用的%</w:t>
            </w:r>
            <w:r>
              <w:rPr>
                <w:rStyle w:val="44"/>
                <w:color w:val="000000" w:themeColor="text1"/>
                <w:sz w:val="24"/>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19</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17.3.2</w:t>
            </w:r>
          </w:p>
        </w:tc>
        <w:tc>
          <w:tcPr>
            <w:tcW w:w="7560" w:type="dxa"/>
          </w:tcPr>
          <w:p>
            <w:pPr>
              <w:adjustRightInd w:val="0"/>
              <w:snapToGrid w:val="0"/>
              <w:spacing w:line="324" w:lineRule="auto"/>
              <w:rPr>
                <w:color w:val="000000" w:themeColor="text1"/>
                <w:sz w:val="24"/>
              </w:rPr>
            </w:pPr>
            <w:r>
              <w:rPr>
                <w:rFonts w:hint="eastAsia"/>
                <w:color w:val="000000" w:themeColor="text1"/>
                <w:sz w:val="24"/>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20</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17.3.3</w:t>
            </w:r>
          </w:p>
        </w:tc>
        <w:tc>
          <w:tcPr>
            <w:tcW w:w="7560" w:type="dxa"/>
          </w:tcPr>
          <w:p>
            <w:pPr>
              <w:adjustRightInd w:val="0"/>
              <w:snapToGrid w:val="0"/>
              <w:spacing w:line="324" w:lineRule="auto"/>
              <w:jc w:val="left"/>
              <w:rPr>
                <w:color w:val="000000" w:themeColor="text1"/>
                <w:sz w:val="24"/>
              </w:rPr>
            </w:pPr>
            <w:r>
              <w:rPr>
                <w:rFonts w:hint="eastAsia"/>
                <w:color w:val="000000" w:themeColor="text1"/>
                <w:sz w:val="24"/>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21</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17.3.3</w:t>
            </w:r>
          </w:p>
        </w:tc>
        <w:tc>
          <w:tcPr>
            <w:tcW w:w="7560" w:type="dxa"/>
          </w:tcPr>
          <w:p>
            <w:pPr>
              <w:adjustRightInd w:val="0"/>
              <w:snapToGrid w:val="0"/>
              <w:spacing w:line="324" w:lineRule="auto"/>
              <w:rPr>
                <w:color w:val="000000" w:themeColor="text1"/>
                <w:sz w:val="24"/>
              </w:rPr>
            </w:pPr>
            <w:r>
              <w:rPr>
                <w:rFonts w:hint="eastAsia"/>
                <w:color w:val="000000" w:themeColor="text1"/>
                <w:sz w:val="24"/>
              </w:rPr>
              <w:t>进度付款支付期限：</w:t>
            </w:r>
          </w:p>
          <w:p>
            <w:pPr>
              <w:adjustRightInd w:val="0"/>
              <w:snapToGrid w:val="0"/>
              <w:spacing w:line="324" w:lineRule="auto"/>
              <w:rPr>
                <w:color w:val="000000" w:themeColor="text1"/>
                <w:sz w:val="24"/>
              </w:rPr>
            </w:pPr>
            <w:r>
              <w:rPr>
                <w:rFonts w:hint="eastAsia"/>
                <w:color w:val="000000" w:themeColor="text1"/>
                <w:sz w:val="24"/>
              </w:rPr>
              <w:t>监理人收到进度付款申请单后</w:t>
            </w:r>
            <w:r>
              <w:rPr>
                <w:rFonts w:hint="eastAsia" w:ascii="宋体" w:hAnsi="宋体"/>
                <w:color w:val="000000" w:themeColor="text1"/>
                <w:sz w:val="24"/>
              </w:rPr>
              <w:t>天</w:t>
            </w:r>
            <w:r>
              <w:rPr>
                <w:rFonts w:hint="eastAsia"/>
                <w:color w:val="000000" w:themeColor="text1"/>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22</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17.3.3</w:t>
            </w:r>
          </w:p>
        </w:tc>
        <w:tc>
          <w:tcPr>
            <w:tcW w:w="7560" w:type="dxa"/>
          </w:tcPr>
          <w:p>
            <w:pPr>
              <w:adjustRightInd w:val="0"/>
              <w:snapToGrid w:val="0"/>
              <w:spacing w:line="324" w:lineRule="auto"/>
              <w:rPr>
                <w:color w:val="000000" w:themeColor="text1"/>
                <w:sz w:val="24"/>
              </w:rPr>
            </w:pPr>
            <w:r>
              <w:rPr>
                <w:rFonts w:hint="eastAsia"/>
                <w:color w:val="000000" w:themeColor="text1"/>
                <w:sz w:val="24"/>
              </w:rPr>
              <w:t>逾期付款违约金：</w:t>
            </w:r>
            <w:r>
              <w:rPr>
                <w:rFonts w:hint="eastAsia" w:ascii="宋体" w:hAnsi="宋体"/>
                <w:color w:val="000000" w:themeColor="text1"/>
                <w:sz w:val="24"/>
              </w:rPr>
              <w:t>‰/天</w:t>
            </w:r>
            <w:r>
              <w:rPr>
                <w:rStyle w:val="44"/>
                <w:color w:val="000000" w:themeColor="text1"/>
                <w:sz w:val="24"/>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23</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17.4.1</w:t>
            </w:r>
          </w:p>
        </w:tc>
        <w:tc>
          <w:tcPr>
            <w:tcW w:w="7560" w:type="dxa"/>
          </w:tcPr>
          <w:p>
            <w:pPr>
              <w:adjustRightInd w:val="0"/>
              <w:snapToGrid w:val="0"/>
              <w:spacing w:line="324" w:lineRule="auto"/>
              <w:rPr>
                <w:color w:val="000000" w:themeColor="text1"/>
                <w:sz w:val="24"/>
              </w:rPr>
            </w:pPr>
            <w:r>
              <w:rPr>
                <w:rFonts w:hint="eastAsia"/>
                <w:color w:val="000000" w:themeColor="text1"/>
                <w:sz w:val="24"/>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24</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17.4.1</w:t>
            </w:r>
          </w:p>
        </w:tc>
        <w:tc>
          <w:tcPr>
            <w:tcW w:w="7560" w:type="dxa"/>
          </w:tcPr>
          <w:p>
            <w:pPr>
              <w:adjustRightInd w:val="0"/>
              <w:snapToGrid w:val="0"/>
              <w:spacing w:line="324" w:lineRule="auto"/>
              <w:rPr>
                <w:color w:val="000000" w:themeColor="text1"/>
                <w:sz w:val="24"/>
              </w:rPr>
            </w:pPr>
            <w:r>
              <w:rPr>
                <w:rFonts w:hint="eastAsia"/>
                <w:color w:val="000000" w:themeColor="text1"/>
                <w:sz w:val="24"/>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25</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17.5.1</w:t>
            </w:r>
          </w:p>
        </w:tc>
        <w:tc>
          <w:tcPr>
            <w:tcW w:w="7560" w:type="dxa"/>
          </w:tcPr>
          <w:p>
            <w:pPr>
              <w:adjustRightInd w:val="0"/>
              <w:snapToGrid w:val="0"/>
              <w:spacing w:line="324" w:lineRule="auto"/>
              <w:rPr>
                <w:color w:val="000000" w:themeColor="text1"/>
                <w:sz w:val="24"/>
              </w:rPr>
            </w:pPr>
            <w:r>
              <w:rPr>
                <w:rFonts w:hint="eastAsia"/>
                <w:color w:val="000000" w:themeColor="text1"/>
                <w:sz w:val="24"/>
              </w:rPr>
              <w:t>竣工付款申请单：承包人向监理人提交竣工付款申请单（包括相关证明材料）的份数：</w:t>
            </w:r>
            <w:r>
              <w:rPr>
                <w:rFonts w:hint="eastAsia"/>
                <w:color w:val="000000" w:themeColor="text1"/>
                <w:sz w:val="24"/>
                <w:u w:val="single"/>
              </w:rPr>
              <w:t xml:space="preserve">   3 </w:t>
            </w:r>
            <w:r>
              <w:rPr>
                <w:rFonts w:hint="eastAsia"/>
                <w:color w:val="000000" w:themeColor="text1"/>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26</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17.5.2</w:t>
            </w:r>
          </w:p>
        </w:tc>
        <w:tc>
          <w:tcPr>
            <w:tcW w:w="7560" w:type="dxa"/>
          </w:tcPr>
          <w:p>
            <w:pPr>
              <w:adjustRightInd w:val="0"/>
              <w:snapToGrid w:val="0"/>
              <w:spacing w:line="324" w:lineRule="auto"/>
              <w:rPr>
                <w:color w:val="000000" w:themeColor="text1"/>
                <w:sz w:val="24"/>
              </w:rPr>
            </w:pPr>
            <w:r>
              <w:rPr>
                <w:rFonts w:hint="eastAsia"/>
                <w:color w:val="000000" w:themeColor="text1"/>
                <w:sz w:val="24"/>
              </w:rPr>
              <w:t>竣工付款支付期限：</w:t>
            </w:r>
          </w:p>
          <w:p>
            <w:pPr>
              <w:adjustRightInd w:val="0"/>
              <w:snapToGrid w:val="0"/>
              <w:spacing w:line="324" w:lineRule="auto"/>
              <w:rPr>
                <w:color w:val="000000" w:themeColor="text1"/>
                <w:sz w:val="24"/>
              </w:rPr>
            </w:pPr>
            <w:r>
              <w:rPr>
                <w:rFonts w:hint="eastAsia"/>
                <w:color w:val="000000" w:themeColor="text1"/>
                <w:sz w:val="24"/>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27</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17.6.1</w:t>
            </w:r>
          </w:p>
        </w:tc>
        <w:tc>
          <w:tcPr>
            <w:tcW w:w="7560" w:type="dxa"/>
          </w:tcPr>
          <w:p>
            <w:pPr>
              <w:adjustRightInd w:val="0"/>
              <w:snapToGrid w:val="0"/>
              <w:spacing w:line="324" w:lineRule="auto"/>
              <w:rPr>
                <w:color w:val="000000" w:themeColor="text1"/>
                <w:sz w:val="24"/>
              </w:rPr>
            </w:pPr>
            <w:r>
              <w:rPr>
                <w:rFonts w:hint="eastAsia"/>
                <w:color w:val="000000" w:themeColor="text1"/>
                <w:sz w:val="24"/>
              </w:rPr>
              <w:t>最终结清申请单：承包人向监理人提交终结清申请单（包括相关证明材料）的份数：</w:t>
            </w:r>
            <w:r>
              <w:rPr>
                <w:rFonts w:hint="eastAsia"/>
                <w:color w:val="000000" w:themeColor="text1"/>
                <w:sz w:val="24"/>
                <w:u w:val="single"/>
              </w:rPr>
              <w:t xml:space="preserve">  3  </w:t>
            </w:r>
            <w:r>
              <w:rPr>
                <w:rFonts w:hint="eastAsia"/>
                <w:color w:val="000000" w:themeColor="text1"/>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28</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17.6.2</w:t>
            </w:r>
          </w:p>
        </w:tc>
        <w:tc>
          <w:tcPr>
            <w:tcW w:w="7560" w:type="dxa"/>
          </w:tcPr>
          <w:p>
            <w:pPr>
              <w:adjustRightInd w:val="0"/>
              <w:snapToGrid w:val="0"/>
              <w:spacing w:line="324" w:lineRule="auto"/>
              <w:rPr>
                <w:color w:val="000000" w:themeColor="text1"/>
                <w:sz w:val="24"/>
              </w:rPr>
            </w:pPr>
            <w:r>
              <w:rPr>
                <w:rFonts w:hint="eastAsia"/>
                <w:color w:val="000000" w:themeColor="text1"/>
                <w:sz w:val="24"/>
              </w:rPr>
              <w:t>最终付款支付期限：</w:t>
            </w:r>
          </w:p>
          <w:p>
            <w:pPr>
              <w:adjustRightInd w:val="0"/>
              <w:snapToGrid w:val="0"/>
              <w:spacing w:line="324" w:lineRule="auto"/>
              <w:rPr>
                <w:color w:val="000000" w:themeColor="text1"/>
                <w:sz w:val="24"/>
              </w:rPr>
            </w:pPr>
            <w:r>
              <w:rPr>
                <w:rFonts w:hint="eastAsia"/>
                <w:color w:val="000000" w:themeColor="text1"/>
                <w:sz w:val="24"/>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29</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19.7</w:t>
            </w:r>
          </w:p>
        </w:tc>
        <w:tc>
          <w:tcPr>
            <w:tcW w:w="7560" w:type="dxa"/>
          </w:tcPr>
          <w:p>
            <w:pPr>
              <w:adjustRightInd w:val="0"/>
              <w:snapToGrid w:val="0"/>
              <w:spacing w:line="324" w:lineRule="auto"/>
              <w:rPr>
                <w:color w:val="000000" w:themeColor="text1"/>
                <w:sz w:val="24"/>
              </w:rPr>
            </w:pPr>
            <w:r>
              <w:rPr>
                <w:rFonts w:hint="eastAsia"/>
                <w:color w:val="000000" w:themeColor="text1"/>
                <w:sz w:val="24"/>
              </w:rPr>
              <w:t>保修期：</w:t>
            </w:r>
            <w:r>
              <w:rPr>
                <w:rFonts w:hint="eastAsia"/>
                <w:color w:val="000000" w:themeColor="text1"/>
                <w:sz w:val="24"/>
                <w:u w:val="single"/>
              </w:rPr>
              <w:t xml:space="preserve"> 5  </w:t>
            </w:r>
            <w:r>
              <w:rPr>
                <w:rFonts w:hint="eastAsia"/>
                <w:color w:val="000000" w:themeColor="text1"/>
                <w:sz w:val="24"/>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30</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20.1</w:t>
            </w:r>
          </w:p>
        </w:tc>
        <w:tc>
          <w:tcPr>
            <w:tcW w:w="7560" w:type="dxa"/>
          </w:tcPr>
          <w:p>
            <w:pPr>
              <w:adjustRightInd w:val="0"/>
              <w:snapToGrid w:val="0"/>
              <w:spacing w:line="324" w:lineRule="auto"/>
              <w:rPr>
                <w:color w:val="000000" w:themeColor="text1"/>
                <w:sz w:val="24"/>
              </w:rPr>
            </w:pPr>
            <w:r>
              <w:rPr>
                <w:rFonts w:hint="eastAsia"/>
                <w:color w:val="000000" w:themeColor="text1"/>
                <w:sz w:val="24"/>
              </w:rPr>
              <w:t>建筑工程一切险的保险费率：</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31</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20.4.2</w:t>
            </w:r>
          </w:p>
        </w:tc>
        <w:tc>
          <w:tcPr>
            <w:tcW w:w="7560" w:type="dxa"/>
          </w:tcPr>
          <w:p>
            <w:pPr>
              <w:adjustRightInd w:val="0"/>
              <w:snapToGrid w:val="0"/>
              <w:spacing w:line="324" w:lineRule="auto"/>
              <w:rPr>
                <w:color w:val="000000" w:themeColor="text1"/>
                <w:sz w:val="24"/>
              </w:rPr>
            </w:pPr>
            <w:r>
              <w:rPr>
                <w:rFonts w:hint="eastAsia"/>
                <w:color w:val="000000" w:themeColor="text1"/>
                <w:sz w:val="24"/>
              </w:rPr>
              <w:t>第三者责任的最低投保金额：万元人民币，事故次数不限（不计免赔额）     保险费率：</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jc w:val="center"/>
              <w:rPr>
                <w:color w:val="000000" w:themeColor="text1"/>
                <w:sz w:val="24"/>
              </w:rPr>
            </w:pPr>
            <w:r>
              <w:rPr>
                <w:rFonts w:hint="eastAsia"/>
                <w:color w:val="000000" w:themeColor="text1"/>
                <w:sz w:val="24"/>
              </w:rPr>
              <w:t>32</w:t>
            </w:r>
          </w:p>
        </w:tc>
        <w:tc>
          <w:tcPr>
            <w:tcW w:w="1044" w:type="dxa"/>
            <w:vAlign w:val="center"/>
          </w:tcPr>
          <w:p>
            <w:pPr>
              <w:adjustRightInd w:val="0"/>
              <w:snapToGrid w:val="0"/>
              <w:spacing w:line="324" w:lineRule="auto"/>
              <w:jc w:val="center"/>
              <w:rPr>
                <w:color w:val="000000" w:themeColor="text1"/>
                <w:sz w:val="24"/>
              </w:rPr>
            </w:pPr>
            <w:r>
              <w:rPr>
                <w:rFonts w:hint="eastAsia"/>
                <w:color w:val="000000" w:themeColor="text1"/>
                <w:sz w:val="24"/>
              </w:rPr>
              <w:t>24.1</w:t>
            </w:r>
          </w:p>
        </w:tc>
        <w:tc>
          <w:tcPr>
            <w:tcW w:w="7560" w:type="dxa"/>
          </w:tcPr>
          <w:p>
            <w:pPr>
              <w:adjustRightInd w:val="0"/>
              <w:snapToGrid w:val="0"/>
              <w:spacing w:line="324" w:lineRule="auto"/>
              <w:rPr>
                <w:color w:val="000000" w:themeColor="text1"/>
                <w:sz w:val="24"/>
                <w:u w:val="single"/>
              </w:rPr>
            </w:pPr>
            <w:r>
              <w:rPr>
                <w:rFonts w:hint="eastAsia"/>
                <w:color w:val="000000" w:themeColor="text1"/>
                <w:sz w:val="24"/>
              </w:rPr>
              <w:t>争议的最终解决方式：</w:t>
            </w:r>
            <w:r>
              <w:rPr>
                <w:rFonts w:hint="eastAsia"/>
                <w:color w:val="000000" w:themeColor="text1"/>
                <w:sz w:val="24"/>
                <w:u w:val="single"/>
              </w:rPr>
              <w:t xml:space="preserve">      诉讼     </w:t>
            </w:r>
          </w:p>
          <w:p>
            <w:pPr>
              <w:adjustRightInd w:val="0"/>
              <w:snapToGrid w:val="0"/>
              <w:spacing w:line="324" w:lineRule="auto"/>
              <w:rPr>
                <w:color w:val="000000" w:themeColor="text1"/>
                <w:sz w:val="24"/>
              </w:rPr>
            </w:pPr>
            <w:r>
              <w:rPr>
                <w:rFonts w:hint="eastAsia"/>
                <w:color w:val="000000" w:themeColor="text1"/>
                <w:sz w:val="24"/>
              </w:rPr>
              <w:t>如采用仲裁，仲裁委员会名称</w:t>
            </w:r>
            <w:r>
              <w:rPr>
                <w:rFonts w:hint="eastAsia"/>
                <w:color w:val="000000" w:themeColor="text1"/>
                <w:sz w:val="24"/>
                <w:u w:val="single"/>
              </w:rPr>
              <w:t xml:space="preserve">：  许昌市中级人民法院  </w:t>
            </w:r>
          </w:p>
        </w:tc>
      </w:tr>
    </w:tbl>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360" w:lineRule="auto"/>
        <w:rPr>
          <w:rFonts w:ascii="黑体" w:eastAsia="黑体"/>
          <w:sz w:val="30"/>
        </w:rPr>
      </w:pPr>
      <w:r>
        <w:rPr>
          <w:rFonts w:hint="eastAsia" w:ascii="黑体" w:eastAsia="黑体"/>
          <w:sz w:val="30"/>
        </w:rPr>
        <w:t>项目专用条款</w:t>
      </w:r>
    </w:p>
    <w:p>
      <w:pPr>
        <w:adjustRightInd w:val="0"/>
        <w:snapToGrid w:val="0"/>
        <w:spacing w:line="312" w:lineRule="auto"/>
        <w:rPr>
          <w:rFonts w:ascii="黑体" w:eastAsia="黑体"/>
          <w:sz w:val="24"/>
        </w:rPr>
      </w:pPr>
      <w:r>
        <w:rPr>
          <w:rFonts w:hint="eastAsia" w:ascii="黑体" w:eastAsia="黑体"/>
          <w:sz w:val="24"/>
        </w:rPr>
        <w:t>1.4合同文件的优先顺序：</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u w:val="single"/>
        </w:rPr>
      </w:pPr>
      <w:r>
        <w:rPr>
          <w:rFonts w:hint="eastAsia" w:ascii="黑体" w:eastAsia="黑体"/>
          <w:sz w:val="24"/>
        </w:rPr>
        <w:t>1.7.2来往函件送达的期限：</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2.8发包人应履行的其他义务：</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4.1.2依法纳税：</w:t>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4.1.8为他人提供方便</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ind w:firstLine="672" w:firstLineChars="280"/>
        <w:rPr>
          <w:rFonts w:ascii="黑体" w:eastAsia="黑体"/>
          <w:sz w:val="24"/>
        </w:rPr>
      </w:pPr>
      <w:r>
        <w:rPr>
          <w:rFonts w:hint="eastAsia" w:ascii="黑体" w:eastAsia="黑体"/>
          <w:sz w:val="24"/>
        </w:rPr>
        <w:t>承包人为他人提供条件的内容：</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ind w:firstLine="672" w:firstLineChars="280"/>
        <w:rPr>
          <w:rFonts w:ascii="黑体" w:eastAsia="黑体"/>
          <w:sz w:val="24"/>
        </w:rPr>
      </w:pPr>
      <w:r>
        <w:rPr>
          <w:rFonts w:hint="eastAsia" w:ascii="黑体" w:eastAsia="黑体"/>
          <w:sz w:val="24"/>
        </w:rPr>
        <w:t>承包人为他人提供条件可能发生费用的处理方法：</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4.1.10其他义务：</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4.2履约担保：</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4.11.1不利物质条件的范围：</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6.2发包人提供的施工设备和临时设施：</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8.1.1发包人向承包人提供测量准点、基准线和水准点及其书面资料的时间：</w:t>
      </w:r>
    </w:p>
    <w:p>
      <w:pPr>
        <w:adjustRightInd w:val="0"/>
        <w:snapToGrid w:val="0"/>
        <w:spacing w:line="312" w:lineRule="auto"/>
        <w:rPr>
          <w:rFonts w:ascii="黑体" w:eastAsia="黑体"/>
          <w:sz w:val="24"/>
        </w:rPr>
      </w:pP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rPr>
        <w:t>。承包人监理人报送施工控制网资料的时间：</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9.2承包人的施工安全责任：</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10.1合同进度计划</w:t>
      </w:r>
    </w:p>
    <w:p>
      <w:pPr>
        <w:adjustRightInd w:val="0"/>
        <w:snapToGrid w:val="0"/>
        <w:spacing w:line="312" w:lineRule="auto"/>
        <w:ind w:firstLine="480" w:firstLineChars="200"/>
        <w:rPr>
          <w:rFonts w:ascii="宋体" w:hAnsi="宋体"/>
          <w:sz w:val="24"/>
        </w:rPr>
      </w:pPr>
      <w:r>
        <w:rPr>
          <w:rFonts w:hint="eastAsia" w:ascii="宋体" w:hAnsi="宋体"/>
          <w:sz w:val="24"/>
        </w:rPr>
        <w:t>承包人编制施工方案的内容：</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rPr>
          <w:rFonts w:ascii="黑体" w:eastAsia="黑体"/>
          <w:sz w:val="24"/>
        </w:rPr>
      </w:pPr>
      <w:r>
        <w:rPr>
          <w:rFonts w:hint="eastAsia" w:ascii="黑体" w:eastAsia="黑体"/>
          <w:sz w:val="24"/>
        </w:rPr>
        <w:t>11.4异常恶劣的气候条件：</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11.5承包人的工期延误：</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11.6工期提前：</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12.1承包人暂停停工的责任：</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15.4变更的佶价原则：</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17.3.3进度付款证书和支付时间：</w:t>
      </w:r>
    </w:p>
    <w:p>
      <w:pPr>
        <w:adjustRightInd w:val="0"/>
        <w:snapToGrid w:val="0"/>
        <w:spacing w:line="312" w:lineRule="auto"/>
        <w:ind w:firstLine="480" w:firstLineChars="200"/>
        <w:rPr>
          <w:rFonts w:ascii="宋体" w:hAnsi="宋体"/>
          <w:sz w:val="24"/>
        </w:rPr>
      </w:pPr>
      <w:r>
        <w:rPr>
          <w:rFonts w:hint="eastAsia" w:ascii="宋体" w:hAnsi="宋体"/>
          <w:sz w:val="24"/>
        </w:rPr>
        <w:t>进度付款涉及政府投资资金的,按照以下规定办理：</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rPr>
          <w:rFonts w:ascii="黑体" w:eastAsia="黑体"/>
          <w:sz w:val="24"/>
        </w:rPr>
      </w:pPr>
      <w:r>
        <w:rPr>
          <w:rFonts w:hint="eastAsia" w:ascii="黑体" w:eastAsia="黑体"/>
          <w:sz w:val="24"/>
        </w:rPr>
        <w:t>18.5施工期运行</w:t>
      </w:r>
    </w:p>
    <w:p>
      <w:pPr>
        <w:adjustRightInd w:val="0"/>
        <w:snapToGrid w:val="0"/>
        <w:spacing w:line="312" w:lineRule="auto"/>
        <w:ind w:firstLine="480" w:firstLineChars="200"/>
        <w:rPr>
          <w:rFonts w:ascii="宋体" w:hAnsi="宋体"/>
          <w:sz w:val="24"/>
        </w:rPr>
      </w:pPr>
      <w:r>
        <w:rPr>
          <w:rFonts w:hint="eastAsia" w:ascii="宋体" w:hAnsi="宋体"/>
          <w:sz w:val="24"/>
        </w:rPr>
        <w:t>单位工程或工程设备是否需投入施工期运行：</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rPr>
          <w:rFonts w:ascii="黑体" w:eastAsia="黑体"/>
          <w:sz w:val="24"/>
        </w:rPr>
      </w:pPr>
      <w:r>
        <w:rPr>
          <w:rFonts w:hint="eastAsia" w:ascii="黑体" w:eastAsia="黑体"/>
          <w:sz w:val="24"/>
        </w:rPr>
        <w:t>18.6试运行</w:t>
      </w:r>
      <w:r>
        <w:rPr>
          <w:rFonts w:ascii="黑体" w:eastAsia="黑体"/>
          <w:position w:val="-10"/>
          <w:sz w:val="24"/>
        </w:rPr>
        <w:object>
          <v:shape id="_x0000_i1026" o:spt="75" type="#_x0000_t75" style="height:17pt;width:9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adjustRightInd w:val="0"/>
        <w:snapToGrid w:val="0"/>
        <w:spacing w:line="312" w:lineRule="auto"/>
        <w:ind w:firstLine="480" w:firstLineChars="200"/>
        <w:rPr>
          <w:rFonts w:ascii="宋体" w:hAnsi="宋体"/>
          <w:sz w:val="24"/>
        </w:rPr>
      </w:pPr>
      <w:r>
        <w:rPr>
          <w:rFonts w:hint="eastAsia" w:ascii="宋体" w:hAnsi="宋体"/>
          <w:sz w:val="24"/>
        </w:rPr>
        <w:t>18.6.1项约定：</w:t>
      </w:r>
    </w:p>
    <w:p>
      <w:pPr>
        <w:adjustRightInd w:val="0"/>
        <w:snapToGrid w:val="0"/>
        <w:spacing w:line="312" w:lineRule="auto"/>
        <w:ind w:firstLine="480" w:firstLineChars="200"/>
        <w:rPr>
          <w:rFonts w:ascii="宋体" w:hAnsi="宋体"/>
          <w:sz w:val="24"/>
        </w:rPr>
      </w:pPr>
      <w:r>
        <w:rPr>
          <w:rFonts w:hint="eastAsia" w:ascii="宋体" w:hAnsi="宋体"/>
          <w:sz w:val="24"/>
        </w:rPr>
        <w:t>本工程及工程设备是否进行试运行：</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ind w:firstLine="480" w:firstLineChars="200"/>
        <w:rPr>
          <w:rFonts w:ascii="宋体" w:hAnsi="宋体"/>
          <w:sz w:val="24"/>
        </w:rPr>
      </w:pPr>
      <w:r>
        <w:rPr>
          <w:rFonts w:hint="eastAsia" w:ascii="宋体" w:hAnsi="宋体"/>
          <w:sz w:val="24"/>
        </w:rPr>
        <w:t>试运行的内容：</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ind w:firstLine="480" w:firstLineChars="200"/>
        <w:rPr>
          <w:rFonts w:ascii="宋体" w:hAnsi="宋体"/>
          <w:sz w:val="24"/>
        </w:rPr>
      </w:pPr>
      <w:r>
        <w:rPr>
          <w:rFonts w:hint="eastAsia" w:ascii="宋体" w:hAnsi="宋体"/>
          <w:sz w:val="24"/>
        </w:rPr>
        <w:t>试运行的费用约定：</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rPr>
          <w:rFonts w:ascii="黑体" w:eastAsia="黑体"/>
          <w:sz w:val="24"/>
        </w:rPr>
      </w:pPr>
      <w:r>
        <w:rPr>
          <w:rFonts w:hint="eastAsia" w:ascii="黑体" w:eastAsia="黑体"/>
          <w:sz w:val="24"/>
        </w:rPr>
        <w:t>21.1不可抗力的确认：</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u w:val="single"/>
        </w:rPr>
      </w:pPr>
      <w:r>
        <w:rPr>
          <w:rFonts w:hint="eastAsia" w:ascii="黑体" w:eastAsia="黑体"/>
          <w:sz w:val="24"/>
        </w:rPr>
        <w:t>22.1.2对承包人违约的处理：</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p>
      <w:pPr>
        <w:pStyle w:val="21"/>
        <w:snapToGrid w:val="0"/>
        <w:spacing w:line="300" w:lineRule="auto"/>
        <w:rPr>
          <w:b/>
          <w:bCs/>
          <w:color w:val="auto"/>
          <w:sz w:val="44"/>
        </w:rPr>
      </w:pPr>
    </w:p>
    <w:bookmarkEnd w:id="228"/>
    <w:p>
      <w:pPr>
        <w:adjustRightInd w:val="0"/>
        <w:snapToGrid w:val="0"/>
        <w:spacing w:beforeLines="100" w:afterLines="100" w:line="360" w:lineRule="auto"/>
        <w:jc w:val="center"/>
        <w:rPr>
          <w:rFonts w:ascii="黑体" w:eastAsia="黑体"/>
          <w:sz w:val="32"/>
          <w:szCs w:val="32"/>
        </w:rPr>
      </w:pPr>
    </w:p>
    <w:p>
      <w:pPr>
        <w:adjustRightInd w:val="0"/>
        <w:snapToGrid w:val="0"/>
        <w:spacing w:beforeLines="100" w:afterLines="100" w:line="360" w:lineRule="auto"/>
        <w:jc w:val="center"/>
        <w:rPr>
          <w:rFonts w:ascii="黑体" w:eastAsia="黑体"/>
          <w:sz w:val="32"/>
          <w:szCs w:val="32"/>
        </w:rPr>
      </w:pPr>
    </w:p>
    <w:p>
      <w:pPr>
        <w:adjustRightInd w:val="0"/>
        <w:snapToGrid w:val="0"/>
        <w:spacing w:beforeLines="100" w:afterLines="100" w:line="360" w:lineRule="auto"/>
        <w:jc w:val="center"/>
        <w:rPr>
          <w:rFonts w:ascii="黑体" w:eastAsia="黑体"/>
          <w:sz w:val="32"/>
          <w:szCs w:val="32"/>
        </w:rPr>
      </w:pPr>
    </w:p>
    <w:p>
      <w:pPr>
        <w:adjustRightInd w:val="0"/>
        <w:snapToGrid w:val="0"/>
        <w:spacing w:beforeLines="100" w:afterLines="100" w:line="360" w:lineRule="auto"/>
        <w:jc w:val="center"/>
        <w:rPr>
          <w:rFonts w:ascii="黑体" w:eastAsia="黑体"/>
          <w:sz w:val="32"/>
          <w:szCs w:val="32"/>
        </w:rPr>
      </w:pPr>
    </w:p>
    <w:p>
      <w:pPr>
        <w:adjustRightInd w:val="0"/>
        <w:snapToGrid w:val="0"/>
        <w:spacing w:beforeLines="100" w:afterLines="100" w:line="360" w:lineRule="auto"/>
        <w:jc w:val="center"/>
        <w:rPr>
          <w:rFonts w:ascii="黑体" w:eastAsia="黑体"/>
          <w:sz w:val="32"/>
          <w:szCs w:val="32"/>
        </w:rPr>
      </w:pPr>
      <w:r>
        <w:rPr>
          <w:rFonts w:hint="eastAsia" w:ascii="黑体" w:eastAsia="黑体"/>
          <w:sz w:val="32"/>
          <w:szCs w:val="32"/>
        </w:rPr>
        <w:t>第三节  合同附件格式</w:t>
      </w:r>
    </w:p>
    <w:p>
      <w:pPr>
        <w:adjustRightInd w:val="0"/>
        <w:snapToGrid w:val="0"/>
        <w:spacing w:line="360" w:lineRule="auto"/>
        <w:rPr>
          <w:rFonts w:ascii="黑体" w:eastAsia="黑体"/>
          <w:sz w:val="24"/>
        </w:rPr>
      </w:pPr>
      <w:r>
        <w:rPr>
          <w:rFonts w:hint="eastAsia" w:ascii="黑体" w:eastAsia="黑体"/>
          <w:sz w:val="24"/>
        </w:rPr>
        <w:t>附件一：合同协议书</w:t>
      </w:r>
    </w:p>
    <w:p>
      <w:pPr>
        <w:adjustRightInd w:val="0"/>
        <w:snapToGrid w:val="0"/>
        <w:spacing w:beforeLines="100" w:afterLines="100" w:line="360" w:lineRule="auto"/>
        <w:jc w:val="center"/>
        <w:rPr>
          <w:rFonts w:ascii="黑体" w:eastAsia="黑体"/>
          <w:sz w:val="28"/>
          <w:szCs w:val="28"/>
        </w:rPr>
      </w:pPr>
      <w:r>
        <w:rPr>
          <w:rFonts w:hint="eastAsia" w:ascii="黑体" w:eastAsia="黑体"/>
          <w:sz w:val="28"/>
          <w:szCs w:val="28"/>
        </w:rPr>
        <w:t>合 同 协 议 书</w:t>
      </w:r>
    </w:p>
    <w:p>
      <w:pPr>
        <w:adjustRightInd w:val="0"/>
        <w:snapToGrid w:val="0"/>
        <w:spacing w:line="360" w:lineRule="auto"/>
        <w:ind w:firstLine="600" w:firstLineChars="25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 ）</w:t>
      </w:r>
      <w:r>
        <w:rPr>
          <w:sz w:val="24"/>
        </w:rPr>
        <w:t>为实施（项目名称），已接受（承包人名称，以下简称“承包人”）对该项目标段施工的投标。发包人和承包人共同达成如下协议。</w:t>
      </w:r>
    </w:p>
    <w:p>
      <w:pPr>
        <w:adjustRightInd w:val="0"/>
        <w:snapToGrid w:val="0"/>
        <w:spacing w:line="360" w:lineRule="auto"/>
        <w:ind w:firstLine="480" w:firstLineChars="20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pPr>
        <w:adjustRightInd w:val="0"/>
        <w:snapToGrid w:val="0"/>
        <w:spacing w:line="360" w:lineRule="auto"/>
        <w:ind w:firstLine="480" w:firstLineChars="200"/>
        <w:rPr>
          <w:sz w:val="24"/>
        </w:rPr>
      </w:pPr>
      <w:r>
        <w:rPr>
          <w:sz w:val="24"/>
        </w:rPr>
        <w:t>2</w:t>
      </w:r>
      <w:r>
        <w:rPr>
          <w:rFonts w:hint="eastAsia"/>
          <w:sz w:val="24"/>
        </w:rPr>
        <w:t>．</w:t>
      </w:r>
      <w:r>
        <w:rPr>
          <w:sz w:val="24"/>
        </w:rPr>
        <w:t>下列文件应视为构成合同文件的组成部分：</w:t>
      </w:r>
    </w:p>
    <w:p>
      <w:pPr>
        <w:adjustRightInd w:val="0"/>
        <w:snapToGrid w:val="0"/>
        <w:spacing w:line="360" w:lineRule="auto"/>
        <w:ind w:left="1079" w:leftChars="228" w:hanging="600" w:hangingChars="250"/>
        <w:rPr>
          <w:sz w:val="24"/>
        </w:rPr>
      </w:pPr>
      <w:r>
        <w:rPr>
          <w:sz w:val="24"/>
        </w:rPr>
        <w:t>（1</w:t>
      </w:r>
      <w:r>
        <w:rPr>
          <w:rFonts w:hint="eastAsia"/>
          <w:sz w:val="24"/>
        </w:rPr>
        <w:t>）</w:t>
      </w:r>
      <w:r>
        <w:rPr>
          <w:sz w:val="24"/>
        </w:rPr>
        <w:t>本协议书及各种合同附件（含评标期间和合同谈判过程中的澄清文件和补充资料）；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）施工组织设计安排；</w:t>
      </w:r>
    </w:p>
    <w:p>
      <w:pPr>
        <w:adjustRightInd w:val="0"/>
        <w:snapToGrid w:val="0"/>
        <w:spacing w:line="360" w:lineRule="auto"/>
        <w:ind w:firstLine="480" w:firstLineChars="200"/>
        <w:rPr>
          <w:sz w:val="24"/>
        </w:rPr>
      </w:pPr>
      <w:r>
        <w:rPr>
          <w:sz w:val="24"/>
        </w:rPr>
        <w:t>（1</w:t>
      </w:r>
      <w:r>
        <w:rPr>
          <w:rFonts w:hint="eastAsia"/>
          <w:sz w:val="24"/>
        </w:rPr>
        <w:t>4</w:t>
      </w:r>
      <w:r>
        <w:rPr>
          <w:sz w:val="24"/>
        </w:rPr>
        <w:t>）</w:t>
      </w:r>
      <w:r>
        <w:rPr>
          <w:rFonts w:hint="eastAsia"/>
          <w:sz w:val="24"/>
        </w:rPr>
        <w:t>农民工工资支付承诺书</w:t>
      </w:r>
      <w:r>
        <w:rPr>
          <w:sz w:val="24"/>
        </w:rPr>
        <w:t>；</w:t>
      </w:r>
    </w:p>
    <w:p>
      <w:pPr>
        <w:adjustRightInd w:val="0"/>
        <w:snapToGrid w:val="0"/>
        <w:spacing w:line="360" w:lineRule="auto"/>
        <w:ind w:firstLine="480" w:firstLineChars="200"/>
        <w:rPr>
          <w:sz w:val="24"/>
        </w:rPr>
      </w:pPr>
      <w:r>
        <w:rPr>
          <w:rFonts w:hint="eastAsia"/>
          <w:sz w:val="24"/>
        </w:rPr>
        <w:t>（15）扬尘治理专项承诺书；</w:t>
      </w:r>
    </w:p>
    <w:p>
      <w:pPr>
        <w:adjustRightInd w:val="0"/>
        <w:snapToGrid w:val="0"/>
        <w:spacing w:line="360" w:lineRule="auto"/>
        <w:ind w:firstLine="480" w:firstLineChars="200"/>
        <w:rPr>
          <w:sz w:val="24"/>
        </w:rPr>
      </w:pPr>
      <w:r>
        <w:rPr>
          <w:sz w:val="24"/>
        </w:rPr>
        <w:t>（1</w:t>
      </w:r>
      <w:r>
        <w:rPr>
          <w:rFonts w:hint="eastAsia"/>
          <w:sz w:val="24"/>
        </w:rPr>
        <w:t>6</w:t>
      </w:r>
      <w:r>
        <w:rPr>
          <w:sz w:val="24"/>
        </w:rPr>
        <w:t>）其他合同文件。</w:t>
      </w:r>
    </w:p>
    <w:p>
      <w:pPr>
        <w:adjustRightInd w:val="0"/>
        <w:snapToGrid w:val="0"/>
        <w:spacing w:line="360" w:lineRule="auto"/>
        <w:ind w:firstLine="480" w:firstLineChars="200"/>
        <w:rPr>
          <w:sz w:val="24"/>
        </w:rPr>
      </w:pPr>
      <w:r>
        <w:rPr>
          <w:sz w:val="24"/>
        </w:rPr>
        <w:t>3</w:t>
      </w:r>
      <w:r>
        <w:rPr>
          <w:rFonts w:hint="eastAsia"/>
          <w:sz w:val="24"/>
        </w:rPr>
        <w:t>．</w:t>
      </w:r>
      <w:r>
        <w:rPr>
          <w:sz w:val="24"/>
        </w:rPr>
        <w:t>上述文件互相补充和解释，如有不明确或不一致之处，以合同约定次序在先者为准。</w:t>
      </w:r>
    </w:p>
    <w:p>
      <w:pPr>
        <w:adjustRightInd w:val="0"/>
        <w:snapToGrid w:val="0"/>
        <w:spacing w:line="360" w:lineRule="auto"/>
        <w:ind w:firstLine="480" w:firstLineChars="20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pPr>
        <w:adjustRightInd w:val="0"/>
        <w:snapToGrid w:val="0"/>
        <w:spacing w:line="360" w:lineRule="auto"/>
        <w:ind w:firstLine="480" w:firstLineChars="200"/>
        <w:rPr>
          <w:sz w:val="24"/>
        </w:rPr>
      </w:pPr>
      <w:r>
        <w:rPr>
          <w:sz w:val="24"/>
        </w:rPr>
        <w:t>5</w:t>
      </w:r>
      <w:r>
        <w:rPr>
          <w:rFonts w:hint="eastAsia"/>
          <w:sz w:val="24"/>
        </w:rPr>
        <w:t>．</w:t>
      </w:r>
      <w:r>
        <w:rPr>
          <w:sz w:val="24"/>
        </w:rPr>
        <w:t>承包人项目经理：。技术负责人：。</w:t>
      </w:r>
    </w:p>
    <w:p>
      <w:pPr>
        <w:adjustRightInd w:val="0"/>
        <w:snapToGrid w:val="0"/>
        <w:spacing w:line="360" w:lineRule="auto"/>
        <w:ind w:firstLine="480" w:firstLineChars="200"/>
        <w:rPr>
          <w:sz w:val="24"/>
        </w:rPr>
      </w:pPr>
      <w:r>
        <w:rPr>
          <w:sz w:val="24"/>
        </w:rPr>
        <w:t>6</w:t>
      </w:r>
      <w:r>
        <w:rPr>
          <w:rFonts w:hint="eastAsia"/>
          <w:sz w:val="24"/>
        </w:rPr>
        <w:t>．</w:t>
      </w:r>
      <w:r>
        <w:rPr>
          <w:sz w:val="24"/>
        </w:rPr>
        <w:t>工程质量符合标准。</w:t>
      </w:r>
    </w:p>
    <w:p>
      <w:pPr>
        <w:adjustRightInd w:val="0"/>
        <w:snapToGrid w:val="0"/>
        <w:spacing w:line="360" w:lineRule="auto"/>
        <w:ind w:firstLine="480" w:firstLineChars="200"/>
        <w:rPr>
          <w:sz w:val="24"/>
        </w:rPr>
      </w:pPr>
      <w:r>
        <w:rPr>
          <w:sz w:val="24"/>
        </w:rPr>
        <w:t>7．承包人承诺按合同约定承担工程的实施、完成及缺陷修复。</w:t>
      </w:r>
    </w:p>
    <w:p>
      <w:pPr>
        <w:adjustRightInd w:val="0"/>
        <w:snapToGrid w:val="0"/>
        <w:spacing w:line="360" w:lineRule="auto"/>
        <w:ind w:firstLine="480" w:firstLineChars="200"/>
        <w:rPr>
          <w:sz w:val="24"/>
        </w:rPr>
      </w:pPr>
      <w:r>
        <w:rPr>
          <w:rFonts w:hint="eastAsia"/>
          <w:sz w:val="24"/>
        </w:rPr>
        <w:t>8．</w:t>
      </w:r>
      <w:r>
        <w:rPr>
          <w:sz w:val="24"/>
        </w:rPr>
        <w:t>发包人承诺按合同约定的条件、时间和方式向承包人支付合同价款。</w:t>
      </w:r>
    </w:p>
    <w:p>
      <w:pPr>
        <w:adjustRightInd w:val="0"/>
        <w:snapToGrid w:val="0"/>
        <w:spacing w:line="360" w:lineRule="auto"/>
        <w:ind w:firstLine="480" w:firstLineChars="200"/>
        <w:rPr>
          <w:sz w:val="24"/>
        </w:rPr>
      </w:pPr>
      <w:r>
        <w:rPr>
          <w:sz w:val="24"/>
        </w:rPr>
        <w:t>9</w:t>
      </w:r>
      <w:r>
        <w:rPr>
          <w:rFonts w:hint="eastAsia"/>
          <w:sz w:val="24"/>
        </w:rPr>
        <w:t>．</w:t>
      </w:r>
      <w:r>
        <w:rPr>
          <w:sz w:val="24"/>
        </w:rPr>
        <w:t>承包人应按照监理人指示开工，工期为日历天。</w:t>
      </w:r>
    </w:p>
    <w:p>
      <w:pPr>
        <w:adjustRightInd w:val="0"/>
        <w:snapToGrid w:val="0"/>
        <w:spacing w:line="360" w:lineRule="auto"/>
        <w:ind w:firstLine="480" w:firstLineChars="20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rPr>
      </w:pPr>
      <w:r>
        <w:rPr>
          <w:sz w:val="24"/>
        </w:rPr>
        <w:t>11．本协议书正本二份、副本份，合同双方各执正本一份，副本份，当正本与副本的内容不一致时，以正本为准。</w:t>
      </w:r>
    </w:p>
    <w:p>
      <w:pPr>
        <w:adjustRightInd w:val="0"/>
        <w:snapToGrid w:val="0"/>
        <w:spacing w:line="360" w:lineRule="auto"/>
        <w:ind w:firstLine="480" w:firstLineChars="200"/>
        <w:rPr>
          <w:sz w:val="24"/>
        </w:rPr>
      </w:pPr>
      <w:r>
        <w:rPr>
          <w:sz w:val="24"/>
        </w:rPr>
        <w:t>12</w:t>
      </w:r>
      <w:r>
        <w:rPr>
          <w:rFonts w:hint="eastAsia"/>
          <w:sz w:val="24"/>
        </w:rPr>
        <w:t>．</w:t>
      </w:r>
      <w:r>
        <w:rPr>
          <w:sz w:val="24"/>
        </w:rPr>
        <w:t>合同未尽事宜，双方另行签订补充协议。补充协议是合同的组成部分。</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发包人：（盖单位公章）承包人：（盖单位公章）</w:t>
      </w:r>
    </w:p>
    <w:p>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pPr>
        <w:adjustRightInd w:val="0"/>
        <w:snapToGrid w:val="0"/>
        <w:spacing w:line="360" w:lineRule="auto"/>
        <w:ind w:firstLine="480" w:firstLineChars="200"/>
        <w:rPr>
          <w:sz w:val="24"/>
        </w:rPr>
      </w:pPr>
      <w:r>
        <w:rPr>
          <w:sz w:val="24"/>
        </w:rPr>
        <w:t>年月日年月日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pageBreakBefore/>
        <w:adjustRightInd w:val="0"/>
        <w:snapToGrid w:val="0"/>
        <w:spacing w:line="360" w:lineRule="auto"/>
        <w:rPr>
          <w:rFonts w:ascii="黑体" w:eastAsia="黑体"/>
          <w:sz w:val="24"/>
        </w:rPr>
      </w:pPr>
      <w:r>
        <w:rPr>
          <w:rFonts w:hint="eastAsia" w:ascii="黑体" w:eastAsia="黑体"/>
          <w:sz w:val="24"/>
        </w:rPr>
        <w:t>附件二：廉政合同</w:t>
      </w:r>
    </w:p>
    <w:p>
      <w:pPr>
        <w:adjustRightInd w:val="0"/>
        <w:snapToGrid w:val="0"/>
        <w:spacing w:afterLines="50" w:line="360" w:lineRule="auto"/>
        <w:jc w:val="center"/>
        <w:rPr>
          <w:rFonts w:ascii="黑体" w:eastAsia="黑体"/>
          <w:sz w:val="28"/>
          <w:szCs w:val="28"/>
        </w:rPr>
      </w:pPr>
      <w:r>
        <w:rPr>
          <w:rFonts w:hint="eastAsia" w:ascii="黑体" w:eastAsia="黑体"/>
          <w:sz w:val="28"/>
          <w:szCs w:val="28"/>
        </w:rPr>
        <w:t>廉 政 合 同</w:t>
      </w:r>
    </w:p>
    <w:p>
      <w:pPr>
        <w:adjustRightInd w:val="0"/>
        <w:snapToGrid w:val="0"/>
        <w:spacing w:line="360" w:lineRule="auto"/>
        <w:ind w:firstLine="480" w:firstLineChars="20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（全称）   </w:t>
      </w:r>
      <w:r>
        <w:rPr>
          <w:sz w:val="24"/>
        </w:rPr>
        <w:t>（以下简称“甲方”）与施工单位</w:t>
      </w:r>
      <w:r>
        <w:rPr>
          <w:rFonts w:hint="eastAsia"/>
          <w:sz w:val="24"/>
          <w:u w:val="single"/>
        </w:rPr>
        <w:t xml:space="preserve">    （全称）   </w:t>
      </w:r>
      <w:r>
        <w:rPr>
          <w:sz w:val="24"/>
        </w:rPr>
        <w:t>（以下简称“乙方”），特订立如下合同。</w:t>
      </w:r>
    </w:p>
    <w:p>
      <w:pPr>
        <w:adjustRightInd w:val="0"/>
        <w:snapToGrid w:val="0"/>
        <w:spacing w:line="360" w:lineRule="auto"/>
        <w:ind w:firstLine="480" w:firstLineChars="200"/>
        <w:rPr>
          <w:rFonts w:eastAsia="黑体"/>
          <w:sz w:val="24"/>
        </w:rPr>
      </w:pPr>
      <w:r>
        <w:rPr>
          <w:rFonts w:hint="eastAsia" w:eastAsia="黑体"/>
          <w:sz w:val="24"/>
        </w:rPr>
        <w:t>1．甲乙双方的权利和义务</w:t>
      </w:r>
    </w:p>
    <w:p>
      <w:pPr>
        <w:adjustRightInd w:val="0"/>
        <w:snapToGrid w:val="0"/>
        <w:spacing w:line="360" w:lineRule="auto"/>
        <w:ind w:firstLine="480" w:firstLineChars="200"/>
        <w:rPr>
          <w:sz w:val="24"/>
        </w:rPr>
      </w:pPr>
      <w:r>
        <w:rPr>
          <w:sz w:val="24"/>
        </w:rPr>
        <w:t>（1）严格遵守党的政策规定和国家有关法律法规及交通部的有关规定。</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严格执行．（项目名称）工程的合同文件，自觉按合同办事。</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rPr>
      </w:pPr>
      <w:r>
        <w:rPr>
          <w:rFonts w:hint="eastAsia"/>
          <w:sz w:val="24"/>
        </w:rPr>
        <w:t xml:space="preserve">（4） </w:t>
      </w:r>
      <w:r>
        <w:rPr>
          <w:sz w:val="24"/>
        </w:rPr>
        <w:t>建立健全廉政制度，开展廉政教育，设立廉政告示牌，公布举报电话，监督并认真查处违法违纪行为。</w:t>
      </w:r>
    </w:p>
    <w:p>
      <w:pPr>
        <w:adjustRightInd w:val="0"/>
        <w:snapToGrid w:val="0"/>
        <w:spacing w:line="360" w:lineRule="auto"/>
        <w:ind w:firstLine="480" w:firstLineChars="200"/>
        <w:rPr>
          <w:sz w:val="24"/>
        </w:rPr>
      </w:pPr>
      <w:r>
        <w:rPr>
          <w:sz w:val="24"/>
        </w:rPr>
        <w:t>（5）发现对方在业务活动中有违反廉政规定的行为，有及时提醒对方纠正的权利和义务。</w:t>
      </w:r>
    </w:p>
    <w:p>
      <w:pPr>
        <w:adjustRightInd w:val="0"/>
        <w:snapToGrid w:val="0"/>
        <w:spacing w:line="360" w:lineRule="auto"/>
        <w:ind w:firstLine="480" w:firstLineChars="200"/>
        <w:rPr>
          <w:sz w:val="24"/>
        </w:rPr>
      </w:pPr>
      <w:r>
        <w:rPr>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rPr>
      </w:pPr>
      <w:r>
        <w:rPr>
          <w:rFonts w:eastAsia="黑体"/>
          <w:sz w:val="24"/>
        </w:rPr>
        <w:t>2．甲方的义务</w:t>
      </w:r>
    </w:p>
    <w:p>
      <w:pPr>
        <w:adjustRightInd w:val="0"/>
        <w:snapToGrid w:val="0"/>
        <w:spacing w:line="360" w:lineRule="auto"/>
        <w:ind w:firstLine="480" w:firstLineChars="200"/>
        <w:rPr>
          <w:sz w:val="24"/>
        </w:rPr>
      </w:pPr>
      <w:r>
        <w:rPr>
          <w:sz w:val="24"/>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rPr>
      </w:pPr>
      <w:r>
        <w:rPr>
          <w:sz w:val="24"/>
        </w:rPr>
        <w:t>（4）甲方工作人员及其配偶、子女不得从事与甲方工程有关的材料设备供应、工程分包、劳务等经济活动等。</w:t>
      </w:r>
    </w:p>
    <w:p>
      <w:pPr>
        <w:adjustRightInd w:val="0"/>
        <w:snapToGrid w:val="0"/>
        <w:spacing w:line="360" w:lineRule="auto"/>
        <w:ind w:firstLine="480" w:firstLineChars="200"/>
        <w:rPr>
          <w:sz w:val="24"/>
        </w:rPr>
      </w:pPr>
      <w:r>
        <w:rPr>
          <w:sz w:val="24"/>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rPr>
      </w:pPr>
      <w:r>
        <w:rPr>
          <w:sz w:val="24"/>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rPr>
      </w:pPr>
      <w:r>
        <w:rPr>
          <w:rFonts w:eastAsia="黑体"/>
          <w:sz w:val="24"/>
        </w:rPr>
        <w:t>3．乙方的义务</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pPr>
        <w:adjustRightInd w:val="0"/>
        <w:snapToGrid w:val="0"/>
        <w:spacing w:line="324" w:lineRule="auto"/>
        <w:ind w:firstLine="480" w:firstLineChars="200"/>
        <w:rPr>
          <w:sz w:val="24"/>
        </w:rPr>
      </w:pPr>
      <w:r>
        <w:rPr>
          <w:rFonts w:hint="eastAsia"/>
          <w:sz w:val="24"/>
        </w:rPr>
        <w:t>（</w:t>
      </w:r>
      <w:r>
        <w:rPr>
          <w:sz w:val="24"/>
        </w:rPr>
        <w:t>2）乙方不得以任何名义为甲方及其工作人员报销应由甲方单位或个人支付的任何费用。</w:t>
      </w:r>
    </w:p>
    <w:p>
      <w:pPr>
        <w:adjustRightInd w:val="0"/>
        <w:snapToGrid w:val="0"/>
        <w:spacing w:line="324" w:lineRule="auto"/>
        <w:ind w:firstLine="480" w:firstLineChars="200"/>
        <w:rPr>
          <w:sz w:val="24"/>
        </w:rPr>
      </w:pPr>
      <w:r>
        <w:rPr>
          <w:rFonts w:hint="eastAsia"/>
          <w:sz w:val="24"/>
        </w:rPr>
        <w:t>（</w:t>
      </w:r>
      <w:r>
        <w:rPr>
          <w:sz w:val="24"/>
        </w:rPr>
        <w:t>3）乙方不得以任何理由安排甲方工作人员参加超标准宴请及娱乐活动。</w:t>
      </w:r>
    </w:p>
    <w:p>
      <w:pPr>
        <w:adjustRightInd w:val="0"/>
        <w:snapToGrid w:val="0"/>
        <w:spacing w:line="324" w:lineRule="auto"/>
        <w:ind w:firstLine="480" w:firstLineChars="200"/>
        <w:rPr>
          <w:sz w:val="24"/>
        </w:rPr>
      </w:pPr>
      <w:r>
        <w:rPr>
          <w:rFonts w:hint="eastAsia"/>
          <w:sz w:val="24"/>
        </w:rPr>
        <w:t>（</w:t>
      </w:r>
      <w:r>
        <w:rPr>
          <w:sz w:val="24"/>
        </w:rPr>
        <w:t>4）乙方不得为甲方单位和个人购置或提供通讯工具、交通工具和高档办公用品等。</w:t>
      </w:r>
    </w:p>
    <w:p>
      <w:pPr>
        <w:adjustRightInd w:val="0"/>
        <w:snapToGrid w:val="0"/>
        <w:spacing w:line="360" w:lineRule="auto"/>
        <w:ind w:firstLine="480" w:firstLineChars="200"/>
        <w:rPr>
          <w:rFonts w:eastAsia="黑体"/>
          <w:sz w:val="24"/>
        </w:rPr>
      </w:pPr>
      <w:r>
        <w:rPr>
          <w:rFonts w:eastAsia="黑体"/>
          <w:sz w:val="24"/>
        </w:rPr>
        <w:t>4．违约责任</w:t>
      </w:r>
    </w:p>
    <w:p>
      <w:pPr>
        <w:adjustRightInd w:val="0"/>
        <w:snapToGrid w:val="0"/>
        <w:spacing w:line="324" w:lineRule="auto"/>
        <w:ind w:firstLine="480" w:firstLineChars="200"/>
        <w:rPr>
          <w:sz w:val="24"/>
        </w:rPr>
      </w:pPr>
      <w:r>
        <w:rPr>
          <w:rFonts w:hint="eastAsia"/>
          <w:sz w:val="24"/>
        </w:rPr>
        <w:t>（</w:t>
      </w:r>
      <w:r>
        <w:rPr>
          <w:sz w:val="24"/>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rPr>
      </w:pPr>
      <w:r>
        <w:rPr>
          <w:sz w:val="24"/>
        </w:rPr>
        <w:t>6</w:t>
      </w:r>
      <w:r>
        <w:rPr>
          <w:rFonts w:hint="eastAsia"/>
          <w:sz w:val="24"/>
        </w:rPr>
        <w:t>．</w:t>
      </w:r>
      <w:r>
        <w:rPr>
          <w:sz w:val="24"/>
        </w:rPr>
        <w:t>本合同有效期为甲乙双方签署之日起至该工程项目国家验收后止。</w:t>
      </w:r>
    </w:p>
    <w:p>
      <w:pPr>
        <w:adjustRightInd w:val="0"/>
        <w:snapToGrid w:val="0"/>
        <w:spacing w:line="324" w:lineRule="auto"/>
        <w:ind w:firstLine="480" w:firstLineChars="200"/>
        <w:rPr>
          <w:sz w:val="24"/>
        </w:rPr>
      </w:pPr>
      <w:r>
        <w:rPr>
          <w:sz w:val="24"/>
        </w:rPr>
        <w:t>7</w:t>
      </w:r>
      <w:r>
        <w:rPr>
          <w:rFonts w:hint="eastAsia"/>
          <w:sz w:val="24"/>
        </w:rPr>
        <w:t>．</w:t>
      </w:r>
      <w:r>
        <w:rPr>
          <w:sz w:val="24"/>
        </w:rPr>
        <w:t>本合同作为</w:t>
      </w:r>
      <w:r>
        <w:rPr>
          <w:rFonts w:hint="eastAsia"/>
          <w:sz w:val="24"/>
          <w:u w:val="single"/>
        </w:rPr>
        <w:t xml:space="preserve">    （项目名称）    </w:t>
      </w:r>
      <w:r>
        <w:rPr>
          <w:sz w:val="24"/>
        </w:rPr>
        <w:t>工程施工合同的附件，与工程施工合同具有同等的法律效力，经合同双方签署立即生效。</w:t>
      </w:r>
    </w:p>
    <w:p>
      <w:pPr>
        <w:adjustRightInd w:val="0"/>
        <w:snapToGrid w:val="0"/>
        <w:spacing w:line="324" w:lineRule="auto"/>
        <w:ind w:firstLine="480" w:firstLineChars="200"/>
        <w:rPr>
          <w:sz w:val="24"/>
        </w:rPr>
      </w:pPr>
      <w:r>
        <w:rPr>
          <w:sz w:val="24"/>
        </w:rPr>
        <w:t>8</w:t>
      </w:r>
      <w:r>
        <w:rPr>
          <w:rFonts w:hint="eastAsia"/>
          <w:sz w:val="24"/>
        </w:rPr>
        <w:t>．</w:t>
      </w:r>
      <w:r>
        <w:rPr>
          <w:sz w:val="24"/>
        </w:rPr>
        <w:t>本合同一式四份，由甲乙双方各执一份，送交甲乙双方的监督单位各一份。</w:t>
      </w:r>
    </w:p>
    <w:p>
      <w:pPr>
        <w:adjustRightInd w:val="0"/>
        <w:snapToGrid w:val="0"/>
        <w:spacing w:beforeLines="100" w:line="324"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24" w:lineRule="auto"/>
        <w:rPr>
          <w:sz w:val="24"/>
        </w:rPr>
      </w:pPr>
      <w:r>
        <w:rPr>
          <w:sz w:val="24"/>
        </w:rPr>
        <w:t>法定代表人法定代表人</w:t>
      </w:r>
    </w:p>
    <w:p>
      <w:pPr>
        <w:adjustRightInd w:val="0"/>
        <w:snapToGrid w:val="0"/>
        <w:spacing w:line="324" w:lineRule="auto"/>
        <w:ind w:firstLine="960" w:firstLineChars="400"/>
        <w:rPr>
          <w:sz w:val="24"/>
        </w:rPr>
      </w:pPr>
      <w:r>
        <w:rPr>
          <w:sz w:val="24"/>
        </w:rPr>
        <w:t>或或</w:t>
      </w:r>
    </w:p>
    <w:p>
      <w:pPr>
        <w:adjustRightInd w:val="0"/>
        <w:snapToGrid w:val="0"/>
        <w:spacing w:line="324" w:lineRule="auto"/>
        <w:rPr>
          <w:sz w:val="24"/>
        </w:rPr>
      </w:pPr>
      <w:r>
        <w:rPr>
          <w:sz w:val="24"/>
        </w:rPr>
        <w:t>其授权的代理人</w:t>
      </w:r>
      <w:r>
        <w:rPr>
          <w:rFonts w:hint="eastAsia"/>
          <w:sz w:val="24"/>
          <w:u w:val="single"/>
        </w:rPr>
        <w:t xml:space="preserve">   （职务）   </w:t>
      </w:r>
      <w:r>
        <w:rPr>
          <w:sz w:val="24"/>
        </w:rPr>
        <w:t>其授权的代理人</w:t>
      </w:r>
      <w:r>
        <w:rPr>
          <w:rFonts w:hint="eastAsia"/>
          <w:sz w:val="24"/>
          <w:u w:val="single"/>
        </w:rPr>
        <w:t xml:space="preserve">   （职务）   </w:t>
      </w:r>
    </w:p>
    <w:p>
      <w:pPr>
        <w:adjustRightInd w:val="0"/>
        <w:snapToGrid w:val="0"/>
        <w:spacing w:line="324" w:lineRule="auto"/>
        <w:ind w:firstLine="1680" w:firstLineChars="700"/>
        <w:rPr>
          <w:sz w:val="24"/>
          <w:u w:val="single"/>
        </w:rPr>
      </w:pPr>
      <w:r>
        <w:rPr>
          <w:sz w:val="24"/>
          <w:u w:val="single"/>
        </w:rPr>
        <w:t>（姓名）（姓名）</w:t>
      </w:r>
    </w:p>
    <w:p>
      <w:pPr>
        <w:adjustRightInd w:val="0"/>
        <w:snapToGrid w:val="0"/>
        <w:spacing w:line="324" w:lineRule="auto"/>
        <w:ind w:firstLine="1680" w:firstLineChars="7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24" w:lineRule="auto"/>
        <w:rPr>
          <w:sz w:val="24"/>
        </w:rPr>
      </w:pPr>
      <w:r>
        <w:rPr>
          <w:sz w:val="24"/>
        </w:rPr>
        <w:t>地址：地址：</w:t>
      </w:r>
    </w:p>
    <w:p>
      <w:pPr>
        <w:adjustRightInd w:val="0"/>
        <w:snapToGrid w:val="0"/>
        <w:spacing w:line="324" w:lineRule="auto"/>
        <w:rPr>
          <w:sz w:val="24"/>
        </w:rPr>
      </w:pPr>
      <w:r>
        <w:rPr>
          <w:sz w:val="24"/>
        </w:rPr>
        <w:t>电话：电话：</w:t>
      </w:r>
    </w:p>
    <w:p>
      <w:pPr>
        <w:adjustRightInd w:val="0"/>
        <w:snapToGrid w:val="0"/>
        <w:spacing w:line="324" w:lineRule="auto"/>
        <w:rPr>
          <w:sz w:val="24"/>
        </w:rPr>
      </w:pPr>
      <w:r>
        <w:rPr>
          <w:sz w:val="24"/>
        </w:rPr>
        <w:t>日期：日期：</w:t>
      </w:r>
    </w:p>
    <w:p>
      <w:pPr>
        <w:adjustRightInd w:val="0"/>
        <w:snapToGrid w:val="0"/>
        <w:spacing w:line="324" w:lineRule="auto"/>
        <w:rPr>
          <w:sz w:val="24"/>
          <w:u w:val="single"/>
        </w:rPr>
      </w:pPr>
      <w:r>
        <w:rPr>
          <w:sz w:val="24"/>
        </w:rPr>
        <w:t>甲方监督单位：</w:t>
      </w:r>
      <w:r>
        <w:rPr>
          <w:rFonts w:hint="eastAsia"/>
          <w:sz w:val="24"/>
          <w:u w:val="single"/>
        </w:rPr>
        <w:t xml:space="preserve"> （全称）  （盖章）</w:t>
      </w:r>
      <w:r>
        <w:rPr>
          <w:sz w:val="24"/>
        </w:rPr>
        <w:t>乙方监督单位</w:t>
      </w:r>
      <w:r>
        <w:rPr>
          <w:rFonts w:hint="eastAsia"/>
          <w:sz w:val="24"/>
        </w:rPr>
        <w:t>：</w:t>
      </w:r>
      <w:r>
        <w:rPr>
          <w:rFonts w:hint="eastAsia"/>
          <w:sz w:val="24"/>
          <w:u w:val="single"/>
        </w:rPr>
        <w:t>（全称）  （盖章）</w:t>
      </w: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r>
        <w:rPr>
          <w:rFonts w:hint="eastAsia" w:ascii="黑体" w:eastAsia="黑体"/>
          <w:sz w:val="24"/>
        </w:rPr>
        <w:t>附件三：安全生产合同</w:t>
      </w:r>
    </w:p>
    <w:p>
      <w:pPr>
        <w:adjustRightInd w:val="0"/>
        <w:snapToGrid w:val="0"/>
        <w:spacing w:afterLines="50" w:line="343" w:lineRule="auto"/>
        <w:jc w:val="center"/>
        <w:rPr>
          <w:rFonts w:ascii="黑体" w:eastAsia="黑体"/>
          <w:sz w:val="28"/>
          <w:szCs w:val="28"/>
        </w:rPr>
      </w:pPr>
      <w:r>
        <w:rPr>
          <w:rFonts w:hint="eastAsia" w:ascii="黑体" w:eastAsia="黑体"/>
          <w:sz w:val="28"/>
          <w:szCs w:val="28"/>
        </w:rPr>
        <w:t>安全生产合同</w:t>
      </w:r>
    </w:p>
    <w:p>
      <w:pPr>
        <w:adjustRightInd w:val="0"/>
        <w:snapToGrid w:val="0"/>
        <w:spacing w:line="343" w:lineRule="auto"/>
        <w:ind w:firstLine="480" w:firstLineChars="200"/>
        <w:rPr>
          <w:sz w:val="24"/>
        </w:rPr>
      </w:pPr>
      <w:r>
        <w:rPr>
          <w:sz w:val="24"/>
        </w:rPr>
        <w:t>为在施工合同的实施过程中创造安全、高效的施工环境，切实搞好本项目的安全管理工作，本项目发包人</w:t>
      </w:r>
      <w:r>
        <w:rPr>
          <w:sz w:val="24"/>
          <w:u w:val="single"/>
        </w:rPr>
        <w:t>（全称）</w:t>
      </w:r>
      <w:r>
        <w:rPr>
          <w:sz w:val="24"/>
        </w:rPr>
        <w:t>（以下简称“甲方</w:t>
      </w:r>
      <w:r>
        <w:rPr>
          <w:rFonts w:hint="eastAsia"/>
          <w:sz w:val="24"/>
        </w:rPr>
        <w:t xml:space="preserve">” </w:t>
      </w:r>
      <w:r>
        <w:rPr>
          <w:sz w:val="24"/>
        </w:rPr>
        <w:t>）与承包人</w:t>
      </w:r>
      <w:r>
        <w:rPr>
          <w:sz w:val="24"/>
          <w:u w:val="single"/>
        </w:rPr>
        <w:t>（全称）</w:t>
      </w:r>
      <w:r>
        <w:rPr>
          <w:sz w:val="24"/>
        </w:rPr>
        <w:t>（以下简称“乙方</w:t>
      </w:r>
      <w:r>
        <w:rPr>
          <w:rFonts w:hint="eastAsia"/>
          <w:sz w:val="24"/>
        </w:rPr>
        <w:t xml:space="preserve">” </w:t>
      </w:r>
      <w:r>
        <w:rPr>
          <w:sz w:val="24"/>
        </w:rPr>
        <w:t>）特此签订安全生产合同：</w:t>
      </w:r>
    </w:p>
    <w:p>
      <w:pPr>
        <w:adjustRightInd w:val="0"/>
        <w:snapToGrid w:val="0"/>
        <w:spacing w:line="343" w:lineRule="auto"/>
        <w:ind w:firstLine="480" w:firstLineChars="200"/>
        <w:rPr>
          <w:rFonts w:eastAsia="黑体"/>
          <w:sz w:val="24"/>
        </w:rPr>
      </w:pPr>
      <w:r>
        <w:rPr>
          <w:rFonts w:eastAsia="黑体"/>
          <w:sz w:val="24"/>
        </w:rPr>
        <w:t>一、甲方职责</w:t>
      </w:r>
    </w:p>
    <w:p>
      <w:pPr>
        <w:adjustRightInd w:val="0"/>
        <w:snapToGrid w:val="0"/>
        <w:spacing w:line="343" w:lineRule="auto"/>
        <w:ind w:firstLine="480" w:firstLineChars="200"/>
        <w:rPr>
          <w:sz w:val="24"/>
        </w:rPr>
      </w:pPr>
      <w:r>
        <w:rPr>
          <w:sz w:val="24"/>
        </w:rPr>
        <w:t>1、严格遵守国家有关安全生产的法律法规，认真执行工程承包合同中的有关安全要求。</w:t>
      </w:r>
    </w:p>
    <w:p>
      <w:pPr>
        <w:adjustRightInd w:val="0"/>
        <w:snapToGrid w:val="0"/>
        <w:spacing w:line="343" w:lineRule="auto"/>
        <w:ind w:firstLine="480" w:firstLineChars="200"/>
        <w:rPr>
          <w:sz w:val="24"/>
        </w:rPr>
      </w:pPr>
      <w:r>
        <w:rPr>
          <w:sz w:val="24"/>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sz w:val="24"/>
        </w:rPr>
      </w:pPr>
      <w:r>
        <w:rPr>
          <w:sz w:val="24"/>
        </w:rPr>
        <w:t>3、重要的安全设施必须坚持与主体工程“三同时”的原则，即：同时设计、审批，同时施工，一同时验收，投入使用。</w:t>
      </w:r>
    </w:p>
    <w:p>
      <w:pPr>
        <w:adjustRightInd w:val="0"/>
        <w:snapToGrid w:val="0"/>
        <w:spacing w:line="343" w:lineRule="auto"/>
        <w:ind w:firstLine="480" w:firstLineChars="200"/>
        <w:rPr>
          <w:sz w:val="24"/>
        </w:rPr>
      </w:pPr>
      <w:r>
        <w:rPr>
          <w:sz w:val="24"/>
        </w:rPr>
        <w:t>4、定期召开安全生产调度会，及时传达中央及地方有关安全生产的精神。</w:t>
      </w:r>
    </w:p>
    <w:p>
      <w:pPr>
        <w:adjustRightInd w:val="0"/>
        <w:snapToGrid w:val="0"/>
        <w:spacing w:line="343" w:lineRule="auto"/>
        <w:ind w:firstLine="480" w:firstLineChars="200"/>
        <w:rPr>
          <w:sz w:val="24"/>
        </w:rPr>
      </w:pPr>
      <w:r>
        <w:rPr>
          <w:sz w:val="24"/>
        </w:rPr>
        <w:t>5、组织对乙方施工现场安全生产检查，监督乙方及时处理发现的各种安全隐患。</w:t>
      </w:r>
    </w:p>
    <w:p>
      <w:pPr>
        <w:adjustRightInd w:val="0"/>
        <w:snapToGrid w:val="0"/>
        <w:spacing w:line="343" w:lineRule="auto"/>
        <w:ind w:firstLine="480" w:firstLineChars="200"/>
        <w:rPr>
          <w:rFonts w:eastAsia="黑体"/>
          <w:sz w:val="24"/>
        </w:rPr>
      </w:pPr>
      <w:r>
        <w:rPr>
          <w:rFonts w:eastAsia="黑体"/>
          <w:sz w:val="24"/>
        </w:rPr>
        <w:t>二、乙方职责</w:t>
      </w:r>
    </w:p>
    <w:p>
      <w:pPr>
        <w:adjustRightInd w:val="0"/>
        <w:snapToGrid w:val="0"/>
        <w:spacing w:line="343" w:lineRule="auto"/>
        <w:ind w:firstLine="480" w:firstLineChars="20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sz w:val="24"/>
        </w:rPr>
      </w:pPr>
      <w:r>
        <w:rPr>
          <w:sz w:val="24"/>
        </w:rPr>
        <w:t>4、乙方在任何时候都应采取各种合理的预防措施，防止其员工发生任何违法、违禁、暴力或妨碍治安的行为。</w:t>
      </w:r>
    </w:p>
    <w:p>
      <w:pPr>
        <w:adjustRightInd w:val="0"/>
        <w:snapToGrid w:val="0"/>
        <w:spacing w:line="343" w:lineRule="auto"/>
        <w:ind w:firstLine="480" w:firstLineChars="200"/>
        <w:rPr>
          <w:sz w:val="24"/>
        </w:rPr>
      </w:pPr>
      <w:r>
        <w:rPr>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sz w:val="24"/>
        </w:rPr>
      </w:pPr>
      <w:r>
        <w:rPr>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43" w:lineRule="auto"/>
        <w:ind w:firstLine="480" w:firstLineChars="200"/>
        <w:rPr>
          <w:sz w:val="24"/>
        </w:rPr>
      </w:pPr>
      <w:r>
        <w:rPr>
          <w:sz w:val="24"/>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sz w:val="24"/>
        </w:rPr>
      </w:pPr>
      <w:r>
        <w:rPr>
          <w:sz w:val="24"/>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sz w:val="24"/>
        </w:rPr>
      </w:pPr>
      <w:r>
        <w:rPr>
          <w:sz w:val="24"/>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sz w:val="24"/>
        </w:rPr>
      </w:pPr>
      <w:r>
        <w:rPr>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sz w:val="24"/>
        </w:rPr>
      </w:pPr>
      <w:r>
        <w:rPr>
          <w:sz w:val="24"/>
        </w:rPr>
        <w:t>11、安全生产费用按照交通部有关规定使用和管理。</w:t>
      </w:r>
    </w:p>
    <w:p>
      <w:pPr>
        <w:adjustRightInd w:val="0"/>
        <w:snapToGrid w:val="0"/>
        <w:spacing w:line="343" w:lineRule="auto"/>
        <w:ind w:firstLine="480" w:firstLineChars="200"/>
        <w:rPr>
          <w:rFonts w:eastAsia="黑体"/>
          <w:sz w:val="24"/>
        </w:rPr>
      </w:pPr>
      <w:r>
        <w:rPr>
          <w:rFonts w:eastAsia="黑体"/>
          <w:sz w:val="24"/>
        </w:rPr>
        <w:t>三、违约责任</w:t>
      </w:r>
    </w:p>
    <w:p>
      <w:pPr>
        <w:adjustRightInd w:val="0"/>
        <w:snapToGrid w:val="0"/>
        <w:spacing w:line="343" w:lineRule="auto"/>
        <w:ind w:firstLine="480" w:firstLineChars="200"/>
        <w:rPr>
          <w:sz w:val="24"/>
        </w:rPr>
      </w:pPr>
      <w:r>
        <w:rPr>
          <w:sz w:val="24"/>
        </w:rPr>
        <w:t>如因甲方或乙方违约造成安全事故，将依法追究责任。</w:t>
      </w:r>
    </w:p>
    <w:p>
      <w:pPr>
        <w:adjustRightInd w:val="0"/>
        <w:snapToGrid w:val="0"/>
        <w:spacing w:line="343" w:lineRule="auto"/>
        <w:ind w:firstLine="480" w:firstLineChars="200"/>
        <w:rPr>
          <w:sz w:val="24"/>
        </w:rPr>
      </w:pPr>
      <w:r>
        <w:rPr>
          <w:sz w:val="24"/>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43" w:lineRule="auto"/>
        <w:rPr>
          <w:sz w:val="24"/>
        </w:rPr>
      </w:pPr>
      <w:r>
        <w:rPr>
          <w:sz w:val="24"/>
        </w:rPr>
        <w:t>法定代表人</w:t>
      </w:r>
      <w:r>
        <w:rPr>
          <w:rFonts w:hint="eastAsia"/>
          <w:sz w:val="24"/>
        </w:rPr>
        <w:t>或</w:t>
      </w:r>
      <w:r>
        <w:rPr>
          <w:sz w:val="24"/>
        </w:rPr>
        <w:t>其授权的代理人</w:t>
      </w:r>
      <w:r>
        <w:rPr>
          <w:rFonts w:hint="eastAsia"/>
          <w:sz w:val="24"/>
          <w:u w:val="single"/>
        </w:rPr>
        <w:t xml:space="preserve"> （职务）</w:t>
      </w:r>
      <w:r>
        <w:rPr>
          <w:sz w:val="24"/>
        </w:rPr>
        <w:t>法定代表人或其授权的代理人</w:t>
      </w:r>
      <w:r>
        <w:rPr>
          <w:rFonts w:hint="eastAsia"/>
          <w:sz w:val="24"/>
          <w:u w:val="single"/>
        </w:rPr>
        <w:t xml:space="preserve"> （职务）   </w:t>
      </w:r>
    </w:p>
    <w:p>
      <w:pPr>
        <w:adjustRightInd w:val="0"/>
        <w:snapToGrid w:val="0"/>
        <w:spacing w:line="343" w:lineRule="auto"/>
        <w:ind w:firstLine="3120" w:firstLineChars="1300"/>
        <w:rPr>
          <w:sz w:val="24"/>
          <w:u w:val="single"/>
        </w:rPr>
      </w:pPr>
      <w:r>
        <w:rPr>
          <w:sz w:val="24"/>
          <w:u w:val="single"/>
        </w:rPr>
        <w:t>（姓名）（姓名）</w:t>
      </w:r>
    </w:p>
    <w:p>
      <w:pPr>
        <w:adjustRightInd w:val="0"/>
        <w:snapToGrid w:val="0"/>
        <w:spacing w:line="343" w:lineRule="auto"/>
        <w:ind w:firstLine="3120" w:firstLineChars="13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43" w:lineRule="auto"/>
        <w:ind w:firstLine="480" w:firstLineChars="200"/>
        <w:rPr>
          <w:sz w:val="24"/>
        </w:rPr>
      </w:pPr>
      <w:r>
        <w:rPr>
          <w:sz w:val="24"/>
        </w:rPr>
        <w:t>地址：地址：</w:t>
      </w:r>
    </w:p>
    <w:p>
      <w:pPr>
        <w:adjustRightInd w:val="0"/>
        <w:snapToGrid w:val="0"/>
        <w:spacing w:line="343" w:lineRule="auto"/>
        <w:ind w:firstLine="480" w:firstLineChars="200"/>
        <w:rPr>
          <w:sz w:val="24"/>
        </w:rPr>
      </w:pPr>
      <w:r>
        <w:rPr>
          <w:sz w:val="24"/>
        </w:rPr>
        <w:t>电话：电话：</w:t>
      </w:r>
    </w:p>
    <w:p>
      <w:pPr>
        <w:adjustRightInd w:val="0"/>
        <w:snapToGrid w:val="0"/>
        <w:spacing w:line="343" w:lineRule="auto"/>
        <w:ind w:firstLine="480" w:firstLineChars="200"/>
        <w:rPr>
          <w:sz w:val="24"/>
        </w:rPr>
      </w:pPr>
      <w:r>
        <w:rPr>
          <w:sz w:val="24"/>
        </w:rPr>
        <w:t>日期：日期：</w:t>
      </w:r>
    </w:p>
    <w:p>
      <w:pPr>
        <w:adjustRightInd w:val="0"/>
        <w:snapToGrid w:val="0"/>
        <w:spacing w:line="360" w:lineRule="auto"/>
        <w:rPr>
          <w:rFonts w:ascii="黑体" w:eastAsia="黑体"/>
          <w:sz w:val="24"/>
        </w:rPr>
      </w:pPr>
      <w:r>
        <w:rPr>
          <w:rFonts w:hint="eastAsia" w:ascii="黑体" w:eastAsia="黑体"/>
          <w:sz w:val="24"/>
        </w:rPr>
        <w:t>附件四：农民工工资支付承诺书</w:t>
      </w:r>
    </w:p>
    <w:p>
      <w:pPr>
        <w:adjustRightInd w:val="0"/>
        <w:snapToGrid w:val="0"/>
        <w:spacing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p>
    <w:p>
      <w:pPr>
        <w:adjustRightInd w:val="0"/>
        <w:snapToGrid w:val="0"/>
        <w:spacing w:afterLines="50" w:line="343" w:lineRule="auto"/>
        <w:ind w:firstLine="360" w:firstLineChars="150"/>
        <w:rPr>
          <w:sz w:val="24"/>
        </w:rPr>
      </w:pPr>
      <w:r>
        <w:rPr>
          <w:sz w:val="24"/>
        </w:rPr>
        <w:t>二、按时支付农民工工资、加班加点工资。</w:t>
      </w:r>
    </w:p>
    <w:p>
      <w:pPr>
        <w:adjustRightInd w:val="0"/>
        <w:snapToGrid w:val="0"/>
        <w:spacing w:afterLines="50" w:line="343" w:lineRule="auto"/>
        <w:ind w:left="210" w:leftChars="100" w:firstLine="120" w:firstLineChars="50"/>
        <w:rPr>
          <w:sz w:val="24"/>
        </w:rPr>
      </w:pPr>
      <w:r>
        <w:rPr>
          <w:sz w:val="24"/>
        </w:rPr>
        <w:t>三、支付农民工工资不低于</w:t>
      </w:r>
      <w:r>
        <w:rPr>
          <w:rFonts w:hint="eastAsia"/>
          <w:sz w:val="24"/>
        </w:rPr>
        <w:t>河南</w:t>
      </w:r>
      <w:r>
        <w:rPr>
          <w:sz w:val="24"/>
        </w:rPr>
        <w:t>省最低工资标准元。</w:t>
      </w:r>
      <w:r>
        <w:rPr>
          <w:sz w:val="24"/>
        </w:rPr>
        <w:br w:type="textWrapping"/>
      </w:r>
      <w:r>
        <w:rPr>
          <w:sz w:val="24"/>
        </w:rPr>
        <w:t xml:space="preserve"> 四、不无故拖欠、克扣农民工工资。</w:t>
      </w:r>
    </w:p>
    <w:p>
      <w:pPr>
        <w:adjustRightInd w:val="0"/>
        <w:snapToGrid w:val="0"/>
        <w:spacing w:afterLines="50" w:line="343" w:lineRule="auto"/>
        <w:ind w:left="210" w:leftChars="100" w:firstLine="120" w:firstLineChars="50"/>
        <w:rPr>
          <w:sz w:val="24"/>
        </w:rPr>
      </w:pPr>
      <w:r>
        <w:rPr>
          <w:sz w:val="24"/>
        </w:rPr>
        <w:t>五、</w:t>
      </w:r>
      <w:r>
        <w:rPr>
          <w:rFonts w:hint="eastAsia"/>
          <w:sz w:val="24"/>
        </w:rPr>
        <w:t>坚决不</w:t>
      </w:r>
      <w:r>
        <w:rPr>
          <w:sz w:val="24"/>
        </w:rPr>
        <w:t>侵害农民工劳动报酬的合法权益。</w:t>
      </w:r>
    </w:p>
    <w:p>
      <w:pPr>
        <w:adjustRightInd w:val="0"/>
        <w:snapToGrid w:val="0"/>
        <w:spacing w:afterLines="50" w:line="343" w:lineRule="auto"/>
        <w:ind w:left="210" w:leftChars="100" w:firstLine="120" w:firstLineChars="50"/>
        <w:rPr>
          <w:sz w:val="24"/>
        </w:rPr>
      </w:pP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jc w:val="right"/>
        <w:rPr>
          <w:sz w:val="24"/>
          <w:u w:val="single"/>
        </w:rPr>
      </w:pPr>
      <w:r>
        <w:rPr>
          <w:rFonts w:hint="eastAsia"/>
          <w:sz w:val="24"/>
        </w:rPr>
        <w:t>承诺人：</w:t>
      </w:r>
      <w:r>
        <w:rPr>
          <w:rFonts w:hint="eastAsia"/>
          <w:sz w:val="24"/>
          <w:u w:val="single"/>
        </w:rPr>
        <w:t xml:space="preserve">     （单位全称）（盖章）</w:t>
      </w:r>
    </w:p>
    <w:p>
      <w:pPr>
        <w:adjustRightInd w:val="0"/>
        <w:snapToGrid w:val="0"/>
        <w:spacing w:afterLines="50" w:line="343" w:lineRule="auto"/>
        <w:ind w:firstLine="5160" w:firstLineChars="2150"/>
        <w:rPr>
          <w:sz w:val="24"/>
        </w:rPr>
      </w:pPr>
      <w:r>
        <w:rPr>
          <w:rFonts w:hint="eastAsia"/>
          <w:sz w:val="24"/>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4"/>
        </w:rPr>
      </w:pPr>
      <w:r>
        <w:rPr>
          <w:sz w:val="24"/>
        </w:rPr>
        <w:t>致：</w:t>
      </w:r>
      <w:r>
        <w:rPr>
          <w:sz w:val="24"/>
          <w:u w:val="single"/>
        </w:rPr>
        <w:t>（发包人全称）</w:t>
      </w:r>
    </w:p>
    <w:p>
      <w:pPr>
        <w:adjustRightInd w:val="0"/>
        <w:snapToGrid w:val="0"/>
        <w:spacing w:line="360" w:lineRule="auto"/>
        <w:ind w:firstLine="480" w:firstLineChars="20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（姓名）  </w:t>
      </w:r>
      <w:r>
        <w:rPr>
          <w:sz w:val="24"/>
        </w:rPr>
        <w:t>代表本单位全面负</w:t>
      </w:r>
      <w:r>
        <w:rPr>
          <w:rFonts w:hint="eastAsia"/>
          <w:sz w:val="24"/>
        </w:rPr>
        <w:t>责。</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080" w:firstLineChars="1700"/>
        <w:rPr>
          <w:sz w:val="24"/>
        </w:rPr>
      </w:pPr>
      <w:r>
        <w:rPr>
          <w:sz w:val="24"/>
        </w:rPr>
        <w:t>承包人：</w:t>
      </w:r>
      <w:r>
        <w:rPr>
          <w:sz w:val="24"/>
          <w:u w:val="single"/>
        </w:rPr>
        <w:t>（全称）</w:t>
      </w:r>
      <w:r>
        <w:rPr>
          <w:sz w:val="24"/>
        </w:rPr>
        <w:t>…</w:t>
      </w:r>
      <w:r>
        <w:rPr>
          <w:sz w:val="24"/>
          <w:u w:val="single"/>
        </w:rPr>
        <w:t>（盖章）</w:t>
      </w:r>
    </w:p>
    <w:p>
      <w:pPr>
        <w:adjustRightInd w:val="0"/>
        <w:snapToGrid w:val="0"/>
        <w:spacing w:line="360" w:lineRule="auto"/>
        <w:ind w:firstLine="4800" w:firstLineChars="2000"/>
        <w:rPr>
          <w:sz w:val="24"/>
        </w:rPr>
      </w:pPr>
      <w:r>
        <w:rPr>
          <w:sz w:val="24"/>
        </w:rPr>
        <w:t>法定代表人：</w:t>
      </w:r>
      <w:r>
        <w:rPr>
          <w:rFonts w:hint="eastAsia"/>
          <w:sz w:val="24"/>
          <w:u w:val="single"/>
        </w:rPr>
        <w:t xml:space="preserve">     （职务）     </w:t>
      </w:r>
    </w:p>
    <w:p>
      <w:pPr>
        <w:adjustRightInd w:val="0"/>
        <w:snapToGrid w:val="0"/>
        <w:spacing w:line="360" w:lineRule="auto"/>
        <w:ind w:firstLine="6240" w:firstLineChars="2600"/>
        <w:rPr>
          <w:sz w:val="24"/>
          <w:u w:val="single"/>
        </w:rPr>
      </w:pPr>
      <w:r>
        <w:rPr>
          <w:sz w:val="24"/>
          <w:u w:val="single"/>
        </w:rPr>
        <w:t>（姓名）</w:t>
      </w:r>
    </w:p>
    <w:p>
      <w:pPr>
        <w:adjustRightInd w:val="0"/>
        <w:snapToGrid w:val="0"/>
        <w:spacing w:line="360" w:lineRule="auto"/>
        <w:ind w:firstLine="6240" w:firstLineChars="2600"/>
        <w:rPr>
          <w:sz w:val="24"/>
        </w:rPr>
      </w:pPr>
      <w:r>
        <w:rPr>
          <w:sz w:val="24"/>
          <w:u w:val="single"/>
        </w:rPr>
        <w:t>（</w:t>
      </w:r>
      <w:r>
        <w:rPr>
          <w:rFonts w:hint="eastAsia"/>
          <w:sz w:val="24"/>
          <w:u w:val="single"/>
        </w:rPr>
        <w:t>签字</w:t>
      </w:r>
      <w:r>
        <w:rPr>
          <w:sz w:val="24"/>
          <w:u w:val="single"/>
        </w:rPr>
        <w:t>）</w:t>
      </w:r>
    </w:p>
    <w:p>
      <w:pPr>
        <w:adjustRightInd w:val="0"/>
        <w:snapToGrid w:val="0"/>
        <w:spacing w:line="360" w:lineRule="auto"/>
        <w:ind w:firstLine="5760" w:firstLineChars="2400"/>
        <w:rPr>
          <w:sz w:val="24"/>
        </w:rPr>
      </w:pPr>
      <w:r>
        <w:rPr>
          <w:sz w:val="24"/>
        </w:rPr>
        <w:t>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担保有效期自发包人与承包人签订的合同生效之日起至发包人签发工程接收证书之日止。</w:t>
      </w:r>
    </w:p>
    <w:p>
      <w:pPr>
        <w:adjustRightInd w:val="0"/>
        <w:snapToGrid w:val="0"/>
        <w:spacing w:line="360" w:lineRule="auto"/>
        <w:ind w:firstLine="480" w:firstLineChars="20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发包人和承包人按合同条款第15条变更合同时，我方承担本担保规定的义务不变。</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rPr>
          <w:sz w:val="24"/>
        </w:rPr>
      </w:pPr>
      <w:r>
        <w:rPr>
          <w:sz w:val="24"/>
        </w:rPr>
        <w:t>年月日</w:t>
      </w:r>
    </w:p>
    <w:p>
      <w:pPr>
        <w:adjustRightInd w:val="0"/>
        <w:snapToGrid w:val="0"/>
        <w:spacing w:line="360" w:lineRule="auto"/>
        <w:rPr>
          <w:rFonts w:ascii="黑体" w:eastAsia="黑体"/>
          <w:sz w:val="24"/>
        </w:rPr>
      </w:pPr>
      <w:r>
        <w:rPr>
          <w:sz w:val="24"/>
        </w:rPr>
        <w:br w:type="page"/>
      </w:r>
      <w:r>
        <w:rPr>
          <w:rFonts w:hint="eastAsia" w:ascii="黑体" w:eastAsia="黑体"/>
          <w:sz w:val="24"/>
        </w:rPr>
        <w:t>附件七：预付款担保格式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pPr>
        <w:adjustRightInd w:val="0"/>
        <w:snapToGrid w:val="0"/>
        <w:spacing w:line="360" w:lineRule="auto"/>
        <w:ind w:firstLine="480" w:firstLineChars="200"/>
        <w:rPr>
          <w:sz w:val="24"/>
        </w:rPr>
      </w:pPr>
      <w:r>
        <w:rPr>
          <w:sz w:val="24"/>
        </w:rPr>
        <w:t>3</w:t>
      </w:r>
      <w:r>
        <w:rPr>
          <w:rFonts w:hint="eastAsia"/>
          <w:sz w:val="24"/>
        </w:rPr>
        <w:t>．</w:t>
      </w:r>
      <w:r>
        <w:rPr>
          <w:sz w:val="24"/>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发包人和承包人按《通用合同条款》第15条变更合同时，我方承担本保函规定的义务不变。</w:t>
      </w: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pPr>
      <w:r>
        <w:rPr>
          <w:sz w:val="24"/>
        </w:rPr>
        <w:t>年月日</w:t>
      </w:r>
    </w:p>
    <w:p>
      <w:pPr>
        <w:spacing w:line="400" w:lineRule="exact"/>
        <w:ind w:firstLine="480" w:firstLineChars="200"/>
        <w:rPr>
          <w:rFonts w:ascii="宋体" w:hAnsi="宋体"/>
          <w:sz w:val="24"/>
        </w:rPr>
      </w:pPr>
    </w:p>
    <w:p>
      <w:pPr>
        <w:rPr>
          <w:rFonts w:ascii="宋体" w:hAnsi="宋体"/>
          <w:sz w:val="24"/>
        </w:rPr>
      </w:pPr>
    </w:p>
    <w:p>
      <w:pPr>
        <w:spacing w:line="400" w:lineRule="exact"/>
        <w:rPr>
          <w:rFonts w:ascii="隶书" w:hAnsi="宋体" w:eastAsia="隶书"/>
          <w:sz w:val="24"/>
        </w:rPr>
      </w:pPr>
    </w:p>
    <w:p>
      <w:pPr>
        <w:rPr>
          <w:rFonts w:ascii="宋体" w:hAnsi="宋体"/>
          <w:sz w:val="44"/>
          <w:szCs w:val="44"/>
        </w:rPr>
      </w:pPr>
    </w:p>
    <w:p>
      <w:pPr>
        <w:jc w:val="center"/>
        <w:outlineLvl w:val="0"/>
        <w:rPr>
          <w:rFonts w:ascii="黑体" w:eastAsia="黑体"/>
          <w:sz w:val="44"/>
          <w:szCs w:val="44"/>
        </w:rPr>
      </w:pPr>
      <w:bookmarkStart w:id="229" w:name="_Toc5321"/>
      <w:r>
        <w:rPr>
          <w:rFonts w:ascii="黑体" w:eastAsia="黑体"/>
          <w:sz w:val="44"/>
          <w:szCs w:val="44"/>
        </w:rPr>
        <w:t>第五章工程量清单</w:t>
      </w:r>
      <w:bookmarkEnd w:id="229"/>
    </w:p>
    <w:p>
      <w:pPr>
        <w:rPr>
          <w:rFonts w:ascii="宋体" w:hAnsi="宋体"/>
          <w:sz w:val="24"/>
        </w:rPr>
      </w:pPr>
    </w:p>
    <w:p>
      <w:pPr>
        <w:spacing w:before="120" w:after="120"/>
        <w:rPr>
          <w:rFonts w:ascii="黑体" w:eastAsia="黑体"/>
          <w:sz w:val="28"/>
          <w:szCs w:val="28"/>
        </w:rPr>
      </w:pPr>
      <w:r>
        <w:rPr>
          <w:rFonts w:hint="eastAsia" w:ascii="黑体" w:eastAsia="黑体"/>
          <w:sz w:val="28"/>
          <w:szCs w:val="28"/>
        </w:rPr>
        <w:t>1.工程量清单说明</w:t>
      </w:r>
    </w:p>
    <w:p>
      <w:pPr>
        <w:spacing w:line="400" w:lineRule="exact"/>
        <w:ind w:firstLine="480" w:firstLineChars="200"/>
        <w:rPr>
          <w:rFonts w:ascii="宋体" w:hAnsi="宋体"/>
          <w:sz w:val="24"/>
        </w:rPr>
      </w:pPr>
      <w:r>
        <w:rPr>
          <w:rFonts w:hint="eastAsia" w:ascii="宋体" w:hAnsi="宋体"/>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rFonts w:ascii="宋体" w:hAnsi="宋体"/>
          <w:sz w:val="24"/>
        </w:rPr>
      </w:pPr>
      <w:r>
        <w:rPr>
          <w:rFonts w:hint="eastAsia" w:ascii="宋体" w:hAnsi="宋体"/>
          <w:sz w:val="24"/>
        </w:rPr>
        <w:t>1.2 本工程量清单应与招标文件中的投标人须知、通用合同条款、专用合同条款、技术规范及图纸等一起阅读和理解。</w:t>
      </w:r>
    </w:p>
    <w:p>
      <w:pPr>
        <w:spacing w:line="400" w:lineRule="exact"/>
        <w:ind w:firstLine="480" w:firstLineChars="200"/>
        <w:rPr>
          <w:rFonts w:ascii="宋体" w:hAnsi="宋体"/>
          <w:sz w:val="24"/>
        </w:rPr>
      </w:pPr>
      <w:r>
        <w:rPr>
          <w:rFonts w:hint="eastAsia" w:ascii="宋体" w:hAnsi="宋体"/>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rFonts w:ascii="宋体" w:hAnsi="宋体"/>
          <w:sz w:val="24"/>
        </w:rPr>
      </w:pPr>
      <w:r>
        <w:rPr>
          <w:rFonts w:hint="eastAsia" w:ascii="宋体" w:hAnsi="宋体"/>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rFonts w:ascii="宋体" w:hAnsi="宋体"/>
          <w:sz w:val="24"/>
        </w:rPr>
      </w:pPr>
      <w:r>
        <w:rPr>
          <w:rFonts w:hint="eastAsia" w:ascii="宋体" w:hAnsi="宋体"/>
          <w:sz w:val="24"/>
        </w:rPr>
        <w:t>1.5 对作业和材料的—般说明或规定，未重复写入工程量清单内，在给工程量清单各子目标价前，应参阅第七章“技术规范”的有关内容。</w:t>
      </w:r>
    </w:p>
    <w:p>
      <w:pPr>
        <w:spacing w:line="400" w:lineRule="exact"/>
        <w:ind w:firstLine="480" w:firstLineChars="200"/>
        <w:rPr>
          <w:rFonts w:ascii="宋体" w:hAnsi="宋体"/>
          <w:sz w:val="24"/>
        </w:rPr>
      </w:pPr>
      <w:r>
        <w:rPr>
          <w:rFonts w:hint="eastAsia" w:ascii="宋体" w:hAnsi="宋体"/>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rFonts w:ascii="宋体" w:hAnsi="宋体"/>
          <w:sz w:val="24"/>
        </w:rPr>
      </w:pPr>
      <w:r>
        <w:rPr>
          <w:rFonts w:hint="eastAsia" w:ascii="宋体" w:hAnsi="宋体"/>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rFonts w:ascii="宋体" w:hAnsi="宋体"/>
          <w:sz w:val="24"/>
        </w:rPr>
      </w:pPr>
      <w:r>
        <w:rPr>
          <w:rFonts w:hint="eastAsia" w:ascii="宋体" w:hAnsi="宋体"/>
          <w:sz w:val="24"/>
        </w:rPr>
        <w:t>2.1 工程量清单中的每一子目须填入单价或价格，且只允许有一个报价。</w:t>
      </w:r>
    </w:p>
    <w:p>
      <w:pPr>
        <w:spacing w:line="400" w:lineRule="exact"/>
        <w:ind w:firstLine="480" w:firstLineChars="200"/>
        <w:rPr>
          <w:rFonts w:ascii="宋体" w:hAnsi="宋体"/>
          <w:sz w:val="24"/>
        </w:rPr>
      </w:pPr>
      <w:r>
        <w:rPr>
          <w:rFonts w:hint="eastAsia" w:ascii="宋体" w:hAnsi="宋体"/>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rFonts w:ascii="宋体" w:hAnsi="宋体"/>
          <w:sz w:val="24"/>
        </w:rPr>
      </w:pPr>
      <w:r>
        <w:rPr>
          <w:rFonts w:hint="eastAsia" w:ascii="宋体" w:hAnsi="宋体"/>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rFonts w:ascii="宋体" w:hAnsi="宋体"/>
          <w:sz w:val="24"/>
        </w:rPr>
      </w:pPr>
      <w:r>
        <w:rPr>
          <w:rFonts w:hint="eastAsia" w:ascii="宋体" w:hAnsi="宋体"/>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rFonts w:ascii="宋体" w:hAnsi="宋体"/>
          <w:sz w:val="24"/>
        </w:rPr>
      </w:pPr>
      <w:r>
        <w:rPr>
          <w:rFonts w:hint="eastAsia" w:ascii="宋体" w:hAnsi="宋体"/>
          <w:sz w:val="24"/>
        </w:rPr>
        <w:t>2.5承包人用于本合同工程的各类装备的提供、运输、维护、拆卸、拼装等支付的费用，已包括在工程量清单的单价与总额价之中。</w:t>
      </w:r>
    </w:p>
    <w:p>
      <w:pPr>
        <w:spacing w:line="400" w:lineRule="exact"/>
        <w:ind w:firstLine="480" w:firstLineChars="200"/>
        <w:rPr>
          <w:rFonts w:ascii="宋体" w:hAnsi="宋体"/>
          <w:sz w:val="24"/>
        </w:rPr>
      </w:pPr>
      <w:r>
        <w:rPr>
          <w:rFonts w:hint="eastAsia" w:ascii="宋体" w:hAnsi="宋体"/>
          <w:sz w:val="24"/>
        </w:rPr>
        <w:t>2.6 工程量清单中各项金额均以人民币（元）结算。</w:t>
      </w:r>
    </w:p>
    <w:p>
      <w:pPr>
        <w:spacing w:line="400" w:lineRule="exact"/>
        <w:ind w:firstLine="480" w:firstLineChars="200"/>
        <w:rPr>
          <w:rFonts w:ascii="宋体" w:hAnsi="宋体"/>
          <w:sz w:val="24"/>
        </w:rPr>
      </w:pPr>
      <w:r>
        <w:rPr>
          <w:rFonts w:hint="eastAsia" w:ascii="宋体" w:hAnsi="宋体"/>
          <w:sz w:val="24"/>
        </w:rPr>
        <w:t>2.8 暂列金额（不含计日工总额）的数量及拟用子目的说明：。</w:t>
      </w:r>
    </w:p>
    <w:p>
      <w:pPr>
        <w:spacing w:line="400" w:lineRule="exact"/>
        <w:ind w:firstLine="480" w:firstLineChars="200"/>
        <w:rPr>
          <w:rFonts w:ascii="宋体" w:hAnsi="宋体"/>
          <w:sz w:val="24"/>
        </w:rPr>
      </w:pPr>
      <w:r>
        <w:rPr>
          <w:rFonts w:hint="eastAsia" w:ascii="宋体" w:hAnsi="宋体"/>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rFonts w:ascii="宋体" w:hAnsi="宋体"/>
          <w:sz w:val="24"/>
        </w:rPr>
      </w:pPr>
      <w:r>
        <w:rPr>
          <w:rFonts w:hint="eastAsia" w:ascii="宋体" w:hAnsi="宋体"/>
          <w:sz w:val="24"/>
        </w:rPr>
        <w:t xml:space="preserve">    3.1 总则</w:t>
      </w:r>
    </w:p>
    <w:p>
      <w:pPr>
        <w:spacing w:line="400" w:lineRule="exact"/>
        <w:ind w:firstLine="360" w:firstLineChars="150"/>
        <w:rPr>
          <w:rFonts w:ascii="宋体" w:hAnsi="宋体"/>
          <w:sz w:val="24"/>
        </w:rPr>
      </w:pPr>
      <w:r>
        <w:rPr>
          <w:rFonts w:hint="eastAsia" w:ascii="宋体" w:hAnsi="宋体"/>
          <w:sz w:val="24"/>
        </w:rPr>
        <w:t>（l）本说明应参照通用合同条款第15.7款一并理解。</w:t>
      </w:r>
    </w:p>
    <w:p>
      <w:pPr>
        <w:spacing w:line="400" w:lineRule="exact"/>
        <w:ind w:firstLine="360" w:firstLineChars="150"/>
        <w:rPr>
          <w:rFonts w:ascii="宋体" w:hAnsi="宋体"/>
          <w:sz w:val="24"/>
        </w:rPr>
      </w:pPr>
      <w:r>
        <w:rPr>
          <w:rFonts w:hint="eastAsia" w:ascii="宋体" w:hAnsi="宋体"/>
          <w:sz w:val="24"/>
        </w:rPr>
        <w:t>（2）未经监理人书面指令，任何工程不得按计日工施工；接到监理人按计日工施工的书面指令，承包人也不得拒绝。</w:t>
      </w:r>
    </w:p>
    <w:p>
      <w:pPr>
        <w:spacing w:line="400" w:lineRule="exact"/>
        <w:ind w:firstLine="360" w:firstLineChars="150"/>
        <w:rPr>
          <w:rFonts w:ascii="宋体" w:hAnsi="宋体"/>
          <w:sz w:val="24"/>
        </w:rPr>
      </w:pPr>
      <w:r>
        <w:rPr>
          <w:rFonts w:hint="eastAsia" w:ascii="宋体" w:hAnsi="宋体"/>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rFonts w:ascii="宋体" w:hAnsi="宋体"/>
          <w:sz w:val="24"/>
        </w:rPr>
      </w:pPr>
      <w:r>
        <w:rPr>
          <w:rFonts w:hint="eastAsia" w:ascii="宋体" w:hAnsi="宋体"/>
          <w:sz w:val="24"/>
        </w:rPr>
        <w:t>（4）计日工不调价。</w:t>
      </w:r>
    </w:p>
    <w:p>
      <w:pPr>
        <w:spacing w:line="400" w:lineRule="exact"/>
        <w:ind w:firstLine="480" w:firstLineChars="200"/>
        <w:rPr>
          <w:rFonts w:ascii="宋体" w:hAnsi="宋体"/>
          <w:sz w:val="24"/>
        </w:rPr>
      </w:pPr>
      <w:r>
        <w:rPr>
          <w:rFonts w:hint="eastAsia" w:ascii="宋体" w:hAnsi="宋体"/>
          <w:sz w:val="24"/>
        </w:rPr>
        <w:t>3.2 计日工劳务</w:t>
      </w:r>
    </w:p>
    <w:p>
      <w:pPr>
        <w:spacing w:line="400" w:lineRule="exact"/>
        <w:ind w:firstLine="360" w:firstLineChars="150"/>
        <w:rPr>
          <w:rFonts w:ascii="宋体" w:hAnsi="宋体"/>
          <w:sz w:val="24"/>
        </w:rPr>
      </w:pPr>
      <w:r>
        <w:rPr>
          <w:rFonts w:hint="eastAsia" w:ascii="宋体" w:hAnsi="宋体"/>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rFonts w:ascii="宋体" w:hAnsi="宋体"/>
          <w:sz w:val="24"/>
        </w:rPr>
      </w:pPr>
      <w:r>
        <w:rPr>
          <w:rFonts w:hint="eastAsia" w:ascii="宋体" w:hAnsi="宋体"/>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rFonts w:ascii="宋体" w:hAnsi="宋体"/>
          <w:sz w:val="24"/>
        </w:rPr>
      </w:pPr>
      <w:r>
        <w:rPr>
          <w:rFonts w:hint="eastAsia" w:ascii="宋体" w:hAnsi="宋体"/>
          <w:sz w:val="24"/>
        </w:rPr>
        <w:t>a.劳务基本单价包括：承包人劳务的全部直接费用，如：工资、加班费、津贴、福利费及劳动保护费等。</w:t>
      </w:r>
    </w:p>
    <w:p>
      <w:pPr>
        <w:spacing w:line="400" w:lineRule="exact"/>
        <w:ind w:firstLine="480" w:firstLineChars="200"/>
        <w:rPr>
          <w:rFonts w:ascii="宋体" w:hAnsi="宋体"/>
          <w:sz w:val="24"/>
        </w:rPr>
      </w:pPr>
      <w:r>
        <w:rPr>
          <w:rFonts w:hint="eastAsia" w:ascii="宋体" w:hAnsi="宋体"/>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rFonts w:ascii="宋体" w:hAnsi="宋体"/>
          <w:sz w:val="24"/>
        </w:rPr>
      </w:pPr>
      <w:r>
        <w:rPr>
          <w:rFonts w:hint="eastAsia" w:ascii="宋体" w:hAnsi="宋体"/>
          <w:sz w:val="24"/>
        </w:rPr>
        <w:t>3.3 计日工材料</w:t>
      </w:r>
    </w:p>
    <w:p>
      <w:pPr>
        <w:spacing w:line="400" w:lineRule="exact"/>
        <w:ind w:firstLine="360" w:firstLineChars="150"/>
        <w:rPr>
          <w:rFonts w:ascii="宋体" w:hAnsi="宋体"/>
          <w:sz w:val="24"/>
        </w:rPr>
      </w:pPr>
      <w:r>
        <w:rPr>
          <w:rFonts w:hint="eastAsia" w:ascii="宋体" w:hAnsi="宋体"/>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rFonts w:ascii="宋体" w:hAnsi="宋体"/>
          <w:sz w:val="24"/>
        </w:rPr>
      </w:pPr>
      <w:r>
        <w:rPr>
          <w:rFonts w:hint="eastAsia" w:ascii="宋体" w:hAnsi="宋体"/>
          <w:sz w:val="24"/>
        </w:rPr>
        <w:t>a．材料基本单价按供货价加运杂费（到达承包人现场仓库）、保险费、仓库管理费以及运输损耗等计算。</w:t>
      </w:r>
    </w:p>
    <w:p>
      <w:pPr>
        <w:spacing w:line="400" w:lineRule="exact"/>
        <w:ind w:firstLine="480" w:firstLineChars="200"/>
        <w:rPr>
          <w:rFonts w:ascii="宋体" w:hAnsi="宋体"/>
          <w:sz w:val="24"/>
        </w:rPr>
      </w:pPr>
      <w:r>
        <w:rPr>
          <w:rFonts w:hint="eastAsia" w:ascii="宋体" w:hAnsi="宋体"/>
          <w:sz w:val="24"/>
        </w:rPr>
        <w:t>b. 承包人的利润、管理、质检、保险、税费及其他附加费：</w:t>
      </w:r>
    </w:p>
    <w:p>
      <w:pPr>
        <w:spacing w:line="400" w:lineRule="exact"/>
        <w:ind w:firstLine="480" w:firstLineChars="200"/>
        <w:rPr>
          <w:rFonts w:ascii="宋体" w:hAnsi="宋体"/>
          <w:sz w:val="24"/>
        </w:rPr>
      </w:pPr>
      <w:r>
        <w:rPr>
          <w:rFonts w:hint="eastAsia" w:ascii="宋体" w:hAnsi="宋体"/>
          <w:sz w:val="24"/>
        </w:rPr>
        <w:t>c．从现场运至使用地点的人工费和施工机械使用费不包括在上述基本单价内。</w:t>
      </w:r>
    </w:p>
    <w:p>
      <w:pPr>
        <w:spacing w:line="400" w:lineRule="exact"/>
        <w:ind w:firstLine="480" w:firstLineChars="200"/>
        <w:rPr>
          <w:rFonts w:ascii="宋体" w:hAnsi="宋体"/>
          <w:sz w:val="24"/>
        </w:rPr>
      </w:pPr>
      <w:r>
        <w:rPr>
          <w:rFonts w:hint="eastAsia" w:ascii="宋体" w:hAnsi="宋体"/>
          <w:sz w:val="24"/>
        </w:rPr>
        <w:t>3.4 计日工施工机械</w:t>
      </w:r>
    </w:p>
    <w:p>
      <w:pPr>
        <w:spacing w:line="400" w:lineRule="exact"/>
        <w:ind w:firstLine="480" w:firstLineChars="200"/>
        <w:rPr>
          <w:rFonts w:ascii="宋体" w:hAnsi="宋体"/>
          <w:sz w:val="24"/>
        </w:rPr>
      </w:pPr>
      <w:r>
        <w:rPr>
          <w:rFonts w:hint="eastAsia" w:ascii="宋体" w:hAnsi="宋体"/>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rFonts w:ascii="宋体" w:hAnsi="宋体"/>
          <w:sz w:val="24"/>
        </w:rPr>
      </w:pPr>
      <w:r>
        <w:rPr>
          <w:rFonts w:hint="eastAsia" w:ascii="宋体" w:hAnsi="宋体"/>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rFonts w:ascii="宋体" w:hAnsi="宋体"/>
          <w:sz w:val="24"/>
        </w:rPr>
      </w:pPr>
      <w:r>
        <w:rPr>
          <w:rFonts w:hint="eastAsia" w:ascii="宋体" w:hAnsi="宋体"/>
          <w:sz w:val="24"/>
        </w:rPr>
        <w:t>编制说明：</w:t>
      </w:r>
    </w:p>
    <w:p>
      <w:pPr>
        <w:spacing w:line="400" w:lineRule="exact"/>
        <w:ind w:firstLine="480" w:firstLineChars="200"/>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lang w:val="en-US" w:eastAsia="zh-CN"/>
        </w:rPr>
        <w:t>公路工程标准施工招标文件（2009年版）</w:t>
      </w:r>
      <w:r>
        <w:rPr>
          <w:rFonts w:hint="eastAsia" w:ascii="宋体" w:hAnsi="宋体"/>
          <w:sz w:val="24"/>
          <w:lang w:eastAsia="zh-CN"/>
        </w:rPr>
        <w:t>》</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lang w:val="en-US" w:eastAsia="zh-CN"/>
        </w:rPr>
        <w:t>公路工程工程量清单计量规则</w:t>
      </w:r>
      <w:r>
        <w:rPr>
          <w:rFonts w:hint="eastAsia" w:ascii="宋体" w:hAnsi="宋体"/>
          <w:sz w:val="24"/>
          <w:lang w:eastAsia="zh-CN"/>
        </w:rPr>
        <w:t>》</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lang w:val="en-US" w:eastAsia="zh-CN"/>
        </w:rPr>
        <w:t>公路工程基本建设项目概算预算编制办法</w:t>
      </w:r>
      <w:r>
        <w:rPr>
          <w:rFonts w:hint="eastAsia" w:ascii="宋体" w:hAnsi="宋体"/>
          <w:sz w:val="24"/>
          <w:lang w:eastAsia="zh-CN"/>
        </w:rPr>
        <w:t>》（</w:t>
      </w:r>
      <w:r>
        <w:rPr>
          <w:rFonts w:hint="eastAsia" w:ascii="宋体" w:hAnsi="宋体"/>
          <w:sz w:val="24"/>
          <w:lang w:val="en-US" w:eastAsia="zh-CN"/>
        </w:rPr>
        <w:t>JTG B06-2007</w:t>
      </w:r>
      <w:r>
        <w:rPr>
          <w:rFonts w:hint="eastAsia" w:ascii="宋体" w:hAnsi="宋体"/>
          <w:sz w:val="24"/>
          <w:lang w:eastAsia="zh-CN"/>
        </w:rPr>
        <w:t>）</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lang w:val="en-US" w:eastAsia="zh-CN"/>
        </w:rPr>
        <w:t>公路工程预算定额</w:t>
      </w:r>
      <w:r>
        <w:rPr>
          <w:rFonts w:hint="eastAsia" w:ascii="宋体" w:hAnsi="宋体"/>
          <w:sz w:val="24"/>
          <w:lang w:eastAsia="zh-CN"/>
        </w:rPr>
        <w:t>》（</w:t>
      </w:r>
      <w:r>
        <w:rPr>
          <w:rFonts w:hint="eastAsia" w:ascii="宋体" w:hAnsi="宋体"/>
          <w:sz w:val="24"/>
          <w:lang w:val="en-US" w:eastAsia="zh-CN"/>
        </w:rPr>
        <w:t>JTG B06-02-2007</w:t>
      </w:r>
      <w:r>
        <w:rPr>
          <w:rFonts w:hint="eastAsia" w:ascii="宋体" w:hAnsi="宋体"/>
          <w:sz w:val="24"/>
          <w:lang w:eastAsia="zh-CN"/>
        </w:rPr>
        <w:t>）</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lang w:val="en-US" w:eastAsia="zh-CN"/>
        </w:rPr>
        <w:t>公路工程机械台班费用定额</w:t>
      </w:r>
      <w:r>
        <w:rPr>
          <w:rFonts w:hint="eastAsia" w:ascii="宋体" w:hAnsi="宋体"/>
          <w:sz w:val="24"/>
          <w:lang w:eastAsia="zh-CN"/>
        </w:rPr>
        <w:t>》（</w:t>
      </w:r>
      <w:r>
        <w:rPr>
          <w:rFonts w:hint="eastAsia" w:ascii="宋体" w:hAnsi="宋体"/>
          <w:sz w:val="24"/>
          <w:lang w:val="en-US" w:eastAsia="zh-CN"/>
        </w:rPr>
        <w:t>JTG/T B06-03-2007</w:t>
      </w:r>
      <w:r>
        <w:rPr>
          <w:rFonts w:hint="eastAsia" w:ascii="宋体" w:hAnsi="宋体"/>
          <w:sz w:val="24"/>
          <w:lang w:eastAsia="zh-CN"/>
        </w:rPr>
        <w:t>）</w:t>
      </w:r>
      <w:r>
        <w:rPr>
          <w:rFonts w:hint="eastAsia" w:ascii="宋体" w:hAnsi="宋体"/>
          <w:sz w:val="24"/>
          <w:lang w:val="en-US" w:eastAsia="zh-CN"/>
        </w:rPr>
        <w:t>等相关计价文件及其配套的省市有关文件</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6、</w:t>
      </w:r>
      <w:r>
        <w:rPr>
          <w:rFonts w:hint="eastAsia" w:ascii="宋体" w:hAnsi="宋体"/>
          <w:sz w:val="24"/>
          <w:lang w:val="en-US" w:eastAsia="zh-CN"/>
        </w:rPr>
        <w:t>交通运输部办公厅关于印发《公路工程营业税改征增值税计价依据调整方案》的通知（交办公路【2016】66号文）</w:t>
      </w:r>
      <w:r>
        <w:rPr>
          <w:rFonts w:hint="eastAsia" w:ascii="宋体" w:hAnsi="宋体"/>
          <w:sz w:val="24"/>
        </w:rPr>
        <w:t>；</w:t>
      </w:r>
    </w:p>
    <w:p>
      <w:pPr>
        <w:spacing w:line="400" w:lineRule="exact"/>
        <w:ind w:firstLine="560" w:firstLineChars="200"/>
        <w:rPr>
          <w:rFonts w:ascii="隶书" w:eastAsia="隶书"/>
          <w:sz w:val="24"/>
        </w:rPr>
      </w:pPr>
      <w:r>
        <w:rPr>
          <w:rFonts w:hint="eastAsia" w:ascii="黑体" w:eastAsia="黑体"/>
          <w:sz w:val="28"/>
          <w:szCs w:val="28"/>
        </w:rPr>
        <w:t>5．工程量清单</w:t>
      </w:r>
    </w:p>
    <w:p>
      <w:pPr>
        <w:ind w:firstLine="480" w:firstLineChars="200"/>
        <w:rPr>
          <w:rFonts w:ascii="宋体" w:hAnsi="宋体"/>
          <w:sz w:val="24"/>
        </w:rPr>
      </w:pPr>
      <w:r>
        <w:rPr>
          <w:rFonts w:hint="eastAsia" w:ascii="宋体" w:hAnsi="宋体"/>
          <w:sz w:val="24"/>
        </w:rPr>
        <w:t>5.l工程量清单表</w:t>
      </w:r>
    </w:p>
    <w:p>
      <w:pPr>
        <w:rPr>
          <w:rFonts w:ascii="隶书" w:eastAsia="隶书"/>
          <w:sz w:val="24"/>
        </w:rPr>
      </w:pPr>
    </w:p>
    <w:p>
      <w:pPr>
        <w:spacing w:after="240"/>
        <w:rPr>
          <w:rFonts w:ascii="黑体" w:eastAsia="黑体"/>
          <w:sz w:val="18"/>
          <w:szCs w:val="18"/>
        </w:rPr>
      </w:pPr>
    </w:p>
    <w:p>
      <w:pPr>
        <w:rPr>
          <w:rFonts w:ascii="宋体" w:hAnsi="宋体"/>
          <w:sz w:val="24"/>
        </w:rPr>
      </w:pPr>
    </w:p>
    <w:p>
      <w:pPr>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rPr>
          <w:rFonts w:ascii="宋体" w:hAnsi="宋体"/>
          <w:sz w:val="24"/>
        </w:rPr>
      </w:pPr>
    </w:p>
    <w:p>
      <w:pPr>
        <w:jc w:val="both"/>
        <w:outlineLvl w:val="0"/>
        <w:rPr>
          <w:rFonts w:ascii="黑体" w:eastAsia="黑体"/>
          <w:bCs/>
          <w:sz w:val="44"/>
          <w:szCs w:val="44"/>
        </w:rPr>
      </w:pPr>
      <w:bookmarkStart w:id="230" w:name="_Toc20155"/>
    </w:p>
    <w:p>
      <w:pPr>
        <w:pStyle w:val="2"/>
      </w:pPr>
    </w:p>
    <w:tbl>
      <w:tblPr>
        <w:tblStyle w:val="45"/>
        <w:tblW w:w="8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3"/>
        <w:gridCol w:w="2735"/>
        <w:gridCol w:w="1110"/>
        <w:gridCol w:w="1200"/>
        <w:gridCol w:w="118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8778"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工程量清单报价表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77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工程名称：许昌市建安区田园综合体小召乡绰韩村村道改建工程                                                                                                                                 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778" w:type="dxa"/>
            <w:gridSpan w:val="6"/>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 w:hRule="atLeast"/>
        </w:trPr>
        <w:tc>
          <w:tcPr>
            <w:tcW w:w="8778" w:type="dxa"/>
            <w:gridSpan w:val="6"/>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  目  名  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7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清单 第100章  总则合计       人民币</w:t>
            </w:r>
          </w:p>
        </w:tc>
      </w:tr>
    </w:tbl>
    <w:p/>
    <w:p/>
    <w:p/>
    <w:p/>
    <w:p>
      <w:pPr>
        <w:pStyle w:val="2"/>
      </w:pPr>
    </w:p>
    <w:p>
      <w:pPr>
        <w:pStyle w:val="2"/>
      </w:pPr>
    </w:p>
    <w:tbl>
      <w:tblPr>
        <w:tblStyle w:val="45"/>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5"/>
        <w:gridCol w:w="3084"/>
        <w:gridCol w:w="975"/>
        <w:gridCol w:w="1290"/>
        <w:gridCol w:w="123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9039"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工程量清单报价表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039"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工程名称：许昌市建安区田园综合体小召乡绰韩村村道改建工程                                                                                                                                 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039" w:type="dxa"/>
            <w:gridSpan w:val="6"/>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 w:hRule="atLeast"/>
        </w:trPr>
        <w:tc>
          <w:tcPr>
            <w:tcW w:w="9039" w:type="dxa"/>
            <w:gridSpan w:val="6"/>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473" w:rightChars="225"/>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  目  名  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清理与掘除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清除表土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3"/>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挖除树根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棵</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挖除旧路面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3"/>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203-1</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20cm下挖、碾压土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挖路基土方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3"/>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弃方运输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3"/>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利用土方填筑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3"/>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207-2</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浆砌砖砌排水沟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0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清单 第200章  路基合计      人民币</w:t>
            </w:r>
          </w:p>
        </w:tc>
      </w:tr>
    </w:tbl>
    <w:p/>
    <w:p/>
    <w:p/>
    <w:p>
      <w:pPr>
        <w:pStyle w:val="2"/>
      </w:pPr>
    </w:p>
    <w:p>
      <w:pPr>
        <w:pStyle w:val="2"/>
      </w:pPr>
    </w:p>
    <w:tbl>
      <w:tblPr>
        <w:tblStyle w:val="45"/>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6"/>
        <w:gridCol w:w="3167"/>
        <w:gridCol w:w="1275"/>
        <w:gridCol w:w="1305"/>
        <w:gridCol w:w="86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8863"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工程量清单报价表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863"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工程名称：许昌市建安区田园综合体小召乡绰韩村村道改建工程                                                                                                                                 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863" w:type="dxa"/>
            <w:gridSpan w:val="6"/>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第300章  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 w:hRule="atLeast"/>
        </w:trPr>
        <w:tc>
          <w:tcPr>
            <w:tcW w:w="8863" w:type="dxa"/>
            <w:gridSpan w:val="6"/>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  目  名  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石灰稳定土底基层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15cm厚10%石灰稳定土底基层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20777</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15cm厚12%石灰稳定土底基层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21341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304-3</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水泥稳定土基层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18cm厚5%水泥稳定碎石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17014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310-2-1</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上封层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310-2-2</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下封层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309-1</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细粒式沥青混凝土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4cm厚AC-13C细粒式沥青混凝土面层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312-1</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水泥混凝土面板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15cm厚C25水泥混凝土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11865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18cm厚C25水泥混凝土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313-1</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培土路肩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1949</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清单 第300章  路面合计      人民币</w:t>
            </w:r>
          </w:p>
        </w:tc>
      </w:tr>
    </w:tbl>
    <w:p/>
    <w:p/>
    <w:p>
      <w:pPr>
        <w:pStyle w:val="2"/>
      </w:pPr>
    </w:p>
    <w:p/>
    <w:tbl>
      <w:tblPr>
        <w:tblStyle w:val="45"/>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5"/>
        <w:gridCol w:w="2475"/>
        <w:gridCol w:w="1305"/>
        <w:gridCol w:w="1080"/>
        <w:gridCol w:w="1080"/>
        <w:gridCol w:w="111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921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主要材料预算价格汇总表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21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建设项目名称：许昌市建安区田园综合体小召乡绰韩村村道改建工程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21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 制  范 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 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 w:hRule="atLeast"/>
        </w:trPr>
        <w:tc>
          <w:tcPr>
            <w:tcW w:w="85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47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55" w:type="dxa"/>
            <w:shd w:val="clear" w:color="auto" w:fill="auto"/>
            <w:vAlign w:val="bottom"/>
          </w:tcPr>
          <w:p>
            <w:pPr>
              <w:rPr>
                <w:rFonts w:hint="eastAsia" w:ascii="宋体" w:hAnsi="宋体" w:eastAsia="宋体" w:cs="宋体"/>
                <w:i w:val="0"/>
                <w:color w:val="000000"/>
                <w:sz w:val="22"/>
                <w:szCs w:val="22"/>
                <w:u w:val="none"/>
              </w:rPr>
            </w:pPr>
          </w:p>
        </w:tc>
        <w:tc>
          <w:tcPr>
            <w:tcW w:w="2475" w:type="dxa"/>
            <w:shd w:val="clear" w:color="auto" w:fill="auto"/>
            <w:vAlign w:val="bottom"/>
          </w:tcPr>
          <w:p>
            <w:pPr>
              <w:rPr>
                <w:rFonts w:hint="eastAsia" w:ascii="宋体" w:hAnsi="宋体" w:eastAsia="宋体" w:cs="宋体"/>
                <w:i w:val="0"/>
                <w:color w:val="000000"/>
                <w:sz w:val="22"/>
                <w:szCs w:val="22"/>
                <w:u w:val="none"/>
              </w:rPr>
            </w:pPr>
          </w:p>
        </w:tc>
        <w:tc>
          <w:tcPr>
            <w:tcW w:w="1305" w:type="dxa"/>
            <w:shd w:val="clear" w:color="auto" w:fill="auto"/>
            <w:vAlign w:val="bottom"/>
          </w:tcPr>
          <w:p>
            <w:pPr>
              <w:rPr>
                <w:rFonts w:hint="eastAsia" w:ascii="宋体" w:hAnsi="宋体" w:eastAsia="宋体" w:cs="宋体"/>
                <w:i w:val="0"/>
                <w:color w:val="000000"/>
                <w:sz w:val="22"/>
                <w:szCs w:val="22"/>
                <w:u w:val="none"/>
              </w:rPr>
            </w:pPr>
          </w:p>
        </w:tc>
        <w:tc>
          <w:tcPr>
            <w:tcW w:w="1080" w:type="dxa"/>
            <w:shd w:val="clear" w:color="auto" w:fill="auto"/>
            <w:vAlign w:val="bottom"/>
          </w:tcPr>
          <w:p>
            <w:pPr>
              <w:rPr>
                <w:rFonts w:hint="eastAsia" w:ascii="宋体" w:hAnsi="宋体" w:eastAsia="宋体" w:cs="宋体"/>
                <w:i w:val="0"/>
                <w:color w:val="000000"/>
                <w:sz w:val="22"/>
                <w:szCs w:val="22"/>
                <w:u w:val="none"/>
              </w:rPr>
            </w:pPr>
          </w:p>
        </w:tc>
        <w:tc>
          <w:tcPr>
            <w:tcW w:w="1080" w:type="dxa"/>
            <w:shd w:val="clear" w:color="auto" w:fill="auto"/>
            <w:vAlign w:val="bottom"/>
          </w:tcPr>
          <w:p>
            <w:pPr>
              <w:rPr>
                <w:rFonts w:hint="eastAsia" w:ascii="宋体" w:hAnsi="宋体" w:eastAsia="宋体" w:cs="宋体"/>
                <w:i w:val="0"/>
                <w:color w:val="000000"/>
                <w:sz w:val="22"/>
                <w:szCs w:val="22"/>
                <w:u w:val="none"/>
              </w:rPr>
            </w:pPr>
          </w:p>
        </w:tc>
        <w:tc>
          <w:tcPr>
            <w:tcW w:w="1110" w:type="dxa"/>
            <w:shd w:val="clear" w:color="auto" w:fill="auto"/>
            <w:vAlign w:val="bottom"/>
          </w:tcPr>
          <w:p>
            <w:pPr>
              <w:rPr>
                <w:rFonts w:hint="eastAsia" w:ascii="宋体" w:hAnsi="宋体" w:eastAsia="宋体" w:cs="宋体"/>
                <w:i w:val="0"/>
                <w:color w:val="000000"/>
                <w:sz w:val="22"/>
                <w:szCs w:val="22"/>
                <w:u w:val="none"/>
              </w:rPr>
            </w:pPr>
          </w:p>
        </w:tc>
        <w:tc>
          <w:tcPr>
            <w:tcW w:w="1305"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63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1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bl>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pStyle w:val="2"/>
        <w:rPr>
          <w:rFonts w:ascii="黑体" w:eastAsia="黑体"/>
          <w:bCs/>
          <w:sz w:val="44"/>
          <w:szCs w:val="44"/>
        </w:rPr>
      </w:pPr>
    </w:p>
    <w:p>
      <w:pPr>
        <w:pStyle w:val="2"/>
        <w:rPr>
          <w:rFonts w:ascii="黑体" w:eastAsia="黑体"/>
          <w:bCs/>
          <w:sz w:val="44"/>
          <w:szCs w:val="44"/>
        </w:rPr>
      </w:pPr>
    </w:p>
    <w:p>
      <w:pPr>
        <w:pStyle w:val="2"/>
        <w:rPr>
          <w:rFonts w:ascii="黑体" w:eastAsia="黑体"/>
          <w:bCs/>
          <w:sz w:val="44"/>
          <w:szCs w:val="44"/>
        </w:rPr>
      </w:pPr>
    </w:p>
    <w:p>
      <w:pPr>
        <w:pStyle w:val="2"/>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hint="eastAsia" w:ascii="黑体" w:eastAsia="黑体"/>
          <w:bCs/>
          <w:sz w:val="44"/>
          <w:szCs w:val="44"/>
        </w:rPr>
        <w:t>（另附）</w:t>
      </w:r>
      <w:bookmarkEnd w:id="230"/>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31" w:name="_Toc18036"/>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hint="eastAsia" w:ascii="黑体" w:eastAsia="黑体"/>
          <w:bCs/>
          <w:sz w:val="44"/>
          <w:szCs w:val="44"/>
        </w:rPr>
        <w:t>规范（另册）</w:t>
      </w:r>
      <w:bookmarkEnd w:id="231"/>
    </w:p>
    <w:p>
      <w:pPr>
        <w:pStyle w:val="36"/>
        <w:jc w:val="center"/>
        <w:rPr>
          <w:b/>
          <w:sz w:val="28"/>
        </w:rPr>
      </w:pPr>
    </w:p>
    <w:p>
      <w:pPr>
        <w:pStyle w:val="36"/>
        <w:jc w:val="center"/>
        <w:rPr>
          <w:b/>
          <w:sz w:val="28"/>
        </w:rPr>
      </w:pPr>
      <w:r>
        <w:rPr>
          <w:rFonts w:hint="eastAsia"/>
          <w:b/>
          <w:sz w:val="28"/>
        </w:rPr>
        <w:t>详见公路工程标准施工招标文件</w:t>
      </w:r>
    </w:p>
    <w:p>
      <w:pPr>
        <w:adjustRightInd w:val="0"/>
        <w:snapToGrid w:val="0"/>
        <w:spacing w:line="360" w:lineRule="auto"/>
        <w:jc w:val="center"/>
        <w:rPr>
          <w:rFonts w:ascii="宋体" w:hAnsi="宋体"/>
          <w:sz w:val="36"/>
        </w:rPr>
      </w:pPr>
      <w:r>
        <w:rPr>
          <w:rFonts w:hint="eastAsia"/>
          <w:b/>
          <w:sz w:val="28"/>
        </w:rPr>
        <w:t>（</w:t>
      </w:r>
      <w:r>
        <w:rPr>
          <w:b/>
          <w:sz w:val="28"/>
        </w:rPr>
        <w:t>2009</w:t>
      </w:r>
      <w:r>
        <w:rPr>
          <w:rFonts w:hint="eastAsia"/>
          <w:b/>
          <w:sz w:val="28"/>
        </w:rPr>
        <w:t>版）</w:t>
      </w:r>
    </w:p>
    <w:p>
      <w:pPr>
        <w:jc w:val="center"/>
        <w:outlineLvl w:val="0"/>
        <w:rPr>
          <w:rFonts w:ascii="黑体" w:eastAsia="黑体"/>
          <w:bCs/>
          <w:sz w:val="44"/>
          <w:szCs w:val="44"/>
        </w:rPr>
      </w:pPr>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bookmarkStart w:id="232" w:name="_Toc27978"/>
      <w:r>
        <w:rPr>
          <w:rFonts w:ascii="黑体" w:eastAsia="黑体"/>
          <w:bCs/>
          <w:sz w:val="44"/>
          <w:szCs w:val="44"/>
        </w:rPr>
        <w:t>第八章</w:t>
      </w:r>
      <w:r>
        <w:rPr>
          <w:rFonts w:ascii="黑体" w:eastAsia="黑体"/>
          <w:bCs/>
          <w:sz w:val="44"/>
          <w:szCs w:val="44"/>
        </w:rPr>
        <w:tab/>
      </w:r>
      <w:r>
        <w:rPr>
          <w:rFonts w:ascii="黑体" w:eastAsia="黑体"/>
          <w:bCs/>
          <w:sz w:val="44"/>
          <w:szCs w:val="44"/>
        </w:rPr>
        <w:t>投标文件格式</w:t>
      </w:r>
      <w:bookmarkEnd w:id="232"/>
    </w:p>
    <w:p>
      <w:pPr>
        <w:jc w:val="center"/>
        <w:outlineLvl w:val="0"/>
        <w:rPr>
          <w:rFonts w:ascii="黑体" w:eastAsia="黑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黑体" w:hAnsi="华文中宋" w:eastAsia="黑体"/>
          <w:bCs/>
          <w:sz w:val="36"/>
          <w:szCs w:val="36"/>
        </w:rPr>
      </w:pPr>
      <w:r>
        <w:rPr>
          <w:rFonts w:ascii="宋体" w:hAnsi="宋体"/>
          <w:sz w:val="24"/>
        </w:rPr>
        <w:br w:type="page"/>
      </w:r>
      <w:r>
        <w:rPr>
          <w:rFonts w:hint="eastAsia" w:ascii="黑体" w:hAnsi="宋体" w:eastAsia="黑体"/>
          <w:bCs/>
          <w:sz w:val="52"/>
          <w:szCs w:val="52"/>
          <w:lang w:val="en-US" w:eastAsia="zh-CN"/>
        </w:rPr>
        <w:t>田园综合体小召乡绰韩村村道改建工程</w:t>
      </w:r>
    </w:p>
    <w:p>
      <w:pPr>
        <w:spacing w:line="360" w:lineRule="auto"/>
        <w:rPr>
          <w:rFonts w:ascii="黑体" w:hAnsi="华文中宋" w:eastAsia="黑体"/>
          <w:sz w:val="36"/>
          <w:szCs w:val="36"/>
        </w:rPr>
      </w:pPr>
    </w:p>
    <w:p>
      <w:pPr>
        <w:spacing w:line="360" w:lineRule="auto"/>
        <w:jc w:val="center"/>
        <w:rPr>
          <w:rFonts w:ascii="黑体" w:hAnsi="宋体" w:eastAsia="黑体"/>
          <w:b/>
          <w:color w:val="FF0000"/>
          <w:sz w:val="52"/>
          <w:szCs w:val="52"/>
        </w:rPr>
      </w:pPr>
      <w:r>
        <w:rPr>
          <w:rFonts w:hint="eastAsia" w:ascii="黑体" w:hAnsi="华文中宋" w:eastAsia="黑体"/>
          <w:color w:val="000000" w:themeColor="text1"/>
          <w:sz w:val="36"/>
          <w:szCs w:val="36"/>
        </w:rPr>
        <w:t>建安建工公字〔201</w:t>
      </w:r>
      <w:r>
        <w:rPr>
          <w:rFonts w:hint="eastAsia" w:ascii="黑体" w:hAnsi="华文中宋" w:eastAsia="黑体"/>
          <w:color w:val="000000" w:themeColor="text1"/>
          <w:sz w:val="36"/>
          <w:szCs w:val="36"/>
          <w:lang w:val="en-US" w:eastAsia="zh-CN"/>
        </w:rPr>
        <w:t>8</w:t>
      </w:r>
      <w:r>
        <w:rPr>
          <w:rFonts w:hint="eastAsia" w:ascii="黑体" w:hAnsi="华文中宋" w:eastAsia="黑体"/>
          <w:color w:val="000000" w:themeColor="text1"/>
          <w:sz w:val="36"/>
          <w:szCs w:val="36"/>
        </w:rPr>
        <w:t>〕</w:t>
      </w:r>
      <w:r>
        <w:rPr>
          <w:rFonts w:hint="eastAsia" w:ascii="黑体" w:hAnsi="华文中宋" w:eastAsia="黑体"/>
          <w:color w:val="000000" w:themeColor="text1"/>
          <w:sz w:val="36"/>
          <w:szCs w:val="36"/>
          <w:lang w:val="en-US" w:eastAsia="zh-CN"/>
        </w:rPr>
        <w:t>24</w:t>
      </w:r>
      <w:r>
        <w:rPr>
          <w:rFonts w:hint="eastAsia" w:ascii="黑体" w:hAnsi="华文中宋" w:eastAsia="黑体"/>
          <w:color w:val="000000" w:themeColor="text1"/>
          <w:sz w:val="36"/>
          <w:szCs w:val="36"/>
        </w:rPr>
        <w:t xml:space="preserve">号 </w:t>
      </w:r>
    </w:p>
    <w:p>
      <w:pPr>
        <w:spacing w:line="360" w:lineRule="auto"/>
        <w:jc w:val="center"/>
        <w:rPr>
          <w:rFonts w:ascii="黑体" w:hAnsi="宋体" w:eastAsia="黑体"/>
          <w:b/>
          <w:sz w:val="52"/>
          <w:szCs w:val="52"/>
        </w:rPr>
      </w:pPr>
    </w:p>
    <w:p>
      <w:pPr>
        <w:spacing w:line="360" w:lineRule="auto"/>
        <w:jc w:val="center"/>
        <w:rPr>
          <w:rFonts w:ascii="黑体" w:hAnsi="宋体" w:eastAsia="黑体"/>
          <w:b/>
          <w:sz w:val="44"/>
          <w:szCs w:val="44"/>
        </w:rPr>
      </w:pPr>
      <w:r>
        <w:rPr>
          <w:rFonts w:hint="eastAsia" w:ascii="黑体" w:hAnsi="宋体" w:eastAsia="黑体"/>
          <w:b/>
          <w:sz w:val="72"/>
          <w:szCs w:val="72"/>
        </w:rPr>
        <w:t>投 标 文 件</w:t>
      </w:r>
    </w:p>
    <w:p>
      <w:pPr>
        <w:spacing w:line="360" w:lineRule="auto"/>
        <w:jc w:val="center"/>
        <w:rPr>
          <w:rFonts w:ascii="黑体" w:hAnsi="宋体" w:eastAsia="黑体"/>
          <w:b/>
          <w:sz w:val="44"/>
          <w:szCs w:val="44"/>
        </w:rPr>
      </w:pPr>
      <w:r>
        <w:rPr>
          <w:rFonts w:hint="eastAsia" w:ascii="黑体" w:hAnsi="宋体" w:eastAsia="黑体"/>
          <w:b/>
          <w:sz w:val="44"/>
          <w:szCs w:val="44"/>
        </w:rPr>
        <w:t>（第一信封）</w:t>
      </w:r>
    </w:p>
    <w:p>
      <w:pPr>
        <w:spacing w:line="360" w:lineRule="auto"/>
        <w:jc w:val="center"/>
        <w:rPr>
          <w:rFonts w:ascii="黑体" w:hAnsi="宋体" w:eastAsia="黑体"/>
          <w:b/>
          <w:sz w:val="52"/>
          <w:szCs w:val="52"/>
        </w:rPr>
      </w:pPr>
      <w:r>
        <w:rPr>
          <w:rFonts w:hint="eastAsia" w:ascii="黑体" w:hAnsi="宋体" w:eastAsia="黑体"/>
          <w:b/>
          <w:sz w:val="52"/>
          <w:szCs w:val="52"/>
        </w:rPr>
        <w:t>（商务及技术文件）</w:t>
      </w: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800" w:lineRule="exact"/>
        <w:rPr>
          <w:rFonts w:ascii="黑体" w:hAnsi="宋体" w:eastAsia="黑体"/>
          <w:b/>
          <w:sz w:val="32"/>
          <w:szCs w:val="32"/>
        </w:rPr>
      </w:pPr>
      <w:r>
        <w:rPr>
          <w:rFonts w:hint="eastAsia" w:ascii="黑体" w:hAnsi="宋体" w:eastAsia="黑体"/>
          <w:b/>
          <w:sz w:val="32"/>
          <w:szCs w:val="32"/>
        </w:rPr>
        <w:t xml:space="preserve">            投标人：（盖单位章）</w:t>
      </w:r>
    </w:p>
    <w:p>
      <w:pPr>
        <w:spacing w:line="800" w:lineRule="exact"/>
        <w:ind w:firstLine="1928" w:firstLineChars="600"/>
        <w:jc w:val="both"/>
        <w:rPr>
          <w:rFonts w:ascii="黑体" w:hAnsi="宋体" w:eastAsia="黑体"/>
          <w:b/>
          <w:sz w:val="32"/>
          <w:szCs w:val="32"/>
        </w:rPr>
      </w:pPr>
      <w:r>
        <w:rPr>
          <w:rFonts w:hint="eastAsia" w:ascii="黑体" w:hAnsi="宋体" w:eastAsia="黑体"/>
          <w:b/>
          <w:sz w:val="32"/>
          <w:szCs w:val="32"/>
        </w:rPr>
        <w:t>法定代表人或其委托代理人：（签字）</w:t>
      </w:r>
    </w:p>
    <w:p>
      <w:pPr>
        <w:spacing w:line="800" w:lineRule="exact"/>
        <w:ind w:firstLine="2570" w:firstLineChars="800"/>
        <w:rPr>
          <w:rFonts w:ascii="黑体" w:hAnsi="宋体" w:eastAsia="黑体"/>
          <w:b/>
          <w:sz w:val="32"/>
          <w:szCs w:val="32"/>
        </w:rPr>
      </w:pPr>
      <w:r>
        <w:rPr>
          <w:rFonts w:hint="eastAsia" w:ascii="黑体" w:hAnsi="宋体" w:eastAsia="黑体"/>
          <w:b/>
          <w:sz w:val="32"/>
          <w:szCs w:val="32"/>
        </w:rPr>
        <w:t>年月日</w:t>
      </w:r>
    </w:p>
    <w:p>
      <w:pP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目</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40" w:lineRule="exact"/>
        <w:rPr>
          <w:rFonts w:ascii="宋体" w:hAnsi="宋体"/>
          <w:sz w:val="24"/>
        </w:rPr>
      </w:pPr>
      <w:r>
        <w:rPr>
          <w:rFonts w:hint="eastAsia" w:ascii="宋体" w:hAnsi="宋体"/>
          <w:sz w:val="24"/>
        </w:rPr>
        <w:t>一、</w:t>
      </w:r>
      <w:r>
        <w:rPr>
          <w:rFonts w:ascii="宋体" w:hAnsi="宋体"/>
          <w:sz w:val="24"/>
        </w:rPr>
        <w:t>投标函及投标函附录；</w:t>
      </w:r>
    </w:p>
    <w:p>
      <w:pPr>
        <w:spacing w:line="440" w:lineRule="exact"/>
        <w:rPr>
          <w:rFonts w:ascii="宋体" w:hAnsi="宋体"/>
          <w:sz w:val="24"/>
        </w:rPr>
      </w:pPr>
      <w:r>
        <w:rPr>
          <w:rFonts w:hint="eastAsia" w:ascii="宋体" w:hAnsi="宋体"/>
          <w:sz w:val="24"/>
        </w:rPr>
        <w:t>二、</w:t>
      </w:r>
      <w:r>
        <w:rPr>
          <w:rFonts w:ascii="宋体" w:hAnsi="宋体"/>
          <w:sz w:val="24"/>
        </w:rPr>
        <w:t>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spacing w:line="440" w:lineRule="exact"/>
        <w:rPr>
          <w:rFonts w:ascii="宋体" w:hAnsi="宋体"/>
          <w:sz w:val="24"/>
        </w:rPr>
      </w:pPr>
      <w:r>
        <w:rPr>
          <w:rFonts w:hint="eastAsia" w:ascii="宋体" w:hAnsi="宋体"/>
          <w:sz w:val="24"/>
        </w:rPr>
        <w:t>三、</w:t>
      </w:r>
      <w:r>
        <w:rPr>
          <w:rFonts w:ascii="宋体" w:hAnsi="宋体"/>
          <w:sz w:val="24"/>
        </w:rPr>
        <w:t>投标保证金；</w:t>
      </w:r>
    </w:p>
    <w:p>
      <w:pPr>
        <w:spacing w:line="440" w:lineRule="exact"/>
        <w:rPr>
          <w:rFonts w:ascii="宋体" w:hAnsi="宋体"/>
          <w:sz w:val="24"/>
        </w:rPr>
      </w:pPr>
      <w:r>
        <w:rPr>
          <w:rFonts w:hint="eastAsia" w:ascii="宋体" w:hAnsi="宋体"/>
          <w:sz w:val="24"/>
        </w:rPr>
        <w:t>四、</w:t>
      </w:r>
      <w:r>
        <w:rPr>
          <w:rFonts w:ascii="宋体" w:hAnsi="宋体"/>
          <w:sz w:val="24"/>
        </w:rPr>
        <w:t>施工组织设计；</w:t>
      </w:r>
    </w:p>
    <w:p>
      <w:pPr>
        <w:spacing w:line="440" w:lineRule="exact"/>
        <w:rPr>
          <w:rFonts w:ascii="宋体" w:hAnsi="宋体"/>
          <w:sz w:val="24"/>
        </w:rPr>
      </w:pPr>
      <w:r>
        <w:rPr>
          <w:rFonts w:hint="eastAsia" w:ascii="宋体" w:hAnsi="宋体"/>
          <w:sz w:val="24"/>
        </w:rPr>
        <w:t>五、</w:t>
      </w:r>
      <w:r>
        <w:rPr>
          <w:rFonts w:ascii="宋体" w:hAnsi="宋体"/>
          <w:sz w:val="24"/>
        </w:rPr>
        <w:t>项目管理机构；</w:t>
      </w:r>
    </w:p>
    <w:p>
      <w:pPr>
        <w:spacing w:line="440" w:lineRule="exact"/>
        <w:rPr>
          <w:rFonts w:ascii="宋体" w:hAnsi="宋体"/>
          <w:sz w:val="24"/>
        </w:rPr>
      </w:pPr>
      <w:r>
        <w:rPr>
          <w:rFonts w:hint="eastAsia" w:ascii="宋体" w:hAnsi="宋体"/>
          <w:sz w:val="24"/>
        </w:rPr>
        <w:t>六、</w:t>
      </w:r>
      <w:r>
        <w:rPr>
          <w:rFonts w:ascii="宋体" w:hAnsi="宋体"/>
          <w:sz w:val="24"/>
        </w:rPr>
        <w:t>资格审查资料；</w:t>
      </w:r>
    </w:p>
    <w:p>
      <w:pPr>
        <w:spacing w:line="440" w:lineRule="exact"/>
        <w:rPr>
          <w:rFonts w:ascii="宋体" w:hAnsi="宋体"/>
          <w:sz w:val="24"/>
        </w:rPr>
      </w:pPr>
      <w:r>
        <w:rPr>
          <w:rFonts w:hint="eastAsia" w:ascii="宋体" w:hAnsi="宋体"/>
          <w:sz w:val="24"/>
        </w:rPr>
        <w:t>七、主要进场管理人员和技术人员最低要求；</w:t>
      </w:r>
    </w:p>
    <w:p>
      <w:pPr>
        <w:spacing w:line="440" w:lineRule="exact"/>
        <w:rPr>
          <w:rFonts w:ascii="宋体" w:hAnsi="宋体"/>
          <w:sz w:val="24"/>
        </w:rPr>
      </w:pPr>
      <w:r>
        <w:rPr>
          <w:rFonts w:hint="eastAsia" w:ascii="宋体" w:hAnsi="宋体"/>
          <w:sz w:val="24"/>
        </w:rPr>
        <w:t>八、关键设备最低条件；</w:t>
      </w:r>
    </w:p>
    <w:p>
      <w:pPr>
        <w:spacing w:line="440" w:lineRule="exact"/>
        <w:rPr>
          <w:rFonts w:ascii="宋体" w:hAnsi="宋体"/>
          <w:sz w:val="24"/>
        </w:rPr>
      </w:pPr>
      <w:r>
        <w:rPr>
          <w:rFonts w:hint="eastAsia" w:ascii="宋体" w:hAnsi="宋体"/>
          <w:sz w:val="24"/>
        </w:rPr>
        <w:t>九、农民工工资支付承诺书；</w:t>
      </w:r>
    </w:p>
    <w:p>
      <w:pPr>
        <w:spacing w:line="440" w:lineRule="exact"/>
        <w:rPr>
          <w:rFonts w:ascii="宋体" w:hAnsi="宋体"/>
          <w:sz w:val="24"/>
        </w:rPr>
      </w:pPr>
      <w:r>
        <w:rPr>
          <w:rFonts w:hint="eastAsia" w:ascii="宋体" w:hAnsi="宋体"/>
          <w:sz w:val="24"/>
        </w:rPr>
        <w:t>十、扬尘治理专项承诺书；</w:t>
      </w:r>
    </w:p>
    <w:p>
      <w:pPr>
        <w:spacing w:line="440" w:lineRule="exact"/>
        <w:rPr>
          <w:rFonts w:ascii="宋体" w:hAnsi="宋体"/>
          <w:sz w:val="24"/>
        </w:rPr>
      </w:pPr>
      <w:r>
        <w:rPr>
          <w:rFonts w:hint="eastAsia" w:ascii="宋体" w:hAnsi="宋体"/>
          <w:sz w:val="24"/>
        </w:rPr>
        <w:t>十一、其他材料。</w:t>
      </w:r>
    </w:p>
    <w:p>
      <w:pPr>
        <w:spacing w:line="440" w:lineRule="exact"/>
        <w:rPr>
          <w:rFonts w:ascii="宋体" w:hAnsi="宋体"/>
          <w:sz w:val="24"/>
        </w:rPr>
      </w:pPr>
    </w:p>
    <w:p>
      <w:pPr>
        <w:spacing w:line="440" w:lineRule="exact"/>
        <w:rPr>
          <w:rFonts w:hint="eastAsia" w:ascii="宋体" w:hAnsi="宋体"/>
          <w:sz w:val="24"/>
        </w:rPr>
      </w:pPr>
      <w:r>
        <w:rPr>
          <w:rFonts w:hint="eastAsia" w:ascii="宋体" w:hAnsi="宋体"/>
          <w:sz w:val="24"/>
        </w:rPr>
        <w:t>注：如有本章未提供的格式，承包人可自行编制。</w:t>
      </w:r>
    </w:p>
    <w:p>
      <w:pPr>
        <w:spacing w:line="44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sectPr>
          <w:headerReference r:id="rId6" w:type="default"/>
          <w:footerReference r:id="rId7" w:type="default"/>
          <w:footnotePr>
            <w:numFmt w:val="decimalEnclosedCircleChinese"/>
            <w:numRestart w:val="eachPage"/>
          </w:footnotePr>
          <w:pgSz w:w="11907" w:h="16840"/>
          <w:pgMar w:top="22" w:right="1304" w:bottom="1560" w:left="1304" w:header="720" w:footer="907" w:gutter="0"/>
          <w:pgNumType w:start="1"/>
          <w:cols w:space="720" w:num="1"/>
        </w:sectPr>
      </w:pPr>
    </w:p>
    <w:p>
      <w:pPr>
        <w:pStyle w:val="4"/>
        <w:spacing w:beforeLines="50" w:after="0" w:line="360" w:lineRule="exact"/>
        <w:jc w:val="center"/>
        <w:rPr>
          <w:rFonts w:ascii="黑体" w:hAnsi="宋体" w:eastAsia="黑体"/>
          <w:sz w:val="28"/>
          <w:szCs w:val="28"/>
        </w:rPr>
      </w:pPr>
      <w:bookmarkStart w:id="233" w:name="_Toc4791"/>
      <w:bookmarkStart w:id="234" w:name="_Toc234382957"/>
      <w:bookmarkStart w:id="235" w:name="_Toc485889055"/>
      <w:bookmarkStart w:id="236" w:name="_Toc486277922"/>
      <w:r>
        <w:rPr>
          <w:rFonts w:hint="eastAsia" w:ascii="黑体" w:hAnsi="宋体" w:eastAsia="黑体"/>
          <w:sz w:val="28"/>
          <w:szCs w:val="28"/>
        </w:rPr>
        <w:t>一、投标函及投标函附录</w:t>
      </w:r>
      <w:bookmarkEnd w:id="233"/>
      <w:bookmarkEnd w:id="234"/>
      <w:bookmarkEnd w:id="235"/>
      <w:bookmarkEnd w:id="236"/>
    </w:p>
    <w:p>
      <w:pPr>
        <w:pStyle w:val="4"/>
        <w:spacing w:beforeLines="50" w:after="0" w:line="360" w:lineRule="exact"/>
        <w:jc w:val="center"/>
        <w:rPr>
          <w:rFonts w:ascii="黑体" w:hAnsi="宋体" w:eastAsia="黑体"/>
          <w:sz w:val="28"/>
          <w:szCs w:val="28"/>
        </w:rPr>
      </w:pPr>
      <w:bookmarkStart w:id="237" w:name="_Toc18643"/>
      <w:bookmarkStart w:id="238" w:name="_Toc485889056"/>
      <w:bookmarkStart w:id="239" w:name="_Toc486277923"/>
      <w:bookmarkStart w:id="240" w:name="_Toc234382958"/>
      <w:r>
        <w:rPr>
          <w:rFonts w:hint="eastAsia" w:ascii="黑体" w:hAnsi="宋体" w:eastAsia="黑体"/>
          <w:sz w:val="28"/>
          <w:szCs w:val="28"/>
        </w:rPr>
        <w:t>（一）投标函</w:t>
      </w:r>
      <w:bookmarkEnd w:id="237"/>
      <w:bookmarkEnd w:id="238"/>
      <w:bookmarkEnd w:id="239"/>
      <w:bookmarkEnd w:id="240"/>
    </w:p>
    <w:p>
      <w:pPr>
        <w:spacing w:line="360" w:lineRule="exact"/>
        <w:rPr>
          <w:rFonts w:ascii="宋体" w:hAnsi="宋体"/>
          <w:sz w:val="24"/>
        </w:rPr>
      </w:pPr>
    </w:p>
    <w:p>
      <w:pPr>
        <w:spacing w:line="360" w:lineRule="exact"/>
        <w:rPr>
          <w:rFonts w:ascii="宋体" w:hAnsi="宋体"/>
          <w:sz w:val="24"/>
        </w:rPr>
      </w:pPr>
      <w:r>
        <w:rPr>
          <w:rFonts w:ascii="宋体" w:hAnsi="宋体"/>
          <w:sz w:val="24"/>
        </w:rPr>
        <w:t>（招标人名称）：</w:t>
      </w:r>
    </w:p>
    <w:p>
      <w:pPr>
        <w:spacing w:line="360" w:lineRule="exact"/>
        <w:ind w:firstLine="480" w:firstLineChars="200"/>
        <w:rPr>
          <w:rFonts w:ascii="宋体" w:hAnsi="宋体"/>
          <w:sz w:val="24"/>
        </w:rPr>
      </w:pPr>
      <w:r>
        <w:rPr>
          <w:rFonts w:hint="eastAsia" w:ascii="宋体" w:hAnsi="宋体"/>
          <w:sz w:val="24"/>
        </w:rPr>
        <w:t>1．我方已仔细研究___________________________________(项目名称) 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随同本投标函提交投标保证金一份，金额为人民币（大写）元（¥）。</w:t>
      </w:r>
    </w:p>
    <w:p>
      <w:pPr>
        <w:spacing w:line="36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exact"/>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exact"/>
        <w:ind w:firstLine="480" w:firstLineChars="200"/>
        <w:rPr>
          <w:rFonts w:ascii="宋体" w:hAnsi="宋体"/>
          <w:sz w:val="24"/>
        </w:rPr>
      </w:pPr>
      <w:r>
        <w:rPr>
          <w:rFonts w:ascii="宋体" w:hAnsi="宋体"/>
          <w:sz w:val="24"/>
        </w:rPr>
        <w:t>（2）随同本投标函递交的投标函附录属于合同文件的组成部分。</w:t>
      </w:r>
    </w:p>
    <w:p>
      <w:pPr>
        <w:spacing w:line="360" w:lineRule="exact"/>
        <w:ind w:firstLine="480" w:firstLineChars="200"/>
        <w:rPr>
          <w:rFonts w:ascii="宋体" w:hAnsi="宋体"/>
          <w:sz w:val="24"/>
        </w:rPr>
      </w:pPr>
      <w:r>
        <w:rPr>
          <w:rFonts w:ascii="宋体" w:hAnsi="宋体"/>
          <w:sz w:val="24"/>
        </w:rPr>
        <w:t>（3）我方承诺按照招标文件规定向你方递交履约担保。</w:t>
      </w:r>
    </w:p>
    <w:p>
      <w:pPr>
        <w:spacing w:line="360" w:lineRule="exact"/>
        <w:ind w:firstLine="480" w:firstLineChars="200"/>
        <w:rPr>
          <w:rFonts w:ascii="宋体" w:hAnsi="宋体"/>
          <w:sz w:val="24"/>
        </w:rPr>
      </w:pPr>
      <w:r>
        <w:rPr>
          <w:rFonts w:ascii="宋体" w:hAnsi="宋体"/>
          <w:sz w:val="24"/>
        </w:rPr>
        <w:t>（4）我方承诺在合同约定的期限内完成并移交全部合同工程。</w:t>
      </w:r>
    </w:p>
    <w:p>
      <w:pPr>
        <w:spacing w:line="360"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sz w:val="24"/>
        </w:rPr>
      </w:pPr>
      <w:r>
        <w:rPr>
          <w:rFonts w:hint="eastAsia" w:ascii="宋体" w:hAnsi="宋体"/>
          <w:sz w:val="24"/>
        </w:rPr>
        <w:t>7.</w:t>
      </w:r>
      <w:r>
        <w:rPr>
          <w:rFonts w:ascii="宋体" w:hAnsi="宋体"/>
          <w:sz w:val="24"/>
        </w:rPr>
        <w:t>（其他补充说明）。</w:t>
      </w:r>
    </w:p>
    <w:p>
      <w:pPr>
        <w:spacing w:line="360" w:lineRule="exact"/>
        <w:rPr>
          <w:rFonts w:ascii="宋体" w:hAnsi="宋体"/>
          <w:sz w:val="18"/>
          <w:szCs w:val="18"/>
        </w:rPr>
      </w:pPr>
    </w:p>
    <w:p>
      <w:pPr>
        <w:spacing w:line="360" w:lineRule="exact"/>
        <w:rPr>
          <w:rFonts w:ascii="宋体" w:hAnsi="宋体"/>
          <w:sz w:val="18"/>
          <w:szCs w:val="18"/>
        </w:rPr>
      </w:pPr>
    </w:p>
    <w:p>
      <w:pPr>
        <w:tabs>
          <w:tab w:val="left" w:pos="2977"/>
          <w:tab w:val="left" w:pos="3261"/>
        </w:tabs>
        <w:spacing w:line="360" w:lineRule="exact"/>
        <w:rPr>
          <w:rFonts w:ascii="宋体" w:hAnsi="宋体"/>
          <w:sz w:val="24"/>
        </w:rPr>
      </w:pPr>
      <w:r>
        <w:rPr>
          <w:rFonts w:ascii="宋体" w:hAnsi="宋体"/>
          <w:sz w:val="24"/>
        </w:rPr>
        <w:t>投标人：（盖单位章）</w:t>
      </w:r>
    </w:p>
    <w:p>
      <w:pPr>
        <w:spacing w:line="360" w:lineRule="exact"/>
        <w:rPr>
          <w:rFonts w:ascii="宋体" w:hAnsi="宋体"/>
          <w:sz w:val="24"/>
        </w:rPr>
      </w:pPr>
      <w:r>
        <w:rPr>
          <w:rFonts w:ascii="宋体" w:hAnsi="宋体"/>
          <w:sz w:val="24"/>
        </w:rPr>
        <w:t>法定代表人或其委托代理人：（签字）</w:t>
      </w:r>
    </w:p>
    <w:p>
      <w:pPr>
        <w:spacing w:line="360" w:lineRule="exact"/>
        <w:rPr>
          <w:rFonts w:ascii="宋体" w:hAnsi="宋体"/>
          <w:sz w:val="24"/>
        </w:rPr>
      </w:pPr>
      <w:r>
        <w:rPr>
          <w:rFonts w:ascii="宋体" w:hAnsi="宋体"/>
          <w:sz w:val="24"/>
        </w:rPr>
        <w:t>地址：</w:t>
      </w:r>
      <w:r>
        <w:rPr>
          <w:rFonts w:hint="eastAsia" w:ascii="宋体" w:hAnsi="宋体"/>
          <w:sz w:val="24"/>
        </w:rPr>
        <w:t>____________________________</w:t>
      </w:r>
    </w:p>
    <w:p>
      <w:pPr>
        <w:spacing w:line="360" w:lineRule="exact"/>
        <w:ind w:firstLine="3120" w:firstLineChars="1300"/>
        <w:rPr>
          <w:rFonts w:ascii="宋体" w:hAnsi="宋体"/>
          <w:sz w:val="24"/>
        </w:rPr>
      </w:pPr>
      <w:r>
        <w:rPr>
          <w:rFonts w:ascii="宋体" w:hAnsi="宋体"/>
          <w:sz w:val="24"/>
        </w:rPr>
        <w:t>网址：</w:t>
      </w:r>
      <w:r>
        <w:rPr>
          <w:rFonts w:hint="eastAsia" w:ascii="宋体" w:hAnsi="宋体"/>
          <w:sz w:val="24"/>
        </w:rPr>
        <w:t>____________________________</w:t>
      </w:r>
    </w:p>
    <w:p>
      <w:pPr>
        <w:spacing w:line="360" w:lineRule="exact"/>
        <w:rPr>
          <w:rFonts w:ascii="宋体" w:hAnsi="宋体"/>
          <w:sz w:val="24"/>
        </w:rPr>
      </w:pPr>
      <w:r>
        <w:rPr>
          <w:rFonts w:ascii="宋体" w:hAnsi="宋体"/>
          <w:sz w:val="24"/>
        </w:rPr>
        <w:t>电话：</w:t>
      </w:r>
      <w:r>
        <w:rPr>
          <w:rFonts w:hint="eastAsia" w:ascii="宋体" w:hAnsi="宋体"/>
          <w:sz w:val="24"/>
        </w:rPr>
        <w:t>____________________________</w:t>
      </w:r>
    </w:p>
    <w:p>
      <w:pPr>
        <w:spacing w:line="360" w:lineRule="exact"/>
        <w:rPr>
          <w:rFonts w:ascii="宋体" w:hAnsi="宋体"/>
          <w:sz w:val="24"/>
        </w:rPr>
      </w:pPr>
      <w:r>
        <w:rPr>
          <w:rFonts w:ascii="宋体" w:hAnsi="宋体"/>
          <w:sz w:val="24"/>
        </w:rPr>
        <w:t>传真：</w:t>
      </w:r>
      <w:r>
        <w:rPr>
          <w:rFonts w:hint="eastAsia" w:ascii="宋体" w:hAnsi="宋体"/>
          <w:sz w:val="24"/>
        </w:rPr>
        <w:t>____________________________</w:t>
      </w:r>
    </w:p>
    <w:p>
      <w:pPr>
        <w:spacing w:line="360" w:lineRule="exact"/>
        <w:rPr>
          <w:rFonts w:ascii="宋体" w:hAnsi="宋体"/>
          <w:sz w:val="24"/>
        </w:rPr>
      </w:pPr>
      <w:r>
        <w:rPr>
          <w:rFonts w:ascii="宋体" w:hAnsi="宋体"/>
          <w:sz w:val="24"/>
        </w:rPr>
        <w:t>邮政编码：</w:t>
      </w:r>
      <w:r>
        <w:rPr>
          <w:rFonts w:hint="eastAsia" w:ascii="宋体" w:hAnsi="宋体"/>
          <w:sz w:val="24"/>
        </w:rPr>
        <w:t>____________________________</w:t>
      </w:r>
    </w:p>
    <w:p>
      <w:pPr>
        <w:spacing w:line="360" w:lineRule="exact"/>
        <w:rPr>
          <w:rFonts w:ascii="宋体" w:hAnsi="宋体"/>
          <w:sz w:val="24"/>
        </w:rPr>
      </w:pPr>
    </w:p>
    <w:p>
      <w:pPr>
        <w:spacing w:line="360" w:lineRule="exact"/>
        <w:rPr>
          <w:rFonts w:ascii="宋体" w:hAnsi="宋体"/>
          <w:sz w:val="24"/>
        </w:rPr>
      </w:pPr>
      <w:r>
        <w:rPr>
          <w:rFonts w:ascii="宋体" w:hAnsi="宋体"/>
          <w:sz w:val="24"/>
        </w:rPr>
        <w:t>年月日</w:t>
      </w:r>
    </w:p>
    <w:p>
      <w:pPr>
        <w:pStyle w:val="4"/>
        <w:spacing w:beforeLines="50" w:afterLines="100" w:line="360" w:lineRule="exact"/>
        <w:jc w:val="center"/>
        <w:rPr>
          <w:sz w:val="24"/>
        </w:rPr>
      </w:pPr>
      <w:r>
        <w:rPr>
          <w:rFonts w:ascii="宋体" w:hAnsi="宋体"/>
          <w:sz w:val="24"/>
        </w:rPr>
        <w:br w:type="page"/>
      </w:r>
      <w:bookmarkStart w:id="241" w:name="_Toc234382959"/>
      <w:bookmarkStart w:id="242" w:name="_Toc5832"/>
      <w:bookmarkStart w:id="243" w:name="_Toc485889057"/>
      <w:bookmarkStart w:id="244" w:name="_Toc486277924"/>
      <w:r>
        <w:rPr>
          <w:rFonts w:hint="eastAsia" w:ascii="黑体" w:hAnsi="宋体" w:eastAsia="黑体"/>
          <w:sz w:val="28"/>
          <w:szCs w:val="28"/>
        </w:rPr>
        <w:t>（二）投标函附录</w:t>
      </w:r>
      <w:bookmarkEnd w:id="241"/>
      <w:bookmarkEnd w:id="242"/>
      <w:bookmarkEnd w:id="243"/>
      <w:bookmarkEnd w:id="244"/>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jc w:val="center"/>
              <w:rPr>
                <w:rFonts w:ascii="宋体" w:hAnsi="宋体"/>
                <w:szCs w:val="21"/>
              </w:rPr>
            </w:pPr>
            <w:r>
              <w:rPr>
                <w:rFonts w:hint="eastAsia" w:ascii="宋体" w:hAnsi="宋体"/>
                <w:szCs w:val="21"/>
              </w:rPr>
              <w:t>序号</w:t>
            </w:r>
          </w:p>
        </w:tc>
        <w:tc>
          <w:tcPr>
            <w:tcW w:w="2693" w:type="dxa"/>
            <w:vAlign w:val="center"/>
          </w:tcPr>
          <w:p>
            <w:pPr>
              <w:jc w:val="center"/>
              <w:rPr>
                <w:rFonts w:ascii="宋体" w:hAnsi="宋体"/>
                <w:szCs w:val="21"/>
              </w:rPr>
            </w:pPr>
            <w:r>
              <w:rPr>
                <w:rFonts w:hint="eastAsia" w:ascii="宋体" w:hAnsi="宋体"/>
                <w:szCs w:val="21"/>
              </w:rPr>
              <w:t>条款名称</w:t>
            </w:r>
          </w:p>
        </w:tc>
        <w:tc>
          <w:tcPr>
            <w:tcW w:w="1417" w:type="dxa"/>
            <w:vAlign w:val="center"/>
          </w:tcPr>
          <w:p>
            <w:pPr>
              <w:jc w:val="center"/>
              <w:rPr>
                <w:rFonts w:ascii="宋体" w:hAnsi="宋体"/>
                <w:szCs w:val="21"/>
              </w:rPr>
            </w:pPr>
            <w:r>
              <w:rPr>
                <w:rFonts w:hint="eastAsia" w:ascii="宋体" w:hAnsi="宋体"/>
                <w:szCs w:val="21"/>
              </w:rPr>
              <w:t>合同条目号</w:t>
            </w:r>
          </w:p>
        </w:tc>
        <w:tc>
          <w:tcPr>
            <w:tcW w:w="3686" w:type="dxa"/>
            <w:vAlign w:val="center"/>
          </w:tcPr>
          <w:p>
            <w:pPr>
              <w:jc w:val="center"/>
              <w:rPr>
                <w:rFonts w:ascii="宋体" w:hAnsi="宋体"/>
                <w:szCs w:val="21"/>
              </w:rPr>
            </w:pPr>
            <w:r>
              <w:rPr>
                <w:rFonts w:hint="eastAsia" w:ascii="宋体" w:hAnsi="宋体"/>
                <w:szCs w:val="21"/>
              </w:rPr>
              <w:t>约定内容</w:t>
            </w:r>
          </w:p>
        </w:tc>
        <w:tc>
          <w:tcPr>
            <w:tcW w:w="1190" w:type="dxa"/>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jc w:val="center"/>
              <w:rPr>
                <w:rFonts w:ascii="宋体" w:hAnsi="宋体"/>
                <w:color w:val="000000" w:themeColor="text1"/>
                <w:szCs w:val="21"/>
              </w:rPr>
            </w:pPr>
            <w:r>
              <w:rPr>
                <w:rFonts w:hint="eastAsia" w:ascii="宋体" w:hAnsi="宋体"/>
                <w:color w:val="000000" w:themeColor="text1"/>
                <w:szCs w:val="21"/>
              </w:rPr>
              <w:t>1</w:t>
            </w:r>
          </w:p>
        </w:tc>
        <w:tc>
          <w:tcPr>
            <w:tcW w:w="2693" w:type="dxa"/>
            <w:vAlign w:val="center"/>
          </w:tcPr>
          <w:p>
            <w:pPr>
              <w:jc w:val="center"/>
              <w:rPr>
                <w:rFonts w:ascii="宋体" w:hAnsi="宋体"/>
                <w:color w:val="000000" w:themeColor="text1"/>
                <w:szCs w:val="21"/>
              </w:rPr>
            </w:pPr>
            <w:r>
              <w:rPr>
                <w:rFonts w:hint="eastAsia" w:ascii="宋体" w:hAnsi="宋体"/>
                <w:color w:val="000000" w:themeColor="text1"/>
                <w:szCs w:val="21"/>
              </w:rPr>
              <w:t>项目经理</w:t>
            </w:r>
          </w:p>
        </w:tc>
        <w:tc>
          <w:tcPr>
            <w:tcW w:w="1417" w:type="dxa"/>
            <w:vAlign w:val="center"/>
          </w:tcPr>
          <w:p>
            <w:pPr>
              <w:jc w:val="center"/>
              <w:rPr>
                <w:rFonts w:ascii="宋体" w:hAnsi="宋体"/>
                <w:color w:val="000000" w:themeColor="text1"/>
                <w:szCs w:val="21"/>
              </w:rPr>
            </w:pPr>
          </w:p>
        </w:tc>
        <w:tc>
          <w:tcPr>
            <w:tcW w:w="3686" w:type="dxa"/>
            <w:vAlign w:val="center"/>
          </w:tcPr>
          <w:p>
            <w:pPr>
              <w:ind w:firstLine="210" w:firstLineChars="100"/>
              <w:rPr>
                <w:rFonts w:ascii="宋体" w:hAnsi="宋体"/>
                <w:color w:val="000000" w:themeColor="text1"/>
                <w:szCs w:val="21"/>
              </w:rPr>
            </w:pPr>
            <w:r>
              <w:rPr>
                <w:rFonts w:hint="eastAsia" w:ascii="宋体" w:hAnsi="宋体"/>
                <w:color w:val="000000" w:themeColor="text1"/>
                <w:szCs w:val="21"/>
              </w:rPr>
              <w:t>姓名：</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jc w:val="center"/>
              <w:rPr>
                <w:rFonts w:ascii="宋体" w:hAnsi="宋体"/>
                <w:color w:val="000000" w:themeColor="text1"/>
                <w:szCs w:val="21"/>
              </w:rPr>
            </w:pPr>
            <w:r>
              <w:rPr>
                <w:rFonts w:hint="eastAsia" w:ascii="宋体" w:hAnsi="宋体"/>
                <w:color w:val="000000" w:themeColor="text1"/>
                <w:szCs w:val="21"/>
              </w:rPr>
              <w:t>2</w:t>
            </w:r>
          </w:p>
        </w:tc>
        <w:tc>
          <w:tcPr>
            <w:tcW w:w="2693" w:type="dxa"/>
            <w:vAlign w:val="center"/>
          </w:tcPr>
          <w:p>
            <w:pPr>
              <w:jc w:val="center"/>
              <w:rPr>
                <w:rFonts w:ascii="宋体" w:hAnsi="宋体"/>
                <w:color w:val="000000" w:themeColor="text1"/>
                <w:szCs w:val="21"/>
              </w:rPr>
            </w:pPr>
            <w:r>
              <w:rPr>
                <w:rFonts w:hint="eastAsia" w:ascii="宋体" w:hAnsi="宋体"/>
                <w:color w:val="000000" w:themeColor="text1"/>
                <w:szCs w:val="21"/>
              </w:rPr>
              <w:t>工期</w:t>
            </w:r>
          </w:p>
        </w:tc>
        <w:tc>
          <w:tcPr>
            <w:tcW w:w="1417" w:type="dxa"/>
            <w:vAlign w:val="center"/>
          </w:tcPr>
          <w:p>
            <w:pPr>
              <w:jc w:val="center"/>
              <w:rPr>
                <w:rFonts w:ascii="宋体" w:hAnsi="宋体"/>
                <w:color w:val="000000" w:themeColor="text1"/>
                <w:szCs w:val="21"/>
              </w:rPr>
            </w:pPr>
            <w:r>
              <w:rPr>
                <w:rFonts w:hint="eastAsia" w:ascii="宋体" w:hAnsi="宋体"/>
                <w:color w:val="000000" w:themeColor="text1"/>
                <w:szCs w:val="21"/>
              </w:rPr>
              <w:t>1.1.4.3</w:t>
            </w:r>
          </w:p>
        </w:tc>
        <w:tc>
          <w:tcPr>
            <w:tcW w:w="3686" w:type="dxa"/>
            <w:vAlign w:val="center"/>
          </w:tcPr>
          <w:p>
            <w:pPr>
              <w:ind w:firstLine="210" w:firstLineChars="100"/>
              <w:rPr>
                <w:rFonts w:ascii="宋体" w:hAnsi="宋体"/>
                <w:color w:val="000000" w:themeColor="text1"/>
                <w:szCs w:val="21"/>
              </w:rPr>
            </w:pPr>
            <w:r>
              <w:rPr>
                <w:rFonts w:hint="eastAsia" w:ascii="宋体" w:hAnsi="宋体"/>
                <w:color w:val="000000" w:themeColor="text1"/>
                <w:szCs w:val="21"/>
              </w:rPr>
              <w:t>天数：</w:t>
            </w:r>
            <w:r>
              <w:rPr>
                <w:rFonts w:hint="eastAsia" w:ascii="宋体" w:hAnsi="宋体"/>
                <w:color w:val="000000" w:themeColor="text1"/>
                <w:szCs w:val="21"/>
                <w:u w:val="single"/>
              </w:rPr>
              <w:t xml:space="preserve">       日历天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2693" w:type="dxa"/>
            <w:vAlign w:val="center"/>
          </w:tcPr>
          <w:p>
            <w:pPr>
              <w:jc w:val="center"/>
              <w:rPr>
                <w:rFonts w:ascii="宋体" w:hAnsi="宋体"/>
                <w:color w:val="000000" w:themeColor="text1"/>
                <w:szCs w:val="21"/>
              </w:rPr>
            </w:pPr>
            <w:r>
              <w:rPr>
                <w:rFonts w:hint="eastAsia" w:ascii="宋体" w:hAnsi="宋体"/>
                <w:color w:val="000000" w:themeColor="text1"/>
                <w:szCs w:val="21"/>
              </w:rPr>
              <w:t>缺陷责任期</w:t>
            </w:r>
          </w:p>
        </w:tc>
        <w:tc>
          <w:tcPr>
            <w:tcW w:w="1417" w:type="dxa"/>
            <w:vAlign w:val="center"/>
          </w:tcPr>
          <w:p>
            <w:pPr>
              <w:jc w:val="center"/>
              <w:rPr>
                <w:rFonts w:ascii="宋体" w:hAnsi="宋体"/>
                <w:color w:val="000000" w:themeColor="text1"/>
                <w:szCs w:val="21"/>
              </w:rPr>
            </w:pPr>
            <w:r>
              <w:rPr>
                <w:rFonts w:hint="eastAsia" w:ascii="宋体" w:hAnsi="宋体"/>
                <w:color w:val="000000" w:themeColor="text1"/>
                <w:szCs w:val="21"/>
              </w:rPr>
              <w:t>1.1.4.5</w:t>
            </w:r>
          </w:p>
        </w:tc>
        <w:tc>
          <w:tcPr>
            <w:tcW w:w="3686" w:type="dxa"/>
            <w:vAlign w:val="center"/>
          </w:tcPr>
          <w:p>
            <w:pPr>
              <w:ind w:firstLine="210" w:firstLineChars="100"/>
              <w:rPr>
                <w:rFonts w:ascii="宋体" w:hAnsi="宋体"/>
                <w:color w:val="000000" w:themeColor="text1"/>
                <w:szCs w:val="21"/>
              </w:rPr>
            </w:pPr>
            <w:r>
              <w:rPr>
                <w:rFonts w:hint="eastAsia" w:ascii="宋体" w:hAnsi="宋体"/>
                <w:color w:val="000000" w:themeColor="text1"/>
                <w:szCs w:val="21"/>
              </w:rPr>
              <w:t>自实际交工日期起计算</w:t>
            </w:r>
            <w:r>
              <w:rPr>
                <w:rFonts w:hint="eastAsia" w:ascii="宋体" w:hAnsi="宋体"/>
                <w:color w:val="000000" w:themeColor="text1"/>
                <w:szCs w:val="21"/>
                <w:u w:val="single"/>
              </w:rPr>
              <w:t xml:space="preserve">  2  </w:t>
            </w:r>
            <w:r>
              <w:rPr>
                <w:rFonts w:hint="eastAsia" w:ascii="宋体" w:hAnsi="宋体"/>
                <w:color w:val="000000" w:themeColor="text1"/>
                <w:szCs w:val="21"/>
              </w:rPr>
              <w:t>年</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jc w:val="center"/>
              <w:rPr>
                <w:rFonts w:ascii="宋体" w:hAnsi="宋体"/>
                <w:szCs w:val="21"/>
              </w:rPr>
            </w:pPr>
            <w:r>
              <w:rPr>
                <w:rFonts w:hint="eastAsia" w:ascii="宋体" w:hAnsi="宋体"/>
                <w:szCs w:val="21"/>
              </w:rPr>
              <w:t>4</w:t>
            </w:r>
          </w:p>
        </w:tc>
        <w:tc>
          <w:tcPr>
            <w:tcW w:w="2693" w:type="dxa"/>
            <w:vAlign w:val="center"/>
          </w:tcPr>
          <w:p>
            <w:pPr>
              <w:jc w:val="center"/>
              <w:rPr>
                <w:rFonts w:ascii="宋体" w:hAnsi="宋体"/>
                <w:szCs w:val="21"/>
              </w:rPr>
            </w:pPr>
            <w:r>
              <w:rPr>
                <w:rFonts w:hint="eastAsia" w:ascii="宋体" w:hAnsi="宋体"/>
                <w:szCs w:val="21"/>
              </w:rPr>
              <w:t>逾期交工违约金</w:t>
            </w:r>
          </w:p>
        </w:tc>
        <w:tc>
          <w:tcPr>
            <w:tcW w:w="1417" w:type="dxa"/>
            <w:vAlign w:val="center"/>
          </w:tcPr>
          <w:p>
            <w:pPr>
              <w:jc w:val="cente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5</w:t>
            </w:r>
          </w:p>
        </w:tc>
        <w:tc>
          <w:tcPr>
            <w:tcW w:w="2693" w:type="dxa"/>
            <w:vAlign w:val="center"/>
          </w:tcPr>
          <w:p>
            <w:pPr>
              <w:jc w:val="center"/>
              <w:rPr>
                <w:rFonts w:ascii="宋体" w:hAnsi="宋体"/>
                <w:szCs w:val="21"/>
              </w:rPr>
            </w:pPr>
            <w:r>
              <w:rPr>
                <w:rFonts w:hint="eastAsia" w:ascii="宋体" w:hAnsi="宋体"/>
                <w:szCs w:val="21"/>
              </w:rPr>
              <w:t>逾期交工违约金限额</w:t>
            </w:r>
          </w:p>
        </w:tc>
        <w:tc>
          <w:tcPr>
            <w:tcW w:w="1417" w:type="dxa"/>
            <w:vAlign w:val="center"/>
          </w:tcPr>
          <w:p>
            <w:pPr>
              <w:jc w:val="cente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602" w:hRule="exact"/>
          <w:jc w:val="center"/>
        </w:trPr>
        <w:tc>
          <w:tcPr>
            <w:tcW w:w="653" w:type="dxa"/>
            <w:vAlign w:val="center"/>
          </w:tcPr>
          <w:p>
            <w:pPr>
              <w:jc w:val="center"/>
              <w:rPr>
                <w:rFonts w:ascii="宋体" w:hAnsi="宋体"/>
                <w:szCs w:val="21"/>
              </w:rPr>
            </w:pPr>
            <w:r>
              <w:rPr>
                <w:rFonts w:hint="eastAsia" w:ascii="宋体" w:hAnsi="宋体"/>
                <w:szCs w:val="21"/>
              </w:rPr>
              <w:t>6</w:t>
            </w:r>
          </w:p>
        </w:tc>
        <w:tc>
          <w:tcPr>
            <w:tcW w:w="2693" w:type="dxa"/>
            <w:vAlign w:val="center"/>
          </w:tcPr>
          <w:p>
            <w:pPr>
              <w:jc w:val="center"/>
              <w:rPr>
                <w:rFonts w:ascii="宋体" w:hAnsi="宋体"/>
                <w:szCs w:val="21"/>
              </w:rPr>
            </w:pPr>
            <w:r>
              <w:rPr>
                <w:rFonts w:hint="eastAsia" w:ascii="宋体" w:hAnsi="宋体"/>
                <w:szCs w:val="21"/>
              </w:rPr>
              <w:t>提前交工的奖金</w:t>
            </w:r>
          </w:p>
        </w:tc>
        <w:tc>
          <w:tcPr>
            <w:tcW w:w="1417" w:type="dxa"/>
            <w:vAlign w:val="center"/>
          </w:tcPr>
          <w:p>
            <w:pPr>
              <w:jc w:val="cente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7</w:t>
            </w:r>
          </w:p>
        </w:tc>
        <w:tc>
          <w:tcPr>
            <w:tcW w:w="2693" w:type="dxa"/>
            <w:vAlign w:val="center"/>
          </w:tcPr>
          <w:p>
            <w:pPr>
              <w:jc w:val="center"/>
              <w:rPr>
                <w:rFonts w:ascii="宋体" w:hAnsi="宋体"/>
                <w:szCs w:val="21"/>
              </w:rPr>
            </w:pPr>
            <w:r>
              <w:rPr>
                <w:rFonts w:hint="eastAsia" w:ascii="宋体" w:hAnsi="宋体"/>
                <w:szCs w:val="21"/>
              </w:rPr>
              <w:t>提前交工的奖金限额</w:t>
            </w:r>
          </w:p>
        </w:tc>
        <w:tc>
          <w:tcPr>
            <w:tcW w:w="1417" w:type="dxa"/>
            <w:vAlign w:val="center"/>
          </w:tcPr>
          <w:p>
            <w:pPr>
              <w:jc w:val="cente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8</w:t>
            </w:r>
          </w:p>
        </w:tc>
        <w:tc>
          <w:tcPr>
            <w:tcW w:w="2693" w:type="dxa"/>
            <w:vAlign w:val="center"/>
          </w:tcPr>
          <w:p>
            <w:pPr>
              <w:jc w:val="center"/>
              <w:rPr>
                <w:rFonts w:ascii="宋体" w:hAnsi="宋体"/>
                <w:szCs w:val="21"/>
              </w:rPr>
            </w:pPr>
            <w:r>
              <w:rPr>
                <w:rFonts w:hint="eastAsia" w:ascii="宋体" w:hAnsi="宋体"/>
                <w:szCs w:val="21"/>
              </w:rPr>
              <w:t>价格调整的差额计算</w:t>
            </w:r>
          </w:p>
        </w:tc>
        <w:tc>
          <w:tcPr>
            <w:tcW w:w="1417" w:type="dxa"/>
            <w:vAlign w:val="center"/>
          </w:tcPr>
          <w:p>
            <w:pPr>
              <w:jc w:val="center"/>
              <w:rPr>
                <w:rFonts w:ascii="宋体" w:hAnsi="宋体"/>
                <w:szCs w:val="21"/>
              </w:rPr>
            </w:pPr>
            <w:r>
              <w:rPr>
                <w:rFonts w:hint="eastAsia" w:ascii="宋体" w:hAnsi="宋体"/>
                <w:szCs w:val="21"/>
              </w:rPr>
              <w:t>16.1.1</w:t>
            </w:r>
          </w:p>
        </w:tc>
        <w:tc>
          <w:tcPr>
            <w:tcW w:w="3686" w:type="dxa"/>
            <w:vAlign w:val="center"/>
          </w:tcPr>
          <w:p>
            <w:pPr>
              <w:ind w:firstLine="210" w:firstLineChars="100"/>
              <w:rPr>
                <w:rFonts w:ascii="宋体" w:hAnsi="宋体"/>
                <w:szCs w:val="21"/>
              </w:rPr>
            </w:pPr>
            <w:r>
              <w:rPr>
                <w:rFonts w:hint="eastAsia" w:ascii="宋体" w:hAnsi="宋体"/>
                <w:szCs w:val="21"/>
              </w:rPr>
              <w:t>见价格指数和权重表</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9</w:t>
            </w:r>
          </w:p>
        </w:tc>
        <w:tc>
          <w:tcPr>
            <w:tcW w:w="2693" w:type="dxa"/>
            <w:vAlign w:val="center"/>
          </w:tcPr>
          <w:p>
            <w:pPr>
              <w:jc w:val="center"/>
              <w:rPr>
                <w:rFonts w:ascii="宋体" w:hAnsi="宋体"/>
                <w:szCs w:val="21"/>
              </w:rPr>
            </w:pPr>
            <w:r>
              <w:rPr>
                <w:rFonts w:hint="eastAsia" w:ascii="宋体" w:hAnsi="宋体"/>
                <w:szCs w:val="21"/>
              </w:rPr>
              <w:t>开工预付款金额</w:t>
            </w:r>
          </w:p>
        </w:tc>
        <w:tc>
          <w:tcPr>
            <w:tcW w:w="1417" w:type="dxa"/>
            <w:vAlign w:val="center"/>
          </w:tcPr>
          <w:p>
            <w:pPr>
              <w:jc w:val="cente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jc w:val="center"/>
              <w:rPr>
                <w:rFonts w:ascii="宋体" w:hAnsi="宋体"/>
                <w:szCs w:val="21"/>
              </w:rPr>
            </w:pPr>
            <w:r>
              <w:rPr>
                <w:rFonts w:hint="eastAsia" w:ascii="宋体" w:hAnsi="宋体"/>
                <w:szCs w:val="21"/>
              </w:rPr>
              <w:t>10</w:t>
            </w:r>
          </w:p>
        </w:tc>
        <w:tc>
          <w:tcPr>
            <w:tcW w:w="2693" w:type="dxa"/>
            <w:vAlign w:val="center"/>
          </w:tcPr>
          <w:p>
            <w:pPr>
              <w:jc w:val="center"/>
              <w:rPr>
                <w:rFonts w:ascii="宋体" w:hAnsi="宋体"/>
                <w:szCs w:val="21"/>
              </w:rPr>
            </w:pPr>
            <w:r>
              <w:rPr>
                <w:rFonts w:hint="eastAsia" w:ascii="宋体" w:hAnsi="宋体"/>
                <w:szCs w:val="21"/>
              </w:rPr>
              <w:t>材料、设备预付款</w:t>
            </w:r>
          </w:p>
        </w:tc>
        <w:tc>
          <w:tcPr>
            <w:tcW w:w="1417" w:type="dxa"/>
            <w:vAlign w:val="center"/>
          </w:tcPr>
          <w:p>
            <w:pPr>
              <w:jc w:val="cente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11</w:t>
            </w:r>
          </w:p>
        </w:tc>
        <w:tc>
          <w:tcPr>
            <w:tcW w:w="2693" w:type="dxa"/>
            <w:vAlign w:val="center"/>
          </w:tcPr>
          <w:p>
            <w:pPr>
              <w:jc w:val="center"/>
              <w:rPr>
                <w:rFonts w:ascii="宋体" w:hAnsi="宋体"/>
                <w:szCs w:val="21"/>
              </w:rPr>
            </w:pPr>
            <w:r>
              <w:rPr>
                <w:rFonts w:hint="eastAsia" w:ascii="宋体" w:hAnsi="宋体"/>
                <w:szCs w:val="21"/>
              </w:rPr>
              <w:t>进度付款证书最低限额</w:t>
            </w:r>
          </w:p>
        </w:tc>
        <w:tc>
          <w:tcPr>
            <w:tcW w:w="1417" w:type="dxa"/>
            <w:vAlign w:val="center"/>
          </w:tcPr>
          <w:p>
            <w:pPr>
              <w:jc w:val="cente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12</w:t>
            </w:r>
          </w:p>
        </w:tc>
        <w:tc>
          <w:tcPr>
            <w:tcW w:w="2693" w:type="dxa"/>
            <w:vAlign w:val="center"/>
          </w:tcPr>
          <w:p>
            <w:pPr>
              <w:jc w:val="center"/>
              <w:rPr>
                <w:rFonts w:ascii="宋体" w:hAnsi="宋体"/>
                <w:szCs w:val="21"/>
              </w:rPr>
            </w:pPr>
            <w:r>
              <w:rPr>
                <w:rFonts w:hint="eastAsia" w:ascii="宋体" w:hAnsi="宋体"/>
                <w:szCs w:val="21"/>
              </w:rPr>
              <w:t>逾期付款违约金的利率</w:t>
            </w:r>
          </w:p>
        </w:tc>
        <w:tc>
          <w:tcPr>
            <w:tcW w:w="1417" w:type="dxa"/>
            <w:vAlign w:val="center"/>
          </w:tcPr>
          <w:p>
            <w:pPr>
              <w:jc w:val="cente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jc w:val="center"/>
              <w:rPr>
                <w:rFonts w:ascii="宋体" w:hAnsi="宋体"/>
                <w:szCs w:val="21"/>
              </w:rPr>
            </w:pPr>
            <w:r>
              <w:rPr>
                <w:rFonts w:hint="eastAsia" w:ascii="宋体" w:hAnsi="宋体"/>
                <w:szCs w:val="21"/>
              </w:rPr>
              <w:t>13</w:t>
            </w:r>
          </w:p>
        </w:tc>
        <w:tc>
          <w:tcPr>
            <w:tcW w:w="2693" w:type="dxa"/>
            <w:vAlign w:val="center"/>
          </w:tcPr>
          <w:p>
            <w:pPr>
              <w:jc w:val="center"/>
              <w:rPr>
                <w:rFonts w:ascii="宋体" w:hAnsi="宋体"/>
                <w:szCs w:val="21"/>
              </w:rPr>
            </w:pPr>
            <w:r>
              <w:rPr>
                <w:rFonts w:hint="eastAsia" w:ascii="宋体" w:hAnsi="宋体"/>
                <w:szCs w:val="21"/>
              </w:rPr>
              <w:t>质量保证金百分比</w:t>
            </w:r>
          </w:p>
        </w:tc>
        <w:tc>
          <w:tcPr>
            <w:tcW w:w="1417" w:type="dxa"/>
            <w:vAlign w:val="center"/>
          </w:tcPr>
          <w:p>
            <w:pPr>
              <w:jc w:val="cente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jc w:val="center"/>
              <w:rPr>
                <w:rFonts w:ascii="宋体" w:hAnsi="宋体"/>
                <w:szCs w:val="21"/>
              </w:rPr>
            </w:pPr>
            <w:r>
              <w:rPr>
                <w:rFonts w:hint="eastAsia" w:ascii="宋体" w:hAnsi="宋体"/>
                <w:szCs w:val="21"/>
              </w:rPr>
              <w:t>14</w:t>
            </w:r>
          </w:p>
        </w:tc>
        <w:tc>
          <w:tcPr>
            <w:tcW w:w="2693" w:type="dxa"/>
            <w:vAlign w:val="center"/>
          </w:tcPr>
          <w:p>
            <w:pPr>
              <w:jc w:val="center"/>
              <w:rPr>
                <w:rFonts w:ascii="宋体" w:hAnsi="宋体"/>
                <w:szCs w:val="21"/>
              </w:rPr>
            </w:pPr>
            <w:r>
              <w:rPr>
                <w:rFonts w:hint="eastAsia" w:ascii="宋体" w:hAnsi="宋体"/>
                <w:szCs w:val="21"/>
              </w:rPr>
              <w:t>质量保证金限额</w:t>
            </w:r>
          </w:p>
        </w:tc>
        <w:tc>
          <w:tcPr>
            <w:tcW w:w="1417" w:type="dxa"/>
            <w:vAlign w:val="center"/>
          </w:tcPr>
          <w:p>
            <w:pPr>
              <w:jc w:val="cente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15</w:t>
            </w:r>
          </w:p>
        </w:tc>
        <w:tc>
          <w:tcPr>
            <w:tcW w:w="2693" w:type="dxa"/>
            <w:vAlign w:val="center"/>
          </w:tcPr>
          <w:p>
            <w:pPr>
              <w:jc w:val="center"/>
              <w:rPr>
                <w:rFonts w:ascii="宋体" w:hAnsi="宋体"/>
                <w:szCs w:val="21"/>
              </w:rPr>
            </w:pPr>
            <w:r>
              <w:rPr>
                <w:rFonts w:hint="eastAsia" w:ascii="宋体" w:hAnsi="宋体"/>
                <w:szCs w:val="21"/>
              </w:rPr>
              <w:t>保修期</w:t>
            </w:r>
          </w:p>
        </w:tc>
        <w:tc>
          <w:tcPr>
            <w:tcW w:w="1417" w:type="dxa"/>
            <w:vAlign w:val="center"/>
          </w:tcPr>
          <w:p>
            <w:pPr>
              <w:jc w:val="cente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5 </w:t>
            </w:r>
            <w:r>
              <w:rPr>
                <w:rFonts w:hint="eastAsia" w:ascii="宋体" w:hAnsi="宋体"/>
                <w:szCs w:val="21"/>
              </w:rPr>
              <w:t>年</w:t>
            </w:r>
          </w:p>
        </w:tc>
        <w:tc>
          <w:tcPr>
            <w:tcW w:w="1190" w:type="dxa"/>
            <w:vAlign w:val="center"/>
          </w:tcPr>
          <w:p>
            <w:pPr>
              <w:jc w:val="center"/>
              <w:rPr>
                <w:rFonts w:ascii="宋体" w:hAnsi="宋体"/>
                <w:szCs w:val="21"/>
              </w:rPr>
            </w:pPr>
          </w:p>
        </w:tc>
      </w:tr>
    </w:tbl>
    <w:p>
      <w:pPr>
        <w:spacing w:beforeLines="100" w:line="500" w:lineRule="exact"/>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500" w:lineRule="exact"/>
        <w:ind w:right="480" w:firstLine="3480" w:firstLineChars="1450"/>
        <w:rPr>
          <w:rFonts w:ascii="宋体" w:hAnsi="宋体"/>
          <w:sz w:val="24"/>
        </w:rPr>
      </w:pPr>
      <w:r>
        <w:rPr>
          <w:rFonts w:hint="eastAsia" w:ascii="宋体" w:hAnsi="宋体"/>
          <w:sz w:val="24"/>
        </w:rPr>
        <w:t>投标文件签署人签名:</w:t>
      </w:r>
    </w:p>
    <w:p>
      <w:pPr>
        <w:spacing w:line="240" w:lineRule="exact"/>
        <w:ind w:right="480" w:firstLine="3480" w:firstLineChars="1450"/>
        <w:rPr>
          <w:rFonts w:ascii="宋体" w:hAnsi="宋体"/>
          <w:sz w:val="24"/>
        </w:rPr>
      </w:pPr>
    </w:p>
    <w:p>
      <w:pPr>
        <w:pStyle w:val="4"/>
        <w:spacing w:beforeLines="50" w:after="0" w:line="360" w:lineRule="exact"/>
        <w:jc w:val="center"/>
        <w:rPr>
          <w:rFonts w:ascii="黑体" w:hAnsi="宋体" w:eastAsia="黑体"/>
          <w:sz w:val="28"/>
          <w:szCs w:val="28"/>
        </w:rPr>
      </w:pPr>
      <w:bookmarkStart w:id="245" w:name="_Toc485889059"/>
      <w:bookmarkStart w:id="246" w:name="_Toc486277926"/>
      <w:bookmarkStart w:id="247" w:name="_Toc234382961"/>
      <w:bookmarkStart w:id="248" w:name="_Toc29117"/>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45"/>
      <w:bookmarkEnd w:id="246"/>
      <w:bookmarkEnd w:id="247"/>
      <w:bookmarkEnd w:id="248"/>
    </w:p>
    <w:p>
      <w:pPr>
        <w:pStyle w:val="4"/>
        <w:spacing w:beforeLines="100" w:afterLines="150" w:line="360" w:lineRule="exact"/>
        <w:jc w:val="center"/>
        <w:rPr>
          <w:rFonts w:ascii="黑体" w:hAnsi="宋体" w:eastAsia="黑体"/>
          <w:sz w:val="28"/>
          <w:szCs w:val="28"/>
        </w:rPr>
      </w:pPr>
      <w:bookmarkStart w:id="249" w:name="_Toc486277927"/>
      <w:bookmarkStart w:id="250" w:name="_Toc234382962"/>
      <w:bookmarkStart w:id="251" w:name="_Toc4437"/>
      <w:bookmarkStart w:id="252" w:name="_Toc485889060"/>
      <w:r>
        <w:rPr>
          <w:rFonts w:hint="eastAsia" w:ascii="黑体" w:hAnsi="宋体" w:eastAsia="黑体"/>
          <w:sz w:val="28"/>
          <w:szCs w:val="28"/>
        </w:rPr>
        <w:t>（一）法定代表人身份证明</w:t>
      </w:r>
      <w:bookmarkEnd w:id="249"/>
      <w:bookmarkEnd w:id="250"/>
      <w:bookmarkEnd w:id="251"/>
      <w:bookmarkEnd w:id="252"/>
    </w:p>
    <w:p>
      <w:pPr>
        <w:rPr>
          <w:rFonts w:ascii="宋体" w:hAnsi="宋体"/>
          <w:sz w:val="24"/>
        </w:rPr>
      </w:pPr>
    </w:p>
    <w:p>
      <w:pPr>
        <w:rPr>
          <w:rFonts w:ascii="宋体" w:hAnsi="宋体"/>
          <w:sz w:val="24"/>
        </w:rPr>
      </w:pPr>
    </w:p>
    <w:p>
      <w:pPr>
        <w:spacing w:line="500" w:lineRule="exact"/>
        <w:rPr>
          <w:rFonts w:ascii="宋体" w:hAnsi="宋体"/>
          <w:sz w:val="24"/>
        </w:rPr>
      </w:pPr>
      <w:r>
        <w:rPr>
          <w:rFonts w:hint="eastAsia" w:ascii="宋体" w:hAnsi="宋体"/>
          <w:sz w:val="24"/>
        </w:rPr>
        <w:t>投标人名称：____________________________</w:t>
      </w:r>
    </w:p>
    <w:p>
      <w:pPr>
        <w:spacing w:line="500" w:lineRule="exact"/>
        <w:rPr>
          <w:rFonts w:ascii="宋体" w:hAnsi="宋体"/>
          <w:sz w:val="24"/>
          <w:u w:val="single"/>
        </w:rPr>
      </w:pPr>
      <w:r>
        <w:rPr>
          <w:rFonts w:hint="eastAsia" w:ascii="宋体" w:hAnsi="宋体"/>
          <w:spacing w:val="40"/>
          <w:kern w:val="0"/>
          <w:sz w:val="24"/>
        </w:rPr>
        <w:t>单位性</w:t>
      </w:r>
      <w:r>
        <w:rPr>
          <w:rFonts w:hint="eastAsia" w:ascii="宋体" w:hAnsi="宋体"/>
          <w:kern w:val="0"/>
          <w:sz w:val="24"/>
        </w:rPr>
        <w:t>质</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360"/>
          <w:kern w:val="0"/>
          <w:sz w:val="24"/>
        </w:rPr>
        <w:t>地</w:t>
      </w:r>
      <w:r>
        <w:rPr>
          <w:rFonts w:hint="eastAsia" w:ascii="宋体" w:hAnsi="宋体"/>
          <w:kern w:val="0"/>
          <w:sz w:val="24"/>
        </w:rPr>
        <w:t>址</w:t>
      </w:r>
      <w:r>
        <w:rPr>
          <w:rFonts w:hint="eastAsia" w:ascii="宋体" w:hAnsi="宋体"/>
          <w:sz w:val="24"/>
        </w:rPr>
        <w:t>：____________________________</w:t>
      </w:r>
    </w:p>
    <w:p>
      <w:pPr>
        <w:spacing w:line="500" w:lineRule="exact"/>
        <w:rPr>
          <w:rFonts w:ascii="宋体" w:hAnsi="宋体"/>
          <w:sz w:val="24"/>
        </w:rPr>
      </w:pPr>
      <w:r>
        <w:rPr>
          <w:rFonts w:hint="eastAsia" w:ascii="宋体" w:hAnsi="宋体"/>
          <w:sz w:val="24"/>
        </w:rPr>
        <w:t>成立时间：年月日</w:t>
      </w:r>
    </w:p>
    <w:p>
      <w:pPr>
        <w:spacing w:line="500" w:lineRule="exact"/>
        <w:rPr>
          <w:rFonts w:ascii="宋体" w:hAnsi="宋体"/>
          <w:sz w:val="24"/>
        </w:rPr>
      </w:pPr>
      <w:r>
        <w:rPr>
          <w:rFonts w:hint="eastAsia" w:ascii="宋体" w:hAnsi="宋体"/>
          <w:sz w:val="24"/>
        </w:rPr>
        <w:t>经营期限：____________________________</w:t>
      </w:r>
    </w:p>
    <w:p>
      <w:pPr>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（法定代表人亲笔签名） </w:t>
      </w:r>
      <w:r>
        <w:rPr>
          <w:rFonts w:hint="eastAsia" w:ascii="宋体" w:hAnsi="宋体"/>
          <w:sz w:val="24"/>
        </w:rPr>
        <w:t xml:space="preserve">  性别：  年龄：  职务：</w:t>
      </w:r>
      <w:r>
        <w:rPr>
          <w:rFonts w:hint="eastAsia" w:ascii="宋体" w:hAnsi="宋体"/>
          <w:sz w:val="24"/>
          <w:u w:val="single"/>
        </w:rPr>
        <w:t>_________</w:t>
      </w:r>
    </w:p>
    <w:p>
      <w:pPr>
        <w:spacing w:line="500" w:lineRule="exact"/>
        <w:rPr>
          <w:rFonts w:ascii="宋体" w:hAnsi="宋体"/>
          <w:sz w:val="24"/>
        </w:rPr>
      </w:pPr>
      <w:r>
        <w:rPr>
          <w:rFonts w:hint="eastAsia" w:ascii="宋体" w:hAnsi="宋体"/>
          <w:sz w:val="24"/>
        </w:rPr>
        <w:t>系（投标人名称）的法定代表人。</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投标人：（盖单位章）</w:t>
      </w:r>
    </w:p>
    <w:p>
      <w:pPr>
        <w:spacing w:line="500" w:lineRule="exact"/>
        <w:rPr>
          <w:rFonts w:ascii="宋体" w:hAnsi="宋体"/>
          <w:sz w:val="24"/>
        </w:rPr>
      </w:pPr>
    </w:p>
    <w:p>
      <w:pPr>
        <w:spacing w:line="400" w:lineRule="exact"/>
        <w:rPr>
          <w:rFonts w:ascii="宋体" w:hAnsi="宋体"/>
          <w:sz w:val="24"/>
        </w:rPr>
      </w:pPr>
      <w:r>
        <w:rPr>
          <w:rFonts w:hint="eastAsia" w:ascii="宋体" w:hAnsi="宋体"/>
          <w:sz w:val="24"/>
        </w:rPr>
        <w:t>年月日</w:t>
      </w:r>
    </w:p>
    <w:p>
      <w:pPr>
        <w:spacing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注：法定代表人的签字必须是亲笔签名，不得使用印章、签名章或其他电子制版签名。</w:t>
      </w: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姓名）系（投标人名称）的法定代表人，现委托（姓名）为我方代理人。代理人根据授权，以我方名义签署、澄清、递交、撤回、修改（项目名称）投标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w:t>
      </w:r>
    </w:p>
    <w:p>
      <w:pPr>
        <w:spacing w:line="500" w:lineRule="exact"/>
        <w:ind w:firstLine="480" w:firstLineChars="200"/>
        <w:rPr>
          <w:rFonts w:ascii="宋体" w:hAnsi="宋体"/>
          <w:sz w:val="24"/>
        </w:rPr>
      </w:pPr>
      <w:r>
        <w:rPr>
          <w:rFonts w:hint="eastAsia" w:ascii="宋体" w:hAnsi="宋体"/>
          <w:sz w:val="24"/>
        </w:rPr>
        <w:t>代理人无转委托权。</w:t>
      </w:r>
    </w:p>
    <w:p>
      <w:pPr>
        <w:spacing w:line="500" w:lineRule="exact"/>
        <w:ind w:firstLine="480" w:firstLineChars="200"/>
        <w:rPr>
          <w:rFonts w:ascii="宋体" w:hAnsi="宋体"/>
          <w:sz w:val="24"/>
        </w:rPr>
      </w:pPr>
      <w:r>
        <w:rPr>
          <w:rFonts w:hint="eastAsia" w:ascii="宋体" w:hAnsi="宋体"/>
          <w:sz w:val="24"/>
        </w:rPr>
        <w:t>附：法定代表人身份证明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pacing w:val="121"/>
          <w:kern w:val="0"/>
          <w:sz w:val="24"/>
        </w:rPr>
        <w:t>申请</w:t>
      </w:r>
      <w:r>
        <w:rPr>
          <w:rFonts w:hint="eastAsia" w:ascii="宋体" w:hAnsi="宋体"/>
          <w:spacing w:val="-1"/>
          <w:kern w:val="0"/>
          <w:sz w:val="24"/>
        </w:rPr>
        <w:t>人</w:t>
      </w:r>
      <w:r>
        <w:rPr>
          <w:rFonts w:hint="eastAsia" w:ascii="宋体" w:hAnsi="宋体"/>
          <w:sz w:val="24"/>
        </w:rPr>
        <w:t>：（盖单位章）</w:t>
      </w:r>
    </w:p>
    <w:p>
      <w:pPr>
        <w:spacing w:line="500" w:lineRule="exact"/>
        <w:rPr>
          <w:rFonts w:ascii="宋体" w:hAnsi="宋体"/>
          <w:sz w:val="24"/>
        </w:rPr>
      </w:pPr>
      <w:r>
        <w:rPr>
          <w:rFonts w:hint="eastAsia" w:ascii="宋体" w:hAnsi="宋体"/>
          <w:sz w:val="24"/>
        </w:rPr>
        <w:t xml:space="preserve">                                法定代表人：（签字）</w:t>
      </w:r>
    </w:p>
    <w:p>
      <w:pPr>
        <w:spacing w:line="500" w:lineRule="exact"/>
        <w:rPr>
          <w:rFonts w:ascii="宋体" w:hAnsi="宋体"/>
          <w:sz w:val="24"/>
        </w:rPr>
      </w:pPr>
      <w:r>
        <w:rPr>
          <w:rFonts w:hint="eastAsia" w:ascii="宋体" w:hAnsi="宋体"/>
          <w:sz w:val="24"/>
        </w:rPr>
        <w:t xml:space="preserve">                                身份证号码：</w:t>
      </w:r>
    </w:p>
    <w:p>
      <w:pPr>
        <w:spacing w:line="500" w:lineRule="exact"/>
        <w:rPr>
          <w:rFonts w:ascii="宋体" w:hAnsi="宋体"/>
          <w:sz w:val="24"/>
        </w:rPr>
      </w:pPr>
      <w:r>
        <w:rPr>
          <w:rFonts w:hint="eastAsia" w:ascii="宋体" w:hAnsi="宋体"/>
          <w:sz w:val="24"/>
        </w:rPr>
        <w:t xml:space="preserve">                                委托代理人：（签字）</w:t>
      </w:r>
    </w:p>
    <w:p>
      <w:pPr>
        <w:spacing w:line="500" w:lineRule="exact"/>
        <w:rPr>
          <w:rFonts w:ascii="宋体" w:hAnsi="宋体"/>
          <w:sz w:val="24"/>
        </w:rPr>
      </w:pPr>
      <w:r>
        <w:rPr>
          <w:rFonts w:hint="eastAsia" w:ascii="宋体" w:hAnsi="宋体"/>
          <w:sz w:val="24"/>
        </w:rPr>
        <w:t xml:space="preserve">                                身份证号码：</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年月日</w:t>
      </w:r>
    </w:p>
    <w:p>
      <w:pPr>
        <w:spacing w:line="500" w:lineRule="exact"/>
        <w:rPr>
          <w:rFonts w:ascii="宋体" w:hAnsi="宋体"/>
          <w:sz w:val="24"/>
        </w:rPr>
      </w:pPr>
    </w:p>
    <w:p>
      <w:pPr>
        <w:rPr>
          <w:rFonts w:ascii="宋体" w:hAnsi="宋体"/>
          <w:sz w:val="24"/>
        </w:rPr>
      </w:pPr>
    </w:p>
    <w:p>
      <w:pPr>
        <w:spacing w:line="400" w:lineRule="exact"/>
        <w:ind w:firstLine="480" w:firstLineChars="200"/>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1.法定代表人和委托代理人必须在授权书上亲笔签名，不得使用印章、签名章或其他电子制版签名；</w:t>
      </w:r>
    </w:p>
    <w:p>
      <w:pPr>
        <w:spacing w:line="400" w:lineRule="exact"/>
        <w:ind w:firstLine="480" w:firstLineChars="200"/>
        <w:rPr>
          <w:rFonts w:ascii="宋体" w:hAnsi="宋体"/>
          <w:sz w:val="24"/>
        </w:rPr>
      </w:pPr>
      <w:r>
        <w:rPr>
          <w:rFonts w:hint="eastAsia" w:ascii="宋体" w:hAnsi="宋体"/>
          <w:sz w:val="24"/>
        </w:rPr>
        <w:t>2.以联合体形式投标的，本授权委托书应由联合体牵头人的法定代表人按上述规定签署。</w:t>
      </w:r>
    </w:p>
    <w:p>
      <w:pPr>
        <w:rPr>
          <w:rFonts w:ascii="宋体" w:hAnsi="宋体"/>
          <w:sz w:val="24"/>
        </w:rPr>
      </w:pPr>
    </w:p>
    <w:p>
      <w:pPr>
        <w:pStyle w:val="4"/>
        <w:spacing w:beforeLines="100" w:afterLines="150" w:line="360" w:lineRule="exact"/>
        <w:jc w:val="center"/>
        <w:rPr>
          <w:rFonts w:ascii="黑体" w:hAnsi="宋体" w:eastAsia="黑体"/>
          <w:sz w:val="28"/>
          <w:szCs w:val="28"/>
        </w:rPr>
      </w:pPr>
      <w:bookmarkStart w:id="253" w:name="_Toc234382964"/>
      <w:r>
        <w:rPr>
          <w:rFonts w:ascii="黑体" w:hAnsi="宋体" w:eastAsia="黑体"/>
          <w:sz w:val="28"/>
          <w:szCs w:val="28"/>
        </w:rPr>
        <w:br w:type="page"/>
      </w:r>
      <w:bookmarkStart w:id="254" w:name="_Toc486277928"/>
      <w:bookmarkStart w:id="255" w:name="_Toc485889061"/>
      <w:bookmarkStart w:id="256" w:name="_Toc25686"/>
      <w:r>
        <w:rPr>
          <w:rFonts w:hint="eastAsia" w:ascii="黑体" w:hAnsi="宋体" w:eastAsia="黑体"/>
          <w:sz w:val="28"/>
          <w:szCs w:val="28"/>
        </w:rPr>
        <w:t>三</w:t>
      </w:r>
      <w:r>
        <w:rPr>
          <w:rFonts w:ascii="黑体" w:hAnsi="宋体" w:eastAsia="黑体"/>
          <w:sz w:val="28"/>
          <w:szCs w:val="28"/>
        </w:rPr>
        <w:t>、投标保证金</w:t>
      </w:r>
      <w:bookmarkEnd w:id="253"/>
      <w:bookmarkEnd w:id="254"/>
      <w:bookmarkEnd w:id="255"/>
      <w:bookmarkEnd w:id="256"/>
    </w:p>
    <w:p>
      <w:pPr>
        <w:rPr>
          <w:rFonts w:ascii="宋体" w:hAnsi="宋体"/>
          <w:sz w:val="24"/>
        </w:rPr>
      </w:pPr>
      <w:r>
        <w:rPr>
          <w:rFonts w:hint="eastAsia" w:ascii="宋体" w:hAnsi="宋体"/>
          <w:sz w:val="24"/>
        </w:rPr>
        <w:t xml:space="preserve">     此处附投标人递交投标保证金的银行转账证明复印件。</w:t>
      </w:r>
    </w:p>
    <w:p>
      <w:pPr>
        <w:pStyle w:val="4"/>
        <w:spacing w:beforeLines="100" w:afterLines="150" w:line="360" w:lineRule="exact"/>
        <w:jc w:val="center"/>
      </w:pPr>
      <w:r>
        <w:rPr>
          <w:rFonts w:ascii="宋体"/>
        </w:rPr>
        <w:br w:type="page"/>
      </w:r>
      <w:bookmarkStart w:id="257" w:name="_Toc19556"/>
      <w:bookmarkStart w:id="258" w:name="_Toc486277929"/>
      <w:bookmarkStart w:id="259" w:name="_Toc485889062"/>
      <w:bookmarkStart w:id="260" w:name="_Toc234382966"/>
      <w:r>
        <w:rPr>
          <w:rFonts w:hint="eastAsia" w:ascii="黑体" w:hAnsi="宋体" w:eastAsia="黑体"/>
          <w:sz w:val="28"/>
          <w:szCs w:val="28"/>
        </w:rPr>
        <w:t>四</w:t>
      </w:r>
      <w:r>
        <w:rPr>
          <w:rFonts w:ascii="黑体" w:hAnsi="宋体" w:eastAsia="黑体"/>
          <w:sz w:val="28"/>
          <w:szCs w:val="28"/>
        </w:rPr>
        <w:t>、施工组织设计</w:t>
      </w:r>
      <w:bookmarkEnd w:id="257"/>
      <w:bookmarkEnd w:id="258"/>
      <w:bookmarkEnd w:id="259"/>
      <w:bookmarkEnd w:id="260"/>
    </w:p>
    <w:p>
      <w:pPr>
        <w:spacing w:line="400" w:lineRule="exact"/>
        <w:ind w:firstLine="480" w:firstLineChars="200"/>
        <w:rPr>
          <w:rFonts w:ascii="宋体" w:hAnsi="宋体"/>
          <w:sz w:val="24"/>
        </w:rPr>
      </w:pPr>
      <w:r>
        <w:rPr>
          <w:rFonts w:hint="eastAsia" w:ascii="宋体" w:hAnsi="宋体"/>
          <w:sz w:val="24"/>
        </w:rPr>
        <w:t>1、投标人应按以下要点编制施工组织设计（文字宜精炼、内容具有针对性，总体控制在30000字以内）；</w:t>
      </w:r>
    </w:p>
    <w:p>
      <w:pPr>
        <w:spacing w:line="400" w:lineRule="exact"/>
        <w:ind w:firstLine="480" w:firstLineChars="200"/>
        <w:rPr>
          <w:rFonts w:ascii="宋体" w:hAnsi="宋体"/>
          <w:sz w:val="24"/>
        </w:rPr>
      </w:pPr>
      <w:r>
        <w:rPr>
          <w:rFonts w:hint="eastAsia" w:ascii="宋体" w:hAnsi="宋体"/>
          <w:sz w:val="24"/>
        </w:rPr>
        <w:t>（1）总体施工组织布置及规划</w:t>
      </w:r>
    </w:p>
    <w:p>
      <w:pPr>
        <w:spacing w:line="400" w:lineRule="exact"/>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400" w:lineRule="exact"/>
        <w:ind w:firstLine="480" w:firstLineChars="200"/>
        <w:rPr>
          <w:rFonts w:ascii="宋体" w:hAnsi="宋体"/>
          <w:sz w:val="24"/>
        </w:rPr>
      </w:pPr>
      <w:r>
        <w:rPr>
          <w:rFonts w:hint="eastAsia" w:ascii="宋体" w:hAnsi="宋体"/>
          <w:sz w:val="24"/>
        </w:rPr>
        <w:t>（3）工期的保证体系及保证措施</w:t>
      </w:r>
    </w:p>
    <w:p>
      <w:pPr>
        <w:spacing w:line="400" w:lineRule="exact"/>
        <w:ind w:firstLine="480" w:firstLineChars="200"/>
        <w:rPr>
          <w:rFonts w:ascii="宋体" w:hAnsi="宋体"/>
          <w:sz w:val="24"/>
        </w:rPr>
      </w:pPr>
      <w:r>
        <w:rPr>
          <w:rFonts w:hint="eastAsia" w:ascii="宋体" w:hAnsi="宋体"/>
          <w:sz w:val="24"/>
        </w:rPr>
        <w:t>（4）工程质量管理体系及保证措施</w:t>
      </w:r>
    </w:p>
    <w:p>
      <w:pPr>
        <w:spacing w:line="400" w:lineRule="exact"/>
        <w:ind w:firstLine="480" w:firstLineChars="200"/>
        <w:rPr>
          <w:rFonts w:ascii="宋体" w:hAnsi="宋体"/>
          <w:sz w:val="24"/>
        </w:rPr>
      </w:pPr>
      <w:r>
        <w:rPr>
          <w:rFonts w:hint="eastAsia" w:ascii="宋体" w:hAnsi="宋体"/>
          <w:sz w:val="24"/>
        </w:rPr>
        <w:t>（5）安全生产管理体系及保证措施</w:t>
      </w:r>
    </w:p>
    <w:p>
      <w:pPr>
        <w:spacing w:line="400" w:lineRule="exact"/>
        <w:ind w:firstLine="480" w:firstLineChars="200"/>
        <w:rPr>
          <w:rFonts w:ascii="宋体" w:hAnsi="宋体"/>
          <w:sz w:val="24"/>
        </w:rPr>
      </w:pPr>
      <w:r>
        <w:rPr>
          <w:rFonts w:hint="eastAsia" w:ascii="宋体" w:hAnsi="宋体"/>
          <w:sz w:val="24"/>
        </w:rPr>
        <w:t>（6）环境保护、水土保持保证体系及保证措施</w:t>
      </w:r>
      <w:r>
        <w:rPr>
          <w:rFonts w:hint="eastAsia" w:ascii="宋体" w:hAnsi="宋体"/>
          <w:b/>
          <w:bCs/>
          <w:sz w:val="24"/>
        </w:rPr>
        <w:t>（含扬尘治理措施）</w:t>
      </w:r>
    </w:p>
    <w:p>
      <w:pPr>
        <w:spacing w:line="400" w:lineRule="exact"/>
        <w:ind w:firstLine="480" w:firstLineChars="200"/>
        <w:rPr>
          <w:rFonts w:ascii="宋体" w:hAnsi="宋体"/>
          <w:sz w:val="24"/>
        </w:rPr>
      </w:pPr>
      <w:r>
        <w:rPr>
          <w:rFonts w:hint="eastAsia" w:ascii="宋体" w:hAnsi="宋体"/>
          <w:sz w:val="24"/>
        </w:rPr>
        <w:t>（7）文明施工、文物保护保证体系及保证措施</w:t>
      </w:r>
    </w:p>
    <w:p>
      <w:pPr>
        <w:spacing w:line="400" w:lineRule="exact"/>
        <w:ind w:firstLine="480" w:firstLineChars="200"/>
        <w:rPr>
          <w:rFonts w:ascii="宋体" w:hAnsi="宋体"/>
          <w:sz w:val="24"/>
        </w:rPr>
      </w:pPr>
      <w:r>
        <w:rPr>
          <w:rFonts w:hint="eastAsia" w:ascii="宋体" w:hAnsi="宋体"/>
          <w:sz w:val="24"/>
        </w:rPr>
        <w:t>（8）项目风险预测与防范，事故应急预案</w:t>
      </w:r>
    </w:p>
    <w:p>
      <w:pPr>
        <w:spacing w:line="400" w:lineRule="exact"/>
        <w:ind w:firstLine="480" w:firstLineChars="200"/>
        <w:rPr>
          <w:rFonts w:ascii="宋体" w:hAnsi="宋体"/>
          <w:sz w:val="24"/>
        </w:rPr>
      </w:pPr>
      <w:r>
        <w:rPr>
          <w:rFonts w:hint="eastAsia" w:ascii="宋体" w:hAnsi="宋体"/>
          <w:sz w:val="24"/>
        </w:rPr>
        <w:t>（9）其他应说明的事项</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400" w:lineRule="exact"/>
        <w:ind w:firstLine="480" w:firstLineChars="200"/>
        <w:rPr>
          <w:rFonts w:ascii="宋体" w:hAnsi="宋体"/>
          <w:sz w:val="24"/>
        </w:rPr>
      </w:pPr>
      <w:r>
        <w:rPr>
          <w:rFonts w:hint="eastAsia" w:ascii="宋体" w:hAnsi="宋体"/>
          <w:sz w:val="24"/>
        </w:rPr>
        <w:t xml:space="preserve">   附表一  施工总体计划表</w:t>
      </w:r>
    </w:p>
    <w:p>
      <w:pPr>
        <w:spacing w:line="400" w:lineRule="exact"/>
        <w:ind w:firstLine="480" w:firstLineChars="200"/>
        <w:rPr>
          <w:rFonts w:ascii="宋体" w:hAnsi="宋体"/>
          <w:sz w:val="24"/>
        </w:rPr>
      </w:pPr>
      <w:r>
        <w:rPr>
          <w:rFonts w:hint="eastAsia" w:ascii="宋体" w:hAnsi="宋体"/>
          <w:sz w:val="24"/>
        </w:rPr>
        <w:t xml:space="preserve">   附表二  分项工程进度率计划（斜率图） </w:t>
      </w:r>
    </w:p>
    <w:p>
      <w:pPr>
        <w:spacing w:line="400" w:lineRule="exact"/>
        <w:ind w:firstLine="480" w:firstLineChars="200"/>
        <w:rPr>
          <w:rFonts w:ascii="宋体" w:hAnsi="宋体"/>
          <w:sz w:val="24"/>
        </w:rPr>
      </w:pPr>
      <w:r>
        <w:rPr>
          <w:rFonts w:hint="eastAsia" w:ascii="宋体" w:hAnsi="宋体"/>
          <w:sz w:val="24"/>
        </w:rPr>
        <w:t xml:space="preserve">   附表三  工程管理曲线</w:t>
      </w:r>
    </w:p>
    <w:p>
      <w:pPr>
        <w:spacing w:line="400" w:lineRule="exact"/>
        <w:ind w:firstLine="480" w:firstLineChars="200"/>
        <w:rPr>
          <w:rFonts w:ascii="宋体" w:hAnsi="宋体"/>
          <w:sz w:val="24"/>
        </w:rPr>
      </w:pPr>
      <w:r>
        <w:rPr>
          <w:rFonts w:hint="eastAsia" w:ascii="宋体" w:hAnsi="宋体"/>
          <w:sz w:val="24"/>
        </w:rPr>
        <w:t xml:space="preserve">   附表四  分项工程生产率和施工周期表</w:t>
      </w:r>
    </w:p>
    <w:p>
      <w:pPr>
        <w:spacing w:line="400" w:lineRule="exact"/>
        <w:ind w:firstLine="480" w:firstLineChars="200"/>
        <w:rPr>
          <w:rFonts w:ascii="宋体" w:hAnsi="宋体"/>
          <w:sz w:val="24"/>
        </w:rPr>
      </w:pPr>
      <w:r>
        <w:rPr>
          <w:rFonts w:hint="eastAsia" w:ascii="宋体" w:hAnsi="宋体"/>
          <w:sz w:val="24"/>
        </w:rPr>
        <w:t xml:space="preserve">   附表五  施工总平面图</w:t>
      </w:r>
    </w:p>
    <w:p>
      <w:pPr>
        <w:spacing w:line="400" w:lineRule="exact"/>
        <w:ind w:firstLine="480" w:firstLineChars="200"/>
        <w:rPr>
          <w:rFonts w:ascii="宋体" w:hAnsi="宋体"/>
          <w:sz w:val="24"/>
        </w:rPr>
      </w:pPr>
      <w:r>
        <w:rPr>
          <w:rFonts w:hint="eastAsia" w:ascii="宋体" w:hAnsi="宋体"/>
          <w:sz w:val="24"/>
        </w:rPr>
        <w:t xml:space="preserve">   附表六  劳动力计划表</w:t>
      </w:r>
    </w:p>
    <w:p>
      <w:pPr>
        <w:spacing w:line="400" w:lineRule="exact"/>
        <w:ind w:firstLine="840" w:firstLineChars="350"/>
        <w:rPr>
          <w:rFonts w:ascii="宋体" w:hAnsi="宋体"/>
          <w:sz w:val="24"/>
        </w:rPr>
      </w:pPr>
      <w:r>
        <w:rPr>
          <w:rFonts w:hint="eastAsia" w:ascii="宋体" w:hAnsi="宋体"/>
          <w:sz w:val="24"/>
        </w:rPr>
        <w:t>附表七  临时用地计划表</w:t>
      </w:r>
    </w:p>
    <w:p>
      <w:pPr>
        <w:spacing w:line="400" w:lineRule="exact"/>
        <w:ind w:firstLine="840" w:firstLineChars="350"/>
        <w:rPr>
          <w:rFonts w:ascii="宋体" w:hAnsi="宋体"/>
          <w:sz w:val="24"/>
        </w:rPr>
      </w:pPr>
      <w:r>
        <w:rPr>
          <w:rFonts w:hint="eastAsia" w:ascii="宋体" w:hAnsi="宋体"/>
          <w:sz w:val="24"/>
        </w:rPr>
        <w:t>附表八  外供电力需求计划表</w:t>
      </w:r>
    </w:p>
    <w:p>
      <w:pPr>
        <w:spacing w:line="400" w:lineRule="exact"/>
        <w:ind w:firstLine="840" w:firstLineChars="350"/>
        <w:rPr>
          <w:rFonts w:ascii="宋体" w:hAnsi="宋体"/>
          <w:sz w:val="24"/>
        </w:rPr>
      </w:pPr>
      <w:r>
        <w:rPr>
          <w:rFonts w:hint="eastAsia" w:ascii="宋体" w:hAnsi="宋体"/>
          <w:sz w:val="24"/>
        </w:rPr>
        <w:t>附表九  合同用款估算表</w:t>
      </w:r>
    </w:p>
    <w:p>
      <w:pPr>
        <w:spacing w:line="440" w:lineRule="exact"/>
        <w:ind w:firstLine="480" w:firstLineChars="200"/>
        <w:rPr>
          <w:rFonts w:ascii="宋体" w:hAnsi="宋体"/>
          <w:sz w:val="24"/>
        </w:rPr>
        <w:sectPr>
          <w:footnotePr>
            <w:numFmt w:val="decimalEnclosedCircleChinese"/>
            <w:numRestart w:val="eachPage"/>
          </w:footnotePr>
          <w:pgSz w:w="11907" w:h="16840"/>
          <w:pgMar w:top="1440" w:right="1361" w:bottom="1440" w:left="1361" w:header="720" w:footer="907" w:gutter="0"/>
          <w:cols w:space="720" w:num="1"/>
        </w:sectPr>
      </w:pPr>
    </w:p>
    <w:p>
      <w:pPr>
        <w:pStyle w:val="7"/>
        <w:spacing w:before="120" w:after="120" w:line="377" w:lineRule="auto"/>
      </w:pPr>
      <w:r>
        <w:rPr>
          <w:rFonts w:hint="eastAsia"/>
        </w:rPr>
        <w:t>附表一   施工总体计划表</w:t>
      </w:r>
    </w:p>
    <w:tbl>
      <w:tblPr>
        <w:tblStyle w:val="45"/>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jc w:val="center"/>
              <w:rPr>
                <w:rFonts w:ascii="宋体" w:hAnsi="宋体"/>
                <w:szCs w:val="21"/>
              </w:rPr>
            </w:pPr>
            <w:r>
              <w:rPr>
                <w:rFonts w:hint="eastAsia" w:ascii="宋体" w:hAnsi="宋体"/>
                <w:szCs w:val="21"/>
              </w:rPr>
              <w:t>年度</w:t>
            </w:r>
          </w:p>
        </w:tc>
        <w:tc>
          <w:tcPr>
            <w:tcW w:w="4922" w:type="dxa"/>
            <w:gridSpan w:val="12"/>
            <w:vAlign w:val="center"/>
          </w:tcPr>
          <w:p>
            <w:pPr>
              <w:jc w:val="center"/>
              <w:rPr>
                <w:rFonts w:ascii="宋体" w:hAnsi="宋体"/>
                <w:szCs w:val="21"/>
              </w:rPr>
            </w:pPr>
            <w:r>
              <w:rPr>
                <w:rFonts w:hint="eastAsia" w:ascii="宋体" w:hAnsi="宋体"/>
                <w:szCs w:val="21"/>
              </w:rPr>
              <w:t>年</w:t>
            </w:r>
          </w:p>
        </w:tc>
        <w:tc>
          <w:tcPr>
            <w:tcW w:w="4956" w:type="dxa"/>
            <w:gridSpan w:val="12"/>
            <w:vAlign w:val="center"/>
          </w:tcPr>
          <w:p>
            <w:pPr>
              <w:jc w:val="center"/>
              <w:rPr>
                <w:rFonts w:ascii="宋体" w:hAnsi="宋体"/>
                <w:szCs w:val="21"/>
              </w:rPr>
            </w:pPr>
            <w:r>
              <w:rPr>
                <w:rFonts w:hint="eastAsia" w:ascii="宋体" w:hAnsi="宋体"/>
                <w:szCs w:val="21"/>
              </w:rPr>
              <w:t>年</w:t>
            </w:r>
          </w:p>
        </w:tc>
        <w:tc>
          <w:tcPr>
            <w:tcW w:w="2059" w:type="dxa"/>
            <w:gridSpan w:val="5"/>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jc w:val="cente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jc w:val="center"/>
              <w:rPr>
                <w:rFonts w:ascii="宋体" w:hAnsi="宋体"/>
                <w:szCs w:val="21"/>
              </w:rPr>
            </w:pPr>
            <w:r>
              <w:rPr>
                <w:rFonts w:hint="eastAsia" w:ascii="宋体" w:hAnsi="宋体"/>
                <w:szCs w:val="21"/>
              </w:rPr>
              <w:t>1</w:t>
            </w:r>
          </w:p>
        </w:tc>
        <w:tc>
          <w:tcPr>
            <w:tcW w:w="403" w:type="dxa"/>
            <w:vAlign w:val="center"/>
          </w:tcPr>
          <w:p>
            <w:pPr>
              <w:jc w:val="center"/>
              <w:rPr>
                <w:rFonts w:ascii="宋体" w:hAnsi="宋体"/>
                <w:szCs w:val="21"/>
              </w:rPr>
            </w:pPr>
            <w:r>
              <w:rPr>
                <w:rFonts w:hint="eastAsia" w:ascii="宋体" w:hAnsi="宋体"/>
                <w:szCs w:val="21"/>
              </w:rPr>
              <w:t>2</w:t>
            </w:r>
          </w:p>
        </w:tc>
        <w:tc>
          <w:tcPr>
            <w:tcW w:w="405" w:type="dxa"/>
            <w:vAlign w:val="center"/>
          </w:tcPr>
          <w:p>
            <w:pPr>
              <w:jc w:val="center"/>
              <w:rPr>
                <w:rFonts w:ascii="宋体" w:hAnsi="宋体"/>
                <w:szCs w:val="21"/>
              </w:rPr>
            </w:pPr>
            <w:r>
              <w:rPr>
                <w:rFonts w:hint="eastAsia" w:ascii="宋体" w:hAnsi="宋体"/>
                <w:szCs w:val="21"/>
              </w:rPr>
              <w:t>3</w:t>
            </w:r>
          </w:p>
        </w:tc>
        <w:tc>
          <w:tcPr>
            <w:tcW w:w="405" w:type="dxa"/>
            <w:vAlign w:val="center"/>
          </w:tcPr>
          <w:p>
            <w:pPr>
              <w:jc w:val="center"/>
              <w:rPr>
                <w:rFonts w:ascii="宋体" w:hAnsi="宋体"/>
                <w:szCs w:val="21"/>
              </w:rPr>
            </w:pPr>
            <w:r>
              <w:rPr>
                <w:rFonts w:hint="eastAsia" w:ascii="宋体" w:hAnsi="宋体"/>
                <w:szCs w:val="21"/>
              </w:rPr>
              <w:t>4</w:t>
            </w:r>
          </w:p>
        </w:tc>
        <w:tc>
          <w:tcPr>
            <w:tcW w:w="405" w:type="dxa"/>
            <w:vAlign w:val="center"/>
          </w:tcPr>
          <w:p>
            <w:pPr>
              <w:jc w:val="center"/>
              <w:rPr>
                <w:rFonts w:ascii="宋体" w:hAnsi="宋体"/>
                <w:szCs w:val="21"/>
              </w:rPr>
            </w:pPr>
            <w:r>
              <w:rPr>
                <w:rFonts w:hint="eastAsia" w:ascii="宋体" w:hAnsi="宋体"/>
                <w:szCs w:val="21"/>
              </w:rPr>
              <w:t>5</w:t>
            </w:r>
          </w:p>
        </w:tc>
        <w:tc>
          <w:tcPr>
            <w:tcW w:w="405" w:type="dxa"/>
            <w:vAlign w:val="center"/>
          </w:tcPr>
          <w:p>
            <w:pPr>
              <w:jc w:val="center"/>
              <w:rPr>
                <w:rFonts w:ascii="宋体" w:hAnsi="宋体"/>
                <w:szCs w:val="21"/>
              </w:rPr>
            </w:pPr>
            <w:r>
              <w:rPr>
                <w:rFonts w:hint="eastAsia" w:ascii="宋体" w:hAnsi="宋体"/>
                <w:szCs w:val="21"/>
              </w:rPr>
              <w:t>6</w:t>
            </w:r>
          </w:p>
        </w:tc>
        <w:tc>
          <w:tcPr>
            <w:tcW w:w="405" w:type="dxa"/>
            <w:vAlign w:val="center"/>
          </w:tcPr>
          <w:p>
            <w:pPr>
              <w:jc w:val="center"/>
              <w:rPr>
                <w:rFonts w:ascii="宋体" w:hAnsi="宋体"/>
                <w:szCs w:val="21"/>
              </w:rPr>
            </w:pPr>
            <w:r>
              <w:rPr>
                <w:rFonts w:hint="eastAsia" w:ascii="宋体" w:hAnsi="宋体"/>
                <w:szCs w:val="21"/>
              </w:rPr>
              <w:t>7</w:t>
            </w:r>
          </w:p>
        </w:tc>
        <w:tc>
          <w:tcPr>
            <w:tcW w:w="405" w:type="dxa"/>
            <w:vAlign w:val="center"/>
          </w:tcPr>
          <w:p>
            <w:pPr>
              <w:jc w:val="center"/>
              <w:rPr>
                <w:rFonts w:ascii="宋体" w:hAnsi="宋体"/>
                <w:szCs w:val="21"/>
              </w:rPr>
            </w:pPr>
            <w:r>
              <w:rPr>
                <w:rFonts w:hint="eastAsia" w:ascii="宋体" w:hAnsi="宋体"/>
                <w:szCs w:val="21"/>
              </w:rPr>
              <w:t>8</w:t>
            </w:r>
          </w:p>
        </w:tc>
        <w:tc>
          <w:tcPr>
            <w:tcW w:w="405"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29" w:type="dxa"/>
            <w:vAlign w:val="center"/>
          </w:tcPr>
          <w:p>
            <w:pPr>
              <w:jc w:val="center"/>
              <w:rPr>
                <w:rFonts w:ascii="宋体" w:hAnsi="宋体"/>
                <w:szCs w:val="21"/>
              </w:rPr>
            </w:pPr>
            <w:r>
              <w:rPr>
                <w:rFonts w:hint="eastAsia" w:ascii="宋体" w:hAnsi="宋体"/>
                <w:szCs w:val="21"/>
              </w:rPr>
              <w:t>12</w:t>
            </w:r>
          </w:p>
        </w:tc>
        <w:tc>
          <w:tcPr>
            <w:tcW w:w="405" w:type="dxa"/>
            <w:vAlign w:val="center"/>
          </w:tcPr>
          <w:p>
            <w:pPr>
              <w:jc w:val="center"/>
              <w:rPr>
                <w:rFonts w:ascii="宋体" w:hAnsi="宋体"/>
                <w:szCs w:val="21"/>
              </w:rPr>
            </w:pPr>
            <w:r>
              <w:rPr>
                <w:rFonts w:hint="eastAsia" w:ascii="宋体" w:hAnsi="宋体"/>
                <w:szCs w:val="21"/>
              </w:rPr>
              <w:t>1</w:t>
            </w:r>
          </w:p>
        </w:tc>
        <w:tc>
          <w:tcPr>
            <w:tcW w:w="405" w:type="dxa"/>
            <w:vAlign w:val="center"/>
          </w:tcPr>
          <w:p>
            <w:pPr>
              <w:jc w:val="center"/>
              <w:rPr>
                <w:rFonts w:ascii="宋体" w:hAnsi="宋体"/>
                <w:szCs w:val="21"/>
              </w:rPr>
            </w:pPr>
            <w:r>
              <w:rPr>
                <w:rFonts w:hint="eastAsia" w:ascii="宋体" w:hAnsi="宋体"/>
                <w:szCs w:val="21"/>
              </w:rPr>
              <w:t>2</w:t>
            </w:r>
          </w:p>
        </w:tc>
        <w:tc>
          <w:tcPr>
            <w:tcW w:w="406" w:type="dxa"/>
            <w:vAlign w:val="center"/>
          </w:tcPr>
          <w:p>
            <w:pPr>
              <w:jc w:val="center"/>
              <w:rPr>
                <w:rFonts w:ascii="宋体" w:hAnsi="宋体"/>
                <w:szCs w:val="21"/>
              </w:rPr>
            </w:pPr>
            <w:r>
              <w:rPr>
                <w:rFonts w:hint="eastAsia" w:ascii="宋体" w:hAnsi="宋体"/>
                <w:szCs w:val="21"/>
              </w:rPr>
              <w:t>3</w:t>
            </w:r>
          </w:p>
        </w:tc>
        <w:tc>
          <w:tcPr>
            <w:tcW w:w="406" w:type="dxa"/>
            <w:vAlign w:val="center"/>
          </w:tcPr>
          <w:p>
            <w:pPr>
              <w:jc w:val="center"/>
              <w:rPr>
                <w:rFonts w:ascii="宋体" w:hAnsi="宋体"/>
                <w:szCs w:val="21"/>
              </w:rPr>
            </w:pPr>
            <w:r>
              <w:rPr>
                <w:rFonts w:hint="eastAsia" w:ascii="宋体" w:hAnsi="宋体"/>
                <w:szCs w:val="21"/>
              </w:rPr>
              <w:t>4</w:t>
            </w:r>
          </w:p>
        </w:tc>
        <w:tc>
          <w:tcPr>
            <w:tcW w:w="406" w:type="dxa"/>
            <w:vAlign w:val="center"/>
          </w:tcPr>
          <w:p>
            <w:pPr>
              <w:jc w:val="center"/>
              <w:rPr>
                <w:rFonts w:ascii="宋体" w:hAnsi="宋体"/>
                <w:szCs w:val="21"/>
              </w:rPr>
            </w:pPr>
            <w:r>
              <w:rPr>
                <w:rFonts w:hint="eastAsia" w:ascii="宋体" w:hAnsi="宋体"/>
                <w:szCs w:val="21"/>
              </w:rPr>
              <w:t>5</w:t>
            </w:r>
          </w:p>
        </w:tc>
        <w:tc>
          <w:tcPr>
            <w:tcW w:w="406" w:type="dxa"/>
            <w:vAlign w:val="center"/>
          </w:tcPr>
          <w:p>
            <w:pPr>
              <w:jc w:val="center"/>
              <w:rPr>
                <w:rFonts w:ascii="宋体" w:hAnsi="宋体"/>
                <w:szCs w:val="21"/>
              </w:rPr>
            </w:pPr>
            <w:r>
              <w:rPr>
                <w:rFonts w:hint="eastAsia" w:ascii="宋体" w:hAnsi="宋体"/>
                <w:szCs w:val="21"/>
              </w:rPr>
              <w:t>6</w:t>
            </w:r>
          </w:p>
        </w:tc>
        <w:tc>
          <w:tcPr>
            <w:tcW w:w="406" w:type="dxa"/>
            <w:vAlign w:val="center"/>
          </w:tcPr>
          <w:p>
            <w:pPr>
              <w:jc w:val="center"/>
              <w:rPr>
                <w:rFonts w:ascii="宋体" w:hAnsi="宋体"/>
                <w:szCs w:val="21"/>
              </w:rPr>
            </w:pPr>
            <w:r>
              <w:rPr>
                <w:rFonts w:hint="eastAsia" w:ascii="宋体" w:hAnsi="宋体"/>
                <w:szCs w:val="21"/>
              </w:rPr>
              <w:t>7</w:t>
            </w:r>
          </w:p>
        </w:tc>
        <w:tc>
          <w:tcPr>
            <w:tcW w:w="406" w:type="dxa"/>
            <w:vAlign w:val="center"/>
          </w:tcPr>
          <w:p>
            <w:pPr>
              <w:jc w:val="center"/>
              <w:rPr>
                <w:rFonts w:ascii="宋体" w:hAnsi="宋体"/>
                <w:szCs w:val="21"/>
              </w:rPr>
            </w:pPr>
            <w:r>
              <w:rPr>
                <w:rFonts w:hint="eastAsia" w:ascii="宋体" w:hAnsi="宋体"/>
                <w:szCs w:val="21"/>
              </w:rPr>
              <w:t>8</w:t>
            </w:r>
          </w:p>
        </w:tc>
        <w:tc>
          <w:tcPr>
            <w:tcW w:w="406" w:type="dxa"/>
            <w:vAlign w:val="center"/>
          </w:tcPr>
          <w:p>
            <w:pPr>
              <w:jc w:val="center"/>
              <w:rPr>
                <w:rFonts w:ascii="宋体" w:hAnsi="宋体"/>
                <w:szCs w:val="21"/>
              </w:rPr>
            </w:pPr>
            <w:r>
              <w:rPr>
                <w:rFonts w:hint="eastAsia" w:ascii="宋体" w:hAnsi="宋体"/>
                <w:szCs w:val="21"/>
              </w:rPr>
              <w:t>9</w:t>
            </w:r>
          </w:p>
        </w:tc>
        <w:tc>
          <w:tcPr>
            <w:tcW w:w="427" w:type="dxa"/>
            <w:vAlign w:val="center"/>
          </w:tcPr>
          <w:p>
            <w:pPr>
              <w:jc w:val="center"/>
              <w:rPr>
                <w:rFonts w:ascii="宋体" w:hAnsi="宋体"/>
                <w:szCs w:val="21"/>
              </w:rPr>
            </w:pPr>
            <w:r>
              <w:rPr>
                <w:rFonts w:hint="eastAsia" w:ascii="宋体" w:hAnsi="宋体"/>
                <w:szCs w:val="21"/>
              </w:rPr>
              <w:t>10</w:t>
            </w:r>
          </w:p>
        </w:tc>
        <w:tc>
          <w:tcPr>
            <w:tcW w:w="427" w:type="dxa"/>
            <w:vAlign w:val="center"/>
          </w:tcPr>
          <w:p>
            <w:pPr>
              <w:jc w:val="center"/>
              <w:rPr>
                <w:rFonts w:ascii="宋体" w:hAnsi="宋体"/>
                <w:szCs w:val="21"/>
              </w:rPr>
            </w:pPr>
            <w:r>
              <w:rPr>
                <w:rFonts w:hint="eastAsia" w:ascii="宋体" w:hAnsi="宋体"/>
                <w:szCs w:val="21"/>
              </w:rPr>
              <w:t>11</w:t>
            </w:r>
          </w:p>
        </w:tc>
        <w:tc>
          <w:tcPr>
            <w:tcW w:w="450" w:type="dxa"/>
            <w:vAlign w:val="center"/>
          </w:tcPr>
          <w:p>
            <w:pPr>
              <w:jc w:val="center"/>
              <w:rPr>
                <w:rFonts w:ascii="宋体" w:hAnsi="宋体"/>
                <w:szCs w:val="21"/>
              </w:rPr>
            </w:pPr>
            <w:r>
              <w:rPr>
                <w:rFonts w:hint="eastAsia" w:ascii="宋体" w:hAnsi="宋体"/>
                <w:szCs w:val="21"/>
              </w:rPr>
              <w:t>12</w:t>
            </w:r>
          </w:p>
        </w:tc>
        <w:tc>
          <w:tcPr>
            <w:tcW w:w="406" w:type="dxa"/>
            <w:vAlign w:val="center"/>
          </w:tcPr>
          <w:p>
            <w:pPr>
              <w:jc w:val="center"/>
              <w:rPr>
                <w:rFonts w:ascii="宋体" w:hAnsi="宋体"/>
                <w:szCs w:val="21"/>
              </w:rPr>
            </w:pPr>
            <w:r>
              <w:rPr>
                <w:rFonts w:hint="eastAsia" w:ascii="宋体" w:hAnsi="宋体"/>
                <w:szCs w:val="21"/>
              </w:rPr>
              <w:t>1</w:t>
            </w:r>
          </w:p>
        </w:tc>
        <w:tc>
          <w:tcPr>
            <w:tcW w:w="406" w:type="dxa"/>
            <w:vAlign w:val="center"/>
          </w:tcPr>
          <w:p>
            <w:pPr>
              <w:jc w:val="center"/>
              <w:rPr>
                <w:rFonts w:ascii="宋体" w:hAnsi="宋体"/>
                <w:szCs w:val="21"/>
              </w:rPr>
            </w:pPr>
            <w:r>
              <w:rPr>
                <w:rFonts w:hint="eastAsia" w:ascii="宋体" w:hAnsi="宋体"/>
                <w:szCs w:val="21"/>
              </w:rPr>
              <w:t>2</w:t>
            </w:r>
          </w:p>
        </w:tc>
        <w:tc>
          <w:tcPr>
            <w:tcW w:w="406" w:type="dxa"/>
            <w:vAlign w:val="center"/>
          </w:tcPr>
          <w:p>
            <w:pPr>
              <w:jc w:val="center"/>
              <w:rPr>
                <w:rFonts w:ascii="宋体" w:hAnsi="宋体"/>
                <w:szCs w:val="21"/>
              </w:rPr>
            </w:pPr>
            <w:r>
              <w:rPr>
                <w:rFonts w:hint="eastAsia" w:ascii="宋体" w:hAnsi="宋体"/>
                <w:szCs w:val="21"/>
              </w:rPr>
              <w:t>3</w:t>
            </w:r>
          </w:p>
        </w:tc>
        <w:tc>
          <w:tcPr>
            <w:tcW w:w="406" w:type="dxa"/>
            <w:vAlign w:val="center"/>
          </w:tcPr>
          <w:p>
            <w:pPr>
              <w:jc w:val="center"/>
              <w:rPr>
                <w:rFonts w:ascii="宋体" w:hAnsi="宋体"/>
                <w:szCs w:val="21"/>
              </w:rPr>
            </w:pPr>
            <w:r>
              <w:rPr>
                <w:rFonts w:hint="eastAsia" w:ascii="宋体" w:hAnsi="宋体"/>
                <w:szCs w:val="21"/>
              </w:rPr>
              <w:t>4</w:t>
            </w:r>
          </w:p>
        </w:tc>
        <w:tc>
          <w:tcPr>
            <w:tcW w:w="444" w:type="dxa"/>
            <w:gridSpan w:val="2"/>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9"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27" w:type="dxa"/>
            <w:vAlign w:val="center"/>
          </w:tcPr>
          <w:p>
            <w:pPr>
              <w:jc w:val="center"/>
              <w:rPr>
                <w:rFonts w:ascii="宋体" w:hAnsi="宋体"/>
                <w:szCs w:val="21"/>
              </w:rPr>
            </w:pPr>
          </w:p>
        </w:tc>
        <w:tc>
          <w:tcPr>
            <w:tcW w:w="427" w:type="dxa"/>
            <w:vAlign w:val="center"/>
          </w:tcPr>
          <w:p>
            <w:pPr>
              <w:jc w:val="center"/>
              <w:rPr>
                <w:rFonts w:ascii="宋体" w:hAnsi="宋体"/>
                <w:szCs w:val="21"/>
              </w:rPr>
            </w:pPr>
          </w:p>
        </w:tc>
        <w:tc>
          <w:tcPr>
            <w:tcW w:w="450"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44"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2.下部结构</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9"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27" w:type="dxa"/>
            <w:vAlign w:val="center"/>
          </w:tcPr>
          <w:p>
            <w:pPr>
              <w:jc w:val="center"/>
              <w:rPr>
                <w:rFonts w:ascii="宋体" w:hAnsi="宋体"/>
                <w:szCs w:val="21"/>
              </w:rPr>
            </w:pPr>
          </w:p>
        </w:tc>
        <w:tc>
          <w:tcPr>
            <w:tcW w:w="427" w:type="dxa"/>
            <w:vAlign w:val="center"/>
          </w:tcPr>
          <w:p>
            <w:pPr>
              <w:jc w:val="center"/>
              <w:rPr>
                <w:rFonts w:ascii="宋体" w:hAnsi="宋体"/>
                <w:szCs w:val="21"/>
              </w:rPr>
            </w:pPr>
          </w:p>
        </w:tc>
        <w:tc>
          <w:tcPr>
            <w:tcW w:w="450"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44"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3.上部结构</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9"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27" w:type="dxa"/>
            <w:vAlign w:val="center"/>
          </w:tcPr>
          <w:p>
            <w:pPr>
              <w:jc w:val="center"/>
              <w:rPr>
                <w:rFonts w:ascii="宋体" w:hAnsi="宋体"/>
                <w:szCs w:val="21"/>
              </w:rPr>
            </w:pPr>
          </w:p>
        </w:tc>
        <w:tc>
          <w:tcPr>
            <w:tcW w:w="427" w:type="dxa"/>
            <w:vAlign w:val="center"/>
          </w:tcPr>
          <w:p>
            <w:pPr>
              <w:jc w:val="center"/>
              <w:rPr>
                <w:rFonts w:ascii="宋体" w:hAnsi="宋体"/>
                <w:szCs w:val="21"/>
              </w:rPr>
            </w:pPr>
          </w:p>
        </w:tc>
        <w:tc>
          <w:tcPr>
            <w:tcW w:w="450"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44"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4.附属工程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9"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5"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27" w:type="dxa"/>
            <w:vAlign w:val="center"/>
          </w:tcPr>
          <w:p>
            <w:pPr>
              <w:jc w:val="center"/>
              <w:rPr>
                <w:rFonts w:ascii="宋体" w:hAnsi="宋体"/>
                <w:szCs w:val="21"/>
              </w:rPr>
            </w:pPr>
          </w:p>
        </w:tc>
        <w:tc>
          <w:tcPr>
            <w:tcW w:w="427" w:type="dxa"/>
            <w:vAlign w:val="center"/>
          </w:tcPr>
          <w:p>
            <w:pPr>
              <w:jc w:val="center"/>
              <w:rPr>
                <w:rFonts w:ascii="宋体" w:hAnsi="宋体"/>
                <w:szCs w:val="21"/>
              </w:rPr>
            </w:pPr>
          </w:p>
        </w:tc>
        <w:tc>
          <w:tcPr>
            <w:tcW w:w="450"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06" w:type="dxa"/>
            <w:vAlign w:val="center"/>
          </w:tcPr>
          <w:p>
            <w:pPr>
              <w:jc w:val="center"/>
              <w:rPr>
                <w:rFonts w:ascii="宋体" w:hAnsi="宋体"/>
                <w:szCs w:val="21"/>
              </w:rPr>
            </w:pPr>
          </w:p>
        </w:tc>
        <w:tc>
          <w:tcPr>
            <w:tcW w:w="444" w:type="dxa"/>
            <w:gridSpan w:val="2"/>
            <w:vAlign w:val="center"/>
          </w:tcPr>
          <w:p>
            <w:pPr>
              <w:jc w:val="center"/>
              <w:rPr>
                <w:rFonts w:ascii="宋体" w:hAnsi="宋体"/>
                <w:szCs w:val="21"/>
              </w:rPr>
            </w:pPr>
          </w:p>
        </w:tc>
      </w:tr>
    </w:tbl>
    <w:p>
      <w:pPr>
        <w:pStyle w:val="7"/>
        <w:spacing w:before="120" w:after="0" w:line="240" w:lineRule="auto"/>
      </w:pPr>
    </w:p>
    <w:p>
      <w:pPr>
        <w:pStyle w:val="7"/>
        <w:spacing w:before="120" w:after="0" w:line="240" w:lineRule="auto"/>
      </w:pPr>
      <w:r>
        <w:br w:type="page"/>
      </w:r>
      <w:r>
        <w:rPr>
          <w:rFonts w:hint="eastAsia"/>
        </w:rPr>
        <w:t>附表二   分项工程进度率计划（斜率图）</w:t>
      </w:r>
    </w:p>
    <w:tbl>
      <w:tblPr>
        <w:tblStyle w:val="45"/>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年  度</w:t>
            </w:r>
          </w:p>
        </w:tc>
        <w:tc>
          <w:tcPr>
            <w:tcW w:w="5605" w:type="dxa"/>
            <w:gridSpan w:val="12"/>
            <w:vAlign w:val="center"/>
          </w:tcPr>
          <w:p>
            <w:pPr>
              <w:jc w:val="center"/>
              <w:rPr>
                <w:rFonts w:ascii="宋体" w:hAnsi="宋体"/>
                <w:szCs w:val="21"/>
              </w:rPr>
            </w:pPr>
            <w:r>
              <w:rPr>
                <w:rFonts w:hint="eastAsia" w:ascii="宋体" w:hAnsi="宋体"/>
                <w:szCs w:val="21"/>
              </w:rPr>
              <w:t>年</w:t>
            </w:r>
          </w:p>
        </w:tc>
        <w:tc>
          <w:tcPr>
            <w:tcW w:w="5139" w:type="dxa"/>
            <w:gridSpan w:val="11"/>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季  度</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1" w:type="dxa"/>
            <w:gridSpan w:val="3"/>
            <w:vAlign w:val="center"/>
          </w:tcPr>
          <w:p>
            <w:pPr>
              <w:jc w:val="center"/>
              <w:rPr>
                <w:rFonts w:ascii="宋体" w:hAnsi="宋体"/>
                <w:szCs w:val="21"/>
              </w:rPr>
            </w:pPr>
            <w:r>
              <w:rPr>
                <w:rFonts w:hint="eastAsia" w:ascii="宋体" w:hAnsi="宋体"/>
                <w:szCs w:val="21"/>
              </w:rPr>
              <w:t>二</w:t>
            </w:r>
          </w:p>
        </w:tc>
        <w:tc>
          <w:tcPr>
            <w:tcW w:w="1402" w:type="dxa"/>
            <w:gridSpan w:val="3"/>
            <w:vAlign w:val="center"/>
          </w:tcPr>
          <w:p>
            <w:pPr>
              <w:jc w:val="center"/>
              <w:rPr>
                <w:rFonts w:ascii="宋体" w:hAnsi="宋体"/>
                <w:szCs w:val="21"/>
              </w:rPr>
            </w:pPr>
            <w:r>
              <w:rPr>
                <w:rFonts w:hint="eastAsia" w:ascii="宋体" w:hAnsi="宋体"/>
                <w:szCs w:val="21"/>
              </w:rPr>
              <w:t>三</w:t>
            </w:r>
          </w:p>
        </w:tc>
        <w:tc>
          <w:tcPr>
            <w:tcW w:w="1401" w:type="dxa"/>
            <w:gridSpan w:val="3"/>
            <w:vAlign w:val="center"/>
          </w:tcPr>
          <w:p>
            <w:pPr>
              <w:jc w:val="center"/>
              <w:rPr>
                <w:rFonts w:ascii="宋体" w:hAnsi="宋体"/>
                <w:szCs w:val="21"/>
              </w:rPr>
            </w:pPr>
            <w:r>
              <w:rPr>
                <w:rFonts w:hint="eastAsia" w:ascii="宋体" w:hAnsi="宋体"/>
                <w:szCs w:val="21"/>
              </w:rPr>
              <w:t>四</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2" w:type="dxa"/>
            <w:gridSpan w:val="3"/>
            <w:vAlign w:val="center"/>
          </w:tcPr>
          <w:p>
            <w:pPr>
              <w:jc w:val="center"/>
              <w:rPr>
                <w:rFonts w:ascii="宋体" w:hAnsi="宋体"/>
                <w:szCs w:val="21"/>
              </w:rPr>
            </w:pPr>
            <w:r>
              <w:rPr>
                <w:rFonts w:hint="eastAsia" w:ascii="宋体" w:hAnsi="宋体"/>
                <w:szCs w:val="21"/>
              </w:rPr>
              <w:t>二</w:t>
            </w:r>
          </w:p>
        </w:tc>
        <w:tc>
          <w:tcPr>
            <w:tcW w:w="1401" w:type="dxa"/>
            <w:gridSpan w:val="3"/>
            <w:vAlign w:val="center"/>
          </w:tcPr>
          <w:p>
            <w:pPr>
              <w:jc w:val="center"/>
              <w:rPr>
                <w:rFonts w:ascii="宋体" w:hAnsi="宋体"/>
                <w:szCs w:val="21"/>
              </w:rPr>
            </w:pPr>
            <w:r>
              <w:rPr>
                <w:rFonts w:hint="eastAsia" w:ascii="宋体" w:hAnsi="宋体"/>
                <w:szCs w:val="21"/>
              </w:rPr>
              <w:t>三</w:t>
            </w:r>
          </w:p>
        </w:tc>
        <w:tc>
          <w:tcPr>
            <w:tcW w:w="935" w:type="dxa"/>
            <w:gridSpan w:val="2"/>
            <w:vAlign w:val="center"/>
          </w:tcPr>
          <w:p>
            <w:pPr>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szCs w:val="21"/>
              </w:rPr>
            </w:pPr>
            <w:r>
              <w:rPr>
                <w:rFonts w:hint="eastAsia" w:ascii="宋体" w:hAnsi="宋体"/>
                <w:szCs w:val="21"/>
              </w:rPr>
              <w:t>月  份</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7"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8"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r>
              <w:rPr>
                <w:rFonts w:hint="eastAsia" w:ascii="宋体" w:hAnsi="宋体"/>
                <w:szCs w:val="21"/>
              </w:rPr>
              <w:t>11</w:t>
            </w:r>
          </w:p>
        </w:tc>
        <w:tc>
          <w:tcPr>
            <w:tcW w:w="467" w:type="dxa"/>
            <w:vAlign w:val="center"/>
          </w:tcPr>
          <w:p>
            <w:pPr>
              <w:jc w:val="center"/>
              <w:rPr>
                <w:rFonts w:ascii="宋体" w:hAnsi="宋体"/>
                <w:szCs w:val="21"/>
              </w:rPr>
            </w:pPr>
            <w:r>
              <w:rPr>
                <w:rFonts w:hint="eastAsia" w:ascii="宋体" w:hAnsi="宋体"/>
                <w:szCs w:val="21"/>
              </w:rPr>
              <w:t>12</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8"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7"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8" w:type="dxa"/>
            <w:vAlign w:val="center"/>
          </w:tcPr>
          <w:p>
            <w:pPr>
              <w:jc w:val="cente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szCs w:val="21"/>
              </w:rPr>
            </w:pPr>
            <w:r>
              <w:rPr>
                <w:rFonts w:hint="eastAsia" w:ascii="宋体" w:hAnsi="宋体"/>
                <w:szCs w:val="21"/>
              </w:rPr>
              <w:t>下部结构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szCs w:val="21"/>
              </w:rPr>
            </w:pPr>
            <w:r>
              <w:rPr>
                <w:rFonts w:hint="eastAsia" w:ascii="宋体" w:hAnsi="宋体"/>
                <w:szCs w:val="21"/>
              </w:rPr>
              <w:t>上部结构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szCs w:val="21"/>
              </w:rPr>
            </w:pPr>
            <w:r>
              <w:rPr>
                <w:rFonts w:hint="eastAsia" w:ascii="宋体" w:hAnsi="宋体"/>
                <w:szCs w:val="21"/>
              </w:rPr>
              <w:t>附属工程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szCs w:val="21"/>
              </w:rPr>
            </w:pPr>
          </w:p>
        </w:tc>
        <w:tc>
          <w:tcPr>
            <w:tcW w:w="1276" w:type="dxa"/>
            <w:tcBorders>
              <w:top w:val="nil"/>
              <w:left w:val="nil"/>
              <w:bottom w:val="single" w:color="auto" w:sz="12" w:space="0"/>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rPr>
          <w:rFonts w:ascii="宋体" w:hAnsi="宋体"/>
          <w:szCs w:val="21"/>
        </w:rPr>
        <w:sectPr>
          <w:footnotePr>
            <w:numFmt w:val="decimalEnclosedCircleChinese"/>
            <w:numRestart w:val="eachPage"/>
          </w:footnotePr>
          <w:pgSz w:w="16783" w:h="11850" w:orient="landscape"/>
          <w:pgMar w:top="1361" w:right="1440" w:bottom="1361" w:left="1440" w:header="720" w:footer="907" w:gutter="0"/>
          <w:cols w:space="720" w:num="1"/>
        </w:sectPr>
      </w:pPr>
      <w:r>
        <w:rPr>
          <w:rFonts w:hint="eastAsia" w:ascii="宋体" w:hAnsi="宋体"/>
          <w:szCs w:val="21"/>
        </w:rPr>
        <w:t xml:space="preserve">    2.各个项目的进程可用线条的长短来表示。</w:t>
      </w:r>
    </w:p>
    <w:p>
      <w:pPr>
        <w:pStyle w:val="4"/>
        <w:spacing w:beforeLines="50" w:after="0" w:line="400" w:lineRule="exact"/>
        <w:rPr>
          <w:rFonts w:ascii="Arial" w:hAnsi="Arial" w:eastAsia="黑体"/>
          <w:kern w:val="2"/>
          <w:sz w:val="28"/>
          <w:szCs w:val="28"/>
        </w:rPr>
      </w:pPr>
      <w:bookmarkStart w:id="261" w:name="_Toc234382967"/>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261"/>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pPr>
            <w:r>
              <w:pict>
                <v:shape id="自选图形 3" o:spid="_x0000_s2050" o:spt="32" type="#_x0000_t32" style="position:absolute;left:0pt;margin-left:-5.9pt;margin-top:-0.3pt;height:44.35pt;width:110pt;z-index:251659264;mso-width-relative:page;mso-height-relative:page;" o:connectortype="straight" filled="f" coordsize="21600,21600">
                  <v:path arrowok="t"/>
                  <v:fill on="f" focussize="0,0"/>
                  <v:stroke/>
                  <v:imagedata o:title=""/>
                  <o:lock v:ext="edit"/>
                </v:shape>
              </w:pict>
            </w:r>
            <w:r>
              <w:rPr>
                <w:rFonts w:hint="eastAsia"/>
              </w:rPr>
              <w:t xml:space="preserve">            年  度</w:t>
            </w:r>
          </w:p>
          <w:p>
            <w:pPr>
              <w:jc w:val="center"/>
            </w:pPr>
            <w:r>
              <w:pict>
                <v:rect id="矩形 4" o:spid="_x0000_s2051" o:spt="1" style="position:absolute;left:0pt;margin-left:61.5pt;margin-top:1.6pt;height:21.55pt;width:17.15pt;z-index:251660288;mso-width-relative:page;mso-height-relative:page;" filled="f" stroked="f" coordsize="21600,21600">
                  <v:path/>
                  <v:fill on="f" focussize="0,0"/>
                  <v:stroke on="f"/>
                  <v:imagedata o:title=""/>
                  <o:lock v:ext="edit"/>
                  <v:textbox>
                    <w:txbxContent>
                      <w:p>
                        <w:r>
                          <w:rPr>
                            <w:rFonts w:hint="eastAsia"/>
                          </w:rPr>
                          <w:t>季</w:t>
                        </w:r>
                      </w:p>
                    </w:txbxContent>
                  </v:textbox>
                </v:rect>
              </w:pict>
            </w:r>
          </w:p>
          <w:p>
            <w:pPr>
              <w:jc w:val="center"/>
            </w:pPr>
          </w:p>
        </w:tc>
        <w:tc>
          <w:tcPr>
            <w:tcW w:w="4537" w:type="dxa"/>
            <w:gridSpan w:val="12"/>
            <w:vAlign w:val="center"/>
          </w:tcPr>
          <w:p>
            <w:pPr>
              <w:jc w:val="center"/>
            </w:pPr>
            <w:r>
              <w:rPr>
                <w:rFonts w:hint="eastAsia" w:ascii="宋体" w:hAnsi="宋体"/>
                <w:szCs w:val="21"/>
              </w:rPr>
              <w:t>年</w:t>
            </w:r>
          </w:p>
        </w:tc>
        <w:tc>
          <w:tcPr>
            <w:tcW w:w="2896" w:type="dxa"/>
            <w:gridSpan w:val="8"/>
            <w:vAlign w:val="center"/>
          </w:tcPr>
          <w:p>
            <w:pPr>
              <w:jc w:val="cente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pPr>
            <w:r>
              <w:pict>
                <v:rect id="矩形 5" o:spid="_x0000_s2052" o:spt="1" style="position:absolute;left:0pt;margin-left:84pt;margin-top:-0.45pt;height:21.55pt;width:17.15pt;z-index:251661312;mso-width-relative:page;mso-height-relative:page;" filled="f" stroked="f" coordsize="21600,21600">
                  <v:path/>
                  <v:fill on="f" focussize="0,0"/>
                  <v:stroke on="f"/>
                  <v:imagedata o:title=""/>
                  <o:lock v:ext="edit"/>
                  <v:textbox>
                    <w:txbxContent>
                      <w:p>
                        <w:r>
                          <w:rPr>
                            <w:rFonts w:hint="eastAsia"/>
                          </w:rPr>
                          <w:t>度</w:t>
                        </w:r>
                      </w:p>
                    </w:txbxContent>
                  </v:textbox>
                </v:rect>
              </w:pict>
            </w:r>
          </w:p>
          <w:p>
            <w:pPr>
              <w:jc w:val="left"/>
            </w:pPr>
          </w:p>
          <w:p>
            <w:pPr>
              <w:jc w:val="left"/>
            </w:pPr>
            <w:r>
              <w:pict>
                <v:rect id="矩形 6" o:spid="_x0000_s2053" o:spt="1" style="position:absolute;left:0pt;margin-left:-5.55pt;margin-top:19.35pt;height:454.5pt;width:89.9pt;z-index:251662336;mso-width-relative:page;mso-height-relative:page;" filled="f" stroked="f" coordsize="21600,21600">
                  <v:path/>
                  <v:fill on="f" focussize="0,0"/>
                  <v:stroke on="f"/>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v:textbox>
                </v:rect>
              </w:pict>
            </w:r>
            <w:r>
              <w:rPr>
                <w:rFonts w:hint="eastAsia"/>
              </w:rPr>
              <w:t>进  度</w:t>
            </w:r>
          </w:p>
        </w:tc>
        <w:tc>
          <w:tcPr>
            <w:tcW w:w="1093" w:type="dxa"/>
            <w:gridSpan w:val="3"/>
            <w:vAlign w:val="center"/>
          </w:tcPr>
          <w:p>
            <w:pPr>
              <w:jc w:val="center"/>
            </w:pPr>
            <w:r>
              <w:rPr>
                <w:rFonts w:hint="eastAsia"/>
              </w:rPr>
              <w:t>一</w:t>
            </w:r>
          </w:p>
        </w:tc>
        <w:tc>
          <w:tcPr>
            <w:tcW w:w="1089" w:type="dxa"/>
            <w:gridSpan w:val="3"/>
            <w:vAlign w:val="center"/>
          </w:tcPr>
          <w:p>
            <w:pPr>
              <w:jc w:val="center"/>
            </w:pPr>
            <w:r>
              <w:rPr>
                <w:rFonts w:hint="eastAsia"/>
              </w:rPr>
              <w:t>二</w:t>
            </w:r>
          </w:p>
        </w:tc>
        <w:tc>
          <w:tcPr>
            <w:tcW w:w="1084" w:type="dxa"/>
            <w:gridSpan w:val="3"/>
            <w:vAlign w:val="center"/>
          </w:tcPr>
          <w:p>
            <w:pPr>
              <w:jc w:val="center"/>
            </w:pPr>
            <w:r>
              <w:rPr>
                <w:rFonts w:hint="eastAsia"/>
              </w:rPr>
              <w:t>三</w:t>
            </w:r>
          </w:p>
        </w:tc>
        <w:tc>
          <w:tcPr>
            <w:tcW w:w="1271" w:type="dxa"/>
            <w:gridSpan w:val="3"/>
            <w:vAlign w:val="center"/>
          </w:tcPr>
          <w:p>
            <w:pPr>
              <w:jc w:val="center"/>
            </w:pPr>
            <w:r>
              <w:rPr>
                <w:rFonts w:hint="eastAsia"/>
              </w:rPr>
              <w:t>四</w:t>
            </w:r>
          </w:p>
        </w:tc>
        <w:tc>
          <w:tcPr>
            <w:tcW w:w="1084" w:type="dxa"/>
            <w:gridSpan w:val="3"/>
            <w:vAlign w:val="center"/>
          </w:tcPr>
          <w:p>
            <w:pPr>
              <w:jc w:val="center"/>
            </w:pPr>
            <w:r>
              <w:rPr>
                <w:rFonts w:hint="eastAsia"/>
              </w:rPr>
              <w:t>一</w:t>
            </w:r>
          </w:p>
        </w:tc>
        <w:tc>
          <w:tcPr>
            <w:tcW w:w="1088" w:type="dxa"/>
            <w:gridSpan w:val="3"/>
            <w:vAlign w:val="center"/>
          </w:tcPr>
          <w:p>
            <w:pPr>
              <w:jc w:val="center"/>
            </w:pPr>
            <w:r>
              <w:rPr>
                <w:rFonts w:hint="eastAsia"/>
              </w:rPr>
              <w:t>二</w:t>
            </w:r>
          </w:p>
        </w:tc>
        <w:tc>
          <w:tcPr>
            <w:tcW w:w="724" w:type="dxa"/>
            <w:gridSpan w:val="2"/>
            <w:vAlign w:val="center"/>
          </w:tcPr>
          <w:p>
            <w:pPr>
              <w:jc w:val="center"/>
            </w:pPr>
            <w:r>
              <w:rPr>
                <w:rFonts w:ascii="宋体" w:hAnsi="宋体"/>
              </w:rPr>
              <w:t>……</w:t>
            </w:r>
          </w:p>
        </w:tc>
      </w:tr>
      <w:tr>
        <w:tblPrEx>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pPr>
          </w:p>
        </w:tc>
        <w:tc>
          <w:tcPr>
            <w:tcW w:w="361" w:type="dxa"/>
            <w:vAlign w:val="center"/>
          </w:tcPr>
          <w:p>
            <w:pPr>
              <w:jc w:val="center"/>
            </w:pPr>
            <w:r>
              <w:rPr>
                <w:rFonts w:hint="eastAsia"/>
              </w:rPr>
              <w:t>1</w:t>
            </w:r>
          </w:p>
        </w:tc>
        <w:tc>
          <w:tcPr>
            <w:tcW w:w="361" w:type="dxa"/>
            <w:vAlign w:val="center"/>
          </w:tcPr>
          <w:p>
            <w:pPr>
              <w:jc w:val="center"/>
            </w:pPr>
            <w:r>
              <w:rPr>
                <w:rFonts w:hint="eastAsia"/>
              </w:rPr>
              <w:t>2</w:t>
            </w:r>
          </w:p>
        </w:tc>
        <w:tc>
          <w:tcPr>
            <w:tcW w:w="371" w:type="dxa"/>
            <w:vAlign w:val="center"/>
          </w:tcPr>
          <w:p>
            <w:pPr>
              <w:jc w:val="center"/>
            </w:pPr>
            <w:r>
              <w:rPr>
                <w:rFonts w:hint="eastAsia"/>
              </w:rPr>
              <w:t>3</w:t>
            </w:r>
          </w:p>
        </w:tc>
        <w:tc>
          <w:tcPr>
            <w:tcW w:w="361" w:type="dxa"/>
            <w:vAlign w:val="center"/>
          </w:tcPr>
          <w:p>
            <w:pPr>
              <w:jc w:val="center"/>
            </w:pPr>
            <w:r>
              <w:rPr>
                <w:rFonts w:hint="eastAsia"/>
              </w:rPr>
              <w:t>4</w:t>
            </w:r>
          </w:p>
        </w:tc>
        <w:tc>
          <w:tcPr>
            <w:tcW w:w="361" w:type="dxa"/>
            <w:vAlign w:val="center"/>
          </w:tcPr>
          <w:p>
            <w:pPr>
              <w:jc w:val="center"/>
            </w:pPr>
            <w:r>
              <w:rPr>
                <w:rFonts w:hint="eastAsia"/>
              </w:rPr>
              <w:t>5</w:t>
            </w:r>
          </w:p>
        </w:tc>
        <w:tc>
          <w:tcPr>
            <w:tcW w:w="367" w:type="dxa"/>
            <w:vAlign w:val="center"/>
          </w:tcPr>
          <w:p>
            <w:pPr>
              <w:jc w:val="center"/>
            </w:pPr>
            <w:r>
              <w:rPr>
                <w:rFonts w:hint="eastAsia"/>
              </w:rPr>
              <w:t>6</w:t>
            </w:r>
          </w:p>
        </w:tc>
        <w:tc>
          <w:tcPr>
            <w:tcW w:w="360" w:type="dxa"/>
            <w:vAlign w:val="center"/>
          </w:tcPr>
          <w:p>
            <w:pPr>
              <w:jc w:val="center"/>
            </w:pPr>
            <w:r>
              <w:rPr>
                <w:rFonts w:hint="eastAsia"/>
              </w:rPr>
              <w:t>7</w:t>
            </w:r>
          </w:p>
        </w:tc>
        <w:tc>
          <w:tcPr>
            <w:tcW w:w="360" w:type="dxa"/>
            <w:vAlign w:val="center"/>
          </w:tcPr>
          <w:p>
            <w:pPr>
              <w:jc w:val="center"/>
            </w:pPr>
            <w:r>
              <w:rPr>
                <w:rFonts w:hint="eastAsia"/>
              </w:rPr>
              <w:t>8</w:t>
            </w:r>
          </w:p>
        </w:tc>
        <w:tc>
          <w:tcPr>
            <w:tcW w:w="364" w:type="dxa"/>
            <w:vAlign w:val="center"/>
          </w:tcPr>
          <w:p>
            <w:pPr>
              <w:jc w:val="center"/>
            </w:pPr>
            <w:r>
              <w:rPr>
                <w:rFonts w:hint="eastAsia"/>
              </w:rPr>
              <w:t>9</w:t>
            </w:r>
          </w:p>
        </w:tc>
        <w:tc>
          <w:tcPr>
            <w:tcW w:w="426" w:type="dxa"/>
            <w:vAlign w:val="center"/>
          </w:tcPr>
          <w:p>
            <w:pPr>
              <w:jc w:val="center"/>
            </w:pPr>
            <w:r>
              <w:rPr>
                <w:rFonts w:hint="eastAsia"/>
              </w:rPr>
              <w:t>10</w:t>
            </w:r>
          </w:p>
        </w:tc>
        <w:tc>
          <w:tcPr>
            <w:tcW w:w="419" w:type="dxa"/>
            <w:vAlign w:val="center"/>
          </w:tcPr>
          <w:p>
            <w:pPr>
              <w:jc w:val="center"/>
            </w:pPr>
            <w:r>
              <w:rPr>
                <w:rFonts w:hint="eastAsia"/>
              </w:rPr>
              <w:t>11</w:t>
            </w:r>
          </w:p>
        </w:tc>
        <w:tc>
          <w:tcPr>
            <w:tcW w:w="426" w:type="dxa"/>
            <w:vAlign w:val="center"/>
          </w:tcPr>
          <w:p>
            <w:pPr>
              <w:jc w:val="center"/>
            </w:pPr>
            <w:r>
              <w:rPr>
                <w:rFonts w:hint="eastAsia"/>
              </w:rPr>
              <w:t>12</w:t>
            </w:r>
          </w:p>
        </w:tc>
        <w:tc>
          <w:tcPr>
            <w:tcW w:w="360" w:type="dxa"/>
            <w:vAlign w:val="center"/>
          </w:tcPr>
          <w:p>
            <w:pPr>
              <w:jc w:val="center"/>
            </w:pPr>
            <w:r>
              <w:rPr>
                <w:rFonts w:hint="eastAsia"/>
              </w:rPr>
              <w:t>1</w:t>
            </w:r>
          </w:p>
        </w:tc>
        <w:tc>
          <w:tcPr>
            <w:tcW w:w="360" w:type="dxa"/>
            <w:vAlign w:val="center"/>
          </w:tcPr>
          <w:p>
            <w:pPr>
              <w:jc w:val="center"/>
            </w:pPr>
            <w:r>
              <w:rPr>
                <w:rFonts w:hint="eastAsia"/>
              </w:rPr>
              <w:t>2</w:t>
            </w:r>
          </w:p>
        </w:tc>
        <w:tc>
          <w:tcPr>
            <w:tcW w:w="364" w:type="dxa"/>
            <w:vAlign w:val="center"/>
          </w:tcPr>
          <w:p>
            <w:pPr>
              <w:jc w:val="center"/>
            </w:pPr>
            <w:r>
              <w:rPr>
                <w:rFonts w:hint="eastAsia"/>
              </w:rPr>
              <w:t>3</w:t>
            </w:r>
          </w:p>
        </w:tc>
        <w:tc>
          <w:tcPr>
            <w:tcW w:w="362" w:type="dxa"/>
            <w:vAlign w:val="center"/>
          </w:tcPr>
          <w:p>
            <w:pPr>
              <w:jc w:val="center"/>
            </w:pPr>
            <w:r>
              <w:rPr>
                <w:rFonts w:hint="eastAsia"/>
              </w:rPr>
              <w:t>4</w:t>
            </w:r>
          </w:p>
        </w:tc>
        <w:tc>
          <w:tcPr>
            <w:tcW w:w="362" w:type="dxa"/>
            <w:vAlign w:val="center"/>
          </w:tcPr>
          <w:p>
            <w:pPr>
              <w:jc w:val="center"/>
            </w:pPr>
            <w:r>
              <w:rPr>
                <w:rFonts w:hint="eastAsia"/>
              </w:rPr>
              <w:t>5</w:t>
            </w:r>
          </w:p>
        </w:tc>
        <w:tc>
          <w:tcPr>
            <w:tcW w:w="364" w:type="dxa"/>
            <w:vAlign w:val="center"/>
          </w:tcPr>
          <w:p>
            <w:pPr>
              <w:jc w:val="center"/>
            </w:pPr>
            <w:r>
              <w:rPr>
                <w:rFonts w:hint="eastAsia"/>
              </w:rPr>
              <w:t>6</w:t>
            </w:r>
          </w:p>
        </w:tc>
        <w:tc>
          <w:tcPr>
            <w:tcW w:w="724" w:type="dxa"/>
            <w:gridSpan w:val="2"/>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bl>
    <w:p>
      <w:r>
        <w:rPr>
          <w:rFonts w:ascii="隶书" w:eastAsia="隶书"/>
          <w:sz w:val="24"/>
        </w:rPr>
        <w:pict>
          <v:shape id="文本框 2" o:spid="_x0000_s2054" o:spt="202" type="#_x0000_t202" style="position:absolute;left:0pt;margin-left:72.35pt;margin-top:29.85pt;height:32.95pt;width:288pt;z-index:251658240;mso-width-relative:page;mso-height-relative:page;" filled="f" stroked="f" coordsize="21600,21600">
            <v:path/>
            <v:fill on="f" focussize="0,0"/>
            <v:stroke on="f" joinstyle="miter"/>
            <v:imagedata o:title=""/>
            <o:lock v:ext="edit"/>
            <v:textbox>
              <w:txbxContent>
                <w:p>
                  <w:pPr>
                    <w:jc w:val="center"/>
                    <w:rPr>
                      <w:rFonts w:ascii="宋体" w:hAnsi="宋体"/>
                    </w:rPr>
                  </w:pPr>
                  <w:r>
                    <w:rPr>
                      <w:rFonts w:hint="eastAsia" w:ascii="宋体" w:hAnsi="宋体"/>
                    </w:rPr>
                    <w:t>工期历程的百分比（%）</w:t>
                  </w:r>
                </w:p>
              </w:txbxContent>
            </v:textbox>
          </v:shape>
        </w:pict>
      </w:r>
      <w:r>
        <w:pict>
          <v:rect id="_x0000_s2055" o:spid="_x0000_s2055" o:spt="1" style="position:absolute;left:0pt;margin-left:90.5pt;margin-top:1.65pt;height:21.05pt;width:410.9pt;z-index:251663360;mso-width-relative:page;mso-height-relative:page;" filled="f" stroked="f" coordsize="21600,21600">
            <v:path/>
            <v:fill on="f" focussize="0,0"/>
            <v:stroke on="f"/>
            <v:imagedata o:title=""/>
            <o:lock v:ext="edit"/>
            <v:textbox>
              <w:txbxContent>
                <w:p>
                  <w:r>
                    <w:rPr>
                      <w:rFonts w:hint="eastAsia"/>
                    </w:rPr>
                    <w:t>0     10     20     30     40      50     60     70     80     90    100</w:t>
                  </w:r>
                </w:p>
              </w:txbxContent>
            </v:textbox>
          </v:rect>
        </w:pict>
      </w:r>
    </w:p>
    <w:p/>
    <w:p/>
    <w:p/>
    <w:p/>
    <w:p/>
    <w:p/>
    <w:p>
      <w:pPr>
        <w:sectPr>
          <w:footnotePr>
            <w:numFmt w:val="decimalEnclosedCircleChinese"/>
            <w:numRestart w:val="eachPage"/>
          </w:footnotePr>
          <w:pgSz w:w="11907" w:h="16840"/>
          <w:pgMar w:top="1440" w:right="1361" w:bottom="1440" w:left="1361" w:header="720" w:footer="907" w:gutter="0"/>
          <w:cols w:space="720" w:num="1"/>
        </w:sectPr>
      </w:pPr>
    </w:p>
    <w:p/>
    <w:p/>
    <w:p>
      <w:pPr>
        <w:pStyle w:val="4"/>
        <w:spacing w:beforeLines="50" w:after="240" w:line="400" w:lineRule="exact"/>
        <w:rPr>
          <w:rFonts w:ascii="Arial" w:hAnsi="Arial" w:eastAsia="黑体"/>
          <w:kern w:val="2"/>
          <w:sz w:val="28"/>
          <w:szCs w:val="28"/>
        </w:rPr>
      </w:pPr>
      <w:bookmarkStart w:id="262" w:name="_Toc234382968"/>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262"/>
    </w:p>
    <w:tbl>
      <w:tblPr>
        <w:tblStyle w:val="45"/>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rPr>
                <w:rFonts w:ascii="宋体" w:hAnsi="宋体"/>
                <w:szCs w:val="21"/>
              </w:rPr>
            </w:pPr>
            <w:r>
              <w:rPr>
                <w:rFonts w:hint="eastAsia" w:ascii="宋体" w:hAnsi="宋体"/>
                <w:szCs w:val="21"/>
              </w:rPr>
              <w:t>下部结构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rPr>
                <w:rFonts w:ascii="宋体" w:hAnsi="宋体"/>
                <w:szCs w:val="21"/>
              </w:rPr>
            </w:pPr>
            <w:r>
              <w:rPr>
                <w:rFonts w:hint="eastAsia" w:ascii="宋体" w:hAnsi="宋体"/>
                <w:szCs w:val="21"/>
              </w:rPr>
              <w:t>上部结构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rPr>
                <w:rFonts w:ascii="宋体" w:hAnsi="宋体"/>
                <w:szCs w:val="21"/>
              </w:rPr>
            </w:pPr>
            <w:r>
              <w:rPr>
                <w:rFonts w:hint="eastAsia" w:ascii="宋体" w:hAnsi="宋体"/>
                <w:szCs w:val="21"/>
              </w:rPr>
              <w:t>附属工程</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bl>
    <w:p>
      <w:pPr>
        <w:rPr>
          <w:rFonts w:ascii="宋体" w:hAnsi="宋体"/>
          <w:szCs w:val="21"/>
        </w:rPr>
      </w:pPr>
    </w:p>
    <w:p>
      <w:pPr>
        <w:pStyle w:val="4"/>
        <w:spacing w:beforeLines="50" w:after="0" w:line="400" w:lineRule="exact"/>
        <w:rPr>
          <w:rFonts w:ascii="Arial" w:hAnsi="Arial" w:eastAsia="黑体"/>
          <w:kern w:val="2"/>
          <w:sz w:val="28"/>
          <w:szCs w:val="28"/>
        </w:rPr>
        <w:sectPr>
          <w:footnotePr>
            <w:numFmt w:val="decimalEnclosedCircleChinese"/>
            <w:numRestart w:val="eachPage"/>
          </w:footnotePr>
          <w:pgSz w:w="16840" w:h="11907" w:orient="landscape"/>
          <w:pgMar w:top="1361" w:right="1440" w:bottom="1361" w:left="1440" w:header="720" w:footer="907" w:gutter="0"/>
          <w:cols w:space="720" w:num="1"/>
        </w:sectPr>
      </w:pPr>
    </w:p>
    <w:p>
      <w:pPr>
        <w:pStyle w:val="4"/>
        <w:spacing w:beforeLines="50" w:after="240" w:line="400" w:lineRule="exact"/>
        <w:rPr>
          <w:rFonts w:ascii="Arial" w:hAnsi="Arial" w:eastAsia="黑体"/>
          <w:kern w:val="2"/>
          <w:sz w:val="28"/>
          <w:szCs w:val="28"/>
        </w:rPr>
      </w:pPr>
      <w:bookmarkStart w:id="263" w:name="_Toc234382969"/>
      <w:r>
        <w:rPr>
          <w:rFonts w:ascii="Arial" w:hAnsi="Arial" w:eastAsia="黑体"/>
          <w:kern w:val="2"/>
          <w:sz w:val="28"/>
          <w:szCs w:val="28"/>
        </w:rPr>
        <w:t>附表五施工总平面图</w:t>
      </w:r>
      <w:bookmarkEnd w:id="263"/>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4"/>
        <w:spacing w:beforeLines="50" w:after="240" w:line="400" w:lineRule="exact"/>
        <w:rPr>
          <w:rFonts w:ascii="Arial" w:hAnsi="Arial" w:eastAsia="黑体"/>
          <w:kern w:val="2"/>
          <w:sz w:val="28"/>
          <w:szCs w:val="28"/>
        </w:rPr>
      </w:pPr>
      <w:bookmarkStart w:id="264" w:name="_Toc234382970"/>
      <w:r>
        <w:rPr>
          <w:rFonts w:ascii="Arial" w:hAnsi="Arial" w:eastAsia="黑体"/>
          <w:kern w:val="2"/>
          <w:sz w:val="28"/>
          <w:szCs w:val="28"/>
        </w:rPr>
        <w:t>附表</w:t>
      </w:r>
      <w:r>
        <w:rPr>
          <w:rFonts w:hint="eastAsia" w:ascii="Arial" w:hAnsi="Arial" w:eastAsia="黑体"/>
          <w:kern w:val="2"/>
          <w:sz w:val="28"/>
          <w:szCs w:val="28"/>
        </w:rPr>
        <w:t>六   劳动力计划表</w:t>
      </w:r>
      <w:bookmarkEnd w:id="264"/>
    </w:p>
    <w:p>
      <w:pPr>
        <w:jc w:val="right"/>
        <w:rPr>
          <w:rFonts w:ascii="宋体" w:hAnsi="宋体"/>
          <w:sz w:val="24"/>
        </w:rPr>
      </w:pPr>
      <w:r>
        <w:rPr>
          <w:rFonts w:hint="eastAsia" w:ascii="宋体" w:hAnsi="宋体"/>
          <w:sz w:val="24"/>
        </w:rPr>
        <w:t>单位：人</w:t>
      </w:r>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4"/>
        <w:spacing w:beforeLines="50" w:after="240" w:line="400" w:lineRule="exact"/>
        <w:rPr>
          <w:rFonts w:ascii="Arial" w:hAnsi="Arial" w:eastAsia="黑体"/>
          <w:kern w:val="2"/>
          <w:sz w:val="28"/>
          <w:szCs w:val="28"/>
        </w:rPr>
      </w:pPr>
      <w:r>
        <w:rPr>
          <w:rFonts w:ascii="宋体"/>
          <w:sz w:val="24"/>
        </w:rPr>
        <w:br w:type="page"/>
      </w:r>
      <w:bookmarkStart w:id="265" w:name="_Toc234382971"/>
      <w:r>
        <w:rPr>
          <w:rFonts w:ascii="Arial" w:hAnsi="Arial" w:eastAsia="黑体"/>
          <w:kern w:val="2"/>
          <w:sz w:val="28"/>
          <w:szCs w:val="28"/>
        </w:rPr>
        <w:t>附表</w:t>
      </w:r>
      <w:r>
        <w:rPr>
          <w:rFonts w:hint="eastAsia" w:ascii="Arial" w:hAnsi="Arial" w:eastAsia="黑体"/>
          <w:kern w:val="2"/>
          <w:sz w:val="28"/>
          <w:szCs w:val="28"/>
        </w:rPr>
        <w:t>七  临时占地计划表</w:t>
      </w:r>
      <w:bookmarkEnd w:id="265"/>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szCs w:val="21"/>
              </w:rPr>
            </w:pPr>
          </w:p>
        </w:tc>
        <w:tc>
          <w:tcPr>
            <w:tcW w:w="699" w:type="dxa"/>
            <w:vAlign w:val="center"/>
          </w:tcPr>
          <w:p>
            <w:pPr>
              <w:jc w:val="center"/>
              <w:rPr>
                <w:rFonts w:ascii="宋体" w:hAnsi="宋体"/>
                <w:szCs w:val="21"/>
              </w:rPr>
            </w:pPr>
            <w:r>
              <w:rPr>
                <w:rFonts w:hint="eastAsia" w:ascii="宋体" w:hAnsi="宋体"/>
                <w:szCs w:val="21"/>
              </w:rPr>
              <w:t>菜地</w:t>
            </w:r>
          </w:p>
        </w:tc>
        <w:tc>
          <w:tcPr>
            <w:tcW w:w="700" w:type="dxa"/>
            <w:vAlign w:val="center"/>
          </w:tcPr>
          <w:p>
            <w:pPr>
              <w:jc w:val="center"/>
              <w:rPr>
                <w:rFonts w:ascii="宋体" w:hAnsi="宋体"/>
                <w:szCs w:val="21"/>
              </w:rPr>
            </w:pPr>
            <w:r>
              <w:rPr>
                <w:rFonts w:hint="eastAsia" w:ascii="宋体" w:hAnsi="宋体"/>
                <w:szCs w:val="21"/>
              </w:rPr>
              <w:t>水田</w:t>
            </w:r>
          </w:p>
        </w:tc>
        <w:tc>
          <w:tcPr>
            <w:tcW w:w="702" w:type="dxa"/>
            <w:vAlign w:val="center"/>
          </w:tcPr>
          <w:p>
            <w:pPr>
              <w:jc w:val="center"/>
              <w:rPr>
                <w:rFonts w:ascii="宋体" w:hAnsi="宋体"/>
                <w:szCs w:val="21"/>
              </w:rPr>
            </w:pPr>
            <w:r>
              <w:rPr>
                <w:rFonts w:hint="eastAsia" w:ascii="宋体" w:hAnsi="宋体"/>
                <w:szCs w:val="21"/>
              </w:rPr>
              <w:t>旱地</w:t>
            </w:r>
          </w:p>
        </w:tc>
        <w:tc>
          <w:tcPr>
            <w:tcW w:w="700" w:type="dxa"/>
            <w:vAlign w:val="center"/>
          </w:tcPr>
          <w:p>
            <w:pPr>
              <w:jc w:val="center"/>
              <w:rPr>
                <w:rFonts w:ascii="宋体" w:hAnsi="宋体"/>
                <w:szCs w:val="21"/>
              </w:rPr>
            </w:pPr>
            <w:r>
              <w:rPr>
                <w:rFonts w:hint="eastAsia" w:ascii="宋体" w:hAnsi="宋体"/>
                <w:szCs w:val="21"/>
              </w:rPr>
              <w:t>果园</w:t>
            </w:r>
          </w:p>
        </w:tc>
        <w:tc>
          <w:tcPr>
            <w:tcW w:w="706" w:type="dxa"/>
            <w:vAlign w:val="center"/>
          </w:tcPr>
          <w:p>
            <w:pPr>
              <w:jc w:val="center"/>
              <w:rPr>
                <w:rFonts w:ascii="宋体" w:hAnsi="宋体"/>
                <w:szCs w:val="21"/>
              </w:rPr>
            </w:pPr>
            <w:r>
              <w:rPr>
                <w:rFonts w:hint="eastAsia" w:ascii="宋体" w:hAnsi="宋体"/>
                <w:szCs w:val="21"/>
              </w:rPr>
              <w:t>荒地</w:t>
            </w:r>
          </w:p>
        </w:tc>
        <w:tc>
          <w:tcPr>
            <w:tcW w:w="1779" w:type="dxa"/>
            <w:vMerge w:val="continue"/>
            <w:vAlign w:val="center"/>
          </w:tcPr>
          <w:p>
            <w:pPr>
              <w:jc w:val="center"/>
              <w:rPr>
                <w:rFonts w:ascii="宋体" w:hAnsi="宋体"/>
                <w:szCs w:val="21"/>
              </w:rPr>
            </w:pPr>
          </w:p>
        </w:tc>
        <w:tc>
          <w:tcPr>
            <w:tcW w:w="673" w:type="dxa"/>
            <w:vAlign w:val="center"/>
          </w:tcPr>
          <w:p>
            <w:pPr>
              <w:jc w:val="center"/>
              <w:rPr>
                <w:rFonts w:ascii="宋体" w:hAnsi="宋体"/>
                <w:szCs w:val="21"/>
              </w:rPr>
            </w:pPr>
            <w:r>
              <w:rPr>
                <w:rFonts w:hint="eastAsia" w:ascii="宋体" w:hAnsi="宋体"/>
                <w:szCs w:val="21"/>
              </w:rPr>
              <w:t>桩</w:t>
            </w:r>
          </w:p>
          <w:p>
            <w:pPr>
              <w:jc w:val="center"/>
              <w:rPr>
                <w:rFonts w:ascii="宋体" w:hAnsi="宋体"/>
                <w:szCs w:val="21"/>
              </w:rPr>
            </w:pPr>
            <w:r>
              <w:rPr>
                <w:rFonts w:hint="eastAsia" w:ascii="宋体" w:hAnsi="宋体"/>
                <w:szCs w:val="21"/>
              </w:rPr>
              <w:t>号</w:t>
            </w:r>
          </w:p>
        </w:tc>
        <w:tc>
          <w:tcPr>
            <w:tcW w:w="741" w:type="dxa"/>
            <w:vAlign w:val="center"/>
          </w:tcPr>
          <w:p>
            <w:pPr>
              <w:jc w:val="center"/>
              <w:rPr>
                <w:rFonts w:ascii="宋体" w:hAnsi="宋体"/>
                <w:szCs w:val="21"/>
              </w:rPr>
            </w:pPr>
            <w:r>
              <w:rPr>
                <w:rFonts w:hint="eastAsia" w:ascii="宋体" w:hAnsi="宋体"/>
                <w:szCs w:val="21"/>
              </w:rPr>
              <w:t>左侧（m）</w:t>
            </w:r>
          </w:p>
        </w:tc>
        <w:tc>
          <w:tcPr>
            <w:tcW w:w="742" w:type="dxa"/>
            <w:vAlign w:val="center"/>
          </w:tcPr>
          <w:p>
            <w:pPr>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bl>
    <w:p>
      <w:pPr>
        <w:pStyle w:val="4"/>
        <w:spacing w:beforeLines="50" w:after="240" w:line="400" w:lineRule="exact"/>
        <w:rPr>
          <w:rFonts w:ascii="隶书" w:hAnsi="宋体" w:eastAsia="隶书"/>
          <w:sz w:val="30"/>
          <w:szCs w:val="30"/>
        </w:rPr>
      </w:pPr>
      <w:r>
        <w:rPr>
          <w:rFonts w:ascii="宋体" w:hAnsi="宋体"/>
          <w:sz w:val="24"/>
        </w:rPr>
        <w:br w:type="page"/>
      </w:r>
      <w:bookmarkStart w:id="266" w:name="_Toc234382972"/>
      <w:r>
        <w:rPr>
          <w:rFonts w:hint="eastAsia" w:ascii="Arial" w:hAnsi="Arial" w:eastAsia="黑体"/>
          <w:kern w:val="2"/>
          <w:sz w:val="28"/>
          <w:szCs w:val="28"/>
        </w:rPr>
        <w:t>附表八  外供电力需求计划表</w:t>
      </w:r>
      <w:bookmarkEnd w:id="266"/>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年月</w:t>
            </w:r>
          </w:p>
          <w:p>
            <w:pPr>
              <w:ind w:left="735" w:hanging="735" w:hangingChars="350"/>
              <w:jc w:val="center"/>
              <w:rPr>
                <w:rFonts w:ascii="宋体" w:hAnsi="宋体"/>
                <w:szCs w:val="21"/>
              </w:rPr>
            </w:pPr>
            <w:r>
              <w:rPr>
                <w:rFonts w:hint="eastAsia" w:ascii="宋体" w:hAnsi="宋体"/>
                <w:szCs w:val="21"/>
              </w:rPr>
              <w:t>至年月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4"/>
        <w:spacing w:beforeLines="50" w:after="240" w:line="400" w:lineRule="exact"/>
        <w:rPr>
          <w:rFonts w:ascii="Arial" w:hAnsi="Arial" w:eastAsia="黑体"/>
          <w:kern w:val="2"/>
          <w:sz w:val="28"/>
          <w:szCs w:val="28"/>
        </w:rPr>
      </w:pPr>
      <w:r>
        <w:rPr>
          <w:rFonts w:hint="eastAsia" w:ascii="Arial" w:hAnsi="Arial" w:eastAsia="黑体"/>
          <w:kern w:val="2"/>
          <w:sz w:val="28"/>
          <w:szCs w:val="28"/>
        </w:rPr>
        <w:t>附表九   合同用款估算表</w:t>
      </w:r>
    </w:p>
    <w:tbl>
      <w:tblPr>
        <w:tblStyle w:val="45"/>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spacing w:line="440" w:lineRule="exact"/>
        <w:rPr>
          <w:rFonts w:ascii="宋体" w:hAnsi="宋体"/>
          <w:sz w:val="24"/>
        </w:rPr>
      </w:pPr>
    </w:p>
    <w:p>
      <w:pPr>
        <w:pStyle w:val="4"/>
        <w:keepNext w:val="0"/>
        <w:keepLines w:val="0"/>
        <w:pageBreakBefore/>
        <w:spacing w:beforeLines="100" w:afterLines="150" w:line="360" w:lineRule="exact"/>
        <w:jc w:val="center"/>
        <w:rPr>
          <w:rFonts w:ascii="黑体" w:hAnsi="宋体" w:eastAsia="黑体"/>
          <w:color w:val="000000" w:themeColor="text1"/>
          <w:sz w:val="28"/>
          <w:szCs w:val="28"/>
        </w:rPr>
      </w:pPr>
      <w:bookmarkStart w:id="267" w:name="_Toc234382974"/>
      <w:bookmarkStart w:id="268" w:name="_Toc486277936"/>
      <w:bookmarkStart w:id="269" w:name="_Toc19898"/>
      <w:bookmarkStart w:id="270" w:name="_Toc485889070"/>
      <w:r>
        <w:rPr>
          <w:rFonts w:hint="eastAsia" w:ascii="黑体" w:hAnsi="宋体" w:eastAsia="黑体"/>
          <w:color w:val="000000" w:themeColor="text1"/>
          <w:sz w:val="28"/>
          <w:szCs w:val="28"/>
        </w:rPr>
        <w:t>五</w:t>
      </w:r>
      <w:r>
        <w:rPr>
          <w:rFonts w:ascii="黑体" w:hAnsi="宋体" w:eastAsia="黑体"/>
          <w:color w:val="000000" w:themeColor="text1"/>
          <w:sz w:val="28"/>
          <w:szCs w:val="28"/>
        </w:rPr>
        <w:t>、项目管理机构</w:t>
      </w:r>
      <w:bookmarkEnd w:id="267"/>
      <w:bookmarkEnd w:id="268"/>
      <w:bookmarkEnd w:id="269"/>
      <w:bookmarkEnd w:id="270"/>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tcPr>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color w:val="000000" w:themeColor="text1"/>
                <w:szCs w:val="21"/>
              </w:rPr>
            </w:pPr>
          </w:p>
          <w:p>
            <w:pPr>
              <w:rPr>
                <w:rFonts w:ascii="宋体" w:hAnsi="宋体"/>
                <w:color w:val="FF0000"/>
                <w:szCs w:val="21"/>
              </w:rPr>
            </w:pPr>
            <w:r>
              <w:rPr>
                <w:rFonts w:hint="eastAsia" w:ascii="宋体" w:hAnsi="宋体"/>
                <w:color w:val="000000" w:themeColor="text1"/>
                <w:szCs w:val="21"/>
              </w:rPr>
              <w:t>说明</w:t>
            </w:r>
          </w:p>
        </w:tc>
      </w:tr>
    </w:tbl>
    <w:p>
      <w:pPr>
        <w:rPr>
          <w:color w:val="FF0000"/>
        </w:rPr>
      </w:pPr>
    </w:p>
    <w:p>
      <w:pPr>
        <w:pStyle w:val="4"/>
        <w:spacing w:beforeLines="100" w:afterLines="150" w:line="360" w:lineRule="exact"/>
        <w:jc w:val="center"/>
        <w:rPr>
          <w:rFonts w:ascii="黑体" w:hAnsi="宋体" w:eastAsia="黑体"/>
          <w:color w:val="000000" w:themeColor="text1"/>
          <w:sz w:val="28"/>
          <w:szCs w:val="28"/>
        </w:rPr>
      </w:pPr>
      <w:bookmarkStart w:id="271" w:name="_Toc18211"/>
      <w:bookmarkStart w:id="272" w:name="_Toc234382977"/>
      <w:bookmarkStart w:id="273" w:name="_Toc485889072"/>
      <w:bookmarkStart w:id="274" w:name="_Toc486277938"/>
      <w:r>
        <w:rPr>
          <w:rFonts w:hint="eastAsia" w:ascii="黑体" w:hAnsi="宋体" w:eastAsia="黑体"/>
          <w:color w:val="000000" w:themeColor="text1"/>
          <w:sz w:val="28"/>
          <w:szCs w:val="28"/>
        </w:rPr>
        <w:t>六、资格审查资料</w:t>
      </w:r>
      <w:bookmarkEnd w:id="271"/>
      <w:bookmarkEnd w:id="272"/>
      <w:bookmarkEnd w:id="273"/>
      <w:bookmarkEnd w:id="274"/>
    </w:p>
    <w:p>
      <w:pPr>
        <w:pStyle w:val="4"/>
        <w:spacing w:beforeLines="100" w:afterLines="150" w:line="360" w:lineRule="exact"/>
        <w:jc w:val="center"/>
        <w:rPr>
          <w:rFonts w:ascii="黑体" w:hAnsi="宋体" w:eastAsia="黑体"/>
          <w:color w:val="000000" w:themeColor="text1"/>
          <w:sz w:val="28"/>
          <w:szCs w:val="28"/>
        </w:rPr>
      </w:pPr>
      <w:bookmarkStart w:id="275" w:name="_Toc234382978"/>
      <w:bookmarkStart w:id="276" w:name="_Toc9432"/>
      <w:bookmarkStart w:id="277" w:name="_Toc486277939"/>
      <w:bookmarkStart w:id="278" w:name="_Toc485889073"/>
      <w:r>
        <w:rPr>
          <w:rFonts w:hint="eastAsia" w:ascii="黑体" w:hAnsi="宋体" w:eastAsia="黑体"/>
          <w:color w:val="000000" w:themeColor="text1"/>
          <w:sz w:val="28"/>
          <w:szCs w:val="28"/>
        </w:rPr>
        <w:t>（一）投标人基本情况表</w:t>
      </w:r>
      <w:bookmarkEnd w:id="275"/>
      <w:bookmarkEnd w:id="276"/>
      <w:bookmarkEnd w:id="277"/>
      <w:bookmarkEnd w:id="278"/>
    </w:p>
    <w:tbl>
      <w:tblPr>
        <w:tblStyle w:val="45"/>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投标人名称</w:t>
            </w:r>
          </w:p>
        </w:tc>
        <w:tc>
          <w:tcPr>
            <w:tcW w:w="7697" w:type="dxa"/>
            <w:gridSpan w:val="8"/>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注册地址</w:t>
            </w:r>
          </w:p>
        </w:tc>
        <w:tc>
          <w:tcPr>
            <w:tcW w:w="3846" w:type="dxa"/>
            <w:gridSpan w:val="4"/>
            <w:vAlign w:val="center"/>
          </w:tcPr>
          <w:p>
            <w:pPr>
              <w:autoSpaceDE w:val="0"/>
              <w:autoSpaceDN w:val="0"/>
              <w:adjustRightInd w:val="0"/>
              <w:jc w:val="center"/>
              <w:rPr>
                <w:rFonts w:ascii="宋体" w:hAnsi="宋体"/>
                <w:color w:val="000000" w:themeColor="text1"/>
                <w:kern w:val="0"/>
                <w:szCs w:val="21"/>
              </w:rPr>
            </w:pPr>
          </w:p>
        </w:tc>
        <w:tc>
          <w:tcPr>
            <w:tcW w:w="121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邮政编码</w:t>
            </w:r>
          </w:p>
        </w:tc>
        <w:tc>
          <w:tcPr>
            <w:tcW w:w="2639" w:type="dxa"/>
            <w:gridSpan w:val="3"/>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联系方式</w:t>
            </w:r>
          </w:p>
        </w:tc>
        <w:tc>
          <w:tcPr>
            <w:tcW w:w="1010"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联系人</w:t>
            </w:r>
          </w:p>
        </w:tc>
        <w:tc>
          <w:tcPr>
            <w:tcW w:w="2836" w:type="dxa"/>
            <w:gridSpan w:val="3"/>
            <w:vAlign w:val="center"/>
          </w:tcPr>
          <w:p>
            <w:pPr>
              <w:autoSpaceDE w:val="0"/>
              <w:autoSpaceDN w:val="0"/>
              <w:adjustRightInd w:val="0"/>
              <w:jc w:val="center"/>
              <w:rPr>
                <w:rFonts w:ascii="宋体" w:hAnsi="宋体"/>
                <w:color w:val="000000" w:themeColor="text1"/>
                <w:kern w:val="0"/>
                <w:szCs w:val="21"/>
              </w:rPr>
            </w:pPr>
          </w:p>
        </w:tc>
        <w:tc>
          <w:tcPr>
            <w:tcW w:w="121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电话</w:t>
            </w:r>
          </w:p>
        </w:tc>
        <w:tc>
          <w:tcPr>
            <w:tcW w:w="2639" w:type="dxa"/>
            <w:gridSpan w:val="3"/>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color w:val="000000" w:themeColor="text1"/>
                <w:kern w:val="0"/>
                <w:szCs w:val="21"/>
              </w:rPr>
            </w:pPr>
          </w:p>
        </w:tc>
        <w:tc>
          <w:tcPr>
            <w:tcW w:w="1010" w:type="dxa"/>
            <w:vAlign w:val="center"/>
          </w:tcPr>
          <w:p>
            <w:pPr>
              <w:tabs>
                <w:tab w:val="left" w:pos="540"/>
              </w:tabs>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传真</w:t>
            </w:r>
          </w:p>
        </w:tc>
        <w:tc>
          <w:tcPr>
            <w:tcW w:w="2836" w:type="dxa"/>
            <w:gridSpan w:val="3"/>
            <w:vAlign w:val="center"/>
          </w:tcPr>
          <w:p>
            <w:pPr>
              <w:autoSpaceDE w:val="0"/>
              <w:autoSpaceDN w:val="0"/>
              <w:adjustRightInd w:val="0"/>
              <w:jc w:val="center"/>
              <w:rPr>
                <w:rFonts w:ascii="宋体" w:hAnsi="宋体"/>
                <w:color w:val="000000" w:themeColor="text1"/>
                <w:kern w:val="0"/>
                <w:szCs w:val="21"/>
              </w:rPr>
            </w:pPr>
          </w:p>
        </w:tc>
        <w:tc>
          <w:tcPr>
            <w:tcW w:w="121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电子邮件</w:t>
            </w:r>
          </w:p>
        </w:tc>
        <w:tc>
          <w:tcPr>
            <w:tcW w:w="2639" w:type="dxa"/>
            <w:gridSpan w:val="3"/>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法定代表人</w:t>
            </w:r>
          </w:p>
        </w:tc>
        <w:tc>
          <w:tcPr>
            <w:tcW w:w="1010"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姓名</w:t>
            </w:r>
          </w:p>
        </w:tc>
        <w:tc>
          <w:tcPr>
            <w:tcW w:w="1070" w:type="dxa"/>
            <w:vAlign w:val="center"/>
          </w:tcPr>
          <w:p>
            <w:pPr>
              <w:autoSpaceDE w:val="0"/>
              <w:autoSpaceDN w:val="0"/>
              <w:adjustRightInd w:val="0"/>
              <w:jc w:val="center"/>
              <w:rPr>
                <w:rFonts w:ascii="宋体" w:hAnsi="宋体"/>
                <w:color w:val="000000" w:themeColor="text1"/>
                <w:kern w:val="0"/>
                <w:szCs w:val="21"/>
              </w:rPr>
            </w:pPr>
          </w:p>
        </w:tc>
        <w:tc>
          <w:tcPr>
            <w:tcW w:w="1416"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技术职称</w:t>
            </w:r>
          </w:p>
        </w:tc>
        <w:tc>
          <w:tcPr>
            <w:tcW w:w="2119" w:type="dxa"/>
            <w:gridSpan w:val="3"/>
            <w:vAlign w:val="center"/>
          </w:tcPr>
          <w:p>
            <w:pPr>
              <w:autoSpaceDE w:val="0"/>
              <w:autoSpaceDN w:val="0"/>
              <w:adjustRightInd w:val="0"/>
              <w:jc w:val="center"/>
              <w:rPr>
                <w:rFonts w:ascii="宋体" w:hAnsi="宋体"/>
                <w:color w:val="000000" w:themeColor="text1"/>
                <w:kern w:val="0"/>
                <w:szCs w:val="21"/>
              </w:rPr>
            </w:pPr>
          </w:p>
        </w:tc>
        <w:tc>
          <w:tcPr>
            <w:tcW w:w="966"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电话</w:t>
            </w:r>
          </w:p>
        </w:tc>
        <w:tc>
          <w:tcPr>
            <w:tcW w:w="1116" w:type="dxa"/>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技术负责人</w:t>
            </w:r>
          </w:p>
        </w:tc>
        <w:tc>
          <w:tcPr>
            <w:tcW w:w="1010"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姓名</w:t>
            </w:r>
          </w:p>
        </w:tc>
        <w:tc>
          <w:tcPr>
            <w:tcW w:w="1070" w:type="dxa"/>
            <w:vAlign w:val="center"/>
          </w:tcPr>
          <w:p>
            <w:pPr>
              <w:autoSpaceDE w:val="0"/>
              <w:autoSpaceDN w:val="0"/>
              <w:adjustRightInd w:val="0"/>
              <w:jc w:val="center"/>
              <w:rPr>
                <w:rFonts w:ascii="宋体" w:hAnsi="宋体"/>
                <w:color w:val="000000" w:themeColor="text1"/>
                <w:kern w:val="0"/>
                <w:szCs w:val="21"/>
              </w:rPr>
            </w:pPr>
          </w:p>
        </w:tc>
        <w:tc>
          <w:tcPr>
            <w:tcW w:w="1416"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技术职称</w:t>
            </w:r>
          </w:p>
        </w:tc>
        <w:tc>
          <w:tcPr>
            <w:tcW w:w="2119" w:type="dxa"/>
            <w:gridSpan w:val="3"/>
            <w:vAlign w:val="center"/>
          </w:tcPr>
          <w:p>
            <w:pPr>
              <w:autoSpaceDE w:val="0"/>
              <w:autoSpaceDN w:val="0"/>
              <w:adjustRightInd w:val="0"/>
              <w:jc w:val="center"/>
              <w:rPr>
                <w:rFonts w:ascii="宋体" w:hAnsi="宋体"/>
                <w:color w:val="000000" w:themeColor="text1"/>
                <w:kern w:val="0"/>
                <w:szCs w:val="21"/>
              </w:rPr>
            </w:pPr>
          </w:p>
        </w:tc>
        <w:tc>
          <w:tcPr>
            <w:tcW w:w="966"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电话</w:t>
            </w:r>
          </w:p>
        </w:tc>
        <w:tc>
          <w:tcPr>
            <w:tcW w:w="1116" w:type="dxa"/>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成立时间</w:t>
            </w:r>
          </w:p>
        </w:tc>
        <w:tc>
          <w:tcPr>
            <w:tcW w:w="2080" w:type="dxa"/>
            <w:gridSpan w:val="2"/>
            <w:vAlign w:val="center"/>
          </w:tcPr>
          <w:p>
            <w:pPr>
              <w:autoSpaceDE w:val="0"/>
              <w:autoSpaceDN w:val="0"/>
              <w:adjustRightInd w:val="0"/>
              <w:jc w:val="center"/>
              <w:rPr>
                <w:rFonts w:ascii="宋体" w:hAnsi="宋体"/>
                <w:color w:val="000000" w:themeColor="text1"/>
                <w:kern w:val="0"/>
                <w:szCs w:val="21"/>
              </w:rPr>
            </w:pPr>
          </w:p>
        </w:tc>
        <w:tc>
          <w:tcPr>
            <w:tcW w:w="5617" w:type="dxa"/>
            <w:gridSpan w:val="6"/>
            <w:vAlign w:val="center"/>
          </w:tcPr>
          <w:p>
            <w:pPr>
              <w:autoSpaceDE w:val="0"/>
              <w:autoSpaceDN w:val="0"/>
              <w:adjustRightInd w:val="0"/>
              <w:ind w:left="105" w:leftChars="50"/>
              <w:jc w:val="center"/>
              <w:rPr>
                <w:rFonts w:ascii="宋体" w:hAnsi="宋体"/>
                <w:color w:val="000000" w:themeColor="text1"/>
                <w:kern w:val="0"/>
                <w:szCs w:val="21"/>
                <w:u w:val="single"/>
              </w:rPr>
            </w:pPr>
            <w:r>
              <w:rPr>
                <w:rFonts w:hint="eastAsia" w:ascii="宋体" w:hAnsi="宋体" w:cs="MingLiU"/>
                <w:color w:val="000000" w:themeColor="text1"/>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企业资质等级</w:t>
            </w:r>
          </w:p>
        </w:tc>
        <w:tc>
          <w:tcPr>
            <w:tcW w:w="2080" w:type="dxa"/>
            <w:gridSpan w:val="2"/>
            <w:vAlign w:val="center"/>
          </w:tcPr>
          <w:p>
            <w:pPr>
              <w:autoSpaceDE w:val="0"/>
              <w:autoSpaceDN w:val="0"/>
              <w:adjustRightInd w:val="0"/>
              <w:jc w:val="center"/>
              <w:rPr>
                <w:rFonts w:ascii="宋体" w:hAnsi="宋体"/>
                <w:color w:val="000000" w:themeColor="text1"/>
                <w:kern w:val="0"/>
                <w:szCs w:val="21"/>
              </w:rPr>
            </w:pPr>
          </w:p>
        </w:tc>
        <w:tc>
          <w:tcPr>
            <w:tcW w:w="1416" w:type="dxa"/>
            <w:vMerge w:val="restart"/>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其中</w:t>
            </w:r>
          </w:p>
        </w:tc>
        <w:tc>
          <w:tcPr>
            <w:tcW w:w="2119" w:type="dxa"/>
            <w:gridSpan w:val="3"/>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项目经理</w:t>
            </w:r>
          </w:p>
        </w:tc>
        <w:tc>
          <w:tcPr>
            <w:tcW w:w="2082" w:type="dxa"/>
            <w:gridSpan w:val="2"/>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营业执照号</w:t>
            </w:r>
          </w:p>
        </w:tc>
        <w:tc>
          <w:tcPr>
            <w:tcW w:w="2080" w:type="dxa"/>
            <w:gridSpan w:val="2"/>
            <w:vAlign w:val="center"/>
          </w:tcPr>
          <w:p>
            <w:pPr>
              <w:autoSpaceDE w:val="0"/>
              <w:autoSpaceDN w:val="0"/>
              <w:adjustRightInd w:val="0"/>
              <w:jc w:val="center"/>
              <w:rPr>
                <w:rFonts w:ascii="宋体" w:hAnsi="宋体"/>
                <w:color w:val="000000" w:themeColor="text1"/>
                <w:kern w:val="0"/>
                <w:szCs w:val="21"/>
              </w:rPr>
            </w:pPr>
          </w:p>
        </w:tc>
        <w:tc>
          <w:tcPr>
            <w:tcW w:w="1416" w:type="dxa"/>
            <w:vMerge w:val="continue"/>
            <w:vAlign w:val="center"/>
          </w:tcPr>
          <w:p>
            <w:pPr>
              <w:autoSpaceDE w:val="0"/>
              <w:autoSpaceDN w:val="0"/>
              <w:adjustRightInd w:val="0"/>
              <w:jc w:val="center"/>
              <w:rPr>
                <w:rFonts w:ascii="宋体" w:hAnsi="宋体"/>
                <w:color w:val="000000" w:themeColor="text1"/>
                <w:kern w:val="0"/>
                <w:szCs w:val="21"/>
              </w:rPr>
            </w:pPr>
          </w:p>
        </w:tc>
        <w:tc>
          <w:tcPr>
            <w:tcW w:w="2119" w:type="dxa"/>
            <w:gridSpan w:val="3"/>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高级职称人员</w:t>
            </w:r>
          </w:p>
        </w:tc>
        <w:tc>
          <w:tcPr>
            <w:tcW w:w="2082" w:type="dxa"/>
            <w:gridSpan w:val="2"/>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注册资金</w:t>
            </w:r>
          </w:p>
        </w:tc>
        <w:tc>
          <w:tcPr>
            <w:tcW w:w="2080" w:type="dxa"/>
            <w:gridSpan w:val="2"/>
            <w:vAlign w:val="center"/>
          </w:tcPr>
          <w:p>
            <w:pPr>
              <w:autoSpaceDE w:val="0"/>
              <w:autoSpaceDN w:val="0"/>
              <w:adjustRightInd w:val="0"/>
              <w:jc w:val="center"/>
              <w:rPr>
                <w:rFonts w:ascii="宋体" w:hAnsi="宋体"/>
                <w:color w:val="000000" w:themeColor="text1"/>
                <w:kern w:val="0"/>
                <w:szCs w:val="21"/>
              </w:rPr>
            </w:pPr>
          </w:p>
        </w:tc>
        <w:tc>
          <w:tcPr>
            <w:tcW w:w="1416" w:type="dxa"/>
            <w:vMerge w:val="continue"/>
            <w:vAlign w:val="center"/>
          </w:tcPr>
          <w:p>
            <w:pPr>
              <w:autoSpaceDE w:val="0"/>
              <w:autoSpaceDN w:val="0"/>
              <w:adjustRightInd w:val="0"/>
              <w:jc w:val="center"/>
              <w:rPr>
                <w:rFonts w:ascii="宋体" w:hAnsi="宋体"/>
                <w:color w:val="000000" w:themeColor="text1"/>
                <w:kern w:val="0"/>
                <w:szCs w:val="21"/>
              </w:rPr>
            </w:pPr>
          </w:p>
        </w:tc>
        <w:tc>
          <w:tcPr>
            <w:tcW w:w="2119" w:type="dxa"/>
            <w:gridSpan w:val="3"/>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中级职称人员</w:t>
            </w:r>
          </w:p>
        </w:tc>
        <w:tc>
          <w:tcPr>
            <w:tcW w:w="2082" w:type="dxa"/>
            <w:gridSpan w:val="2"/>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基本账户开户银行</w:t>
            </w:r>
          </w:p>
        </w:tc>
        <w:tc>
          <w:tcPr>
            <w:tcW w:w="2080" w:type="dxa"/>
            <w:gridSpan w:val="2"/>
            <w:vAlign w:val="center"/>
          </w:tcPr>
          <w:p>
            <w:pPr>
              <w:autoSpaceDE w:val="0"/>
              <w:autoSpaceDN w:val="0"/>
              <w:adjustRightInd w:val="0"/>
              <w:jc w:val="center"/>
              <w:rPr>
                <w:rFonts w:ascii="宋体" w:hAnsi="宋体"/>
                <w:color w:val="000000" w:themeColor="text1"/>
                <w:kern w:val="0"/>
                <w:szCs w:val="21"/>
              </w:rPr>
            </w:pPr>
          </w:p>
        </w:tc>
        <w:tc>
          <w:tcPr>
            <w:tcW w:w="1416" w:type="dxa"/>
            <w:vMerge w:val="continue"/>
            <w:vAlign w:val="center"/>
          </w:tcPr>
          <w:p>
            <w:pPr>
              <w:autoSpaceDE w:val="0"/>
              <w:autoSpaceDN w:val="0"/>
              <w:adjustRightInd w:val="0"/>
              <w:jc w:val="center"/>
              <w:rPr>
                <w:rFonts w:ascii="宋体" w:hAnsi="宋体"/>
                <w:color w:val="000000" w:themeColor="text1"/>
                <w:kern w:val="0"/>
                <w:szCs w:val="21"/>
              </w:rPr>
            </w:pPr>
          </w:p>
        </w:tc>
        <w:tc>
          <w:tcPr>
            <w:tcW w:w="2119" w:type="dxa"/>
            <w:gridSpan w:val="3"/>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初级职称人员</w:t>
            </w:r>
          </w:p>
        </w:tc>
        <w:tc>
          <w:tcPr>
            <w:tcW w:w="2082" w:type="dxa"/>
            <w:gridSpan w:val="2"/>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基本账户账号</w:t>
            </w:r>
          </w:p>
        </w:tc>
        <w:tc>
          <w:tcPr>
            <w:tcW w:w="2080" w:type="dxa"/>
            <w:gridSpan w:val="2"/>
            <w:vAlign w:val="center"/>
          </w:tcPr>
          <w:p>
            <w:pPr>
              <w:autoSpaceDE w:val="0"/>
              <w:autoSpaceDN w:val="0"/>
              <w:adjustRightInd w:val="0"/>
              <w:jc w:val="center"/>
              <w:rPr>
                <w:rFonts w:ascii="宋体" w:hAnsi="宋体"/>
                <w:color w:val="000000" w:themeColor="text1"/>
                <w:kern w:val="0"/>
                <w:szCs w:val="21"/>
              </w:rPr>
            </w:pPr>
          </w:p>
        </w:tc>
        <w:tc>
          <w:tcPr>
            <w:tcW w:w="1416" w:type="dxa"/>
            <w:vMerge w:val="continue"/>
            <w:vAlign w:val="center"/>
          </w:tcPr>
          <w:p>
            <w:pPr>
              <w:autoSpaceDE w:val="0"/>
              <w:autoSpaceDN w:val="0"/>
              <w:adjustRightInd w:val="0"/>
              <w:jc w:val="center"/>
              <w:rPr>
                <w:rFonts w:ascii="宋体" w:hAnsi="宋体"/>
                <w:color w:val="000000" w:themeColor="text1"/>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color w:val="000000" w:themeColor="text1"/>
                <w:kern w:val="0"/>
                <w:szCs w:val="21"/>
              </w:rPr>
            </w:pPr>
            <w:r>
              <w:rPr>
                <w:rFonts w:hint="eastAsia" w:ascii="宋体" w:hAnsi="宋体" w:cs="MingLiU"/>
                <w:color w:val="000000" w:themeColor="text1"/>
                <w:kern w:val="0"/>
                <w:szCs w:val="21"/>
              </w:rPr>
              <w:t>技工</w:t>
            </w:r>
          </w:p>
        </w:tc>
        <w:tc>
          <w:tcPr>
            <w:tcW w:w="2082" w:type="dxa"/>
            <w:gridSpan w:val="2"/>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经营范围</w:t>
            </w:r>
          </w:p>
        </w:tc>
        <w:tc>
          <w:tcPr>
            <w:tcW w:w="7697" w:type="dxa"/>
            <w:gridSpan w:val="8"/>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color w:val="000000" w:themeColor="text1"/>
                <w:kern w:val="0"/>
                <w:szCs w:val="21"/>
              </w:rPr>
            </w:pPr>
            <w:r>
              <w:rPr>
                <w:rFonts w:hint="eastAsia" w:ascii="宋体" w:hAnsi="宋体" w:cs="MingLiU"/>
                <w:color w:val="000000" w:themeColor="text1"/>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color w:val="000000" w:themeColor="text1"/>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000000" w:themeColor="text1"/>
                <w:kern w:val="0"/>
                <w:szCs w:val="21"/>
              </w:rPr>
            </w:pPr>
            <w:r>
              <w:rPr>
                <w:rFonts w:hint="eastAsia" w:ascii="宋体" w:hAnsi="宋体" w:cs="MingLiU"/>
                <w:color w:val="000000" w:themeColor="text1"/>
                <w:kern w:val="0"/>
                <w:szCs w:val="21"/>
              </w:rPr>
              <w:t>备    注</w:t>
            </w:r>
          </w:p>
        </w:tc>
        <w:tc>
          <w:tcPr>
            <w:tcW w:w="7697" w:type="dxa"/>
            <w:gridSpan w:val="8"/>
            <w:vAlign w:val="center"/>
          </w:tcPr>
          <w:p>
            <w:pPr>
              <w:autoSpaceDE w:val="0"/>
              <w:autoSpaceDN w:val="0"/>
              <w:adjustRightInd w:val="0"/>
              <w:jc w:val="center"/>
              <w:rPr>
                <w:rFonts w:ascii="宋体" w:hAnsi="宋体"/>
                <w:color w:val="000000" w:themeColor="text1"/>
                <w:kern w:val="0"/>
                <w:szCs w:val="21"/>
              </w:rPr>
            </w:pPr>
          </w:p>
        </w:tc>
      </w:tr>
    </w:tbl>
    <w:p>
      <w:pPr>
        <w:rPr>
          <w:color w:val="000000" w:themeColor="text1"/>
        </w:rPr>
      </w:pPr>
      <w:r>
        <w:rPr>
          <w:rFonts w:hint="eastAsia" w:ascii="宋体" w:hAnsi="宋体"/>
          <w:color w:val="000000" w:themeColor="text1"/>
          <w:szCs w:val="21"/>
        </w:rPr>
        <w:t>注：1.企业法人营业执照副本（全本）、施工资质证书副本（全本）、安全生产许可证副本（全本）和基本账户开户许可证的彩色扫描件并加盖单位章。</w:t>
      </w:r>
    </w:p>
    <w:p>
      <w:pPr>
        <w:pStyle w:val="4"/>
        <w:spacing w:beforeLines="100" w:afterLines="150" w:line="360" w:lineRule="exact"/>
        <w:jc w:val="center"/>
        <w:rPr>
          <w:rFonts w:ascii="黑体" w:hAnsi="宋体" w:eastAsia="黑体"/>
          <w:color w:val="000000" w:themeColor="text1"/>
          <w:sz w:val="28"/>
          <w:szCs w:val="28"/>
        </w:rPr>
      </w:pPr>
      <w:bookmarkStart w:id="279" w:name="_Toc485889074"/>
      <w:bookmarkStart w:id="280" w:name="_Toc234382979"/>
      <w:bookmarkStart w:id="281" w:name="_Toc486277940"/>
      <w:bookmarkStart w:id="282" w:name="_Toc10076"/>
      <w:r>
        <w:rPr>
          <w:rFonts w:hint="eastAsia" w:ascii="黑体" w:hAnsi="宋体" w:eastAsia="黑体"/>
          <w:color w:val="000000" w:themeColor="text1"/>
          <w:sz w:val="28"/>
          <w:szCs w:val="28"/>
        </w:rPr>
        <w:t>（二）投标人企业组织结构框图</w:t>
      </w:r>
      <w:bookmarkEnd w:id="279"/>
      <w:bookmarkEnd w:id="280"/>
      <w:bookmarkEnd w:id="281"/>
      <w:bookmarkEnd w:id="282"/>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Pr>
              <w:rPr>
                <w:color w:val="000000" w:themeColor="text1"/>
              </w:rPr>
            </w:pPr>
          </w:p>
          <w:p>
            <w:pPr>
              <w:rPr>
                <w:rFonts w:cs="宋体"/>
                <w:color w:val="000000" w:themeColor="text1"/>
                <w:szCs w:val="21"/>
              </w:rPr>
            </w:pPr>
            <w:r>
              <w:rPr>
                <w:rFonts w:hint="eastAsia" w:cs="宋体"/>
                <w:color w:val="000000" w:themeColor="text1"/>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color w:val="000000" w:themeColor="text1"/>
                <w:sz w:val="24"/>
              </w:rPr>
            </w:pPr>
          </w:p>
          <w:p>
            <w:pPr>
              <w:rPr>
                <w:rFonts w:cs="宋体"/>
                <w:color w:val="000000" w:themeColor="text1"/>
                <w:szCs w:val="21"/>
              </w:rPr>
            </w:pPr>
            <w:r>
              <w:rPr>
                <w:rFonts w:hint="eastAsia" w:cs="宋体"/>
                <w:color w:val="000000" w:themeColor="text1"/>
                <w:szCs w:val="21"/>
              </w:rPr>
              <w:t>说明</w:t>
            </w:r>
          </w:p>
        </w:tc>
      </w:tr>
    </w:tbl>
    <w:p>
      <w:pPr>
        <w:pStyle w:val="4"/>
        <w:spacing w:beforeLines="100" w:afterLines="150" w:line="360" w:lineRule="exact"/>
        <w:jc w:val="center"/>
        <w:rPr>
          <w:color w:val="000000" w:themeColor="text1"/>
        </w:rPr>
      </w:pPr>
      <w:r>
        <w:rPr>
          <w:color w:val="FF0000"/>
        </w:rPr>
        <w:br w:type="page"/>
      </w:r>
      <w:bookmarkStart w:id="283" w:name="_Toc485889075"/>
      <w:bookmarkStart w:id="284" w:name="_Toc8347"/>
      <w:bookmarkStart w:id="285" w:name="_Toc234382980"/>
      <w:bookmarkStart w:id="286" w:name="_Toc486277941"/>
      <w:r>
        <w:rPr>
          <w:rFonts w:hint="eastAsia" w:ascii="黑体" w:hAnsi="宋体" w:eastAsia="黑体"/>
          <w:color w:val="000000" w:themeColor="text1"/>
          <w:sz w:val="28"/>
          <w:szCs w:val="28"/>
        </w:rPr>
        <w:t>（三）拟委任的项目经理和项目总工资历表</w:t>
      </w:r>
      <w:bookmarkEnd w:id="283"/>
      <w:bookmarkEnd w:id="284"/>
      <w:bookmarkEnd w:id="285"/>
      <w:bookmarkEnd w:id="286"/>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000000" w:themeColor="text1"/>
                <w:kern w:val="0"/>
                <w:szCs w:val="21"/>
              </w:rPr>
            </w:pPr>
            <w:r>
              <w:rPr>
                <w:rFonts w:hint="eastAsia" w:ascii="宋体" w:hAnsi="宋体" w:cs="MingLiU"/>
                <w:color w:val="000000" w:themeColor="text1"/>
                <w:kern w:val="0"/>
                <w:szCs w:val="21"/>
              </w:rPr>
              <w:t>姓</w:t>
            </w:r>
            <w:r>
              <w:rPr>
                <w:rFonts w:hint="eastAsia" w:ascii="宋体" w:hAnsi="宋体"/>
                <w:color w:val="000000" w:themeColor="text1"/>
                <w:kern w:val="0"/>
                <w:szCs w:val="21"/>
              </w:rPr>
              <w:tab/>
            </w:r>
            <w:r>
              <w:rPr>
                <w:rFonts w:hint="eastAsia" w:ascii="宋体" w:hAnsi="宋体" w:cs="MingLiU"/>
                <w:color w:val="000000" w:themeColor="text1"/>
                <w:kern w:val="0"/>
                <w:szCs w:val="21"/>
              </w:rPr>
              <w:t>名</w:t>
            </w:r>
          </w:p>
        </w:tc>
        <w:tc>
          <w:tcPr>
            <w:tcW w:w="1645" w:type="dxa"/>
            <w:vAlign w:val="center"/>
          </w:tcPr>
          <w:p>
            <w:pPr>
              <w:autoSpaceDE w:val="0"/>
              <w:autoSpaceDN w:val="0"/>
              <w:adjustRightInd w:val="0"/>
              <w:jc w:val="center"/>
              <w:rPr>
                <w:rFonts w:ascii="宋体" w:hAnsi="宋体"/>
                <w:color w:val="000000" w:themeColor="text1"/>
                <w:kern w:val="0"/>
                <w:szCs w:val="21"/>
              </w:rPr>
            </w:pPr>
          </w:p>
        </w:tc>
        <w:tc>
          <w:tcPr>
            <w:tcW w:w="1516" w:type="dxa"/>
            <w:vAlign w:val="center"/>
          </w:tcPr>
          <w:p>
            <w:pPr>
              <w:autoSpaceDE w:val="0"/>
              <w:autoSpaceDN w:val="0"/>
              <w:adjustRightInd w:val="0"/>
              <w:spacing w:before="73"/>
              <w:jc w:val="center"/>
              <w:rPr>
                <w:rFonts w:ascii="宋体" w:hAnsi="宋体"/>
                <w:color w:val="000000" w:themeColor="text1"/>
                <w:kern w:val="0"/>
                <w:szCs w:val="21"/>
              </w:rPr>
            </w:pPr>
            <w:r>
              <w:rPr>
                <w:rFonts w:hint="eastAsia" w:ascii="宋体" w:hAnsi="宋体" w:cs="MingLiU"/>
                <w:color w:val="000000" w:themeColor="text1"/>
                <w:kern w:val="0"/>
                <w:szCs w:val="21"/>
              </w:rPr>
              <w:t>年龄</w:t>
            </w:r>
          </w:p>
        </w:tc>
        <w:tc>
          <w:tcPr>
            <w:tcW w:w="1478" w:type="dxa"/>
            <w:gridSpan w:val="2"/>
            <w:vAlign w:val="center"/>
          </w:tcPr>
          <w:p>
            <w:pPr>
              <w:autoSpaceDE w:val="0"/>
              <w:autoSpaceDN w:val="0"/>
              <w:adjustRightInd w:val="0"/>
              <w:jc w:val="center"/>
              <w:rPr>
                <w:rFonts w:ascii="宋体" w:hAnsi="宋体"/>
                <w:color w:val="000000" w:themeColor="text1"/>
                <w:kern w:val="0"/>
                <w:szCs w:val="21"/>
              </w:rPr>
            </w:pPr>
          </w:p>
        </w:tc>
        <w:tc>
          <w:tcPr>
            <w:tcW w:w="2169" w:type="dxa"/>
            <w:gridSpan w:val="2"/>
            <w:vAlign w:val="center"/>
          </w:tcPr>
          <w:p>
            <w:pPr>
              <w:autoSpaceDE w:val="0"/>
              <w:autoSpaceDN w:val="0"/>
              <w:adjustRightInd w:val="0"/>
              <w:spacing w:before="73"/>
              <w:jc w:val="center"/>
              <w:rPr>
                <w:rFonts w:ascii="宋体" w:hAnsi="宋体"/>
                <w:color w:val="000000" w:themeColor="text1"/>
                <w:kern w:val="0"/>
                <w:szCs w:val="21"/>
              </w:rPr>
            </w:pPr>
            <w:r>
              <w:rPr>
                <w:rFonts w:hint="eastAsia" w:ascii="宋体" w:hAnsi="宋体" w:cs="MingLiU"/>
                <w:color w:val="000000" w:themeColor="text1"/>
                <w:kern w:val="0"/>
                <w:szCs w:val="21"/>
              </w:rPr>
              <w:t>专  业</w:t>
            </w:r>
          </w:p>
        </w:tc>
        <w:tc>
          <w:tcPr>
            <w:tcW w:w="1477"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000000" w:themeColor="text1"/>
                <w:kern w:val="0"/>
                <w:szCs w:val="21"/>
              </w:rPr>
            </w:pPr>
            <w:r>
              <w:rPr>
                <w:rFonts w:hint="eastAsia" w:ascii="宋体" w:hAnsi="宋体" w:cs="MingLiU"/>
                <w:color w:val="000000" w:themeColor="text1"/>
                <w:kern w:val="0"/>
                <w:szCs w:val="21"/>
              </w:rPr>
              <w:t>职</w:t>
            </w:r>
            <w:r>
              <w:rPr>
                <w:rFonts w:hint="eastAsia" w:ascii="宋体" w:hAnsi="宋体"/>
                <w:color w:val="000000" w:themeColor="text1"/>
                <w:kern w:val="0"/>
                <w:szCs w:val="21"/>
              </w:rPr>
              <w:tab/>
            </w:r>
            <w:r>
              <w:rPr>
                <w:rFonts w:hint="eastAsia" w:ascii="宋体" w:hAnsi="宋体" w:cs="MingLiU"/>
                <w:color w:val="000000" w:themeColor="text1"/>
                <w:kern w:val="0"/>
                <w:szCs w:val="21"/>
              </w:rPr>
              <w:t>称</w:t>
            </w:r>
          </w:p>
        </w:tc>
        <w:tc>
          <w:tcPr>
            <w:tcW w:w="1645" w:type="dxa"/>
            <w:vAlign w:val="center"/>
          </w:tcPr>
          <w:p>
            <w:pPr>
              <w:autoSpaceDE w:val="0"/>
              <w:autoSpaceDN w:val="0"/>
              <w:adjustRightInd w:val="0"/>
              <w:jc w:val="center"/>
              <w:rPr>
                <w:rFonts w:ascii="宋体" w:hAnsi="宋体"/>
                <w:color w:val="000000" w:themeColor="text1"/>
                <w:kern w:val="0"/>
                <w:szCs w:val="21"/>
              </w:rPr>
            </w:pPr>
          </w:p>
        </w:tc>
        <w:tc>
          <w:tcPr>
            <w:tcW w:w="1516" w:type="dxa"/>
            <w:vAlign w:val="center"/>
          </w:tcPr>
          <w:p>
            <w:pPr>
              <w:autoSpaceDE w:val="0"/>
              <w:autoSpaceDN w:val="0"/>
              <w:adjustRightInd w:val="0"/>
              <w:spacing w:before="73"/>
              <w:jc w:val="center"/>
              <w:rPr>
                <w:rFonts w:ascii="宋体" w:hAnsi="宋体" w:cs="MingLiU"/>
                <w:color w:val="000000" w:themeColor="text1"/>
                <w:kern w:val="0"/>
                <w:szCs w:val="21"/>
              </w:rPr>
            </w:pPr>
            <w:r>
              <w:rPr>
                <w:rFonts w:hint="eastAsia" w:ascii="宋体" w:hAnsi="宋体" w:cs="MingLiU"/>
                <w:color w:val="000000" w:themeColor="text1"/>
                <w:kern w:val="0"/>
                <w:szCs w:val="21"/>
              </w:rPr>
              <w:t>公司单位</w:t>
            </w:r>
          </w:p>
          <w:p>
            <w:pPr>
              <w:autoSpaceDE w:val="0"/>
              <w:autoSpaceDN w:val="0"/>
              <w:adjustRightInd w:val="0"/>
              <w:spacing w:before="73"/>
              <w:jc w:val="center"/>
              <w:rPr>
                <w:rFonts w:ascii="宋体" w:hAnsi="宋体"/>
                <w:color w:val="000000" w:themeColor="text1"/>
                <w:kern w:val="0"/>
                <w:szCs w:val="21"/>
              </w:rPr>
            </w:pPr>
            <w:r>
              <w:rPr>
                <w:rFonts w:hint="eastAsia" w:ascii="宋体" w:hAnsi="宋体" w:cs="MingLiU"/>
                <w:color w:val="000000" w:themeColor="text1"/>
                <w:kern w:val="0"/>
                <w:szCs w:val="21"/>
              </w:rPr>
              <w:t>职    务</w:t>
            </w:r>
          </w:p>
        </w:tc>
        <w:tc>
          <w:tcPr>
            <w:tcW w:w="1478" w:type="dxa"/>
            <w:gridSpan w:val="2"/>
            <w:vAlign w:val="center"/>
          </w:tcPr>
          <w:p>
            <w:pPr>
              <w:autoSpaceDE w:val="0"/>
              <w:autoSpaceDN w:val="0"/>
              <w:adjustRightInd w:val="0"/>
              <w:jc w:val="center"/>
              <w:rPr>
                <w:rFonts w:ascii="宋体" w:hAnsi="宋体"/>
                <w:color w:val="000000" w:themeColor="text1"/>
                <w:kern w:val="0"/>
                <w:szCs w:val="21"/>
              </w:rPr>
            </w:pPr>
          </w:p>
        </w:tc>
        <w:tc>
          <w:tcPr>
            <w:tcW w:w="2169" w:type="dxa"/>
            <w:gridSpan w:val="2"/>
            <w:vAlign w:val="center"/>
          </w:tcPr>
          <w:p>
            <w:pPr>
              <w:autoSpaceDE w:val="0"/>
              <w:autoSpaceDN w:val="0"/>
              <w:adjustRightInd w:val="0"/>
              <w:spacing w:before="73"/>
              <w:jc w:val="center"/>
              <w:rPr>
                <w:rFonts w:ascii="宋体" w:hAnsi="宋体" w:cs="MingLiU"/>
                <w:color w:val="000000" w:themeColor="text1"/>
                <w:kern w:val="0"/>
                <w:szCs w:val="21"/>
              </w:rPr>
            </w:pPr>
            <w:r>
              <w:rPr>
                <w:rFonts w:hint="eastAsia" w:ascii="宋体" w:hAnsi="宋体" w:cs="MingLiU"/>
                <w:color w:val="000000" w:themeColor="text1"/>
                <w:kern w:val="0"/>
                <w:szCs w:val="21"/>
              </w:rPr>
              <w:t>拟在本标段</w:t>
            </w:r>
          </w:p>
          <w:p>
            <w:pPr>
              <w:autoSpaceDE w:val="0"/>
              <w:autoSpaceDN w:val="0"/>
              <w:adjustRightInd w:val="0"/>
              <w:spacing w:before="73"/>
              <w:jc w:val="center"/>
              <w:rPr>
                <w:rFonts w:ascii="宋体" w:hAnsi="宋体"/>
                <w:color w:val="000000" w:themeColor="text1"/>
                <w:kern w:val="0"/>
                <w:szCs w:val="21"/>
              </w:rPr>
            </w:pPr>
            <w:r>
              <w:rPr>
                <w:rFonts w:hint="eastAsia" w:ascii="宋体" w:hAnsi="宋体" w:cs="MingLiU"/>
                <w:color w:val="000000" w:themeColor="text1"/>
                <w:kern w:val="0"/>
                <w:szCs w:val="21"/>
              </w:rPr>
              <w:t>工程担任职务</w:t>
            </w:r>
          </w:p>
        </w:tc>
        <w:tc>
          <w:tcPr>
            <w:tcW w:w="1477"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color w:val="000000" w:themeColor="text1"/>
                <w:kern w:val="0"/>
                <w:szCs w:val="21"/>
              </w:rPr>
            </w:pPr>
            <w:r>
              <w:rPr>
                <w:rFonts w:hint="eastAsia" w:ascii="宋体" w:hAnsi="宋体" w:cs="MingLiU"/>
                <w:color w:val="000000" w:themeColor="text1"/>
                <w:kern w:val="0"/>
                <w:szCs w:val="21"/>
              </w:rPr>
              <w:t>毕业学校</w:t>
            </w:r>
          </w:p>
        </w:tc>
        <w:tc>
          <w:tcPr>
            <w:tcW w:w="8285" w:type="dxa"/>
            <w:gridSpan w:val="7"/>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000000" w:themeColor="text1"/>
                <w:kern w:val="0"/>
                <w:szCs w:val="21"/>
              </w:rPr>
            </w:pPr>
            <w:r>
              <w:rPr>
                <w:rFonts w:hint="eastAsia" w:ascii="宋体" w:hAnsi="宋体"/>
                <w:color w:val="000000" w:themeColor="text1"/>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color w:val="000000" w:themeColor="text1"/>
                <w:szCs w:val="21"/>
              </w:rPr>
            </w:pPr>
            <w:r>
              <w:rPr>
                <w:rFonts w:hint="eastAsia" w:ascii="宋体" w:hAnsi="宋体" w:cs="MingLiU"/>
                <w:color w:val="000000" w:themeColor="text1"/>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color w:val="000000" w:themeColor="text1"/>
                <w:szCs w:val="21"/>
              </w:rPr>
            </w:pPr>
            <w:r>
              <w:rPr>
                <w:rFonts w:hint="eastAsia" w:ascii="宋体" w:hAnsi="宋体"/>
                <w:color w:val="000000" w:themeColor="text1"/>
                <w:szCs w:val="21"/>
              </w:rPr>
              <w:t>年～</w:t>
            </w:r>
          </w:p>
          <w:p>
            <w:pPr>
              <w:jc w:val="center"/>
              <w:rPr>
                <w:rFonts w:ascii="宋体" w:hAnsi="宋体"/>
                <w:color w:val="000000" w:themeColor="text1"/>
                <w:szCs w:val="21"/>
              </w:rPr>
            </w:pPr>
            <w:r>
              <w:rPr>
                <w:rFonts w:hint="eastAsia" w:ascii="宋体" w:hAnsi="宋体"/>
                <w:color w:val="000000" w:themeColor="text1"/>
                <w:szCs w:val="21"/>
              </w:rPr>
              <w:t>年</w:t>
            </w:r>
          </w:p>
        </w:tc>
        <w:tc>
          <w:tcPr>
            <w:tcW w:w="4023" w:type="dxa"/>
            <w:gridSpan w:val="3"/>
            <w:vAlign w:val="center"/>
          </w:tcPr>
          <w:p>
            <w:pPr>
              <w:jc w:val="center"/>
              <w:rPr>
                <w:rFonts w:ascii="宋体" w:hAnsi="宋体"/>
                <w:color w:val="000000" w:themeColor="text1"/>
                <w:szCs w:val="21"/>
              </w:rPr>
            </w:pPr>
            <w:r>
              <w:rPr>
                <w:rFonts w:hint="eastAsia" w:ascii="宋体" w:hAnsi="宋体" w:cs="MingLiU"/>
                <w:color w:val="000000" w:themeColor="text1"/>
                <w:kern w:val="0"/>
                <w:szCs w:val="21"/>
              </w:rPr>
              <w:t>参加过的工程项目名称</w:t>
            </w:r>
          </w:p>
        </w:tc>
        <w:tc>
          <w:tcPr>
            <w:tcW w:w="1392" w:type="dxa"/>
            <w:gridSpan w:val="2"/>
            <w:vAlign w:val="center"/>
          </w:tcPr>
          <w:p>
            <w:pPr>
              <w:jc w:val="center"/>
              <w:rPr>
                <w:rFonts w:ascii="宋体" w:hAnsi="宋体"/>
                <w:color w:val="000000" w:themeColor="text1"/>
                <w:szCs w:val="21"/>
              </w:rPr>
            </w:pPr>
            <w:r>
              <w:rPr>
                <w:rFonts w:hint="eastAsia" w:ascii="宋体" w:hAnsi="宋体" w:cs="MingLiU"/>
                <w:color w:val="000000" w:themeColor="text1"/>
                <w:kern w:val="0"/>
                <w:szCs w:val="21"/>
              </w:rPr>
              <w:t>担任何职</w:t>
            </w:r>
          </w:p>
        </w:tc>
        <w:tc>
          <w:tcPr>
            <w:tcW w:w="2870" w:type="dxa"/>
            <w:gridSpan w:val="2"/>
            <w:vAlign w:val="center"/>
          </w:tcPr>
          <w:p>
            <w:pPr>
              <w:jc w:val="center"/>
              <w:rPr>
                <w:rFonts w:ascii="宋体" w:hAnsi="宋体" w:cs="MingLiU"/>
                <w:color w:val="000000" w:themeColor="text1"/>
                <w:kern w:val="0"/>
                <w:szCs w:val="21"/>
              </w:rPr>
            </w:pPr>
            <w:r>
              <w:rPr>
                <w:rFonts w:hint="eastAsia" w:ascii="宋体" w:hAnsi="宋体" w:cs="MingLiU"/>
                <w:color w:val="000000" w:themeColor="text1"/>
                <w:kern w:val="0"/>
                <w:szCs w:val="21"/>
              </w:rPr>
              <w:t>发包人及</w:t>
            </w:r>
          </w:p>
          <w:p>
            <w:pPr>
              <w:jc w:val="center"/>
              <w:rPr>
                <w:rFonts w:ascii="宋体" w:hAnsi="宋体"/>
                <w:color w:val="000000" w:themeColor="text1"/>
                <w:szCs w:val="21"/>
              </w:rPr>
            </w:pPr>
            <w:r>
              <w:rPr>
                <w:rFonts w:hint="eastAsia" w:ascii="宋体" w:hAnsi="宋体" w:cs="MingLiU"/>
                <w:color w:val="000000" w:themeColor="text1"/>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000000" w:themeColor="text1"/>
                <w:szCs w:val="21"/>
              </w:rPr>
            </w:pPr>
          </w:p>
        </w:tc>
        <w:tc>
          <w:tcPr>
            <w:tcW w:w="4023" w:type="dxa"/>
            <w:gridSpan w:val="3"/>
            <w:vAlign w:val="center"/>
          </w:tcPr>
          <w:p>
            <w:pPr>
              <w:jc w:val="center"/>
              <w:rPr>
                <w:rFonts w:ascii="宋体" w:hAnsi="宋体"/>
                <w:color w:val="000000" w:themeColor="text1"/>
                <w:szCs w:val="21"/>
              </w:rPr>
            </w:pPr>
          </w:p>
        </w:tc>
        <w:tc>
          <w:tcPr>
            <w:tcW w:w="1392" w:type="dxa"/>
            <w:gridSpan w:val="2"/>
            <w:vAlign w:val="center"/>
          </w:tcPr>
          <w:p>
            <w:pPr>
              <w:jc w:val="center"/>
              <w:rPr>
                <w:rFonts w:ascii="宋体" w:hAnsi="宋体"/>
                <w:color w:val="000000" w:themeColor="text1"/>
                <w:szCs w:val="21"/>
              </w:rPr>
            </w:pPr>
          </w:p>
        </w:tc>
        <w:tc>
          <w:tcPr>
            <w:tcW w:w="2870" w:type="dxa"/>
            <w:gridSpan w:val="2"/>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000000" w:themeColor="text1"/>
                <w:szCs w:val="21"/>
              </w:rPr>
            </w:pPr>
          </w:p>
        </w:tc>
        <w:tc>
          <w:tcPr>
            <w:tcW w:w="4023" w:type="dxa"/>
            <w:gridSpan w:val="3"/>
            <w:vAlign w:val="center"/>
          </w:tcPr>
          <w:p>
            <w:pPr>
              <w:jc w:val="center"/>
              <w:rPr>
                <w:rFonts w:ascii="宋体" w:hAnsi="宋体"/>
                <w:color w:val="000000" w:themeColor="text1"/>
                <w:szCs w:val="21"/>
              </w:rPr>
            </w:pPr>
          </w:p>
        </w:tc>
        <w:tc>
          <w:tcPr>
            <w:tcW w:w="1392" w:type="dxa"/>
            <w:gridSpan w:val="2"/>
            <w:vAlign w:val="center"/>
          </w:tcPr>
          <w:p>
            <w:pPr>
              <w:jc w:val="center"/>
              <w:rPr>
                <w:rFonts w:ascii="宋体" w:hAnsi="宋体"/>
                <w:color w:val="000000" w:themeColor="text1"/>
                <w:szCs w:val="21"/>
              </w:rPr>
            </w:pPr>
          </w:p>
        </w:tc>
        <w:tc>
          <w:tcPr>
            <w:tcW w:w="2870" w:type="dxa"/>
            <w:gridSpan w:val="2"/>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000000" w:themeColor="text1"/>
                <w:szCs w:val="21"/>
              </w:rPr>
            </w:pPr>
          </w:p>
        </w:tc>
        <w:tc>
          <w:tcPr>
            <w:tcW w:w="4023" w:type="dxa"/>
            <w:gridSpan w:val="3"/>
            <w:vAlign w:val="center"/>
          </w:tcPr>
          <w:p>
            <w:pPr>
              <w:jc w:val="center"/>
              <w:rPr>
                <w:rFonts w:ascii="宋体" w:hAnsi="宋体"/>
                <w:color w:val="000000" w:themeColor="text1"/>
                <w:szCs w:val="21"/>
              </w:rPr>
            </w:pPr>
          </w:p>
        </w:tc>
        <w:tc>
          <w:tcPr>
            <w:tcW w:w="1392" w:type="dxa"/>
            <w:gridSpan w:val="2"/>
            <w:vAlign w:val="center"/>
          </w:tcPr>
          <w:p>
            <w:pPr>
              <w:jc w:val="center"/>
              <w:rPr>
                <w:rFonts w:ascii="宋体" w:hAnsi="宋体"/>
                <w:color w:val="000000" w:themeColor="text1"/>
                <w:szCs w:val="21"/>
              </w:rPr>
            </w:pPr>
          </w:p>
        </w:tc>
        <w:tc>
          <w:tcPr>
            <w:tcW w:w="2870" w:type="dxa"/>
            <w:gridSpan w:val="2"/>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000000" w:themeColor="text1"/>
                <w:szCs w:val="21"/>
              </w:rPr>
            </w:pPr>
          </w:p>
        </w:tc>
        <w:tc>
          <w:tcPr>
            <w:tcW w:w="4023" w:type="dxa"/>
            <w:gridSpan w:val="3"/>
            <w:vAlign w:val="center"/>
          </w:tcPr>
          <w:p>
            <w:pPr>
              <w:jc w:val="center"/>
              <w:rPr>
                <w:rFonts w:ascii="宋体" w:hAnsi="宋体"/>
                <w:color w:val="000000" w:themeColor="text1"/>
                <w:szCs w:val="21"/>
              </w:rPr>
            </w:pPr>
          </w:p>
        </w:tc>
        <w:tc>
          <w:tcPr>
            <w:tcW w:w="1392" w:type="dxa"/>
            <w:gridSpan w:val="2"/>
            <w:vAlign w:val="center"/>
          </w:tcPr>
          <w:p>
            <w:pPr>
              <w:jc w:val="center"/>
              <w:rPr>
                <w:rFonts w:ascii="宋体" w:hAnsi="宋体"/>
                <w:color w:val="000000" w:themeColor="text1"/>
                <w:szCs w:val="21"/>
              </w:rPr>
            </w:pPr>
          </w:p>
        </w:tc>
        <w:tc>
          <w:tcPr>
            <w:tcW w:w="2870" w:type="dxa"/>
            <w:gridSpan w:val="2"/>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000000" w:themeColor="text1"/>
                <w:szCs w:val="21"/>
              </w:rPr>
            </w:pPr>
          </w:p>
        </w:tc>
        <w:tc>
          <w:tcPr>
            <w:tcW w:w="4023" w:type="dxa"/>
            <w:gridSpan w:val="3"/>
            <w:vAlign w:val="center"/>
          </w:tcPr>
          <w:p>
            <w:pPr>
              <w:jc w:val="center"/>
              <w:rPr>
                <w:rFonts w:ascii="宋体" w:hAnsi="宋体"/>
                <w:color w:val="000000" w:themeColor="text1"/>
                <w:szCs w:val="21"/>
              </w:rPr>
            </w:pPr>
          </w:p>
        </w:tc>
        <w:tc>
          <w:tcPr>
            <w:tcW w:w="1392" w:type="dxa"/>
            <w:gridSpan w:val="2"/>
            <w:vAlign w:val="center"/>
          </w:tcPr>
          <w:p>
            <w:pPr>
              <w:jc w:val="center"/>
              <w:rPr>
                <w:rFonts w:ascii="宋体" w:hAnsi="宋体"/>
                <w:color w:val="000000" w:themeColor="text1"/>
                <w:szCs w:val="21"/>
              </w:rPr>
            </w:pPr>
          </w:p>
        </w:tc>
        <w:tc>
          <w:tcPr>
            <w:tcW w:w="2870" w:type="dxa"/>
            <w:gridSpan w:val="2"/>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000000" w:themeColor="text1"/>
                <w:szCs w:val="21"/>
              </w:rPr>
            </w:pPr>
          </w:p>
        </w:tc>
        <w:tc>
          <w:tcPr>
            <w:tcW w:w="4023" w:type="dxa"/>
            <w:gridSpan w:val="3"/>
            <w:vAlign w:val="center"/>
          </w:tcPr>
          <w:p>
            <w:pPr>
              <w:jc w:val="center"/>
              <w:rPr>
                <w:rFonts w:ascii="宋体" w:hAnsi="宋体"/>
                <w:color w:val="000000" w:themeColor="text1"/>
                <w:szCs w:val="21"/>
              </w:rPr>
            </w:pPr>
          </w:p>
        </w:tc>
        <w:tc>
          <w:tcPr>
            <w:tcW w:w="1392" w:type="dxa"/>
            <w:gridSpan w:val="2"/>
            <w:vAlign w:val="center"/>
          </w:tcPr>
          <w:p>
            <w:pPr>
              <w:jc w:val="center"/>
              <w:rPr>
                <w:rFonts w:ascii="宋体" w:hAnsi="宋体"/>
                <w:color w:val="000000" w:themeColor="text1"/>
                <w:szCs w:val="21"/>
              </w:rPr>
            </w:pPr>
          </w:p>
        </w:tc>
        <w:tc>
          <w:tcPr>
            <w:tcW w:w="2870" w:type="dxa"/>
            <w:gridSpan w:val="2"/>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000000" w:themeColor="text1"/>
                <w:szCs w:val="21"/>
              </w:rPr>
            </w:pPr>
          </w:p>
        </w:tc>
        <w:tc>
          <w:tcPr>
            <w:tcW w:w="4023" w:type="dxa"/>
            <w:gridSpan w:val="3"/>
            <w:vAlign w:val="center"/>
          </w:tcPr>
          <w:p>
            <w:pPr>
              <w:jc w:val="center"/>
              <w:rPr>
                <w:rFonts w:ascii="宋体" w:hAnsi="宋体"/>
                <w:color w:val="000000" w:themeColor="text1"/>
                <w:szCs w:val="21"/>
              </w:rPr>
            </w:pPr>
          </w:p>
        </w:tc>
        <w:tc>
          <w:tcPr>
            <w:tcW w:w="1392" w:type="dxa"/>
            <w:gridSpan w:val="2"/>
            <w:vAlign w:val="center"/>
          </w:tcPr>
          <w:p>
            <w:pPr>
              <w:jc w:val="center"/>
              <w:rPr>
                <w:rFonts w:ascii="宋体" w:hAnsi="宋体"/>
                <w:color w:val="000000" w:themeColor="text1"/>
                <w:szCs w:val="21"/>
              </w:rPr>
            </w:pPr>
          </w:p>
        </w:tc>
        <w:tc>
          <w:tcPr>
            <w:tcW w:w="2870" w:type="dxa"/>
            <w:gridSpan w:val="2"/>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color w:val="000000" w:themeColor="text1"/>
                <w:szCs w:val="21"/>
              </w:rPr>
            </w:pPr>
            <w:r>
              <w:rPr>
                <w:rFonts w:hint="eastAsia" w:ascii="宋体" w:hAnsi="宋体"/>
                <w:color w:val="000000" w:themeColor="text1"/>
                <w:szCs w:val="21"/>
              </w:rPr>
              <w:t>获奖情况</w:t>
            </w:r>
          </w:p>
        </w:tc>
        <w:tc>
          <w:tcPr>
            <w:tcW w:w="1392" w:type="dxa"/>
            <w:gridSpan w:val="2"/>
            <w:vAlign w:val="center"/>
          </w:tcPr>
          <w:p>
            <w:pPr>
              <w:jc w:val="center"/>
              <w:rPr>
                <w:rFonts w:ascii="宋体" w:hAnsi="宋体"/>
                <w:color w:val="000000" w:themeColor="text1"/>
                <w:szCs w:val="21"/>
              </w:rPr>
            </w:pPr>
          </w:p>
        </w:tc>
        <w:tc>
          <w:tcPr>
            <w:tcW w:w="2870" w:type="dxa"/>
            <w:gridSpan w:val="2"/>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目前任职</w:t>
            </w:r>
          </w:p>
          <w:p>
            <w:pPr>
              <w:jc w:val="center"/>
              <w:rPr>
                <w:rFonts w:ascii="宋体" w:hAnsi="宋体"/>
                <w:color w:val="000000" w:themeColor="text1"/>
                <w:szCs w:val="21"/>
              </w:rPr>
            </w:pPr>
            <w:r>
              <w:rPr>
                <w:rFonts w:hint="eastAsia" w:ascii="宋体" w:hAnsi="宋体"/>
                <w:color w:val="000000" w:themeColor="text1"/>
                <w:szCs w:val="21"/>
              </w:rPr>
              <w:t>项目状况</w:t>
            </w:r>
          </w:p>
        </w:tc>
        <w:tc>
          <w:tcPr>
            <w:tcW w:w="4023" w:type="dxa"/>
            <w:gridSpan w:val="3"/>
            <w:vAlign w:val="center"/>
          </w:tcPr>
          <w:p>
            <w:pPr>
              <w:jc w:val="center"/>
              <w:rPr>
                <w:rFonts w:ascii="宋体" w:hAnsi="宋体"/>
                <w:color w:val="000000" w:themeColor="text1"/>
                <w:szCs w:val="21"/>
              </w:rPr>
            </w:pPr>
            <w:r>
              <w:rPr>
                <w:rFonts w:hint="eastAsia" w:ascii="宋体" w:hAnsi="宋体"/>
                <w:color w:val="000000" w:themeColor="text1"/>
                <w:szCs w:val="21"/>
              </w:rPr>
              <w:t>项目名称</w:t>
            </w:r>
          </w:p>
        </w:tc>
        <w:tc>
          <w:tcPr>
            <w:tcW w:w="4262" w:type="dxa"/>
            <w:gridSpan w:val="4"/>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000000" w:themeColor="text1"/>
                <w:szCs w:val="21"/>
              </w:rPr>
            </w:pPr>
          </w:p>
        </w:tc>
        <w:tc>
          <w:tcPr>
            <w:tcW w:w="4023" w:type="dxa"/>
            <w:gridSpan w:val="3"/>
            <w:vAlign w:val="center"/>
          </w:tcPr>
          <w:p>
            <w:pPr>
              <w:jc w:val="center"/>
              <w:rPr>
                <w:rFonts w:ascii="宋体" w:hAnsi="宋体"/>
                <w:color w:val="000000" w:themeColor="text1"/>
                <w:szCs w:val="21"/>
              </w:rPr>
            </w:pPr>
            <w:r>
              <w:rPr>
                <w:rFonts w:hint="eastAsia" w:ascii="宋体" w:hAnsi="宋体"/>
                <w:color w:val="000000" w:themeColor="text1"/>
                <w:szCs w:val="21"/>
              </w:rPr>
              <w:t>担任职位</w:t>
            </w:r>
          </w:p>
        </w:tc>
        <w:tc>
          <w:tcPr>
            <w:tcW w:w="4262" w:type="dxa"/>
            <w:gridSpan w:val="4"/>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000000" w:themeColor="text1"/>
                <w:szCs w:val="21"/>
              </w:rPr>
            </w:pPr>
          </w:p>
        </w:tc>
        <w:tc>
          <w:tcPr>
            <w:tcW w:w="4023" w:type="dxa"/>
            <w:gridSpan w:val="3"/>
            <w:vAlign w:val="center"/>
          </w:tcPr>
          <w:p>
            <w:pPr>
              <w:jc w:val="center"/>
              <w:rPr>
                <w:rFonts w:ascii="宋体" w:hAnsi="宋体"/>
                <w:color w:val="000000" w:themeColor="text1"/>
                <w:szCs w:val="21"/>
              </w:rPr>
            </w:pPr>
            <w:r>
              <w:rPr>
                <w:rFonts w:hint="eastAsia" w:ascii="宋体" w:hAnsi="宋体"/>
                <w:color w:val="000000" w:themeColor="text1"/>
                <w:szCs w:val="21"/>
              </w:rPr>
              <w:t>可以调离日期</w:t>
            </w:r>
          </w:p>
        </w:tc>
        <w:tc>
          <w:tcPr>
            <w:tcW w:w="4262" w:type="dxa"/>
            <w:gridSpan w:val="4"/>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color w:val="000000" w:themeColor="text1"/>
                <w:szCs w:val="21"/>
              </w:rPr>
            </w:pPr>
            <w:r>
              <w:rPr>
                <w:rFonts w:hint="eastAsia" w:ascii="宋体" w:hAnsi="宋体"/>
                <w:color w:val="000000" w:themeColor="text1"/>
                <w:szCs w:val="21"/>
              </w:rPr>
              <w:t>备注</w:t>
            </w:r>
          </w:p>
        </w:tc>
        <w:tc>
          <w:tcPr>
            <w:tcW w:w="8285" w:type="dxa"/>
            <w:gridSpan w:val="7"/>
            <w:vAlign w:val="center"/>
          </w:tcPr>
          <w:p>
            <w:pPr>
              <w:jc w:val="center"/>
              <w:rPr>
                <w:rFonts w:ascii="宋体" w:hAnsi="宋体"/>
                <w:color w:val="000000" w:themeColor="text1"/>
                <w:szCs w:val="21"/>
              </w:rPr>
            </w:pPr>
          </w:p>
        </w:tc>
      </w:tr>
    </w:tbl>
    <w:p>
      <w:pPr>
        <w:ind w:left="735" w:hanging="735" w:hangingChars="350"/>
        <w:rPr>
          <w:rFonts w:ascii="宋体" w:hAnsi="宋体"/>
          <w:color w:val="000000" w:themeColor="text1"/>
          <w:szCs w:val="21"/>
        </w:rPr>
      </w:pPr>
      <w:r>
        <w:rPr>
          <w:rFonts w:hint="eastAsia" w:ascii="宋体" w:hAnsi="宋体"/>
          <w:color w:val="000000" w:themeColor="text1"/>
          <w:szCs w:val="21"/>
        </w:rPr>
        <w:t>注：1、本表后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pPr>
        <w:ind w:left="105" w:firstLine="315"/>
        <w:rPr>
          <w:rFonts w:ascii="宋体" w:hAnsi="宋体"/>
          <w:color w:val="000000" w:themeColor="text1"/>
          <w:szCs w:val="21"/>
        </w:rPr>
      </w:pPr>
      <w:r>
        <w:rPr>
          <w:rFonts w:hint="eastAsia" w:ascii="宋体" w:hAnsi="宋体"/>
          <w:color w:val="000000" w:themeColor="text1"/>
          <w:szCs w:val="21"/>
        </w:rPr>
        <w:t>2、目前未在具体项目上任职的，请在备注栏说明现在负责的工作内容。</w:t>
      </w:r>
      <w:bookmarkStart w:id="287" w:name="_Toc234242180"/>
      <w:bookmarkStart w:id="288" w:name="_Toc234382981"/>
      <w:bookmarkStart w:id="289" w:name="_Toc193904176"/>
    </w:p>
    <w:p>
      <w:pPr>
        <w:ind w:left="105" w:firstLine="315"/>
        <w:jc w:val="center"/>
        <w:rPr>
          <w:rFonts w:ascii="宋体" w:hAnsi="宋体"/>
          <w:color w:val="000000" w:themeColor="text1"/>
          <w:szCs w:val="21"/>
        </w:rPr>
      </w:pPr>
      <w:r>
        <w:rPr>
          <w:rFonts w:hint="eastAsia" w:ascii="黑体" w:hAnsi="宋体" w:eastAsia="黑体"/>
          <w:color w:val="000000" w:themeColor="text1"/>
          <w:sz w:val="28"/>
          <w:szCs w:val="28"/>
        </w:rPr>
        <w:br w:type="page"/>
      </w:r>
      <w:bookmarkStart w:id="290" w:name="_Toc485889076"/>
      <w:r>
        <w:rPr>
          <w:rFonts w:hint="eastAsia" w:ascii="黑体" w:hAnsi="宋体" w:eastAsia="黑体"/>
          <w:b/>
          <w:bCs/>
          <w:color w:val="000000" w:themeColor="text1"/>
          <w:kern w:val="44"/>
          <w:sz w:val="28"/>
          <w:szCs w:val="28"/>
        </w:rPr>
        <w:t>（四）近年财务状况表</w:t>
      </w:r>
      <w:bookmarkEnd w:id="287"/>
      <w:bookmarkEnd w:id="288"/>
      <w:bookmarkEnd w:id="289"/>
      <w:bookmarkEnd w:id="290"/>
    </w:p>
    <w:p>
      <w:pPr>
        <w:spacing w:after="120"/>
        <w:jc w:val="center"/>
        <w:rPr>
          <w:rFonts w:ascii="黑体" w:eastAsia="黑体"/>
          <w:b/>
          <w:color w:val="000000" w:themeColor="text1"/>
          <w:sz w:val="24"/>
        </w:rPr>
      </w:pPr>
      <w:r>
        <w:rPr>
          <w:rFonts w:hint="eastAsia" w:ascii="黑体" w:eastAsia="黑体"/>
          <w:b/>
          <w:color w:val="000000" w:themeColor="text1"/>
          <w:sz w:val="24"/>
        </w:rPr>
        <w:t>财务状况表</w:t>
      </w:r>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color w:val="000000" w:themeColor="text1"/>
                <w:szCs w:val="21"/>
              </w:rPr>
            </w:pPr>
            <w:r>
              <w:rPr>
                <w:rFonts w:hint="eastAsia" w:ascii="宋体" w:hAnsi="宋体"/>
                <w:color w:val="000000" w:themeColor="text1"/>
                <w:szCs w:val="21"/>
              </w:rPr>
              <w:t>项目或指标</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单位</w:t>
            </w:r>
          </w:p>
        </w:tc>
        <w:tc>
          <w:tcPr>
            <w:tcW w:w="1258" w:type="dxa"/>
            <w:vAlign w:val="center"/>
          </w:tcPr>
          <w:p>
            <w:pPr>
              <w:jc w:val="center"/>
              <w:rPr>
                <w:rFonts w:ascii="宋体" w:hAnsi="宋体"/>
                <w:color w:val="000000" w:themeColor="text1"/>
                <w:szCs w:val="21"/>
              </w:rPr>
            </w:pPr>
            <w:r>
              <w:rPr>
                <w:rFonts w:hint="eastAsia" w:ascii="宋体" w:hAnsi="宋体"/>
                <w:color w:val="000000" w:themeColor="text1"/>
                <w:szCs w:val="21"/>
              </w:rPr>
              <w:t>年</w:t>
            </w:r>
          </w:p>
        </w:tc>
        <w:tc>
          <w:tcPr>
            <w:tcW w:w="1259" w:type="dxa"/>
            <w:vAlign w:val="center"/>
          </w:tcPr>
          <w:p>
            <w:pPr>
              <w:jc w:val="center"/>
              <w:rPr>
                <w:rFonts w:ascii="宋体" w:hAnsi="宋体"/>
                <w:color w:val="000000" w:themeColor="text1"/>
                <w:szCs w:val="21"/>
              </w:rPr>
            </w:pPr>
            <w:r>
              <w:rPr>
                <w:rFonts w:hint="eastAsia" w:ascii="宋体" w:hAnsi="宋体"/>
                <w:color w:val="000000" w:themeColor="text1"/>
                <w:szCs w:val="21"/>
              </w:rPr>
              <w:t>年</w:t>
            </w:r>
          </w:p>
        </w:tc>
        <w:tc>
          <w:tcPr>
            <w:tcW w:w="1259" w:type="dxa"/>
            <w:vAlign w:val="center"/>
          </w:tcPr>
          <w:p>
            <w:pPr>
              <w:jc w:val="center"/>
              <w:rPr>
                <w:rFonts w:ascii="宋体" w:hAnsi="宋体"/>
                <w:color w:val="000000" w:themeColor="text1"/>
                <w:szCs w:val="21"/>
              </w:rPr>
            </w:pPr>
            <w:r>
              <w:rPr>
                <w:rFonts w:hint="eastAsia" w:ascii="宋体" w:hAnsi="宋体"/>
                <w:color w:val="000000" w:themeColor="text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一、注册资金</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万元</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二、净资产</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万元</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三、总资产</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万元</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四、固定资产</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万元</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五、流动资产</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万元</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六、流动负债</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万元</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七、负债合计</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万元</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八、营业收入</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万元</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九、净利润</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万元</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十、现金流量净额</w:t>
            </w:r>
          </w:p>
        </w:tc>
        <w:tc>
          <w:tcPr>
            <w:tcW w:w="990" w:type="dxa"/>
            <w:vAlign w:val="center"/>
          </w:tcPr>
          <w:p>
            <w:pPr>
              <w:jc w:val="center"/>
              <w:rPr>
                <w:rFonts w:ascii="宋体" w:hAnsi="宋体"/>
                <w:color w:val="000000" w:themeColor="text1"/>
                <w:szCs w:val="21"/>
              </w:rPr>
            </w:pP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000000" w:themeColor="text1"/>
                <w:szCs w:val="21"/>
              </w:rPr>
            </w:pPr>
            <w:r>
              <w:rPr>
                <w:rFonts w:hint="eastAsia" w:ascii="宋体" w:hAnsi="宋体"/>
                <w:color w:val="000000" w:themeColor="text1"/>
                <w:szCs w:val="21"/>
              </w:rPr>
              <w:t>十一、主要财务指标</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000000" w:themeColor="text1"/>
                <w:szCs w:val="21"/>
              </w:rPr>
            </w:pPr>
            <w:r>
              <w:rPr>
                <w:rFonts w:hint="eastAsia" w:ascii="宋体" w:hAnsi="宋体"/>
                <w:color w:val="000000" w:themeColor="text1"/>
                <w:szCs w:val="21"/>
              </w:rPr>
              <w:t>1．净资产收益率</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000000" w:themeColor="text1"/>
                <w:szCs w:val="21"/>
              </w:rPr>
            </w:pPr>
            <w:r>
              <w:rPr>
                <w:rFonts w:hint="eastAsia" w:ascii="宋体" w:hAnsi="宋体"/>
                <w:color w:val="000000" w:themeColor="text1"/>
                <w:szCs w:val="21"/>
              </w:rPr>
              <w:t>2．总资产报酬</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000000" w:themeColor="text1"/>
                <w:szCs w:val="21"/>
              </w:rPr>
            </w:pPr>
            <w:r>
              <w:rPr>
                <w:rFonts w:hint="eastAsia" w:ascii="宋体" w:hAnsi="宋体"/>
                <w:color w:val="000000" w:themeColor="text1"/>
                <w:szCs w:val="21"/>
              </w:rPr>
              <w:t>3．主营业务利润率</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000000" w:themeColor="text1"/>
                <w:szCs w:val="21"/>
              </w:rPr>
            </w:pPr>
            <w:r>
              <w:rPr>
                <w:rFonts w:hint="eastAsia" w:ascii="宋体" w:hAnsi="宋体"/>
                <w:color w:val="000000" w:themeColor="text1"/>
                <w:szCs w:val="21"/>
              </w:rPr>
              <w:t>4．资产负债率</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000000" w:themeColor="text1"/>
                <w:szCs w:val="21"/>
              </w:rPr>
            </w:pPr>
            <w:r>
              <w:rPr>
                <w:rFonts w:hint="eastAsia" w:ascii="宋体" w:hAnsi="宋体"/>
                <w:color w:val="000000" w:themeColor="text1"/>
                <w:szCs w:val="21"/>
              </w:rPr>
              <w:t>5、流动比率</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000000" w:themeColor="text1"/>
                <w:szCs w:val="21"/>
              </w:rPr>
            </w:pPr>
            <w:r>
              <w:rPr>
                <w:rFonts w:hint="eastAsia" w:ascii="宋体" w:hAnsi="宋体"/>
                <w:color w:val="000000" w:themeColor="text1"/>
                <w:szCs w:val="21"/>
              </w:rPr>
              <w:t>6、速动比率</w:t>
            </w:r>
          </w:p>
        </w:tc>
        <w:tc>
          <w:tcPr>
            <w:tcW w:w="990" w:type="dxa"/>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258"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c>
          <w:tcPr>
            <w:tcW w:w="1259" w:type="dxa"/>
            <w:vAlign w:val="center"/>
          </w:tcPr>
          <w:p>
            <w:pPr>
              <w:jc w:val="center"/>
              <w:rPr>
                <w:rFonts w:ascii="宋体" w:hAnsi="宋体"/>
                <w:color w:val="000000" w:themeColor="text1"/>
                <w:szCs w:val="21"/>
              </w:rPr>
            </w:pPr>
          </w:p>
        </w:tc>
      </w:tr>
    </w:tbl>
    <w:p>
      <w:pPr>
        <w:spacing w:line="400" w:lineRule="exact"/>
        <w:rPr>
          <w:rFonts w:ascii="宋体" w:hAnsi="宋体"/>
          <w:color w:val="000000" w:themeColor="text1"/>
          <w:szCs w:val="21"/>
        </w:rPr>
      </w:pPr>
    </w:p>
    <w:p>
      <w:pPr>
        <w:spacing w:line="400" w:lineRule="exact"/>
        <w:rPr>
          <w:rFonts w:ascii="宋体" w:hAnsi="宋体"/>
          <w:color w:val="000000" w:themeColor="text1"/>
          <w:szCs w:val="21"/>
        </w:rPr>
      </w:pPr>
    </w:p>
    <w:p>
      <w:pPr>
        <w:spacing w:line="400" w:lineRule="exact"/>
        <w:rPr>
          <w:rFonts w:ascii="宋体" w:hAnsi="宋体"/>
          <w:color w:val="FF0000"/>
          <w:szCs w:val="21"/>
        </w:rPr>
      </w:pPr>
    </w:p>
    <w:p>
      <w:pPr>
        <w:spacing w:line="400" w:lineRule="exact"/>
        <w:rPr>
          <w:rFonts w:ascii="宋体" w:hAnsi="宋体"/>
          <w:color w:val="FF0000"/>
          <w:szCs w:val="21"/>
        </w:rPr>
      </w:pPr>
    </w:p>
    <w:p>
      <w:pPr>
        <w:jc w:val="center"/>
        <w:rPr>
          <w:rFonts w:ascii="隶书" w:eastAsia="隶书"/>
          <w:color w:val="FF0000"/>
          <w:sz w:val="24"/>
        </w:rPr>
      </w:pPr>
    </w:p>
    <w:p>
      <w:pPr>
        <w:jc w:val="center"/>
        <w:rPr>
          <w:rFonts w:ascii="隶书" w:eastAsia="隶书"/>
          <w:color w:val="FF0000"/>
          <w:sz w:val="24"/>
        </w:rPr>
      </w:pPr>
    </w:p>
    <w:p>
      <w:pPr>
        <w:pStyle w:val="4"/>
        <w:spacing w:beforeLines="100" w:afterLines="100" w:line="360" w:lineRule="exact"/>
        <w:jc w:val="center"/>
        <w:rPr>
          <w:rFonts w:ascii="黑体" w:hAnsi="宋体" w:eastAsia="黑体"/>
          <w:color w:val="000000" w:themeColor="text1"/>
          <w:sz w:val="28"/>
          <w:szCs w:val="28"/>
        </w:rPr>
      </w:pPr>
      <w:bookmarkStart w:id="291" w:name="_Toc485889077"/>
      <w:bookmarkStart w:id="292" w:name="_Toc486277942"/>
      <w:bookmarkStart w:id="293" w:name="_Toc234382982"/>
      <w:bookmarkStart w:id="294" w:name="_Toc30568"/>
      <w:bookmarkStart w:id="295" w:name="_Toc234242181"/>
      <w:r>
        <w:rPr>
          <w:rFonts w:hint="eastAsia" w:ascii="黑体" w:hAnsi="宋体" w:eastAsia="黑体"/>
          <w:color w:val="000000" w:themeColor="text1"/>
          <w:sz w:val="28"/>
          <w:szCs w:val="28"/>
        </w:rPr>
        <w:t>（五）近年完成的类似项目汇总表</w:t>
      </w:r>
      <w:bookmarkEnd w:id="291"/>
      <w:bookmarkEnd w:id="292"/>
      <w:bookmarkEnd w:id="293"/>
      <w:bookmarkEnd w:id="294"/>
      <w:bookmarkEnd w:id="295"/>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项目名称</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项目所在地</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发包人名称</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发包人地址</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发包人电话</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合同价格</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开工日期</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交工日期</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承担的工作</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工程质量</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项目经理</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项目总工</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总监理工程师及电话</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项目描述</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备注</w:t>
            </w:r>
          </w:p>
        </w:tc>
        <w:tc>
          <w:tcPr>
            <w:tcW w:w="7029" w:type="dxa"/>
            <w:vAlign w:val="center"/>
          </w:tcPr>
          <w:p>
            <w:pPr>
              <w:jc w:val="center"/>
              <w:rPr>
                <w:rFonts w:ascii="宋体" w:hAnsi="宋体"/>
                <w:color w:val="000000" w:themeColor="text1"/>
                <w:szCs w:val="21"/>
              </w:rPr>
            </w:pPr>
          </w:p>
        </w:tc>
      </w:tr>
    </w:tbl>
    <w:p>
      <w:pPr>
        <w:rPr>
          <w:rFonts w:ascii="宋体" w:hAnsi="宋体"/>
          <w:color w:val="000000" w:themeColor="text1"/>
          <w:szCs w:val="21"/>
        </w:rPr>
      </w:pPr>
      <w:r>
        <w:rPr>
          <w:rFonts w:hint="eastAsia" w:ascii="宋体" w:hAnsi="宋体"/>
          <w:color w:val="000000" w:themeColor="text1"/>
          <w:szCs w:val="21"/>
        </w:rPr>
        <w:t>注：1.本汇总表必须与近年（自201</w:t>
      </w:r>
      <w:r>
        <w:rPr>
          <w:rFonts w:hint="eastAsia" w:ascii="宋体" w:hAnsi="宋体"/>
          <w:color w:val="000000" w:themeColor="text1"/>
          <w:szCs w:val="21"/>
          <w:lang w:val="en-US" w:eastAsia="zh-CN"/>
        </w:rPr>
        <w:t>5</w:t>
      </w:r>
      <w:r>
        <w:rPr>
          <w:rFonts w:hint="eastAsia" w:ascii="宋体" w:hAnsi="宋体"/>
          <w:color w:val="000000" w:themeColor="text1"/>
          <w:szCs w:val="21"/>
        </w:rPr>
        <w:t>年1月1日以来）完成的类似项目情况表中的内容相对应。</w:t>
      </w:r>
    </w:p>
    <w:p>
      <w:pPr>
        <w:rPr>
          <w:rFonts w:ascii="宋体" w:hAnsi="宋体"/>
          <w:color w:val="000000" w:themeColor="text1"/>
          <w:szCs w:val="21"/>
        </w:rPr>
      </w:pPr>
      <w:r>
        <w:rPr>
          <w:rFonts w:hint="eastAsia" w:ascii="宋体" w:hAnsi="宋体"/>
          <w:color w:val="000000" w:themeColor="text1"/>
          <w:szCs w:val="21"/>
        </w:rPr>
        <w:t>2.当本表内容与所附证据材料不一致时，应以所附证据材料为准。</w:t>
      </w:r>
    </w:p>
    <w:p>
      <w:pPr>
        <w:rPr>
          <w:rFonts w:ascii="宋体" w:hAnsi="宋体"/>
          <w:color w:val="000000" w:themeColor="text1"/>
          <w:szCs w:val="21"/>
        </w:rPr>
      </w:pPr>
    </w:p>
    <w:p>
      <w:pPr>
        <w:rPr>
          <w:rFonts w:ascii="宋体" w:hAnsi="宋体"/>
          <w:color w:val="000000" w:themeColor="text1"/>
          <w:szCs w:val="21"/>
        </w:rPr>
      </w:pPr>
    </w:p>
    <w:p>
      <w:pPr>
        <w:rPr>
          <w:rFonts w:ascii="宋体" w:hAnsi="宋体"/>
          <w:color w:val="FF0000"/>
          <w:szCs w:val="21"/>
        </w:rPr>
      </w:pPr>
    </w:p>
    <w:p>
      <w:pPr>
        <w:rPr>
          <w:rFonts w:ascii="宋体" w:hAnsi="宋体"/>
          <w:color w:val="FF0000"/>
          <w:szCs w:val="21"/>
        </w:rPr>
      </w:pPr>
    </w:p>
    <w:p>
      <w:pPr>
        <w:rPr>
          <w:rFonts w:ascii="宋体" w:hAnsi="宋体"/>
          <w:color w:val="FF0000"/>
          <w:szCs w:val="21"/>
        </w:rPr>
      </w:pPr>
    </w:p>
    <w:p>
      <w:pPr>
        <w:rPr>
          <w:rFonts w:ascii="宋体" w:hAnsi="宋体"/>
          <w:color w:val="FF0000"/>
          <w:szCs w:val="21"/>
        </w:rPr>
      </w:pPr>
    </w:p>
    <w:p>
      <w:pPr>
        <w:rPr>
          <w:rFonts w:ascii="宋体" w:hAnsi="宋体"/>
          <w:color w:val="FF0000"/>
          <w:szCs w:val="21"/>
        </w:rPr>
      </w:pPr>
    </w:p>
    <w:p>
      <w:pPr>
        <w:pStyle w:val="4"/>
        <w:spacing w:beforeLines="100" w:afterLines="100" w:line="360" w:lineRule="exact"/>
        <w:jc w:val="center"/>
        <w:rPr>
          <w:rFonts w:ascii="黑体" w:hAnsi="宋体" w:eastAsia="黑体"/>
          <w:color w:val="000000" w:themeColor="text1"/>
          <w:sz w:val="28"/>
          <w:szCs w:val="28"/>
        </w:rPr>
      </w:pPr>
      <w:bookmarkStart w:id="296" w:name="_Toc234382983"/>
      <w:bookmarkStart w:id="297" w:name="_Toc485889078"/>
      <w:bookmarkStart w:id="298" w:name="_Toc486277943"/>
      <w:bookmarkStart w:id="299" w:name="_Toc193904177"/>
      <w:bookmarkStart w:id="300" w:name="_Toc234242182"/>
      <w:bookmarkStart w:id="301" w:name="_Toc7313"/>
      <w:r>
        <w:rPr>
          <w:rFonts w:hint="eastAsia" w:ascii="黑体" w:hAnsi="宋体" w:eastAsia="黑体"/>
          <w:color w:val="000000" w:themeColor="text1"/>
          <w:sz w:val="28"/>
          <w:szCs w:val="28"/>
        </w:rPr>
        <w:t>（六）正在施工和新承接的项目情况表</w:t>
      </w:r>
      <w:bookmarkEnd w:id="296"/>
      <w:bookmarkEnd w:id="297"/>
      <w:bookmarkEnd w:id="298"/>
      <w:bookmarkEnd w:id="299"/>
      <w:bookmarkEnd w:id="300"/>
      <w:bookmarkEnd w:id="301"/>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项目名称</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项目所在地</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发包人名称</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发包人地址</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发包人电话</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签约合同价</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开工日期</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计划交工日期</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承担的工作</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工程质量要求</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项目经理</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项目总工</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总监理工程师及电话</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项目描述</w:t>
            </w:r>
          </w:p>
        </w:tc>
        <w:tc>
          <w:tcPr>
            <w:tcW w:w="7029"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000000" w:themeColor="text1"/>
                <w:szCs w:val="21"/>
              </w:rPr>
            </w:pPr>
            <w:r>
              <w:rPr>
                <w:rFonts w:hint="eastAsia" w:ascii="宋体" w:hAnsi="宋体"/>
                <w:color w:val="000000" w:themeColor="text1"/>
                <w:szCs w:val="21"/>
              </w:rPr>
              <w:t>备注</w:t>
            </w:r>
          </w:p>
        </w:tc>
        <w:tc>
          <w:tcPr>
            <w:tcW w:w="7029" w:type="dxa"/>
            <w:vAlign w:val="center"/>
          </w:tcPr>
          <w:p>
            <w:pPr>
              <w:jc w:val="center"/>
              <w:rPr>
                <w:rFonts w:ascii="宋体" w:hAnsi="宋体"/>
                <w:color w:val="000000" w:themeColor="text1"/>
                <w:szCs w:val="21"/>
              </w:rPr>
            </w:pPr>
          </w:p>
        </w:tc>
      </w:tr>
    </w:tbl>
    <w:p>
      <w:pPr>
        <w:autoSpaceDE w:val="0"/>
        <w:autoSpaceDN w:val="0"/>
        <w:adjustRightInd w:val="0"/>
        <w:spacing w:before="4" w:line="100" w:lineRule="exact"/>
        <w:jc w:val="left"/>
        <w:rPr>
          <w:color w:val="000000" w:themeColor="text1"/>
          <w:kern w:val="0"/>
          <w:sz w:val="10"/>
          <w:szCs w:val="10"/>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pStyle w:val="4"/>
        <w:spacing w:beforeLines="100" w:afterLines="100" w:line="360" w:lineRule="exact"/>
        <w:jc w:val="center"/>
        <w:rPr>
          <w:rFonts w:ascii="黑体" w:hAnsi="宋体" w:eastAsia="黑体"/>
          <w:color w:val="000000" w:themeColor="text1"/>
          <w:sz w:val="28"/>
          <w:szCs w:val="28"/>
        </w:rPr>
      </w:pPr>
      <w:bookmarkStart w:id="302" w:name="_Toc7381"/>
      <w:bookmarkStart w:id="303" w:name="_Toc486277944"/>
      <w:bookmarkStart w:id="304" w:name="_Toc234382984"/>
      <w:bookmarkStart w:id="305" w:name="_Toc485889079"/>
      <w:r>
        <w:rPr>
          <w:rFonts w:hint="eastAsia" w:ascii="黑体" w:hAnsi="宋体" w:eastAsia="黑体"/>
          <w:color w:val="000000" w:themeColor="text1"/>
          <w:sz w:val="28"/>
          <w:szCs w:val="28"/>
        </w:rPr>
        <w:t>（七）近年发生的诉讼及仲裁情况</w:t>
      </w:r>
      <w:bookmarkEnd w:id="302"/>
      <w:bookmarkEnd w:id="303"/>
      <w:bookmarkEnd w:id="304"/>
      <w:bookmarkEnd w:id="305"/>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4820" w:type="dxa"/>
            <w:vAlign w:val="center"/>
          </w:tcPr>
          <w:p>
            <w:pPr>
              <w:jc w:val="center"/>
              <w:rPr>
                <w:rFonts w:ascii="宋体" w:hAnsi="宋体"/>
                <w:color w:val="000000" w:themeColor="text1"/>
                <w:szCs w:val="21"/>
              </w:rPr>
            </w:pPr>
            <w:r>
              <w:rPr>
                <w:rFonts w:hint="eastAsia" w:ascii="宋体" w:hAnsi="宋体"/>
                <w:color w:val="000000" w:themeColor="text1"/>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000000" w:themeColor="text1"/>
                <w:sz w:val="24"/>
              </w:rPr>
            </w:pPr>
          </w:p>
        </w:tc>
        <w:tc>
          <w:tcPr>
            <w:tcW w:w="4820"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000000" w:themeColor="text1"/>
                <w:sz w:val="24"/>
              </w:rPr>
            </w:pPr>
          </w:p>
        </w:tc>
        <w:tc>
          <w:tcPr>
            <w:tcW w:w="4820"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000000" w:themeColor="text1"/>
                <w:sz w:val="24"/>
              </w:rPr>
            </w:pPr>
          </w:p>
        </w:tc>
        <w:tc>
          <w:tcPr>
            <w:tcW w:w="4820"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000000" w:themeColor="text1"/>
                <w:sz w:val="24"/>
              </w:rPr>
            </w:pPr>
          </w:p>
        </w:tc>
        <w:tc>
          <w:tcPr>
            <w:tcW w:w="4820"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000000" w:themeColor="text1"/>
                <w:sz w:val="24"/>
              </w:rPr>
            </w:pPr>
          </w:p>
        </w:tc>
        <w:tc>
          <w:tcPr>
            <w:tcW w:w="4820"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000000" w:themeColor="text1"/>
                <w:sz w:val="24"/>
              </w:rPr>
            </w:pPr>
          </w:p>
        </w:tc>
        <w:tc>
          <w:tcPr>
            <w:tcW w:w="4820"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000000" w:themeColor="text1"/>
                <w:sz w:val="24"/>
              </w:rPr>
            </w:pPr>
          </w:p>
        </w:tc>
        <w:tc>
          <w:tcPr>
            <w:tcW w:w="4820"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000000" w:themeColor="text1"/>
                <w:sz w:val="24"/>
              </w:rPr>
            </w:pPr>
          </w:p>
        </w:tc>
        <w:tc>
          <w:tcPr>
            <w:tcW w:w="4820" w:type="dxa"/>
            <w:vAlign w:val="center"/>
          </w:tcPr>
          <w:p>
            <w:pPr>
              <w:jc w:val="center"/>
              <w:rPr>
                <w:rFonts w:ascii="宋体" w:hAnsi="宋体"/>
                <w:color w:val="000000" w:themeColor="text1"/>
                <w:sz w:val="24"/>
              </w:rPr>
            </w:pPr>
          </w:p>
        </w:tc>
      </w:tr>
    </w:tbl>
    <w:p>
      <w:pPr>
        <w:spacing w:line="400" w:lineRule="exact"/>
        <w:ind w:firstLine="420"/>
        <w:rPr>
          <w:rFonts w:ascii="宋体" w:hAnsi="宋体"/>
          <w:color w:val="FF0000"/>
          <w:szCs w:val="21"/>
        </w:rPr>
      </w:pPr>
    </w:p>
    <w:p>
      <w:pPr>
        <w:rPr>
          <w:color w:val="FF0000"/>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spacing w:before="120" w:after="120"/>
        <w:jc w:val="center"/>
        <w:rPr>
          <w:rFonts w:ascii="黑体" w:eastAsia="黑体"/>
          <w:b/>
          <w:bCs/>
          <w:color w:val="000000" w:themeColor="text1"/>
          <w:kern w:val="44"/>
          <w:sz w:val="30"/>
          <w:szCs w:val="30"/>
        </w:rPr>
      </w:pPr>
      <w:r>
        <w:rPr>
          <w:rFonts w:hint="eastAsia" w:ascii="黑体" w:eastAsia="黑体"/>
          <w:b/>
          <w:bCs/>
          <w:color w:val="000000" w:themeColor="text1"/>
          <w:kern w:val="44"/>
          <w:sz w:val="30"/>
          <w:szCs w:val="30"/>
        </w:rPr>
        <w:t>七、主要进场管理人员和技术人员最低要求</w:t>
      </w:r>
    </w:p>
    <w:tbl>
      <w:tblPr>
        <w:tblStyle w:val="45"/>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000000" w:themeColor="text1"/>
                <w:sz w:val="24"/>
              </w:rPr>
            </w:pPr>
            <w:bookmarkStart w:id="306" w:name="_Toc234382989"/>
            <w:r>
              <w:rPr>
                <w:rFonts w:hint="eastAsia" w:ascii="宋体" w:hAnsi="宋体"/>
                <w:color w:val="000000" w:themeColor="text1"/>
                <w:sz w:val="24"/>
              </w:rPr>
              <w:t>人  员</w:t>
            </w:r>
          </w:p>
        </w:tc>
        <w:tc>
          <w:tcPr>
            <w:tcW w:w="1997" w:type="dxa"/>
            <w:vAlign w:val="center"/>
          </w:tcPr>
          <w:p>
            <w:pPr>
              <w:jc w:val="center"/>
              <w:rPr>
                <w:rFonts w:ascii="宋体" w:hAnsi="宋体"/>
                <w:color w:val="000000" w:themeColor="text1"/>
                <w:sz w:val="24"/>
              </w:rPr>
            </w:pPr>
            <w:r>
              <w:rPr>
                <w:rFonts w:hint="eastAsia" w:ascii="宋体" w:hAnsi="宋体"/>
                <w:color w:val="000000" w:themeColor="text1"/>
                <w:sz w:val="24"/>
              </w:rPr>
              <w:t>数  量</w:t>
            </w:r>
          </w:p>
        </w:tc>
        <w:tc>
          <w:tcPr>
            <w:tcW w:w="5053" w:type="dxa"/>
            <w:vAlign w:val="center"/>
          </w:tcPr>
          <w:p>
            <w:pPr>
              <w:jc w:val="center"/>
              <w:rPr>
                <w:rFonts w:ascii="宋体" w:hAnsi="宋体"/>
                <w:color w:val="000000" w:themeColor="text1"/>
                <w:sz w:val="24"/>
              </w:rPr>
            </w:pPr>
            <w:r>
              <w:rPr>
                <w:rFonts w:hint="eastAsia" w:ascii="宋体" w:hAnsi="宋体"/>
                <w:color w:val="000000" w:themeColor="text1"/>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color w:val="000000" w:themeColor="text1"/>
                <w:sz w:val="24"/>
              </w:rPr>
            </w:pPr>
            <w:r>
              <w:rPr>
                <w:rFonts w:hint="eastAsia" w:ascii="宋体" w:hAnsi="宋体"/>
                <w:color w:val="000000" w:themeColor="text1"/>
                <w:sz w:val="24"/>
              </w:rPr>
              <w:t>项目经理</w:t>
            </w:r>
          </w:p>
        </w:tc>
        <w:tc>
          <w:tcPr>
            <w:tcW w:w="1997" w:type="dxa"/>
            <w:vAlign w:val="center"/>
          </w:tcPr>
          <w:p>
            <w:pPr>
              <w:jc w:val="center"/>
              <w:rPr>
                <w:rFonts w:ascii="宋体" w:hAnsi="宋体"/>
                <w:color w:val="000000" w:themeColor="text1"/>
                <w:sz w:val="24"/>
              </w:rPr>
            </w:pPr>
            <w:r>
              <w:rPr>
                <w:rFonts w:hint="eastAsia" w:ascii="宋体" w:hAnsi="宋体"/>
                <w:color w:val="000000" w:themeColor="text1"/>
                <w:sz w:val="24"/>
              </w:rPr>
              <w:t>1</w:t>
            </w:r>
          </w:p>
        </w:tc>
        <w:tc>
          <w:tcPr>
            <w:tcW w:w="5053" w:type="dxa"/>
          </w:tcPr>
          <w:p>
            <w:pPr>
              <w:rPr>
                <w:color w:val="000000" w:themeColor="text1"/>
                <w:szCs w:val="21"/>
              </w:rPr>
            </w:pPr>
            <w:r>
              <w:rPr>
                <w:rFonts w:hint="eastAsia"/>
                <w:color w:val="000000" w:themeColor="text1"/>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color w:val="000000" w:themeColor="text1"/>
                <w:sz w:val="24"/>
              </w:rPr>
            </w:pPr>
            <w:r>
              <w:rPr>
                <w:rFonts w:hint="eastAsia" w:ascii="宋体" w:hAnsi="宋体"/>
                <w:color w:val="000000" w:themeColor="text1"/>
                <w:sz w:val="24"/>
              </w:rPr>
              <w:t>项目总工程师</w:t>
            </w:r>
          </w:p>
        </w:tc>
        <w:tc>
          <w:tcPr>
            <w:tcW w:w="1997" w:type="dxa"/>
            <w:vAlign w:val="center"/>
          </w:tcPr>
          <w:p>
            <w:pPr>
              <w:jc w:val="center"/>
              <w:rPr>
                <w:rFonts w:ascii="宋体" w:hAnsi="宋体"/>
                <w:color w:val="000000" w:themeColor="text1"/>
                <w:sz w:val="24"/>
              </w:rPr>
            </w:pPr>
            <w:r>
              <w:rPr>
                <w:rFonts w:hint="eastAsia" w:ascii="宋体" w:hAnsi="宋体"/>
                <w:color w:val="000000" w:themeColor="text1"/>
                <w:sz w:val="24"/>
              </w:rPr>
              <w:t>1</w:t>
            </w:r>
          </w:p>
        </w:tc>
        <w:tc>
          <w:tcPr>
            <w:tcW w:w="5053" w:type="dxa"/>
          </w:tcPr>
          <w:p>
            <w:pPr>
              <w:rPr>
                <w:color w:val="000000" w:themeColor="text1"/>
                <w:szCs w:val="21"/>
              </w:rPr>
            </w:pPr>
            <w:r>
              <w:rPr>
                <w:rFonts w:hint="eastAsia"/>
                <w:color w:val="000000" w:themeColor="text1"/>
                <w:szCs w:val="21"/>
              </w:rPr>
              <w:t>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000000" w:themeColor="text1"/>
                <w:szCs w:val="21"/>
              </w:rPr>
            </w:pPr>
            <w:r>
              <w:rPr>
                <w:color w:val="000000" w:themeColor="text1"/>
                <w:szCs w:val="21"/>
              </w:rPr>
              <w:t>财务负责人</w:t>
            </w:r>
          </w:p>
        </w:tc>
        <w:tc>
          <w:tcPr>
            <w:tcW w:w="1997" w:type="dxa"/>
            <w:vAlign w:val="center"/>
          </w:tcPr>
          <w:p>
            <w:pPr>
              <w:jc w:val="center"/>
              <w:rPr>
                <w:color w:val="000000" w:themeColor="text1"/>
                <w:szCs w:val="21"/>
              </w:rPr>
            </w:pPr>
            <w:r>
              <w:rPr>
                <w:color w:val="000000" w:themeColor="text1"/>
                <w:szCs w:val="21"/>
              </w:rPr>
              <w:t>1</w:t>
            </w:r>
          </w:p>
        </w:tc>
        <w:tc>
          <w:tcPr>
            <w:tcW w:w="5053" w:type="dxa"/>
            <w:vAlign w:val="center"/>
          </w:tcPr>
          <w:p>
            <w:pPr>
              <w:rPr>
                <w:color w:val="000000" w:themeColor="text1"/>
                <w:szCs w:val="21"/>
              </w:rPr>
            </w:pPr>
            <w:r>
              <w:rPr>
                <w:color w:val="000000" w:themeColor="text1"/>
                <w:szCs w:val="21"/>
              </w:rPr>
              <w:t>会计师，工程经验</w:t>
            </w:r>
            <w:r>
              <w:rPr>
                <w:rFonts w:hint="eastAsia"/>
                <w:color w:val="000000" w:themeColor="text1"/>
                <w:szCs w:val="21"/>
              </w:rPr>
              <w:t>3</w:t>
            </w:r>
            <w:r>
              <w:rPr>
                <w:color w:val="000000" w:themeColor="text1"/>
                <w:szCs w:val="21"/>
              </w:rPr>
              <w:t>年以上，从事类似工作</w:t>
            </w:r>
            <w:r>
              <w:rPr>
                <w:rFonts w:hint="eastAsia"/>
                <w:color w:val="000000" w:themeColor="text1"/>
                <w:szCs w:val="21"/>
              </w:rPr>
              <w:t>2</w:t>
            </w:r>
            <w:r>
              <w:rPr>
                <w:color w:val="000000" w:themeColor="text1"/>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000000" w:themeColor="text1"/>
                <w:szCs w:val="21"/>
              </w:rPr>
            </w:pPr>
            <w:r>
              <w:rPr>
                <w:color w:val="000000" w:themeColor="text1"/>
                <w:szCs w:val="21"/>
              </w:rPr>
              <w:t>质检工程师</w:t>
            </w:r>
          </w:p>
        </w:tc>
        <w:tc>
          <w:tcPr>
            <w:tcW w:w="1997" w:type="dxa"/>
            <w:vAlign w:val="center"/>
          </w:tcPr>
          <w:p>
            <w:pPr>
              <w:jc w:val="center"/>
              <w:rPr>
                <w:color w:val="000000" w:themeColor="text1"/>
                <w:szCs w:val="21"/>
              </w:rPr>
            </w:pPr>
            <w:r>
              <w:rPr>
                <w:color w:val="000000" w:themeColor="text1"/>
                <w:szCs w:val="21"/>
              </w:rPr>
              <w:t>1</w:t>
            </w:r>
          </w:p>
        </w:tc>
        <w:tc>
          <w:tcPr>
            <w:tcW w:w="5053" w:type="dxa"/>
            <w:vAlign w:val="center"/>
          </w:tcPr>
          <w:p>
            <w:pPr>
              <w:rPr>
                <w:color w:val="000000" w:themeColor="text1"/>
                <w:szCs w:val="21"/>
              </w:rPr>
            </w:pPr>
            <w:r>
              <w:rPr>
                <w:color w:val="000000" w:themeColor="text1"/>
                <w:szCs w:val="21"/>
              </w:rPr>
              <w:t>工程师，工程经验</w:t>
            </w:r>
            <w:r>
              <w:rPr>
                <w:rFonts w:hint="eastAsia"/>
                <w:color w:val="000000" w:themeColor="text1"/>
                <w:szCs w:val="21"/>
              </w:rPr>
              <w:t>3</w:t>
            </w:r>
            <w:r>
              <w:rPr>
                <w:color w:val="000000" w:themeColor="text1"/>
                <w:szCs w:val="21"/>
              </w:rPr>
              <w:t>年以上，从事类似工程</w:t>
            </w:r>
            <w:r>
              <w:rPr>
                <w:rFonts w:hint="eastAsia"/>
                <w:color w:val="000000" w:themeColor="text1"/>
                <w:szCs w:val="21"/>
              </w:rPr>
              <w:t>2</w:t>
            </w:r>
            <w:r>
              <w:rPr>
                <w:color w:val="000000" w:themeColor="text1"/>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000000" w:themeColor="text1"/>
                <w:szCs w:val="21"/>
              </w:rPr>
            </w:pPr>
            <w:r>
              <w:rPr>
                <w:color w:val="000000" w:themeColor="text1"/>
                <w:szCs w:val="21"/>
              </w:rPr>
              <w:t>路基</w:t>
            </w:r>
            <w:r>
              <w:rPr>
                <w:rFonts w:hint="eastAsia"/>
                <w:color w:val="000000" w:themeColor="text1"/>
                <w:szCs w:val="21"/>
              </w:rPr>
              <w:t>、路面</w:t>
            </w:r>
            <w:r>
              <w:rPr>
                <w:color w:val="000000" w:themeColor="text1"/>
                <w:szCs w:val="21"/>
              </w:rPr>
              <w:t>工程师</w:t>
            </w:r>
          </w:p>
        </w:tc>
        <w:tc>
          <w:tcPr>
            <w:tcW w:w="1997" w:type="dxa"/>
            <w:vAlign w:val="center"/>
          </w:tcPr>
          <w:p>
            <w:pPr>
              <w:jc w:val="center"/>
              <w:rPr>
                <w:color w:val="000000" w:themeColor="text1"/>
                <w:szCs w:val="21"/>
              </w:rPr>
            </w:pPr>
            <w:r>
              <w:rPr>
                <w:color w:val="000000" w:themeColor="text1"/>
                <w:szCs w:val="21"/>
              </w:rPr>
              <w:t>1</w:t>
            </w:r>
          </w:p>
        </w:tc>
        <w:tc>
          <w:tcPr>
            <w:tcW w:w="5053" w:type="dxa"/>
            <w:vAlign w:val="center"/>
          </w:tcPr>
          <w:p>
            <w:pPr>
              <w:rPr>
                <w:color w:val="000000" w:themeColor="text1"/>
                <w:szCs w:val="21"/>
              </w:rPr>
            </w:pPr>
            <w:r>
              <w:rPr>
                <w:color w:val="000000" w:themeColor="text1"/>
                <w:szCs w:val="21"/>
              </w:rPr>
              <w:t>工程师，工程经验</w:t>
            </w:r>
            <w:r>
              <w:rPr>
                <w:rFonts w:hint="eastAsia"/>
                <w:color w:val="000000" w:themeColor="text1"/>
                <w:szCs w:val="21"/>
              </w:rPr>
              <w:t>3</w:t>
            </w:r>
            <w:r>
              <w:rPr>
                <w:color w:val="000000" w:themeColor="text1"/>
                <w:szCs w:val="21"/>
              </w:rPr>
              <w:t>年以上，从事类似工作</w:t>
            </w:r>
            <w:r>
              <w:rPr>
                <w:rFonts w:hint="eastAsia"/>
                <w:color w:val="000000" w:themeColor="text1"/>
                <w:szCs w:val="21"/>
              </w:rPr>
              <w:t>2</w:t>
            </w:r>
            <w:r>
              <w:rPr>
                <w:color w:val="000000" w:themeColor="text1"/>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000000" w:themeColor="text1"/>
                <w:szCs w:val="21"/>
              </w:rPr>
            </w:pPr>
            <w:r>
              <w:rPr>
                <w:color w:val="000000" w:themeColor="text1"/>
                <w:szCs w:val="21"/>
              </w:rPr>
              <w:t>测量工程师</w:t>
            </w:r>
          </w:p>
        </w:tc>
        <w:tc>
          <w:tcPr>
            <w:tcW w:w="1997" w:type="dxa"/>
            <w:vAlign w:val="center"/>
          </w:tcPr>
          <w:p>
            <w:pPr>
              <w:jc w:val="center"/>
              <w:rPr>
                <w:color w:val="000000" w:themeColor="text1"/>
                <w:szCs w:val="21"/>
              </w:rPr>
            </w:pPr>
            <w:r>
              <w:rPr>
                <w:color w:val="000000" w:themeColor="text1"/>
                <w:szCs w:val="21"/>
              </w:rPr>
              <w:t>1</w:t>
            </w:r>
          </w:p>
        </w:tc>
        <w:tc>
          <w:tcPr>
            <w:tcW w:w="5053" w:type="dxa"/>
            <w:vAlign w:val="center"/>
          </w:tcPr>
          <w:p>
            <w:pPr>
              <w:rPr>
                <w:color w:val="000000" w:themeColor="text1"/>
                <w:szCs w:val="21"/>
              </w:rPr>
            </w:pPr>
            <w:r>
              <w:rPr>
                <w:color w:val="000000" w:themeColor="text1"/>
                <w:szCs w:val="21"/>
              </w:rPr>
              <w:t>工程师，工程经验</w:t>
            </w:r>
            <w:r>
              <w:rPr>
                <w:rFonts w:hint="eastAsia"/>
                <w:color w:val="000000" w:themeColor="text1"/>
                <w:szCs w:val="21"/>
              </w:rPr>
              <w:t>3</w:t>
            </w:r>
            <w:r>
              <w:rPr>
                <w:color w:val="000000" w:themeColor="text1"/>
                <w:szCs w:val="21"/>
              </w:rPr>
              <w:t>年以上，从事类似工作</w:t>
            </w:r>
            <w:r>
              <w:rPr>
                <w:rFonts w:hint="eastAsia"/>
                <w:color w:val="000000" w:themeColor="text1"/>
                <w:szCs w:val="21"/>
              </w:rPr>
              <w:t>2</w:t>
            </w:r>
            <w:r>
              <w:rPr>
                <w:color w:val="000000" w:themeColor="text1"/>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000000" w:themeColor="text1"/>
                <w:szCs w:val="21"/>
              </w:rPr>
            </w:pPr>
            <w:r>
              <w:rPr>
                <w:color w:val="000000" w:themeColor="text1"/>
                <w:szCs w:val="21"/>
              </w:rPr>
              <w:t>试验负责人</w:t>
            </w:r>
          </w:p>
        </w:tc>
        <w:tc>
          <w:tcPr>
            <w:tcW w:w="1997" w:type="dxa"/>
            <w:vAlign w:val="center"/>
          </w:tcPr>
          <w:p>
            <w:pPr>
              <w:jc w:val="center"/>
              <w:rPr>
                <w:color w:val="000000" w:themeColor="text1"/>
                <w:szCs w:val="21"/>
              </w:rPr>
            </w:pPr>
            <w:r>
              <w:rPr>
                <w:color w:val="000000" w:themeColor="text1"/>
                <w:szCs w:val="21"/>
              </w:rPr>
              <w:t>1</w:t>
            </w:r>
          </w:p>
        </w:tc>
        <w:tc>
          <w:tcPr>
            <w:tcW w:w="5053" w:type="dxa"/>
            <w:vAlign w:val="center"/>
          </w:tcPr>
          <w:p>
            <w:pPr>
              <w:rPr>
                <w:color w:val="000000" w:themeColor="text1"/>
                <w:szCs w:val="21"/>
              </w:rPr>
            </w:pPr>
            <w:r>
              <w:rPr>
                <w:color w:val="000000" w:themeColor="text1"/>
                <w:szCs w:val="21"/>
              </w:rPr>
              <w:t>工程师，工程经验</w:t>
            </w:r>
            <w:r>
              <w:rPr>
                <w:rFonts w:hint="eastAsia"/>
                <w:color w:val="000000" w:themeColor="text1"/>
                <w:szCs w:val="21"/>
              </w:rPr>
              <w:t>3</w:t>
            </w:r>
            <w:r>
              <w:rPr>
                <w:color w:val="000000" w:themeColor="text1"/>
                <w:szCs w:val="21"/>
              </w:rPr>
              <w:t>年以上，从事类似工作</w:t>
            </w:r>
            <w:r>
              <w:rPr>
                <w:rFonts w:hint="eastAsia"/>
                <w:color w:val="000000" w:themeColor="text1"/>
                <w:szCs w:val="21"/>
              </w:rPr>
              <w:t>2</w:t>
            </w:r>
            <w:r>
              <w:rPr>
                <w:color w:val="000000" w:themeColor="text1"/>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000000" w:themeColor="text1"/>
                <w:szCs w:val="21"/>
              </w:rPr>
            </w:pPr>
            <w:r>
              <w:rPr>
                <w:color w:val="000000" w:themeColor="text1"/>
                <w:szCs w:val="21"/>
              </w:rPr>
              <w:t>机械工程师</w:t>
            </w:r>
          </w:p>
        </w:tc>
        <w:tc>
          <w:tcPr>
            <w:tcW w:w="1997" w:type="dxa"/>
            <w:vAlign w:val="center"/>
          </w:tcPr>
          <w:p>
            <w:pPr>
              <w:jc w:val="center"/>
              <w:rPr>
                <w:color w:val="000000" w:themeColor="text1"/>
                <w:szCs w:val="21"/>
              </w:rPr>
            </w:pPr>
            <w:r>
              <w:rPr>
                <w:color w:val="000000" w:themeColor="text1"/>
                <w:szCs w:val="21"/>
              </w:rPr>
              <w:t>1</w:t>
            </w:r>
          </w:p>
        </w:tc>
        <w:tc>
          <w:tcPr>
            <w:tcW w:w="5053" w:type="dxa"/>
            <w:vAlign w:val="center"/>
          </w:tcPr>
          <w:p>
            <w:pPr>
              <w:rPr>
                <w:color w:val="000000" w:themeColor="text1"/>
                <w:szCs w:val="21"/>
              </w:rPr>
            </w:pPr>
            <w:r>
              <w:rPr>
                <w:color w:val="000000" w:themeColor="text1"/>
                <w:szCs w:val="21"/>
              </w:rPr>
              <w:t>工程师，工程经验</w:t>
            </w:r>
            <w:r>
              <w:rPr>
                <w:rFonts w:hint="eastAsia"/>
                <w:color w:val="000000" w:themeColor="text1"/>
                <w:szCs w:val="21"/>
              </w:rPr>
              <w:t>3</w:t>
            </w:r>
            <w:r>
              <w:rPr>
                <w:color w:val="000000" w:themeColor="text1"/>
                <w:szCs w:val="21"/>
              </w:rPr>
              <w:t>年以上，从事类似工作</w:t>
            </w:r>
            <w:r>
              <w:rPr>
                <w:rFonts w:hint="eastAsia"/>
                <w:color w:val="000000" w:themeColor="text1"/>
                <w:szCs w:val="21"/>
              </w:rPr>
              <w:t>2</w:t>
            </w:r>
            <w:r>
              <w:rPr>
                <w:color w:val="000000" w:themeColor="text1"/>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000000" w:themeColor="text1"/>
                <w:szCs w:val="21"/>
              </w:rPr>
            </w:pPr>
            <w:r>
              <w:rPr>
                <w:color w:val="000000" w:themeColor="text1"/>
                <w:szCs w:val="21"/>
              </w:rPr>
              <w:t>专职安全员</w:t>
            </w:r>
          </w:p>
        </w:tc>
        <w:tc>
          <w:tcPr>
            <w:tcW w:w="1997" w:type="dxa"/>
            <w:vAlign w:val="center"/>
          </w:tcPr>
          <w:p>
            <w:pPr>
              <w:jc w:val="center"/>
              <w:rPr>
                <w:color w:val="000000" w:themeColor="text1"/>
                <w:szCs w:val="21"/>
              </w:rPr>
            </w:pPr>
            <w:r>
              <w:rPr>
                <w:rFonts w:hint="eastAsia"/>
                <w:color w:val="000000" w:themeColor="text1"/>
                <w:szCs w:val="21"/>
              </w:rPr>
              <w:t>1</w:t>
            </w:r>
          </w:p>
        </w:tc>
        <w:tc>
          <w:tcPr>
            <w:tcW w:w="5053" w:type="dxa"/>
            <w:vAlign w:val="center"/>
          </w:tcPr>
          <w:p>
            <w:pPr>
              <w:rPr>
                <w:color w:val="000000" w:themeColor="text1"/>
                <w:szCs w:val="21"/>
              </w:rPr>
            </w:pPr>
            <w:r>
              <w:rPr>
                <w:color w:val="000000" w:themeColor="text1"/>
                <w:szCs w:val="21"/>
              </w:rPr>
              <w:t>从事类似工作3年以上</w:t>
            </w:r>
            <w:r>
              <w:rPr>
                <w:color w:val="000000" w:themeColor="text1"/>
                <w:szCs w:val="21"/>
                <w:lang w:val="zh-CN"/>
              </w:rPr>
              <w:t>，</w:t>
            </w:r>
            <w:r>
              <w:rPr>
                <w:color w:val="000000" w:themeColor="text1"/>
                <w:szCs w:val="21"/>
              </w:rPr>
              <w:t>具</w:t>
            </w:r>
            <w:r>
              <w:rPr>
                <w:rFonts w:hint="eastAsia"/>
                <w:color w:val="000000" w:themeColor="text1"/>
                <w:szCs w:val="21"/>
              </w:rPr>
              <w:t>有有效</w:t>
            </w:r>
            <w:r>
              <w:rPr>
                <w:color w:val="000000" w:themeColor="text1"/>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000000" w:themeColor="text1"/>
                <w:szCs w:val="21"/>
              </w:rPr>
            </w:pPr>
          </w:p>
        </w:tc>
        <w:tc>
          <w:tcPr>
            <w:tcW w:w="1997" w:type="dxa"/>
            <w:vAlign w:val="center"/>
          </w:tcPr>
          <w:p>
            <w:pPr>
              <w:jc w:val="center"/>
              <w:rPr>
                <w:color w:val="000000" w:themeColor="text1"/>
                <w:szCs w:val="21"/>
              </w:rPr>
            </w:pPr>
          </w:p>
        </w:tc>
        <w:tc>
          <w:tcPr>
            <w:tcW w:w="5053" w:type="dxa"/>
            <w:vAlign w:val="center"/>
          </w:tcPr>
          <w:p>
            <w:pPr>
              <w:spacing w:line="400" w:lineRule="exact"/>
              <w:jc w:val="left"/>
              <w:rPr>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000000" w:themeColor="text1"/>
                <w:szCs w:val="21"/>
              </w:rPr>
            </w:pPr>
          </w:p>
        </w:tc>
        <w:tc>
          <w:tcPr>
            <w:tcW w:w="1997" w:type="dxa"/>
            <w:vAlign w:val="center"/>
          </w:tcPr>
          <w:p>
            <w:pPr>
              <w:jc w:val="center"/>
              <w:rPr>
                <w:color w:val="000000" w:themeColor="text1"/>
                <w:szCs w:val="21"/>
              </w:rPr>
            </w:pPr>
          </w:p>
        </w:tc>
        <w:tc>
          <w:tcPr>
            <w:tcW w:w="5053" w:type="dxa"/>
            <w:vAlign w:val="center"/>
          </w:tcPr>
          <w:p>
            <w:pPr>
              <w:rPr>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000000" w:themeColor="text1"/>
                <w:sz w:val="24"/>
              </w:rPr>
            </w:pPr>
          </w:p>
        </w:tc>
        <w:tc>
          <w:tcPr>
            <w:tcW w:w="1997" w:type="dxa"/>
            <w:vAlign w:val="center"/>
          </w:tcPr>
          <w:p>
            <w:pPr>
              <w:jc w:val="center"/>
              <w:rPr>
                <w:rFonts w:ascii="宋体" w:hAnsi="宋体"/>
                <w:color w:val="000000" w:themeColor="text1"/>
                <w:sz w:val="24"/>
              </w:rPr>
            </w:pPr>
          </w:p>
        </w:tc>
        <w:tc>
          <w:tcPr>
            <w:tcW w:w="5053" w:type="dxa"/>
            <w:vAlign w:val="center"/>
          </w:tcPr>
          <w:p>
            <w:pPr>
              <w:jc w:val="center"/>
              <w:rPr>
                <w:rFonts w:ascii="宋体" w:hAnsi="宋体"/>
                <w:color w:val="000000" w:themeColor="text1"/>
                <w:sz w:val="24"/>
              </w:rPr>
            </w:pPr>
          </w:p>
        </w:tc>
      </w:tr>
    </w:tbl>
    <w:p>
      <w:pPr>
        <w:spacing w:line="500" w:lineRule="exact"/>
        <w:ind w:firstLine="420" w:firstLineChars="200"/>
        <w:rPr>
          <w:rFonts w:ascii="宋体" w:hAnsi="宋体"/>
          <w:color w:val="000000" w:themeColor="text1"/>
          <w:szCs w:val="21"/>
        </w:rPr>
      </w:pPr>
    </w:p>
    <w:p>
      <w:pPr>
        <w:spacing w:line="500" w:lineRule="exact"/>
        <w:ind w:firstLine="420" w:firstLineChars="200"/>
        <w:rPr>
          <w:rFonts w:ascii="宋体" w:hAnsi="宋体"/>
          <w:color w:val="000000" w:themeColor="text1"/>
          <w:szCs w:val="21"/>
        </w:rPr>
      </w:pPr>
      <w:r>
        <w:rPr>
          <w:rFonts w:hint="eastAsia" w:ascii="宋体" w:hAnsi="宋体"/>
          <w:color w:val="000000" w:themeColor="text1"/>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000000" w:themeColor="text1"/>
          <w:szCs w:val="21"/>
        </w:rPr>
      </w:pPr>
      <w:r>
        <w:rPr>
          <w:rFonts w:hint="eastAsia" w:ascii="宋体" w:hAnsi="宋体"/>
          <w:color w:val="000000" w:themeColor="text1"/>
          <w:kern w:val="0"/>
          <w:szCs w:val="21"/>
        </w:rPr>
        <w:t>投  标  人：</w:t>
      </w:r>
      <w:r>
        <w:rPr>
          <w:rFonts w:hint="eastAsia" w:ascii="宋体" w:hAnsi="宋体"/>
          <w:color w:val="000000" w:themeColor="text1"/>
          <w:szCs w:val="21"/>
        </w:rPr>
        <w:t>（盖单位章）</w:t>
      </w:r>
    </w:p>
    <w:p>
      <w:pPr>
        <w:adjustRightInd w:val="0"/>
        <w:snapToGrid w:val="0"/>
        <w:spacing w:line="360" w:lineRule="auto"/>
        <w:jc w:val="center"/>
        <w:rPr>
          <w:rFonts w:ascii="宋体" w:hAnsi="宋体"/>
          <w:color w:val="000000" w:themeColor="text1"/>
          <w:szCs w:val="21"/>
        </w:rPr>
      </w:pPr>
    </w:p>
    <w:p>
      <w:pPr>
        <w:adjustRightInd w:val="0"/>
        <w:snapToGrid w:val="0"/>
        <w:spacing w:line="360" w:lineRule="auto"/>
        <w:jc w:val="center"/>
        <w:rPr>
          <w:rFonts w:ascii="黑体" w:eastAsia="黑体"/>
          <w:color w:val="000000" w:themeColor="text1"/>
          <w:sz w:val="30"/>
          <w:szCs w:val="30"/>
          <w:u w:val="single"/>
        </w:rPr>
      </w:pPr>
      <w:r>
        <w:rPr>
          <w:rFonts w:hint="eastAsia" w:ascii="宋体" w:hAnsi="宋体"/>
          <w:color w:val="000000" w:themeColor="text1"/>
          <w:szCs w:val="21"/>
        </w:rPr>
        <w:t xml:space="preserve">                                 法定代表人或其委托代理人：（签字）</w:t>
      </w:r>
    </w:p>
    <w:p>
      <w:pPr>
        <w:spacing w:before="120" w:after="120"/>
        <w:jc w:val="center"/>
        <w:rPr>
          <w:rFonts w:ascii="黑体" w:eastAsia="黑体"/>
          <w:b/>
          <w:bCs/>
          <w:color w:val="000000" w:themeColor="text1"/>
          <w:kern w:val="44"/>
          <w:sz w:val="30"/>
          <w:szCs w:val="30"/>
        </w:rPr>
      </w:pPr>
    </w:p>
    <w:p>
      <w:pPr>
        <w:spacing w:before="120" w:after="120"/>
        <w:jc w:val="center"/>
        <w:rPr>
          <w:rFonts w:ascii="黑体" w:eastAsia="黑体"/>
          <w:b/>
          <w:bCs/>
          <w:color w:val="000000" w:themeColor="text1"/>
          <w:kern w:val="44"/>
          <w:sz w:val="30"/>
          <w:szCs w:val="30"/>
        </w:rPr>
      </w:pPr>
    </w:p>
    <w:p>
      <w:pPr>
        <w:pageBreakBefore/>
        <w:spacing w:before="120" w:after="120"/>
        <w:jc w:val="center"/>
        <w:rPr>
          <w:rFonts w:ascii="黑体" w:eastAsia="黑体"/>
          <w:b/>
          <w:bCs/>
          <w:color w:val="000000" w:themeColor="text1"/>
          <w:kern w:val="44"/>
          <w:sz w:val="30"/>
          <w:szCs w:val="30"/>
        </w:rPr>
      </w:pPr>
      <w:r>
        <w:rPr>
          <w:rFonts w:hint="eastAsia" w:ascii="黑体" w:eastAsia="黑体"/>
          <w:b/>
          <w:bCs/>
          <w:color w:val="000000" w:themeColor="text1"/>
          <w:kern w:val="44"/>
          <w:sz w:val="30"/>
          <w:szCs w:val="30"/>
        </w:rPr>
        <w:t>八、关键设备最低条件</w:t>
      </w:r>
    </w:p>
    <w:tbl>
      <w:tblPr>
        <w:tblStyle w:val="45"/>
        <w:tblW w:w="930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0"/>
        <w:gridCol w:w="2048"/>
        <w:gridCol w:w="784"/>
        <w:gridCol w:w="1476"/>
        <w:gridCol w:w="2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jc w:val="center"/>
              <w:rPr>
                <w:rFonts w:ascii="宋体" w:hAnsi="宋体"/>
                <w:color w:val="000000" w:themeColor="text1"/>
                <w:szCs w:val="21"/>
              </w:rPr>
            </w:pPr>
            <w:r>
              <w:rPr>
                <w:rFonts w:hint="eastAsia" w:ascii="宋体" w:hAnsi="宋体"/>
                <w:color w:val="000000" w:themeColor="text1"/>
                <w:szCs w:val="21"/>
              </w:rPr>
              <w:t>设备名称</w:t>
            </w:r>
          </w:p>
        </w:tc>
        <w:tc>
          <w:tcPr>
            <w:tcW w:w="2048" w:type="dxa"/>
            <w:vAlign w:val="center"/>
          </w:tcPr>
          <w:p>
            <w:pPr>
              <w:jc w:val="center"/>
              <w:rPr>
                <w:rFonts w:ascii="宋体" w:hAnsi="宋体"/>
                <w:color w:val="000000" w:themeColor="text1"/>
                <w:szCs w:val="21"/>
              </w:rPr>
            </w:pPr>
            <w:r>
              <w:rPr>
                <w:rFonts w:hint="eastAsia" w:ascii="宋体" w:hAnsi="宋体"/>
                <w:color w:val="000000" w:themeColor="text1"/>
                <w:szCs w:val="21"/>
              </w:rPr>
              <w:t>规格、功率及容量</w:t>
            </w:r>
          </w:p>
        </w:tc>
        <w:tc>
          <w:tcPr>
            <w:tcW w:w="784" w:type="dxa"/>
            <w:vAlign w:val="center"/>
          </w:tcPr>
          <w:p>
            <w:pPr>
              <w:jc w:val="center"/>
              <w:rPr>
                <w:rFonts w:ascii="宋体" w:hAnsi="宋体"/>
                <w:color w:val="000000" w:themeColor="text1"/>
                <w:szCs w:val="21"/>
              </w:rPr>
            </w:pPr>
            <w:r>
              <w:rPr>
                <w:rFonts w:hint="eastAsia" w:ascii="宋体" w:hAnsi="宋体"/>
                <w:color w:val="000000" w:themeColor="text1"/>
                <w:szCs w:val="21"/>
              </w:rPr>
              <w:t>单位</w:t>
            </w:r>
          </w:p>
        </w:tc>
        <w:tc>
          <w:tcPr>
            <w:tcW w:w="1476" w:type="dxa"/>
            <w:vAlign w:val="center"/>
          </w:tcPr>
          <w:p>
            <w:pPr>
              <w:jc w:val="center"/>
              <w:rPr>
                <w:rFonts w:ascii="宋体" w:hAnsi="宋体"/>
                <w:color w:val="000000" w:themeColor="text1"/>
                <w:szCs w:val="21"/>
              </w:rPr>
            </w:pPr>
            <w:r>
              <w:rPr>
                <w:rFonts w:hint="eastAsia" w:ascii="宋体" w:hAnsi="宋体"/>
                <w:color w:val="000000" w:themeColor="text1"/>
                <w:szCs w:val="21"/>
              </w:rPr>
              <w:t>最低数量要求</w:t>
            </w:r>
          </w:p>
        </w:tc>
        <w:tc>
          <w:tcPr>
            <w:tcW w:w="2375" w:type="dxa"/>
            <w:vAlign w:val="center"/>
          </w:tcPr>
          <w:p>
            <w:pPr>
              <w:jc w:val="center"/>
              <w:rPr>
                <w:rFonts w:ascii="宋体" w:hAnsi="宋体"/>
                <w:color w:val="000000" w:themeColor="text1"/>
                <w:szCs w:val="21"/>
              </w:rPr>
            </w:pPr>
            <w:r>
              <w:rPr>
                <w:color w:val="000000" w:themeColor="text1"/>
                <w:szCs w:val="21"/>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水泥砼搅拌站</w:t>
            </w:r>
          </w:p>
        </w:tc>
        <w:tc>
          <w:tcPr>
            <w:tcW w:w="2048" w:type="dxa"/>
            <w:vAlign w:val="center"/>
          </w:tcPr>
          <w:p>
            <w:pPr>
              <w:spacing w:line="400" w:lineRule="exact"/>
              <w:jc w:val="center"/>
              <w:rPr>
                <w:color w:val="000000" w:themeColor="text1"/>
                <w:szCs w:val="21"/>
              </w:rPr>
            </w:pPr>
            <w:r>
              <w:rPr>
                <w:rFonts w:hint="eastAsia"/>
                <w:color w:val="000000" w:themeColor="text1"/>
                <w:szCs w:val="21"/>
              </w:rPr>
              <w:t>满足施工需要</w:t>
            </w:r>
          </w:p>
        </w:tc>
        <w:tc>
          <w:tcPr>
            <w:tcW w:w="784" w:type="dxa"/>
            <w:vAlign w:val="center"/>
          </w:tcPr>
          <w:p>
            <w:pPr>
              <w:spacing w:line="400" w:lineRule="exact"/>
              <w:jc w:val="center"/>
              <w:rPr>
                <w:color w:val="000000" w:themeColor="text1"/>
                <w:szCs w:val="21"/>
              </w:rPr>
            </w:pPr>
            <w:r>
              <w:rPr>
                <w:color w:val="000000" w:themeColor="text1"/>
                <w:szCs w:val="21"/>
              </w:rPr>
              <w:t>台</w:t>
            </w:r>
          </w:p>
        </w:tc>
        <w:tc>
          <w:tcPr>
            <w:tcW w:w="1476" w:type="dxa"/>
            <w:vAlign w:val="center"/>
          </w:tcPr>
          <w:p>
            <w:pPr>
              <w:spacing w:line="400" w:lineRule="exact"/>
              <w:jc w:val="center"/>
              <w:rPr>
                <w:color w:val="000000" w:themeColor="text1"/>
                <w:szCs w:val="21"/>
              </w:rPr>
            </w:pPr>
            <w:r>
              <w:rPr>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沥青砼拌和站</w:t>
            </w:r>
          </w:p>
        </w:tc>
        <w:tc>
          <w:tcPr>
            <w:tcW w:w="2048" w:type="dxa"/>
            <w:vAlign w:val="center"/>
          </w:tcPr>
          <w:p>
            <w:pPr>
              <w:spacing w:line="400" w:lineRule="exact"/>
              <w:jc w:val="center"/>
              <w:rPr>
                <w:color w:val="000000" w:themeColor="text1"/>
                <w:szCs w:val="21"/>
              </w:rPr>
            </w:pPr>
            <w:r>
              <w:rPr>
                <w:color w:val="000000" w:themeColor="text1"/>
                <w:szCs w:val="21"/>
              </w:rPr>
              <w:t>满足施工需要</w:t>
            </w:r>
          </w:p>
        </w:tc>
        <w:tc>
          <w:tcPr>
            <w:tcW w:w="784" w:type="dxa"/>
            <w:vAlign w:val="center"/>
          </w:tcPr>
          <w:p>
            <w:pPr>
              <w:spacing w:line="400" w:lineRule="exact"/>
              <w:jc w:val="center"/>
              <w:rPr>
                <w:color w:val="000000" w:themeColor="text1"/>
                <w:szCs w:val="21"/>
              </w:rPr>
            </w:pPr>
            <w:r>
              <w:rPr>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水泥砼搅拌运输车</w:t>
            </w:r>
          </w:p>
        </w:tc>
        <w:tc>
          <w:tcPr>
            <w:tcW w:w="2048" w:type="dxa"/>
            <w:vAlign w:val="center"/>
          </w:tcPr>
          <w:p>
            <w:pPr>
              <w:spacing w:line="400" w:lineRule="exact"/>
              <w:jc w:val="center"/>
              <w:rPr>
                <w:color w:val="000000" w:themeColor="text1"/>
                <w:szCs w:val="21"/>
              </w:rPr>
            </w:pPr>
            <w:r>
              <w:rPr>
                <w:rFonts w:hint="eastAsia"/>
                <w:color w:val="000000" w:themeColor="text1"/>
                <w:szCs w:val="21"/>
              </w:rPr>
              <w:t>满足施工需要</w:t>
            </w:r>
          </w:p>
        </w:tc>
        <w:tc>
          <w:tcPr>
            <w:tcW w:w="784" w:type="dxa"/>
            <w:vAlign w:val="center"/>
          </w:tcPr>
          <w:p>
            <w:pPr>
              <w:spacing w:line="400" w:lineRule="exact"/>
              <w:jc w:val="center"/>
              <w:rPr>
                <w:color w:val="000000" w:themeColor="text1"/>
                <w:szCs w:val="21"/>
              </w:rPr>
            </w:pPr>
            <w:r>
              <w:rPr>
                <w:rFonts w:hint="eastAsia"/>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3</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水泥砼输送泵</w:t>
            </w:r>
          </w:p>
        </w:tc>
        <w:tc>
          <w:tcPr>
            <w:tcW w:w="2048" w:type="dxa"/>
            <w:vAlign w:val="center"/>
          </w:tcPr>
          <w:p>
            <w:pPr>
              <w:spacing w:line="400" w:lineRule="exact"/>
              <w:jc w:val="center"/>
              <w:rPr>
                <w:color w:val="000000" w:themeColor="text1"/>
                <w:szCs w:val="21"/>
              </w:rPr>
            </w:pPr>
            <w:r>
              <w:rPr>
                <w:color w:val="000000" w:themeColor="text1"/>
                <w:szCs w:val="21"/>
              </w:rPr>
              <w:t>满足施工需要</w:t>
            </w:r>
          </w:p>
        </w:tc>
        <w:tc>
          <w:tcPr>
            <w:tcW w:w="784" w:type="dxa"/>
            <w:vAlign w:val="center"/>
          </w:tcPr>
          <w:p>
            <w:pPr>
              <w:spacing w:line="400" w:lineRule="exact"/>
              <w:jc w:val="center"/>
              <w:rPr>
                <w:color w:val="000000" w:themeColor="text1"/>
                <w:szCs w:val="21"/>
              </w:rPr>
            </w:pPr>
            <w:r>
              <w:rPr>
                <w:rFonts w:hint="eastAsia"/>
                <w:color w:val="000000" w:themeColor="text1"/>
                <w:szCs w:val="21"/>
              </w:rPr>
              <w:t>台</w:t>
            </w:r>
          </w:p>
        </w:tc>
        <w:tc>
          <w:tcPr>
            <w:tcW w:w="1476" w:type="dxa"/>
            <w:vAlign w:val="center"/>
          </w:tcPr>
          <w:p>
            <w:pPr>
              <w:spacing w:line="400" w:lineRule="exact"/>
              <w:jc w:val="center"/>
              <w:rPr>
                <w:color w:val="000000" w:themeColor="text1"/>
                <w:szCs w:val="21"/>
              </w:rPr>
            </w:pPr>
            <w:r>
              <w:rPr>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风镐</w:t>
            </w:r>
          </w:p>
        </w:tc>
        <w:tc>
          <w:tcPr>
            <w:tcW w:w="2048" w:type="dxa"/>
            <w:vAlign w:val="center"/>
          </w:tcPr>
          <w:p>
            <w:pPr>
              <w:spacing w:line="400" w:lineRule="exact"/>
              <w:jc w:val="center"/>
              <w:rPr>
                <w:color w:val="000000" w:themeColor="text1"/>
                <w:szCs w:val="21"/>
              </w:rPr>
            </w:pPr>
            <w:r>
              <w:rPr>
                <w:rFonts w:hint="eastAsia"/>
                <w:color w:val="000000" w:themeColor="text1"/>
                <w:szCs w:val="21"/>
              </w:rPr>
              <w:t>满足施工需要</w:t>
            </w:r>
          </w:p>
        </w:tc>
        <w:tc>
          <w:tcPr>
            <w:tcW w:w="784" w:type="dxa"/>
            <w:vAlign w:val="center"/>
          </w:tcPr>
          <w:p>
            <w:pPr>
              <w:spacing w:line="440" w:lineRule="exact"/>
              <w:jc w:val="center"/>
              <w:rPr>
                <w:color w:val="000000" w:themeColor="text1"/>
                <w:szCs w:val="21"/>
              </w:rPr>
            </w:pPr>
            <w:r>
              <w:rPr>
                <w:color w:val="000000" w:themeColor="text1"/>
                <w:szCs w:val="21"/>
              </w:rPr>
              <w:t>台</w:t>
            </w:r>
          </w:p>
        </w:tc>
        <w:tc>
          <w:tcPr>
            <w:tcW w:w="1476" w:type="dxa"/>
            <w:vAlign w:val="center"/>
          </w:tcPr>
          <w:p>
            <w:pPr>
              <w:spacing w:line="440" w:lineRule="exact"/>
              <w:jc w:val="center"/>
              <w:rPr>
                <w:color w:val="000000" w:themeColor="text1"/>
                <w:szCs w:val="21"/>
              </w:rPr>
            </w:pPr>
            <w:r>
              <w:rPr>
                <w:rFonts w:hint="eastAsia"/>
                <w:color w:val="000000" w:themeColor="text1"/>
                <w:szCs w:val="21"/>
              </w:rPr>
              <w:t>4</w:t>
            </w:r>
          </w:p>
        </w:tc>
        <w:tc>
          <w:tcPr>
            <w:tcW w:w="2375" w:type="dxa"/>
            <w:vAlign w:val="center"/>
          </w:tcPr>
          <w:p>
            <w:pPr>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color w:val="000000" w:themeColor="text1"/>
                <w:szCs w:val="21"/>
              </w:rPr>
              <w:t>水泥混凝土路面振捣设备</w:t>
            </w:r>
          </w:p>
        </w:tc>
        <w:tc>
          <w:tcPr>
            <w:tcW w:w="2048" w:type="dxa"/>
            <w:vAlign w:val="center"/>
          </w:tcPr>
          <w:p>
            <w:pPr>
              <w:spacing w:line="400" w:lineRule="exact"/>
              <w:jc w:val="center"/>
              <w:rPr>
                <w:color w:val="000000" w:themeColor="text1"/>
                <w:szCs w:val="21"/>
              </w:rPr>
            </w:pPr>
            <w:r>
              <w:rPr>
                <w:rFonts w:hint="eastAsia"/>
                <w:color w:val="000000" w:themeColor="text1"/>
                <w:szCs w:val="21"/>
              </w:rPr>
              <w:t>满足施工需要</w:t>
            </w:r>
          </w:p>
        </w:tc>
        <w:tc>
          <w:tcPr>
            <w:tcW w:w="784" w:type="dxa"/>
            <w:vAlign w:val="center"/>
          </w:tcPr>
          <w:p>
            <w:pPr>
              <w:spacing w:line="440" w:lineRule="exact"/>
              <w:jc w:val="center"/>
              <w:rPr>
                <w:color w:val="000000" w:themeColor="text1"/>
                <w:szCs w:val="21"/>
              </w:rPr>
            </w:pPr>
            <w:r>
              <w:rPr>
                <w:rFonts w:hint="eastAsia"/>
                <w:color w:val="000000" w:themeColor="text1"/>
                <w:szCs w:val="21"/>
              </w:rPr>
              <w:t>套</w:t>
            </w:r>
          </w:p>
        </w:tc>
        <w:tc>
          <w:tcPr>
            <w:tcW w:w="1476" w:type="dxa"/>
            <w:vAlign w:val="center"/>
          </w:tcPr>
          <w:p>
            <w:pPr>
              <w:spacing w:line="440" w:lineRule="exact"/>
              <w:jc w:val="center"/>
              <w:rPr>
                <w:color w:val="000000" w:themeColor="text1"/>
                <w:szCs w:val="21"/>
              </w:rPr>
            </w:pPr>
            <w:r>
              <w:rPr>
                <w:rFonts w:hint="eastAsia"/>
                <w:color w:val="000000" w:themeColor="text1"/>
                <w:szCs w:val="21"/>
              </w:rPr>
              <w:t>4</w:t>
            </w:r>
          </w:p>
        </w:tc>
        <w:tc>
          <w:tcPr>
            <w:tcW w:w="2375" w:type="dxa"/>
            <w:vAlign w:val="center"/>
          </w:tcPr>
          <w:p>
            <w:pPr>
              <w:spacing w:line="44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吊车</w:t>
            </w:r>
          </w:p>
        </w:tc>
        <w:tc>
          <w:tcPr>
            <w:tcW w:w="2048" w:type="dxa"/>
            <w:vAlign w:val="center"/>
          </w:tcPr>
          <w:p>
            <w:pPr>
              <w:spacing w:line="400" w:lineRule="exact"/>
              <w:jc w:val="center"/>
              <w:rPr>
                <w:color w:val="000000" w:themeColor="text1"/>
                <w:szCs w:val="21"/>
              </w:rPr>
            </w:pPr>
            <w:r>
              <w:rPr>
                <w:color w:val="000000" w:themeColor="text1"/>
                <w:szCs w:val="21"/>
              </w:rPr>
              <w:t>满足施工需要</w:t>
            </w:r>
          </w:p>
        </w:tc>
        <w:tc>
          <w:tcPr>
            <w:tcW w:w="784" w:type="dxa"/>
            <w:vAlign w:val="center"/>
          </w:tcPr>
          <w:p>
            <w:pPr>
              <w:spacing w:line="400" w:lineRule="exact"/>
              <w:jc w:val="center"/>
              <w:rPr>
                <w:color w:val="000000" w:themeColor="text1"/>
                <w:szCs w:val="21"/>
              </w:rPr>
            </w:pPr>
            <w:r>
              <w:rPr>
                <w:rFonts w:hint="eastAsia"/>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挖掘机</w:t>
            </w:r>
          </w:p>
        </w:tc>
        <w:tc>
          <w:tcPr>
            <w:tcW w:w="2048" w:type="dxa"/>
            <w:vAlign w:val="center"/>
          </w:tcPr>
          <w:p>
            <w:pPr>
              <w:spacing w:line="400" w:lineRule="exact"/>
              <w:jc w:val="center"/>
              <w:rPr>
                <w:color w:val="000000" w:themeColor="text1"/>
                <w:szCs w:val="21"/>
              </w:rPr>
            </w:pPr>
            <w:r>
              <w:rPr>
                <w:color w:val="000000" w:themeColor="text1"/>
                <w:szCs w:val="21"/>
              </w:rPr>
              <w:t>满足施工需要</w:t>
            </w:r>
          </w:p>
        </w:tc>
        <w:tc>
          <w:tcPr>
            <w:tcW w:w="784" w:type="dxa"/>
            <w:vAlign w:val="center"/>
          </w:tcPr>
          <w:p>
            <w:pPr>
              <w:spacing w:line="400" w:lineRule="exact"/>
              <w:jc w:val="center"/>
              <w:rPr>
                <w:color w:val="000000" w:themeColor="text1"/>
                <w:szCs w:val="21"/>
              </w:rPr>
            </w:pPr>
            <w:r>
              <w:rPr>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装载机</w:t>
            </w:r>
          </w:p>
        </w:tc>
        <w:tc>
          <w:tcPr>
            <w:tcW w:w="2048" w:type="dxa"/>
            <w:vAlign w:val="center"/>
          </w:tcPr>
          <w:p>
            <w:pPr>
              <w:spacing w:line="400" w:lineRule="exact"/>
              <w:jc w:val="center"/>
              <w:rPr>
                <w:color w:val="000000" w:themeColor="text1"/>
                <w:szCs w:val="21"/>
              </w:rPr>
            </w:pPr>
            <w:r>
              <w:rPr>
                <w:rFonts w:hint="eastAsia"/>
                <w:color w:val="000000" w:themeColor="text1"/>
                <w:szCs w:val="21"/>
              </w:rPr>
              <w:t>满足施工需要</w:t>
            </w:r>
          </w:p>
        </w:tc>
        <w:tc>
          <w:tcPr>
            <w:tcW w:w="784" w:type="dxa"/>
            <w:vAlign w:val="center"/>
          </w:tcPr>
          <w:p>
            <w:pPr>
              <w:spacing w:line="400" w:lineRule="exact"/>
              <w:jc w:val="center"/>
              <w:rPr>
                <w:color w:val="000000" w:themeColor="text1"/>
                <w:szCs w:val="21"/>
              </w:rPr>
            </w:pPr>
            <w:r>
              <w:rPr>
                <w:color w:val="000000" w:themeColor="text1"/>
                <w:szCs w:val="21"/>
              </w:rPr>
              <w:t>套</w:t>
            </w:r>
          </w:p>
        </w:tc>
        <w:tc>
          <w:tcPr>
            <w:tcW w:w="1476" w:type="dxa"/>
            <w:vAlign w:val="center"/>
          </w:tcPr>
          <w:p>
            <w:pPr>
              <w:spacing w:line="400" w:lineRule="exact"/>
              <w:jc w:val="center"/>
              <w:rPr>
                <w:color w:val="000000" w:themeColor="text1"/>
                <w:szCs w:val="21"/>
              </w:rPr>
            </w:pPr>
            <w:r>
              <w:rPr>
                <w:rFonts w:hint="eastAsia"/>
                <w:color w:val="000000" w:themeColor="text1"/>
                <w:szCs w:val="21"/>
              </w:rPr>
              <w:t>2</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2000KN压力试验机</w:t>
            </w:r>
          </w:p>
        </w:tc>
        <w:tc>
          <w:tcPr>
            <w:tcW w:w="2048" w:type="dxa"/>
            <w:vAlign w:val="center"/>
          </w:tcPr>
          <w:p>
            <w:pPr>
              <w:spacing w:line="400" w:lineRule="exact"/>
              <w:jc w:val="center"/>
              <w:rPr>
                <w:color w:val="000000" w:themeColor="text1"/>
                <w:szCs w:val="21"/>
              </w:rPr>
            </w:pPr>
            <w:r>
              <w:rPr>
                <w:rFonts w:hint="eastAsia"/>
                <w:color w:val="000000" w:themeColor="text1"/>
                <w:szCs w:val="21"/>
              </w:rPr>
              <w:t>满足施工需要</w:t>
            </w:r>
          </w:p>
        </w:tc>
        <w:tc>
          <w:tcPr>
            <w:tcW w:w="784" w:type="dxa"/>
            <w:vAlign w:val="center"/>
          </w:tcPr>
          <w:p>
            <w:pPr>
              <w:spacing w:line="400" w:lineRule="exact"/>
              <w:jc w:val="center"/>
              <w:rPr>
                <w:color w:val="000000" w:themeColor="text1"/>
                <w:szCs w:val="21"/>
              </w:rPr>
            </w:pPr>
            <w:r>
              <w:rPr>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60KN万能材料试验机</w:t>
            </w:r>
          </w:p>
        </w:tc>
        <w:tc>
          <w:tcPr>
            <w:tcW w:w="2048" w:type="dxa"/>
            <w:vAlign w:val="center"/>
          </w:tcPr>
          <w:p>
            <w:pPr>
              <w:spacing w:line="400" w:lineRule="exact"/>
              <w:jc w:val="center"/>
              <w:rPr>
                <w:color w:val="000000" w:themeColor="text1"/>
                <w:szCs w:val="21"/>
              </w:rPr>
            </w:pPr>
            <w:r>
              <w:rPr>
                <w:rFonts w:hint="eastAsia"/>
                <w:color w:val="000000" w:themeColor="text1"/>
                <w:szCs w:val="21"/>
              </w:rPr>
              <w:t>满足施工需要</w:t>
            </w:r>
          </w:p>
        </w:tc>
        <w:tc>
          <w:tcPr>
            <w:tcW w:w="784" w:type="dxa"/>
            <w:vAlign w:val="center"/>
          </w:tcPr>
          <w:p>
            <w:pPr>
              <w:spacing w:line="400" w:lineRule="exact"/>
              <w:jc w:val="center"/>
              <w:rPr>
                <w:color w:val="000000" w:themeColor="text1"/>
                <w:szCs w:val="21"/>
              </w:rPr>
            </w:pPr>
            <w:r>
              <w:rPr>
                <w:rFonts w:hint="eastAsia"/>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水泥试验设备</w:t>
            </w:r>
          </w:p>
        </w:tc>
        <w:tc>
          <w:tcPr>
            <w:tcW w:w="2048" w:type="dxa"/>
            <w:vAlign w:val="center"/>
          </w:tcPr>
          <w:p>
            <w:pPr>
              <w:spacing w:line="400" w:lineRule="exact"/>
              <w:jc w:val="center"/>
              <w:rPr>
                <w:color w:val="000000" w:themeColor="text1"/>
                <w:szCs w:val="21"/>
              </w:rPr>
            </w:pPr>
            <w:r>
              <w:rPr>
                <w:color w:val="000000" w:themeColor="text1"/>
                <w:szCs w:val="21"/>
              </w:rPr>
              <w:t>满足施工需要</w:t>
            </w:r>
          </w:p>
        </w:tc>
        <w:tc>
          <w:tcPr>
            <w:tcW w:w="784" w:type="dxa"/>
            <w:vAlign w:val="center"/>
          </w:tcPr>
          <w:p>
            <w:pPr>
              <w:spacing w:line="400" w:lineRule="exact"/>
              <w:jc w:val="center"/>
              <w:rPr>
                <w:color w:val="000000" w:themeColor="text1"/>
                <w:szCs w:val="21"/>
              </w:rPr>
            </w:pPr>
            <w:r>
              <w:rPr>
                <w:rFonts w:hint="eastAsia"/>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标准养护箱</w:t>
            </w:r>
          </w:p>
        </w:tc>
        <w:tc>
          <w:tcPr>
            <w:tcW w:w="2048" w:type="dxa"/>
            <w:vAlign w:val="center"/>
          </w:tcPr>
          <w:p>
            <w:pPr>
              <w:spacing w:line="400" w:lineRule="exact"/>
              <w:jc w:val="center"/>
              <w:rPr>
                <w:color w:val="000000" w:themeColor="text1"/>
                <w:szCs w:val="21"/>
              </w:rPr>
            </w:pPr>
            <w:r>
              <w:rPr>
                <w:rFonts w:hint="eastAsia"/>
                <w:color w:val="000000" w:themeColor="text1"/>
                <w:szCs w:val="21"/>
              </w:rPr>
              <w:t>满足施工需要</w:t>
            </w:r>
          </w:p>
        </w:tc>
        <w:tc>
          <w:tcPr>
            <w:tcW w:w="784" w:type="dxa"/>
            <w:vAlign w:val="center"/>
          </w:tcPr>
          <w:p>
            <w:pPr>
              <w:spacing w:line="400" w:lineRule="exact"/>
              <w:jc w:val="center"/>
              <w:rPr>
                <w:color w:val="000000" w:themeColor="text1"/>
                <w:szCs w:val="21"/>
              </w:rPr>
            </w:pPr>
            <w:r>
              <w:rPr>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全站仪及附件</w:t>
            </w:r>
          </w:p>
        </w:tc>
        <w:tc>
          <w:tcPr>
            <w:tcW w:w="2048" w:type="dxa"/>
            <w:vAlign w:val="center"/>
          </w:tcPr>
          <w:p>
            <w:pPr>
              <w:spacing w:line="400" w:lineRule="exact"/>
              <w:jc w:val="center"/>
              <w:rPr>
                <w:color w:val="000000" w:themeColor="text1"/>
                <w:szCs w:val="21"/>
              </w:rPr>
            </w:pPr>
            <w:r>
              <w:rPr>
                <w:rFonts w:hint="eastAsia"/>
                <w:color w:val="000000" w:themeColor="text1"/>
                <w:szCs w:val="21"/>
              </w:rPr>
              <w:t>满足施工需要</w:t>
            </w:r>
          </w:p>
        </w:tc>
        <w:tc>
          <w:tcPr>
            <w:tcW w:w="784" w:type="dxa"/>
            <w:vAlign w:val="center"/>
          </w:tcPr>
          <w:p>
            <w:pPr>
              <w:spacing w:line="400" w:lineRule="exact"/>
              <w:jc w:val="center"/>
              <w:rPr>
                <w:color w:val="000000" w:themeColor="text1"/>
                <w:szCs w:val="21"/>
              </w:rPr>
            </w:pPr>
            <w:r>
              <w:rPr>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1</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r>
              <w:rPr>
                <w:rFonts w:hint="eastAsia"/>
                <w:color w:val="000000" w:themeColor="text1"/>
                <w:szCs w:val="21"/>
              </w:rPr>
              <w:t>自动安平水准仪</w:t>
            </w:r>
          </w:p>
        </w:tc>
        <w:tc>
          <w:tcPr>
            <w:tcW w:w="2048" w:type="dxa"/>
            <w:vAlign w:val="center"/>
          </w:tcPr>
          <w:p>
            <w:pPr>
              <w:spacing w:line="400" w:lineRule="exact"/>
              <w:jc w:val="center"/>
              <w:rPr>
                <w:color w:val="000000" w:themeColor="text1"/>
                <w:szCs w:val="21"/>
              </w:rPr>
            </w:pPr>
            <w:r>
              <w:rPr>
                <w:color w:val="000000" w:themeColor="text1"/>
                <w:szCs w:val="21"/>
              </w:rPr>
              <w:t>满足施工需要</w:t>
            </w:r>
          </w:p>
        </w:tc>
        <w:tc>
          <w:tcPr>
            <w:tcW w:w="784" w:type="dxa"/>
            <w:vAlign w:val="center"/>
          </w:tcPr>
          <w:p>
            <w:pPr>
              <w:spacing w:line="400" w:lineRule="exact"/>
              <w:jc w:val="center"/>
              <w:rPr>
                <w:color w:val="000000" w:themeColor="text1"/>
                <w:szCs w:val="21"/>
              </w:rPr>
            </w:pPr>
            <w:r>
              <w:rPr>
                <w:rFonts w:hint="eastAsia"/>
                <w:color w:val="000000" w:themeColor="text1"/>
                <w:szCs w:val="21"/>
              </w:rPr>
              <w:t>台</w:t>
            </w:r>
          </w:p>
        </w:tc>
        <w:tc>
          <w:tcPr>
            <w:tcW w:w="1476" w:type="dxa"/>
            <w:vAlign w:val="center"/>
          </w:tcPr>
          <w:p>
            <w:pPr>
              <w:spacing w:line="400" w:lineRule="exact"/>
              <w:jc w:val="center"/>
              <w:rPr>
                <w:color w:val="000000" w:themeColor="text1"/>
                <w:szCs w:val="21"/>
              </w:rPr>
            </w:pPr>
            <w:r>
              <w:rPr>
                <w:rFonts w:hint="eastAsia"/>
                <w:color w:val="000000" w:themeColor="text1"/>
                <w:szCs w:val="21"/>
              </w:rPr>
              <w:t>2</w:t>
            </w:r>
          </w:p>
        </w:tc>
        <w:tc>
          <w:tcPr>
            <w:tcW w:w="2375" w:type="dxa"/>
            <w:vAlign w:val="center"/>
          </w:tcPr>
          <w:p>
            <w:pPr>
              <w:spacing w:line="400" w:lineRule="exact"/>
              <w:jc w:val="center"/>
              <w:rPr>
                <w:color w:val="000000" w:themeColor="text1"/>
                <w:szCs w:val="21"/>
              </w:rPr>
            </w:pPr>
            <w:r>
              <w:rPr>
                <w:color w:val="000000" w:themeColor="text1"/>
                <w:szCs w:val="21"/>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000000" w:themeColor="text1"/>
                <w:szCs w:val="21"/>
              </w:rPr>
            </w:pPr>
          </w:p>
        </w:tc>
        <w:tc>
          <w:tcPr>
            <w:tcW w:w="2048" w:type="dxa"/>
            <w:vAlign w:val="center"/>
          </w:tcPr>
          <w:p>
            <w:pPr>
              <w:spacing w:line="400" w:lineRule="exact"/>
              <w:jc w:val="center"/>
              <w:rPr>
                <w:color w:val="000000" w:themeColor="text1"/>
                <w:szCs w:val="21"/>
              </w:rPr>
            </w:pPr>
          </w:p>
        </w:tc>
        <w:tc>
          <w:tcPr>
            <w:tcW w:w="784" w:type="dxa"/>
            <w:vAlign w:val="center"/>
          </w:tcPr>
          <w:p>
            <w:pPr>
              <w:spacing w:line="400" w:lineRule="exact"/>
              <w:jc w:val="center"/>
              <w:rPr>
                <w:color w:val="000000" w:themeColor="text1"/>
                <w:szCs w:val="21"/>
              </w:rPr>
            </w:pPr>
          </w:p>
        </w:tc>
        <w:tc>
          <w:tcPr>
            <w:tcW w:w="1476" w:type="dxa"/>
            <w:vAlign w:val="center"/>
          </w:tcPr>
          <w:p>
            <w:pPr>
              <w:spacing w:line="400" w:lineRule="exact"/>
              <w:jc w:val="center"/>
              <w:rPr>
                <w:color w:val="000000" w:themeColor="text1"/>
                <w:szCs w:val="21"/>
              </w:rPr>
            </w:pPr>
          </w:p>
        </w:tc>
        <w:tc>
          <w:tcPr>
            <w:tcW w:w="2375" w:type="dxa"/>
            <w:vAlign w:val="center"/>
          </w:tcPr>
          <w:p>
            <w:pPr>
              <w:spacing w:line="400" w:lineRule="exact"/>
              <w:jc w:val="center"/>
              <w:rPr>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exact"/>
        </w:trPr>
        <w:tc>
          <w:tcPr>
            <w:tcW w:w="2620" w:type="dxa"/>
            <w:vAlign w:val="center"/>
          </w:tcPr>
          <w:p>
            <w:pPr>
              <w:spacing w:line="400" w:lineRule="exact"/>
              <w:jc w:val="center"/>
              <w:rPr>
                <w:color w:val="000000" w:themeColor="text1"/>
                <w:szCs w:val="21"/>
              </w:rPr>
            </w:pPr>
          </w:p>
        </w:tc>
        <w:tc>
          <w:tcPr>
            <w:tcW w:w="2048" w:type="dxa"/>
            <w:vAlign w:val="center"/>
          </w:tcPr>
          <w:p>
            <w:pPr>
              <w:spacing w:line="400" w:lineRule="exact"/>
              <w:jc w:val="center"/>
              <w:rPr>
                <w:color w:val="000000" w:themeColor="text1"/>
                <w:szCs w:val="21"/>
              </w:rPr>
            </w:pPr>
          </w:p>
        </w:tc>
        <w:tc>
          <w:tcPr>
            <w:tcW w:w="784" w:type="dxa"/>
            <w:vAlign w:val="center"/>
          </w:tcPr>
          <w:p>
            <w:pPr>
              <w:spacing w:line="400" w:lineRule="exact"/>
              <w:jc w:val="center"/>
              <w:rPr>
                <w:color w:val="000000" w:themeColor="text1"/>
                <w:szCs w:val="21"/>
              </w:rPr>
            </w:pPr>
          </w:p>
        </w:tc>
        <w:tc>
          <w:tcPr>
            <w:tcW w:w="1476" w:type="dxa"/>
            <w:vAlign w:val="center"/>
          </w:tcPr>
          <w:p>
            <w:pPr>
              <w:spacing w:line="400" w:lineRule="exact"/>
              <w:jc w:val="center"/>
              <w:rPr>
                <w:color w:val="000000" w:themeColor="text1"/>
                <w:szCs w:val="21"/>
              </w:rPr>
            </w:pPr>
          </w:p>
        </w:tc>
        <w:tc>
          <w:tcPr>
            <w:tcW w:w="2375" w:type="dxa"/>
            <w:vAlign w:val="center"/>
          </w:tcPr>
          <w:p>
            <w:pPr>
              <w:spacing w:line="400" w:lineRule="exact"/>
              <w:jc w:val="center"/>
              <w:rPr>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exact"/>
        </w:trPr>
        <w:tc>
          <w:tcPr>
            <w:tcW w:w="2620" w:type="dxa"/>
            <w:vAlign w:val="center"/>
          </w:tcPr>
          <w:p>
            <w:pPr>
              <w:spacing w:line="400" w:lineRule="exact"/>
              <w:jc w:val="center"/>
              <w:rPr>
                <w:color w:val="000000" w:themeColor="text1"/>
                <w:szCs w:val="21"/>
              </w:rPr>
            </w:pPr>
          </w:p>
        </w:tc>
        <w:tc>
          <w:tcPr>
            <w:tcW w:w="2048" w:type="dxa"/>
            <w:vAlign w:val="center"/>
          </w:tcPr>
          <w:p>
            <w:pPr>
              <w:spacing w:line="400" w:lineRule="exact"/>
              <w:jc w:val="center"/>
              <w:rPr>
                <w:color w:val="000000" w:themeColor="text1"/>
                <w:szCs w:val="21"/>
              </w:rPr>
            </w:pPr>
          </w:p>
        </w:tc>
        <w:tc>
          <w:tcPr>
            <w:tcW w:w="784" w:type="dxa"/>
            <w:vAlign w:val="center"/>
          </w:tcPr>
          <w:p>
            <w:pPr>
              <w:spacing w:line="400" w:lineRule="exact"/>
              <w:jc w:val="center"/>
              <w:rPr>
                <w:color w:val="000000" w:themeColor="text1"/>
                <w:szCs w:val="21"/>
              </w:rPr>
            </w:pPr>
          </w:p>
        </w:tc>
        <w:tc>
          <w:tcPr>
            <w:tcW w:w="1476" w:type="dxa"/>
            <w:vAlign w:val="center"/>
          </w:tcPr>
          <w:p>
            <w:pPr>
              <w:spacing w:line="400" w:lineRule="exact"/>
              <w:jc w:val="center"/>
              <w:rPr>
                <w:color w:val="000000" w:themeColor="text1"/>
                <w:szCs w:val="21"/>
              </w:rPr>
            </w:pPr>
          </w:p>
        </w:tc>
        <w:tc>
          <w:tcPr>
            <w:tcW w:w="2375" w:type="dxa"/>
            <w:vAlign w:val="center"/>
          </w:tcPr>
          <w:p>
            <w:pPr>
              <w:spacing w:line="400" w:lineRule="exact"/>
              <w:jc w:val="center"/>
              <w:rPr>
                <w:color w:val="000000" w:themeColor="text1"/>
                <w:szCs w:val="21"/>
              </w:rPr>
            </w:pPr>
          </w:p>
        </w:tc>
      </w:tr>
      <w:bookmarkEnd w:id="306"/>
    </w:tbl>
    <w:p>
      <w:pPr>
        <w:spacing w:line="500" w:lineRule="exact"/>
        <w:ind w:firstLine="420" w:firstLineChars="200"/>
        <w:rPr>
          <w:rFonts w:ascii="宋体" w:hAnsi="宋体"/>
          <w:color w:val="000000" w:themeColor="text1"/>
          <w:szCs w:val="21"/>
        </w:rPr>
      </w:pPr>
      <w:bookmarkStart w:id="307" w:name="_Toc234382990"/>
      <w:r>
        <w:rPr>
          <w:rFonts w:hint="eastAsia" w:ascii="宋体" w:hAnsi="宋体"/>
          <w:color w:val="000000" w:themeColor="text1"/>
          <w:szCs w:val="21"/>
        </w:rPr>
        <w:t>我方在此承诺：若我方中标，我方将严格按照在投标文件中填报的主要机械设备和试验检测设备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000000" w:themeColor="text1"/>
          <w:szCs w:val="21"/>
        </w:rPr>
      </w:pPr>
      <w:r>
        <w:rPr>
          <w:rFonts w:hint="eastAsia" w:ascii="宋体" w:hAnsi="宋体"/>
          <w:color w:val="000000" w:themeColor="text1"/>
          <w:kern w:val="0"/>
          <w:szCs w:val="21"/>
        </w:rPr>
        <w:t>投  标  人：</w:t>
      </w:r>
      <w:r>
        <w:rPr>
          <w:rFonts w:hint="eastAsia" w:ascii="宋体" w:hAnsi="宋体"/>
          <w:color w:val="000000" w:themeColor="text1"/>
          <w:szCs w:val="21"/>
        </w:rPr>
        <w:t>（盖单位章）</w:t>
      </w:r>
    </w:p>
    <w:p>
      <w:pPr>
        <w:adjustRightInd w:val="0"/>
        <w:snapToGrid w:val="0"/>
        <w:spacing w:line="360" w:lineRule="auto"/>
        <w:jc w:val="center"/>
        <w:rPr>
          <w:rFonts w:ascii="宋体" w:hAnsi="宋体"/>
          <w:color w:val="000000" w:themeColor="text1"/>
          <w:szCs w:val="21"/>
        </w:rPr>
      </w:pPr>
    </w:p>
    <w:p>
      <w:pPr>
        <w:adjustRightInd w:val="0"/>
        <w:snapToGrid w:val="0"/>
        <w:spacing w:line="360" w:lineRule="auto"/>
        <w:jc w:val="center"/>
        <w:rPr>
          <w:rFonts w:ascii="黑体" w:eastAsia="黑体"/>
          <w:color w:val="000000" w:themeColor="text1"/>
          <w:sz w:val="30"/>
          <w:szCs w:val="30"/>
          <w:u w:val="single"/>
        </w:rPr>
      </w:pPr>
      <w:r>
        <w:rPr>
          <w:rFonts w:hint="eastAsia" w:ascii="宋体" w:hAnsi="宋体"/>
          <w:color w:val="000000" w:themeColor="text1"/>
          <w:szCs w:val="21"/>
        </w:rPr>
        <w:t xml:space="preserve">                                 法定代表人或其委托代理人：（签字）</w:t>
      </w:r>
    </w:p>
    <w:p>
      <w:pPr>
        <w:adjustRightInd w:val="0"/>
        <w:snapToGrid w:val="0"/>
        <w:spacing w:line="360" w:lineRule="auto"/>
        <w:jc w:val="center"/>
        <w:rPr>
          <w:rFonts w:ascii="黑体" w:eastAsia="黑体"/>
          <w:color w:val="000000" w:themeColor="text1"/>
          <w:sz w:val="30"/>
          <w:szCs w:val="30"/>
          <w:u w:val="single"/>
        </w:rPr>
      </w:pPr>
    </w:p>
    <w:p>
      <w:pPr>
        <w:adjustRightInd w:val="0"/>
        <w:snapToGrid w:val="0"/>
        <w:spacing w:line="360" w:lineRule="auto"/>
        <w:jc w:val="center"/>
        <w:rPr>
          <w:rFonts w:ascii="黑体" w:eastAsia="黑体"/>
          <w:color w:val="000000" w:themeColor="text1"/>
          <w:sz w:val="30"/>
          <w:szCs w:val="30"/>
          <w:u w:val="single"/>
        </w:rPr>
      </w:pPr>
    </w:p>
    <w:p>
      <w:pPr>
        <w:pStyle w:val="2"/>
        <w:rPr>
          <w:rFonts w:ascii="黑体" w:eastAsia="黑体"/>
          <w:color w:val="000000" w:themeColor="text1"/>
          <w:sz w:val="30"/>
          <w:szCs w:val="30"/>
          <w:u w:val="single"/>
        </w:rPr>
      </w:pPr>
    </w:p>
    <w:p>
      <w:pPr>
        <w:pStyle w:val="2"/>
        <w:rPr>
          <w:rFonts w:ascii="黑体" w:eastAsia="黑体"/>
          <w:color w:val="000000" w:themeColor="text1"/>
          <w:sz w:val="30"/>
          <w:szCs w:val="30"/>
          <w:u w:val="single"/>
        </w:rPr>
      </w:pPr>
    </w:p>
    <w:p>
      <w:pPr>
        <w:adjustRightInd w:val="0"/>
        <w:snapToGrid w:val="0"/>
        <w:spacing w:line="360" w:lineRule="auto"/>
        <w:jc w:val="center"/>
        <w:rPr>
          <w:rFonts w:ascii="黑体" w:eastAsia="黑体"/>
          <w:sz w:val="30"/>
          <w:szCs w:val="30"/>
          <w:u w:val="single"/>
        </w:rPr>
      </w:pPr>
    </w:p>
    <w:p>
      <w:pPr>
        <w:spacing w:before="120" w:after="120"/>
        <w:jc w:val="center"/>
        <w:rPr>
          <w:rFonts w:ascii="黑体" w:eastAsia="黑体"/>
          <w:b/>
          <w:bCs/>
          <w:kern w:val="44"/>
          <w:sz w:val="30"/>
          <w:szCs w:val="30"/>
        </w:rPr>
      </w:pPr>
      <w:r>
        <w:rPr>
          <w:rFonts w:hint="eastAsia" w:ascii="黑体" w:eastAsia="黑体"/>
          <w:b/>
          <w:bCs/>
          <w:kern w:val="44"/>
          <w:sz w:val="30"/>
          <w:szCs w:val="30"/>
        </w:rPr>
        <w:t>九、</w:t>
      </w:r>
      <w:r>
        <w:rPr>
          <w:rFonts w:ascii="黑体" w:eastAsia="黑体"/>
          <w:b/>
          <w:bCs/>
          <w:kern w:val="44"/>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jc w:val="right"/>
        <w:rPr>
          <w:sz w:val="24"/>
          <w:u w:val="single"/>
        </w:rPr>
      </w:pPr>
      <w:r>
        <w:rPr>
          <w:rFonts w:hint="eastAsia"/>
          <w:sz w:val="24"/>
        </w:rPr>
        <w:t xml:space="preserve"> 承 诺 人：</w:t>
      </w:r>
      <w:r>
        <w:rPr>
          <w:rFonts w:hint="eastAsia"/>
          <w:sz w:val="24"/>
          <w:u w:val="single"/>
        </w:rPr>
        <w:t xml:space="preserve">    （单位全称）（盖章）</w:t>
      </w:r>
    </w:p>
    <w:p>
      <w:pPr>
        <w:adjustRightInd w:val="0"/>
        <w:snapToGrid w:val="0"/>
        <w:spacing w:afterLines="50" w:line="343" w:lineRule="auto"/>
        <w:ind w:firstLine="5160" w:firstLineChars="2150"/>
        <w:rPr>
          <w:sz w:val="24"/>
        </w:rPr>
      </w:pPr>
      <w:r>
        <w:rPr>
          <w:rFonts w:hint="eastAsia"/>
          <w:sz w:val="24"/>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pStyle w:val="4"/>
        <w:spacing w:beforeLines="100" w:afterLines="150" w:line="360" w:lineRule="exact"/>
        <w:jc w:val="center"/>
        <w:rPr>
          <w:rFonts w:ascii="黑体" w:eastAsia="黑体"/>
          <w:sz w:val="30"/>
          <w:szCs w:val="30"/>
        </w:rPr>
      </w:pPr>
      <w:bookmarkStart w:id="308" w:name="_Toc485889080"/>
      <w:bookmarkStart w:id="309" w:name="_Toc18302"/>
      <w:bookmarkStart w:id="310" w:name="_Toc486277945"/>
      <w:r>
        <w:rPr>
          <w:rFonts w:hint="eastAsia" w:ascii="黑体" w:eastAsia="黑体"/>
          <w:sz w:val="30"/>
          <w:szCs w:val="30"/>
        </w:rPr>
        <w:t>十、扬尘治理专项承诺书</w:t>
      </w:r>
      <w:bookmarkEnd w:id="308"/>
      <w:bookmarkEnd w:id="309"/>
      <w:bookmarkEnd w:id="310"/>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30"/>
          <w:szCs w:val="30"/>
        </w:rPr>
      </w:pPr>
    </w:p>
    <w:p>
      <w:pPr>
        <w:pStyle w:val="4"/>
        <w:spacing w:beforeLines="100" w:afterLines="150" w:line="360" w:lineRule="exact"/>
        <w:jc w:val="center"/>
        <w:rPr>
          <w:rFonts w:ascii="黑体" w:hAnsi="宋体" w:eastAsia="黑体"/>
          <w:sz w:val="30"/>
          <w:szCs w:val="30"/>
        </w:rPr>
      </w:pPr>
      <w:bookmarkStart w:id="311" w:name="_Toc5401"/>
      <w:bookmarkStart w:id="312" w:name="_Toc486277946"/>
      <w:bookmarkStart w:id="313" w:name="_Toc485889081"/>
      <w:r>
        <w:rPr>
          <w:rFonts w:hint="eastAsia" w:ascii="黑体" w:hAnsi="宋体" w:eastAsia="黑体"/>
          <w:sz w:val="30"/>
          <w:szCs w:val="30"/>
        </w:rPr>
        <w:t>十一、其 他 材 料</w:t>
      </w:r>
      <w:bookmarkEnd w:id="307"/>
      <w:bookmarkEnd w:id="311"/>
      <w:bookmarkEnd w:id="312"/>
      <w:bookmarkEnd w:id="313"/>
    </w:p>
    <w:p/>
    <w:p/>
    <w:p>
      <w:pPr>
        <w:pStyle w:val="4"/>
        <w:spacing w:beforeLines="100" w:afterLines="150" w:line="360" w:lineRule="exact"/>
        <w:jc w:val="center"/>
      </w:pPr>
    </w:p>
    <w:p>
      <w:pPr>
        <w:pStyle w:val="4"/>
        <w:spacing w:beforeLines="100" w:afterLines="150" w:line="360" w:lineRule="exact"/>
        <w:jc w:val="center"/>
      </w:pPr>
    </w:p>
    <w:p/>
    <w:p/>
    <w:p/>
    <w:p/>
    <w:p/>
    <w:p/>
    <w:p/>
    <w:p/>
    <w:p/>
    <w:p/>
    <w:p/>
    <w:p/>
    <w:p>
      <w:pPr>
        <w:jc w:val="center"/>
        <w:rPr>
          <w:rFonts w:hint="eastAsia" w:ascii="黑体" w:hAnsi="华文中宋" w:eastAsia="黑体"/>
          <w:sz w:val="36"/>
          <w:szCs w:val="36"/>
          <w:lang w:eastAsia="zh-CN"/>
        </w:rPr>
      </w:pPr>
      <w:r>
        <w:rPr>
          <w:rFonts w:hint="eastAsia" w:ascii="黑体" w:hAnsi="宋体" w:eastAsia="黑体"/>
          <w:b/>
          <w:sz w:val="52"/>
          <w:szCs w:val="52"/>
          <w:lang w:val="en-US" w:eastAsia="zh-CN"/>
        </w:rPr>
        <w:t>田园综合体小召乡绰韩村村道改建工程</w:t>
      </w:r>
    </w:p>
    <w:p>
      <w:pPr>
        <w:spacing w:line="360" w:lineRule="auto"/>
        <w:rPr>
          <w:rFonts w:ascii="黑体" w:hAnsi="华文中宋" w:eastAsia="黑体"/>
          <w:sz w:val="36"/>
          <w:szCs w:val="36"/>
        </w:rPr>
      </w:pPr>
    </w:p>
    <w:p>
      <w:pPr>
        <w:spacing w:line="360" w:lineRule="auto"/>
        <w:jc w:val="center"/>
        <w:rPr>
          <w:rFonts w:ascii="黑体" w:hAnsi="宋体" w:eastAsia="黑体"/>
          <w:b/>
          <w:color w:val="000000" w:themeColor="text1"/>
          <w:sz w:val="52"/>
          <w:szCs w:val="52"/>
        </w:rPr>
      </w:pPr>
      <w:r>
        <w:rPr>
          <w:rFonts w:hint="eastAsia" w:ascii="黑体" w:hAnsi="华文中宋" w:eastAsia="黑体"/>
          <w:color w:val="000000" w:themeColor="text1"/>
          <w:sz w:val="36"/>
          <w:szCs w:val="36"/>
        </w:rPr>
        <w:t>建安建工公字〔201</w:t>
      </w:r>
      <w:r>
        <w:rPr>
          <w:rFonts w:hint="eastAsia" w:ascii="黑体" w:hAnsi="华文中宋" w:eastAsia="黑体"/>
          <w:color w:val="000000" w:themeColor="text1"/>
          <w:sz w:val="36"/>
          <w:szCs w:val="36"/>
          <w:lang w:val="en-US" w:eastAsia="zh-CN"/>
        </w:rPr>
        <w:t>8</w:t>
      </w:r>
      <w:r>
        <w:rPr>
          <w:rFonts w:hint="eastAsia" w:ascii="黑体" w:hAnsi="华文中宋" w:eastAsia="黑体"/>
          <w:color w:val="000000" w:themeColor="text1"/>
          <w:sz w:val="36"/>
          <w:szCs w:val="36"/>
        </w:rPr>
        <w:t>〕</w:t>
      </w:r>
      <w:r>
        <w:rPr>
          <w:rFonts w:hint="eastAsia" w:ascii="黑体" w:hAnsi="华文中宋" w:eastAsia="黑体"/>
          <w:color w:val="000000" w:themeColor="text1"/>
          <w:sz w:val="36"/>
          <w:szCs w:val="36"/>
          <w:lang w:val="en-US" w:eastAsia="zh-CN"/>
        </w:rPr>
        <w:t>24</w:t>
      </w:r>
      <w:r>
        <w:rPr>
          <w:rFonts w:hint="eastAsia" w:ascii="黑体" w:hAnsi="华文中宋" w:eastAsia="黑体"/>
          <w:color w:val="000000" w:themeColor="text1"/>
          <w:sz w:val="36"/>
          <w:szCs w:val="36"/>
        </w:rPr>
        <w:t xml:space="preserve">号 </w:t>
      </w:r>
    </w:p>
    <w:p>
      <w:pPr>
        <w:spacing w:line="360" w:lineRule="auto"/>
        <w:jc w:val="center"/>
        <w:rPr>
          <w:rFonts w:ascii="黑体" w:hAnsi="宋体" w:eastAsia="黑体"/>
          <w:b/>
          <w:sz w:val="52"/>
          <w:szCs w:val="52"/>
        </w:rPr>
      </w:pPr>
    </w:p>
    <w:p>
      <w:pPr>
        <w:spacing w:line="360" w:lineRule="auto"/>
        <w:jc w:val="center"/>
        <w:rPr>
          <w:rFonts w:ascii="黑体" w:hAnsi="宋体" w:eastAsia="黑体"/>
          <w:b/>
          <w:sz w:val="52"/>
          <w:szCs w:val="52"/>
        </w:rPr>
      </w:pPr>
    </w:p>
    <w:p>
      <w:pPr>
        <w:spacing w:line="360" w:lineRule="auto"/>
        <w:jc w:val="center"/>
        <w:rPr>
          <w:rFonts w:ascii="黑体" w:hAnsi="宋体" w:eastAsia="黑体"/>
          <w:b/>
          <w:sz w:val="72"/>
          <w:szCs w:val="72"/>
        </w:rPr>
      </w:pPr>
      <w:r>
        <w:rPr>
          <w:rFonts w:hint="eastAsia" w:ascii="黑体" w:hAnsi="宋体" w:eastAsia="黑体"/>
          <w:b/>
          <w:sz w:val="72"/>
          <w:szCs w:val="72"/>
        </w:rPr>
        <w:t>投 标 文 件</w:t>
      </w:r>
    </w:p>
    <w:p>
      <w:pPr>
        <w:spacing w:line="360" w:lineRule="auto"/>
        <w:jc w:val="center"/>
        <w:rPr>
          <w:rFonts w:ascii="黑体" w:hAnsi="宋体" w:eastAsia="黑体"/>
          <w:b/>
          <w:sz w:val="52"/>
          <w:szCs w:val="52"/>
        </w:rPr>
      </w:pPr>
      <w:r>
        <w:rPr>
          <w:rFonts w:hint="eastAsia" w:ascii="黑体" w:hAnsi="宋体" w:eastAsia="黑体"/>
          <w:b/>
          <w:sz w:val="52"/>
          <w:szCs w:val="52"/>
        </w:rPr>
        <w:t xml:space="preserve">第二信封  </w:t>
      </w:r>
    </w:p>
    <w:p>
      <w:pPr>
        <w:spacing w:line="360" w:lineRule="auto"/>
        <w:jc w:val="center"/>
        <w:rPr>
          <w:rFonts w:ascii="黑体" w:hAnsi="宋体" w:eastAsia="黑体"/>
          <w:b/>
          <w:sz w:val="52"/>
          <w:szCs w:val="52"/>
        </w:rPr>
      </w:pPr>
      <w:r>
        <w:rPr>
          <w:rFonts w:hint="eastAsia" w:ascii="黑体" w:hAnsi="宋体" w:eastAsia="黑体"/>
          <w:b/>
          <w:sz w:val="52"/>
          <w:szCs w:val="52"/>
        </w:rPr>
        <w:t>（投标报价及工程量清单）</w:t>
      </w: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800" w:lineRule="exact"/>
        <w:rPr>
          <w:rFonts w:ascii="黑体" w:hAnsi="宋体" w:eastAsia="黑体"/>
          <w:b/>
          <w:sz w:val="32"/>
          <w:szCs w:val="32"/>
        </w:rPr>
      </w:pPr>
      <w:r>
        <w:rPr>
          <w:rFonts w:hint="eastAsia" w:ascii="黑体" w:hAnsi="宋体" w:eastAsia="黑体"/>
          <w:b/>
          <w:sz w:val="32"/>
          <w:szCs w:val="32"/>
        </w:rPr>
        <w:t xml:space="preserve">            投标人：（盖单位章）</w:t>
      </w:r>
    </w:p>
    <w:p>
      <w:pPr>
        <w:spacing w:line="800" w:lineRule="exact"/>
        <w:rPr>
          <w:rFonts w:ascii="黑体" w:hAnsi="宋体" w:eastAsia="黑体"/>
          <w:b/>
          <w:sz w:val="32"/>
          <w:szCs w:val="32"/>
        </w:rPr>
      </w:pPr>
      <w:r>
        <w:rPr>
          <w:rFonts w:hint="eastAsia" w:ascii="黑体" w:hAnsi="宋体" w:eastAsia="黑体"/>
          <w:b/>
          <w:sz w:val="32"/>
          <w:szCs w:val="32"/>
        </w:rPr>
        <w:t xml:space="preserve">            法定代表人或其委托代理人（签字）</w:t>
      </w:r>
    </w:p>
    <w:p>
      <w:pPr>
        <w:spacing w:line="800" w:lineRule="exact"/>
        <w:ind w:firstLine="2570" w:firstLineChars="800"/>
        <w:rPr>
          <w:rFonts w:ascii="黑体" w:hAnsi="宋体" w:eastAsia="黑体"/>
          <w:b/>
          <w:sz w:val="32"/>
          <w:szCs w:val="32"/>
        </w:rPr>
      </w:pPr>
      <w:r>
        <w:rPr>
          <w:rFonts w:hint="eastAsia" w:ascii="黑体" w:hAnsi="宋体" w:eastAsia="黑体"/>
          <w:b/>
          <w:sz w:val="32"/>
          <w:szCs w:val="32"/>
        </w:rPr>
        <w:t>年月日</w:t>
      </w:r>
    </w:p>
    <w:p>
      <w:pPr>
        <w:jc w:val="center"/>
        <w:rPr>
          <w:rFonts w:ascii="黑体" w:hAnsi="宋体" w:eastAsia="黑体"/>
          <w:b/>
          <w:sz w:val="36"/>
          <w:szCs w:val="36"/>
        </w:rPr>
      </w:pPr>
    </w:p>
    <w:p>
      <w:pPr>
        <w:rPr>
          <w:rFonts w:asciiTheme="minorEastAsia" w:hAnsiTheme="minorEastAsia" w:eastAsiaTheme="minorEastAsia"/>
        </w:rPr>
      </w:pPr>
    </w:p>
    <w:p>
      <w:pPr>
        <w:pageBreakBefore/>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目 录</w:t>
      </w:r>
    </w:p>
    <w:p>
      <w:pPr>
        <w:spacing w:line="360" w:lineRule="auto"/>
        <w:jc w:val="center"/>
        <w:rPr>
          <w:rFonts w:asciiTheme="minorEastAsia" w:hAnsiTheme="minorEastAsia" w:eastAsiaTheme="minorEastAsia"/>
          <w:b/>
          <w:sz w:val="32"/>
          <w:szCs w:val="32"/>
        </w:rPr>
      </w:pPr>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一、投标函</w:t>
      </w:r>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二、已标价工程量清单</w:t>
      </w:r>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三、拟分包项目情况表</w:t>
      </w:r>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四、合同用款估算表</w:t>
      </w:r>
    </w:p>
    <w:p>
      <w:pPr>
        <w:spacing w:line="360" w:lineRule="auto"/>
      </w:pPr>
    </w:p>
    <w:p>
      <w:pPr>
        <w:spacing w:line="360" w:lineRule="auto"/>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注：如有本章未提供的格式，承包人可自行编制。</w:t>
      </w:r>
    </w:p>
    <w:p>
      <w:pPr>
        <w:pStyle w:val="2"/>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一、投标函</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 标 函</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_________________________(招标人名称)：</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1．我方已仔细研究________________(项目名称)施工招标文件的全部内容</w:t>
      </w:r>
      <w:r>
        <w:rPr>
          <w:rFonts w:hint="eastAsia" w:ascii="宋体" w:hAnsi="宋体"/>
          <w:sz w:val="24"/>
        </w:rPr>
        <w:t>（含补遗书第号至第号）</w:t>
      </w:r>
      <w:r>
        <w:rPr>
          <w:rFonts w:hint="eastAsia" w:asciiTheme="minorEastAsia" w:hAnsiTheme="minorEastAsia" w:eastAsiaTheme="minorEastAsia"/>
          <w:sz w:val="24"/>
        </w:rPr>
        <w:t>，在考察工程现场后，愿意以人民币(大写)________元(¥________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3．__________________________________(其他补充说明)。</w:t>
      </w:r>
    </w:p>
    <w:p>
      <w:pPr>
        <w:spacing w:line="360" w:lineRule="auto"/>
        <w:ind w:firstLine="480" w:firstLineChars="200"/>
        <w:jc w:val="left"/>
        <w:rPr>
          <w:rFonts w:asciiTheme="minorEastAsia" w:hAnsiTheme="minorEastAsia" w:eastAsiaTheme="minorEastAsia"/>
          <w:sz w:val="24"/>
        </w:rPr>
      </w:pPr>
    </w:p>
    <w:p>
      <w:pPr>
        <w:spacing w:line="360" w:lineRule="auto"/>
        <w:ind w:firstLine="480" w:firstLineChars="200"/>
        <w:jc w:val="left"/>
        <w:rPr>
          <w:rFonts w:asciiTheme="minorEastAsia" w:hAnsiTheme="minorEastAsia" w:eastAsiaTheme="minorEastAsia"/>
          <w:sz w:val="24"/>
        </w:rPr>
      </w:pPr>
    </w:p>
    <w:p>
      <w:pPr>
        <w:spacing w:line="360" w:lineRule="auto"/>
        <w:ind w:left="3543" w:leftChars="1687"/>
        <w:jc w:val="left"/>
        <w:rPr>
          <w:rFonts w:asciiTheme="minorEastAsia" w:hAnsiTheme="minorEastAsia" w:eastAsiaTheme="minorEastAsia"/>
          <w:sz w:val="24"/>
        </w:rPr>
      </w:pPr>
      <w:r>
        <w:rPr>
          <w:rFonts w:hint="eastAsia" w:asciiTheme="minorEastAsia" w:hAnsiTheme="minorEastAsia" w:eastAsiaTheme="minorEastAsia"/>
          <w:sz w:val="24"/>
        </w:rPr>
        <w:t>投 标 人：___________________(盖单位章)</w:t>
      </w:r>
    </w:p>
    <w:p>
      <w:pPr>
        <w:spacing w:line="360" w:lineRule="auto"/>
        <w:ind w:left="3543" w:leftChars="1687"/>
        <w:jc w:val="left"/>
        <w:rPr>
          <w:rFonts w:asciiTheme="minorEastAsia" w:hAnsiTheme="minorEastAsia" w:eastAsiaTheme="minorEastAsia"/>
          <w:sz w:val="24"/>
        </w:rPr>
      </w:pPr>
      <w:r>
        <w:rPr>
          <w:rFonts w:hint="eastAsia" w:asciiTheme="minorEastAsia" w:hAnsiTheme="minorEastAsia" w:eastAsiaTheme="minorEastAsia"/>
          <w:sz w:val="24"/>
        </w:rPr>
        <w:t>法定代表人或其委托代理人:____________(签字)</w:t>
      </w:r>
    </w:p>
    <w:p>
      <w:pPr>
        <w:spacing w:line="360" w:lineRule="auto"/>
        <w:ind w:left="3543" w:leftChars="1687"/>
        <w:jc w:val="left"/>
        <w:rPr>
          <w:rFonts w:asciiTheme="minorEastAsia" w:hAnsiTheme="minorEastAsia" w:eastAsiaTheme="minorEastAsia"/>
          <w:sz w:val="24"/>
        </w:rPr>
      </w:pPr>
      <w:r>
        <w:rPr>
          <w:rFonts w:hint="eastAsia" w:asciiTheme="minorEastAsia" w:hAnsiTheme="minorEastAsia" w:eastAsiaTheme="minorEastAsia"/>
          <w:sz w:val="24"/>
        </w:rPr>
        <w:t>地址：________________________________</w:t>
      </w:r>
    </w:p>
    <w:p>
      <w:pPr>
        <w:spacing w:line="360" w:lineRule="auto"/>
        <w:ind w:left="3543" w:leftChars="1687"/>
        <w:jc w:val="left"/>
        <w:rPr>
          <w:rFonts w:asciiTheme="minorEastAsia" w:hAnsiTheme="minorEastAsia" w:eastAsiaTheme="minorEastAsia"/>
          <w:sz w:val="24"/>
        </w:rPr>
      </w:pPr>
      <w:r>
        <w:rPr>
          <w:rFonts w:hint="eastAsia" w:asciiTheme="minorEastAsia" w:hAnsiTheme="minorEastAsia" w:eastAsiaTheme="minorEastAsia"/>
          <w:sz w:val="24"/>
        </w:rPr>
        <w:t>网址：________________________________</w:t>
      </w:r>
    </w:p>
    <w:p>
      <w:pPr>
        <w:spacing w:line="360" w:lineRule="auto"/>
        <w:ind w:left="3543" w:leftChars="1687"/>
        <w:jc w:val="left"/>
        <w:rPr>
          <w:rFonts w:asciiTheme="minorEastAsia" w:hAnsiTheme="minorEastAsia" w:eastAsiaTheme="minorEastAsia"/>
          <w:sz w:val="24"/>
        </w:rPr>
      </w:pPr>
      <w:r>
        <w:rPr>
          <w:rFonts w:hint="eastAsia" w:asciiTheme="minorEastAsia" w:hAnsiTheme="minorEastAsia" w:eastAsiaTheme="minorEastAsia"/>
          <w:sz w:val="24"/>
        </w:rPr>
        <w:t>电话：________________________________</w:t>
      </w:r>
    </w:p>
    <w:p>
      <w:pPr>
        <w:spacing w:line="360" w:lineRule="auto"/>
        <w:ind w:left="3543" w:leftChars="1687"/>
        <w:jc w:val="left"/>
        <w:rPr>
          <w:rFonts w:asciiTheme="minorEastAsia" w:hAnsiTheme="minorEastAsia" w:eastAsiaTheme="minorEastAsia"/>
          <w:sz w:val="24"/>
        </w:rPr>
      </w:pPr>
      <w:r>
        <w:rPr>
          <w:rFonts w:hint="eastAsia" w:asciiTheme="minorEastAsia" w:hAnsiTheme="minorEastAsia" w:eastAsiaTheme="minorEastAsia"/>
          <w:sz w:val="24"/>
        </w:rPr>
        <w:t>传真：________________________________</w:t>
      </w:r>
    </w:p>
    <w:p>
      <w:pPr>
        <w:spacing w:line="360" w:lineRule="auto"/>
        <w:ind w:left="3543" w:leftChars="1687"/>
        <w:jc w:val="left"/>
        <w:rPr>
          <w:rFonts w:asciiTheme="minorEastAsia" w:hAnsiTheme="minorEastAsia" w:eastAsiaTheme="minorEastAsia"/>
          <w:sz w:val="24"/>
        </w:rPr>
      </w:pPr>
      <w:r>
        <w:rPr>
          <w:rFonts w:hint="eastAsia" w:asciiTheme="minorEastAsia" w:hAnsiTheme="minorEastAsia" w:eastAsiaTheme="minorEastAsia"/>
          <w:sz w:val="24"/>
        </w:rPr>
        <w:t>邮政编码：____________________________</w:t>
      </w:r>
    </w:p>
    <w:p>
      <w:pPr>
        <w:spacing w:line="360" w:lineRule="auto"/>
        <w:ind w:left="3543" w:leftChars="1687"/>
        <w:jc w:val="left"/>
        <w:rPr>
          <w:rFonts w:asciiTheme="minorEastAsia" w:hAnsiTheme="minorEastAsia" w:eastAsiaTheme="minorEastAsia"/>
          <w:sz w:val="24"/>
        </w:rPr>
      </w:pPr>
    </w:p>
    <w:p>
      <w:pPr>
        <w:spacing w:line="360" w:lineRule="auto"/>
        <w:ind w:left="3543" w:leftChars="1687"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________年______月_______日</w:t>
      </w:r>
    </w:p>
    <w:p>
      <w:pPr>
        <w:spacing w:line="360" w:lineRule="auto"/>
        <w:ind w:left="1"/>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ind w:left="1"/>
        <w:jc w:val="left"/>
        <w:rPr>
          <w:rFonts w:asciiTheme="minorEastAsia" w:hAnsiTheme="minorEastAsia" w:eastAsiaTheme="minorEastAsia"/>
          <w:sz w:val="24"/>
        </w:rPr>
      </w:pPr>
    </w:p>
    <w:p>
      <w:pPr>
        <w:spacing w:line="360" w:lineRule="auto"/>
        <w:ind w:left="3543" w:leftChars="1687" w:firstLine="720" w:firstLineChars="300"/>
        <w:jc w:val="left"/>
        <w:rPr>
          <w:rFonts w:asciiTheme="minorEastAsia" w:hAnsiTheme="minorEastAsia" w:eastAsiaTheme="minorEastAsia"/>
          <w:sz w:val="24"/>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二、已标价工程量清单</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投标人应按照第五章“工程量清单”的要求逐项填报工程量清单，包括工程量清</w:t>
      </w:r>
    </w:p>
    <w:p>
      <w:pPr>
        <w:spacing w:line="360" w:lineRule="auto"/>
        <w:jc w:val="left"/>
      </w:pPr>
      <w:r>
        <w:rPr>
          <w:rFonts w:hint="eastAsia" w:asciiTheme="minorEastAsia" w:hAnsiTheme="minorEastAsia" w:eastAsiaTheme="minorEastAsia"/>
          <w:sz w:val="24"/>
        </w:rPr>
        <w:t>单说明、投标报价说明、计日工说明、其他说明及工程量清单各项表格。</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Theme="minorEastAsia" w:hAnsiTheme="minorEastAsia" w:eastAsiaTheme="minorEastAsia"/>
          <w:b/>
          <w:sz w:val="32"/>
          <w:szCs w:val="32"/>
        </w:rPr>
      </w:pPr>
    </w:p>
    <w:p>
      <w:pPr>
        <w:spacing w:line="360" w:lineRule="auto"/>
        <w:jc w:val="center"/>
        <w:rPr>
          <w:rFonts w:asciiTheme="minorEastAsia" w:hAnsiTheme="minorEastAsia" w:eastAsiaTheme="minorEastAsia"/>
          <w:b/>
          <w:sz w:val="32"/>
          <w:szCs w:val="32"/>
        </w:rPr>
      </w:pPr>
    </w:p>
    <w:p>
      <w:pPr>
        <w:pageBreakBefore/>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三、拟分包项目情况表</w:t>
      </w:r>
    </w:p>
    <w:p>
      <w:pPr>
        <w:rPr>
          <w:rFonts w:ascii="宋体" w:hAnsi="宋体" w:cs="宋体"/>
        </w:rPr>
      </w:pPr>
    </w:p>
    <w:tbl>
      <w:tblPr>
        <w:tblStyle w:val="4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分包人名称</w:t>
            </w:r>
          </w:p>
        </w:tc>
        <w:tc>
          <w:tcPr>
            <w:tcW w:w="2410" w:type="dxa"/>
            <w:vAlign w:val="center"/>
          </w:tcPr>
          <w:p>
            <w:pPr>
              <w:jc w:val="center"/>
              <w:rPr>
                <w:rFonts w:ascii="宋体" w:hAnsi="宋体" w:cs="宋体"/>
                <w:color w:val="000000" w:themeColor="text1"/>
                <w:szCs w:val="21"/>
              </w:rPr>
            </w:pPr>
          </w:p>
        </w:tc>
        <w:tc>
          <w:tcPr>
            <w:tcW w:w="2410"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地址</w:t>
            </w:r>
          </w:p>
        </w:tc>
        <w:tc>
          <w:tcPr>
            <w:tcW w:w="2410"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法定代表人</w:t>
            </w:r>
          </w:p>
        </w:tc>
        <w:tc>
          <w:tcPr>
            <w:tcW w:w="2410" w:type="dxa"/>
            <w:vAlign w:val="center"/>
          </w:tcPr>
          <w:p>
            <w:pPr>
              <w:jc w:val="center"/>
              <w:rPr>
                <w:rFonts w:ascii="宋体" w:hAnsi="宋体" w:cs="宋体"/>
                <w:color w:val="000000" w:themeColor="text1"/>
                <w:szCs w:val="21"/>
              </w:rPr>
            </w:pPr>
          </w:p>
        </w:tc>
        <w:tc>
          <w:tcPr>
            <w:tcW w:w="2410"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电话</w:t>
            </w:r>
          </w:p>
        </w:tc>
        <w:tc>
          <w:tcPr>
            <w:tcW w:w="2410"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营业执照号码</w:t>
            </w:r>
          </w:p>
        </w:tc>
        <w:tc>
          <w:tcPr>
            <w:tcW w:w="2410" w:type="dxa"/>
            <w:vAlign w:val="center"/>
          </w:tcPr>
          <w:p>
            <w:pPr>
              <w:jc w:val="center"/>
              <w:rPr>
                <w:rFonts w:ascii="宋体" w:hAnsi="宋体" w:cs="宋体"/>
                <w:color w:val="000000" w:themeColor="text1"/>
                <w:szCs w:val="21"/>
              </w:rPr>
            </w:pPr>
          </w:p>
        </w:tc>
        <w:tc>
          <w:tcPr>
            <w:tcW w:w="2410"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资质等级</w:t>
            </w:r>
          </w:p>
        </w:tc>
        <w:tc>
          <w:tcPr>
            <w:tcW w:w="2410"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拟分包的工程项目</w:t>
            </w:r>
          </w:p>
        </w:tc>
        <w:tc>
          <w:tcPr>
            <w:tcW w:w="2410"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主要内容</w:t>
            </w:r>
          </w:p>
        </w:tc>
        <w:tc>
          <w:tcPr>
            <w:tcW w:w="2410"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预计造价（万元）</w:t>
            </w:r>
          </w:p>
        </w:tc>
        <w:tc>
          <w:tcPr>
            <w:tcW w:w="2410"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color w:val="000000" w:themeColor="text1"/>
                <w:szCs w:val="21"/>
              </w:rPr>
            </w:pPr>
          </w:p>
        </w:tc>
        <w:tc>
          <w:tcPr>
            <w:tcW w:w="2410" w:type="dxa"/>
            <w:vAlign w:val="center"/>
          </w:tcPr>
          <w:p>
            <w:pPr>
              <w:jc w:val="center"/>
              <w:rPr>
                <w:rFonts w:ascii="宋体" w:hAnsi="宋体" w:cs="宋体"/>
                <w:color w:val="000000" w:themeColor="text1"/>
                <w:szCs w:val="21"/>
              </w:rPr>
            </w:pPr>
          </w:p>
        </w:tc>
        <w:tc>
          <w:tcPr>
            <w:tcW w:w="2410" w:type="dxa"/>
            <w:vAlign w:val="center"/>
          </w:tcPr>
          <w:p>
            <w:pPr>
              <w:jc w:val="center"/>
              <w:rPr>
                <w:rFonts w:ascii="宋体" w:hAnsi="宋体" w:cs="宋体"/>
                <w:color w:val="000000" w:themeColor="text1"/>
                <w:szCs w:val="21"/>
              </w:rPr>
            </w:pPr>
          </w:p>
        </w:tc>
        <w:tc>
          <w:tcPr>
            <w:tcW w:w="2410" w:type="dxa"/>
            <w:vMerge w:val="restart"/>
          </w:tcPr>
          <w:p>
            <w:pPr>
              <w:ind w:firstLine="210" w:firstLineChars="100"/>
              <w:rPr>
                <w:rFonts w:ascii="宋体" w:hAnsi="宋体" w:cs="宋体"/>
                <w:color w:val="000000" w:themeColor="text1"/>
                <w:szCs w:val="21"/>
              </w:rPr>
            </w:pPr>
          </w:p>
          <w:p>
            <w:pPr>
              <w:ind w:firstLine="210" w:firstLineChars="100"/>
              <w:rPr>
                <w:rFonts w:ascii="宋体" w:hAnsi="宋体" w:cs="宋体"/>
                <w:color w:val="000000" w:themeColor="text1"/>
                <w:szCs w:val="21"/>
              </w:rPr>
            </w:pPr>
            <w:r>
              <w:rPr>
                <w:rFonts w:hint="eastAsia" w:ascii="宋体" w:hAnsi="宋体" w:cs="宋体"/>
                <w:color w:val="000000" w:themeColor="text1"/>
                <w:szCs w:val="21"/>
              </w:rPr>
              <w:t>注：</w:t>
            </w:r>
          </w:p>
          <w:p>
            <w:pPr>
              <w:ind w:firstLine="210" w:firstLineChars="100"/>
              <w:rPr>
                <w:rFonts w:ascii="宋体" w:hAnsi="宋体" w:cs="宋体"/>
                <w:color w:val="000000" w:themeColor="text1"/>
                <w:szCs w:val="21"/>
              </w:rPr>
            </w:pPr>
            <w:r>
              <w:rPr>
                <w:rFonts w:hint="eastAsia" w:ascii="宋体" w:hAnsi="宋体" w:cs="宋体"/>
                <w:color w:val="000000" w:themeColor="text1"/>
                <w:szCs w:val="21"/>
              </w:rPr>
              <w:t>1.本栏应写明分包人以往做过的类似工程，包括工程名称、地点、造价、工期、交工年份和其发包人与总监理工程师的姓名和地址。</w:t>
            </w:r>
          </w:p>
          <w:p>
            <w:pPr>
              <w:ind w:firstLine="210" w:firstLineChars="100"/>
              <w:rPr>
                <w:rFonts w:ascii="宋体" w:hAnsi="宋体" w:cs="宋体"/>
                <w:color w:val="000000" w:themeColor="text1"/>
                <w:szCs w:val="21"/>
              </w:rPr>
            </w:pPr>
            <w:r>
              <w:rPr>
                <w:rFonts w:hint="eastAsia" w:ascii="宋体" w:hAnsi="宋体" w:cs="宋体"/>
                <w:color w:val="000000" w:themeColor="text1"/>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highlight w:val="yellow"/>
              </w:rPr>
            </w:pPr>
          </w:p>
        </w:tc>
        <w:tc>
          <w:tcPr>
            <w:tcW w:w="2410" w:type="dxa"/>
            <w:vMerge w:val="continue"/>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rPr>
            </w:pPr>
            <w:r>
              <w:rPr>
                <w:rFonts w:hint="eastAsia" w:ascii="宋体" w:hAnsi="宋体" w:cs="宋体"/>
                <w:szCs w:val="21"/>
              </w:rPr>
              <w:t>分包值合计（万元）</w:t>
            </w: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bl>
    <w:p>
      <w:pPr>
        <w:spacing w:line="360" w:lineRule="auto"/>
      </w:pPr>
    </w:p>
    <w:p>
      <w:pPr>
        <w:spacing w:line="360" w:lineRule="auto"/>
      </w:pPr>
    </w:p>
    <w:p>
      <w:pPr>
        <w:pStyle w:val="4"/>
        <w:keepNext w:val="0"/>
        <w:keepLines w:val="0"/>
        <w:spacing w:beforeLines="50" w:after="240" w:line="400" w:lineRule="exact"/>
        <w:jc w:val="center"/>
        <w:rPr>
          <w:rFonts w:asciiTheme="minorEastAsia" w:hAnsiTheme="minorEastAsia" w:eastAsiaTheme="minorEastAsia"/>
          <w:kern w:val="2"/>
          <w:sz w:val="28"/>
          <w:szCs w:val="28"/>
        </w:rPr>
      </w:pPr>
      <w:bookmarkStart w:id="314" w:name="_Toc486277947"/>
      <w:bookmarkStart w:id="315" w:name="_Toc485889069"/>
      <w:bookmarkStart w:id="316" w:name="_Toc234382973"/>
    </w:p>
    <w:p>
      <w:pPr>
        <w:pStyle w:val="4"/>
        <w:keepNext w:val="0"/>
        <w:keepLines w:val="0"/>
        <w:spacing w:beforeLines="50" w:after="240" w:line="400" w:lineRule="exact"/>
        <w:jc w:val="center"/>
        <w:rPr>
          <w:rFonts w:asciiTheme="minorEastAsia" w:hAnsiTheme="minorEastAsia" w:eastAsiaTheme="minorEastAsia"/>
          <w:kern w:val="2"/>
          <w:sz w:val="32"/>
          <w:szCs w:val="28"/>
        </w:rPr>
      </w:pPr>
      <w:bookmarkStart w:id="317" w:name="_Toc5044"/>
      <w:r>
        <w:rPr>
          <w:rFonts w:hint="eastAsia" w:asciiTheme="minorEastAsia" w:hAnsiTheme="minorEastAsia" w:eastAsiaTheme="minorEastAsia"/>
          <w:kern w:val="2"/>
          <w:sz w:val="32"/>
          <w:szCs w:val="28"/>
        </w:rPr>
        <w:t>四、合同用款估算表</w:t>
      </w:r>
      <w:bookmarkEnd w:id="314"/>
      <w:bookmarkEnd w:id="315"/>
      <w:bookmarkEnd w:id="316"/>
      <w:bookmarkEnd w:id="317"/>
    </w:p>
    <w:tbl>
      <w:tblPr>
        <w:tblStyle w:val="45"/>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spacing w:line="360" w:lineRule="auto"/>
      </w:pPr>
    </w:p>
    <w:p>
      <w:pPr>
        <w:spacing w:line="360" w:lineRule="auto"/>
      </w:pPr>
    </w:p>
    <w:p>
      <w:pPr>
        <w:jc w:val="center"/>
        <w:outlineLvl w:val="0"/>
        <w:rPr>
          <w:rFonts w:ascii="黑体" w:eastAsia="黑体"/>
          <w:bCs/>
          <w:sz w:val="44"/>
          <w:szCs w:val="44"/>
        </w:rPr>
      </w:pPr>
    </w:p>
    <w:p>
      <w:pPr>
        <w:jc w:val="center"/>
        <w:outlineLvl w:val="0"/>
        <w:rPr>
          <w:rFonts w:hint="eastAsia" w:ascii="黑体" w:eastAsia="黑体"/>
          <w:bCs/>
          <w:sz w:val="44"/>
          <w:szCs w:val="44"/>
        </w:rPr>
      </w:pPr>
      <w:bookmarkStart w:id="318" w:name="_Toc12556"/>
      <w:r>
        <w:rPr>
          <w:rFonts w:hint="eastAsia" w:ascii="黑体" w:eastAsia="黑体"/>
          <w:bCs/>
          <w:sz w:val="44"/>
          <w:szCs w:val="44"/>
        </w:rPr>
        <w:t>第九章 投标人须知前附表规定的其他材料</w:t>
      </w:r>
      <w:bookmarkEnd w:id="318"/>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sectPr>
      <w:footnotePr>
        <w:numFmt w:val="decimalEnclosedCircleChinese"/>
        <w:numRestart w:val="eachPage"/>
      </w:footnotePr>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003" w:usb1="288F0000" w:usb2="0000000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41"/>
      </w:rPr>
    </w:pPr>
  </w:p>
  <w:p>
    <w:pPr>
      <w:pStyle w:val="26"/>
      <w:ind w:right="360"/>
      <w:jc w:val="both"/>
    </w:pPr>
  </w:p>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41"/>
      </w:rPr>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135</w:t>
                </w:r>
                <w:r>
                  <w:rPr>
                    <w:rFonts w:hint="eastAsia"/>
                    <w:sz w:val="18"/>
                  </w:rPr>
                  <w:fldChar w:fldCharType="end"/>
                </w:r>
              </w:p>
            </w:txbxContent>
          </v:textbox>
        </v:shape>
      </w:pict>
    </w:r>
  </w:p>
  <w:p>
    <w:pPr>
      <w:pStyle w:val="26"/>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0"/>
      </w:pPr>
      <w:r>
        <w:rPr>
          <w:rStyle w:val="44"/>
        </w:rPr>
        <w:footnoteRef/>
      </w:r>
      <w:r>
        <w:rPr>
          <w:rFonts w:hint="eastAsia"/>
        </w:rPr>
        <w:t>若投标函中的投标价大小写金额不一致，应以大写金额为准。</w:t>
      </w:r>
    </w:p>
  </w:footnote>
  <w:footnote w:id="1">
    <w:p>
      <w:pPr>
        <w:pStyle w:val="30"/>
      </w:pPr>
      <w:r>
        <w:rPr>
          <w:rStyle w:val="44"/>
        </w:rPr>
        <w:footnoteRef/>
      </w:r>
      <w:r>
        <w:rPr>
          <w:rFonts w:hint="eastAsia" w:ascii="宋体" w:hAnsi="宋体"/>
          <w:sz w:val="15"/>
          <w:szCs w:val="15"/>
        </w:rPr>
        <w:t xml:space="preserve"> 指主要材料，一般应为70％-75%，最低不少于60％。</w:t>
      </w:r>
    </w:p>
  </w:footnote>
  <w:footnote w:id="2">
    <w:p>
      <w:pPr>
        <w:pStyle w:val="30"/>
      </w:pPr>
      <w:r>
        <w:rPr>
          <w:rStyle w:val="44"/>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华文中宋" w:eastAsia="黑体"/>
        <w:sz w:val="18"/>
        <w:szCs w:val="18"/>
        <w:u w:val="single"/>
      </w:rPr>
    </w:pPr>
    <w:r>
      <w:rPr>
        <w:rFonts w:hint="eastAsia"/>
        <w:u w:val="single"/>
        <w:lang w:val="en-US" w:eastAsia="zh-CN"/>
      </w:rPr>
      <w:t>田园综合体小召乡绰韩村村道改建工程</w:t>
    </w:r>
    <w:r>
      <w:rPr>
        <w:rFonts w:hint="eastAsia"/>
        <w:u w:val="single"/>
      </w:rPr>
      <w:t xml:space="preserve">                                             招标文件 </w:t>
    </w:r>
  </w:p>
  <w:p>
    <w:pPr>
      <w:pStyle w:val="27"/>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5B0E7"/>
    <w:multiLevelType w:val="singleLevel"/>
    <w:tmpl w:val="5975B0E7"/>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
    </o:shapelayout>
  </w:hdrShapeDefaults>
  <w:footnotePr>
    <w:numFmt w:val="decimalEnclosedCircleChinese"/>
    <w:numRestart w:val="eachPage"/>
  </w:footnotePr>
  <w:compat>
    <w:spaceForUL/>
    <w:balanceSingleByteDoubleByteWidth/>
    <w:doNotLeaveBackslashAlone/>
    <w:doNotExpandShiftReturn/>
    <w:adjustLineHeightInTable/>
    <w:useFELayout/>
    <w:compatSetting w:name="compatibilityMode" w:uri="http://schemas.microsoft.com/office/word" w:val="12"/>
  </w:compat>
  <w:rsids>
    <w:rsidRoot w:val="000B6052"/>
    <w:rsid w:val="00000469"/>
    <w:rsid w:val="00003F7A"/>
    <w:rsid w:val="000045E6"/>
    <w:rsid w:val="0000521F"/>
    <w:rsid w:val="00011BE0"/>
    <w:rsid w:val="00014141"/>
    <w:rsid w:val="00025DEF"/>
    <w:rsid w:val="000271C5"/>
    <w:rsid w:val="0003315A"/>
    <w:rsid w:val="00034117"/>
    <w:rsid w:val="00037593"/>
    <w:rsid w:val="00041374"/>
    <w:rsid w:val="00044652"/>
    <w:rsid w:val="00047B90"/>
    <w:rsid w:val="00062332"/>
    <w:rsid w:val="00066710"/>
    <w:rsid w:val="000674B9"/>
    <w:rsid w:val="000678CE"/>
    <w:rsid w:val="000726EF"/>
    <w:rsid w:val="000749F9"/>
    <w:rsid w:val="00075398"/>
    <w:rsid w:val="00083E98"/>
    <w:rsid w:val="00084660"/>
    <w:rsid w:val="00085719"/>
    <w:rsid w:val="000905F0"/>
    <w:rsid w:val="000A040D"/>
    <w:rsid w:val="000B177F"/>
    <w:rsid w:val="000B3B13"/>
    <w:rsid w:val="000B6052"/>
    <w:rsid w:val="000C4529"/>
    <w:rsid w:val="000C4563"/>
    <w:rsid w:val="000F74D4"/>
    <w:rsid w:val="000F7BC8"/>
    <w:rsid w:val="0010006A"/>
    <w:rsid w:val="001116F9"/>
    <w:rsid w:val="001124F5"/>
    <w:rsid w:val="0011721C"/>
    <w:rsid w:val="00117719"/>
    <w:rsid w:val="001343BF"/>
    <w:rsid w:val="0013463C"/>
    <w:rsid w:val="0015474E"/>
    <w:rsid w:val="001577FC"/>
    <w:rsid w:val="00162A5F"/>
    <w:rsid w:val="001633C2"/>
    <w:rsid w:val="00170D80"/>
    <w:rsid w:val="00176217"/>
    <w:rsid w:val="00182505"/>
    <w:rsid w:val="00184C1A"/>
    <w:rsid w:val="00190492"/>
    <w:rsid w:val="00191435"/>
    <w:rsid w:val="00192A87"/>
    <w:rsid w:val="00194DDD"/>
    <w:rsid w:val="0019541C"/>
    <w:rsid w:val="0019543D"/>
    <w:rsid w:val="00196402"/>
    <w:rsid w:val="001970C0"/>
    <w:rsid w:val="001A3744"/>
    <w:rsid w:val="001A66C1"/>
    <w:rsid w:val="001A6A5B"/>
    <w:rsid w:val="001B0D81"/>
    <w:rsid w:val="001B162A"/>
    <w:rsid w:val="001B5095"/>
    <w:rsid w:val="001B78B3"/>
    <w:rsid w:val="001B7B44"/>
    <w:rsid w:val="001C4B99"/>
    <w:rsid w:val="001C5015"/>
    <w:rsid w:val="001E0CCB"/>
    <w:rsid w:val="001E0FD0"/>
    <w:rsid w:val="001E3DDD"/>
    <w:rsid w:val="001E5576"/>
    <w:rsid w:val="001E5EFC"/>
    <w:rsid w:val="001E7F6D"/>
    <w:rsid w:val="001F0586"/>
    <w:rsid w:val="001F0CA8"/>
    <w:rsid w:val="001F4AEF"/>
    <w:rsid w:val="001F6F15"/>
    <w:rsid w:val="002039E7"/>
    <w:rsid w:val="00204334"/>
    <w:rsid w:val="0020785A"/>
    <w:rsid w:val="002324A1"/>
    <w:rsid w:val="00233D3A"/>
    <w:rsid w:val="00233F8D"/>
    <w:rsid w:val="0025198F"/>
    <w:rsid w:val="00254F2B"/>
    <w:rsid w:val="00256002"/>
    <w:rsid w:val="00256505"/>
    <w:rsid w:val="00263433"/>
    <w:rsid w:val="00264CBE"/>
    <w:rsid w:val="00267526"/>
    <w:rsid w:val="002807C2"/>
    <w:rsid w:val="00282BF0"/>
    <w:rsid w:val="00296C85"/>
    <w:rsid w:val="002A21D8"/>
    <w:rsid w:val="002B754F"/>
    <w:rsid w:val="002B7AFA"/>
    <w:rsid w:val="002B7BE6"/>
    <w:rsid w:val="002E0A1C"/>
    <w:rsid w:val="002E0A7E"/>
    <w:rsid w:val="002E3971"/>
    <w:rsid w:val="002F45B9"/>
    <w:rsid w:val="002F592B"/>
    <w:rsid w:val="00304415"/>
    <w:rsid w:val="0030763C"/>
    <w:rsid w:val="00313556"/>
    <w:rsid w:val="003210CF"/>
    <w:rsid w:val="00322868"/>
    <w:rsid w:val="00323609"/>
    <w:rsid w:val="00324036"/>
    <w:rsid w:val="00326CA9"/>
    <w:rsid w:val="00326EB3"/>
    <w:rsid w:val="00335D29"/>
    <w:rsid w:val="00337948"/>
    <w:rsid w:val="00343613"/>
    <w:rsid w:val="00345FD5"/>
    <w:rsid w:val="00361A05"/>
    <w:rsid w:val="00363A57"/>
    <w:rsid w:val="00367377"/>
    <w:rsid w:val="00372E5C"/>
    <w:rsid w:val="003823EC"/>
    <w:rsid w:val="00394E8D"/>
    <w:rsid w:val="003976A2"/>
    <w:rsid w:val="003A0CC3"/>
    <w:rsid w:val="003B1C7E"/>
    <w:rsid w:val="003B2A77"/>
    <w:rsid w:val="003B2E89"/>
    <w:rsid w:val="003C28DF"/>
    <w:rsid w:val="003C504C"/>
    <w:rsid w:val="003D4EA3"/>
    <w:rsid w:val="003D746A"/>
    <w:rsid w:val="003E0073"/>
    <w:rsid w:val="003F03F2"/>
    <w:rsid w:val="003F0C5A"/>
    <w:rsid w:val="00403745"/>
    <w:rsid w:val="00403E55"/>
    <w:rsid w:val="004069BA"/>
    <w:rsid w:val="00406EAD"/>
    <w:rsid w:val="00422D4E"/>
    <w:rsid w:val="00423F9C"/>
    <w:rsid w:val="004242BD"/>
    <w:rsid w:val="00430A46"/>
    <w:rsid w:val="00430CF5"/>
    <w:rsid w:val="00431F7C"/>
    <w:rsid w:val="00436B9D"/>
    <w:rsid w:val="004427DA"/>
    <w:rsid w:val="00452578"/>
    <w:rsid w:val="00456CC2"/>
    <w:rsid w:val="00472719"/>
    <w:rsid w:val="004834F5"/>
    <w:rsid w:val="00486A4C"/>
    <w:rsid w:val="00487B38"/>
    <w:rsid w:val="00494F67"/>
    <w:rsid w:val="004A02CB"/>
    <w:rsid w:val="004B13D0"/>
    <w:rsid w:val="004B193A"/>
    <w:rsid w:val="004B78D7"/>
    <w:rsid w:val="004C56E6"/>
    <w:rsid w:val="004D39BC"/>
    <w:rsid w:val="004D4219"/>
    <w:rsid w:val="004E1D10"/>
    <w:rsid w:val="004E1D2D"/>
    <w:rsid w:val="004F6F9D"/>
    <w:rsid w:val="00501799"/>
    <w:rsid w:val="0050536C"/>
    <w:rsid w:val="005057CB"/>
    <w:rsid w:val="00507D36"/>
    <w:rsid w:val="00510824"/>
    <w:rsid w:val="005154D8"/>
    <w:rsid w:val="00517A07"/>
    <w:rsid w:val="00517A5A"/>
    <w:rsid w:val="00533904"/>
    <w:rsid w:val="00543040"/>
    <w:rsid w:val="00546850"/>
    <w:rsid w:val="00550EE7"/>
    <w:rsid w:val="00556C75"/>
    <w:rsid w:val="005571F1"/>
    <w:rsid w:val="00557ED3"/>
    <w:rsid w:val="00576687"/>
    <w:rsid w:val="00583747"/>
    <w:rsid w:val="00584232"/>
    <w:rsid w:val="005906A1"/>
    <w:rsid w:val="005A16A2"/>
    <w:rsid w:val="005A1E58"/>
    <w:rsid w:val="005A3F8A"/>
    <w:rsid w:val="005B2FDA"/>
    <w:rsid w:val="005C04D1"/>
    <w:rsid w:val="005C1CAD"/>
    <w:rsid w:val="005C3289"/>
    <w:rsid w:val="005C51FE"/>
    <w:rsid w:val="005E2124"/>
    <w:rsid w:val="005E275A"/>
    <w:rsid w:val="005E3E6C"/>
    <w:rsid w:val="005E5AEC"/>
    <w:rsid w:val="005F2352"/>
    <w:rsid w:val="005F4CC8"/>
    <w:rsid w:val="006103F7"/>
    <w:rsid w:val="00611179"/>
    <w:rsid w:val="0064186F"/>
    <w:rsid w:val="00654ACB"/>
    <w:rsid w:val="006639F8"/>
    <w:rsid w:val="00674079"/>
    <w:rsid w:val="00680E50"/>
    <w:rsid w:val="006835E1"/>
    <w:rsid w:val="00684CB2"/>
    <w:rsid w:val="006864A0"/>
    <w:rsid w:val="00690A39"/>
    <w:rsid w:val="00695030"/>
    <w:rsid w:val="006962DD"/>
    <w:rsid w:val="006A3D44"/>
    <w:rsid w:val="006C2F18"/>
    <w:rsid w:val="006F0168"/>
    <w:rsid w:val="006F0E7F"/>
    <w:rsid w:val="006F4DF7"/>
    <w:rsid w:val="007001B1"/>
    <w:rsid w:val="00730EDA"/>
    <w:rsid w:val="0073200B"/>
    <w:rsid w:val="0073500E"/>
    <w:rsid w:val="007351AB"/>
    <w:rsid w:val="00735D9C"/>
    <w:rsid w:val="00737F1C"/>
    <w:rsid w:val="00764456"/>
    <w:rsid w:val="00774BE8"/>
    <w:rsid w:val="007824D0"/>
    <w:rsid w:val="007852DB"/>
    <w:rsid w:val="00791461"/>
    <w:rsid w:val="00796EB1"/>
    <w:rsid w:val="007A5BED"/>
    <w:rsid w:val="007B0B82"/>
    <w:rsid w:val="007B68B9"/>
    <w:rsid w:val="007C6B03"/>
    <w:rsid w:val="007D10D8"/>
    <w:rsid w:val="007D2C4E"/>
    <w:rsid w:val="007D5D98"/>
    <w:rsid w:val="007D6605"/>
    <w:rsid w:val="007D6983"/>
    <w:rsid w:val="007D752A"/>
    <w:rsid w:val="007E2C5B"/>
    <w:rsid w:val="007F07A1"/>
    <w:rsid w:val="007F3EAF"/>
    <w:rsid w:val="007F47B5"/>
    <w:rsid w:val="007F5A4A"/>
    <w:rsid w:val="007F5AAE"/>
    <w:rsid w:val="00807D10"/>
    <w:rsid w:val="00813EA4"/>
    <w:rsid w:val="008149BB"/>
    <w:rsid w:val="00815258"/>
    <w:rsid w:val="00820828"/>
    <w:rsid w:val="00820B23"/>
    <w:rsid w:val="00825976"/>
    <w:rsid w:val="00833A46"/>
    <w:rsid w:val="00836296"/>
    <w:rsid w:val="00842008"/>
    <w:rsid w:val="00844CE4"/>
    <w:rsid w:val="00850B5D"/>
    <w:rsid w:val="00852333"/>
    <w:rsid w:val="00852AB9"/>
    <w:rsid w:val="00855869"/>
    <w:rsid w:val="008612DC"/>
    <w:rsid w:val="00862218"/>
    <w:rsid w:val="0086469F"/>
    <w:rsid w:val="008818A4"/>
    <w:rsid w:val="00885D6F"/>
    <w:rsid w:val="00886186"/>
    <w:rsid w:val="008A2CF4"/>
    <w:rsid w:val="008B1693"/>
    <w:rsid w:val="008B2CD3"/>
    <w:rsid w:val="008B5979"/>
    <w:rsid w:val="008D39A4"/>
    <w:rsid w:val="008D5936"/>
    <w:rsid w:val="008E1C66"/>
    <w:rsid w:val="008E62FD"/>
    <w:rsid w:val="008F3A89"/>
    <w:rsid w:val="008F3DC7"/>
    <w:rsid w:val="008F445B"/>
    <w:rsid w:val="008F62AB"/>
    <w:rsid w:val="008F753E"/>
    <w:rsid w:val="009014E7"/>
    <w:rsid w:val="00920720"/>
    <w:rsid w:val="00922007"/>
    <w:rsid w:val="009238C7"/>
    <w:rsid w:val="009279A5"/>
    <w:rsid w:val="009363E3"/>
    <w:rsid w:val="00937C64"/>
    <w:rsid w:val="009632F6"/>
    <w:rsid w:val="00967808"/>
    <w:rsid w:val="009710D7"/>
    <w:rsid w:val="00982880"/>
    <w:rsid w:val="00990252"/>
    <w:rsid w:val="0099393A"/>
    <w:rsid w:val="00997151"/>
    <w:rsid w:val="009A0324"/>
    <w:rsid w:val="009A6978"/>
    <w:rsid w:val="009A6AB8"/>
    <w:rsid w:val="009B60D4"/>
    <w:rsid w:val="009C269E"/>
    <w:rsid w:val="009C56C1"/>
    <w:rsid w:val="009D336C"/>
    <w:rsid w:val="009D4D80"/>
    <w:rsid w:val="009F5D7A"/>
    <w:rsid w:val="00A016BE"/>
    <w:rsid w:val="00A02A16"/>
    <w:rsid w:val="00A03C4D"/>
    <w:rsid w:val="00A04AA7"/>
    <w:rsid w:val="00A04D1B"/>
    <w:rsid w:val="00A06EFF"/>
    <w:rsid w:val="00A12BD3"/>
    <w:rsid w:val="00A1682F"/>
    <w:rsid w:val="00A217F5"/>
    <w:rsid w:val="00A259DC"/>
    <w:rsid w:val="00A25EB6"/>
    <w:rsid w:val="00A264CB"/>
    <w:rsid w:val="00A36400"/>
    <w:rsid w:val="00A404A2"/>
    <w:rsid w:val="00A44A80"/>
    <w:rsid w:val="00A62B4B"/>
    <w:rsid w:val="00A73CB8"/>
    <w:rsid w:val="00A76AD6"/>
    <w:rsid w:val="00A869BE"/>
    <w:rsid w:val="00A947AB"/>
    <w:rsid w:val="00A9797C"/>
    <w:rsid w:val="00AA436A"/>
    <w:rsid w:val="00AA526A"/>
    <w:rsid w:val="00AC2EA7"/>
    <w:rsid w:val="00AC6B19"/>
    <w:rsid w:val="00AE64ED"/>
    <w:rsid w:val="00AE7AD5"/>
    <w:rsid w:val="00AF0512"/>
    <w:rsid w:val="00AF0F96"/>
    <w:rsid w:val="00B0054B"/>
    <w:rsid w:val="00B0577C"/>
    <w:rsid w:val="00B075CB"/>
    <w:rsid w:val="00B07CCE"/>
    <w:rsid w:val="00B16652"/>
    <w:rsid w:val="00B2163C"/>
    <w:rsid w:val="00B259F7"/>
    <w:rsid w:val="00B27105"/>
    <w:rsid w:val="00B300BB"/>
    <w:rsid w:val="00B41B69"/>
    <w:rsid w:val="00B44C21"/>
    <w:rsid w:val="00B475C7"/>
    <w:rsid w:val="00B531ED"/>
    <w:rsid w:val="00B5463D"/>
    <w:rsid w:val="00B54D34"/>
    <w:rsid w:val="00B565D2"/>
    <w:rsid w:val="00B6467D"/>
    <w:rsid w:val="00B65683"/>
    <w:rsid w:val="00B70129"/>
    <w:rsid w:val="00B709D0"/>
    <w:rsid w:val="00B76A68"/>
    <w:rsid w:val="00B80EBE"/>
    <w:rsid w:val="00B872F7"/>
    <w:rsid w:val="00BA0097"/>
    <w:rsid w:val="00BA0492"/>
    <w:rsid w:val="00BA3206"/>
    <w:rsid w:val="00BA79AA"/>
    <w:rsid w:val="00BB0CE3"/>
    <w:rsid w:val="00BB7B8D"/>
    <w:rsid w:val="00BC24D0"/>
    <w:rsid w:val="00BC3F56"/>
    <w:rsid w:val="00BC41AF"/>
    <w:rsid w:val="00BC5370"/>
    <w:rsid w:val="00BC6508"/>
    <w:rsid w:val="00BD3409"/>
    <w:rsid w:val="00BD7778"/>
    <w:rsid w:val="00BD7940"/>
    <w:rsid w:val="00BF002B"/>
    <w:rsid w:val="00BF3742"/>
    <w:rsid w:val="00C01A7B"/>
    <w:rsid w:val="00C0359D"/>
    <w:rsid w:val="00C06F15"/>
    <w:rsid w:val="00C12CC0"/>
    <w:rsid w:val="00C22375"/>
    <w:rsid w:val="00C27086"/>
    <w:rsid w:val="00C33983"/>
    <w:rsid w:val="00C36B66"/>
    <w:rsid w:val="00C378FA"/>
    <w:rsid w:val="00C43538"/>
    <w:rsid w:val="00C45469"/>
    <w:rsid w:val="00C66DB3"/>
    <w:rsid w:val="00C710AA"/>
    <w:rsid w:val="00C738E1"/>
    <w:rsid w:val="00C764DF"/>
    <w:rsid w:val="00CA0E51"/>
    <w:rsid w:val="00CA1207"/>
    <w:rsid w:val="00CA51C2"/>
    <w:rsid w:val="00CA7AF6"/>
    <w:rsid w:val="00CB2715"/>
    <w:rsid w:val="00CB2A1C"/>
    <w:rsid w:val="00CB3139"/>
    <w:rsid w:val="00CC279F"/>
    <w:rsid w:val="00CC28FA"/>
    <w:rsid w:val="00CC4861"/>
    <w:rsid w:val="00CD0572"/>
    <w:rsid w:val="00CD794E"/>
    <w:rsid w:val="00D037DC"/>
    <w:rsid w:val="00D1170A"/>
    <w:rsid w:val="00D12A1B"/>
    <w:rsid w:val="00D14FC1"/>
    <w:rsid w:val="00D15105"/>
    <w:rsid w:val="00D1531E"/>
    <w:rsid w:val="00D154B0"/>
    <w:rsid w:val="00D15B53"/>
    <w:rsid w:val="00D230A4"/>
    <w:rsid w:val="00D23BF4"/>
    <w:rsid w:val="00D25CCC"/>
    <w:rsid w:val="00D27B39"/>
    <w:rsid w:val="00D33A8F"/>
    <w:rsid w:val="00D348DD"/>
    <w:rsid w:val="00D40622"/>
    <w:rsid w:val="00D547B4"/>
    <w:rsid w:val="00D649CD"/>
    <w:rsid w:val="00D66123"/>
    <w:rsid w:val="00D72EDF"/>
    <w:rsid w:val="00D75DC3"/>
    <w:rsid w:val="00D92CB0"/>
    <w:rsid w:val="00DA1190"/>
    <w:rsid w:val="00DA17AF"/>
    <w:rsid w:val="00DA64CC"/>
    <w:rsid w:val="00DC4186"/>
    <w:rsid w:val="00DD2271"/>
    <w:rsid w:val="00DD330F"/>
    <w:rsid w:val="00DD52D1"/>
    <w:rsid w:val="00DE61A6"/>
    <w:rsid w:val="00DE68E6"/>
    <w:rsid w:val="00DF47F1"/>
    <w:rsid w:val="00E000B0"/>
    <w:rsid w:val="00E042C9"/>
    <w:rsid w:val="00E11AB5"/>
    <w:rsid w:val="00E20001"/>
    <w:rsid w:val="00E3212A"/>
    <w:rsid w:val="00E343B8"/>
    <w:rsid w:val="00E358BE"/>
    <w:rsid w:val="00E402DA"/>
    <w:rsid w:val="00E41BAA"/>
    <w:rsid w:val="00E43B36"/>
    <w:rsid w:val="00E50C36"/>
    <w:rsid w:val="00E517E6"/>
    <w:rsid w:val="00E61E4E"/>
    <w:rsid w:val="00E7005B"/>
    <w:rsid w:val="00E70703"/>
    <w:rsid w:val="00E723D5"/>
    <w:rsid w:val="00E81622"/>
    <w:rsid w:val="00E83781"/>
    <w:rsid w:val="00E8517F"/>
    <w:rsid w:val="00E86E80"/>
    <w:rsid w:val="00E945C0"/>
    <w:rsid w:val="00EA2B65"/>
    <w:rsid w:val="00EA6408"/>
    <w:rsid w:val="00EB594D"/>
    <w:rsid w:val="00EC2CE9"/>
    <w:rsid w:val="00EC4E1E"/>
    <w:rsid w:val="00EC4EBB"/>
    <w:rsid w:val="00EC7AE8"/>
    <w:rsid w:val="00ED0C7A"/>
    <w:rsid w:val="00EE4A58"/>
    <w:rsid w:val="00EF0EC7"/>
    <w:rsid w:val="00EF21A8"/>
    <w:rsid w:val="00F14D2C"/>
    <w:rsid w:val="00F1788A"/>
    <w:rsid w:val="00F35A8F"/>
    <w:rsid w:val="00F50420"/>
    <w:rsid w:val="00F623C0"/>
    <w:rsid w:val="00F65224"/>
    <w:rsid w:val="00F6676C"/>
    <w:rsid w:val="00F71351"/>
    <w:rsid w:val="00F83510"/>
    <w:rsid w:val="00F84461"/>
    <w:rsid w:val="00F905E3"/>
    <w:rsid w:val="00F94979"/>
    <w:rsid w:val="00F95ACE"/>
    <w:rsid w:val="00FA053F"/>
    <w:rsid w:val="00FA1157"/>
    <w:rsid w:val="00FA66D2"/>
    <w:rsid w:val="00FB6550"/>
    <w:rsid w:val="00FB7FB8"/>
    <w:rsid w:val="00FD2175"/>
    <w:rsid w:val="00FD381F"/>
    <w:rsid w:val="00FE007F"/>
    <w:rsid w:val="00FE08E9"/>
    <w:rsid w:val="00FE5748"/>
    <w:rsid w:val="00FF2979"/>
    <w:rsid w:val="00FF35A7"/>
    <w:rsid w:val="02EA2A8C"/>
    <w:rsid w:val="036D315D"/>
    <w:rsid w:val="03A24650"/>
    <w:rsid w:val="047E041A"/>
    <w:rsid w:val="04A26307"/>
    <w:rsid w:val="04D558D6"/>
    <w:rsid w:val="05B20DF1"/>
    <w:rsid w:val="061C6506"/>
    <w:rsid w:val="068E241E"/>
    <w:rsid w:val="07D44C7C"/>
    <w:rsid w:val="087864F3"/>
    <w:rsid w:val="0A503B8F"/>
    <w:rsid w:val="0A5C5F2E"/>
    <w:rsid w:val="0AD6716A"/>
    <w:rsid w:val="0B17266A"/>
    <w:rsid w:val="0D8E3903"/>
    <w:rsid w:val="0DC66CCB"/>
    <w:rsid w:val="0E4004D9"/>
    <w:rsid w:val="0EFB71EF"/>
    <w:rsid w:val="103827FE"/>
    <w:rsid w:val="109736B6"/>
    <w:rsid w:val="10FC3EEB"/>
    <w:rsid w:val="1150492A"/>
    <w:rsid w:val="14C004C8"/>
    <w:rsid w:val="15DC30D2"/>
    <w:rsid w:val="164B4006"/>
    <w:rsid w:val="181378D1"/>
    <w:rsid w:val="18780872"/>
    <w:rsid w:val="19406B95"/>
    <w:rsid w:val="19D17A30"/>
    <w:rsid w:val="1A770966"/>
    <w:rsid w:val="1BE21ECD"/>
    <w:rsid w:val="1D1235FC"/>
    <w:rsid w:val="1E5F39C7"/>
    <w:rsid w:val="1F397E5B"/>
    <w:rsid w:val="20037A92"/>
    <w:rsid w:val="2089606E"/>
    <w:rsid w:val="23E806A8"/>
    <w:rsid w:val="23F856E3"/>
    <w:rsid w:val="24804F86"/>
    <w:rsid w:val="254564AA"/>
    <w:rsid w:val="26A107BA"/>
    <w:rsid w:val="26E0034F"/>
    <w:rsid w:val="277829FB"/>
    <w:rsid w:val="29721162"/>
    <w:rsid w:val="29727178"/>
    <w:rsid w:val="2984123D"/>
    <w:rsid w:val="2A5639E5"/>
    <w:rsid w:val="2B4F08F5"/>
    <w:rsid w:val="2C2C2007"/>
    <w:rsid w:val="2C61638E"/>
    <w:rsid w:val="2D3B2794"/>
    <w:rsid w:val="2E9969DE"/>
    <w:rsid w:val="302D7EF0"/>
    <w:rsid w:val="31F75D6E"/>
    <w:rsid w:val="32FF7EB7"/>
    <w:rsid w:val="33B23DCE"/>
    <w:rsid w:val="345B3708"/>
    <w:rsid w:val="368F6E0E"/>
    <w:rsid w:val="36CB6670"/>
    <w:rsid w:val="36D95FF2"/>
    <w:rsid w:val="37900760"/>
    <w:rsid w:val="388E047E"/>
    <w:rsid w:val="394474F8"/>
    <w:rsid w:val="3983476A"/>
    <w:rsid w:val="3A2D2BF6"/>
    <w:rsid w:val="3AF51E1B"/>
    <w:rsid w:val="3C10452A"/>
    <w:rsid w:val="3D840A11"/>
    <w:rsid w:val="3DAB6CAC"/>
    <w:rsid w:val="3E273366"/>
    <w:rsid w:val="3E6B6375"/>
    <w:rsid w:val="3E88607F"/>
    <w:rsid w:val="3EFB3713"/>
    <w:rsid w:val="3F81759E"/>
    <w:rsid w:val="40861D5B"/>
    <w:rsid w:val="41E2165C"/>
    <w:rsid w:val="433E71E4"/>
    <w:rsid w:val="435B4559"/>
    <w:rsid w:val="439A7808"/>
    <w:rsid w:val="43A54662"/>
    <w:rsid w:val="45A9014C"/>
    <w:rsid w:val="46E4778D"/>
    <w:rsid w:val="47904979"/>
    <w:rsid w:val="48247D5E"/>
    <w:rsid w:val="499468B0"/>
    <w:rsid w:val="4A944284"/>
    <w:rsid w:val="4A970C9E"/>
    <w:rsid w:val="4BAD6D4B"/>
    <w:rsid w:val="4D291A48"/>
    <w:rsid w:val="4E0761AB"/>
    <w:rsid w:val="4F8A7280"/>
    <w:rsid w:val="50B63288"/>
    <w:rsid w:val="50E6482B"/>
    <w:rsid w:val="52111B51"/>
    <w:rsid w:val="52FC775E"/>
    <w:rsid w:val="54397C1D"/>
    <w:rsid w:val="54DF1E20"/>
    <w:rsid w:val="57267462"/>
    <w:rsid w:val="57875A36"/>
    <w:rsid w:val="5837244E"/>
    <w:rsid w:val="595802CA"/>
    <w:rsid w:val="597340C9"/>
    <w:rsid w:val="5A112B99"/>
    <w:rsid w:val="5B043574"/>
    <w:rsid w:val="5B8700DE"/>
    <w:rsid w:val="5BE932DC"/>
    <w:rsid w:val="5CB86251"/>
    <w:rsid w:val="5D0D212E"/>
    <w:rsid w:val="5D0E082B"/>
    <w:rsid w:val="5D6F68E7"/>
    <w:rsid w:val="5EEE0C0D"/>
    <w:rsid w:val="5EF450C6"/>
    <w:rsid w:val="5EF4589A"/>
    <w:rsid w:val="5F8B68A6"/>
    <w:rsid w:val="5FAC5F50"/>
    <w:rsid w:val="612B268F"/>
    <w:rsid w:val="648449F4"/>
    <w:rsid w:val="66803165"/>
    <w:rsid w:val="67B636E3"/>
    <w:rsid w:val="6A5979FA"/>
    <w:rsid w:val="6B3A6318"/>
    <w:rsid w:val="6B7F26E9"/>
    <w:rsid w:val="6C4743EE"/>
    <w:rsid w:val="6D883092"/>
    <w:rsid w:val="6DB04A8D"/>
    <w:rsid w:val="6F00178A"/>
    <w:rsid w:val="713D0FE0"/>
    <w:rsid w:val="7301599D"/>
    <w:rsid w:val="74A74768"/>
    <w:rsid w:val="75C22F5E"/>
    <w:rsid w:val="760B4740"/>
    <w:rsid w:val="762C4BEC"/>
    <w:rsid w:val="767A08F6"/>
    <w:rsid w:val="767C5A52"/>
    <w:rsid w:val="76DD2F5C"/>
    <w:rsid w:val="780102A2"/>
    <w:rsid w:val="78A648FD"/>
    <w:rsid w:val="794D5CB3"/>
    <w:rsid w:val="7A217263"/>
    <w:rsid w:val="7A2E1DD6"/>
    <w:rsid w:val="7AD76972"/>
    <w:rsid w:val="7B7C0613"/>
    <w:rsid w:val="7DB80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8"/>
    <w:qFormat/>
    <w:uiPriority w:val="0"/>
    <w:pPr>
      <w:keepNext/>
      <w:keepLines/>
      <w:spacing w:before="260" w:after="260" w:line="416" w:lineRule="auto"/>
      <w:outlineLvl w:val="2"/>
    </w:pPr>
    <w:rPr>
      <w:b/>
      <w:bCs/>
      <w:sz w:val="32"/>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link w:val="5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5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5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5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58"/>
    <w:qFormat/>
    <w:uiPriority w:val="0"/>
    <w:pPr>
      <w:spacing w:after="120"/>
    </w:pPr>
  </w:style>
  <w:style w:type="paragraph" w:styleId="12">
    <w:name w:val="annotation subject"/>
    <w:basedOn w:val="13"/>
    <w:next w:val="13"/>
    <w:link w:val="71"/>
    <w:qFormat/>
    <w:uiPriority w:val="0"/>
    <w:rPr>
      <w:b/>
      <w:bCs/>
    </w:rPr>
  </w:style>
  <w:style w:type="paragraph" w:styleId="13">
    <w:name w:val="annotation text"/>
    <w:basedOn w:val="1"/>
    <w:link w:val="63"/>
    <w:qFormat/>
    <w:uiPriority w:val="0"/>
    <w:pPr>
      <w:jc w:val="left"/>
    </w:pPr>
  </w:style>
  <w:style w:type="paragraph" w:styleId="1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5">
    <w:name w:val="Document Map"/>
    <w:basedOn w:val="1"/>
    <w:link w:val="54"/>
    <w:qFormat/>
    <w:uiPriority w:val="0"/>
    <w:pPr>
      <w:shd w:val="clear" w:color="auto" w:fill="000080"/>
    </w:pPr>
  </w:style>
  <w:style w:type="paragraph" w:styleId="16">
    <w:name w:val="Salutation"/>
    <w:basedOn w:val="1"/>
    <w:next w:val="1"/>
    <w:qFormat/>
    <w:uiPriority w:val="0"/>
    <w:rPr>
      <w:rFonts w:ascii="宋体"/>
      <w:sz w:val="24"/>
      <w:szCs w:val="20"/>
    </w:rPr>
  </w:style>
  <w:style w:type="paragraph" w:styleId="17">
    <w:name w:val="Body Text 3"/>
    <w:basedOn w:val="1"/>
    <w:link w:val="56"/>
    <w:qFormat/>
    <w:uiPriority w:val="0"/>
    <w:rPr>
      <w:rFonts w:ascii="宋体"/>
      <w:sz w:val="24"/>
      <w:szCs w:val="20"/>
    </w:rPr>
  </w:style>
  <w:style w:type="paragraph" w:styleId="18">
    <w:name w:val="Body Text Indent"/>
    <w:basedOn w:val="1"/>
    <w:link w:val="66"/>
    <w:qFormat/>
    <w:uiPriority w:val="0"/>
    <w:pPr>
      <w:spacing w:after="120"/>
      <w:ind w:left="420" w:leftChars="200"/>
    </w:pPr>
  </w:style>
  <w:style w:type="paragraph" w:styleId="1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0">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21">
    <w:name w:val="Plain Text"/>
    <w:basedOn w:val="1"/>
    <w:link w:val="65"/>
    <w:qFormat/>
    <w:uiPriority w:val="0"/>
    <w:rPr>
      <w:rFonts w:ascii="宋体" w:hAnsi="Courier New"/>
      <w:color w:val="000000"/>
      <w:szCs w:val="20"/>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Body Text Indent 2"/>
    <w:basedOn w:val="1"/>
    <w:link w:val="55"/>
    <w:qFormat/>
    <w:uiPriority w:val="0"/>
    <w:pPr>
      <w:ind w:firstLine="624"/>
    </w:pPr>
    <w:rPr>
      <w:rFonts w:ascii="仿宋_GB2312" w:eastAsia="仿宋_GB2312"/>
      <w:sz w:val="28"/>
    </w:rPr>
  </w:style>
  <w:style w:type="paragraph" w:styleId="24">
    <w:name w:val="endnote text"/>
    <w:basedOn w:val="1"/>
    <w:link w:val="61"/>
    <w:qFormat/>
    <w:uiPriority w:val="0"/>
    <w:pPr>
      <w:snapToGrid w:val="0"/>
      <w:jc w:val="left"/>
    </w:pPr>
  </w:style>
  <w:style w:type="paragraph" w:styleId="25">
    <w:name w:val="Balloon Text"/>
    <w:basedOn w:val="1"/>
    <w:link w:val="57"/>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Cs w:val="20"/>
    </w:rPr>
  </w:style>
  <w:style w:type="paragraph" w:styleId="29">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30">
    <w:name w:val="footnote text"/>
    <w:basedOn w:val="1"/>
    <w:link w:val="67"/>
    <w:qFormat/>
    <w:uiPriority w:val="0"/>
    <w:pPr>
      <w:snapToGrid w:val="0"/>
      <w:jc w:val="left"/>
    </w:pPr>
    <w:rPr>
      <w:sz w:val="18"/>
      <w:szCs w:val="18"/>
    </w:rPr>
  </w:style>
  <w:style w:type="paragraph" w:styleId="3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2">
    <w:name w:val="Body Text Indent 3"/>
    <w:basedOn w:val="1"/>
    <w:link w:val="62"/>
    <w:qFormat/>
    <w:uiPriority w:val="0"/>
    <w:pPr>
      <w:spacing w:after="120"/>
      <w:ind w:left="420" w:leftChars="200"/>
    </w:pPr>
    <w:rPr>
      <w:sz w:val="16"/>
      <w:szCs w:val="16"/>
    </w:rPr>
  </w:style>
  <w:style w:type="paragraph" w:styleId="33">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64"/>
    <w:qFormat/>
    <w:uiPriority w:val="0"/>
    <w:rPr>
      <w:rFonts w:ascii="宋体" w:hAnsi="宋体"/>
      <w:sz w:val="28"/>
    </w:rPr>
  </w:style>
  <w:style w:type="paragraph" w:styleId="36">
    <w:name w:val="HTML Preformatted"/>
    <w:basedOn w:val="1"/>
    <w:link w:val="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spacing w:before="100" w:beforeAutospacing="1" w:after="100" w:afterAutospacing="1"/>
      <w:jc w:val="left"/>
    </w:pPr>
    <w:rPr>
      <w:kern w:val="0"/>
      <w:sz w:val="24"/>
    </w:rPr>
  </w:style>
  <w:style w:type="paragraph" w:styleId="38">
    <w:name w:val="Title"/>
    <w:basedOn w:val="1"/>
    <w:link w:val="59"/>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40">
    <w:name w:val="Strong"/>
    <w:qFormat/>
    <w:uiPriority w:val="0"/>
    <w:rPr>
      <w:b/>
      <w:bCs/>
    </w:rPr>
  </w:style>
  <w:style w:type="character" w:styleId="41">
    <w:name w:val="page number"/>
    <w:basedOn w:val="39"/>
    <w:qFormat/>
    <w:uiPriority w:val="0"/>
  </w:style>
  <w:style w:type="character" w:styleId="42">
    <w:name w:val="Hyperlink"/>
    <w:basedOn w:val="39"/>
    <w:qFormat/>
    <w:uiPriority w:val="99"/>
    <w:rPr>
      <w:color w:val="0000FF"/>
      <w:u w:val="single"/>
    </w:rPr>
  </w:style>
  <w:style w:type="character" w:styleId="43">
    <w:name w:val="annotation reference"/>
    <w:basedOn w:val="39"/>
    <w:qFormat/>
    <w:uiPriority w:val="0"/>
    <w:rPr>
      <w:sz w:val="21"/>
      <w:szCs w:val="21"/>
    </w:rPr>
  </w:style>
  <w:style w:type="character" w:styleId="44">
    <w:name w:val="footnote reference"/>
    <w:qFormat/>
    <w:uiPriority w:val="0"/>
    <w:rPr>
      <w:vertAlign w:val="superscript"/>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7">
    <w:name w:val="标题 2 Char"/>
    <w:link w:val="5"/>
    <w:qFormat/>
    <w:uiPriority w:val="0"/>
    <w:rPr>
      <w:rFonts w:ascii="Arial" w:hAnsi="Arial" w:eastAsia="黑体"/>
      <w:b/>
      <w:bCs/>
      <w:kern w:val="2"/>
      <w:sz w:val="32"/>
      <w:szCs w:val="32"/>
      <w:lang w:val="en-US" w:eastAsia="zh-CN" w:bidi="ar-SA"/>
    </w:rPr>
  </w:style>
  <w:style w:type="character" w:customStyle="1" w:styleId="48">
    <w:name w:val="标题 3 Char"/>
    <w:link w:val="6"/>
    <w:qFormat/>
    <w:uiPriority w:val="0"/>
    <w:rPr>
      <w:rFonts w:eastAsia="宋体"/>
      <w:b/>
      <w:bCs/>
      <w:kern w:val="2"/>
      <w:sz w:val="32"/>
      <w:szCs w:val="32"/>
      <w:lang w:val="en-US" w:eastAsia="zh-CN" w:bidi="ar-SA"/>
    </w:rPr>
  </w:style>
  <w:style w:type="character" w:customStyle="1" w:styleId="49">
    <w:name w:val="标题 4 Char"/>
    <w:link w:val="7"/>
    <w:qFormat/>
    <w:uiPriority w:val="0"/>
    <w:rPr>
      <w:rFonts w:ascii="Arial" w:hAnsi="Arial" w:eastAsia="黑体"/>
      <w:b/>
      <w:bCs/>
      <w:kern w:val="2"/>
      <w:sz w:val="28"/>
      <w:szCs w:val="28"/>
      <w:lang w:val="en-US" w:eastAsia="zh-CN" w:bidi="ar-SA"/>
    </w:rPr>
  </w:style>
  <w:style w:type="character" w:customStyle="1" w:styleId="50">
    <w:name w:val="标题 6 Char"/>
    <w:link w:val="8"/>
    <w:qFormat/>
    <w:uiPriority w:val="0"/>
    <w:rPr>
      <w:rFonts w:ascii="Arial" w:hAnsi="Arial" w:eastAsia="黑体"/>
      <w:b/>
      <w:bCs/>
      <w:sz w:val="24"/>
      <w:szCs w:val="24"/>
      <w:lang w:val="en-US" w:eastAsia="zh-CN" w:bidi="ar-SA"/>
    </w:rPr>
  </w:style>
  <w:style w:type="character" w:customStyle="1" w:styleId="51">
    <w:name w:val="标题 7 Char"/>
    <w:link w:val="9"/>
    <w:qFormat/>
    <w:uiPriority w:val="0"/>
    <w:rPr>
      <w:rFonts w:eastAsia="宋体"/>
      <w:b/>
      <w:bCs/>
      <w:sz w:val="24"/>
      <w:szCs w:val="24"/>
      <w:lang w:val="en-US" w:eastAsia="zh-CN" w:bidi="ar-SA"/>
    </w:rPr>
  </w:style>
  <w:style w:type="character" w:customStyle="1" w:styleId="52">
    <w:name w:val="标题 8 Char"/>
    <w:link w:val="10"/>
    <w:qFormat/>
    <w:uiPriority w:val="0"/>
    <w:rPr>
      <w:rFonts w:ascii="Arial" w:hAnsi="Arial" w:eastAsia="黑体"/>
      <w:sz w:val="24"/>
      <w:szCs w:val="24"/>
      <w:lang w:val="en-US" w:eastAsia="zh-CN" w:bidi="ar-SA"/>
    </w:rPr>
  </w:style>
  <w:style w:type="character" w:customStyle="1" w:styleId="53">
    <w:name w:val="标题 9 Char"/>
    <w:link w:val="11"/>
    <w:qFormat/>
    <w:uiPriority w:val="0"/>
    <w:rPr>
      <w:rFonts w:ascii="Arial" w:hAnsi="Arial" w:eastAsia="黑体"/>
      <w:sz w:val="21"/>
      <w:szCs w:val="21"/>
      <w:lang w:val="en-US" w:eastAsia="zh-CN" w:bidi="ar-SA"/>
    </w:rPr>
  </w:style>
  <w:style w:type="character" w:customStyle="1" w:styleId="54">
    <w:name w:val="文档结构图 Char"/>
    <w:link w:val="15"/>
    <w:qFormat/>
    <w:uiPriority w:val="0"/>
    <w:rPr>
      <w:rFonts w:eastAsia="宋体"/>
      <w:kern w:val="2"/>
      <w:sz w:val="21"/>
      <w:szCs w:val="24"/>
      <w:lang w:val="en-US" w:eastAsia="zh-CN" w:bidi="ar-SA"/>
    </w:rPr>
  </w:style>
  <w:style w:type="character" w:customStyle="1" w:styleId="55">
    <w:name w:val="正文文本缩进 2 Char"/>
    <w:link w:val="23"/>
    <w:qFormat/>
    <w:uiPriority w:val="0"/>
    <w:rPr>
      <w:rFonts w:ascii="仿宋_GB2312" w:eastAsia="仿宋_GB2312"/>
      <w:kern w:val="2"/>
      <w:sz w:val="28"/>
      <w:szCs w:val="24"/>
      <w:lang w:val="en-US" w:eastAsia="zh-CN" w:bidi="ar-SA"/>
    </w:rPr>
  </w:style>
  <w:style w:type="character" w:customStyle="1" w:styleId="56">
    <w:name w:val="正文文本 3 Char"/>
    <w:link w:val="17"/>
    <w:qFormat/>
    <w:uiPriority w:val="0"/>
    <w:rPr>
      <w:rFonts w:ascii="宋体" w:eastAsia="宋体"/>
      <w:kern w:val="2"/>
      <w:sz w:val="24"/>
      <w:lang w:val="en-US" w:eastAsia="zh-CN" w:bidi="ar-SA"/>
    </w:rPr>
  </w:style>
  <w:style w:type="character" w:customStyle="1" w:styleId="57">
    <w:name w:val="批注框文本 Char"/>
    <w:link w:val="25"/>
    <w:qFormat/>
    <w:uiPriority w:val="0"/>
    <w:rPr>
      <w:rFonts w:eastAsia="宋体"/>
      <w:kern w:val="2"/>
      <w:sz w:val="18"/>
      <w:szCs w:val="18"/>
      <w:lang w:val="en-US" w:eastAsia="zh-CN" w:bidi="ar-SA"/>
    </w:rPr>
  </w:style>
  <w:style w:type="character" w:customStyle="1" w:styleId="58">
    <w:name w:val="正文文本 Char"/>
    <w:link w:val="3"/>
    <w:qFormat/>
    <w:uiPriority w:val="0"/>
    <w:rPr>
      <w:rFonts w:eastAsia="宋体"/>
      <w:kern w:val="2"/>
      <w:sz w:val="21"/>
      <w:szCs w:val="24"/>
      <w:lang w:val="en-US" w:eastAsia="zh-CN" w:bidi="ar-SA"/>
    </w:rPr>
  </w:style>
  <w:style w:type="character" w:customStyle="1" w:styleId="59">
    <w:name w:val="标题 Char"/>
    <w:link w:val="38"/>
    <w:qFormat/>
    <w:uiPriority w:val="0"/>
    <w:rPr>
      <w:rFonts w:ascii="Arial" w:hAnsi="Arial" w:eastAsia="宋体"/>
      <w:b/>
      <w:sz w:val="32"/>
      <w:lang w:val="en-US" w:eastAsia="zh-CN" w:bidi="ar-SA"/>
    </w:rPr>
  </w:style>
  <w:style w:type="character" w:customStyle="1" w:styleId="60">
    <w:name w:val="style7"/>
    <w:basedOn w:val="39"/>
    <w:qFormat/>
    <w:uiPriority w:val="0"/>
  </w:style>
  <w:style w:type="character" w:customStyle="1" w:styleId="61">
    <w:name w:val="尾注文本 Char"/>
    <w:link w:val="24"/>
    <w:qFormat/>
    <w:uiPriority w:val="0"/>
    <w:rPr>
      <w:rFonts w:eastAsia="宋体"/>
      <w:kern w:val="2"/>
      <w:sz w:val="21"/>
      <w:szCs w:val="24"/>
      <w:lang w:val="en-US" w:eastAsia="zh-CN" w:bidi="ar-SA"/>
    </w:rPr>
  </w:style>
  <w:style w:type="character" w:customStyle="1" w:styleId="62">
    <w:name w:val="正文文本缩进 3 Char"/>
    <w:link w:val="32"/>
    <w:qFormat/>
    <w:uiPriority w:val="0"/>
    <w:rPr>
      <w:rFonts w:eastAsia="宋体"/>
      <w:kern w:val="2"/>
      <w:sz w:val="16"/>
      <w:szCs w:val="16"/>
      <w:lang w:val="en-US" w:eastAsia="zh-CN" w:bidi="ar-SA"/>
    </w:rPr>
  </w:style>
  <w:style w:type="character" w:customStyle="1" w:styleId="63">
    <w:name w:val="批注文字 Char"/>
    <w:link w:val="13"/>
    <w:qFormat/>
    <w:uiPriority w:val="0"/>
    <w:rPr>
      <w:rFonts w:eastAsia="宋体"/>
      <w:kern w:val="2"/>
      <w:sz w:val="21"/>
      <w:szCs w:val="24"/>
      <w:lang w:val="en-US" w:eastAsia="zh-CN" w:bidi="ar-SA"/>
    </w:rPr>
  </w:style>
  <w:style w:type="character" w:customStyle="1" w:styleId="64">
    <w:name w:val="正文文本 2 Char"/>
    <w:link w:val="35"/>
    <w:qFormat/>
    <w:uiPriority w:val="0"/>
    <w:rPr>
      <w:rFonts w:ascii="宋体" w:hAnsi="宋体" w:eastAsia="宋体"/>
      <w:kern w:val="2"/>
      <w:sz w:val="28"/>
      <w:szCs w:val="24"/>
      <w:lang w:val="en-US" w:eastAsia="zh-CN" w:bidi="ar-SA"/>
    </w:rPr>
  </w:style>
  <w:style w:type="character" w:customStyle="1" w:styleId="65">
    <w:name w:val="纯文本 Char"/>
    <w:link w:val="21"/>
    <w:qFormat/>
    <w:uiPriority w:val="0"/>
    <w:rPr>
      <w:rFonts w:ascii="宋体" w:hAnsi="Courier New" w:eastAsia="宋体"/>
      <w:color w:val="000000"/>
      <w:kern w:val="2"/>
      <w:sz w:val="21"/>
      <w:lang w:val="en-US" w:eastAsia="zh-CN" w:bidi="ar-SA"/>
    </w:rPr>
  </w:style>
  <w:style w:type="character" w:customStyle="1" w:styleId="66">
    <w:name w:val="正文文本缩进 Char"/>
    <w:link w:val="18"/>
    <w:qFormat/>
    <w:uiPriority w:val="0"/>
    <w:rPr>
      <w:rFonts w:eastAsia="宋体"/>
      <w:kern w:val="2"/>
      <w:sz w:val="21"/>
      <w:szCs w:val="24"/>
      <w:lang w:val="en-US" w:eastAsia="zh-CN" w:bidi="ar-SA"/>
    </w:rPr>
  </w:style>
  <w:style w:type="character" w:customStyle="1" w:styleId="67">
    <w:name w:val="脚注文本 Char"/>
    <w:link w:val="30"/>
    <w:qFormat/>
    <w:uiPriority w:val="0"/>
    <w:rPr>
      <w:rFonts w:eastAsia="宋体"/>
      <w:kern w:val="2"/>
      <w:sz w:val="18"/>
      <w:szCs w:val="18"/>
      <w:lang w:val="en-US" w:eastAsia="zh-CN" w:bidi="ar-SA"/>
    </w:rPr>
  </w:style>
  <w:style w:type="paragraph" w:customStyle="1" w:styleId="68">
    <w:name w:val="Char Char Char Char Char Char Char Char Char Char Char Char Char Char Char Char"/>
    <w:basedOn w:val="1"/>
    <w:qFormat/>
    <w:uiPriority w:val="0"/>
  </w:style>
  <w:style w:type="paragraph" w:customStyle="1" w:styleId="69">
    <w:name w:val="Char1"/>
    <w:basedOn w:val="1"/>
    <w:qFormat/>
    <w:uiPriority w:val="0"/>
    <w:pPr>
      <w:adjustRightInd w:val="0"/>
      <w:spacing w:line="600" w:lineRule="exact"/>
      <w:ind w:firstLine="560" w:firstLineChars="200"/>
      <w:jc w:val="center"/>
    </w:pPr>
  </w:style>
  <w:style w:type="paragraph" w:customStyle="1" w:styleId="70">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71">
    <w:name w:val="批注主题 Char"/>
    <w:basedOn w:val="63"/>
    <w:link w:val="12"/>
    <w:qFormat/>
    <w:uiPriority w:val="0"/>
    <w:rPr>
      <w:b/>
      <w:bCs/>
    </w:rPr>
  </w:style>
  <w:style w:type="character" w:customStyle="1" w:styleId="72">
    <w:name w:val="HTML 预设格式 Char"/>
    <w:basedOn w:val="39"/>
    <w:link w:val="36"/>
    <w:qFormat/>
    <w:uiPriority w:val="0"/>
    <w:rPr>
      <w:rFonts w:ascii="宋体" w:hAnsi="宋体" w:cs="宋体"/>
      <w:sz w:val="24"/>
      <w:szCs w:val="24"/>
    </w:rPr>
  </w:style>
  <w:style w:type="character" w:customStyle="1" w:styleId="73">
    <w:name w:val="font31"/>
    <w:basedOn w:val="39"/>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2050"/>
    <customShpInfo spid="_x0000_s2051"/>
    <customShpInfo spid="_x0000_s2052"/>
    <customShpInfo spid="_x0000_s2053"/>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18E03-B7E4-4D5D-BAAC-5917E17704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140</Pages>
  <Words>59893</Words>
  <Characters>12478</Characters>
  <Lines>103</Lines>
  <Paragraphs>144</Paragraphs>
  <ScaleCrop>false</ScaleCrop>
  <LinksUpToDate>false</LinksUpToDate>
  <CharactersWithSpaces>72227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2017-06-24T08:13:00Z</dcterms:created>
  <dc:creator>hj</dc:creator>
  <cp:lastModifiedBy>mu</cp:lastModifiedBy>
  <cp:lastPrinted>2018-03-02T02:03:00Z</cp:lastPrinted>
  <dcterms:modified xsi:type="dcterms:W3CDTF">2018-03-05T02:17:30Z</dcterms:modified>
  <dc:title>G311线蜜蜂张桥、G107线禄马桥、石桥</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