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topLinePunct w:val="0"/>
        <w:bidi w:val="0"/>
        <w:spacing w:beforeLines="0" w:afterLines="0" w:line="400" w:lineRule="exact"/>
        <w:jc w:val="left"/>
        <w:rPr>
          <w:rFonts w:hint="default"/>
          <w:sz w:val="24"/>
        </w:rPr>
      </w:pPr>
      <w:bookmarkStart w:id="0" w:name="page3"/>
      <w:bookmarkEnd w:id="0"/>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2100" w:leftChars="-1000" w:firstLine="0" w:firstLineChars="0"/>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360" w:lineRule="auto"/>
        <w:jc w:val="center"/>
        <w:rPr>
          <w:rFonts w:hint="default"/>
          <w:sz w:val="44"/>
          <w:szCs w:val="44"/>
        </w:rPr>
      </w:pPr>
      <w:r>
        <w:rPr>
          <w:rFonts w:hint="eastAsia"/>
          <w:sz w:val="44"/>
          <w:szCs w:val="44"/>
          <w:lang w:val="en-US" w:eastAsia="zh-CN"/>
        </w:rPr>
        <w:t>许昌瑞贝卡水业有限公司污水净化分公司     污水处理三期工程设备采购项目</w:t>
      </w: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keepNext w:val="0"/>
        <w:keepLines w:val="0"/>
        <w:pageBreakBefore w:val="0"/>
        <w:tabs>
          <w:tab w:val="left" w:pos="3560"/>
        </w:tabs>
        <w:kinsoku/>
        <w:topLinePunct w:val="0"/>
        <w:bidi w:val="0"/>
        <w:spacing w:beforeLines="0" w:afterLines="0" w:line="400" w:lineRule="exact"/>
        <w:ind w:firstLine="1680" w:firstLineChars="600"/>
        <w:jc w:val="left"/>
        <w:rPr>
          <w:rFonts w:hint="default"/>
          <w:sz w:val="24"/>
        </w:rPr>
      </w:pPr>
      <w:r>
        <w:rPr>
          <w:rFonts w:hint="eastAsia" w:ascii="宋体" w:hAnsi="宋体"/>
          <w:sz w:val="28"/>
        </w:rPr>
        <w:t>（招标编号：</w:t>
      </w:r>
      <w:r>
        <w:rPr>
          <w:rFonts w:hint="eastAsia" w:ascii="宋体" w:hAnsi="宋体"/>
          <w:sz w:val="28"/>
          <w:u w:val="single"/>
          <w:lang w:val="en-US" w:eastAsia="zh-CN"/>
        </w:rPr>
        <w:t xml:space="preserve"> 建安政采公字〔2018〕1号 </w:t>
      </w:r>
      <w:r>
        <w:rPr>
          <w:rFonts w:hint="eastAsia" w:ascii="宋体" w:hAnsi="宋体"/>
          <w:sz w:val="28"/>
        </w:rPr>
        <w:t>）</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240" w:lineRule="auto"/>
        <w:jc w:val="left"/>
        <w:rPr>
          <w:rFonts w:hint="default"/>
          <w:sz w:val="24"/>
        </w:rPr>
      </w:pPr>
    </w:p>
    <w:p>
      <w:pPr>
        <w:keepNext w:val="0"/>
        <w:keepLines w:val="0"/>
        <w:pageBreakBefore w:val="0"/>
        <w:kinsoku/>
        <w:topLinePunct w:val="0"/>
        <w:bidi w:val="0"/>
        <w:spacing w:beforeLines="0" w:afterLines="0" w:line="240" w:lineRule="auto"/>
        <w:ind w:left="1260" w:firstLine="1760" w:firstLineChars="400"/>
        <w:jc w:val="left"/>
        <w:rPr>
          <w:rFonts w:hint="default"/>
          <w:sz w:val="24"/>
        </w:rPr>
      </w:pPr>
      <w:r>
        <w:rPr>
          <w:rFonts w:hint="eastAsia" w:ascii="宋体" w:hAnsi="宋体"/>
          <w:sz w:val="44"/>
        </w:rPr>
        <w:t>招标文件</w:t>
      </w:r>
      <w:r>
        <w:rPr>
          <w:rFonts w:hint="eastAsia" w:ascii="宋体" w:hAnsi="宋体"/>
          <w:sz w:val="44"/>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2580"/>
        </w:tabs>
        <w:kinsoku/>
        <w:topLinePunct w:val="0"/>
        <w:bidi w:val="0"/>
        <w:spacing w:beforeLines="0" w:afterLines="0" w:line="400" w:lineRule="exact"/>
        <w:ind w:firstLine="1620" w:firstLineChars="600"/>
        <w:jc w:val="left"/>
        <w:rPr>
          <w:rFonts w:hint="eastAsia" w:ascii="宋体" w:hAnsi="宋体"/>
          <w:sz w:val="27"/>
        </w:rPr>
      </w:pPr>
      <w:r>
        <w:rPr>
          <w:rFonts w:hint="eastAsia" w:ascii="宋体" w:hAnsi="宋体"/>
          <w:sz w:val="27"/>
        </w:rPr>
        <w:t>招</w:t>
      </w:r>
      <w:r>
        <w:rPr>
          <w:rFonts w:hint="eastAsia" w:ascii="宋体" w:hAnsi="宋体"/>
          <w:sz w:val="27"/>
          <w:lang w:val="en-US" w:eastAsia="zh-CN"/>
        </w:rPr>
        <w:t xml:space="preserve"> </w:t>
      </w:r>
      <w:r>
        <w:rPr>
          <w:rFonts w:hint="eastAsia" w:ascii="宋体" w:hAnsi="宋体"/>
          <w:sz w:val="27"/>
        </w:rPr>
        <w:t>标</w:t>
      </w:r>
      <w:r>
        <w:rPr>
          <w:rFonts w:hint="eastAsia" w:ascii="宋体" w:hAnsi="宋体"/>
          <w:sz w:val="27"/>
          <w:lang w:val="en-US" w:eastAsia="zh-CN"/>
        </w:rPr>
        <w:t xml:space="preserve"> </w:t>
      </w:r>
      <w:r>
        <w:rPr>
          <w:rFonts w:hint="eastAsia" w:ascii="宋体" w:hAnsi="宋体"/>
          <w:sz w:val="27"/>
        </w:rPr>
        <w:t>人：</w:t>
      </w:r>
      <w:r>
        <w:rPr>
          <w:rFonts w:hint="eastAsia" w:ascii="宋体" w:hAnsi="宋体"/>
          <w:sz w:val="27"/>
          <w:u w:val="single"/>
        </w:rPr>
        <w:t>许昌瑞贝卡水业有限公司</w:t>
      </w:r>
      <w:r>
        <w:rPr>
          <w:rFonts w:hint="eastAsia" w:ascii="宋体" w:hAnsi="宋体"/>
          <w:sz w:val="27"/>
        </w:rPr>
        <w:t>（盖单位章）</w:t>
      </w:r>
    </w:p>
    <w:p>
      <w:pPr>
        <w:pStyle w:val="2"/>
        <w:rPr>
          <w:rFonts w:hint="eastAsia"/>
        </w:rPr>
      </w:pPr>
    </w:p>
    <w:p>
      <w:pPr>
        <w:keepNext w:val="0"/>
        <w:keepLines w:val="0"/>
        <w:pageBreakBefore w:val="0"/>
        <w:tabs>
          <w:tab w:val="left" w:pos="2580"/>
        </w:tabs>
        <w:kinsoku/>
        <w:topLinePunct w:val="0"/>
        <w:bidi w:val="0"/>
        <w:spacing w:beforeLines="0" w:afterLines="0" w:line="400" w:lineRule="exact"/>
        <w:ind w:firstLine="1620" w:firstLineChars="600"/>
        <w:jc w:val="left"/>
        <w:rPr>
          <w:rFonts w:hint="default"/>
          <w:sz w:val="24"/>
        </w:rPr>
      </w:pPr>
      <w:r>
        <w:rPr>
          <w:rFonts w:hint="eastAsia" w:ascii="宋体" w:hAnsi="宋体"/>
          <w:sz w:val="27"/>
          <w:lang w:eastAsia="zh-CN"/>
        </w:rPr>
        <w:t>代理机构</w:t>
      </w:r>
      <w:r>
        <w:rPr>
          <w:rFonts w:hint="eastAsia" w:ascii="宋体" w:hAnsi="宋体"/>
          <w:sz w:val="27"/>
        </w:rPr>
        <w:t>：</w:t>
      </w:r>
      <w:r>
        <w:rPr>
          <w:rFonts w:hint="eastAsia" w:ascii="宋体" w:hAnsi="宋体"/>
          <w:sz w:val="27"/>
          <w:u w:val="single"/>
          <w:lang w:eastAsia="zh-CN"/>
        </w:rPr>
        <w:t>山东天马招标代理有限公司</w:t>
      </w:r>
      <w:r>
        <w:rPr>
          <w:rFonts w:hint="eastAsia" w:ascii="宋体" w:hAnsi="宋体"/>
          <w:sz w:val="27"/>
        </w:rPr>
        <w:t>（盖单位章）</w:t>
      </w:r>
    </w:p>
    <w:p>
      <w:pPr>
        <w:keepNext w:val="0"/>
        <w:keepLines w:val="0"/>
        <w:pageBreakBefore w:val="0"/>
        <w:kinsoku/>
        <w:topLinePunct w:val="0"/>
        <w:bidi w:val="0"/>
        <w:spacing w:beforeLines="0" w:afterLines="0" w:line="400" w:lineRule="exact"/>
        <w:jc w:val="left"/>
        <w:rPr>
          <w:rFonts w:hint="eastAsia" w:ascii="宋体" w:hAnsi="宋体"/>
          <w:sz w:val="28"/>
          <w:u w:val="single"/>
          <w:lang w:val="en-US" w:eastAsia="zh-CN"/>
        </w:rPr>
      </w:pPr>
    </w:p>
    <w:p>
      <w:pPr>
        <w:keepNext w:val="0"/>
        <w:keepLines w:val="0"/>
        <w:pageBreakBefore w:val="0"/>
        <w:kinsoku/>
        <w:topLinePunct w:val="0"/>
        <w:bidi w:val="0"/>
        <w:spacing w:beforeLines="0" w:afterLines="0" w:line="400" w:lineRule="exact"/>
        <w:ind w:firstLine="3080" w:firstLineChars="1100"/>
        <w:jc w:val="left"/>
        <w:rPr>
          <w:rFonts w:hint="eastAsia" w:ascii="宋体" w:hAnsi="宋体"/>
          <w:sz w:val="28"/>
          <w:u w:val="single"/>
          <w:lang w:val="en-US" w:eastAsia="zh-CN"/>
        </w:rPr>
      </w:pPr>
    </w:p>
    <w:p>
      <w:pPr>
        <w:keepNext w:val="0"/>
        <w:keepLines w:val="0"/>
        <w:pageBreakBefore w:val="0"/>
        <w:kinsoku/>
        <w:topLinePunct w:val="0"/>
        <w:bidi w:val="0"/>
        <w:spacing w:beforeLines="0" w:afterLines="0" w:line="400" w:lineRule="exact"/>
        <w:ind w:firstLine="2800" w:firstLineChars="1000"/>
        <w:jc w:val="left"/>
        <w:rPr>
          <w:rFonts w:hint="eastAsia" w:ascii="宋体" w:hAnsi="宋体"/>
          <w:sz w:val="28"/>
          <w:lang w:val="en-US" w:eastAsia="zh-CN"/>
        </w:rPr>
      </w:pPr>
      <w:r>
        <w:rPr>
          <w:rFonts w:hint="eastAsia" w:ascii="宋体" w:hAnsi="宋体"/>
          <w:sz w:val="28"/>
          <w:u w:val="single"/>
          <w:lang w:val="en-US" w:eastAsia="zh-CN"/>
        </w:rPr>
        <w:t xml:space="preserve"> 2018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u w:val="single"/>
          <w:lang w:val="en-US" w:eastAsia="zh-CN"/>
        </w:rPr>
        <w:t xml:space="preserve"> 2 </w:t>
      </w:r>
      <w:r>
        <w:rPr>
          <w:rFonts w:hint="eastAsia" w:ascii="宋体" w:hAnsi="宋体"/>
          <w:sz w:val="28"/>
          <w:lang w:val="en-US" w:eastAsia="zh-CN"/>
        </w:rPr>
        <w:t>月</w:t>
      </w:r>
      <w:r>
        <w:rPr>
          <w:rFonts w:hint="eastAsia" w:ascii="宋体" w:hAnsi="宋体"/>
          <w:sz w:val="28"/>
          <w:u w:val="single"/>
          <w:lang w:val="en-US" w:eastAsia="zh-CN"/>
        </w:rPr>
        <w:t xml:space="preserve">  6 </w:t>
      </w:r>
      <w:r>
        <w:rPr>
          <w:rFonts w:hint="eastAsia" w:ascii="宋体" w:hAnsi="宋体"/>
          <w:sz w:val="28"/>
          <w:lang w:val="en-US" w:eastAsia="zh-CN"/>
        </w:rPr>
        <w:t xml:space="preserve">日   </w:t>
      </w: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pP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sectPr>
          <w:headerReference r:id="rId3" w:type="default"/>
          <w:footerReference r:id="rId4" w:type="default"/>
          <w:pgSz w:w="12240" w:h="15840"/>
          <w:pgMar w:top="1440" w:right="1617" w:bottom="1440" w:left="1803" w:header="720" w:footer="720" w:gutter="0"/>
          <w:lnNumType w:countBy="0" w:distance="360"/>
          <w:pgNumType w:fmt="decimal" w:start="1"/>
          <w:cols w:space="425" w:num="1"/>
          <w:rtlGutter w:val="0"/>
          <w:docGrid w:linePitch="0" w:charSpace="0"/>
        </w:sectPr>
      </w:pPr>
    </w:p>
    <w:p>
      <w:pPr>
        <w:pStyle w:val="2"/>
        <w:rPr>
          <w:rFonts w:hint="eastAsia"/>
          <w:lang w:val="en-US" w:eastAsia="zh-CN"/>
        </w:rPr>
      </w:pP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pPr>
    </w:p>
    <w:p>
      <w:pPr>
        <w:keepNext w:val="0"/>
        <w:keepLines w:val="0"/>
        <w:pageBreakBefore w:val="0"/>
        <w:widowControl/>
        <w:kinsoku/>
        <w:topLinePunct w:val="0"/>
        <w:bidi w:val="0"/>
        <w:spacing w:line="240" w:lineRule="auto"/>
        <w:ind w:firstLine="3640" w:firstLineChars="700"/>
        <w:jc w:val="both"/>
        <w:rPr>
          <w:rFonts w:hint="eastAsia" w:ascii="宋体" w:hAnsi="宋体" w:eastAsia="宋体" w:cs="宋体"/>
          <w:b w:val="0"/>
          <w:bCs/>
          <w:color w:val="000000"/>
          <w:kern w:val="36"/>
          <w:sz w:val="52"/>
          <w:szCs w:val="52"/>
        </w:rPr>
      </w:pPr>
      <w:r>
        <w:rPr>
          <w:rFonts w:hint="eastAsia" w:ascii="宋体" w:hAnsi="宋体" w:eastAsia="宋体" w:cs="宋体"/>
          <w:b w:val="0"/>
          <w:bCs/>
          <w:color w:val="000000"/>
          <w:kern w:val="36"/>
          <w:sz w:val="52"/>
          <w:szCs w:val="52"/>
        </w:rPr>
        <w:t>目   录</w:t>
      </w:r>
    </w:p>
    <w:p>
      <w:pPr>
        <w:pStyle w:val="2"/>
        <w:rPr>
          <w:rFonts w:hint="eastAsia"/>
        </w:rPr>
      </w:pPr>
    </w:p>
    <w:p>
      <w:pPr>
        <w:keepNext w:val="0"/>
        <w:keepLines w:val="0"/>
        <w:pageBreakBefore w:val="0"/>
        <w:widowControl/>
        <w:kinsoku/>
        <w:topLinePunct w:val="0"/>
        <w:bidi w:val="0"/>
        <w:spacing w:line="400" w:lineRule="exact"/>
        <w:rPr>
          <w:rFonts w:hint="eastAsia" w:ascii="宋体" w:hAnsi="宋体" w:eastAsia="宋体" w:cs="宋体"/>
          <w:b w:val="0"/>
          <w:bCs/>
          <w:color w:val="000000"/>
          <w:kern w:val="36"/>
          <w:sz w:val="32"/>
          <w:szCs w:val="32"/>
        </w:rPr>
      </w:pPr>
    </w:p>
    <w:p>
      <w:pPr>
        <w:keepNext w:val="0"/>
        <w:keepLines w:val="0"/>
        <w:pageBreakBefore w:val="0"/>
        <w:widowControl/>
        <w:kinsoku/>
        <w:topLinePunct w:val="0"/>
        <w:bidi w:val="0"/>
        <w:spacing w:line="600" w:lineRule="auto"/>
        <w:ind w:firstLine="630" w:firstLineChars="225"/>
        <w:rPr>
          <w:rFonts w:hint="eastAsia"/>
        </w:rPr>
      </w:pPr>
      <w:r>
        <w:rPr>
          <w:rFonts w:hint="eastAsia" w:ascii="宋体" w:hAnsi="宋体" w:eastAsia="宋体" w:cs="宋体"/>
          <w:b w:val="0"/>
          <w:bCs/>
          <w:color w:val="000000"/>
          <w:kern w:val="36"/>
          <w:sz w:val="28"/>
          <w:szCs w:val="28"/>
        </w:rPr>
        <w:t xml:space="preserve">第一章 </w:t>
      </w:r>
      <w:r>
        <w:rPr>
          <w:rFonts w:hint="eastAsia" w:ascii="宋体" w:hAnsi="宋体" w:cs="宋体"/>
          <w:b w:val="0"/>
          <w:bCs/>
          <w:color w:val="000000"/>
          <w:kern w:val="36"/>
          <w:sz w:val="28"/>
          <w:szCs w:val="28"/>
          <w:lang w:eastAsia="zh-CN"/>
        </w:rPr>
        <w:t>招</w:t>
      </w:r>
      <w:r>
        <w:rPr>
          <w:rFonts w:hint="eastAsia" w:ascii="宋体" w:hAnsi="宋体" w:eastAsia="宋体" w:cs="宋体"/>
          <w:b w:val="0"/>
          <w:bCs/>
          <w:color w:val="000000"/>
          <w:kern w:val="36"/>
          <w:sz w:val="28"/>
          <w:szCs w:val="28"/>
        </w:rPr>
        <w:t>标</w:t>
      </w:r>
      <w:r>
        <w:rPr>
          <w:rFonts w:hint="eastAsia" w:ascii="宋体" w:hAnsi="宋体" w:cs="宋体"/>
          <w:b w:val="0"/>
          <w:bCs/>
          <w:color w:val="000000"/>
          <w:kern w:val="36"/>
          <w:sz w:val="28"/>
          <w:szCs w:val="28"/>
          <w:lang w:eastAsia="zh-CN"/>
        </w:rPr>
        <w:t>公告</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lang w:val="en-US" w:eastAsia="zh-CN"/>
        </w:rPr>
      </w:pPr>
      <w:r>
        <w:rPr>
          <w:rFonts w:hint="eastAsia" w:ascii="宋体" w:hAnsi="宋体" w:eastAsia="宋体" w:cs="宋体"/>
          <w:b w:val="0"/>
          <w:bCs/>
          <w:color w:val="000000"/>
          <w:kern w:val="36"/>
          <w:sz w:val="28"/>
          <w:szCs w:val="28"/>
          <w:lang w:val="en-US" w:eastAsia="zh-CN"/>
        </w:rPr>
        <w:t>第二章 投标人须知</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rPr>
      </w:pPr>
      <w:r>
        <w:rPr>
          <w:rFonts w:hint="eastAsia" w:ascii="宋体" w:hAnsi="宋体" w:eastAsia="宋体" w:cs="宋体"/>
          <w:b w:val="0"/>
          <w:bCs/>
          <w:color w:val="000000"/>
          <w:kern w:val="36"/>
          <w:sz w:val="28"/>
          <w:szCs w:val="28"/>
        </w:rPr>
        <w:t>第</w:t>
      </w:r>
      <w:r>
        <w:rPr>
          <w:rFonts w:hint="eastAsia" w:ascii="宋体" w:hAnsi="宋体" w:eastAsia="宋体" w:cs="宋体"/>
          <w:b w:val="0"/>
          <w:bCs/>
          <w:color w:val="000000"/>
          <w:kern w:val="36"/>
          <w:sz w:val="28"/>
          <w:szCs w:val="28"/>
          <w:lang w:eastAsia="zh-CN"/>
        </w:rPr>
        <w:t>三</w:t>
      </w:r>
      <w:r>
        <w:rPr>
          <w:rFonts w:hint="eastAsia" w:ascii="宋体" w:hAnsi="宋体" w:eastAsia="宋体" w:cs="宋体"/>
          <w:b w:val="0"/>
          <w:bCs/>
          <w:color w:val="000000"/>
          <w:kern w:val="36"/>
          <w:sz w:val="28"/>
          <w:szCs w:val="28"/>
        </w:rPr>
        <w:t>章 评标方法</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rPr>
      </w:pPr>
      <w:r>
        <w:rPr>
          <w:rFonts w:hint="eastAsia" w:ascii="宋体" w:hAnsi="宋体" w:eastAsia="宋体" w:cs="宋体"/>
          <w:b w:val="0"/>
          <w:bCs/>
          <w:color w:val="000000"/>
          <w:kern w:val="36"/>
          <w:sz w:val="28"/>
          <w:szCs w:val="28"/>
        </w:rPr>
        <w:t xml:space="preserve">第四章 </w:t>
      </w:r>
      <w:r>
        <w:rPr>
          <w:rFonts w:hint="eastAsia" w:ascii="宋体" w:hAnsi="宋体" w:cs="宋体"/>
          <w:b w:val="0"/>
          <w:bCs/>
          <w:color w:val="000000"/>
          <w:kern w:val="36"/>
          <w:sz w:val="28"/>
          <w:szCs w:val="28"/>
          <w:lang w:eastAsia="zh-CN"/>
        </w:rPr>
        <w:t>合同条款及格式</w:t>
      </w:r>
    </w:p>
    <w:p>
      <w:pPr>
        <w:keepNext w:val="0"/>
        <w:keepLines w:val="0"/>
        <w:pageBreakBefore w:val="0"/>
        <w:widowControl/>
        <w:kinsoku/>
        <w:topLinePunct w:val="0"/>
        <w:bidi w:val="0"/>
        <w:spacing w:line="600" w:lineRule="auto"/>
        <w:ind w:firstLine="630" w:firstLineChars="225"/>
        <w:rPr>
          <w:rFonts w:hint="eastAsia" w:ascii="宋体" w:hAnsi="宋体" w:eastAsia="宋体" w:cs="宋体"/>
          <w:b w:val="0"/>
          <w:bCs/>
          <w:color w:val="000000"/>
          <w:kern w:val="36"/>
          <w:sz w:val="28"/>
          <w:szCs w:val="28"/>
        </w:rPr>
      </w:pPr>
      <w:r>
        <w:rPr>
          <w:rFonts w:hint="eastAsia" w:ascii="宋体" w:hAnsi="宋体" w:eastAsia="宋体" w:cs="宋体"/>
          <w:b w:val="0"/>
          <w:bCs/>
          <w:color w:val="000000"/>
          <w:kern w:val="36"/>
          <w:sz w:val="28"/>
          <w:szCs w:val="28"/>
        </w:rPr>
        <w:t xml:space="preserve">第五章 </w:t>
      </w:r>
      <w:r>
        <w:rPr>
          <w:rFonts w:hint="eastAsia" w:ascii="宋体" w:hAnsi="宋体" w:cs="宋体"/>
          <w:b w:val="0"/>
          <w:bCs/>
          <w:color w:val="000000"/>
          <w:kern w:val="36"/>
          <w:sz w:val="28"/>
          <w:szCs w:val="28"/>
          <w:lang w:eastAsia="zh-CN"/>
        </w:rPr>
        <w:t>供货要求</w:t>
      </w:r>
    </w:p>
    <w:p>
      <w:pPr>
        <w:keepNext w:val="0"/>
        <w:keepLines w:val="0"/>
        <w:pageBreakBefore w:val="0"/>
        <w:widowControl/>
        <w:kinsoku/>
        <w:topLinePunct w:val="0"/>
        <w:bidi w:val="0"/>
        <w:spacing w:line="600" w:lineRule="auto"/>
        <w:ind w:firstLine="630" w:firstLineChars="225"/>
        <w:rPr>
          <w:rFonts w:hint="eastAsia" w:ascii="宋体" w:hAnsi="宋体" w:cs="宋体"/>
          <w:b w:val="0"/>
          <w:bCs/>
          <w:color w:val="000000"/>
          <w:kern w:val="36"/>
          <w:sz w:val="28"/>
          <w:szCs w:val="28"/>
          <w:lang w:eastAsia="zh-CN"/>
        </w:rPr>
      </w:pPr>
      <w:r>
        <w:rPr>
          <w:rFonts w:hint="eastAsia" w:ascii="宋体" w:hAnsi="宋体" w:eastAsia="宋体" w:cs="宋体"/>
          <w:b w:val="0"/>
          <w:bCs/>
          <w:color w:val="000000"/>
          <w:kern w:val="36"/>
          <w:sz w:val="28"/>
          <w:szCs w:val="28"/>
        </w:rPr>
        <w:t xml:space="preserve">第六章 </w:t>
      </w:r>
      <w:r>
        <w:rPr>
          <w:rFonts w:hint="eastAsia" w:ascii="宋体" w:hAnsi="宋体" w:cs="宋体"/>
          <w:b w:val="0"/>
          <w:bCs/>
          <w:color w:val="000000"/>
          <w:kern w:val="36"/>
          <w:sz w:val="28"/>
          <w:szCs w:val="28"/>
          <w:lang w:eastAsia="zh-CN"/>
        </w:rPr>
        <w:t>投标文件格式</w:t>
      </w:r>
    </w:p>
    <w:p>
      <w:pPr>
        <w:pStyle w:val="2"/>
        <w:keepNext w:val="0"/>
        <w:keepLines w:val="0"/>
        <w:pageBreakBefore w:val="0"/>
        <w:kinsoku/>
        <w:topLinePunct w:val="0"/>
        <w:bidi w:val="0"/>
        <w:spacing w:line="600" w:lineRule="auto"/>
        <w:rPr>
          <w:rFonts w:hint="eastAsia"/>
          <w:lang w:val="en-US"/>
        </w:rPr>
      </w:pPr>
    </w:p>
    <w:p>
      <w:pPr>
        <w:keepNext w:val="0"/>
        <w:keepLines w:val="0"/>
        <w:pageBreakBefore w:val="0"/>
        <w:kinsoku/>
        <w:topLinePunct w:val="0"/>
        <w:bidi w:val="0"/>
        <w:spacing w:beforeLines="0" w:afterLines="0" w:line="600" w:lineRule="auto"/>
        <w:ind w:firstLine="2520" w:firstLineChars="900"/>
        <w:jc w:val="left"/>
        <w:rPr>
          <w:rFonts w:hint="eastAsia" w:ascii="宋体" w:hAnsi="宋体"/>
          <w:sz w:val="28"/>
          <w:lang w:val="en-US" w:eastAsia="zh-CN"/>
        </w:rPr>
      </w:pPr>
    </w:p>
    <w:p>
      <w:pPr>
        <w:keepNext w:val="0"/>
        <w:keepLines w:val="0"/>
        <w:pageBreakBefore w:val="0"/>
        <w:kinsoku/>
        <w:topLinePunct w:val="0"/>
        <w:bidi w:val="0"/>
        <w:spacing w:beforeLines="0" w:afterLines="0" w:line="400" w:lineRule="exact"/>
        <w:ind w:firstLine="2520" w:firstLineChars="900"/>
        <w:jc w:val="left"/>
        <w:rPr>
          <w:rFonts w:hint="eastAsia" w:ascii="宋体" w:hAnsi="宋体"/>
          <w:sz w:val="28"/>
          <w:lang w:val="en-US" w:eastAsia="zh-CN"/>
        </w:rPr>
      </w:pPr>
    </w:p>
    <w:p>
      <w:pPr>
        <w:keepNext w:val="0"/>
        <w:keepLines w:val="0"/>
        <w:pageBreakBefore w:val="0"/>
        <w:kinsoku/>
        <w:topLinePunct w:val="0"/>
        <w:bidi w:val="0"/>
        <w:spacing w:beforeLines="0" w:afterLines="0" w:line="400" w:lineRule="exact"/>
        <w:jc w:val="left"/>
        <w:rPr>
          <w:rFonts w:hint="eastAsia" w:ascii="宋体" w:hAnsi="宋体"/>
          <w:b/>
          <w:sz w:val="44"/>
        </w:rPr>
      </w:pPr>
      <w:bookmarkStart w:id="1" w:name="page4"/>
      <w:bookmarkEnd w:id="1"/>
      <w:bookmarkStart w:id="2" w:name="page5"/>
      <w:bookmarkEnd w:id="2"/>
      <w:bookmarkStart w:id="3" w:name="page7"/>
      <w:bookmarkEnd w:id="3"/>
      <w:bookmarkStart w:id="4" w:name="page9"/>
      <w:bookmarkEnd w:id="4"/>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400" w:lineRule="exact"/>
        <w:jc w:val="left"/>
        <w:rPr>
          <w:rFonts w:hint="eastAsia" w:ascii="宋体" w:hAnsi="宋体"/>
          <w:b/>
          <w:sz w:val="44"/>
        </w:rPr>
      </w:pPr>
    </w:p>
    <w:p>
      <w:pPr>
        <w:keepNext w:val="0"/>
        <w:keepLines w:val="0"/>
        <w:pageBreakBefore w:val="0"/>
        <w:kinsoku/>
        <w:topLinePunct w:val="0"/>
        <w:bidi w:val="0"/>
        <w:spacing w:beforeLines="0" w:afterLines="0" w:line="360" w:lineRule="auto"/>
        <w:ind w:firstLine="2650" w:firstLineChars="600"/>
        <w:jc w:val="left"/>
        <w:rPr>
          <w:rFonts w:hint="default"/>
          <w:sz w:val="24"/>
        </w:rPr>
      </w:pPr>
      <w:r>
        <w:rPr>
          <w:rFonts w:hint="eastAsia" w:ascii="宋体" w:hAnsi="宋体"/>
          <w:b/>
          <w:sz w:val="44"/>
        </w:rPr>
        <w:t>第一章招标公告</w:t>
      </w:r>
    </w:p>
    <w:p>
      <w:pPr>
        <w:keepNext w:val="0"/>
        <w:keepLines w:val="0"/>
        <w:pageBreakBefore w:val="0"/>
        <w:kinsoku/>
        <w:topLinePunct w:val="0"/>
        <w:bidi w:val="0"/>
        <w:spacing w:beforeLines="0" w:afterLines="0" w:line="240" w:lineRule="auto"/>
        <w:ind w:firstLine="1440" w:firstLineChars="400"/>
        <w:jc w:val="left"/>
        <w:rPr>
          <w:rFonts w:hint="eastAsia" w:ascii="宋体" w:hAnsi="宋体"/>
          <w:sz w:val="36"/>
          <w:szCs w:val="36"/>
        </w:rPr>
      </w:pPr>
      <w:r>
        <w:rPr>
          <w:rFonts w:hint="eastAsia" w:ascii="宋体" w:hAnsi="宋体"/>
          <w:sz w:val="36"/>
          <w:szCs w:val="36"/>
        </w:rPr>
        <w:t>许昌瑞贝卡水业有限公司污水净化分公司</w:t>
      </w:r>
    </w:p>
    <w:p>
      <w:pPr>
        <w:keepNext w:val="0"/>
        <w:keepLines w:val="0"/>
        <w:pageBreakBefore w:val="0"/>
        <w:kinsoku/>
        <w:topLinePunct w:val="0"/>
        <w:bidi w:val="0"/>
        <w:spacing w:beforeLines="0" w:afterLines="0" w:line="240" w:lineRule="auto"/>
        <w:ind w:firstLine="2160" w:firstLineChars="600"/>
        <w:jc w:val="left"/>
        <w:rPr>
          <w:rFonts w:hint="eastAsia" w:ascii="宋体" w:hAnsi="宋体"/>
          <w:sz w:val="36"/>
          <w:szCs w:val="36"/>
        </w:rPr>
      </w:pPr>
      <w:r>
        <w:rPr>
          <w:rFonts w:hint="eastAsia" w:ascii="宋体" w:hAnsi="宋体"/>
          <w:sz w:val="36"/>
          <w:szCs w:val="36"/>
        </w:rPr>
        <w:t>污水处理三期工程设备采购项目</w:t>
      </w:r>
    </w:p>
    <w:p>
      <w:pPr>
        <w:keepNext w:val="0"/>
        <w:keepLines w:val="0"/>
        <w:pageBreakBefore w:val="0"/>
        <w:kinsoku/>
        <w:topLinePunct w:val="0"/>
        <w:bidi w:val="0"/>
        <w:spacing w:beforeLines="0" w:afterLines="0" w:line="240" w:lineRule="auto"/>
        <w:ind w:firstLine="3240" w:firstLineChars="900"/>
        <w:jc w:val="left"/>
        <w:rPr>
          <w:rFonts w:hint="eastAsia"/>
          <w:sz w:val="36"/>
          <w:szCs w:val="36"/>
          <w:lang w:eastAsia="zh-CN"/>
        </w:rPr>
      </w:pPr>
      <w:r>
        <w:rPr>
          <w:rFonts w:hint="eastAsia" w:ascii="宋体" w:hAnsi="宋体"/>
          <w:sz w:val="36"/>
          <w:szCs w:val="36"/>
          <w:lang w:eastAsia="zh-CN"/>
        </w:rPr>
        <w:t>公开</w:t>
      </w:r>
      <w:r>
        <w:rPr>
          <w:rFonts w:hint="eastAsia" w:ascii="宋体" w:hAnsi="宋体"/>
          <w:sz w:val="36"/>
          <w:szCs w:val="36"/>
        </w:rPr>
        <w:t>招标公告</w:t>
      </w:r>
      <w:r>
        <w:rPr>
          <w:rFonts w:hint="eastAsia"/>
          <w:sz w:val="36"/>
          <w:szCs w:val="36"/>
          <w:lang w:eastAsia="zh-CN"/>
        </w:rPr>
        <w:t>（二次）</w:t>
      </w:r>
    </w:p>
    <w:p>
      <w:pPr>
        <w:keepNext w:val="0"/>
        <w:keepLines w:val="0"/>
        <w:pageBreakBefore w:val="0"/>
        <w:kinsoku/>
        <w:topLinePunct w:val="0"/>
        <w:bidi w:val="0"/>
        <w:spacing w:beforeLines="0" w:afterLines="0" w:line="240" w:lineRule="auto"/>
        <w:jc w:val="left"/>
        <w:rPr>
          <w:rFonts w:hint="eastAsia" w:ascii="宋体" w:hAnsi="宋体"/>
          <w:b/>
          <w:sz w:val="32"/>
        </w:rPr>
      </w:pPr>
      <w:r>
        <w:rPr>
          <w:rFonts w:hint="eastAsia" w:ascii="宋体" w:hAnsi="宋体"/>
          <w:b/>
          <w:sz w:val="32"/>
          <w:lang w:val="en-US" w:eastAsia="zh-CN"/>
        </w:rPr>
        <w:t>1.</w:t>
      </w:r>
      <w:r>
        <w:rPr>
          <w:rFonts w:hint="eastAsia" w:ascii="宋体" w:hAnsi="宋体"/>
          <w:b/>
          <w:sz w:val="32"/>
        </w:rPr>
        <w:t>招标条件</w:t>
      </w:r>
    </w:p>
    <w:p>
      <w:pPr>
        <w:pStyle w:val="2"/>
        <w:keepNext w:val="0"/>
        <w:keepLines w:val="0"/>
        <w:pageBreakBefore w:val="0"/>
        <w:numPr>
          <w:ilvl w:val="0"/>
          <w:numId w:val="0"/>
        </w:numPr>
        <w:kinsoku/>
        <w:topLinePunct w:val="0"/>
        <w:bidi w:val="0"/>
        <w:spacing w:line="400" w:lineRule="exact"/>
        <w:ind w:firstLine="480" w:firstLineChars="200"/>
        <w:rPr>
          <w:rFonts w:hint="eastAsia" w:ascii="宋体" w:hAnsi="宋体" w:eastAsia="宋体" w:cs="宋体"/>
          <w:sz w:val="24"/>
        </w:rPr>
      </w:pPr>
      <w:r>
        <w:rPr>
          <w:rFonts w:hint="eastAsia" w:ascii="宋体" w:hAnsi="宋体" w:eastAsia="宋体" w:cs="宋体"/>
          <w:lang w:val="en-US" w:eastAsia="zh-CN"/>
        </w:rPr>
        <w:t>本招标“采购项目”招标人为“许昌瑞贝卡水业有限公司”，招标项目资金来自“企业自筹”，出资比例为100%。该项目已具备招标条件，现对“ 许昌瑞贝卡水业有限公司污水净化分公司污水处理三期工程设备”采购进行公开招标。</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 xml:space="preserve">2. </w:t>
      </w:r>
      <w:r>
        <w:rPr>
          <w:rFonts w:hint="eastAsia" w:ascii="宋体" w:hAnsi="宋体"/>
          <w:b/>
          <w:sz w:val="32"/>
        </w:rPr>
        <w:t>项目概况与招标范围</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（一）项目编号：建安政采公</w:t>
      </w:r>
      <w:r>
        <w:rPr>
          <w:rFonts w:hint="eastAsia" w:ascii="宋体" w:hAnsi="宋体" w:cs="宋体"/>
          <w:sz w:val="24"/>
          <w:lang w:eastAsia="zh-CN"/>
        </w:rPr>
        <w:t>字</w:t>
      </w:r>
      <w:r>
        <w:rPr>
          <w:rFonts w:hint="eastAsia" w:ascii="宋体" w:hAnsi="宋体" w:eastAsia="宋体" w:cs="宋体"/>
          <w:sz w:val="24"/>
        </w:rPr>
        <w:t>〔2018〕1号</w:t>
      </w:r>
    </w:p>
    <w:p>
      <w:pPr>
        <w:keepNext w:val="0"/>
        <w:keepLines w:val="0"/>
        <w:pageBreakBefore w:val="0"/>
        <w:widowControl/>
        <w:kinsoku/>
        <w:wordWrap/>
        <w:overflowPunct/>
        <w:topLinePunct w:val="0"/>
        <w:autoSpaceDE/>
        <w:autoSpaceDN/>
        <w:bidi w:val="0"/>
        <w:snapToGrid/>
        <w:spacing w:beforeLines="0" w:afterLines="0" w:line="400" w:lineRule="exact"/>
        <w:ind w:right="0" w:rightChars="0" w:firstLine="480" w:firstLineChars="200"/>
        <w:jc w:val="left"/>
        <w:outlineLvl w:val="9"/>
        <w:rPr>
          <w:rFonts w:hint="eastAsia" w:ascii="宋体" w:hAnsi="宋体" w:eastAsia="宋体" w:cs="宋体"/>
          <w:sz w:val="24"/>
          <w:lang w:val="en-US" w:eastAsia="zh-CN"/>
        </w:rPr>
      </w:pPr>
      <w:r>
        <w:rPr>
          <w:rFonts w:hint="eastAsia" w:ascii="宋体" w:hAnsi="宋体" w:eastAsia="宋体" w:cs="宋体"/>
          <w:sz w:val="24"/>
          <w:lang w:val="en-US" w:eastAsia="zh-CN"/>
        </w:rPr>
        <w:t>（二）项目名称：许昌瑞贝卡水业有限公司污水净化分公司污水处理三期工程设备采购项目</w:t>
      </w:r>
    </w:p>
    <w:p>
      <w:pPr>
        <w:keepNext w:val="0"/>
        <w:keepLines w:val="0"/>
        <w:pageBreakBefore w:val="0"/>
        <w:widowControl/>
        <w:kinsoku/>
        <w:wordWrap/>
        <w:overflowPunct/>
        <w:topLinePunct w:val="0"/>
        <w:autoSpaceDE/>
        <w:autoSpaceDN/>
        <w:bidi w:val="0"/>
        <w:snapToGrid/>
        <w:spacing w:beforeLines="0" w:afterLines="0" w:line="400" w:lineRule="exact"/>
        <w:ind w:right="0" w:rightChars="0" w:firstLine="480" w:firstLineChars="200"/>
        <w:jc w:val="left"/>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三</w:t>
      </w:r>
      <w:r>
        <w:rPr>
          <w:rFonts w:hint="eastAsia" w:ascii="宋体" w:hAnsi="宋体" w:eastAsia="宋体" w:cs="宋体"/>
          <w:sz w:val="24"/>
        </w:rPr>
        <w:t>）项目建设地点：</w:t>
      </w:r>
      <w:r>
        <w:rPr>
          <w:rFonts w:hint="eastAsia" w:ascii="宋体" w:hAnsi="宋体" w:eastAsia="宋体" w:cs="宋体"/>
          <w:sz w:val="24"/>
          <w:lang w:eastAsia="zh-CN"/>
        </w:rPr>
        <w:t>建安区学院南路路东、瑞贝卡大道路南、瑞贝卡水业有限公司污水净化分公司院内，已建成污水处理厂一、二期南侧。</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四</w:t>
      </w:r>
      <w:r>
        <w:rPr>
          <w:rFonts w:hint="eastAsia" w:ascii="宋体" w:hAnsi="宋体" w:eastAsia="宋体" w:cs="宋体"/>
          <w:sz w:val="24"/>
        </w:rPr>
        <w:t>）规模</w:t>
      </w:r>
      <w:r>
        <w:rPr>
          <w:rFonts w:hint="eastAsia" w:ascii="宋体" w:hAnsi="宋体" w:eastAsia="宋体" w:cs="宋体"/>
          <w:sz w:val="24"/>
          <w:lang w:eastAsia="zh-CN"/>
        </w:rPr>
        <w:t>及内容</w:t>
      </w:r>
      <w:r>
        <w:rPr>
          <w:rFonts w:hint="eastAsia" w:ascii="宋体" w:hAnsi="宋体" w:eastAsia="宋体" w:cs="宋体"/>
          <w:sz w:val="24"/>
        </w:rPr>
        <w:t>：</w:t>
      </w:r>
      <w:r>
        <w:rPr>
          <w:rFonts w:hint="eastAsia" w:ascii="宋体" w:hAnsi="宋体" w:eastAsia="宋体" w:cs="宋体"/>
          <w:sz w:val="24"/>
          <w:lang w:eastAsia="zh-CN"/>
        </w:rPr>
        <w:t>污水处理三期工程设计规模为日处理水量</w:t>
      </w:r>
      <w:r>
        <w:rPr>
          <w:rFonts w:hint="eastAsia" w:ascii="宋体" w:hAnsi="宋体" w:eastAsia="宋体" w:cs="宋体"/>
          <w:sz w:val="24"/>
          <w:lang w:val="en-US" w:eastAsia="zh-CN"/>
        </w:rPr>
        <w:t>8万吨。采用A20工艺，砂滤、消毒的处理工艺。建设内容主要为建设曝气池，二沉池以及购置粗细格栅、提升泵、曝气设备、吸刮泥机、砂滤成套设备、加药设备、脱水机、电气设备、自控仪表等设备。</w:t>
      </w:r>
      <w:r>
        <w:rPr>
          <w:rFonts w:hint="eastAsia" w:ascii="宋体" w:hAnsi="宋体" w:eastAsia="宋体" w:cs="宋体"/>
          <w:sz w:val="24"/>
        </w:rPr>
        <w:t xml:space="preserve">                            </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五</w:t>
      </w:r>
      <w:r>
        <w:rPr>
          <w:rFonts w:hint="eastAsia" w:ascii="宋体" w:hAnsi="宋体" w:eastAsia="宋体" w:cs="宋体"/>
          <w:sz w:val="24"/>
        </w:rPr>
        <w:t>）</w:t>
      </w:r>
      <w:r>
        <w:rPr>
          <w:rFonts w:hint="eastAsia" w:ascii="宋体" w:hAnsi="宋体" w:eastAsia="宋体" w:cs="宋体"/>
          <w:sz w:val="24"/>
          <w:lang w:eastAsia="zh-CN"/>
        </w:rPr>
        <w:t>预算</w:t>
      </w:r>
      <w:r>
        <w:rPr>
          <w:rFonts w:hint="eastAsia" w:ascii="宋体" w:hAnsi="宋体" w:eastAsia="宋体" w:cs="宋体"/>
          <w:sz w:val="24"/>
        </w:rPr>
        <w:t>：</w:t>
      </w:r>
    </w:p>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第三标段</w:t>
      </w:r>
      <w:r>
        <w:rPr>
          <w:rFonts w:hint="eastAsia" w:ascii="宋体" w:hAnsi="宋体" w:cs="宋体"/>
          <w:sz w:val="24"/>
          <w:szCs w:val="24"/>
          <w:lang w:eastAsia="zh-CN"/>
        </w:rPr>
        <w:t>：</w:t>
      </w:r>
      <w:r>
        <w:rPr>
          <w:rFonts w:hint="eastAsia" w:ascii="宋体" w:hAnsi="宋体" w:eastAsia="宋体" w:cs="宋体"/>
          <w:sz w:val="24"/>
          <w:szCs w:val="24"/>
          <w:lang w:val="en-US" w:eastAsia="zh-CN"/>
        </w:rPr>
        <w:t>磁悬浮风机系统</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270万</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第四标段</w:t>
      </w:r>
      <w:r>
        <w:rPr>
          <w:rFonts w:hint="eastAsia" w:ascii="宋体" w:hAnsi="宋体" w:cs="宋体"/>
          <w:sz w:val="24"/>
          <w:szCs w:val="24"/>
          <w:lang w:eastAsia="zh-CN"/>
        </w:rPr>
        <w:t>：</w:t>
      </w:r>
      <w:r>
        <w:rPr>
          <w:rFonts w:hint="eastAsia" w:ascii="宋体" w:hAnsi="宋体" w:eastAsia="宋体" w:cs="宋体"/>
          <w:sz w:val="24"/>
          <w:szCs w:val="24"/>
          <w:lang w:val="en-US" w:eastAsia="zh-CN"/>
        </w:rPr>
        <w:t>泵类</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160万</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第九标段</w:t>
      </w:r>
      <w:r>
        <w:rPr>
          <w:rFonts w:hint="eastAsia" w:ascii="宋体" w:hAnsi="宋体" w:cs="宋体"/>
          <w:sz w:val="24"/>
          <w:szCs w:val="24"/>
          <w:lang w:eastAsia="zh-CN"/>
        </w:rPr>
        <w:t>：</w:t>
      </w:r>
      <w:r>
        <w:rPr>
          <w:rFonts w:hint="eastAsia" w:ascii="宋体" w:hAnsi="宋体" w:eastAsia="宋体" w:cs="宋体"/>
          <w:sz w:val="24"/>
          <w:szCs w:val="24"/>
          <w:lang w:eastAsia="zh-CN"/>
        </w:rPr>
        <w:t>加药消毒系统</w:t>
      </w:r>
      <w:r>
        <w:rPr>
          <w:rFonts w:hint="eastAsia" w:ascii="宋体" w:hAnsi="宋体" w:cs="宋体"/>
          <w:sz w:val="24"/>
          <w:szCs w:val="24"/>
          <w:lang w:val="en-US" w:eastAsia="zh-CN"/>
        </w:rPr>
        <w:t xml:space="preserve">          138</w:t>
      </w:r>
      <w:r>
        <w:rPr>
          <w:rFonts w:hint="eastAsia" w:ascii="宋体" w:hAnsi="宋体" w:eastAsia="宋体" w:cs="宋体"/>
          <w:sz w:val="24"/>
          <w:szCs w:val="24"/>
          <w:lang w:val="en-US" w:eastAsia="zh-CN"/>
        </w:rPr>
        <w:t>万</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六</w:t>
      </w:r>
      <w:r>
        <w:rPr>
          <w:rFonts w:hint="eastAsia" w:ascii="宋体" w:hAnsi="宋体" w:eastAsia="宋体" w:cs="宋体"/>
          <w:sz w:val="24"/>
        </w:rPr>
        <w:t>）标段划分：本</w:t>
      </w:r>
      <w:r>
        <w:rPr>
          <w:rFonts w:hint="eastAsia" w:ascii="宋体" w:hAnsi="宋体" w:eastAsia="宋体" w:cs="宋体"/>
          <w:sz w:val="24"/>
          <w:lang w:eastAsia="zh-CN"/>
        </w:rPr>
        <w:t>项目</w:t>
      </w:r>
      <w:r>
        <w:rPr>
          <w:rFonts w:hint="eastAsia" w:ascii="宋体" w:hAnsi="宋体" w:eastAsia="宋体" w:cs="宋体"/>
          <w:sz w:val="24"/>
        </w:rPr>
        <w:t>共设</w:t>
      </w:r>
      <w:r>
        <w:rPr>
          <w:rFonts w:hint="eastAsia" w:ascii="宋体" w:hAnsi="宋体" w:eastAsia="宋体" w:cs="宋体"/>
          <w:sz w:val="24"/>
          <w:lang w:eastAsia="zh-CN"/>
        </w:rPr>
        <w:t>十一</w:t>
      </w:r>
      <w:r>
        <w:rPr>
          <w:rFonts w:hint="eastAsia" w:ascii="宋体" w:hAnsi="宋体" w:eastAsia="宋体" w:cs="宋体"/>
          <w:sz w:val="24"/>
        </w:rPr>
        <w:t>个标段</w:t>
      </w:r>
      <w:r>
        <w:rPr>
          <w:rFonts w:hint="eastAsia" w:ascii="宋体" w:hAnsi="宋体" w:cs="宋体"/>
          <w:sz w:val="24"/>
          <w:lang w:eastAsia="zh-CN"/>
        </w:rPr>
        <w:t>，本次招标的为第</w:t>
      </w:r>
      <w:r>
        <w:rPr>
          <w:rFonts w:hint="eastAsia" w:ascii="宋体" w:hAnsi="宋体" w:cs="宋体"/>
          <w:sz w:val="24"/>
          <w:lang w:val="en-US" w:eastAsia="zh-CN"/>
        </w:rPr>
        <w:t>3、4、9标段</w:t>
      </w:r>
      <w:r>
        <w:rPr>
          <w:rFonts w:hint="eastAsia" w:ascii="宋体" w:hAnsi="宋体" w:eastAsia="宋体" w:cs="宋体"/>
          <w:sz w:val="24"/>
        </w:rPr>
        <w:t>；</w:t>
      </w:r>
    </w:p>
    <w:p>
      <w:pPr>
        <w:keepNext w:val="0"/>
        <w:keepLines w:val="0"/>
        <w:pageBreakBefore w:val="0"/>
        <w:kinsoku/>
        <w:topLinePunct w:val="0"/>
        <w:bidi w:val="0"/>
        <w:spacing w:beforeLines="0" w:afterLines="0" w:line="40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七</w:t>
      </w:r>
      <w:r>
        <w:rPr>
          <w:rFonts w:hint="eastAsia" w:ascii="宋体" w:hAnsi="宋体" w:eastAsia="宋体" w:cs="宋体"/>
          <w:sz w:val="24"/>
        </w:rPr>
        <w:t>）供货期限：合同签订后60天内交货；</w:t>
      </w:r>
    </w:p>
    <w:p>
      <w:pPr>
        <w:keepNext w:val="0"/>
        <w:keepLines w:val="0"/>
        <w:pageBreakBefore w:val="0"/>
        <w:kinsoku/>
        <w:topLinePunct w:val="0"/>
        <w:bidi w:val="0"/>
        <w:spacing w:beforeLines="0" w:afterLines="0" w:line="400" w:lineRule="exact"/>
        <w:ind w:firstLine="480" w:firstLineChars="200"/>
        <w:jc w:val="left"/>
        <w:rPr>
          <w:rFonts w:hint="default"/>
        </w:rPr>
      </w:pPr>
      <w:r>
        <w:rPr>
          <w:rFonts w:hint="eastAsia" w:ascii="宋体" w:hAnsi="宋体" w:eastAsia="宋体" w:cs="宋体"/>
          <w:sz w:val="24"/>
        </w:rPr>
        <w:t>（</w:t>
      </w:r>
      <w:r>
        <w:rPr>
          <w:rFonts w:hint="eastAsia" w:ascii="宋体" w:hAnsi="宋体" w:cs="宋体"/>
          <w:sz w:val="24"/>
          <w:lang w:eastAsia="zh-CN"/>
        </w:rPr>
        <w:t>八</w:t>
      </w:r>
      <w:r>
        <w:rPr>
          <w:rFonts w:hint="eastAsia" w:ascii="宋体" w:hAnsi="宋体" w:eastAsia="宋体" w:cs="宋体"/>
          <w:sz w:val="24"/>
        </w:rPr>
        <w:t>）</w:t>
      </w:r>
      <w:r>
        <w:rPr>
          <w:rFonts w:hint="eastAsia" w:ascii="宋体" w:hAnsi="宋体" w:eastAsia="宋体" w:cs="宋体"/>
          <w:sz w:val="24"/>
          <w:lang w:eastAsia="zh-CN"/>
        </w:rPr>
        <w:t>交货地点：许昌瑞贝卡水业有限公司污水净化分公司</w:t>
      </w:r>
      <w:r>
        <w:rPr>
          <w:rFonts w:hint="eastAsia" w:ascii="宋体" w:hAnsi="宋体" w:cs="宋体"/>
          <w:sz w:val="24"/>
          <w:lang w:eastAsia="zh-CN"/>
        </w:rPr>
        <w:t>。</w:t>
      </w:r>
    </w:p>
    <w:p>
      <w:pPr>
        <w:keepNext w:val="0"/>
        <w:keepLines w:val="0"/>
        <w:pageBreakBefore w:val="0"/>
        <w:kinsoku/>
        <w:topLinePunct w:val="0"/>
        <w:bidi w:val="0"/>
        <w:spacing w:beforeLines="0" w:afterLines="0" w:line="400" w:lineRule="exact"/>
        <w:jc w:val="left"/>
        <w:rPr>
          <w:rFonts w:hint="eastAsia" w:ascii="宋体" w:hAnsi="宋体"/>
          <w:b/>
          <w:sz w:val="32"/>
        </w:rPr>
      </w:pPr>
      <w:r>
        <w:rPr>
          <w:rFonts w:hint="default" w:ascii="Times New Roman" w:hAnsi="Times New Roman" w:eastAsia="Times New Roman"/>
          <w:b/>
          <w:sz w:val="32"/>
        </w:rPr>
        <w:t xml:space="preserve">3. </w:t>
      </w:r>
      <w:r>
        <w:rPr>
          <w:rFonts w:hint="eastAsia" w:ascii="宋体" w:hAnsi="宋体"/>
          <w:b/>
          <w:sz w:val="32"/>
        </w:rPr>
        <w:t>投标人资格要求</w:t>
      </w:r>
    </w:p>
    <w:p>
      <w:pPr>
        <w:pStyle w:val="2"/>
        <w:keepNext w:val="0"/>
        <w:keepLines w:val="0"/>
        <w:pageBreakBefore w:val="0"/>
        <w:widowControl/>
        <w:kinsoku/>
        <w:wordWrap/>
        <w:overflowPunct/>
        <w:topLinePunct w:val="0"/>
        <w:autoSpaceDE/>
        <w:autoSpaceDN/>
        <w:bidi w:val="0"/>
        <w:snapToGrid/>
        <w:spacing w:line="400" w:lineRule="exact"/>
        <w:ind w:left="0" w:leftChars="0" w:right="0" w:rightChars="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具备《中华人民共和国政府采购法》第二十二条规定的基本条件。</w:t>
      </w:r>
    </w:p>
    <w:p>
      <w:pPr>
        <w:pStyle w:val="2"/>
        <w:keepNext w:val="0"/>
        <w:keepLines w:val="0"/>
        <w:pageBreakBefore w:val="0"/>
        <w:widowControl/>
        <w:kinsoku/>
        <w:wordWrap/>
        <w:overflowPunct/>
        <w:topLinePunct w:val="0"/>
        <w:autoSpaceDE/>
        <w:autoSpaceDN/>
        <w:bidi w:val="0"/>
        <w:snapToGrid/>
        <w:spacing w:line="400" w:lineRule="exact"/>
        <w:ind w:left="0" w:leftChars="0" w:right="0" w:rightChars="0"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3.2供应商须是具有</w:t>
      </w:r>
      <w:r>
        <w:rPr>
          <w:rFonts w:hint="eastAsia" w:ascii="宋体" w:hAnsi="宋体" w:cs="宋体"/>
          <w:sz w:val="24"/>
          <w:szCs w:val="24"/>
          <w:lang w:val="en-US" w:eastAsia="zh-CN"/>
        </w:rPr>
        <w:t>环保设备或涉及</w:t>
      </w:r>
      <w:r>
        <w:rPr>
          <w:rFonts w:hint="eastAsia" w:ascii="宋体" w:hAnsi="宋体" w:eastAsia="宋体" w:cs="宋体"/>
          <w:sz w:val="24"/>
          <w:szCs w:val="24"/>
          <w:lang w:val="en-US" w:eastAsia="zh-CN"/>
        </w:rPr>
        <w:t>水处理</w:t>
      </w:r>
      <w:r>
        <w:rPr>
          <w:rFonts w:hint="eastAsia" w:ascii="宋体" w:hAnsi="宋体" w:cs="宋体"/>
          <w:sz w:val="24"/>
          <w:szCs w:val="24"/>
          <w:lang w:val="en-US" w:eastAsia="zh-CN"/>
        </w:rPr>
        <w:t>通用设备和专业</w:t>
      </w:r>
      <w:r>
        <w:rPr>
          <w:rFonts w:hint="eastAsia" w:ascii="宋体" w:hAnsi="宋体" w:eastAsia="宋体" w:cs="宋体"/>
          <w:sz w:val="24"/>
          <w:szCs w:val="24"/>
          <w:lang w:val="en-US" w:eastAsia="zh-CN"/>
        </w:rPr>
        <w:t>设备的生产、制造及经营企业，有能力提供本次采购项目所要求的货物和专业技术能力。</w:t>
      </w:r>
    </w:p>
    <w:p>
      <w:pPr>
        <w:keepNext w:val="0"/>
        <w:keepLines w:val="0"/>
        <w:pageBreakBefore w:val="0"/>
        <w:widowControl/>
        <w:kinsoku/>
        <w:wordWrap/>
        <w:overflowPunct/>
        <w:topLinePunct w:val="0"/>
        <w:autoSpaceDE/>
        <w:autoSpaceDN/>
        <w:bidi w:val="0"/>
        <w:snapToGrid/>
        <w:spacing w:beforeLines="0" w:afterLines="0" w:line="400" w:lineRule="exact"/>
        <w:ind w:left="0" w:leftChars="0" w:right="0" w:rightChars="0" w:firstLine="480" w:firstLineChars="200"/>
        <w:jc w:val="left"/>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 xml:space="preserve"> 自2014年以来在经营活动中没有重大违法记录（以检察机关出具的查询行贿犯罪档案结果告知函原件为准）；</w:t>
      </w:r>
    </w:p>
    <w:p>
      <w:pPr>
        <w:pStyle w:val="2"/>
        <w:ind w:firstLine="480" w:firstLineChars="200"/>
        <w:rPr>
          <w:rFonts w:hint="eastAsia"/>
        </w:rPr>
      </w:pPr>
      <w:r>
        <w:rPr>
          <w:rFonts w:hint="eastAsia" w:ascii="宋体" w:hAnsi="宋体" w:cs="宋体"/>
          <w:kern w:val="0"/>
          <w:sz w:val="24"/>
          <w:szCs w:val="24"/>
          <w:lang w:val="en-US" w:eastAsia="zh-CN"/>
        </w:rPr>
        <w:t>3.4</w:t>
      </w:r>
      <w:r>
        <w:rPr>
          <w:rFonts w:hint="eastAsia"/>
        </w:rPr>
        <w:t>不接受失信被执行人的投标</w:t>
      </w:r>
      <w:r>
        <w:rPr>
          <w:rFonts w:hint="eastAsia"/>
          <w:lang w:eastAsia="zh-CN"/>
        </w:rPr>
        <w:t>；</w:t>
      </w:r>
    </w:p>
    <w:p>
      <w:pPr>
        <w:pStyle w:val="2"/>
        <w:ind w:firstLine="480" w:firstLineChars="20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 xml:space="preserve">5 </w:t>
      </w:r>
      <w:r>
        <w:rPr>
          <w:rFonts w:hint="eastAsia"/>
        </w:rPr>
        <w:t>本次招标实行资格后审</w:t>
      </w:r>
      <w:r>
        <w:rPr>
          <w:rFonts w:hint="eastAsia"/>
          <w:lang w:eastAsia="zh-CN"/>
        </w:rPr>
        <w:t>；</w:t>
      </w:r>
    </w:p>
    <w:p>
      <w:pPr>
        <w:keepNext w:val="0"/>
        <w:keepLines w:val="0"/>
        <w:pageBreakBefore w:val="0"/>
        <w:widowControl/>
        <w:kinsoku/>
        <w:wordWrap/>
        <w:overflowPunct/>
        <w:topLinePunct w:val="0"/>
        <w:autoSpaceDE/>
        <w:autoSpaceDN/>
        <w:bidi w:val="0"/>
        <w:snapToGrid/>
        <w:spacing w:beforeLines="0" w:afterLines="0" w:line="400" w:lineRule="exact"/>
        <w:ind w:left="0" w:leftChars="0" w:right="0" w:rightChars="0"/>
        <w:jc w:val="left"/>
        <w:outlineLvl w:val="9"/>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6</w:t>
      </w:r>
      <w:r>
        <w:rPr>
          <w:rFonts w:hint="eastAsia" w:ascii="宋体" w:hAnsi="宋体" w:eastAsia="宋体" w:cs="宋体"/>
          <w:sz w:val="24"/>
          <w:szCs w:val="24"/>
          <w:lang w:val="en-US" w:eastAsia="zh-CN"/>
        </w:rPr>
        <w:t>本项目不接受联合体投标。</w:t>
      </w:r>
    </w:p>
    <w:p>
      <w:pPr>
        <w:keepNext w:val="0"/>
        <w:keepLines w:val="0"/>
        <w:pageBreakBefore w:val="0"/>
        <w:numPr>
          <w:ilvl w:val="0"/>
          <w:numId w:val="2"/>
        </w:numPr>
        <w:tabs>
          <w:tab w:val="left" w:pos="400"/>
          <w:tab w:val="clear" w:pos="720"/>
        </w:tabs>
        <w:kinsoku/>
        <w:overflowPunct w:val="0"/>
        <w:topLinePunct w:val="0"/>
        <w:bidi w:val="0"/>
        <w:spacing w:beforeLines="0" w:afterLines="0" w:line="400" w:lineRule="exact"/>
        <w:ind w:left="400" w:hanging="400"/>
        <w:rPr>
          <w:rFonts w:hint="eastAsia" w:ascii="宋体" w:hAnsi="宋体" w:eastAsia="宋体" w:cs="宋体"/>
          <w:b/>
          <w:sz w:val="32"/>
          <w:szCs w:val="32"/>
        </w:rPr>
      </w:pPr>
      <w:r>
        <w:rPr>
          <w:rFonts w:hint="eastAsia" w:ascii="宋体" w:hAnsi="宋体" w:eastAsia="宋体" w:cs="宋体"/>
          <w:b/>
          <w:sz w:val="32"/>
          <w:szCs w:val="32"/>
        </w:rPr>
        <w:t>招标文件的获取</w:t>
      </w:r>
    </w:p>
    <w:p>
      <w:pPr>
        <w:pStyle w:val="2"/>
        <w:keepNext w:val="0"/>
        <w:keepLines w:val="0"/>
        <w:pageBreakBefore w:val="0"/>
        <w:kinsoku/>
        <w:topLinePunct w:val="0"/>
        <w:bidi w:val="0"/>
        <w:spacing w:line="4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4.1  </w:t>
      </w:r>
      <w:r>
        <w:rPr>
          <w:rFonts w:hint="eastAsia"/>
        </w:rPr>
        <w:t>招标文件的获取：投标人于投标文件递交截止时间前均可在【全国公共资源交易平台（河南省·许昌市）】自行下载。</w:t>
      </w:r>
    </w:p>
    <w:p>
      <w:pPr>
        <w:pStyle w:val="2"/>
        <w:keepNext w:val="0"/>
        <w:keepLines w:val="0"/>
        <w:pageBreakBefore w:val="0"/>
        <w:kinsoku/>
        <w:topLinePunct w:val="0"/>
        <w:bidi w:val="0"/>
        <w:spacing w:line="400" w:lineRule="exact"/>
        <w:ind w:firstLine="480" w:firstLineChars="200"/>
        <w:rPr>
          <w:rFonts w:hint="eastAsia"/>
        </w:rPr>
      </w:pPr>
      <w:r>
        <w:rPr>
          <w:rFonts w:hint="eastAsia" w:ascii="宋体" w:hAnsi="宋体" w:eastAsia="宋体" w:cs="宋体"/>
          <w:kern w:val="0"/>
          <w:sz w:val="24"/>
          <w:szCs w:val="24"/>
          <w:lang w:val="en-US" w:eastAsia="zh-CN"/>
        </w:rPr>
        <w:t xml:space="preserve">4.2 </w:t>
      </w:r>
      <w:r>
        <w:rPr>
          <w:rFonts w:hint="eastAsia"/>
        </w:rPr>
        <w:t>投标人在递交投标文件时向代理机构缴纳招标文件费用，本项目招标文件每套售价300元，售后不退。</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kern w:val="2"/>
          <w:sz w:val="32"/>
          <w:szCs w:val="32"/>
        </w:rPr>
      </w:pPr>
      <w:r>
        <w:rPr>
          <w:rFonts w:hint="eastAsia" w:ascii="宋体" w:hAnsi="宋体" w:eastAsia="宋体" w:cs="宋体"/>
          <w:b/>
          <w:kern w:val="2"/>
          <w:sz w:val="32"/>
          <w:szCs w:val="32"/>
          <w:lang w:val="en-US" w:eastAsia="zh-CN"/>
        </w:rPr>
        <w:t>5.</w:t>
      </w:r>
      <w:r>
        <w:rPr>
          <w:rFonts w:hint="eastAsia" w:ascii="宋体" w:hAnsi="宋体" w:eastAsia="宋体" w:cs="宋体"/>
          <w:b/>
          <w:kern w:val="2"/>
          <w:sz w:val="32"/>
          <w:szCs w:val="32"/>
        </w:rPr>
        <w:t>投标报名时间及方式</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Times New Roman" w:hAnsi="Times New Roman" w:eastAsia="宋体" w:cs="Times New Roman"/>
          <w:kern w:val="0"/>
          <w:sz w:val="21"/>
          <w:szCs w:val="22"/>
        </w:rPr>
        <w:t>　　</w:t>
      </w:r>
      <w:r>
        <w:rPr>
          <w:rFonts w:hint="eastAsia" w:ascii="Times New Roman" w:hAnsi="Times New Roman" w:cs="Times New Roman"/>
          <w:kern w:val="0"/>
          <w:sz w:val="21"/>
          <w:szCs w:val="22"/>
          <w:lang w:val="en-US" w:eastAsia="zh-CN"/>
        </w:rPr>
        <w:t xml:space="preserve"> </w:t>
      </w:r>
      <w:r>
        <w:rPr>
          <w:rFonts w:hint="eastAsia" w:ascii="宋体" w:hAnsi="宋体" w:eastAsia="宋体" w:cs="宋体"/>
          <w:kern w:val="0"/>
          <w:sz w:val="24"/>
          <w:szCs w:val="24"/>
          <w:lang w:val="en-US" w:eastAsia="zh-CN"/>
        </w:rPr>
        <w:t>5.1</w:t>
      </w:r>
      <w:r>
        <w:rPr>
          <w:rFonts w:hint="eastAsia" w:ascii="宋体" w:hAnsi="宋体" w:eastAsia="宋体" w:cs="宋体"/>
          <w:kern w:val="0"/>
          <w:sz w:val="24"/>
          <w:szCs w:val="24"/>
        </w:rPr>
        <w:t>报名时间：凡有意参加投标者，请于投标截止时间前参与报名。</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5.2</w:t>
      </w:r>
      <w:r>
        <w:rPr>
          <w:rFonts w:hint="eastAsia" w:ascii="宋体" w:hAnsi="宋体" w:eastAsia="宋体" w:cs="宋体"/>
          <w:kern w:val="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pStyle w:val="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sz w:val="32"/>
          <w:szCs w:val="32"/>
        </w:rPr>
      </w:pPr>
      <w:r>
        <w:rPr>
          <w:rFonts w:hint="eastAsia" w:ascii="宋体" w:hAnsi="宋体" w:eastAsia="宋体" w:cs="宋体"/>
          <w:kern w:val="0"/>
          <w:sz w:val="24"/>
          <w:szCs w:val="24"/>
        </w:rPr>
        <w:t>　　</w:t>
      </w:r>
      <w:r>
        <w:rPr>
          <w:rFonts w:hint="eastAsia" w:hAnsi="宋体" w:cs="宋体"/>
          <w:kern w:val="0"/>
          <w:sz w:val="24"/>
          <w:szCs w:val="24"/>
          <w:lang w:val="en-US" w:eastAsia="zh-CN"/>
        </w:rPr>
        <w:t xml:space="preserve"> </w:t>
      </w:r>
      <w:r>
        <w:rPr>
          <w:rFonts w:hint="eastAsia" w:ascii="宋体" w:hAnsi="宋体" w:eastAsia="宋体" w:cs="宋体"/>
          <w:kern w:val="0"/>
          <w:sz w:val="24"/>
          <w:szCs w:val="24"/>
          <w:lang w:val="en-US" w:eastAsia="zh-CN"/>
        </w:rPr>
        <w:t>5.3</w:t>
      </w:r>
      <w:r>
        <w:rPr>
          <w:rFonts w:hint="eastAsia" w:ascii="宋体" w:hAnsi="宋体" w:eastAsia="宋体" w:cs="宋体"/>
          <w:kern w:val="0"/>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topLinePunct w:val="0"/>
        <w:bidi w:val="0"/>
        <w:spacing w:beforeLines="0" w:afterLines="0" w:line="400" w:lineRule="exact"/>
        <w:jc w:val="left"/>
        <w:rPr>
          <w:rFonts w:hint="eastAsia" w:ascii="宋体" w:hAnsi="宋体" w:eastAsia="宋体" w:cs="宋体"/>
          <w:sz w:val="32"/>
          <w:szCs w:val="32"/>
        </w:rPr>
      </w:pPr>
      <w:r>
        <w:rPr>
          <w:rFonts w:hint="eastAsia" w:ascii="宋体" w:hAnsi="宋体" w:cs="宋体"/>
          <w:b/>
          <w:sz w:val="32"/>
          <w:szCs w:val="32"/>
          <w:lang w:val="en-US" w:eastAsia="zh-CN"/>
        </w:rPr>
        <w:t>6</w:t>
      </w:r>
      <w:r>
        <w:rPr>
          <w:rFonts w:hint="eastAsia" w:ascii="宋体" w:hAnsi="宋体" w:eastAsia="宋体" w:cs="宋体"/>
          <w:b/>
          <w:sz w:val="32"/>
          <w:szCs w:val="32"/>
        </w:rPr>
        <w:t>. 投标文件的递交</w:t>
      </w:r>
    </w:p>
    <w:p>
      <w:pPr>
        <w:pStyle w:val="2"/>
        <w:keepNext w:val="0"/>
        <w:keepLines w:val="0"/>
        <w:pageBreakBefore w:val="0"/>
        <w:kinsoku/>
        <w:topLinePunct w:val="0"/>
        <w:bidi w:val="0"/>
        <w:spacing w:line="4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.1 投标文件递交的截止时间（投标截止时间，下同）为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2018</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27</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9</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时</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00</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lang w:val="en-US" w:eastAsia="zh-CN"/>
        </w:rPr>
        <w:t>分，地点为建安区新元大道兴业大厦4楼4165室。</w:t>
      </w:r>
    </w:p>
    <w:p>
      <w:pPr>
        <w:keepNext w:val="0"/>
        <w:keepLines w:val="0"/>
        <w:pageBreakBefore w:val="0"/>
        <w:kinsoku/>
        <w:topLinePunct w:val="0"/>
        <w:bidi w:val="0"/>
        <w:spacing w:line="400" w:lineRule="exact"/>
        <w:ind w:left="0" w:leftChars="0" w:firstLine="458" w:firstLineChars="191"/>
        <w:rPr>
          <w:rFonts w:hint="eastAsia" w:ascii="宋体" w:hAnsi="宋体" w:eastAsia="宋体" w:cs="宋体"/>
          <w:color w:val="000000"/>
          <w:kern w:val="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0"/>
          <w:sz w:val="24"/>
          <w:szCs w:val="24"/>
          <w:lang w:val="en-US" w:eastAsia="zh-CN"/>
        </w:rPr>
        <w:t>未通过“全国公共资源交易平台（河南省·许昌市）”下载招标文件的供应商，其递交的投标文件将拒收。</w:t>
      </w:r>
    </w:p>
    <w:p>
      <w:pPr>
        <w:pStyle w:val="2"/>
        <w:keepNext w:val="0"/>
        <w:keepLines w:val="0"/>
        <w:pageBreakBefore w:val="0"/>
        <w:kinsoku/>
        <w:topLinePunct w:val="0"/>
        <w:bidi w:val="0"/>
        <w:spacing w:line="400" w:lineRule="exact"/>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.3逾期送达或者未送达</w:t>
      </w:r>
      <w:r>
        <w:rPr>
          <w:rFonts w:hint="eastAsia" w:ascii="宋体" w:hAnsi="宋体" w:cs="宋体"/>
          <w:color w:val="000000"/>
          <w:kern w:val="0"/>
          <w:sz w:val="24"/>
          <w:szCs w:val="24"/>
          <w:lang w:val="en-US" w:eastAsia="zh-CN"/>
        </w:rPr>
        <w:t>指</w:t>
      </w:r>
      <w:r>
        <w:rPr>
          <w:rFonts w:hint="eastAsia" w:ascii="宋体" w:hAnsi="宋体" w:eastAsia="宋体" w:cs="宋体"/>
          <w:color w:val="000000"/>
          <w:kern w:val="0"/>
          <w:sz w:val="24"/>
          <w:szCs w:val="24"/>
          <w:lang w:val="en-US" w:eastAsia="zh-CN"/>
        </w:rPr>
        <w:t>定地点的投标文件或者不按照招标文件要求密封的投标文件，招标人不予受理。</w:t>
      </w:r>
    </w:p>
    <w:p>
      <w:pPr>
        <w:keepNext w:val="0"/>
        <w:keepLines w:val="0"/>
        <w:pageBreakBefore w:val="0"/>
        <w:numPr>
          <w:ilvl w:val="0"/>
          <w:numId w:val="0"/>
        </w:numPr>
        <w:tabs>
          <w:tab w:val="left" w:pos="400"/>
        </w:tabs>
        <w:kinsoku/>
        <w:overflowPunct w:val="0"/>
        <w:topLinePunct w:val="0"/>
        <w:bidi w:val="0"/>
        <w:spacing w:beforeLines="0" w:afterLines="0" w:line="400" w:lineRule="exact"/>
        <w:ind w:leftChars="0"/>
        <w:rPr>
          <w:rFonts w:hint="eastAsia" w:ascii="宋体" w:hAnsi="宋体" w:eastAsia="宋体" w:cs="宋体"/>
          <w:b/>
          <w:sz w:val="32"/>
          <w:szCs w:val="32"/>
        </w:rPr>
      </w:pPr>
      <w:r>
        <w:rPr>
          <w:rFonts w:hint="eastAsia" w:ascii="宋体" w:hAnsi="宋体" w:cs="宋体"/>
          <w:b/>
          <w:sz w:val="32"/>
          <w:szCs w:val="32"/>
          <w:lang w:val="en-US" w:eastAsia="zh-CN"/>
        </w:rPr>
        <w:t>7.</w:t>
      </w:r>
      <w:r>
        <w:rPr>
          <w:rFonts w:hint="eastAsia" w:ascii="宋体" w:hAnsi="宋体" w:eastAsia="宋体" w:cs="宋体"/>
          <w:b/>
          <w:sz w:val="32"/>
          <w:szCs w:val="32"/>
        </w:rPr>
        <w:t>发布公告的媒介</w:t>
      </w:r>
    </w:p>
    <w:p>
      <w:pPr>
        <w:keepNext w:val="0"/>
        <w:keepLines w:val="0"/>
        <w:pageBreakBefore w:val="0"/>
        <w:kinsoku/>
        <w:topLinePunct w:val="0"/>
        <w:bidi w:val="0"/>
        <w:spacing w:beforeLines="0" w:afterLines="0" w:line="400" w:lineRule="exact"/>
        <w:ind w:firstLine="480" w:firstLineChars="200"/>
        <w:jc w:val="left"/>
        <w:rPr>
          <w:rFonts w:hint="eastAsia"/>
          <w:lang w:val="en-US"/>
        </w:rPr>
      </w:pPr>
      <w:r>
        <w:rPr>
          <w:rFonts w:hint="eastAsia" w:ascii="宋体" w:hAnsi="宋体" w:eastAsia="宋体" w:cs="宋体"/>
          <w:color w:val="000000"/>
          <w:kern w:val="0"/>
          <w:sz w:val="24"/>
          <w:szCs w:val="24"/>
          <w:lang w:val="en-US" w:eastAsia="zh-CN"/>
        </w:rPr>
        <w:t>本次招标公告</w:t>
      </w:r>
      <w:r>
        <w:rPr>
          <w:rFonts w:hint="eastAsia" w:ascii="宋体" w:hAnsi="宋体" w:cs="宋体"/>
          <w:color w:val="000000"/>
          <w:kern w:val="0"/>
          <w:sz w:val="24"/>
          <w:szCs w:val="24"/>
          <w:lang w:val="en-US" w:eastAsia="zh-CN"/>
        </w:rPr>
        <w:t>同时</w:t>
      </w:r>
      <w:r>
        <w:rPr>
          <w:rFonts w:hint="eastAsia" w:ascii="宋体" w:hAnsi="宋体" w:eastAsia="宋体" w:cs="宋体"/>
          <w:color w:val="000000"/>
          <w:kern w:val="0"/>
          <w:sz w:val="24"/>
          <w:szCs w:val="24"/>
          <w:lang w:val="en-US" w:eastAsia="zh-CN"/>
        </w:rPr>
        <w:t>在 “河南省政府采购网”、 “许昌市政府采购网”、 “全国公共资源交易平台（河南省·许昌市）”</w:t>
      </w:r>
      <w:r>
        <w:rPr>
          <w:rFonts w:hint="eastAsia" w:ascii="宋体" w:hAnsi="宋体" w:cs="宋体"/>
          <w:color w:val="000000"/>
          <w:kern w:val="0"/>
          <w:sz w:val="24"/>
          <w:szCs w:val="24"/>
          <w:lang w:val="en-US" w:eastAsia="zh-CN"/>
        </w:rPr>
        <w:t>上</w:t>
      </w:r>
      <w:r>
        <w:rPr>
          <w:rFonts w:hint="eastAsia" w:ascii="宋体" w:hAnsi="宋体" w:eastAsia="宋体" w:cs="宋体"/>
          <w:color w:val="000000"/>
          <w:kern w:val="0"/>
          <w:sz w:val="24"/>
          <w:szCs w:val="24"/>
          <w:lang w:val="en-US" w:eastAsia="zh-CN"/>
        </w:rPr>
        <w:t>发布。</w:t>
      </w:r>
    </w:p>
    <w:p>
      <w:pPr>
        <w:keepNext w:val="0"/>
        <w:keepLines w:val="0"/>
        <w:pageBreakBefore w:val="0"/>
        <w:numPr>
          <w:ilvl w:val="0"/>
          <w:numId w:val="3"/>
        </w:numPr>
        <w:kinsoku/>
        <w:topLinePunct w:val="0"/>
        <w:bidi w:val="0"/>
        <w:spacing w:beforeLines="0" w:afterLines="0" w:line="400" w:lineRule="exact"/>
        <w:jc w:val="left"/>
        <w:rPr>
          <w:rFonts w:hint="eastAsia" w:ascii="宋体" w:hAnsi="宋体" w:eastAsia="宋体" w:cs="宋体"/>
          <w:b/>
          <w:bCs w:val="0"/>
          <w:sz w:val="28"/>
          <w:szCs w:val="28"/>
        </w:rPr>
      </w:pPr>
      <w:r>
        <w:rPr>
          <w:rFonts w:hint="eastAsia" w:ascii="宋体" w:hAnsi="宋体" w:eastAsia="宋体" w:cs="宋体"/>
          <w:b/>
          <w:bCs w:val="0"/>
          <w:sz w:val="28"/>
          <w:szCs w:val="28"/>
        </w:rPr>
        <w:t>联系方式</w:t>
      </w:r>
    </w:p>
    <w:p>
      <w:pPr>
        <w:keepNext w:val="0"/>
        <w:keepLines w:val="0"/>
        <w:pageBreakBefore w:val="0"/>
        <w:widowControl/>
        <w:kinsoku/>
        <w:wordWrap/>
        <w:overflowPunct/>
        <w:topLinePunct w:val="0"/>
        <w:autoSpaceDE/>
        <w:autoSpaceDN/>
        <w:bidi w:val="0"/>
        <w:snapToGrid/>
        <w:spacing w:beforeLines="0" w:afterLines="0" w:line="400" w:lineRule="exact"/>
        <w:ind w:left="0" w:leftChars="0" w:right="0" w:rightChars="0"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招</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标</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人：</w:t>
      </w:r>
      <w:r>
        <w:rPr>
          <w:rFonts w:hint="eastAsia" w:ascii="宋体" w:hAnsi="宋体" w:eastAsia="宋体" w:cs="宋体"/>
          <w:sz w:val="24"/>
          <w:szCs w:val="24"/>
          <w:u w:val="none"/>
          <w:lang w:val="en-US" w:eastAsia="zh-CN"/>
        </w:rPr>
        <w:t>许昌瑞贝卡水业有限公司</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地    址：许昌瑞贝卡大道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邮    编：461000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人：樊</w:t>
      </w:r>
      <w:r>
        <w:rPr>
          <w:rFonts w:hint="eastAsia" w:ascii="宋体" w:hAnsi="宋体" w:cs="宋体"/>
          <w:sz w:val="24"/>
          <w:szCs w:val="24"/>
          <w:u w:val="none"/>
          <w:lang w:val="en-US" w:eastAsia="zh-CN"/>
        </w:rPr>
        <w:t>剑磊</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cs="宋体"/>
          <w:sz w:val="24"/>
          <w:szCs w:val="24"/>
          <w:u w:val="none"/>
          <w:lang w:val="en-US" w:eastAsia="zh-CN"/>
        </w:rPr>
      </w:pPr>
      <w:r>
        <w:rPr>
          <w:rFonts w:hint="eastAsia" w:ascii="宋体" w:hAnsi="宋体" w:eastAsia="宋体" w:cs="宋体"/>
          <w:sz w:val="24"/>
          <w:szCs w:val="24"/>
          <w:u w:val="none"/>
          <w:lang w:val="en-US" w:eastAsia="zh-CN"/>
        </w:rPr>
        <w:t xml:space="preserve">电    话：0374-5166226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代理机构：山东天马招标代理有限公司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地    址：许昌市创业服务中心D座709室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邮    编：461000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人：赵</w:t>
      </w:r>
      <w:r>
        <w:rPr>
          <w:rFonts w:hint="eastAsia" w:ascii="宋体" w:hAnsi="宋体" w:cs="宋体"/>
          <w:sz w:val="24"/>
          <w:szCs w:val="24"/>
          <w:u w:val="none"/>
          <w:lang w:val="en-US" w:eastAsia="zh-CN"/>
        </w:rPr>
        <w:t>颖颖</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电    话：18768805725/</w:t>
      </w:r>
      <w:r>
        <w:rPr>
          <w:rFonts w:hint="eastAsia" w:ascii="宋体" w:hAnsi="宋体" w:cs="宋体"/>
          <w:sz w:val="24"/>
          <w:szCs w:val="24"/>
          <w:u w:val="none"/>
          <w:lang w:val="en-US" w:eastAsia="zh-CN"/>
        </w:rPr>
        <w:t>15037485311</w:t>
      </w:r>
      <w:r>
        <w:rPr>
          <w:rFonts w:hint="eastAsia" w:ascii="宋体" w:hAnsi="宋体" w:eastAsia="宋体" w:cs="宋体"/>
          <w:sz w:val="24"/>
          <w:szCs w:val="24"/>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after="120" w:afterLines="0" w:line="400" w:lineRule="exact"/>
        <w:ind w:left="0" w:leftChars="0" w:right="0" w:rightChars="0" w:firstLine="480" w:firstLineChars="200"/>
        <w:jc w:val="left"/>
        <w:textAlignment w:val="baseline"/>
        <w:outlineLvl w:val="9"/>
        <w:rPr>
          <w:rFonts w:hint="eastAsia" w:ascii="宋体" w:hAnsi="宋体" w:eastAsia="宋体" w:cs="宋体"/>
          <w:sz w:val="24"/>
          <w:szCs w:val="24"/>
          <w:u w:val="none"/>
          <w:lang w:val="en-US" w:eastAsia="zh-CN"/>
        </w:rPr>
      </w:pPr>
    </w:p>
    <w:p>
      <w:pPr>
        <w:keepNext w:val="0"/>
        <w:keepLines w:val="0"/>
        <w:pageBreakBefore w:val="0"/>
        <w:tabs>
          <w:tab w:val="left" w:pos="6700"/>
          <w:tab w:val="left" w:pos="7640"/>
        </w:tabs>
        <w:kinsoku/>
        <w:topLinePunct w:val="0"/>
        <w:bidi w:val="0"/>
        <w:spacing w:beforeLines="0" w:afterLines="0" w:line="400" w:lineRule="exact"/>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许昌瑞贝卡水业有限公司</w:t>
      </w:r>
    </w:p>
    <w:p>
      <w:pPr>
        <w:keepNext w:val="0"/>
        <w:keepLines w:val="0"/>
        <w:pageBreakBefore w:val="0"/>
        <w:tabs>
          <w:tab w:val="left" w:pos="6700"/>
          <w:tab w:val="left" w:pos="7640"/>
        </w:tabs>
        <w:kinsoku/>
        <w:topLinePunct w:val="0"/>
        <w:bidi w:val="0"/>
        <w:spacing w:beforeLines="0" w:afterLines="0" w:line="400" w:lineRule="exact"/>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w:t>
      </w:r>
    </w:p>
    <w:p>
      <w:pPr>
        <w:keepNext w:val="0"/>
        <w:keepLines w:val="0"/>
        <w:pageBreakBefore w:val="0"/>
        <w:tabs>
          <w:tab w:val="left" w:pos="6700"/>
          <w:tab w:val="left" w:pos="7640"/>
        </w:tabs>
        <w:kinsoku/>
        <w:topLinePunct w:val="0"/>
        <w:bidi w:val="0"/>
        <w:spacing w:beforeLines="0" w:afterLines="0" w:line="400" w:lineRule="exact"/>
        <w:ind w:firstLine="5520" w:firstLineChars="2300"/>
        <w:jc w:val="left"/>
        <w:rPr>
          <w:rFonts w:hint="eastAsia" w:ascii="宋体" w:hAnsi="宋体" w:eastAsia="宋体" w:cs="宋体"/>
          <w:sz w:val="24"/>
          <w:szCs w:val="24"/>
          <w:u w:val="none"/>
          <w:lang w:eastAsia="zh-CN"/>
        </w:rPr>
      </w:pPr>
      <w:r>
        <w:rPr>
          <w:rFonts w:hint="eastAsia" w:ascii="宋体" w:hAnsi="宋体" w:eastAsia="宋体" w:cs="宋体"/>
          <w:sz w:val="24"/>
          <w:szCs w:val="24"/>
          <w:u w:val="single"/>
          <w:lang w:val="en-US" w:eastAsia="zh-CN"/>
        </w:rPr>
        <w:t>201</w:t>
      </w:r>
      <w:r>
        <w:rPr>
          <w:rFonts w:hint="eastAsia" w:ascii="宋体" w:hAnsi="宋体" w:cs="宋体"/>
          <w:sz w:val="24"/>
          <w:szCs w:val="24"/>
          <w:u w:val="single"/>
          <w:lang w:val="en-US" w:eastAsia="zh-CN"/>
        </w:rPr>
        <w:t>8</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6</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日</w:t>
      </w: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rPr>
          <w:rFonts w:hint="eastAsia" w:ascii="宋体" w:hAnsi="宋体" w:eastAsia="宋体" w:cs="宋体"/>
          <w:sz w:val="24"/>
          <w:szCs w:val="24"/>
          <w:u w:val="none"/>
          <w:lang w:eastAsia="zh-CN"/>
        </w:rPr>
      </w:pPr>
    </w:p>
    <w:p>
      <w:pPr>
        <w:pStyle w:val="2"/>
        <w:ind w:left="0" w:leftChars="0" w:firstLine="0" w:firstLineChars="0"/>
        <w:rPr>
          <w:rFonts w:hint="eastAsia" w:ascii="宋体" w:hAnsi="宋体" w:eastAsia="宋体" w:cs="宋体"/>
          <w:sz w:val="24"/>
          <w:szCs w:val="24"/>
          <w:u w:val="none"/>
          <w:lang w:eastAsia="zh-CN"/>
        </w:rPr>
      </w:pPr>
    </w:p>
    <w:p>
      <w:pPr>
        <w:keepNext w:val="0"/>
        <w:keepLines w:val="0"/>
        <w:pageBreakBefore w:val="0"/>
        <w:kinsoku/>
        <w:topLinePunct w:val="0"/>
        <w:bidi w:val="0"/>
        <w:spacing w:beforeLines="0" w:afterLines="0" w:line="360" w:lineRule="auto"/>
        <w:ind w:firstLine="2650" w:firstLineChars="600"/>
        <w:jc w:val="left"/>
        <w:rPr>
          <w:rFonts w:hint="default"/>
          <w:sz w:val="24"/>
        </w:rPr>
      </w:pPr>
      <w:r>
        <w:rPr>
          <w:rFonts w:hint="eastAsia" w:ascii="宋体" w:hAnsi="宋体"/>
          <w:b/>
          <w:sz w:val="44"/>
        </w:rPr>
        <w:t>第二章投标人须知</w:t>
      </w:r>
    </w:p>
    <w:p>
      <w:pPr>
        <w:keepNext w:val="0"/>
        <w:keepLines w:val="0"/>
        <w:pageBreakBefore w:val="0"/>
        <w:kinsoku/>
        <w:topLinePunct w:val="0"/>
        <w:bidi w:val="0"/>
        <w:spacing w:beforeLines="0" w:afterLines="0" w:line="400" w:lineRule="exact"/>
        <w:ind w:left="120"/>
        <w:jc w:val="left"/>
        <w:rPr>
          <w:rFonts w:hint="eastAsia" w:ascii="宋体" w:hAnsi="宋体"/>
          <w:b/>
          <w:sz w:val="32"/>
        </w:rPr>
      </w:pPr>
      <w:r>
        <w:rPr>
          <w:rFonts w:hint="eastAsia" w:ascii="宋体" w:hAnsi="宋体"/>
          <w:b/>
          <w:sz w:val="32"/>
        </w:rPr>
        <w:t>投标人须知前附表</w:t>
      </w:r>
    </w:p>
    <w:tbl>
      <w:tblPr>
        <w:tblStyle w:val="20"/>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10"/>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kinsoku/>
              <w:topLinePunct w:val="0"/>
              <w:bidi w:val="0"/>
              <w:spacing w:line="400" w:lineRule="exact"/>
              <w:rPr>
                <w:rFonts w:hint="default"/>
                <w:vertAlign w:val="baseline"/>
              </w:rPr>
            </w:pPr>
            <w:r>
              <w:rPr>
                <w:rFonts w:hint="eastAsia" w:ascii="宋体" w:hAnsi="宋体"/>
                <w:b/>
                <w:sz w:val="21"/>
              </w:rPr>
              <w:t>条款号</w:t>
            </w:r>
          </w:p>
        </w:tc>
        <w:tc>
          <w:tcPr>
            <w:tcW w:w="2310" w:type="dxa"/>
          </w:tcPr>
          <w:p>
            <w:pPr>
              <w:pStyle w:val="2"/>
              <w:keepNext w:val="0"/>
              <w:keepLines w:val="0"/>
              <w:pageBreakBefore w:val="0"/>
              <w:widowControl w:val="0"/>
              <w:kinsoku/>
              <w:topLinePunct w:val="0"/>
              <w:bidi w:val="0"/>
              <w:spacing w:line="400" w:lineRule="exact"/>
              <w:rPr>
                <w:rFonts w:hint="default"/>
                <w:vertAlign w:val="baseline"/>
              </w:rPr>
            </w:pPr>
            <w:r>
              <w:rPr>
                <w:rFonts w:hint="eastAsia" w:ascii="宋体" w:hAnsi="宋体"/>
                <w:b/>
                <w:sz w:val="21"/>
              </w:rPr>
              <w:t>条款名称</w:t>
            </w:r>
          </w:p>
        </w:tc>
        <w:tc>
          <w:tcPr>
            <w:tcW w:w="5310" w:type="dxa"/>
          </w:tcPr>
          <w:p>
            <w:pPr>
              <w:pStyle w:val="2"/>
              <w:keepNext w:val="0"/>
              <w:keepLines w:val="0"/>
              <w:pageBreakBefore w:val="0"/>
              <w:widowControl w:val="0"/>
              <w:kinsoku/>
              <w:topLinePunct w:val="0"/>
              <w:bidi w:val="0"/>
              <w:spacing w:line="400" w:lineRule="exact"/>
              <w:rPr>
                <w:rFonts w:hint="default"/>
                <w:vertAlign w:val="baseline"/>
              </w:rPr>
            </w:pPr>
            <w:r>
              <w:rPr>
                <w:rFonts w:hint="eastAsia" w:ascii="宋体" w:hAnsi="宋体"/>
                <w:b/>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1"/>
                <w:lang w:eastAsia="zh-CN"/>
              </w:rPr>
            </w:pPr>
            <w:r>
              <w:rPr>
                <w:rFonts w:hint="default" w:ascii="宋体" w:hAnsi="宋体"/>
                <w:sz w:val="21"/>
                <w:szCs w:val="21"/>
                <w:lang w:eastAsia="zh-CN"/>
              </w:rPr>
              <w:t>1.1.2</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1"/>
                <w:lang w:eastAsia="zh-CN"/>
              </w:rPr>
            </w:pPr>
            <w:r>
              <w:rPr>
                <w:rFonts w:hint="eastAsia" w:ascii="宋体" w:hAnsi="宋体"/>
                <w:sz w:val="21"/>
                <w:szCs w:val="21"/>
                <w:lang w:eastAsia="zh-CN"/>
              </w:rPr>
              <w:t>招标人</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名</w:t>
            </w:r>
            <w:r>
              <w:rPr>
                <w:rFonts w:hint="eastAsia" w:ascii="宋体" w:hAnsi="宋体"/>
                <w:sz w:val="21"/>
                <w:szCs w:val="21"/>
                <w:lang w:val="en-US" w:eastAsia="zh-CN"/>
              </w:rPr>
              <w:t xml:space="preserve">  </w:t>
            </w:r>
            <w:r>
              <w:rPr>
                <w:rFonts w:hint="eastAsia" w:ascii="宋体" w:hAnsi="宋体"/>
                <w:sz w:val="21"/>
                <w:szCs w:val="21"/>
              </w:rPr>
              <w:t>称：许昌瑞贝卡水业有限公司</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地</w:t>
            </w:r>
            <w:r>
              <w:rPr>
                <w:rFonts w:hint="eastAsia" w:ascii="宋体" w:hAnsi="宋体"/>
                <w:sz w:val="21"/>
                <w:szCs w:val="21"/>
                <w:lang w:val="en-US" w:eastAsia="zh-CN"/>
              </w:rPr>
              <w:t xml:space="preserve">  </w:t>
            </w:r>
            <w:r>
              <w:rPr>
                <w:rFonts w:hint="eastAsia" w:ascii="宋体" w:hAnsi="宋体"/>
                <w:sz w:val="21"/>
                <w:szCs w:val="21"/>
              </w:rPr>
              <w:t>址：</w:t>
            </w:r>
            <w:r>
              <w:rPr>
                <w:rFonts w:hint="eastAsia" w:ascii="宋体" w:hAnsi="宋体"/>
                <w:sz w:val="21"/>
                <w:szCs w:val="21"/>
                <w:lang w:eastAsia="zh-CN"/>
              </w:rPr>
              <w:t>许昌瑞贝卡大道东段</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联系人：樊剑磊</w:t>
            </w:r>
          </w:p>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1"/>
              </w:rPr>
            </w:pPr>
            <w:r>
              <w:rPr>
                <w:rFonts w:hint="eastAsia" w:ascii="宋体" w:hAnsi="宋体"/>
                <w:sz w:val="21"/>
                <w:szCs w:val="21"/>
              </w:rPr>
              <w:t>电</w:t>
            </w:r>
            <w:r>
              <w:rPr>
                <w:rFonts w:hint="eastAsia" w:ascii="宋体" w:hAnsi="宋体"/>
                <w:sz w:val="21"/>
                <w:szCs w:val="21"/>
                <w:lang w:val="en-US" w:eastAsia="zh-CN"/>
              </w:rPr>
              <w:t xml:space="preserve">  </w:t>
            </w:r>
            <w:r>
              <w:rPr>
                <w:rFonts w:hint="eastAsia" w:ascii="宋体" w:hAnsi="宋体"/>
                <w:sz w:val="21"/>
                <w:szCs w:val="21"/>
              </w:rPr>
              <w:t>话：</w:t>
            </w:r>
            <w:r>
              <w:rPr>
                <w:rFonts w:hint="eastAsia" w:ascii="宋体" w:hAnsi="宋体" w:cs="宋体"/>
                <w:sz w:val="21"/>
                <w:szCs w:val="21"/>
                <w:u w:val="none"/>
                <w:lang w:val="en-US" w:eastAsia="zh-CN"/>
              </w:rPr>
              <w:t>0374-5166226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1"/>
                <w:lang w:eastAsia="zh-CN"/>
              </w:rPr>
            </w:pPr>
            <w:r>
              <w:rPr>
                <w:rFonts w:hint="default" w:ascii="宋体" w:hAnsi="宋体"/>
                <w:sz w:val="21"/>
                <w:szCs w:val="21"/>
                <w:lang w:eastAsia="zh-CN"/>
              </w:rPr>
              <w:t>1.1.3</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1"/>
                <w:lang w:eastAsia="zh-CN"/>
              </w:rPr>
            </w:pPr>
            <w:r>
              <w:rPr>
                <w:rFonts w:hint="eastAsia" w:ascii="宋体" w:hAnsi="宋体"/>
                <w:sz w:val="21"/>
                <w:szCs w:val="21"/>
                <w:lang w:eastAsia="zh-CN"/>
              </w:rPr>
              <w:t>招标代理机构</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名</w:t>
            </w:r>
            <w:r>
              <w:rPr>
                <w:rFonts w:hint="eastAsia" w:ascii="宋体" w:hAnsi="宋体"/>
                <w:sz w:val="21"/>
                <w:szCs w:val="21"/>
                <w:lang w:val="en-US" w:eastAsia="zh-CN"/>
              </w:rPr>
              <w:t xml:space="preserve">  </w:t>
            </w:r>
            <w:r>
              <w:rPr>
                <w:rFonts w:hint="eastAsia" w:ascii="宋体" w:hAnsi="宋体"/>
                <w:sz w:val="21"/>
                <w:szCs w:val="21"/>
              </w:rPr>
              <w:t>称：山东天马招标代理有限公司</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地</w:t>
            </w:r>
            <w:r>
              <w:rPr>
                <w:rFonts w:hint="eastAsia" w:ascii="宋体" w:hAnsi="宋体"/>
                <w:sz w:val="21"/>
                <w:szCs w:val="21"/>
                <w:lang w:val="en-US" w:eastAsia="zh-CN"/>
              </w:rPr>
              <w:t xml:space="preserve">  </w:t>
            </w:r>
            <w:r>
              <w:rPr>
                <w:rFonts w:hint="eastAsia" w:ascii="宋体" w:hAnsi="宋体"/>
                <w:sz w:val="21"/>
                <w:szCs w:val="21"/>
              </w:rPr>
              <w:t xml:space="preserve">址：许昌市创业服务中心D座709室 </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sz w:val="21"/>
                <w:szCs w:val="21"/>
              </w:rPr>
              <w:t>联系人：赵</w:t>
            </w:r>
            <w:r>
              <w:rPr>
                <w:rFonts w:hint="eastAsia" w:ascii="宋体" w:hAnsi="宋体"/>
                <w:sz w:val="21"/>
                <w:szCs w:val="21"/>
                <w:lang w:eastAsia="zh-CN"/>
              </w:rPr>
              <w:t>颖颖</w:t>
            </w:r>
            <w:r>
              <w:rPr>
                <w:rFonts w:hint="eastAsia" w:ascii="宋体" w:hAnsi="宋体"/>
                <w:sz w:val="21"/>
                <w:szCs w:val="21"/>
              </w:rPr>
              <w:t xml:space="preserve">  </w:t>
            </w:r>
          </w:p>
          <w:p>
            <w:pPr>
              <w:pStyle w:val="2"/>
              <w:keepNext w:val="0"/>
              <w:keepLines w:val="0"/>
              <w:pageBreakBefore w:val="0"/>
              <w:widowControl w:val="0"/>
              <w:kinsoku/>
              <w:topLinePunct w:val="0"/>
              <w:bidi w:val="0"/>
              <w:spacing w:line="400" w:lineRule="exact"/>
              <w:ind w:left="0" w:leftChars="0" w:firstLine="0" w:firstLineChars="0"/>
              <w:rPr>
                <w:rFonts w:hint="default"/>
                <w:sz w:val="21"/>
                <w:szCs w:val="21"/>
                <w:vertAlign w:val="baseline"/>
              </w:rPr>
            </w:pPr>
            <w:r>
              <w:rPr>
                <w:rFonts w:hint="eastAsia" w:ascii="宋体" w:hAnsi="宋体"/>
                <w:sz w:val="21"/>
                <w:szCs w:val="21"/>
              </w:rPr>
              <w:t>电</w:t>
            </w:r>
            <w:r>
              <w:rPr>
                <w:rFonts w:hint="eastAsia" w:ascii="宋体" w:hAnsi="宋体"/>
                <w:sz w:val="21"/>
                <w:szCs w:val="21"/>
                <w:lang w:val="en-US" w:eastAsia="zh-CN"/>
              </w:rPr>
              <w:t xml:space="preserve">  </w:t>
            </w:r>
            <w:r>
              <w:rPr>
                <w:rFonts w:hint="eastAsia" w:ascii="宋体" w:hAnsi="宋体"/>
                <w:sz w:val="21"/>
                <w:szCs w:val="21"/>
              </w:rPr>
              <w:t xml:space="preserve">话：18768805725 </w:t>
            </w:r>
            <w:r>
              <w:rPr>
                <w:rFonts w:hint="eastAsia" w:ascii="宋体" w:hAnsi="宋体"/>
                <w:sz w:val="21"/>
                <w:szCs w:val="21"/>
                <w:lang w:val="en-US" w:eastAsia="zh-CN"/>
              </w:rPr>
              <w:t>/15037485311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1.1.4</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招标项目名称</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kern w:val="0"/>
                <w:sz w:val="21"/>
                <w:szCs w:val="21"/>
              </w:rPr>
              <w:t>许昌瑞贝卡水业有限公司污水净化分公司污水处理三期工程设备采购项目</w:t>
            </w:r>
            <w:r>
              <w:rPr>
                <w:rFonts w:hint="eastAsia" w:ascii="宋体" w:hAnsi="宋体" w:cs="宋体"/>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1.1.5</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工程项目名称</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kern w:val="0"/>
                <w:sz w:val="21"/>
                <w:szCs w:val="21"/>
              </w:rPr>
              <w:t>许昌瑞贝卡水业有限公司污水净化分公司污水处理三期工程设备采购项目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1.2.1</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资金来源及比例</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lang w:eastAsia="zh-CN"/>
              </w:rPr>
            </w:pPr>
            <w:r>
              <w:rPr>
                <w:rFonts w:hint="eastAsia" w:ascii="宋体" w:hAnsi="宋体" w:eastAsia="宋体" w:cs="宋体"/>
                <w:kern w:val="0"/>
                <w:sz w:val="21"/>
                <w:szCs w:val="21"/>
                <w:lang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1.2.2</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资金落实情况</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1.3.1</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招标范围</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kern w:val="0"/>
                <w:sz w:val="21"/>
                <w:szCs w:val="21"/>
              </w:rPr>
              <w:t>招标文件、招标文件补充及答疑纪要范围内的所有内容。注：项目需求及其他要求见第五章内容</w:t>
            </w:r>
            <w:r>
              <w:rPr>
                <w:rFonts w:hint="eastAsia" w:ascii="宋体" w:hAnsi="宋体" w:eastAsia="宋体" w:cs="宋体"/>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1.3.2</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交货期</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交货期：合同签订后60天内交货</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计划开始交货日期：/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1.3.3</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交货地点</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许昌瑞贝卡水业有限公司污水净化分公司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kinsoku/>
              <w:topLinePunct w:val="0"/>
              <w:bidi w:val="0"/>
              <w:spacing w:line="4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1.3.4</w:t>
            </w:r>
          </w:p>
        </w:tc>
        <w:tc>
          <w:tcPr>
            <w:tcW w:w="231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技术性能指标</w:t>
            </w:r>
          </w:p>
        </w:tc>
        <w:tc>
          <w:tcPr>
            <w:tcW w:w="5310"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详见第五章供货要求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投标人资质条件、能力、信誉</w:t>
            </w:r>
          </w:p>
        </w:tc>
        <w:tc>
          <w:tcPr>
            <w:tcW w:w="5310" w:type="dxa"/>
          </w:tcPr>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eastAsia="宋体" w:cs="宋体"/>
                <w:b/>
                <w:bCs/>
                <w:sz w:val="21"/>
                <w:szCs w:val="21"/>
              </w:rPr>
            </w:pPr>
            <w:r>
              <w:rPr>
                <w:rFonts w:hint="eastAsia" w:ascii="宋体" w:hAnsi="宋体" w:eastAsia="宋体" w:cs="宋体"/>
                <w:b/>
                <w:bCs/>
                <w:sz w:val="21"/>
                <w:szCs w:val="21"/>
              </w:rPr>
              <w:t>资质要求</w:t>
            </w:r>
            <w:r>
              <w:rPr>
                <w:rFonts w:hint="eastAsia" w:ascii="宋体" w:hAnsi="宋体" w:cs="宋体"/>
                <w:b/>
                <w:bCs/>
                <w:sz w:val="21"/>
                <w:szCs w:val="21"/>
                <w:lang w:eastAsia="zh-CN"/>
              </w:rPr>
              <w:t>：</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具备《中华人民共和国政府采购法》第二十二条规定的基本条件。</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供应商须是具有环保设备或涉及水处理通用设备和专业设备的生产、制造及经营企业，有能力提供本次采购项目所要求的货物和专业技术能力。</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1.3不接受失信被执行人的投标。</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rPr>
            </w:pPr>
            <w:r>
              <w:rPr>
                <w:rFonts w:hint="eastAsia" w:ascii="宋体" w:hAnsi="宋体" w:eastAsia="宋体" w:cs="宋体"/>
                <w:b/>
                <w:bCs/>
                <w:sz w:val="21"/>
                <w:szCs w:val="21"/>
              </w:rPr>
              <w:t>财务要求</w:t>
            </w:r>
            <w:r>
              <w:rPr>
                <w:rFonts w:hint="eastAsia" w:ascii="宋体" w:hAnsi="宋体" w:eastAsia="宋体" w:cs="宋体"/>
                <w:b/>
                <w:bCs/>
                <w:sz w:val="21"/>
                <w:szCs w:val="21"/>
                <w:lang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银行出具的资信证明；或财政部门认可的政府采购专业担保机构的证明文件和担保机构出具的投标担保函。（其他组织和自然人投标提供）</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rPr>
              <w:t>投标人业绩</w:t>
            </w:r>
            <w:r>
              <w:rPr>
                <w:rFonts w:hint="eastAsia" w:ascii="宋体" w:hAnsi="宋体" w:eastAsia="宋体" w:cs="宋体"/>
                <w:b/>
                <w:bCs/>
                <w:sz w:val="21"/>
                <w:szCs w:val="21"/>
                <w:lang w:eastAsia="zh-CN"/>
              </w:rPr>
              <w:t>：</w:t>
            </w:r>
          </w:p>
          <w:p>
            <w:pPr>
              <w:pStyle w:val="2"/>
              <w:keepNext w:val="0"/>
              <w:keepLines w:val="0"/>
              <w:pageBreakBefore w:val="0"/>
              <w:widowControl w:val="0"/>
              <w:numPr>
                <w:ilvl w:val="0"/>
                <w:numId w:val="0"/>
              </w:numPr>
              <w:kinsoku/>
              <w:topLinePunct w:val="0"/>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自2014年以来有</w:t>
            </w:r>
            <w:r>
              <w:rPr>
                <w:rFonts w:hint="eastAsia" w:ascii="宋体" w:hAnsi="宋体" w:eastAsia="宋体" w:cs="宋体"/>
                <w:sz w:val="21"/>
                <w:szCs w:val="21"/>
                <w:lang w:val="en-US" w:eastAsia="zh-CN"/>
              </w:rPr>
              <w:t>4</w:t>
            </w:r>
            <w:r>
              <w:rPr>
                <w:rFonts w:hint="eastAsia" w:ascii="宋体" w:hAnsi="宋体" w:eastAsia="宋体" w:cs="宋体"/>
                <w:sz w:val="21"/>
                <w:szCs w:val="21"/>
              </w:rPr>
              <w:t>万吨/日污水处理同类型设备供货业绩</w:t>
            </w:r>
            <w:r>
              <w:rPr>
                <w:rFonts w:hint="eastAsia" w:ascii="宋体" w:hAnsi="宋体" w:eastAsia="宋体" w:cs="宋体"/>
                <w:sz w:val="21"/>
                <w:szCs w:val="21"/>
                <w:lang w:eastAsia="zh-CN"/>
              </w:rPr>
              <w:t>且从事过</w:t>
            </w:r>
            <w:r>
              <w:rPr>
                <w:rFonts w:hint="eastAsia" w:ascii="宋体" w:hAnsi="宋体" w:eastAsia="宋体" w:cs="宋体"/>
                <w:sz w:val="21"/>
                <w:szCs w:val="21"/>
                <w:lang w:val="en-US" w:eastAsia="zh-CN"/>
              </w:rPr>
              <w:t>8</w:t>
            </w:r>
            <w:r>
              <w:rPr>
                <w:rFonts w:hint="eastAsia" w:ascii="宋体" w:hAnsi="宋体" w:eastAsia="宋体" w:cs="宋体"/>
                <w:sz w:val="21"/>
                <w:szCs w:val="21"/>
              </w:rPr>
              <w:t>万吨/日污水处理同类型设备供货业绩（以合同签署时间计）。注：开标时需提供县级以上（含县级）污水处理厂的设备采购合同（标书中提供合同复印件，投标时携带原件备查）。</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rPr>
            </w:pPr>
            <w:r>
              <w:rPr>
                <w:rFonts w:hint="eastAsia" w:ascii="宋体" w:hAnsi="宋体" w:eastAsia="宋体" w:cs="宋体"/>
                <w:b/>
                <w:bCs/>
                <w:sz w:val="21"/>
                <w:szCs w:val="21"/>
              </w:rPr>
              <w:t>信誉要求</w:t>
            </w:r>
            <w:r>
              <w:rPr>
                <w:rFonts w:hint="eastAsia" w:ascii="宋体" w:hAnsi="宋体" w:eastAsia="宋体" w:cs="宋体"/>
                <w:b/>
                <w:bCs/>
                <w:sz w:val="21"/>
                <w:szCs w:val="21"/>
                <w:lang w:eastAsia="zh-CN"/>
              </w:rPr>
              <w:t>：</w:t>
            </w:r>
          </w:p>
          <w:p>
            <w:pPr>
              <w:pStyle w:val="2"/>
              <w:keepNext w:val="0"/>
              <w:keepLines w:val="0"/>
              <w:pageBreakBefore w:val="0"/>
              <w:widowControl w:val="0"/>
              <w:numPr>
                <w:ilvl w:val="0"/>
                <w:numId w:val="0"/>
              </w:numPr>
              <w:kinsoku/>
              <w:topLinePunct w:val="0"/>
              <w:bidi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自2014年以来在经营活动中没有重大违法记录（以检察机关出具的查询行贿犯罪档案结果告知函原件为准）；</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rPr>
              <w:t>其他要求：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未被列入“信用中国”网站(www.creditchina.gov.cn)、中国政府采购网(www.ccgp.gov.cn)渠道信用记录失信被执行人、重大税收违法案件当事人名单、政府采购严重违法失信行为记录名单的投标人。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1.4.2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不接受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□接受，应满足下列要求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1.4.3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投标人不得存在的其他情形</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投标预备会</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√不召开</w:t>
            </w:r>
            <w:r>
              <w:rPr>
                <w:rFonts w:hint="eastAsia" w:ascii="宋体" w:hAnsi="宋体" w:eastAsia="宋体" w:cs="宋体"/>
                <w:sz w:val="21"/>
                <w:szCs w:val="21"/>
                <w:lang w:val="en-US" w:eastAsia="zh-CN"/>
              </w:rPr>
              <w:t xml:space="preserve">  </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□召开，召开时间：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投标人在投标预备会前提出问题</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招标文件澄清发出的形式</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在“全国公共资源交易平台（河南省·许昌市）”发布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1.10.1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分包</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□允许，分包内容要求：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分包金额要求：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对分包人的资质要求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实质性要求和条件</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其他可以被接受的技术支持资料</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1.11.4</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偏差</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□允许</w:t>
            </w:r>
            <w:r>
              <w:rPr>
                <w:rFonts w:hint="eastAsia" w:ascii="宋体" w:hAnsi="宋体" w:eastAsia="宋体" w:cs="宋体"/>
                <w:sz w:val="21"/>
                <w:szCs w:val="21"/>
                <w:lang w:eastAsia="zh-CN"/>
              </w:rPr>
              <w:t>，</w:t>
            </w:r>
            <w:r>
              <w:rPr>
                <w:rFonts w:hint="eastAsia" w:ascii="宋体" w:hAnsi="宋体" w:eastAsia="宋体" w:cs="宋体"/>
                <w:sz w:val="21"/>
                <w:szCs w:val="21"/>
              </w:rPr>
              <w:t>偏差范围：</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最高项数：</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构成招标文件的其他资料</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GB"/>
              </w:rPr>
              <w:t>备案的答疑纪要、招标文件的补充和修改文件（如有）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2.2.1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投标人要求澄清招标文件</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时间：投标截止时间1</w:t>
            </w:r>
            <w:r>
              <w:rPr>
                <w:rFonts w:hint="eastAsia" w:ascii="宋体" w:hAnsi="宋体" w:cs="宋体"/>
                <w:sz w:val="21"/>
                <w:szCs w:val="21"/>
                <w:lang w:val="en-US" w:eastAsia="zh-CN"/>
              </w:rPr>
              <w:t>0</w:t>
            </w:r>
            <w:r>
              <w:rPr>
                <w:rFonts w:hint="eastAsia" w:ascii="宋体" w:hAnsi="宋体" w:eastAsia="宋体" w:cs="宋体"/>
                <w:sz w:val="21"/>
                <w:szCs w:val="21"/>
              </w:rPr>
              <w:t>日前（澄清内容可能影响投标文件编制的）</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形式：通过“全国公共资源交易平台（河南省·许昌市）”提出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2.2.2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招标文件澄清发出的形式</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在“全国公共资源交易平台（河南省·许昌市）”发布</w:t>
            </w:r>
            <w:r>
              <w:rPr>
                <w:rFonts w:hint="eastAsia" w:ascii="宋体" w:hAnsi="宋体" w:eastAsia="宋体" w:cs="宋体"/>
                <w:sz w:val="21"/>
                <w:szCs w:val="21"/>
                <w:lang w:eastAsia="zh-CN"/>
              </w:rPr>
              <w:t>澄清</w:t>
            </w:r>
            <w:r>
              <w:rPr>
                <w:rFonts w:hint="eastAsia" w:ascii="宋体" w:hAnsi="宋体" w:eastAsia="宋体" w:cs="宋体"/>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2.2.3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投标人确认收到招标文件澄清</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2.3.1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招标文件修改发出的形式</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在“全国公共资源交易平台（河南省·许昌市）”发布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2.3.2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投标人确认收到招标文件修改</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形式：</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3.1.1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构成投标文件的其他资料</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（1）投标人认为其它需要补充的内容</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增值税税金的计算</w:t>
            </w: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方法</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3.2.4</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最高投标限价</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□无</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√有，最高投标限价：</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第三标段：最高限价：</w:t>
            </w:r>
            <w:r>
              <w:rPr>
                <w:rFonts w:hint="eastAsia" w:ascii="宋体" w:hAnsi="宋体" w:eastAsia="宋体" w:cs="宋体"/>
                <w:sz w:val="21"/>
                <w:szCs w:val="21"/>
              </w:rPr>
              <w:t>2</w:t>
            </w:r>
            <w:r>
              <w:rPr>
                <w:rFonts w:hint="eastAsia" w:ascii="宋体" w:hAnsi="宋体" w:eastAsia="宋体" w:cs="宋体"/>
                <w:sz w:val="21"/>
                <w:szCs w:val="21"/>
                <w:lang w:val="en-US" w:eastAsia="zh-CN"/>
              </w:rPr>
              <w:t>70</w:t>
            </w:r>
            <w:r>
              <w:rPr>
                <w:rFonts w:hint="eastAsia" w:ascii="宋体" w:hAnsi="宋体" w:eastAsia="宋体" w:cs="宋体"/>
                <w:sz w:val="21"/>
                <w:szCs w:val="21"/>
              </w:rPr>
              <w:t>万</w:t>
            </w:r>
            <w:r>
              <w:rPr>
                <w:rFonts w:hint="eastAsia" w:ascii="宋体" w:hAnsi="宋体" w:eastAsia="宋体" w:cs="宋体"/>
                <w:sz w:val="21"/>
                <w:szCs w:val="21"/>
                <w:lang w:val="zh-CN"/>
              </w:rPr>
              <w:t>元；</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第四标段：最高限价：16</w:t>
            </w:r>
            <w:r>
              <w:rPr>
                <w:rFonts w:hint="eastAsia" w:ascii="宋体" w:hAnsi="宋体" w:eastAsia="宋体" w:cs="宋体"/>
                <w:sz w:val="21"/>
                <w:szCs w:val="21"/>
              </w:rPr>
              <w:t>0万</w:t>
            </w:r>
            <w:r>
              <w:rPr>
                <w:rFonts w:hint="eastAsia" w:ascii="宋体" w:hAnsi="宋体" w:eastAsia="宋体" w:cs="宋体"/>
                <w:sz w:val="21"/>
                <w:szCs w:val="21"/>
                <w:lang w:val="zh-CN"/>
              </w:rPr>
              <w:t>元</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第九标段：最高限价：</w:t>
            </w:r>
            <w:r>
              <w:rPr>
                <w:rFonts w:hint="eastAsia" w:ascii="宋体" w:hAnsi="宋体" w:cs="宋体"/>
                <w:sz w:val="21"/>
                <w:szCs w:val="21"/>
                <w:lang w:val="en-US" w:eastAsia="zh-CN"/>
              </w:rPr>
              <w:t>138</w:t>
            </w:r>
            <w:r>
              <w:rPr>
                <w:rFonts w:hint="eastAsia" w:ascii="宋体" w:hAnsi="宋体" w:eastAsia="宋体" w:cs="宋体"/>
                <w:sz w:val="21"/>
                <w:szCs w:val="21"/>
              </w:rPr>
              <w:t>万</w:t>
            </w:r>
            <w:r>
              <w:rPr>
                <w:rFonts w:hint="eastAsia" w:ascii="宋体" w:hAnsi="宋体" w:eastAsia="宋体" w:cs="宋体"/>
                <w:sz w:val="21"/>
                <w:szCs w:val="21"/>
                <w:lang w:val="zh-CN"/>
              </w:rPr>
              <w:t>元</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超出采购预算的，将否决其投标。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3.2.5</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投标报价的其他要求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3.3.1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3.4.1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投标保证金</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是否要求投标人递交投标保证金：</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√要求，</w:t>
            </w:r>
            <w:r>
              <w:rPr>
                <w:rFonts w:hint="eastAsia" w:ascii="宋体" w:hAnsi="宋体" w:eastAsia="宋体" w:cs="宋体"/>
                <w:b/>
                <w:bCs/>
                <w:sz w:val="21"/>
                <w:szCs w:val="21"/>
              </w:rPr>
              <w:t>投标保证金的形式：</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1、投标保证金的递交方式：银行转帐、银行电汇（均需从投标人的基本账户汇出），不接受以现金方式缴纳的投标保证金。凡以现金方式缴纳投标保证金而影响其投标结果的，由投标人自行负责。 </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使用银行转帐形式的，于截止时间前通过投标人基本账户将款项一次足额递交、成功绑定，以收款人到账时间为准，在途资金无效，视为未按时交纳。同时投标人应承担节假日银行系统不能支付的风险。</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2、投标保证金缴纳方式：</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投标人网上报名后，登录http://221.14.6.70:8088/ggzy系统，依次点击“会员向导”→“参与投标”→“费用缴纳说明”→“保证金缴纳说明单”，获取缴费说明单，根据每个标段的缴纳说明单在缴纳截止时间前缴纳；</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2.2成功缴纳后重新登录前述系统，依次点击“会员向导”→“参与投标”→“保证金绑定”→“绑定”进行投标保证金绑定。</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 每个投标人每个项目每个标段只有唯一缴纳账号，切勿重复缴纳或错误缴纳。</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3、未按上述规定操作引起的无效投标，由投标人自行负责。</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4、汇款凭证无须备注项目编号和项目名称。</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5、出现以下情形造成的投标保证金无效，由投标人自行负责。</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(1)投标保证金未从投标人的基本账户转出；</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(2)投标保证金未按照招标文件划分的标段依次转账。</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6、《保证金缴纳绑定操作指南》获取方法：</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登录全国公共资源交易平台（河南省▪许昌市）系统-组件下载-《保证金缴纳绑定操作指南》</w:t>
            </w:r>
          </w:p>
          <w:p>
            <w:pPr>
              <w:pStyle w:val="2"/>
              <w:keepNext w:val="0"/>
              <w:keepLines w:val="0"/>
              <w:pageBreakBefore w:val="0"/>
              <w:widowControl w:val="0"/>
              <w:numPr>
                <w:ilvl w:val="0"/>
                <w:numId w:val="4"/>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  </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b/>
                <w:bCs/>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投标保证金的金额：</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第三标段：金额：</w:t>
            </w:r>
            <w:r>
              <w:rPr>
                <w:rFonts w:hint="eastAsia" w:ascii="宋体" w:hAnsi="宋体" w:eastAsia="宋体" w:cs="宋体"/>
                <w:sz w:val="21"/>
                <w:szCs w:val="21"/>
                <w:lang w:val="en-US" w:eastAsia="zh-CN"/>
              </w:rPr>
              <w:t xml:space="preserve">  伍万肆</w:t>
            </w:r>
            <w:r>
              <w:rPr>
                <w:rFonts w:hint="eastAsia" w:ascii="宋体" w:hAnsi="宋体" w:cs="宋体"/>
                <w:sz w:val="21"/>
                <w:szCs w:val="21"/>
                <w:lang w:val="en-US" w:eastAsia="zh-CN"/>
              </w:rPr>
              <w:t>仟</w:t>
            </w:r>
            <w:r>
              <w:rPr>
                <w:rFonts w:hint="eastAsia" w:ascii="宋体" w:hAnsi="宋体" w:eastAsia="宋体" w:cs="宋体"/>
                <w:sz w:val="21"/>
                <w:szCs w:val="21"/>
                <w:lang w:val="zh-CN"/>
              </w:rPr>
              <w:t>元（¥</w:t>
            </w:r>
            <w:r>
              <w:rPr>
                <w:rFonts w:hint="eastAsia" w:ascii="宋体" w:hAnsi="宋体" w:eastAsia="宋体" w:cs="宋体"/>
                <w:sz w:val="21"/>
                <w:szCs w:val="21"/>
                <w:lang w:val="en-US" w:eastAsia="zh-CN"/>
              </w:rPr>
              <w:t xml:space="preserve">  54000.00 </w:t>
            </w:r>
            <w:r>
              <w:rPr>
                <w:rFonts w:hint="eastAsia" w:ascii="宋体" w:hAnsi="宋体" w:eastAsia="宋体" w:cs="宋体"/>
                <w:sz w:val="21"/>
                <w:szCs w:val="21"/>
                <w:lang w:val="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第四标段：金额：</w:t>
            </w:r>
            <w:r>
              <w:rPr>
                <w:rFonts w:hint="eastAsia" w:ascii="宋体" w:hAnsi="宋体" w:eastAsia="宋体" w:cs="宋体"/>
                <w:sz w:val="21"/>
                <w:szCs w:val="21"/>
                <w:lang w:val="en-US" w:eastAsia="zh-CN"/>
              </w:rPr>
              <w:t xml:space="preserve">  叁万贰</w:t>
            </w:r>
            <w:r>
              <w:rPr>
                <w:rFonts w:hint="eastAsia" w:ascii="宋体" w:hAnsi="宋体" w:cs="宋体"/>
                <w:sz w:val="21"/>
                <w:szCs w:val="21"/>
                <w:lang w:val="en-US" w:eastAsia="zh-CN"/>
              </w:rPr>
              <w:t>仟</w:t>
            </w:r>
            <w:r>
              <w:rPr>
                <w:rFonts w:hint="eastAsia" w:ascii="宋体" w:hAnsi="宋体" w:eastAsia="宋体" w:cs="宋体"/>
                <w:sz w:val="21"/>
                <w:szCs w:val="21"/>
                <w:lang w:val="zh-CN"/>
              </w:rPr>
              <w:t>元（¥</w:t>
            </w:r>
            <w:r>
              <w:rPr>
                <w:rFonts w:hint="eastAsia" w:ascii="宋体" w:hAnsi="宋体" w:eastAsia="宋体" w:cs="宋体"/>
                <w:sz w:val="21"/>
                <w:szCs w:val="21"/>
                <w:lang w:val="en-US" w:eastAsia="zh-CN"/>
              </w:rPr>
              <w:t xml:space="preserve">  32000.00 </w:t>
            </w:r>
            <w:r>
              <w:rPr>
                <w:rFonts w:hint="eastAsia" w:ascii="宋体" w:hAnsi="宋体" w:eastAsia="宋体" w:cs="宋体"/>
                <w:sz w:val="21"/>
                <w:szCs w:val="21"/>
                <w:lang w:val="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第九标段：金额：</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贰</w:t>
            </w:r>
            <w:r>
              <w:rPr>
                <w:rFonts w:hint="eastAsia" w:ascii="宋体" w:hAnsi="宋体" w:eastAsia="宋体" w:cs="宋体"/>
                <w:sz w:val="21"/>
                <w:szCs w:val="21"/>
                <w:lang w:val="en-US" w:eastAsia="zh-CN"/>
              </w:rPr>
              <w:t>万</w:t>
            </w:r>
            <w:r>
              <w:rPr>
                <w:rFonts w:hint="eastAsia" w:ascii="宋体" w:hAnsi="宋体" w:cs="宋体"/>
                <w:sz w:val="21"/>
                <w:szCs w:val="21"/>
                <w:lang w:val="en-US" w:eastAsia="zh-CN"/>
              </w:rPr>
              <w:t>柒仟</w:t>
            </w:r>
            <w:r>
              <w:rPr>
                <w:rFonts w:hint="eastAsia" w:ascii="宋体" w:hAnsi="宋体" w:eastAsia="宋体" w:cs="宋体"/>
                <w:sz w:val="21"/>
                <w:szCs w:val="21"/>
                <w:lang w:val="zh-CN"/>
              </w:rPr>
              <w:t>元（¥</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270</w:t>
            </w:r>
            <w:r>
              <w:rPr>
                <w:rFonts w:hint="eastAsia" w:ascii="宋体" w:hAnsi="宋体" w:eastAsia="宋体" w:cs="宋体"/>
                <w:sz w:val="21"/>
                <w:szCs w:val="21"/>
                <w:lang w:val="en-US" w:eastAsia="zh-CN"/>
              </w:rPr>
              <w:t xml:space="preserve">00.00 </w:t>
            </w:r>
            <w:r>
              <w:rPr>
                <w:rFonts w:hint="eastAsia" w:ascii="宋体" w:hAnsi="宋体" w:eastAsia="宋体" w:cs="宋体"/>
                <w:sz w:val="21"/>
                <w:szCs w:val="21"/>
                <w:lang w:val="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zh-CN"/>
              </w:rPr>
            </w:pPr>
            <w:r>
              <w:rPr>
                <w:rFonts w:hint="eastAsia" w:ascii="宋体" w:hAnsi="宋体" w:cs="宋体"/>
                <w:b/>
                <w:bCs/>
                <w:sz w:val="21"/>
                <w:szCs w:val="21"/>
                <w:lang w:val="zh-CN"/>
              </w:rPr>
              <w:t>投标保证金缴纳截止时间</w:t>
            </w:r>
            <w:r>
              <w:rPr>
                <w:rFonts w:hint="eastAsia" w:ascii="宋体" w:hAnsi="宋体" w:cs="宋体"/>
                <w:sz w:val="21"/>
                <w:szCs w:val="21"/>
                <w:lang w:val="zh-CN"/>
              </w:rPr>
              <w:t>：同投标截止时间</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23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3.4.4</w:t>
            </w:r>
          </w:p>
        </w:tc>
        <w:tc>
          <w:tcPr>
            <w:tcW w:w="2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其他可以不予退还投标保证金的情形</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（1）在招标文件要求提交投标文件的截止时间后至投标文件有效期满前撤回投标的；</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（2）中标通知书发出后，中标人无故放弃中标项目或无正当理由在规定时间内不与招标人签订合同或未按招标文件规定提交履约保证金的；</w:t>
            </w:r>
          </w:p>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eastAsia="宋体" w:cs="宋体"/>
                <w:sz w:val="21"/>
                <w:szCs w:val="21"/>
              </w:rPr>
            </w:pPr>
            <w:r>
              <w:rPr>
                <w:rFonts w:hint="eastAsia" w:ascii="宋体" w:hAnsi="宋体" w:eastAsia="宋体" w:cs="宋体"/>
                <w:sz w:val="21"/>
                <w:szCs w:val="21"/>
              </w:rPr>
              <w:t>（3）将中标项目转让给他人，或者在投标文件中未说明，且未经招标人同意，将中标项目分包给他人的；</w:t>
            </w:r>
          </w:p>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cs="宋体"/>
                <w:sz w:val="21"/>
                <w:szCs w:val="21"/>
                <w:lang w:val="en-US" w:eastAsia="zh-CN"/>
              </w:rPr>
            </w:pPr>
            <w:r>
              <w:rPr>
                <w:rFonts w:hint="eastAsia" w:ascii="宋体" w:hAnsi="宋体" w:cs="宋体"/>
                <w:sz w:val="21"/>
                <w:szCs w:val="21"/>
                <w:lang w:val="en-US" w:eastAsia="zh-CN"/>
              </w:rPr>
              <w:t xml:space="preserve">（4）投标人在招投标活动中弄虚作假、围标串标，骗取中标并经招投标行政监督部门调查核实的； </w:t>
            </w:r>
          </w:p>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cs="宋体"/>
                <w:sz w:val="21"/>
                <w:szCs w:val="21"/>
                <w:lang w:val="en-US" w:eastAsia="zh-CN"/>
              </w:rPr>
            </w:pPr>
            <w:r>
              <w:rPr>
                <w:rFonts w:hint="eastAsia" w:ascii="宋体" w:hAnsi="宋体" w:cs="宋体"/>
                <w:sz w:val="21"/>
                <w:szCs w:val="21"/>
                <w:lang w:val="en-US" w:eastAsia="zh-CN"/>
              </w:rPr>
              <w:t>（5）拒绝履行合同义务的；</w:t>
            </w:r>
          </w:p>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cs="宋体"/>
                <w:sz w:val="21"/>
                <w:szCs w:val="21"/>
                <w:lang w:val="en-US" w:eastAsia="zh-CN"/>
              </w:rPr>
            </w:pPr>
            <w:r>
              <w:rPr>
                <w:rFonts w:hint="eastAsia" w:ascii="宋体" w:hAnsi="宋体" w:cs="宋体"/>
                <w:sz w:val="21"/>
                <w:szCs w:val="21"/>
                <w:lang w:val="en-US" w:eastAsia="zh-CN"/>
              </w:rPr>
              <w:t>（6）相关法律、法规规定不予退还的其它情形。</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23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p>
          <w:p>
            <w:pPr>
              <w:pStyle w:val="2"/>
              <w:keepNext w:val="0"/>
              <w:keepLines w:val="0"/>
              <w:pageBreakBefore w:val="0"/>
              <w:widowControl w:val="0"/>
              <w:numPr>
                <w:ilvl w:val="0"/>
                <w:numId w:val="0"/>
              </w:numPr>
              <w:kinsoku/>
              <w:topLinePunct w:val="0"/>
              <w:bidi w:val="0"/>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cs="宋体"/>
                <w:sz w:val="21"/>
                <w:szCs w:val="21"/>
                <w:lang w:val="en-US" w:eastAsia="zh-CN"/>
              </w:rPr>
              <w:t>5</w:t>
            </w:r>
          </w:p>
        </w:tc>
        <w:tc>
          <w:tcPr>
            <w:tcW w:w="2310" w:type="dxa"/>
          </w:tcPr>
          <w:p>
            <w:pPr>
              <w:pStyle w:val="2"/>
              <w:keepNext w:val="0"/>
              <w:keepLines w:val="0"/>
              <w:pageBreakBefore w:val="0"/>
              <w:widowControl w:val="0"/>
              <w:numPr>
                <w:ilvl w:val="0"/>
                <w:numId w:val="0"/>
              </w:numPr>
              <w:kinsoku/>
              <w:topLinePunct w:val="0"/>
              <w:bidi w:val="0"/>
              <w:spacing w:line="400" w:lineRule="exact"/>
              <w:rPr>
                <w:rFonts w:hint="eastAsia" w:hAnsi="宋体" w:cs="仿宋_GB2312"/>
                <w:sz w:val="24"/>
              </w:rPr>
            </w:pPr>
          </w:p>
          <w:p>
            <w:pPr>
              <w:pStyle w:val="2"/>
              <w:keepNext w:val="0"/>
              <w:keepLines w:val="0"/>
              <w:pageBreakBefore w:val="0"/>
              <w:widowControl w:val="0"/>
              <w:numPr>
                <w:ilvl w:val="0"/>
                <w:numId w:val="0"/>
              </w:numPr>
              <w:kinsoku/>
              <w:topLinePunct w:val="0"/>
              <w:bidi w:val="0"/>
              <w:spacing w:line="400" w:lineRule="exact"/>
              <w:rPr>
                <w:rFonts w:hint="eastAsia" w:hAnsi="宋体" w:cs="仿宋_GB2312"/>
                <w:sz w:val="24"/>
              </w:rPr>
            </w:pPr>
          </w:p>
          <w:p>
            <w:pPr>
              <w:pStyle w:val="2"/>
              <w:keepNext w:val="0"/>
              <w:keepLines w:val="0"/>
              <w:pageBreakBefore w:val="0"/>
              <w:widowControl w:val="0"/>
              <w:numPr>
                <w:ilvl w:val="0"/>
                <w:numId w:val="0"/>
              </w:numPr>
              <w:kinsoku/>
              <w:topLinePunct w:val="0"/>
              <w:bidi w:val="0"/>
              <w:spacing w:line="400" w:lineRule="exact"/>
              <w:rPr>
                <w:rFonts w:hint="eastAsia" w:hAnsi="宋体" w:cs="仿宋_GB2312"/>
                <w:sz w:val="24"/>
              </w:rPr>
            </w:pPr>
          </w:p>
          <w:p>
            <w:pPr>
              <w:pStyle w:val="2"/>
              <w:keepNext w:val="0"/>
              <w:keepLines w:val="0"/>
              <w:pageBreakBefore w:val="0"/>
              <w:widowControl w:val="0"/>
              <w:numPr>
                <w:ilvl w:val="0"/>
                <w:numId w:val="0"/>
              </w:numPr>
              <w:kinsoku/>
              <w:topLinePunct w:val="0"/>
              <w:bidi w:val="0"/>
              <w:spacing w:line="400" w:lineRule="exact"/>
              <w:rPr>
                <w:rFonts w:hint="eastAsia" w:hAnsi="宋体" w:cs="仿宋_GB2312"/>
                <w:sz w:val="24"/>
              </w:rPr>
            </w:pPr>
          </w:p>
          <w:p>
            <w:pPr>
              <w:pStyle w:val="2"/>
              <w:keepNext w:val="0"/>
              <w:keepLines w:val="0"/>
              <w:pageBreakBefore w:val="0"/>
              <w:widowControl w:val="0"/>
              <w:numPr>
                <w:ilvl w:val="0"/>
                <w:numId w:val="0"/>
              </w:numPr>
              <w:kinsoku/>
              <w:topLinePunct w:val="0"/>
              <w:bidi w:val="0"/>
              <w:spacing w:line="400" w:lineRule="exact"/>
              <w:rPr>
                <w:rFonts w:hint="eastAsia" w:hAnsi="宋体" w:cs="仿宋_GB2312"/>
                <w:sz w:val="24"/>
              </w:rPr>
            </w:pPr>
          </w:p>
          <w:p>
            <w:pPr>
              <w:pStyle w:val="2"/>
              <w:keepNext w:val="0"/>
              <w:keepLines w:val="0"/>
              <w:pageBreakBefore w:val="0"/>
              <w:widowControl w:val="0"/>
              <w:numPr>
                <w:ilvl w:val="0"/>
                <w:numId w:val="0"/>
              </w:numPr>
              <w:kinsoku/>
              <w:topLinePunct w:val="0"/>
              <w:bidi w:val="0"/>
              <w:spacing w:line="400" w:lineRule="exact"/>
              <w:rPr>
                <w:rFonts w:hint="eastAsia" w:hAnsi="宋体" w:cs="仿宋_GB2312"/>
                <w:sz w:val="24"/>
              </w:rPr>
            </w:pP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hAnsi="宋体" w:cs="仿宋_GB2312"/>
                <w:sz w:val="24"/>
              </w:rPr>
              <w:t>投标保证金须知</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cs="宋体"/>
                <w:sz w:val="21"/>
                <w:szCs w:val="21"/>
                <w:lang w:eastAsia="zh-CN"/>
              </w:rPr>
            </w:pPr>
            <w:r>
              <w:rPr>
                <w:rFonts w:hint="eastAsia" w:ascii="宋体" w:hAnsi="宋体" w:cs="宋体"/>
                <w:sz w:val="21"/>
                <w:szCs w:val="21"/>
                <w:lang w:eastAsia="zh-CN"/>
              </w:rPr>
              <w:t>1、因投标人的原因无法及时退还投标（竞买）保证金、滞留三年以上的，投标（竞买）保证金上缴财政。</w:t>
            </w:r>
          </w:p>
          <w:p>
            <w:pPr>
              <w:pStyle w:val="2"/>
              <w:keepNext w:val="0"/>
              <w:keepLines w:val="0"/>
              <w:pageBreakBefore w:val="0"/>
              <w:widowControl w:val="0"/>
              <w:numPr>
                <w:ilvl w:val="0"/>
                <w:numId w:val="0"/>
              </w:numPr>
              <w:kinsoku/>
              <w:topLinePunct w:val="0"/>
              <w:bidi w:val="0"/>
              <w:spacing w:line="400" w:lineRule="exact"/>
              <w:rPr>
                <w:rFonts w:hint="eastAsia" w:ascii="宋体" w:hAnsi="宋体" w:cs="宋体"/>
                <w:sz w:val="21"/>
                <w:szCs w:val="21"/>
                <w:lang w:eastAsia="zh-CN"/>
              </w:rPr>
            </w:pPr>
            <w:r>
              <w:rPr>
                <w:rFonts w:hint="eastAsia" w:ascii="宋体" w:hAnsi="宋体" w:cs="宋体"/>
                <w:sz w:val="21"/>
                <w:szCs w:val="21"/>
                <w:lang w:eastAsia="zh-CN"/>
              </w:rPr>
              <w:t>2、自文件发布之日起，投标人需进行基本户备案，已备案的基本户开户银行、账户发生变化的，须重新办理备案手续。备案后方可提交投标（竞买）保证金。</w:t>
            </w:r>
          </w:p>
          <w:p>
            <w:pPr>
              <w:pStyle w:val="2"/>
              <w:keepNext w:val="0"/>
              <w:keepLines w:val="0"/>
              <w:pageBreakBefore w:val="0"/>
              <w:widowControl w:val="0"/>
              <w:numPr>
                <w:ilvl w:val="0"/>
                <w:numId w:val="0"/>
              </w:numPr>
              <w:kinsoku/>
              <w:topLinePunct w:val="0"/>
              <w:bidi w:val="0"/>
              <w:spacing w:line="400" w:lineRule="exact"/>
              <w:rPr>
                <w:rFonts w:hint="eastAsia" w:ascii="宋体" w:hAnsi="宋体" w:cs="宋体"/>
                <w:sz w:val="21"/>
                <w:szCs w:val="21"/>
                <w:lang w:eastAsia="zh-CN"/>
              </w:rPr>
            </w:pPr>
            <w:r>
              <w:rPr>
                <w:rFonts w:hint="eastAsia" w:ascii="宋体" w:hAnsi="宋体" w:cs="宋体"/>
                <w:sz w:val="21"/>
                <w:szCs w:val="21"/>
                <w:lang w:eastAsia="zh-CN"/>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pStyle w:val="2"/>
              <w:keepNext w:val="0"/>
              <w:keepLines w:val="0"/>
              <w:pageBreakBefore w:val="0"/>
              <w:widowControl w:val="0"/>
              <w:numPr>
                <w:ilvl w:val="0"/>
                <w:numId w:val="0"/>
              </w:numPr>
              <w:kinsoku/>
              <w:topLinePunct w:val="0"/>
              <w:bidi w:val="0"/>
              <w:spacing w:line="400" w:lineRule="exact"/>
              <w:rPr>
                <w:rFonts w:hint="eastAsia" w:ascii="宋体" w:hAnsi="宋体" w:cs="宋体"/>
                <w:sz w:val="21"/>
                <w:szCs w:val="21"/>
                <w:lang w:eastAsia="zh-CN"/>
              </w:rPr>
            </w:pPr>
            <w:r>
              <w:rPr>
                <w:rFonts w:hint="eastAsia" w:ascii="宋体" w:hAnsi="宋体" w:cs="宋体"/>
                <w:sz w:val="21"/>
                <w:szCs w:val="21"/>
                <w:lang w:eastAsia="zh-CN"/>
              </w:rPr>
              <w:t>4、特殊情况处理</w:t>
            </w:r>
          </w:p>
          <w:p>
            <w:pPr>
              <w:pStyle w:val="2"/>
              <w:keepNext w:val="0"/>
              <w:keepLines w:val="0"/>
              <w:pageBreakBefore w:val="0"/>
              <w:widowControl w:val="0"/>
              <w:numPr>
                <w:ilvl w:val="0"/>
                <w:numId w:val="0"/>
              </w:numPr>
              <w:kinsoku/>
              <w:topLinePunct w:val="0"/>
              <w:bidi w:val="0"/>
              <w:spacing w:line="400" w:lineRule="exact"/>
              <w:rPr>
                <w:rFonts w:hint="eastAsia" w:ascii="宋体" w:hAnsi="宋体" w:cs="宋体"/>
                <w:sz w:val="21"/>
                <w:szCs w:val="21"/>
                <w:lang w:eastAsia="zh-CN"/>
              </w:rPr>
            </w:pPr>
            <w:r>
              <w:rPr>
                <w:rFonts w:hint="eastAsia" w:ascii="宋体" w:hAnsi="宋体" w:cs="宋体"/>
                <w:sz w:val="21"/>
                <w:szCs w:val="21"/>
                <w:lang w:eastAsia="zh-CN"/>
              </w:rPr>
              <w:t xml:space="preserve">   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0374-</w:t>
            </w:r>
            <w:r>
              <w:rPr>
                <w:rFonts w:hint="eastAsia" w:ascii="宋体" w:hAnsi="宋体" w:cs="宋体"/>
                <w:sz w:val="21"/>
                <w:szCs w:val="21"/>
                <w:lang w:val="en-US" w:eastAsia="zh-CN"/>
              </w:rPr>
              <w:t>5113098</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资格审查资料的特殊要求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√无</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近年财务状况的年份要求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2014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年 至</w:t>
            </w:r>
            <w:r>
              <w:rPr>
                <w:rFonts w:hint="eastAsia" w:ascii="宋体" w:hAnsi="宋体" w:eastAsia="宋体" w:cs="宋体"/>
                <w:sz w:val="21"/>
                <w:szCs w:val="21"/>
                <w:u w:val="single"/>
                <w:lang w:val="en-US" w:eastAsia="zh-CN"/>
              </w:rPr>
              <w:t xml:space="preserve"> 2016 </w:t>
            </w:r>
            <w:r>
              <w:rPr>
                <w:rFonts w:hint="eastAsia" w:ascii="宋体" w:hAnsi="宋体" w:eastAsia="宋体" w:cs="宋体"/>
                <w:sz w:val="21"/>
                <w:szCs w:val="21"/>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近年完成的类似项目情况的时间要求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2014</w:t>
            </w:r>
            <w:r>
              <w:rPr>
                <w:rFonts w:hint="eastAsia" w:ascii="宋体" w:hAnsi="宋体" w:eastAsia="宋体" w:cs="宋体"/>
                <w:sz w:val="21"/>
                <w:szCs w:val="21"/>
                <w:lang w:val="en-US" w:eastAsia="zh-CN"/>
              </w:rPr>
              <w:t xml:space="preserve"> 年 </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lang w:val="en-US" w:eastAsia="zh-CN"/>
              </w:rPr>
              <w:t xml:space="preserve"> 月 </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lang w:val="en-US" w:eastAsia="zh-CN"/>
              </w:rPr>
              <w:t xml:space="preserve"> 日 至投标截止时间内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3.5.5</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近年发生的诉讼及仲裁情况的时间要求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2014</w:t>
            </w:r>
            <w:r>
              <w:rPr>
                <w:rFonts w:hint="eastAsia" w:ascii="宋体" w:hAnsi="宋体" w:eastAsia="宋体" w:cs="宋体"/>
                <w:sz w:val="21"/>
                <w:szCs w:val="21"/>
                <w:lang w:val="en-US" w:eastAsia="zh-CN"/>
              </w:rPr>
              <w:t xml:space="preserve"> 年 </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lang w:val="en-US" w:eastAsia="zh-CN"/>
              </w:rPr>
              <w:t xml:space="preserve"> 月 </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lang w:val="en-US" w:eastAsia="zh-CN"/>
              </w:rPr>
              <w:t xml:space="preserve"> 日 至投标截止时间内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3.6.1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是否允许递交备选投标方案</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3.7.3A（2）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投标文件副本份数及其他要求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投标文件副本份数：正本一份，副本</w:t>
            </w:r>
            <w:r>
              <w:rPr>
                <w:rFonts w:hint="eastAsia" w:ascii="宋体" w:hAnsi="宋体" w:cs="宋体"/>
                <w:sz w:val="21"/>
                <w:szCs w:val="21"/>
                <w:lang w:eastAsia="zh-CN"/>
              </w:rPr>
              <w:t>四</w:t>
            </w:r>
            <w:r>
              <w:rPr>
                <w:rFonts w:hint="eastAsia" w:ascii="宋体" w:hAnsi="宋体" w:eastAsia="宋体" w:cs="宋体"/>
                <w:sz w:val="21"/>
                <w:szCs w:val="21"/>
              </w:rPr>
              <w:t>份</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是否要求提交电子版文件：电子版本一份（U盘外贴标签注明单位名称和标段，须包含投标文件的全部内容）</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其他要求：正本和副本的封面上应清楚地标明“正本”、“副本”字样。当副本和正本不一致时，以正本为准。当正本中大小写不一致时，以大写为准。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3.7.3A（3）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投标文件是否需分册装订</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□不需要</w:t>
            </w:r>
          </w:p>
          <w:p>
            <w:pPr>
              <w:keepNext w:val="0"/>
              <w:keepLines w:val="0"/>
              <w:pageBreakBefore w:val="0"/>
              <w:widowControl w:val="0"/>
              <w:kinsoku/>
              <w:topLinePunct w:val="0"/>
              <w:autoSpaceDE w:val="0"/>
              <w:autoSpaceDN w:val="0"/>
              <w:bidi w:val="0"/>
              <w:adjustRightInd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√需要，分册装订要求：投标文件的正本与副本应分别装订成册，并编制目录，采用</w:t>
            </w:r>
            <w:r>
              <w:rPr>
                <w:rFonts w:hint="eastAsia" w:ascii="宋体" w:hAnsi="宋体" w:eastAsia="宋体" w:cs="宋体"/>
                <w:sz w:val="21"/>
                <w:szCs w:val="21"/>
                <w:u w:val="single"/>
              </w:rPr>
              <w:t>胶装</w:t>
            </w:r>
            <w:r>
              <w:rPr>
                <w:rFonts w:hint="eastAsia" w:ascii="宋体" w:hAnsi="宋体" w:eastAsia="宋体" w:cs="宋体"/>
                <w:sz w:val="21"/>
                <w:szCs w:val="21"/>
              </w:rPr>
              <w:t>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3.7.3（B）</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投标文件所附证书证件要求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投标文件所附证书证件为复印件</w:t>
            </w:r>
            <w:r>
              <w:rPr>
                <w:rFonts w:hint="eastAsia" w:ascii="宋体" w:hAnsi="宋体" w:cs="宋体"/>
                <w:sz w:val="21"/>
                <w:szCs w:val="21"/>
                <w:lang w:val="en-US" w:eastAsia="zh-CN"/>
              </w:rPr>
              <w:t>并</w:t>
            </w:r>
            <w:r>
              <w:rPr>
                <w:rFonts w:hint="eastAsia" w:ascii="宋体" w:hAnsi="宋体" w:eastAsia="宋体" w:cs="宋体"/>
                <w:sz w:val="21"/>
                <w:szCs w:val="21"/>
                <w:lang w:val="en-US" w:eastAsia="zh-CN"/>
              </w:rPr>
              <w:t>加盖单位公章，开标时须提供原件。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ind w:right="-246" w:rightChars="-117"/>
              <w:jc w:val="center"/>
              <w:rPr>
                <w:rFonts w:hint="eastAsia" w:ascii="宋体" w:hAnsi="宋体" w:eastAsia="宋体" w:cs="宋体"/>
                <w:sz w:val="21"/>
                <w:szCs w:val="21"/>
              </w:rPr>
            </w:pPr>
            <w:r>
              <w:rPr>
                <w:rFonts w:hint="eastAsia" w:ascii="宋体" w:hAnsi="宋体" w:eastAsia="宋体" w:cs="宋体"/>
                <w:sz w:val="21"/>
                <w:szCs w:val="21"/>
              </w:rPr>
              <w:t>3.7.3（B）</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投标文件签字或盖章要求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按照招标文件中提供的“投标文件格式”的要求签字盖章。法定代表人或其委托代理人签字并加盖单位公章。委托代理人签字的，其法定代表人授权书必须由法定代表人签署。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ind w:right="-246" w:rightChars="-117"/>
              <w:jc w:val="center"/>
              <w:rPr>
                <w:rFonts w:hint="eastAsia" w:ascii="宋体" w:hAnsi="宋体" w:eastAsia="宋体" w:cs="宋体"/>
                <w:sz w:val="21"/>
                <w:szCs w:val="21"/>
              </w:rPr>
            </w:pPr>
            <w:r>
              <w:rPr>
                <w:rFonts w:hint="eastAsia" w:ascii="宋体" w:hAnsi="宋体" w:eastAsia="宋体" w:cs="宋体"/>
                <w:sz w:val="21"/>
                <w:szCs w:val="21"/>
              </w:rPr>
              <w:t>4.1.1（B）</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投标文件加密要求</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投标文件</w:t>
            </w:r>
            <w:r>
              <w:rPr>
                <w:rFonts w:hint="eastAsia" w:ascii="宋体" w:hAnsi="宋体" w:eastAsia="宋体" w:cs="宋体"/>
                <w:sz w:val="21"/>
                <w:szCs w:val="21"/>
              </w:rPr>
              <w:t>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4.1.2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封套上应载明的信息</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招标人名称：</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招标人地址：</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（项目名称）设备采购招标项目投标文件</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招标项目编号：</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在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年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月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日</w:t>
            </w:r>
            <w:r>
              <w:rPr>
                <w:rFonts w:hint="eastAsia" w:ascii="宋体" w:hAnsi="宋体" w:eastAsia="宋体" w:cs="宋体"/>
                <w:sz w:val="21"/>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4.2.1</w:t>
            </w:r>
          </w:p>
        </w:tc>
        <w:tc>
          <w:tcPr>
            <w:tcW w:w="2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投标截止时间</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北京时间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2018</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27</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日上午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9</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00</w:t>
            </w:r>
            <w:r>
              <w:rPr>
                <w:rFonts w:hint="eastAsia" w:ascii="宋体"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numPr>
                <w:ilvl w:val="0"/>
                <w:numId w:val="0"/>
              </w:numPr>
              <w:kinsoku/>
              <w:topLinePunct w:val="0"/>
              <w:bidi w:val="0"/>
              <w:spacing w:line="400" w:lineRule="exact"/>
              <w:ind w:right="-246" w:rightChars="-117"/>
              <w:rPr>
                <w:rFonts w:hint="eastAsia" w:ascii="宋体" w:hAnsi="宋体" w:eastAsia="宋体" w:cs="宋体"/>
                <w:sz w:val="21"/>
                <w:szCs w:val="21"/>
              </w:rPr>
            </w:pPr>
            <w:r>
              <w:rPr>
                <w:rFonts w:hint="eastAsia" w:ascii="宋体" w:hAnsi="宋体" w:eastAsia="宋体" w:cs="宋体"/>
                <w:sz w:val="21"/>
                <w:szCs w:val="21"/>
              </w:rPr>
              <w:t>4.2.2（A）</w:t>
            </w:r>
          </w:p>
        </w:tc>
        <w:tc>
          <w:tcPr>
            <w:tcW w:w="2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递交投标文件地点</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建安区新元大道兴业大厦4楼</w:t>
            </w:r>
            <w:r>
              <w:rPr>
                <w:rFonts w:hint="eastAsia" w:ascii="宋体" w:hAnsi="宋体" w:eastAsia="宋体" w:cs="宋体"/>
                <w:sz w:val="21"/>
                <w:szCs w:val="21"/>
                <w:u w:val="single"/>
                <w:lang w:val="en-US" w:eastAsia="zh-CN"/>
              </w:rPr>
              <w:t>4165</w:t>
            </w:r>
            <w:r>
              <w:rPr>
                <w:rFonts w:hint="eastAsia" w:ascii="宋体" w:hAnsi="宋体" w:eastAsia="宋体" w:cs="宋体"/>
                <w:sz w:val="21"/>
                <w:szCs w:val="21"/>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4.2.3</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投标文件是否退还</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√否</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5.1（A）</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开标时间和地点</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开标时间：北京时间201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 xml:space="preserve">年 </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月 </w:t>
            </w:r>
            <w:r>
              <w:rPr>
                <w:rFonts w:hint="eastAsia" w:ascii="宋体" w:hAnsi="宋体" w:cs="宋体"/>
                <w:sz w:val="21"/>
                <w:szCs w:val="21"/>
                <w:lang w:val="en-US" w:eastAsia="zh-CN"/>
              </w:rPr>
              <w:t>27</w:t>
            </w:r>
            <w:r>
              <w:rPr>
                <w:rFonts w:hint="eastAsia" w:ascii="宋体" w:hAnsi="宋体" w:eastAsia="宋体" w:cs="宋体"/>
                <w:sz w:val="21"/>
                <w:szCs w:val="21"/>
                <w:lang w:val="en-US" w:eastAsia="zh-CN"/>
              </w:rPr>
              <w:t xml:space="preserve"> 日上午</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 xml:space="preserve"> </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地点：建安区新元大道兴业大厦4楼4165室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ind w:right="-246" w:rightChars="-117"/>
              <w:jc w:val="center"/>
              <w:rPr>
                <w:rFonts w:hint="eastAsia" w:ascii="宋体" w:hAnsi="宋体" w:eastAsia="宋体" w:cs="宋体"/>
                <w:sz w:val="21"/>
                <w:szCs w:val="21"/>
              </w:rPr>
            </w:pPr>
            <w:r>
              <w:rPr>
                <w:rFonts w:hint="eastAsia" w:ascii="宋体" w:hAnsi="宋体" w:eastAsia="宋体" w:cs="宋体"/>
                <w:sz w:val="21"/>
                <w:szCs w:val="21"/>
              </w:rPr>
              <w:t>5.2（4）（A）</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开标程序</w:t>
            </w:r>
          </w:p>
        </w:tc>
        <w:tc>
          <w:tcPr>
            <w:tcW w:w="5310" w:type="dxa"/>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主持人按下列程序进行开标会议：</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（1）宣布会场纪律；</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（2）宣布招标人、监督人、主持人、记录人、等有关人员姓名；</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（3）公布在投标文件递交截止时间前递交投标文件的投标人名称，并点名确认投标人是否派人到场；</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（4）检查投标文件的密封情况；</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（5）按照递交投标文件的逆顺序当众启封所有投标文件，公布投标人名称、保证金的递交情况、服务职龄等内容，并记录在案；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（6）投标人代表、招标人代表、监督人员、记录人等有关人员在开标会议记录表上签字确认；</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after="120" w:afterLines="0" w:line="400" w:lineRule="exact"/>
              <w:ind w:left="0" w:leftChars="0" w:right="0" w:rightChars="0" w:firstLine="0" w:firstLineChars="0"/>
              <w:jc w:val="left"/>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（7）开标会议结束。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6.1.1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评标委员会的组建</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评标委员会构成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5</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人</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其中招标人代表</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1</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人，专家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人；</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评标专家确定方式：从政府采购评审专家库中随机抽取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6.3.2</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评标委员会推荐中标候选人的人数</w:t>
            </w:r>
          </w:p>
        </w:tc>
        <w:tc>
          <w:tcPr>
            <w:tcW w:w="5310" w:type="dxa"/>
            <w:vAlign w:val="center"/>
          </w:tcPr>
          <w:p>
            <w:pPr>
              <w:pStyle w:val="2"/>
              <w:keepNext w:val="0"/>
              <w:keepLines w:val="0"/>
              <w:pageBreakBefore w:val="0"/>
              <w:widowControl w:val="0"/>
              <w:numPr>
                <w:ilvl w:val="0"/>
                <w:numId w:val="0"/>
              </w:numPr>
              <w:kinsoku/>
              <w:topLinePunct w:val="0"/>
              <w:bidi w:val="0"/>
              <w:spacing w:line="4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中标候选人公示媒介及期限</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公示媒介：《河南省政府采购网》、《许昌市政府采购网》、《全国公共资源交易平台（河南省·许昌市）》</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公示期限：</w:t>
            </w:r>
            <w:r>
              <w:rPr>
                <w:rFonts w:hint="eastAsia" w:ascii="宋体" w:hAnsi="宋体" w:eastAsia="宋体" w:cs="宋体"/>
                <w:sz w:val="21"/>
                <w:szCs w:val="21"/>
                <w:lang w:val="en-US" w:eastAsia="zh-CN"/>
              </w:rPr>
              <w:t xml:space="preserve"> 不少于</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1</w:t>
            </w:r>
            <w:r>
              <w:rPr>
                <w:rFonts w:hint="eastAsia" w:ascii="宋体" w:hAnsi="宋体" w:eastAsia="宋体" w:cs="宋体"/>
                <w:sz w:val="21"/>
                <w:szCs w:val="21"/>
                <w:u w:val="single"/>
                <w:lang w:val="en-US" w:eastAsia="zh-CN"/>
              </w:rPr>
              <w:t xml:space="preserve"> </w:t>
            </w:r>
            <w:r>
              <w:rPr>
                <w:rFonts w:hint="eastAsia" w:ascii="宋体" w:hAnsi="宋体" w:eastAsia="宋体" w:cs="宋体"/>
                <w:color w:val="000000"/>
                <w:sz w:val="21"/>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7.4</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是否授权评标委员会确定中标人</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7.6.1</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是否要求中标人提交履约保证金：</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√要求，履约保证金的形式：中标供应商在收到中标通知书后，签订合同前需向采购人提交履约保证金。</w:t>
            </w:r>
          </w:p>
          <w:p>
            <w:pPr>
              <w:pStyle w:val="2"/>
              <w:keepNext w:val="0"/>
              <w:keepLines w:val="0"/>
              <w:pageBreakBefore w:val="0"/>
              <w:widowControl w:val="0"/>
              <w:numPr>
                <w:ilvl w:val="0"/>
                <w:numId w:val="0"/>
              </w:numPr>
              <w:kinsoku/>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履约保证金的金额：合同金额（中标）</w:t>
            </w:r>
            <w:r>
              <w:rPr>
                <w:rFonts w:hint="eastAsia" w:ascii="宋体" w:hAnsi="宋体" w:eastAsia="宋体" w:cs="宋体"/>
                <w:color w:val="auto"/>
                <w:sz w:val="21"/>
                <w:szCs w:val="21"/>
                <w:lang w:eastAsia="zh-CN"/>
              </w:rPr>
              <w:t>金额的</w:t>
            </w: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231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是否采用电子招标投标</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√否</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620" w:type="dxa"/>
            <w:gridSpan w:val="2"/>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w:t>
            </w:r>
          </w:p>
        </w:tc>
        <w:tc>
          <w:tcPr>
            <w:tcW w:w="2310" w:type="dxa"/>
            <w:vAlign w:val="center"/>
          </w:tcPr>
          <w:p>
            <w:pPr>
              <w:keepNext w:val="0"/>
              <w:keepLines w:val="0"/>
              <w:pageBreakBefore w:val="0"/>
              <w:widowControl w:val="0"/>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投标文件的拒收</w:t>
            </w:r>
          </w:p>
        </w:tc>
        <w:tc>
          <w:tcPr>
            <w:tcW w:w="5310" w:type="dxa"/>
          </w:tcPr>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、逾期送达的或者未送达指定地点的投标文件；</w:t>
            </w:r>
          </w:p>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2、投标文件未按要求密封的；</w:t>
            </w:r>
          </w:p>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3、未按</w:t>
            </w:r>
            <w:r>
              <w:rPr>
                <w:rFonts w:hint="eastAsia" w:ascii="宋体" w:hAnsi="宋体" w:cs="宋体"/>
                <w:color w:val="000000"/>
                <w:sz w:val="21"/>
                <w:szCs w:val="21"/>
                <w:lang w:eastAsia="zh-CN"/>
              </w:rPr>
              <w:t>招标</w:t>
            </w:r>
            <w:r>
              <w:rPr>
                <w:rFonts w:hint="eastAsia" w:ascii="宋体" w:hAnsi="宋体" w:eastAsia="宋体" w:cs="宋体"/>
                <w:color w:val="000000"/>
                <w:sz w:val="21"/>
                <w:szCs w:val="21"/>
              </w:rPr>
              <w:t>文件要求缴纳保证金的；</w:t>
            </w:r>
          </w:p>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4、法定代表人或其委托代理人（持有效的授权委托书）未携带本人身份证到</w:t>
            </w:r>
            <w:r>
              <w:rPr>
                <w:rFonts w:hint="eastAsia" w:ascii="宋体" w:hAnsi="宋体" w:cs="宋体"/>
                <w:color w:val="000000"/>
                <w:sz w:val="21"/>
                <w:szCs w:val="21"/>
                <w:lang w:eastAsia="zh-CN"/>
              </w:rPr>
              <w:t>开标</w:t>
            </w:r>
            <w:r>
              <w:rPr>
                <w:rFonts w:hint="eastAsia" w:ascii="宋体" w:hAnsi="宋体" w:eastAsia="宋体" w:cs="宋体"/>
                <w:color w:val="000000"/>
                <w:sz w:val="21"/>
                <w:szCs w:val="21"/>
              </w:rPr>
              <w:t>现场并签到的；</w:t>
            </w:r>
          </w:p>
          <w:p>
            <w:pPr>
              <w:keepNext w:val="0"/>
              <w:keepLines w:val="0"/>
              <w:pageBreakBefore w:val="0"/>
              <w:widowControl w:val="0"/>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5、未按照规定支付</w:t>
            </w:r>
            <w:r>
              <w:rPr>
                <w:rFonts w:hint="eastAsia" w:ascii="宋体" w:hAnsi="宋体" w:cs="宋体"/>
                <w:sz w:val="21"/>
                <w:szCs w:val="21"/>
                <w:lang w:eastAsia="zh-CN"/>
              </w:rPr>
              <w:t>招标</w:t>
            </w:r>
            <w:r>
              <w:rPr>
                <w:rFonts w:hint="eastAsia" w:ascii="宋体" w:hAnsi="宋体" w:eastAsia="宋体" w:cs="宋体"/>
                <w:sz w:val="21"/>
                <w:szCs w:val="21"/>
              </w:rPr>
              <w:t>文件费用；</w:t>
            </w:r>
          </w:p>
          <w:p>
            <w:pPr>
              <w:pStyle w:val="2"/>
              <w:keepNext w:val="0"/>
              <w:keepLines w:val="0"/>
              <w:pageBreakBefore w:val="0"/>
              <w:widowControl w:val="0"/>
              <w:numPr>
                <w:ilvl w:val="0"/>
                <w:numId w:val="0"/>
              </w:numPr>
              <w:kinsoku/>
              <w:topLinePunct w:val="0"/>
              <w:bidi w:val="0"/>
              <w:spacing w:line="400" w:lineRule="exact"/>
              <w:ind w:right="-166" w:rightChars="-79"/>
              <w:rPr>
                <w:rFonts w:hint="eastAsia" w:ascii="宋体" w:hAnsi="宋体" w:eastAsia="宋体" w:cs="宋体"/>
                <w:sz w:val="21"/>
                <w:szCs w:val="21"/>
                <w:lang w:val="en-US" w:eastAsia="zh-CN"/>
              </w:rPr>
            </w:pPr>
            <w:r>
              <w:rPr>
                <w:rFonts w:hint="eastAsia" w:ascii="宋体" w:hAnsi="宋体" w:eastAsia="宋体" w:cs="宋体"/>
                <w:sz w:val="21"/>
                <w:szCs w:val="21"/>
              </w:rPr>
              <w:t>6、未通过“全国公共资源交易平台（河南省·许昌市）”下载招标文件的。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2310" w:type="dxa"/>
            <w:vAlign w:val="center"/>
          </w:tcPr>
          <w:p>
            <w:pPr>
              <w:keepNext w:val="0"/>
              <w:keepLines w:val="0"/>
              <w:pageBreakBefore w:val="0"/>
              <w:widowControl w:val="0"/>
              <w:kinsoku/>
              <w:topLinePunct w:val="0"/>
              <w:bidi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中标公示</w:t>
            </w:r>
          </w:p>
        </w:tc>
        <w:tc>
          <w:tcPr>
            <w:tcW w:w="5310" w:type="dxa"/>
          </w:tcPr>
          <w:p>
            <w:pPr>
              <w:keepNext w:val="0"/>
              <w:keepLines w:val="0"/>
              <w:pageBreakBefore w:val="0"/>
              <w:widowControl w:val="0"/>
              <w:kinsoku/>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1、在中标通知书发出前，招标人将中标候选人的情况在“河南省政府采购网”、 “许昌市政府采购网”、 “全国公共资源交易平台（河南省·许昌市）”予以公示，公示期不少于1个工作日。</w:t>
            </w:r>
          </w:p>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color w:val="000000"/>
                <w:sz w:val="21"/>
                <w:szCs w:val="21"/>
              </w:rPr>
              <w:t>2、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trPr>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tc>
        <w:tc>
          <w:tcPr>
            <w:tcW w:w="2310" w:type="dxa"/>
            <w:vAlign w:val="center"/>
          </w:tcPr>
          <w:p>
            <w:pPr>
              <w:keepNext w:val="0"/>
              <w:keepLines w:val="0"/>
              <w:pageBreakBefore w:val="0"/>
              <w:widowControl w:val="0"/>
              <w:kinsoku/>
              <w:topLinePunct w:val="0"/>
              <w:bidi w:val="0"/>
              <w:spacing w:line="400" w:lineRule="exact"/>
              <w:ind w:right="280" w:rightChars="0"/>
              <w:jc w:val="center"/>
              <w:rPr>
                <w:rFonts w:hint="eastAsia" w:ascii="宋体" w:hAnsi="宋体" w:eastAsia="宋体" w:cs="宋体"/>
                <w:sz w:val="21"/>
                <w:szCs w:val="21"/>
              </w:rPr>
            </w:pPr>
            <w:r>
              <w:rPr>
                <w:rFonts w:hint="eastAsia" w:ascii="宋体" w:hAnsi="宋体" w:eastAsia="宋体" w:cs="宋体"/>
                <w:sz w:val="21"/>
                <w:szCs w:val="21"/>
              </w:rPr>
              <w:t>知识产权</w:t>
            </w:r>
          </w:p>
        </w:tc>
        <w:tc>
          <w:tcPr>
            <w:tcW w:w="5310" w:type="dxa"/>
            <w:vAlign w:val="center"/>
          </w:tcPr>
          <w:p>
            <w:pPr>
              <w:keepNext w:val="0"/>
              <w:keepLines w:val="0"/>
              <w:pageBreakBefore w:val="0"/>
              <w:widowControl w:val="0"/>
              <w:kinsoku/>
              <w:topLinePunct w:val="0"/>
              <w:bidi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10.4</w:t>
            </w:r>
          </w:p>
        </w:tc>
        <w:tc>
          <w:tcPr>
            <w:tcW w:w="2310" w:type="dxa"/>
            <w:vAlign w:val="center"/>
          </w:tcPr>
          <w:p>
            <w:pPr>
              <w:keepNext w:val="0"/>
              <w:keepLines w:val="0"/>
              <w:pageBreakBefore w:val="0"/>
              <w:widowControl w:val="0"/>
              <w:kinsoku/>
              <w:topLinePunct w:val="0"/>
              <w:bidi w:val="0"/>
              <w:spacing w:line="400" w:lineRule="exact"/>
              <w:ind w:left="280" w:leftChars="0" w:right="280" w:rightChars="0" w:firstLine="44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rPr>
              <w:t>解释权</w:t>
            </w:r>
          </w:p>
        </w:tc>
        <w:tc>
          <w:tcPr>
            <w:tcW w:w="5310" w:type="dxa"/>
          </w:tcPr>
          <w:p>
            <w:pPr>
              <w:pStyle w:val="2"/>
              <w:keepNext w:val="0"/>
              <w:keepLines w:val="0"/>
              <w:pageBreakBefore w:val="0"/>
              <w:widowControl w:val="0"/>
              <w:numPr>
                <w:ilvl w:val="0"/>
                <w:numId w:val="0"/>
              </w:numPr>
              <w:kinsoku/>
              <w:topLinePunct w:val="0"/>
              <w:bidi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Align w:val="center"/>
          </w:tcPr>
          <w:p>
            <w:pPr>
              <w:pStyle w:val="2"/>
              <w:keepNext w:val="0"/>
              <w:keepLines w:val="0"/>
              <w:pageBreakBefore w:val="0"/>
              <w:widowControl w:val="0"/>
              <w:numPr>
                <w:ilvl w:val="0"/>
                <w:numId w:val="0"/>
              </w:numPr>
              <w:kinsoku/>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2310" w:type="dxa"/>
            <w:vAlign w:val="center"/>
          </w:tcPr>
          <w:p>
            <w:pPr>
              <w:keepNext w:val="0"/>
              <w:keepLines w:val="0"/>
              <w:pageBreakBefore w:val="0"/>
              <w:widowControl w:val="0"/>
              <w:kinsoku/>
              <w:topLinePunct w:val="0"/>
              <w:autoSpaceDE w:val="0"/>
              <w:autoSpaceDN w:val="0"/>
              <w:bidi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有关费用</w:t>
            </w:r>
          </w:p>
        </w:tc>
        <w:tc>
          <w:tcPr>
            <w:tcW w:w="5310" w:type="dxa"/>
          </w:tcPr>
          <w:p>
            <w:pPr>
              <w:pStyle w:val="2"/>
              <w:keepNext w:val="0"/>
              <w:keepLines w:val="0"/>
              <w:pageBreakBefore w:val="0"/>
              <w:widowControl w:val="0"/>
              <w:numPr>
                <w:ilvl w:val="0"/>
                <w:numId w:val="0"/>
              </w:numPr>
              <w:kinsoku/>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color w:val="000000"/>
                <w:sz w:val="21"/>
                <w:szCs w:val="21"/>
              </w:rPr>
              <w:t>本次招标代理服务费由中标的投标人支付。</w:t>
            </w:r>
          </w:p>
        </w:tc>
      </w:tr>
    </w:tbl>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sz w:val="32"/>
          <w:szCs w:val="32"/>
        </w:rPr>
      </w:pPr>
    </w:p>
    <w:p>
      <w:pPr>
        <w:keepNext w:val="0"/>
        <w:keepLines w:val="0"/>
        <w:pageBreakBefore w:val="0"/>
        <w:kinsoku/>
        <w:topLinePunct w:val="0"/>
        <w:autoSpaceDE w:val="0"/>
        <w:autoSpaceDN w:val="0"/>
        <w:bidi w:val="0"/>
        <w:adjustRightInd w:val="0"/>
        <w:spacing w:line="400" w:lineRule="exact"/>
        <w:jc w:val="center"/>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特别提示</w:t>
      </w:r>
    </w:p>
    <w:p>
      <w:pPr>
        <w:keepNext w:val="0"/>
        <w:keepLines w:val="0"/>
        <w:pageBreakBefore w:val="0"/>
        <w:kinsoku/>
        <w:topLinePunct w:val="0"/>
        <w:autoSpaceDE w:val="0"/>
        <w:autoSpaceDN w:val="0"/>
        <w:bidi w:val="0"/>
        <w:adjustRightInd w:val="0"/>
        <w:spacing w:line="400" w:lineRule="exact"/>
        <w:jc w:val="center"/>
        <w:rPr>
          <w:rFonts w:hint="eastAsia" w:ascii="宋体" w:hAnsi="宋体" w:eastAsia="宋体" w:cs="宋体"/>
          <w:color w:val="000000"/>
          <w:kern w:val="0"/>
          <w:sz w:val="21"/>
          <w:szCs w:val="21"/>
          <w:lang w:val="zh-CN"/>
        </w:rPr>
      </w:pP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1.投标文件中必须提供法人营业执照副本、法人授权书、被授权人身份证及投标条件中所规定证件的复印件，且在</w:t>
      </w:r>
      <w:r>
        <w:rPr>
          <w:rFonts w:hint="eastAsia" w:ascii="宋体" w:hAnsi="宋体" w:eastAsia="宋体" w:cs="宋体"/>
          <w:color w:val="000000"/>
          <w:kern w:val="0"/>
          <w:sz w:val="21"/>
          <w:szCs w:val="21"/>
        </w:rPr>
        <w:t>评标时必须提供原件</w:t>
      </w:r>
      <w:r>
        <w:rPr>
          <w:rFonts w:hint="eastAsia" w:ascii="宋体" w:hAnsi="宋体" w:eastAsia="宋体" w:cs="宋体"/>
          <w:color w:val="000000"/>
          <w:kern w:val="0"/>
          <w:sz w:val="21"/>
          <w:szCs w:val="21"/>
          <w:lang w:val="zh-CN"/>
        </w:rPr>
        <w:t>，否则为无效投标。</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2.投标人必须</w:t>
      </w:r>
      <w:r>
        <w:rPr>
          <w:rFonts w:hint="eastAsia" w:ascii="宋体" w:hAnsi="宋体" w:eastAsia="宋体" w:cs="宋体"/>
          <w:color w:val="000000"/>
          <w:kern w:val="0"/>
          <w:sz w:val="21"/>
          <w:szCs w:val="21"/>
          <w:lang w:val="zh-CN"/>
        </w:rPr>
        <w:t>按招标文件要求提交投标保证金，否则为无效投标。</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3.如果供应商认为本次采购项目存在倾向性或排斥性内容，请在法定时间内详细举证，并通过公共资源交易平台提出询问和澄清，如未提出，视为全面接受。</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4.在下载招标文件期间，有可能会出现变更信息，请下载招标文件的供应商自行关注，否则自行承担相应责任。</w:t>
      </w:r>
    </w:p>
    <w:p>
      <w:pPr>
        <w:keepNext w:val="0"/>
        <w:keepLines w:val="0"/>
        <w:pageBreakBefore w:val="0"/>
        <w:kinsoku/>
        <w:topLinePunct w:val="0"/>
        <w:bidi w:val="0"/>
        <w:spacing w:line="400" w:lineRule="exact"/>
        <w:ind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5.招标公告、成交公告、变更（更正）公告等相关信息同时在以下网站发布：“河南省政府采购网”、 “许昌市政府采购网”、 “全国公共资源交易平台（河南省·许昌市）”予以公示。</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6.单位负责人为同一人或者存在直接控股、管理关系的不同供应商，不得参加同一合同项下的政府采购活动。</w:t>
      </w:r>
    </w:p>
    <w:p>
      <w:pPr>
        <w:keepNext w:val="0"/>
        <w:keepLines w:val="0"/>
        <w:pageBreakBefore w:val="0"/>
        <w:kinsoku/>
        <w:topLinePunct w:val="0"/>
        <w:autoSpaceDE w:val="0"/>
        <w:autoSpaceDN w:val="0"/>
        <w:bidi w:val="0"/>
        <w:adjustRightInd w:val="0"/>
        <w:spacing w:line="400" w:lineRule="exact"/>
        <w:ind w:firstLine="482"/>
        <w:rPr>
          <w:rFonts w:hint="eastAsia" w:ascii="宋体" w:hAnsi="宋体" w:eastAsia="宋体" w:cs="宋体"/>
          <w:color w:val="auto"/>
          <w:kern w:val="0"/>
          <w:sz w:val="21"/>
          <w:szCs w:val="21"/>
          <w:lang w:val="zh-CN"/>
        </w:rPr>
      </w:pP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zh-CN"/>
        </w:rPr>
        <w:t>投标人如果中标不得转包，一经发现和证实，将取消其中标资格并承担由此造成的损</w:t>
      </w:r>
      <w:r>
        <w:rPr>
          <w:rFonts w:hint="eastAsia" w:ascii="宋体" w:hAnsi="宋体" w:eastAsia="宋体" w:cs="宋体"/>
          <w:color w:val="auto"/>
          <w:kern w:val="0"/>
          <w:sz w:val="21"/>
          <w:szCs w:val="21"/>
          <w:lang w:val="zh-CN"/>
        </w:rPr>
        <w:t>失。</w:t>
      </w:r>
    </w:p>
    <w:p>
      <w:pPr>
        <w:keepNext w:val="0"/>
        <w:keepLines w:val="0"/>
        <w:pageBreakBefore w:val="0"/>
        <w:kinsoku/>
        <w:topLinePunct w:val="0"/>
        <w:bidi w:val="0"/>
        <w:spacing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8.各投标人在递交投标文件时时，应充分考虑服务及售后过程中所发生的费用，投标人递交投标文件，表示接受第五章“项目需求及其它要求”中所</w:t>
      </w:r>
      <w:r>
        <w:rPr>
          <w:rFonts w:hint="eastAsia" w:ascii="宋体" w:hAnsi="宋体" w:cs="宋体"/>
          <w:color w:val="auto"/>
          <w:kern w:val="0"/>
          <w:sz w:val="21"/>
          <w:szCs w:val="21"/>
          <w:lang w:eastAsia="zh-CN"/>
        </w:rPr>
        <w:t>涉及的所有费用</w:t>
      </w:r>
      <w:r>
        <w:rPr>
          <w:rFonts w:hint="eastAsia" w:ascii="宋体" w:hAnsi="宋体" w:eastAsia="宋体" w:cs="宋体"/>
          <w:color w:val="auto"/>
          <w:kern w:val="0"/>
          <w:sz w:val="21"/>
          <w:szCs w:val="21"/>
        </w:rPr>
        <w:t>，如果中标，不得再以任何理由要求追加费用。</w:t>
      </w:r>
      <w:r>
        <w:rPr>
          <w:rFonts w:hint="eastAsia" w:ascii="宋体" w:hAnsi="宋体" w:eastAsia="宋体" w:cs="宋体"/>
          <w:color w:val="auto"/>
          <w:kern w:val="0"/>
          <w:sz w:val="21"/>
          <w:szCs w:val="21"/>
          <w:lang w:val="zh-CN"/>
        </w:rPr>
        <w:t xml:space="preserve"> </w:t>
      </w:r>
    </w:p>
    <w:p>
      <w:pPr>
        <w:keepNext w:val="0"/>
        <w:keepLines w:val="0"/>
        <w:pageBreakBefore w:val="0"/>
        <w:numPr>
          <w:ilvl w:val="0"/>
          <w:numId w:val="0"/>
        </w:numPr>
        <w:kinsoku/>
        <w:topLinePunct w:val="0"/>
        <w:bidi w:val="0"/>
        <w:spacing w:line="400" w:lineRule="exact"/>
        <w:ind w:left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评标委员会判断投标文件的响应性仅基于投标文件本身而不依靠外部证据。</w:t>
      </w:r>
    </w:p>
    <w:p>
      <w:pPr>
        <w:pStyle w:val="2"/>
        <w:rPr>
          <w:rFonts w:hint="eastAsia" w:eastAsia="宋体"/>
          <w:lang w:val="en-US" w:eastAsia="zh-CN"/>
        </w:rPr>
      </w:pPr>
      <w:r>
        <w:rPr>
          <w:rFonts w:hint="eastAsia" w:ascii="宋体" w:hAnsi="宋体" w:cs="宋体"/>
          <w:color w:val="000000"/>
          <w:kern w:val="0"/>
          <w:sz w:val="21"/>
          <w:szCs w:val="21"/>
          <w:lang w:val="en-US" w:eastAsia="zh-CN"/>
        </w:rPr>
        <w:t xml:space="preserve">  </w:t>
      </w:r>
    </w:p>
    <w:p>
      <w:pPr>
        <w:pStyle w:val="2"/>
        <w:keepNext w:val="0"/>
        <w:keepLines w:val="0"/>
        <w:pageBreakBefore w:val="0"/>
        <w:kinsoku/>
        <w:topLinePunct w:val="0"/>
        <w:bidi w:val="0"/>
        <w:spacing w:line="400" w:lineRule="exact"/>
        <w:rPr>
          <w:rFonts w:hint="eastAsia" w:ascii="新宋体" w:hAnsi="新宋体" w:eastAsia="新宋体" w:cs="Times New Roman"/>
          <w:color w:val="000000"/>
          <w:kern w:val="0"/>
          <w:sz w:val="21"/>
          <w:szCs w:val="21"/>
          <w:lang w:val="en-US" w:eastAsia="zh-CN"/>
        </w:rPr>
      </w:pPr>
    </w:p>
    <w:p>
      <w:pPr>
        <w:pStyle w:val="2"/>
        <w:keepNext w:val="0"/>
        <w:keepLines w:val="0"/>
        <w:pageBreakBefore w:val="0"/>
        <w:kinsoku/>
        <w:topLinePunct w:val="0"/>
        <w:bidi w:val="0"/>
        <w:spacing w:line="400" w:lineRule="exact"/>
        <w:rPr>
          <w:rFonts w:hint="default"/>
        </w:rPr>
      </w:pPr>
    </w:p>
    <w:p>
      <w:pPr>
        <w:keepNext w:val="0"/>
        <w:keepLines w:val="0"/>
        <w:pageBreakBefore w:val="0"/>
        <w:numPr>
          <w:ilvl w:val="0"/>
          <w:numId w:val="5"/>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bookmarkStart w:id="5" w:name="page15"/>
      <w:bookmarkEnd w:id="5"/>
      <w:bookmarkStart w:id="6" w:name="page19"/>
      <w:bookmarkEnd w:id="6"/>
      <w:r>
        <w:rPr>
          <w:rFonts w:hint="eastAsia" w:ascii="宋体" w:hAnsi="宋体"/>
          <w:b/>
          <w:sz w:val="32"/>
        </w:rPr>
        <w:t>总则</w:t>
      </w:r>
    </w:p>
    <w:p>
      <w:pPr>
        <w:keepNext w:val="0"/>
        <w:keepLines w:val="0"/>
        <w:pageBreakBefore w:val="0"/>
        <w:kinsoku/>
        <w:topLinePunct w:val="0"/>
        <w:bidi w:val="0"/>
        <w:spacing w:beforeLines="0" w:afterLines="0" w:line="400" w:lineRule="exact"/>
        <w:jc w:val="left"/>
        <w:rPr>
          <w:rFonts w:hint="default" w:ascii="Times New Roman" w:hAnsi="Times New Roman" w:eastAsia="Times New Roman"/>
          <w:b/>
          <w:sz w:val="32"/>
        </w:rPr>
      </w:pPr>
    </w:p>
    <w:p>
      <w:pPr>
        <w:keepNext w:val="0"/>
        <w:keepLines w:val="0"/>
        <w:pageBreakBefore w:val="0"/>
        <w:numPr>
          <w:ilvl w:val="1"/>
          <w:numId w:val="5"/>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招标项目概况</w:t>
      </w:r>
    </w:p>
    <w:p>
      <w:pPr>
        <w:keepNext w:val="0"/>
        <w:keepLines w:val="0"/>
        <w:pageBreakBefore w:val="0"/>
        <w:numPr>
          <w:ilvl w:val="2"/>
          <w:numId w:val="5"/>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根据《中华人民共和国</w:t>
      </w:r>
      <w:r>
        <w:rPr>
          <w:rFonts w:hint="eastAsia" w:ascii="宋体" w:hAnsi="宋体"/>
          <w:sz w:val="21"/>
          <w:lang w:eastAsia="zh-CN"/>
        </w:rPr>
        <w:t>政府采购</w:t>
      </w:r>
      <w:r>
        <w:rPr>
          <w:rFonts w:hint="eastAsia" w:ascii="宋体" w:hAnsi="宋体"/>
          <w:sz w:val="21"/>
        </w:rPr>
        <w:t>法》、《中华人民共和国</w:t>
      </w:r>
      <w:r>
        <w:rPr>
          <w:rFonts w:hint="eastAsia" w:ascii="宋体" w:hAnsi="宋体"/>
          <w:sz w:val="21"/>
          <w:lang w:eastAsia="zh-CN"/>
        </w:rPr>
        <w:t>政府采购</w:t>
      </w:r>
      <w:r>
        <w:rPr>
          <w:rFonts w:hint="eastAsia" w:ascii="宋体" w:hAnsi="宋体"/>
          <w:sz w:val="21"/>
        </w:rPr>
        <w:t>法实施条例》等有关法律、法规和规章的规定，本招标项目已具备招标条件，现对设备采购进行招标。</w:t>
      </w:r>
    </w:p>
    <w:p>
      <w:pPr>
        <w:keepNext w:val="0"/>
        <w:keepLines w:val="0"/>
        <w:pageBreakBefore w:val="0"/>
        <w:numPr>
          <w:ilvl w:val="2"/>
          <w:numId w:val="5"/>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招标人：见投标人须知前附表。</w:t>
      </w:r>
    </w:p>
    <w:p>
      <w:pPr>
        <w:keepNext w:val="0"/>
        <w:keepLines w:val="0"/>
        <w:pageBreakBefore w:val="0"/>
        <w:numPr>
          <w:ilvl w:val="2"/>
          <w:numId w:val="5"/>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招标代理机构：见投标人须知前附表。</w:t>
      </w:r>
    </w:p>
    <w:p>
      <w:pPr>
        <w:keepNext w:val="0"/>
        <w:keepLines w:val="0"/>
        <w:pageBreakBefore w:val="0"/>
        <w:numPr>
          <w:ilvl w:val="2"/>
          <w:numId w:val="5"/>
        </w:numPr>
        <w:tabs>
          <w:tab w:val="left" w:pos="900"/>
        </w:tabs>
        <w:kinsoku/>
        <w:overflowPunct w:val="0"/>
        <w:topLinePunct w:val="0"/>
        <w:bidi w:val="0"/>
        <w:spacing w:beforeLines="0" w:afterLines="0" w:line="400" w:lineRule="exact"/>
        <w:ind w:left="900" w:hanging="480"/>
        <w:rPr>
          <w:rFonts w:hint="default" w:ascii="Times New Roman" w:hAnsi="Times New Roman" w:eastAsia="Times New Roman"/>
          <w:sz w:val="21"/>
        </w:rPr>
      </w:pPr>
      <w:r>
        <w:rPr>
          <w:rFonts w:hint="eastAsia" w:ascii="宋体" w:hAnsi="宋体"/>
          <w:sz w:val="21"/>
        </w:rPr>
        <w:t>招标项目名称：见投标人须知前附表。</w:t>
      </w:r>
    </w:p>
    <w:p>
      <w:pPr>
        <w:keepNext w:val="0"/>
        <w:keepLines w:val="0"/>
        <w:pageBreakBefore w:val="0"/>
        <w:numPr>
          <w:ilvl w:val="1"/>
          <w:numId w:val="5"/>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招标项目的资金来源和落实情况</w:t>
      </w:r>
    </w:p>
    <w:p>
      <w:pPr>
        <w:keepNext w:val="0"/>
        <w:keepLines w:val="0"/>
        <w:pageBreakBefore w:val="0"/>
        <w:numPr>
          <w:ilvl w:val="2"/>
          <w:numId w:val="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资金来源及比例：见投标人须知前附表。</w:t>
      </w:r>
    </w:p>
    <w:p>
      <w:pPr>
        <w:keepNext w:val="0"/>
        <w:keepLines w:val="0"/>
        <w:pageBreakBefore w:val="0"/>
        <w:numPr>
          <w:ilvl w:val="2"/>
          <w:numId w:val="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资金落实情况：见投标人须知前附表。</w:t>
      </w:r>
    </w:p>
    <w:p>
      <w:pPr>
        <w:keepNext w:val="0"/>
        <w:keepLines w:val="0"/>
        <w:pageBreakBefore w:val="0"/>
        <w:numPr>
          <w:ilvl w:val="1"/>
          <w:numId w:val="7"/>
        </w:numPr>
        <w:tabs>
          <w:tab w:val="left" w:pos="56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招标范围、交货期、交货地点和技术性能指标</w:t>
      </w:r>
    </w:p>
    <w:p>
      <w:pPr>
        <w:keepNext w:val="0"/>
        <w:keepLines w:val="0"/>
        <w:pageBreakBefore w:val="0"/>
        <w:numPr>
          <w:ilvl w:val="2"/>
          <w:numId w:val="7"/>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招标范围：见投标人须知前附表。</w:t>
      </w:r>
    </w:p>
    <w:p>
      <w:pPr>
        <w:keepNext w:val="0"/>
        <w:keepLines w:val="0"/>
        <w:pageBreakBefore w:val="0"/>
        <w:numPr>
          <w:ilvl w:val="2"/>
          <w:numId w:val="7"/>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交货期：见投标人须知前附表。</w:t>
      </w:r>
    </w:p>
    <w:p>
      <w:pPr>
        <w:keepNext w:val="0"/>
        <w:keepLines w:val="0"/>
        <w:pageBreakBefore w:val="0"/>
        <w:numPr>
          <w:ilvl w:val="2"/>
          <w:numId w:val="7"/>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交货地点：见投标人须知前附表。</w:t>
      </w:r>
    </w:p>
    <w:p>
      <w:pPr>
        <w:keepNext w:val="0"/>
        <w:keepLines w:val="0"/>
        <w:pageBreakBefore w:val="0"/>
        <w:numPr>
          <w:ilvl w:val="2"/>
          <w:numId w:val="7"/>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技术性能指标：见投标人须知前附表。</w:t>
      </w:r>
    </w:p>
    <w:p>
      <w:pPr>
        <w:keepNext w:val="0"/>
        <w:keepLines w:val="0"/>
        <w:pageBreakBefore w:val="0"/>
        <w:numPr>
          <w:ilvl w:val="1"/>
          <w:numId w:val="7"/>
        </w:numPr>
        <w:tabs>
          <w:tab w:val="left" w:pos="56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投标人资格要求</w:t>
      </w:r>
    </w:p>
    <w:p>
      <w:pPr>
        <w:keepNext w:val="0"/>
        <w:keepLines w:val="0"/>
        <w:pageBreakBefore w:val="0"/>
        <w:numPr>
          <w:ilvl w:val="2"/>
          <w:numId w:val="8"/>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投标人应具备承担本招标项目资质条件、能力和信誉：</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）资质要求：见投标人须知前附表；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）财务要求：见投标人须知前附表；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）业绩要求：见投标人须知前附表；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）信誉要求：见投标人须知前附表；</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）其他要求：见投标人须知前附表。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投标人为代理经销商的，对投标人的资质要求包含对制造商的资质要求，对投标人的业绩</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要求包含对投标设备的业绩要求。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 xml:space="preserve">需要提交的相关证明材料见本章第 </w:t>
      </w:r>
      <w:r>
        <w:rPr>
          <w:rFonts w:hint="default" w:ascii="Times New Roman" w:hAnsi="Times New Roman" w:eastAsia="Times New Roman"/>
          <w:sz w:val="21"/>
        </w:rPr>
        <w:t>3.5</w:t>
      </w:r>
      <w:r>
        <w:rPr>
          <w:rFonts w:hint="eastAsia" w:ascii="宋体" w:hAnsi="宋体"/>
          <w:sz w:val="21"/>
        </w:rPr>
        <w:t xml:space="preserve"> 款的规定。</w:t>
      </w:r>
      <w:bookmarkStart w:id="7" w:name="page20"/>
      <w:bookmarkEnd w:id="7"/>
    </w:p>
    <w:p>
      <w:pPr>
        <w:keepNext w:val="0"/>
        <w:keepLines w:val="0"/>
        <w:pageBreakBefore w:val="0"/>
        <w:numPr>
          <w:ilvl w:val="0"/>
          <w:numId w:val="9"/>
        </w:numPr>
        <w:tabs>
          <w:tab w:val="left" w:pos="940"/>
          <w:tab w:val="clear" w:pos="720"/>
        </w:tabs>
        <w:kinsoku/>
        <w:overflowPunct w:val="0"/>
        <w:topLinePunct w:val="0"/>
        <w:bidi w:val="0"/>
        <w:spacing w:beforeLines="0" w:afterLines="0" w:line="400" w:lineRule="exact"/>
        <w:ind w:left="940" w:hanging="520"/>
        <w:rPr>
          <w:rFonts w:hint="default"/>
          <w:sz w:val="24"/>
        </w:rPr>
      </w:pPr>
      <w:r>
        <w:rPr>
          <w:rFonts w:hint="eastAsia" w:ascii="宋体" w:hAnsi="宋体"/>
          <w:sz w:val="21"/>
        </w:rPr>
        <w:t>投标人不得存在下列情形之一：</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）与招标人存在利害关系且可能影响招标公正性；</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）与本招标项目的其他投标人为同一个单位负责人；</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）与本招标项目的其他投标人存在控股、管理关系；</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）与本招标项目其他投标人代理同一个制造商同一品牌同一型号的设备投标；</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）为本招标项目提供过设计、编制技术规范和其他文件的咨询服务；</w:t>
      </w:r>
    </w:p>
    <w:p>
      <w:pPr>
        <w:keepNext w:val="0"/>
        <w:keepLines w:val="0"/>
        <w:pageBreakBefore w:val="0"/>
        <w:kinsoku/>
        <w:topLinePunct w:val="0"/>
        <w:bidi w:val="0"/>
        <w:spacing w:beforeLines="0" w:afterLines="0" w:line="400" w:lineRule="exact"/>
        <w:ind w:left="420"/>
        <w:jc w:val="left"/>
        <w:rPr>
          <w:rFonts w:hint="default" w:ascii="宋体" w:hAnsi="宋体"/>
          <w:sz w:val="21"/>
        </w:rPr>
      </w:pPr>
      <w:r>
        <w:rPr>
          <w:rFonts w:hint="eastAsia" w:ascii="宋体" w:hAnsi="宋体"/>
          <w:sz w:val="21"/>
        </w:rPr>
        <w:t>（</w:t>
      </w:r>
      <w:r>
        <w:rPr>
          <w:rFonts w:hint="default" w:ascii="宋体" w:hAnsi="宋体"/>
          <w:sz w:val="21"/>
        </w:rPr>
        <w:t>6</w:t>
      </w:r>
      <w:r>
        <w:rPr>
          <w:rFonts w:hint="eastAsia" w:ascii="宋体" w:hAnsi="宋体"/>
          <w:sz w:val="21"/>
        </w:rPr>
        <w:t>）为本工程项目的相关监理人，或者与本工程项目的相关监理人存在隶属关系或者其他</w:t>
      </w:r>
    </w:p>
    <w:p>
      <w:pPr>
        <w:keepNext w:val="0"/>
        <w:keepLines w:val="0"/>
        <w:pageBreakBefore w:val="0"/>
        <w:kinsoku/>
        <w:topLinePunct w:val="0"/>
        <w:bidi w:val="0"/>
        <w:spacing w:beforeLines="0" w:afterLines="0" w:line="400" w:lineRule="exact"/>
        <w:ind w:left="420"/>
        <w:jc w:val="left"/>
        <w:rPr>
          <w:rFonts w:hint="default" w:ascii="宋体" w:hAnsi="宋体"/>
          <w:sz w:val="21"/>
        </w:rPr>
      </w:pPr>
      <w:r>
        <w:rPr>
          <w:rFonts w:hint="eastAsia" w:ascii="宋体" w:hAnsi="宋体"/>
          <w:sz w:val="21"/>
        </w:rPr>
        <w:t>利害关系；</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）为本招标项目的代建人；</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8</w:t>
      </w:r>
      <w:r>
        <w:rPr>
          <w:rFonts w:hint="eastAsia" w:ascii="宋体" w:hAnsi="宋体"/>
          <w:sz w:val="21"/>
        </w:rPr>
        <w:t>）为本招标项目的招标代理机构；</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9</w:t>
      </w:r>
      <w:r>
        <w:rPr>
          <w:rFonts w:hint="eastAsia" w:ascii="宋体" w:hAnsi="宋体"/>
          <w:sz w:val="21"/>
        </w:rPr>
        <w:t>）与本招标项目的监理人或代建人或招标代理机构同为一个法定代表人；</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10</w:t>
      </w:r>
      <w:r>
        <w:rPr>
          <w:rFonts w:hint="eastAsia" w:ascii="宋体" w:hAnsi="宋体"/>
          <w:sz w:val="21"/>
        </w:rPr>
        <w:t>）与本招标项目的监理人或代建人或招标代理机构存在控股或参股关系；</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11</w:t>
      </w:r>
      <w:r>
        <w:rPr>
          <w:rFonts w:hint="eastAsia" w:ascii="宋体" w:hAnsi="宋体"/>
          <w:sz w:val="21"/>
        </w:rPr>
        <w:t>）被依法暂停或者取消投标资格；</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12</w:t>
      </w:r>
      <w:r>
        <w:rPr>
          <w:rFonts w:hint="eastAsia" w:ascii="宋体" w:hAnsi="宋体"/>
          <w:sz w:val="21"/>
        </w:rPr>
        <w:t>）被责令停产停业、暂扣或者吊销许可证、暂扣或者吊销执照；</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13</w:t>
      </w:r>
      <w:r>
        <w:rPr>
          <w:rFonts w:hint="eastAsia" w:ascii="宋体" w:hAnsi="宋体"/>
          <w:sz w:val="21"/>
        </w:rPr>
        <w:t>）进入清算程序，或被宣告破产，或其他丧失履约能力的情形；</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14</w:t>
      </w:r>
      <w:r>
        <w:rPr>
          <w:rFonts w:hint="eastAsia" w:ascii="宋体" w:hAnsi="宋体"/>
          <w:sz w:val="21"/>
        </w:rPr>
        <w:t>）在最近三年内发生重大产品质量问题（以相关行业主管部门的行政处罚决定或司法</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机关出具的有关法律文书为准）；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15</w:t>
      </w:r>
      <w:r>
        <w:rPr>
          <w:rFonts w:hint="eastAsia" w:ascii="宋体" w:hAnsi="宋体"/>
          <w:sz w:val="21"/>
        </w:rPr>
        <w:t>）被工商行政管理机关在全国企业信用信息公示系统中列入严重违法失信企业名单；</w:t>
      </w:r>
    </w:p>
    <w:p>
      <w:pPr>
        <w:keepNext w:val="0"/>
        <w:keepLines w:val="0"/>
        <w:pageBreakBefore w:val="0"/>
        <w:kinsoku/>
        <w:topLinePunct w:val="0"/>
        <w:bidi w:val="0"/>
        <w:spacing w:beforeLines="0" w:afterLines="0" w:line="400" w:lineRule="exact"/>
        <w:ind w:left="0" w:leftChars="0" w:firstLine="418" w:firstLineChars="209"/>
        <w:jc w:val="left"/>
        <w:rPr>
          <w:rFonts w:hint="default"/>
          <w:sz w:val="24"/>
        </w:rPr>
      </w:pPr>
      <w:r>
        <w:rPr>
          <w:rFonts w:hint="eastAsia" w:ascii="宋体" w:hAnsi="宋体"/>
          <w:sz w:val="20"/>
        </w:rPr>
        <w:t>（</w:t>
      </w:r>
      <w:r>
        <w:rPr>
          <w:rFonts w:hint="default" w:ascii="Times New Roman" w:hAnsi="Times New Roman" w:eastAsia="Times New Roman"/>
          <w:sz w:val="20"/>
        </w:rPr>
        <w:t>16</w:t>
      </w:r>
      <w:r>
        <w:rPr>
          <w:rFonts w:hint="eastAsia" w:ascii="宋体" w:hAnsi="宋体"/>
          <w:sz w:val="20"/>
        </w:rPr>
        <w:t>）</w:t>
      </w:r>
      <w:r>
        <w:rPr>
          <w:rFonts w:hint="eastAsia" w:ascii="宋体" w:hAnsi="宋体" w:eastAsia="宋体" w:cs="宋体"/>
          <w:sz w:val="21"/>
          <w:szCs w:val="21"/>
        </w:rPr>
        <w:t>被最高人民法院在“信用中国”网站（www.creditchina.gov.cn）或各级信用信息共享平台中列入失信被执行人名单；</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17</w:t>
      </w:r>
      <w:r>
        <w:rPr>
          <w:rFonts w:hint="eastAsia" w:ascii="宋体" w:hAnsi="宋体"/>
          <w:sz w:val="21"/>
        </w:rPr>
        <w:t>）在近三年内投标人或其法定代表人、拟委任的项目负责人有行贿犯罪行为的（以检</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察机关职务犯罪预防部门出具的查询结果为准）；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18</w:t>
      </w:r>
      <w:r>
        <w:rPr>
          <w:rFonts w:hint="eastAsia" w:ascii="宋体" w:hAnsi="宋体"/>
          <w:sz w:val="21"/>
        </w:rPr>
        <w:t>）法律法规或投标人须知前附表规定的其他情形。</w:t>
      </w:r>
      <w:bookmarkStart w:id="8" w:name="page21"/>
      <w:bookmarkEnd w:id="8"/>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1.5 </w:t>
      </w:r>
      <w:r>
        <w:rPr>
          <w:rFonts w:hint="eastAsia" w:ascii="宋体" w:hAnsi="宋体"/>
          <w:sz w:val="28"/>
        </w:rPr>
        <w:t>费用承担</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投标人准备和参加投标活动发生的费用自理。</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1.6 </w:t>
      </w:r>
      <w:r>
        <w:rPr>
          <w:rFonts w:hint="eastAsia" w:ascii="宋体" w:hAnsi="宋体"/>
          <w:sz w:val="28"/>
        </w:rPr>
        <w:t>保密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参与招标投标活动的各方应对招标文件和投标文件中的商业和技术等秘密保密，否则应承</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担相应的法律责任。</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1.7 </w:t>
      </w:r>
      <w:r>
        <w:rPr>
          <w:rFonts w:hint="eastAsia" w:ascii="宋体" w:hAnsi="宋体"/>
          <w:sz w:val="28"/>
        </w:rPr>
        <w:t>语言文字</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招标投标文件使用的语言文字为中文。专用术语使用外文的，应附有中文注释。</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1.8 </w:t>
      </w:r>
      <w:r>
        <w:rPr>
          <w:rFonts w:hint="eastAsia" w:ascii="宋体" w:hAnsi="宋体"/>
          <w:sz w:val="28"/>
        </w:rPr>
        <w:t>计量单位</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所有计量均采用中华人民共和国法定计量单位。</w:t>
      </w:r>
    </w:p>
    <w:p>
      <w:pPr>
        <w:keepNext w:val="0"/>
        <w:keepLines w:val="0"/>
        <w:pageBreakBefore w:val="0"/>
        <w:numPr>
          <w:ilvl w:val="0"/>
          <w:numId w:val="10"/>
        </w:numPr>
        <w:tabs>
          <w:tab w:val="left" w:pos="560"/>
          <w:tab w:val="clear" w:pos="72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投标预备会</w:t>
      </w:r>
    </w:p>
    <w:p>
      <w:pPr>
        <w:keepNext w:val="0"/>
        <w:keepLines w:val="0"/>
        <w:pageBreakBefore w:val="0"/>
        <w:numPr>
          <w:ilvl w:val="1"/>
          <w:numId w:val="10"/>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投标人须知前附表规定召开投标预备会的，招标人按投标人须知前附表规定的时间和地点召开投标预备会，澄清投标人提出的问题。</w:t>
      </w:r>
    </w:p>
    <w:p>
      <w:pPr>
        <w:keepNext w:val="0"/>
        <w:keepLines w:val="0"/>
        <w:pageBreakBefore w:val="0"/>
        <w:numPr>
          <w:ilvl w:val="1"/>
          <w:numId w:val="10"/>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投标人应按投标人须知前附表规定的时间和形式将提出的问题送达招标人，以便招标人在会议期间澄清。</w:t>
      </w:r>
    </w:p>
    <w:p>
      <w:pPr>
        <w:keepNext w:val="0"/>
        <w:keepLines w:val="0"/>
        <w:pageBreakBefore w:val="0"/>
        <w:numPr>
          <w:ilvl w:val="1"/>
          <w:numId w:val="10"/>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投标预备会后，招标人将对投标人所提问题的澄清，以投标人须知前附表规定的形式通知所有购买招标文件的投标人。该澄清内容为招标文件的组成部分。</w:t>
      </w:r>
    </w:p>
    <w:p>
      <w:pPr>
        <w:keepNext w:val="0"/>
        <w:keepLines w:val="0"/>
        <w:pageBreakBefore w:val="0"/>
        <w:numPr>
          <w:ilvl w:val="0"/>
          <w:numId w:val="10"/>
        </w:numPr>
        <w:tabs>
          <w:tab w:val="left" w:pos="760"/>
          <w:tab w:val="clear" w:pos="720"/>
        </w:tabs>
        <w:kinsoku/>
        <w:overflowPunct w:val="0"/>
        <w:topLinePunct w:val="0"/>
        <w:bidi w:val="0"/>
        <w:spacing w:beforeLines="0" w:afterLines="0" w:line="400" w:lineRule="exact"/>
        <w:ind w:left="760" w:hanging="623"/>
        <w:rPr>
          <w:rFonts w:hint="default" w:ascii="Times New Roman" w:hAnsi="Times New Roman" w:eastAsia="Times New Roman"/>
          <w:sz w:val="28"/>
        </w:rPr>
      </w:pPr>
      <w:r>
        <w:rPr>
          <w:rFonts w:hint="eastAsia" w:ascii="宋体" w:hAnsi="宋体"/>
          <w:sz w:val="28"/>
        </w:rPr>
        <w:t>分包</w:t>
      </w:r>
    </w:p>
    <w:p>
      <w:pPr>
        <w:keepNext w:val="0"/>
        <w:keepLines w:val="0"/>
        <w:pageBreakBefore w:val="0"/>
        <w:numPr>
          <w:ilvl w:val="1"/>
          <w:numId w:val="11"/>
        </w:numPr>
        <w:tabs>
          <w:tab w:val="left" w:pos="1054"/>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投标人拟在中标后将中标项目的非主体设备进行分包的，应符合投标人须知前附表规定的分包内容、分包金额和资质要求等限制性条件，除投标人须知前附表规定的非主体设备外，其他工作不得分包。</w:t>
      </w:r>
    </w:p>
    <w:p>
      <w:pPr>
        <w:keepNext w:val="0"/>
        <w:keepLines w:val="0"/>
        <w:pageBreakBefore w:val="0"/>
        <w:numPr>
          <w:ilvl w:val="1"/>
          <w:numId w:val="11"/>
        </w:numPr>
        <w:tabs>
          <w:tab w:val="left" w:pos="1054"/>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中标人不得向他人转让中标项目，接受分包的人不得再次分包。中标人应当就分包项目向招标人负责，接受分包的人就分包项目承担连带责任。</w:t>
      </w:r>
    </w:p>
    <w:p>
      <w:pPr>
        <w:keepNext w:val="0"/>
        <w:keepLines w:val="0"/>
        <w:pageBreakBefore w:val="0"/>
        <w:numPr>
          <w:ilvl w:val="0"/>
          <w:numId w:val="12"/>
        </w:numPr>
        <w:tabs>
          <w:tab w:val="left" w:pos="680"/>
          <w:tab w:val="clear" w:pos="720"/>
        </w:tabs>
        <w:kinsoku/>
        <w:overflowPunct w:val="0"/>
        <w:topLinePunct w:val="0"/>
        <w:bidi w:val="0"/>
        <w:spacing w:beforeLines="0" w:afterLines="0" w:line="400" w:lineRule="exact"/>
        <w:ind w:left="680" w:hanging="543"/>
        <w:rPr>
          <w:rFonts w:hint="default" w:ascii="Times New Roman" w:hAnsi="Times New Roman" w:eastAsia="Times New Roman"/>
          <w:sz w:val="28"/>
        </w:rPr>
      </w:pPr>
      <w:r>
        <w:rPr>
          <w:rFonts w:hint="eastAsia" w:ascii="宋体" w:hAnsi="宋体"/>
          <w:sz w:val="28"/>
        </w:rPr>
        <w:t>响应和偏差</w:t>
      </w:r>
    </w:p>
    <w:p>
      <w:pPr>
        <w:keepNext w:val="0"/>
        <w:keepLines w:val="0"/>
        <w:pageBreakBefore w:val="0"/>
        <w:numPr>
          <w:ilvl w:val="1"/>
          <w:numId w:val="12"/>
        </w:numPr>
        <w:tabs>
          <w:tab w:val="left" w:pos="840"/>
          <w:tab w:val="left" w:pos="1050"/>
        </w:tabs>
        <w:kinsoku/>
        <w:overflowPunct w:val="0"/>
        <w:topLinePunct w:val="0"/>
        <w:bidi w:val="0"/>
        <w:spacing w:beforeLines="0" w:afterLines="0" w:line="400" w:lineRule="exact"/>
        <w:ind w:left="0" w:leftChars="0" w:firstLine="420" w:firstLineChars="0"/>
        <w:rPr>
          <w:rFonts w:hint="default"/>
          <w:sz w:val="24"/>
        </w:rPr>
      </w:pPr>
      <w:r>
        <w:rPr>
          <w:rFonts w:hint="eastAsia" w:ascii="宋体" w:hAnsi="宋体"/>
          <w:sz w:val="21"/>
        </w:rPr>
        <w:t>投标文件应当对招标文件的实质性要求和条件作出满足性或更有利于招标人的响应，</w:t>
      </w:r>
      <w:bookmarkStart w:id="9" w:name="page22"/>
      <w:bookmarkEnd w:id="9"/>
      <w:r>
        <w:rPr>
          <w:rFonts w:hint="eastAsia" w:ascii="宋体" w:hAnsi="宋体"/>
          <w:sz w:val="21"/>
        </w:rPr>
        <w:t>否则，投标人的投标将被否决。实质性要求和条件见投标人须知前附表。</w:t>
      </w:r>
    </w:p>
    <w:p>
      <w:pPr>
        <w:keepNext w:val="0"/>
        <w:keepLines w:val="0"/>
        <w:pageBreakBefore w:val="0"/>
        <w:numPr>
          <w:ilvl w:val="2"/>
          <w:numId w:val="13"/>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投标人应根据招标文件的要求提供投标设备技术性能指标的详细描述、技术支持资料及技术服务和质保期服务计划等内容以对招标文件作出响应。</w:t>
      </w:r>
    </w:p>
    <w:p>
      <w:pPr>
        <w:keepNext w:val="0"/>
        <w:keepLines w:val="0"/>
        <w:pageBreakBefore w:val="0"/>
        <w:numPr>
          <w:ilvl w:val="2"/>
          <w:numId w:val="13"/>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keepNext w:val="0"/>
        <w:keepLines w:val="0"/>
        <w:pageBreakBefore w:val="0"/>
        <w:numPr>
          <w:ilvl w:val="2"/>
          <w:numId w:val="13"/>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投标人须知前附表规定了可以偏差的范围和最高偏差项数的，偏差应当符合投标人须知前附表规定的偏差范围和最高项数，超出偏差范围和最高偏差项数的投标将被否决。</w:t>
      </w:r>
    </w:p>
    <w:p>
      <w:pPr>
        <w:keepNext w:val="0"/>
        <w:keepLines w:val="0"/>
        <w:pageBreakBefore w:val="0"/>
        <w:numPr>
          <w:ilvl w:val="2"/>
          <w:numId w:val="13"/>
        </w:numPr>
        <w:tabs>
          <w:tab w:val="left" w:pos="10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投标文件对招标文件的全部偏差，均应在投标文件的商务和技术偏差表中列明，除列明的内容外，视为投标人响应招标文件的全部要求。</w:t>
      </w:r>
    </w:p>
    <w:p>
      <w:pPr>
        <w:keepNext w:val="0"/>
        <w:keepLines w:val="0"/>
        <w:pageBreakBefore w:val="0"/>
        <w:numPr>
          <w:ilvl w:val="0"/>
          <w:numId w:val="14"/>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招标文件</w:t>
      </w:r>
    </w:p>
    <w:p>
      <w:pPr>
        <w:keepNext w:val="0"/>
        <w:keepLines w:val="0"/>
        <w:pageBreakBefore w:val="0"/>
        <w:numPr>
          <w:ilvl w:val="1"/>
          <w:numId w:val="14"/>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招标文件的组成</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本招标文件包括：</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）招标公告（或投标邀请书）；</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）投标人须知；</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）评标办法；</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）合同条款及格式；</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）供货要求；</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）投标文件格式；</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）投标人须知前附表规定的其他资料。</w:t>
      </w:r>
    </w:p>
    <w:p>
      <w:pPr>
        <w:keepNext w:val="0"/>
        <w:keepLines w:val="0"/>
        <w:pageBreakBefore w:val="0"/>
        <w:kinsoku/>
        <w:topLinePunct w:val="0"/>
        <w:bidi w:val="0"/>
        <w:spacing w:beforeLines="0" w:afterLines="0" w:line="400" w:lineRule="exact"/>
        <w:ind w:left="360" w:firstLine="420" w:firstLineChars="200"/>
        <w:jc w:val="left"/>
        <w:rPr>
          <w:rFonts w:hint="default"/>
          <w:sz w:val="24"/>
        </w:rPr>
      </w:pPr>
      <w:r>
        <w:rPr>
          <w:rFonts w:hint="eastAsia" w:ascii="宋体" w:hAnsi="宋体"/>
          <w:sz w:val="21"/>
        </w:rPr>
        <w:t xml:space="preserve">根据本章第 </w:t>
      </w:r>
      <w:r>
        <w:rPr>
          <w:rFonts w:hint="default" w:ascii="宋体" w:hAnsi="宋体"/>
          <w:sz w:val="21"/>
        </w:rPr>
        <w:t>1.9</w:t>
      </w:r>
      <w:r>
        <w:rPr>
          <w:rFonts w:hint="eastAsia" w:ascii="宋体" w:hAnsi="宋体"/>
          <w:sz w:val="21"/>
        </w:rPr>
        <w:t xml:space="preserve"> 款、第 </w:t>
      </w:r>
      <w:r>
        <w:rPr>
          <w:rFonts w:hint="default" w:ascii="宋体" w:hAnsi="宋体"/>
          <w:sz w:val="21"/>
        </w:rPr>
        <w:t>2.2</w:t>
      </w:r>
      <w:r>
        <w:rPr>
          <w:rFonts w:hint="eastAsia" w:ascii="宋体" w:hAnsi="宋体"/>
          <w:sz w:val="21"/>
        </w:rPr>
        <w:t xml:space="preserve"> 款和第 </w:t>
      </w:r>
      <w:r>
        <w:rPr>
          <w:rFonts w:hint="default" w:ascii="宋体" w:hAnsi="宋体"/>
          <w:sz w:val="21"/>
        </w:rPr>
        <w:t>2.3</w:t>
      </w:r>
      <w:r>
        <w:rPr>
          <w:rFonts w:hint="eastAsia" w:ascii="宋体" w:hAnsi="宋体"/>
          <w:sz w:val="21"/>
        </w:rPr>
        <w:t xml:space="preserve"> 款对招标文件所作的澄清、修改，构成招标文件的组成部分。</w:t>
      </w:r>
    </w:p>
    <w:p>
      <w:pPr>
        <w:keepNext w:val="0"/>
        <w:keepLines w:val="0"/>
        <w:pageBreakBefore w:val="0"/>
        <w:numPr>
          <w:ilvl w:val="0"/>
          <w:numId w:val="15"/>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招标文件的澄清</w:t>
      </w:r>
    </w:p>
    <w:p>
      <w:pPr>
        <w:keepNext w:val="0"/>
        <w:keepLines w:val="0"/>
        <w:pageBreakBefore w:val="0"/>
        <w:numPr>
          <w:ilvl w:val="1"/>
          <w:numId w:val="15"/>
        </w:numPr>
        <w:tabs>
          <w:tab w:val="left" w:pos="946"/>
        </w:tabs>
        <w:kinsoku/>
        <w:overflowPunct w:val="0"/>
        <w:topLinePunct w:val="0"/>
        <w:bidi w:val="0"/>
        <w:spacing w:beforeLines="0" w:afterLines="0" w:line="400" w:lineRule="exact"/>
        <w:ind w:left="0" w:firstLine="420"/>
        <w:rPr>
          <w:rFonts w:hint="default" w:ascii="宋体" w:hAnsi="宋体"/>
          <w:sz w:val="21"/>
        </w:rPr>
      </w:pPr>
      <w:r>
        <w:rPr>
          <w:rFonts w:hint="eastAsia" w:ascii="宋体" w:hAnsi="宋体"/>
          <w:sz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numPr>
          <w:ilvl w:val="1"/>
          <w:numId w:val="15"/>
        </w:numPr>
        <w:tabs>
          <w:tab w:val="left" w:pos="946"/>
        </w:tabs>
        <w:kinsoku/>
        <w:overflowPunct w:val="0"/>
        <w:topLinePunct w:val="0"/>
        <w:bidi w:val="0"/>
        <w:spacing w:beforeLines="0" w:afterLines="0" w:line="400" w:lineRule="exact"/>
        <w:ind w:left="0" w:firstLine="420"/>
        <w:rPr>
          <w:rFonts w:hint="default"/>
          <w:sz w:val="24"/>
        </w:rPr>
      </w:pPr>
      <w:r>
        <w:rPr>
          <w:rFonts w:hint="eastAsia" w:ascii="宋体" w:hAnsi="宋体"/>
          <w:sz w:val="21"/>
        </w:rPr>
        <w:t xml:space="preserve">招标文件的澄清以投标人须知前附表规定的形式发给所有购买招标文件的投标人，但不指明澄清问题的来源。澄清发出的时间距本章第 </w:t>
      </w:r>
      <w:r>
        <w:rPr>
          <w:rFonts w:hint="default" w:ascii="宋体" w:hAnsi="宋体"/>
          <w:sz w:val="21"/>
        </w:rPr>
        <w:t>4.2.1</w:t>
      </w:r>
      <w:r>
        <w:rPr>
          <w:rFonts w:hint="eastAsia" w:ascii="宋体" w:hAnsi="宋体"/>
          <w:sz w:val="21"/>
        </w:rPr>
        <w:t xml:space="preserve"> 项规定的投标截止时间不足 </w:t>
      </w:r>
      <w:r>
        <w:rPr>
          <w:rFonts w:hint="default" w:ascii="宋体" w:hAnsi="宋体"/>
          <w:sz w:val="21"/>
        </w:rPr>
        <w:t>15</w:t>
      </w:r>
      <w:r>
        <w:rPr>
          <w:rFonts w:hint="eastAsia" w:ascii="宋体" w:hAnsi="宋体"/>
          <w:sz w:val="21"/>
        </w:rPr>
        <w:t xml:space="preserve"> 日的，</w:t>
      </w:r>
      <w:bookmarkStart w:id="10" w:name="page23"/>
      <w:bookmarkEnd w:id="10"/>
      <w:r>
        <w:rPr>
          <w:rFonts w:hint="eastAsia" w:ascii="宋体" w:hAnsi="宋体"/>
          <w:sz w:val="21"/>
        </w:rPr>
        <w:t>并且澄清内容可能影响投标文件编制的，将相应延长投标截止时间。</w:t>
      </w:r>
    </w:p>
    <w:p>
      <w:pPr>
        <w:keepNext w:val="0"/>
        <w:keepLines w:val="0"/>
        <w:pageBreakBefore w:val="0"/>
        <w:numPr>
          <w:ilvl w:val="1"/>
          <w:numId w:val="16"/>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投标人在收到澄清后，应按投标人须知前附表规定的时间和形式通知招标人，确认已收到该澄清。</w:t>
      </w:r>
    </w:p>
    <w:p>
      <w:pPr>
        <w:keepNext w:val="0"/>
        <w:keepLines w:val="0"/>
        <w:pageBreakBefore w:val="0"/>
        <w:numPr>
          <w:ilvl w:val="1"/>
          <w:numId w:val="16"/>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除非招标人认为确有必要答复，否则，招标人有权拒绝回复投标人在本章第 </w:t>
      </w:r>
      <w:r>
        <w:rPr>
          <w:rFonts w:hint="default" w:ascii="Times New Roman" w:hAnsi="Times New Roman" w:eastAsia="Times New Roman"/>
          <w:sz w:val="21"/>
        </w:rPr>
        <w:t>2.2.1</w:t>
      </w:r>
      <w:r>
        <w:rPr>
          <w:rFonts w:hint="eastAsia" w:ascii="宋体" w:hAnsi="宋体"/>
          <w:sz w:val="21"/>
        </w:rPr>
        <w:t xml:space="preserve"> 项规定的时间后的任何澄清要求。</w:t>
      </w:r>
    </w:p>
    <w:p>
      <w:pPr>
        <w:keepNext w:val="0"/>
        <w:keepLines w:val="0"/>
        <w:pageBreakBefore w:val="0"/>
        <w:numPr>
          <w:ilvl w:val="0"/>
          <w:numId w:val="17"/>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招标文件的修改</w:t>
      </w:r>
    </w:p>
    <w:p>
      <w:pPr>
        <w:keepNext w:val="0"/>
        <w:keepLines w:val="0"/>
        <w:pageBreakBefore w:val="0"/>
        <w:numPr>
          <w:ilvl w:val="1"/>
          <w:numId w:val="17"/>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招标人以投标人须知前附表规定的形式修改招标文件，并通知所有已购买招标文件的投标人。修改招标文件的时间距本章第 </w:t>
      </w:r>
      <w:r>
        <w:rPr>
          <w:rFonts w:hint="default" w:ascii="Times New Roman" w:hAnsi="Times New Roman" w:eastAsia="Times New Roman"/>
          <w:sz w:val="21"/>
        </w:rPr>
        <w:t>4.2.1</w:t>
      </w:r>
      <w:r>
        <w:rPr>
          <w:rFonts w:hint="eastAsia" w:ascii="宋体" w:hAnsi="宋体"/>
          <w:sz w:val="21"/>
        </w:rPr>
        <w:t xml:space="preserve"> 项规定的投标截止时间不足 </w:t>
      </w:r>
      <w:r>
        <w:rPr>
          <w:rFonts w:hint="default" w:ascii="Times New Roman" w:hAnsi="Times New Roman" w:eastAsia="Times New Roman"/>
          <w:sz w:val="21"/>
        </w:rPr>
        <w:t>15</w:t>
      </w:r>
      <w:r>
        <w:rPr>
          <w:rFonts w:hint="eastAsia" w:ascii="宋体" w:hAnsi="宋体"/>
          <w:sz w:val="21"/>
        </w:rPr>
        <w:t xml:space="preserve"> 日的，并且修改内容可能影响投标文件编制的，将相应延长投标截止时间。</w:t>
      </w:r>
    </w:p>
    <w:p>
      <w:pPr>
        <w:keepNext w:val="0"/>
        <w:keepLines w:val="0"/>
        <w:pageBreakBefore w:val="0"/>
        <w:numPr>
          <w:ilvl w:val="1"/>
          <w:numId w:val="17"/>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投标人收到修改内容后，应按投标人须知前附表规定的时间和形式通知招标人，确认已收到该修改。</w:t>
      </w:r>
    </w:p>
    <w:p>
      <w:pPr>
        <w:keepNext w:val="0"/>
        <w:keepLines w:val="0"/>
        <w:pageBreakBefore w:val="0"/>
        <w:numPr>
          <w:ilvl w:val="0"/>
          <w:numId w:val="17"/>
        </w:numPr>
        <w:tabs>
          <w:tab w:val="left" w:pos="620"/>
          <w:tab w:val="clear" w:pos="720"/>
        </w:tabs>
        <w:kinsoku/>
        <w:overflowPunct w:val="0"/>
        <w:topLinePunct w:val="0"/>
        <w:bidi w:val="0"/>
        <w:spacing w:beforeLines="0" w:afterLines="0" w:line="400" w:lineRule="exact"/>
        <w:ind w:left="620" w:hanging="483"/>
        <w:rPr>
          <w:rFonts w:hint="default"/>
          <w:sz w:val="24"/>
        </w:rPr>
      </w:pPr>
      <w:r>
        <w:rPr>
          <w:rFonts w:hint="eastAsia" w:ascii="宋体" w:hAnsi="宋体"/>
          <w:sz w:val="28"/>
        </w:rPr>
        <w:t>招标文件的异议</w:t>
      </w:r>
    </w:p>
    <w:p>
      <w:pPr>
        <w:keepNext w:val="0"/>
        <w:keepLines w:val="0"/>
        <w:pageBreakBefore w:val="0"/>
        <w:kinsoku/>
        <w:topLinePunct w:val="0"/>
        <w:bidi w:val="0"/>
        <w:spacing w:beforeLines="0" w:afterLines="0" w:line="400" w:lineRule="exact"/>
        <w:ind w:firstLine="420" w:firstLineChars="200"/>
        <w:jc w:val="left"/>
        <w:rPr>
          <w:rFonts w:hint="default" w:ascii="宋体" w:hAnsi="宋体"/>
          <w:sz w:val="21"/>
        </w:rPr>
      </w:pPr>
      <w:r>
        <w:rPr>
          <w:rFonts w:hint="eastAsia" w:ascii="宋体" w:hAnsi="宋体"/>
          <w:sz w:val="21"/>
        </w:rPr>
        <w:t xml:space="preserve">投标人或者其他利害关系人对招标文件有异议的，应当在投标截止时间 </w:t>
      </w:r>
      <w:r>
        <w:rPr>
          <w:rFonts w:hint="default" w:ascii="宋体" w:hAnsi="宋体"/>
          <w:sz w:val="21"/>
        </w:rPr>
        <w:t>10</w:t>
      </w:r>
      <w:r>
        <w:rPr>
          <w:rFonts w:hint="eastAsia" w:ascii="宋体" w:hAnsi="宋体"/>
          <w:sz w:val="21"/>
        </w:rPr>
        <w:t xml:space="preserve"> 日前以书面形式</w:t>
      </w:r>
    </w:p>
    <w:p>
      <w:pPr>
        <w:keepNext w:val="0"/>
        <w:keepLines w:val="0"/>
        <w:pageBreakBefore w:val="0"/>
        <w:kinsoku/>
        <w:topLinePunct w:val="0"/>
        <w:bidi w:val="0"/>
        <w:spacing w:beforeLines="0" w:afterLines="0" w:line="400" w:lineRule="exact"/>
        <w:jc w:val="left"/>
        <w:rPr>
          <w:rFonts w:hint="default" w:ascii="宋体" w:hAnsi="宋体"/>
          <w:sz w:val="21"/>
        </w:rPr>
      </w:pPr>
      <w:r>
        <w:rPr>
          <w:rFonts w:hint="eastAsia" w:ascii="宋体" w:hAnsi="宋体"/>
          <w:sz w:val="21"/>
        </w:rPr>
        <w:t xml:space="preserve">提出。招标人将在收到异议之日起 </w:t>
      </w:r>
      <w:r>
        <w:rPr>
          <w:rFonts w:hint="default" w:ascii="宋体" w:hAnsi="宋体"/>
          <w:sz w:val="21"/>
        </w:rPr>
        <w:t>3</w:t>
      </w:r>
      <w:r>
        <w:rPr>
          <w:rFonts w:hint="eastAsia" w:ascii="宋体" w:hAnsi="宋体"/>
          <w:sz w:val="21"/>
        </w:rPr>
        <w:t xml:space="preserve"> 日内作出答复；作出答复前，将暂停招标投标活动。</w:t>
      </w:r>
    </w:p>
    <w:p>
      <w:pPr>
        <w:keepNext w:val="0"/>
        <w:keepLines w:val="0"/>
        <w:pageBreakBefore w:val="0"/>
        <w:numPr>
          <w:ilvl w:val="0"/>
          <w:numId w:val="18"/>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投标文件</w:t>
      </w:r>
    </w:p>
    <w:p>
      <w:pPr>
        <w:keepNext w:val="0"/>
        <w:keepLines w:val="0"/>
        <w:pageBreakBefore w:val="0"/>
        <w:numPr>
          <w:ilvl w:val="1"/>
          <w:numId w:val="18"/>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投标文件的组成</w:t>
      </w:r>
    </w:p>
    <w:p>
      <w:pPr>
        <w:keepNext w:val="0"/>
        <w:keepLines w:val="0"/>
        <w:pageBreakBefore w:val="0"/>
        <w:numPr>
          <w:ilvl w:val="2"/>
          <w:numId w:val="18"/>
        </w:numPr>
        <w:tabs>
          <w:tab w:val="left" w:pos="946"/>
        </w:tabs>
        <w:kinsoku/>
        <w:overflowPunct w:val="0"/>
        <w:topLinePunct w:val="0"/>
        <w:bidi w:val="0"/>
        <w:spacing w:beforeLines="0" w:afterLines="0" w:line="400" w:lineRule="exact"/>
        <w:ind w:left="420" w:right="2534" w:rightChars="0" w:firstLine="3"/>
        <w:rPr>
          <w:rFonts w:hint="default" w:ascii="Times New Roman" w:hAnsi="Times New Roman" w:eastAsia="Times New Roman"/>
          <w:sz w:val="21"/>
        </w:rPr>
      </w:pPr>
      <w:r>
        <w:rPr>
          <w:rFonts w:hint="eastAsia" w:ascii="宋体" w:hAnsi="宋体"/>
          <w:sz w:val="21"/>
        </w:rPr>
        <w:t>投标文件应包括下列内容：</w:t>
      </w:r>
    </w:p>
    <w:p>
      <w:pPr>
        <w:keepNext w:val="0"/>
        <w:keepLines w:val="0"/>
        <w:pageBreakBefore w:val="0"/>
        <w:numPr>
          <w:ilvl w:val="0"/>
          <w:numId w:val="0"/>
        </w:numPr>
        <w:tabs>
          <w:tab w:val="left" w:pos="946"/>
        </w:tabs>
        <w:kinsoku/>
        <w:overflowPunct w:val="0"/>
        <w:topLinePunct w:val="0"/>
        <w:bidi w:val="0"/>
        <w:spacing w:beforeLines="0" w:afterLines="0" w:line="400" w:lineRule="exact"/>
        <w:ind w:left="0" w:leftChars="0" w:right="2534" w:rightChars="0" w:firstLine="420" w:firstLineChars="20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）投标函；</w:t>
      </w:r>
    </w:p>
    <w:p>
      <w:pPr>
        <w:keepNext w:val="0"/>
        <w:keepLines w:val="0"/>
        <w:pageBreakBefore w:val="0"/>
        <w:numPr>
          <w:ilvl w:val="0"/>
          <w:numId w:val="19"/>
        </w:numPr>
        <w:kinsoku/>
        <w:overflowPunct w:val="0"/>
        <w:topLinePunct w:val="0"/>
        <w:bidi w:val="0"/>
        <w:spacing w:beforeLines="0" w:afterLines="0" w:line="400" w:lineRule="exact"/>
        <w:ind w:left="0" w:leftChars="0" w:right="2860" w:firstLine="420" w:firstLineChars="200"/>
        <w:jc w:val="left"/>
        <w:rPr>
          <w:rFonts w:hint="eastAsia" w:ascii="宋体" w:hAnsi="宋体"/>
          <w:sz w:val="21"/>
        </w:rPr>
      </w:pPr>
      <w:r>
        <w:rPr>
          <w:rFonts w:hint="eastAsia" w:ascii="宋体" w:hAnsi="宋体"/>
          <w:sz w:val="21"/>
        </w:rPr>
        <w:t>法定代表人（单位负责人）身份证明或授权委托书；</w:t>
      </w:r>
      <w:r>
        <w:rPr>
          <w:rFonts w:hint="eastAsia" w:ascii="宋体" w:hAnsi="宋体"/>
          <w:sz w:val="21"/>
          <w:lang w:val="en-US" w:eastAsia="zh-CN"/>
        </w:rPr>
        <w:t xml:space="preserve">  </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eastAsia" w:ascii="宋体" w:hAnsi="宋体"/>
          <w:sz w:val="21"/>
        </w:rPr>
      </w:pPr>
      <w:r>
        <w:rPr>
          <w:rFonts w:hint="eastAsia" w:ascii="宋体" w:hAnsi="宋体"/>
          <w:sz w:val="21"/>
        </w:rPr>
        <w:t>（</w:t>
      </w:r>
      <w:r>
        <w:rPr>
          <w:rFonts w:hint="eastAsia"/>
          <w:sz w:val="21"/>
          <w:lang w:val="en-US" w:eastAsia="zh-CN"/>
        </w:rPr>
        <w:t>3</w:t>
      </w:r>
      <w:r>
        <w:rPr>
          <w:rFonts w:hint="eastAsia" w:ascii="宋体" w:hAnsi="宋体"/>
          <w:sz w:val="21"/>
        </w:rPr>
        <w:t>）投标保证金；</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eastAsia" w:ascii="宋体" w:hAnsi="宋体"/>
          <w:sz w:val="21"/>
        </w:rPr>
      </w:pPr>
      <w:r>
        <w:rPr>
          <w:rFonts w:hint="eastAsia" w:ascii="宋体" w:hAnsi="宋体"/>
          <w:sz w:val="21"/>
        </w:rPr>
        <w:t>（</w:t>
      </w:r>
      <w:r>
        <w:rPr>
          <w:rFonts w:hint="eastAsia"/>
          <w:sz w:val="21"/>
          <w:lang w:val="en-US" w:eastAsia="zh-CN"/>
        </w:rPr>
        <w:t>4</w:t>
      </w:r>
      <w:r>
        <w:rPr>
          <w:rFonts w:hint="eastAsia" w:ascii="宋体" w:hAnsi="宋体"/>
          <w:sz w:val="21"/>
        </w:rPr>
        <w:t>）商务和技术偏差表；</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eastAsia" w:ascii="宋体" w:hAnsi="宋体"/>
          <w:sz w:val="21"/>
        </w:rPr>
      </w:pPr>
      <w:r>
        <w:rPr>
          <w:rFonts w:hint="eastAsia" w:ascii="宋体" w:hAnsi="宋体"/>
          <w:sz w:val="21"/>
        </w:rPr>
        <w:t>（</w:t>
      </w:r>
      <w:r>
        <w:rPr>
          <w:rFonts w:hint="eastAsia"/>
          <w:sz w:val="21"/>
          <w:lang w:val="en-US" w:eastAsia="zh-CN"/>
        </w:rPr>
        <w:t>5</w:t>
      </w:r>
      <w:r>
        <w:rPr>
          <w:rFonts w:hint="eastAsia" w:ascii="宋体" w:hAnsi="宋体"/>
          <w:sz w:val="21"/>
        </w:rPr>
        <w:t>）分项报价表；</w:t>
      </w:r>
    </w:p>
    <w:p>
      <w:pPr>
        <w:keepNext w:val="0"/>
        <w:keepLines w:val="0"/>
        <w:pageBreakBefore w:val="0"/>
        <w:numPr>
          <w:ilvl w:val="0"/>
          <w:numId w:val="0"/>
        </w:numPr>
        <w:kinsoku/>
        <w:overflowPunct w:val="0"/>
        <w:topLinePunct w:val="0"/>
        <w:bidi w:val="0"/>
        <w:spacing w:beforeLines="0" w:afterLines="0" w:line="400" w:lineRule="exact"/>
        <w:ind w:left="0" w:leftChars="0" w:right="2860" w:rightChars="0" w:firstLine="420" w:firstLineChars="200"/>
        <w:jc w:val="left"/>
        <w:rPr>
          <w:rFonts w:hint="default" w:ascii="Times New Roman" w:hAnsi="Times New Roman" w:eastAsia="Times New Roman"/>
          <w:sz w:val="21"/>
        </w:rPr>
      </w:pPr>
      <w:r>
        <w:rPr>
          <w:rFonts w:hint="eastAsia" w:ascii="宋体" w:hAnsi="宋体"/>
          <w:sz w:val="21"/>
        </w:rPr>
        <w:t>（</w:t>
      </w:r>
      <w:r>
        <w:rPr>
          <w:rFonts w:hint="eastAsia"/>
          <w:sz w:val="21"/>
          <w:lang w:val="en-US" w:eastAsia="zh-CN"/>
        </w:rPr>
        <w:t>6</w:t>
      </w:r>
      <w:r>
        <w:rPr>
          <w:rFonts w:hint="eastAsia" w:ascii="宋体" w:hAnsi="宋体"/>
          <w:sz w:val="21"/>
        </w:rPr>
        <w:t>）资格审查资料；</w:t>
      </w:r>
    </w:p>
    <w:p>
      <w:pPr>
        <w:keepNext w:val="0"/>
        <w:keepLines w:val="0"/>
        <w:pageBreakBefore w:val="0"/>
        <w:kinsoku/>
        <w:overflowPunct w:val="0"/>
        <w:topLinePunct w:val="0"/>
        <w:bidi w:val="0"/>
        <w:spacing w:beforeLines="0" w:afterLines="0" w:line="400" w:lineRule="exact"/>
        <w:ind w:left="420" w:leftChars="200" w:right="4340" w:firstLine="0" w:firstLineChars="0"/>
        <w:jc w:val="left"/>
        <w:rPr>
          <w:rFonts w:hint="eastAsia" w:ascii="宋体" w:hAnsi="宋体"/>
          <w:sz w:val="21"/>
        </w:rPr>
      </w:pPr>
      <w:r>
        <w:rPr>
          <w:rFonts w:hint="eastAsia" w:ascii="宋体" w:hAnsi="宋体"/>
          <w:sz w:val="21"/>
        </w:rPr>
        <w:t>（</w:t>
      </w:r>
      <w:r>
        <w:rPr>
          <w:rFonts w:hint="eastAsia"/>
          <w:sz w:val="21"/>
          <w:lang w:val="en-US" w:eastAsia="zh-CN"/>
        </w:rPr>
        <w:t>7</w:t>
      </w:r>
      <w:r>
        <w:rPr>
          <w:rFonts w:hint="eastAsia" w:ascii="宋体" w:hAnsi="宋体"/>
          <w:sz w:val="21"/>
        </w:rPr>
        <w:t>）投标设备技术性能指标的详细描述；（</w:t>
      </w:r>
      <w:r>
        <w:rPr>
          <w:rFonts w:hint="eastAsia"/>
          <w:sz w:val="21"/>
          <w:lang w:val="en-US" w:eastAsia="zh-CN"/>
        </w:rPr>
        <w:t>8</w:t>
      </w:r>
      <w:r>
        <w:rPr>
          <w:rFonts w:hint="eastAsia" w:ascii="宋体" w:hAnsi="宋体"/>
          <w:sz w:val="21"/>
        </w:rPr>
        <w:t>）技术支持资料；</w:t>
      </w:r>
    </w:p>
    <w:p>
      <w:pPr>
        <w:keepNext w:val="0"/>
        <w:keepLines w:val="0"/>
        <w:pageBreakBefore w:val="0"/>
        <w:kinsoku/>
        <w:overflowPunct w:val="0"/>
        <w:topLinePunct w:val="0"/>
        <w:bidi w:val="0"/>
        <w:spacing w:beforeLines="0" w:afterLines="0" w:line="400" w:lineRule="exact"/>
        <w:ind w:left="0" w:leftChars="0" w:right="4340" w:firstLine="420" w:firstLineChars="200"/>
        <w:jc w:val="left"/>
        <w:rPr>
          <w:rFonts w:hint="default" w:ascii="Times New Roman" w:hAnsi="Times New Roman" w:eastAsia="Times New Roman"/>
          <w:sz w:val="21"/>
        </w:rPr>
      </w:pPr>
      <w:r>
        <w:rPr>
          <w:rFonts w:hint="eastAsia" w:ascii="宋体" w:hAnsi="宋体"/>
          <w:sz w:val="21"/>
        </w:rPr>
        <w:t>（</w:t>
      </w:r>
      <w:r>
        <w:rPr>
          <w:rFonts w:hint="eastAsia" w:ascii="宋体" w:hAnsi="宋体"/>
          <w:sz w:val="21"/>
          <w:lang w:val="en-US" w:eastAsia="zh-CN"/>
        </w:rPr>
        <w:t>9</w:t>
      </w:r>
      <w:r>
        <w:rPr>
          <w:rFonts w:hint="eastAsia" w:ascii="宋体" w:hAnsi="宋体"/>
          <w:sz w:val="21"/>
        </w:rPr>
        <w:t>）技术服务和质保期服务计划；</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bookmarkStart w:id="11" w:name="page24"/>
      <w:bookmarkEnd w:id="11"/>
      <w:r>
        <w:rPr>
          <w:rFonts w:hint="eastAsia" w:ascii="宋体" w:hAnsi="宋体"/>
          <w:sz w:val="21"/>
        </w:rPr>
        <w:t>（</w:t>
      </w:r>
      <w:r>
        <w:rPr>
          <w:rFonts w:hint="default" w:ascii="Times New Roman" w:hAnsi="Times New Roman" w:eastAsia="Times New Roman"/>
          <w:sz w:val="21"/>
        </w:rPr>
        <w:t>1</w:t>
      </w:r>
      <w:r>
        <w:rPr>
          <w:rFonts w:hint="eastAsia"/>
          <w:sz w:val="21"/>
          <w:lang w:val="en-US" w:eastAsia="zh-CN"/>
        </w:rPr>
        <w:t>0</w:t>
      </w:r>
      <w:r>
        <w:rPr>
          <w:rFonts w:hint="eastAsia" w:ascii="宋体" w:hAnsi="宋体"/>
          <w:sz w:val="21"/>
        </w:rPr>
        <w:t>）投标人须知前附表规定的其他资料。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投标人在评标过程中作出的符合法律法规和招标文件规定的澄清确认，构成投标文件的组</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成部分。</w:t>
      </w:r>
    </w:p>
    <w:p>
      <w:pPr>
        <w:keepNext w:val="0"/>
        <w:keepLines w:val="0"/>
        <w:pageBreakBefore w:val="0"/>
        <w:numPr>
          <w:ilvl w:val="0"/>
          <w:numId w:val="2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投标报价</w:t>
      </w:r>
    </w:p>
    <w:p>
      <w:pPr>
        <w:keepNext w:val="0"/>
        <w:keepLines w:val="0"/>
        <w:pageBreakBefore w:val="0"/>
        <w:numPr>
          <w:ilvl w:val="1"/>
          <w:numId w:val="20"/>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投标报价应包括国家规定的增值税税金，除投标人须知前附表另有规定外，增值税税金按一般计税方法计算。投标人应按第六章</w:t>
      </w:r>
      <w:r>
        <w:rPr>
          <w:rFonts w:hint="default" w:ascii="Times New Roman" w:hAnsi="Times New Roman" w:eastAsia="Times New Roman"/>
          <w:sz w:val="21"/>
        </w:rPr>
        <w:t>“</w:t>
      </w:r>
      <w:r>
        <w:rPr>
          <w:rFonts w:hint="eastAsia" w:ascii="宋体" w:hAnsi="宋体"/>
          <w:sz w:val="21"/>
        </w:rPr>
        <w:t>投标文件格式</w:t>
      </w:r>
      <w:r>
        <w:rPr>
          <w:rFonts w:hint="default" w:ascii="Times New Roman" w:hAnsi="Times New Roman" w:eastAsia="Times New Roman"/>
          <w:sz w:val="21"/>
        </w:rPr>
        <w:t>”</w:t>
      </w:r>
      <w:r>
        <w:rPr>
          <w:rFonts w:hint="eastAsia" w:ascii="宋体" w:hAnsi="宋体"/>
          <w:sz w:val="21"/>
        </w:rPr>
        <w:t>的要求在投标函中进行报价并填写分项报价表。</w:t>
      </w:r>
    </w:p>
    <w:p>
      <w:pPr>
        <w:keepNext w:val="0"/>
        <w:keepLines w:val="0"/>
        <w:pageBreakBefore w:val="0"/>
        <w:numPr>
          <w:ilvl w:val="1"/>
          <w:numId w:val="2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投标人应充分了解该项目的总体情况以及影响投标报价的其他要素。</w:t>
      </w:r>
    </w:p>
    <w:p>
      <w:pPr>
        <w:keepNext w:val="0"/>
        <w:keepLines w:val="0"/>
        <w:pageBreakBefore w:val="0"/>
        <w:numPr>
          <w:ilvl w:val="1"/>
          <w:numId w:val="20"/>
        </w:numPr>
        <w:tabs>
          <w:tab w:val="left" w:pos="946"/>
        </w:tabs>
        <w:kinsoku/>
        <w:overflowPunct w:val="0"/>
        <w:topLinePunct w:val="0"/>
        <w:bidi w:val="0"/>
        <w:spacing w:beforeLines="0" w:afterLines="0" w:line="400" w:lineRule="exact"/>
        <w:ind w:left="0" w:firstLine="420"/>
        <w:rPr>
          <w:rFonts w:hint="default"/>
          <w:sz w:val="21"/>
          <w:szCs w:val="21"/>
        </w:rPr>
      </w:pPr>
      <w:r>
        <w:rPr>
          <w:rFonts w:hint="eastAsia" w:ascii="宋体" w:hAnsi="宋体"/>
          <w:sz w:val="21"/>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rFonts w:hint="default" w:ascii="Times New Roman" w:hAnsi="Times New Roman" w:eastAsia="Times New Roman"/>
          <w:sz w:val="21"/>
        </w:rPr>
        <w:t>“</w:t>
      </w:r>
      <w:r>
        <w:rPr>
          <w:rFonts w:hint="eastAsia" w:ascii="宋体" w:hAnsi="宋体" w:eastAsia="宋体" w:cs="宋体"/>
          <w:sz w:val="21"/>
        </w:rPr>
        <w:t>分项报价表”中的相应报价。此修改须符合本章第</w:t>
      </w:r>
      <w:r>
        <w:rPr>
          <w:rFonts w:hint="default" w:ascii="Times New Roman" w:hAnsi="Times New Roman" w:eastAsia="Times New Roman"/>
          <w:sz w:val="21"/>
        </w:rPr>
        <w:t xml:space="preserve"> 4.3</w:t>
      </w:r>
      <w:r>
        <w:rPr>
          <w:rFonts w:hint="default" w:ascii="Times New Roman" w:hAnsi="Times New Roman" w:eastAsia="Times New Roman"/>
          <w:sz w:val="21"/>
          <w:szCs w:val="21"/>
        </w:rPr>
        <w:t xml:space="preserve"> </w:t>
      </w:r>
      <w:r>
        <w:rPr>
          <w:rFonts w:hint="eastAsia" w:ascii="宋体" w:hAnsi="宋体"/>
          <w:sz w:val="21"/>
          <w:szCs w:val="21"/>
        </w:rPr>
        <w:t>款的有关要求。</w:t>
      </w:r>
    </w:p>
    <w:p>
      <w:pPr>
        <w:keepNext w:val="0"/>
        <w:keepLines w:val="0"/>
        <w:pageBreakBefore w:val="0"/>
        <w:numPr>
          <w:ilvl w:val="1"/>
          <w:numId w:val="21"/>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招标人设有最高投标限价的，投标人的投标报价不得超过最高投标限价，最高投标限价在投标人须知前附表中载明。</w:t>
      </w:r>
    </w:p>
    <w:p>
      <w:pPr>
        <w:keepNext w:val="0"/>
        <w:keepLines w:val="0"/>
        <w:pageBreakBefore w:val="0"/>
        <w:numPr>
          <w:ilvl w:val="1"/>
          <w:numId w:val="21"/>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投标报价的其他要求见投标人须知前附表。</w:t>
      </w:r>
    </w:p>
    <w:p>
      <w:pPr>
        <w:keepNext w:val="0"/>
        <w:keepLines w:val="0"/>
        <w:pageBreakBefore w:val="0"/>
        <w:numPr>
          <w:ilvl w:val="0"/>
          <w:numId w:val="22"/>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投标有效期</w:t>
      </w:r>
    </w:p>
    <w:p>
      <w:pPr>
        <w:keepNext w:val="0"/>
        <w:keepLines w:val="0"/>
        <w:pageBreakBefore w:val="0"/>
        <w:numPr>
          <w:ilvl w:val="1"/>
          <w:numId w:val="22"/>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 xml:space="preserve">除投标人须知前附表另有规定外，投标有效期为 </w:t>
      </w:r>
      <w:r>
        <w:rPr>
          <w:rFonts w:hint="default" w:ascii="Times New Roman" w:hAnsi="Times New Roman" w:eastAsia="Times New Roman"/>
          <w:sz w:val="21"/>
        </w:rPr>
        <w:t>90</w:t>
      </w:r>
      <w:r>
        <w:rPr>
          <w:rFonts w:hint="eastAsia" w:ascii="宋体" w:hAnsi="宋体"/>
          <w:sz w:val="21"/>
        </w:rPr>
        <w:t xml:space="preserve"> 天。</w:t>
      </w:r>
    </w:p>
    <w:p>
      <w:pPr>
        <w:keepNext w:val="0"/>
        <w:keepLines w:val="0"/>
        <w:pageBreakBefore w:val="0"/>
        <w:numPr>
          <w:ilvl w:val="1"/>
          <w:numId w:val="22"/>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在投标有效期内，投标人撤销投标文件的，应承担招标文件和法律规定的责任。</w:t>
      </w:r>
    </w:p>
    <w:p>
      <w:pPr>
        <w:keepNext w:val="0"/>
        <w:keepLines w:val="0"/>
        <w:pageBreakBefore w:val="0"/>
        <w:numPr>
          <w:ilvl w:val="1"/>
          <w:numId w:val="22"/>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numPr>
          <w:ilvl w:val="0"/>
          <w:numId w:val="22"/>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投标保证金</w:t>
      </w:r>
    </w:p>
    <w:p>
      <w:pPr>
        <w:keepNext w:val="0"/>
        <w:keepLines w:val="0"/>
        <w:pageBreakBefore w:val="0"/>
        <w:numPr>
          <w:ilvl w:val="1"/>
          <w:numId w:val="23"/>
        </w:numPr>
        <w:tabs>
          <w:tab w:val="left" w:pos="840"/>
          <w:tab w:val="left" w:pos="1050"/>
          <w:tab w:val="clear" w:pos="1440"/>
        </w:tabs>
        <w:kinsoku/>
        <w:overflowPunct w:val="0"/>
        <w:topLinePunct w:val="0"/>
        <w:bidi w:val="0"/>
        <w:spacing w:beforeLines="0" w:afterLines="0" w:line="400" w:lineRule="exact"/>
        <w:ind w:left="0" w:leftChars="0" w:firstLine="420" w:firstLineChars="200"/>
        <w:rPr>
          <w:rFonts w:hint="default"/>
          <w:sz w:val="24"/>
        </w:rPr>
      </w:pPr>
      <w:r>
        <w:rPr>
          <w:rFonts w:hint="eastAsia" w:ascii="宋体" w:hAnsi="宋体" w:eastAsia="宋体" w:cs="宋体"/>
          <w:sz w:val="21"/>
          <w:szCs w:val="21"/>
        </w:rPr>
        <w:t>投标人在递交投标文件的同时，应按投标人须知前附表规定的金额、形式和第六章“投</w:t>
      </w:r>
      <w:bookmarkStart w:id="12" w:name="page25"/>
      <w:bookmarkEnd w:id="12"/>
      <w:r>
        <w:rPr>
          <w:rFonts w:hint="eastAsia" w:ascii="宋体" w:hAnsi="宋体" w:eastAsia="宋体" w:cs="宋体"/>
          <w:sz w:val="21"/>
          <w:szCs w:val="21"/>
        </w:rPr>
        <w:t>标文件格式”规定的投标保证金格式递交投标保证金，并作为其投标文件的组成部分。境内投标人以现金或者支票形式提交的投标保证金，应当从其基本账户转出并在投标文件中附上基</w:t>
      </w:r>
      <w:r>
        <w:rPr>
          <w:rFonts w:hint="eastAsia" w:ascii="宋体" w:hAnsi="宋体"/>
          <w:sz w:val="21"/>
        </w:rPr>
        <w:t>本账户开户证明。</w:t>
      </w:r>
    </w:p>
    <w:p>
      <w:pPr>
        <w:keepNext w:val="0"/>
        <w:keepLines w:val="0"/>
        <w:pageBreakBefore w:val="0"/>
        <w:numPr>
          <w:ilvl w:val="0"/>
          <w:numId w:val="24"/>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 xml:space="preserve">投标人不按本章第 </w:t>
      </w:r>
      <w:r>
        <w:rPr>
          <w:rFonts w:hint="default" w:ascii="Times New Roman" w:hAnsi="Times New Roman" w:eastAsia="Times New Roman"/>
          <w:sz w:val="21"/>
        </w:rPr>
        <w:t>3.4.1</w:t>
      </w:r>
      <w:r>
        <w:rPr>
          <w:rFonts w:hint="eastAsia" w:ascii="宋体" w:hAnsi="宋体"/>
          <w:sz w:val="21"/>
        </w:rPr>
        <w:t xml:space="preserve"> 项要求提交投标保证金的，评标委员会将否决其投标。</w:t>
      </w:r>
    </w:p>
    <w:p>
      <w:pPr>
        <w:keepNext w:val="0"/>
        <w:keepLines w:val="0"/>
        <w:pageBreakBefore w:val="0"/>
        <w:numPr>
          <w:ilvl w:val="0"/>
          <w:numId w:val="24"/>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招标人最迟将在与中标人签订合同后 </w:t>
      </w:r>
      <w:r>
        <w:rPr>
          <w:rFonts w:hint="default" w:ascii="Times New Roman" w:hAnsi="Times New Roman" w:eastAsia="Times New Roman"/>
          <w:sz w:val="21"/>
        </w:rPr>
        <w:t>5</w:t>
      </w:r>
      <w:r>
        <w:rPr>
          <w:rFonts w:hint="eastAsia" w:ascii="宋体" w:hAnsi="宋体"/>
          <w:sz w:val="21"/>
        </w:rPr>
        <w:t xml:space="preserve"> 日内，向未中标的投标人和中标人退还投标保证金。</w:t>
      </w:r>
    </w:p>
    <w:p>
      <w:pPr>
        <w:keepNext w:val="0"/>
        <w:keepLines w:val="0"/>
        <w:pageBreakBefore w:val="0"/>
        <w:numPr>
          <w:ilvl w:val="0"/>
          <w:numId w:val="24"/>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有下列情形之一的，投标保证金将不予退还：</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）投标人在投标有效期内撤销投标文件；</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）中标人在收到中标通知书后，无正当理由不与招标人订立合同，在签订合同时向招标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人提出附加条件，或者不按照招标文件要求提交履约保证金；</w:t>
      </w:r>
    </w:p>
    <w:p>
      <w:pPr>
        <w:keepNext w:val="0"/>
        <w:keepLines w:val="0"/>
        <w:pageBreakBefore w:val="0"/>
        <w:kinsoku/>
        <w:topLinePunct w:val="0"/>
        <w:bidi w:val="0"/>
        <w:spacing w:beforeLines="0" w:afterLines="0" w:line="400" w:lineRule="exact"/>
        <w:ind w:left="3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）发生投标人须知前附表规定的其他可以不予退还投标保证金的情形。</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3.5 </w:t>
      </w:r>
      <w:r>
        <w:rPr>
          <w:rFonts w:hint="eastAsia" w:ascii="宋体" w:hAnsi="宋体"/>
          <w:sz w:val="28"/>
        </w:rPr>
        <w:t>资格审查资料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除投标人须知前附表另有规定外，投标人应按下列规定提供资格审查资料，以证明其满足</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本章第 </w:t>
      </w:r>
      <w:r>
        <w:rPr>
          <w:rFonts w:hint="default" w:ascii="Times New Roman" w:hAnsi="Times New Roman" w:eastAsia="Times New Roman"/>
          <w:sz w:val="21"/>
        </w:rPr>
        <w:t>1.4</w:t>
      </w:r>
      <w:r>
        <w:rPr>
          <w:rFonts w:hint="eastAsia" w:ascii="宋体" w:hAnsi="宋体"/>
          <w:sz w:val="21"/>
        </w:rPr>
        <w:t xml:space="preserve"> 款规定的资质、财务、业绩、信誉等要求。</w:t>
      </w:r>
    </w:p>
    <w:p>
      <w:pPr>
        <w:keepNext w:val="0"/>
        <w:keepLines w:val="0"/>
        <w:pageBreakBefore w:val="0"/>
        <w:numPr>
          <w:ilvl w:val="0"/>
          <w:numId w:val="25"/>
        </w:numPr>
        <w:tabs>
          <w:tab w:val="left" w:pos="895"/>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default" w:ascii="Times New Roman" w:hAnsi="Times New Roman" w:eastAsia="Times New Roman"/>
          <w:sz w:val="21"/>
        </w:rPr>
        <w:t>“</w:t>
      </w:r>
      <w:r>
        <w:rPr>
          <w:rFonts w:hint="eastAsia" w:ascii="宋体" w:hAnsi="宋体"/>
          <w:sz w:val="21"/>
        </w:rPr>
        <w:t>投标人基本情况表</w:t>
      </w:r>
      <w:r>
        <w:rPr>
          <w:rFonts w:hint="default" w:ascii="Times New Roman" w:hAnsi="Times New Roman" w:eastAsia="Times New Roman"/>
          <w:sz w:val="21"/>
        </w:rPr>
        <w:t>”</w:t>
      </w:r>
      <w:r>
        <w:rPr>
          <w:rFonts w:hint="eastAsia" w:ascii="宋体" w:hAnsi="宋体"/>
          <w:sz w:val="21"/>
        </w:rPr>
        <w:t>应附投标人及其制造商（适用于代理经销商投标的情形）资格或者资质证书副本和投标材料检验或认证等材料的复印件以及：</w:t>
      </w:r>
    </w:p>
    <w:p>
      <w:pPr>
        <w:keepNext w:val="0"/>
        <w:keepLines w:val="0"/>
        <w:pageBreakBefore w:val="0"/>
        <w:kinsoku/>
        <w:overflowPunct w:val="0"/>
        <w:topLinePunct w:val="0"/>
        <w:bidi w:val="0"/>
        <w:spacing w:beforeLines="0" w:afterLines="0" w:line="400" w:lineRule="exact"/>
        <w:ind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）投标人为企业的，应提交营业执照和组织机构代码证的复印件（按照</w:t>
      </w:r>
      <w:r>
        <w:rPr>
          <w:rFonts w:hint="default" w:ascii="Times New Roman" w:hAnsi="Times New Roman" w:eastAsia="Times New Roman"/>
          <w:sz w:val="21"/>
        </w:rPr>
        <w:t>“</w:t>
      </w:r>
      <w:r>
        <w:rPr>
          <w:rFonts w:hint="eastAsia" w:ascii="宋体" w:hAnsi="宋体"/>
          <w:sz w:val="21"/>
        </w:rPr>
        <w:t>三证合一</w:t>
      </w:r>
      <w:r>
        <w:rPr>
          <w:rFonts w:hint="default" w:ascii="Times New Roman" w:hAnsi="Times New Roman" w:eastAsia="Times New Roman"/>
          <w:sz w:val="21"/>
        </w:rPr>
        <w:t>”</w:t>
      </w:r>
      <w:r>
        <w:rPr>
          <w:rFonts w:hint="eastAsia" w:ascii="宋体" w:hAnsi="宋体"/>
          <w:sz w:val="21"/>
        </w:rPr>
        <w:t>或</w:t>
      </w:r>
      <w:r>
        <w:rPr>
          <w:rFonts w:hint="default" w:ascii="Times New Roman" w:hAnsi="Times New Roman" w:eastAsia="Times New Roman"/>
          <w:sz w:val="21"/>
        </w:rPr>
        <w:t>“</w:t>
      </w:r>
      <w:r>
        <w:rPr>
          <w:rFonts w:hint="eastAsia" w:ascii="宋体" w:hAnsi="宋体"/>
          <w:sz w:val="21"/>
        </w:rPr>
        <w:t>五证合一</w:t>
      </w:r>
      <w:r>
        <w:rPr>
          <w:rFonts w:hint="default" w:ascii="Times New Roman" w:hAnsi="Times New Roman" w:eastAsia="Times New Roman"/>
          <w:sz w:val="21"/>
        </w:rPr>
        <w:t>”</w:t>
      </w:r>
      <w:r>
        <w:rPr>
          <w:rFonts w:hint="eastAsia" w:ascii="宋体" w:hAnsi="宋体"/>
          <w:sz w:val="21"/>
        </w:rPr>
        <w:t>登记制度进行登记的，可仅提供营业执照复印件）；</w:t>
      </w:r>
    </w:p>
    <w:p>
      <w:pPr>
        <w:keepNext w:val="0"/>
        <w:keepLines w:val="0"/>
        <w:pageBreakBefore w:val="0"/>
        <w:kinsoku/>
        <w:overflowPunct w:val="0"/>
        <w:topLinePunct w:val="0"/>
        <w:bidi w:val="0"/>
        <w:spacing w:beforeLines="0" w:afterLines="0" w:line="400" w:lineRule="exact"/>
        <w:ind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）投标人为依法允许经营的事业单位的，应提交事业单位法人证书和组织机构代码证的复印件。</w:t>
      </w:r>
    </w:p>
    <w:p>
      <w:pPr>
        <w:keepNext w:val="0"/>
        <w:keepLines w:val="0"/>
        <w:pageBreakBefore w:val="0"/>
        <w:numPr>
          <w:ilvl w:val="0"/>
          <w:numId w:val="25"/>
        </w:numPr>
        <w:tabs>
          <w:tab w:val="left" w:pos="895"/>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default" w:ascii="Times New Roman" w:hAnsi="Times New Roman" w:eastAsia="Times New Roman"/>
          <w:sz w:val="21"/>
        </w:rPr>
        <w:t>“</w:t>
      </w:r>
      <w:r>
        <w:rPr>
          <w:rFonts w:hint="eastAsia" w:ascii="宋体" w:hAnsi="宋体"/>
          <w:sz w:val="21"/>
        </w:rPr>
        <w:t>近年财务状况表</w:t>
      </w:r>
      <w:r>
        <w:rPr>
          <w:rFonts w:hint="default" w:ascii="Times New Roman" w:hAnsi="Times New Roman" w:eastAsia="Times New Roman"/>
          <w:sz w:val="21"/>
        </w:rPr>
        <w:t>”</w:t>
      </w:r>
      <w:r>
        <w:rPr>
          <w:rFonts w:hint="eastAsia" w:ascii="宋体" w:hAnsi="宋体"/>
          <w:sz w:val="21"/>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keepNext w:val="0"/>
        <w:keepLines w:val="0"/>
        <w:pageBreakBefore w:val="0"/>
        <w:numPr>
          <w:ilvl w:val="0"/>
          <w:numId w:val="25"/>
        </w:numPr>
        <w:tabs>
          <w:tab w:val="left" w:pos="420"/>
          <w:tab w:val="left" w:pos="630"/>
          <w:tab w:val="left" w:pos="895"/>
          <w:tab w:val="left" w:pos="1050"/>
          <w:tab w:val="left" w:pos="1260"/>
          <w:tab w:val="clear" w:pos="720"/>
        </w:tabs>
        <w:kinsoku/>
        <w:overflowPunct w:val="0"/>
        <w:topLinePunct w:val="0"/>
        <w:bidi w:val="0"/>
        <w:spacing w:beforeLines="0" w:afterLines="0" w:line="400" w:lineRule="exact"/>
        <w:ind w:left="0" w:firstLine="420"/>
        <w:rPr>
          <w:rFonts w:hint="default"/>
          <w:sz w:val="24"/>
        </w:rPr>
      </w:pPr>
      <w:r>
        <w:rPr>
          <w:rFonts w:hint="default" w:ascii="宋体" w:hAnsi="宋体"/>
          <w:sz w:val="21"/>
        </w:rPr>
        <w:t>“</w:t>
      </w:r>
      <w:r>
        <w:rPr>
          <w:rFonts w:hint="eastAsia" w:ascii="宋体" w:hAnsi="宋体"/>
          <w:sz w:val="21"/>
        </w:rPr>
        <w:t>近年完成的类似项目情况表</w:t>
      </w:r>
      <w:r>
        <w:rPr>
          <w:rFonts w:hint="default" w:ascii="宋体" w:hAnsi="宋体"/>
          <w:sz w:val="21"/>
        </w:rPr>
        <w:t>”</w:t>
      </w:r>
      <w:r>
        <w:rPr>
          <w:rFonts w:hint="eastAsia" w:ascii="宋体" w:hAnsi="宋体"/>
          <w:sz w:val="21"/>
        </w:rPr>
        <w:t>应附中标通知书和合同协议书、设备进场验收证</w:t>
      </w:r>
      <w:bookmarkStart w:id="13" w:name="page26"/>
      <w:bookmarkEnd w:id="13"/>
      <w:r>
        <w:rPr>
          <w:rFonts w:hint="eastAsia" w:ascii="宋体" w:hAnsi="宋体"/>
          <w:sz w:val="21"/>
        </w:rPr>
        <w:t>书等的复印件，具体时间要求见投标人须知前附表。每张表格只填写一个项目，并标明序号。</w:t>
      </w:r>
    </w:p>
    <w:p>
      <w:pPr>
        <w:keepNext w:val="0"/>
        <w:keepLines w:val="0"/>
        <w:pageBreakBefore w:val="0"/>
        <w:numPr>
          <w:ilvl w:val="1"/>
          <w:numId w:val="26"/>
        </w:numPr>
        <w:tabs>
          <w:tab w:val="left" w:pos="895"/>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default" w:ascii="Times New Roman" w:hAnsi="Times New Roman" w:eastAsia="Times New Roman"/>
          <w:sz w:val="21"/>
        </w:rPr>
        <w:t>“</w:t>
      </w:r>
      <w:r>
        <w:rPr>
          <w:rFonts w:hint="eastAsia" w:ascii="宋体" w:hAnsi="宋体"/>
          <w:sz w:val="21"/>
        </w:rPr>
        <w:t>正在供货和新承接的项目情况表</w:t>
      </w:r>
      <w:r>
        <w:rPr>
          <w:rFonts w:hint="default" w:ascii="Times New Roman" w:hAnsi="Times New Roman" w:eastAsia="Times New Roman"/>
          <w:sz w:val="21"/>
        </w:rPr>
        <w:t>”</w:t>
      </w:r>
      <w:r>
        <w:rPr>
          <w:rFonts w:hint="eastAsia" w:ascii="宋体" w:hAnsi="宋体"/>
          <w:sz w:val="21"/>
        </w:rPr>
        <w:t>应附中标通知书和合同协议书复印件。每张表格只填写一个项目，并标明序号。</w:t>
      </w:r>
    </w:p>
    <w:p>
      <w:pPr>
        <w:keepNext w:val="0"/>
        <w:keepLines w:val="0"/>
        <w:pageBreakBefore w:val="0"/>
        <w:numPr>
          <w:ilvl w:val="1"/>
          <w:numId w:val="26"/>
        </w:numPr>
        <w:tabs>
          <w:tab w:val="left" w:pos="640"/>
          <w:tab w:val="left" w:pos="1050"/>
          <w:tab w:val="left" w:pos="1260"/>
        </w:tabs>
        <w:kinsoku/>
        <w:overflowPunct w:val="0"/>
        <w:topLinePunct w:val="0"/>
        <w:bidi w:val="0"/>
        <w:spacing w:beforeLines="0" w:afterLines="0" w:line="400" w:lineRule="exact"/>
        <w:ind w:left="0" w:leftChars="0" w:right="100" w:firstLine="418" w:firstLineChars="209"/>
        <w:rPr>
          <w:rFonts w:hint="default" w:ascii="宋体" w:hAnsi="宋体"/>
          <w:sz w:val="21"/>
        </w:rPr>
      </w:pPr>
      <w:r>
        <w:rPr>
          <w:rFonts w:hint="default" w:ascii="Times New Roman" w:hAnsi="Times New Roman" w:eastAsia="Times New Roman"/>
          <w:sz w:val="20"/>
        </w:rPr>
        <w:t>“</w:t>
      </w:r>
      <w:r>
        <w:rPr>
          <w:rFonts w:hint="eastAsia" w:ascii="宋体" w:hAnsi="宋体"/>
          <w:sz w:val="21"/>
        </w:rPr>
        <w:t>近年发生的诉讼及仲裁情况</w:t>
      </w:r>
      <w:r>
        <w:rPr>
          <w:rFonts w:hint="default" w:ascii="宋体" w:hAnsi="宋体"/>
          <w:sz w:val="21"/>
        </w:rPr>
        <w:t>”</w:t>
      </w:r>
      <w:r>
        <w:rPr>
          <w:rFonts w:hint="eastAsia" w:ascii="宋体" w:hAnsi="宋体"/>
          <w:sz w:val="21"/>
        </w:rPr>
        <w:t>应说明投标人败诉的设备买卖合同的相关情况，并附法院或仲裁机构作出的判决、裁决等有关法律文书复印件，具体时间要求见投标人须知前附表。</w:t>
      </w:r>
    </w:p>
    <w:p>
      <w:pPr>
        <w:keepNext w:val="0"/>
        <w:keepLines w:val="0"/>
        <w:pageBreakBefore w:val="0"/>
        <w:numPr>
          <w:ilvl w:val="0"/>
          <w:numId w:val="27"/>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sz w:val="21"/>
          <w:lang w:val="en-US" w:eastAsia="zh-CN"/>
        </w:rPr>
        <w:t xml:space="preserve"> </w:t>
      </w:r>
      <w:r>
        <w:rPr>
          <w:rFonts w:hint="eastAsia" w:ascii="宋体" w:hAnsi="宋体"/>
          <w:sz w:val="28"/>
        </w:rPr>
        <w:t>备选投标方案</w:t>
      </w:r>
    </w:p>
    <w:p>
      <w:pPr>
        <w:keepNext w:val="0"/>
        <w:keepLines w:val="0"/>
        <w:pageBreakBefore w:val="0"/>
        <w:numPr>
          <w:ilvl w:val="1"/>
          <w:numId w:val="27"/>
        </w:numPr>
        <w:tabs>
          <w:tab w:val="clear" w:pos="1440"/>
        </w:tabs>
        <w:kinsoku/>
        <w:overflowPunct w:val="0"/>
        <w:topLinePunct w:val="0"/>
        <w:bidi w:val="0"/>
        <w:spacing w:beforeLines="0" w:afterLines="0" w:line="400" w:lineRule="exact"/>
        <w:ind w:left="0" w:leftChars="0" w:firstLine="220" w:firstLineChars="0"/>
        <w:rPr>
          <w:rFonts w:hint="default" w:ascii="Times New Roman" w:hAnsi="Times New Roman" w:eastAsia="Times New Roman"/>
          <w:sz w:val="21"/>
        </w:rPr>
      </w:pPr>
      <w:r>
        <w:rPr>
          <w:rFonts w:hint="eastAsia"/>
          <w:sz w:val="28"/>
          <w:lang w:val="en-US" w:eastAsia="zh-CN"/>
        </w:rPr>
        <w:t xml:space="preserve"> </w:t>
      </w:r>
      <w:r>
        <w:rPr>
          <w:rFonts w:hint="eastAsia" w:ascii="宋体" w:hAnsi="宋体"/>
          <w:sz w:val="21"/>
        </w:rPr>
        <w:t>除投标人须知前附表规定允许外，投标人不得递交备选投标方案，否则其投标将被否</w:t>
      </w:r>
    </w:p>
    <w:p>
      <w:pPr>
        <w:keepNext w:val="0"/>
        <w:keepLines w:val="0"/>
        <w:pageBreakBefore w:val="0"/>
        <w:kinsoku/>
        <w:overflowPunct w:val="0"/>
        <w:topLinePunct w:val="0"/>
        <w:bidi w:val="0"/>
        <w:spacing w:beforeLines="0" w:afterLines="0" w:line="400" w:lineRule="exact"/>
        <w:rPr>
          <w:rFonts w:hint="default" w:ascii="Times New Roman" w:hAnsi="Times New Roman" w:eastAsia="Times New Roman"/>
          <w:sz w:val="21"/>
        </w:rPr>
      </w:pPr>
      <w:r>
        <w:rPr>
          <w:rFonts w:hint="eastAsia" w:ascii="宋体" w:hAnsi="宋体"/>
          <w:sz w:val="21"/>
        </w:rPr>
        <w:t>决。</w:t>
      </w:r>
    </w:p>
    <w:p>
      <w:pPr>
        <w:keepNext w:val="0"/>
        <w:keepLines w:val="0"/>
        <w:pageBreakBefore w:val="0"/>
        <w:numPr>
          <w:ilvl w:val="1"/>
          <w:numId w:val="27"/>
        </w:numPr>
        <w:tabs>
          <w:tab w:val="left" w:pos="948"/>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sz w:val="21"/>
          <w:lang w:val="en-US" w:eastAsia="zh-CN"/>
        </w:rPr>
        <w:t xml:space="preserve"> </w:t>
      </w:r>
      <w:r>
        <w:rPr>
          <w:rFonts w:hint="eastAsia" w:ascii="宋体" w:hAnsi="宋体"/>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numPr>
          <w:ilvl w:val="1"/>
          <w:numId w:val="27"/>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sz w:val="21"/>
          <w:lang w:val="en-US" w:eastAsia="zh-CN"/>
        </w:rPr>
        <w:t xml:space="preserve"> </w:t>
      </w:r>
      <w:r>
        <w:rPr>
          <w:rFonts w:hint="eastAsia" w:ascii="宋体" w:hAnsi="宋体"/>
          <w:sz w:val="21"/>
        </w:rPr>
        <w:t>投标人提供两个或两个以上投标报价，或者在投标文件中提供一个报价，但同时提供两个或两个以上供货方案的，视为提供备选方案。</w:t>
      </w:r>
    </w:p>
    <w:p>
      <w:pPr>
        <w:keepNext w:val="0"/>
        <w:keepLines w:val="0"/>
        <w:pageBreakBefore w:val="0"/>
        <w:numPr>
          <w:ilvl w:val="0"/>
          <w:numId w:val="27"/>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sz w:val="21"/>
          <w:lang w:val="en-US" w:eastAsia="zh-CN"/>
        </w:rPr>
        <w:t xml:space="preserve"> </w:t>
      </w:r>
      <w:r>
        <w:rPr>
          <w:rFonts w:hint="eastAsia" w:ascii="宋体" w:hAnsi="宋体"/>
          <w:sz w:val="28"/>
        </w:rPr>
        <w:t>投标文件的编制</w:t>
      </w:r>
    </w:p>
    <w:p>
      <w:pPr>
        <w:keepNext w:val="0"/>
        <w:keepLines w:val="0"/>
        <w:pageBreakBefore w:val="0"/>
        <w:numPr>
          <w:ilvl w:val="1"/>
          <w:numId w:val="28"/>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sz w:val="28"/>
          <w:lang w:val="en-US" w:eastAsia="zh-CN"/>
        </w:rPr>
        <w:t xml:space="preserve">  </w:t>
      </w:r>
      <w:r>
        <w:rPr>
          <w:rFonts w:hint="eastAsia" w:ascii="宋体" w:hAnsi="宋体"/>
          <w:sz w:val="21"/>
        </w:rPr>
        <w:t>投标文件应按第六章</w:t>
      </w:r>
      <w:r>
        <w:rPr>
          <w:rFonts w:hint="default" w:ascii="Times New Roman" w:hAnsi="Times New Roman" w:eastAsia="Times New Roman"/>
          <w:sz w:val="21"/>
        </w:rPr>
        <w:t>“</w:t>
      </w:r>
      <w:r>
        <w:rPr>
          <w:rFonts w:hint="eastAsia" w:ascii="宋体" w:hAnsi="宋体"/>
          <w:sz w:val="21"/>
        </w:rPr>
        <w:t>投标文件格式</w:t>
      </w:r>
      <w:r>
        <w:rPr>
          <w:rFonts w:hint="default" w:ascii="Times New Roman" w:hAnsi="Times New Roman" w:eastAsia="Times New Roman"/>
          <w:sz w:val="21"/>
        </w:rPr>
        <w:t>”</w:t>
      </w:r>
      <w:r>
        <w:rPr>
          <w:rFonts w:hint="eastAsia" w:ascii="宋体" w:hAnsi="宋体"/>
          <w:sz w:val="21"/>
        </w:rPr>
        <w:t>进行编写，如有必要，可以增加附页，作为投标文件的组成部分。</w:t>
      </w:r>
    </w:p>
    <w:p>
      <w:pPr>
        <w:keepNext w:val="0"/>
        <w:keepLines w:val="0"/>
        <w:pageBreakBefore w:val="0"/>
        <w:numPr>
          <w:ilvl w:val="1"/>
          <w:numId w:val="28"/>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sz w:val="21"/>
          <w:lang w:val="en-US" w:eastAsia="zh-CN"/>
        </w:rPr>
        <w:t xml:space="preserve"> </w:t>
      </w:r>
      <w:r>
        <w:rPr>
          <w:rFonts w:hint="eastAsia" w:ascii="宋体" w:hAnsi="宋体"/>
          <w:sz w:val="21"/>
        </w:rPr>
        <w:t>投标文件应当对招标文件有关供货期、投标有效期、供货要求、招标范围等实质性内容作出响应。投标文件在满足招标文件实质性要求的基础上，可以提出比招标文件要求更有利于招标人的承诺。</w:t>
      </w:r>
    </w:p>
    <w:p>
      <w:pPr>
        <w:keepNext w:val="0"/>
        <w:keepLines w:val="0"/>
        <w:pageBreakBefore w:val="0"/>
        <w:kinsoku/>
        <w:topLinePunct w:val="0"/>
        <w:bidi w:val="0"/>
        <w:spacing w:beforeLines="0" w:afterLines="0" w:line="400" w:lineRule="exact"/>
        <w:ind w:left="0" w:leftChars="0" w:firstLine="420" w:firstLineChars="175"/>
        <w:jc w:val="left"/>
        <w:rPr>
          <w:rFonts w:hint="default"/>
          <w:sz w:val="24"/>
        </w:rPr>
      </w:pPr>
      <w:r>
        <w:rPr>
          <w:rFonts w:hint="eastAsia"/>
          <w:sz w:val="24"/>
          <w:lang w:val="en-US" w:eastAsia="zh-CN"/>
        </w:rPr>
        <w:t xml:space="preserve"> </w:t>
      </w:r>
      <w:r>
        <w:rPr>
          <w:rFonts w:hint="default" w:ascii="Times New Roman" w:hAnsi="Times New Roman" w:eastAsia="Times New Roman"/>
          <w:sz w:val="21"/>
        </w:rPr>
        <w:t>3.7.3</w:t>
      </w: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w:t>
      </w:r>
      <w:r>
        <w:rPr>
          <w:rFonts w:hint="default" w:ascii="Times New Roman" w:hAnsi="Times New Roman" w:eastAsia="Times New Roman"/>
          <w:sz w:val="21"/>
        </w:rPr>
        <w:t>“</w:t>
      </w:r>
      <w:r>
        <w:rPr>
          <w:rFonts w:hint="eastAsia" w:ascii="宋体" w:hAnsi="宋体"/>
          <w:sz w:val="21"/>
        </w:rPr>
        <w:t>投标文件格式</w:t>
      </w:r>
      <w:r>
        <w:rPr>
          <w:rFonts w:hint="default" w:ascii="Times New Roman" w:hAnsi="Times New Roman" w:eastAsia="Times New Roman"/>
          <w:sz w:val="21"/>
        </w:rPr>
        <w:t>”</w:t>
      </w:r>
      <w:r>
        <w:rPr>
          <w:rFonts w:hint="eastAsia" w:ascii="宋体" w:hAnsi="宋体"/>
          <w:sz w:val="21"/>
        </w:rPr>
        <w:t>的要求。投标文件应尽量避免涂改、行间插字或删除。如果出现上述情况，改动之处应由投标人的法定代表人（单位负责人）或其授权的代理人签字或盖单位章。</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）投标文件正本一份，副本份数见投标人须知前附表。正本和副本的封面右上角上应清楚地标记</w:t>
      </w:r>
      <w:r>
        <w:rPr>
          <w:rFonts w:hint="default" w:ascii="Times New Roman" w:hAnsi="Times New Roman" w:eastAsia="Times New Roman"/>
          <w:sz w:val="21"/>
        </w:rPr>
        <w:t>“</w:t>
      </w:r>
      <w:r>
        <w:rPr>
          <w:rFonts w:hint="eastAsia" w:ascii="宋体" w:hAnsi="宋体"/>
          <w:sz w:val="21"/>
        </w:rPr>
        <w:t>正本</w:t>
      </w:r>
      <w:r>
        <w:rPr>
          <w:rFonts w:hint="default" w:ascii="Times New Roman" w:hAnsi="Times New Roman" w:eastAsia="Times New Roman"/>
          <w:sz w:val="21"/>
        </w:rPr>
        <w:t>”</w:t>
      </w:r>
      <w:r>
        <w:rPr>
          <w:rFonts w:hint="eastAsia" w:ascii="宋体" w:hAnsi="宋体"/>
          <w:sz w:val="21"/>
        </w:rPr>
        <w:t>或</w:t>
      </w:r>
      <w:r>
        <w:rPr>
          <w:rFonts w:hint="default" w:ascii="Times New Roman" w:hAnsi="Times New Roman" w:eastAsia="Times New Roman"/>
          <w:sz w:val="21"/>
        </w:rPr>
        <w:t>“</w:t>
      </w:r>
      <w:r>
        <w:rPr>
          <w:rFonts w:hint="eastAsia" w:ascii="宋体" w:hAnsi="宋体"/>
          <w:sz w:val="21"/>
        </w:rPr>
        <w:t>副本</w:t>
      </w:r>
      <w:r>
        <w:rPr>
          <w:rFonts w:hint="default" w:ascii="Times New Roman" w:hAnsi="Times New Roman" w:eastAsia="Times New Roman"/>
          <w:sz w:val="21"/>
        </w:rPr>
        <w:t>”</w:t>
      </w:r>
      <w:r>
        <w:rPr>
          <w:rFonts w:hint="eastAsia" w:ascii="宋体" w:hAnsi="宋体"/>
          <w:sz w:val="21"/>
        </w:rPr>
        <w:t>的字样。投标人应根据投标人须知前附表要求提供电子版文件。当副</w:t>
      </w:r>
      <w:bookmarkStart w:id="14" w:name="page27"/>
      <w:bookmarkEnd w:id="14"/>
      <w:r>
        <w:rPr>
          <w:rFonts w:hint="eastAsia" w:ascii="宋体" w:hAnsi="宋体"/>
          <w:sz w:val="21"/>
        </w:rPr>
        <w:t>本和正本不一致或电子版文件和纸质正本文件不一致时，以纸质正本文件为准。</w:t>
      </w:r>
    </w:p>
    <w:p>
      <w:pPr>
        <w:keepNext w:val="0"/>
        <w:keepLines w:val="0"/>
        <w:pageBreakBefore w:val="0"/>
        <w:kinsoku/>
        <w:topLinePunct w:val="0"/>
        <w:bidi w:val="0"/>
        <w:spacing w:beforeLines="0" w:afterLines="0" w:line="400" w:lineRule="exact"/>
        <w:ind w:left="0" w:leftChars="0" w:firstLine="420" w:firstLineChars="200"/>
        <w:jc w:val="left"/>
        <w:rPr>
          <w:rFonts w:hint="default" w:ascii="宋体" w:hAnsi="宋体"/>
          <w:sz w:val="21"/>
        </w:rPr>
      </w:pPr>
      <w:r>
        <w:rPr>
          <w:rFonts w:hint="eastAsia" w:ascii="宋体" w:hAnsi="宋体"/>
          <w:sz w:val="21"/>
        </w:rPr>
        <w:t>（</w:t>
      </w:r>
      <w:r>
        <w:rPr>
          <w:rFonts w:hint="default" w:ascii="宋体" w:hAnsi="宋体"/>
          <w:sz w:val="21"/>
        </w:rPr>
        <w:t>3</w:t>
      </w:r>
      <w:r>
        <w:rPr>
          <w:rFonts w:hint="eastAsia" w:ascii="宋体" w:hAnsi="宋体"/>
          <w:sz w:val="21"/>
        </w:rPr>
        <w:t>）投标文件的正本与副本应分别装订，并编制目录，投标文件需分册装订的，具体分册装订要求见投标人须知前附表规定。</w:t>
      </w:r>
    </w:p>
    <w:p>
      <w:pPr>
        <w:keepNext w:val="0"/>
        <w:keepLines w:val="0"/>
        <w:pageBreakBefore w:val="0"/>
        <w:numPr>
          <w:ilvl w:val="0"/>
          <w:numId w:val="29"/>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投标</w:t>
      </w:r>
    </w:p>
    <w:p>
      <w:pPr>
        <w:keepNext w:val="0"/>
        <w:keepLines w:val="0"/>
        <w:pageBreakBefore w:val="0"/>
        <w:numPr>
          <w:ilvl w:val="1"/>
          <w:numId w:val="29"/>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投标文件的密封和标记</w:t>
      </w:r>
    </w:p>
    <w:p>
      <w:pPr>
        <w:keepNext w:val="0"/>
        <w:keepLines w:val="0"/>
        <w:pageBreakBefore w:val="0"/>
        <w:numPr>
          <w:ilvl w:val="0"/>
          <w:numId w:val="0"/>
        </w:numPr>
        <w:tabs>
          <w:tab w:val="left" w:pos="640"/>
          <w:tab w:val="left" w:pos="840"/>
          <w:tab w:val="left" w:pos="1050"/>
        </w:tabs>
        <w:kinsoku/>
        <w:overflowPunct w:val="0"/>
        <w:topLinePunct w:val="0"/>
        <w:bidi w:val="0"/>
        <w:spacing w:beforeLines="0" w:afterLines="0" w:line="400" w:lineRule="exact"/>
        <w:ind w:left="420" w:leftChars="0"/>
        <w:rPr>
          <w:rFonts w:hint="eastAsia" w:ascii="宋体" w:hAnsi="宋体" w:eastAsia="宋体" w:cs="宋体"/>
          <w:sz w:val="21"/>
        </w:rPr>
      </w:pPr>
      <w:r>
        <w:rPr>
          <w:rFonts w:hint="eastAsia" w:ascii="宋体" w:hAnsi="宋体" w:eastAsia="宋体" w:cs="宋体"/>
          <w:sz w:val="21"/>
        </w:rPr>
        <w:t>4.1.1投标文件应密封包装，并在封套的封口处加盖投标人单位章或由投标人的法定代表人（单位负责人）或其授权的代理人签字。</w:t>
      </w:r>
    </w:p>
    <w:p>
      <w:pPr>
        <w:keepNext w:val="0"/>
        <w:keepLines w:val="0"/>
        <w:pageBreakBefore w:val="0"/>
        <w:numPr>
          <w:ilvl w:val="0"/>
          <w:numId w:val="0"/>
        </w:numPr>
        <w:tabs>
          <w:tab w:val="left" w:pos="640"/>
          <w:tab w:val="left" w:pos="840"/>
          <w:tab w:val="left" w:pos="1050"/>
        </w:tabs>
        <w:kinsoku/>
        <w:overflowPunct w:val="0"/>
        <w:topLinePunct w:val="0"/>
        <w:bidi w:val="0"/>
        <w:spacing w:beforeLines="0" w:afterLines="0" w:line="400" w:lineRule="exact"/>
        <w:ind w:left="420" w:leftChars="0"/>
        <w:rPr>
          <w:rFonts w:hint="eastAsia" w:ascii="宋体" w:hAnsi="宋体" w:eastAsia="宋体" w:cs="宋体"/>
          <w:sz w:val="21"/>
        </w:rPr>
      </w:pPr>
      <w:r>
        <w:rPr>
          <w:rFonts w:hint="eastAsia" w:ascii="宋体" w:hAnsi="宋体" w:cs="宋体"/>
          <w:sz w:val="21"/>
          <w:lang w:val="en-US" w:eastAsia="zh-CN"/>
        </w:rPr>
        <w:t>4.1.2</w:t>
      </w:r>
      <w:r>
        <w:rPr>
          <w:rFonts w:hint="eastAsia" w:ascii="宋体" w:hAnsi="宋体" w:eastAsia="宋体" w:cs="宋体"/>
          <w:sz w:val="21"/>
        </w:rPr>
        <w:t>投标文件封套上应写明的内容见投标人须知前附表。</w:t>
      </w:r>
    </w:p>
    <w:p>
      <w:pPr>
        <w:keepNext w:val="0"/>
        <w:keepLines w:val="0"/>
        <w:pageBreakBefore w:val="0"/>
        <w:numPr>
          <w:ilvl w:val="0"/>
          <w:numId w:val="0"/>
        </w:numPr>
        <w:tabs>
          <w:tab w:val="left" w:pos="940"/>
          <w:tab w:val="left" w:pos="1050"/>
        </w:tabs>
        <w:kinsoku/>
        <w:overflowPunct w:val="0"/>
        <w:topLinePunct w:val="0"/>
        <w:bidi w:val="0"/>
        <w:spacing w:beforeLines="0" w:afterLines="0" w:line="400" w:lineRule="exact"/>
        <w:ind w:left="420" w:leftChars="0"/>
        <w:rPr>
          <w:rFonts w:hint="eastAsia" w:ascii="宋体" w:hAnsi="宋体" w:eastAsia="宋体" w:cs="宋体"/>
          <w:sz w:val="21"/>
        </w:rPr>
      </w:pPr>
      <w:r>
        <w:rPr>
          <w:rFonts w:hint="eastAsia" w:ascii="宋体" w:hAnsi="宋体" w:cs="宋体"/>
          <w:sz w:val="21"/>
          <w:lang w:val="en-US" w:eastAsia="zh-CN"/>
        </w:rPr>
        <w:t>4.1.3</w:t>
      </w:r>
      <w:r>
        <w:rPr>
          <w:rFonts w:hint="eastAsia" w:ascii="宋体" w:hAnsi="宋体" w:eastAsia="宋体" w:cs="宋体"/>
          <w:sz w:val="21"/>
        </w:rPr>
        <w:t>未按本章第 4.1.1 项要求密封的投标文件，招标人将予以拒收。</w:t>
      </w:r>
    </w:p>
    <w:p>
      <w:pPr>
        <w:keepNext w:val="0"/>
        <w:keepLines w:val="0"/>
        <w:pageBreakBefore w:val="0"/>
        <w:numPr>
          <w:ilvl w:val="0"/>
          <w:numId w:val="30"/>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投标文件的递交</w:t>
      </w:r>
    </w:p>
    <w:p>
      <w:pPr>
        <w:keepNext w:val="0"/>
        <w:keepLines w:val="0"/>
        <w:pageBreakBefore w:val="0"/>
        <w:numPr>
          <w:ilvl w:val="1"/>
          <w:numId w:val="3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投标人应在投标人须知前附表规定的投标截止时间前递交投标文件。</w:t>
      </w:r>
    </w:p>
    <w:p>
      <w:pPr>
        <w:keepNext w:val="0"/>
        <w:keepLines w:val="0"/>
        <w:pageBreakBefore w:val="0"/>
        <w:numPr>
          <w:ilvl w:val="1"/>
          <w:numId w:val="30"/>
        </w:numPr>
        <w:tabs>
          <w:tab w:val="left" w:pos="940"/>
          <w:tab w:val="left" w:pos="1050"/>
        </w:tabs>
        <w:kinsoku/>
        <w:overflowPunct w:val="0"/>
        <w:topLinePunct w:val="0"/>
        <w:bidi w:val="0"/>
        <w:spacing w:beforeLines="0" w:afterLines="0" w:line="400" w:lineRule="exact"/>
        <w:ind w:left="940" w:hanging="520"/>
        <w:rPr>
          <w:rFonts w:hint="default" w:ascii="宋体" w:hAnsi="宋体"/>
          <w:sz w:val="21"/>
        </w:rPr>
      </w:pPr>
      <w:r>
        <w:rPr>
          <w:rFonts w:hint="eastAsia" w:ascii="宋体" w:hAnsi="宋体"/>
          <w:sz w:val="21"/>
        </w:rPr>
        <w:t>投标人递交投标文件的地点：见投标人须知前附表。</w:t>
      </w:r>
    </w:p>
    <w:p>
      <w:pPr>
        <w:keepNext w:val="0"/>
        <w:keepLines w:val="0"/>
        <w:pageBreakBefore w:val="0"/>
        <w:numPr>
          <w:ilvl w:val="0"/>
          <w:numId w:val="0"/>
        </w:numPr>
        <w:tabs>
          <w:tab w:val="left" w:pos="940"/>
        </w:tabs>
        <w:kinsoku/>
        <w:overflowPunct w:val="0"/>
        <w:topLinePunct w:val="0"/>
        <w:bidi w:val="0"/>
        <w:spacing w:beforeLines="0" w:afterLines="0" w:line="400" w:lineRule="exact"/>
        <w:ind w:left="420" w:leftChars="0"/>
        <w:rPr>
          <w:rFonts w:hint="default" w:ascii="Times New Roman" w:hAnsi="Times New Roman" w:eastAsia="Times New Roman"/>
          <w:sz w:val="21"/>
        </w:rPr>
      </w:pPr>
      <w:r>
        <w:rPr>
          <w:rFonts w:hint="eastAsia"/>
          <w:sz w:val="21"/>
          <w:lang w:val="en-US" w:eastAsia="zh-CN"/>
        </w:rPr>
        <w:t>4.2.3</w:t>
      </w:r>
      <w:r>
        <w:rPr>
          <w:rFonts w:hint="default" w:ascii="Times New Roman" w:hAnsi="Times New Roman" w:eastAsia="Times New Roman"/>
          <w:sz w:val="21"/>
        </w:rPr>
        <w:t>除投标人须知前附表另有规定外，投标人所递交的投标文件不予退还。</w:t>
      </w:r>
    </w:p>
    <w:p>
      <w:pPr>
        <w:keepNext w:val="0"/>
        <w:keepLines w:val="0"/>
        <w:pageBreakBefore w:val="0"/>
        <w:numPr>
          <w:ilvl w:val="0"/>
          <w:numId w:val="31"/>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招标人收到投标文件后，向投标人出具签收凭证。</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4.2.5 </w:t>
      </w:r>
      <w:r>
        <w:rPr>
          <w:rFonts w:hint="eastAsia" w:ascii="宋体" w:hAnsi="宋体"/>
          <w:sz w:val="21"/>
        </w:rPr>
        <w:t>逾期送达的投标文件，招标人将予以拒收。</w:t>
      </w:r>
    </w:p>
    <w:p>
      <w:pPr>
        <w:keepNext w:val="0"/>
        <w:keepLines w:val="0"/>
        <w:pageBreakBefore w:val="0"/>
        <w:numPr>
          <w:ilvl w:val="0"/>
          <w:numId w:val="32"/>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bookmarkStart w:id="15" w:name="page28"/>
      <w:bookmarkEnd w:id="15"/>
      <w:r>
        <w:rPr>
          <w:rFonts w:hint="eastAsia" w:ascii="宋体" w:hAnsi="宋体"/>
          <w:sz w:val="28"/>
        </w:rPr>
        <w:t>投标文件的修改与撤回</w:t>
      </w:r>
    </w:p>
    <w:p>
      <w:pPr>
        <w:keepNext w:val="0"/>
        <w:keepLines w:val="0"/>
        <w:pageBreakBefore w:val="0"/>
        <w:numPr>
          <w:ilvl w:val="1"/>
          <w:numId w:val="32"/>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在本章第 </w:t>
      </w:r>
      <w:r>
        <w:rPr>
          <w:rFonts w:hint="default" w:ascii="Times New Roman" w:hAnsi="Times New Roman" w:eastAsia="Times New Roman"/>
          <w:sz w:val="21"/>
        </w:rPr>
        <w:t>4.2.1</w:t>
      </w:r>
      <w:r>
        <w:rPr>
          <w:rFonts w:hint="eastAsia" w:ascii="宋体" w:hAnsi="宋体"/>
          <w:sz w:val="21"/>
        </w:rPr>
        <w:t xml:space="preserve"> 项规定的投标截止时间前，投标人可以修改或撤回已递交的投标文件，但应以书面形式通知招标人。</w:t>
      </w:r>
    </w:p>
    <w:p>
      <w:pPr>
        <w:keepNext w:val="0"/>
        <w:keepLines w:val="0"/>
        <w:pageBreakBefore w:val="0"/>
        <w:numPr>
          <w:ilvl w:val="0"/>
          <w:numId w:val="0"/>
        </w:numPr>
        <w:tabs>
          <w:tab w:val="left" w:pos="840"/>
        </w:tabs>
        <w:kinsoku/>
        <w:overflowPunct w:val="0"/>
        <w:topLinePunct w:val="0"/>
        <w:bidi w:val="0"/>
        <w:spacing w:beforeLines="0" w:afterLines="0" w:line="400" w:lineRule="exact"/>
        <w:ind w:left="0" w:leftChars="0" w:firstLine="420" w:firstLineChars="200"/>
        <w:rPr>
          <w:rFonts w:hint="eastAsia" w:ascii="宋体" w:hAnsi="宋体"/>
          <w:sz w:val="21"/>
        </w:rPr>
      </w:pPr>
      <w:r>
        <w:rPr>
          <w:rFonts w:hint="eastAsia" w:ascii="宋体" w:hAnsi="宋体"/>
          <w:sz w:val="21"/>
          <w:lang w:val="en-US" w:eastAsia="zh-CN"/>
        </w:rPr>
        <w:t xml:space="preserve">4.3.2 </w:t>
      </w:r>
      <w:r>
        <w:rPr>
          <w:rFonts w:hint="eastAsia" w:ascii="宋体" w:hAnsi="宋体"/>
          <w:sz w:val="21"/>
        </w:rPr>
        <w:t xml:space="preserve">投标人修改或撤回已递交投标文件的书面通知应按照本章第 </w:t>
      </w:r>
      <w:r>
        <w:rPr>
          <w:rFonts w:hint="default" w:ascii="Times New Roman" w:hAnsi="Times New Roman" w:eastAsia="Times New Roman"/>
          <w:sz w:val="21"/>
        </w:rPr>
        <w:t>3.7.3</w:t>
      </w:r>
      <w:r>
        <w:rPr>
          <w:rFonts w:hint="eastAsia" w:ascii="宋体" w:hAnsi="宋体"/>
          <w:sz w:val="21"/>
        </w:rPr>
        <w:t>项的要求签字或盖章。招标人收到书面通知后，向投标人出具签收凭证。</w:t>
      </w:r>
    </w:p>
    <w:p>
      <w:pPr>
        <w:pStyle w:val="2"/>
        <w:ind w:firstLine="420" w:firstLineChars="200"/>
        <w:rPr>
          <w:rFonts w:hint="default" w:ascii="Times New Roman" w:hAnsi="Times New Roman" w:eastAsia="Times New Roman"/>
          <w:sz w:val="21"/>
        </w:rPr>
      </w:pPr>
      <w:r>
        <w:rPr>
          <w:rFonts w:hint="eastAsia" w:ascii="宋体" w:hAnsi="宋体"/>
          <w:sz w:val="21"/>
          <w:lang w:val="en-US" w:eastAsia="zh-CN"/>
        </w:rPr>
        <w:t xml:space="preserve"> 4.3.3</w:t>
      </w:r>
      <w:r>
        <w:rPr>
          <w:rFonts w:hint="eastAsia" w:ascii="宋体" w:hAnsi="宋体"/>
          <w:sz w:val="21"/>
        </w:rPr>
        <w:t xml:space="preserve">投标人撤回投标文件的，招标人自收到投标人书面撤回通知之日起 </w:t>
      </w:r>
      <w:r>
        <w:rPr>
          <w:rFonts w:hint="default" w:ascii="Times New Roman" w:hAnsi="Times New Roman" w:eastAsia="Times New Roman"/>
          <w:sz w:val="21"/>
        </w:rPr>
        <w:t>5</w:t>
      </w:r>
      <w:r>
        <w:rPr>
          <w:rFonts w:hint="eastAsia" w:ascii="宋体" w:hAnsi="宋体"/>
          <w:sz w:val="21"/>
        </w:rPr>
        <w:t xml:space="preserve"> 日内退还已收取的投标保证金。</w:t>
      </w:r>
    </w:p>
    <w:p>
      <w:pPr>
        <w:keepNext w:val="0"/>
        <w:keepLines w:val="0"/>
        <w:pageBreakBefore w:val="0"/>
        <w:numPr>
          <w:ilvl w:val="0"/>
          <w:numId w:val="0"/>
        </w:numPr>
        <w:tabs>
          <w:tab w:val="left" w:pos="946"/>
        </w:tabs>
        <w:kinsoku/>
        <w:overflowPunct w:val="0"/>
        <w:topLinePunct w:val="0"/>
        <w:bidi w:val="0"/>
        <w:spacing w:beforeLines="0" w:afterLines="0" w:line="400" w:lineRule="exact"/>
        <w:ind w:left="0" w:leftChars="0" w:right="120" w:rightChars="0" w:firstLine="420" w:firstLineChars="200"/>
        <w:rPr>
          <w:rFonts w:hint="default" w:ascii="Times New Roman" w:hAnsi="Times New Roman" w:eastAsia="Times New Roman"/>
          <w:sz w:val="21"/>
        </w:rPr>
      </w:pPr>
      <w:r>
        <w:rPr>
          <w:rFonts w:hint="eastAsia" w:ascii="宋体" w:hAnsi="宋体"/>
          <w:sz w:val="21"/>
          <w:lang w:val="en-US" w:eastAsia="zh-CN"/>
        </w:rPr>
        <w:t>4.3.4</w:t>
      </w:r>
      <w:r>
        <w:rPr>
          <w:rFonts w:hint="eastAsia" w:ascii="宋体" w:hAnsi="宋体"/>
          <w:sz w:val="21"/>
        </w:rPr>
        <w:t xml:space="preserve">修改的内容为投标文件的组成部分。修改的投标文件应按照本章第 </w:t>
      </w:r>
      <w:r>
        <w:rPr>
          <w:rFonts w:hint="default" w:ascii="Times New Roman" w:hAnsi="Times New Roman" w:eastAsia="Times New Roman"/>
          <w:sz w:val="21"/>
        </w:rPr>
        <w:t>3</w:t>
      </w:r>
      <w:r>
        <w:rPr>
          <w:rFonts w:hint="eastAsia" w:ascii="宋体" w:hAnsi="宋体"/>
          <w:sz w:val="21"/>
        </w:rPr>
        <w:t xml:space="preserve"> 条、第 </w:t>
      </w:r>
      <w:r>
        <w:rPr>
          <w:rFonts w:hint="default" w:ascii="Times New Roman" w:hAnsi="Times New Roman" w:eastAsia="Times New Roman"/>
          <w:sz w:val="21"/>
        </w:rPr>
        <w:t>4</w:t>
      </w:r>
      <w:r>
        <w:rPr>
          <w:rFonts w:hint="eastAsia" w:ascii="宋体" w:hAnsi="宋体"/>
          <w:sz w:val="21"/>
        </w:rPr>
        <w:t xml:space="preserve"> 条的规定进行编制、密封、标记和递交，并标明</w:t>
      </w:r>
      <w:r>
        <w:rPr>
          <w:rFonts w:hint="default" w:ascii="Times New Roman" w:hAnsi="Times New Roman" w:eastAsia="Times New Roman"/>
          <w:sz w:val="21"/>
        </w:rPr>
        <w:t>“</w:t>
      </w:r>
      <w:r>
        <w:rPr>
          <w:rFonts w:hint="eastAsia" w:ascii="宋体" w:hAnsi="宋体"/>
          <w:sz w:val="21"/>
        </w:rPr>
        <w:t>修改</w:t>
      </w:r>
      <w:r>
        <w:rPr>
          <w:rFonts w:hint="default" w:ascii="Times New Roman" w:hAnsi="Times New Roman" w:eastAsia="Times New Roman"/>
          <w:sz w:val="21"/>
        </w:rPr>
        <w:t>”</w:t>
      </w:r>
      <w:r>
        <w:rPr>
          <w:rFonts w:hint="eastAsia" w:ascii="宋体" w:hAnsi="宋体"/>
          <w:sz w:val="21"/>
        </w:rPr>
        <w:t>字样。</w:t>
      </w:r>
    </w:p>
    <w:p>
      <w:pPr>
        <w:keepNext w:val="0"/>
        <w:keepLines w:val="0"/>
        <w:pageBreakBefore w:val="0"/>
        <w:numPr>
          <w:ilvl w:val="0"/>
          <w:numId w:val="33"/>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开标</w:t>
      </w:r>
    </w:p>
    <w:p>
      <w:pPr>
        <w:keepNext w:val="0"/>
        <w:keepLines w:val="0"/>
        <w:pageBreakBefore w:val="0"/>
        <w:numPr>
          <w:ilvl w:val="1"/>
          <w:numId w:val="33"/>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开标时间和地点</w:t>
      </w:r>
    </w:p>
    <w:p>
      <w:pPr>
        <w:keepNext w:val="0"/>
        <w:keepLines w:val="0"/>
        <w:pageBreakBefore w:val="0"/>
        <w:kinsoku/>
        <w:topLinePunct w:val="0"/>
        <w:bidi w:val="0"/>
        <w:spacing w:beforeLines="0" w:afterLines="0" w:line="400" w:lineRule="exact"/>
        <w:ind w:left="-200" w:leftChars="0" w:firstLine="619" w:firstLineChars="295"/>
        <w:jc w:val="left"/>
        <w:rPr>
          <w:rFonts w:hint="default"/>
          <w:sz w:val="24"/>
        </w:rPr>
      </w:pPr>
      <w:r>
        <w:rPr>
          <w:rFonts w:hint="eastAsia" w:ascii="宋体" w:hAnsi="宋体" w:eastAsia="宋体" w:cs="宋体"/>
          <w:sz w:val="21"/>
          <w:szCs w:val="21"/>
        </w:rPr>
        <w:t>招标人在本章第 4.2.1 项规定的投标截止时间（开标时间）和投标人须知前附表规定的地点</w:t>
      </w:r>
      <w:r>
        <w:rPr>
          <w:rFonts w:hint="eastAsia" w:ascii="宋体" w:hAnsi="宋体"/>
          <w:sz w:val="21"/>
        </w:rPr>
        <w:t>公开开标，并邀请所有投标人的法定代表人（单位负责人）或其委托代理人准时参加。</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5.2 </w:t>
      </w:r>
      <w:r>
        <w:rPr>
          <w:rFonts w:hint="eastAsia" w:ascii="宋体" w:hAnsi="宋体"/>
          <w:sz w:val="28"/>
        </w:rPr>
        <w:t>开标程序</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主持人按下列程序进行开标：</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）宣布开标纪律；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）公布在投标截止时间前递交投标文件的投标人名称；</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）宣布开标人、唱标人、记录人、监标人等有关人员姓名；</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）检查投标文件的密封情况，按照投标人须知前附表规定的开标顺序当众开标，公布招标项目名称、投标人名称、投标保证金的递交情况、投标报价、交货期、交货地点及其他内容，并记录在案；</w:t>
      </w:r>
      <w:bookmarkStart w:id="16" w:name="page29"/>
      <w:bookmarkEnd w:id="16"/>
    </w:p>
    <w:p>
      <w:pPr>
        <w:keepNext w:val="0"/>
        <w:keepLines w:val="0"/>
        <w:pageBreakBefore w:val="0"/>
        <w:kinsoku/>
        <w:topLinePunct w:val="0"/>
        <w:bidi w:val="0"/>
        <w:spacing w:beforeLines="0" w:afterLines="0" w:line="400" w:lineRule="exact"/>
        <w:ind w:left="0" w:leftChars="0" w:firstLine="420" w:firstLineChars="200"/>
        <w:jc w:val="left"/>
        <w:rPr>
          <w:rFonts w:hint="default" w:ascii="宋体" w:hAnsi="宋体"/>
          <w:sz w:val="21"/>
        </w:rPr>
      </w:pPr>
      <w:r>
        <w:rPr>
          <w:rFonts w:hint="eastAsia" w:ascii="宋体" w:hAnsi="宋体"/>
          <w:sz w:val="21"/>
        </w:rPr>
        <w:t>（</w:t>
      </w:r>
      <w:r>
        <w:rPr>
          <w:rFonts w:hint="default" w:ascii="宋体" w:hAnsi="宋体"/>
          <w:sz w:val="21"/>
        </w:rPr>
        <w:t>5</w:t>
      </w:r>
      <w:r>
        <w:rPr>
          <w:rFonts w:hint="eastAsia" w:ascii="宋体" w:hAnsi="宋体"/>
          <w:sz w:val="21"/>
        </w:rPr>
        <w:t>）投标人代表、招标人代表、监标人、记录人等有关人员在开标记录上签字确认；</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）开标结束。</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5.3 </w:t>
      </w:r>
      <w:r>
        <w:rPr>
          <w:rFonts w:hint="eastAsia" w:ascii="宋体" w:hAnsi="宋体"/>
          <w:sz w:val="28"/>
        </w:rPr>
        <w:t>开标异议</w:t>
      </w:r>
    </w:p>
    <w:p>
      <w:pPr>
        <w:keepNext w:val="0"/>
        <w:keepLines w:val="0"/>
        <w:pageBreakBefore w:val="0"/>
        <w:kinsoku/>
        <w:topLinePunct w:val="0"/>
        <w:bidi w:val="0"/>
        <w:spacing w:beforeLines="0" w:afterLines="0" w:line="400" w:lineRule="exact"/>
        <w:ind w:left="360"/>
        <w:jc w:val="left"/>
        <w:rPr>
          <w:rFonts w:hint="default"/>
          <w:sz w:val="24"/>
        </w:rPr>
      </w:pPr>
      <w:r>
        <w:rPr>
          <w:rFonts w:hint="eastAsia" w:ascii="宋体" w:hAnsi="宋体"/>
          <w:sz w:val="21"/>
        </w:rPr>
        <w:t>投标人对开标有异议的，应当在开标现场提出，招标人当场作出答复，并制作记录。</w:t>
      </w:r>
    </w:p>
    <w:p>
      <w:pPr>
        <w:keepNext w:val="0"/>
        <w:keepLines w:val="0"/>
        <w:pageBreakBefore w:val="0"/>
        <w:numPr>
          <w:ilvl w:val="0"/>
          <w:numId w:val="34"/>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评标</w:t>
      </w:r>
    </w:p>
    <w:p>
      <w:pPr>
        <w:keepNext w:val="0"/>
        <w:keepLines w:val="0"/>
        <w:pageBreakBefore w:val="0"/>
        <w:numPr>
          <w:ilvl w:val="1"/>
          <w:numId w:val="34"/>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评标委员会</w:t>
      </w:r>
    </w:p>
    <w:p>
      <w:pPr>
        <w:keepNext w:val="0"/>
        <w:keepLines w:val="0"/>
        <w:pageBreakBefore w:val="0"/>
        <w:numPr>
          <w:ilvl w:val="2"/>
          <w:numId w:val="34"/>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numPr>
          <w:ilvl w:val="2"/>
          <w:numId w:val="34"/>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评标委员会成员有下列情形之一的，应当回避：</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）投标人或投标人主要负责人的近亲属；</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）项目主管部门或者行政监督部门的人员；</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）与投标人有经济利益关系，可能影响对投标公正评审的；</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）曾因在招标、评标以及其他与招标投标有关活动中从事违法行为而受过行政处罚</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或刑事处罚的；</w:t>
      </w:r>
    </w:p>
    <w:p>
      <w:pPr>
        <w:keepNext w:val="0"/>
        <w:keepLines w:val="0"/>
        <w:pageBreakBefore w:val="0"/>
        <w:kinsoku/>
        <w:topLinePunct w:val="0"/>
        <w:bidi w:val="0"/>
        <w:spacing w:beforeLines="0" w:afterLines="0" w:line="400" w:lineRule="exact"/>
        <w:ind w:left="7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）与投标人有其他利害关系。</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eastAsia="宋体" w:cs="宋体"/>
          <w:sz w:val="21"/>
          <w:szCs w:val="21"/>
        </w:rPr>
        <w:t>6.1.3 评标过程中，评标委员会成员有回避事由、擅离职守或者因健康等原因不能继续评标</w:t>
      </w:r>
      <w:r>
        <w:rPr>
          <w:rFonts w:hint="eastAsia" w:ascii="宋体" w:hAnsi="宋体"/>
          <w:sz w:val="21"/>
        </w:rPr>
        <w:t>的，招标人有权更换。被更换的评标委员会成员作出的评审结论无效，由更换后的评标委员会成员重新进行评审。</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6.2 </w:t>
      </w:r>
      <w:r>
        <w:rPr>
          <w:rFonts w:hint="eastAsia" w:ascii="宋体" w:hAnsi="宋体"/>
          <w:sz w:val="28"/>
        </w:rPr>
        <w:t>评标原则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评标活动遵循公平、公正、科学和择优的原则。</w:t>
      </w:r>
    </w:p>
    <w:p>
      <w:pPr>
        <w:keepNext w:val="0"/>
        <w:keepLines w:val="0"/>
        <w:pageBreakBefore w:val="0"/>
        <w:numPr>
          <w:ilvl w:val="1"/>
          <w:numId w:val="35"/>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bookmarkStart w:id="17" w:name="page30"/>
      <w:bookmarkEnd w:id="17"/>
      <w:r>
        <w:rPr>
          <w:rFonts w:hint="eastAsia" w:ascii="宋体" w:hAnsi="宋体"/>
          <w:sz w:val="28"/>
        </w:rPr>
        <w:t>评标</w:t>
      </w:r>
    </w:p>
    <w:p>
      <w:pPr>
        <w:keepNext w:val="0"/>
        <w:keepLines w:val="0"/>
        <w:pageBreakBefore w:val="0"/>
        <w:numPr>
          <w:ilvl w:val="2"/>
          <w:numId w:val="35"/>
        </w:numPr>
        <w:tabs>
          <w:tab w:val="left" w:pos="895"/>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评标委员会按照第三章</w:t>
      </w:r>
      <w:r>
        <w:rPr>
          <w:rFonts w:hint="default" w:ascii="Times New Roman" w:hAnsi="Times New Roman" w:eastAsia="Times New Roman"/>
          <w:sz w:val="21"/>
        </w:rPr>
        <w:t>“</w:t>
      </w:r>
      <w:r>
        <w:rPr>
          <w:rFonts w:hint="eastAsia" w:ascii="宋体" w:hAnsi="宋体"/>
          <w:sz w:val="21"/>
        </w:rPr>
        <w:t>评标办法</w:t>
      </w:r>
      <w:r>
        <w:rPr>
          <w:rFonts w:hint="default" w:ascii="Times New Roman" w:hAnsi="Times New Roman" w:eastAsia="Times New Roman"/>
          <w:sz w:val="21"/>
        </w:rPr>
        <w:t>”</w:t>
      </w:r>
      <w:r>
        <w:rPr>
          <w:rFonts w:hint="eastAsia" w:ascii="宋体" w:hAnsi="宋体"/>
          <w:sz w:val="21"/>
        </w:rPr>
        <w:t>规定的方法、评审因素、标准和程序对投标文件进行评审。第三章</w:t>
      </w:r>
      <w:r>
        <w:rPr>
          <w:rFonts w:hint="default" w:ascii="Times New Roman" w:hAnsi="Times New Roman" w:eastAsia="Times New Roman"/>
          <w:sz w:val="21"/>
        </w:rPr>
        <w:t>“</w:t>
      </w:r>
      <w:r>
        <w:rPr>
          <w:rFonts w:hint="eastAsia" w:ascii="宋体" w:hAnsi="宋体"/>
          <w:sz w:val="21"/>
        </w:rPr>
        <w:t>评标办法</w:t>
      </w:r>
      <w:r>
        <w:rPr>
          <w:rFonts w:hint="default" w:ascii="Times New Roman" w:hAnsi="Times New Roman" w:eastAsia="Times New Roman"/>
          <w:sz w:val="21"/>
        </w:rPr>
        <w:t>”</w:t>
      </w:r>
      <w:r>
        <w:rPr>
          <w:rFonts w:hint="eastAsia" w:ascii="宋体" w:hAnsi="宋体"/>
          <w:sz w:val="21"/>
        </w:rPr>
        <w:t>没有规定的方法、评审因素和标准，不作为评标依据。</w:t>
      </w:r>
    </w:p>
    <w:p>
      <w:pPr>
        <w:keepNext w:val="0"/>
        <w:keepLines w:val="0"/>
        <w:pageBreakBefore w:val="0"/>
        <w:numPr>
          <w:ilvl w:val="2"/>
          <w:numId w:val="35"/>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评标完成后，评标委员会应当向招标人提交书面评标报告和中标候选人名单。评标委员会推荐中标候选人的人数见投标人须知前附表。</w:t>
      </w:r>
    </w:p>
    <w:p>
      <w:pPr>
        <w:keepNext w:val="0"/>
        <w:keepLines w:val="0"/>
        <w:pageBreakBefore w:val="0"/>
        <w:numPr>
          <w:ilvl w:val="0"/>
          <w:numId w:val="36"/>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合同授予</w:t>
      </w:r>
    </w:p>
    <w:p>
      <w:pPr>
        <w:keepNext w:val="0"/>
        <w:keepLines w:val="0"/>
        <w:pageBreakBefore w:val="0"/>
        <w:numPr>
          <w:ilvl w:val="1"/>
          <w:numId w:val="36"/>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中标候选人公示</w:t>
      </w:r>
    </w:p>
    <w:p>
      <w:pPr>
        <w:keepNext w:val="0"/>
        <w:keepLines w:val="0"/>
        <w:pageBreakBefore w:val="0"/>
        <w:kinsoku/>
        <w:topLinePunct w:val="0"/>
        <w:bidi w:val="0"/>
        <w:spacing w:beforeLines="0" w:afterLines="0"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招标人在收到评标报告之日起</w:t>
      </w:r>
      <w:r>
        <w:rPr>
          <w:rFonts w:hint="eastAsia" w:ascii="宋体" w:hAnsi="宋体" w:cs="宋体"/>
          <w:sz w:val="21"/>
          <w:szCs w:val="21"/>
          <w:lang w:val="en-US" w:eastAsia="zh-CN"/>
        </w:rPr>
        <w:t>5个工作</w:t>
      </w:r>
      <w:r>
        <w:rPr>
          <w:rFonts w:hint="eastAsia" w:ascii="宋体" w:hAnsi="宋体" w:eastAsia="宋体" w:cs="宋体"/>
          <w:sz w:val="21"/>
          <w:szCs w:val="21"/>
        </w:rPr>
        <w:t>日内，按照投标人须知前附表规定的公示媒介和期限公示中标候选人，公示</w:t>
      </w:r>
      <w:r>
        <w:rPr>
          <w:rFonts w:hint="eastAsia" w:ascii="宋体" w:hAnsi="宋体" w:cs="宋体"/>
          <w:sz w:val="21"/>
          <w:szCs w:val="21"/>
          <w:lang w:eastAsia="zh-CN"/>
        </w:rPr>
        <w:t>期限为</w:t>
      </w:r>
      <w:r>
        <w:rPr>
          <w:rFonts w:hint="eastAsia" w:ascii="宋体" w:hAnsi="宋体" w:cs="宋体"/>
          <w:sz w:val="21"/>
          <w:szCs w:val="21"/>
          <w:lang w:val="en-US" w:eastAsia="zh-CN"/>
        </w:rPr>
        <w:t>1个工作日</w:t>
      </w:r>
      <w:r>
        <w:rPr>
          <w:rFonts w:hint="eastAsia" w:ascii="宋体" w:hAnsi="宋体" w:eastAsia="宋体" w:cs="宋体"/>
          <w:sz w:val="21"/>
          <w:szCs w:val="21"/>
        </w:rPr>
        <w:t>。</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7.2 </w:t>
      </w:r>
      <w:r>
        <w:rPr>
          <w:rFonts w:hint="eastAsia" w:ascii="宋体" w:hAnsi="宋体"/>
          <w:sz w:val="28"/>
        </w:rPr>
        <w:t>评标结果异议</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eastAsia="宋体" w:cs="宋体"/>
          <w:sz w:val="21"/>
          <w:szCs w:val="21"/>
        </w:rPr>
        <w:t>投标人或者其他利害关系人对评标结果有异议的</w:t>
      </w:r>
      <w:r>
        <w:rPr>
          <w:rFonts w:hint="eastAsia" w:ascii="宋体" w:hAnsi="宋体" w:cs="宋体"/>
          <w:sz w:val="21"/>
          <w:szCs w:val="21"/>
          <w:lang w:eastAsia="zh-CN"/>
        </w:rPr>
        <w:t>，可自公告期届满之日起</w:t>
      </w:r>
      <w:r>
        <w:rPr>
          <w:rFonts w:hint="eastAsia" w:ascii="宋体" w:hAnsi="宋体" w:cs="宋体"/>
          <w:sz w:val="21"/>
          <w:szCs w:val="21"/>
          <w:lang w:val="en-US" w:eastAsia="zh-CN"/>
        </w:rPr>
        <w:t>7个工作日内提出</w:t>
      </w:r>
      <w:r>
        <w:rPr>
          <w:rFonts w:hint="eastAsia" w:ascii="宋体" w:hAnsi="宋体" w:eastAsia="宋体" w:cs="宋体"/>
          <w:sz w:val="21"/>
          <w:szCs w:val="21"/>
        </w:rPr>
        <w:t>。招标人将在收到异议之日起 3 日内作出答复；作出答复前，将暂停招标投标活动。</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7.3 </w:t>
      </w:r>
      <w:r>
        <w:rPr>
          <w:rFonts w:hint="eastAsia" w:ascii="宋体" w:hAnsi="宋体"/>
          <w:sz w:val="28"/>
        </w:rPr>
        <w:t>中标候选人履约能力审查</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中标候选人的经营、财务状况发生较大变化或存在违法行为，招标人认为可能影响其履约</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能力的，将在发出中标通知书前提请原评标委员会按照招标文件规定的标准和方法进行审查确</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认。</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7.4 </w:t>
      </w:r>
      <w:r>
        <w:rPr>
          <w:rFonts w:hint="eastAsia" w:ascii="宋体" w:hAnsi="宋体"/>
          <w:sz w:val="28"/>
        </w:rPr>
        <w:t>定标</w:t>
      </w:r>
    </w:p>
    <w:p>
      <w:pPr>
        <w:keepNext w:val="0"/>
        <w:keepLines w:val="0"/>
        <w:pageBreakBefore w:val="0"/>
        <w:kinsoku/>
        <w:topLinePunct w:val="0"/>
        <w:bidi w:val="0"/>
        <w:spacing w:beforeLines="0" w:afterLines="0" w:line="400" w:lineRule="exact"/>
        <w:ind w:left="420" w:firstLine="210" w:firstLineChars="100"/>
        <w:jc w:val="left"/>
        <w:rPr>
          <w:rFonts w:hint="default"/>
          <w:sz w:val="24"/>
        </w:rPr>
      </w:pPr>
      <w:r>
        <w:rPr>
          <w:rFonts w:hint="eastAsia" w:ascii="宋体" w:hAnsi="宋体"/>
          <w:sz w:val="21"/>
        </w:rPr>
        <w:t>按照投标人须知前附表的规定，招标人或招标人授权的评标委员会依法确定中标人。</w:t>
      </w:r>
    </w:p>
    <w:p>
      <w:pPr>
        <w:keepNext w:val="0"/>
        <w:keepLines w:val="0"/>
        <w:pageBreakBefore w:val="0"/>
        <w:kinsoku/>
        <w:topLinePunct w:val="0"/>
        <w:bidi w:val="0"/>
        <w:spacing w:beforeLines="0" w:afterLines="0" w:line="400" w:lineRule="exact"/>
        <w:ind w:left="140"/>
        <w:jc w:val="left"/>
        <w:rPr>
          <w:rFonts w:hint="eastAsia" w:ascii="宋体" w:hAnsi="宋体"/>
          <w:sz w:val="28"/>
        </w:rPr>
      </w:pPr>
      <w:r>
        <w:rPr>
          <w:rFonts w:hint="default" w:ascii="Times New Roman" w:hAnsi="Times New Roman" w:eastAsia="Times New Roman"/>
          <w:sz w:val="28"/>
        </w:rPr>
        <w:t xml:space="preserve">7.5 </w:t>
      </w:r>
      <w:r>
        <w:rPr>
          <w:rFonts w:hint="eastAsia" w:ascii="宋体" w:hAnsi="宋体"/>
          <w:sz w:val="28"/>
        </w:rPr>
        <w:t>中标通知</w:t>
      </w:r>
    </w:p>
    <w:p>
      <w:pPr>
        <w:keepNext w:val="0"/>
        <w:keepLines w:val="0"/>
        <w:pageBreakBefore w:val="0"/>
        <w:kinsoku/>
        <w:topLinePunct w:val="0"/>
        <w:bidi w:val="0"/>
        <w:spacing w:beforeLines="0" w:afterLines="0" w:line="400" w:lineRule="exact"/>
        <w:ind w:left="140" w:firstLine="420" w:firstLineChars="200"/>
        <w:jc w:val="left"/>
        <w:rPr>
          <w:rFonts w:hint="default"/>
          <w:sz w:val="24"/>
        </w:rPr>
      </w:pPr>
      <w:r>
        <w:rPr>
          <w:rFonts w:hint="eastAsia" w:ascii="宋体" w:hAnsi="宋体" w:eastAsia="宋体" w:cs="宋体"/>
          <w:sz w:val="21"/>
          <w:szCs w:val="21"/>
        </w:rPr>
        <w:t>在本章第 3.3 款规定的投标有效期内，招标人以书面形式向中标人发出中标通知书，同时</w:t>
      </w:r>
      <w:r>
        <w:rPr>
          <w:rFonts w:hint="eastAsia" w:ascii="宋体" w:hAnsi="宋体"/>
          <w:sz w:val="21"/>
        </w:rPr>
        <w:t>将中标结果通知未中标的投标人。</w:t>
      </w:r>
    </w:p>
    <w:p>
      <w:pPr>
        <w:keepNext w:val="0"/>
        <w:keepLines w:val="0"/>
        <w:pageBreakBefore w:val="0"/>
        <w:numPr>
          <w:ilvl w:val="0"/>
          <w:numId w:val="37"/>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sz w:val="24"/>
          <w:lang w:val="en-US" w:eastAsia="zh-CN"/>
        </w:rPr>
        <w:t xml:space="preserve"> </w:t>
      </w:r>
      <w:r>
        <w:rPr>
          <w:rFonts w:hint="eastAsia" w:ascii="宋体" w:hAnsi="宋体"/>
          <w:sz w:val="28"/>
        </w:rPr>
        <w:t>履约保证金</w:t>
      </w:r>
    </w:p>
    <w:p>
      <w:pPr>
        <w:keepNext w:val="0"/>
        <w:keepLines w:val="0"/>
        <w:pageBreakBefore w:val="0"/>
        <w:numPr>
          <w:ilvl w:val="1"/>
          <w:numId w:val="37"/>
        </w:numPr>
        <w:tabs>
          <w:tab w:val="left" w:pos="840"/>
          <w:tab w:val="left" w:pos="1050"/>
          <w:tab w:val="clear" w:pos="1440"/>
        </w:tabs>
        <w:kinsoku/>
        <w:overflowPunct w:val="0"/>
        <w:topLinePunct w:val="0"/>
        <w:bidi w:val="0"/>
        <w:spacing w:beforeLines="0" w:afterLines="0" w:line="400" w:lineRule="exact"/>
        <w:ind w:left="0" w:leftChars="0" w:firstLine="420" w:firstLineChars="0"/>
        <w:rPr>
          <w:rFonts w:hint="default"/>
          <w:sz w:val="24"/>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在签订合同前，中标人应按投标人须知前附表规定的形式、金额和招标文件第四章“合</w:t>
      </w:r>
      <w:bookmarkStart w:id="18" w:name="page31"/>
      <w:bookmarkEnd w:id="18"/>
      <w:r>
        <w:rPr>
          <w:rFonts w:hint="eastAsia" w:ascii="宋体" w:hAnsi="宋体"/>
          <w:sz w:val="21"/>
        </w:rPr>
        <w:t>同条款及格式</w:t>
      </w:r>
      <w:r>
        <w:rPr>
          <w:rFonts w:hint="default" w:ascii="Times New Roman" w:hAnsi="Times New Roman" w:eastAsia="Times New Roman"/>
          <w:sz w:val="21"/>
        </w:rPr>
        <w:t>”</w:t>
      </w:r>
      <w:r>
        <w:rPr>
          <w:rFonts w:hint="eastAsia" w:ascii="宋体" w:hAnsi="宋体"/>
          <w:sz w:val="21"/>
        </w:rPr>
        <w:t xml:space="preserve">规定的或者事先经过招标人书面认可的履约保证金格式向招标人提交履约保证金。除投标人须知前附表另有规定外，履约保证金为中标合同金额的 </w:t>
      </w:r>
      <w:r>
        <w:rPr>
          <w:rFonts w:hint="default" w:ascii="Times New Roman" w:hAnsi="Times New Roman" w:eastAsia="Times New Roman"/>
          <w:sz w:val="21"/>
        </w:rPr>
        <w:t>10%</w:t>
      </w:r>
      <w:r>
        <w:rPr>
          <w:rFonts w:hint="eastAsia" w:ascii="宋体" w:hAnsi="宋体"/>
          <w:sz w:val="21"/>
        </w:rPr>
        <w:t>。</w:t>
      </w:r>
    </w:p>
    <w:p>
      <w:pPr>
        <w:keepNext w:val="0"/>
        <w:keepLines w:val="0"/>
        <w:pageBreakBefore w:val="0"/>
        <w:numPr>
          <w:ilvl w:val="1"/>
          <w:numId w:val="37"/>
        </w:numPr>
        <w:tabs>
          <w:tab w:val="left" w:pos="1050"/>
          <w:tab w:val="clear" w:pos="144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0"/>
        </w:rPr>
      </w:pPr>
      <w:r>
        <w:rPr>
          <w:rFonts w:hint="eastAsia" w:ascii="宋体" w:hAnsi="宋体"/>
          <w:sz w:val="21"/>
        </w:rPr>
        <w:t xml:space="preserve">中标人不能按本章第 </w:t>
      </w:r>
      <w:r>
        <w:rPr>
          <w:rFonts w:hint="default" w:ascii="宋体" w:hAnsi="宋体"/>
          <w:sz w:val="21"/>
        </w:rPr>
        <w:t>7.6.1</w:t>
      </w:r>
      <w:r>
        <w:rPr>
          <w:rFonts w:hint="eastAsia" w:ascii="宋体" w:hAnsi="宋体"/>
          <w:sz w:val="21"/>
        </w:rPr>
        <w:t xml:space="preserve"> 项要求提交履约保证金的，视为放弃中标，其投标保证金不予退还，给招标人造成的损失超过投标保证金数额的，中标人还应当对超过部分予以赔偿。</w:t>
      </w:r>
    </w:p>
    <w:p>
      <w:pPr>
        <w:keepNext w:val="0"/>
        <w:keepLines w:val="0"/>
        <w:pageBreakBefore w:val="0"/>
        <w:numPr>
          <w:ilvl w:val="0"/>
          <w:numId w:val="38"/>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签订合同</w:t>
      </w:r>
    </w:p>
    <w:p>
      <w:pPr>
        <w:keepNext w:val="0"/>
        <w:keepLines w:val="0"/>
        <w:pageBreakBefore w:val="0"/>
        <w:numPr>
          <w:ilvl w:val="1"/>
          <w:numId w:val="38"/>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 xml:space="preserve">招标人和中标人应当在中标通知书发出之日起 </w:t>
      </w:r>
      <w:r>
        <w:rPr>
          <w:rFonts w:hint="default" w:ascii="Times New Roman" w:hAnsi="Times New Roman" w:eastAsia="Times New Roman"/>
          <w:sz w:val="21"/>
        </w:rPr>
        <w:t>30</w:t>
      </w:r>
      <w:r>
        <w:rPr>
          <w:rFonts w:hint="eastAsia" w:ascii="宋体" w:hAnsi="宋体"/>
          <w:sz w:val="21"/>
        </w:rPr>
        <w:t xml:space="preserve">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eepNext w:val="0"/>
        <w:keepLines w:val="0"/>
        <w:pageBreakBefore w:val="0"/>
        <w:numPr>
          <w:ilvl w:val="1"/>
          <w:numId w:val="38"/>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发出中标通知书后，招标人无正当理由拒签合同，或者在签订合同时向中标人提出附加条件的，招标人向中标人退还投标保证金；给中标人造成损失的，还应当赔偿损失。</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8.</w:t>
      </w:r>
      <w:r>
        <w:rPr>
          <w:rFonts w:hint="eastAsia" w:ascii="宋体" w:hAnsi="宋体"/>
          <w:b/>
          <w:sz w:val="32"/>
        </w:rPr>
        <w:t>纪律和监督</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8.1 </w:t>
      </w:r>
      <w:r>
        <w:rPr>
          <w:rFonts w:hint="eastAsia" w:ascii="宋体" w:hAnsi="宋体"/>
          <w:sz w:val="28"/>
        </w:rPr>
        <w:t>对招标人的纪律要求</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szCs w:val="21"/>
        </w:rPr>
        <w:t>招标人不得泄露招标投标活动中应当保密的情况和资料，不得与投标人串通损害国家利益、社会公共利益或者他人合法权益。</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8.2 </w:t>
      </w:r>
      <w:r>
        <w:rPr>
          <w:rFonts w:hint="eastAsia" w:ascii="宋体" w:hAnsi="宋体"/>
          <w:sz w:val="28"/>
        </w:rPr>
        <w:t>对投标人的纪律要求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投标人不得相互串通投标或者与招标人串通投标，不得向招标人或者评标委员会成员行贿</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谋取中标，不得以他人名义投标或者以其他方式弄虚作假骗取中标；投标人不得以任何方式干</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扰、影响评标工作。</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8.3 </w:t>
      </w:r>
      <w:r>
        <w:rPr>
          <w:rFonts w:hint="eastAsia" w:ascii="宋体" w:hAnsi="宋体"/>
          <w:sz w:val="28"/>
        </w:rPr>
        <w:t>对评标委员会成员的纪律要求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评标委员会成员不得收受他人的财物或者其他好处，不得向他人透露对投标文件的评审和</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比较、中标候选人的推荐情况以及评标有关的其他情况。在评标活动中，评标委员会成员应当</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客观、公正地履行职责，遵守职业道德，不得擅离职守，影响评标程序正常进行，不得使用第</w:t>
      </w:r>
      <w:bookmarkStart w:id="19" w:name="page32"/>
      <w:bookmarkEnd w:id="19"/>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三章</w:t>
      </w:r>
      <w:r>
        <w:rPr>
          <w:rFonts w:hint="default" w:ascii="Times New Roman" w:hAnsi="Times New Roman" w:eastAsia="Times New Roman"/>
          <w:sz w:val="21"/>
        </w:rPr>
        <w:t>“</w:t>
      </w:r>
      <w:r>
        <w:rPr>
          <w:rFonts w:hint="eastAsia" w:ascii="宋体" w:hAnsi="宋体"/>
          <w:sz w:val="21"/>
        </w:rPr>
        <w:t>评标办法</w:t>
      </w:r>
      <w:r>
        <w:rPr>
          <w:rFonts w:hint="default" w:ascii="Times New Roman" w:hAnsi="Times New Roman" w:eastAsia="Times New Roman"/>
          <w:sz w:val="21"/>
        </w:rPr>
        <w:t>”</w:t>
      </w:r>
      <w:r>
        <w:rPr>
          <w:rFonts w:hint="eastAsia" w:ascii="宋体" w:hAnsi="宋体"/>
          <w:sz w:val="21"/>
        </w:rPr>
        <w:t>没有规定的评审因素和标准进行评标。</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8.4 </w:t>
      </w:r>
      <w:r>
        <w:rPr>
          <w:rFonts w:hint="eastAsia" w:ascii="宋体" w:hAnsi="宋体"/>
          <w:sz w:val="28"/>
        </w:rPr>
        <w:t>对与评标活动有关的工作人员的纪律要求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与评标活动有关的工作人员不得收受他人的财物或者其他好处，不得向他人透露对投标文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件的评审和比较、中标候选人的推荐情况以及评标有关的其他情况。在评标活动中，与评标活</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动有关的工作人员不得擅离职守，影响评标程序正常进行。</w:t>
      </w:r>
    </w:p>
    <w:p>
      <w:pPr>
        <w:keepNext w:val="0"/>
        <w:keepLines w:val="0"/>
        <w:pageBreakBefore w:val="0"/>
        <w:numPr>
          <w:ilvl w:val="0"/>
          <w:numId w:val="39"/>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投诉</w:t>
      </w:r>
    </w:p>
    <w:p>
      <w:pPr>
        <w:keepNext w:val="0"/>
        <w:keepLines w:val="0"/>
        <w:pageBreakBefore w:val="0"/>
        <w:numPr>
          <w:ilvl w:val="1"/>
          <w:numId w:val="3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投标人或者其他利害关系人认为招标投标活动不符合法律、行政法规规定的，可以自知道或者应当知道之日起 </w:t>
      </w:r>
      <w:r>
        <w:rPr>
          <w:rFonts w:hint="default" w:ascii="Times New Roman" w:hAnsi="Times New Roman" w:eastAsia="Times New Roman"/>
          <w:sz w:val="21"/>
        </w:rPr>
        <w:t>10</w:t>
      </w:r>
      <w:r>
        <w:rPr>
          <w:rFonts w:hint="eastAsia" w:ascii="宋体" w:hAnsi="宋体"/>
          <w:sz w:val="21"/>
        </w:rPr>
        <w:t xml:space="preserve"> 日内向有关行政监督部门投诉。投诉应当有明确的请求和必要的证明材料。</w:t>
      </w:r>
    </w:p>
    <w:p>
      <w:pPr>
        <w:keepNext w:val="0"/>
        <w:keepLines w:val="0"/>
        <w:pageBreakBefore w:val="0"/>
        <w:numPr>
          <w:ilvl w:val="1"/>
          <w:numId w:val="39"/>
        </w:numPr>
        <w:tabs>
          <w:tab w:val="left" w:pos="946"/>
        </w:tabs>
        <w:kinsoku/>
        <w:overflowPunct w:val="0"/>
        <w:topLinePunct w:val="0"/>
        <w:bidi w:val="0"/>
        <w:spacing w:beforeLines="0" w:afterLines="0" w:line="400" w:lineRule="exact"/>
        <w:ind w:left="0" w:firstLine="420"/>
        <w:rPr>
          <w:rFonts w:hint="eastAsia" w:ascii="宋体" w:hAnsi="宋体" w:eastAsia="宋体" w:cs="宋体"/>
          <w:sz w:val="21"/>
          <w:szCs w:val="21"/>
        </w:rPr>
      </w:pPr>
      <w:r>
        <w:rPr>
          <w:rFonts w:hint="eastAsia" w:ascii="宋体" w:hAnsi="宋体" w:eastAsia="宋体" w:cs="宋体"/>
          <w:sz w:val="21"/>
          <w:szCs w:val="21"/>
        </w:rPr>
        <w:t>投标人或者其他利害关系人对招标文件、开标和评标结果提出投诉的，应当按照投标人须知第 2.4 款、第 5.3 款和第 7.2 款的规定先向招标人提出异议。异议答复期间不计算在第 8.5.1项规定的期限内。</w:t>
      </w:r>
    </w:p>
    <w:p>
      <w:pPr>
        <w:keepNext w:val="0"/>
        <w:keepLines w:val="0"/>
        <w:pageBreakBefore w:val="0"/>
        <w:kinsoku/>
        <w:topLinePunct w:val="0"/>
        <w:bidi w:val="0"/>
        <w:spacing w:beforeLines="0" w:afterLines="0" w:line="400" w:lineRule="exact"/>
        <w:jc w:val="left"/>
        <w:rPr>
          <w:rFonts w:hint="default"/>
          <w:sz w:val="24"/>
        </w:rPr>
      </w:pPr>
      <w:r>
        <w:rPr>
          <w:rFonts w:hint="eastAsia"/>
          <w:sz w:val="24"/>
          <w:lang w:val="en-US" w:eastAsia="zh-CN"/>
        </w:rPr>
        <w:t xml:space="preserve"> </w:t>
      </w:r>
      <w:r>
        <w:rPr>
          <w:rFonts w:hint="default" w:ascii="Times New Roman" w:hAnsi="Times New Roman" w:eastAsia="Times New Roman"/>
          <w:b/>
          <w:sz w:val="32"/>
        </w:rPr>
        <w:t xml:space="preserve">9. </w:t>
      </w:r>
      <w:r>
        <w:rPr>
          <w:rFonts w:hint="eastAsia" w:ascii="宋体" w:hAnsi="宋体"/>
          <w:b/>
          <w:sz w:val="32"/>
        </w:rPr>
        <w:t>是否采用电子招标投标</w:t>
      </w:r>
    </w:p>
    <w:p>
      <w:pPr>
        <w:keepNext w:val="0"/>
        <w:keepLines w:val="0"/>
        <w:pageBreakBefore w:val="0"/>
        <w:kinsoku/>
        <w:topLinePunct w:val="0"/>
        <w:bidi w:val="0"/>
        <w:spacing w:beforeLines="0" w:afterLines="0" w:line="400" w:lineRule="exact"/>
        <w:ind w:left="420"/>
        <w:jc w:val="left"/>
        <w:rPr>
          <w:rFonts w:hint="default"/>
          <w:sz w:val="24"/>
        </w:rPr>
      </w:pPr>
      <w:r>
        <w:rPr>
          <w:rFonts w:hint="eastAsia"/>
          <w:sz w:val="24"/>
          <w:lang w:val="en-US" w:eastAsia="zh-CN"/>
        </w:rPr>
        <w:t xml:space="preserve"> </w:t>
      </w:r>
      <w:r>
        <w:rPr>
          <w:rFonts w:hint="eastAsia" w:ascii="宋体" w:hAnsi="宋体"/>
          <w:sz w:val="21"/>
        </w:rPr>
        <w:t>本招标项目是否采用电子招标投标方式，见投标人须知前附表。</w:t>
      </w:r>
    </w:p>
    <w:p>
      <w:pPr>
        <w:keepNext w:val="0"/>
        <w:keepLines w:val="0"/>
        <w:pageBreakBefore w:val="0"/>
        <w:kinsoku/>
        <w:topLinePunct w:val="0"/>
        <w:bidi w:val="0"/>
        <w:spacing w:beforeLines="0" w:afterLines="0" w:line="400" w:lineRule="exact"/>
        <w:jc w:val="left"/>
        <w:rPr>
          <w:rFonts w:hint="default"/>
          <w:sz w:val="24"/>
        </w:rPr>
      </w:pPr>
      <w:r>
        <w:rPr>
          <w:rFonts w:hint="eastAsia"/>
          <w:sz w:val="24"/>
          <w:lang w:val="en-US" w:eastAsia="zh-CN"/>
        </w:rPr>
        <w:t xml:space="preserve"> </w:t>
      </w:r>
      <w:r>
        <w:rPr>
          <w:rFonts w:hint="default" w:ascii="Times New Roman" w:hAnsi="Times New Roman" w:eastAsia="Times New Roman"/>
          <w:b/>
          <w:sz w:val="32"/>
        </w:rPr>
        <w:t xml:space="preserve">10. </w:t>
      </w:r>
      <w:r>
        <w:rPr>
          <w:rFonts w:hint="eastAsia" w:ascii="宋体" w:hAnsi="宋体"/>
          <w:b/>
          <w:sz w:val="32"/>
        </w:rPr>
        <w:t>需要补充的其他内容</w:t>
      </w:r>
    </w:p>
    <w:p>
      <w:pPr>
        <w:keepNext w:val="0"/>
        <w:keepLines w:val="0"/>
        <w:pageBreakBefore w:val="0"/>
        <w:kinsoku/>
        <w:topLinePunct w:val="0"/>
        <w:bidi w:val="0"/>
        <w:spacing w:beforeLines="0" w:afterLines="0" w:line="400" w:lineRule="exact"/>
        <w:ind w:left="420"/>
        <w:jc w:val="left"/>
        <w:rPr>
          <w:rFonts w:hint="default"/>
          <w:sz w:val="24"/>
        </w:rPr>
      </w:pPr>
      <w:r>
        <w:rPr>
          <w:rFonts w:hint="eastAsia"/>
          <w:sz w:val="24"/>
          <w:lang w:val="en-US" w:eastAsia="zh-CN"/>
        </w:rPr>
        <w:t xml:space="preserve"> </w:t>
      </w:r>
      <w:r>
        <w:rPr>
          <w:rFonts w:hint="eastAsia" w:ascii="宋体" w:hAnsi="宋体"/>
          <w:sz w:val="21"/>
        </w:rPr>
        <w:t>需要补充的其他内容：见投标人须知前附表。</w:t>
      </w:r>
    </w:p>
    <w:p>
      <w:pPr>
        <w:pStyle w:val="2"/>
        <w:keepNext w:val="0"/>
        <w:keepLines w:val="0"/>
        <w:pageBreakBefore w:val="0"/>
        <w:kinsoku/>
        <w:topLinePunct w:val="0"/>
        <w:bidi w:val="0"/>
        <w:spacing w:line="400" w:lineRule="exact"/>
        <w:rPr>
          <w:rFonts w:hint="eastAsia"/>
          <w:sz w:val="24"/>
          <w:lang w:val="en-US" w:eastAsia="zh-CN"/>
        </w:rPr>
      </w:pPr>
      <w:r>
        <w:rPr>
          <w:rFonts w:hint="eastAsia"/>
          <w:sz w:val="24"/>
          <w:lang w:val="en-US" w:eastAsia="zh-CN"/>
        </w:rPr>
        <w:t xml:space="preserve"> </w:t>
      </w: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rPr>
          <w:rFonts w:hint="eastAsia"/>
          <w:sz w:val="24"/>
          <w:lang w:val="en-US" w:eastAsia="zh-CN"/>
        </w:rPr>
      </w:pPr>
    </w:p>
    <w:p>
      <w:pPr>
        <w:pStyle w:val="2"/>
        <w:keepNext w:val="0"/>
        <w:keepLines w:val="0"/>
        <w:pageBreakBefore w:val="0"/>
        <w:kinsoku/>
        <w:topLinePunct w:val="0"/>
        <w:bidi w:val="0"/>
        <w:spacing w:line="400" w:lineRule="exact"/>
        <w:ind w:left="0" w:leftChars="0" w:firstLine="0" w:firstLineChars="0"/>
        <w:rPr>
          <w:rFonts w:hint="default"/>
          <w:sz w:val="24"/>
        </w:rPr>
      </w:pPr>
    </w:p>
    <w:p>
      <w:pPr>
        <w:keepNext w:val="0"/>
        <w:keepLines w:val="0"/>
        <w:pageBreakBefore w:val="0"/>
        <w:kinsoku/>
        <w:topLinePunct w:val="0"/>
        <w:bidi w:val="0"/>
        <w:spacing w:beforeLines="0" w:afterLines="0" w:line="400" w:lineRule="exact"/>
        <w:ind w:left="260"/>
        <w:jc w:val="left"/>
        <w:rPr>
          <w:rFonts w:hint="default"/>
          <w:sz w:val="28"/>
          <w:szCs w:val="28"/>
        </w:rPr>
      </w:pPr>
      <w:r>
        <w:rPr>
          <w:rFonts w:hint="eastAsia"/>
          <w:sz w:val="24"/>
          <w:lang w:val="en-US" w:eastAsia="zh-CN"/>
        </w:rPr>
        <w:t xml:space="preserve"> </w:t>
      </w:r>
      <w:r>
        <w:rPr>
          <w:rFonts w:hint="eastAsia" w:ascii="宋体" w:hAnsi="宋体"/>
          <w:sz w:val="28"/>
          <w:szCs w:val="28"/>
        </w:rPr>
        <w:t>附件一：开标记录表</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740"/>
        <w:jc w:val="left"/>
        <w:rPr>
          <w:rFonts w:hint="default"/>
          <w:sz w:val="28"/>
          <w:szCs w:val="28"/>
        </w:rPr>
      </w:pPr>
      <w:r>
        <w:rPr>
          <w:rFonts w:hint="eastAsia" w:ascii="宋体" w:hAnsi="宋体"/>
          <w:sz w:val="28"/>
          <w:szCs w:val="28"/>
        </w:rPr>
        <w:t>开标记录表</w:t>
      </w: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rPr>
          <w:rFonts w:hint="eastAsia" w:eastAsia="宋体"/>
          <w:sz w:val="24"/>
          <w:szCs w:val="24"/>
          <w:lang w:val="en-US" w:eastAsia="zh-CN"/>
        </w:rPr>
      </w:pPr>
      <w:r>
        <w:rPr>
          <w:rFonts w:hint="eastAsia"/>
          <w:sz w:val="24"/>
          <w:lang w:val="en-US" w:eastAsia="zh-CN"/>
        </w:rPr>
        <w:t xml:space="preserve">                                   </w:t>
      </w:r>
      <w:r>
        <w:rPr>
          <w:rFonts w:hint="eastAsia"/>
          <w:sz w:val="24"/>
          <w:szCs w:val="24"/>
          <w:lang w:val="en-US" w:eastAsia="zh-CN"/>
        </w:rPr>
        <w:t xml:space="preserve">            开标时间：</w:t>
      </w:r>
      <w:r>
        <w:rPr>
          <w:rFonts w:hint="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r>
        <w:rPr>
          <w:rFonts w:hint="eastAsia"/>
          <w:sz w:val="24"/>
          <w:szCs w:val="24"/>
          <w:u w:val="single"/>
          <w:lang w:val="en-US" w:eastAsia="zh-CN"/>
        </w:rPr>
        <w:t xml:space="preserve">       </w:t>
      </w:r>
      <w:r>
        <w:rPr>
          <w:rFonts w:hint="eastAsia"/>
          <w:sz w:val="24"/>
          <w:szCs w:val="24"/>
          <w:u w:val="none"/>
          <w:lang w:val="en-US" w:eastAsia="zh-CN"/>
        </w:rPr>
        <w:t>时</w:t>
      </w:r>
      <w:r>
        <w:rPr>
          <w:rFonts w:hint="eastAsia"/>
          <w:sz w:val="24"/>
          <w:szCs w:val="24"/>
          <w:u w:val="single"/>
          <w:lang w:val="en-US" w:eastAsia="zh-CN"/>
        </w:rPr>
        <w:t xml:space="preserve">       </w:t>
      </w:r>
      <w:r>
        <w:rPr>
          <w:rFonts w:hint="eastAsia"/>
          <w:sz w:val="24"/>
          <w:szCs w:val="24"/>
          <w:u w:val="none"/>
          <w:lang w:val="en-US" w:eastAsia="zh-CN"/>
        </w:rPr>
        <w:t>分</w:t>
      </w:r>
    </w:p>
    <w:tbl>
      <w:tblPr>
        <w:tblStyle w:val="20"/>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06"/>
        <w:gridCol w:w="1106"/>
        <w:gridCol w:w="1332"/>
        <w:gridCol w:w="1140"/>
        <w:gridCol w:w="1125"/>
        <w:gridCol w:w="82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序号</w:t>
            </w:r>
          </w:p>
        </w:tc>
        <w:tc>
          <w:tcPr>
            <w:tcW w:w="1106"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投标人</w:t>
            </w:r>
          </w:p>
        </w:tc>
        <w:tc>
          <w:tcPr>
            <w:tcW w:w="110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密封情况</w:t>
            </w:r>
          </w:p>
        </w:tc>
        <w:tc>
          <w:tcPr>
            <w:tcW w:w="1332"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投标保证金</w:t>
            </w:r>
          </w:p>
        </w:tc>
        <w:tc>
          <w:tcPr>
            <w:tcW w:w="1140"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投标报价（万元）</w:t>
            </w:r>
          </w:p>
        </w:tc>
        <w:tc>
          <w:tcPr>
            <w:tcW w:w="1125"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交货期</w:t>
            </w:r>
          </w:p>
        </w:tc>
        <w:tc>
          <w:tcPr>
            <w:tcW w:w="828" w:type="dxa"/>
            <w:vAlign w:val="center"/>
          </w:tcPr>
          <w:p>
            <w:pPr>
              <w:pStyle w:val="2"/>
              <w:keepNext w:val="0"/>
              <w:keepLines w:val="0"/>
              <w:pageBreakBefore w:val="0"/>
              <w:widowControl w:val="0"/>
              <w:kinsoku/>
              <w:topLinePunct w:val="0"/>
              <w:bidi w:val="0"/>
              <w:spacing w:line="400" w:lineRule="exact"/>
              <w:jc w:val="center"/>
              <w:rPr>
                <w:rFonts w:hint="default"/>
                <w:sz w:val="21"/>
                <w:szCs w:val="21"/>
                <w:vertAlign w:val="baseline"/>
              </w:rPr>
            </w:pPr>
            <w:r>
              <w:rPr>
                <w:rFonts w:hint="eastAsia" w:ascii="宋体" w:hAnsi="宋体"/>
                <w:sz w:val="21"/>
                <w:szCs w:val="21"/>
              </w:rPr>
              <w:t>备</w:t>
            </w:r>
            <w:r>
              <w:rPr>
                <w:rFonts w:hint="eastAsia" w:ascii="宋体" w:hAnsi="宋体"/>
                <w:sz w:val="21"/>
                <w:szCs w:val="21"/>
                <w:lang w:val="en-US" w:eastAsia="zh-CN"/>
              </w:rPr>
              <w:t xml:space="preserve"> </w:t>
            </w:r>
            <w:r>
              <w:rPr>
                <w:rFonts w:hint="eastAsia" w:ascii="宋体" w:hAnsi="宋体"/>
                <w:sz w:val="21"/>
                <w:szCs w:val="21"/>
              </w:rPr>
              <w:t>注</w:t>
            </w:r>
          </w:p>
        </w:tc>
        <w:tc>
          <w:tcPr>
            <w:tcW w:w="1107"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sz w:val="21"/>
                <w:szCs w:val="21"/>
                <w:vertAlign w:val="baseline"/>
              </w:rPr>
            </w:pPr>
            <w:r>
              <w:rPr>
                <w:rFonts w:hint="eastAsia" w:ascii="宋体" w:hAnsi="宋体"/>
                <w:sz w:val="21"/>
                <w:szCs w:val="21"/>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6"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8" w:type="dxa"/>
            <w:gridSpan w:val="3"/>
            <w:vAlign w:val="center"/>
          </w:tcPr>
          <w:p>
            <w:pPr>
              <w:keepNext w:val="0"/>
              <w:keepLines w:val="0"/>
              <w:pageBreakBefore w:val="0"/>
              <w:widowControl w:val="0"/>
              <w:kinsoku/>
              <w:topLinePunct w:val="0"/>
              <w:bidi w:val="0"/>
              <w:spacing w:beforeLines="0" w:afterLines="0" w:line="400" w:lineRule="exact"/>
              <w:ind w:left="120"/>
              <w:jc w:val="center"/>
              <w:rPr>
                <w:rFonts w:hint="default"/>
                <w:sz w:val="21"/>
                <w:szCs w:val="21"/>
              </w:rPr>
            </w:pPr>
            <w:r>
              <w:rPr>
                <w:rFonts w:hint="eastAsia" w:ascii="宋体" w:hAnsi="宋体"/>
                <w:sz w:val="21"/>
                <w:szCs w:val="21"/>
              </w:rPr>
              <w:t>最高投标限价：</w:t>
            </w:r>
          </w:p>
          <w:p>
            <w:pPr>
              <w:pStyle w:val="2"/>
              <w:keepNext w:val="0"/>
              <w:keepLines w:val="0"/>
              <w:pageBreakBefore w:val="0"/>
              <w:widowControl w:val="0"/>
              <w:kinsoku/>
              <w:topLinePunct w:val="0"/>
              <w:bidi w:val="0"/>
              <w:spacing w:line="400" w:lineRule="exact"/>
              <w:jc w:val="center"/>
              <w:rPr>
                <w:rFonts w:hint="default"/>
                <w:sz w:val="21"/>
                <w:szCs w:val="21"/>
                <w:vertAlign w:val="baseline"/>
              </w:rPr>
            </w:pPr>
          </w:p>
        </w:tc>
        <w:tc>
          <w:tcPr>
            <w:tcW w:w="1332"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40"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25"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828"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c>
          <w:tcPr>
            <w:tcW w:w="1107" w:type="dxa"/>
          </w:tcPr>
          <w:p>
            <w:pPr>
              <w:pStyle w:val="2"/>
              <w:keepNext w:val="0"/>
              <w:keepLines w:val="0"/>
              <w:pageBreakBefore w:val="0"/>
              <w:widowControl w:val="0"/>
              <w:kinsoku/>
              <w:topLinePunct w:val="0"/>
              <w:bidi w:val="0"/>
              <w:spacing w:line="400" w:lineRule="exact"/>
              <w:rPr>
                <w:rFonts w:hint="default"/>
                <w:sz w:val="21"/>
                <w:szCs w:val="21"/>
                <w:vertAlign w:val="baseline"/>
              </w:rPr>
            </w:pPr>
          </w:p>
        </w:tc>
      </w:tr>
    </w:tbl>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tabs>
          <w:tab w:val="left" w:pos="2940"/>
          <w:tab w:val="left" w:pos="5240"/>
        </w:tabs>
        <w:kinsoku/>
        <w:topLinePunct w:val="0"/>
        <w:bidi w:val="0"/>
        <w:spacing w:beforeLines="0" w:afterLines="0" w:line="400" w:lineRule="exact"/>
        <w:ind w:left="120"/>
        <w:jc w:val="left"/>
        <w:rPr>
          <w:rFonts w:hint="eastAsia" w:ascii="宋体" w:hAnsi="宋体"/>
          <w:sz w:val="21"/>
          <w:szCs w:val="21"/>
        </w:rPr>
      </w:pPr>
    </w:p>
    <w:p>
      <w:pPr>
        <w:keepNext w:val="0"/>
        <w:keepLines w:val="0"/>
        <w:pageBreakBefore w:val="0"/>
        <w:tabs>
          <w:tab w:val="left" w:pos="2940"/>
          <w:tab w:val="left" w:pos="5240"/>
        </w:tabs>
        <w:kinsoku/>
        <w:topLinePunct w:val="0"/>
        <w:bidi w:val="0"/>
        <w:spacing w:beforeLines="0" w:afterLines="0" w:line="400" w:lineRule="exact"/>
        <w:ind w:left="120"/>
        <w:jc w:val="left"/>
        <w:rPr>
          <w:rFonts w:hint="default"/>
          <w:sz w:val="21"/>
          <w:szCs w:val="21"/>
        </w:rPr>
      </w:pPr>
      <w:r>
        <w:rPr>
          <w:rFonts w:hint="eastAsia" w:ascii="宋体" w:hAnsi="宋体"/>
          <w:sz w:val="21"/>
          <w:szCs w:val="21"/>
        </w:rPr>
        <w:t>招标人代表：</w:t>
      </w:r>
      <w:r>
        <w:rPr>
          <w:rFonts w:hint="default"/>
          <w:sz w:val="21"/>
          <w:szCs w:val="21"/>
        </w:rPr>
        <w:tab/>
      </w:r>
      <w:r>
        <w:rPr>
          <w:rFonts w:hint="eastAsia" w:ascii="宋体" w:hAnsi="宋体"/>
          <w:sz w:val="21"/>
          <w:szCs w:val="21"/>
        </w:rPr>
        <w:t>记录人：</w:t>
      </w:r>
      <w:r>
        <w:rPr>
          <w:rFonts w:hint="eastAsia" w:ascii="宋体" w:hAnsi="宋体"/>
          <w:sz w:val="21"/>
          <w:szCs w:val="21"/>
          <w:lang w:val="en-US" w:eastAsia="zh-CN"/>
        </w:rPr>
        <w:t xml:space="preserve">    </w:t>
      </w:r>
      <w:r>
        <w:rPr>
          <w:rFonts w:hint="default"/>
          <w:sz w:val="21"/>
          <w:szCs w:val="21"/>
        </w:rPr>
        <w:tab/>
      </w:r>
      <w:r>
        <w:rPr>
          <w:rFonts w:hint="eastAsia" w:ascii="宋体" w:hAnsi="宋体"/>
          <w:sz w:val="21"/>
          <w:szCs w:val="21"/>
        </w:rPr>
        <w:t>监标人：</w:t>
      </w:r>
    </w:p>
    <w:p>
      <w:pPr>
        <w:keepNext w:val="0"/>
        <w:keepLines w:val="0"/>
        <w:pageBreakBefore w:val="0"/>
        <w:kinsoku/>
        <w:topLinePunct w:val="0"/>
        <w:bidi w:val="0"/>
        <w:spacing w:beforeLines="0" w:afterLines="0" w:line="400" w:lineRule="exact"/>
        <w:jc w:val="left"/>
        <w:rPr>
          <w:rFonts w:hint="default"/>
          <w:sz w:val="21"/>
          <w:szCs w:val="21"/>
        </w:rPr>
      </w:pPr>
      <w:r>
        <w:rPr>
          <w:rFonts w:hint="default"/>
          <w:sz w:val="21"/>
          <w:szCs w:val="21"/>
        </w:rPr>
        <mc:AlternateContent>
          <mc:Choice Requires="wps">
            <w:drawing>
              <wp:anchor distT="0" distB="0" distL="114300" distR="114300" simplePos="0" relativeHeight="251695104" behindDoc="1" locked="0" layoutInCell="1" allowOverlap="1">
                <wp:simplePos x="0" y="0"/>
                <wp:positionH relativeFrom="column">
                  <wp:posOffset>877570</wp:posOffset>
                </wp:positionH>
                <wp:positionV relativeFrom="paragraph">
                  <wp:posOffset>0</wp:posOffset>
                </wp:positionV>
                <wp:extent cx="466725" cy="0"/>
                <wp:effectExtent l="0" t="0" r="0" b="0"/>
                <wp:wrapNone/>
                <wp:docPr id="31" name="直线 30"/>
                <wp:cNvGraphicFramePr/>
                <a:graphic xmlns:a="http://schemas.openxmlformats.org/drawingml/2006/main">
                  <a:graphicData uri="http://schemas.microsoft.com/office/word/2010/wordprocessingShape">
                    <wps:wsp>
                      <wps:cNvCnPr/>
                      <wps:spPr>
                        <a:xfrm>
                          <a:off x="0" y="0"/>
                          <a:ext cx="46672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69.1pt;margin-top:0pt;height:0pt;width:36.75pt;z-index:-251621376;mso-width-relative:page;mso-height-relative:page;" filled="f" stroked="t" coordsize="21600,21600" o:gfxdata="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Z2lxzUAAAABQEAAA8AAAAAAAAAAQAgAAAAIgAAAGRycy9k&#10;b3ducmV2LnhtbFBLAQIUABQAAAAIAIdO4kBGwSTjzQEAAI4DAAAOAAAAAAAAAAEAIAAAACMBAABk&#10;cnMvZTJvRG9jLnhtbFBLBQYAAAAABgAGAFkBAABiBQ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696128" behindDoc="1" locked="0" layoutInCell="1" allowOverlap="1">
                <wp:simplePos x="0" y="0"/>
                <wp:positionH relativeFrom="column">
                  <wp:posOffset>2411095</wp:posOffset>
                </wp:positionH>
                <wp:positionV relativeFrom="paragraph">
                  <wp:posOffset>0</wp:posOffset>
                </wp:positionV>
                <wp:extent cx="466725" cy="0"/>
                <wp:effectExtent l="0" t="0" r="0" b="0"/>
                <wp:wrapNone/>
                <wp:docPr id="32" name="直线 31"/>
                <wp:cNvGraphicFramePr/>
                <a:graphic xmlns:a="http://schemas.openxmlformats.org/drawingml/2006/main">
                  <a:graphicData uri="http://schemas.microsoft.com/office/word/2010/wordprocessingShape">
                    <wps:wsp>
                      <wps:cNvCnPr/>
                      <wps:spPr>
                        <a:xfrm>
                          <a:off x="0" y="0"/>
                          <a:ext cx="46672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189.85pt;margin-top:0pt;height:0pt;width:36.75pt;z-index:-251620352;mso-width-relative:page;mso-height-relative:page;" filled="f" stroked="t" coordsize="21600,21600" o:gfxdata="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zeWw9UAAAAFAQAADwAAAAAAAAABACAAAAAiAAAAZHJz&#10;L2Rvd25yZXYueG1sUEsBAhQAFAAAAAgAh07iQM9zpePOAQAAjgMAAA4AAAAAAAAAAQAgAAAAJAEA&#10;AGRycy9lMm9Eb2MueG1sUEsFBgAAAAAGAAYAWQEAAGQFA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697152" behindDoc="1" locked="0" layoutInCell="1" allowOverlap="1">
                <wp:simplePos x="0" y="0"/>
                <wp:positionH relativeFrom="column">
                  <wp:posOffset>3877945</wp:posOffset>
                </wp:positionH>
                <wp:positionV relativeFrom="paragraph">
                  <wp:posOffset>0</wp:posOffset>
                </wp:positionV>
                <wp:extent cx="466090" cy="0"/>
                <wp:effectExtent l="0" t="0" r="0" b="0"/>
                <wp:wrapNone/>
                <wp:docPr id="33" name="直线 32"/>
                <wp:cNvGraphicFramePr/>
                <a:graphic xmlns:a="http://schemas.openxmlformats.org/drawingml/2006/main">
                  <a:graphicData uri="http://schemas.microsoft.com/office/word/2010/wordprocessingShape">
                    <wps:wsp>
                      <wps:cNvCnPr/>
                      <wps:spPr>
                        <a:xfrm>
                          <a:off x="0" y="0"/>
                          <a:ext cx="4660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305.35pt;margin-top:0pt;height:0pt;width:36.7pt;z-index:-251619328;mso-width-relative:page;mso-height-relative:page;" filled="f" stroked="t" coordsize="21600,21600" o:gfxdata="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5ep1dQAAAAFAQAADwAAAAAAAAABACAAAAAiAAAAZHJzL2Rv&#10;d25yZXYueG1sUEsBAhQAFAAAAAgAh07iQM3Bbx7MAQAAjgMAAA4AAAAAAAAAAQAgAAAAIwEAAGRy&#10;cy9lMm9Eb2MueG1sUEsFBgAAAAAGAAYAWQEAAGEFAAAAAA==&#10;">
                <v:fill on="f" focussize="0,0"/>
                <v:stroke weight="0.48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eastAsia" w:eastAsia="宋体"/>
          <w:sz w:val="21"/>
          <w:szCs w:val="21"/>
          <w:lang w:val="en-US" w:eastAsia="zh-CN"/>
        </w:rPr>
      </w:pPr>
      <w:r>
        <w:rPr>
          <w:rFonts w:hint="eastAsia"/>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eastAsia" w:eastAsia="宋体"/>
          <w:sz w:val="21"/>
          <w:szCs w:val="21"/>
          <w:lang w:val="en-US" w:eastAsia="zh-CN"/>
        </w:rPr>
      </w:pP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u w:val="none"/>
          <w:lang w:val="en-US" w:eastAsia="zh-CN"/>
        </w:rPr>
        <w:t>年</w:t>
      </w:r>
      <w:r>
        <w:rPr>
          <w:rFonts w:hint="eastAsia"/>
          <w:sz w:val="21"/>
          <w:szCs w:val="21"/>
          <w:u w:val="single"/>
          <w:lang w:val="en-US" w:eastAsia="zh-CN"/>
        </w:rPr>
        <w:t xml:space="preserve">       </w:t>
      </w:r>
      <w:r>
        <w:rPr>
          <w:rFonts w:hint="eastAsia"/>
          <w:sz w:val="21"/>
          <w:szCs w:val="21"/>
          <w:u w:val="none"/>
          <w:lang w:val="en-US" w:eastAsia="zh-CN"/>
        </w:rPr>
        <w:t>月</w:t>
      </w:r>
      <w:r>
        <w:rPr>
          <w:rFonts w:hint="eastAsia"/>
          <w:sz w:val="21"/>
          <w:szCs w:val="21"/>
          <w:u w:val="single"/>
          <w:lang w:val="en-US" w:eastAsia="zh-CN"/>
        </w:rPr>
        <w:t xml:space="preserve">        </w:t>
      </w:r>
      <w:r>
        <w:rPr>
          <w:rFonts w:hint="eastAsia"/>
          <w:sz w:val="21"/>
          <w:szCs w:val="21"/>
          <w:u w:val="none"/>
          <w:lang w:val="en-US" w:eastAsia="zh-CN"/>
        </w:rPr>
        <w:t>日</w: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tabs>
          <w:tab w:val="left" w:pos="5660"/>
        </w:tabs>
        <w:kinsoku/>
        <w:topLinePunct w:val="0"/>
        <w:bidi w:val="0"/>
        <w:spacing w:beforeLines="0" w:afterLines="0" w:line="400" w:lineRule="exact"/>
        <w:jc w:val="left"/>
        <w:rPr>
          <w:rFonts w:hint="default" w:ascii="宋体" w:hAnsi="宋体" w:eastAsia="宋体" w:cs="宋体"/>
          <w:sz w:val="28"/>
          <w:szCs w:val="28"/>
        </w:rPr>
      </w:pPr>
      <w:bookmarkStart w:id="20" w:name="page34"/>
      <w:bookmarkEnd w:id="20"/>
      <w:r>
        <w:rPr>
          <w:rFonts w:hint="eastAsia" w:ascii="宋体" w:hAnsi="宋体" w:eastAsia="宋体" w:cs="宋体"/>
          <w:sz w:val="28"/>
          <w:szCs w:val="28"/>
        </w:rPr>
        <w:t>附件二：问题澄清通知</w:t>
      </w:r>
    </w:p>
    <w:p>
      <w:pPr>
        <w:keepNext w:val="0"/>
        <w:keepLines w:val="0"/>
        <w:pageBreakBefore w:val="0"/>
        <w:tabs>
          <w:tab w:val="left" w:pos="5660"/>
        </w:tabs>
        <w:kinsoku/>
        <w:topLinePunct w:val="0"/>
        <w:bidi w:val="0"/>
        <w:spacing w:beforeLines="0" w:afterLines="0" w:line="400" w:lineRule="exact"/>
        <w:ind w:left="2740"/>
        <w:jc w:val="left"/>
        <w:rPr>
          <w:rFonts w:hint="default" w:ascii="宋体" w:hAnsi="宋体" w:eastAsia="宋体" w:cs="宋体"/>
          <w:sz w:val="28"/>
          <w:szCs w:val="28"/>
        </w:rPr>
      </w:pPr>
    </w:p>
    <w:p>
      <w:pPr>
        <w:keepNext w:val="0"/>
        <w:keepLines w:val="0"/>
        <w:pageBreakBefore w:val="0"/>
        <w:tabs>
          <w:tab w:val="left" w:pos="5660"/>
        </w:tabs>
        <w:kinsoku/>
        <w:topLinePunct w:val="0"/>
        <w:bidi w:val="0"/>
        <w:spacing w:beforeLines="0" w:afterLines="0" w:line="400" w:lineRule="exact"/>
        <w:ind w:left="2740"/>
        <w:jc w:val="left"/>
        <w:rPr>
          <w:rFonts w:hint="default" w:ascii="宋体" w:hAnsi="宋体" w:eastAsia="宋体" w:cs="宋体"/>
          <w:sz w:val="28"/>
          <w:szCs w:val="28"/>
        </w:rPr>
      </w:pPr>
    </w:p>
    <w:p>
      <w:pPr>
        <w:keepNext w:val="0"/>
        <w:keepLines w:val="0"/>
        <w:pageBreakBefore w:val="0"/>
        <w:tabs>
          <w:tab w:val="left" w:pos="5660"/>
        </w:tabs>
        <w:kinsoku/>
        <w:topLinePunct w:val="0"/>
        <w:bidi w:val="0"/>
        <w:spacing w:beforeLines="0" w:afterLines="0" w:line="400" w:lineRule="exact"/>
        <w:ind w:left="2740"/>
        <w:jc w:val="left"/>
        <w:rPr>
          <w:rFonts w:hint="default" w:ascii="宋体" w:hAnsi="宋体" w:eastAsia="宋体" w:cs="宋体"/>
          <w:sz w:val="28"/>
          <w:szCs w:val="28"/>
        </w:rPr>
      </w:pPr>
      <w:r>
        <w:rPr>
          <w:rFonts w:hint="eastAsia" w:ascii="宋体" w:hAnsi="宋体" w:eastAsia="宋体" w:cs="宋体"/>
          <w:sz w:val="28"/>
          <w:szCs w:val="28"/>
        </w:rPr>
        <w:t>问题澄清通知</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660"/>
        </w:tabs>
        <w:kinsoku/>
        <w:topLinePunct w:val="0"/>
        <w:bidi w:val="0"/>
        <w:spacing w:beforeLines="0" w:afterLines="0" w:line="400" w:lineRule="exact"/>
        <w:ind w:left="2740"/>
        <w:jc w:val="left"/>
        <w:rPr>
          <w:rFonts w:hint="eastAsia" w:ascii="宋体" w:hAnsi="宋体" w:eastAsia="宋体" w:cs="宋体"/>
          <w:sz w:val="21"/>
          <w:szCs w:val="21"/>
        </w:rPr>
      </w:pPr>
      <w:r>
        <w:rPr>
          <w:rFonts w:hint="eastAsia" w:ascii="宋体" w:hAnsi="宋体" w:eastAsia="宋体" w:cs="宋体"/>
          <w:sz w:val="21"/>
          <w:szCs w:val="21"/>
        </w:rPr>
        <w:t>（编号：</w:t>
      </w:r>
      <w:r>
        <w:rPr>
          <w:rFonts w:hint="eastAsia" w:ascii="宋体" w:hAnsi="宋体" w:eastAsia="宋体" w:cs="宋体"/>
          <w:sz w:val="21"/>
          <w:szCs w:val="21"/>
        </w:rPr>
        <w:tab/>
      </w:r>
      <w:r>
        <w:rPr>
          <w:rFonts w:hint="eastAsia" w:ascii="宋体" w:hAnsi="宋体" w:eastAsia="宋体" w:cs="宋体"/>
          <w:sz w:val="21"/>
          <w:szCs w:val="21"/>
        </w:rPr>
        <w:t>）</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701248" behindDoc="1" locked="0" layoutInCell="1" allowOverlap="1">
                <wp:simplePos x="0" y="0"/>
                <wp:positionH relativeFrom="column">
                  <wp:posOffset>2277110</wp:posOffset>
                </wp:positionH>
                <wp:positionV relativeFrom="paragraph">
                  <wp:posOffset>6985</wp:posOffset>
                </wp:positionV>
                <wp:extent cx="1330960" cy="0"/>
                <wp:effectExtent l="0" t="0" r="0" b="0"/>
                <wp:wrapNone/>
                <wp:docPr id="37" name="直线 36"/>
                <wp:cNvGraphicFramePr/>
                <a:graphic xmlns:a="http://schemas.openxmlformats.org/drawingml/2006/main">
                  <a:graphicData uri="http://schemas.microsoft.com/office/word/2010/wordprocessingShape">
                    <wps:wsp>
                      <wps:cNvCnPr/>
                      <wps:spPr>
                        <a:xfrm>
                          <a:off x="0" y="0"/>
                          <a:ext cx="1330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179.3pt;margin-top:0.55pt;height:0pt;width:104.8pt;z-index:-251615232;mso-width-relative:page;mso-height-relative:page;" filled="f" stroked="t" coordsize="21600,21600" o:gfxdata="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5jGR9MAAAAHAQAADwAAAAAAAAABACAAAAAiAAAAZHJz&#10;L2Rvd25yZXYueG1sUEsBAhQAFAAAAAgAh07iQN0oa1zQAQAAjwMAAA4AAAAAAAAAAQAgAAAAIgEA&#10;AGRycy9lMm9Eb2MueG1sUEsFBgAAAAAGAAYAWQEAAGQFAAAAAA==&#10;">
                <v:fill on="f" focussize="0,0"/>
                <v:stroke weight="0.7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ind w:left="2200"/>
        <w:jc w:val="left"/>
        <w:rPr>
          <w:rFonts w:hint="eastAsia" w:ascii="宋体" w:hAnsi="宋体" w:eastAsia="宋体" w:cs="宋体"/>
          <w:sz w:val="21"/>
          <w:szCs w:val="21"/>
        </w:rPr>
      </w:pPr>
      <w:r>
        <w:rPr>
          <w:rFonts w:hint="eastAsia" w:ascii="宋体" w:hAnsi="宋体" w:eastAsia="宋体" w:cs="宋体"/>
          <w:sz w:val="21"/>
          <w:szCs w:val="21"/>
        </w:rPr>
        <w:t>（投标人名称）：</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702272" behindDoc="1" locked="0" layoutInCell="1" allowOverlap="1">
                <wp:simplePos x="0" y="0"/>
                <wp:positionH relativeFrom="column">
                  <wp:posOffset>0</wp:posOffset>
                </wp:positionH>
                <wp:positionV relativeFrom="paragraph">
                  <wp:posOffset>1270</wp:posOffset>
                </wp:positionV>
                <wp:extent cx="1400810" cy="0"/>
                <wp:effectExtent l="0" t="0" r="0" b="0"/>
                <wp:wrapNone/>
                <wp:docPr id="38" name="直线 37"/>
                <wp:cNvGraphicFramePr/>
                <a:graphic xmlns:a="http://schemas.openxmlformats.org/drawingml/2006/main">
                  <a:graphicData uri="http://schemas.microsoft.com/office/word/2010/wordprocessingShape">
                    <wps:wsp>
                      <wps:cNvCnPr/>
                      <wps:spPr>
                        <a:xfrm>
                          <a:off x="0" y="0"/>
                          <a:ext cx="1400810" cy="0"/>
                        </a:xfrm>
                        <a:prstGeom prst="line">
                          <a:avLst/>
                        </a:prstGeom>
                        <a:ln w="6400"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0pt;margin-top:0.1pt;height:0pt;width:110.3pt;z-index:-251614208;mso-width-relative:page;mso-height-relative:page;" filled="f" stroked="t" coordsize="21600,21600" o:gfxdata="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VEGS0QAAAAIBAAAPAAAAAAAAAAEAIAAAACIAAABkcnMvZG93&#10;bnJldi54bWxQSwECFAAUAAAACACHTuJAmyiVAs4BAACPAwAADgAAAAAAAAABACAAAAAgAQAAZHJz&#10;L2Uyb0RvYy54bWxQSwUGAAAAAAYABgBZAQAAYAUAAAAA&#10;">
                <v:fill on="f" focussize="0,0"/>
                <v:stroke weight="0.503937007874016pt" color="#000000" joinstyle="round"/>
                <v:imagedata o:title=""/>
                <o:lock v:ext="edit" aspectratio="f"/>
              </v:line>
            </w:pict>
          </mc:Fallback>
        </mc:AlternateContent>
      </w:r>
    </w:p>
    <w:p>
      <w:pPr>
        <w:keepNext w:val="0"/>
        <w:keepLines w:val="0"/>
        <w:pageBreakBefore w:val="0"/>
        <w:kinsoku/>
        <w:overflowPunct w:val="0"/>
        <w:topLinePunct w:val="0"/>
        <w:bidi w:val="0"/>
        <w:spacing w:beforeLines="0" w:afterLines="0" w:line="400" w:lineRule="exact"/>
        <w:ind w:firstLine="422"/>
        <w:jc w:val="left"/>
        <w:rPr>
          <w:rFonts w:hint="eastAsia" w:ascii="宋体" w:hAnsi="宋体" w:eastAsia="宋体" w:cs="宋体"/>
          <w:sz w:val="21"/>
          <w:szCs w:val="21"/>
        </w:rPr>
      </w:pPr>
      <w:r>
        <w:rPr>
          <w:rFonts w:hint="eastAsia" w:ascii="宋体" w:hAnsi="宋体" w:eastAsia="宋体" w:cs="宋体"/>
          <w:sz w:val="21"/>
          <w:szCs w:val="21"/>
        </w:rPr>
        <w:t>评标委员会对你方的投标文件进行了仔细的审查，现需你方对下列问题以书面形式予以澄清、说明或补正：</w:t>
      </w:r>
    </w:p>
    <w:p>
      <w:pPr>
        <w:keepNext w:val="0"/>
        <w:keepLines w:val="0"/>
        <w:pageBreakBefore w:val="0"/>
        <w:kinsoku/>
        <w:topLinePunct w:val="0"/>
        <w:bidi w:val="0"/>
        <w:spacing w:beforeLines="0" w:afterLines="0" w:line="400" w:lineRule="exact"/>
        <w:ind w:left="420"/>
        <w:jc w:val="left"/>
        <w:rPr>
          <w:rFonts w:hint="eastAsia" w:ascii="宋体" w:hAnsi="宋体" w:eastAsia="宋体" w:cs="宋体"/>
          <w:sz w:val="21"/>
          <w:szCs w:val="21"/>
        </w:rPr>
      </w:pPr>
      <w:r>
        <w:rPr>
          <w:rFonts w:hint="eastAsia" w:ascii="宋体" w:hAnsi="宋体" w:eastAsia="宋体" w:cs="宋体"/>
          <w:sz w:val="21"/>
          <w:szCs w:val="21"/>
        </w:rPr>
        <w:t>1.</w:t>
      </w:r>
    </w:p>
    <w:p>
      <w:pPr>
        <w:keepNext w:val="0"/>
        <w:keepLines w:val="0"/>
        <w:pageBreakBefore w:val="0"/>
        <w:kinsoku/>
        <w:topLinePunct w:val="0"/>
        <w:bidi w:val="0"/>
        <w:spacing w:beforeLines="0" w:afterLines="0" w:line="400" w:lineRule="exact"/>
        <w:ind w:left="420"/>
        <w:jc w:val="left"/>
        <w:rPr>
          <w:rFonts w:hint="eastAsia" w:ascii="宋体" w:hAnsi="宋体" w:eastAsia="宋体" w:cs="宋体"/>
          <w:sz w:val="21"/>
          <w:szCs w:val="21"/>
        </w:rPr>
      </w:pPr>
      <w:r>
        <w:rPr>
          <w:rFonts w:hint="eastAsia" w:ascii="宋体" w:hAnsi="宋体" w:eastAsia="宋体" w:cs="宋体"/>
          <w:sz w:val="21"/>
          <w:szCs w:val="21"/>
        </w:rPr>
        <w:t>2.</w:t>
      </w:r>
    </w:p>
    <w:p>
      <w:pPr>
        <w:pStyle w:val="2"/>
        <w:keepNext w:val="0"/>
        <w:keepLines w:val="0"/>
        <w:pageBreakBefore w:val="0"/>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w:t>
      </w: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pStyle w:val="2"/>
        <w:keepNext w:val="0"/>
        <w:keepLines w:val="0"/>
        <w:pageBreakBefore w:val="0"/>
        <w:kinsoku/>
        <w:topLinePunct w:val="0"/>
        <w:bidi w:val="0"/>
        <w:spacing w:line="40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eastAsia="zh-CN"/>
        </w:rPr>
        <w:t>请将上述问题的澄清、说明或补正于</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时前递交至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(详细地址）或传真至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（传真号码）或通过下载招标文件的电子招标交易平台上传。采用传真方式的，应在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时前将原件递交至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(详细地址）。</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tabs>
          <w:tab w:val="left" w:pos="6920"/>
        </w:tabs>
        <w:kinsoku/>
        <w:topLinePunct w:val="0"/>
        <w:bidi w:val="0"/>
        <w:spacing w:beforeLines="0" w:afterLines="0" w:line="400" w:lineRule="exact"/>
        <w:ind w:left="2100"/>
        <w:jc w:val="left"/>
        <w:rPr>
          <w:rFonts w:hint="eastAsia" w:ascii="宋体" w:hAnsi="宋体" w:eastAsia="宋体" w:cs="宋体"/>
          <w:sz w:val="21"/>
          <w:szCs w:val="21"/>
        </w:rPr>
      </w:pPr>
      <w:r>
        <w:rPr>
          <w:rFonts w:hint="eastAsia" w:ascii="宋体" w:hAnsi="宋体" w:eastAsia="宋体" w:cs="宋体"/>
          <w:sz w:val="21"/>
          <w:szCs w:val="21"/>
        </w:rPr>
        <w:t>评标委员会授权的招标人或招标代理机构：</w:t>
      </w:r>
      <w:r>
        <w:rPr>
          <w:rFonts w:hint="eastAsia" w:ascii="宋体" w:hAnsi="宋体" w:eastAsia="宋体" w:cs="宋体"/>
          <w:sz w:val="21"/>
          <w:szCs w:val="21"/>
        </w:rPr>
        <w:tab/>
      </w:r>
      <w:r>
        <w:rPr>
          <w:rFonts w:hint="eastAsia" w:ascii="宋体" w:hAnsi="宋体" w:eastAsia="宋体" w:cs="宋体"/>
          <w:sz w:val="21"/>
          <w:szCs w:val="21"/>
        </w:rPr>
        <w:t>（签字或盖章）</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703296" behindDoc="1" locked="0" layoutInCell="1" allowOverlap="1">
                <wp:simplePos x="0" y="0"/>
                <wp:positionH relativeFrom="column">
                  <wp:posOffset>3870325</wp:posOffset>
                </wp:positionH>
                <wp:positionV relativeFrom="paragraph">
                  <wp:posOffset>6350</wp:posOffset>
                </wp:positionV>
                <wp:extent cx="531495" cy="0"/>
                <wp:effectExtent l="0" t="0" r="0" b="0"/>
                <wp:wrapNone/>
                <wp:docPr id="39" name="直线 38"/>
                <wp:cNvGraphicFramePr/>
                <a:graphic xmlns:a="http://schemas.openxmlformats.org/drawingml/2006/main">
                  <a:graphicData uri="http://schemas.microsoft.com/office/word/2010/wordprocessingShape">
                    <wps:wsp>
                      <wps:cNvCnPr/>
                      <wps:spPr>
                        <a:xfrm>
                          <a:off x="0" y="0"/>
                          <a:ext cx="531495" cy="0"/>
                        </a:xfrm>
                        <a:prstGeom prst="line">
                          <a:avLst/>
                        </a:prstGeom>
                        <a:ln w="9143"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304.75pt;margin-top:0.5pt;height:0pt;width:41.85pt;z-index:-251613184;mso-width-relative:page;mso-height-relative:page;" filled="f" stroked="t" coordsize="21600,21600" o:gfxdata="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hBLV1QAAAAcBAAAPAAAAAAAAAAEAIAAAACIAAABk&#10;cnMvZG93bnJldi54bWxQSwECFAAUAAAACACHTuJA3vmmxtABAACOAwAADgAAAAAAAAABACAAAAAk&#10;AQAAZHJzL2Uyb0RvYy54bWxQSwUGAAAAAAYABgBZAQAAZgUAAAAA&#10;">
                <v:fill on="f" focussize="0,0"/>
                <v:stroke weight="0.71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tabs>
          <w:tab w:val="left" w:pos="6620"/>
          <w:tab w:val="left" w:pos="7580"/>
        </w:tabs>
        <w:kinsoku/>
        <w:topLinePunct w:val="0"/>
        <w:bidi w:val="0"/>
        <w:spacing w:beforeLines="0" w:afterLines="0" w:line="400" w:lineRule="exact"/>
        <w:ind w:left="5700"/>
        <w:jc w:val="left"/>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w:t>
      </w:r>
      <w:bookmarkStart w:id="21" w:name="page35"/>
      <w:bookmarkEnd w:id="21"/>
    </w:p>
    <w:p>
      <w:pPr>
        <w:pStyle w:val="2"/>
        <w:rPr>
          <w:rFonts w:hint="eastAsia" w:ascii="宋体" w:hAnsi="宋体" w:eastAsia="宋体" w:cs="宋体"/>
          <w:sz w:val="21"/>
          <w:szCs w:val="21"/>
        </w:rPr>
      </w:pPr>
    </w:p>
    <w:p>
      <w:pPr>
        <w:pStyle w:val="2"/>
        <w:rPr>
          <w:rFonts w:hint="default"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default"/>
          <w:sz w:val="28"/>
          <w:szCs w:val="28"/>
        </w:rPr>
      </w:pPr>
      <w:r>
        <w:rPr>
          <w:rFonts w:hint="eastAsia" w:ascii="宋体" w:hAnsi="宋体"/>
          <w:sz w:val="28"/>
          <w:szCs w:val="28"/>
        </w:rPr>
        <w:t>附件三：问题的澄清</w:t>
      </w:r>
    </w:p>
    <w:p>
      <w:pPr>
        <w:keepNext w:val="0"/>
        <w:keepLines w:val="0"/>
        <w:pageBreakBefore w:val="0"/>
        <w:kinsoku/>
        <w:topLinePunct w:val="0"/>
        <w:bidi w:val="0"/>
        <w:spacing w:beforeLines="0" w:afterLines="0" w:line="400" w:lineRule="exact"/>
        <w:jc w:val="left"/>
        <w:rPr>
          <w:rFonts w:hint="default"/>
          <w:sz w:val="28"/>
          <w:szCs w:val="28"/>
        </w:rPr>
      </w:pPr>
    </w:p>
    <w:p>
      <w:pPr>
        <w:keepNext w:val="0"/>
        <w:keepLines w:val="0"/>
        <w:pageBreakBefore w:val="0"/>
        <w:kinsoku/>
        <w:topLinePunct w:val="0"/>
        <w:bidi w:val="0"/>
        <w:spacing w:beforeLines="0" w:afterLines="0" w:line="400" w:lineRule="exact"/>
        <w:jc w:val="left"/>
        <w:rPr>
          <w:rFonts w:hint="default"/>
          <w:sz w:val="28"/>
          <w:szCs w:val="28"/>
        </w:rPr>
      </w:pPr>
    </w:p>
    <w:p>
      <w:pPr>
        <w:keepNext w:val="0"/>
        <w:keepLines w:val="0"/>
        <w:pageBreakBefore w:val="0"/>
        <w:kinsoku/>
        <w:topLinePunct w:val="0"/>
        <w:bidi w:val="0"/>
        <w:spacing w:beforeLines="0" w:afterLines="0" w:line="400" w:lineRule="exact"/>
        <w:ind w:left="3620"/>
        <w:jc w:val="left"/>
        <w:rPr>
          <w:rFonts w:hint="default"/>
          <w:sz w:val="28"/>
          <w:szCs w:val="28"/>
        </w:rPr>
      </w:pPr>
      <w:r>
        <w:rPr>
          <w:rFonts w:hint="eastAsia" w:ascii="宋体" w:hAnsi="宋体"/>
          <w:sz w:val="28"/>
          <w:szCs w:val="28"/>
        </w:rPr>
        <w:t>问题的澄清</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820"/>
        </w:tabs>
        <w:kinsoku/>
        <w:topLinePunct w:val="0"/>
        <w:bidi w:val="0"/>
        <w:spacing w:beforeLines="0" w:afterLines="0" w:line="400" w:lineRule="exact"/>
        <w:ind w:left="3460"/>
        <w:jc w:val="left"/>
        <w:rPr>
          <w:rFonts w:hint="default"/>
          <w:sz w:val="24"/>
        </w:rPr>
      </w:pPr>
      <w:r>
        <w:rPr>
          <w:rFonts w:hint="eastAsia" w:ascii="宋体" w:hAnsi="宋体"/>
          <w:sz w:val="21"/>
        </w:rPr>
        <w:t>（编号：</w:t>
      </w:r>
      <w:r>
        <w:rPr>
          <w:rFonts w:hint="default"/>
          <w:sz w:val="24"/>
        </w:rPr>
        <w:tab/>
      </w:r>
      <w:r>
        <w:rPr>
          <w:rFonts w:hint="eastAsia" w:ascii="宋体" w:hAnsi="宋体"/>
          <w:sz w:val="21"/>
        </w:rPr>
        <w:t>）</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07392" behindDoc="1" locked="0" layoutInCell="1" allowOverlap="1">
                <wp:simplePos x="0" y="0"/>
                <wp:positionH relativeFrom="column">
                  <wp:posOffset>2736215</wp:posOffset>
                </wp:positionH>
                <wp:positionV relativeFrom="paragraph">
                  <wp:posOffset>6985</wp:posOffset>
                </wp:positionV>
                <wp:extent cx="976630" cy="0"/>
                <wp:effectExtent l="0" t="0" r="0" b="0"/>
                <wp:wrapNone/>
                <wp:docPr id="43" name="直线 42"/>
                <wp:cNvGraphicFramePr/>
                <a:graphic xmlns:a="http://schemas.openxmlformats.org/drawingml/2006/main">
                  <a:graphicData uri="http://schemas.microsoft.com/office/word/2010/wordprocessingShape">
                    <wps:wsp>
                      <wps:cNvCnPr/>
                      <wps:spPr>
                        <a:xfrm>
                          <a:off x="0" y="0"/>
                          <a:ext cx="9766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215.45pt;margin-top:0.55pt;height:0pt;width:76.9pt;z-index:-251609088;mso-width-relative:page;mso-height-relative:page;" filled="f" stroked="t" coordsize="21600,21600" o:gfxdata="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rLaM1AAAAAcBAAAPAAAAAAAAAAEAIAAAACIAAABkcnMv&#10;ZG93bnJldi54bWxQSwECFAAUAAAACACHTuJASYSuac4BAACOAwAADgAAAAAAAAABACAAAAAjAQAA&#10;ZHJzL2Uyb0RvYy54bWxQSwUGAAAAAAYABgBZAQAAYwUAAAAA&#10;">
                <v:fill on="f" focussize="0,0"/>
                <v:stroke weight="0.7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rPr>
      </w:pPr>
      <w:r>
        <w:rPr>
          <w:rFonts w:hint="eastAsia" w:ascii="宋体" w:hAnsi="宋体"/>
          <w:sz w:val="21"/>
        </w:rPr>
        <w:t>评标委员会：</w:t>
      </w:r>
      <w:r>
        <w:rPr>
          <w:rFonts w:hint="eastAsia" w:ascii="宋体" w:hAnsi="宋体"/>
          <w:sz w:val="21"/>
          <w:lang w:val="en-US" w:eastAsia="zh-CN"/>
        </w:rPr>
        <w:t xml:space="preserve">                      </w:t>
      </w:r>
    </w:p>
    <w:p>
      <w:pPr>
        <w:keepNext w:val="0"/>
        <w:keepLines w:val="0"/>
        <w:pageBreakBefore w:val="0"/>
        <w:tabs>
          <w:tab w:val="left" w:pos="3340"/>
        </w:tabs>
        <w:kinsoku/>
        <w:topLinePunct w:val="0"/>
        <w:bidi w:val="0"/>
        <w:spacing w:beforeLines="0" w:afterLines="0" w:line="400" w:lineRule="exact"/>
        <w:ind w:left="420"/>
        <w:jc w:val="left"/>
        <w:rPr>
          <w:rFonts w:hint="eastAsia" w:ascii="宋体" w:hAnsi="宋体"/>
          <w:sz w:val="21"/>
        </w:rPr>
      </w:pPr>
      <w:r>
        <w:rPr>
          <w:rFonts w:hint="eastAsia" w:ascii="宋体" w:hAnsi="宋体"/>
          <w:sz w:val="21"/>
        </w:rPr>
        <w:t>问题澄清通知（编号：</w:t>
      </w:r>
      <w:r>
        <w:rPr>
          <w:rFonts w:hint="eastAsia" w:ascii="宋体" w:hAnsi="宋体"/>
          <w:sz w:val="21"/>
          <w:u w:val="single"/>
          <w:lang w:val="en-US" w:eastAsia="zh-CN"/>
        </w:rPr>
        <w:t xml:space="preserve">            </w:t>
      </w:r>
      <w:r>
        <w:rPr>
          <w:rFonts w:hint="eastAsia" w:ascii="宋体" w:hAnsi="宋体"/>
          <w:sz w:val="21"/>
        </w:rPr>
        <w:t>）已收悉，现澄清、说明或补正如下：</w:t>
      </w:r>
    </w:p>
    <w:p>
      <w:pPr>
        <w:keepNext w:val="0"/>
        <w:keepLines w:val="0"/>
        <w:pageBreakBefore w:val="0"/>
        <w:kinsoku/>
        <w:topLinePunct w:val="0"/>
        <w:bidi w:val="0"/>
        <w:spacing w:beforeLines="0" w:afterLines="0" w:line="400" w:lineRule="exact"/>
        <w:ind w:left="740"/>
        <w:jc w:val="left"/>
        <w:rPr>
          <w:rFonts w:hint="default"/>
          <w:sz w:val="24"/>
        </w:rPr>
      </w:pPr>
      <w:r>
        <w:rPr>
          <w:rFonts w:hint="default" w:ascii="Times New Roman" w:hAnsi="Times New Roman" w:eastAsia="Times New Roman"/>
          <w:sz w:val="21"/>
        </w:rPr>
        <w:t>1.</w:t>
      </w:r>
    </w:p>
    <w:p>
      <w:pPr>
        <w:keepNext w:val="0"/>
        <w:keepLines w:val="0"/>
        <w:pageBreakBefore w:val="0"/>
        <w:kinsoku/>
        <w:topLinePunct w:val="0"/>
        <w:bidi w:val="0"/>
        <w:spacing w:beforeLines="0" w:afterLines="0" w:line="400" w:lineRule="exact"/>
        <w:ind w:left="740"/>
        <w:jc w:val="left"/>
        <w:rPr>
          <w:rFonts w:hint="default"/>
          <w:sz w:val="24"/>
        </w:rPr>
      </w:pPr>
      <w:r>
        <w:rPr>
          <w:rFonts w:hint="default" w:ascii="Times New Roman" w:hAnsi="Times New Roman" w:eastAsia="Times New Roman"/>
          <w:sz w:val="21"/>
        </w:rPr>
        <w:t>2.</w:t>
      </w:r>
    </w:p>
    <w:p>
      <w:pPr>
        <w:keepNext w:val="0"/>
        <w:keepLines w:val="0"/>
        <w:pageBreakBefore w:val="0"/>
        <w:kinsoku/>
        <w:topLinePunct w:val="0"/>
        <w:bidi w:val="0"/>
        <w:spacing w:beforeLines="0" w:afterLines="0" w:line="400" w:lineRule="exact"/>
        <w:ind w:left="640"/>
        <w:jc w:val="left"/>
        <w:rPr>
          <w:rFonts w:hint="default"/>
          <w:sz w:val="24"/>
        </w:rPr>
      </w:pPr>
      <w:r>
        <w:rPr>
          <w:rFonts w:hint="default" w:ascii="Times New Roman" w:hAnsi="Times New Roman" w:eastAsia="Times New Roman"/>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上述问题澄清、说明或补正，不改变我方投标文件的实质性内容，构成我方投标文件的组</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成部分。</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7260"/>
        </w:tabs>
        <w:kinsoku/>
        <w:topLinePunct w:val="0"/>
        <w:bidi w:val="0"/>
        <w:spacing w:beforeLines="0" w:afterLines="0" w:line="400" w:lineRule="exact"/>
        <w:ind w:left="2940"/>
        <w:jc w:val="left"/>
        <w:rPr>
          <w:rFonts w:hint="default"/>
          <w:sz w:val="24"/>
        </w:rPr>
      </w:pPr>
      <w:r>
        <w:rPr>
          <w:rFonts w:hint="eastAsia" w:ascii="宋体" w:hAnsi="宋体"/>
          <w:sz w:val="21"/>
        </w:rPr>
        <w:t>投标人：</w:t>
      </w:r>
      <w:r>
        <w:rPr>
          <w:rFonts w:hint="default"/>
          <w:sz w:val="24"/>
        </w:rPr>
        <w:tab/>
      </w:r>
      <w:r>
        <w:rPr>
          <w:rFonts w:hint="eastAsia" w:ascii="宋体" w:hAnsi="宋体"/>
          <w:sz w:val="21"/>
        </w:rPr>
        <w:t>（盖单位章）</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09440" behindDoc="1" locked="0" layoutInCell="1" allowOverlap="1">
                <wp:simplePos x="0" y="0"/>
                <wp:positionH relativeFrom="column">
                  <wp:posOffset>2403475</wp:posOffset>
                </wp:positionH>
                <wp:positionV relativeFrom="paragraph">
                  <wp:posOffset>6985</wp:posOffset>
                </wp:positionV>
                <wp:extent cx="2220595" cy="0"/>
                <wp:effectExtent l="0" t="0" r="0" b="0"/>
                <wp:wrapNone/>
                <wp:docPr id="45" name="直线 44"/>
                <wp:cNvGraphicFramePr/>
                <a:graphic xmlns:a="http://schemas.openxmlformats.org/drawingml/2006/main">
                  <a:graphicData uri="http://schemas.microsoft.com/office/word/2010/wordprocessingShape">
                    <wps:wsp>
                      <wps:cNvCnPr/>
                      <wps:spPr>
                        <a:xfrm>
                          <a:off x="0" y="0"/>
                          <a:ext cx="22205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189.25pt;margin-top:0.55pt;height:0pt;width:174.85pt;z-index:-251607040;mso-width-relative:page;mso-height-relative:page;" filled="f" stroked="t" coordsize="21600,21600" o:gfxdata="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JXXr0wAAAAcBAAAPAAAAAAAAAAEAIAAAACIAAABkcnMv&#10;ZG93bnJldi54bWxQSwECFAAUAAAACACHTuJA2BifjM8BAACPAwAADgAAAAAAAAABACAAAAAiAQAA&#10;ZHJzL2Uyb0RvYy54bWxQSwUGAAAAAAYABgBZAQAAYwUAAAAA&#10;">
                <v:fill on="f" focussize="0,0"/>
                <v:stroke weight="0.72pt" color="#000000" joinstyle="round"/>
                <v:imagedata o:title=""/>
                <o:lock v:ext="edit" aspectratio="f"/>
              </v:line>
            </w:pict>
          </mc:Fallback>
        </mc:AlternateContent>
      </w:r>
    </w:p>
    <w:p>
      <w:pPr>
        <w:keepNext w:val="0"/>
        <w:keepLines w:val="0"/>
        <w:pageBreakBefore w:val="0"/>
        <w:tabs>
          <w:tab w:val="left" w:pos="7780"/>
        </w:tabs>
        <w:kinsoku/>
        <w:overflowPunct w:val="0"/>
        <w:topLinePunct w:val="0"/>
        <w:bidi w:val="0"/>
        <w:spacing w:beforeLines="0" w:afterLines="0" w:line="400" w:lineRule="exact"/>
        <w:ind w:left="2940"/>
        <w:jc w:val="left"/>
        <w:rPr>
          <w:rFonts w:hint="default"/>
          <w:sz w:val="24"/>
        </w:rPr>
      </w:pPr>
      <w:r>
        <w:rPr>
          <w:rFonts w:hint="eastAsia" w:ascii="宋体" w:hAnsi="宋体"/>
          <w:sz w:val="21"/>
        </w:rPr>
        <w:t>法定代表人（单位负责人）或其委托代理人：</w:t>
      </w:r>
      <w:r>
        <w:rPr>
          <w:rFonts w:hint="default"/>
          <w:sz w:val="24"/>
        </w:rPr>
        <w:tab/>
      </w:r>
      <w:r>
        <w:rPr>
          <w:rFonts w:hint="eastAsia" w:ascii="宋体" w:hAnsi="宋体"/>
          <w:sz w:val="21"/>
        </w:rPr>
        <w:t>（签字）</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10464" behindDoc="1" locked="0" layoutInCell="1" allowOverlap="1">
                <wp:simplePos x="0" y="0"/>
                <wp:positionH relativeFrom="column">
                  <wp:posOffset>4450715</wp:posOffset>
                </wp:positionH>
                <wp:positionV relativeFrom="paragraph">
                  <wp:posOffset>635</wp:posOffset>
                </wp:positionV>
                <wp:extent cx="533400" cy="0"/>
                <wp:effectExtent l="0" t="0" r="0" b="0"/>
                <wp:wrapNone/>
                <wp:docPr id="46" name="直线 45"/>
                <wp:cNvGraphicFramePr/>
                <a:graphic xmlns:a="http://schemas.openxmlformats.org/drawingml/2006/main">
                  <a:graphicData uri="http://schemas.microsoft.com/office/word/2010/wordprocessingShape">
                    <wps:wsp>
                      <wps:cNvCnPr/>
                      <wps:spPr>
                        <a:xfrm>
                          <a:off x="0" y="0"/>
                          <a:ext cx="5334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350.45pt;margin-top:0.05pt;height:0pt;width:42pt;z-index:-251606016;mso-width-relative:page;mso-height-relative:page;" filled="f" stroked="t" coordsize="21600,21600" o:gfxdata="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AbSJzwAAAAUBAAAPAAAAAAAAAAEAIAAAACIAAABkcnMvZG93&#10;bnJldi54bWxQSwECFAAUAAAACACHTuJA9WORhdABAACOAwAADgAAAAAAAAABACAAAAAeAQAAZHJz&#10;L2Uyb0RvYy54bWxQSwUGAAAAAAYABgBZAQAAYAUAAAAA&#10;">
                <v:fill on="f" focussize="0,0"/>
                <v:stroke weight="0.47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7360"/>
          <w:tab w:val="left" w:pos="8420"/>
        </w:tabs>
        <w:kinsoku/>
        <w:topLinePunct w:val="0"/>
        <w:bidi w:val="0"/>
        <w:spacing w:beforeLines="0" w:afterLines="0" w:line="400" w:lineRule="exact"/>
        <w:ind w:left="6340"/>
        <w:jc w:val="left"/>
        <w:rPr>
          <w:rFonts w:hint="eastAsia" w:ascii="宋体" w:hAnsi="宋体"/>
          <w:sz w:val="21"/>
          <w:szCs w:val="21"/>
        </w:rPr>
      </w:pPr>
      <w:r>
        <w:rPr>
          <w:rFonts w:hint="eastAsia" w:ascii="宋体" w:hAnsi="宋体"/>
          <w:sz w:val="21"/>
          <w:szCs w:val="21"/>
        </w:rPr>
        <w:t>年</w:t>
      </w:r>
      <w:r>
        <w:rPr>
          <w:rFonts w:hint="default"/>
          <w:sz w:val="21"/>
          <w:szCs w:val="21"/>
        </w:rPr>
        <w:tab/>
      </w:r>
      <w:r>
        <w:rPr>
          <w:rFonts w:hint="eastAsia" w:ascii="宋体" w:hAnsi="宋体"/>
          <w:sz w:val="21"/>
          <w:szCs w:val="21"/>
        </w:rPr>
        <w:t>月</w:t>
      </w:r>
      <w:r>
        <w:rPr>
          <w:rFonts w:hint="default"/>
          <w:sz w:val="21"/>
          <w:szCs w:val="21"/>
        </w:rPr>
        <w:tab/>
      </w:r>
      <w:r>
        <w:rPr>
          <w:rFonts w:hint="eastAsia" w:ascii="宋体" w:hAnsi="宋体"/>
          <w:sz w:val="21"/>
          <w:szCs w:val="21"/>
        </w:rPr>
        <w:t>日</w:t>
      </w:r>
    </w:p>
    <w:p>
      <w:pPr>
        <w:pStyle w:val="2"/>
        <w:ind w:left="0" w:leftChars="0" w:firstLine="0" w:firstLineChars="0"/>
        <w:rPr>
          <w:rFonts w:hint="eastAsia" w:ascii="宋体" w:hAnsi="宋体"/>
          <w:sz w:val="21"/>
          <w:szCs w:val="21"/>
        </w:rPr>
      </w:pPr>
    </w:p>
    <w:p>
      <w:pPr>
        <w:pStyle w:val="2"/>
        <w:ind w:left="0" w:leftChars="0" w:firstLine="0" w:firstLineChars="0"/>
        <w:rPr>
          <w:rFonts w:hint="eastAsia" w:ascii="宋体" w:hAnsi="宋体"/>
          <w:sz w:val="21"/>
          <w:szCs w:val="21"/>
        </w:rPr>
      </w:pPr>
    </w:p>
    <w:p>
      <w:pPr>
        <w:pStyle w:val="2"/>
        <w:ind w:left="0" w:leftChars="0" w:firstLine="0" w:firstLineChars="0"/>
        <w:rPr>
          <w:rFonts w:hint="eastAsia" w:ascii="宋体" w:hAnsi="宋体"/>
          <w:sz w:val="21"/>
          <w:szCs w:val="21"/>
        </w:rPr>
      </w:pPr>
    </w:p>
    <w:p>
      <w:pPr>
        <w:pStyle w:val="2"/>
        <w:ind w:left="0" w:leftChars="0" w:firstLine="0" w:firstLineChars="0"/>
        <w:rPr>
          <w:rFonts w:hint="eastAsia" w:ascii="宋体" w:hAnsi="宋体"/>
          <w:sz w:val="21"/>
          <w:szCs w:val="21"/>
        </w:rPr>
      </w:pPr>
    </w:p>
    <w:p>
      <w:pPr>
        <w:keepNext w:val="0"/>
        <w:keepLines w:val="0"/>
        <w:pageBreakBefore w:val="0"/>
        <w:kinsoku/>
        <w:topLinePunct w:val="0"/>
        <w:bidi w:val="0"/>
        <w:spacing w:beforeLines="0" w:afterLines="0" w:line="240" w:lineRule="auto"/>
        <w:jc w:val="left"/>
        <w:rPr>
          <w:rFonts w:hint="default"/>
          <w:sz w:val="24"/>
        </w:rPr>
      </w:pPr>
      <w:bookmarkStart w:id="22" w:name="page36"/>
      <w:bookmarkEnd w:id="22"/>
    </w:p>
    <w:p>
      <w:pPr>
        <w:keepNext w:val="0"/>
        <w:keepLines w:val="0"/>
        <w:pageBreakBefore w:val="0"/>
        <w:kinsoku/>
        <w:topLinePunct w:val="0"/>
        <w:bidi w:val="0"/>
        <w:spacing w:beforeLines="0" w:afterLines="0" w:line="240" w:lineRule="auto"/>
        <w:ind w:left="1220" w:firstLine="883" w:firstLineChars="200"/>
        <w:jc w:val="left"/>
        <w:rPr>
          <w:rFonts w:hint="default"/>
          <w:sz w:val="24"/>
        </w:rPr>
      </w:pPr>
      <w:r>
        <w:rPr>
          <w:rFonts w:hint="eastAsia" w:ascii="宋体" w:hAnsi="宋体"/>
          <w:b/>
          <w:sz w:val="44"/>
        </w:rPr>
        <w:t>第三章评标办法（综合评</w:t>
      </w:r>
      <w:r>
        <w:rPr>
          <w:rFonts w:hint="eastAsia" w:ascii="宋体" w:hAnsi="宋体"/>
          <w:b/>
          <w:sz w:val="44"/>
          <w:lang w:eastAsia="zh-CN"/>
        </w:rPr>
        <w:t>分</w:t>
      </w:r>
      <w:r>
        <w:rPr>
          <w:rFonts w:hint="eastAsia" w:ascii="宋体" w:hAnsi="宋体"/>
          <w:b/>
          <w:sz w:val="44"/>
        </w:rPr>
        <w:t>法）</w:t>
      </w:r>
    </w:p>
    <w:p>
      <w:pPr>
        <w:keepNext w:val="0"/>
        <w:keepLines w:val="0"/>
        <w:pageBreakBefore w:val="0"/>
        <w:kinsoku/>
        <w:topLinePunct w:val="0"/>
        <w:bidi w:val="0"/>
        <w:spacing w:beforeLines="0" w:afterLines="0" w:line="400" w:lineRule="exact"/>
        <w:jc w:val="left"/>
        <w:rPr>
          <w:rFonts w:hint="eastAsia"/>
        </w:rPr>
      </w:pPr>
      <w:r>
        <w:rPr>
          <w:rFonts w:hint="eastAsia" w:ascii="宋体" w:hAnsi="宋体"/>
          <w:b/>
          <w:sz w:val="32"/>
        </w:rPr>
        <w:t>评标办法前附表</w:t>
      </w:r>
    </w:p>
    <w:tbl>
      <w:tblPr>
        <w:tblStyle w:val="20"/>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39"/>
        <w:gridCol w:w="196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r>
              <w:rPr>
                <w:rFonts w:hint="eastAsia" w:ascii="宋体" w:hAnsi="宋体"/>
                <w:b/>
                <w:sz w:val="21"/>
              </w:rPr>
              <w:t>条款号</w:t>
            </w:r>
          </w:p>
        </w:tc>
        <w:tc>
          <w:tcPr>
            <w:tcW w:w="1966" w:type="dxa"/>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r>
              <w:rPr>
                <w:rFonts w:hint="eastAsia" w:ascii="宋体" w:hAnsi="宋体"/>
                <w:b/>
                <w:w w:val="99"/>
                <w:sz w:val="21"/>
              </w:rPr>
              <w:t>评审因素</w:t>
            </w:r>
          </w:p>
        </w:tc>
        <w:tc>
          <w:tcPr>
            <w:tcW w:w="4574" w:type="dxa"/>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r>
              <w:rPr>
                <w:rFonts w:hint="eastAsia" w:ascii="宋体" w:hAnsi="宋体"/>
                <w:b/>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r>
              <w:rPr>
                <w:rFonts w:hint="default" w:ascii="宋体" w:hAnsi="宋体"/>
                <w:sz w:val="21"/>
                <w:szCs w:val="22"/>
              </w:rPr>
              <w:t>1</w:t>
            </w:r>
          </w:p>
        </w:tc>
        <w:tc>
          <w:tcPr>
            <w:tcW w:w="1439"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评标方法</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中标候选人排序方法</w:t>
            </w:r>
          </w:p>
        </w:tc>
        <w:tc>
          <w:tcPr>
            <w:tcW w:w="4574" w:type="dxa"/>
          </w:tcPr>
          <w:p>
            <w:pPr>
              <w:pStyle w:val="2"/>
              <w:keepNext w:val="0"/>
              <w:keepLines w:val="0"/>
              <w:pageBreakBefore w:val="0"/>
              <w:widowControl w:val="0"/>
              <w:kinsoku/>
              <w:topLinePunct w:val="0"/>
              <w:bidi w:val="0"/>
              <w:spacing w:line="400" w:lineRule="exact"/>
              <w:rPr>
                <w:rFonts w:hint="default" w:ascii="宋体" w:hAnsi="宋体"/>
                <w:sz w:val="21"/>
                <w:szCs w:val="22"/>
              </w:rPr>
            </w:pPr>
            <w:r>
              <w:rPr>
                <w:rFonts w:hint="default" w:ascii="宋体" w:hAnsi="宋体"/>
                <w:sz w:val="21"/>
                <w:szCs w:val="2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2.1.1</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形式评审标准</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投标人名称</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投标函签字盖章</w:t>
            </w:r>
          </w:p>
        </w:tc>
        <w:tc>
          <w:tcPr>
            <w:tcW w:w="4574" w:type="dxa"/>
            <w:vAlign w:val="bottom"/>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有法定代表人（单位负责人）或其委托代理人签字或加盖单位章。由法定代表人（单位负责人）签字的，应附法定代表人（单位负责人）身份证明，由代理人签字的，应附授权委托书，身份证明或授权委托书应符合第六章</w:t>
            </w:r>
            <w:r>
              <w:rPr>
                <w:rFonts w:hint="default" w:ascii="宋体" w:hAnsi="宋体"/>
                <w:sz w:val="21"/>
                <w:szCs w:val="22"/>
              </w:rPr>
              <w:t>“</w:t>
            </w:r>
            <w:r>
              <w:rPr>
                <w:rFonts w:hint="eastAsia" w:ascii="宋体" w:hAnsi="宋体"/>
                <w:sz w:val="21"/>
                <w:szCs w:val="22"/>
              </w:rPr>
              <w:t>投标文件格式</w:t>
            </w:r>
            <w:r>
              <w:rPr>
                <w:rFonts w:hint="default" w:ascii="宋体" w:hAnsi="宋体"/>
                <w:sz w:val="21"/>
                <w:szCs w:val="22"/>
              </w:rPr>
              <w:t>”</w:t>
            </w:r>
            <w:r>
              <w:rPr>
                <w:rFonts w:hint="eastAsia" w:ascii="宋体" w:hAnsi="宋体"/>
                <w:sz w:val="21"/>
                <w:szCs w:val="22"/>
              </w:rPr>
              <w:t>的</w:t>
            </w:r>
            <w:r>
              <w:rPr>
                <w:rFonts w:hint="eastAsia" w:ascii="宋体" w:hAnsi="宋体"/>
                <w:sz w:val="21"/>
                <w:szCs w:val="22"/>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投标文件格式</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符合第六章</w:t>
            </w:r>
            <w:r>
              <w:rPr>
                <w:rFonts w:hint="default" w:ascii="宋体" w:hAnsi="宋体"/>
                <w:sz w:val="21"/>
                <w:szCs w:val="22"/>
              </w:rPr>
              <w:t>“</w:t>
            </w:r>
            <w:r>
              <w:rPr>
                <w:rFonts w:hint="eastAsia" w:ascii="宋体" w:hAnsi="宋体"/>
                <w:sz w:val="21"/>
                <w:szCs w:val="22"/>
              </w:rPr>
              <w:t>投标文件格式</w:t>
            </w:r>
            <w:r>
              <w:rPr>
                <w:rFonts w:hint="default" w:ascii="宋体" w:hAnsi="宋体"/>
                <w:sz w:val="21"/>
                <w:szCs w:val="22"/>
              </w:rPr>
              <w:t>”</w:t>
            </w:r>
            <w:r>
              <w:rPr>
                <w:rFonts w:hint="eastAsia" w:ascii="宋体" w:hAnsi="宋体"/>
                <w:sz w:val="21"/>
                <w:szCs w:val="22"/>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备选投标方案</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2.1.2</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资格评审标准</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营业执照和组织机构代码证</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3.5.1</w:t>
            </w:r>
            <w:r>
              <w:rPr>
                <w:rFonts w:hint="eastAsia" w:ascii="宋体" w:hAnsi="宋体"/>
                <w:sz w:val="21"/>
                <w:szCs w:val="22"/>
              </w:rPr>
              <w:t xml:space="preserve"> 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资质要求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财务要求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业绩要求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信誉要求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其他要求</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不存在禁止投标的情形</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不存在第二章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1.4.3</w:t>
            </w:r>
            <w:r>
              <w:rPr>
                <w:rFonts w:hint="eastAsia" w:ascii="宋体" w:hAnsi="宋体"/>
                <w:sz w:val="21"/>
                <w:szCs w:val="22"/>
              </w:rPr>
              <w:t xml:space="preserve">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966"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投标设备制造商的资质要求（如有）</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rPr>
            </w:pPr>
          </w:p>
        </w:tc>
        <w:tc>
          <w:tcPr>
            <w:tcW w:w="1966"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投标设备的业绩要求（如有）</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rPr>
            </w:pPr>
            <w:r>
              <w:rPr>
                <w:rFonts w:hint="eastAsia" w:ascii="宋体" w:hAnsi="宋体"/>
                <w:sz w:val="21"/>
                <w:szCs w:val="22"/>
              </w:rPr>
              <w:t>符合第二章</w:t>
            </w:r>
            <w:r>
              <w:rPr>
                <w:rFonts w:hint="default" w:ascii="宋体" w:hAnsi="宋体"/>
                <w:sz w:val="21"/>
                <w:szCs w:val="22"/>
              </w:rPr>
              <w:t>“</w:t>
            </w:r>
            <w:r>
              <w:rPr>
                <w:rFonts w:hint="eastAsia" w:ascii="宋体" w:hAnsi="宋体"/>
                <w:sz w:val="21"/>
                <w:szCs w:val="22"/>
              </w:rPr>
              <w:t>投标人须知</w:t>
            </w:r>
            <w:r>
              <w:rPr>
                <w:rFonts w:hint="default" w:ascii="宋体" w:hAnsi="宋体"/>
                <w:sz w:val="21"/>
                <w:szCs w:val="22"/>
              </w:rPr>
              <w:t>”</w:t>
            </w:r>
            <w:r>
              <w:rPr>
                <w:rFonts w:hint="eastAsia" w:ascii="宋体" w:hAnsi="宋体"/>
                <w:sz w:val="21"/>
                <w:szCs w:val="22"/>
              </w:rPr>
              <w:t xml:space="preserve">第 </w:t>
            </w:r>
            <w:r>
              <w:rPr>
                <w:rFonts w:hint="default" w:ascii="宋体" w:hAnsi="宋体"/>
                <w:sz w:val="21"/>
                <w:szCs w:val="22"/>
              </w:rPr>
              <w:t>1.4.1</w:t>
            </w:r>
            <w:r>
              <w:rPr>
                <w:rFonts w:hint="eastAsia" w:ascii="宋体" w:hAnsi="宋体"/>
                <w:sz w:val="21"/>
                <w:szCs w:val="22"/>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b/>
                <w:sz w:val="32"/>
                <w:vertAlign w:val="baseline"/>
              </w:rPr>
            </w:pPr>
            <w:r>
              <w:rPr>
                <w:rFonts w:hint="default" w:ascii="Times New Roman" w:hAnsi="Times New Roman" w:eastAsia="Times New Roman"/>
                <w:sz w:val="21"/>
              </w:rPr>
              <w:t>2.1.3</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响应性评审标准</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投标报价</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3.2</w:t>
            </w:r>
            <w:r>
              <w:rPr>
                <w:rFonts w:hint="eastAsia" w:ascii="宋体" w:hAnsi="宋体"/>
                <w:sz w:val="21"/>
                <w:szCs w:val="22"/>
                <w:lang w:val="en-US" w:eastAsia="zh-CN"/>
              </w:rPr>
              <w:t xml:space="preserve">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投标内容</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1.3.1</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交货期</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1.3.2</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交货地点</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1.3.3</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技术性能指标</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1.3.4</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投标有效期</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3.3.1</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投标保证金</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3.4.1</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权利义务</w:t>
            </w:r>
          </w:p>
        </w:tc>
        <w:tc>
          <w:tcPr>
            <w:tcW w:w="4574" w:type="dxa"/>
            <w:vAlign w:val="top"/>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1.11.1</w:t>
            </w:r>
            <w:r>
              <w:rPr>
                <w:rFonts w:hint="eastAsia" w:ascii="宋体" w:hAnsi="宋体"/>
                <w:sz w:val="21"/>
                <w:szCs w:val="22"/>
                <w:lang w:val="en-US" w:eastAsia="zh-CN"/>
              </w:rPr>
              <w:t xml:space="preserve"> 项规定和第四章</w:t>
            </w:r>
            <w:r>
              <w:rPr>
                <w:rFonts w:hint="default" w:ascii="宋体" w:hAnsi="宋体"/>
                <w:sz w:val="21"/>
                <w:szCs w:val="22"/>
                <w:lang w:val="en-US" w:eastAsia="zh-CN"/>
              </w:rPr>
              <w:t>“</w:t>
            </w:r>
            <w:r>
              <w:rPr>
                <w:rFonts w:hint="eastAsia" w:ascii="宋体" w:hAnsi="宋体"/>
                <w:sz w:val="21"/>
                <w:szCs w:val="22"/>
                <w:lang w:val="en-US" w:eastAsia="zh-CN"/>
              </w:rPr>
              <w:t>合同条款及格式</w:t>
            </w:r>
            <w:r>
              <w:rPr>
                <w:rFonts w:hint="default" w:ascii="宋体" w:hAnsi="宋体"/>
                <w:sz w:val="21"/>
                <w:szCs w:val="22"/>
                <w:lang w:val="en-US" w:eastAsia="zh-CN"/>
              </w:rPr>
              <w:t>”</w:t>
            </w:r>
            <w:r>
              <w:rPr>
                <w:rFonts w:hint="eastAsia" w:ascii="宋体" w:hAnsi="宋体"/>
                <w:sz w:val="21"/>
                <w:szCs w:val="22"/>
                <w:lang w:val="en-US" w:eastAsia="zh-CN"/>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lang w:val="en-US" w:eastAsia="zh-CN"/>
              </w:rPr>
            </w:pPr>
            <w:r>
              <w:rPr>
                <w:rFonts w:hint="eastAsia" w:ascii="宋体" w:hAnsi="宋体"/>
                <w:sz w:val="21"/>
                <w:szCs w:val="22"/>
                <w:lang w:val="en-US" w:eastAsia="zh-CN"/>
              </w:rPr>
              <w:t>投标设备及技术服务和质保期服务</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default" w:ascii="宋体" w:hAnsi="宋体"/>
                <w:sz w:val="21"/>
                <w:szCs w:val="22"/>
                <w:lang w:val="en-US" w:eastAsia="zh-CN"/>
              </w:rPr>
            </w:pPr>
            <w:r>
              <w:rPr>
                <w:rFonts w:hint="eastAsia" w:ascii="宋体" w:hAnsi="宋体"/>
                <w:sz w:val="21"/>
                <w:szCs w:val="22"/>
                <w:lang w:val="en-US" w:eastAsia="zh-CN"/>
              </w:rPr>
              <w:t>符合第五章</w:t>
            </w:r>
            <w:r>
              <w:rPr>
                <w:rFonts w:hint="default" w:ascii="宋体" w:hAnsi="宋体"/>
                <w:sz w:val="21"/>
                <w:szCs w:val="22"/>
                <w:lang w:val="en-US" w:eastAsia="zh-CN"/>
              </w:rPr>
              <w:t>“</w:t>
            </w:r>
            <w:r>
              <w:rPr>
                <w:rFonts w:hint="eastAsia" w:ascii="宋体" w:hAnsi="宋体"/>
                <w:sz w:val="21"/>
                <w:szCs w:val="22"/>
                <w:lang w:val="en-US" w:eastAsia="zh-CN"/>
              </w:rPr>
              <w:t>供货要求</w:t>
            </w:r>
            <w:r>
              <w:rPr>
                <w:rFonts w:hint="default" w:ascii="宋体" w:hAnsi="宋体"/>
                <w:sz w:val="21"/>
                <w:szCs w:val="22"/>
                <w:lang w:val="en-US" w:eastAsia="zh-CN"/>
              </w:rPr>
              <w:t>”</w:t>
            </w:r>
            <w:r>
              <w:rPr>
                <w:rFonts w:hint="eastAsia" w:ascii="宋体" w:hAnsi="宋体"/>
                <w:sz w:val="21"/>
                <w:szCs w:val="22"/>
                <w:lang w:val="en-US" w:eastAsia="zh-CN"/>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sz w:val="21"/>
                <w:szCs w:val="22"/>
                <w:lang w:val="en-US" w:eastAsia="zh-CN"/>
              </w:rPr>
            </w:pPr>
          </w:p>
        </w:tc>
        <w:tc>
          <w:tcPr>
            <w:tcW w:w="1966"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技术支持资料</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符合第二章</w:t>
            </w:r>
            <w:r>
              <w:rPr>
                <w:rFonts w:hint="default" w:ascii="宋体" w:hAnsi="宋体"/>
                <w:sz w:val="21"/>
                <w:szCs w:val="22"/>
                <w:lang w:val="en-US" w:eastAsia="zh-CN"/>
              </w:rPr>
              <w:t>“</w:t>
            </w:r>
            <w:r>
              <w:rPr>
                <w:rFonts w:hint="eastAsia" w:ascii="宋体" w:hAnsi="宋体"/>
                <w:sz w:val="21"/>
                <w:szCs w:val="22"/>
                <w:lang w:val="en-US" w:eastAsia="zh-CN"/>
              </w:rPr>
              <w:t>投标人须知</w:t>
            </w:r>
            <w:r>
              <w:rPr>
                <w:rFonts w:hint="default" w:ascii="宋体" w:hAnsi="宋体"/>
                <w:sz w:val="21"/>
                <w:szCs w:val="22"/>
                <w:lang w:val="en-US" w:eastAsia="zh-CN"/>
              </w:rPr>
              <w:t>”</w:t>
            </w:r>
            <w:r>
              <w:rPr>
                <w:rFonts w:hint="eastAsia" w:ascii="宋体" w:hAnsi="宋体"/>
                <w:sz w:val="21"/>
                <w:szCs w:val="22"/>
                <w:lang w:val="en-US" w:eastAsia="zh-CN"/>
              </w:rPr>
              <w:t xml:space="preserve">第 </w:t>
            </w:r>
            <w:r>
              <w:rPr>
                <w:rFonts w:hint="default" w:ascii="宋体" w:hAnsi="宋体"/>
                <w:sz w:val="21"/>
                <w:szCs w:val="22"/>
                <w:lang w:val="en-US" w:eastAsia="zh-CN"/>
              </w:rPr>
              <w:t>1.11.3</w:t>
            </w:r>
            <w:r>
              <w:rPr>
                <w:rFonts w:hint="eastAsia" w:ascii="宋体" w:hAnsi="宋体"/>
                <w:sz w:val="21"/>
                <w:szCs w:val="22"/>
                <w:lang w:val="en-US" w:eastAsia="zh-CN"/>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top"/>
          </w:tcPr>
          <w:p>
            <w:pPr>
              <w:pStyle w:val="2"/>
              <w:keepNext w:val="0"/>
              <w:keepLines w:val="0"/>
              <w:pageBreakBefore w:val="0"/>
              <w:widowControl w:val="0"/>
              <w:kinsoku/>
              <w:topLinePunct w:val="0"/>
              <w:bidi w:val="0"/>
              <w:spacing w:line="400" w:lineRule="exact"/>
              <w:rPr>
                <w:rFonts w:hint="default" w:ascii="宋体" w:hAnsi="宋体"/>
                <w:b/>
                <w:bCs/>
                <w:sz w:val="21"/>
                <w:szCs w:val="22"/>
                <w:lang w:val="en-US" w:eastAsia="zh-CN"/>
              </w:rPr>
            </w:pPr>
            <w:r>
              <w:rPr>
                <w:rFonts w:hint="eastAsia" w:ascii="宋体" w:hAnsi="宋体"/>
                <w:b/>
                <w:bCs/>
                <w:sz w:val="21"/>
                <w:szCs w:val="22"/>
                <w:lang w:val="en-US" w:eastAsia="zh-CN"/>
              </w:rPr>
              <w:t>条款号</w:t>
            </w:r>
          </w:p>
        </w:tc>
        <w:tc>
          <w:tcPr>
            <w:tcW w:w="1966" w:type="dxa"/>
            <w:vAlign w:val="top"/>
          </w:tcPr>
          <w:p>
            <w:pPr>
              <w:pStyle w:val="2"/>
              <w:keepNext w:val="0"/>
              <w:keepLines w:val="0"/>
              <w:pageBreakBefore w:val="0"/>
              <w:widowControl w:val="0"/>
              <w:kinsoku/>
              <w:topLinePunct w:val="0"/>
              <w:bidi w:val="0"/>
              <w:spacing w:line="400" w:lineRule="exact"/>
              <w:rPr>
                <w:rFonts w:hint="eastAsia" w:ascii="宋体" w:hAnsi="宋体"/>
                <w:b/>
                <w:bCs/>
                <w:sz w:val="21"/>
                <w:szCs w:val="22"/>
                <w:lang w:val="en-US" w:eastAsia="zh-CN"/>
              </w:rPr>
            </w:pPr>
            <w:r>
              <w:rPr>
                <w:rFonts w:hint="eastAsia" w:ascii="宋体" w:hAnsi="宋体"/>
                <w:b/>
                <w:bCs/>
                <w:sz w:val="21"/>
                <w:szCs w:val="22"/>
                <w:lang w:val="en-US" w:eastAsia="zh-CN"/>
              </w:rPr>
              <w:t>条款内容</w:t>
            </w:r>
          </w:p>
        </w:tc>
        <w:tc>
          <w:tcPr>
            <w:tcW w:w="4574" w:type="dxa"/>
            <w:vAlign w:val="top"/>
          </w:tcPr>
          <w:p>
            <w:pPr>
              <w:pStyle w:val="2"/>
              <w:keepNext w:val="0"/>
              <w:keepLines w:val="0"/>
              <w:pageBreakBefore w:val="0"/>
              <w:widowControl w:val="0"/>
              <w:kinsoku/>
              <w:topLinePunct w:val="0"/>
              <w:bidi w:val="0"/>
              <w:spacing w:line="400" w:lineRule="exact"/>
              <w:rPr>
                <w:rFonts w:hint="eastAsia" w:ascii="宋体" w:hAnsi="宋体"/>
                <w:b/>
                <w:bCs/>
                <w:sz w:val="21"/>
                <w:szCs w:val="22"/>
                <w:lang w:val="en-US" w:eastAsia="zh-CN"/>
              </w:rPr>
            </w:pPr>
            <w:r>
              <w:rPr>
                <w:rFonts w:hint="eastAsia" w:ascii="宋体" w:hAnsi="宋体"/>
                <w:b/>
                <w:bCs/>
                <w:sz w:val="21"/>
                <w:szCs w:val="22"/>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lang w:val="en-US" w:eastAsia="zh-CN"/>
              </w:rPr>
            </w:pPr>
            <w:r>
              <w:rPr>
                <w:rFonts w:hint="default" w:ascii="宋体" w:hAnsi="宋体"/>
                <w:sz w:val="21"/>
                <w:szCs w:val="22"/>
                <w:lang w:val="en-US" w:eastAsia="zh-CN"/>
              </w:rPr>
              <w:t>2.2.1</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2"/>
                <w:lang w:val="en-US" w:eastAsia="zh-CN"/>
              </w:rPr>
            </w:pPr>
            <w:r>
              <w:rPr>
                <w:rFonts w:hint="eastAsia" w:ascii="宋体" w:hAnsi="宋体"/>
                <w:sz w:val="21"/>
                <w:szCs w:val="22"/>
                <w:lang w:val="en-US" w:eastAsia="zh-CN"/>
              </w:rPr>
              <w:t>分值构成</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2"/>
                <w:lang w:val="en-US" w:eastAsia="zh-CN"/>
              </w:rPr>
            </w:pPr>
            <w:r>
              <w:rPr>
                <w:rFonts w:hint="default" w:ascii="宋体" w:hAnsi="宋体"/>
                <w:sz w:val="21"/>
                <w:szCs w:val="22"/>
                <w:lang w:val="en-US" w:eastAsia="zh-CN"/>
              </w:rPr>
              <w:t>(</w:t>
            </w:r>
            <w:r>
              <w:rPr>
                <w:rFonts w:hint="eastAsia" w:ascii="宋体" w:hAnsi="宋体"/>
                <w:sz w:val="21"/>
                <w:szCs w:val="22"/>
                <w:lang w:val="en-US" w:eastAsia="zh-CN"/>
              </w:rPr>
              <w:t>总分</w:t>
            </w:r>
            <w:r>
              <w:rPr>
                <w:rFonts w:hint="default" w:ascii="宋体" w:hAnsi="宋体"/>
                <w:sz w:val="21"/>
                <w:szCs w:val="22"/>
                <w:lang w:val="en-US" w:eastAsia="zh-CN"/>
              </w:rPr>
              <w:t xml:space="preserve">100 </w:t>
            </w:r>
            <w:r>
              <w:rPr>
                <w:rFonts w:hint="eastAsia" w:ascii="宋体" w:hAnsi="宋体"/>
                <w:sz w:val="21"/>
                <w:szCs w:val="22"/>
                <w:lang w:val="en-US" w:eastAsia="zh-CN"/>
              </w:rPr>
              <w:t>分</w:t>
            </w:r>
            <w:r>
              <w:rPr>
                <w:rFonts w:hint="default" w:ascii="宋体" w:hAnsi="宋体"/>
                <w:sz w:val="21"/>
                <w:szCs w:val="22"/>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 xml:space="preserve">商务部分： </w:t>
            </w:r>
            <w:r>
              <w:rPr>
                <w:rFonts w:hint="eastAsia" w:ascii="宋体" w:hAnsi="宋体"/>
                <w:sz w:val="21"/>
                <w:szCs w:val="22"/>
                <w:u w:val="single"/>
                <w:lang w:val="en-US" w:eastAsia="zh-CN"/>
              </w:rPr>
              <w:t xml:space="preserve"> 26 </w:t>
            </w:r>
            <w:r>
              <w:rPr>
                <w:rFonts w:hint="eastAsia" w:ascii="宋体" w:hAnsi="宋体"/>
                <w:sz w:val="21"/>
                <w:szCs w:val="22"/>
                <w:lang w:val="en-US" w:eastAsia="zh-CN"/>
              </w:rPr>
              <w:t xml:space="preserve">  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技术部分：</w:t>
            </w:r>
            <w:r>
              <w:rPr>
                <w:rFonts w:hint="eastAsia" w:ascii="宋体" w:hAnsi="宋体"/>
                <w:sz w:val="21"/>
                <w:szCs w:val="22"/>
                <w:u w:val="single"/>
                <w:lang w:val="en-US" w:eastAsia="zh-CN"/>
              </w:rPr>
              <w:t xml:space="preserve"> 39  </w:t>
            </w:r>
            <w:r>
              <w:rPr>
                <w:rFonts w:hint="eastAsia" w:ascii="宋体" w:hAnsi="宋体"/>
                <w:sz w:val="21"/>
                <w:szCs w:val="22"/>
                <w:lang w:val="en-US" w:eastAsia="zh-CN"/>
              </w:rPr>
              <w:t xml:space="preserve">  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 xml:space="preserve">投标报价：  </w:t>
            </w:r>
            <w:r>
              <w:rPr>
                <w:rFonts w:hint="eastAsia" w:ascii="宋体" w:hAnsi="宋体"/>
                <w:sz w:val="21"/>
                <w:szCs w:val="22"/>
                <w:u w:val="single"/>
                <w:lang w:val="en-US" w:eastAsia="zh-CN"/>
              </w:rPr>
              <w:t xml:space="preserve">30   </w:t>
            </w:r>
            <w:r>
              <w:rPr>
                <w:rFonts w:hint="eastAsia" w:ascii="宋体" w:hAnsi="宋体"/>
                <w:sz w:val="21"/>
                <w:szCs w:val="22"/>
                <w:lang w:val="en-US" w:eastAsia="zh-CN"/>
              </w:rPr>
              <w:t>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2"/>
                <w:lang w:val="en-US" w:eastAsia="zh-CN"/>
              </w:rPr>
            </w:pPr>
            <w:r>
              <w:rPr>
                <w:rFonts w:hint="eastAsia" w:ascii="宋体" w:hAnsi="宋体"/>
                <w:sz w:val="21"/>
                <w:szCs w:val="22"/>
                <w:lang w:val="en-US" w:eastAsia="zh-CN"/>
              </w:rPr>
              <w:t xml:space="preserve">其他评分因素： </w:t>
            </w:r>
            <w:r>
              <w:rPr>
                <w:rFonts w:hint="eastAsia" w:ascii="宋体" w:hAnsi="宋体"/>
                <w:sz w:val="21"/>
                <w:szCs w:val="22"/>
                <w:u w:val="single"/>
                <w:lang w:val="en-US" w:eastAsia="zh-CN"/>
              </w:rPr>
              <w:t xml:space="preserve"> 5 </w:t>
            </w:r>
            <w:r>
              <w:rPr>
                <w:rFonts w:hint="eastAsia" w:ascii="宋体" w:hAnsi="宋体"/>
                <w:sz w:val="21"/>
                <w:szCs w:val="22"/>
                <w:lang w:val="en-US" w:eastAsia="zh-CN"/>
              </w:rPr>
              <w:t xml:space="preserve">  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b/>
                <w:sz w:val="32"/>
                <w:vertAlign w:val="baseline"/>
              </w:rPr>
            </w:pPr>
            <w:r>
              <w:rPr>
                <w:rFonts w:hint="default" w:ascii="Times New Roman" w:hAnsi="Times New Roman" w:eastAsia="Times New Roman"/>
                <w:w w:val="99"/>
                <w:sz w:val="21"/>
              </w:rPr>
              <w:t>2.2.2</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rPr>
            </w:pPr>
            <w:r>
              <w:rPr>
                <w:rFonts w:hint="eastAsia" w:ascii="宋体" w:hAnsi="宋体"/>
                <w:sz w:val="21"/>
              </w:rPr>
              <w:t>评标基准价</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w w:val="99"/>
                <w:sz w:val="21"/>
              </w:rPr>
            </w:pPr>
            <w:r>
              <w:rPr>
                <w:rFonts w:hint="eastAsia" w:ascii="宋体" w:hAnsi="宋体"/>
                <w:sz w:val="21"/>
              </w:rPr>
              <w:t>计算方法</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价格分采用低价优先法计算，即满足招标文件要求且投标价格最低的投标报价为评标基准价，</w:t>
            </w:r>
            <w:r>
              <w:rPr>
                <w:rFonts w:hint="eastAsia" w:ascii="宋体" w:hAnsi="宋体"/>
                <w:sz w:val="21"/>
                <w:lang w:eastAsia="zh-CN"/>
              </w:rPr>
              <w:t>其价格分为满分。</w:t>
            </w:r>
            <w:r>
              <w:rPr>
                <w:rFonts w:hint="eastAsia" w:ascii="宋体" w:hAnsi="宋体"/>
                <w:sz w:val="21"/>
              </w:rPr>
              <w:t>其他投标人的价格分统一按照下列公式计算：</w:t>
            </w:r>
          </w:p>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sz w:val="21"/>
              </w:rPr>
              <w:t>报价得分=</w:t>
            </w:r>
            <w:r>
              <w:rPr>
                <w:rFonts w:hint="eastAsia" w:ascii="宋体" w:hAnsi="宋体" w:eastAsia="宋体" w:cs="宋体"/>
                <w:bCs/>
                <w:iCs/>
                <w:color w:val="auto"/>
                <w:kern w:val="2"/>
                <w:sz w:val="21"/>
                <w:szCs w:val="21"/>
                <w:lang w:val="en-US" w:eastAsia="zh-CN" w:bidi="ar-SA"/>
              </w:rPr>
              <w:t>（评标基准价/投标报价）×3</w:t>
            </w:r>
            <w:r>
              <w:rPr>
                <w:rFonts w:hint="eastAsia" w:ascii="宋体" w:hAnsi="宋体" w:cs="宋体"/>
                <w:bCs/>
                <w:iCs/>
                <w:color w:val="auto"/>
                <w:kern w:val="2"/>
                <w:sz w:val="21"/>
                <w:szCs w:val="21"/>
                <w:lang w:val="en-US" w:eastAsia="zh-CN" w:bidi="ar-SA"/>
              </w:rPr>
              <w:t>0</w:t>
            </w:r>
          </w:p>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sz w:val="21"/>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235" w:type="dxa"/>
            <w:gridSpan w:val="2"/>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cs="宋体"/>
                <w:bCs/>
                <w:iCs/>
                <w:color w:val="auto"/>
                <w:sz w:val="21"/>
                <w:szCs w:val="21"/>
              </w:rPr>
            </w:pPr>
            <w:r>
              <w:rPr>
                <w:rFonts w:hint="default" w:ascii="宋体" w:hAnsi="宋体" w:cs="宋体"/>
                <w:bCs/>
                <w:iCs/>
                <w:color w:val="auto"/>
                <w:sz w:val="21"/>
                <w:szCs w:val="21"/>
              </w:rPr>
              <w:t>2.2.3</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投标报价的偏差率</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计算公式</w:t>
            </w:r>
          </w:p>
        </w:tc>
        <w:tc>
          <w:tcPr>
            <w:tcW w:w="4574" w:type="dxa"/>
          </w:tcPr>
          <w:p>
            <w:pPr>
              <w:pStyle w:val="2"/>
              <w:keepNext w:val="0"/>
              <w:keepLines w:val="0"/>
              <w:pageBreakBefore w:val="0"/>
              <w:widowControl w:val="0"/>
              <w:kinsoku/>
              <w:topLinePunct w:val="0"/>
              <w:bidi w:val="0"/>
              <w:spacing w:line="400" w:lineRule="exact"/>
              <w:rPr>
                <w:rFonts w:hint="eastAsia" w:ascii="宋体" w:hAnsi="宋体" w:eastAsia="宋体"/>
                <w:sz w:val="21"/>
                <w:lang w:val="en-US" w:eastAsia="zh-CN"/>
              </w:rPr>
            </w:pPr>
            <w:r>
              <w:rPr>
                <w:rFonts w:hint="eastAsia" w:ascii="宋体" w:hAnsi="宋体"/>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cs="宋体"/>
                <w:bCs/>
                <w:iCs/>
                <w:color w:val="auto"/>
                <w:sz w:val="24"/>
                <w:szCs w:val="22"/>
              </w:rPr>
            </w:pPr>
            <w:r>
              <w:rPr>
                <w:rFonts w:hint="default" w:ascii="宋体" w:hAnsi="宋体" w:cs="宋体"/>
                <w:bCs/>
                <w:iCs/>
                <w:color w:val="auto"/>
                <w:sz w:val="21"/>
                <w:szCs w:val="21"/>
              </w:rPr>
              <w:t>2.2</w:t>
            </w:r>
            <w:r>
              <w:rPr>
                <w:rFonts w:hint="eastAsia" w:ascii="宋体" w:hAnsi="宋体" w:cs="宋体"/>
                <w:bCs/>
                <w:iCs/>
                <w:color w:val="auto"/>
                <w:sz w:val="21"/>
                <w:szCs w:val="21"/>
                <w:lang w:val="en-US" w:eastAsia="zh-CN"/>
              </w:rPr>
              <w:t>.</w:t>
            </w:r>
            <w:r>
              <w:rPr>
                <w:rFonts w:hint="default" w:ascii="宋体" w:hAnsi="宋体" w:cs="宋体"/>
                <w:bCs/>
                <w:iCs/>
                <w:color w:val="auto"/>
                <w:sz w:val="21"/>
                <w:szCs w:val="21"/>
              </w:rPr>
              <w:t>4</w:t>
            </w:r>
            <w:r>
              <w:rPr>
                <w:rFonts w:hint="eastAsia" w:ascii="宋体" w:hAnsi="宋体" w:cs="宋体"/>
                <w:bCs/>
                <w:iCs/>
                <w:color w:val="auto"/>
                <w:sz w:val="21"/>
                <w:szCs w:val="21"/>
              </w:rPr>
              <w:t>（</w:t>
            </w:r>
            <w:r>
              <w:rPr>
                <w:rFonts w:hint="default" w:ascii="宋体" w:hAnsi="宋体" w:cs="宋体"/>
                <w:bCs/>
                <w:iCs/>
                <w:color w:val="auto"/>
                <w:sz w:val="21"/>
                <w:szCs w:val="21"/>
              </w:rPr>
              <w:t>1</w:t>
            </w:r>
            <w:r>
              <w:rPr>
                <w:rFonts w:hint="eastAsia" w:ascii="宋体" w:hAnsi="宋体" w:cs="宋体"/>
                <w:bCs/>
                <w:iCs/>
                <w:color w:val="auto"/>
                <w:sz w:val="21"/>
                <w:szCs w:val="21"/>
              </w:rPr>
              <w:t>）</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cs="宋体"/>
                <w:bCs/>
                <w:iCs/>
                <w:color w:val="auto"/>
                <w:sz w:val="21"/>
                <w:szCs w:val="21"/>
              </w:rPr>
            </w:pPr>
            <w:r>
              <w:rPr>
                <w:rFonts w:hint="eastAsia" w:ascii="宋体" w:hAnsi="宋体" w:cs="宋体"/>
                <w:bCs/>
                <w:iCs/>
                <w:color w:val="auto"/>
                <w:sz w:val="21"/>
                <w:szCs w:val="21"/>
              </w:rPr>
              <w:t>商务评分标准</w:t>
            </w:r>
            <w:r>
              <w:rPr>
                <w:rFonts w:hint="eastAsia" w:ascii="宋体" w:hAnsi="宋体" w:cs="宋体"/>
                <w:bCs/>
                <w:iCs/>
                <w:color w:val="auto"/>
                <w:sz w:val="21"/>
                <w:szCs w:val="21"/>
                <w:lang w:eastAsia="zh-CN"/>
              </w:rPr>
              <w:t>（</w:t>
            </w:r>
            <w:r>
              <w:rPr>
                <w:rFonts w:hint="eastAsia" w:ascii="宋体" w:hAnsi="宋体" w:cs="宋体"/>
                <w:bCs/>
                <w:iCs/>
                <w:color w:val="auto"/>
                <w:sz w:val="21"/>
                <w:szCs w:val="21"/>
                <w:lang w:val="en-US" w:eastAsia="zh-CN"/>
              </w:rPr>
              <w:t>26分</w:t>
            </w:r>
            <w:r>
              <w:rPr>
                <w:rFonts w:hint="eastAsia" w:ascii="宋体" w:hAnsi="宋体" w:cs="宋体"/>
                <w:bCs/>
                <w:iCs/>
                <w:color w:val="auto"/>
                <w:sz w:val="21"/>
                <w:szCs w:val="21"/>
                <w:lang w:eastAsia="zh-CN"/>
              </w:rPr>
              <w:t>）</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对投标人履约能力的评</w:t>
            </w:r>
            <w:r>
              <w:rPr>
                <w:rFonts w:hint="eastAsia" w:ascii="宋体" w:hAnsi="宋体" w:cs="宋体"/>
                <w:bCs/>
                <w:iCs/>
                <w:color w:val="auto"/>
                <w:sz w:val="21"/>
                <w:szCs w:val="21"/>
                <w:lang w:eastAsia="zh-CN"/>
              </w:rPr>
              <w:t>价</w:t>
            </w:r>
            <w:r>
              <w:rPr>
                <w:rFonts w:hint="eastAsia" w:ascii="宋体" w:hAnsi="宋体" w:cs="宋体"/>
                <w:bCs/>
                <w:iCs/>
                <w:color w:val="auto"/>
                <w:sz w:val="21"/>
                <w:szCs w:val="21"/>
                <w:lang w:val="en-US" w:eastAsia="zh-CN"/>
              </w:rPr>
              <w:t xml:space="preserve">   （3分）</w:t>
            </w:r>
          </w:p>
        </w:tc>
        <w:tc>
          <w:tcPr>
            <w:tcW w:w="4574" w:type="dxa"/>
          </w:tcPr>
          <w:p>
            <w:pPr>
              <w:pStyle w:val="2"/>
              <w:keepNext w:val="0"/>
              <w:keepLines w:val="0"/>
              <w:pageBreakBefore w:val="0"/>
              <w:widowControl w:val="0"/>
              <w:kinsoku/>
              <w:topLinePunct w:val="0"/>
              <w:bidi w:val="0"/>
              <w:spacing w:line="400" w:lineRule="exact"/>
              <w:ind w:left="0" w:leftChars="0" w:right="-260" w:rightChars="-124" w:firstLine="0" w:firstLineChars="0"/>
              <w:rPr>
                <w:rFonts w:hint="eastAsia" w:ascii="宋体" w:hAnsi="宋体" w:eastAsia="宋体"/>
                <w:sz w:val="21"/>
                <w:lang w:val="en-US" w:eastAsia="zh-CN"/>
              </w:rPr>
            </w:pPr>
            <w:r>
              <w:rPr>
                <w:rFonts w:hint="eastAsia" w:ascii="宋体" w:hAnsi="宋体"/>
                <w:sz w:val="21"/>
                <w:lang w:val="en-US" w:eastAsia="zh-CN"/>
              </w:rPr>
              <w:t>根据投标人提交的资料，综合判定其履约能力，优秀3分，良好1-2分，差0分。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cs="宋体"/>
                <w:bCs/>
                <w:iCs/>
                <w:color w:val="auto"/>
                <w:sz w:val="24"/>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cs="宋体"/>
                <w:bCs/>
                <w:iCs/>
                <w:color w:val="auto"/>
                <w:sz w:val="21"/>
                <w:szCs w:val="21"/>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color w:val="auto"/>
                <w:sz w:val="21"/>
                <w:szCs w:val="21"/>
              </w:rPr>
            </w:pPr>
            <w:r>
              <w:rPr>
                <w:rFonts w:hint="eastAsia" w:ascii="宋体" w:hAnsi="宋体" w:cs="宋体"/>
                <w:bCs/>
                <w:iCs/>
                <w:color w:val="auto"/>
                <w:sz w:val="21"/>
                <w:szCs w:val="21"/>
              </w:rPr>
              <w:t>对招标文件商务条款的响应程度</w:t>
            </w:r>
          </w:p>
          <w:p>
            <w:pPr>
              <w:pStyle w:val="2"/>
              <w:keepNext w:val="0"/>
              <w:keepLines w:val="0"/>
              <w:pageBreakBefore w:val="0"/>
              <w:widowControl w:val="0"/>
              <w:kinsoku/>
              <w:topLinePunct w:val="0"/>
              <w:bidi w:val="0"/>
              <w:spacing w:line="400" w:lineRule="exact"/>
              <w:jc w:val="center"/>
              <w:rPr>
                <w:rFonts w:hint="eastAsia" w:ascii="宋体" w:hAnsi="宋体" w:cs="宋体"/>
                <w:bCs/>
                <w:iCs/>
                <w:color w:val="auto"/>
                <w:sz w:val="21"/>
                <w:szCs w:val="21"/>
                <w:lang w:eastAsia="zh-CN"/>
              </w:rPr>
            </w:pPr>
            <w:r>
              <w:rPr>
                <w:rFonts w:hint="eastAsia" w:ascii="宋体" w:hAnsi="宋体" w:cs="宋体"/>
                <w:bCs/>
                <w:iCs/>
                <w:color w:val="auto"/>
                <w:sz w:val="21"/>
                <w:szCs w:val="21"/>
                <w:lang w:val="en-US" w:eastAsia="zh-CN"/>
              </w:rPr>
              <w:t>（2</w:t>
            </w:r>
            <w:r>
              <w:rPr>
                <w:rFonts w:hint="eastAsia" w:ascii="宋体" w:hAnsi="宋体" w:cs="宋体"/>
                <w:bCs/>
                <w:iCs/>
                <w:color w:val="auto"/>
                <w:sz w:val="21"/>
                <w:szCs w:val="21"/>
                <w:lang w:eastAsia="zh-CN"/>
              </w:rPr>
              <w:t>分</w:t>
            </w:r>
            <w:r>
              <w:rPr>
                <w:rFonts w:hint="eastAsia" w:ascii="宋体" w:hAnsi="宋体" w:cs="宋体"/>
                <w:bCs/>
                <w:iCs/>
                <w:color w:val="auto"/>
                <w:sz w:val="21"/>
                <w:szCs w:val="21"/>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投标文件的编制符合招标文件的规定，根据装订编制情况1-2分；投标文件编制无目录和页码，排序混乱和缺篇少页的不得分。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21"/>
                <w:szCs w:val="21"/>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1"/>
              </w:rPr>
            </w:pPr>
            <w:r>
              <w:rPr>
                <w:rFonts w:hint="eastAsia" w:ascii="宋体" w:hAnsi="宋体"/>
                <w:sz w:val="21"/>
                <w:szCs w:val="21"/>
              </w:rPr>
              <w:t>投标设备的业绩</w:t>
            </w:r>
          </w:p>
          <w:p>
            <w:pPr>
              <w:pStyle w:val="2"/>
              <w:keepNext w:val="0"/>
              <w:keepLines w:val="0"/>
              <w:pageBreakBefore w:val="0"/>
              <w:widowControl w:val="0"/>
              <w:kinsoku/>
              <w:topLinePunct w:val="0"/>
              <w:bidi w:val="0"/>
              <w:spacing w:line="400" w:lineRule="exact"/>
              <w:jc w:val="center"/>
              <w:rPr>
                <w:rFonts w:hint="eastAsia" w:ascii="宋体" w:hAnsi="宋体" w:eastAsia="宋体"/>
                <w:sz w:val="21"/>
                <w:szCs w:val="21"/>
                <w:lang w:val="en-US" w:eastAsia="zh-CN"/>
              </w:rPr>
            </w:pPr>
            <w:r>
              <w:rPr>
                <w:rFonts w:hint="eastAsia" w:ascii="宋体" w:hAnsi="宋体" w:cs="宋体"/>
                <w:bCs/>
                <w:iCs/>
                <w:color w:val="auto"/>
                <w:sz w:val="21"/>
                <w:szCs w:val="21"/>
                <w:lang w:val="en-US" w:eastAsia="zh-CN"/>
              </w:rPr>
              <w:t>（</w:t>
            </w:r>
            <w:r>
              <w:rPr>
                <w:rFonts w:hint="eastAsia" w:ascii="宋体" w:hAnsi="宋体"/>
                <w:sz w:val="21"/>
                <w:szCs w:val="21"/>
                <w:lang w:val="en-US" w:eastAsia="zh-CN"/>
              </w:rPr>
              <w:t>12分</w:t>
            </w:r>
            <w:r>
              <w:rPr>
                <w:rFonts w:hint="eastAsia" w:ascii="宋体" w:hAnsi="宋体" w:cs="宋体"/>
                <w:bCs/>
                <w:iCs/>
                <w:color w:val="auto"/>
                <w:sz w:val="21"/>
                <w:szCs w:val="21"/>
                <w:lang w:val="en-US" w:eastAsia="zh-CN"/>
              </w:rPr>
              <w:t>）</w:t>
            </w:r>
          </w:p>
        </w:tc>
        <w:tc>
          <w:tcPr>
            <w:tcW w:w="4574" w:type="dxa"/>
          </w:tcPr>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eastAsia="宋体" w:cs="宋体"/>
                <w:sz w:val="21"/>
                <w:szCs w:val="21"/>
              </w:rPr>
              <w:t>自2014年以来有</w:t>
            </w:r>
            <w:r>
              <w:rPr>
                <w:rFonts w:hint="eastAsia" w:ascii="宋体" w:hAnsi="宋体" w:eastAsia="宋体" w:cs="宋体"/>
                <w:sz w:val="21"/>
                <w:szCs w:val="21"/>
                <w:lang w:val="en-US" w:eastAsia="zh-CN"/>
              </w:rPr>
              <w:t>4</w:t>
            </w:r>
            <w:r>
              <w:rPr>
                <w:rFonts w:hint="eastAsia" w:ascii="宋体" w:hAnsi="宋体" w:eastAsia="宋体" w:cs="宋体"/>
                <w:sz w:val="21"/>
                <w:szCs w:val="21"/>
              </w:rPr>
              <w:t>万吨/日污水处理同类型设备供货业绩</w:t>
            </w:r>
            <w:r>
              <w:rPr>
                <w:rFonts w:hint="eastAsia" w:ascii="宋体" w:hAnsi="宋体" w:eastAsia="宋体" w:cs="宋体"/>
                <w:sz w:val="21"/>
                <w:szCs w:val="21"/>
                <w:lang w:eastAsia="zh-CN"/>
              </w:rPr>
              <w:t>且从事过</w:t>
            </w:r>
            <w:r>
              <w:rPr>
                <w:rFonts w:hint="eastAsia" w:ascii="宋体" w:hAnsi="宋体" w:eastAsia="宋体" w:cs="宋体"/>
                <w:sz w:val="21"/>
                <w:szCs w:val="21"/>
                <w:lang w:val="en-US" w:eastAsia="zh-CN"/>
              </w:rPr>
              <w:t>8</w:t>
            </w:r>
            <w:r>
              <w:rPr>
                <w:rFonts w:hint="eastAsia" w:ascii="宋体" w:hAnsi="宋体" w:eastAsia="宋体" w:cs="宋体"/>
                <w:sz w:val="21"/>
                <w:szCs w:val="21"/>
              </w:rPr>
              <w:t>万吨/日污水处理同类型设备供货业绩（以合同签署时间计）</w:t>
            </w:r>
            <w:r>
              <w:rPr>
                <w:rFonts w:hint="eastAsia" w:ascii="宋体" w:hAnsi="宋体"/>
                <w:sz w:val="21"/>
                <w:lang w:eastAsia="zh-CN"/>
              </w:rPr>
              <w:t>每项得</w:t>
            </w:r>
            <w:r>
              <w:rPr>
                <w:rFonts w:hint="eastAsia" w:ascii="宋体" w:hAnsi="宋体"/>
                <w:sz w:val="21"/>
                <w:lang w:val="en-US" w:eastAsia="zh-CN"/>
              </w:rPr>
              <w:t>3分，最多12分</w:t>
            </w:r>
            <w:r>
              <w:rPr>
                <w:rFonts w:hint="eastAsia" w:ascii="宋体" w:hAnsi="宋体"/>
                <w:sz w:val="21"/>
              </w:rPr>
              <w:t>。注：开标时需提</w:t>
            </w:r>
            <w:r>
              <w:rPr>
                <w:rFonts w:hint="eastAsia" w:ascii="宋体" w:hAnsi="宋体"/>
                <w:color w:val="auto"/>
                <w:sz w:val="21"/>
              </w:rPr>
              <w:t>供县级以上（含县级）</w:t>
            </w:r>
            <w:r>
              <w:rPr>
                <w:rFonts w:hint="eastAsia" w:ascii="宋体" w:hAnsi="宋体"/>
                <w:sz w:val="21"/>
              </w:rPr>
              <w:t>污水处理厂的设备采购合同（标书中提供合同复印件，投标时携带原件备查）。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sz w:val="21"/>
                <w:szCs w:val="21"/>
                <w:lang w:val="en-US" w:eastAsia="zh-CN"/>
              </w:rPr>
            </w:pPr>
            <w:r>
              <w:rPr>
                <w:rFonts w:hint="eastAsia" w:ascii="宋体" w:hAnsi="宋体" w:cs="宋体"/>
                <w:bCs/>
                <w:iCs/>
                <w:sz w:val="21"/>
                <w:szCs w:val="21"/>
              </w:rPr>
              <w:t>提供同类货物用户评价表的</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eastAsia="宋体" w:cs="宋体"/>
                <w:bCs/>
                <w:iCs/>
                <w:sz w:val="24"/>
                <w:szCs w:val="22"/>
                <w:lang w:val="en-US" w:eastAsia="zh-CN"/>
              </w:rPr>
            </w:pPr>
            <w:r>
              <w:rPr>
                <w:rFonts w:hint="eastAsia" w:ascii="宋体" w:hAnsi="宋体" w:cs="宋体"/>
                <w:bCs/>
                <w:iCs/>
                <w:color w:val="auto"/>
                <w:sz w:val="21"/>
                <w:szCs w:val="21"/>
                <w:lang w:val="en-US" w:eastAsia="zh-CN"/>
              </w:rPr>
              <w:t>（</w:t>
            </w:r>
            <w:r>
              <w:rPr>
                <w:rFonts w:hint="eastAsia" w:ascii="宋体" w:hAnsi="宋体" w:cs="宋体"/>
                <w:bCs/>
                <w:iCs/>
                <w:sz w:val="21"/>
                <w:szCs w:val="21"/>
                <w:lang w:val="en-US" w:eastAsia="zh-CN"/>
              </w:rPr>
              <w:t xml:space="preserve"> 6分</w:t>
            </w:r>
            <w:r>
              <w:rPr>
                <w:rFonts w:hint="eastAsia" w:ascii="宋体" w:hAnsi="宋体" w:cs="宋体"/>
                <w:bCs/>
                <w:iCs/>
                <w:color w:val="auto"/>
                <w:sz w:val="21"/>
                <w:szCs w:val="21"/>
                <w:lang w:val="en-US" w:eastAsia="zh-CN"/>
              </w:rPr>
              <w:t>）</w:t>
            </w:r>
          </w:p>
        </w:tc>
        <w:tc>
          <w:tcPr>
            <w:tcW w:w="4574" w:type="dxa"/>
          </w:tcPr>
          <w:p>
            <w:pPr>
              <w:keepNext w:val="0"/>
              <w:keepLines w:val="0"/>
              <w:pageBreakBefore w:val="0"/>
              <w:widowControl/>
              <w:kinsoku/>
              <w:topLinePunct w:val="0"/>
              <w:bidi w:val="0"/>
              <w:spacing w:line="400" w:lineRule="exact"/>
              <w:ind w:left="210" w:hanging="210" w:hangingChars="100"/>
              <w:jc w:val="left"/>
              <w:rPr>
                <w:rFonts w:hint="eastAsia" w:ascii="宋体" w:hAnsi="宋体" w:cs="宋体"/>
                <w:bCs/>
                <w:iCs/>
                <w:sz w:val="21"/>
                <w:szCs w:val="21"/>
              </w:rPr>
            </w:pPr>
            <w:r>
              <w:rPr>
                <w:rFonts w:hint="eastAsia" w:ascii="宋体" w:hAnsi="宋体" w:cs="宋体"/>
                <w:bCs/>
                <w:iCs/>
                <w:sz w:val="21"/>
                <w:szCs w:val="21"/>
              </w:rPr>
              <w:t>1.评价表填写完整，评价良好，每提供1项得1.5分，最多得6分；（注：须提供原件）</w:t>
            </w:r>
            <w:r>
              <w:rPr>
                <w:rFonts w:hint="eastAsia" w:ascii="宋体" w:hAnsi="宋体" w:cs="宋体"/>
                <w:bCs/>
                <w:iCs/>
                <w:sz w:val="21"/>
                <w:szCs w:val="21"/>
                <w:lang w:eastAsia="zh-CN"/>
              </w:rPr>
              <w:t>。</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cs="宋体"/>
                <w:bCs/>
                <w:iCs/>
                <w:sz w:val="21"/>
                <w:szCs w:val="21"/>
              </w:rPr>
              <w:t>2.评价表填写不完整，评价一般，得0分</w:t>
            </w:r>
            <w:r>
              <w:rPr>
                <w:rFonts w:hint="eastAsia" w:ascii="宋体" w:hAnsi="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b/>
                <w:sz w:val="32"/>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sz w:val="21"/>
                <w:szCs w:val="21"/>
                <w:lang w:val="en-US" w:eastAsia="zh-CN"/>
              </w:rPr>
            </w:pPr>
            <w:r>
              <w:rPr>
                <w:rFonts w:hint="eastAsia" w:ascii="宋体" w:hAnsi="宋体" w:cs="宋体"/>
                <w:bCs/>
                <w:iCs/>
                <w:sz w:val="21"/>
                <w:szCs w:val="21"/>
                <w:lang w:val="en-US" w:eastAsia="zh-CN"/>
              </w:rPr>
              <w:t>企业管理水平</w:t>
            </w:r>
          </w:p>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cs="宋体"/>
                <w:bCs/>
                <w:iCs/>
                <w:sz w:val="21"/>
                <w:szCs w:val="21"/>
                <w:lang w:val="en-US" w:eastAsia="zh-CN"/>
              </w:rPr>
            </w:pPr>
            <w:r>
              <w:rPr>
                <w:rFonts w:hint="eastAsia" w:ascii="宋体" w:hAnsi="宋体" w:cs="宋体"/>
                <w:bCs/>
                <w:iCs/>
                <w:color w:val="auto"/>
                <w:sz w:val="21"/>
                <w:szCs w:val="21"/>
                <w:lang w:val="en-US" w:eastAsia="zh-CN"/>
              </w:rPr>
              <w:t>（</w:t>
            </w:r>
            <w:r>
              <w:rPr>
                <w:rFonts w:hint="eastAsia" w:ascii="宋体" w:hAnsi="宋体" w:cs="宋体"/>
                <w:bCs/>
                <w:iCs/>
                <w:sz w:val="21"/>
                <w:szCs w:val="21"/>
                <w:lang w:val="en-US" w:eastAsia="zh-CN"/>
              </w:rPr>
              <w:t>3分</w:t>
            </w:r>
            <w:r>
              <w:rPr>
                <w:rFonts w:hint="eastAsia" w:ascii="宋体" w:hAnsi="宋体" w:cs="宋体"/>
                <w:bCs/>
                <w:iCs/>
                <w:color w:val="auto"/>
                <w:sz w:val="21"/>
                <w:szCs w:val="21"/>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cs="宋体"/>
                <w:bCs/>
                <w:iCs/>
                <w:sz w:val="21"/>
                <w:szCs w:val="21"/>
                <w:lang w:eastAsia="zh-CN"/>
              </w:rPr>
            </w:pPr>
            <w:r>
              <w:rPr>
                <w:rFonts w:hint="eastAsia" w:ascii="宋体" w:hAnsi="宋体" w:cs="宋体"/>
                <w:bCs/>
                <w:iCs/>
                <w:sz w:val="21"/>
                <w:szCs w:val="21"/>
                <w:lang w:eastAsia="zh-CN"/>
              </w:rPr>
              <w:t>具有质量管理体系、环境管理体系、</w:t>
            </w:r>
            <w:r>
              <w:rPr>
                <w:rFonts w:hint="eastAsia" w:ascii="宋体" w:hAnsi="宋体" w:cs="宋体"/>
                <w:bCs/>
                <w:iCs/>
                <w:sz w:val="21"/>
                <w:szCs w:val="21"/>
                <w:lang w:val="en-US" w:eastAsia="zh-CN"/>
              </w:rPr>
              <w:t>CQC环保产品体系的认证证书，全部具有的得3分，少一项的扣1分，最低0分。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2.2.4</w:t>
            </w:r>
            <w:r>
              <w:rPr>
                <w:rFonts w:hint="eastAsia" w:ascii="宋体" w:hAnsi="宋体"/>
                <w:sz w:val="21"/>
                <w:szCs w:val="22"/>
              </w:rPr>
              <w:t>（</w:t>
            </w:r>
            <w:r>
              <w:rPr>
                <w:rFonts w:hint="default" w:ascii="宋体" w:hAnsi="宋体"/>
                <w:sz w:val="21"/>
                <w:szCs w:val="22"/>
              </w:rPr>
              <w:t>2</w:t>
            </w:r>
            <w:r>
              <w:rPr>
                <w:rFonts w:hint="eastAsia" w:ascii="宋体" w:hAnsi="宋体"/>
                <w:sz w:val="21"/>
                <w:szCs w:val="22"/>
              </w:rPr>
              <w:t>）</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eastAsia" w:ascii="宋体" w:hAnsi="宋体"/>
                <w:sz w:val="21"/>
                <w:szCs w:val="22"/>
              </w:rPr>
              <w:t>技术评分标准</w:t>
            </w:r>
            <w:r>
              <w:rPr>
                <w:rFonts w:hint="eastAsia" w:ascii="宋体" w:hAnsi="宋体"/>
                <w:sz w:val="21"/>
                <w:szCs w:val="22"/>
                <w:lang w:eastAsia="zh-CN"/>
              </w:rPr>
              <w:t>（</w:t>
            </w:r>
            <w:r>
              <w:rPr>
                <w:rFonts w:hint="eastAsia" w:ascii="宋体" w:hAnsi="宋体"/>
                <w:sz w:val="21"/>
                <w:szCs w:val="22"/>
                <w:lang w:val="en-US" w:eastAsia="zh-CN"/>
              </w:rPr>
              <w:t>39分</w:t>
            </w:r>
            <w:r>
              <w:rPr>
                <w:rFonts w:hint="eastAsia" w:ascii="宋体" w:hAnsi="宋体"/>
                <w:sz w:val="21"/>
                <w:szCs w:val="22"/>
                <w:lang w:eastAsia="zh-CN"/>
              </w:rPr>
              <w:t>）</w:t>
            </w: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both"/>
              <w:rPr>
                <w:rFonts w:hint="eastAsia" w:ascii="宋体" w:hAnsi="宋体"/>
                <w:sz w:val="21"/>
                <w:szCs w:val="22"/>
              </w:rPr>
            </w:pPr>
            <w:r>
              <w:rPr>
                <w:rFonts w:hint="eastAsia" w:ascii="宋体" w:hAnsi="宋体"/>
                <w:sz w:val="21"/>
                <w:szCs w:val="22"/>
              </w:rPr>
              <w:t>对投标设备整体</w:t>
            </w:r>
          </w:p>
          <w:p>
            <w:pPr>
              <w:pStyle w:val="2"/>
              <w:keepNext w:val="0"/>
              <w:keepLines w:val="0"/>
              <w:pageBreakBefore w:val="0"/>
              <w:widowControl w:val="0"/>
              <w:kinsoku/>
              <w:topLinePunct w:val="0"/>
              <w:bidi w:val="0"/>
              <w:spacing w:line="400" w:lineRule="exact"/>
              <w:ind w:left="0" w:leftChars="0" w:firstLine="0" w:firstLineChars="0"/>
              <w:jc w:val="both"/>
              <w:rPr>
                <w:rFonts w:hint="eastAsia" w:ascii="宋体" w:hAnsi="宋体"/>
                <w:sz w:val="21"/>
                <w:szCs w:val="22"/>
              </w:rPr>
            </w:pPr>
            <w:r>
              <w:rPr>
                <w:rFonts w:hint="eastAsia" w:ascii="宋体" w:hAnsi="宋体"/>
                <w:sz w:val="21"/>
                <w:szCs w:val="22"/>
              </w:rPr>
              <w:t>评价</w:t>
            </w:r>
            <w:r>
              <w:rPr>
                <w:rFonts w:hint="eastAsia" w:ascii="宋体" w:hAnsi="宋体"/>
                <w:sz w:val="21"/>
                <w:szCs w:val="22"/>
                <w:lang w:val="en-US" w:eastAsia="zh-CN"/>
              </w:rPr>
              <w:t xml:space="preserve">    （3分）</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eastAsia="宋体"/>
                <w:sz w:val="21"/>
                <w:lang w:eastAsia="zh-CN"/>
              </w:rPr>
            </w:pPr>
            <w:r>
              <w:rPr>
                <w:rFonts w:hint="eastAsia" w:ascii="宋体" w:hAnsi="宋体"/>
                <w:sz w:val="21"/>
                <w:lang w:eastAsia="zh-CN"/>
              </w:rPr>
              <w:t>根据投标人提供的设备清单及其产品说明书等资料，做出评价，</w:t>
            </w:r>
            <w:r>
              <w:rPr>
                <w:rFonts w:hint="eastAsia" w:ascii="宋体" w:hAnsi="宋体"/>
                <w:sz w:val="21"/>
                <w:lang w:val="en-US" w:eastAsia="zh-CN"/>
              </w:rPr>
              <w:t>优秀3分，良好1-2分，差0分。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439" w:type="dxa"/>
            <w:vMerge w:val="continue"/>
            <w:vAlign w:val="center"/>
          </w:tcPr>
          <w:p>
            <w:pPr>
              <w:pStyle w:val="2"/>
              <w:keepNext w:val="0"/>
              <w:keepLines w:val="0"/>
              <w:pageBreakBefore w:val="0"/>
              <w:widowControl w:val="0"/>
              <w:kinsoku/>
              <w:topLinePunct w:val="0"/>
              <w:bidi w:val="0"/>
              <w:spacing w:line="400" w:lineRule="exact"/>
              <w:jc w:val="center"/>
              <w:rPr>
                <w:rFonts w:hint="default" w:ascii="宋体" w:hAnsi="宋体"/>
                <w:sz w:val="21"/>
                <w:szCs w:val="22"/>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2"/>
              </w:rPr>
            </w:pPr>
            <w:r>
              <w:rPr>
                <w:rFonts w:hint="eastAsia" w:ascii="宋体" w:hAnsi="宋体"/>
                <w:sz w:val="21"/>
                <w:szCs w:val="22"/>
              </w:rPr>
              <w:t>投标设备技术性能指标的响应程度</w:t>
            </w:r>
          </w:p>
          <w:p>
            <w:pPr>
              <w:pStyle w:val="2"/>
              <w:keepNext w:val="0"/>
              <w:keepLines w:val="0"/>
              <w:pageBreakBefore w:val="0"/>
              <w:widowControl w:val="0"/>
              <w:kinsoku/>
              <w:topLinePunct w:val="0"/>
              <w:bidi w:val="0"/>
              <w:spacing w:line="400" w:lineRule="exact"/>
              <w:jc w:val="center"/>
              <w:rPr>
                <w:rFonts w:hint="eastAsia" w:ascii="宋体" w:hAnsi="宋体"/>
                <w:sz w:val="21"/>
                <w:szCs w:val="22"/>
                <w:lang w:val="en-US" w:eastAsia="zh-CN"/>
              </w:rPr>
            </w:pPr>
            <w:r>
              <w:rPr>
                <w:rFonts w:hint="eastAsia" w:ascii="宋体" w:hAnsi="宋体"/>
                <w:sz w:val="21"/>
                <w:szCs w:val="22"/>
                <w:lang w:val="en-US" w:eastAsia="zh-CN"/>
              </w:rPr>
              <w:t>（27分）</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（1）未满足招标文件技术指标要求和商务要求的视为无效投标。</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rPr>
            </w:pPr>
            <w:r>
              <w:rPr>
                <w:rFonts w:hint="eastAsia" w:ascii="宋体" w:hAnsi="宋体"/>
                <w:sz w:val="21"/>
              </w:rPr>
              <w:t>（2）满足招标文件技术要求，根据质量及工艺水平等综合性能，好的</w:t>
            </w:r>
            <w:r>
              <w:rPr>
                <w:rFonts w:hint="eastAsia" w:ascii="宋体" w:hAnsi="宋体"/>
                <w:sz w:val="21"/>
                <w:lang w:val="en-US" w:eastAsia="zh-CN"/>
              </w:rPr>
              <w:t>19</w:t>
            </w:r>
            <w:r>
              <w:rPr>
                <w:rFonts w:hint="eastAsia" w:ascii="宋体" w:hAnsi="宋体"/>
                <w:sz w:val="21"/>
              </w:rPr>
              <w:t>-</w:t>
            </w:r>
            <w:r>
              <w:rPr>
                <w:rFonts w:hint="eastAsia" w:ascii="宋体" w:hAnsi="宋体"/>
                <w:sz w:val="21"/>
                <w:lang w:val="en-US" w:eastAsia="zh-CN"/>
              </w:rPr>
              <w:t>27</w:t>
            </w:r>
            <w:r>
              <w:rPr>
                <w:rFonts w:hint="eastAsia" w:ascii="宋体" w:hAnsi="宋体"/>
                <w:sz w:val="21"/>
              </w:rPr>
              <w:t>分、较好的</w:t>
            </w:r>
            <w:r>
              <w:rPr>
                <w:rFonts w:hint="eastAsia" w:ascii="宋体" w:hAnsi="宋体"/>
                <w:sz w:val="21"/>
                <w:lang w:val="en-US" w:eastAsia="zh-CN"/>
              </w:rPr>
              <w:t>10</w:t>
            </w:r>
            <w:r>
              <w:rPr>
                <w:rFonts w:hint="eastAsia" w:ascii="宋体" w:hAnsi="宋体"/>
                <w:sz w:val="21"/>
              </w:rPr>
              <w:t>-</w:t>
            </w:r>
            <w:r>
              <w:rPr>
                <w:rFonts w:hint="eastAsia" w:ascii="宋体" w:hAnsi="宋体"/>
                <w:sz w:val="21"/>
                <w:lang w:val="en-US" w:eastAsia="zh-CN"/>
              </w:rPr>
              <w:t>18</w:t>
            </w:r>
            <w:r>
              <w:rPr>
                <w:rFonts w:hint="eastAsia" w:ascii="宋体" w:hAnsi="宋体"/>
                <w:sz w:val="21"/>
              </w:rPr>
              <w:t>分、一般的</w:t>
            </w:r>
            <w:r>
              <w:rPr>
                <w:rFonts w:hint="eastAsia" w:ascii="宋体" w:hAnsi="宋体"/>
                <w:sz w:val="21"/>
                <w:lang w:val="en-US" w:eastAsia="zh-CN"/>
              </w:rPr>
              <w:t>1</w:t>
            </w:r>
            <w:r>
              <w:rPr>
                <w:rFonts w:hint="eastAsia" w:ascii="宋体" w:hAnsi="宋体"/>
                <w:sz w:val="21"/>
              </w:rPr>
              <w:t>-</w:t>
            </w:r>
            <w:r>
              <w:rPr>
                <w:rFonts w:hint="eastAsia" w:ascii="宋体" w:hAnsi="宋体"/>
                <w:sz w:val="21"/>
                <w:lang w:val="en-US" w:eastAsia="zh-CN"/>
              </w:rPr>
              <w:t>9</w:t>
            </w:r>
            <w:r>
              <w:rPr>
                <w:rFonts w:hint="eastAsia" w:ascii="宋体" w:hAnsi="宋体"/>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p>
        </w:tc>
        <w:tc>
          <w:tcPr>
            <w:tcW w:w="1439" w:type="dxa"/>
            <w:vMerge w:val="continue"/>
          </w:tcPr>
          <w:p>
            <w:pPr>
              <w:pStyle w:val="2"/>
              <w:keepNext w:val="0"/>
              <w:keepLines w:val="0"/>
              <w:pageBreakBefore w:val="0"/>
              <w:widowControl w:val="0"/>
              <w:kinsoku/>
              <w:topLinePunct w:val="0"/>
              <w:bidi w:val="0"/>
              <w:spacing w:line="400" w:lineRule="exact"/>
              <w:rPr>
                <w:rFonts w:hint="default" w:ascii="宋体" w:hAnsi="宋体"/>
                <w:b/>
                <w:sz w:val="32"/>
                <w:vertAlign w:val="baseline"/>
              </w:rPr>
            </w:pPr>
          </w:p>
        </w:tc>
        <w:tc>
          <w:tcPr>
            <w:tcW w:w="1966" w:type="dxa"/>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w w:val="99"/>
                <w:sz w:val="21"/>
                <w:szCs w:val="21"/>
              </w:rPr>
            </w:pPr>
            <w:r>
              <w:rPr>
                <w:rFonts w:hint="eastAsia" w:ascii="宋体" w:hAnsi="宋体"/>
                <w:sz w:val="21"/>
                <w:szCs w:val="21"/>
              </w:rPr>
              <w:t>对</w:t>
            </w:r>
            <w:r>
              <w:rPr>
                <w:rFonts w:hint="eastAsia" w:ascii="宋体" w:hAnsi="宋体" w:eastAsia="宋体" w:cs="宋体"/>
                <w:bCs/>
                <w:iCs/>
                <w:color w:val="auto"/>
                <w:kern w:val="2"/>
                <w:sz w:val="21"/>
                <w:szCs w:val="21"/>
              </w:rPr>
              <w:t>投标人技术服务和质保期服务能力的评价</w:t>
            </w:r>
            <w:r>
              <w:rPr>
                <w:rFonts w:hint="eastAsia" w:ascii="宋体" w:hAnsi="宋体" w:eastAsia="宋体" w:cs="宋体"/>
                <w:bCs/>
                <w:iCs/>
                <w:color w:val="auto"/>
                <w:kern w:val="2"/>
                <w:sz w:val="21"/>
                <w:szCs w:val="21"/>
                <w:lang w:val="en-US" w:eastAsia="zh-CN"/>
              </w:rPr>
              <w:t xml:space="preserve">  </w:t>
            </w:r>
            <w:r>
              <w:rPr>
                <w:rFonts w:hint="eastAsia" w:ascii="宋体" w:hAnsi="宋体"/>
                <w:sz w:val="21"/>
                <w:szCs w:val="22"/>
                <w:lang w:val="en-US" w:eastAsia="zh-CN"/>
              </w:rPr>
              <w:t>（</w:t>
            </w:r>
            <w:r>
              <w:rPr>
                <w:rFonts w:hint="eastAsia" w:ascii="宋体" w:hAnsi="宋体" w:cs="宋体"/>
                <w:bCs/>
                <w:iCs/>
                <w:color w:val="auto"/>
                <w:kern w:val="2"/>
                <w:sz w:val="21"/>
                <w:szCs w:val="21"/>
                <w:lang w:val="en-US" w:eastAsia="zh-CN"/>
              </w:rPr>
              <w:t>9分</w:t>
            </w:r>
            <w:r>
              <w:rPr>
                <w:rFonts w:hint="eastAsia" w:ascii="宋体" w:hAnsi="宋体"/>
                <w:sz w:val="21"/>
                <w:szCs w:val="22"/>
                <w:lang w:val="en-US" w:eastAsia="zh-CN"/>
              </w:rPr>
              <w:t>）</w:t>
            </w:r>
          </w:p>
        </w:tc>
        <w:tc>
          <w:tcPr>
            <w:tcW w:w="4574" w:type="dxa"/>
          </w:tcPr>
          <w:p>
            <w:pPr>
              <w:keepNext w:val="0"/>
              <w:keepLines w:val="0"/>
              <w:pageBreakBefore w:val="0"/>
              <w:widowControl/>
              <w:kinsoku/>
              <w:topLinePunct w:val="0"/>
              <w:bidi w:val="0"/>
              <w:spacing w:line="400" w:lineRule="exact"/>
              <w:jc w:val="left"/>
              <w:rPr>
                <w:rFonts w:hint="eastAsia" w:ascii="宋体" w:hAnsi="宋体" w:cs="宋体"/>
                <w:bCs/>
                <w:iCs/>
                <w:color w:val="auto"/>
                <w:sz w:val="21"/>
                <w:szCs w:val="21"/>
              </w:rPr>
            </w:pPr>
            <w:r>
              <w:rPr>
                <w:rFonts w:hint="eastAsia" w:ascii="宋体" w:hAnsi="宋体" w:cs="宋体"/>
                <w:bCs/>
                <w:iCs/>
                <w:sz w:val="21"/>
                <w:szCs w:val="21"/>
              </w:rPr>
              <w:t>（</w:t>
            </w:r>
            <w:r>
              <w:rPr>
                <w:rFonts w:hint="eastAsia" w:ascii="宋体" w:hAnsi="宋体" w:cs="宋体"/>
                <w:bCs/>
                <w:iCs/>
                <w:color w:val="auto"/>
                <w:sz w:val="21"/>
                <w:szCs w:val="21"/>
              </w:rPr>
              <w:t>1）根据投标人提供的售后服务承诺和服务方案，其故障响应修复时间方式及保障措施的完整性，0-1分。</w:t>
            </w:r>
          </w:p>
          <w:p>
            <w:pPr>
              <w:keepNext w:val="0"/>
              <w:keepLines w:val="0"/>
              <w:pageBreakBefore w:val="0"/>
              <w:widowControl/>
              <w:kinsoku/>
              <w:topLinePunct w:val="0"/>
              <w:bidi w:val="0"/>
              <w:spacing w:line="400" w:lineRule="exact"/>
              <w:jc w:val="left"/>
              <w:rPr>
                <w:rFonts w:hint="eastAsia" w:ascii="宋体" w:hAnsi="宋体" w:cs="宋体"/>
                <w:bCs/>
                <w:iCs/>
                <w:color w:val="auto"/>
                <w:sz w:val="21"/>
                <w:szCs w:val="21"/>
              </w:rPr>
            </w:pPr>
            <w:r>
              <w:rPr>
                <w:rFonts w:hint="eastAsia" w:ascii="宋体" w:hAnsi="宋体" w:cs="宋体"/>
                <w:bCs/>
                <w:iCs/>
                <w:color w:val="auto"/>
                <w:sz w:val="21"/>
                <w:szCs w:val="21"/>
              </w:rPr>
              <w:t xml:space="preserve">（2）质保期在 1 年基础上每增加一年加 </w:t>
            </w:r>
            <w:r>
              <w:rPr>
                <w:rFonts w:hint="eastAsia" w:ascii="宋体" w:hAnsi="宋体" w:cs="宋体"/>
                <w:bCs/>
                <w:iCs/>
                <w:color w:val="auto"/>
                <w:sz w:val="21"/>
                <w:szCs w:val="21"/>
                <w:lang w:val="en-US" w:eastAsia="zh-CN"/>
              </w:rPr>
              <w:t>1</w:t>
            </w:r>
            <w:r>
              <w:rPr>
                <w:rFonts w:hint="eastAsia" w:ascii="宋体" w:hAnsi="宋体" w:cs="宋体"/>
                <w:bCs/>
                <w:iCs/>
                <w:color w:val="auto"/>
                <w:sz w:val="21"/>
                <w:szCs w:val="21"/>
              </w:rPr>
              <w:t>分，满分</w:t>
            </w:r>
            <w:r>
              <w:rPr>
                <w:rFonts w:hint="eastAsia" w:ascii="宋体" w:hAnsi="宋体" w:cs="宋体"/>
                <w:bCs/>
                <w:iCs/>
                <w:color w:val="auto"/>
                <w:sz w:val="21"/>
                <w:szCs w:val="21"/>
                <w:lang w:val="en-US" w:eastAsia="zh-CN"/>
              </w:rPr>
              <w:t>6</w:t>
            </w:r>
            <w:r>
              <w:rPr>
                <w:rFonts w:hint="eastAsia" w:ascii="宋体" w:hAnsi="宋体" w:cs="宋体"/>
                <w:bCs/>
                <w:iCs/>
                <w:color w:val="auto"/>
                <w:sz w:val="21"/>
                <w:szCs w:val="21"/>
              </w:rPr>
              <w:t>分。</w:t>
            </w:r>
          </w:p>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cs="宋体"/>
                <w:bCs/>
                <w:iCs/>
                <w:color w:val="auto"/>
                <w:sz w:val="21"/>
                <w:szCs w:val="21"/>
              </w:rPr>
              <w:t>（3）投标人须设立有售后服务网点正规，售后服务人员配备完善，并且签订有授权委托售后服务协议者</w:t>
            </w:r>
            <w:r>
              <w:rPr>
                <w:rFonts w:hint="eastAsia" w:ascii="宋体" w:hAnsi="宋体" w:cs="宋体"/>
                <w:bCs/>
                <w:iCs/>
                <w:color w:val="auto"/>
                <w:sz w:val="21"/>
                <w:szCs w:val="21"/>
                <w:lang w:val="en-US" w:eastAsia="zh-CN"/>
              </w:rPr>
              <w:t>2</w:t>
            </w:r>
            <w:r>
              <w:rPr>
                <w:rFonts w:hint="eastAsia" w:ascii="宋体" w:hAnsi="宋体" w:cs="宋体"/>
                <w:bCs/>
                <w:iCs/>
                <w:color w:val="auto"/>
                <w:sz w:val="21"/>
                <w:szCs w:val="21"/>
              </w:rPr>
              <w:t>分。（开标时提供原件备查）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keepNext w:val="0"/>
              <w:keepLines w:val="0"/>
              <w:pageBreakBefore w:val="0"/>
              <w:widowControl/>
              <w:kinsoku/>
              <w:topLinePunct w:val="0"/>
              <w:bidi w:val="0"/>
              <w:spacing w:line="400" w:lineRule="exact"/>
              <w:jc w:val="center"/>
              <w:rPr>
                <w:rFonts w:hint="default" w:ascii="宋体" w:hAnsi="宋体" w:eastAsia="宋体" w:cs="宋体"/>
                <w:bCs/>
                <w:iCs/>
                <w:color w:val="auto"/>
                <w:kern w:val="2"/>
                <w:sz w:val="21"/>
                <w:szCs w:val="21"/>
                <w:lang w:val="en-US" w:eastAsia="zh-CN" w:bidi="ar-SA"/>
              </w:rPr>
            </w:pPr>
            <w:r>
              <w:rPr>
                <w:rFonts w:hint="default" w:ascii="宋体" w:hAnsi="宋体" w:eastAsia="宋体" w:cs="宋体"/>
                <w:bCs/>
                <w:iCs/>
                <w:color w:val="auto"/>
                <w:kern w:val="2"/>
                <w:sz w:val="21"/>
                <w:szCs w:val="21"/>
                <w:lang w:val="en-US" w:eastAsia="zh-CN" w:bidi="ar-SA"/>
              </w:rPr>
              <w:t>2.2.4</w:t>
            </w:r>
            <w:r>
              <w:rPr>
                <w:rFonts w:hint="eastAsia" w:ascii="宋体" w:hAnsi="宋体" w:eastAsia="宋体" w:cs="宋体"/>
                <w:bCs/>
                <w:iCs/>
                <w:color w:val="auto"/>
                <w:kern w:val="2"/>
                <w:sz w:val="21"/>
                <w:szCs w:val="21"/>
                <w:lang w:val="en-US" w:eastAsia="zh-CN" w:bidi="ar-SA"/>
              </w:rPr>
              <w:t>（</w:t>
            </w:r>
            <w:r>
              <w:rPr>
                <w:rFonts w:hint="default" w:ascii="宋体" w:hAnsi="宋体" w:eastAsia="宋体" w:cs="宋体"/>
                <w:bCs/>
                <w:iCs/>
                <w:color w:val="auto"/>
                <w:kern w:val="2"/>
                <w:sz w:val="21"/>
                <w:szCs w:val="21"/>
                <w:lang w:val="en-US" w:eastAsia="zh-CN" w:bidi="ar-SA"/>
              </w:rPr>
              <w:t>3</w:t>
            </w:r>
            <w:r>
              <w:rPr>
                <w:rFonts w:hint="eastAsia" w:ascii="宋体" w:hAnsi="宋体" w:eastAsia="宋体" w:cs="宋体"/>
                <w:bCs/>
                <w:iCs/>
                <w:color w:val="auto"/>
                <w:kern w:val="2"/>
                <w:sz w:val="21"/>
                <w:szCs w:val="21"/>
                <w:lang w:val="en-US" w:eastAsia="zh-CN" w:bidi="ar-SA"/>
              </w:rPr>
              <w:t>）</w:t>
            </w:r>
          </w:p>
        </w:tc>
        <w:tc>
          <w:tcPr>
            <w:tcW w:w="1439" w:type="dxa"/>
            <w:vAlign w:val="center"/>
          </w:tcPr>
          <w:p>
            <w:pPr>
              <w:keepNext w:val="0"/>
              <w:keepLines w:val="0"/>
              <w:pageBreakBefore w:val="0"/>
              <w:widowControl/>
              <w:kinsoku/>
              <w:topLinePunct w:val="0"/>
              <w:bidi w:val="0"/>
              <w:spacing w:line="400" w:lineRule="exact"/>
              <w:jc w:val="center"/>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投标报价评分标准</w:t>
            </w:r>
          </w:p>
          <w:p>
            <w:pPr>
              <w:keepNext w:val="0"/>
              <w:keepLines w:val="0"/>
              <w:pageBreakBefore w:val="0"/>
              <w:widowControl/>
              <w:kinsoku/>
              <w:topLinePunct w:val="0"/>
              <w:bidi w:val="0"/>
              <w:spacing w:line="400" w:lineRule="exact"/>
              <w:jc w:val="center"/>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（30分）</w:t>
            </w:r>
          </w:p>
        </w:tc>
        <w:tc>
          <w:tcPr>
            <w:tcW w:w="1966" w:type="dxa"/>
            <w:vAlign w:val="center"/>
          </w:tcPr>
          <w:p>
            <w:pPr>
              <w:pStyle w:val="2"/>
              <w:keepNext w:val="0"/>
              <w:keepLines w:val="0"/>
              <w:pageBreakBefore w:val="0"/>
              <w:widowControl w:val="0"/>
              <w:kinsoku/>
              <w:topLinePunct w:val="0"/>
              <w:bidi w:val="0"/>
              <w:spacing w:line="400" w:lineRule="exact"/>
              <w:jc w:val="center"/>
              <w:rPr>
                <w:rFonts w:hint="eastAsia" w:ascii="宋体" w:hAnsi="宋体"/>
                <w:sz w:val="21"/>
              </w:rPr>
            </w:pPr>
          </w:p>
        </w:tc>
        <w:tc>
          <w:tcPr>
            <w:tcW w:w="4574" w:type="dxa"/>
          </w:tcPr>
          <w:p>
            <w:pPr>
              <w:keepNext w:val="0"/>
              <w:keepLines w:val="0"/>
              <w:pageBreakBefore w:val="0"/>
              <w:widowControl/>
              <w:kinsoku/>
              <w:topLinePunct w:val="0"/>
              <w:bidi w:val="0"/>
              <w:spacing w:line="400" w:lineRule="exact"/>
              <w:jc w:val="left"/>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1）评标委员会认为投标人的报价明显低于其他通过符合审查投标人的报价，有可能影响产品质量或者不能诚信履约的，应当要求其在评标现场合理的时地内提出书面说明，必要时提交相关证明材料；投标人不能证明其报价合理性的，评标委员会应当将其作为无效投标处理。</w:t>
            </w:r>
          </w:p>
          <w:p>
            <w:pPr>
              <w:keepNext w:val="0"/>
              <w:keepLines w:val="0"/>
              <w:pageBreakBefore w:val="0"/>
              <w:widowControl/>
              <w:kinsoku/>
              <w:topLinePunct w:val="0"/>
              <w:bidi w:val="0"/>
              <w:spacing w:line="400" w:lineRule="exact"/>
              <w:jc w:val="left"/>
              <w:rPr>
                <w:rFonts w:hint="eastAsia" w:ascii="宋体" w:hAnsi="宋体" w:eastAsia="宋体" w:cs="宋体"/>
                <w:bCs/>
                <w:iCs/>
                <w:color w:val="auto"/>
                <w:kern w:val="2"/>
                <w:sz w:val="21"/>
                <w:szCs w:val="21"/>
                <w:lang w:val="en-US" w:eastAsia="zh-CN" w:bidi="ar-SA"/>
              </w:rPr>
            </w:pPr>
            <w:r>
              <w:rPr>
                <w:rFonts w:hint="eastAsia" w:ascii="宋体" w:hAnsi="宋体" w:eastAsia="宋体" w:cs="宋体"/>
                <w:bCs/>
                <w:iCs/>
                <w:color w:val="auto"/>
                <w:kern w:val="2"/>
                <w:sz w:val="21"/>
                <w:szCs w:val="21"/>
                <w:lang w:val="en-US" w:eastAsia="zh-CN" w:bidi="ar-SA"/>
              </w:rPr>
              <w:t>（2）评标基准价：即满足招标文件要求且投标价格最低投标报价为基准价。</w:t>
            </w:r>
          </w:p>
          <w:p>
            <w:pPr>
              <w:pStyle w:val="2"/>
              <w:keepNext w:val="0"/>
              <w:keepLines w:val="0"/>
              <w:pageBreakBefore w:val="0"/>
              <w:widowControl w:val="0"/>
              <w:kinsoku/>
              <w:topLinePunct w:val="0"/>
              <w:bidi w:val="0"/>
              <w:spacing w:line="400" w:lineRule="exact"/>
              <w:rPr>
                <w:rFonts w:hint="eastAsia" w:ascii="宋体" w:hAnsi="宋体"/>
                <w:sz w:val="21"/>
              </w:rPr>
            </w:pPr>
            <w:r>
              <w:rPr>
                <w:rFonts w:hint="eastAsia" w:ascii="宋体" w:hAnsi="宋体" w:eastAsia="宋体" w:cs="宋体"/>
                <w:bCs/>
                <w:iCs/>
                <w:color w:val="auto"/>
                <w:kern w:val="2"/>
                <w:sz w:val="21"/>
                <w:szCs w:val="21"/>
                <w:lang w:val="en-US" w:eastAsia="zh-CN" w:bidi="ar-SA"/>
              </w:rPr>
              <w:t>（3）价格分统一采用低价优先法计算，最低投标价为3</w:t>
            </w:r>
            <w:r>
              <w:rPr>
                <w:rFonts w:hint="eastAsia" w:ascii="宋体" w:hAnsi="宋体" w:cs="宋体"/>
                <w:bCs/>
                <w:iCs/>
                <w:color w:val="auto"/>
                <w:kern w:val="2"/>
                <w:sz w:val="21"/>
                <w:szCs w:val="21"/>
                <w:lang w:val="en-US" w:eastAsia="zh-CN" w:bidi="ar-SA"/>
              </w:rPr>
              <w:t>0</w:t>
            </w:r>
            <w:r>
              <w:rPr>
                <w:rFonts w:hint="eastAsia" w:ascii="宋体" w:hAnsi="宋体" w:eastAsia="宋体" w:cs="宋体"/>
                <w:bCs/>
                <w:iCs/>
                <w:color w:val="auto"/>
                <w:kern w:val="2"/>
                <w:sz w:val="21"/>
                <w:szCs w:val="21"/>
                <w:lang w:val="en-US" w:eastAsia="zh-CN" w:bidi="ar-SA"/>
              </w:rPr>
              <w:t>分，其他投标报价得分按以下计算公式：投标报价得分 =（评标基准价/投标报价）×3</w:t>
            </w:r>
            <w:r>
              <w:rPr>
                <w:rFonts w:hint="eastAsia" w:ascii="宋体" w:hAnsi="宋体" w:cs="宋体"/>
                <w:bCs/>
                <w:iCs/>
                <w:color w:val="auto"/>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default" w:ascii="宋体" w:hAnsi="宋体"/>
                <w:sz w:val="21"/>
                <w:szCs w:val="22"/>
              </w:rPr>
            </w:pPr>
            <w:r>
              <w:rPr>
                <w:rFonts w:hint="default" w:ascii="宋体" w:hAnsi="宋体"/>
                <w:sz w:val="21"/>
                <w:szCs w:val="22"/>
              </w:rPr>
              <w:t>2.2.4</w:t>
            </w:r>
            <w:r>
              <w:rPr>
                <w:rFonts w:hint="eastAsia" w:ascii="宋体" w:hAnsi="宋体"/>
                <w:sz w:val="21"/>
                <w:szCs w:val="22"/>
              </w:rPr>
              <w:t>（</w:t>
            </w:r>
            <w:r>
              <w:rPr>
                <w:rFonts w:hint="default" w:ascii="宋体" w:hAnsi="宋体"/>
                <w:sz w:val="21"/>
                <w:szCs w:val="22"/>
              </w:rPr>
              <w:t>4</w:t>
            </w:r>
            <w:r>
              <w:rPr>
                <w:rFonts w:hint="eastAsia" w:ascii="宋体" w:hAnsi="宋体"/>
                <w:sz w:val="21"/>
                <w:szCs w:val="22"/>
              </w:rPr>
              <w:t>）</w:t>
            </w:r>
          </w:p>
        </w:tc>
        <w:tc>
          <w:tcPr>
            <w:tcW w:w="1439" w:type="dxa"/>
            <w:vMerge w:val="restart"/>
            <w:vAlign w:val="center"/>
          </w:tcPr>
          <w:p>
            <w:pPr>
              <w:pStyle w:val="2"/>
              <w:keepNext w:val="0"/>
              <w:keepLines w:val="0"/>
              <w:pageBreakBefore w:val="0"/>
              <w:widowControl w:val="0"/>
              <w:kinsoku/>
              <w:topLinePunct w:val="0"/>
              <w:bidi w:val="0"/>
              <w:spacing w:line="400" w:lineRule="exact"/>
              <w:ind w:left="0" w:leftChars="0" w:firstLine="0" w:firstLineChars="0"/>
              <w:jc w:val="center"/>
              <w:rPr>
                <w:rFonts w:hint="eastAsia" w:ascii="宋体" w:hAnsi="宋体"/>
                <w:sz w:val="21"/>
                <w:szCs w:val="21"/>
              </w:rPr>
            </w:pPr>
            <w:r>
              <w:rPr>
                <w:rFonts w:hint="eastAsia" w:ascii="宋体" w:hAnsi="宋体"/>
                <w:sz w:val="21"/>
                <w:szCs w:val="21"/>
              </w:rPr>
              <w:t>其他因素评分标准</w:t>
            </w:r>
          </w:p>
          <w:p>
            <w:pPr>
              <w:pStyle w:val="2"/>
              <w:keepNext w:val="0"/>
              <w:keepLines w:val="0"/>
              <w:pageBreakBefore w:val="0"/>
              <w:widowControl w:val="0"/>
              <w:kinsoku/>
              <w:topLinePunct w:val="0"/>
              <w:bidi w:val="0"/>
              <w:spacing w:line="400" w:lineRule="exact"/>
              <w:jc w:val="center"/>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5分</w:t>
            </w:r>
            <w:r>
              <w:rPr>
                <w:rFonts w:hint="eastAsia" w:ascii="宋体" w:hAnsi="宋体"/>
                <w:sz w:val="21"/>
                <w:szCs w:val="21"/>
                <w:lang w:eastAsia="zh-CN"/>
              </w:rPr>
              <w:t>）</w:t>
            </w:r>
          </w:p>
        </w:tc>
        <w:tc>
          <w:tcPr>
            <w:tcW w:w="1966" w:type="dxa"/>
            <w:vAlign w:val="center"/>
          </w:tcPr>
          <w:p>
            <w:pPr>
              <w:pStyle w:val="2"/>
              <w:keepNext w:val="0"/>
              <w:keepLines w:val="0"/>
              <w:pageBreakBefore w:val="0"/>
              <w:widowControl w:val="0"/>
              <w:kinsoku/>
              <w:topLinePunct w:val="0"/>
              <w:bidi w:val="0"/>
              <w:spacing w:line="400" w:lineRule="exact"/>
              <w:jc w:val="center"/>
              <w:rPr>
                <w:rFonts w:hint="eastAsia" w:ascii="宋体" w:hAnsi="宋体"/>
                <w:sz w:val="21"/>
                <w:szCs w:val="21"/>
              </w:rPr>
            </w:pPr>
            <w:r>
              <w:rPr>
                <w:rFonts w:hint="eastAsia" w:ascii="宋体" w:hAnsi="宋体"/>
                <w:sz w:val="21"/>
                <w:szCs w:val="21"/>
              </w:rPr>
              <w:t>信誉</w:t>
            </w:r>
            <w:r>
              <w:rPr>
                <w:rFonts w:hint="eastAsia" w:ascii="宋体" w:hAnsi="宋体"/>
                <w:sz w:val="21"/>
                <w:szCs w:val="21"/>
                <w:lang w:val="en-US" w:eastAsia="zh-CN"/>
              </w:rPr>
              <w:t xml:space="preserve">   </w:t>
            </w:r>
            <w:r>
              <w:rPr>
                <w:rFonts w:hint="eastAsia" w:ascii="宋体" w:hAnsi="宋体"/>
                <w:sz w:val="21"/>
                <w:szCs w:val="22"/>
                <w:lang w:val="en-US" w:eastAsia="zh-CN"/>
              </w:rPr>
              <w:t>（</w:t>
            </w:r>
            <w:r>
              <w:rPr>
                <w:rFonts w:hint="eastAsia" w:ascii="宋体" w:hAnsi="宋体"/>
                <w:sz w:val="21"/>
                <w:szCs w:val="21"/>
                <w:lang w:val="en-US" w:eastAsia="zh-CN"/>
              </w:rPr>
              <w:t>2分</w:t>
            </w:r>
            <w:r>
              <w:rPr>
                <w:rFonts w:hint="eastAsia" w:ascii="宋体" w:hAnsi="宋体"/>
                <w:sz w:val="21"/>
                <w:szCs w:val="22"/>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right="-246" w:rightChars="-117" w:firstLine="0" w:firstLineChars="0"/>
              <w:rPr>
                <w:rFonts w:hint="eastAsia" w:ascii="宋体" w:hAnsi="宋体"/>
                <w:sz w:val="21"/>
                <w:szCs w:val="21"/>
              </w:rPr>
            </w:pPr>
            <w:r>
              <w:rPr>
                <w:rFonts w:hint="eastAsia" w:ascii="宋体" w:hAnsi="宋体" w:cs="宋体"/>
                <w:bCs/>
                <w:iCs/>
                <w:sz w:val="21"/>
                <w:szCs w:val="21"/>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w:t>
            </w:r>
            <w:r>
              <w:rPr>
                <w:rFonts w:hint="eastAsia" w:ascii="宋体" w:hAnsi="宋体" w:cs="宋体"/>
                <w:bCs/>
                <w:iCs/>
                <w:sz w:val="21"/>
                <w:szCs w:val="21"/>
                <w:lang w:val="en-US" w:eastAsia="zh-CN"/>
              </w:rPr>
              <w:t>2</w:t>
            </w:r>
            <w:r>
              <w:rPr>
                <w:rFonts w:hint="eastAsia" w:ascii="宋体" w:hAnsi="宋体" w:cs="宋体"/>
                <w:bCs/>
                <w:i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pStyle w:val="2"/>
              <w:keepNext w:val="0"/>
              <w:keepLines w:val="0"/>
              <w:pageBreakBefore w:val="0"/>
              <w:widowControl w:val="0"/>
              <w:kinsoku/>
              <w:topLinePunct w:val="0"/>
              <w:bidi w:val="0"/>
              <w:spacing w:line="400" w:lineRule="exact"/>
              <w:ind w:left="0" w:leftChars="0" w:firstLine="0" w:firstLineChars="0"/>
              <w:rPr>
                <w:rFonts w:hint="default" w:ascii="Times New Roman" w:hAnsi="Times New Roman" w:eastAsia="Times New Roman"/>
                <w:w w:val="99"/>
                <w:sz w:val="21"/>
              </w:rPr>
            </w:pPr>
          </w:p>
        </w:tc>
        <w:tc>
          <w:tcPr>
            <w:tcW w:w="1439" w:type="dxa"/>
            <w:vMerge w:val="continue"/>
          </w:tcPr>
          <w:p>
            <w:pPr>
              <w:pStyle w:val="2"/>
              <w:keepNext w:val="0"/>
              <w:keepLines w:val="0"/>
              <w:pageBreakBefore w:val="0"/>
              <w:widowControl w:val="0"/>
              <w:kinsoku/>
              <w:topLinePunct w:val="0"/>
              <w:bidi w:val="0"/>
              <w:spacing w:line="400" w:lineRule="exact"/>
              <w:rPr>
                <w:rFonts w:hint="eastAsia" w:ascii="宋体" w:hAnsi="宋体"/>
                <w:w w:val="99"/>
                <w:sz w:val="21"/>
                <w:szCs w:val="21"/>
              </w:rPr>
            </w:pPr>
          </w:p>
        </w:tc>
        <w:tc>
          <w:tcPr>
            <w:tcW w:w="1966" w:type="dxa"/>
            <w:vAlign w:val="center"/>
          </w:tcPr>
          <w:p>
            <w:pPr>
              <w:pStyle w:val="2"/>
              <w:keepNext w:val="0"/>
              <w:keepLines w:val="0"/>
              <w:pageBreakBefore w:val="0"/>
              <w:widowControl w:val="0"/>
              <w:kinsoku/>
              <w:topLinePunct w:val="0"/>
              <w:bidi w:val="0"/>
              <w:spacing w:line="400" w:lineRule="exact"/>
              <w:jc w:val="center"/>
              <w:rPr>
                <w:rFonts w:hint="eastAsia" w:ascii="宋体" w:hAnsi="宋体"/>
                <w:w w:val="99"/>
                <w:sz w:val="21"/>
                <w:szCs w:val="21"/>
              </w:rPr>
            </w:pPr>
            <w:r>
              <w:rPr>
                <w:rFonts w:hint="eastAsia" w:ascii="宋体" w:hAnsi="宋体" w:cs="宋体"/>
                <w:bCs/>
                <w:iCs/>
                <w:sz w:val="21"/>
                <w:szCs w:val="21"/>
              </w:rPr>
              <w:t>备品、备件供应</w:t>
            </w:r>
            <w:r>
              <w:rPr>
                <w:rFonts w:hint="eastAsia" w:ascii="宋体" w:hAnsi="宋体" w:cs="宋体"/>
                <w:bCs/>
                <w:iCs/>
                <w:sz w:val="21"/>
                <w:szCs w:val="21"/>
                <w:lang w:val="en-US" w:eastAsia="zh-CN"/>
              </w:rPr>
              <w:t xml:space="preserve">  </w:t>
            </w:r>
            <w:r>
              <w:rPr>
                <w:rFonts w:hint="eastAsia" w:ascii="宋体" w:hAnsi="宋体"/>
                <w:sz w:val="21"/>
                <w:szCs w:val="22"/>
                <w:lang w:val="en-US" w:eastAsia="zh-CN"/>
              </w:rPr>
              <w:t>（</w:t>
            </w:r>
            <w:r>
              <w:rPr>
                <w:rFonts w:hint="eastAsia" w:ascii="宋体" w:hAnsi="宋体" w:cs="宋体"/>
                <w:bCs/>
                <w:iCs/>
                <w:sz w:val="21"/>
                <w:szCs w:val="21"/>
                <w:lang w:val="en-US" w:eastAsia="zh-CN"/>
              </w:rPr>
              <w:t>3分</w:t>
            </w:r>
            <w:r>
              <w:rPr>
                <w:rFonts w:hint="eastAsia" w:ascii="宋体" w:hAnsi="宋体"/>
                <w:sz w:val="21"/>
                <w:szCs w:val="22"/>
                <w:lang w:val="en-US" w:eastAsia="zh-CN"/>
              </w:rPr>
              <w:t>）</w:t>
            </w:r>
          </w:p>
        </w:tc>
        <w:tc>
          <w:tcPr>
            <w:tcW w:w="4574" w:type="dxa"/>
          </w:tcPr>
          <w:p>
            <w:pPr>
              <w:pStyle w:val="2"/>
              <w:keepNext w:val="0"/>
              <w:keepLines w:val="0"/>
              <w:pageBreakBefore w:val="0"/>
              <w:widowControl w:val="0"/>
              <w:kinsoku/>
              <w:topLinePunct w:val="0"/>
              <w:bidi w:val="0"/>
              <w:spacing w:line="400" w:lineRule="exact"/>
              <w:ind w:left="0" w:leftChars="0" w:firstLine="0" w:firstLineChars="0"/>
              <w:rPr>
                <w:rFonts w:hint="eastAsia" w:ascii="宋体" w:hAnsi="宋体"/>
                <w:sz w:val="21"/>
                <w:szCs w:val="21"/>
              </w:rPr>
            </w:pPr>
            <w:r>
              <w:rPr>
                <w:rFonts w:hint="eastAsia" w:ascii="宋体" w:hAnsi="宋体" w:cs="宋体"/>
                <w:bCs/>
                <w:iCs/>
                <w:sz w:val="21"/>
                <w:szCs w:val="21"/>
              </w:rPr>
              <w:t>承诺提供试车及三年期的易损件等备品备件且满足招标文件的技术要求的得 1.5  分，每超过一项加0.</w:t>
            </w:r>
            <w:r>
              <w:rPr>
                <w:rFonts w:hint="eastAsia" w:ascii="宋体" w:hAnsi="宋体" w:cs="宋体"/>
                <w:bCs/>
                <w:iCs/>
                <w:sz w:val="21"/>
                <w:szCs w:val="21"/>
                <w:lang w:val="en-US" w:eastAsia="zh-CN"/>
              </w:rPr>
              <w:t>3</w:t>
            </w:r>
            <w:r>
              <w:rPr>
                <w:rFonts w:hint="eastAsia" w:ascii="宋体" w:hAnsi="宋体" w:cs="宋体"/>
                <w:bCs/>
                <w:iCs/>
                <w:sz w:val="21"/>
                <w:szCs w:val="21"/>
              </w:rPr>
              <w:t>分，满分3分。</w:t>
            </w:r>
          </w:p>
        </w:tc>
      </w:tr>
    </w:tbl>
    <w:p>
      <w:pPr>
        <w:keepNext w:val="0"/>
        <w:keepLines w:val="0"/>
        <w:pageBreakBefore w:val="0"/>
        <w:kinsoku/>
        <w:topLinePunct w:val="0"/>
        <w:bidi w:val="0"/>
        <w:spacing w:beforeLines="0" w:afterLines="0" w:line="400" w:lineRule="exact"/>
        <w:jc w:val="left"/>
        <w:rPr>
          <w:rFonts w:hint="default"/>
          <w:sz w:val="24"/>
        </w:rPr>
      </w:pPr>
      <w:bookmarkStart w:id="23" w:name="page42"/>
      <w:bookmarkEnd w:id="23"/>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default" w:ascii="Times New Roman" w:hAnsi="Times New Roman" w:eastAsia="Times New Roman"/>
          <w:b/>
          <w:sz w:val="32"/>
        </w:rPr>
        <w:t xml:space="preserve">1. </w:t>
      </w:r>
      <w:r>
        <w:rPr>
          <w:rFonts w:hint="eastAsia" w:ascii="宋体" w:hAnsi="宋体"/>
          <w:b/>
          <w:sz w:val="32"/>
        </w:rPr>
        <w:t>评标方法</w:t>
      </w:r>
    </w:p>
    <w:p>
      <w:pPr>
        <w:keepNext w:val="0"/>
        <w:keepLines w:val="0"/>
        <w:pageBreakBefore w:val="0"/>
        <w:kinsoku/>
        <w:topLinePunct w:val="0"/>
        <w:bidi w:val="0"/>
        <w:spacing w:beforeLines="0" w:afterLines="0" w:line="400" w:lineRule="exact"/>
        <w:ind w:left="420"/>
        <w:jc w:val="left"/>
        <w:rPr>
          <w:rFonts w:hint="eastAsia" w:ascii="宋体" w:hAnsi="宋体" w:eastAsia="宋体" w:cs="宋体"/>
          <w:color w:val="auto"/>
          <w:sz w:val="21"/>
          <w:szCs w:val="21"/>
        </w:rPr>
      </w:pPr>
      <w:r>
        <w:rPr>
          <w:rFonts w:hint="eastAsia" w:ascii="宋体" w:hAnsi="宋体" w:eastAsia="宋体" w:cs="宋体"/>
          <w:color w:val="auto"/>
          <w:sz w:val="21"/>
          <w:szCs w:val="21"/>
        </w:rPr>
        <w:t>本次评标采用综合评</w:t>
      </w:r>
      <w:r>
        <w:rPr>
          <w:rFonts w:hint="eastAsia" w:ascii="宋体" w:hAnsi="宋体" w:cs="宋体"/>
          <w:color w:val="auto"/>
          <w:sz w:val="21"/>
          <w:szCs w:val="21"/>
          <w:lang w:eastAsia="zh-CN"/>
        </w:rPr>
        <w:t>分</w:t>
      </w:r>
      <w:r>
        <w:rPr>
          <w:rFonts w:hint="eastAsia" w:ascii="宋体" w:hAnsi="宋体" w:eastAsia="宋体" w:cs="宋体"/>
          <w:color w:val="auto"/>
          <w:sz w:val="21"/>
          <w:szCs w:val="21"/>
        </w:rPr>
        <w:t>法。评标委员会对满足招标文件实质性要求的投标文件，按照本章</w:t>
      </w:r>
    </w:p>
    <w:p>
      <w:pPr>
        <w:keepNext w:val="0"/>
        <w:keepLines w:val="0"/>
        <w:pageBreakBefore w:val="0"/>
        <w:kinsoku/>
        <w:topLinePunct w:val="0"/>
        <w:bidi w:val="0"/>
        <w:spacing w:beforeLines="0" w:afterLines="0" w:line="400" w:lineRule="exact"/>
        <w:jc w:val="left"/>
        <w:rPr>
          <w:rFonts w:hint="default"/>
          <w:color w:val="auto"/>
          <w:sz w:val="24"/>
        </w:rPr>
      </w:pPr>
      <w:r>
        <w:rPr>
          <w:rFonts w:hint="eastAsia" w:ascii="宋体" w:hAnsi="宋体" w:eastAsia="宋体" w:cs="宋体"/>
          <w:color w:val="auto"/>
          <w:sz w:val="21"/>
          <w:szCs w:val="21"/>
        </w:rPr>
        <w:t>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keepNext w:val="0"/>
        <w:keepLines w:val="0"/>
        <w:pageBreakBefore w:val="0"/>
        <w:numPr>
          <w:ilvl w:val="0"/>
          <w:numId w:val="40"/>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评审标准</w:t>
      </w:r>
    </w:p>
    <w:p>
      <w:pPr>
        <w:keepNext w:val="0"/>
        <w:keepLines w:val="0"/>
        <w:pageBreakBefore w:val="0"/>
        <w:numPr>
          <w:ilvl w:val="1"/>
          <w:numId w:val="40"/>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color w:val="auto"/>
          <w:sz w:val="28"/>
          <w:lang w:eastAsia="zh-CN"/>
        </w:rPr>
        <w:t>初步</w:t>
      </w:r>
      <w:r>
        <w:rPr>
          <w:rFonts w:hint="eastAsia" w:ascii="宋体" w:hAnsi="宋体"/>
          <w:sz w:val="28"/>
          <w:lang w:eastAsia="zh-CN"/>
        </w:rPr>
        <w:t>评审</w:t>
      </w:r>
      <w:r>
        <w:rPr>
          <w:rFonts w:hint="eastAsia" w:ascii="宋体" w:hAnsi="宋体"/>
          <w:sz w:val="28"/>
        </w:rPr>
        <w:t>标准</w:t>
      </w:r>
    </w:p>
    <w:p>
      <w:pPr>
        <w:keepNext w:val="0"/>
        <w:keepLines w:val="0"/>
        <w:pageBreakBefore w:val="0"/>
        <w:numPr>
          <w:ilvl w:val="2"/>
          <w:numId w:val="4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形式评审标准：见评标办法前附表。</w:t>
      </w:r>
    </w:p>
    <w:p>
      <w:pPr>
        <w:keepNext w:val="0"/>
        <w:keepLines w:val="0"/>
        <w:pageBreakBefore w:val="0"/>
        <w:numPr>
          <w:ilvl w:val="2"/>
          <w:numId w:val="4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资格评审标准：见评标办法前附表。</w:t>
      </w:r>
    </w:p>
    <w:p>
      <w:pPr>
        <w:keepNext w:val="0"/>
        <w:keepLines w:val="0"/>
        <w:pageBreakBefore w:val="0"/>
        <w:numPr>
          <w:ilvl w:val="2"/>
          <w:numId w:val="40"/>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响应性评审标准：见评标办法前附表。</w:t>
      </w:r>
    </w:p>
    <w:p>
      <w:pPr>
        <w:keepNext w:val="0"/>
        <w:keepLines w:val="0"/>
        <w:pageBreakBefore w:val="0"/>
        <w:numPr>
          <w:ilvl w:val="1"/>
          <w:numId w:val="40"/>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分值构成与评分标准</w:t>
      </w:r>
    </w:p>
    <w:p>
      <w:pPr>
        <w:keepNext w:val="0"/>
        <w:keepLines w:val="0"/>
        <w:pageBreakBefore w:val="0"/>
        <w:numPr>
          <w:ilvl w:val="2"/>
          <w:numId w:val="41"/>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分值构成</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）商务部分：见评标办法前附表；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）技术部分：见评标办法前附表；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）投标报价：见评标办法前附表；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）其他评分因素：见评标办法前附表。</w:t>
      </w:r>
    </w:p>
    <w:p>
      <w:pPr>
        <w:keepNext w:val="0"/>
        <w:keepLines w:val="0"/>
        <w:pageBreakBefore w:val="0"/>
        <w:numPr>
          <w:ilvl w:val="0"/>
          <w:numId w:val="42"/>
        </w:numPr>
        <w:tabs>
          <w:tab w:val="left" w:pos="946"/>
          <w:tab w:val="clear" w:pos="720"/>
        </w:tabs>
        <w:kinsoku/>
        <w:overflowPunct w:val="0"/>
        <w:topLinePunct w:val="0"/>
        <w:bidi w:val="0"/>
        <w:spacing w:beforeLines="0" w:afterLines="0" w:line="400" w:lineRule="exact"/>
        <w:ind w:left="420" w:right="854" w:rightChars="0" w:firstLine="0"/>
        <w:jc w:val="left"/>
        <w:rPr>
          <w:rFonts w:hint="default" w:ascii="Times New Roman" w:hAnsi="Times New Roman" w:eastAsia="Times New Roman"/>
          <w:sz w:val="21"/>
        </w:rPr>
      </w:pPr>
      <w:r>
        <w:rPr>
          <w:rFonts w:hint="eastAsia" w:ascii="宋体" w:hAnsi="宋体"/>
          <w:sz w:val="21"/>
        </w:rPr>
        <w:t>评标基准价计算评标基准价计算方法：见评标办法前附表。</w:t>
      </w:r>
    </w:p>
    <w:p>
      <w:pPr>
        <w:keepNext w:val="0"/>
        <w:keepLines w:val="0"/>
        <w:pageBreakBefore w:val="0"/>
        <w:numPr>
          <w:ilvl w:val="0"/>
          <w:numId w:val="42"/>
        </w:numPr>
        <w:tabs>
          <w:tab w:val="left" w:pos="940"/>
          <w:tab w:val="clear" w:pos="720"/>
        </w:tabs>
        <w:kinsoku/>
        <w:overflowPunct w:val="0"/>
        <w:topLinePunct w:val="0"/>
        <w:bidi w:val="0"/>
        <w:spacing w:beforeLines="0" w:afterLines="0" w:line="400" w:lineRule="exact"/>
        <w:ind w:left="940" w:hanging="520"/>
        <w:rPr>
          <w:rFonts w:hint="default"/>
          <w:sz w:val="24"/>
        </w:rPr>
      </w:pPr>
      <w:r>
        <w:rPr>
          <w:rFonts w:hint="eastAsia" w:ascii="宋体" w:hAnsi="宋体"/>
          <w:sz w:val="21"/>
        </w:rPr>
        <w:t>投标报价的偏差率计算</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投标报价的偏差率计算公式：见评标办法前附表。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2.2.4 </w:t>
      </w:r>
      <w:r>
        <w:rPr>
          <w:rFonts w:hint="eastAsia" w:ascii="宋体" w:hAnsi="宋体"/>
          <w:sz w:val="21"/>
        </w:rPr>
        <w:t>评分标准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）商务评分标准：见评标办法前附表；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）技术评分标准：见评标办法前附表；</w:t>
      </w:r>
    </w:p>
    <w:p>
      <w:pPr>
        <w:keepNext w:val="0"/>
        <w:keepLines w:val="0"/>
        <w:pageBreakBefore w:val="0"/>
        <w:numPr>
          <w:ilvl w:val="0"/>
          <w:numId w:val="19"/>
        </w:numPr>
        <w:kinsoku/>
        <w:topLinePunct w:val="0"/>
        <w:bidi w:val="0"/>
        <w:spacing w:beforeLines="0" w:afterLines="0" w:line="400" w:lineRule="exact"/>
        <w:ind w:left="636" w:leftChars="200" w:hanging="216" w:firstLineChars="0"/>
        <w:jc w:val="left"/>
        <w:rPr>
          <w:rFonts w:hint="eastAsia" w:ascii="宋体" w:hAnsi="宋体"/>
          <w:sz w:val="21"/>
        </w:rPr>
      </w:pPr>
      <w:r>
        <w:rPr>
          <w:rFonts w:hint="eastAsia" w:ascii="宋体" w:hAnsi="宋体"/>
          <w:sz w:val="21"/>
        </w:rPr>
        <w:t>投标报价评分标准：见评标办法前附表；</w:t>
      </w:r>
    </w:p>
    <w:p>
      <w:pPr>
        <w:pStyle w:val="2"/>
        <w:keepNext w:val="0"/>
        <w:keepLines w:val="0"/>
        <w:pageBreakBefore w:val="0"/>
        <w:numPr>
          <w:ilvl w:val="0"/>
          <w:numId w:val="19"/>
        </w:numPr>
        <w:kinsoku/>
        <w:topLinePunct w:val="0"/>
        <w:bidi w:val="0"/>
        <w:spacing w:line="400" w:lineRule="exact"/>
        <w:ind w:left="0" w:leftChars="0" w:firstLine="420" w:firstLineChars="200"/>
        <w:rPr>
          <w:rFonts w:hint="default"/>
        </w:rPr>
      </w:pPr>
      <w:r>
        <w:rPr>
          <w:rFonts w:hint="eastAsia" w:ascii="宋体" w:hAnsi="宋体"/>
          <w:sz w:val="21"/>
        </w:rPr>
        <w:t>其他因素评分标准：见评标办法前附表。</w:t>
      </w:r>
    </w:p>
    <w:p>
      <w:pPr>
        <w:keepNext w:val="0"/>
        <w:keepLines w:val="0"/>
        <w:pageBreakBefore w:val="0"/>
        <w:numPr>
          <w:ilvl w:val="0"/>
          <w:numId w:val="43"/>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bookmarkStart w:id="24" w:name="page43"/>
      <w:bookmarkEnd w:id="24"/>
      <w:r>
        <w:rPr>
          <w:rFonts w:hint="eastAsia" w:ascii="宋体" w:hAnsi="宋体"/>
          <w:b/>
          <w:sz w:val="32"/>
        </w:rPr>
        <w:t>评标程序</w:t>
      </w:r>
    </w:p>
    <w:p>
      <w:pPr>
        <w:keepNext w:val="0"/>
        <w:keepLines w:val="0"/>
        <w:pageBreakBefore w:val="0"/>
        <w:numPr>
          <w:ilvl w:val="1"/>
          <w:numId w:val="43"/>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color w:val="auto"/>
          <w:sz w:val="28"/>
          <w:lang w:eastAsia="zh-CN"/>
        </w:rPr>
        <w:t>初步</w:t>
      </w:r>
      <w:r>
        <w:rPr>
          <w:rFonts w:hint="eastAsia" w:ascii="宋体" w:hAnsi="宋体"/>
          <w:sz w:val="28"/>
        </w:rPr>
        <w:t>评审</w:t>
      </w:r>
    </w:p>
    <w:p>
      <w:pPr>
        <w:keepNext w:val="0"/>
        <w:keepLines w:val="0"/>
        <w:pageBreakBefore w:val="0"/>
        <w:numPr>
          <w:ilvl w:val="2"/>
          <w:numId w:val="43"/>
        </w:numPr>
        <w:tabs>
          <w:tab w:val="left" w:pos="946"/>
        </w:tabs>
        <w:kinsoku/>
        <w:overflowPunct w:val="0"/>
        <w:topLinePunct w:val="0"/>
        <w:bidi w:val="0"/>
        <w:spacing w:beforeLines="0" w:afterLines="0" w:line="400" w:lineRule="exact"/>
        <w:ind w:left="0" w:right="20" w:firstLine="420"/>
        <w:rPr>
          <w:rFonts w:hint="default" w:ascii="Times New Roman" w:hAnsi="Times New Roman" w:eastAsia="Times New Roman"/>
          <w:sz w:val="21"/>
        </w:rPr>
      </w:pPr>
      <w:r>
        <w:rPr>
          <w:rFonts w:hint="eastAsia" w:ascii="宋体" w:hAnsi="宋体"/>
          <w:sz w:val="21"/>
        </w:rPr>
        <w:t>评标委员会可以要求投标人提交第二章</w:t>
      </w:r>
      <w:r>
        <w:rPr>
          <w:rFonts w:hint="default" w:ascii="Times New Roman" w:hAnsi="Times New Roman" w:eastAsia="Times New Roman"/>
          <w:sz w:val="21"/>
        </w:rPr>
        <w:t>“</w:t>
      </w:r>
      <w:r>
        <w:rPr>
          <w:rFonts w:hint="eastAsia" w:ascii="宋体" w:hAnsi="宋体"/>
          <w:sz w:val="21"/>
        </w:rPr>
        <w:t>投标人须知</w:t>
      </w:r>
      <w:r>
        <w:rPr>
          <w:rFonts w:hint="default" w:ascii="Times New Roman" w:hAnsi="Times New Roman" w:eastAsia="Times New Roman"/>
          <w:sz w:val="21"/>
        </w:rPr>
        <w:t>”</w:t>
      </w:r>
      <w:r>
        <w:rPr>
          <w:rFonts w:hint="eastAsia" w:ascii="宋体" w:hAnsi="宋体"/>
          <w:sz w:val="21"/>
        </w:rPr>
        <w:t xml:space="preserve">规定的有关证明和证件的原件，以便核验。评标委员会依据本章第 </w:t>
      </w:r>
      <w:r>
        <w:rPr>
          <w:rFonts w:hint="default" w:ascii="Times New Roman" w:hAnsi="Times New Roman" w:eastAsia="Times New Roman"/>
          <w:sz w:val="21"/>
        </w:rPr>
        <w:t>2.1</w:t>
      </w:r>
      <w:r>
        <w:rPr>
          <w:rFonts w:hint="eastAsia" w:ascii="宋体" w:hAnsi="宋体"/>
          <w:sz w:val="21"/>
        </w:rPr>
        <w:t xml:space="preserve"> 款规定的标准对投标文件进行初步评审。有一项不符合评审标准的，评标委员会应当否决其投标。</w:t>
      </w:r>
    </w:p>
    <w:p>
      <w:pPr>
        <w:keepNext w:val="0"/>
        <w:keepLines w:val="0"/>
        <w:pageBreakBefore w:val="0"/>
        <w:numPr>
          <w:ilvl w:val="2"/>
          <w:numId w:val="43"/>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投标人有以下情形之一的，评标委员会应当否决其投标：</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）投标文件没有对招标文件的实质性要求和条件作出响应，或者对招标文件的偏差超出招标文件规定的偏差范围或最高项数；</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）有串通投标、弄虚作假、行贿等违法行为。</w:t>
      </w:r>
    </w:p>
    <w:p>
      <w:pPr>
        <w:keepNext w:val="0"/>
        <w:keepLines w:val="0"/>
        <w:pageBreakBefore w:val="0"/>
        <w:numPr>
          <w:ilvl w:val="2"/>
          <w:numId w:val="43"/>
        </w:numPr>
        <w:tabs>
          <w:tab w:val="left" w:pos="1050"/>
          <w:tab w:val="clear" w:pos="2160"/>
        </w:tabs>
        <w:kinsoku/>
        <w:overflowPunct w:val="0"/>
        <w:topLinePunct w:val="0"/>
        <w:bidi w:val="0"/>
        <w:spacing w:beforeLines="0" w:afterLines="0" w:line="400" w:lineRule="exact"/>
        <w:ind w:left="0" w:leftChars="0" w:firstLine="420" w:firstLineChars="200"/>
        <w:rPr>
          <w:rFonts w:hint="default" w:ascii="Times New Roman" w:hAnsi="Times New Roman" w:eastAsia="Times New Roman"/>
          <w:sz w:val="20"/>
        </w:rPr>
      </w:pPr>
      <w:r>
        <w:rPr>
          <w:rFonts w:hint="eastAsia" w:ascii="宋体" w:hAnsi="宋体"/>
          <w:sz w:val="21"/>
        </w:rPr>
        <w:t>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numPr>
          <w:ilvl w:val="0"/>
          <w:numId w:val="44"/>
        </w:numPr>
        <w:kinsoku/>
        <w:overflowPunct w:val="0"/>
        <w:topLinePunct w:val="0"/>
        <w:bidi w:val="0"/>
        <w:spacing w:beforeLines="0" w:afterLines="0" w:line="400" w:lineRule="exact"/>
        <w:ind w:left="420" w:right="120"/>
        <w:jc w:val="left"/>
        <w:rPr>
          <w:rFonts w:hint="eastAsia" w:ascii="宋体" w:hAnsi="宋体"/>
          <w:sz w:val="21"/>
        </w:rPr>
      </w:pPr>
      <w:r>
        <w:rPr>
          <w:rFonts w:hint="eastAsia" w:ascii="宋体" w:hAnsi="宋体"/>
          <w:sz w:val="21"/>
        </w:rPr>
        <w:t>投标文件中的大写金额与小写金额不一致的，以大写金额为准；</w:t>
      </w:r>
    </w:p>
    <w:p>
      <w:pPr>
        <w:keepNext w:val="0"/>
        <w:keepLines w:val="0"/>
        <w:pageBreakBefore w:val="0"/>
        <w:numPr>
          <w:ilvl w:val="0"/>
          <w:numId w:val="0"/>
        </w:numPr>
        <w:kinsoku/>
        <w:overflowPunct w:val="0"/>
        <w:topLinePunct w:val="0"/>
        <w:bidi w:val="0"/>
        <w:spacing w:beforeLines="0" w:afterLines="0" w:line="400" w:lineRule="exact"/>
        <w:ind w:left="0" w:leftChars="0" w:right="120" w:rightChars="0" w:firstLine="420" w:firstLineChars="200"/>
        <w:jc w:val="left"/>
        <w:rPr>
          <w:rFonts w:hint="default" w:ascii="Times New Roman" w:hAnsi="Times New Roman" w:eastAsia="Times New Roman"/>
          <w:sz w:val="20"/>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）总价金额与单价金额不一致的，以单价金额为准，但单价金额小数点有明显错误的除外；</w:t>
      </w:r>
    </w:p>
    <w:p>
      <w:pPr>
        <w:keepNext w:val="0"/>
        <w:keepLines w:val="0"/>
        <w:pageBreakBefore w:val="0"/>
        <w:kinsoku/>
        <w:overflowPunct w:val="0"/>
        <w:topLinePunct w:val="0"/>
        <w:bidi w:val="0"/>
        <w:spacing w:beforeLines="0" w:afterLines="0" w:line="400" w:lineRule="exact"/>
        <w:ind w:right="120" w:firstLine="420"/>
        <w:rPr>
          <w:rFonts w:hint="default" w:ascii="Times New Roman" w:hAnsi="Times New Roman" w:eastAsia="Times New Roman"/>
          <w:sz w:val="20"/>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）投标报价为各分项报价金额之和，投标报价与分项报价的合价不一致的，应以各分项合价累计数为准，修正投标报价；</w:t>
      </w:r>
    </w:p>
    <w:p>
      <w:pPr>
        <w:keepNext w:val="0"/>
        <w:keepLines w:val="0"/>
        <w:pageBreakBefore w:val="0"/>
        <w:kinsoku/>
        <w:overflowPunct w:val="0"/>
        <w:topLinePunct w:val="0"/>
        <w:bidi w:val="0"/>
        <w:spacing w:beforeLines="0" w:afterLines="0" w:line="400" w:lineRule="exact"/>
        <w:ind w:left="420"/>
        <w:rPr>
          <w:rFonts w:hint="default" w:ascii="Times New Roman" w:hAnsi="Times New Roman" w:eastAsia="Times New Roman"/>
          <w:sz w:val="20"/>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）如果分项报价中存在缺漏项，则视为缺漏项价格已包含在其他分项报价之中。</w:t>
      </w:r>
    </w:p>
    <w:p>
      <w:pPr>
        <w:keepNext w:val="0"/>
        <w:keepLines w:val="0"/>
        <w:pageBreakBefore w:val="0"/>
        <w:numPr>
          <w:ilvl w:val="0"/>
          <w:numId w:val="45"/>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详细评审</w:t>
      </w:r>
    </w:p>
    <w:p>
      <w:pPr>
        <w:keepNext w:val="0"/>
        <w:keepLines w:val="0"/>
        <w:pageBreakBefore w:val="0"/>
        <w:numPr>
          <w:ilvl w:val="1"/>
          <w:numId w:val="45"/>
        </w:numPr>
        <w:tabs>
          <w:tab w:val="left" w:pos="946"/>
        </w:tabs>
        <w:kinsoku/>
        <w:overflowPunct w:val="0"/>
        <w:topLinePunct w:val="0"/>
        <w:bidi w:val="0"/>
        <w:spacing w:beforeLines="0" w:afterLines="0" w:line="400" w:lineRule="exact"/>
        <w:ind w:left="0" w:leftChars="0" w:firstLine="420" w:firstLineChars="200"/>
        <w:jc w:val="left"/>
        <w:rPr>
          <w:rFonts w:hint="default" w:ascii="Times New Roman" w:hAnsi="Times New Roman" w:eastAsia="Times New Roman"/>
          <w:sz w:val="21"/>
        </w:rPr>
      </w:pPr>
      <w:r>
        <w:rPr>
          <w:rFonts w:hint="eastAsia" w:ascii="宋体" w:hAnsi="宋体" w:eastAsia="宋体" w:cs="宋体"/>
          <w:sz w:val="21"/>
        </w:rPr>
        <w:t>评标委员会按本章第 2.2 款规定的量化因素和分值进行打分，并计算出综合评估得分。（1）按本章第 2.2.4（1）目规定的评审因素和分值对商务部分计算出得分 A；（2）按本章第 2.2.4（2）目规定的评审因素和分值对技术部分计算出得分 B；（3）按本章第 2.2.4（3）目规定的评审因素和分值对投标报价计算出得分 C；（4）按本章第 2.2.4（4）目规定的评审因素和分值对其他部分计算出得分 D。</w:t>
      </w:r>
    </w:p>
    <w:p>
      <w:pPr>
        <w:keepNext w:val="0"/>
        <w:keepLines w:val="0"/>
        <w:pageBreakBefore w:val="0"/>
        <w:numPr>
          <w:ilvl w:val="1"/>
          <w:numId w:val="45"/>
        </w:numPr>
        <w:tabs>
          <w:tab w:val="left" w:pos="940"/>
          <w:tab w:val="left" w:pos="1060"/>
          <w:tab w:val="clear" w:pos="1440"/>
        </w:tabs>
        <w:kinsoku/>
        <w:overflowPunct w:val="0"/>
        <w:topLinePunct w:val="0"/>
        <w:bidi w:val="0"/>
        <w:spacing w:beforeLines="0" w:afterLines="0" w:line="400" w:lineRule="exact"/>
        <w:ind w:left="940" w:hanging="520"/>
        <w:rPr>
          <w:rFonts w:hint="eastAsia" w:ascii="宋体" w:hAnsi="宋体" w:eastAsia="宋体" w:cs="宋体"/>
          <w:sz w:val="21"/>
        </w:rPr>
      </w:pPr>
      <w:r>
        <w:rPr>
          <w:rFonts w:hint="eastAsia" w:ascii="宋体" w:hAnsi="宋体" w:eastAsia="宋体" w:cs="宋体"/>
          <w:sz w:val="21"/>
        </w:rPr>
        <w:t>评分分值计算保留小数点后两位，小数点后第三位“四舍五入”。</w:t>
      </w:r>
    </w:p>
    <w:p>
      <w:pPr>
        <w:keepNext w:val="0"/>
        <w:keepLines w:val="0"/>
        <w:pageBreakBefore w:val="0"/>
        <w:numPr>
          <w:ilvl w:val="1"/>
          <w:numId w:val="45"/>
        </w:numPr>
        <w:tabs>
          <w:tab w:val="left" w:pos="940"/>
          <w:tab w:val="left" w:pos="1060"/>
          <w:tab w:val="clear" w:pos="1440"/>
        </w:tabs>
        <w:kinsoku/>
        <w:overflowPunct w:val="0"/>
        <w:topLinePunct w:val="0"/>
        <w:bidi w:val="0"/>
        <w:spacing w:beforeLines="0" w:afterLines="0" w:line="400" w:lineRule="exact"/>
        <w:ind w:left="940" w:hanging="520"/>
        <w:rPr>
          <w:rFonts w:hint="eastAsia" w:ascii="宋体" w:hAnsi="宋体" w:eastAsia="宋体" w:cs="宋体"/>
          <w:sz w:val="21"/>
        </w:rPr>
      </w:pPr>
      <w:r>
        <w:rPr>
          <w:rFonts w:hint="eastAsia" w:ascii="宋体" w:hAnsi="宋体" w:eastAsia="宋体" w:cs="宋体"/>
          <w:sz w:val="21"/>
        </w:rPr>
        <w:t>投标人得分=A+B+C+D。</w:t>
      </w:r>
    </w:p>
    <w:p>
      <w:pPr>
        <w:keepNext w:val="0"/>
        <w:keepLines w:val="0"/>
        <w:pageBreakBefore w:val="0"/>
        <w:numPr>
          <w:ilvl w:val="1"/>
          <w:numId w:val="45"/>
        </w:numPr>
        <w:tabs>
          <w:tab w:val="left" w:pos="946"/>
        </w:tabs>
        <w:kinsoku/>
        <w:overflowPunct w:val="0"/>
        <w:topLinePunct w:val="0"/>
        <w:bidi w:val="0"/>
        <w:spacing w:beforeLines="0" w:afterLines="0" w:line="400" w:lineRule="exact"/>
        <w:ind w:left="0" w:right="120" w:firstLine="420"/>
        <w:rPr>
          <w:rFonts w:hint="default" w:ascii="Times New Roman" w:hAnsi="Times New Roman" w:eastAsia="Times New Roman"/>
          <w:sz w:val="21"/>
          <w:szCs w:val="21"/>
        </w:rPr>
      </w:pPr>
      <w:r>
        <w:rPr>
          <w:rFonts w:hint="eastAsia" w:ascii="宋体" w:hAnsi="宋体"/>
          <w:sz w:val="21"/>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numPr>
          <w:ilvl w:val="0"/>
          <w:numId w:val="46"/>
        </w:numPr>
        <w:tabs>
          <w:tab w:val="left" w:pos="483"/>
          <w:tab w:val="clear" w:pos="720"/>
        </w:tabs>
        <w:kinsoku/>
        <w:overflowPunct w:val="0"/>
        <w:topLinePunct w:val="0"/>
        <w:bidi w:val="0"/>
        <w:spacing w:beforeLines="0" w:afterLines="0" w:line="400" w:lineRule="exact"/>
        <w:ind w:left="483" w:hanging="483"/>
        <w:rPr>
          <w:rFonts w:hint="default" w:ascii="Times New Roman" w:hAnsi="Times New Roman" w:eastAsia="Times New Roman"/>
          <w:sz w:val="28"/>
        </w:rPr>
      </w:pPr>
      <w:bookmarkStart w:id="25" w:name="page44"/>
      <w:bookmarkEnd w:id="25"/>
      <w:r>
        <w:rPr>
          <w:rFonts w:hint="eastAsia" w:ascii="宋体" w:hAnsi="宋体"/>
          <w:sz w:val="28"/>
        </w:rPr>
        <w:t>投标文件的澄清</w:t>
      </w:r>
    </w:p>
    <w:p>
      <w:pPr>
        <w:keepNext w:val="0"/>
        <w:keepLines w:val="0"/>
        <w:pageBreakBefore w:val="0"/>
        <w:numPr>
          <w:ilvl w:val="1"/>
          <w:numId w:val="46"/>
        </w:numPr>
        <w:tabs>
          <w:tab w:val="left" w:pos="808"/>
        </w:tabs>
        <w:kinsoku/>
        <w:overflowPunct w:val="0"/>
        <w:topLinePunct w:val="0"/>
        <w:bidi w:val="0"/>
        <w:spacing w:beforeLines="0" w:afterLines="0" w:line="400" w:lineRule="exact"/>
        <w:ind w:left="-137" w:right="120" w:firstLine="420"/>
        <w:rPr>
          <w:rFonts w:hint="default" w:ascii="Times New Roman" w:hAnsi="Times New Roman" w:eastAsia="Times New Roman"/>
          <w:sz w:val="21"/>
        </w:rPr>
      </w:pPr>
      <w:r>
        <w:rPr>
          <w:rFonts w:hint="eastAsia" w:ascii="宋体" w:hAnsi="宋体"/>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numPr>
          <w:ilvl w:val="1"/>
          <w:numId w:val="46"/>
        </w:numPr>
        <w:tabs>
          <w:tab w:val="left" w:pos="808"/>
        </w:tabs>
        <w:kinsoku/>
        <w:overflowPunct w:val="0"/>
        <w:topLinePunct w:val="0"/>
        <w:bidi w:val="0"/>
        <w:spacing w:beforeLines="0" w:afterLines="0" w:line="400" w:lineRule="exact"/>
        <w:ind w:left="-137" w:right="120" w:firstLine="420"/>
        <w:rPr>
          <w:rFonts w:hint="default" w:ascii="Times New Roman" w:hAnsi="Times New Roman" w:eastAsia="Times New Roman"/>
          <w:sz w:val="21"/>
        </w:rPr>
      </w:pPr>
      <w:r>
        <w:rPr>
          <w:rFonts w:hint="eastAsia" w:ascii="宋体" w:hAnsi="宋体"/>
          <w:sz w:val="21"/>
        </w:rPr>
        <w:t>澄清、说明或补正不得超出投标文件的范围且不得改变投标文件的实质性内容，并构成投标文件的组成部分。</w:t>
      </w:r>
    </w:p>
    <w:p>
      <w:pPr>
        <w:keepNext w:val="0"/>
        <w:keepLines w:val="0"/>
        <w:pageBreakBefore w:val="0"/>
        <w:numPr>
          <w:ilvl w:val="1"/>
          <w:numId w:val="46"/>
        </w:numPr>
        <w:tabs>
          <w:tab w:val="left" w:pos="808"/>
        </w:tabs>
        <w:kinsoku/>
        <w:overflowPunct w:val="0"/>
        <w:topLinePunct w:val="0"/>
        <w:bidi w:val="0"/>
        <w:spacing w:beforeLines="0" w:afterLines="0" w:line="400" w:lineRule="exact"/>
        <w:ind w:left="-137" w:firstLine="420"/>
        <w:rPr>
          <w:rFonts w:hint="default" w:ascii="Times New Roman" w:hAnsi="Times New Roman" w:eastAsia="Times New Roman"/>
          <w:sz w:val="21"/>
        </w:rPr>
      </w:pPr>
      <w:r>
        <w:rPr>
          <w:rFonts w:hint="eastAsia" w:ascii="宋体" w:hAnsi="宋体"/>
          <w:sz w:val="21"/>
        </w:rPr>
        <w:t>评标委员会对投标人提交的澄清、说明或补正有疑问的，可以要求投标人进一步澄清、说明或补正，直至满足评标委员会的要求。</w:t>
      </w:r>
    </w:p>
    <w:p>
      <w:pPr>
        <w:keepNext w:val="0"/>
        <w:keepLines w:val="0"/>
        <w:pageBreakBefore w:val="0"/>
        <w:numPr>
          <w:ilvl w:val="0"/>
          <w:numId w:val="46"/>
        </w:numPr>
        <w:tabs>
          <w:tab w:val="left" w:pos="483"/>
          <w:tab w:val="clear" w:pos="720"/>
        </w:tabs>
        <w:kinsoku/>
        <w:overflowPunct w:val="0"/>
        <w:topLinePunct w:val="0"/>
        <w:bidi w:val="0"/>
        <w:spacing w:beforeLines="0" w:afterLines="0" w:line="400" w:lineRule="exact"/>
        <w:ind w:left="483" w:hanging="483"/>
        <w:rPr>
          <w:rFonts w:hint="default" w:ascii="Times New Roman" w:hAnsi="Times New Roman" w:eastAsia="Times New Roman"/>
          <w:sz w:val="28"/>
        </w:rPr>
      </w:pPr>
      <w:r>
        <w:rPr>
          <w:rFonts w:hint="eastAsia" w:ascii="宋体" w:hAnsi="宋体"/>
          <w:sz w:val="28"/>
        </w:rPr>
        <w:t>评标结果</w:t>
      </w:r>
    </w:p>
    <w:p>
      <w:pPr>
        <w:keepNext w:val="0"/>
        <w:keepLines w:val="0"/>
        <w:pageBreakBefore w:val="0"/>
        <w:numPr>
          <w:ilvl w:val="1"/>
          <w:numId w:val="47"/>
        </w:numPr>
        <w:tabs>
          <w:tab w:val="left" w:pos="808"/>
        </w:tabs>
        <w:kinsoku/>
        <w:overflowPunct w:val="0"/>
        <w:topLinePunct w:val="0"/>
        <w:bidi w:val="0"/>
        <w:spacing w:beforeLines="0" w:afterLines="0" w:line="400" w:lineRule="exact"/>
        <w:ind w:left="-137" w:right="120" w:firstLine="420"/>
        <w:rPr>
          <w:rFonts w:hint="default" w:ascii="Times New Roman" w:hAnsi="Times New Roman" w:eastAsia="Times New Roman"/>
          <w:sz w:val="21"/>
        </w:rPr>
      </w:pPr>
      <w:r>
        <w:rPr>
          <w:rFonts w:hint="eastAsia" w:ascii="宋体" w:hAnsi="宋体"/>
          <w:sz w:val="21"/>
        </w:rPr>
        <w:t>除第二章</w:t>
      </w:r>
      <w:r>
        <w:rPr>
          <w:rFonts w:hint="default" w:ascii="Times New Roman" w:hAnsi="Times New Roman" w:eastAsia="Times New Roman"/>
          <w:sz w:val="21"/>
        </w:rPr>
        <w:t>“</w:t>
      </w:r>
      <w:r>
        <w:rPr>
          <w:rFonts w:hint="eastAsia" w:ascii="宋体" w:hAnsi="宋体"/>
          <w:sz w:val="21"/>
        </w:rPr>
        <w:t>投标人须知</w:t>
      </w:r>
      <w:r>
        <w:rPr>
          <w:rFonts w:hint="default" w:ascii="Times New Roman" w:hAnsi="Times New Roman" w:eastAsia="Times New Roman"/>
          <w:sz w:val="21"/>
        </w:rPr>
        <w:t>”</w:t>
      </w:r>
      <w:r>
        <w:rPr>
          <w:rFonts w:hint="eastAsia" w:ascii="宋体" w:hAnsi="宋体"/>
          <w:sz w:val="21"/>
        </w:rPr>
        <w:t>前附表授权直接确定中标人外，评标委员会按照得分由高到低的顺序推荐中标候选人，并标明排序。</w:t>
      </w:r>
    </w:p>
    <w:p>
      <w:pPr>
        <w:keepNext w:val="0"/>
        <w:keepLines w:val="0"/>
        <w:pageBreakBefore w:val="0"/>
        <w:numPr>
          <w:ilvl w:val="1"/>
          <w:numId w:val="47"/>
        </w:numPr>
        <w:tabs>
          <w:tab w:val="left" w:pos="803"/>
        </w:tabs>
        <w:kinsoku/>
        <w:overflowPunct w:val="0"/>
        <w:topLinePunct w:val="0"/>
        <w:bidi w:val="0"/>
        <w:spacing w:beforeLines="0" w:afterLines="0" w:line="400" w:lineRule="exact"/>
        <w:ind w:left="803" w:hanging="520"/>
        <w:rPr>
          <w:rFonts w:hint="default" w:ascii="Times New Roman" w:hAnsi="Times New Roman" w:eastAsia="Times New Roman"/>
          <w:sz w:val="21"/>
        </w:rPr>
      </w:pPr>
      <w:r>
        <w:rPr>
          <w:rFonts w:hint="eastAsia" w:ascii="宋体" w:hAnsi="宋体"/>
          <w:sz w:val="21"/>
        </w:rPr>
        <w:t>评标委员会完成评标后，应当向招标人提交书面评标报告和中标候选人名单。</w:t>
      </w:r>
    </w:p>
    <w:p>
      <w:pPr>
        <w:keepNext w:val="0"/>
        <w:keepLines w:val="0"/>
        <w:pageBreakBefore w:val="0"/>
        <w:kinsoku/>
        <w:topLinePunct w:val="0"/>
        <w:bidi w:val="0"/>
        <w:spacing w:beforeLines="0" w:afterLines="0" w:line="400" w:lineRule="exact"/>
        <w:jc w:val="lef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keepNext w:val="0"/>
        <w:keepLines w:val="0"/>
        <w:pageBreakBefore w:val="0"/>
        <w:kinsoku/>
        <w:topLinePunct w:val="0"/>
        <w:bidi w:val="0"/>
        <w:spacing w:beforeLines="0" w:afterLines="0" w:line="240" w:lineRule="auto"/>
        <w:ind w:firstLine="1727" w:firstLineChars="400"/>
        <w:jc w:val="left"/>
        <w:rPr>
          <w:rFonts w:hint="default"/>
          <w:sz w:val="24"/>
        </w:rPr>
      </w:pPr>
      <w:bookmarkStart w:id="26" w:name="page45"/>
      <w:bookmarkEnd w:id="26"/>
      <w:r>
        <w:rPr>
          <w:rFonts w:hint="eastAsia" w:ascii="宋体" w:hAnsi="宋体"/>
          <w:b/>
          <w:sz w:val="43"/>
        </w:rPr>
        <w:t>第四章</w:t>
      </w:r>
      <w:r>
        <w:rPr>
          <w:rFonts w:hint="eastAsia" w:ascii="宋体" w:hAnsi="宋体"/>
          <w:b/>
          <w:sz w:val="43"/>
          <w:lang w:val="en-US" w:eastAsia="zh-CN"/>
        </w:rPr>
        <w:t xml:space="preserve">   </w:t>
      </w:r>
      <w:r>
        <w:rPr>
          <w:rFonts w:hint="eastAsia" w:ascii="宋体" w:hAnsi="宋体"/>
          <w:b/>
          <w:sz w:val="43"/>
        </w:rPr>
        <w:t>合同条款及格式</w:t>
      </w:r>
    </w:p>
    <w:p>
      <w:pPr>
        <w:keepNext w:val="0"/>
        <w:keepLines w:val="0"/>
        <w:pageBreakBefore w:val="0"/>
        <w:kinsoku/>
        <w:topLinePunct w:val="0"/>
        <w:bidi w:val="0"/>
        <w:spacing w:beforeLines="0" w:afterLines="0" w:line="400" w:lineRule="exact"/>
        <w:ind w:firstLine="2570" w:firstLineChars="800"/>
        <w:jc w:val="left"/>
        <w:rPr>
          <w:rFonts w:hint="eastAsia" w:ascii="宋体" w:hAnsi="宋体"/>
          <w:b/>
          <w:sz w:val="32"/>
        </w:rPr>
      </w:pPr>
      <w:bookmarkStart w:id="27" w:name="page50"/>
      <w:bookmarkEnd w:id="27"/>
    </w:p>
    <w:p>
      <w:pPr>
        <w:keepNext w:val="0"/>
        <w:keepLines w:val="0"/>
        <w:pageBreakBefore w:val="0"/>
        <w:kinsoku/>
        <w:topLinePunct w:val="0"/>
        <w:bidi w:val="0"/>
        <w:spacing w:beforeLines="0" w:afterLines="0" w:line="400" w:lineRule="exact"/>
        <w:ind w:firstLine="2570" w:firstLineChars="800"/>
        <w:jc w:val="left"/>
        <w:rPr>
          <w:rFonts w:hint="default"/>
          <w:sz w:val="24"/>
        </w:rPr>
      </w:pPr>
      <w:r>
        <w:rPr>
          <w:rFonts w:hint="eastAsia" w:ascii="宋体" w:hAnsi="宋体"/>
          <w:b/>
          <w:sz w:val="32"/>
        </w:rPr>
        <w:t>第一节通用合同条款</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48"/>
        </w:numPr>
        <w:tabs>
          <w:tab w:val="left" w:pos="500"/>
          <w:tab w:val="clear" w:pos="720"/>
        </w:tabs>
        <w:kinsoku/>
        <w:overflowPunct w:val="0"/>
        <w:topLinePunct w:val="0"/>
        <w:bidi w:val="0"/>
        <w:spacing w:beforeLines="0" w:afterLines="0" w:line="400" w:lineRule="exact"/>
        <w:ind w:left="500" w:hanging="394"/>
        <w:rPr>
          <w:rFonts w:hint="default" w:ascii="Times New Roman" w:hAnsi="Times New Roman" w:eastAsia="Times New Roman"/>
          <w:b/>
          <w:sz w:val="32"/>
        </w:rPr>
      </w:pPr>
      <w:r>
        <w:rPr>
          <w:rFonts w:hint="eastAsia" w:ascii="宋体" w:hAnsi="宋体"/>
          <w:b/>
          <w:sz w:val="32"/>
        </w:rPr>
        <w:t>一般约定</w:t>
      </w:r>
    </w:p>
    <w:p>
      <w:pPr>
        <w:keepNext w:val="0"/>
        <w:keepLines w:val="0"/>
        <w:pageBreakBefore w:val="0"/>
        <w:numPr>
          <w:ilvl w:val="1"/>
          <w:numId w:val="48"/>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词语定义</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除专用合同条款另有约定外，合同中的下列词语应具有本款所赋予的含义。</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b/>
          <w:sz w:val="21"/>
        </w:rPr>
        <w:t xml:space="preserve">1.1.1 </w:t>
      </w:r>
      <w:r>
        <w:rPr>
          <w:rFonts w:hint="eastAsia" w:ascii="宋体" w:hAnsi="宋体"/>
          <w:b/>
          <w:sz w:val="21"/>
        </w:rPr>
        <w:t>合同</w:t>
      </w:r>
    </w:p>
    <w:p>
      <w:pPr>
        <w:keepNext w:val="0"/>
        <w:keepLines w:val="0"/>
        <w:pageBreakBefore w:val="0"/>
        <w:numPr>
          <w:ilvl w:val="0"/>
          <w:numId w:val="49"/>
        </w:numPr>
        <w:tabs>
          <w:tab w:val="left" w:pos="1104"/>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keepNext w:val="0"/>
        <w:keepLines w:val="0"/>
        <w:pageBreakBefore w:val="0"/>
        <w:numPr>
          <w:ilvl w:val="0"/>
          <w:numId w:val="49"/>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合同协议书：指买方和卖方共同签署的合同协议书。</w:t>
      </w:r>
    </w:p>
    <w:p>
      <w:pPr>
        <w:keepNext w:val="0"/>
        <w:keepLines w:val="0"/>
        <w:pageBreakBefore w:val="0"/>
        <w:numPr>
          <w:ilvl w:val="0"/>
          <w:numId w:val="49"/>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中标通知书：指买方通知卖方中标的函件。</w:t>
      </w:r>
    </w:p>
    <w:p>
      <w:pPr>
        <w:keepNext w:val="0"/>
        <w:keepLines w:val="0"/>
        <w:pageBreakBefore w:val="0"/>
        <w:numPr>
          <w:ilvl w:val="0"/>
          <w:numId w:val="49"/>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投标函：指由卖方填写并签署的，名为</w:t>
      </w:r>
      <w:r>
        <w:rPr>
          <w:rFonts w:hint="default" w:ascii="Arial" w:hAnsi="Arial"/>
          <w:sz w:val="21"/>
        </w:rPr>
        <w:t>“</w:t>
      </w:r>
      <w:r>
        <w:rPr>
          <w:rFonts w:hint="eastAsia" w:ascii="宋体" w:hAnsi="宋体"/>
          <w:sz w:val="21"/>
        </w:rPr>
        <w:t>投标函</w:t>
      </w:r>
      <w:r>
        <w:rPr>
          <w:rFonts w:hint="default" w:ascii="Arial" w:hAnsi="Arial"/>
          <w:sz w:val="21"/>
        </w:rPr>
        <w:t>”</w:t>
      </w:r>
      <w:r>
        <w:rPr>
          <w:rFonts w:hint="eastAsia" w:ascii="宋体" w:hAnsi="宋体"/>
          <w:sz w:val="21"/>
        </w:rPr>
        <w:t>的函件。</w:t>
      </w:r>
    </w:p>
    <w:p>
      <w:pPr>
        <w:keepNext w:val="0"/>
        <w:keepLines w:val="0"/>
        <w:pageBreakBefore w:val="0"/>
        <w:numPr>
          <w:ilvl w:val="0"/>
          <w:numId w:val="49"/>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商务和技术偏差表：指卖方投标文件中的商务和技术偏差表。</w:t>
      </w:r>
    </w:p>
    <w:p>
      <w:pPr>
        <w:keepNext w:val="0"/>
        <w:keepLines w:val="0"/>
        <w:pageBreakBefore w:val="0"/>
        <w:numPr>
          <w:ilvl w:val="0"/>
          <w:numId w:val="49"/>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供货要求：指合同文件中名为</w:t>
      </w:r>
      <w:r>
        <w:rPr>
          <w:rFonts w:hint="default" w:ascii="Arial" w:hAnsi="Arial"/>
          <w:sz w:val="21"/>
        </w:rPr>
        <w:t>“</w:t>
      </w:r>
      <w:r>
        <w:rPr>
          <w:rFonts w:hint="eastAsia" w:ascii="宋体" w:hAnsi="宋体"/>
          <w:sz w:val="21"/>
        </w:rPr>
        <w:t>供货要求</w:t>
      </w:r>
      <w:r>
        <w:rPr>
          <w:rFonts w:hint="default" w:ascii="Arial" w:hAnsi="Arial"/>
          <w:sz w:val="21"/>
        </w:rPr>
        <w:t>”</w:t>
      </w:r>
      <w:r>
        <w:rPr>
          <w:rFonts w:hint="eastAsia" w:ascii="宋体" w:hAnsi="宋体"/>
          <w:sz w:val="21"/>
        </w:rPr>
        <w:t>的文件。</w:t>
      </w:r>
    </w:p>
    <w:p>
      <w:pPr>
        <w:keepNext w:val="0"/>
        <w:keepLines w:val="0"/>
        <w:pageBreakBefore w:val="0"/>
        <w:numPr>
          <w:ilvl w:val="0"/>
          <w:numId w:val="49"/>
        </w:numPr>
        <w:tabs>
          <w:tab w:val="left" w:pos="640"/>
          <w:tab w:val="left" w:pos="1050"/>
          <w:tab w:val="clear" w:pos="72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1"/>
        </w:rPr>
      </w:pPr>
      <w:r>
        <w:rPr>
          <w:rFonts w:hint="eastAsia" w:ascii="宋体" w:hAnsi="宋体"/>
          <w:sz w:val="21"/>
        </w:rPr>
        <w:t>中标设备技术性能指标的详细描述：指卖方投标文件中的投标设备技术性能指标的详细描述。</w:t>
      </w:r>
    </w:p>
    <w:p>
      <w:pPr>
        <w:keepNext w:val="0"/>
        <w:keepLines w:val="0"/>
        <w:pageBreakBefore w:val="0"/>
        <w:numPr>
          <w:ilvl w:val="0"/>
          <w:numId w:val="49"/>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技术服务和质保期服务计划：指卖方投标文件中的技术服务和质保期服务计划。</w:t>
      </w:r>
    </w:p>
    <w:p>
      <w:pPr>
        <w:keepNext w:val="0"/>
        <w:keepLines w:val="0"/>
        <w:pageBreakBefore w:val="0"/>
        <w:numPr>
          <w:ilvl w:val="0"/>
          <w:numId w:val="49"/>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分项报价表：指卖方投标文件中的分项报价表。</w:t>
      </w:r>
    </w:p>
    <w:p>
      <w:pPr>
        <w:keepNext w:val="0"/>
        <w:keepLines w:val="0"/>
        <w:pageBreakBefore w:val="0"/>
        <w:numPr>
          <w:ilvl w:val="0"/>
          <w:numId w:val="49"/>
        </w:numPr>
        <w:tabs>
          <w:tab w:val="left" w:pos="1220"/>
          <w:tab w:val="clear" w:pos="720"/>
        </w:tabs>
        <w:kinsoku/>
        <w:overflowPunct w:val="0"/>
        <w:topLinePunct w:val="0"/>
        <w:bidi w:val="0"/>
        <w:spacing w:beforeLines="0" w:afterLines="0" w:line="400" w:lineRule="exact"/>
        <w:ind w:left="1220" w:hanging="800"/>
        <w:rPr>
          <w:rFonts w:hint="default" w:ascii="Times New Roman" w:hAnsi="Times New Roman" w:eastAsia="Times New Roman"/>
          <w:sz w:val="21"/>
        </w:rPr>
      </w:pPr>
      <w:r>
        <w:rPr>
          <w:rFonts w:hint="eastAsia" w:ascii="宋体" w:hAnsi="宋体"/>
          <w:sz w:val="21"/>
        </w:rPr>
        <w:t>其他合同文件：指经合同双方当事人确认构成合同文件的其他文件。</w:t>
      </w:r>
    </w:p>
    <w:p>
      <w:pPr>
        <w:keepNext w:val="0"/>
        <w:keepLines w:val="0"/>
        <w:pageBreakBefore w:val="0"/>
        <w:numPr>
          <w:ilvl w:val="1"/>
          <w:numId w:val="49"/>
        </w:numPr>
        <w:tabs>
          <w:tab w:val="left" w:pos="940"/>
        </w:tabs>
        <w:kinsoku/>
        <w:overflowPunct w:val="0"/>
        <w:topLinePunct w:val="0"/>
        <w:bidi w:val="0"/>
        <w:spacing w:beforeLines="0" w:afterLines="0" w:line="400" w:lineRule="exact"/>
        <w:ind w:left="940" w:hanging="517"/>
        <w:rPr>
          <w:rFonts w:hint="default"/>
          <w:sz w:val="24"/>
        </w:rPr>
      </w:pPr>
      <w:r>
        <w:rPr>
          <w:rFonts w:hint="eastAsia" w:ascii="宋体" w:hAnsi="宋体"/>
          <w:b/>
          <w:sz w:val="21"/>
        </w:rPr>
        <w:t>合同当事人</w:t>
      </w:r>
    </w:p>
    <w:p>
      <w:pPr>
        <w:keepNext w:val="0"/>
        <w:keepLines w:val="0"/>
        <w:pageBreakBefore w:val="0"/>
        <w:numPr>
          <w:ilvl w:val="0"/>
          <w:numId w:val="50"/>
        </w:numPr>
        <w:tabs>
          <w:tab w:val="left" w:pos="1100"/>
          <w:tab w:val="clear" w:pos="720"/>
        </w:tabs>
        <w:kinsoku/>
        <w:overflowPunct w:val="0"/>
        <w:topLinePunct w:val="0"/>
        <w:bidi w:val="0"/>
        <w:spacing w:beforeLines="0" w:afterLines="0" w:line="400" w:lineRule="exact"/>
        <w:ind w:left="1100" w:hanging="680"/>
        <w:rPr>
          <w:rFonts w:hint="default" w:ascii="Times New Roman" w:hAnsi="Times New Roman" w:eastAsia="Times New Roman"/>
          <w:sz w:val="21"/>
        </w:rPr>
      </w:pPr>
      <w:r>
        <w:rPr>
          <w:rFonts w:hint="eastAsia" w:ascii="宋体" w:hAnsi="宋体"/>
          <w:sz w:val="21"/>
        </w:rPr>
        <w:t>合同当事人：指买方和（或）卖方。</w:t>
      </w:r>
    </w:p>
    <w:p>
      <w:pPr>
        <w:keepNext w:val="0"/>
        <w:keepLines w:val="0"/>
        <w:pageBreakBefore w:val="0"/>
        <w:numPr>
          <w:ilvl w:val="0"/>
          <w:numId w:val="50"/>
        </w:numPr>
        <w:tabs>
          <w:tab w:val="left" w:pos="1104"/>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买方：指与卖方签订合同协议书，购买合同设备和技术服务和质保期服务的当事人，及其合法继承人。</w:t>
      </w:r>
    </w:p>
    <w:p>
      <w:pPr>
        <w:keepNext w:val="0"/>
        <w:keepLines w:val="0"/>
        <w:pageBreakBefore w:val="0"/>
        <w:numPr>
          <w:ilvl w:val="0"/>
          <w:numId w:val="50"/>
        </w:numPr>
        <w:tabs>
          <w:tab w:val="left" w:pos="1104"/>
          <w:tab w:val="clear" w:pos="720"/>
        </w:tabs>
        <w:kinsoku/>
        <w:overflowPunct w:val="0"/>
        <w:topLinePunct w:val="0"/>
        <w:bidi w:val="0"/>
        <w:spacing w:beforeLines="0" w:afterLines="0" w:line="400" w:lineRule="exact"/>
        <w:ind w:left="0" w:firstLine="420"/>
        <w:rPr>
          <w:rFonts w:hint="default"/>
          <w:sz w:val="24"/>
        </w:rPr>
      </w:pPr>
      <w:r>
        <w:rPr>
          <w:rFonts w:hint="eastAsia" w:ascii="宋体" w:hAnsi="宋体"/>
          <w:sz w:val="21"/>
        </w:rPr>
        <w:t>卖方：指与买方签订合同协议书，提供合同设备和技术服务和质保期服务的当事人，及其合法继承人。</w:t>
      </w:r>
    </w:p>
    <w:p>
      <w:pPr>
        <w:keepNext w:val="0"/>
        <w:keepLines w:val="0"/>
        <w:pageBreakBefore w:val="0"/>
        <w:kinsoku/>
        <w:topLinePunct w:val="0"/>
        <w:bidi w:val="0"/>
        <w:spacing w:beforeLines="0" w:afterLines="0" w:line="400" w:lineRule="exact"/>
        <w:ind w:left="420"/>
        <w:jc w:val="left"/>
        <w:rPr>
          <w:rFonts w:hint="eastAsia" w:ascii="宋体" w:hAnsi="宋体"/>
          <w:b/>
          <w:sz w:val="21"/>
        </w:rPr>
      </w:pPr>
      <w:r>
        <w:rPr>
          <w:rFonts w:hint="default" w:ascii="Times New Roman" w:hAnsi="Times New Roman" w:eastAsia="Times New Roman"/>
          <w:b/>
          <w:sz w:val="21"/>
        </w:rPr>
        <w:t xml:space="preserve">1.1.3 </w:t>
      </w:r>
      <w:r>
        <w:rPr>
          <w:rFonts w:hint="eastAsia" w:ascii="宋体" w:hAnsi="宋体"/>
          <w:b/>
          <w:sz w:val="21"/>
        </w:rPr>
        <w:t>合同价格</w:t>
      </w:r>
    </w:p>
    <w:p>
      <w:pPr>
        <w:pStyle w:val="2"/>
        <w:keepNext w:val="0"/>
        <w:keepLines w:val="0"/>
        <w:pageBreakBefore w:val="0"/>
        <w:kinsoku/>
        <w:topLinePunct w:val="0"/>
        <w:bidi w:val="0"/>
        <w:spacing w:line="400" w:lineRule="exact"/>
        <w:rPr>
          <w:rFonts w:hint="eastAsia" w:ascii="宋体" w:hAnsi="宋体"/>
          <w:sz w:val="21"/>
        </w:rPr>
      </w:pPr>
      <w:r>
        <w:rPr>
          <w:rFonts w:hint="eastAsia" w:ascii="宋体" w:hAnsi="宋体" w:eastAsia="宋体" w:cs="宋体"/>
          <w:b w:val="0"/>
          <w:bCs w:val="0"/>
          <w:lang w:val="en-US" w:eastAsia="zh-CN"/>
        </w:rPr>
        <w:t xml:space="preserve">  </w:t>
      </w:r>
      <w:r>
        <w:rPr>
          <w:rFonts w:hint="eastAsia" w:ascii="宋体" w:hAnsi="宋体" w:eastAsia="宋体" w:cs="宋体"/>
          <w:b w:val="0"/>
          <w:bCs w:val="0"/>
          <w:sz w:val="21"/>
        </w:rPr>
        <w:t>1.1.3</w:t>
      </w:r>
      <w:r>
        <w:rPr>
          <w:rFonts w:hint="eastAsia" w:ascii="宋体" w:hAnsi="宋体" w:eastAsia="宋体" w:cs="宋体"/>
          <w:b w:val="0"/>
          <w:bCs w:val="0"/>
          <w:sz w:val="21"/>
          <w:lang w:val="en-US" w:eastAsia="zh-CN"/>
        </w:rPr>
        <w:t>.1</w:t>
      </w:r>
      <w:r>
        <w:rPr>
          <w:rFonts w:hint="eastAsia" w:ascii="宋体" w:hAnsi="宋体"/>
          <w:sz w:val="21"/>
        </w:rPr>
        <w:t>签约合同价：是签订合同时合同协议书中写明的合同总金额。</w:t>
      </w:r>
    </w:p>
    <w:p>
      <w:pPr>
        <w:pStyle w:val="2"/>
        <w:keepNext w:val="0"/>
        <w:keepLines w:val="0"/>
        <w:pageBreakBefore w:val="0"/>
        <w:kinsoku/>
        <w:topLinePunct w:val="0"/>
        <w:bidi w:val="0"/>
        <w:spacing w:line="400" w:lineRule="exact"/>
        <w:rPr>
          <w:rFonts w:hint="default"/>
          <w:sz w:val="24"/>
        </w:rPr>
      </w:pPr>
      <w:r>
        <w:rPr>
          <w:rFonts w:hint="eastAsia" w:ascii="宋体" w:hAnsi="宋体"/>
          <w:sz w:val="21"/>
          <w:lang w:val="en-US" w:eastAsia="zh-CN"/>
        </w:rPr>
        <w:t xml:space="preserve">   </w:t>
      </w:r>
      <w:r>
        <w:rPr>
          <w:rFonts w:hint="eastAsia" w:ascii="宋体" w:hAnsi="宋体" w:eastAsia="宋体" w:cs="宋体"/>
          <w:b w:val="0"/>
          <w:bCs w:val="0"/>
          <w:sz w:val="21"/>
        </w:rPr>
        <w:t>1.1.3</w:t>
      </w:r>
      <w:r>
        <w:rPr>
          <w:rFonts w:hint="eastAsia" w:ascii="宋体" w:hAnsi="宋体" w:eastAsia="宋体" w:cs="宋体"/>
          <w:b w:val="0"/>
          <w:bCs w:val="0"/>
          <w:sz w:val="21"/>
          <w:lang w:val="en-US" w:eastAsia="zh-CN"/>
        </w:rPr>
        <w:t>.</w:t>
      </w:r>
      <w:r>
        <w:rPr>
          <w:rFonts w:hint="eastAsia" w:ascii="宋体" w:hAnsi="宋体" w:cs="宋体"/>
          <w:b w:val="0"/>
          <w:bCs w:val="0"/>
          <w:sz w:val="21"/>
          <w:lang w:val="en-US" w:eastAsia="zh-CN"/>
        </w:rPr>
        <w:t>2</w:t>
      </w:r>
      <w:r>
        <w:rPr>
          <w:rFonts w:hint="eastAsia" w:ascii="宋体" w:hAnsi="宋体"/>
          <w:sz w:val="21"/>
          <w:szCs w:val="22"/>
        </w:rPr>
        <w:t>合同价格：指卖方按合同约定履行了全部合同义务后，买方应付给卖方的金额。</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0"/>
        </w:rPr>
        <w:t xml:space="preserve">1.1.4 </w:t>
      </w:r>
      <w:r>
        <w:rPr>
          <w:rFonts w:hint="eastAsia" w:ascii="宋体" w:hAnsi="宋体" w:eastAsia="宋体" w:cs="宋体"/>
          <w:sz w:val="21"/>
          <w:szCs w:val="21"/>
        </w:rPr>
        <w:t>合同设备：指卖方按合同约定应向买方提供的设备、装置、备品、备件、易损易耗件、配套使用的软件或其他辅助电子应用程序及技术资料，或其中任何一部分。</w:t>
      </w:r>
    </w:p>
    <w:p>
      <w:pPr>
        <w:keepNext w:val="0"/>
        <w:keepLines w:val="0"/>
        <w:pageBreakBefore w:val="0"/>
        <w:numPr>
          <w:ilvl w:val="0"/>
          <w:numId w:val="51"/>
        </w:numPr>
        <w:tabs>
          <w:tab w:val="left" w:pos="948"/>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技术资料：指各种纸质及电子载体的与合同设备的设计、检验、安装、调试、考核、操作、维修以及保养等有关的技术指标、规格、图纸和说明文件。</w:t>
      </w:r>
    </w:p>
    <w:p>
      <w:pPr>
        <w:keepNext w:val="0"/>
        <w:keepLines w:val="0"/>
        <w:pageBreakBefore w:val="0"/>
        <w:numPr>
          <w:ilvl w:val="0"/>
          <w:numId w:val="51"/>
        </w:numPr>
        <w:tabs>
          <w:tab w:val="left" w:pos="9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安装：指对合同设备进行的组装、连接以及根据需要将合同设备固定在施工场地内一定的位置上，使其就位并与相关设备、工程实现连接。</w:t>
      </w:r>
    </w:p>
    <w:p>
      <w:pPr>
        <w:keepNext w:val="0"/>
        <w:keepLines w:val="0"/>
        <w:pageBreakBefore w:val="0"/>
        <w:numPr>
          <w:ilvl w:val="0"/>
          <w:numId w:val="51"/>
        </w:numPr>
        <w:tabs>
          <w:tab w:val="left" w:pos="940"/>
          <w:tab w:val="clear" w:pos="72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调试：指在合同设备安装完成后，对合同设备所进行的调校和测试。</w:t>
      </w:r>
    </w:p>
    <w:p>
      <w:pPr>
        <w:keepNext w:val="0"/>
        <w:keepLines w:val="0"/>
        <w:pageBreakBefore w:val="0"/>
        <w:numPr>
          <w:ilvl w:val="0"/>
          <w:numId w:val="51"/>
        </w:numPr>
        <w:tabs>
          <w:tab w:val="left" w:pos="9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考核：指在合同设备调试完成后，对合同设备进行的用于确定其是否达到合同约定的技术性能考核指标的考核。</w:t>
      </w:r>
    </w:p>
    <w:p>
      <w:pPr>
        <w:keepNext w:val="0"/>
        <w:keepLines w:val="0"/>
        <w:pageBreakBefore w:val="0"/>
        <w:numPr>
          <w:ilvl w:val="0"/>
          <w:numId w:val="51"/>
        </w:numPr>
        <w:tabs>
          <w:tab w:val="left" w:pos="9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验收：指合同设备通过考核达到合同约定的技术性能考核指标后，买方作出接受合同设备的确认。</w:t>
      </w:r>
    </w:p>
    <w:p>
      <w:pPr>
        <w:keepNext w:val="0"/>
        <w:keepLines w:val="0"/>
        <w:pageBreakBefore w:val="0"/>
        <w:numPr>
          <w:ilvl w:val="0"/>
          <w:numId w:val="51"/>
        </w:numPr>
        <w:tabs>
          <w:tab w:val="left" w:pos="1051"/>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技术服务：指卖方按合同约定，在合同设备验收前，向买方提供的安装、调试服务，或者在由买方负责的安装、调试、考核中对买方进行的技术指导、协助、监督和培训等。</w:t>
      </w:r>
    </w:p>
    <w:p>
      <w:pPr>
        <w:keepNext w:val="0"/>
        <w:keepLines w:val="0"/>
        <w:pageBreakBefore w:val="0"/>
        <w:numPr>
          <w:ilvl w:val="0"/>
          <w:numId w:val="51"/>
        </w:numPr>
        <w:tabs>
          <w:tab w:val="left" w:pos="1046"/>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质量保证期：指合同设备验收后，卖方按合同约定保证合同设备适当、稳定运行，并负责消除合同设备故障的期限。</w:t>
      </w:r>
    </w:p>
    <w:p>
      <w:pPr>
        <w:keepNext w:val="0"/>
        <w:keepLines w:val="0"/>
        <w:pageBreakBefore w:val="0"/>
        <w:numPr>
          <w:ilvl w:val="0"/>
          <w:numId w:val="51"/>
        </w:numPr>
        <w:tabs>
          <w:tab w:val="left" w:pos="1051"/>
          <w:tab w:val="clear" w:pos="720"/>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质保期服务：指在质量保证期内，卖方向买方提供的合同设备维护服务、咨询服务、技术指导、协助以及对出现故障的合同设备进行修理或更换的服务。</w:t>
      </w:r>
    </w:p>
    <w:p>
      <w:pPr>
        <w:keepNext w:val="0"/>
        <w:keepLines w:val="0"/>
        <w:pageBreakBefore w:val="0"/>
        <w:numPr>
          <w:ilvl w:val="0"/>
          <w:numId w:val="51"/>
        </w:numPr>
        <w:tabs>
          <w:tab w:val="left" w:pos="1060"/>
          <w:tab w:val="clear" w:pos="720"/>
        </w:tabs>
        <w:kinsoku/>
        <w:overflowPunct w:val="0"/>
        <w:topLinePunct w:val="0"/>
        <w:bidi w:val="0"/>
        <w:spacing w:beforeLines="0" w:afterLines="0" w:line="400" w:lineRule="exact"/>
        <w:ind w:left="1060" w:hanging="637"/>
        <w:rPr>
          <w:rFonts w:hint="default"/>
          <w:b w:val="0"/>
          <w:bCs/>
          <w:sz w:val="24"/>
        </w:rPr>
      </w:pPr>
      <w:r>
        <w:rPr>
          <w:rFonts w:hint="eastAsia" w:ascii="宋体" w:hAnsi="宋体"/>
          <w:b w:val="0"/>
          <w:bCs/>
          <w:sz w:val="21"/>
        </w:rPr>
        <w:t>工程</w:t>
      </w:r>
    </w:p>
    <w:p>
      <w:pPr>
        <w:keepNext w:val="0"/>
        <w:keepLines w:val="0"/>
        <w:pageBreakBefore w:val="0"/>
        <w:numPr>
          <w:ilvl w:val="0"/>
          <w:numId w:val="52"/>
        </w:numPr>
        <w:tabs>
          <w:tab w:val="left" w:pos="1220"/>
          <w:tab w:val="clear" w:pos="720"/>
        </w:tabs>
        <w:kinsoku/>
        <w:overflowPunct w:val="0"/>
        <w:topLinePunct w:val="0"/>
        <w:bidi w:val="0"/>
        <w:spacing w:beforeLines="0" w:afterLines="0" w:line="400" w:lineRule="exact"/>
        <w:ind w:left="1220" w:hanging="800"/>
        <w:rPr>
          <w:rFonts w:hint="default" w:ascii="Times New Roman" w:hAnsi="Times New Roman" w:eastAsia="Times New Roman"/>
          <w:sz w:val="21"/>
        </w:rPr>
      </w:pPr>
      <w:r>
        <w:rPr>
          <w:rFonts w:hint="eastAsia" w:ascii="宋体" w:hAnsi="宋体"/>
          <w:sz w:val="21"/>
        </w:rPr>
        <w:t>工程：指在专用合同条款中指明的，安装运行合同设备的工程。</w:t>
      </w:r>
    </w:p>
    <w:p>
      <w:pPr>
        <w:keepNext w:val="0"/>
        <w:keepLines w:val="0"/>
        <w:pageBreakBefore w:val="0"/>
        <w:numPr>
          <w:ilvl w:val="0"/>
          <w:numId w:val="52"/>
        </w:numPr>
        <w:tabs>
          <w:tab w:val="left" w:pos="1220"/>
          <w:tab w:val="clear" w:pos="720"/>
        </w:tabs>
        <w:kinsoku/>
        <w:overflowPunct w:val="0"/>
        <w:topLinePunct w:val="0"/>
        <w:bidi w:val="0"/>
        <w:spacing w:beforeLines="0" w:afterLines="0" w:line="400" w:lineRule="exact"/>
        <w:ind w:left="1220" w:hanging="800"/>
        <w:rPr>
          <w:rFonts w:hint="default"/>
          <w:sz w:val="24"/>
        </w:rPr>
      </w:pPr>
      <w:r>
        <w:rPr>
          <w:rFonts w:hint="eastAsia" w:ascii="宋体" w:hAnsi="宋体"/>
          <w:sz w:val="21"/>
        </w:rPr>
        <w:t>施工场地（或称工地、施工现场）：指专用合同条款中指明的工程所在场所。</w:t>
      </w:r>
    </w:p>
    <w:p>
      <w:pPr>
        <w:keepNext w:val="0"/>
        <w:keepLines w:val="0"/>
        <w:pageBreakBefore w:val="0"/>
        <w:numPr>
          <w:ilvl w:val="1"/>
          <w:numId w:val="53"/>
        </w:numPr>
        <w:tabs>
          <w:tab w:val="left" w:pos="1051"/>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天（或称日）：除特别指明外，指日历天。合同中按天计算时间的，开始当天不计入，从次日开始计算。合同约定的期间的最后一天是星期日或者其他法定休假日的，以休假日的次日为期间的最后一天。</w:t>
      </w:r>
    </w:p>
    <w:p>
      <w:pPr>
        <w:keepNext w:val="0"/>
        <w:keepLines w:val="0"/>
        <w:pageBreakBefore w:val="0"/>
        <w:numPr>
          <w:ilvl w:val="1"/>
          <w:numId w:val="53"/>
        </w:numPr>
        <w:tabs>
          <w:tab w:val="left" w:pos="1051"/>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月：按照公历月计算。合同中按月计算时间的，开始当天不计入，从次日开始计算。合同约定的期间的最后一天是星期日或者其他法定休假日的，以休假日的次日为期间的最后一天。</w:t>
      </w:r>
    </w:p>
    <w:p>
      <w:pPr>
        <w:keepNext w:val="0"/>
        <w:keepLines w:val="0"/>
        <w:pageBreakBefore w:val="0"/>
        <w:numPr>
          <w:ilvl w:val="1"/>
          <w:numId w:val="53"/>
        </w:numPr>
        <w:tabs>
          <w:tab w:val="left" w:pos="1054"/>
        </w:tabs>
        <w:kinsoku/>
        <w:overflowPunct w:val="0"/>
        <w:topLinePunct w:val="0"/>
        <w:bidi w:val="0"/>
        <w:spacing w:beforeLines="0" w:afterLines="0" w:line="400" w:lineRule="exact"/>
        <w:ind w:left="0" w:right="120" w:firstLine="420"/>
        <w:rPr>
          <w:rFonts w:hint="default" w:ascii="Times New Roman" w:hAnsi="Times New Roman" w:eastAsia="Times New Roman"/>
          <w:sz w:val="21"/>
        </w:rPr>
      </w:pPr>
      <w:r>
        <w:rPr>
          <w:rFonts w:hint="eastAsia" w:ascii="宋体" w:hAnsi="宋体"/>
          <w:sz w:val="21"/>
        </w:rPr>
        <w:t>书面形式：指合同文件、信件和数据电文（包括电报、电传、传真、电子数据交换和电子邮件）等可以有形地表现所载内容的形式。</w:t>
      </w:r>
    </w:p>
    <w:p>
      <w:pPr>
        <w:keepNext w:val="0"/>
        <w:keepLines w:val="0"/>
        <w:pageBreakBefore w:val="0"/>
        <w:numPr>
          <w:ilvl w:val="0"/>
          <w:numId w:val="54"/>
        </w:numPr>
        <w:tabs>
          <w:tab w:val="left" w:pos="620"/>
          <w:tab w:val="clear" w:pos="720"/>
        </w:tabs>
        <w:kinsoku/>
        <w:overflowPunct w:val="0"/>
        <w:topLinePunct w:val="0"/>
        <w:bidi w:val="0"/>
        <w:spacing w:beforeLines="0" w:afterLines="0" w:line="400" w:lineRule="exact"/>
        <w:ind w:left="620" w:hanging="483"/>
        <w:rPr>
          <w:rFonts w:hint="default"/>
          <w:sz w:val="24"/>
        </w:rPr>
      </w:pPr>
      <w:r>
        <w:rPr>
          <w:rFonts w:hint="eastAsia" w:ascii="宋体" w:hAnsi="宋体"/>
          <w:sz w:val="28"/>
        </w:rPr>
        <w:t>语言文字</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合同使用的语言文字为中文。专用术语使用外文的，应附有中文注释。</w:t>
      </w:r>
      <w:bookmarkStart w:id="28" w:name="page52"/>
      <w:bookmarkEnd w:id="28"/>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1.3 </w:t>
      </w:r>
      <w:r>
        <w:rPr>
          <w:rFonts w:hint="eastAsia" w:ascii="宋体" w:hAnsi="宋体"/>
          <w:sz w:val="28"/>
        </w:rPr>
        <w:t>合同文件的优先顺序</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组成合同的各项文件应互相解释，互为说明。除专用合同条款另有约定外，解释合同文件</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的优先顺序如下：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）合同协议书；</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）中标通知书；</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）商务和技术偏差表；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）专用合同条款；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）通用合同条款；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）供货要求；</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8</w:t>
      </w:r>
      <w:r>
        <w:rPr>
          <w:rFonts w:hint="eastAsia" w:ascii="宋体" w:hAnsi="宋体"/>
          <w:sz w:val="21"/>
        </w:rPr>
        <w:t>）分项报价表；</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9</w:t>
      </w:r>
      <w:r>
        <w:rPr>
          <w:rFonts w:hint="eastAsia" w:ascii="宋体" w:hAnsi="宋体"/>
          <w:sz w:val="21"/>
        </w:rPr>
        <w:t>）中标设备技术性能指标的详细描述；</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10</w:t>
      </w:r>
      <w:r>
        <w:rPr>
          <w:rFonts w:hint="eastAsia" w:ascii="宋体" w:hAnsi="宋体"/>
          <w:sz w:val="21"/>
        </w:rPr>
        <w:t>）技术服务和质保期服务计划；</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11</w:t>
      </w:r>
      <w:r>
        <w:rPr>
          <w:rFonts w:hint="eastAsia" w:ascii="宋体" w:hAnsi="宋体"/>
          <w:sz w:val="21"/>
        </w:rPr>
        <w:t>）其他合同文件。</w:t>
      </w:r>
    </w:p>
    <w:p>
      <w:pPr>
        <w:keepNext w:val="0"/>
        <w:keepLines w:val="0"/>
        <w:pageBreakBefore w:val="0"/>
        <w:numPr>
          <w:ilvl w:val="0"/>
          <w:numId w:val="55"/>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合同的生效及变更</w:t>
      </w:r>
    </w:p>
    <w:p>
      <w:pPr>
        <w:keepNext w:val="0"/>
        <w:keepLines w:val="0"/>
        <w:pageBreakBefore w:val="0"/>
        <w:numPr>
          <w:ilvl w:val="1"/>
          <w:numId w:val="55"/>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除专用合同条款另有约定外，买方和卖方的法定代表人（单位负责人）或其授权代表在合同协议书上签字并加盖单位章后，合同生效。</w:t>
      </w:r>
    </w:p>
    <w:p>
      <w:pPr>
        <w:keepNext w:val="0"/>
        <w:keepLines w:val="0"/>
        <w:pageBreakBefore w:val="0"/>
        <w:numPr>
          <w:ilvl w:val="1"/>
          <w:numId w:val="55"/>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除专用合同条款另有约定外，在合同履行过程中，如需对合同进行变更，双方应签订书面协议，并经双方法定代表人（单位负责人）或其授权代表签字并加盖单位章后生效。</w:t>
      </w:r>
    </w:p>
    <w:p>
      <w:pPr>
        <w:keepNext w:val="0"/>
        <w:keepLines w:val="0"/>
        <w:pageBreakBefore w:val="0"/>
        <w:numPr>
          <w:ilvl w:val="0"/>
          <w:numId w:val="55"/>
        </w:numPr>
        <w:tabs>
          <w:tab w:val="left" w:pos="560"/>
          <w:tab w:val="clear" w:pos="72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联络</w:t>
      </w:r>
    </w:p>
    <w:p>
      <w:pPr>
        <w:keepNext w:val="0"/>
        <w:keepLines w:val="0"/>
        <w:pageBreakBefore w:val="0"/>
        <w:numPr>
          <w:ilvl w:val="1"/>
          <w:numId w:val="56"/>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keepNext w:val="0"/>
        <w:keepLines w:val="0"/>
        <w:pageBreakBefore w:val="0"/>
        <w:numPr>
          <w:ilvl w:val="1"/>
          <w:numId w:val="56"/>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0"/>
        </w:rPr>
      </w:pPr>
      <w:r>
        <w:rPr>
          <w:rFonts w:hint="eastAsia" w:ascii="宋体" w:hAnsi="宋体"/>
          <w:sz w:val="21"/>
        </w:rPr>
        <w:t xml:space="preserve">合同履行中或与合同有关的任何联络，送达到第 </w:t>
      </w:r>
      <w:r>
        <w:rPr>
          <w:rFonts w:hint="default" w:ascii="宋体" w:hAnsi="宋体"/>
          <w:sz w:val="21"/>
        </w:rPr>
        <w:t>1.5.1</w:t>
      </w:r>
      <w:r>
        <w:rPr>
          <w:rFonts w:hint="eastAsia" w:ascii="宋体" w:hAnsi="宋体"/>
          <w:sz w:val="21"/>
        </w:rPr>
        <w:t xml:space="preserve"> 项指定的联系人即视为送达。</w:t>
      </w:r>
    </w:p>
    <w:p>
      <w:pPr>
        <w:keepNext w:val="0"/>
        <w:keepLines w:val="0"/>
        <w:pageBreakBefore w:val="0"/>
        <w:numPr>
          <w:ilvl w:val="1"/>
          <w:numId w:val="56"/>
        </w:numPr>
        <w:tabs>
          <w:tab w:val="left" w:pos="946"/>
        </w:tabs>
        <w:kinsoku/>
        <w:overflowPunct w:val="0"/>
        <w:topLinePunct w:val="0"/>
        <w:bidi w:val="0"/>
        <w:spacing w:beforeLines="0" w:afterLines="0" w:line="400" w:lineRule="exact"/>
        <w:ind w:left="0" w:firstLine="420"/>
        <w:rPr>
          <w:rFonts w:hint="default"/>
          <w:sz w:val="24"/>
        </w:rPr>
      </w:pPr>
      <w:r>
        <w:rPr>
          <w:rFonts w:hint="eastAsia" w:ascii="宋体" w:hAnsi="宋体"/>
          <w:sz w:val="21"/>
        </w:rPr>
        <w:t xml:space="preserve">买方可以安排监理等相关人员作为买方人员，与卖方进行联络或参加合同设备的监造（如有）、交货前检验（如有）、开箱检验、安装、调试、考核、验收等，但应按照第 </w:t>
      </w:r>
      <w:r>
        <w:rPr>
          <w:rFonts w:hint="default" w:ascii="Times New Roman" w:hAnsi="Times New Roman" w:eastAsia="Times New Roman"/>
          <w:sz w:val="21"/>
        </w:rPr>
        <w:t>1.5.1</w:t>
      </w:r>
      <w:r>
        <w:rPr>
          <w:rFonts w:hint="eastAsia" w:ascii="宋体" w:hAnsi="宋体"/>
          <w:sz w:val="21"/>
        </w:rPr>
        <w:t xml:space="preserve"> 项的约定事先书面通知卖方。</w:t>
      </w:r>
    </w:p>
    <w:p>
      <w:pPr>
        <w:keepNext w:val="0"/>
        <w:keepLines w:val="0"/>
        <w:pageBreakBefore w:val="0"/>
        <w:numPr>
          <w:ilvl w:val="0"/>
          <w:numId w:val="57"/>
        </w:numPr>
        <w:tabs>
          <w:tab w:val="left" w:pos="620"/>
          <w:tab w:val="clear" w:pos="720"/>
        </w:tabs>
        <w:kinsoku/>
        <w:overflowPunct w:val="0"/>
        <w:topLinePunct w:val="0"/>
        <w:bidi w:val="0"/>
        <w:spacing w:beforeLines="0" w:afterLines="0" w:line="400" w:lineRule="exact"/>
        <w:ind w:left="620" w:hanging="483"/>
        <w:rPr>
          <w:rFonts w:hint="default"/>
          <w:sz w:val="24"/>
        </w:rPr>
      </w:pPr>
      <w:bookmarkStart w:id="29" w:name="page53"/>
      <w:bookmarkEnd w:id="29"/>
      <w:r>
        <w:rPr>
          <w:rFonts w:hint="eastAsia" w:ascii="宋体" w:hAnsi="宋体"/>
          <w:sz w:val="28"/>
        </w:rPr>
        <w:t>转让</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未经对方当事人书面同意，合同任何一方均不得转让其在合同项下的权利和（或）义务。</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 xml:space="preserve">2. </w:t>
      </w:r>
      <w:r>
        <w:rPr>
          <w:rFonts w:hint="eastAsia" w:ascii="宋体" w:hAnsi="宋体"/>
          <w:b/>
          <w:sz w:val="32"/>
        </w:rPr>
        <w:t>合同范围</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卖方应根据供货要求、中标设备技术性能指标的详细描述、技术服务和质保期服务计划等</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合同文件的约定向买方提供合同设备、技术服务和质保期服务。</w:t>
      </w:r>
    </w:p>
    <w:p>
      <w:pPr>
        <w:keepNext w:val="0"/>
        <w:keepLines w:val="0"/>
        <w:pageBreakBefore w:val="0"/>
        <w:numPr>
          <w:ilvl w:val="0"/>
          <w:numId w:val="58"/>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合同价格与支付</w:t>
      </w:r>
    </w:p>
    <w:p>
      <w:pPr>
        <w:keepNext w:val="0"/>
        <w:keepLines w:val="0"/>
        <w:pageBreakBefore w:val="0"/>
        <w:numPr>
          <w:ilvl w:val="1"/>
          <w:numId w:val="58"/>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合同价格</w:t>
      </w:r>
    </w:p>
    <w:p>
      <w:pPr>
        <w:keepNext w:val="0"/>
        <w:keepLines w:val="0"/>
        <w:pageBreakBefore w:val="0"/>
        <w:numPr>
          <w:ilvl w:val="2"/>
          <w:numId w:val="58"/>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合同协议书中载明的签约合同价包括卖方为完成合同全部义务应承担的一切成本、费用和支出以及卖方的合理利润。</w:t>
      </w:r>
    </w:p>
    <w:p>
      <w:pPr>
        <w:keepNext w:val="0"/>
        <w:keepLines w:val="0"/>
        <w:pageBreakBefore w:val="0"/>
        <w:numPr>
          <w:ilvl w:val="2"/>
          <w:numId w:val="58"/>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除专用合同条款另有约定外，签约合同价为固定价格。</w:t>
      </w:r>
    </w:p>
    <w:p>
      <w:pPr>
        <w:keepNext w:val="0"/>
        <w:keepLines w:val="0"/>
        <w:pageBreakBefore w:val="0"/>
        <w:numPr>
          <w:ilvl w:val="1"/>
          <w:numId w:val="58"/>
        </w:numPr>
        <w:tabs>
          <w:tab w:val="left" w:pos="560"/>
        </w:tabs>
        <w:kinsoku/>
        <w:overflowPunct w:val="0"/>
        <w:topLinePunct w:val="0"/>
        <w:bidi w:val="0"/>
        <w:spacing w:beforeLines="0" w:afterLines="0" w:line="400" w:lineRule="exact"/>
        <w:ind w:left="560" w:hanging="423"/>
        <w:rPr>
          <w:rFonts w:hint="default"/>
          <w:sz w:val="24"/>
        </w:rPr>
      </w:pPr>
      <w:r>
        <w:rPr>
          <w:rFonts w:hint="eastAsia" w:ascii="宋体" w:hAnsi="宋体"/>
          <w:sz w:val="28"/>
        </w:rPr>
        <w:t>合同价款的支付</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除专用合同条款另有约定外，买方应通过以下方式和比例向卖方支付合同价款：</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3.2.1 </w:t>
      </w:r>
      <w:r>
        <w:rPr>
          <w:rFonts w:hint="eastAsia" w:ascii="宋体" w:hAnsi="宋体"/>
          <w:sz w:val="21"/>
        </w:rPr>
        <w:t>预付款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合同生效后，买方在收到卖方开具的注明应付预付款金额的财务收据正本一份并经审核无</w:t>
      </w:r>
    </w:p>
    <w:p>
      <w:pPr>
        <w:keepNext w:val="0"/>
        <w:keepLines w:val="0"/>
        <w:pageBreakBefore w:val="0"/>
        <w:kinsoku/>
        <w:topLinePunct w:val="0"/>
        <w:bidi w:val="0"/>
        <w:spacing w:beforeLines="0" w:afterLines="0" w:line="400" w:lineRule="exact"/>
        <w:jc w:val="left"/>
        <w:rPr>
          <w:rFonts w:hint="eastAsia" w:ascii="宋体" w:hAnsi="宋体"/>
          <w:sz w:val="21"/>
        </w:rPr>
      </w:pPr>
      <w:r>
        <w:rPr>
          <w:rFonts w:hint="eastAsia" w:ascii="宋体" w:hAnsi="宋体"/>
          <w:sz w:val="21"/>
        </w:rPr>
        <w:t xml:space="preserve">误后 </w:t>
      </w:r>
      <w:r>
        <w:rPr>
          <w:rFonts w:hint="default" w:ascii="Times New Roman" w:hAnsi="Times New Roman" w:eastAsia="Times New Roman"/>
          <w:sz w:val="21"/>
        </w:rPr>
        <w:t>28</w:t>
      </w:r>
      <w:r>
        <w:rPr>
          <w:rFonts w:hint="eastAsia" w:ascii="宋体" w:hAnsi="宋体"/>
          <w:sz w:val="21"/>
        </w:rPr>
        <w:t xml:space="preserve"> 日内，向卖方支付签约合同价的 </w:t>
      </w:r>
      <w:r>
        <w:rPr>
          <w:rFonts w:hint="default" w:ascii="Times New Roman" w:hAnsi="Times New Roman" w:eastAsia="Times New Roman"/>
          <w:sz w:val="21"/>
        </w:rPr>
        <w:t>10%</w:t>
      </w:r>
      <w:r>
        <w:rPr>
          <w:rFonts w:hint="eastAsia" w:ascii="宋体" w:hAnsi="宋体"/>
          <w:sz w:val="21"/>
        </w:rPr>
        <w:t>作为预付款。</w:t>
      </w:r>
      <w:bookmarkStart w:id="30" w:name="page54"/>
      <w:bookmarkEnd w:id="30"/>
      <w:r>
        <w:rPr>
          <w:rFonts w:hint="default"/>
          <w:sz w:val="24"/>
        </w:rPr>
        <w:cr/>
      </w:r>
      <w:r>
        <w:rPr>
          <w:rFonts w:hint="default"/>
          <w:sz w:val="24"/>
        </w:rPr>
        <w:t>
</w:t>
      </w:r>
      <w:r>
        <w:rPr>
          <w:rFonts w:hint="eastAsia"/>
          <w:sz w:val="24"/>
          <w:lang w:val="en-US" w:eastAsia="zh-CN"/>
        </w:rPr>
        <w:t xml:space="preserve">     </w:t>
      </w:r>
      <w:r>
        <w:rPr>
          <w:rFonts w:hint="eastAsia" w:ascii="宋体" w:hAnsi="宋体"/>
          <w:sz w:val="21"/>
        </w:rPr>
        <w:t>买方支付预付款后，如卖方未履行合同义务，则买方有权收回预付款；如卖方依约履行</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了合同义务，则预付款抵作合同价款。</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3.2.2 </w:t>
      </w:r>
      <w:r>
        <w:rPr>
          <w:rFonts w:hint="eastAsia" w:ascii="宋体" w:hAnsi="宋体"/>
          <w:sz w:val="21"/>
        </w:rPr>
        <w:t>交货款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卖方按合同约定交付全部合同设备后，买方在收到卖方提交的下列全部单据并经审核无误</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后 </w:t>
      </w:r>
      <w:r>
        <w:rPr>
          <w:rFonts w:hint="default" w:ascii="Times New Roman" w:hAnsi="Times New Roman" w:eastAsia="Times New Roman"/>
          <w:sz w:val="21"/>
        </w:rPr>
        <w:t>28</w:t>
      </w:r>
      <w:r>
        <w:rPr>
          <w:rFonts w:hint="eastAsia" w:ascii="宋体" w:hAnsi="宋体"/>
          <w:sz w:val="21"/>
        </w:rPr>
        <w:t xml:space="preserve"> 日内，向卖方支付合同价格的 </w:t>
      </w:r>
      <w:r>
        <w:rPr>
          <w:rFonts w:hint="default" w:ascii="Times New Roman" w:hAnsi="Times New Roman" w:eastAsia="Times New Roman"/>
          <w:sz w:val="21"/>
        </w:rPr>
        <w:t>60%</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）卖方出具的交货清单正本一份；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）买方签署的收货清单正本一份；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）制造商出具的出厂质量合格证正本一份；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）合同价格</w:t>
      </w:r>
      <w:r>
        <w:rPr>
          <w:rFonts w:hint="default" w:ascii="Times New Roman" w:hAnsi="Times New Roman" w:eastAsia="Times New Roman"/>
          <w:sz w:val="21"/>
        </w:rPr>
        <w:t>100%</w:t>
      </w:r>
      <w:r>
        <w:rPr>
          <w:rFonts w:hint="eastAsia" w:ascii="宋体" w:hAnsi="宋体"/>
          <w:sz w:val="21"/>
        </w:rPr>
        <w:t>金额的增值税发票正本一份。</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3.2.3 </w:t>
      </w:r>
      <w:r>
        <w:rPr>
          <w:rFonts w:hint="eastAsia" w:ascii="宋体" w:hAnsi="宋体"/>
          <w:sz w:val="21"/>
        </w:rPr>
        <w:t>验收款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买方在收到卖方提交的买卖双方签署的合同设备验收证书或已生效的验收款支付函正本一</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份并经审核无误后 </w:t>
      </w:r>
      <w:r>
        <w:rPr>
          <w:rFonts w:hint="default" w:ascii="Times New Roman" w:hAnsi="Times New Roman" w:eastAsia="Times New Roman"/>
          <w:sz w:val="21"/>
        </w:rPr>
        <w:t>28</w:t>
      </w:r>
      <w:r>
        <w:rPr>
          <w:rFonts w:hint="eastAsia" w:ascii="宋体" w:hAnsi="宋体"/>
          <w:sz w:val="21"/>
        </w:rPr>
        <w:t xml:space="preserve"> 日内，向卖方支付合同价格的 </w:t>
      </w:r>
      <w:r>
        <w:rPr>
          <w:rFonts w:hint="default" w:ascii="Times New Roman" w:hAnsi="Times New Roman" w:eastAsia="Times New Roman"/>
          <w:sz w:val="21"/>
        </w:rPr>
        <w:t>25%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3.2.4 </w:t>
      </w:r>
      <w:r>
        <w:rPr>
          <w:rFonts w:hint="eastAsia" w:ascii="宋体" w:hAnsi="宋体"/>
          <w:sz w:val="21"/>
        </w:rPr>
        <w:t>结清款</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买方在收到卖方提交的买方签署的质量保证期届满证书或已生效的结清款支付函正本一份</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并经审核无误后 </w:t>
      </w:r>
      <w:r>
        <w:rPr>
          <w:rFonts w:hint="default" w:ascii="Times New Roman" w:hAnsi="Times New Roman" w:eastAsia="Times New Roman"/>
          <w:sz w:val="21"/>
        </w:rPr>
        <w:t>28</w:t>
      </w:r>
      <w:r>
        <w:rPr>
          <w:rFonts w:hint="eastAsia" w:ascii="宋体" w:hAnsi="宋体"/>
          <w:sz w:val="21"/>
        </w:rPr>
        <w:t xml:space="preserve"> 日内，向卖方支付合同价格的 </w:t>
      </w:r>
      <w:r>
        <w:rPr>
          <w:rFonts w:hint="default" w:ascii="Times New Roman" w:hAnsi="Times New Roman" w:eastAsia="Times New Roman"/>
          <w:sz w:val="21"/>
        </w:rPr>
        <w:t>5%</w:t>
      </w:r>
      <w:r>
        <w:rPr>
          <w:rFonts w:hint="eastAsia" w:ascii="宋体" w:hAnsi="宋体"/>
          <w:sz w:val="21"/>
        </w:rPr>
        <w:t>。</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 xml:space="preserve">如果依照合同第 </w:t>
      </w:r>
      <w:r>
        <w:rPr>
          <w:rFonts w:hint="default" w:ascii="Times New Roman" w:hAnsi="Times New Roman" w:eastAsia="Times New Roman"/>
          <w:sz w:val="21"/>
        </w:rPr>
        <w:t>9.1</w:t>
      </w:r>
      <w:r>
        <w:rPr>
          <w:rFonts w:hint="eastAsia" w:ascii="宋体" w:hAnsi="宋体"/>
          <w:sz w:val="21"/>
        </w:rPr>
        <w:t xml:space="preserve"> 项，卖方应向买方支付费用的，买方有权从结清款中直接扣除该笔费用。</w:t>
      </w:r>
    </w:p>
    <w:p>
      <w:pPr>
        <w:keepNext w:val="0"/>
        <w:keepLines w:val="0"/>
        <w:pageBreakBefore w:val="0"/>
        <w:kinsoku/>
        <w:topLinePunct w:val="0"/>
        <w:bidi w:val="0"/>
        <w:spacing w:beforeLines="0" w:afterLines="0" w:line="400" w:lineRule="exact"/>
        <w:ind w:left="0" w:leftChars="0" w:firstLine="420" w:firstLineChars="200"/>
        <w:jc w:val="left"/>
        <w:rPr>
          <w:rFonts w:hint="default" w:ascii="宋体" w:hAnsi="宋体"/>
          <w:sz w:val="21"/>
        </w:rPr>
      </w:pPr>
      <w:r>
        <w:rPr>
          <w:rFonts w:hint="eastAsia" w:ascii="宋体" w:hAnsi="宋体"/>
          <w:sz w:val="21"/>
        </w:rPr>
        <w:t>除专用合同条款另有约定外，在买方向卖方支付验收款的同时或其后的任何时间内，卖方</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可在向买方提交买方可接受的金额为合同价格 </w:t>
      </w:r>
      <w:r>
        <w:rPr>
          <w:rFonts w:hint="default" w:ascii="宋体" w:hAnsi="宋体"/>
          <w:sz w:val="21"/>
        </w:rPr>
        <w:t>5%</w:t>
      </w:r>
      <w:r>
        <w:rPr>
          <w:rFonts w:hint="eastAsia" w:ascii="宋体" w:hAnsi="宋体"/>
          <w:sz w:val="21"/>
        </w:rPr>
        <w:t>的合同结清款保函的前提下，要求买方支付合同结清款，买方不得拒绝。</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3.3 </w:t>
      </w:r>
      <w:r>
        <w:rPr>
          <w:rFonts w:hint="eastAsia" w:ascii="宋体" w:hAnsi="宋体"/>
          <w:sz w:val="28"/>
        </w:rPr>
        <w:t>买方扣款的权利</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当卖方应向买方支付合同项下的违约金或赔偿金时，买方有权从上述任何一笔应付款中予</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以直接扣除和（或）兑付履约保证金。</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b/>
          <w:sz w:val="32"/>
        </w:rPr>
        <w:t xml:space="preserve">4. </w:t>
      </w:r>
      <w:r>
        <w:rPr>
          <w:rFonts w:hint="eastAsia" w:ascii="宋体" w:hAnsi="宋体"/>
          <w:b/>
          <w:sz w:val="32"/>
        </w:rPr>
        <w:t>监造及交货前检验</w:t>
      </w:r>
    </w:p>
    <w:p>
      <w:pPr>
        <w:keepNext w:val="0"/>
        <w:keepLines w:val="0"/>
        <w:pageBreakBefore w:val="0"/>
        <w:kinsoku/>
        <w:topLinePunct w:val="0"/>
        <w:bidi w:val="0"/>
        <w:spacing w:beforeLines="0" w:afterLines="0" w:line="400" w:lineRule="exact"/>
        <w:ind w:left="140"/>
        <w:jc w:val="left"/>
        <w:rPr>
          <w:rFonts w:hint="default"/>
          <w:sz w:val="24"/>
        </w:rPr>
      </w:pPr>
      <w:r>
        <w:rPr>
          <w:rFonts w:hint="default" w:ascii="Times New Roman" w:hAnsi="Times New Roman" w:eastAsia="Times New Roman"/>
          <w:sz w:val="28"/>
        </w:rPr>
        <w:t xml:space="preserve">4.1 </w:t>
      </w:r>
      <w:r>
        <w:rPr>
          <w:rFonts w:hint="eastAsia" w:ascii="宋体" w:hAnsi="宋体"/>
          <w:sz w:val="28"/>
        </w:rPr>
        <w:t>监造</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专用合同条款约定买方对合同设备进行监造的，双方应按本款及专用合同条款约定履行。</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default" w:ascii="Times New Roman" w:hAnsi="Times New Roman" w:eastAsia="Times New Roman"/>
          <w:sz w:val="21"/>
        </w:rPr>
        <w:t xml:space="preserve">4.1.1 </w:t>
      </w:r>
      <w:r>
        <w:rPr>
          <w:rFonts w:hint="eastAsia" w:ascii="宋体" w:hAnsi="宋体"/>
          <w:sz w:val="21"/>
        </w:rPr>
        <w:t>在合同设备的制造过程中，买方可派出监造人员，对合同设备的生产制造进行监造，监督合同设备制造、检验等情况。监造的范围、方式等应符合专用合同条款和（或）供货要求</w:t>
      </w:r>
      <w:bookmarkStart w:id="31" w:name="page55"/>
      <w:bookmarkEnd w:id="31"/>
      <w:r>
        <w:rPr>
          <w:rFonts w:hint="eastAsia" w:ascii="宋体" w:hAnsi="宋体"/>
          <w:sz w:val="21"/>
        </w:rPr>
        <w:t>等合同文件的约定。</w:t>
      </w:r>
    </w:p>
    <w:p>
      <w:pPr>
        <w:keepNext w:val="0"/>
        <w:keepLines w:val="0"/>
        <w:pageBreakBefore w:val="0"/>
        <w:numPr>
          <w:ilvl w:val="1"/>
          <w:numId w:val="5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keepNext w:val="0"/>
        <w:keepLines w:val="0"/>
        <w:pageBreakBefore w:val="0"/>
        <w:numPr>
          <w:ilvl w:val="1"/>
          <w:numId w:val="5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卖方制订生产制造合同设备的进度计划时，应将买方监造纳入计划安排，并提前通知买方；买方进行监造不应影响合同设备的正常生产。除专用合同条款和（或）供货要求等合同文件另有约定外，卖方应提前 </w:t>
      </w:r>
      <w:r>
        <w:rPr>
          <w:rFonts w:hint="default" w:ascii="Times New Roman" w:hAnsi="Times New Roman" w:eastAsia="Times New Roman"/>
          <w:sz w:val="21"/>
        </w:rPr>
        <w:t>7</w:t>
      </w:r>
      <w:r>
        <w:rPr>
          <w:rFonts w:hint="eastAsia" w:ascii="宋体" w:hAnsi="宋体"/>
          <w:sz w:val="21"/>
        </w:rPr>
        <w:t xml:space="preserve"> 日将需要买方监造人员现场监造事项通知买方；如买方监造人员未按通知出席，不影响合同设备及其关键部件的制造或检验，但买方监造人员有权事后了解、查阅、复制相关制造或检验记录。</w:t>
      </w:r>
    </w:p>
    <w:p>
      <w:pPr>
        <w:keepNext w:val="0"/>
        <w:keepLines w:val="0"/>
        <w:pageBreakBefore w:val="0"/>
        <w:numPr>
          <w:ilvl w:val="1"/>
          <w:numId w:val="5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买方监造人员在监造中如发现合同设备及其关键部件不符合合同约定的标准，则有权提出意见和建议。卖方应采取必要措施消除合同设备的不符，由此增加的费用和（或）造成的延误由卖方负责。</w:t>
      </w:r>
    </w:p>
    <w:p>
      <w:pPr>
        <w:keepNext w:val="0"/>
        <w:keepLines w:val="0"/>
        <w:pageBreakBefore w:val="0"/>
        <w:numPr>
          <w:ilvl w:val="1"/>
          <w:numId w:val="5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keepNext w:val="0"/>
        <w:keepLines w:val="0"/>
        <w:pageBreakBefore w:val="0"/>
        <w:numPr>
          <w:ilvl w:val="0"/>
          <w:numId w:val="60"/>
        </w:numPr>
        <w:tabs>
          <w:tab w:val="left" w:pos="620"/>
          <w:tab w:val="clear" w:pos="720"/>
        </w:tabs>
        <w:kinsoku/>
        <w:overflowPunct w:val="0"/>
        <w:topLinePunct w:val="0"/>
        <w:bidi w:val="0"/>
        <w:spacing w:beforeLines="0" w:afterLines="0" w:line="400" w:lineRule="exact"/>
        <w:ind w:left="620" w:hanging="483"/>
        <w:rPr>
          <w:rFonts w:hint="default"/>
          <w:sz w:val="24"/>
        </w:rPr>
      </w:pPr>
      <w:r>
        <w:rPr>
          <w:rFonts w:hint="eastAsia" w:ascii="宋体" w:hAnsi="宋体"/>
          <w:sz w:val="28"/>
        </w:rPr>
        <w:t>交货前检验</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专用合同条款约定买方参与交货前检验的，双方应按本款及专用合同条款约定履行。</w:t>
      </w:r>
    </w:p>
    <w:p>
      <w:pPr>
        <w:keepNext w:val="0"/>
        <w:keepLines w:val="0"/>
        <w:pageBreakBefore w:val="0"/>
        <w:numPr>
          <w:ilvl w:val="0"/>
          <w:numId w:val="61"/>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keepNext w:val="0"/>
        <w:keepLines w:val="0"/>
        <w:pageBreakBefore w:val="0"/>
        <w:numPr>
          <w:ilvl w:val="0"/>
          <w:numId w:val="61"/>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除专用合同条款和（或）供货要求等合同文件另有约定外，卖方应提前 </w:t>
      </w:r>
      <w:r>
        <w:rPr>
          <w:rFonts w:hint="default" w:ascii="Times New Roman" w:hAnsi="Times New Roman" w:eastAsia="Times New Roman"/>
          <w:sz w:val="21"/>
        </w:rPr>
        <w:t>7</w:t>
      </w:r>
      <w:r>
        <w:rPr>
          <w:rFonts w:hint="eastAsia" w:ascii="宋体" w:hAnsi="宋体"/>
          <w:sz w:val="21"/>
        </w:rPr>
        <w:t xml:space="preserve">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keepNext w:val="0"/>
        <w:keepLines w:val="0"/>
        <w:pageBreakBefore w:val="0"/>
        <w:numPr>
          <w:ilvl w:val="0"/>
          <w:numId w:val="61"/>
        </w:numPr>
        <w:tabs>
          <w:tab w:val="left" w:pos="946"/>
          <w:tab w:val="clear" w:pos="72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买方代表在检验中如发现合同设备不符合合同约定的标准，则有权提出异议。卖方应采取必要措施消除合同设备的不符，由此增加的费用和（或）造成的延误由卖方负责。</w:t>
      </w:r>
    </w:p>
    <w:p>
      <w:pPr>
        <w:keepNext w:val="0"/>
        <w:keepLines w:val="0"/>
        <w:pageBreakBefore w:val="0"/>
        <w:numPr>
          <w:ilvl w:val="0"/>
          <w:numId w:val="61"/>
        </w:numPr>
        <w:tabs>
          <w:tab w:val="left" w:pos="946"/>
          <w:tab w:val="clear" w:pos="720"/>
        </w:tabs>
        <w:kinsoku/>
        <w:overflowPunct w:val="0"/>
        <w:topLinePunct w:val="0"/>
        <w:bidi w:val="0"/>
        <w:spacing w:beforeLines="0" w:afterLines="0" w:line="400" w:lineRule="exact"/>
        <w:ind w:left="0" w:firstLine="420"/>
        <w:rPr>
          <w:rFonts w:hint="default"/>
          <w:sz w:val="24"/>
        </w:rPr>
      </w:pPr>
      <w:r>
        <w:rPr>
          <w:rFonts w:hint="eastAsia" w:ascii="宋体" w:hAnsi="宋体"/>
          <w:sz w:val="21"/>
          <w:szCs w:val="21"/>
        </w:rPr>
        <w:t>买方代表参与交货前检验及签署交货前检验记录的行为，不视为对合同设备质量的确认，不影响卖方交货后买方依照合同约定对合同设备提出质量异议和（或）退货的权利，也不免除卖方</w:t>
      </w:r>
      <w:r>
        <w:rPr>
          <w:rFonts w:hint="eastAsia" w:ascii="宋体" w:hAnsi="宋体"/>
          <w:sz w:val="21"/>
        </w:rPr>
        <w:t>依照合同约定对合同设备所应承担的任何义务或责任。</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5.</w:t>
      </w:r>
      <w:r>
        <w:rPr>
          <w:rFonts w:hint="eastAsia" w:ascii="宋体" w:hAnsi="宋体"/>
          <w:b/>
          <w:sz w:val="32"/>
        </w:rPr>
        <w:t>包装、标记、运输和交付</w:t>
      </w:r>
    </w:p>
    <w:p>
      <w:pPr>
        <w:keepNext w:val="0"/>
        <w:keepLines w:val="0"/>
        <w:pageBreakBefore w:val="0"/>
        <w:numPr>
          <w:ilvl w:val="0"/>
          <w:numId w:val="62"/>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包装</w:t>
      </w:r>
    </w:p>
    <w:p>
      <w:pPr>
        <w:keepNext w:val="0"/>
        <w:keepLines w:val="0"/>
        <w:pageBreakBefore w:val="0"/>
        <w:numPr>
          <w:ilvl w:val="1"/>
          <w:numId w:val="62"/>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keepNext w:val="0"/>
        <w:keepLines w:val="0"/>
        <w:pageBreakBefore w:val="0"/>
        <w:numPr>
          <w:ilvl w:val="1"/>
          <w:numId w:val="62"/>
        </w:numPr>
        <w:tabs>
          <w:tab w:val="left" w:pos="105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1"/>
        </w:rPr>
      </w:pPr>
      <w:r>
        <w:rPr>
          <w:rFonts w:hint="eastAsia" w:ascii="宋体" w:hAnsi="宋体"/>
          <w:sz w:val="21"/>
        </w:rPr>
        <w:t>每个独立包装箱内应附装箱清单、质量合格证、装配图、说明书、操作指南等资料。</w:t>
      </w:r>
    </w:p>
    <w:p>
      <w:pPr>
        <w:keepNext w:val="0"/>
        <w:keepLines w:val="0"/>
        <w:pageBreakBefore w:val="0"/>
        <w:numPr>
          <w:ilvl w:val="1"/>
          <w:numId w:val="62"/>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除专用合同条款另有约定外，买方无需将包装物退还给卖方。</w:t>
      </w:r>
    </w:p>
    <w:p>
      <w:pPr>
        <w:keepNext w:val="0"/>
        <w:keepLines w:val="0"/>
        <w:pageBreakBefore w:val="0"/>
        <w:numPr>
          <w:ilvl w:val="0"/>
          <w:numId w:val="62"/>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标记</w:t>
      </w:r>
    </w:p>
    <w:p>
      <w:pPr>
        <w:keepNext w:val="0"/>
        <w:keepLines w:val="0"/>
        <w:pageBreakBefore w:val="0"/>
        <w:numPr>
          <w:ilvl w:val="1"/>
          <w:numId w:val="63"/>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除专用合同条款另有约定外，卖方应在每一包装箱相邻的四个侧面以不可擦除的、明显的方式标记必要的装运信息和标记，以满足合同设备运输和保管的需要。</w:t>
      </w:r>
    </w:p>
    <w:p>
      <w:pPr>
        <w:keepNext w:val="0"/>
        <w:keepLines w:val="0"/>
        <w:pageBreakBefore w:val="0"/>
        <w:numPr>
          <w:ilvl w:val="1"/>
          <w:numId w:val="63"/>
        </w:numPr>
        <w:tabs>
          <w:tab w:val="left" w:pos="948"/>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根据合同设</w:t>
      </w:r>
      <w:r>
        <w:rPr>
          <w:rFonts w:hint="eastAsia" w:ascii="宋体" w:hAnsi="宋体" w:eastAsia="宋体" w:cs="宋体"/>
          <w:sz w:val="21"/>
        </w:rPr>
        <w:t>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keepNext w:val="0"/>
        <w:keepLines w:val="0"/>
        <w:pageBreakBefore w:val="0"/>
        <w:numPr>
          <w:ilvl w:val="0"/>
          <w:numId w:val="64"/>
        </w:numPr>
        <w:tabs>
          <w:tab w:val="left" w:pos="560"/>
          <w:tab w:val="clear" w:pos="720"/>
        </w:tabs>
        <w:kinsoku/>
        <w:overflowPunct w:val="0"/>
        <w:topLinePunct w:val="0"/>
        <w:bidi w:val="0"/>
        <w:spacing w:beforeLines="0" w:afterLines="0" w:line="400" w:lineRule="exact"/>
        <w:ind w:left="560" w:hanging="423"/>
        <w:rPr>
          <w:rFonts w:hint="default" w:ascii="Times New Roman" w:hAnsi="Times New Roman" w:eastAsia="Times New Roman"/>
          <w:sz w:val="28"/>
        </w:rPr>
      </w:pPr>
      <w:r>
        <w:rPr>
          <w:rFonts w:hint="eastAsia" w:ascii="宋体" w:hAnsi="宋体"/>
          <w:sz w:val="28"/>
        </w:rPr>
        <w:t>运输</w:t>
      </w:r>
    </w:p>
    <w:p>
      <w:pPr>
        <w:keepNext w:val="0"/>
        <w:keepLines w:val="0"/>
        <w:pageBreakBefore w:val="0"/>
        <w:numPr>
          <w:ilvl w:val="1"/>
          <w:numId w:val="64"/>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卖方应自行选择适宜的运输工具及线路安排合同设备运输。</w:t>
      </w:r>
    </w:p>
    <w:p>
      <w:pPr>
        <w:keepNext w:val="0"/>
        <w:keepLines w:val="0"/>
        <w:pageBreakBefore w:val="0"/>
        <w:numPr>
          <w:ilvl w:val="1"/>
          <w:numId w:val="64"/>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除专用合同条款另有约定外，每件能够独立运行的设备应整套装运。该设备安装、调试、考核和运行所使用的备品、备件、易损易耗件等应随相关的主机一齐装运。</w:t>
      </w:r>
    </w:p>
    <w:p>
      <w:pPr>
        <w:keepNext w:val="0"/>
        <w:keepLines w:val="0"/>
        <w:pageBreakBefore w:val="0"/>
        <w:numPr>
          <w:ilvl w:val="1"/>
          <w:numId w:val="64"/>
        </w:numPr>
        <w:tabs>
          <w:tab w:val="left" w:pos="630"/>
          <w:tab w:val="left" w:pos="840"/>
          <w:tab w:val="left" w:pos="1050"/>
          <w:tab w:val="clear" w:pos="144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0"/>
        </w:rPr>
      </w:pPr>
      <w:r>
        <w:rPr>
          <w:rFonts w:hint="eastAsia" w:ascii="宋体" w:hAnsi="宋体" w:eastAsia="宋体" w:cs="宋体"/>
          <w:sz w:val="21"/>
          <w:szCs w:val="21"/>
        </w:rPr>
        <w:t>除专用合同条款另有约定外，卖方应在合同设备预计启运 7 日前，将合同设备名称、数量、箱数、总毛重、总体积（用 m</w:t>
      </w:r>
      <w:r>
        <w:rPr>
          <w:rFonts w:hint="eastAsia" w:ascii="宋体" w:hAnsi="宋体" w:eastAsia="宋体" w:cs="宋体"/>
          <w:sz w:val="21"/>
          <w:szCs w:val="21"/>
          <w:vertAlign w:val="superscript"/>
        </w:rPr>
        <w:t>3</w:t>
      </w:r>
      <w:r>
        <w:rPr>
          <w:rFonts w:hint="eastAsia" w:ascii="宋体" w:hAnsi="宋体" w:eastAsia="宋体" w:cs="宋体"/>
          <w:sz w:val="21"/>
          <w:szCs w:val="21"/>
        </w:rPr>
        <w:t xml:space="preserve"> 表示）、每箱尺寸（长×宽×高）、装运合同设备总金额、运输方式、预计交付日期和合同设备在运输、装卸、保管中的注意事项等预通知买方，并在合同设备启运后 24 小时之内正式通知买方</w:t>
      </w:r>
      <w:r>
        <w:rPr>
          <w:rFonts w:hint="eastAsia" w:ascii="宋体" w:hAnsi="宋体"/>
          <w:sz w:val="21"/>
        </w:rPr>
        <w:t>。</w:t>
      </w:r>
    </w:p>
    <w:p>
      <w:pPr>
        <w:keepNext w:val="0"/>
        <w:keepLines w:val="0"/>
        <w:pageBreakBefore w:val="0"/>
        <w:numPr>
          <w:ilvl w:val="1"/>
          <w:numId w:val="64"/>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卖方在根据第 </w:t>
      </w:r>
      <w:r>
        <w:rPr>
          <w:rFonts w:hint="default" w:ascii="Times New Roman" w:hAnsi="Times New Roman" w:eastAsia="Times New Roman"/>
          <w:sz w:val="21"/>
        </w:rPr>
        <w:t>5.3.3</w:t>
      </w:r>
      <w:r>
        <w:rPr>
          <w:rFonts w:hint="eastAsia" w:ascii="宋体" w:hAnsi="宋体"/>
          <w:sz w:val="21"/>
        </w:rPr>
        <w:t xml:space="preserve">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keepNext w:val="0"/>
        <w:keepLines w:val="0"/>
        <w:pageBreakBefore w:val="0"/>
        <w:numPr>
          <w:ilvl w:val="1"/>
          <w:numId w:val="65"/>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bookmarkStart w:id="32" w:name="page57"/>
      <w:bookmarkEnd w:id="32"/>
      <w:r>
        <w:rPr>
          <w:rFonts w:hint="eastAsia" w:ascii="宋体" w:hAnsi="宋体"/>
          <w:sz w:val="28"/>
        </w:rPr>
        <w:t>交付</w:t>
      </w:r>
    </w:p>
    <w:p>
      <w:pPr>
        <w:keepNext w:val="0"/>
        <w:keepLines w:val="0"/>
        <w:pageBreakBefore w:val="0"/>
        <w:numPr>
          <w:ilvl w:val="2"/>
          <w:numId w:val="65"/>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除专用合同条款另有约定外，卖方应根据合同约定的交付时间和批次在施工场地车面上将合同设备交付给买方。买方对卖方交付的包装的合同设备的外观及件数进行清点核验后应签发收货清单</w:t>
      </w:r>
      <w:r>
        <w:rPr>
          <w:rFonts w:hint="eastAsia" w:ascii="宋体" w:hAnsi="宋体"/>
          <w:sz w:val="19"/>
        </w:rPr>
        <w:t>，</w:t>
      </w:r>
      <w:r>
        <w:rPr>
          <w:rFonts w:hint="eastAsia" w:ascii="宋体" w:hAnsi="宋体"/>
          <w:sz w:val="21"/>
        </w:rPr>
        <w:t>并自负风险和费用进行卸货。买方签发收货清单不代表对合同设备的接受，双方还应按合同约定进行后续的检验和验收。</w:t>
      </w:r>
    </w:p>
    <w:p>
      <w:pPr>
        <w:keepNext w:val="0"/>
        <w:keepLines w:val="0"/>
        <w:pageBreakBefore w:val="0"/>
        <w:numPr>
          <w:ilvl w:val="2"/>
          <w:numId w:val="65"/>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合同设备的所有权和风险自交付时起由卖方转移至买方，合同设备交付给买方之前包括运输在内的所有风险均由卖方承担。</w:t>
      </w:r>
    </w:p>
    <w:p>
      <w:pPr>
        <w:keepNext w:val="0"/>
        <w:keepLines w:val="0"/>
        <w:pageBreakBefore w:val="0"/>
        <w:numPr>
          <w:ilvl w:val="2"/>
          <w:numId w:val="65"/>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除专用合同条款另有约定外，买方如果发现技术资料存在短缺和（或）损坏，卖方应在收到买方的通知后 </w:t>
      </w:r>
      <w:r>
        <w:rPr>
          <w:rFonts w:hint="default" w:ascii="Times New Roman" w:hAnsi="Times New Roman" w:eastAsia="Times New Roman"/>
          <w:sz w:val="21"/>
        </w:rPr>
        <w:t>7</w:t>
      </w:r>
      <w:r>
        <w:rPr>
          <w:rFonts w:hint="eastAsia" w:ascii="宋体" w:hAnsi="宋体"/>
          <w:sz w:val="21"/>
        </w:rPr>
        <w:t xml:space="preserve"> 日内免费补齐短缺和（或）损坏的部分。如果买方发现卖方提供的技术资料有误，卖方应在收到买方通知后 </w:t>
      </w:r>
      <w:r>
        <w:rPr>
          <w:rFonts w:hint="default" w:ascii="Times New Roman" w:hAnsi="Times New Roman" w:eastAsia="Times New Roman"/>
          <w:sz w:val="21"/>
        </w:rPr>
        <w:t>7</w:t>
      </w:r>
      <w:r>
        <w:rPr>
          <w:rFonts w:hint="eastAsia" w:ascii="宋体" w:hAnsi="宋体"/>
          <w:sz w:val="21"/>
        </w:rPr>
        <w:t xml:space="preserve"> 日内免费替换。如由于买方原因导致技术资料丢失和（或）损坏，卖方应在收到买方的通知后 </w:t>
      </w:r>
      <w:r>
        <w:rPr>
          <w:rFonts w:hint="default" w:ascii="Times New Roman" w:hAnsi="Times New Roman" w:eastAsia="Times New Roman"/>
          <w:sz w:val="21"/>
        </w:rPr>
        <w:t>7</w:t>
      </w:r>
      <w:r>
        <w:rPr>
          <w:rFonts w:hint="eastAsia" w:ascii="宋体" w:hAnsi="宋体"/>
          <w:sz w:val="21"/>
        </w:rPr>
        <w:t xml:space="preserve"> 日内补齐丢失和（或）损坏的部分，但买方应向卖方支付合理的复制、邮寄费用。</w:t>
      </w:r>
    </w:p>
    <w:p>
      <w:pPr>
        <w:keepNext w:val="0"/>
        <w:keepLines w:val="0"/>
        <w:pageBreakBefore w:val="0"/>
        <w:numPr>
          <w:ilvl w:val="0"/>
          <w:numId w:val="66"/>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开箱检验、安装、调试、考核、验收</w:t>
      </w:r>
    </w:p>
    <w:p>
      <w:pPr>
        <w:keepNext w:val="0"/>
        <w:keepLines w:val="0"/>
        <w:pageBreakBefore w:val="0"/>
        <w:numPr>
          <w:ilvl w:val="1"/>
          <w:numId w:val="66"/>
        </w:numPr>
        <w:tabs>
          <w:tab w:val="left" w:pos="6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开箱检验</w:t>
      </w:r>
    </w:p>
    <w:p>
      <w:pPr>
        <w:keepNext w:val="0"/>
        <w:keepLines w:val="0"/>
        <w:pageBreakBefore w:val="0"/>
        <w:numPr>
          <w:ilvl w:val="2"/>
          <w:numId w:val="66"/>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合同设备交付后应进行开箱检验，即合同设备数量及外观检验。开箱检验在专用合同条款约定的下列任一种时间进行：</w:t>
      </w:r>
    </w:p>
    <w:p>
      <w:pPr>
        <w:keepNext w:val="0"/>
        <w:keepLines w:val="0"/>
        <w:pageBreakBefore w:val="0"/>
        <w:numPr>
          <w:ilvl w:val="0"/>
          <w:numId w:val="67"/>
        </w:numPr>
        <w:kinsoku/>
        <w:overflowPunct w:val="0"/>
        <w:topLinePunct w:val="0"/>
        <w:bidi w:val="0"/>
        <w:spacing w:beforeLines="0" w:afterLines="0" w:line="400" w:lineRule="exact"/>
        <w:ind w:left="420" w:right="0" w:rightChars="0"/>
        <w:jc w:val="left"/>
        <w:rPr>
          <w:rFonts w:hint="eastAsia" w:ascii="宋体" w:hAnsi="宋体"/>
          <w:sz w:val="21"/>
        </w:rPr>
      </w:pPr>
      <w:r>
        <w:rPr>
          <w:rFonts w:hint="eastAsia" w:ascii="宋体" w:hAnsi="宋体"/>
          <w:sz w:val="21"/>
        </w:rPr>
        <w:t>合同设备交付时；</w:t>
      </w:r>
    </w:p>
    <w:p>
      <w:pPr>
        <w:keepNext w:val="0"/>
        <w:keepLines w:val="0"/>
        <w:pageBreakBefore w:val="0"/>
        <w:numPr>
          <w:ilvl w:val="0"/>
          <w:numId w:val="0"/>
        </w:numPr>
        <w:kinsoku/>
        <w:overflowPunct w:val="0"/>
        <w:topLinePunct w:val="0"/>
        <w:bidi w:val="0"/>
        <w:spacing w:beforeLines="0" w:afterLines="0" w:line="400" w:lineRule="exact"/>
        <w:ind w:right="0" w:rightChars="0" w:firstLine="420" w:firstLineChars="200"/>
        <w:jc w:val="left"/>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）合同设备交付后的一定期限内。</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 xml:space="preserve">如开箱检验不在合同设备交付时进行，买方应在开箱检验 </w:t>
      </w:r>
      <w:r>
        <w:rPr>
          <w:rFonts w:hint="default" w:ascii="Times New Roman" w:hAnsi="Times New Roman" w:eastAsia="Times New Roman"/>
          <w:sz w:val="21"/>
        </w:rPr>
        <w:t>3</w:t>
      </w:r>
      <w:r>
        <w:rPr>
          <w:rFonts w:hint="eastAsia" w:ascii="宋体" w:hAnsi="宋体"/>
          <w:sz w:val="21"/>
        </w:rPr>
        <w:t xml:space="preserve"> 日前将开箱检验的时间和地点通知卖方。</w:t>
      </w:r>
    </w:p>
    <w:p>
      <w:pPr>
        <w:keepNext w:val="0"/>
        <w:keepLines w:val="0"/>
        <w:pageBreakBefore w:val="0"/>
        <w:numPr>
          <w:ilvl w:val="2"/>
          <w:numId w:val="6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除专用合同条款另有约定外，合同设备的开箱检验应在施工场地进行。</w:t>
      </w:r>
    </w:p>
    <w:p>
      <w:pPr>
        <w:keepNext w:val="0"/>
        <w:keepLines w:val="0"/>
        <w:pageBreakBefore w:val="0"/>
        <w:numPr>
          <w:ilvl w:val="2"/>
          <w:numId w:val="66"/>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开箱检验由买卖双方共同进行，卖方应自负费用派遣代表到场参加开箱检验。</w:t>
      </w:r>
    </w:p>
    <w:p>
      <w:pPr>
        <w:keepNext w:val="0"/>
        <w:keepLines w:val="0"/>
        <w:pageBreakBefore w:val="0"/>
        <w:numPr>
          <w:ilvl w:val="2"/>
          <w:numId w:val="66"/>
        </w:numPr>
        <w:tabs>
          <w:tab w:val="left" w:pos="948"/>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在开箱检验中，买方和卖方应共同签署数量、外观检验报告，报告应列明检验结果，包括检验合格或发现的任何短缺、损坏或其它与合同约定不符的情形。</w:t>
      </w:r>
    </w:p>
    <w:p>
      <w:pPr>
        <w:keepNext w:val="0"/>
        <w:keepLines w:val="0"/>
        <w:pageBreakBefore w:val="0"/>
        <w:numPr>
          <w:ilvl w:val="2"/>
          <w:numId w:val="66"/>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keepNext w:val="0"/>
        <w:keepLines w:val="0"/>
        <w:pageBreakBefore w:val="0"/>
        <w:numPr>
          <w:ilvl w:val="2"/>
          <w:numId w:val="66"/>
        </w:numPr>
        <w:tabs>
          <w:tab w:val="left" w:pos="940"/>
        </w:tabs>
        <w:kinsoku/>
        <w:overflowPunct w:val="0"/>
        <w:topLinePunct w:val="0"/>
        <w:bidi w:val="0"/>
        <w:spacing w:beforeLines="0" w:afterLines="0" w:line="400" w:lineRule="exact"/>
        <w:ind w:left="940" w:hanging="520"/>
        <w:rPr>
          <w:rFonts w:hint="default"/>
          <w:sz w:val="24"/>
        </w:rPr>
      </w:pPr>
      <w:r>
        <w:rPr>
          <w:rFonts w:hint="eastAsia" w:ascii="宋体" w:hAnsi="宋体"/>
          <w:sz w:val="21"/>
        </w:rPr>
        <w:t>如开箱检验不在合同设备交付时进行，则合同设备交付以后到开箱检验之前，应由</w:t>
      </w:r>
    </w:p>
    <w:p>
      <w:pPr>
        <w:keepNext w:val="0"/>
        <w:keepLines w:val="0"/>
        <w:pageBreakBefore w:val="0"/>
        <w:numPr>
          <w:ilvl w:val="0"/>
          <w:numId w:val="0"/>
        </w:numPr>
        <w:tabs>
          <w:tab w:val="left" w:pos="940"/>
        </w:tabs>
        <w:kinsoku/>
        <w:overflowPunct w:val="0"/>
        <w:topLinePunct w:val="0"/>
        <w:bidi w:val="0"/>
        <w:spacing w:beforeLines="0" w:afterLines="0" w:line="400" w:lineRule="exact"/>
        <w:rPr>
          <w:rFonts w:hint="default"/>
          <w:sz w:val="24"/>
        </w:rPr>
      </w:pPr>
      <w:r>
        <w:rPr>
          <w:rFonts w:hint="eastAsia" w:ascii="宋体" w:hAnsi="宋体"/>
          <w:sz w:val="21"/>
        </w:rPr>
        <w:t>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keepNext w:val="0"/>
        <w:keepLines w:val="0"/>
        <w:pageBreakBefore w:val="0"/>
        <w:numPr>
          <w:ilvl w:val="1"/>
          <w:numId w:val="68"/>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如双方在专用合同条款和（或）供货要求等合同文件中约定由第三方检测机构对合同设备进行开箱检验或在开箱检验过程中另行约定由第三方检验的，则第三方检测机构的检验结果对双方均具有约束力。</w:t>
      </w:r>
    </w:p>
    <w:p>
      <w:pPr>
        <w:keepNext w:val="0"/>
        <w:keepLines w:val="0"/>
        <w:pageBreakBefore w:val="0"/>
        <w:numPr>
          <w:ilvl w:val="1"/>
          <w:numId w:val="68"/>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开箱检验的检验结果不能对抗在合同设备的安装、调试、考核、验收中及质量保证期内发现的合同设备质量问题，也不能免除或影响卖方依照合同约定对买方负有的包括合同设备质量在内的任何义务或责任。</w:t>
      </w:r>
    </w:p>
    <w:p>
      <w:pPr>
        <w:keepNext w:val="0"/>
        <w:keepLines w:val="0"/>
        <w:pageBreakBefore w:val="0"/>
        <w:numPr>
          <w:ilvl w:val="0"/>
          <w:numId w:val="69"/>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安装、调试</w:t>
      </w:r>
    </w:p>
    <w:p>
      <w:pPr>
        <w:keepNext w:val="0"/>
        <w:keepLines w:val="0"/>
        <w:pageBreakBefore w:val="0"/>
        <w:numPr>
          <w:ilvl w:val="1"/>
          <w:numId w:val="6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开箱检验完成后，双方应对合同设备进行安装、调试，以使其具备考核的状态。安装、调试应按照专用合同条款约定的下列任一种方式进行：</w:t>
      </w:r>
    </w:p>
    <w:p>
      <w:pPr>
        <w:keepNext w:val="0"/>
        <w:keepLines w:val="0"/>
        <w:pageBreakBefore w:val="0"/>
        <w:kinsoku/>
        <w:overflowPunct w:val="0"/>
        <w:topLinePunct w:val="0"/>
        <w:bidi w:val="0"/>
        <w:spacing w:beforeLines="0" w:afterLines="0" w:line="400" w:lineRule="exact"/>
        <w:ind w:left="0" w:leftChars="0" w:right="0" w:rightChars="0" w:firstLine="420" w:firstLineChars="200"/>
        <w:jc w:val="left"/>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）卖方按照合同约定完成合同设备的安装、调试工作；（</w:t>
      </w:r>
      <w:r>
        <w:rPr>
          <w:rFonts w:hint="default" w:ascii="Times New Roman" w:hAnsi="Times New Roman" w:eastAsia="Times New Roman"/>
          <w:sz w:val="21"/>
        </w:rPr>
        <w:t>2</w:t>
      </w:r>
      <w:r>
        <w:rPr>
          <w:rFonts w:hint="eastAsia" w:ascii="宋体" w:hAnsi="宋体"/>
          <w:sz w:val="21"/>
        </w:rPr>
        <w:t>）买方或买方安排第三方负责合同设备的安装、调试工作，卖方提供技术服务。</w:t>
      </w:r>
    </w:p>
    <w:p>
      <w:pPr>
        <w:keepNext w:val="0"/>
        <w:keepLines w:val="0"/>
        <w:pageBreakBefore w:val="0"/>
        <w:kinsoku/>
        <w:overflowPunct w:val="0"/>
        <w:topLinePunct w:val="0"/>
        <w:bidi w:val="0"/>
        <w:spacing w:beforeLines="0" w:afterLines="0" w:line="400" w:lineRule="exact"/>
        <w:ind w:firstLine="420"/>
        <w:rPr>
          <w:rFonts w:hint="default" w:ascii="Times New Roman" w:hAnsi="Times New Roman" w:eastAsia="Times New Roman"/>
          <w:sz w:val="21"/>
        </w:rPr>
      </w:pPr>
      <w:r>
        <w:rPr>
          <w:rFonts w:hint="eastAsia" w:ascii="宋体" w:hAnsi="宋体"/>
          <w:sz w:val="2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keepNext w:val="0"/>
        <w:keepLines w:val="0"/>
        <w:pageBreakBefore w:val="0"/>
        <w:numPr>
          <w:ilvl w:val="1"/>
          <w:numId w:val="69"/>
        </w:numPr>
        <w:tabs>
          <w:tab w:val="left" w:pos="946"/>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除专用合同条款另有约定外，安装、调试中合同设备运行需要的用水、用电、其他动力和原材料（如需要）等均由买方承担。</w:t>
      </w:r>
    </w:p>
    <w:p>
      <w:pPr>
        <w:keepNext w:val="0"/>
        <w:keepLines w:val="0"/>
        <w:pageBreakBefore w:val="0"/>
        <w:numPr>
          <w:ilvl w:val="1"/>
          <w:numId w:val="69"/>
        </w:numPr>
        <w:tabs>
          <w:tab w:val="left" w:pos="940"/>
        </w:tabs>
        <w:kinsoku/>
        <w:overflowPunct w:val="0"/>
        <w:topLinePunct w:val="0"/>
        <w:bidi w:val="0"/>
        <w:spacing w:beforeLines="0" w:afterLines="0" w:line="400" w:lineRule="exact"/>
        <w:ind w:left="940" w:hanging="520"/>
        <w:rPr>
          <w:rFonts w:hint="default" w:ascii="Times New Roman" w:hAnsi="Times New Roman" w:eastAsia="Times New Roman"/>
          <w:sz w:val="21"/>
        </w:rPr>
      </w:pPr>
      <w:r>
        <w:rPr>
          <w:rFonts w:hint="eastAsia" w:ascii="宋体" w:hAnsi="宋体"/>
          <w:sz w:val="21"/>
        </w:rPr>
        <w:t>双方应对合同设备的安装、调试情况共同及时进行记录。</w:t>
      </w:r>
    </w:p>
    <w:p>
      <w:pPr>
        <w:keepNext w:val="0"/>
        <w:keepLines w:val="0"/>
        <w:pageBreakBefore w:val="0"/>
        <w:numPr>
          <w:ilvl w:val="0"/>
          <w:numId w:val="69"/>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考核</w:t>
      </w:r>
    </w:p>
    <w:p>
      <w:pPr>
        <w:keepNext w:val="0"/>
        <w:keepLines w:val="0"/>
        <w:pageBreakBefore w:val="0"/>
        <w:numPr>
          <w:ilvl w:val="1"/>
          <w:numId w:val="70"/>
        </w:numPr>
        <w:tabs>
          <w:tab w:val="left" w:pos="946"/>
        </w:tabs>
        <w:kinsoku/>
        <w:overflowPunct w:val="0"/>
        <w:topLinePunct w:val="0"/>
        <w:bidi w:val="0"/>
        <w:spacing w:beforeLines="0" w:afterLines="0" w:line="400" w:lineRule="exact"/>
        <w:ind w:left="0" w:firstLine="420"/>
        <w:rPr>
          <w:rFonts w:hint="default"/>
          <w:sz w:val="24"/>
        </w:rPr>
      </w:pPr>
      <w:r>
        <w:rPr>
          <w:rFonts w:hint="eastAsia" w:ascii="宋体" w:hAnsi="宋体"/>
          <w:sz w:val="21"/>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bookmarkStart w:id="33" w:name="page59"/>
      <w:bookmarkEnd w:id="33"/>
    </w:p>
    <w:p>
      <w:pPr>
        <w:keepNext w:val="0"/>
        <w:keepLines w:val="0"/>
        <w:pageBreakBefore w:val="0"/>
        <w:numPr>
          <w:ilvl w:val="1"/>
          <w:numId w:val="71"/>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如由于卖方原因合同设备在考核中未能达到合同约定的技术性能考核指标，则卖方应在双方同意的期限内采取措施消除合同设备中存在的缺陷，并在缺陷消除以后，尽快进行再次考核。</w:t>
      </w:r>
    </w:p>
    <w:p>
      <w:pPr>
        <w:keepNext w:val="0"/>
        <w:keepLines w:val="0"/>
        <w:pageBreakBefore w:val="0"/>
        <w:numPr>
          <w:ilvl w:val="1"/>
          <w:numId w:val="71"/>
        </w:numPr>
        <w:tabs>
          <w:tab w:val="left" w:pos="893"/>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keepNext w:val="0"/>
        <w:keepLines w:val="0"/>
        <w:pageBreakBefore w:val="0"/>
        <w:numPr>
          <w:ilvl w:val="1"/>
          <w:numId w:val="71"/>
        </w:numPr>
        <w:tabs>
          <w:tab w:val="left" w:pos="94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如由于买方原因合同设备在考核中未能达到合同约定的技术性能考核指标，则卖方应协助买方安排再次考核。由于买方原因未能达到技术性能考核指标时，为买方进行考核的机会不超过三次。</w:t>
      </w:r>
    </w:p>
    <w:p>
      <w:pPr>
        <w:keepNext w:val="0"/>
        <w:keepLines w:val="0"/>
        <w:pageBreakBefore w:val="0"/>
        <w:numPr>
          <w:ilvl w:val="1"/>
          <w:numId w:val="71"/>
        </w:numPr>
        <w:tabs>
          <w:tab w:val="left" w:pos="948"/>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考核期间，双方应及时共同记录合同设备的用水、用电、其他动力和原材料（如有）的使用及设备考核情况。对于未达到技术性能考核指标的，应如实记录设备表现、可能原因及处理情况等。</w:t>
      </w:r>
    </w:p>
    <w:p>
      <w:pPr>
        <w:keepNext w:val="0"/>
        <w:keepLines w:val="0"/>
        <w:pageBreakBefore w:val="0"/>
        <w:numPr>
          <w:ilvl w:val="0"/>
          <w:numId w:val="72"/>
        </w:numPr>
        <w:tabs>
          <w:tab w:val="left" w:pos="620"/>
          <w:tab w:val="clear" w:pos="720"/>
        </w:tabs>
        <w:kinsoku/>
        <w:overflowPunct w:val="0"/>
        <w:topLinePunct w:val="0"/>
        <w:bidi w:val="0"/>
        <w:spacing w:beforeLines="0" w:afterLines="0" w:line="400" w:lineRule="exact"/>
        <w:ind w:left="620" w:hanging="483"/>
        <w:rPr>
          <w:rFonts w:hint="default" w:ascii="Times New Roman" w:hAnsi="Times New Roman" w:eastAsia="Times New Roman"/>
          <w:sz w:val="28"/>
        </w:rPr>
      </w:pPr>
      <w:r>
        <w:rPr>
          <w:rFonts w:hint="eastAsia" w:ascii="宋体" w:hAnsi="宋体"/>
          <w:sz w:val="28"/>
        </w:rPr>
        <w:t>验收</w:t>
      </w:r>
    </w:p>
    <w:p>
      <w:pPr>
        <w:keepNext w:val="0"/>
        <w:keepLines w:val="0"/>
        <w:pageBreakBefore w:val="0"/>
        <w:numPr>
          <w:ilvl w:val="1"/>
          <w:numId w:val="72"/>
        </w:numPr>
        <w:tabs>
          <w:tab w:val="left" w:pos="1050"/>
          <w:tab w:val="left" w:pos="1260"/>
        </w:tabs>
        <w:kinsoku/>
        <w:overflowPunct w:val="0"/>
        <w:topLinePunct w:val="0"/>
        <w:bidi w:val="0"/>
        <w:spacing w:beforeLines="0" w:afterLines="0" w:line="400" w:lineRule="exact"/>
        <w:ind w:left="0" w:leftChars="0" w:firstLine="420" w:firstLineChars="0"/>
        <w:rPr>
          <w:rFonts w:hint="default"/>
          <w:sz w:val="24"/>
        </w:rPr>
      </w:pPr>
      <w:r>
        <w:rPr>
          <w:rFonts w:hint="eastAsia" w:ascii="宋体" w:hAnsi="宋体"/>
          <w:sz w:val="21"/>
        </w:rPr>
        <w:t>如合同设备在考核中达到或视为达到技术性能考核指标，则买卖双方应在考核完成后</w:t>
      </w:r>
      <w:r>
        <w:rPr>
          <w:rFonts w:hint="default" w:ascii="Times New Roman" w:hAnsi="Times New Roman" w:eastAsia="Times New Roman"/>
          <w:sz w:val="21"/>
        </w:rPr>
        <w:t xml:space="preserve">7 </w:t>
      </w:r>
      <w:r>
        <w:rPr>
          <w:rFonts w:hint="eastAsia" w:ascii="宋体" w:hAnsi="宋体"/>
          <w:sz w:val="21"/>
        </w:rPr>
        <w:t>日内或专用合同条款另行约定的时间内签署合同设备验收证书一式二份，双方各持一份。验收日期应为合同设备达到或视为达到技术性能考核指标的日期。</w:t>
      </w:r>
    </w:p>
    <w:p>
      <w:pPr>
        <w:keepNext w:val="0"/>
        <w:keepLines w:val="0"/>
        <w:pageBreakBefore w:val="0"/>
        <w:numPr>
          <w:ilvl w:val="0"/>
          <w:numId w:val="73"/>
        </w:numPr>
        <w:tabs>
          <w:tab w:val="left" w:pos="946"/>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如由于买方原因合同设备在三次考核中均未能达到技术性能考核指标，买卖双方应在考核结束后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日内或专用合同条款另行约定的时间内签署验收款支付函。</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 xml:space="preserve">除专用合同条款另有约定外，卖方有义务在验收款支付函签署后 </w:t>
      </w:r>
      <w:r>
        <w:rPr>
          <w:rFonts w:hint="default" w:ascii="Times New Roman" w:hAnsi="Times New Roman" w:eastAsia="Times New Roman"/>
          <w:sz w:val="21"/>
        </w:rPr>
        <w:t>12</w:t>
      </w:r>
      <w:r>
        <w:rPr>
          <w:rFonts w:hint="eastAsia" w:ascii="宋体" w:hAnsi="宋体"/>
          <w:sz w:val="21"/>
        </w:rPr>
        <w:t xml:space="preserve"> 个月内应买方要求提供相关技术服务，协助买方采取一切必要措施使合同设备达到技术性能考核指标。买方应承担卖方因此产生的全部费用。</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 xml:space="preserve">在上述 </w:t>
      </w:r>
      <w:r>
        <w:rPr>
          <w:rFonts w:hint="default" w:ascii="Times New Roman" w:hAnsi="Times New Roman" w:eastAsia="Times New Roman"/>
          <w:sz w:val="21"/>
        </w:rPr>
        <w:t>12</w:t>
      </w:r>
      <w:r>
        <w:rPr>
          <w:rFonts w:hint="eastAsia" w:ascii="宋体" w:hAnsi="宋体"/>
          <w:sz w:val="21"/>
        </w:rPr>
        <w:t xml:space="preserve"> 个月的期限内，如合同设备经过考核达到或视为达到技术性能考核指标，则买卖双方应按照第 </w:t>
      </w:r>
      <w:r>
        <w:rPr>
          <w:rFonts w:hint="default" w:ascii="Times New Roman" w:hAnsi="Times New Roman" w:eastAsia="Times New Roman"/>
          <w:sz w:val="21"/>
        </w:rPr>
        <w:t>6.4.1</w:t>
      </w:r>
      <w:r>
        <w:rPr>
          <w:rFonts w:hint="eastAsia" w:ascii="宋体" w:hAnsi="宋体"/>
          <w:sz w:val="21"/>
        </w:rPr>
        <w:t xml:space="preserve"> 项的约定签署合同设备验收证书。</w:t>
      </w:r>
    </w:p>
    <w:p>
      <w:pPr>
        <w:keepNext w:val="0"/>
        <w:keepLines w:val="0"/>
        <w:pageBreakBefore w:val="0"/>
        <w:numPr>
          <w:ilvl w:val="0"/>
          <w:numId w:val="73"/>
        </w:numPr>
        <w:tabs>
          <w:tab w:val="left" w:pos="946"/>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除专用合同条款另有约定外，如由于买方原因在最后一批合同设备交货后 </w:t>
      </w:r>
      <w:r>
        <w:rPr>
          <w:rFonts w:hint="default" w:ascii="Times New Roman" w:hAnsi="Times New Roman" w:eastAsia="Times New Roman"/>
          <w:sz w:val="21"/>
        </w:rPr>
        <w:t>6</w:t>
      </w:r>
      <w:r>
        <w:rPr>
          <w:rFonts w:hint="eastAsia" w:ascii="宋体" w:hAnsi="宋体"/>
          <w:sz w:val="21"/>
        </w:rPr>
        <w:t xml:space="preserve"> 个月内未能开始考核，则买卖双方应在上述期限届满后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日内或专用合同条款另行约定的时间内签署验收款支付函。</w:t>
      </w:r>
    </w:p>
    <w:p>
      <w:pPr>
        <w:keepNext w:val="0"/>
        <w:keepLines w:val="0"/>
        <w:pageBreakBefore w:val="0"/>
        <w:kinsoku/>
        <w:overflowPunct w:val="0"/>
        <w:topLinePunct w:val="0"/>
        <w:bidi w:val="0"/>
        <w:spacing w:beforeLines="0" w:afterLines="0" w:line="400" w:lineRule="exact"/>
        <w:ind w:left="420"/>
        <w:rPr>
          <w:rFonts w:hint="eastAsia" w:ascii="宋体" w:hAnsi="宋体"/>
          <w:sz w:val="21"/>
        </w:rPr>
      </w:pPr>
      <w:r>
        <w:rPr>
          <w:rFonts w:hint="eastAsia" w:ascii="宋体" w:hAnsi="宋体"/>
          <w:sz w:val="21"/>
        </w:rPr>
        <w:t xml:space="preserve">除专用合同条款另有约定外，卖方有义务在验收款支付函签署后 </w:t>
      </w:r>
      <w:r>
        <w:rPr>
          <w:rFonts w:hint="default" w:ascii="Times New Roman" w:hAnsi="Times New Roman" w:eastAsia="Times New Roman"/>
          <w:sz w:val="21"/>
        </w:rPr>
        <w:t>6</w:t>
      </w:r>
      <w:r>
        <w:rPr>
          <w:rFonts w:hint="eastAsia" w:ascii="宋体" w:hAnsi="宋体"/>
          <w:sz w:val="21"/>
        </w:rPr>
        <w:t xml:space="preserve"> 个月内应买方要求提</w:t>
      </w:r>
    </w:p>
    <w:p>
      <w:pPr>
        <w:keepNext w:val="0"/>
        <w:keepLines w:val="0"/>
        <w:pageBreakBefore w:val="0"/>
        <w:kinsoku/>
        <w:overflowPunct w:val="0"/>
        <w:topLinePunct w:val="0"/>
        <w:bidi w:val="0"/>
        <w:spacing w:beforeLines="0" w:afterLines="0" w:line="400" w:lineRule="exact"/>
        <w:rPr>
          <w:rFonts w:hint="default"/>
          <w:sz w:val="24"/>
        </w:rPr>
      </w:pPr>
      <w:r>
        <w:rPr>
          <w:rFonts w:hint="eastAsia" w:ascii="宋体" w:hAnsi="宋体"/>
          <w:sz w:val="21"/>
        </w:rPr>
        <w:t>供不超出合同范围的技术服务，协助买方采取一切必要措施使合同设备达到技术性能考核指标，且买方无需因此向卖方支付费用。</w:t>
      </w:r>
    </w:p>
    <w:p>
      <w:pPr>
        <w:keepNext w:val="0"/>
        <w:keepLines w:val="0"/>
        <w:pageBreakBefore w:val="0"/>
        <w:kinsoku/>
        <w:topLinePunct w:val="0"/>
        <w:bidi w:val="0"/>
        <w:spacing w:beforeLines="0" w:afterLines="0" w:line="400" w:lineRule="exact"/>
        <w:ind w:left="420"/>
        <w:jc w:val="left"/>
        <w:rPr>
          <w:rFonts w:hint="eastAsia" w:ascii="宋体" w:hAnsi="宋体"/>
          <w:sz w:val="21"/>
        </w:rPr>
      </w:pPr>
      <w:r>
        <w:rPr>
          <w:rFonts w:hint="eastAsia" w:ascii="宋体" w:hAnsi="宋体"/>
          <w:sz w:val="21"/>
        </w:rPr>
        <w:t xml:space="preserve">在上述 </w:t>
      </w:r>
      <w:r>
        <w:rPr>
          <w:rFonts w:hint="default" w:ascii="Times New Roman" w:hAnsi="Times New Roman" w:eastAsia="Times New Roman"/>
          <w:sz w:val="21"/>
        </w:rPr>
        <w:t>6</w:t>
      </w:r>
      <w:r>
        <w:rPr>
          <w:rFonts w:hint="eastAsia" w:ascii="宋体" w:hAnsi="宋体"/>
          <w:sz w:val="21"/>
        </w:rPr>
        <w:t xml:space="preserve"> 个月的期限内，如合同设备经过考核达到或视为达到技术性能考核指标，则买</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卖双方应按照第 </w:t>
      </w:r>
      <w:r>
        <w:rPr>
          <w:rFonts w:hint="default" w:ascii="Times New Roman" w:hAnsi="Times New Roman" w:eastAsia="Times New Roman"/>
          <w:sz w:val="21"/>
        </w:rPr>
        <w:t>6.4.1</w:t>
      </w:r>
      <w:r>
        <w:rPr>
          <w:rFonts w:hint="eastAsia" w:ascii="宋体" w:hAnsi="宋体"/>
          <w:sz w:val="21"/>
        </w:rPr>
        <w:t xml:space="preserve"> 项的约定签署合同设备验收证书。</w:t>
      </w:r>
    </w:p>
    <w:p>
      <w:pPr>
        <w:keepNext w:val="0"/>
        <w:keepLines w:val="0"/>
        <w:pageBreakBefore w:val="0"/>
        <w:numPr>
          <w:ilvl w:val="1"/>
          <w:numId w:val="74"/>
        </w:numPr>
        <w:tabs>
          <w:tab w:val="left" w:pos="946"/>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 xml:space="preserve">在第 </w:t>
      </w:r>
      <w:r>
        <w:rPr>
          <w:rFonts w:hint="default" w:ascii="Times New Roman" w:hAnsi="Times New Roman" w:eastAsia="Times New Roman"/>
          <w:sz w:val="21"/>
        </w:rPr>
        <w:t>6.4.2</w:t>
      </w:r>
      <w:r>
        <w:rPr>
          <w:rFonts w:hint="eastAsia" w:ascii="宋体" w:hAnsi="宋体"/>
          <w:sz w:val="21"/>
        </w:rPr>
        <w:t xml:space="preserve"> 项和第 </w:t>
      </w:r>
      <w:r>
        <w:rPr>
          <w:rFonts w:hint="default" w:ascii="Times New Roman" w:hAnsi="Times New Roman" w:eastAsia="Times New Roman"/>
          <w:sz w:val="21"/>
        </w:rPr>
        <w:t>6.4.3</w:t>
      </w:r>
      <w:r>
        <w:rPr>
          <w:rFonts w:hint="eastAsia" w:ascii="宋体" w:hAnsi="宋体"/>
          <w:sz w:val="21"/>
        </w:rPr>
        <w:t xml:space="preserve"> 项情形下，卖方也可单方签署验收款支付函提交买方，如果买方在收到卖方签署的验收款支付函后 </w:t>
      </w:r>
      <w:r>
        <w:rPr>
          <w:rFonts w:hint="default" w:ascii="Times New Roman" w:hAnsi="Times New Roman" w:eastAsia="Times New Roman"/>
          <w:sz w:val="21"/>
        </w:rPr>
        <w:t>14</w:t>
      </w:r>
      <w:r>
        <w:rPr>
          <w:rFonts w:hint="eastAsia" w:ascii="宋体" w:hAnsi="宋体"/>
          <w:sz w:val="21"/>
        </w:rPr>
        <w:t xml:space="preserve"> 日内未向卖方提出书面异议，则验收款支付函自签署之日起生效。</w:t>
      </w:r>
    </w:p>
    <w:p>
      <w:pPr>
        <w:keepNext w:val="0"/>
        <w:keepLines w:val="0"/>
        <w:pageBreakBefore w:val="0"/>
        <w:numPr>
          <w:ilvl w:val="0"/>
          <w:numId w:val="73"/>
        </w:numPr>
        <w:tabs>
          <w:tab w:val="left" w:pos="946"/>
          <w:tab w:val="clear" w:pos="720"/>
        </w:tabs>
        <w:kinsoku/>
        <w:overflowPunct w:val="0"/>
        <w:topLinePunct w:val="0"/>
        <w:bidi w:val="0"/>
        <w:spacing w:beforeLines="0" w:afterLines="0" w:line="400" w:lineRule="exact"/>
        <w:ind w:left="0" w:right="100" w:firstLine="420"/>
        <w:rPr>
          <w:rFonts w:hint="eastAsia" w:ascii="宋体" w:hAnsi="宋体" w:eastAsia="宋体" w:cs="宋体"/>
          <w:sz w:val="21"/>
          <w:szCs w:val="21"/>
        </w:rPr>
      </w:pPr>
      <w:r>
        <w:rPr>
          <w:rFonts w:hint="eastAsia" w:ascii="宋体" w:hAnsi="宋体" w:eastAsia="宋体" w:cs="宋体"/>
          <w:sz w:val="21"/>
          <w:szCs w:val="21"/>
        </w:rPr>
        <w:t>合同设备验收证书的签署不能免除卖方在质量保证期内对合同设备应承担的保证责任。</w:t>
      </w:r>
    </w:p>
    <w:p>
      <w:pPr>
        <w:keepNext w:val="0"/>
        <w:keepLines w:val="0"/>
        <w:pageBreakBefore w:val="0"/>
        <w:numPr>
          <w:ilvl w:val="0"/>
          <w:numId w:val="75"/>
        </w:numPr>
        <w:tabs>
          <w:tab w:val="left" w:pos="400"/>
          <w:tab w:val="clear" w:pos="720"/>
        </w:tabs>
        <w:kinsoku/>
        <w:overflowPunct w:val="0"/>
        <w:topLinePunct w:val="0"/>
        <w:bidi w:val="0"/>
        <w:spacing w:beforeLines="0" w:afterLines="0" w:line="400" w:lineRule="exact"/>
        <w:ind w:left="400" w:hanging="400"/>
        <w:rPr>
          <w:rFonts w:hint="default"/>
          <w:sz w:val="24"/>
        </w:rPr>
      </w:pPr>
      <w:r>
        <w:rPr>
          <w:rFonts w:hint="eastAsia" w:ascii="宋体" w:hAnsi="宋体"/>
          <w:b/>
          <w:sz w:val="32"/>
        </w:rPr>
        <w:t>技术服务</w:t>
      </w:r>
    </w:p>
    <w:p>
      <w:pPr>
        <w:keepNext w:val="0"/>
        <w:keepLines w:val="0"/>
        <w:pageBreakBefore w:val="0"/>
        <w:numPr>
          <w:ilvl w:val="1"/>
          <w:numId w:val="76"/>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卖方应派遣技术熟练、称职的技术人员到施工场地为买方提供技术服务。卖方的技术服务应符合合同的约定。</w:t>
      </w:r>
    </w:p>
    <w:p>
      <w:pPr>
        <w:keepNext w:val="0"/>
        <w:keepLines w:val="0"/>
        <w:pageBreakBefore w:val="0"/>
        <w:numPr>
          <w:ilvl w:val="1"/>
          <w:numId w:val="76"/>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买方应免费为卖方技术人员提供工作条件及便利，包括但不限于必要的办公场所、技术资料及出入许可等。除专用合同条款另有约定外，卖方技术人员的交通、食宿费用由卖方承担。</w:t>
      </w:r>
    </w:p>
    <w:p>
      <w:pPr>
        <w:keepNext w:val="0"/>
        <w:keepLines w:val="0"/>
        <w:pageBreakBefore w:val="0"/>
        <w:numPr>
          <w:ilvl w:val="1"/>
          <w:numId w:val="76"/>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卖方技术人员应遵守买方施工现场的各项规章制度和安全操作规程，并服从买方的现场管理。</w:t>
      </w:r>
    </w:p>
    <w:p>
      <w:pPr>
        <w:keepNext w:val="0"/>
        <w:keepLines w:val="0"/>
        <w:pageBreakBefore w:val="0"/>
        <w:numPr>
          <w:ilvl w:val="1"/>
          <w:numId w:val="76"/>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如果任何技术人员不合格，买方有权要求卖方撤换，因撤换而产生的费用应由卖方承担。在不影响技术服务并且征得买方同意的条件下，卖方也可自负费用更换其技术人员。</w:t>
      </w:r>
    </w:p>
    <w:p>
      <w:pPr>
        <w:keepNext w:val="0"/>
        <w:keepLines w:val="0"/>
        <w:pageBreakBefore w:val="0"/>
        <w:numPr>
          <w:ilvl w:val="0"/>
          <w:numId w:val="77"/>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质量保证期</w:t>
      </w:r>
    </w:p>
    <w:p>
      <w:pPr>
        <w:keepNext w:val="0"/>
        <w:keepLines w:val="0"/>
        <w:pageBreakBefore w:val="0"/>
        <w:numPr>
          <w:ilvl w:val="1"/>
          <w:numId w:val="77"/>
        </w:numPr>
        <w:tabs>
          <w:tab w:val="left" w:pos="792"/>
        </w:tabs>
        <w:kinsoku/>
        <w:overflowPunct w:val="0"/>
        <w:topLinePunct w:val="0"/>
        <w:bidi w:val="0"/>
        <w:spacing w:beforeLines="0" w:afterLines="0" w:line="400" w:lineRule="exact"/>
        <w:ind w:left="0" w:right="220" w:firstLine="420"/>
        <w:rPr>
          <w:rFonts w:hint="default" w:ascii="Times New Roman" w:hAnsi="Times New Roman" w:eastAsia="Times New Roman"/>
          <w:sz w:val="21"/>
        </w:rPr>
      </w:pPr>
      <w:r>
        <w:rPr>
          <w:rFonts w:hint="eastAsia" w:ascii="宋体" w:hAnsi="宋体"/>
          <w:sz w:val="21"/>
        </w:rPr>
        <w:t xml:space="preserve">除专用合同条款和（或）供货要求等合同文件另有约定外，合同设备整体质量保证期为验收之日起 </w:t>
      </w:r>
      <w:r>
        <w:rPr>
          <w:rFonts w:hint="default" w:ascii="Times New Roman" w:hAnsi="Times New Roman" w:eastAsia="Times New Roman"/>
          <w:sz w:val="21"/>
        </w:rPr>
        <w:t>12</w:t>
      </w:r>
      <w:r>
        <w:rPr>
          <w:rFonts w:hint="eastAsia" w:ascii="宋体" w:hAnsi="宋体"/>
          <w:sz w:val="21"/>
        </w:rPr>
        <w:t xml:space="preserve"> 个月。如对合同设备中关键部件的质量保证期有特殊要求的，买卖双方可在专用合同条款中约定。在合同第 </w:t>
      </w:r>
      <w:r>
        <w:rPr>
          <w:rFonts w:hint="default" w:ascii="Times New Roman" w:hAnsi="Times New Roman" w:eastAsia="Times New Roman"/>
          <w:sz w:val="21"/>
        </w:rPr>
        <w:t>6.4.2</w:t>
      </w:r>
      <w:r>
        <w:rPr>
          <w:rFonts w:hint="eastAsia" w:ascii="宋体" w:hAnsi="宋体"/>
          <w:sz w:val="21"/>
        </w:rPr>
        <w:t xml:space="preserve"> 项情形下，无论合同设备何时验收，其质量保证期最长为签署验收款支付函后 </w:t>
      </w:r>
      <w:r>
        <w:rPr>
          <w:rFonts w:hint="default" w:ascii="Times New Roman" w:hAnsi="Times New Roman" w:eastAsia="Times New Roman"/>
          <w:sz w:val="21"/>
        </w:rPr>
        <w:t>12</w:t>
      </w:r>
      <w:r>
        <w:rPr>
          <w:rFonts w:hint="eastAsia" w:ascii="宋体" w:hAnsi="宋体"/>
          <w:sz w:val="21"/>
        </w:rPr>
        <w:t xml:space="preserve"> 个月。在合同第 </w:t>
      </w:r>
      <w:r>
        <w:rPr>
          <w:rFonts w:hint="default" w:ascii="Times New Roman" w:hAnsi="Times New Roman" w:eastAsia="Times New Roman"/>
          <w:sz w:val="21"/>
        </w:rPr>
        <w:t>6.4.3</w:t>
      </w:r>
      <w:r>
        <w:rPr>
          <w:rFonts w:hint="eastAsia" w:ascii="宋体" w:hAnsi="宋体"/>
          <w:sz w:val="21"/>
        </w:rPr>
        <w:t xml:space="preserve"> 项情形下，无论合同设备何时验收，其质量保证期最长为签署验收款支付函后 </w:t>
      </w:r>
      <w:r>
        <w:rPr>
          <w:rFonts w:hint="default" w:ascii="Times New Roman" w:hAnsi="Times New Roman" w:eastAsia="Times New Roman"/>
          <w:sz w:val="21"/>
        </w:rPr>
        <w:t>6</w:t>
      </w:r>
      <w:r>
        <w:rPr>
          <w:rFonts w:hint="eastAsia" w:ascii="宋体" w:hAnsi="宋体"/>
          <w:sz w:val="21"/>
        </w:rPr>
        <w:t xml:space="preserve"> 个月。</w:t>
      </w:r>
    </w:p>
    <w:p>
      <w:pPr>
        <w:keepNext w:val="0"/>
        <w:keepLines w:val="0"/>
        <w:pageBreakBefore w:val="0"/>
        <w:numPr>
          <w:ilvl w:val="1"/>
          <w:numId w:val="77"/>
        </w:numPr>
        <w:tabs>
          <w:tab w:val="left" w:pos="792"/>
        </w:tabs>
        <w:kinsoku/>
        <w:overflowPunct w:val="0"/>
        <w:topLinePunct w:val="0"/>
        <w:bidi w:val="0"/>
        <w:spacing w:beforeLines="0" w:afterLines="0" w:line="400" w:lineRule="exact"/>
        <w:ind w:left="0" w:right="220" w:firstLine="420"/>
        <w:rPr>
          <w:rFonts w:hint="default"/>
          <w:sz w:val="24"/>
        </w:rPr>
      </w:pPr>
      <w:r>
        <w:rPr>
          <w:rFonts w:hint="eastAsia" w:ascii="宋体" w:hAnsi="宋体"/>
          <w:sz w:val="21"/>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bookmarkStart w:id="34" w:name="page61"/>
      <w:bookmarkEnd w:id="34"/>
    </w:p>
    <w:p>
      <w:pPr>
        <w:keepNext w:val="0"/>
        <w:keepLines w:val="0"/>
        <w:pageBreakBefore w:val="0"/>
        <w:numPr>
          <w:ilvl w:val="1"/>
          <w:numId w:val="78"/>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质量保证期届满后，买方应在 </w:t>
      </w:r>
      <w:r>
        <w:rPr>
          <w:rFonts w:hint="default" w:ascii="Times New Roman" w:hAnsi="Times New Roman" w:eastAsia="Times New Roman"/>
          <w:sz w:val="21"/>
        </w:rPr>
        <w:t>7</w:t>
      </w:r>
      <w:r>
        <w:rPr>
          <w:rFonts w:hint="eastAsia" w:ascii="宋体" w:hAnsi="宋体"/>
          <w:sz w:val="21"/>
        </w:rPr>
        <w:t xml:space="preserve"> 日内或专用合同条款另行约定的时间内向卖方出具合同设备的质量保证期届满证书。</w:t>
      </w:r>
    </w:p>
    <w:p>
      <w:pPr>
        <w:keepNext w:val="0"/>
        <w:keepLines w:val="0"/>
        <w:pageBreakBefore w:val="0"/>
        <w:numPr>
          <w:ilvl w:val="1"/>
          <w:numId w:val="78"/>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在合同第 </w:t>
      </w:r>
      <w:r>
        <w:rPr>
          <w:rFonts w:hint="default" w:ascii="Times New Roman" w:hAnsi="Times New Roman" w:eastAsia="Times New Roman"/>
          <w:sz w:val="21"/>
        </w:rPr>
        <w:t>6.4.2</w:t>
      </w:r>
      <w:r>
        <w:rPr>
          <w:rFonts w:hint="eastAsia" w:ascii="宋体" w:hAnsi="宋体"/>
          <w:sz w:val="21"/>
        </w:rPr>
        <w:t xml:space="preserve"> 项情形下，如在验收款支付函签署后 </w:t>
      </w:r>
      <w:r>
        <w:rPr>
          <w:rFonts w:hint="default" w:ascii="Times New Roman" w:hAnsi="Times New Roman" w:eastAsia="Times New Roman"/>
          <w:sz w:val="21"/>
        </w:rPr>
        <w:t>12</w:t>
      </w:r>
      <w:r>
        <w:rPr>
          <w:rFonts w:hint="eastAsia" w:ascii="宋体" w:hAnsi="宋体"/>
          <w:sz w:val="21"/>
        </w:rPr>
        <w:t xml:space="preserve"> 个月内由于买方原因合同设备仍未能达到技术性能考核指标，则买卖双方应在该 </w:t>
      </w:r>
      <w:r>
        <w:rPr>
          <w:rFonts w:hint="default" w:ascii="Times New Roman" w:hAnsi="Times New Roman" w:eastAsia="Times New Roman"/>
          <w:sz w:val="21"/>
        </w:rPr>
        <w:t>12</w:t>
      </w:r>
      <w:r>
        <w:rPr>
          <w:rFonts w:hint="eastAsia" w:ascii="宋体" w:hAnsi="宋体"/>
          <w:sz w:val="21"/>
        </w:rPr>
        <w:t xml:space="preserve"> 个月届满后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日内或专用合同条款另行约定的时间内签署结清款支付函。</w:t>
      </w:r>
    </w:p>
    <w:p>
      <w:pPr>
        <w:keepNext w:val="0"/>
        <w:keepLines w:val="0"/>
        <w:pageBreakBefore w:val="0"/>
        <w:numPr>
          <w:ilvl w:val="1"/>
          <w:numId w:val="78"/>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在合同第 </w:t>
      </w:r>
      <w:r>
        <w:rPr>
          <w:rFonts w:hint="default" w:ascii="Times New Roman" w:hAnsi="Times New Roman" w:eastAsia="Times New Roman"/>
          <w:sz w:val="21"/>
        </w:rPr>
        <w:t>6.4.3</w:t>
      </w:r>
      <w:r>
        <w:rPr>
          <w:rFonts w:hint="eastAsia" w:ascii="宋体" w:hAnsi="宋体"/>
          <w:sz w:val="21"/>
        </w:rPr>
        <w:t xml:space="preserve"> 项情形下，如在验收款支付函签署后 </w:t>
      </w:r>
      <w:r>
        <w:rPr>
          <w:rFonts w:hint="default" w:ascii="Times New Roman" w:hAnsi="Times New Roman" w:eastAsia="Times New Roman"/>
          <w:sz w:val="21"/>
        </w:rPr>
        <w:t>6</w:t>
      </w:r>
      <w:r>
        <w:rPr>
          <w:rFonts w:hint="eastAsia" w:ascii="宋体" w:hAnsi="宋体"/>
          <w:sz w:val="21"/>
        </w:rPr>
        <w:t xml:space="preserve"> 个月内由于买方原因合同设备仍未进行考核或仍未达到技术性能考核指标，则买卖双方应在该 </w:t>
      </w:r>
      <w:r>
        <w:rPr>
          <w:rFonts w:hint="default" w:ascii="Times New Roman" w:hAnsi="Times New Roman" w:eastAsia="Times New Roman"/>
          <w:sz w:val="21"/>
        </w:rPr>
        <w:t>6</w:t>
      </w:r>
      <w:r>
        <w:rPr>
          <w:rFonts w:hint="eastAsia" w:ascii="宋体" w:hAnsi="宋体"/>
          <w:sz w:val="21"/>
        </w:rPr>
        <w:t xml:space="preserve"> 个月届满后 </w:t>
      </w:r>
      <w:r>
        <w:rPr>
          <w:rFonts w:hint="default" w:ascii="Times New Roman" w:hAnsi="Times New Roman" w:eastAsia="Times New Roman"/>
          <w:sz w:val="21"/>
        </w:rPr>
        <w:t>7</w:t>
      </w:r>
      <w:r>
        <w:rPr>
          <w:rFonts w:hint="eastAsia" w:ascii="宋体" w:hAnsi="宋体"/>
          <w:sz w:val="21"/>
        </w:rPr>
        <w:t xml:space="preserve"> 日内或专用合同条款另行约定的时间内签署结清款支付函。</w:t>
      </w:r>
    </w:p>
    <w:p>
      <w:pPr>
        <w:keepNext w:val="0"/>
        <w:keepLines w:val="0"/>
        <w:pageBreakBefore w:val="0"/>
        <w:numPr>
          <w:ilvl w:val="1"/>
          <w:numId w:val="78"/>
        </w:numPr>
        <w:tabs>
          <w:tab w:val="left" w:pos="79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在第 </w:t>
      </w:r>
      <w:r>
        <w:rPr>
          <w:rFonts w:hint="default" w:ascii="Times New Roman" w:hAnsi="Times New Roman" w:eastAsia="Times New Roman"/>
          <w:sz w:val="21"/>
        </w:rPr>
        <w:t>8.4</w:t>
      </w:r>
      <w:r>
        <w:rPr>
          <w:rFonts w:hint="eastAsia" w:ascii="宋体" w:hAnsi="宋体"/>
          <w:sz w:val="21"/>
        </w:rPr>
        <w:t xml:space="preserve"> 款和第 </w:t>
      </w:r>
      <w:r>
        <w:rPr>
          <w:rFonts w:hint="default" w:ascii="Times New Roman" w:hAnsi="Times New Roman" w:eastAsia="Times New Roman"/>
          <w:sz w:val="21"/>
        </w:rPr>
        <w:t>8.5</w:t>
      </w:r>
      <w:r>
        <w:rPr>
          <w:rFonts w:hint="eastAsia" w:ascii="宋体" w:hAnsi="宋体"/>
          <w:sz w:val="21"/>
        </w:rPr>
        <w:t xml:space="preserve"> 款情形下，卖方也可单方签署结清款支付函提交买方，如果买方在收到卖方签署的结清款支付函后 </w:t>
      </w:r>
      <w:r>
        <w:rPr>
          <w:rFonts w:hint="default" w:ascii="Times New Roman" w:hAnsi="Times New Roman" w:eastAsia="Times New Roman"/>
          <w:sz w:val="21"/>
        </w:rPr>
        <w:t>14</w:t>
      </w:r>
      <w:r>
        <w:rPr>
          <w:rFonts w:hint="eastAsia" w:ascii="宋体" w:hAnsi="宋体"/>
          <w:sz w:val="21"/>
        </w:rPr>
        <w:t xml:space="preserve"> 日内未向卖方提出书面异议，则结清款支付函自签署之日起生效。</w:t>
      </w:r>
    </w:p>
    <w:p>
      <w:pPr>
        <w:keepNext w:val="0"/>
        <w:keepLines w:val="0"/>
        <w:pageBreakBefore w:val="0"/>
        <w:numPr>
          <w:ilvl w:val="0"/>
          <w:numId w:val="79"/>
        </w:numPr>
        <w:tabs>
          <w:tab w:val="left" w:pos="400"/>
          <w:tab w:val="clear" w:pos="720"/>
        </w:tabs>
        <w:kinsoku/>
        <w:overflowPunct w:val="0"/>
        <w:topLinePunct w:val="0"/>
        <w:bidi w:val="0"/>
        <w:spacing w:beforeLines="0" w:afterLines="0" w:line="400" w:lineRule="exact"/>
        <w:ind w:left="400" w:hanging="400"/>
        <w:rPr>
          <w:rFonts w:hint="default" w:ascii="Times New Roman" w:hAnsi="Times New Roman" w:eastAsia="Times New Roman"/>
          <w:b/>
          <w:sz w:val="32"/>
        </w:rPr>
      </w:pPr>
      <w:r>
        <w:rPr>
          <w:rFonts w:hint="eastAsia" w:ascii="宋体" w:hAnsi="宋体"/>
          <w:b/>
          <w:sz w:val="32"/>
        </w:rPr>
        <w:t>质保期服务</w:t>
      </w:r>
    </w:p>
    <w:p>
      <w:pPr>
        <w:keepNext w:val="0"/>
        <w:keepLines w:val="0"/>
        <w:pageBreakBefore w:val="0"/>
        <w:numPr>
          <w:ilvl w:val="1"/>
          <w:numId w:val="80"/>
        </w:numPr>
        <w:tabs>
          <w:tab w:val="left" w:pos="792"/>
        </w:tabs>
        <w:kinsoku/>
        <w:overflowPunct w:val="0"/>
        <w:topLinePunct w:val="0"/>
        <w:bidi w:val="0"/>
        <w:spacing w:beforeLines="0" w:afterLines="0" w:line="400" w:lineRule="exact"/>
        <w:ind w:left="0" w:firstLine="420"/>
        <w:rPr>
          <w:rFonts w:hint="default"/>
          <w:sz w:val="24"/>
        </w:rPr>
      </w:pPr>
      <w:r>
        <w:rPr>
          <w:rFonts w:hint="eastAsia" w:ascii="宋体" w:hAnsi="宋体"/>
          <w:sz w:val="21"/>
        </w:rPr>
        <w:t xml:space="preserve">卖方应为质保期服务配备充足的技术人员、工具和备件并保证提供的联系方式畅通。除专用合同条款和（或）供货要求等合同文件另有约定外，卖方应在收到买方通知后 </w:t>
      </w:r>
      <w:r>
        <w:rPr>
          <w:rFonts w:hint="default" w:ascii="宋体" w:hAnsi="宋体"/>
          <w:sz w:val="21"/>
        </w:rPr>
        <w:t>24</w:t>
      </w:r>
      <w:r>
        <w:rPr>
          <w:rFonts w:hint="eastAsia" w:ascii="宋体" w:hAnsi="宋体"/>
          <w:sz w:val="21"/>
        </w:rPr>
        <w:t xml:space="preserve"> 小时内做出响应，如需卖方到合同设备现场，卖方应在收到买方通知后 </w:t>
      </w:r>
      <w:r>
        <w:rPr>
          <w:rFonts w:hint="default" w:ascii="宋体" w:hAnsi="宋体"/>
          <w:sz w:val="21"/>
        </w:rPr>
        <w:t>48</w:t>
      </w:r>
      <w:r>
        <w:rPr>
          <w:rFonts w:hint="eastAsia" w:ascii="宋体" w:hAnsi="宋体"/>
          <w:sz w:val="21"/>
        </w:rPr>
        <w:t xml:space="preserve"> 小时内到达，并在到达后 </w:t>
      </w:r>
      <w:r>
        <w:rPr>
          <w:rFonts w:hint="default" w:ascii="宋体" w:hAnsi="宋体"/>
          <w:sz w:val="21"/>
        </w:rPr>
        <w:t>7</w:t>
      </w:r>
      <w:r>
        <w:rPr>
          <w:rFonts w:hint="eastAsia" w:ascii="宋体" w:hAnsi="宋体"/>
          <w:sz w:val="21"/>
        </w:rPr>
        <w:t>日内解决合同设备的故障（重大故障除外）。如果卖方未在上述时间内作出响应，则买方有权自行或委托他人解决相关问题或查找和解决合同设备的故障，卖方应承担由此发生的全部费用。</w:t>
      </w:r>
    </w:p>
    <w:p>
      <w:pPr>
        <w:keepNext w:val="0"/>
        <w:keepLines w:val="0"/>
        <w:pageBreakBefore w:val="0"/>
        <w:numPr>
          <w:ilvl w:val="1"/>
          <w:numId w:val="80"/>
        </w:numPr>
        <w:tabs>
          <w:tab w:val="left" w:pos="792"/>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keepNext w:val="0"/>
        <w:keepLines w:val="0"/>
        <w:pageBreakBefore w:val="0"/>
        <w:numPr>
          <w:ilvl w:val="1"/>
          <w:numId w:val="80"/>
        </w:numPr>
        <w:tabs>
          <w:tab w:val="left" w:pos="792"/>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如果任何技术人员不合格，买方有权要求卖方撤换，因撤换而产生的费用应由卖方承担。在不影响质保期服务并且征得买方同意的条件下，卖方也可自负费用更换其技术人员。</w:t>
      </w:r>
    </w:p>
    <w:p>
      <w:pPr>
        <w:keepNext w:val="0"/>
        <w:keepLines w:val="0"/>
        <w:pageBreakBefore w:val="0"/>
        <w:numPr>
          <w:ilvl w:val="1"/>
          <w:numId w:val="80"/>
        </w:numPr>
        <w:tabs>
          <w:tab w:val="left" w:pos="792"/>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除专用合同条款另有约定外，卖方应就在施工现场进行质保期服务的情况进行记录，记载合同设备故障发生的时间、原因及解决情况等，由买方签字确认，并在质量保证期结束后提交给买方。</w:t>
      </w:r>
    </w:p>
    <w:p>
      <w:pPr>
        <w:keepNext w:val="0"/>
        <w:keepLines w:val="0"/>
        <w:pageBreakBefore w:val="0"/>
        <w:numPr>
          <w:ilvl w:val="0"/>
          <w:numId w:val="81"/>
        </w:numPr>
        <w:tabs>
          <w:tab w:val="left" w:pos="560"/>
          <w:tab w:val="clear" w:pos="720"/>
        </w:tabs>
        <w:kinsoku/>
        <w:overflowPunct w:val="0"/>
        <w:topLinePunct w:val="0"/>
        <w:bidi w:val="0"/>
        <w:spacing w:beforeLines="0" w:afterLines="0" w:line="400" w:lineRule="exact"/>
        <w:ind w:left="560" w:hanging="560"/>
        <w:rPr>
          <w:rFonts w:hint="default"/>
          <w:sz w:val="24"/>
        </w:rPr>
      </w:pPr>
      <w:r>
        <w:rPr>
          <w:rFonts w:hint="eastAsia" w:ascii="宋体" w:hAnsi="宋体"/>
          <w:b/>
          <w:sz w:val="32"/>
        </w:rPr>
        <w:t>履约保证金</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除专用合同条款另有约定外，履约保证金自合同生效之日起生效，在合同设备验收证书或</w:t>
      </w:r>
      <w:bookmarkStart w:id="35" w:name="page62"/>
      <w:bookmarkEnd w:id="35"/>
    </w:p>
    <w:p>
      <w:pPr>
        <w:keepNext w:val="0"/>
        <w:keepLines w:val="0"/>
        <w:pageBreakBefore w:val="0"/>
        <w:kinsoku/>
        <w:topLinePunct w:val="0"/>
        <w:bidi w:val="0"/>
        <w:spacing w:beforeLines="0" w:afterLines="0" w:line="400" w:lineRule="exact"/>
        <w:ind w:left="0" w:leftChars="0" w:firstLine="0" w:firstLineChars="0"/>
        <w:jc w:val="left"/>
        <w:rPr>
          <w:rFonts w:hint="default"/>
          <w:sz w:val="24"/>
        </w:rPr>
      </w:pPr>
      <w:r>
        <w:rPr>
          <w:rFonts w:hint="eastAsia" w:ascii="宋体" w:hAnsi="宋体"/>
          <w:sz w:val="21"/>
        </w:rPr>
        <w:t xml:space="preserve">验收款支付函签署之日起 </w:t>
      </w:r>
      <w:r>
        <w:rPr>
          <w:rFonts w:hint="default" w:ascii="宋体" w:hAnsi="宋体"/>
          <w:sz w:val="21"/>
        </w:rPr>
        <w:t>28</w:t>
      </w:r>
      <w:r>
        <w:rPr>
          <w:rFonts w:hint="eastAsia" w:ascii="宋体" w:hAnsi="宋体"/>
          <w:sz w:val="21"/>
        </w:rPr>
        <w:t xml:space="preserve"> 日后失效。如果卖方不履行合同约定的义务或其履行不符合合同的约定，买方有权扣划相应金额的履约保证金。</w:t>
      </w:r>
    </w:p>
    <w:p>
      <w:pPr>
        <w:keepNext w:val="0"/>
        <w:keepLines w:val="0"/>
        <w:pageBreakBefore w:val="0"/>
        <w:numPr>
          <w:ilvl w:val="0"/>
          <w:numId w:val="82"/>
        </w:numPr>
        <w:tabs>
          <w:tab w:val="left" w:pos="540"/>
          <w:tab w:val="clear" w:pos="720"/>
        </w:tabs>
        <w:kinsoku/>
        <w:overflowPunct w:val="0"/>
        <w:topLinePunct w:val="0"/>
        <w:bidi w:val="0"/>
        <w:spacing w:beforeLines="0" w:afterLines="0" w:line="400" w:lineRule="exact"/>
        <w:ind w:left="540" w:hanging="540"/>
        <w:rPr>
          <w:rFonts w:hint="default" w:ascii="Times New Roman" w:hAnsi="Times New Roman" w:eastAsia="Times New Roman"/>
          <w:b/>
          <w:sz w:val="32"/>
        </w:rPr>
      </w:pPr>
      <w:r>
        <w:rPr>
          <w:rFonts w:hint="eastAsia" w:ascii="宋体" w:hAnsi="宋体"/>
          <w:b/>
          <w:sz w:val="32"/>
        </w:rPr>
        <w:t>保证</w:t>
      </w:r>
    </w:p>
    <w:p>
      <w:pPr>
        <w:keepNext w:val="0"/>
        <w:keepLines w:val="0"/>
        <w:pageBreakBefore w:val="0"/>
        <w:numPr>
          <w:ilvl w:val="1"/>
          <w:numId w:val="82"/>
        </w:numPr>
        <w:tabs>
          <w:tab w:val="left" w:pos="880"/>
        </w:tabs>
        <w:kinsoku/>
        <w:overflowPunct w:val="0"/>
        <w:topLinePunct w:val="0"/>
        <w:bidi w:val="0"/>
        <w:spacing w:beforeLines="0" w:afterLines="0" w:line="400" w:lineRule="exact"/>
        <w:ind w:left="880" w:hanging="460"/>
        <w:rPr>
          <w:rFonts w:hint="default" w:ascii="Times New Roman" w:hAnsi="Times New Roman" w:eastAsia="Times New Roman"/>
          <w:sz w:val="21"/>
        </w:rPr>
      </w:pPr>
      <w:r>
        <w:rPr>
          <w:rFonts w:hint="eastAsia" w:ascii="宋体" w:hAnsi="宋体"/>
          <w:sz w:val="21"/>
        </w:rPr>
        <w:t>卖方保证其具有完全的能力履行本合同项下的全部义务。</w:t>
      </w:r>
    </w:p>
    <w:p>
      <w:pPr>
        <w:keepNext w:val="0"/>
        <w:keepLines w:val="0"/>
        <w:pageBreakBefore w:val="0"/>
        <w:numPr>
          <w:ilvl w:val="1"/>
          <w:numId w:val="82"/>
        </w:numPr>
        <w:tabs>
          <w:tab w:val="left" w:pos="871"/>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卖方保证其所提供的合同设备及对合同的履行符合所有应适用的法律、行政法规、地方性法规、自治条例和单行条例、规章及其他规范性文件的强制性规定。</w:t>
      </w:r>
    </w:p>
    <w:p>
      <w:pPr>
        <w:keepNext w:val="0"/>
        <w:keepLines w:val="0"/>
        <w:pageBreakBefore w:val="0"/>
        <w:numPr>
          <w:ilvl w:val="1"/>
          <w:numId w:val="82"/>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卖方保证其对合同设备的销售不损害任何第三方的合法权益和社会公众利益。任何第三方不会因卖方原因而基于所有权、抵押权、留置权或其他任何权利或事由对合同设备主张权利。</w:t>
      </w:r>
    </w:p>
    <w:p>
      <w:pPr>
        <w:keepNext w:val="0"/>
        <w:keepLines w:val="0"/>
        <w:pageBreakBefore w:val="0"/>
        <w:numPr>
          <w:ilvl w:val="1"/>
          <w:numId w:val="82"/>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卖方保证合同设备符合合同约定的规格、标准、技术性能考核指标等，能够安全和稳定地运行，且合同设备（包括全部部件）全新、完整、未使用过，除非专用合同条款和（或）供货要求等合同文件另有约定。</w:t>
      </w:r>
    </w:p>
    <w:p>
      <w:pPr>
        <w:keepNext w:val="0"/>
        <w:keepLines w:val="0"/>
        <w:pageBreakBefore w:val="0"/>
        <w:numPr>
          <w:ilvl w:val="1"/>
          <w:numId w:val="82"/>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卖方保证，卖方所提供的技术资料完整、清晰、准确，符合合同约定并且能够满足合同设备的安装、调试、考核、操作以及维修和保养的需要。</w:t>
      </w:r>
    </w:p>
    <w:p>
      <w:pPr>
        <w:keepNext w:val="0"/>
        <w:keepLines w:val="0"/>
        <w:pageBreakBefore w:val="0"/>
        <w:numPr>
          <w:ilvl w:val="1"/>
          <w:numId w:val="82"/>
        </w:numPr>
        <w:tabs>
          <w:tab w:val="left" w:pos="893"/>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卖方保证合同范围内提供的备品备件能够满足合同设备在质量保证期结束前正常运行及维修的需要，如在质量保证期结束前因卖方原因出现备品备件短缺影响合同设备正常运行的，卖方应免费提供。</w:t>
      </w:r>
    </w:p>
    <w:p>
      <w:pPr>
        <w:keepNext w:val="0"/>
        <w:keepLines w:val="0"/>
        <w:pageBreakBefore w:val="0"/>
        <w:numPr>
          <w:ilvl w:val="1"/>
          <w:numId w:val="82"/>
        </w:numPr>
        <w:tabs>
          <w:tab w:val="left" w:pos="886"/>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）以不高于同期市场价格或其向任何第三方销售同类产品的价格提供合同设备正常运行所需的全部备品备件。或</w:t>
      </w:r>
    </w:p>
    <w:p>
      <w:pPr>
        <w:keepNext w:val="0"/>
        <w:keepLines w:val="0"/>
        <w:pageBreakBefore w:val="0"/>
        <w:kinsoku/>
        <w:overflowPunct w:val="0"/>
        <w:topLinePunct w:val="0"/>
        <w:bidi w:val="0"/>
        <w:spacing w:beforeLines="0" w:afterLines="0" w:line="400" w:lineRule="exact"/>
        <w:ind w:right="100" w:firstLine="420"/>
        <w:rPr>
          <w:rFonts w:hint="default" w:ascii="Times New Roman" w:hAnsi="Times New Roman" w:eastAsia="Times New Roman"/>
          <w:sz w:val="21"/>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keepNext w:val="0"/>
        <w:keepLines w:val="0"/>
        <w:pageBreakBefore w:val="0"/>
        <w:numPr>
          <w:ilvl w:val="1"/>
          <w:numId w:val="82"/>
        </w:numPr>
        <w:tabs>
          <w:tab w:val="left" w:pos="888"/>
        </w:tabs>
        <w:kinsoku/>
        <w:overflowPunct w:val="0"/>
        <w:topLinePunct w:val="0"/>
        <w:bidi w:val="0"/>
        <w:spacing w:beforeLines="0" w:afterLines="0" w:line="400" w:lineRule="exact"/>
        <w:ind w:left="0" w:firstLine="420"/>
        <w:rPr>
          <w:rFonts w:hint="default"/>
          <w:sz w:val="24"/>
        </w:rPr>
      </w:pPr>
      <w:r>
        <w:rPr>
          <w:rFonts w:hint="eastAsia" w:ascii="宋体" w:hAnsi="宋体"/>
          <w:sz w:val="21"/>
        </w:rPr>
        <w:t>卖方保证，在合同设备设计使用寿命期内，如果卖方发现合同设备由于设计、制造、标识等原因存在足以危及人身、财产安全的缺陷，卖方将及时通知买方并及时采取修正或者补充标识、修理、更换等措施消除缺陷。</w:t>
      </w:r>
    </w:p>
    <w:p>
      <w:pPr>
        <w:keepNext w:val="0"/>
        <w:keepLines w:val="0"/>
        <w:pageBreakBefore w:val="0"/>
        <w:numPr>
          <w:ilvl w:val="0"/>
          <w:numId w:val="83"/>
        </w:numPr>
        <w:tabs>
          <w:tab w:val="left" w:pos="560"/>
          <w:tab w:val="clear" w:pos="720"/>
        </w:tabs>
        <w:kinsoku/>
        <w:overflowPunct w:val="0"/>
        <w:topLinePunct w:val="0"/>
        <w:bidi w:val="0"/>
        <w:spacing w:beforeLines="0" w:afterLines="0" w:line="400" w:lineRule="exact"/>
        <w:ind w:left="560" w:hanging="560"/>
        <w:rPr>
          <w:rFonts w:hint="default" w:ascii="Times New Roman" w:hAnsi="Times New Roman" w:eastAsia="Times New Roman"/>
          <w:b/>
          <w:sz w:val="32"/>
        </w:rPr>
      </w:pPr>
      <w:bookmarkStart w:id="36" w:name="page63"/>
      <w:bookmarkEnd w:id="36"/>
      <w:r>
        <w:rPr>
          <w:rFonts w:hint="eastAsia" w:ascii="宋体" w:hAnsi="宋体"/>
          <w:b/>
          <w:sz w:val="32"/>
        </w:rPr>
        <w:t>知识产权</w:t>
      </w:r>
    </w:p>
    <w:p>
      <w:pPr>
        <w:keepNext w:val="0"/>
        <w:keepLines w:val="0"/>
        <w:pageBreakBefore w:val="0"/>
        <w:numPr>
          <w:ilvl w:val="1"/>
          <w:numId w:val="83"/>
        </w:numPr>
        <w:tabs>
          <w:tab w:val="left" w:pos="895"/>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买方在履行合同过程中提供给卖方的全部图纸、文件和其他含有数据和信息的资料，其知识产权属于买方。</w:t>
      </w:r>
    </w:p>
    <w:p>
      <w:pPr>
        <w:keepNext w:val="0"/>
        <w:keepLines w:val="0"/>
        <w:pageBreakBefore w:val="0"/>
        <w:numPr>
          <w:ilvl w:val="1"/>
          <w:numId w:val="83"/>
        </w:numPr>
        <w:tabs>
          <w:tab w:val="left" w:pos="895"/>
        </w:tabs>
        <w:kinsoku/>
        <w:overflowPunct w:val="0"/>
        <w:topLinePunct w:val="0"/>
        <w:bidi w:val="0"/>
        <w:spacing w:beforeLines="0" w:afterLines="0" w:line="400" w:lineRule="exact"/>
        <w:ind w:left="0" w:firstLine="420"/>
        <w:rPr>
          <w:rFonts w:hint="default" w:ascii="Times New Roman" w:hAnsi="Times New Roman" w:eastAsia="Times New Roman"/>
          <w:sz w:val="20"/>
        </w:rPr>
      </w:pPr>
      <w:r>
        <w:rPr>
          <w:rFonts w:hint="eastAsia" w:ascii="宋体" w:hAnsi="宋体"/>
          <w:sz w:val="21"/>
        </w:rPr>
        <w:t>除专用合同条款另有约定外，买方不因签署和履行合同而享有卖方在履行合同过程中提供给买方的图纸、文件、配套软件、电子辅助程序和其他含有数据和信息的资料的知识产权。</w:t>
      </w:r>
    </w:p>
    <w:p>
      <w:pPr>
        <w:keepNext w:val="0"/>
        <w:keepLines w:val="0"/>
        <w:pageBreakBefore w:val="0"/>
        <w:numPr>
          <w:ilvl w:val="1"/>
          <w:numId w:val="83"/>
        </w:numPr>
        <w:tabs>
          <w:tab w:val="left" w:pos="893"/>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如合同设备涉及知识产权，则卖方保证买方在使用合同设备过程中免于受到第三方提出的有关知识产权侵权的主张、索赔或诉讼的伤害。</w:t>
      </w:r>
    </w:p>
    <w:p>
      <w:pPr>
        <w:keepNext w:val="0"/>
        <w:keepLines w:val="0"/>
        <w:pageBreakBefore w:val="0"/>
        <w:numPr>
          <w:ilvl w:val="1"/>
          <w:numId w:val="83"/>
        </w:numPr>
        <w:tabs>
          <w:tab w:val="left" w:pos="893"/>
        </w:tabs>
        <w:kinsoku/>
        <w:overflowPunct w:val="0"/>
        <w:topLinePunct w:val="0"/>
        <w:bidi w:val="0"/>
        <w:spacing w:beforeLines="0" w:afterLines="0" w:line="400" w:lineRule="exact"/>
        <w:ind w:left="0" w:firstLine="420"/>
        <w:jc w:val="left"/>
        <w:rPr>
          <w:rFonts w:hint="default" w:ascii="Times New Roman" w:hAnsi="Times New Roman" w:eastAsia="Times New Roman"/>
          <w:sz w:val="21"/>
        </w:rPr>
      </w:pPr>
      <w:r>
        <w:rPr>
          <w:rFonts w:hint="eastAsia" w:ascii="宋体" w:hAnsi="宋体"/>
          <w:sz w:val="21"/>
        </w:rPr>
        <w:t xml:space="preserve">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w:t>
      </w:r>
      <w:r>
        <w:rPr>
          <w:rFonts w:hint="default" w:ascii="Times New Roman" w:hAnsi="Times New Roman" w:eastAsia="Times New Roman"/>
          <w:sz w:val="21"/>
        </w:rPr>
        <w:t>28</w:t>
      </w:r>
      <w:r>
        <w:rPr>
          <w:rFonts w:hint="eastAsia" w:ascii="宋体" w:hAnsi="宋体"/>
          <w:sz w:val="21"/>
        </w:rPr>
        <w:t xml:space="preserve"> 日内未作表示，买方可以自己的名义进行这些索赔或诉讼，因此发生的费用和遭受的损失均应由卖方承担。</w:t>
      </w:r>
    </w:p>
    <w:p>
      <w:pPr>
        <w:keepNext w:val="0"/>
        <w:keepLines w:val="0"/>
        <w:pageBreakBefore w:val="0"/>
        <w:numPr>
          <w:ilvl w:val="0"/>
          <w:numId w:val="83"/>
        </w:numPr>
        <w:tabs>
          <w:tab w:val="left" w:pos="560"/>
          <w:tab w:val="clear" w:pos="720"/>
        </w:tabs>
        <w:kinsoku/>
        <w:overflowPunct w:val="0"/>
        <w:topLinePunct w:val="0"/>
        <w:bidi w:val="0"/>
        <w:spacing w:beforeLines="0" w:afterLines="0" w:line="400" w:lineRule="exact"/>
        <w:ind w:left="560" w:hanging="560"/>
        <w:rPr>
          <w:rFonts w:hint="default" w:ascii="宋体" w:hAnsi="宋体"/>
          <w:b/>
          <w:sz w:val="32"/>
        </w:rPr>
      </w:pPr>
      <w:r>
        <w:rPr>
          <w:rFonts w:hint="eastAsia" w:ascii="宋体" w:hAnsi="宋体"/>
          <w:b/>
          <w:sz w:val="32"/>
        </w:rPr>
        <w:t>保密</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合同双方应对因履行合同而取得的另一方当事人的信息、资料等予以保密。未经另一方当</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事人书面同意，任何一方均不得为与履行合同无关的目的使用或向第三方披露另一方当事人提</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供的信息、资料。</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合同当事人的保密义务不适用于下列信息：</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）非因接受信息一方的过失现在或以后进入公共领域的信息；</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）接受信息一方当事人合法地从第三方获得并且据其善意了解第三方也不对此承担保密义务的信息；</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）法律或法律的执行要求披露的信息。</w:t>
      </w:r>
    </w:p>
    <w:p>
      <w:pPr>
        <w:keepNext w:val="0"/>
        <w:keepLines w:val="0"/>
        <w:pageBreakBefore w:val="0"/>
        <w:numPr>
          <w:ilvl w:val="0"/>
          <w:numId w:val="84"/>
        </w:numPr>
        <w:tabs>
          <w:tab w:val="left" w:pos="560"/>
          <w:tab w:val="clear" w:pos="720"/>
        </w:tabs>
        <w:kinsoku/>
        <w:overflowPunct w:val="0"/>
        <w:topLinePunct w:val="0"/>
        <w:bidi w:val="0"/>
        <w:spacing w:beforeLines="0" w:afterLines="0" w:line="400" w:lineRule="exact"/>
        <w:ind w:left="560" w:hanging="560"/>
        <w:rPr>
          <w:rFonts w:hint="default" w:ascii="Times New Roman" w:hAnsi="Times New Roman" w:eastAsia="Times New Roman"/>
          <w:b/>
          <w:sz w:val="32"/>
        </w:rPr>
      </w:pPr>
      <w:r>
        <w:rPr>
          <w:rFonts w:hint="eastAsia" w:ascii="宋体" w:hAnsi="宋体"/>
          <w:b/>
          <w:sz w:val="32"/>
        </w:rPr>
        <w:t>违约责任</w:t>
      </w:r>
    </w:p>
    <w:p>
      <w:pPr>
        <w:keepNext w:val="0"/>
        <w:keepLines w:val="0"/>
        <w:pageBreakBefore w:val="0"/>
        <w:numPr>
          <w:ilvl w:val="1"/>
          <w:numId w:val="84"/>
        </w:numPr>
        <w:tabs>
          <w:tab w:val="left" w:pos="871"/>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合同一方不履行合同义务、履行合同义务不符合约定或者违反合同项下所作保证的，应向对方承担继续履行、采取修理、更换、退货等补救措施或者赔偿损失等违约责任。</w:t>
      </w:r>
    </w:p>
    <w:p>
      <w:pPr>
        <w:keepNext w:val="0"/>
        <w:keepLines w:val="0"/>
        <w:pageBreakBefore w:val="0"/>
        <w:numPr>
          <w:ilvl w:val="1"/>
          <w:numId w:val="84"/>
        </w:numPr>
        <w:tabs>
          <w:tab w:val="left" w:pos="871"/>
        </w:tabs>
        <w:kinsoku/>
        <w:overflowPunct w:val="0"/>
        <w:topLinePunct w:val="0"/>
        <w:bidi w:val="0"/>
        <w:spacing w:beforeLines="0" w:afterLines="0" w:line="400" w:lineRule="exact"/>
        <w:ind w:left="0" w:right="100" w:firstLine="420"/>
        <w:rPr>
          <w:rFonts w:hint="default" w:ascii="宋体" w:hAnsi="宋体"/>
          <w:sz w:val="21"/>
        </w:rPr>
      </w:pPr>
      <w:r>
        <w:rPr>
          <w:rFonts w:hint="eastAsia" w:ascii="宋体" w:hAnsi="宋体"/>
          <w:sz w:val="21"/>
        </w:rPr>
        <w:t>卖方未能按时交付合同设备（包括仅迟延交付技术资料但足以导致合同设备安装、调试、考核、验收工作推迟的）的，应向买方支付迟延交付违约金。除专用合同条款另有约定外，</w:t>
      </w:r>
    </w:p>
    <w:p>
      <w:pPr>
        <w:keepNext w:val="0"/>
        <w:keepLines w:val="0"/>
        <w:pageBreakBefore w:val="0"/>
        <w:numPr>
          <w:ilvl w:val="1"/>
          <w:numId w:val="84"/>
        </w:numPr>
        <w:tabs>
          <w:tab w:val="left" w:pos="871"/>
        </w:tabs>
        <w:kinsoku/>
        <w:overflowPunct w:val="0"/>
        <w:topLinePunct w:val="0"/>
        <w:bidi w:val="0"/>
        <w:spacing w:beforeLines="0" w:afterLines="0" w:line="400" w:lineRule="exact"/>
        <w:ind w:left="0" w:right="100" w:firstLine="420"/>
        <w:rPr>
          <w:rFonts w:hint="default"/>
          <w:sz w:val="24"/>
        </w:rPr>
      </w:pPr>
      <w:r>
        <w:rPr>
          <w:rFonts w:hint="default" w:ascii="宋体" w:hAnsi="宋体"/>
          <w:sz w:val="21"/>
        </w:rPr>
        <w:t>
</w:t>
      </w:r>
      <w:r>
        <w:rPr>
          <w:rFonts w:hint="eastAsia" w:ascii="宋体" w:hAnsi="宋体"/>
          <w:sz w:val="21"/>
        </w:rPr>
        <w:t>迟延交付违约金的计算方法如下：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 xml:space="preserve">）从迟交的第一周到第四周，每周迟延交付违约金为迟交合同设备价格的 </w:t>
      </w:r>
      <w:r>
        <w:rPr>
          <w:rFonts w:hint="default" w:ascii="Times New Roman" w:hAnsi="Times New Roman" w:eastAsia="Times New Roman"/>
          <w:sz w:val="21"/>
        </w:rPr>
        <w:t>0.5%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 xml:space="preserve">）从迟交的第五周到第八周，每周迟延交付违约金为迟交合同设备价格的 </w:t>
      </w:r>
      <w:r>
        <w:rPr>
          <w:rFonts w:hint="default" w:ascii="Times New Roman" w:hAnsi="Times New Roman" w:eastAsia="Times New Roman"/>
          <w:sz w:val="21"/>
        </w:rPr>
        <w:t>1%</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 xml:space="preserve">）从迟交第九周起，每周迟延交付违约金为迟交合同设备价格的 </w:t>
      </w:r>
      <w:r>
        <w:rPr>
          <w:rFonts w:hint="default" w:ascii="Times New Roman" w:hAnsi="Times New Roman" w:eastAsia="Times New Roman"/>
          <w:sz w:val="21"/>
        </w:rPr>
        <w:t>1.5%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在计算迟延交付违约金时，迟交不足一周的按一周计算。迟延交付违约金的总额不得超过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合同价格的 </w:t>
      </w:r>
      <w:r>
        <w:rPr>
          <w:rFonts w:hint="default" w:ascii="Times New Roman" w:hAnsi="Times New Roman" w:eastAsia="Times New Roman"/>
          <w:sz w:val="21"/>
        </w:rPr>
        <w:t>10%</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迟延交付违约金的支付不能免除卖方继续交付相关合同设备的义务，但如迟延交付必然导</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致合同设备安装、调试、考核、验收工作推迟的，相关工作应相应顺延。</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 xml:space="preserve">14.3 </w:t>
      </w:r>
      <w:r>
        <w:rPr>
          <w:rFonts w:hint="eastAsia" w:ascii="宋体" w:hAnsi="宋体"/>
          <w:sz w:val="21"/>
        </w:rPr>
        <w:t>买方未能按合同约定支付合同价款的，应向卖方支付延迟付款违约金。除专用合同条</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款另有约定外，迟延付款违约金的计算方法如下：</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 xml:space="preserve">）从迟付的第一周到第四周，每周迟延付款违约金为迟延付款金额的 </w:t>
      </w:r>
      <w:r>
        <w:rPr>
          <w:rFonts w:hint="default" w:ascii="Times New Roman" w:hAnsi="Times New Roman" w:eastAsia="Times New Roman"/>
          <w:sz w:val="21"/>
        </w:rPr>
        <w:t>0.5%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 xml:space="preserve">）从迟付的第五周到第八周，每周迟延付款违约金为迟延付款金额的 </w:t>
      </w:r>
      <w:r>
        <w:rPr>
          <w:rFonts w:hint="default" w:ascii="Times New Roman" w:hAnsi="Times New Roman" w:eastAsia="Times New Roman"/>
          <w:sz w:val="21"/>
        </w:rPr>
        <w:t>1%</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 xml:space="preserve">）从迟付第九周起，每周迟延付款违约金为迟延付款金额的 </w:t>
      </w:r>
      <w:r>
        <w:rPr>
          <w:rFonts w:hint="default" w:ascii="Times New Roman" w:hAnsi="Times New Roman" w:eastAsia="Times New Roman"/>
          <w:sz w:val="21"/>
        </w:rPr>
        <w:t>1.5%</w:t>
      </w:r>
      <w:r>
        <w:rPr>
          <w:rFonts w:hint="eastAsia" w:ascii="宋体" w:hAnsi="宋体"/>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在计算迟延付款违约金时，迟付不足一周的按一周计算。迟延付款违约金的总额不得超过</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 xml:space="preserve">合同价格的 </w:t>
      </w:r>
      <w:r>
        <w:rPr>
          <w:rFonts w:hint="default" w:ascii="Times New Roman" w:hAnsi="Times New Roman" w:eastAsia="Times New Roman"/>
          <w:sz w:val="21"/>
        </w:rPr>
        <w:t>10%</w:t>
      </w:r>
      <w:r>
        <w:rPr>
          <w:rFonts w:hint="eastAsia"/>
          <w:sz w:val="21"/>
          <w:lang w:eastAsia="zh-CN"/>
        </w:rPr>
        <w:t>。</w:t>
      </w:r>
    </w:p>
    <w:p>
      <w:pPr>
        <w:keepNext w:val="0"/>
        <w:keepLines w:val="0"/>
        <w:pageBreakBefore w:val="0"/>
        <w:kinsoku/>
        <w:topLinePunct w:val="0"/>
        <w:bidi w:val="0"/>
        <w:spacing w:beforeLines="0" w:afterLines="0" w:line="400" w:lineRule="exact"/>
        <w:jc w:val="left"/>
        <w:rPr>
          <w:rFonts w:hint="default"/>
          <w:sz w:val="24"/>
        </w:rPr>
      </w:pPr>
      <w:r>
        <w:rPr>
          <w:rFonts w:hint="default" w:ascii="Times New Roman" w:hAnsi="Times New Roman" w:eastAsia="Times New Roman"/>
          <w:b/>
          <w:sz w:val="32"/>
        </w:rPr>
        <w:t xml:space="preserve">15. </w:t>
      </w:r>
      <w:r>
        <w:rPr>
          <w:rFonts w:hint="eastAsia" w:ascii="宋体" w:hAnsi="宋体"/>
          <w:b/>
          <w:sz w:val="32"/>
        </w:rPr>
        <w:t>合同的解除</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除专用合同条款另有约定外，有下述情形之一，当事人可发出书面通知全部或部分地解除</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合同，合同自通知到达对方时全部或部分地解除：</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 xml:space="preserve">）卖方迟延交付合同设备超过 </w:t>
      </w:r>
      <w:r>
        <w:rPr>
          <w:rFonts w:hint="default" w:ascii="Times New Roman" w:hAnsi="Times New Roman" w:eastAsia="Times New Roman"/>
          <w:sz w:val="21"/>
        </w:rPr>
        <w:t>3</w:t>
      </w:r>
      <w:r>
        <w:rPr>
          <w:rFonts w:hint="eastAsia" w:ascii="宋体" w:hAnsi="宋体"/>
          <w:sz w:val="21"/>
        </w:rPr>
        <w:t xml:space="preserve"> 个月；</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sz w:val="21"/>
        </w:rPr>
        <w:t>（</w:t>
      </w:r>
      <w:r>
        <w:rPr>
          <w:rFonts w:hint="default" w:ascii="宋体" w:hAnsi="宋体"/>
          <w:sz w:val="21"/>
        </w:rPr>
        <w:t>2</w:t>
      </w:r>
      <w:r>
        <w:rPr>
          <w:rFonts w:hint="eastAsia" w:ascii="宋体" w:hAnsi="宋体"/>
          <w:sz w:val="21"/>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 xml:space="preserve">）买方迟延付款超过 </w:t>
      </w:r>
      <w:r>
        <w:rPr>
          <w:rFonts w:hint="default" w:ascii="Times New Roman" w:hAnsi="Times New Roman" w:eastAsia="Times New Roman"/>
          <w:sz w:val="21"/>
        </w:rPr>
        <w:t>3</w:t>
      </w:r>
      <w:r>
        <w:rPr>
          <w:rFonts w:hint="eastAsia" w:ascii="宋体" w:hAnsi="宋体"/>
          <w:sz w:val="21"/>
        </w:rPr>
        <w:t xml:space="preserve"> 个月；</w:t>
      </w:r>
    </w:p>
    <w:p>
      <w:pPr>
        <w:keepNext w:val="0"/>
        <w:keepLines w:val="0"/>
        <w:pageBreakBefore w:val="0"/>
        <w:kinsoku/>
        <w:topLinePunct w:val="0"/>
        <w:bidi w:val="0"/>
        <w:spacing w:beforeLines="0" w:afterLines="0" w:line="400" w:lineRule="exact"/>
        <w:ind w:left="0" w:leftChars="0" w:firstLine="418" w:firstLineChars="209"/>
        <w:jc w:val="left"/>
        <w:rPr>
          <w:rFonts w:hint="default"/>
          <w:sz w:val="24"/>
        </w:rPr>
      </w:pPr>
      <w:r>
        <w:rPr>
          <w:rFonts w:hint="eastAsia" w:ascii="宋体" w:hAnsi="宋体"/>
          <w:sz w:val="20"/>
        </w:rPr>
        <w:t>（</w:t>
      </w:r>
      <w:r>
        <w:rPr>
          <w:rFonts w:hint="default" w:ascii="宋体" w:hAnsi="宋体"/>
          <w:sz w:val="21"/>
        </w:rPr>
        <w:t>4</w:t>
      </w:r>
      <w:r>
        <w:rPr>
          <w:rFonts w:hint="eastAsia" w:ascii="宋体" w:hAnsi="宋体"/>
          <w:sz w:val="21"/>
        </w:rPr>
        <w:t xml:space="preserve">）合同一方当事人未能履行合同项下任何其它义务（细微义务除外），或在未事先征得另一方当事人同意的情况下，从事任何可能在实质上不利影响其履行合同能力的活动，经另一方当事人书面通知后 </w:t>
      </w:r>
      <w:r>
        <w:rPr>
          <w:rFonts w:hint="default" w:ascii="Times New Roman" w:hAnsi="Times New Roman" w:eastAsia="Times New Roman"/>
          <w:sz w:val="21"/>
        </w:rPr>
        <w:t>14</w:t>
      </w:r>
      <w:r>
        <w:rPr>
          <w:rFonts w:hint="eastAsia" w:ascii="宋体" w:hAnsi="宋体"/>
          <w:sz w:val="21"/>
        </w:rPr>
        <w:t xml:space="preserve"> 日内或在专用合同条款约定的其他期限内未能对其行为作出补救；</w:t>
      </w:r>
    </w:p>
    <w:p>
      <w:pPr>
        <w:keepNext w:val="0"/>
        <w:keepLines w:val="0"/>
        <w:pageBreakBefore w:val="0"/>
        <w:kinsoku/>
        <w:topLinePunct w:val="0"/>
        <w:bidi w:val="0"/>
        <w:spacing w:beforeLines="0" w:afterLines="0" w:line="400" w:lineRule="exact"/>
        <w:ind w:left="0" w:leftChars="0" w:firstLine="438" w:firstLineChars="209"/>
        <w:jc w:val="left"/>
        <w:rPr>
          <w:rFonts w:hint="eastAsia" w:ascii="宋体" w:hAnsi="宋体"/>
          <w:sz w:val="21"/>
        </w:rPr>
      </w:pPr>
      <w:r>
        <w:rPr>
          <w:rFonts w:hint="eastAsia" w:ascii="宋体" w:hAnsi="宋体"/>
          <w:sz w:val="21"/>
        </w:rPr>
        <w:t>（</w:t>
      </w:r>
      <w:r>
        <w:rPr>
          <w:rFonts w:hint="default" w:ascii="宋体" w:hAnsi="宋体"/>
          <w:sz w:val="21"/>
        </w:rPr>
        <w:t>5</w:t>
      </w:r>
      <w:r>
        <w:rPr>
          <w:rFonts w:hint="eastAsia" w:ascii="宋体" w:hAnsi="宋体"/>
          <w:sz w:val="21"/>
        </w:rPr>
        <w:t>）合同一方当事人出现破产、清算、资不抵债、成为失信被执行人等可能丧失履约能力的情形，且未能提供令对方满意的履约保证金。</w:t>
      </w:r>
    </w:p>
    <w:p>
      <w:pPr>
        <w:keepNext w:val="0"/>
        <w:keepLines w:val="0"/>
        <w:pageBreakBefore w:val="0"/>
        <w:numPr>
          <w:ilvl w:val="0"/>
          <w:numId w:val="85"/>
        </w:numPr>
        <w:tabs>
          <w:tab w:val="left" w:pos="560"/>
          <w:tab w:val="clear" w:pos="720"/>
        </w:tabs>
        <w:kinsoku/>
        <w:overflowPunct w:val="0"/>
        <w:topLinePunct w:val="0"/>
        <w:bidi w:val="0"/>
        <w:spacing w:beforeLines="0" w:afterLines="0" w:line="400" w:lineRule="exact"/>
        <w:ind w:left="560" w:hanging="560"/>
        <w:rPr>
          <w:rFonts w:hint="default" w:ascii="Times New Roman" w:hAnsi="Times New Roman" w:eastAsia="Times New Roman"/>
          <w:b/>
          <w:sz w:val="32"/>
        </w:rPr>
      </w:pPr>
      <w:bookmarkStart w:id="37" w:name="page65"/>
      <w:bookmarkEnd w:id="37"/>
      <w:r>
        <w:rPr>
          <w:rFonts w:hint="eastAsia" w:ascii="宋体" w:hAnsi="宋体"/>
          <w:b/>
          <w:sz w:val="32"/>
        </w:rPr>
        <w:t>不可抗力</w:t>
      </w:r>
    </w:p>
    <w:p>
      <w:pPr>
        <w:keepNext w:val="0"/>
        <w:keepLines w:val="0"/>
        <w:pageBreakBefore w:val="0"/>
        <w:numPr>
          <w:ilvl w:val="1"/>
          <w:numId w:val="85"/>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w:t>
      </w:r>
      <w:r>
        <w:rPr>
          <w:rFonts w:hint="default" w:ascii="Times New Roman" w:hAnsi="Times New Roman" w:eastAsia="Times New Roman"/>
          <w:sz w:val="21"/>
        </w:rPr>
        <w:t>28</w:t>
      </w:r>
      <w:r>
        <w:rPr>
          <w:rFonts w:hint="eastAsia" w:ascii="宋体" w:hAnsi="宋体"/>
          <w:sz w:val="21"/>
        </w:rPr>
        <w:t xml:space="preserve"> 日内将有关当局或机构出具的证明文件提交给另一方当事人。</w:t>
      </w:r>
    </w:p>
    <w:p>
      <w:pPr>
        <w:keepNext w:val="0"/>
        <w:keepLines w:val="0"/>
        <w:pageBreakBefore w:val="0"/>
        <w:numPr>
          <w:ilvl w:val="1"/>
          <w:numId w:val="85"/>
        </w:numPr>
        <w:tabs>
          <w:tab w:val="left" w:pos="900"/>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受不可抗力事件影响的一方当事人对于不可抗力事件导致的任何合同义务的迟延履行或不能履行不承担违约责任。但该方当事人应尽快将不可抗力事件结束或消除的情况通知另一方当事人。</w:t>
      </w:r>
    </w:p>
    <w:p>
      <w:pPr>
        <w:keepNext w:val="0"/>
        <w:keepLines w:val="0"/>
        <w:pageBreakBefore w:val="0"/>
        <w:numPr>
          <w:ilvl w:val="1"/>
          <w:numId w:val="85"/>
        </w:numPr>
        <w:tabs>
          <w:tab w:val="left" w:pos="893"/>
        </w:tabs>
        <w:kinsoku/>
        <w:overflowPunct w:val="0"/>
        <w:topLinePunct w:val="0"/>
        <w:bidi w:val="0"/>
        <w:spacing w:beforeLines="0" w:afterLines="0" w:line="400" w:lineRule="exact"/>
        <w:ind w:left="0" w:firstLine="420"/>
        <w:rPr>
          <w:rFonts w:hint="default" w:ascii="Times New Roman" w:hAnsi="Times New Roman" w:eastAsia="Times New Roman"/>
          <w:sz w:val="21"/>
        </w:rPr>
      </w:pPr>
      <w:r>
        <w:rPr>
          <w:rFonts w:hint="eastAsia" w:ascii="宋体" w:hAnsi="宋体"/>
          <w:sz w:val="21"/>
        </w:rPr>
        <w:t xml:space="preserve">双方当事人应在不可抗力事件结束或其影响消除后立即继续履行其合同义务，合同期限也应相应顺延。除专用合同条款另有约定外，如果不可抗力事件的影响持续超过 </w:t>
      </w:r>
      <w:r>
        <w:rPr>
          <w:rFonts w:hint="default" w:ascii="Times New Roman" w:hAnsi="Times New Roman" w:eastAsia="Times New Roman"/>
          <w:sz w:val="21"/>
        </w:rPr>
        <w:t>140</w:t>
      </w:r>
      <w:r>
        <w:rPr>
          <w:rFonts w:hint="eastAsia" w:ascii="宋体" w:hAnsi="宋体"/>
          <w:sz w:val="21"/>
        </w:rPr>
        <w:t xml:space="preserve"> 日，则任何一方当事人均有权以书面通知解除合同。</w:t>
      </w:r>
    </w:p>
    <w:p>
      <w:pPr>
        <w:keepNext w:val="0"/>
        <w:keepLines w:val="0"/>
        <w:pageBreakBefore w:val="0"/>
        <w:numPr>
          <w:ilvl w:val="0"/>
          <w:numId w:val="85"/>
        </w:numPr>
        <w:tabs>
          <w:tab w:val="left" w:pos="560"/>
          <w:tab w:val="clear" w:pos="720"/>
        </w:tabs>
        <w:kinsoku/>
        <w:overflowPunct w:val="0"/>
        <w:topLinePunct w:val="0"/>
        <w:bidi w:val="0"/>
        <w:spacing w:beforeLines="0" w:afterLines="0" w:line="400" w:lineRule="exact"/>
        <w:ind w:left="560" w:hanging="560"/>
        <w:rPr>
          <w:rFonts w:hint="default"/>
          <w:sz w:val="24"/>
        </w:rPr>
      </w:pPr>
      <w:r>
        <w:rPr>
          <w:rFonts w:hint="eastAsia" w:ascii="宋体" w:hAnsi="宋体"/>
          <w:b/>
          <w:sz w:val="32"/>
        </w:rPr>
        <w:t>争议的解决</w:t>
      </w:r>
    </w:p>
    <w:p>
      <w:pPr>
        <w:keepNext w:val="0"/>
        <w:keepLines w:val="0"/>
        <w:pageBreakBefore w:val="0"/>
        <w:numPr>
          <w:ilvl w:val="0"/>
          <w:numId w:val="0"/>
        </w:numPr>
        <w:tabs>
          <w:tab w:val="left" w:pos="893"/>
        </w:tabs>
        <w:kinsoku/>
        <w:overflowPunct w:val="0"/>
        <w:topLinePunct w:val="0"/>
        <w:bidi w:val="0"/>
        <w:spacing w:beforeLines="0" w:afterLines="0" w:line="400" w:lineRule="exact"/>
        <w:ind w:left="0" w:leftChars="0" w:firstLine="420" w:firstLineChars="200"/>
        <w:rPr>
          <w:rFonts w:hint="default"/>
          <w:sz w:val="24"/>
        </w:rPr>
      </w:pPr>
      <w:r>
        <w:rPr>
          <w:rFonts w:hint="eastAsia" w:ascii="宋体" w:hAnsi="宋体"/>
          <w:sz w:val="21"/>
        </w:rPr>
        <w:t>因本合同引起的或与本合同有关的任何争议</w:t>
      </w:r>
      <w:r>
        <w:rPr>
          <w:rFonts w:hint="default" w:ascii="宋体" w:hAnsi="宋体"/>
          <w:sz w:val="21"/>
        </w:rPr>
        <w:t>,</w:t>
      </w:r>
      <w:r>
        <w:rPr>
          <w:rFonts w:hint="eastAsia" w:ascii="宋体" w:hAnsi="宋体"/>
          <w:sz w:val="21"/>
        </w:rPr>
        <w:t>双方可通过友好协商解决。友好协商解决不成的，可在专用合同条款中约定下列一种方式解决：</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）向约定的仲裁委员会申请仲裁；</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）向有管辖权的人民法院提起诉讼。</w:t>
      </w: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pStyle w:val="2"/>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eastAsia" w:ascii="宋体" w:hAnsi="宋体"/>
          <w:b/>
          <w:sz w:val="31"/>
        </w:rPr>
      </w:pPr>
      <w:r>
        <w:rPr>
          <w:rFonts w:hint="eastAsia" w:ascii="宋体" w:hAnsi="宋体"/>
          <w:b/>
          <w:sz w:val="31"/>
        </w:rPr>
        <w:t>第二节专用合同条款</w:t>
      </w:r>
    </w:p>
    <w:p>
      <w:pPr>
        <w:pStyle w:val="2"/>
        <w:keepNext w:val="0"/>
        <w:keepLines w:val="0"/>
        <w:pageBreakBefore w:val="0"/>
        <w:kinsoku/>
        <w:topLinePunct w:val="0"/>
        <w:bidi w:val="0"/>
        <w:spacing w:line="400" w:lineRule="exact"/>
        <w:rPr>
          <w:rFonts w:hint="eastAsia" w:ascii="宋体" w:hAnsi="宋体"/>
          <w:b/>
          <w:sz w:val="31"/>
        </w:rPr>
      </w:pPr>
    </w:p>
    <w:p>
      <w:pPr>
        <w:pStyle w:val="2"/>
        <w:keepNext w:val="0"/>
        <w:keepLines w:val="0"/>
        <w:pageBreakBefore w:val="0"/>
        <w:kinsoku/>
        <w:topLinePunct w:val="0"/>
        <w:bidi w:val="0"/>
        <w:spacing w:line="400" w:lineRule="exact"/>
        <w:rPr>
          <w:rFonts w:hint="eastAsia" w:ascii="宋体" w:hAnsi="宋体"/>
          <w:b/>
          <w:sz w:val="31"/>
        </w:rPr>
      </w:pPr>
    </w:p>
    <w:p>
      <w:pPr>
        <w:pStyle w:val="2"/>
        <w:keepNext w:val="0"/>
        <w:keepLines w:val="0"/>
        <w:pageBreakBefore w:val="0"/>
        <w:kinsoku/>
        <w:topLinePunct w:val="0"/>
        <w:bidi w:val="0"/>
        <w:spacing w:line="400" w:lineRule="exact"/>
        <w:rPr>
          <w:rFonts w:hint="eastAsia" w:ascii="宋体" w:hAnsi="宋体"/>
          <w:b/>
          <w:sz w:val="31"/>
        </w:rPr>
      </w:pPr>
    </w:p>
    <w:p>
      <w:pPr>
        <w:pStyle w:val="2"/>
        <w:keepNext w:val="0"/>
        <w:keepLines w:val="0"/>
        <w:pageBreakBefore w:val="0"/>
        <w:kinsoku/>
        <w:topLinePunct w:val="0"/>
        <w:bidi w:val="0"/>
        <w:spacing w:line="400" w:lineRule="exact"/>
        <w:rPr>
          <w:rFonts w:hint="eastAsia" w:ascii="宋体" w:hAnsi="宋体"/>
          <w:b/>
          <w:sz w:val="31"/>
        </w:rPr>
      </w:pPr>
    </w:p>
    <w:p>
      <w:pPr>
        <w:pStyle w:val="2"/>
        <w:keepNext w:val="0"/>
        <w:keepLines w:val="0"/>
        <w:pageBreakBefore w:val="0"/>
        <w:kinsoku/>
        <w:topLinePunct w:val="0"/>
        <w:bidi w:val="0"/>
        <w:spacing w:line="400" w:lineRule="exact"/>
        <w:rPr>
          <w:rFonts w:hint="eastAsia" w:ascii="宋体" w:hAnsi="宋体"/>
          <w:b/>
          <w:sz w:val="31"/>
        </w:rPr>
      </w:pPr>
    </w:p>
    <w:p>
      <w:pPr>
        <w:pStyle w:val="2"/>
        <w:keepNext w:val="0"/>
        <w:keepLines w:val="0"/>
        <w:pageBreakBefore w:val="0"/>
        <w:kinsoku/>
        <w:topLinePunct w:val="0"/>
        <w:bidi w:val="0"/>
        <w:spacing w:line="400" w:lineRule="exact"/>
        <w:ind w:left="0" w:leftChars="0" w:firstLine="0" w:firstLineChars="0"/>
        <w:rPr>
          <w:rFonts w:hint="eastAsia" w:ascii="宋体" w:hAnsi="宋体"/>
          <w:b/>
          <w:sz w:val="31"/>
        </w:rPr>
      </w:pPr>
    </w:p>
    <w:p>
      <w:pPr>
        <w:pStyle w:val="2"/>
        <w:keepNext w:val="0"/>
        <w:keepLines w:val="0"/>
        <w:pageBreakBefore w:val="0"/>
        <w:kinsoku/>
        <w:topLinePunct w:val="0"/>
        <w:bidi w:val="0"/>
        <w:spacing w:line="400" w:lineRule="exact"/>
        <w:rPr>
          <w:rFonts w:hint="eastAsia" w:ascii="宋体" w:hAnsi="宋体"/>
          <w:b/>
          <w:sz w:val="31"/>
        </w:rPr>
      </w:pPr>
    </w:p>
    <w:p>
      <w:pPr>
        <w:pStyle w:val="2"/>
        <w:keepNext w:val="0"/>
        <w:keepLines w:val="0"/>
        <w:pageBreakBefore w:val="0"/>
        <w:kinsoku/>
        <w:topLinePunct w:val="0"/>
        <w:bidi w:val="0"/>
        <w:spacing w:line="400" w:lineRule="exact"/>
        <w:rPr>
          <w:rFonts w:hint="eastAsia" w:ascii="宋体" w:hAnsi="宋体"/>
          <w:b/>
          <w:sz w:val="31"/>
        </w:rPr>
      </w:pPr>
    </w:p>
    <w:p>
      <w:pPr>
        <w:pStyle w:val="2"/>
        <w:keepNext w:val="0"/>
        <w:keepLines w:val="0"/>
        <w:pageBreakBefore w:val="0"/>
        <w:kinsoku/>
        <w:topLinePunct w:val="0"/>
        <w:bidi w:val="0"/>
        <w:spacing w:line="400" w:lineRule="exact"/>
        <w:rPr>
          <w:rFonts w:hint="default" w:ascii="宋体" w:hAnsi="宋体"/>
          <w:b/>
          <w:sz w:val="31"/>
        </w:rPr>
      </w:pPr>
    </w:p>
    <w:p>
      <w:pPr>
        <w:keepNext w:val="0"/>
        <w:keepLines w:val="0"/>
        <w:pageBreakBefore w:val="0"/>
        <w:kinsoku/>
        <w:topLinePunct w:val="0"/>
        <w:bidi w:val="0"/>
        <w:spacing w:beforeLines="0" w:afterLines="0" w:line="400" w:lineRule="exact"/>
        <w:ind w:firstLine="2178" w:firstLineChars="700"/>
        <w:jc w:val="left"/>
        <w:rPr>
          <w:rFonts w:hint="default"/>
          <w:sz w:val="24"/>
        </w:rPr>
      </w:pPr>
      <w:r>
        <w:rPr>
          <w:rFonts w:hint="eastAsia" w:ascii="宋体" w:hAnsi="宋体"/>
          <w:b/>
          <w:sz w:val="31"/>
        </w:rPr>
        <w:t>第三节合同附件格式</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140"/>
        <w:jc w:val="left"/>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ind w:left="0" w:leftChars="0" w:firstLine="0" w:firstLineChars="0"/>
        <w:rPr>
          <w:rFonts w:hint="eastAsia" w:ascii="宋体" w:hAnsi="宋体"/>
          <w:sz w:val="28"/>
        </w:rPr>
      </w:pPr>
    </w:p>
    <w:p>
      <w:pPr>
        <w:pStyle w:val="2"/>
        <w:rPr>
          <w:rFonts w:hint="eastAsia" w:ascii="宋体" w:hAnsi="宋体"/>
          <w:sz w:val="28"/>
        </w:rPr>
      </w:pPr>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附件一：合同协议书</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620"/>
        <w:jc w:val="left"/>
        <w:rPr>
          <w:rFonts w:hint="eastAsia" w:ascii="宋体" w:hAnsi="宋体"/>
          <w:sz w:val="28"/>
        </w:rPr>
      </w:pPr>
      <w:r>
        <w:rPr>
          <w:rFonts w:hint="eastAsia" w:ascii="宋体" w:hAnsi="宋体"/>
          <w:sz w:val="28"/>
        </w:rPr>
        <w:t>合同协议书</w:t>
      </w:r>
    </w:p>
    <w:p>
      <w:pPr>
        <w:pStyle w:val="2"/>
        <w:rPr>
          <w:rFonts w:hint="eastAsia"/>
        </w:rPr>
      </w:pPr>
    </w:p>
    <w:p>
      <w:pPr>
        <w:pStyle w:val="2"/>
        <w:keepNext w:val="0"/>
        <w:keepLines w:val="0"/>
        <w:pageBreakBefore w:val="0"/>
        <w:kinsoku/>
        <w:topLinePunct w:val="0"/>
        <w:bidi w:val="0"/>
        <w:spacing w:line="400" w:lineRule="exact"/>
        <w:rPr>
          <w:rFonts w:hint="eastAsia" w:ascii="宋体" w:hAnsi="宋体" w:eastAsia="宋体" w:cs="宋体"/>
          <w:sz w:val="21"/>
          <w:szCs w:val="21"/>
        </w:rPr>
      </w:pPr>
      <w:r>
        <w:rPr>
          <w:rFonts w:hint="eastAsia" w:ascii="宋体" w:hAnsi="宋体" w:eastAsia="宋体" w:cs="Times New Roman"/>
          <w:kern w:val="2"/>
          <w:sz w:val="21"/>
          <w:u w:val="single"/>
          <w:lang w:val="en-US" w:eastAsia="zh-CN"/>
        </w:rPr>
        <w:t xml:space="preserve">               </w:t>
      </w:r>
      <w:r>
        <w:rPr>
          <w:rFonts w:hint="eastAsia" w:ascii="宋体" w:hAnsi="宋体" w:eastAsia="宋体" w:cs="宋体"/>
          <w:kern w:val="2"/>
          <w:sz w:val="21"/>
          <w:szCs w:val="21"/>
        </w:rPr>
        <w:t>（买方名称，以下简称“买方”）为获得</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（项目名称）合同设备和技术服务和质保期服务，已接</w:t>
      </w:r>
      <w:r>
        <w:rPr>
          <w:rFonts w:hint="eastAsia" w:ascii="宋体" w:hAnsi="宋体" w:eastAsia="宋体" w:cs="宋体"/>
          <w:kern w:val="2"/>
          <w:sz w:val="21"/>
          <w:szCs w:val="21"/>
          <w:lang w:eastAsia="zh-CN"/>
        </w:rPr>
        <w:t>受</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（卖方名称，以下简称“卖方”）为提供上述合同设备和技术服务和质保期服务所作的投标，买方和卖方共同达成如下协议：</w:t>
      </w:r>
    </w:p>
    <w:p>
      <w:pPr>
        <w:keepNext w:val="0"/>
        <w:keepLines w:val="0"/>
        <w:pageBreakBefore w:val="0"/>
        <w:numPr>
          <w:ilvl w:val="0"/>
          <w:numId w:val="86"/>
        </w:numPr>
        <w:tabs>
          <w:tab w:val="left" w:pos="684"/>
          <w:tab w:val="clear" w:pos="720"/>
        </w:tabs>
        <w:kinsoku/>
        <w:overflowPunct w:val="0"/>
        <w:topLinePunct w:val="0"/>
        <w:bidi w:val="0"/>
        <w:spacing w:beforeLines="0" w:afterLines="0" w:line="400" w:lineRule="exact"/>
        <w:ind w:left="420" w:right="14" w:rightChars="0" w:firstLine="0"/>
        <w:jc w:val="left"/>
        <w:rPr>
          <w:rFonts w:hint="eastAsia" w:ascii="宋体" w:hAnsi="宋体" w:eastAsia="宋体" w:cs="宋体"/>
          <w:sz w:val="21"/>
          <w:szCs w:val="21"/>
        </w:rPr>
      </w:pPr>
      <w:r>
        <w:rPr>
          <w:rFonts w:hint="eastAsia" w:ascii="宋体" w:hAnsi="宋体" w:eastAsia="宋体" w:cs="宋体"/>
          <w:sz w:val="21"/>
          <w:szCs w:val="21"/>
        </w:rPr>
        <w:t>本协议书与下列文件一起构成合同文件：</w:t>
      </w:r>
    </w:p>
    <w:p>
      <w:pPr>
        <w:keepNext w:val="0"/>
        <w:keepLines w:val="0"/>
        <w:pageBreakBefore w:val="0"/>
        <w:numPr>
          <w:ilvl w:val="0"/>
          <w:numId w:val="0"/>
        </w:numPr>
        <w:tabs>
          <w:tab w:val="left" w:pos="684"/>
        </w:tabs>
        <w:kinsoku/>
        <w:overflowPunct w:val="0"/>
        <w:topLinePunct w:val="0"/>
        <w:bidi w:val="0"/>
        <w:spacing w:beforeLines="0" w:afterLines="0" w:line="400" w:lineRule="exact"/>
        <w:ind w:left="420" w:leftChars="0" w:right="14" w:rightChars="0"/>
        <w:jc w:val="left"/>
        <w:rPr>
          <w:rFonts w:hint="eastAsia" w:ascii="宋体" w:hAnsi="宋体" w:eastAsia="宋体" w:cs="宋体"/>
          <w:sz w:val="21"/>
          <w:szCs w:val="21"/>
        </w:rPr>
      </w:pPr>
      <w:r>
        <w:rPr>
          <w:rFonts w:hint="eastAsia" w:ascii="宋体" w:hAnsi="宋体" w:eastAsia="宋体" w:cs="宋体"/>
          <w:sz w:val="21"/>
          <w:szCs w:val="21"/>
        </w:rPr>
        <w:t>（1）中标通知书；</w:t>
      </w:r>
    </w:p>
    <w:p>
      <w:pPr>
        <w:keepNext w:val="0"/>
        <w:keepLines w:val="0"/>
        <w:pageBreakBefore w:val="0"/>
        <w:numPr>
          <w:ilvl w:val="0"/>
          <w:numId w:val="0"/>
        </w:numPr>
        <w:tabs>
          <w:tab w:val="left" w:pos="684"/>
        </w:tabs>
        <w:kinsoku/>
        <w:overflowPunct w:val="0"/>
        <w:topLinePunct w:val="0"/>
        <w:bidi w:val="0"/>
        <w:spacing w:beforeLines="0" w:afterLines="0" w:line="400" w:lineRule="exact"/>
        <w:ind w:left="420" w:leftChars="200" w:right="4300" w:rightChars="0" w:firstLine="0" w:firstLineChars="0"/>
        <w:jc w:val="left"/>
        <w:rPr>
          <w:rFonts w:hint="eastAsia" w:ascii="宋体" w:hAnsi="宋体" w:eastAsia="宋体" w:cs="宋体"/>
          <w:sz w:val="21"/>
          <w:szCs w:val="21"/>
        </w:rPr>
      </w:pPr>
      <w:r>
        <w:rPr>
          <w:rFonts w:hint="eastAsia" w:ascii="宋体" w:hAnsi="宋体" w:eastAsia="宋体" w:cs="宋体"/>
          <w:sz w:val="21"/>
          <w:szCs w:val="21"/>
        </w:rPr>
        <w:t>（2）投标函；</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（3）商务和技术偏</w:t>
      </w:r>
      <w:r>
        <w:rPr>
          <w:rFonts w:hint="eastAsia" w:ascii="宋体" w:hAnsi="宋体" w:eastAsia="宋体" w:cs="宋体"/>
          <w:sz w:val="21"/>
          <w:szCs w:val="21"/>
          <w:lang w:eastAsia="zh-CN"/>
        </w:rPr>
        <w:t>差</w:t>
      </w:r>
      <w:r>
        <w:rPr>
          <w:rFonts w:hint="eastAsia" w:ascii="宋体" w:hAnsi="宋体" w:eastAsia="宋体" w:cs="宋体"/>
          <w:sz w:val="21"/>
          <w:szCs w:val="21"/>
        </w:rPr>
        <w:t>表；</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（4）专用合同条款；</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（5）通用合同条款；</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（6）供货要求；</w:t>
      </w:r>
    </w:p>
    <w:p>
      <w:pPr>
        <w:keepNext w:val="0"/>
        <w:keepLines w:val="0"/>
        <w:pageBreakBefore w:val="0"/>
        <w:kinsoku/>
        <w:overflowPunct w:val="0"/>
        <w:topLinePunct w:val="0"/>
        <w:bidi w:val="0"/>
        <w:spacing w:beforeLines="0" w:afterLines="0" w:line="400" w:lineRule="exact"/>
        <w:ind w:left="420" w:right="14" w:rightChars="0"/>
        <w:jc w:val="left"/>
        <w:rPr>
          <w:rFonts w:hint="eastAsia" w:ascii="宋体" w:hAnsi="宋体" w:eastAsia="宋体" w:cs="宋体"/>
          <w:sz w:val="21"/>
          <w:szCs w:val="21"/>
        </w:rPr>
      </w:pPr>
      <w:r>
        <w:rPr>
          <w:rFonts w:hint="eastAsia" w:ascii="宋体" w:hAnsi="宋体" w:eastAsia="宋体" w:cs="宋体"/>
          <w:sz w:val="21"/>
          <w:szCs w:val="21"/>
        </w:rPr>
        <w:t>（7）分项报价表；</w:t>
      </w:r>
    </w:p>
    <w:p>
      <w:pPr>
        <w:keepNext w:val="0"/>
        <w:keepLines w:val="0"/>
        <w:pageBreakBefore w:val="0"/>
        <w:kinsoku/>
        <w:overflowPunct w:val="0"/>
        <w:topLinePunct w:val="0"/>
        <w:bidi w:val="0"/>
        <w:spacing w:beforeLines="0" w:afterLines="0" w:line="400" w:lineRule="exact"/>
        <w:ind w:left="420" w:right="4460"/>
        <w:jc w:val="left"/>
        <w:rPr>
          <w:rFonts w:hint="eastAsia" w:ascii="宋体" w:hAnsi="宋体" w:eastAsia="宋体" w:cs="宋体"/>
          <w:sz w:val="21"/>
          <w:szCs w:val="21"/>
        </w:rPr>
      </w:pPr>
      <w:r>
        <w:rPr>
          <w:rFonts w:hint="eastAsia" w:ascii="宋体" w:hAnsi="宋体" w:eastAsia="宋体" w:cs="宋体"/>
          <w:sz w:val="21"/>
          <w:szCs w:val="21"/>
        </w:rPr>
        <w:t>（8）中标设备技术性能指标的详细述；（9）技术服务和质保期服务计划；</w:t>
      </w:r>
    </w:p>
    <w:p>
      <w:pPr>
        <w:keepNext w:val="0"/>
        <w:keepLines w:val="0"/>
        <w:pageBreakBefore w:val="0"/>
        <w:kinsoku/>
        <w:overflowPunct w:val="0"/>
        <w:topLinePunct w:val="0"/>
        <w:bidi w:val="0"/>
        <w:spacing w:beforeLines="0" w:afterLines="0" w:line="400" w:lineRule="exact"/>
        <w:ind w:left="420" w:right="4460"/>
        <w:jc w:val="left"/>
        <w:rPr>
          <w:rFonts w:hint="eastAsia" w:ascii="宋体" w:hAnsi="宋体" w:eastAsia="宋体" w:cs="宋体"/>
          <w:sz w:val="21"/>
          <w:szCs w:val="21"/>
        </w:rPr>
      </w:pPr>
      <w:r>
        <w:rPr>
          <w:rFonts w:hint="eastAsia" w:ascii="宋体" w:hAnsi="宋体" w:eastAsia="宋体" w:cs="宋体"/>
          <w:sz w:val="21"/>
          <w:szCs w:val="21"/>
        </w:rPr>
        <w:t>（10）其他合同文件。</w:t>
      </w:r>
    </w:p>
    <w:p>
      <w:pPr>
        <w:keepNext w:val="0"/>
        <w:keepLines w:val="0"/>
        <w:pageBreakBefore w:val="0"/>
        <w:widowControl/>
        <w:numPr>
          <w:ilvl w:val="0"/>
          <w:numId w:val="86"/>
        </w:numPr>
        <w:tabs>
          <w:tab w:val="left" w:pos="684"/>
          <w:tab w:val="clear" w:pos="720"/>
        </w:tabs>
        <w:kinsoku/>
        <w:wordWrap/>
        <w:overflowPunct w:val="0"/>
        <w:topLinePunct w:val="0"/>
        <w:autoSpaceDE/>
        <w:autoSpaceDN/>
        <w:bidi w:val="0"/>
        <w:snapToGrid/>
        <w:spacing w:beforeLines="0" w:afterLines="0" w:line="400" w:lineRule="exact"/>
        <w:ind w:left="0" w:right="120" w:firstLine="420"/>
        <w:outlineLvl w:val="9"/>
        <w:rPr>
          <w:rFonts w:hint="eastAsia"/>
        </w:rPr>
      </w:pPr>
      <w:r>
        <w:rPr>
          <w:rFonts w:hint="eastAsia" w:ascii="宋体" w:hAnsi="宋体" w:eastAsia="宋体" w:cs="宋体"/>
          <w:sz w:val="21"/>
          <w:szCs w:val="21"/>
        </w:rPr>
        <w:t>上述合同文件互相补充和解释。如果合同文件之间存在矛盾或不一致之处，以上述文件的排列顺序在先者为准。</w:t>
      </w:r>
    </w:p>
    <w:p>
      <w:pPr>
        <w:pStyle w:val="2"/>
        <w:keepNext w:val="0"/>
        <w:keepLines w:val="0"/>
        <w:pageBreakBefore w:val="0"/>
        <w:widowControl/>
        <w:kinsoku/>
        <w:wordWrap/>
        <w:topLinePunct w:val="0"/>
        <w:autoSpaceDE/>
        <w:autoSpaceDN/>
        <w:bidi w:val="0"/>
        <w:snapToGrid/>
        <w:spacing w:line="400" w:lineRule="exact"/>
        <w:ind w:left="0" w:leftChars="0" w:firstLine="420" w:firstLineChars="200"/>
        <w:outlineLvl w:val="9"/>
        <w:rPr>
          <w:rFonts w:hint="eastAsia"/>
        </w:rPr>
      </w:pPr>
      <w:r>
        <w:rPr>
          <w:rFonts w:hint="eastAsia" w:ascii="宋体" w:hAnsi="宋体" w:eastAsia="宋体" w:cs="宋体"/>
          <w:sz w:val="21"/>
          <w:szCs w:val="21"/>
        </w:rPr>
        <w:t>3. 签约合同价：人民币（大写）</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w:t>
      </w:r>
    </w:p>
    <w:p>
      <w:pPr>
        <w:keepNext w:val="0"/>
        <w:keepLines w:val="0"/>
        <w:pageBreakBefore w:val="0"/>
        <w:widowControl/>
        <w:numPr>
          <w:ilvl w:val="0"/>
          <w:numId w:val="87"/>
        </w:numPr>
        <w:tabs>
          <w:tab w:val="left" w:pos="680"/>
          <w:tab w:val="clear" w:pos="720"/>
        </w:tabs>
        <w:kinsoku/>
        <w:wordWrap/>
        <w:overflowPunct w:val="0"/>
        <w:topLinePunct w:val="0"/>
        <w:autoSpaceDE/>
        <w:autoSpaceDN/>
        <w:bidi w:val="0"/>
        <w:snapToGrid/>
        <w:spacing w:beforeLines="0" w:afterLines="0" w:line="400" w:lineRule="exact"/>
        <w:ind w:left="680" w:hanging="260"/>
        <w:outlineLvl w:val="9"/>
        <w:rPr>
          <w:rFonts w:hint="eastAsia" w:ascii="宋体" w:hAnsi="宋体" w:eastAsia="宋体" w:cs="宋体"/>
          <w:sz w:val="21"/>
          <w:szCs w:val="21"/>
        </w:rPr>
      </w:pPr>
      <w:r>
        <w:rPr>
          <w:rFonts w:hint="eastAsia" w:ascii="宋体" w:hAnsi="宋体" w:eastAsia="宋体" w:cs="宋体"/>
          <w:sz w:val="21"/>
          <w:szCs w:val="21"/>
        </w:rPr>
        <w:t>卖方承诺保证完全按照合同约定提供合同设备和技术服务和质保期服务并修补缺陷。</w:t>
      </w:r>
    </w:p>
    <w:p>
      <w:pPr>
        <w:keepNext w:val="0"/>
        <w:keepLines w:val="0"/>
        <w:pageBreakBefore w:val="0"/>
        <w:widowControl/>
        <w:numPr>
          <w:ilvl w:val="0"/>
          <w:numId w:val="87"/>
        </w:numPr>
        <w:tabs>
          <w:tab w:val="left" w:pos="680"/>
          <w:tab w:val="clear" w:pos="720"/>
        </w:tabs>
        <w:kinsoku/>
        <w:wordWrap/>
        <w:overflowPunct w:val="0"/>
        <w:topLinePunct w:val="0"/>
        <w:autoSpaceDE/>
        <w:autoSpaceDN/>
        <w:bidi w:val="0"/>
        <w:snapToGrid/>
        <w:spacing w:beforeLines="0" w:afterLines="0" w:line="400" w:lineRule="exact"/>
        <w:ind w:left="680" w:hanging="260"/>
        <w:outlineLvl w:val="9"/>
        <w:rPr>
          <w:rFonts w:hint="eastAsia" w:ascii="宋体" w:hAnsi="宋体" w:eastAsia="宋体" w:cs="宋体"/>
          <w:sz w:val="21"/>
          <w:szCs w:val="21"/>
        </w:rPr>
      </w:pPr>
      <w:r>
        <w:rPr>
          <w:rFonts w:hint="eastAsia" w:ascii="宋体" w:hAnsi="宋体" w:eastAsia="宋体" w:cs="宋体"/>
          <w:sz w:val="21"/>
          <w:szCs w:val="21"/>
        </w:rPr>
        <w:t>买方承诺保证按照合同约定的条件、时间和方式向卖方支付合同价款。</w:t>
      </w:r>
    </w:p>
    <w:p>
      <w:pPr>
        <w:pStyle w:val="2"/>
        <w:keepNext w:val="0"/>
        <w:keepLines w:val="0"/>
        <w:pageBreakBefore w:val="0"/>
        <w:widowControl/>
        <w:numPr>
          <w:ilvl w:val="0"/>
          <w:numId w:val="87"/>
        </w:numPr>
        <w:kinsoku/>
        <w:wordWrap/>
        <w:topLinePunct w:val="0"/>
        <w:autoSpaceDE/>
        <w:autoSpaceDN/>
        <w:bidi w:val="0"/>
        <w:snapToGrid/>
        <w:spacing w:line="400" w:lineRule="exact"/>
        <w:ind w:left="680" w:leftChars="0" w:hanging="260" w:firstLineChars="0"/>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本合同协议书一式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份，合同双方各持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份。     </w:t>
      </w:r>
    </w:p>
    <w:p>
      <w:pPr>
        <w:pStyle w:val="2"/>
        <w:keepNext w:val="0"/>
        <w:keepLines w:val="0"/>
        <w:pageBreakBefore w:val="0"/>
        <w:widowControl/>
        <w:numPr>
          <w:ilvl w:val="0"/>
          <w:numId w:val="87"/>
        </w:numPr>
        <w:kinsoku/>
        <w:wordWrap/>
        <w:topLinePunct w:val="0"/>
        <w:autoSpaceDE/>
        <w:autoSpaceDN/>
        <w:bidi w:val="0"/>
        <w:snapToGrid/>
        <w:spacing w:line="400" w:lineRule="exact"/>
        <w:ind w:left="680" w:leftChars="0" w:hanging="260" w:firstLineChars="0"/>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rPr>
        <w:t>合同未尽事宜，双方另行签订补充协议，补充协议是合同的组成部分。</w:t>
      </w:r>
    </w:p>
    <w:p>
      <w:pPr>
        <w:keepNext w:val="0"/>
        <w:keepLines w:val="0"/>
        <w:pageBreakBefore w:val="0"/>
        <w:tabs>
          <w:tab w:val="left" w:pos="4820"/>
        </w:tabs>
        <w:kinsoku/>
        <w:topLinePunct w:val="0"/>
        <w:bidi w:val="0"/>
        <w:spacing w:beforeLines="0" w:afterLines="0" w:line="400" w:lineRule="exact"/>
        <w:ind w:firstLine="2310" w:firstLineChars="1100"/>
        <w:jc w:val="left"/>
        <w:rPr>
          <w:rFonts w:hint="eastAsia" w:ascii="宋体" w:hAnsi="宋体" w:eastAsia="宋体" w:cs="宋体"/>
          <w:sz w:val="21"/>
          <w:szCs w:val="21"/>
        </w:rPr>
      </w:pPr>
      <w:r>
        <w:rPr>
          <w:rFonts w:hint="eastAsia" w:ascii="宋体" w:hAnsi="宋体" w:eastAsia="宋体" w:cs="宋体"/>
          <w:sz w:val="21"/>
          <w:szCs w:val="21"/>
        </w:rPr>
        <w:t>卖方：</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（盖单位章）</w:t>
      </w:r>
      <w:bookmarkStart w:id="38" w:name="page69"/>
      <w:bookmarkEnd w:id="38"/>
    </w:p>
    <w:p>
      <w:pPr>
        <w:keepNext w:val="0"/>
        <w:keepLines w:val="0"/>
        <w:pageBreakBefore w:val="0"/>
        <w:tabs>
          <w:tab w:val="left" w:pos="5240"/>
        </w:tabs>
        <w:kinsoku/>
        <w:topLinePunct w:val="0"/>
        <w:bidi w:val="0"/>
        <w:spacing w:beforeLines="0" w:afterLines="0" w:line="400" w:lineRule="exact"/>
        <w:ind w:firstLine="2310" w:firstLineChars="1100"/>
        <w:jc w:val="left"/>
        <w:rPr>
          <w:rFonts w:hint="eastAsia" w:ascii="宋体" w:hAnsi="宋体" w:eastAsia="宋体" w:cs="宋体"/>
          <w:sz w:val="21"/>
          <w:szCs w:val="21"/>
        </w:rPr>
      </w:pPr>
      <w:r>
        <w:rPr>
          <w:rFonts w:hint="eastAsia" w:ascii="宋体" w:hAnsi="宋体" w:eastAsia="宋体" w:cs="宋体"/>
          <w:sz w:val="21"/>
          <w:szCs w:val="21"/>
        </w:rPr>
        <w:t>法定代表人（单位负责人）或其委托代理人：</w:t>
      </w:r>
      <w:r>
        <w:rPr>
          <w:rFonts w:hint="eastAsia" w:ascii="宋体" w:hAnsi="宋体" w:eastAsia="宋体" w:cs="宋体"/>
          <w:sz w:val="21"/>
          <w:szCs w:val="21"/>
          <w:u w:val="single"/>
        </w:rPr>
        <w:tab/>
      </w:r>
      <w:r>
        <w:rPr>
          <w:rFonts w:hint="eastAsia" w:ascii="宋体" w:hAnsi="宋体" w:eastAsia="宋体" w:cs="宋体"/>
          <w:sz w:val="21"/>
          <w:szCs w:val="21"/>
        </w:rPr>
        <w:t>（签字）</w:t>
      </w:r>
    </w:p>
    <w:p>
      <w:pPr>
        <w:keepNext w:val="0"/>
        <w:keepLines w:val="0"/>
        <w:pageBreakBefore w:val="0"/>
        <w:tabs>
          <w:tab w:val="left" w:pos="3760"/>
          <w:tab w:val="left" w:pos="4700"/>
        </w:tabs>
        <w:kinsoku/>
        <w:topLinePunct w:val="0"/>
        <w:bidi w:val="0"/>
        <w:spacing w:beforeLines="0" w:afterLines="0" w:line="400" w:lineRule="exact"/>
        <w:ind w:firstLine="4410" w:firstLineChars="2100"/>
        <w:jc w:val="left"/>
        <w:rPr>
          <w:rFonts w:hint="eastAsia" w:ascii="宋体" w:hAnsi="宋体" w:eastAsia="宋体" w:cs="宋体"/>
          <w:sz w:val="21"/>
          <w:szCs w:val="21"/>
        </w:rPr>
      </w:pP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日</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ind w:left="140"/>
        <w:jc w:val="left"/>
        <w:rPr>
          <w:rFonts w:hint="default"/>
          <w:sz w:val="28"/>
          <w:szCs w:val="28"/>
        </w:rPr>
      </w:pPr>
      <w:r>
        <w:rPr>
          <w:rFonts w:hint="eastAsia" w:ascii="宋体" w:hAnsi="宋体"/>
          <w:sz w:val="28"/>
          <w:szCs w:val="28"/>
        </w:rPr>
        <w:t>附件二：履约保证金格式</w:t>
      </w: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如采用银行保函，格式如下。</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620"/>
        <w:jc w:val="left"/>
        <w:rPr>
          <w:rFonts w:hint="default"/>
          <w:sz w:val="28"/>
          <w:szCs w:val="28"/>
        </w:rPr>
      </w:pPr>
      <w:r>
        <w:rPr>
          <w:rFonts w:hint="eastAsia" w:ascii="宋体" w:hAnsi="宋体"/>
          <w:sz w:val="28"/>
          <w:szCs w:val="28"/>
        </w:rPr>
        <w:t>履约保证金</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（买方名称）：</w:t>
      </w:r>
    </w:p>
    <w:p>
      <w:pPr>
        <w:keepNext w:val="0"/>
        <w:keepLines w:val="0"/>
        <w:pageBreakBefore w:val="0"/>
        <w:tabs>
          <w:tab w:val="left" w:pos="7460"/>
          <w:tab w:val="left" w:pos="8420"/>
        </w:tabs>
        <w:kinsoku/>
        <w:topLinePunct w:val="0"/>
        <w:bidi w:val="0"/>
        <w:spacing w:beforeLines="0" w:afterLines="0" w:line="400" w:lineRule="exact"/>
        <w:ind w:left="0" w:leftChars="0" w:firstLine="212" w:firstLineChars="101"/>
        <w:jc w:val="left"/>
        <w:rPr>
          <w:rFonts w:hint="eastAsia" w:ascii="宋体" w:hAnsi="宋体" w:eastAsia="宋体" w:cs="宋体"/>
          <w:sz w:val="21"/>
          <w:szCs w:val="21"/>
          <w:u w:val="none"/>
          <w:lang w:val="en-US" w:eastAsia="zh-CN"/>
        </w:rPr>
      </w:pPr>
      <w:r>
        <w:rPr>
          <w:rFonts w:hint="eastAsia" w:ascii="宋体" w:hAnsi="宋体" w:eastAsia="宋体" w:cs="宋体"/>
          <w:sz w:val="21"/>
          <w:szCs w:val="21"/>
        </w:rPr>
        <w:t>鉴于（买方名称，以下简称“买方”）接受（卖方名称，以下称“卖方”）于</w:t>
      </w:r>
      <w:r>
        <w:rPr>
          <w:rFonts w:hint="eastAsia" w:ascii="宋体" w:hAnsi="宋体" w:eastAsia="宋体" w:cs="宋体"/>
          <w:sz w:val="21"/>
          <w:szCs w:val="21"/>
          <w:u w:val="single"/>
        </w:rPr>
        <w:tab/>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eastAsia="zh-CN"/>
        </w:rPr>
        <w:t>参加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（项目名称）设备采购招标项目的投标。我方愿意无条件地、不可撤销地就卖方履行与你方订立的合同，向你方提供担保。</w:t>
      </w:r>
    </w:p>
    <w:p>
      <w:pPr>
        <w:pStyle w:val="2"/>
        <w:keepNext w:val="0"/>
        <w:keepLines w:val="0"/>
        <w:pageBreakBefore w:val="0"/>
        <w:kinsoku/>
        <w:topLinePunct w:val="0"/>
        <w:bidi w:val="0"/>
        <w:spacing w:line="400" w:lineRule="exact"/>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1.担保金额人民币（大写）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w w:val="98"/>
          <w:sz w:val="21"/>
          <w:szCs w:val="21"/>
        </w:rPr>
        <w:t>（¥）</w:t>
      </w:r>
      <w:r>
        <w:rPr>
          <w:rFonts w:hint="eastAsia" w:ascii="宋体" w:hAnsi="宋体" w:eastAsia="宋体" w:cs="宋体"/>
          <w:sz w:val="21"/>
          <w:szCs w:val="21"/>
          <w:u w:val="single"/>
          <w:lang w:val="en-US" w:eastAsia="zh-CN"/>
        </w:rPr>
        <w:t xml:space="preserve">          </w:t>
      </w:r>
    </w:p>
    <w:p>
      <w:pPr>
        <w:keepNext w:val="0"/>
        <w:keepLines w:val="0"/>
        <w:pageBreakBefore w:val="0"/>
        <w:numPr>
          <w:ilvl w:val="0"/>
          <w:numId w:val="88"/>
        </w:numPr>
        <w:tabs>
          <w:tab w:val="left" w:pos="684"/>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eastAsia="宋体" w:cs="宋体"/>
          <w:sz w:val="21"/>
          <w:szCs w:val="21"/>
        </w:rPr>
        <w:t>担保有效期自买方与卖方签订的合同生效之日起至合同设备验收证书或验收款支付函签署之日起 28 日后失效。</w:t>
      </w:r>
    </w:p>
    <w:p>
      <w:pPr>
        <w:keepNext w:val="0"/>
        <w:keepLines w:val="0"/>
        <w:pageBreakBefore w:val="0"/>
        <w:numPr>
          <w:ilvl w:val="0"/>
          <w:numId w:val="88"/>
        </w:numPr>
        <w:tabs>
          <w:tab w:val="left" w:pos="684"/>
          <w:tab w:val="clear" w:pos="720"/>
        </w:tabs>
        <w:kinsoku/>
        <w:overflowPunct w:val="0"/>
        <w:topLinePunct w:val="0"/>
        <w:bidi w:val="0"/>
        <w:spacing w:beforeLines="0" w:afterLines="0" w:line="400" w:lineRule="exact"/>
        <w:ind w:left="0" w:right="100" w:firstLine="420"/>
        <w:rPr>
          <w:rFonts w:hint="default" w:ascii="Times New Roman" w:hAnsi="Times New Roman" w:eastAsia="Times New Roman"/>
          <w:sz w:val="21"/>
        </w:rPr>
      </w:pPr>
      <w:r>
        <w:rPr>
          <w:rFonts w:hint="eastAsia" w:ascii="宋体" w:hAnsi="宋体"/>
          <w:sz w:val="21"/>
        </w:rPr>
        <w:t xml:space="preserve">在本担保有效期内，如果卖方不履行合同约定的义务或其履行不符合合同的约定，我方在收到你方以书面形式提出的在担保金额内的赔偿要求后，在 </w:t>
      </w:r>
      <w:r>
        <w:rPr>
          <w:rFonts w:hint="default" w:ascii="Times New Roman" w:hAnsi="Times New Roman" w:eastAsia="Times New Roman"/>
          <w:sz w:val="21"/>
        </w:rPr>
        <w:t>7</w:t>
      </w:r>
      <w:r>
        <w:rPr>
          <w:rFonts w:hint="eastAsia" w:ascii="宋体" w:hAnsi="宋体"/>
          <w:sz w:val="21"/>
        </w:rPr>
        <w:t xml:space="preserve"> 日内无条件支付。</w:t>
      </w:r>
    </w:p>
    <w:p>
      <w:pPr>
        <w:keepNext w:val="0"/>
        <w:keepLines w:val="0"/>
        <w:pageBreakBefore w:val="0"/>
        <w:numPr>
          <w:ilvl w:val="0"/>
          <w:numId w:val="88"/>
        </w:numPr>
        <w:tabs>
          <w:tab w:val="clear" w:pos="720"/>
        </w:tabs>
        <w:kinsoku/>
        <w:overflowPunct w:val="0"/>
        <w:topLinePunct w:val="0"/>
        <w:bidi w:val="0"/>
        <w:spacing w:beforeLines="0" w:afterLines="0" w:line="400" w:lineRule="exact"/>
        <w:ind w:left="0" w:leftChars="0" w:firstLine="420" w:firstLineChars="0"/>
        <w:rPr>
          <w:rFonts w:hint="default" w:ascii="Times New Roman" w:hAnsi="Times New Roman" w:eastAsia="Times New Roman"/>
          <w:sz w:val="21"/>
        </w:rPr>
      </w:pPr>
      <w:r>
        <w:rPr>
          <w:rFonts w:hint="eastAsia" w:ascii="宋体" w:hAnsi="宋体"/>
          <w:sz w:val="21"/>
        </w:rPr>
        <w:t>买方和卖方变更合同时，无论我方是否收到该变更，我方承担本担保规定的义务不变。</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eastAsia" w:ascii="宋体" w:hAnsi="宋体"/>
          <w:w w:val="98"/>
          <w:sz w:val="21"/>
        </w:rPr>
      </w:pPr>
      <w:r>
        <w:rPr>
          <w:rFonts w:hint="eastAsia"/>
          <w:sz w:val="24"/>
          <w:lang w:val="en-US" w:eastAsia="zh-CN"/>
        </w:rPr>
        <w:t xml:space="preserve">                                      担保人名称：</w:t>
      </w:r>
      <w:r>
        <w:rPr>
          <w:rFonts w:hint="eastAsia"/>
          <w:sz w:val="24"/>
          <w:u w:val="single"/>
          <w:lang w:val="en-US" w:eastAsia="zh-CN"/>
        </w:rPr>
        <w:t xml:space="preserve">                                      </w:t>
      </w:r>
      <w:r>
        <w:rPr>
          <w:rFonts w:hint="eastAsia" w:ascii="宋体" w:hAnsi="宋体"/>
          <w:sz w:val="21"/>
        </w:rPr>
        <w:t>（盖单位章）</w:t>
      </w:r>
    </w:p>
    <w:p>
      <w:pPr>
        <w:pStyle w:val="2"/>
        <w:keepNext w:val="0"/>
        <w:keepLines w:val="0"/>
        <w:pageBreakBefore w:val="0"/>
        <w:kinsoku/>
        <w:topLinePunct w:val="0"/>
        <w:bidi w:val="0"/>
        <w:spacing w:line="400" w:lineRule="exact"/>
        <w:rPr>
          <w:rFonts w:hint="eastAsia" w:ascii="宋体" w:hAnsi="宋体"/>
          <w:sz w:val="21"/>
        </w:rPr>
      </w:pPr>
      <w:r>
        <w:rPr>
          <w:rFonts w:hint="eastAsia"/>
          <w:lang w:val="en-US" w:eastAsia="zh-CN"/>
        </w:rPr>
        <w:t xml:space="preserve">                                  </w:t>
      </w:r>
      <w:r>
        <w:rPr>
          <w:rFonts w:hint="eastAsia" w:ascii="宋体" w:hAnsi="宋体"/>
          <w:sz w:val="21"/>
        </w:rPr>
        <w:t>法定代表人（单位负责人）或其委托代理人</w:t>
      </w:r>
      <w:r>
        <w:rPr>
          <w:rFonts w:hint="eastAsia" w:ascii="宋体" w:hAnsi="宋体"/>
          <w:sz w:val="21"/>
          <w:lang w:eastAsia="zh-CN"/>
        </w:rPr>
        <w:t>：</w:t>
      </w:r>
      <w:r>
        <w:rPr>
          <w:rFonts w:hint="eastAsia" w:ascii="宋体" w:hAnsi="宋体"/>
          <w:sz w:val="21"/>
          <w:u w:val="single"/>
          <w:lang w:val="en-US" w:eastAsia="zh-CN"/>
        </w:rPr>
        <w:t xml:space="preserve">            </w:t>
      </w:r>
      <w:r>
        <w:rPr>
          <w:rFonts w:hint="eastAsia" w:ascii="宋体" w:hAnsi="宋体"/>
          <w:sz w:val="21"/>
        </w:rPr>
        <w:t>（签字）</w:t>
      </w:r>
    </w:p>
    <w:p>
      <w:pPr>
        <w:pStyle w:val="2"/>
        <w:keepNext w:val="0"/>
        <w:keepLines w:val="0"/>
        <w:pageBreakBefore w:val="0"/>
        <w:kinsoku/>
        <w:topLinePunct w:val="0"/>
        <w:bidi w:val="0"/>
        <w:spacing w:line="400" w:lineRule="exact"/>
        <w:rPr>
          <w:rFonts w:hint="eastAsia" w:ascii="宋体" w:hAnsi="宋体"/>
          <w:sz w:val="21"/>
          <w:u w:val="single"/>
          <w:lang w:val="en-US" w:eastAsia="zh-CN"/>
        </w:rPr>
      </w:pPr>
      <w:r>
        <w:rPr>
          <w:rFonts w:hint="eastAsia" w:ascii="宋体" w:hAnsi="宋体"/>
          <w:sz w:val="21"/>
          <w:lang w:val="en-US" w:eastAsia="zh-CN"/>
        </w:rPr>
        <w:t xml:space="preserve">                    地  址：</w:t>
      </w:r>
      <w:r>
        <w:rPr>
          <w:rFonts w:hint="eastAsia" w:ascii="宋体" w:hAnsi="宋体"/>
          <w:sz w:val="21"/>
          <w:u w:val="single"/>
          <w:lang w:val="en-US" w:eastAsia="zh-CN"/>
        </w:rPr>
        <w:t xml:space="preserve">                              </w:t>
      </w:r>
    </w:p>
    <w:p>
      <w:pPr>
        <w:pStyle w:val="2"/>
        <w:keepNext w:val="0"/>
        <w:keepLines w:val="0"/>
        <w:pageBreakBefore w:val="0"/>
        <w:kinsoku/>
        <w:topLinePunct w:val="0"/>
        <w:bidi w:val="0"/>
        <w:spacing w:line="400" w:lineRule="exact"/>
        <w:rPr>
          <w:rFonts w:hint="eastAsia" w:ascii="宋体" w:hAnsi="宋体"/>
          <w:sz w:val="21"/>
          <w:u w:val="single"/>
          <w:lang w:val="en-US" w:eastAsia="zh-CN"/>
        </w:rPr>
      </w:pPr>
      <w:r>
        <w:rPr>
          <w:rFonts w:hint="eastAsia" w:ascii="宋体" w:hAnsi="宋体"/>
          <w:sz w:val="21"/>
          <w:u w:val="none"/>
          <w:lang w:val="en-US" w:eastAsia="zh-CN"/>
        </w:rPr>
        <w:t xml:space="preserve">                    邮政编码：</w:t>
      </w:r>
      <w:r>
        <w:rPr>
          <w:rFonts w:hint="eastAsia" w:ascii="宋体" w:hAnsi="宋体"/>
          <w:sz w:val="21"/>
          <w:u w:val="single"/>
          <w:lang w:val="en-US" w:eastAsia="zh-CN"/>
        </w:rPr>
        <w:t xml:space="preserve">                            </w:t>
      </w:r>
    </w:p>
    <w:p>
      <w:pPr>
        <w:pStyle w:val="2"/>
        <w:keepNext w:val="0"/>
        <w:keepLines w:val="0"/>
        <w:pageBreakBefore w:val="0"/>
        <w:kinsoku/>
        <w:topLinePunct w:val="0"/>
        <w:bidi w:val="0"/>
        <w:spacing w:line="400" w:lineRule="exact"/>
        <w:rPr>
          <w:rFonts w:hint="eastAsia" w:ascii="宋体" w:hAnsi="宋体"/>
          <w:sz w:val="21"/>
          <w:u w:val="none"/>
          <w:lang w:val="en-US" w:eastAsia="zh-CN"/>
        </w:rPr>
      </w:pPr>
      <w:r>
        <w:rPr>
          <w:rFonts w:hint="eastAsia" w:ascii="宋体" w:hAnsi="宋体"/>
          <w:sz w:val="21"/>
          <w:u w:val="none"/>
          <w:lang w:val="en-US" w:eastAsia="zh-CN"/>
        </w:rPr>
        <w:t xml:space="preserve">                    电  话：</w:t>
      </w:r>
      <w:r>
        <w:rPr>
          <w:rFonts w:hint="eastAsia" w:ascii="宋体" w:hAnsi="宋体"/>
          <w:sz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7460"/>
          <w:tab w:val="left" w:pos="8420"/>
        </w:tabs>
        <w:kinsoku/>
        <w:topLinePunct w:val="0"/>
        <w:bidi w:val="0"/>
        <w:spacing w:beforeLines="0" w:afterLines="0" w:line="400" w:lineRule="exact"/>
        <w:ind w:left="6540"/>
        <w:jc w:val="left"/>
        <w:rPr>
          <w:rFonts w:hint="default"/>
          <w:sz w:val="24"/>
        </w:rPr>
      </w:pPr>
      <w:r>
        <w:rPr>
          <w:rFonts w:hint="eastAsia" w:ascii="宋体" w:hAnsi="宋体"/>
          <w:sz w:val="21"/>
        </w:rPr>
        <w:t>年</w:t>
      </w:r>
      <w:r>
        <w:rPr>
          <w:rFonts w:hint="default"/>
          <w:sz w:val="24"/>
        </w:rPr>
        <w:tab/>
      </w:r>
      <w:r>
        <w:rPr>
          <w:rFonts w:hint="eastAsia" w:ascii="宋体" w:hAnsi="宋体"/>
          <w:sz w:val="21"/>
        </w:rPr>
        <w:t>月</w:t>
      </w:r>
      <w:r>
        <w:rPr>
          <w:rFonts w:hint="default"/>
          <w:sz w:val="24"/>
        </w:rPr>
        <w:tab/>
      </w:r>
      <w:r>
        <w:rPr>
          <w:rFonts w:hint="eastAsia" w:ascii="宋体" w:hAnsi="宋体"/>
          <w:sz w:val="20"/>
        </w:rPr>
        <w:t>日</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40160" behindDoc="1" locked="0" layoutInCell="1" allowOverlap="1">
                <wp:simplePos x="0" y="0"/>
                <wp:positionH relativeFrom="column">
                  <wp:posOffset>3687445</wp:posOffset>
                </wp:positionH>
                <wp:positionV relativeFrom="paragraph">
                  <wp:posOffset>0</wp:posOffset>
                </wp:positionV>
                <wp:extent cx="467360" cy="0"/>
                <wp:effectExtent l="0" t="0" r="0" b="0"/>
                <wp:wrapNone/>
                <wp:docPr id="75" name="直线 82"/>
                <wp:cNvGraphicFramePr/>
                <a:graphic xmlns:a="http://schemas.openxmlformats.org/drawingml/2006/main">
                  <a:graphicData uri="http://schemas.microsoft.com/office/word/2010/wordprocessingShape">
                    <wps:wsp>
                      <wps:cNvCnPr/>
                      <wps:spPr>
                        <a:xfrm>
                          <a:off x="0" y="0"/>
                          <a:ext cx="46736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290.35pt;margin-top:0pt;height:0pt;width:36.8pt;z-index:-251576320;mso-width-relative:page;mso-height-relative:page;" filled="f" stroked="t" coordsize="21600,21600" o:gfxdata="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H9aLSAAAABQEAAA8AAAAAAAAAAQAgAAAAIgAAAGRycy9k&#10;b3ducmV2LnhtbFBLAQIUABQAAAAIAIdO4kDUf8pIzwEAAI4DAAAOAAAAAAAAAAEAIAAAACEBAABk&#10;cnMvZTJvRG9jLnhtbFBLBQYAAAAABgAGAFkBAABiBQ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41184" behindDoc="1" locked="0" layoutInCell="1" allowOverlap="1">
                <wp:simplePos x="0" y="0"/>
                <wp:positionH relativeFrom="column">
                  <wp:posOffset>4289425</wp:posOffset>
                </wp:positionH>
                <wp:positionV relativeFrom="paragraph">
                  <wp:posOffset>0</wp:posOffset>
                </wp:positionV>
                <wp:extent cx="466090" cy="0"/>
                <wp:effectExtent l="0" t="0" r="0" b="0"/>
                <wp:wrapNone/>
                <wp:docPr id="76" name="直线 83"/>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337.75pt;margin-top:0pt;height:0pt;width:36.7pt;z-index:-251575296;mso-width-relative:page;mso-height-relative:page;" filled="f" stroked="t" coordsize="21600,21600" o:gfxdata="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q6uZNIAAAAFAQAADwAAAAAAAAABACAAAAAiAAAAZHJzL2Rv&#10;d25yZXYueG1sUEsBAhQAFAAAAAgAh07iQFAL0kTOAQAAjgMAAA4AAAAAAAAAAQAgAAAAIQEAAGRy&#10;cy9lMm9Eb2MueG1sUEsFBgAAAAAGAAYAWQEAAGEFA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42208" behindDoc="1" locked="0" layoutInCell="1" allowOverlap="1">
                <wp:simplePos x="0" y="0"/>
                <wp:positionH relativeFrom="column">
                  <wp:posOffset>4888230</wp:posOffset>
                </wp:positionH>
                <wp:positionV relativeFrom="paragraph">
                  <wp:posOffset>0</wp:posOffset>
                </wp:positionV>
                <wp:extent cx="466725" cy="0"/>
                <wp:effectExtent l="0" t="0" r="0" b="0"/>
                <wp:wrapNone/>
                <wp:docPr id="77" name="直线 84"/>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384.9pt;margin-top:0pt;height:0pt;width:36.75pt;z-index:-251574272;mso-width-relative:page;mso-height-relative:page;" filled="f" stroked="t" coordsize="21600,21600" o:gfxdata="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zBDrtIAAAAFAQAADwAAAAAAAAABACAAAAAiAAAAZHJzL2Rv&#10;d25yZXYueG1sUEsBAhQAFAAAAAgAh07iQNHbz+3OAQAAjgMAAA4AAAAAAAAAAQAgAAAAIQEAAGRy&#10;cy9lMm9Eb2MueG1sUEsFBgAAAAAGAAYAWQEAAGEFAAAAAA==&#10;">
                <v:fill on="f" focussize="0,0"/>
                <v:stroke weight="0.47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keepNext w:val="0"/>
        <w:keepLines w:val="0"/>
        <w:pageBreakBefore w:val="0"/>
        <w:kinsoku/>
        <w:topLinePunct w:val="0"/>
        <w:bidi w:val="0"/>
        <w:spacing w:line="400" w:lineRule="exact"/>
        <w:ind w:left="0" w:leftChars="0" w:firstLine="0" w:firstLineChars="0"/>
        <w:rPr>
          <w:rFonts w:hint="default"/>
          <w:sz w:val="24"/>
        </w:rPr>
      </w:pPr>
    </w:p>
    <w:p>
      <w:pPr>
        <w:pStyle w:val="2"/>
        <w:ind w:left="0" w:leftChars="0" w:firstLine="0" w:firstLineChars="0"/>
        <w:rPr>
          <w:rFonts w:hint="eastAsia"/>
        </w:rPr>
      </w:pPr>
      <w:bookmarkStart w:id="39" w:name="page71"/>
      <w:bookmarkEnd w:id="39"/>
    </w:p>
    <w:p>
      <w:pPr>
        <w:keepNext w:val="0"/>
        <w:keepLines w:val="0"/>
        <w:pageBreakBefore w:val="0"/>
        <w:kinsoku/>
        <w:topLinePunct w:val="0"/>
        <w:bidi w:val="0"/>
        <w:spacing w:beforeLines="0" w:afterLines="0" w:line="240" w:lineRule="auto"/>
        <w:ind w:firstLine="2590" w:firstLineChars="600"/>
        <w:jc w:val="left"/>
        <w:rPr>
          <w:rFonts w:hint="eastAsia" w:ascii="宋体" w:hAnsi="宋体"/>
          <w:b/>
          <w:sz w:val="32"/>
        </w:rPr>
      </w:pPr>
      <w:r>
        <w:rPr>
          <w:rFonts w:hint="eastAsia" w:ascii="宋体" w:hAnsi="宋体"/>
          <w:b/>
          <w:sz w:val="43"/>
        </w:rPr>
        <w:t>第五章供货要求</w:t>
      </w:r>
    </w:p>
    <w:p>
      <w:pPr>
        <w:keepNext w:val="0"/>
        <w:keepLines w:val="0"/>
        <w:pageBreakBefore w:val="0"/>
        <w:kinsoku/>
        <w:topLinePunct w:val="0"/>
        <w:bidi w:val="0"/>
        <w:spacing w:beforeLines="0" w:afterLines="0" w:line="400" w:lineRule="exact"/>
        <w:ind w:left="3680"/>
        <w:jc w:val="left"/>
        <w:rPr>
          <w:rFonts w:hint="default"/>
          <w:sz w:val="24"/>
        </w:rPr>
      </w:pPr>
      <w:r>
        <w:rPr>
          <w:rFonts w:hint="eastAsia" w:ascii="宋体" w:hAnsi="宋体"/>
          <w:b/>
          <w:sz w:val="32"/>
        </w:rPr>
        <w:t>供货要求</w:t>
      </w:r>
    </w:p>
    <w:p>
      <w:pPr>
        <w:keepNext w:val="0"/>
        <w:keepLines w:val="0"/>
        <w:pageBreakBefore w:val="0"/>
        <w:numPr>
          <w:ilvl w:val="0"/>
          <w:numId w:val="89"/>
        </w:numPr>
        <w:kinsoku/>
        <w:topLinePunct w:val="0"/>
        <w:bidi w:val="0"/>
        <w:spacing w:beforeLines="0" w:afterLines="0" w:line="400" w:lineRule="exact"/>
        <w:jc w:val="left"/>
        <w:rPr>
          <w:rFonts w:hint="default"/>
        </w:rPr>
      </w:pPr>
      <w:r>
        <w:rPr>
          <w:rFonts w:hint="eastAsia" w:ascii="宋体" w:hAnsi="宋体"/>
          <w:sz w:val="28"/>
        </w:rPr>
        <w:t>项目概况及总体要求</w:t>
      </w:r>
    </w:p>
    <w:p>
      <w:pPr>
        <w:keepNext w:val="0"/>
        <w:keepLines w:val="0"/>
        <w:pageBreakBefore w:val="0"/>
        <w:numPr>
          <w:ilvl w:val="0"/>
          <w:numId w:val="90"/>
        </w:numPr>
        <w:kinsoku/>
        <w:topLinePunct w:val="0"/>
        <w:bidi w:val="0"/>
        <w:spacing w:beforeLines="0" w:afterLines="0" w:line="400" w:lineRule="exact"/>
        <w:ind w:left="6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项目编号：建安政采公〔2018〕1号</w:t>
      </w:r>
    </w:p>
    <w:p>
      <w:pPr>
        <w:pStyle w:val="2"/>
        <w:keepNext w:val="0"/>
        <w:keepLines w:val="0"/>
        <w:pageBreakBefore w:val="0"/>
        <w:widowControl/>
        <w:numPr>
          <w:ilvl w:val="0"/>
          <w:numId w:val="90"/>
        </w:numPr>
        <w:kinsoku/>
        <w:wordWrap/>
        <w:overflowPunct/>
        <w:topLinePunct w:val="0"/>
        <w:autoSpaceDE/>
        <w:autoSpaceDN/>
        <w:bidi w:val="0"/>
        <w:snapToGrid/>
        <w:spacing w:line="400" w:lineRule="exact"/>
        <w:ind w:left="60" w:leftChars="0" w:right="0" w:rightChars="0" w:firstLine="0" w:firstLineChars="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rPr>
        <w:t>项目名称：许昌瑞贝卡水业有限公司污水净化分公司污水处理三期工程设备</w:t>
      </w:r>
      <w:r>
        <w:rPr>
          <w:rFonts w:hint="eastAsia" w:ascii="宋体" w:hAnsi="宋体" w:eastAsia="宋体" w:cs="宋体"/>
          <w:sz w:val="21"/>
          <w:szCs w:val="21"/>
          <w:lang w:val="en-US" w:eastAsia="zh-CN"/>
        </w:rPr>
        <w:t>采购项目</w:t>
      </w:r>
    </w:p>
    <w:p>
      <w:pPr>
        <w:keepNext w:val="0"/>
        <w:keepLines w:val="0"/>
        <w:pageBreakBefore w:val="0"/>
        <w:widowControl/>
        <w:kinsoku/>
        <w:wordWrap/>
        <w:overflowPunct/>
        <w:topLinePunct w:val="0"/>
        <w:autoSpaceDE/>
        <w:autoSpaceDN/>
        <w:bidi w:val="0"/>
        <w:snapToGrid/>
        <w:spacing w:beforeLines="0" w:afterLines="0" w:line="400" w:lineRule="exact"/>
        <w:ind w:right="0" w:rightChars="0"/>
        <w:jc w:val="left"/>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）项目建设地点：</w:t>
      </w:r>
      <w:r>
        <w:rPr>
          <w:rFonts w:hint="eastAsia" w:ascii="宋体" w:hAnsi="宋体" w:eastAsia="宋体" w:cs="宋体"/>
          <w:sz w:val="21"/>
          <w:szCs w:val="21"/>
          <w:lang w:eastAsia="zh-CN"/>
        </w:rPr>
        <w:t>建安区学院南路路东、瑞贝卡大道路南、瑞贝卡水业有限公司污水净化分公司院内，已建成污水处理厂一、二期南侧。</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）规模</w:t>
      </w:r>
      <w:r>
        <w:rPr>
          <w:rFonts w:hint="eastAsia" w:ascii="宋体" w:hAnsi="宋体" w:eastAsia="宋体" w:cs="宋体"/>
          <w:sz w:val="21"/>
          <w:szCs w:val="21"/>
          <w:lang w:eastAsia="zh-CN"/>
        </w:rPr>
        <w:t>及内容</w:t>
      </w:r>
      <w:r>
        <w:rPr>
          <w:rFonts w:hint="eastAsia" w:ascii="宋体" w:hAnsi="宋体" w:eastAsia="宋体" w:cs="宋体"/>
          <w:sz w:val="21"/>
          <w:szCs w:val="21"/>
        </w:rPr>
        <w:t>：</w:t>
      </w:r>
      <w:r>
        <w:rPr>
          <w:rFonts w:hint="eastAsia" w:ascii="宋体" w:hAnsi="宋体" w:eastAsia="宋体" w:cs="宋体"/>
          <w:sz w:val="21"/>
          <w:szCs w:val="21"/>
          <w:lang w:eastAsia="zh-CN"/>
        </w:rPr>
        <w:t>污水处理三期工程设计规模为日处理水量</w:t>
      </w:r>
      <w:r>
        <w:rPr>
          <w:rFonts w:hint="eastAsia" w:ascii="宋体" w:hAnsi="宋体" w:eastAsia="宋体" w:cs="宋体"/>
          <w:sz w:val="21"/>
          <w:szCs w:val="21"/>
          <w:lang w:val="en-US" w:eastAsia="zh-CN"/>
        </w:rPr>
        <w:t>8万吨。采用A20工艺，砂滤、消毒的处理工艺。建设内容主要为建设曝气池，二沉池以及购置粗细格栅、提升泵、曝气设备、吸刮泥机、砂滤成套设备、加药设备、脱水机、电气设备、自控仪表等设备。</w:t>
      </w:r>
      <w:r>
        <w:rPr>
          <w:rFonts w:hint="eastAsia" w:ascii="宋体" w:hAnsi="宋体" w:eastAsia="宋体" w:cs="宋体"/>
          <w:sz w:val="21"/>
          <w:szCs w:val="21"/>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预算金额</w:t>
      </w:r>
      <w:r>
        <w:rPr>
          <w:rFonts w:hint="eastAsia" w:ascii="宋体" w:hAnsi="宋体" w:eastAsia="宋体" w:cs="宋体"/>
          <w:sz w:val="21"/>
          <w:szCs w:val="21"/>
        </w:rPr>
        <w:t>：</w:t>
      </w:r>
    </w:p>
    <w:tbl>
      <w:tblPr>
        <w:tblStyle w:val="20"/>
        <w:tblpPr w:leftFromText="180" w:rightFromText="180" w:vertAnchor="text" w:horzAnchor="page" w:tblpX="2947" w:tblpY="212"/>
        <w:tblOverlap w:val="never"/>
        <w:tblW w:w="7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409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5"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eastAsia="zh-CN"/>
              </w:rPr>
              <w:t>第三标段</w:t>
            </w:r>
          </w:p>
        </w:tc>
        <w:tc>
          <w:tcPr>
            <w:tcW w:w="4095"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磁悬浮风机系统</w:t>
            </w:r>
          </w:p>
        </w:tc>
        <w:tc>
          <w:tcPr>
            <w:tcW w:w="1778"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270万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5"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eastAsia="zh-CN"/>
              </w:rPr>
              <w:t>第四标段</w:t>
            </w:r>
          </w:p>
        </w:tc>
        <w:tc>
          <w:tcPr>
            <w:tcW w:w="4095"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泵类</w:t>
            </w:r>
          </w:p>
        </w:tc>
        <w:tc>
          <w:tcPr>
            <w:tcW w:w="1778"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160万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5"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eastAsia="zh-CN"/>
              </w:rPr>
              <w:t>第九标段</w:t>
            </w:r>
          </w:p>
        </w:tc>
        <w:tc>
          <w:tcPr>
            <w:tcW w:w="4095"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eastAsia="zh-CN"/>
              </w:rPr>
              <w:t>加药消毒系统</w:t>
            </w:r>
          </w:p>
        </w:tc>
        <w:tc>
          <w:tcPr>
            <w:tcW w:w="1778" w:type="dxa"/>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 w:val="0"/>
                <w:bCs/>
                <w:kern w:val="0"/>
                <w:sz w:val="21"/>
                <w:szCs w:val="21"/>
                <w:lang w:eastAsia="zh-CN"/>
              </w:rPr>
            </w:pPr>
            <w:r>
              <w:rPr>
                <w:rFonts w:hint="eastAsia" w:ascii="宋体" w:hAnsi="宋体" w:cs="宋体"/>
                <w:b w:val="0"/>
                <w:bCs/>
                <w:kern w:val="0"/>
                <w:sz w:val="21"/>
                <w:szCs w:val="21"/>
                <w:lang w:val="en-US" w:eastAsia="zh-CN"/>
              </w:rPr>
              <w:t>138</w:t>
            </w:r>
            <w:r>
              <w:rPr>
                <w:rFonts w:hint="eastAsia" w:ascii="宋体" w:hAnsi="宋体" w:eastAsia="宋体" w:cs="宋体"/>
                <w:b w:val="0"/>
                <w:bCs/>
                <w:kern w:val="0"/>
                <w:sz w:val="21"/>
                <w:szCs w:val="21"/>
                <w:lang w:val="en-US" w:eastAsia="zh-CN"/>
              </w:rPr>
              <w:t>万</w:t>
            </w:r>
          </w:p>
        </w:tc>
      </w:tr>
    </w:tbl>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sz w:val="21"/>
          <w:szCs w:val="21"/>
        </w:rPr>
      </w:pPr>
    </w:p>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）标段划分：本</w:t>
      </w:r>
      <w:r>
        <w:rPr>
          <w:rFonts w:hint="eastAsia" w:ascii="宋体" w:hAnsi="宋体" w:eastAsia="宋体" w:cs="宋体"/>
          <w:sz w:val="21"/>
          <w:szCs w:val="21"/>
          <w:lang w:eastAsia="zh-CN"/>
        </w:rPr>
        <w:t>项目</w:t>
      </w:r>
      <w:r>
        <w:rPr>
          <w:rFonts w:hint="eastAsia" w:ascii="宋体" w:hAnsi="宋体" w:eastAsia="宋体" w:cs="宋体"/>
          <w:sz w:val="21"/>
          <w:szCs w:val="21"/>
        </w:rPr>
        <w:t>共设</w:t>
      </w:r>
      <w:r>
        <w:rPr>
          <w:rFonts w:hint="eastAsia" w:ascii="宋体" w:hAnsi="宋体" w:eastAsia="宋体" w:cs="宋体"/>
          <w:sz w:val="21"/>
          <w:szCs w:val="21"/>
          <w:lang w:eastAsia="zh-CN"/>
        </w:rPr>
        <w:t>十一</w:t>
      </w:r>
      <w:r>
        <w:rPr>
          <w:rFonts w:hint="eastAsia" w:ascii="宋体" w:hAnsi="宋体" w:eastAsia="宋体" w:cs="宋体"/>
          <w:sz w:val="21"/>
          <w:szCs w:val="21"/>
        </w:rPr>
        <w:t>个标段</w:t>
      </w:r>
      <w:r>
        <w:rPr>
          <w:rFonts w:hint="eastAsia" w:ascii="宋体" w:hAnsi="宋体" w:cs="宋体"/>
          <w:sz w:val="21"/>
          <w:szCs w:val="21"/>
          <w:lang w:eastAsia="zh-CN"/>
        </w:rPr>
        <w:t>，</w:t>
      </w:r>
      <w:r>
        <w:rPr>
          <w:rFonts w:hint="eastAsia" w:ascii="宋体" w:hAnsi="宋体" w:cs="宋体"/>
          <w:sz w:val="24"/>
          <w:lang w:eastAsia="zh-CN"/>
        </w:rPr>
        <w:t>本次招标的为第</w:t>
      </w:r>
      <w:r>
        <w:rPr>
          <w:rFonts w:hint="eastAsia" w:ascii="宋体" w:hAnsi="宋体" w:cs="宋体"/>
          <w:sz w:val="24"/>
          <w:lang w:val="en-US" w:eastAsia="zh-CN"/>
        </w:rPr>
        <w:t>3、4、9标段</w:t>
      </w:r>
      <w:r>
        <w:rPr>
          <w:rFonts w:hint="eastAsia" w:ascii="宋体" w:hAnsi="宋体" w:eastAsia="宋体" w:cs="宋体"/>
          <w:sz w:val="21"/>
          <w:szCs w:val="21"/>
        </w:rPr>
        <w:t>；</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）供货期限：合同签订后60天内交货；</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eastAsia="zh-CN"/>
        </w:rPr>
        <w:t>交货地点：许昌瑞贝卡水业有限公司污水净化分公司</w:t>
      </w:r>
    </w:p>
    <w:p>
      <w:pPr>
        <w:pStyle w:val="13"/>
        <w:keepNext w:val="0"/>
        <w:keepLines w:val="0"/>
        <w:pageBreakBefore w:val="0"/>
        <w:numPr>
          <w:ilvl w:val="0"/>
          <w:numId w:val="0"/>
        </w:numPr>
        <w:shd w:val="clear" w:color="auto" w:fill="FFFFFF"/>
        <w:kinsoku/>
        <w:topLinePunct w:val="0"/>
        <w:bidi w:val="0"/>
        <w:spacing w:before="0" w:beforeAutospacing="0" w:after="0" w:afterAutospacing="0" w:line="40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zh-CN"/>
        </w:rPr>
        <w:t>（</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lang w:val="zh-CN"/>
        </w:rPr>
        <w:t>）投标人须明确产品的厂家、产地、品牌、型号、详细参数，</w:t>
      </w:r>
      <w:r>
        <w:rPr>
          <w:rFonts w:hint="eastAsia" w:ascii="宋体" w:hAnsi="宋体" w:eastAsia="宋体" w:cs="宋体"/>
          <w:b w:val="0"/>
          <w:bCs w:val="0"/>
          <w:sz w:val="21"/>
          <w:szCs w:val="21"/>
        </w:rPr>
        <w:t>否则为无效投标</w:t>
      </w:r>
      <w:r>
        <w:rPr>
          <w:rFonts w:hint="eastAsia" w:ascii="宋体" w:hAnsi="宋体" w:eastAsia="宋体" w:cs="宋体"/>
          <w:b w:val="0"/>
          <w:bCs w:val="0"/>
          <w:sz w:val="21"/>
          <w:szCs w:val="21"/>
          <w:lang w:eastAsia="zh-CN"/>
        </w:rPr>
        <w:t>。</w:t>
      </w:r>
    </w:p>
    <w:p>
      <w:pPr>
        <w:keepNext w:val="0"/>
        <w:keepLines w:val="0"/>
        <w:pageBreakBefore w:val="0"/>
        <w:numPr>
          <w:ilvl w:val="0"/>
          <w:numId w:val="89"/>
        </w:numPr>
        <w:kinsoku/>
        <w:topLinePunct w:val="0"/>
        <w:bidi w:val="0"/>
        <w:spacing w:beforeLines="0" w:afterLines="0" w:line="400" w:lineRule="exact"/>
        <w:ind w:left="0" w:leftChars="0" w:firstLine="0" w:firstLineChars="0"/>
        <w:jc w:val="left"/>
        <w:rPr>
          <w:rFonts w:hint="default"/>
        </w:rPr>
        <w:sectPr>
          <w:footerReference r:id="rId5" w:type="default"/>
          <w:pgSz w:w="12240" w:h="15840"/>
          <w:pgMar w:top="1440" w:right="1617" w:bottom="1440" w:left="1803" w:header="720" w:footer="720" w:gutter="0"/>
          <w:lnNumType w:countBy="0" w:distance="360"/>
          <w:pgNumType w:fmt="decimal"/>
          <w:cols w:space="425" w:num="1"/>
          <w:rtlGutter w:val="0"/>
          <w:docGrid w:linePitch="0" w:charSpace="0"/>
        </w:sectPr>
      </w:pPr>
      <w:r>
        <w:rPr>
          <w:rFonts w:hint="eastAsia" w:ascii="宋体" w:hAnsi="宋体"/>
          <w:sz w:val="28"/>
        </w:rPr>
        <w:t>设备需求一览表</w:t>
      </w:r>
    </w:p>
    <w:tbl>
      <w:tblPr>
        <w:tblStyle w:val="19"/>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1710"/>
        <w:gridCol w:w="1875"/>
        <w:gridCol w:w="810"/>
        <w:gridCol w:w="630"/>
        <w:gridCol w:w="3600"/>
        <w:gridCol w:w="189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4"/>
                <w:szCs w:val="24"/>
                <w:u w:val="none"/>
                <w:lang w:val="en-US" w:eastAsia="zh-CN" w:bidi="ar"/>
              </w:rPr>
              <w:t>第三标段：“磁悬浮风机系统”货物清单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设备编号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 格</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 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构筑物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BSW-CBL101/104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磁悬浮鼓风机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磁悬浮离心式鼓风机，风量130m3/min，风压0.075MPa，带进口过滤及消声器、渐扩管、膨胀节、电动放空阀、消音器、机罩等所有配套附件，变频调节风量</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3用1备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BSW-AFT101/102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自动卷绕式空气过滤器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L×W=1200×2000,额定风量Q=17000m3/h   空气过滤器控制箱安装在室内墙上，操作方式为手动按钮控制、根据过滤空气的压差自动控制和远方可编程控制器控制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鼓风机配套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BSW-NRV101/108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出口止回阀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DN350,PN10。法兰连接，双板旋启式；带对法兰，鼓风机配套供货</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3用1备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BSW-MFV201/204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手动蝶阀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DN350,PN10。法兰连接，双偏心结构；带对法兰，鼓风机配套供货</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3用1备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BSW-MFV101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手动蝶阀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台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DN600,PN10。法兰连接，双偏心结构；带对法兰，鼓风机配套供货</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BSW-CNV101/104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补偿接头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DN350，PN10，双法兰松套限位；带对法兰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鼓风机配套提供</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BLR-P-CFG101/104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出风管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DN350,L=4.5m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DN350,PN1.0MPa</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参03S402-91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BLR-P-CFG201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出风管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DN600,L=14m</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DN600,PN1.0MPa</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DN600～DN350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Q235 参03S402-88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DN600～DN600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90°弯头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BLR-P-JFG101～104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进风方管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750x750,L=2.17m</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BLR-P-FKG101～104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放空管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DN150,L=4.7m</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SS304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1150x1500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鼓风机房就地站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91"/>
              </w:numPr>
              <w:suppressLineNumbers w:val="0"/>
              <w:kinsoku/>
              <w:topLinePunct w:val="0"/>
              <w:bidi w:val="0"/>
              <w:spacing w:line="40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名称：就地控制站LCS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2.控制柜，PLC控制器，电源，控制设备，UPS,电源浪涌抑制器等安装，实现系统的本地/远程的手动控制及自动控制，实现与主控系统以太网通讯，实现数据交换。                    </w:t>
            </w:r>
          </w:p>
          <w:p>
            <w:pPr>
              <w:keepNext w:val="0"/>
              <w:keepLines w:val="0"/>
              <w:pageBreakBefore w:val="0"/>
              <w:widowControl/>
              <w:numPr>
                <w:ilvl w:val="0"/>
                <w:numId w:val="0"/>
              </w:numPr>
              <w:suppressLineNumbers w:val="0"/>
              <w:kinsoku/>
              <w:topLinePunct w:val="0"/>
              <w:bidi w:val="0"/>
              <w:spacing w:line="40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3.包含控制柜到设备的动力电缆、信号电缆及桥架、穿线管等辅材。</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5" w:hRule="atLeast"/>
        </w:trPr>
        <w:tc>
          <w:tcPr>
            <w:tcW w:w="13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sz w:val="20"/>
                <w:szCs w:val="20"/>
                <w:lang w:val="en-US" w:eastAsia="zh-CN"/>
              </w:rPr>
            </w:pPr>
            <w:r>
              <w:rPr>
                <w:rFonts w:hint="eastAsia"/>
                <w:lang w:val="en-US" w:eastAsia="zh-CN"/>
              </w:rPr>
              <w:t>说明：1、</w:t>
            </w:r>
            <w:r>
              <w:rPr>
                <w:rFonts w:hint="eastAsia"/>
                <w:sz w:val="20"/>
                <w:szCs w:val="20"/>
                <w:lang w:val="en-US" w:eastAsia="zh-CN"/>
              </w:rPr>
              <w:t>详细参数及供货范围请参照招标文件技术要求的相应内容 。</w:t>
            </w:r>
          </w:p>
          <w:p>
            <w:pPr>
              <w:pStyle w:val="2"/>
              <w:numPr>
                <w:ilvl w:val="0"/>
                <w:numId w:val="92"/>
              </w:numPr>
              <w:ind w:left="660" w:leftChars="0" w:firstLine="0" w:firstLineChars="0"/>
              <w:rPr>
                <w:rFonts w:hint="eastAsia" w:ascii="Times New Roman" w:hAnsi="Times New Roman" w:eastAsia="宋体" w:cs="Times New Roman"/>
                <w:kern w:val="2"/>
                <w:sz w:val="20"/>
                <w:szCs w:val="20"/>
                <w:lang w:val="en-US" w:eastAsia="zh-CN"/>
              </w:rPr>
            </w:pPr>
            <w:r>
              <w:rPr>
                <w:rFonts w:hint="eastAsia" w:ascii="Times New Roman" w:hAnsi="Times New Roman" w:eastAsia="宋体" w:cs="Times New Roman"/>
                <w:kern w:val="2"/>
                <w:sz w:val="20"/>
                <w:szCs w:val="20"/>
                <w:lang w:val="en-US" w:eastAsia="zh-CN"/>
              </w:rPr>
              <w:t>电气元器件均采用进口知名品牌。</w:t>
            </w:r>
          </w:p>
          <w:p>
            <w:pPr>
              <w:pStyle w:val="2"/>
              <w:numPr>
                <w:ilvl w:val="0"/>
                <w:numId w:val="92"/>
              </w:numPr>
              <w:ind w:left="660" w:leftChars="0" w:firstLine="0" w:firstLineChars="0"/>
              <w:rPr>
                <w:rFonts w:hint="eastAsia" w:ascii="Times New Roman" w:hAnsi="Times New Roman" w:eastAsia="宋体" w:cs="Times New Roman"/>
                <w:kern w:val="2"/>
                <w:sz w:val="20"/>
                <w:szCs w:val="20"/>
                <w:lang w:val="en-US" w:eastAsia="zh-CN"/>
              </w:rPr>
            </w:pPr>
            <w:r>
              <w:rPr>
                <w:rFonts w:hint="eastAsia" w:ascii="Times New Roman" w:hAnsi="Times New Roman" w:eastAsia="宋体" w:cs="Times New Roman"/>
                <w:kern w:val="2"/>
                <w:sz w:val="20"/>
                <w:szCs w:val="20"/>
                <w:lang w:val="zh-CN" w:eastAsia="zh-CN"/>
              </w:rPr>
              <w:t>投标人须明确产品的产地、品牌、配置</w:t>
            </w:r>
            <w:r>
              <w:rPr>
                <w:rFonts w:hint="eastAsia" w:ascii="Times New Roman" w:hAnsi="Times New Roman" w:eastAsia="宋体" w:cs="Times New Roman"/>
                <w:kern w:val="2"/>
                <w:sz w:val="20"/>
                <w:szCs w:val="20"/>
                <w:lang w:val="en-US" w:eastAsia="zh-CN"/>
              </w:rPr>
              <w:t>。</w:t>
            </w:r>
          </w:p>
          <w:p>
            <w:pPr>
              <w:pStyle w:val="2"/>
              <w:numPr>
                <w:ilvl w:val="0"/>
                <w:numId w:val="92"/>
              </w:numPr>
              <w:ind w:left="660" w:leftChars="0" w:firstLine="0" w:firstLineChars="0"/>
              <w:rPr>
                <w:rFonts w:hint="eastAsia"/>
                <w:lang w:val="en-US" w:eastAsia="zh-CN"/>
              </w:rPr>
            </w:pPr>
            <w:r>
              <w:rPr>
                <w:rFonts w:hint="eastAsia" w:ascii="Times New Roman" w:hAnsi="Times New Roman" w:eastAsia="宋体" w:cs="Times New Roman"/>
                <w:kern w:val="2"/>
                <w:sz w:val="20"/>
                <w:szCs w:val="20"/>
                <w:lang w:val="en-US" w:eastAsia="zh-CN"/>
              </w:rPr>
              <w:t>阀门应采用国内知名品牌。</w:t>
            </w:r>
          </w:p>
        </w:tc>
      </w:tr>
    </w:tbl>
    <w:p>
      <w:pPr>
        <w:pStyle w:val="2"/>
        <w:keepNext w:val="0"/>
        <w:keepLines w:val="0"/>
        <w:pageBreakBefore w:val="0"/>
        <w:kinsoku/>
        <w:topLinePunct w:val="0"/>
        <w:bidi w:val="0"/>
        <w:spacing w:line="400" w:lineRule="exact"/>
        <w:ind w:left="0" w:leftChars="0" w:firstLine="0" w:firstLineChars="0"/>
        <w:rPr>
          <w:rFonts w:hint="default"/>
        </w:rPr>
      </w:pPr>
    </w:p>
    <w:p>
      <w:pPr>
        <w:pStyle w:val="2"/>
        <w:keepNext w:val="0"/>
        <w:keepLines w:val="0"/>
        <w:pageBreakBefore w:val="0"/>
        <w:kinsoku/>
        <w:topLinePunct w:val="0"/>
        <w:bidi w:val="0"/>
        <w:spacing w:line="400" w:lineRule="exact"/>
        <w:ind w:firstLine="1200" w:firstLineChars="500"/>
        <w:rPr>
          <w:rFonts w:hint="eastAsia" w:ascii="宋体" w:hAnsi="宋体" w:eastAsia="宋体" w:cs="宋体"/>
          <w:sz w:val="24"/>
          <w:szCs w:val="24"/>
          <w:lang w:val="en-US" w:eastAsia="zh-CN"/>
        </w:rPr>
      </w:pPr>
    </w:p>
    <w:p>
      <w:pPr>
        <w:pStyle w:val="2"/>
        <w:keepNext w:val="0"/>
        <w:keepLines w:val="0"/>
        <w:pageBreakBefore w:val="0"/>
        <w:kinsoku/>
        <w:topLinePunct w:val="0"/>
        <w:bidi w:val="0"/>
        <w:spacing w:line="400" w:lineRule="exact"/>
        <w:ind w:firstLine="1200" w:firstLineChars="500"/>
        <w:rPr>
          <w:rFonts w:hint="eastAsia" w:ascii="宋体" w:hAnsi="宋体" w:eastAsia="宋体" w:cs="宋体"/>
          <w:sz w:val="24"/>
          <w:szCs w:val="24"/>
          <w:lang w:val="en-US" w:eastAsia="zh-CN"/>
        </w:rPr>
      </w:pPr>
    </w:p>
    <w:p>
      <w:pPr>
        <w:pStyle w:val="2"/>
        <w:keepNext w:val="0"/>
        <w:keepLines w:val="0"/>
        <w:pageBreakBefore w:val="0"/>
        <w:kinsoku/>
        <w:topLinePunct w:val="0"/>
        <w:bidi w:val="0"/>
        <w:spacing w:line="400" w:lineRule="exact"/>
        <w:ind w:firstLine="1200" w:firstLineChars="500"/>
        <w:rPr>
          <w:rFonts w:hint="eastAsia" w:ascii="宋体" w:hAnsi="宋体" w:eastAsia="宋体" w:cs="宋体"/>
          <w:sz w:val="24"/>
          <w:szCs w:val="24"/>
          <w:lang w:val="en-US" w:eastAsia="zh-CN"/>
        </w:rPr>
      </w:pPr>
    </w:p>
    <w:p>
      <w:pPr>
        <w:pStyle w:val="2"/>
        <w:keepNext w:val="0"/>
        <w:keepLines w:val="0"/>
        <w:pageBreakBefore w:val="0"/>
        <w:kinsoku/>
        <w:topLinePunct w:val="0"/>
        <w:bidi w:val="0"/>
        <w:spacing w:line="400" w:lineRule="exact"/>
        <w:ind w:firstLine="1200" w:firstLineChars="500"/>
        <w:rPr>
          <w:rFonts w:hint="eastAsia" w:ascii="宋体" w:hAnsi="宋体" w:eastAsia="宋体" w:cs="宋体"/>
          <w:sz w:val="24"/>
          <w:szCs w:val="24"/>
          <w:lang w:val="en-US" w:eastAsia="zh-CN"/>
        </w:rPr>
      </w:pPr>
    </w:p>
    <w:p>
      <w:pPr>
        <w:pStyle w:val="2"/>
        <w:keepNext w:val="0"/>
        <w:keepLines w:val="0"/>
        <w:pageBreakBefore w:val="0"/>
        <w:kinsoku/>
        <w:topLinePunct w:val="0"/>
        <w:bidi w:val="0"/>
        <w:spacing w:line="400" w:lineRule="exact"/>
        <w:ind w:firstLine="1200" w:firstLineChars="500"/>
        <w:rPr>
          <w:rFonts w:hint="eastAsia" w:ascii="宋体" w:hAnsi="宋体" w:eastAsia="宋体" w:cs="宋体"/>
          <w:sz w:val="24"/>
          <w:szCs w:val="24"/>
          <w:lang w:val="en-US" w:eastAsia="zh-CN"/>
        </w:rPr>
      </w:pPr>
    </w:p>
    <w:p>
      <w:pPr>
        <w:pStyle w:val="2"/>
        <w:keepNext w:val="0"/>
        <w:keepLines w:val="0"/>
        <w:pageBreakBefore w:val="0"/>
        <w:kinsoku/>
        <w:topLinePunct w:val="0"/>
        <w:bidi w:val="0"/>
        <w:spacing w:line="400" w:lineRule="exact"/>
        <w:ind w:left="0" w:leftChars="0" w:firstLine="0" w:firstLineChars="0"/>
        <w:rPr>
          <w:rFonts w:hint="default" w:ascii="宋体" w:hAnsi="宋体" w:eastAsia="宋体" w:cs="宋体"/>
          <w:sz w:val="24"/>
          <w:szCs w:val="24"/>
          <w:lang w:val="en-US" w:eastAsia="zh-CN"/>
        </w:rPr>
      </w:pPr>
    </w:p>
    <w:tbl>
      <w:tblPr>
        <w:tblStyle w:val="19"/>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1665"/>
        <w:gridCol w:w="2040"/>
        <w:gridCol w:w="3360"/>
        <w:gridCol w:w="1184"/>
        <w:gridCol w:w="750"/>
        <w:gridCol w:w="1606"/>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3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第四标段：“泵类”货物清单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设备编号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规格性能参数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构筑物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LPW-PSB101/104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进水提升泵</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单台提升泵流量1500m³/h，扬程7m，全部变频调节， 含出口配对法兰，带现场按钮箱，电缆及低液位保护器、渗漏保护器、热敏开关等等；配套鸭脚弯头、导杆等</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3用1备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砂滤池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CSR-PPU101/104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进水提升泵</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潜污泵，流量：1500m</w:t>
            </w:r>
            <w:r>
              <w:rPr>
                <w:rFonts w:hint="eastAsia" w:ascii="宋体" w:hAnsi="宋体" w:eastAsia="宋体" w:cs="宋体"/>
                <w:i w:val="0"/>
                <w:color w:val="000000"/>
                <w:kern w:val="0"/>
                <w:sz w:val="20"/>
                <w:szCs w:val="20"/>
                <w:u w:val="none"/>
                <w:vertAlign w:val="superscript"/>
                <w:lang w:val="en-US" w:eastAsia="zh-CN" w:bidi="ar"/>
              </w:rPr>
              <w:t>3</w:t>
            </w:r>
            <w:r>
              <w:rPr>
                <w:rStyle w:val="32"/>
                <w:lang w:val="en-US" w:eastAsia="zh-CN" w:bidi="ar"/>
              </w:rPr>
              <w:t>/h,扬程：12.5m。带导杆、鸭脚弯头及按钮箱等,包括支架、提升链、提升倒链器（带间隔大环的不锈钢环链）,支撑件等全套提升装置,潜水电缆及保护套、电缆固定装置、接头、紧固件、电缆接线箱低液位保护器、渗漏保护器、热敏开关,全部变频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left"/>
              <w:rPr>
                <w:rFonts w:hint="default" w:ascii="Times New Roman" w:hAnsi="Times New Roman" w:eastAsia="宋体" w:cs="Times New Roman"/>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粗格栅及进水提升井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SPB-PCF101/103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自用水泵一</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单级单吸离心泵，Q=90m</w:t>
            </w:r>
            <w:r>
              <w:rPr>
                <w:rFonts w:hint="eastAsia" w:ascii="宋体" w:hAnsi="宋体" w:eastAsia="宋体" w:cs="宋体"/>
                <w:i w:val="0"/>
                <w:color w:val="000000"/>
                <w:kern w:val="0"/>
                <w:sz w:val="24"/>
                <w:szCs w:val="24"/>
                <w:u w:val="none"/>
                <w:vertAlign w:val="superscript"/>
                <w:lang w:val="en-US" w:eastAsia="zh-CN" w:bidi="ar"/>
              </w:rPr>
              <w:t>3</w:t>
            </w:r>
            <w:r>
              <w:rPr>
                <w:rStyle w:val="33"/>
                <w:lang w:val="en-US" w:eastAsia="zh-CN" w:bidi="ar"/>
              </w:rPr>
              <w:t>/h，H=50m，带就地控制柜，变频运行，配套阀门、安全阀、压力表 、流量开关，水泵进出口渐缩管及渐扩管等，由自用水泵二的稳压系统控制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2用1备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生产用水泵房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SPB-PCF201/202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自用水泵二</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立式单机离心泵，Q=30m3/h, 扬程:50m,  2台泵(1用1备)，全自动变频供水设备，带稳压罐，配现场按钮接线箱，内置防渗漏保护器，电缆及保护套、接头、紧固件。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配自动变频稳压设施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生产用水泵房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生产水泵就地站</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1.名称：就地控制站LCS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2.控制柜（5面），PLC控制器，电源，控制设备，UPS,电源浪涌抑制器等安装，实现系统的本地/远程的手动控制及自动控制，实现与主控系统以太网通讯，实现数据交换。   3.包含控制柜到设备的动力电缆、信号电缆及桥架、穿线管等辅材。</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生产用水泵房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SPB-PSB101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潜污泵</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潜水离心泵，Q=20m</w:t>
            </w:r>
            <w:r>
              <w:rPr>
                <w:rFonts w:hint="eastAsia" w:ascii="宋体" w:hAnsi="宋体" w:eastAsia="宋体" w:cs="宋体"/>
                <w:i w:val="0"/>
                <w:color w:val="000000"/>
                <w:kern w:val="0"/>
                <w:sz w:val="24"/>
                <w:szCs w:val="24"/>
                <w:u w:val="none"/>
                <w:vertAlign w:val="superscript"/>
                <w:lang w:val="en-US" w:eastAsia="zh-CN" w:bidi="ar"/>
              </w:rPr>
              <w:t>3</w:t>
            </w:r>
            <w:r>
              <w:rPr>
                <w:rStyle w:val="33"/>
                <w:lang w:val="en-US" w:eastAsia="zh-CN" w:bidi="ar"/>
              </w:rPr>
              <w:t>/h，H=6m，固定安装，包括支架、提升链全套提升装置等，带控制箱，箱内预留远方控制接点及运行故障无源接点信号段子至PLC、电缆及液位控制装置，含配套底座、3米软管及夹箍、DN80闸阀和止回阀等，带控制箱、电缆及液位控制装置等</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生产用水泵房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AER</w:t>
            </w:r>
            <w:r>
              <w:rPr>
                <w:rFonts w:hint="eastAsia" w:ascii="宋体" w:hAnsi="宋体" w:cs="宋体"/>
                <w:i w:val="0"/>
                <w:color w:val="000000"/>
                <w:kern w:val="0"/>
                <w:sz w:val="20"/>
                <w:szCs w:val="20"/>
                <w:u w:val="none"/>
                <w:shd w:val="clear" w:color="auto" w:fill="auto"/>
                <w:lang w:val="en-US" w:eastAsia="zh-CN" w:bidi="ar"/>
              </w:rPr>
              <w:t>1/2</w:t>
            </w:r>
            <w:r>
              <w:rPr>
                <w:rFonts w:hint="eastAsia" w:ascii="宋体" w:hAnsi="宋体" w:eastAsia="宋体" w:cs="宋体"/>
                <w:i w:val="0"/>
                <w:color w:val="000000"/>
                <w:kern w:val="0"/>
                <w:sz w:val="20"/>
                <w:szCs w:val="20"/>
                <w:u w:val="none"/>
                <w:shd w:val="clear" w:color="auto" w:fill="auto"/>
                <w:lang w:val="en-US" w:eastAsia="zh-CN" w:bidi="ar"/>
              </w:rPr>
              <w:t>-</w:t>
            </w:r>
            <w:r>
              <w:rPr>
                <w:rFonts w:hint="eastAsia" w:ascii="宋体" w:hAnsi="宋体" w:cs="宋体"/>
                <w:i w:val="0"/>
                <w:color w:val="000000"/>
                <w:kern w:val="0"/>
                <w:sz w:val="20"/>
                <w:szCs w:val="20"/>
                <w:u w:val="none"/>
                <w:shd w:val="clear" w:color="auto" w:fill="auto"/>
                <w:lang w:val="en-US" w:eastAsia="zh-CN" w:bidi="ar"/>
              </w:rPr>
              <w:t>PSB</w:t>
            </w:r>
            <w:r>
              <w:rPr>
                <w:rFonts w:hint="eastAsia" w:ascii="宋体" w:hAnsi="宋体" w:eastAsia="宋体" w:cs="宋体"/>
                <w:i w:val="0"/>
                <w:color w:val="000000"/>
                <w:kern w:val="0"/>
                <w:sz w:val="20"/>
                <w:szCs w:val="20"/>
                <w:u w:val="none"/>
                <w:shd w:val="clear" w:color="auto" w:fill="auto"/>
                <w:lang w:val="en-US" w:eastAsia="zh-CN" w:bidi="ar"/>
              </w:rPr>
              <w:t>101</w:t>
            </w:r>
            <w:r>
              <w:rPr>
                <w:rFonts w:hint="eastAsia" w:ascii="宋体" w:hAnsi="宋体" w:cs="宋体"/>
                <w:i w:val="0"/>
                <w:color w:val="000000"/>
                <w:kern w:val="0"/>
                <w:sz w:val="20"/>
                <w:szCs w:val="20"/>
                <w:u w:val="none"/>
                <w:shd w:val="clear" w:color="auto" w:fill="auto"/>
                <w:lang w:val="en-US" w:eastAsia="zh-CN" w:bidi="ar"/>
              </w:rPr>
              <w:t>/102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内回流泵（内回流用）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潜水轴流泵，Q=2500m3/h,H=0.5m,带有导向爪和托架的导流圈，含导杆及吊架等，固定式吊架及提升装置、每台泵需提供水下电缆）及固定件、电缆固定装置、接头、紧固件、电缆接线箱、低液位保护器、渗漏保护器、过热保护器现场按钮箱，池壁上带法兰的工艺管道（穿墙管，~1m/个），全部变频调节</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出水管端设玻璃钢拍门，配套供货，全部变频调节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SP-PSB101/103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回流污泥泵（潜水轴流泵）</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Q=1800m3/h ,H=5.0m，带按钮箱，包括提升链、钢丝绳、起吊锁扣、电缆固定夹、紧线器等，导流筒、导流筒支撑装置及支架及导流筒支架，底部进水防旋板、其他污泥防堵塞措施或装置（如需要），每台回流污泥泵需提供潜水电缆及保护套、接头、紧固件、吊套等，全部变频调节</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2用1备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回流及剩余污泥泵房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SP-PSB201/203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剩余污泥泵（潜水污水泵）</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Q=150m3/h ,H=20.0m,带按钮箱；配套基座、鸭脚弯头及耦合装置，并配套1台起吊架（旋转，负责3台泵的起吊），包括支架、导索/导杆、提升链、提升倒链器（带间隔大环的不锈钢环链）、支撑件等全套提升装置，潜水电缆及保护套、电缆固定装置、接头、紧固件、电缆接线箱，低液位保护器、渗漏保护器、热敏开关，全部变频调节</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2用1备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回流及剩余污泥泵房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SCT-PSB101-03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潜水轴流泵</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Q=1440m3/h，H=4m，固定安装，配套导筒及支架、三通、活接头、穿墙管、泵盖等，带按钮箱，电缆及低液位保护器、渗漏保护器、热敏开关等</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配套井筒</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接触池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3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sz w:val="20"/>
                <w:szCs w:val="20"/>
                <w:lang w:val="en-US" w:eastAsia="zh-CN"/>
              </w:rPr>
            </w:pPr>
            <w:r>
              <w:rPr>
                <w:rFonts w:hint="eastAsia"/>
                <w:lang w:val="en-US" w:eastAsia="zh-CN"/>
              </w:rPr>
              <w:t>说明：    1、</w:t>
            </w:r>
            <w:r>
              <w:rPr>
                <w:rFonts w:hint="eastAsia"/>
                <w:sz w:val="20"/>
                <w:szCs w:val="20"/>
                <w:lang w:val="en-US" w:eastAsia="zh-CN"/>
              </w:rPr>
              <w:t>详细参数及供货范围请参照招标文件技术要求的相应内容 。</w:t>
            </w:r>
          </w:p>
          <w:p>
            <w:pPr>
              <w:pStyle w:val="2"/>
              <w:numPr>
                <w:ilvl w:val="0"/>
                <w:numId w:val="93"/>
              </w:numPr>
              <w:ind w:left="660" w:leftChars="0"/>
              <w:rPr>
                <w:rFonts w:hint="eastAsia" w:ascii="Times New Roman" w:hAnsi="Times New Roman" w:eastAsia="宋体" w:cs="Times New Roman"/>
                <w:kern w:val="2"/>
                <w:sz w:val="20"/>
                <w:szCs w:val="20"/>
                <w:lang w:val="en-US" w:eastAsia="zh-CN"/>
              </w:rPr>
            </w:pPr>
            <w:r>
              <w:rPr>
                <w:rFonts w:hint="eastAsia" w:ascii="Times New Roman" w:hAnsi="Times New Roman" w:eastAsia="宋体" w:cs="Times New Roman"/>
                <w:kern w:val="2"/>
                <w:sz w:val="20"/>
                <w:szCs w:val="20"/>
                <w:lang w:val="en-US" w:eastAsia="zh-CN"/>
              </w:rPr>
              <w:t>电</w:t>
            </w:r>
            <w:r>
              <w:rPr>
                <w:rFonts w:hint="eastAsia" w:cs="Times New Roman"/>
                <w:kern w:val="2"/>
                <w:sz w:val="20"/>
                <w:szCs w:val="20"/>
                <w:lang w:val="en-US" w:eastAsia="zh-CN"/>
              </w:rPr>
              <w:t>气元</w:t>
            </w:r>
            <w:r>
              <w:rPr>
                <w:rFonts w:hint="eastAsia" w:ascii="Times New Roman" w:hAnsi="Times New Roman" w:eastAsia="宋体" w:cs="Times New Roman"/>
                <w:kern w:val="2"/>
                <w:sz w:val="20"/>
                <w:szCs w:val="20"/>
                <w:lang w:val="en-US" w:eastAsia="zh-CN"/>
              </w:rPr>
              <w:t>器件均采用进口知名品牌。</w:t>
            </w:r>
          </w:p>
          <w:p>
            <w:pPr>
              <w:pStyle w:val="2"/>
              <w:numPr>
                <w:ilvl w:val="0"/>
                <w:numId w:val="93"/>
              </w:numPr>
              <w:ind w:left="660" w:leftChars="0"/>
              <w:rPr>
                <w:rFonts w:hint="eastAsia" w:ascii="Times New Roman" w:hAnsi="Times New Roman" w:eastAsia="宋体" w:cs="Times New Roman"/>
                <w:kern w:val="2"/>
                <w:sz w:val="20"/>
                <w:szCs w:val="20"/>
                <w:lang w:val="en-US" w:eastAsia="zh-CN"/>
              </w:rPr>
            </w:pPr>
            <w:r>
              <w:rPr>
                <w:rFonts w:hint="eastAsia" w:ascii="Times New Roman" w:hAnsi="Times New Roman" w:eastAsia="宋体" w:cs="Times New Roman"/>
                <w:kern w:val="2"/>
                <w:sz w:val="20"/>
                <w:szCs w:val="20"/>
                <w:lang w:val="zh-CN" w:eastAsia="zh-CN"/>
              </w:rPr>
              <w:t>投标人须明确产品的产地、品牌、配置</w:t>
            </w:r>
            <w:r>
              <w:rPr>
                <w:rFonts w:hint="eastAsia" w:ascii="Times New Roman" w:hAnsi="Times New Roman" w:eastAsia="宋体" w:cs="Times New Roman"/>
                <w:kern w:val="2"/>
                <w:sz w:val="20"/>
                <w:szCs w:val="20"/>
                <w:lang w:val="en-US" w:eastAsia="zh-CN"/>
              </w:rPr>
              <w:t>。</w:t>
            </w:r>
          </w:p>
          <w:p>
            <w:pPr>
              <w:pStyle w:val="2"/>
              <w:numPr>
                <w:ilvl w:val="0"/>
                <w:numId w:val="93"/>
              </w:numPr>
              <w:ind w:left="660" w:leftChars="0"/>
              <w:rPr>
                <w:rFonts w:hint="eastAsia" w:ascii="Times New Roman" w:hAnsi="Times New Roman" w:eastAsia="宋体" w:cs="Times New Roman"/>
                <w:kern w:val="2"/>
                <w:sz w:val="20"/>
                <w:szCs w:val="20"/>
                <w:lang w:val="en-US" w:eastAsia="zh-CN"/>
              </w:rPr>
            </w:pPr>
            <w:r>
              <w:rPr>
                <w:rFonts w:hint="eastAsia" w:ascii="Times New Roman" w:hAnsi="Times New Roman" w:eastAsia="宋体" w:cs="Times New Roman"/>
                <w:kern w:val="2"/>
                <w:sz w:val="20"/>
                <w:szCs w:val="20"/>
                <w:lang w:val="en-US" w:eastAsia="zh-CN"/>
              </w:rPr>
              <w:t>本标段所涉及的轴承、机封均采用进口知名品牌</w:t>
            </w:r>
            <w:r>
              <w:rPr>
                <w:rFonts w:hint="eastAsia" w:cs="Times New Roman"/>
                <w:kern w:val="2"/>
                <w:sz w:val="20"/>
                <w:szCs w:val="20"/>
                <w:lang w:val="en-US" w:eastAsia="zh-CN"/>
              </w:rPr>
              <w:t>（投标时须注明品牌）</w:t>
            </w:r>
            <w:r>
              <w:rPr>
                <w:rFonts w:hint="eastAsia" w:ascii="Times New Roman" w:hAnsi="Times New Roman" w:eastAsia="宋体" w:cs="Times New Roman"/>
                <w:kern w:val="2"/>
                <w:sz w:val="20"/>
                <w:szCs w:val="20"/>
                <w:lang w:val="en-US" w:eastAsia="zh-CN"/>
              </w:rPr>
              <w:t>。</w:t>
            </w:r>
          </w:p>
          <w:p>
            <w:pPr>
              <w:pStyle w:val="2"/>
              <w:numPr>
                <w:ilvl w:val="0"/>
                <w:numId w:val="93"/>
              </w:numPr>
              <w:ind w:left="660" w:leftChars="0"/>
              <w:rPr>
                <w:rFonts w:hint="eastAsia"/>
              </w:rPr>
            </w:pPr>
            <w:r>
              <w:rPr>
                <w:rFonts w:hint="eastAsia" w:ascii="Times New Roman" w:hAnsi="Times New Roman" w:eastAsia="宋体" w:cs="Times New Roman"/>
                <w:kern w:val="2"/>
                <w:sz w:val="20"/>
                <w:szCs w:val="20"/>
                <w:lang w:val="en-US" w:eastAsia="zh-CN"/>
              </w:rPr>
              <w:t>水泵供应商提供配套电控系统，并为全厂自控系统留以太网通讯接口。</w:t>
            </w:r>
          </w:p>
        </w:tc>
      </w:tr>
    </w:tbl>
    <w:p>
      <w:pPr>
        <w:pStyle w:val="2"/>
        <w:keepNext w:val="0"/>
        <w:keepLines w:val="0"/>
        <w:pageBreakBefore w:val="0"/>
        <w:kinsoku/>
        <w:topLinePunct w:val="0"/>
        <w:bidi w:val="0"/>
        <w:spacing w:line="400" w:lineRule="exact"/>
        <w:ind w:left="0" w:leftChars="0" w:firstLine="0" w:firstLineChars="0"/>
        <w:rPr>
          <w:rFonts w:hint="default"/>
        </w:rPr>
      </w:pPr>
    </w:p>
    <w:tbl>
      <w:tblPr>
        <w:tblStyle w:val="19"/>
        <w:tblW w:w="13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1830"/>
        <w:gridCol w:w="2205"/>
        <w:gridCol w:w="3330"/>
        <w:gridCol w:w="1170"/>
        <w:gridCol w:w="780"/>
        <w:gridCol w:w="157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30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4"/>
                <w:szCs w:val="24"/>
                <w:u w:val="none"/>
                <w:lang w:val="en-US" w:eastAsia="zh-CN" w:bidi="ar"/>
              </w:rPr>
              <w:t>第九标段：</w:t>
            </w:r>
            <w:r>
              <w:rPr>
                <w:rFonts w:hint="eastAsia" w:ascii="宋体" w:hAnsi="宋体" w:cs="宋体"/>
                <w:b/>
                <w:i w:val="0"/>
                <w:color w:val="000000"/>
                <w:kern w:val="0"/>
                <w:sz w:val="24"/>
                <w:szCs w:val="24"/>
                <w:u w:val="none"/>
                <w:lang w:val="en-US" w:eastAsia="zh-CN" w:bidi="ar"/>
              </w:rPr>
              <w:t>“</w:t>
            </w:r>
            <w:r>
              <w:rPr>
                <w:rFonts w:hint="eastAsia" w:ascii="宋体" w:hAnsi="宋体" w:eastAsia="宋体" w:cs="宋体"/>
                <w:b/>
                <w:i w:val="0"/>
                <w:color w:val="000000"/>
                <w:kern w:val="0"/>
                <w:sz w:val="24"/>
                <w:szCs w:val="24"/>
                <w:u w:val="none"/>
                <w:lang w:val="en-US" w:eastAsia="zh-CN" w:bidi="ar"/>
              </w:rPr>
              <w:t>加药消毒系统</w:t>
            </w:r>
            <w:r>
              <w:rPr>
                <w:rFonts w:hint="eastAsia" w:ascii="宋体" w:hAnsi="宋体" w:cs="宋体"/>
                <w:b/>
                <w:i w:val="0"/>
                <w:color w:val="000000"/>
                <w:kern w:val="0"/>
                <w:sz w:val="24"/>
                <w:szCs w:val="24"/>
                <w:u w:val="none"/>
                <w:lang w:val="en-US" w:eastAsia="zh-CN" w:bidi="ar"/>
              </w:rPr>
              <w:t>”货物清单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设备编号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设备名称</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主要规格性能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构筑物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CCS-CTK101/102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醋酸钠储罐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容积50m3，卧式，钢衬塑，带聚氨酯保温，厚度≥100mm；储罐应带有液位计、高低液位开关和可视的液位显示计，以及高、低液位报警。罐液位及报警等信号应远传至中控室。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系统设计应采取有效措施防止罐体抽空形成负压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CCS-PPU101/103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醋酸钠加药泵组1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Q=150L/h,H=20m,电机功率1.5KW，变频调节控制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泵组内含3台泵，2用1备，变频，每组含阻尼器，背压阀，安全阀，手动阀，Y型过滤器等；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CCS-PPU201/203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醋酸钠加药泵组2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Q=150L/h,H=20m,电机功率1.5KW，变频调节控制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泵组内含3台泵，2用1备，变频，每组含阻尼器，背压阀，安全阀，手动阀，Y型过滤器等；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CCS-CTK201/202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PFS（聚合硫酸铁）储罐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容积50m3，卧式，钢衬塑，带聚氨酯保温，厚度≥100mm；储罐应带有液位计、高低液位开关和可视的液位显示计，以及高、低液位报警。罐液位及报警等信号应远传至中控室。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系统设计应采取有效措施防止罐体抽空形成负压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CCS-PPU301/303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PFS加药泵组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Q=200L/h,H=20m,电机功率1.5KW，变频调节控制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泵组内含3台泵，2用1备，变频，每组含阻尼器，背压阀，安全阀，手动阀，Y型过滤器等；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CCS-CTK301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次氯酸钠储罐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容积50m3，卧式，钢衬塑，带聚氨酯保温，厚度≥100mm；储罐应带有液位计、高低液位开关和可视的液位显示计，以及高、低液位报警。罐液位及报警等信号应远传至中控室。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系统设计应采取有效措施防止罐体抽空形成负压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CCS-PPU401/403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次氯酸钠加药泵组1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Q=200L/h,H=20m,电机功率1.5KW，变频调节控制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泵组内含3台泵，2用1备，变频，每组含阻尼器，背压阀，安全阀，手动阀，Y型过滤器等；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CCS-PPU501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次氯酸钠加药泵2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Q=200L/h,H=20m,电机功率1.5KW，变频调节控制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含阻尼器，背压阀，安全阀，手动阀，Y型过滤器等；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CCS-PPU601/603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PAC加药泵组</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Q=100L/h,H=20m,电机功率1.5KW，变频调节控制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泵组内含3台泵，2用1备，变频，每组含阻尼器，背压阀，安全阀，手动阀，Y型过滤器等；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CCS-CTK401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PAC储罐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容积20m3，卧式，钢衬塑，带聚氨酯保温，厚度≥100mm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left"/>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CCS-EWY101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紧急淋浴洗眼器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不锈钢，脚踏式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left"/>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配套进药管路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dn32进药管，PE</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包含进药管路中弯头,三通,球阀，支架等附件，统计至储罐出口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配套进药管路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dn40进药管，PE</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包含进药管路中弯头,三通,球阀，支架等附件，统计至储罐出口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配套加药管路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dn25加药管，PE</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包含进药管路中弯头,三通,球阀，支架等附件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配套加药管路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dn32加药管，PE</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包含加药管路中弯头,三通,球阀，支架等附件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配套冲洗管路</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dn25加药管，PE</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包含加药管路中弯头,三通,球阀，支架等附件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除磷加药管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   U-PVC</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含DN20手动蝶阀2个及管件、支架等附件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醋酸钠加药管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dn25,PN=1.0MPa   U-PVC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含DN50手动蝶阀10个及管件、支架等附件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除磷加药管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dn15  U-PVC</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含DN10水表2个、手动蝶阀4个及管件、支架等附件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除磷加药管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dn20  U-PVC</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含DN15浮子流量计2个、手动蝶阀4个及管件、支架等附件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甲醇加药管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dn25,PN=1.0MPa   U-PVC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含DN32水表4个、手动蝶阀8个及管件、支架等附件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加药管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dn63，PN10 U-PVC</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含连接管路的弯头、三通、异径管、法兰等配件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脱水机房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加药管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dn32，PN10 U-PVC</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含连接管路的弯头、三通、异径管、法兰等配件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脱水机房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加药间就地站</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1.名称：就地控制站LCS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2.控制柜，PLC控制器，电源，控制设备，UPS,电源浪涌抑制器等安装，实现系统的本地/远程的手动控制及自动控制，实现与主控系统以太网通讯，实现数据交换。     3.带设备之间动力、信号电缆及桥架、安装附件及其支架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left"/>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电磁流量计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随加药系统设备配套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jc w:val="center"/>
              <w:rPr>
                <w:rFonts w:hint="eastAsia" w:ascii="宋体" w:hAnsi="宋体" w:eastAsia="宋体" w:cs="宋体"/>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液位计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随加药系统设备配套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topLinePunct w:val="0"/>
              <w:bidi w:val="0"/>
              <w:spacing w:line="400" w:lineRule="exact"/>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加药间及储罐棚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30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加药系统应提供电控柜一套，自带PLC可编程控制器，对系统内所有设备 （包括储药罐及配套搅拌器）提供电源及控制，并能在电控柜开/停设备。电控柜及所有出线电缆及桥架等均在本工作范围。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30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topLinePunct w:val="0"/>
              <w:bidi w:val="0"/>
              <w:spacing w:line="400" w:lineRule="exact"/>
              <w:jc w:val="left"/>
              <w:textAlignment w:val="center"/>
              <w:rPr>
                <w:rFonts w:hint="eastAsia" w:ascii="宋体" w:hAnsi="宋体" w:eastAsia="宋体" w:cs="宋体"/>
                <w:sz w:val="20"/>
                <w:szCs w:val="20"/>
                <w:lang w:val="en-US" w:eastAsia="zh-CN"/>
              </w:rPr>
            </w:pPr>
            <w:r>
              <w:rPr>
                <w:rFonts w:hint="eastAsia"/>
                <w:lang w:val="en-US" w:eastAsia="zh-CN"/>
              </w:rPr>
              <w:t>说明：1、</w:t>
            </w:r>
            <w:r>
              <w:rPr>
                <w:rFonts w:hint="eastAsia" w:ascii="宋体" w:hAnsi="宋体" w:eastAsia="宋体" w:cs="宋体"/>
                <w:sz w:val="20"/>
                <w:szCs w:val="20"/>
                <w:lang w:val="en-US" w:eastAsia="zh-CN"/>
              </w:rPr>
              <w:t>详细参数及供货范围请参照招标文件技术要求的相应内容 。</w:t>
            </w:r>
          </w:p>
          <w:p>
            <w:pPr>
              <w:pStyle w:val="2"/>
              <w:numPr>
                <w:ilvl w:val="0"/>
                <w:numId w:val="94"/>
              </w:numPr>
              <w:ind w:left="660" w:leftChars="0" w:firstLine="0" w:firstLineChars="0"/>
              <w:rPr>
                <w:rFonts w:hint="eastAsia" w:ascii="宋体" w:hAnsi="宋体" w:eastAsia="宋体" w:cs="宋体"/>
                <w:kern w:val="2"/>
                <w:sz w:val="20"/>
                <w:szCs w:val="20"/>
                <w:lang w:val="en-US" w:eastAsia="zh-CN"/>
              </w:rPr>
            </w:pPr>
            <w:r>
              <w:rPr>
                <w:rFonts w:hint="eastAsia" w:ascii="宋体" w:hAnsi="宋体" w:eastAsia="宋体" w:cs="宋体"/>
                <w:kern w:val="2"/>
                <w:sz w:val="20"/>
                <w:szCs w:val="20"/>
                <w:lang w:val="en-US" w:eastAsia="zh-CN"/>
              </w:rPr>
              <w:t>电气元器件均采用进口知名品牌。</w:t>
            </w:r>
          </w:p>
          <w:p>
            <w:pPr>
              <w:pStyle w:val="2"/>
              <w:numPr>
                <w:ilvl w:val="0"/>
                <w:numId w:val="94"/>
              </w:numPr>
              <w:ind w:left="660" w:leftChars="0" w:firstLine="0" w:firstLineChars="0"/>
              <w:rPr>
                <w:rFonts w:hint="eastAsia" w:ascii="宋体" w:hAnsi="宋体" w:eastAsia="宋体" w:cs="宋体"/>
                <w:kern w:val="2"/>
                <w:sz w:val="20"/>
                <w:szCs w:val="20"/>
                <w:lang w:val="en-US" w:eastAsia="zh-CN"/>
              </w:rPr>
            </w:pPr>
            <w:r>
              <w:rPr>
                <w:rFonts w:hint="eastAsia" w:ascii="宋体" w:hAnsi="宋体" w:eastAsia="宋体" w:cs="宋体"/>
                <w:kern w:val="2"/>
                <w:sz w:val="20"/>
                <w:szCs w:val="20"/>
                <w:lang w:val="zh-CN" w:eastAsia="zh-CN"/>
              </w:rPr>
              <w:t>投标人须明确产品的产地、品牌、配置</w:t>
            </w:r>
            <w:r>
              <w:rPr>
                <w:rFonts w:hint="eastAsia" w:ascii="宋体" w:hAnsi="宋体" w:eastAsia="宋体" w:cs="宋体"/>
                <w:kern w:val="2"/>
                <w:sz w:val="20"/>
                <w:szCs w:val="20"/>
                <w:lang w:val="en-US" w:eastAsia="zh-CN"/>
              </w:rPr>
              <w:t>。</w:t>
            </w:r>
          </w:p>
          <w:p>
            <w:pPr>
              <w:pStyle w:val="2"/>
              <w:numPr>
                <w:ilvl w:val="0"/>
                <w:numId w:val="94"/>
              </w:numPr>
              <w:ind w:left="660" w:leftChars="0" w:firstLine="0" w:firstLineChars="0"/>
              <w:rPr>
                <w:rFonts w:hint="eastAsia" w:ascii="宋体" w:hAnsi="宋体" w:eastAsia="宋体" w:cs="宋体"/>
                <w:sz w:val="20"/>
                <w:szCs w:val="20"/>
              </w:rPr>
            </w:pPr>
            <w:r>
              <w:rPr>
                <w:rFonts w:hint="eastAsia" w:ascii="宋体" w:hAnsi="宋体" w:eastAsia="宋体" w:cs="宋体"/>
                <w:kern w:val="2"/>
                <w:sz w:val="20"/>
                <w:szCs w:val="20"/>
                <w:lang w:val="en-US" w:eastAsia="zh-CN"/>
              </w:rPr>
              <w:t>本标段所涉及的计量泵采用美国知名品牌。</w:t>
            </w:r>
          </w:p>
          <w:p>
            <w:pPr>
              <w:pStyle w:val="2"/>
              <w:numPr>
                <w:ilvl w:val="0"/>
                <w:numId w:val="94"/>
              </w:numPr>
              <w:ind w:left="660" w:leftChars="0" w:firstLine="0" w:firstLineChars="0"/>
              <w:rPr>
                <w:rFonts w:hint="eastAsia"/>
              </w:rPr>
            </w:pPr>
            <w:r>
              <w:rPr>
                <w:rFonts w:hint="eastAsia" w:ascii="宋体" w:hAnsi="宋体" w:eastAsia="宋体" w:cs="宋体"/>
                <w:kern w:val="2"/>
                <w:sz w:val="20"/>
                <w:szCs w:val="20"/>
                <w:lang w:val="en-US" w:eastAsia="zh-CN"/>
              </w:rPr>
              <w:t>储罐的设计加工制造应满足相关国家和行业标准（HG\T2O678）要求。</w:t>
            </w:r>
          </w:p>
        </w:tc>
      </w:tr>
    </w:tbl>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b/>
          <w:bCs/>
          <w:lang w:eastAsia="zh-CN"/>
        </w:rPr>
      </w:pPr>
    </w:p>
    <w:p>
      <w:pPr>
        <w:pStyle w:val="2"/>
        <w:keepNext w:val="0"/>
        <w:keepLines w:val="0"/>
        <w:pageBreakBefore w:val="0"/>
        <w:kinsoku/>
        <w:topLinePunct w:val="0"/>
        <w:bidi w:val="0"/>
        <w:spacing w:line="400" w:lineRule="exact"/>
        <w:ind w:left="0" w:leftChars="0" w:firstLine="0" w:firstLineChars="0"/>
        <w:rPr>
          <w:rFonts w:hint="eastAsia" w:ascii="宋体" w:hAnsi="宋体" w:eastAsia="宋体" w:cs="宋体"/>
          <w:b/>
          <w:bCs/>
          <w:lang w:eastAsia="zh-CN"/>
        </w:rPr>
      </w:pPr>
      <w:r>
        <w:rPr>
          <w:rFonts w:hint="eastAsia" w:ascii="宋体" w:hAnsi="宋体" w:eastAsia="宋体" w:cs="宋体"/>
          <w:b/>
          <w:bCs/>
          <w:lang w:eastAsia="zh-CN"/>
        </w:rPr>
        <w:t>注：</w:t>
      </w:r>
      <w:r>
        <w:rPr>
          <w:rFonts w:hint="eastAsia" w:ascii="宋体" w:hAnsi="宋体" w:eastAsia="宋体" w:cs="宋体"/>
          <w:b/>
          <w:bCs/>
          <w:lang w:val="en-US" w:eastAsia="zh-CN"/>
        </w:rPr>
        <w:t>1.</w:t>
      </w:r>
      <w:r>
        <w:rPr>
          <w:rFonts w:hint="eastAsia" w:ascii="宋体" w:hAnsi="宋体" w:eastAsia="宋体" w:cs="宋体"/>
          <w:b/>
          <w:bCs/>
          <w:lang w:eastAsia="zh-CN"/>
        </w:rPr>
        <w:t>成套设备（装置）或一体化装置（设备）由投标人整体提供或在项目现场进行组装，招标人不负责组装。</w:t>
      </w:r>
    </w:p>
    <w:p>
      <w:pPr>
        <w:pStyle w:val="2"/>
        <w:keepNext w:val="0"/>
        <w:keepLines w:val="0"/>
        <w:pageBreakBefore w:val="0"/>
        <w:numPr>
          <w:ilvl w:val="0"/>
          <w:numId w:val="0"/>
        </w:numPr>
        <w:kinsoku/>
        <w:topLinePunct w:val="0"/>
        <w:bidi w:val="0"/>
        <w:spacing w:line="400" w:lineRule="exact"/>
        <w:ind w:left="420" w:leftChars="0"/>
        <w:rPr>
          <w:rFonts w:hint="eastAsia" w:ascii="宋体" w:hAnsi="宋体" w:eastAsia="宋体" w:cs="宋体"/>
          <w:b/>
          <w:bCs/>
          <w:lang w:val="en-US" w:eastAsia="zh-CN"/>
        </w:rPr>
      </w:pPr>
      <w:r>
        <w:rPr>
          <w:rFonts w:hint="eastAsia" w:ascii="宋体" w:hAnsi="宋体" w:cs="宋体"/>
          <w:b/>
          <w:bCs/>
          <w:lang w:val="en-US" w:eastAsia="zh-CN"/>
        </w:rPr>
        <w:t>2.</w:t>
      </w:r>
      <w:r>
        <w:rPr>
          <w:rFonts w:hint="eastAsia" w:ascii="宋体" w:hAnsi="宋体" w:eastAsia="宋体" w:cs="宋体"/>
          <w:b/>
          <w:bCs/>
          <w:lang w:val="en-US" w:eastAsia="zh-CN"/>
        </w:rPr>
        <w:t>投标设备须满足工艺自动化控制的要求。</w:t>
      </w:r>
    </w:p>
    <w:p>
      <w:pPr>
        <w:pStyle w:val="2"/>
        <w:keepNext w:val="0"/>
        <w:keepLines w:val="0"/>
        <w:pageBreakBefore w:val="0"/>
        <w:numPr>
          <w:ilvl w:val="0"/>
          <w:numId w:val="86"/>
        </w:numPr>
        <w:tabs>
          <w:tab w:val="clear" w:pos="720"/>
        </w:tabs>
        <w:kinsoku/>
        <w:topLinePunct w:val="0"/>
        <w:bidi w:val="0"/>
        <w:spacing w:line="400" w:lineRule="exact"/>
        <w:ind w:left="0" w:leftChars="0" w:firstLine="420" w:firstLineChars="0"/>
        <w:rPr>
          <w:rFonts w:hint="eastAsia" w:ascii="宋体" w:hAnsi="宋体" w:eastAsia="宋体" w:cs="宋体"/>
          <w:b/>
          <w:bCs/>
          <w:shd w:val="clear" w:color="auto" w:fill="auto"/>
          <w:lang w:val="en-US" w:eastAsia="zh-CN"/>
        </w:rPr>
      </w:pPr>
      <w:r>
        <w:rPr>
          <w:rFonts w:hint="eastAsia" w:ascii="宋体" w:hAnsi="宋体" w:eastAsia="宋体" w:cs="宋体"/>
          <w:b/>
          <w:bCs/>
          <w:shd w:val="clear" w:color="auto" w:fill="auto"/>
          <w:lang w:val="en-US" w:eastAsia="zh-CN"/>
        </w:rPr>
        <w:t>为使设备达到功能并能安全有效运行而需要的预埋件、各类附件和配套材料含在投标报价中，投保人应仔细审阅图纸和附件“全厂工艺系统和设备采购”，根据污水处理厂设计情况选择最合适的设备进行投标，若因提供的产品不符合运行要求而造成的一切损失由投标人负责。</w:t>
      </w:r>
    </w:p>
    <w:p>
      <w:pPr>
        <w:pStyle w:val="2"/>
        <w:keepNext w:val="0"/>
        <w:keepLines w:val="0"/>
        <w:pageBreakBefore w:val="0"/>
        <w:kinsoku/>
        <w:topLinePunct w:val="0"/>
        <w:bidi w:val="0"/>
        <w:spacing w:line="400" w:lineRule="exact"/>
        <w:ind w:left="0" w:leftChars="0" w:firstLine="0" w:firstLineChars="0"/>
        <w:rPr>
          <w:rFonts w:hint="eastAsia"/>
          <w:shd w:val="clear" w:color="FFFFFF" w:fill="D9D9D9"/>
          <w:lang w:val="en-US" w:eastAsia="zh-CN"/>
        </w:rPr>
        <w:sectPr>
          <w:headerReference r:id="rId6" w:type="default"/>
          <w:pgSz w:w="15840" w:h="12240" w:orient="landscape"/>
          <w:pgMar w:top="1803" w:right="1440" w:bottom="1803" w:left="1440" w:header="720" w:footer="720" w:gutter="0"/>
          <w:lnNumType w:countBy="0" w:distance="360"/>
          <w:pgNumType w:fmt="decimal"/>
          <w:cols w:space="425" w:num="1"/>
          <w:rtlGutter w:val="0"/>
          <w:docGrid w:linePitch="0" w:charSpace="0"/>
        </w:sectPr>
      </w:pPr>
    </w:p>
    <w:p>
      <w:pPr>
        <w:keepNext w:val="0"/>
        <w:keepLines w:val="0"/>
        <w:pageBreakBefore w:val="0"/>
        <w:numPr>
          <w:ilvl w:val="0"/>
          <w:numId w:val="89"/>
        </w:numPr>
        <w:kinsoku/>
        <w:topLinePunct w:val="0"/>
        <w:bidi w:val="0"/>
        <w:spacing w:beforeLines="0" w:afterLines="0" w:line="400" w:lineRule="exact"/>
        <w:ind w:left="0" w:leftChars="0" w:firstLine="0" w:firstLineChars="0"/>
        <w:jc w:val="left"/>
        <w:rPr>
          <w:rFonts w:hint="eastAsia" w:ascii="宋体" w:hAnsi="宋体"/>
          <w:sz w:val="28"/>
        </w:rPr>
      </w:pPr>
      <w:r>
        <w:rPr>
          <w:rFonts w:hint="eastAsia" w:ascii="宋体" w:hAnsi="宋体"/>
          <w:sz w:val="28"/>
        </w:rPr>
        <w:t>技术性能指标</w:t>
      </w:r>
    </w:p>
    <w:p>
      <w:pPr>
        <w:pStyle w:val="5"/>
      </w:pPr>
      <w:bookmarkStart w:id="40" w:name="_Toc355975710"/>
      <w:bookmarkStart w:id="41" w:name="_Toc228362290"/>
      <w:bookmarkStart w:id="42" w:name="_Toc223660253"/>
      <w:bookmarkStart w:id="43" w:name="_Toc232339026"/>
      <w:bookmarkStart w:id="44" w:name="_Toc232079004"/>
      <w:bookmarkStart w:id="45" w:name="_Toc232079272"/>
      <w:bookmarkStart w:id="46" w:name="_Toc223706111"/>
      <w:bookmarkStart w:id="47" w:name="_Toc210363839"/>
      <w:bookmarkStart w:id="48" w:name="_Toc232252098"/>
      <w:bookmarkStart w:id="49" w:name="_Toc230339581"/>
      <w:bookmarkStart w:id="50" w:name="_Toc233467086"/>
      <w:bookmarkStart w:id="51" w:name="_Toc223705816"/>
      <w:bookmarkStart w:id="52" w:name="_Toc230314225"/>
      <w:bookmarkStart w:id="53" w:name="_Toc223706222"/>
      <w:bookmarkStart w:id="54" w:name="_Toc228010712"/>
      <w:bookmarkStart w:id="55" w:name="_Toc361046277"/>
      <w:bookmarkStart w:id="56" w:name="_Toc228010796"/>
      <w:bookmarkStart w:id="57" w:name="_Toc360808416"/>
      <w:bookmarkStart w:id="58" w:name="_Toc357109651"/>
      <w:bookmarkStart w:id="59" w:name="_Toc230339509"/>
      <w:bookmarkStart w:id="60" w:name="_Toc355874146"/>
      <w:bookmarkStart w:id="61" w:name="_Toc231813914"/>
      <w:bookmarkStart w:id="62" w:name="_Toc228102625"/>
      <w:bookmarkStart w:id="63" w:name="_Toc357591156"/>
      <w:bookmarkStart w:id="64" w:name="_Toc230313097"/>
      <w:bookmarkStart w:id="65" w:name="_Toc228010609"/>
      <w:bookmarkStart w:id="66" w:name="_Toc355966377"/>
      <w:bookmarkStart w:id="67" w:name="_Toc231483496"/>
      <w:bookmarkStart w:id="68" w:name="_Toc496622434"/>
      <w:bookmarkStart w:id="69" w:name="_Toc355209700"/>
      <w:bookmarkStart w:id="70" w:name="_Toc355965691"/>
      <w:bookmarkStart w:id="71" w:name="_Toc155669604"/>
      <w:bookmarkStart w:id="72" w:name="_Toc155668523"/>
      <w:bookmarkStart w:id="73" w:name="_Toc228010793"/>
      <w:bookmarkStart w:id="74" w:name="_Toc3781735"/>
      <w:bookmarkStart w:id="75" w:name="_Toc228362287"/>
      <w:bookmarkStart w:id="76" w:name="_Toc155414477"/>
      <w:bookmarkStart w:id="77" w:name="_Toc155414299"/>
      <w:bookmarkStart w:id="78" w:name="_Toc3784378"/>
      <w:bookmarkStart w:id="79" w:name="_Toc156986183"/>
      <w:bookmarkStart w:id="80" w:name="_Toc155681833"/>
      <w:bookmarkStart w:id="81" w:name="_Toc223660251"/>
      <w:bookmarkStart w:id="82" w:name="_Toc210363853"/>
      <w:bookmarkStart w:id="83" w:name="_Toc156735569"/>
      <w:bookmarkStart w:id="84" w:name="_Toc230339578"/>
      <w:bookmarkStart w:id="85" w:name="_Toc232339023"/>
      <w:bookmarkStart w:id="86" w:name="_Toc158729829"/>
      <w:bookmarkStart w:id="87" w:name="_Toc155414660"/>
      <w:bookmarkStart w:id="88" w:name="_Toc3426381"/>
      <w:bookmarkStart w:id="89" w:name="_Toc233467083"/>
      <w:bookmarkStart w:id="90" w:name="_Toc160162648"/>
      <w:bookmarkStart w:id="91" w:name="_Toc223705814"/>
      <w:bookmarkStart w:id="92" w:name="_Toc160264741"/>
      <w:bookmarkStart w:id="93" w:name="_Toc158200001"/>
      <w:bookmarkStart w:id="94" w:name="_Toc223660271"/>
      <w:bookmarkStart w:id="95" w:name="_Toc152995989"/>
      <w:bookmarkStart w:id="96" w:name="_Toc160264719"/>
      <w:bookmarkStart w:id="97" w:name="_Toc156986371"/>
      <w:bookmarkStart w:id="98" w:name="_Toc158302111"/>
      <w:bookmarkStart w:id="99" w:name="_Toc230313094"/>
      <w:bookmarkStart w:id="100" w:name="_Toc228102622"/>
      <w:bookmarkStart w:id="101" w:name="_Toc223706239"/>
      <w:bookmarkStart w:id="102" w:name="_Toc223705833"/>
      <w:bookmarkStart w:id="103" w:name="_Toc228010709"/>
      <w:bookmarkStart w:id="104" w:name="_Toc228010606"/>
      <w:bookmarkStart w:id="105" w:name="_Toc223706220"/>
      <w:bookmarkStart w:id="106" w:name="_Toc155414636"/>
      <w:bookmarkStart w:id="107" w:name="_Toc155681810"/>
      <w:bookmarkStart w:id="108" w:name="_Toc223706128"/>
      <w:bookmarkStart w:id="109" w:name="_Toc155668499"/>
      <w:bookmarkStart w:id="110" w:name="_Toc230314222"/>
      <w:bookmarkStart w:id="111" w:name="_Toc3426531"/>
      <w:bookmarkStart w:id="112" w:name="_Toc152996013"/>
      <w:bookmarkStart w:id="113" w:name="_Toc156987854"/>
      <w:bookmarkStart w:id="114" w:name="_Toc5537987"/>
      <w:bookmarkStart w:id="115" w:name="_Toc230339506"/>
      <w:bookmarkStart w:id="116" w:name="_Toc114324093"/>
      <w:bookmarkStart w:id="117" w:name="_Toc160351516"/>
      <w:bookmarkStart w:id="118" w:name="_Toc160351494"/>
      <w:bookmarkStart w:id="119" w:name="_Toc231813911"/>
      <w:bookmarkStart w:id="120" w:name="_Toc223706109"/>
      <w:bookmarkStart w:id="121" w:name="_Toc232079269"/>
      <w:bookmarkStart w:id="122" w:name="_Toc3605133"/>
      <w:bookmarkStart w:id="123" w:name="_Toc122766647"/>
      <w:bookmarkStart w:id="124" w:name="_Toc11683098"/>
      <w:bookmarkStart w:id="125" w:name="_Toc119052956"/>
      <w:bookmarkStart w:id="126" w:name="_Toc156986161"/>
      <w:bookmarkStart w:id="127" w:name="_Toc113524482"/>
      <w:bookmarkStart w:id="128" w:name="_Toc160162626"/>
      <w:bookmarkStart w:id="129" w:name="_Toc106901852"/>
      <w:bookmarkStart w:id="130" w:name="_Toc11682964"/>
      <w:bookmarkStart w:id="131" w:name="_Toc210363837"/>
      <w:bookmarkStart w:id="132" w:name="_Toc3688008"/>
      <w:bookmarkStart w:id="133" w:name="_Toc232079001"/>
      <w:bookmarkStart w:id="134" w:name="_Toc115492432"/>
      <w:bookmarkStart w:id="135" w:name="_Toc3818954"/>
      <w:bookmarkStart w:id="136" w:name="_Toc156986349"/>
      <w:bookmarkStart w:id="137" w:name="_Toc231483493"/>
      <w:bookmarkStart w:id="138" w:name="_Toc3628015"/>
      <w:bookmarkStart w:id="139" w:name="_Toc5068845"/>
      <w:bookmarkStart w:id="140" w:name="_Toc158199979"/>
      <w:bookmarkStart w:id="141" w:name="_Toc3954037"/>
      <w:bookmarkStart w:id="142" w:name="_Toc116658764"/>
      <w:bookmarkStart w:id="143" w:name="_Toc3687418"/>
      <w:bookmarkStart w:id="144" w:name="_Toc121134676"/>
      <w:bookmarkStart w:id="145" w:name="_Toc155669581"/>
      <w:bookmarkStart w:id="146" w:name="_Toc156987832"/>
      <w:bookmarkStart w:id="147" w:name="_Toc158729807"/>
      <w:bookmarkStart w:id="148" w:name="_Toc106902388"/>
      <w:bookmarkStart w:id="149" w:name="_Toc113511792"/>
      <w:bookmarkStart w:id="150" w:name="_Toc232252095"/>
      <w:bookmarkStart w:id="151" w:name="_Toc156735547"/>
      <w:bookmarkStart w:id="152" w:name="_Toc119678471"/>
      <w:bookmarkStart w:id="153" w:name="_Toc117053525"/>
      <w:bookmarkStart w:id="154" w:name="_Toc119911213"/>
      <w:bookmarkStart w:id="155" w:name="_Toc115492292"/>
      <w:bookmarkStart w:id="156" w:name="_Toc106901053"/>
      <w:bookmarkStart w:id="157" w:name="_Toc158302089"/>
      <w:bookmarkStart w:id="158" w:name="_Toc114754960"/>
      <w:bookmarkStart w:id="159" w:name="_Toc115491925"/>
      <w:bookmarkStart w:id="160" w:name="_Toc53330988"/>
      <w:bookmarkStart w:id="161" w:name="_Toc53331227"/>
      <w:bookmarkStart w:id="162" w:name="_Toc53324621"/>
      <w:r>
        <w:t>潜污泵</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6"/>
      </w:pPr>
      <w:bookmarkStart w:id="163" w:name="_Toc155414316"/>
      <w:r>
        <w:t>工作范围</w:t>
      </w:r>
      <w:bookmarkEnd w:id="163"/>
    </w:p>
    <w:p>
      <w:pPr>
        <w:pStyle w:val="8"/>
      </w:pPr>
      <w:r>
        <w:t>卖方应提供保证设备安全、稳定、可靠运行的全套设备、辅助及安装连接附件，并负责安装指导、调试及试运行等工作。设备主要组成部分及供货范围（不限于此）：</w:t>
      </w:r>
    </w:p>
    <w:p>
      <w:pPr>
        <w:pStyle w:val="36"/>
      </w:pPr>
      <w:r>
        <w:t>进水提升泵（</w:t>
      </w:r>
      <w:r>
        <w:rPr>
          <w:lang w:eastAsia="zh-CN"/>
        </w:rPr>
        <w:t>CSR-PPU101/104</w:t>
      </w:r>
      <w:r>
        <w:t>）</w:t>
      </w:r>
    </w:p>
    <w:p>
      <w:pPr>
        <w:pStyle w:val="37"/>
        <w:widowControl w:val="0"/>
        <w:numPr>
          <w:ilvl w:val="3"/>
          <w:numId w:val="95"/>
        </w:numPr>
        <w:tabs>
          <w:tab w:val="left" w:pos="1661"/>
        </w:tabs>
        <w:spacing w:before="240" w:line="0" w:lineRule="atLeast"/>
        <w:ind w:left="1650" w:hanging="397"/>
      </w:pPr>
      <w:r>
        <w:t>装配完整的潜污泵（包括泵壳、叶轮、机械密封、泵轴等）</w:t>
      </w:r>
    </w:p>
    <w:p>
      <w:pPr>
        <w:pStyle w:val="37"/>
        <w:widowControl w:val="0"/>
        <w:numPr>
          <w:ilvl w:val="3"/>
          <w:numId w:val="95"/>
        </w:numPr>
        <w:tabs>
          <w:tab w:val="left" w:pos="1661"/>
        </w:tabs>
        <w:spacing w:before="240" w:line="0" w:lineRule="atLeast"/>
        <w:ind w:left="1650" w:hanging="397"/>
      </w:pPr>
      <w:r>
        <w:t>耐磨环</w:t>
      </w:r>
    </w:p>
    <w:p>
      <w:pPr>
        <w:pStyle w:val="37"/>
        <w:widowControl w:val="0"/>
        <w:numPr>
          <w:ilvl w:val="3"/>
          <w:numId w:val="95"/>
        </w:numPr>
        <w:tabs>
          <w:tab w:val="left" w:pos="1661"/>
        </w:tabs>
        <w:spacing w:before="240" w:line="0" w:lineRule="atLeast"/>
        <w:ind w:left="1650" w:hanging="397"/>
      </w:pPr>
      <w:r>
        <w:t>潜水电机</w:t>
      </w:r>
    </w:p>
    <w:p>
      <w:pPr>
        <w:pStyle w:val="37"/>
        <w:widowControl w:val="0"/>
        <w:numPr>
          <w:ilvl w:val="3"/>
          <w:numId w:val="95"/>
        </w:numPr>
        <w:tabs>
          <w:tab w:val="left" w:pos="1661"/>
        </w:tabs>
        <w:spacing w:before="240" w:line="0" w:lineRule="atLeast"/>
        <w:ind w:left="1650" w:hanging="397"/>
      </w:pPr>
      <w:r>
        <w:t>基座、鸭脚弯头及耦合装置</w:t>
      </w:r>
    </w:p>
    <w:p>
      <w:pPr>
        <w:pStyle w:val="37"/>
        <w:widowControl w:val="0"/>
        <w:numPr>
          <w:ilvl w:val="3"/>
          <w:numId w:val="95"/>
        </w:numPr>
        <w:tabs>
          <w:tab w:val="left" w:pos="1661"/>
        </w:tabs>
        <w:spacing w:before="240" w:line="0" w:lineRule="atLeast"/>
        <w:ind w:left="1650" w:hanging="397"/>
      </w:pPr>
      <w:r>
        <w:t>包括支架、提升链、提升倒链器（带间隔大环的不锈钢环链）、支撑件等全套提升装置</w:t>
      </w:r>
    </w:p>
    <w:p>
      <w:pPr>
        <w:pStyle w:val="37"/>
        <w:widowControl w:val="0"/>
        <w:numPr>
          <w:ilvl w:val="3"/>
          <w:numId w:val="95"/>
        </w:numPr>
        <w:tabs>
          <w:tab w:val="left" w:pos="1661"/>
          <w:tab w:val="clear" w:pos="1873"/>
        </w:tabs>
        <w:spacing w:before="240" w:line="0" w:lineRule="atLeast"/>
        <w:ind w:left="1873" w:leftChars="0" w:hanging="813" w:firstLineChars="0"/>
      </w:pPr>
      <w:r>
        <w:t>潜水电缆（</w:t>
      </w:r>
      <w:r>
        <w:rPr>
          <w:rFonts w:hint="eastAsia"/>
        </w:rPr>
        <w:t>电缆长度：根据现场条件配置</w:t>
      </w:r>
      <w:r>
        <w:t>）及保护套、电缆固定装置、接头、紧固件、电缆接线箱</w:t>
      </w:r>
    </w:p>
    <w:p>
      <w:pPr>
        <w:pStyle w:val="37"/>
        <w:widowControl w:val="0"/>
        <w:numPr>
          <w:ilvl w:val="3"/>
          <w:numId w:val="95"/>
        </w:numPr>
        <w:tabs>
          <w:tab w:val="left" w:pos="1661"/>
        </w:tabs>
        <w:spacing w:before="240" w:line="0" w:lineRule="atLeast"/>
        <w:ind w:left="1650" w:hanging="397"/>
      </w:pPr>
      <w:r>
        <w:t xml:space="preserve">低液位保护器、渗漏保护器、热敏开关 </w:t>
      </w:r>
    </w:p>
    <w:p>
      <w:pPr>
        <w:pStyle w:val="37"/>
        <w:widowControl w:val="0"/>
        <w:numPr>
          <w:ilvl w:val="3"/>
          <w:numId w:val="95"/>
        </w:numPr>
        <w:tabs>
          <w:tab w:val="left" w:pos="1661"/>
        </w:tabs>
        <w:spacing w:before="240" w:line="0" w:lineRule="atLeast"/>
        <w:ind w:left="1650" w:hanging="397"/>
      </w:pPr>
      <w:r>
        <w:t>变频器（</w:t>
      </w:r>
      <w:r>
        <w:rPr>
          <w:rFonts w:hint="eastAsia"/>
        </w:rPr>
        <w:t>全部</w:t>
      </w:r>
      <w:r>
        <w:t>变频，置于MCC内）</w:t>
      </w:r>
    </w:p>
    <w:p>
      <w:pPr>
        <w:pStyle w:val="37"/>
        <w:widowControl w:val="0"/>
        <w:numPr>
          <w:ilvl w:val="3"/>
          <w:numId w:val="95"/>
        </w:numPr>
        <w:tabs>
          <w:tab w:val="left" w:pos="1661"/>
        </w:tabs>
        <w:spacing w:before="240" w:line="0" w:lineRule="atLeast"/>
        <w:ind w:left="1650" w:hanging="397"/>
      </w:pPr>
      <w:r>
        <w:t>现场按钮箱（内置防渗漏保护器）</w:t>
      </w:r>
    </w:p>
    <w:p>
      <w:pPr>
        <w:pStyle w:val="37"/>
        <w:widowControl w:val="0"/>
        <w:numPr>
          <w:ilvl w:val="3"/>
          <w:numId w:val="95"/>
        </w:numPr>
        <w:tabs>
          <w:tab w:val="left" w:pos="1661"/>
        </w:tabs>
        <w:spacing w:before="240" w:line="0" w:lineRule="atLeast"/>
        <w:ind w:left="1650" w:hanging="397"/>
      </w:pPr>
      <w:r>
        <w:t>所有连接附件、化学地脚螺栓</w:t>
      </w:r>
      <w:r>
        <w:rPr>
          <w:rFonts w:hint="eastAsia"/>
        </w:rPr>
        <w:t>（含水泵出口法兰与出水管的法兰连接附件及密封垫片）</w:t>
      </w:r>
    </w:p>
    <w:p>
      <w:pPr>
        <w:pStyle w:val="36"/>
        <w:widowControl w:val="0"/>
        <w:rPr>
          <w:lang w:eastAsia="zh-CN"/>
        </w:rPr>
      </w:pPr>
      <w:r>
        <w:rPr>
          <w:rFonts w:hint="eastAsia"/>
          <w:lang w:eastAsia="zh-CN"/>
        </w:rPr>
        <w:t>浮渣冲洗泵</w:t>
      </w:r>
      <w:r>
        <w:t>（GRT-</w:t>
      </w:r>
      <w:r>
        <w:rPr>
          <w:lang w:eastAsia="zh-CN"/>
        </w:rPr>
        <w:t>PPU</w:t>
      </w:r>
      <w:r>
        <w:rPr>
          <w:rFonts w:hint="eastAsia"/>
          <w:lang w:eastAsia="zh-CN"/>
        </w:rPr>
        <w:t>1</w:t>
      </w:r>
      <w:r>
        <w:t>01）</w:t>
      </w:r>
    </w:p>
    <w:p>
      <w:pPr>
        <w:pStyle w:val="37"/>
        <w:widowControl w:val="0"/>
        <w:numPr>
          <w:ilvl w:val="3"/>
          <w:numId w:val="95"/>
        </w:numPr>
        <w:tabs>
          <w:tab w:val="left" w:pos="1661"/>
        </w:tabs>
        <w:spacing w:before="240" w:line="0" w:lineRule="atLeast"/>
        <w:ind w:left="1650" w:hanging="397"/>
      </w:pPr>
      <w:r>
        <w:t>装配完整的离心泵（包括泵壳、叶轮、机械密封、泵轴等）</w:t>
      </w:r>
    </w:p>
    <w:p>
      <w:pPr>
        <w:pStyle w:val="37"/>
        <w:widowControl w:val="0"/>
        <w:numPr>
          <w:ilvl w:val="3"/>
          <w:numId w:val="95"/>
        </w:numPr>
        <w:tabs>
          <w:tab w:val="left" w:pos="1661"/>
        </w:tabs>
        <w:spacing w:before="240" w:line="0" w:lineRule="atLeast"/>
        <w:ind w:left="1650" w:hanging="397"/>
      </w:pPr>
      <w:r>
        <w:t>耐磨环</w:t>
      </w:r>
    </w:p>
    <w:p>
      <w:pPr>
        <w:pStyle w:val="37"/>
        <w:widowControl w:val="0"/>
        <w:numPr>
          <w:ilvl w:val="3"/>
          <w:numId w:val="95"/>
        </w:numPr>
        <w:tabs>
          <w:tab w:val="left" w:pos="1661"/>
        </w:tabs>
        <w:spacing w:before="240" w:line="0" w:lineRule="atLeast"/>
        <w:ind w:left="1650" w:hanging="397"/>
      </w:pPr>
      <w:r>
        <w:t>电机</w:t>
      </w:r>
    </w:p>
    <w:p>
      <w:pPr>
        <w:pStyle w:val="37"/>
        <w:widowControl w:val="0"/>
        <w:numPr>
          <w:ilvl w:val="3"/>
          <w:numId w:val="95"/>
        </w:numPr>
        <w:tabs>
          <w:tab w:val="left" w:pos="1661"/>
        </w:tabs>
        <w:spacing w:before="240" w:line="0" w:lineRule="atLeast"/>
        <w:ind w:left="1650" w:hanging="397"/>
      </w:pPr>
      <w:r>
        <w:t>水泵电机底座</w:t>
      </w:r>
    </w:p>
    <w:p>
      <w:pPr>
        <w:pStyle w:val="37"/>
        <w:widowControl w:val="0"/>
        <w:numPr>
          <w:ilvl w:val="3"/>
          <w:numId w:val="95"/>
        </w:numPr>
        <w:tabs>
          <w:tab w:val="left" w:pos="1661"/>
        </w:tabs>
        <w:spacing w:before="240" w:line="0" w:lineRule="atLeast"/>
        <w:ind w:leftChars="0"/>
      </w:pPr>
      <w:r>
        <w:t>电缆（</w:t>
      </w:r>
      <w:r>
        <w:rPr>
          <w:rFonts w:hint="eastAsia"/>
        </w:rPr>
        <w:t>电缆长度：根据现场条件配置</w:t>
      </w:r>
      <w:r>
        <w:t>）及保护套、电缆固定装置、接头、紧固件、电缆接线箱</w:t>
      </w:r>
    </w:p>
    <w:p>
      <w:pPr>
        <w:pStyle w:val="37"/>
        <w:widowControl w:val="0"/>
        <w:numPr>
          <w:ilvl w:val="3"/>
          <w:numId w:val="95"/>
        </w:numPr>
        <w:tabs>
          <w:tab w:val="left" w:pos="1661"/>
        </w:tabs>
        <w:spacing w:before="240" w:line="0" w:lineRule="atLeast"/>
        <w:ind w:left="1650" w:hanging="397"/>
      </w:pPr>
      <w:r>
        <w:t xml:space="preserve">热敏开关 </w:t>
      </w:r>
    </w:p>
    <w:p>
      <w:pPr>
        <w:pStyle w:val="37"/>
        <w:widowControl w:val="0"/>
        <w:numPr>
          <w:ilvl w:val="3"/>
          <w:numId w:val="95"/>
        </w:numPr>
        <w:tabs>
          <w:tab w:val="left" w:pos="1661"/>
        </w:tabs>
        <w:spacing w:before="240" w:line="0" w:lineRule="atLeast"/>
        <w:ind w:left="1650" w:hanging="397"/>
      </w:pPr>
      <w:r>
        <w:t>现场按钮接线箱</w:t>
      </w:r>
    </w:p>
    <w:p>
      <w:pPr>
        <w:pStyle w:val="37"/>
        <w:widowControl w:val="0"/>
        <w:numPr>
          <w:ilvl w:val="3"/>
          <w:numId w:val="95"/>
        </w:numPr>
        <w:tabs>
          <w:tab w:val="left" w:pos="1661"/>
        </w:tabs>
        <w:spacing w:before="240" w:line="0" w:lineRule="atLeast"/>
        <w:ind w:left="1650" w:hanging="397"/>
        <w:rPr>
          <w:rFonts w:hint="eastAsia"/>
        </w:rPr>
      </w:pPr>
      <w:r>
        <w:t>所有连接附件、化学地脚螺栓</w:t>
      </w:r>
      <w:r>
        <w:rPr>
          <w:rFonts w:hint="eastAsia"/>
        </w:rPr>
        <w:t>（含水泵出口法兰与出水管的法兰连接附件及密封垫片）</w:t>
      </w:r>
    </w:p>
    <w:p>
      <w:pPr>
        <w:pStyle w:val="36"/>
      </w:pPr>
      <w:r>
        <w:t>内回流泵</w:t>
      </w:r>
      <w:r>
        <w:rPr>
          <w:lang w:eastAsia="zh-CN"/>
        </w:rPr>
        <w:t>（AER1/2-PSB101/02）</w:t>
      </w:r>
    </w:p>
    <w:p>
      <w:pPr>
        <w:pStyle w:val="37"/>
        <w:widowControl w:val="0"/>
        <w:numPr>
          <w:ilvl w:val="3"/>
          <w:numId w:val="95"/>
        </w:numPr>
        <w:tabs>
          <w:tab w:val="left" w:pos="1661"/>
        </w:tabs>
        <w:spacing w:before="240" w:line="0" w:lineRule="atLeast"/>
        <w:ind w:left="1650" w:hanging="397"/>
      </w:pPr>
      <w:r>
        <w:t>装配完整的内回流泵(包括叶轮、机械密封、轴等)</w:t>
      </w:r>
    </w:p>
    <w:p>
      <w:pPr>
        <w:pStyle w:val="37"/>
        <w:widowControl w:val="0"/>
        <w:numPr>
          <w:ilvl w:val="3"/>
          <w:numId w:val="95"/>
        </w:numPr>
        <w:tabs>
          <w:tab w:val="left" w:pos="1661"/>
        </w:tabs>
        <w:spacing w:before="240" w:line="0" w:lineRule="atLeast"/>
        <w:ind w:left="1650" w:hanging="397"/>
      </w:pPr>
      <w:r>
        <w:t>潜水电机</w:t>
      </w:r>
    </w:p>
    <w:p>
      <w:pPr>
        <w:pStyle w:val="37"/>
        <w:widowControl w:val="0"/>
        <w:numPr>
          <w:ilvl w:val="3"/>
          <w:numId w:val="95"/>
        </w:numPr>
        <w:tabs>
          <w:tab w:val="left" w:pos="1661"/>
        </w:tabs>
        <w:spacing w:before="240" w:line="0" w:lineRule="atLeast"/>
        <w:ind w:left="1650" w:hanging="397"/>
      </w:pPr>
      <w:r>
        <w:t>导杆</w:t>
      </w:r>
    </w:p>
    <w:p>
      <w:pPr>
        <w:pStyle w:val="37"/>
        <w:widowControl w:val="0"/>
        <w:numPr>
          <w:ilvl w:val="3"/>
          <w:numId w:val="95"/>
        </w:numPr>
        <w:tabs>
          <w:tab w:val="left" w:pos="1661"/>
        </w:tabs>
        <w:spacing w:before="240" w:line="0" w:lineRule="atLeast"/>
        <w:ind w:left="1650" w:hanging="397"/>
      </w:pPr>
      <w:r>
        <w:t>带有导向爪和托架的导流圈</w:t>
      </w:r>
    </w:p>
    <w:p>
      <w:pPr>
        <w:pStyle w:val="37"/>
        <w:widowControl w:val="0"/>
        <w:numPr>
          <w:ilvl w:val="3"/>
          <w:numId w:val="95"/>
        </w:numPr>
        <w:tabs>
          <w:tab w:val="left" w:pos="1661"/>
        </w:tabs>
        <w:spacing w:before="240" w:line="0" w:lineRule="atLeast"/>
        <w:ind w:left="1650" w:hanging="397"/>
      </w:pPr>
      <w:r>
        <w:t>提升链或杆</w:t>
      </w:r>
    </w:p>
    <w:p>
      <w:pPr>
        <w:pStyle w:val="37"/>
        <w:widowControl w:val="0"/>
        <w:numPr>
          <w:ilvl w:val="3"/>
          <w:numId w:val="95"/>
        </w:numPr>
        <w:tabs>
          <w:tab w:val="left" w:pos="1661"/>
        </w:tabs>
        <w:spacing w:before="240" w:line="0" w:lineRule="atLeast"/>
        <w:ind w:left="1650" w:hanging="397"/>
      </w:pPr>
      <w:r>
        <w:t>吊架固定座</w:t>
      </w:r>
    </w:p>
    <w:p>
      <w:pPr>
        <w:pStyle w:val="37"/>
        <w:widowControl w:val="0"/>
        <w:numPr>
          <w:ilvl w:val="3"/>
          <w:numId w:val="95"/>
        </w:numPr>
        <w:tabs>
          <w:tab w:val="left" w:pos="1661"/>
        </w:tabs>
        <w:spacing w:before="240" w:line="0" w:lineRule="atLeast"/>
        <w:ind w:left="1650" w:hanging="397"/>
      </w:pPr>
      <w:r>
        <w:rPr>
          <w:rFonts w:hint="eastAsia"/>
        </w:rPr>
        <w:t>固定式吊架及提升装置</w:t>
      </w:r>
    </w:p>
    <w:p>
      <w:pPr>
        <w:pStyle w:val="37"/>
        <w:widowControl w:val="0"/>
        <w:numPr>
          <w:ilvl w:val="3"/>
          <w:numId w:val="95"/>
        </w:numPr>
        <w:tabs>
          <w:tab w:val="left" w:pos="1661"/>
        </w:tabs>
        <w:spacing w:before="240" w:line="0" w:lineRule="atLeast"/>
        <w:ind w:left="1650" w:hanging="397"/>
      </w:pPr>
      <w:r>
        <w:t>每台泵需提供水下电缆</w:t>
      </w:r>
      <w:r>
        <w:rPr>
          <w:rFonts w:hint="eastAsia"/>
        </w:rPr>
        <w:t>（电</w:t>
      </w:r>
      <w:r>
        <w:t>缆长度：</w:t>
      </w:r>
      <w:r>
        <w:rPr>
          <w:rFonts w:hint="eastAsia"/>
        </w:rPr>
        <w:t>根据</w:t>
      </w:r>
      <w:r>
        <w:t>现场条件配置）及固定件、电缆固定装置、接头、紧固件、电缆接线箱</w:t>
      </w:r>
    </w:p>
    <w:p>
      <w:pPr>
        <w:pStyle w:val="37"/>
        <w:widowControl w:val="0"/>
        <w:numPr>
          <w:ilvl w:val="3"/>
          <w:numId w:val="95"/>
        </w:numPr>
        <w:tabs>
          <w:tab w:val="left" w:pos="1661"/>
        </w:tabs>
        <w:spacing w:before="240" w:line="0" w:lineRule="atLeast"/>
        <w:ind w:left="1650" w:hanging="397"/>
      </w:pPr>
      <w:r>
        <w:t>低液位保护器、渗漏保护器、过热保护器</w:t>
      </w:r>
    </w:p>
    <w:p>
      <w:pPr>
        <w:pStyle w:val="37"/>
        <w:widowControl w:val="0"/>
        <w:numPr>
          <w:ilvl w:val="3"/>
          <w:numId w:val="95"/>
        </w:numPr>
        <w:tabs>
          <w:tab w:val="left" w:pos="1661"/>
        </w:tabs>
        <w:spacing w:before="240" w:line="0" w:lineRule="atLeast"/>
        <w:ind w:left="1650" w:hanging="397"/>
      </w:pPr>
      <w:r>
        <w:t>现场按钮箱（内置防渗漏保护器）</w:t>
      </w:r>
    </w:p>
    <w:p>
      <w:pPr>
        <w:pStyle w:val="37"/>
        <w:widowControl w:val="0"/>
        <w:numPr>
          <w:ilvl w:val="3"/>
          <w:numId w:val="95"/>
        </w:numPr>
        <w:tabs>
          <w:tab w:val="left" w:pos="1661"/>
        </w:tabs>
        <w:spacing w:before="240" w:line="0" w:lineRule="atLeast"/>
        <w:ind w:left="1650" w:hanging="397"/>
      </w:pPr>
      <w:r>
        <w:t>内回流泵带变频</w:t>
      </w:r>
      <w:r>
        <w:rPr>
          <w:rFonts w:hint="eastAsia"/>
        </w:rPr>
        <w:t>（全部变频）</w:t>
      </w:r>
    </w:p>
    <w:p>
      <w:pPr>
        <w:pStyle w:val="37"/>
        <w:widowControl w:val="0"/>
        <w:numPr>
          <w:ilvl w:val="3"/>
          <w:numId w:val="95"/>
        </w:numPr>
        <w:tabs>
          <w:tab w:val="left" w:pos="1661"/>
        </w:tabs>
        <w:spacing w:before="240" w:line="0" w:lineRule="atLeast"/>
        <w:ind w:left="1650" w:hanging="397"/>
      </w:pPr>
      <w:r>
        <w:t>所有连接附件、化学地脚螺栓</w:t>
      </w:r>
    </w:p>
    <w:p>
      <w:pPr>
        <w:pStyle w:val="37"/>
        <w:widowControl w:val="0"/>
        <w:numPr>
          <w:ilvl w:val="3"/>
          <w:numId w:val="95"/>
        </w:numPr>
        <w:tabs>
          <w:tab w:val="left" w:pos="1661"/>
        </w:tabs>
        <w:spacing w:before="240" w:line="0" w:lineRule="atLeast"/>
        <w:ind w:left="1650" w:hanging="397"/>
      </w:pPr>
      <w:r>
        <w:t>池壁上带法兰的工艺管道（穿墙管，~1m/个）</w:t>
      </w:r>
    </w:p>
    <w:p>
      <w:pPr>
        <w:pStyle w:val="36"/>
        <w:widowControl w:val="0"/>
      </w:pPr>
      <w:bookmarkStart w:id="164" w:name="_Toc155414317"/>
      <w:r>
        <w:rPr>
          <w:lang w:eastAsia="zh-CN"/>
        </w:rPr>
        <w:t>回流污泥泵（</w:t>
      </w:r>
      <w:r>
        <w:rPr>
          <w:rFonts w:hint="eastAsia"/>
          <w:lang w:eastAsia="zh-CN"/>
        </w:rPr>
        <w:t>SP</w:t>
      </w:r>
      <w:r>
        <w:rPr>
          <w:lang w:eastAsia="zh-CN"/>
        </w:rPr>
        <w:t>-PSB</w:t>
      </w:r>
      <w:r>
        <w:rPr>
          <w:rFonts w:hint="eastAsia"/>
          <w:lang w:eastAsia="zh-CN"/>
        </w:rPr>
        <w:t>1</w:t>
      </w:r>
      <w:r>
        <w:rPr>
          <w:lang w:eastAsia="zh-CN"/>
        </w:rPr>
        <w:t>01/</w:t>
      </w:r>
      <w:r>
        <w:rPr>
          <w:rFonts w:hint="eastAsia"/>
          <w:lang w:eastAsia="zh-CN"/>
        </w:rPr>
        <w:t>1</w:t>
      </w:r>
      <w:r>
        <w:rPr>
          <w:lang w:eastAsia="zh-CN"/>
        </w:rPr>
        <w:t>03）</w:t>
      </w:r>
      <w:r>
        <w:rPr>
          <w:rFonts w:hint="eastAsia"/>
          <w:lang w:eastAsia="zh-CN"/>
        </w:rPr>
        <w:t>、潜水轴流泵（</w:t>
      </w:r>
      <w:r>
        <w:t>SCT-PSB101-03</w:t>
      </w:r>
      <w:r>
        <w:rPr>
          <w:rFonts w:hint="eastAsia"/>
          <w:lang w:eastAsia="zh-CN"/>
        </w:rPr>
        <w:t>）</w:t>
      </w:r>
    </w:p>
    <w:p>
      <w:pPr>
        <w:pStyle w:val="37"/>
        <w:widowControl w:val="0"/>
        <w:numPr>
          <w:ilvl w:val="3"/>
          <w:numId w:val="95"/>
        </w:numPr>
        <w:tabs>
          <w:tab w:val="left" w:pos="1661"/>
        </w:tabs>
        <w:spacing w:before="240" w:line="0" w:lineRule="atLeast"/>
        <w:ind w:left="1650" w:hanging="397"/>
      </w:pPr>
      <w:r>
        <w:t>装配完整的潜水轴流泵（包括潜水电机、泵壳、叶轮、机械密封、泵轴、耐磨环等）</w:t>
      </w:r>
    </w:p>
    <w:p>
      <w:pPr>
        <w:pStyle w:val="37"/>
        <w:widowControl w:val="0"/>
        <w:numPr>
          <w:ilvl w:val="3"/>
          <w:numId w:val="95"/>
        </w:numPr>
        <w:tabs>
          <w:tab w:val="left" w:pos="1661"/>
        </w:tabs>
        <w:spacing w:before="240" w:line="0" w:lineRule="atLeast"/>
        <w:ind w:left="1650" w:hanging="397"/>
      </w:pPr>
      <w:r>
        <w:t>提升链、钢丝绳、起吊锁扣、电缆固定夹、紧线器等</w:t>
      </w:r>
    </w:p>
    <w:p>
      <w:pPr>
        <w:pStyle w:val="37"/>
        <w:widowControl w:val="0"/>
        <w:numPr>
          <w:ilvl w:val="3"/>
          <w:numId w:val="95"/>
        </w:numPr>
        <w:tabs>
          <w:tab w:val="left" w:pos="1661"/>
        </w:tabs>
        <w:spacing w:before="240" w:line="0" w:lineRule="atLeast"/>
        <w:ind w:left="1650" w:hanging="397"/>
      </w:pPr>
      <w:r>
        <w:rPr>
          <w:rFonts w:hint="eastAsia"/>
        </w:rPr>
        <w:t>导流筒、导流筒支撑装置及支架及导流筒支架：与回流污泥泵配套</w:t>
      </w:r>
    </w:p>
    <w:p>
      <w:pPr>
        <w:pStyle w:val="37"/>
        <w:widowControl w:val="0"/>
        <w:numPr>
          <w:ilvl w:val="3"/>
          <w:numId w:val="95"/>
        </w:numPr>
        <w:tabs>
          <w:tab w:val="left" w:pos="1661"/>
        </w:tabs>
        <w:spacing w:before="240" w:line="0" w:lineRule="atLeast"/>
        <w:ind w:left="1650" w:hanging="397"/>
      </w:pPr>
      <w:r>
        <w:t>底部进水防旋板、其他污泥防堵塞措施或装置（如需要）：与回流污泥泵配套</w:t>
      </w:r>
    </w:p>
    <w:p>
      <w:pPr>
        <w:pStyle w:val="37"/>
        <w:widowControl w:val="0"/>
        <w:numPr>
          <w:ilvl w:val="3"/>
          <w:numId w:val="95"/>
        </w:numPr>
        <w:tabs>
          <w:tab w:val="left" w:pos="1661"/>
        </w:tabs>
        <w:spacing w:before="240" w:line="0" w:lineRule="atLeast"/>
        <w:ind w:left="1650" w:hanging="397"/>
      </w:pPr>
      <w:r>
        <w:t>每台回流污泥泵需提供潜水电缆</w:t>
      </w:r>
      <w:r>
        <w:rPr>
          <w:rFonts w:hint="eastAsia"/>
        </w:rPr>
        <w:t>（电缆长度：根据现场条件配置）</w:t>
      </w:r>
      <w:r>
        <w:t>及保护套、接头、紧固件、吊套等</w:t>
      </w:r>
    </w:p>
    <w:p>
      <w:pPr>
        <w:pStyle w:val="37"/>
        <w:widowControl w:val="0"/>
        <w:numPr>
          <w:ilvl w:val="3"/>
          <w:numId w:val="95"/>
        </w:numPr>
        <w:tabs>
          <w:tab w:val="left" w:pos="1661"/>
        </w:tabs>
        <w:spacing w:before="240" w:line="0" w:lineRule="atLeast"/>
        <w:ind w:left="1650" w:hanging="397"/>
      </w:pPr>
      <w:r>
        <w:t>现场控制箱（内置防渗漏保护器）</w:t>
      </w:r>
    </w:p>
    <w:p>
      <w:pPr>
        <w:pStyle w:val="37"/>
        <w:widowControl w:val="0"/>
        <w:numPr>
          <w:ilvl w:val="3"/>
          <w:numId w:val="95"/>
        </w:numPr>
        <w:tabs>
          <w:tab w:val="left" w:pos="1661"/>
        </w:tabs>
        <w:spacing w:before="240" w:line="0" w:lineRule="atLeast"/>
        <w:ind w:left="1650" w:hanging="397"/>
      </w:pPr>
      <w:r>
        <w:t>变频器</w:t>
      </w:r>
      <w:r>
        <w:rPr>
          <w:rFonts w:hint="eastAsia"/>
        </w:rPr>
        <w:t>（全变频）</w:t>
      </w:r>
    </w:p>
    <w:p>
      <w:pPr>
        <w:pStyle w:val="37"/>
        <w:widowControl w:val="0"/>
        <w:numPr>
          <w:ilvl w:val="3"/>
          <w:numId w:val="95"/>
        </w:numPr>
        <w:tabs>
          <w:tab w:val="left" w:pos="1661"/>
        </w:tabs>
        <w:spacing w:before="240" w:line="0" w:lineRule="atLeast"/>
        <w:ind w:left="1650" w:hanging="397"/>
      </w:pPr>
      <w:r>
        <w:t>所有连接附件、化学地脚螺栓</w:t>
      </w:r>
    </w:p>
    <w:p>
      <w:pPr>
        <w:pStyle w:val="36"/>
        <w:widowControl w:val="0"/>
        <w:rPr>
          <w:lang w:eastAsia="zh-CN"/>
        </w:rPr>
      </w:pPr>
      <w:r>
        <w:rPr>
          <w:lang w:eastAsia="zh-CN"/>
        </w:rPr>
        <w:t>剩余污泥泵（</w:t>
      </w:r>
      <w:r>
        <w:rPr>
          <w:rFonts w:hint="eastAsia"/>
          <w:lang w:eastAsia="zh-CN"/>
        </w:rPr>
        <w:t>SP</w:t>
      </w:r>
      <w:r>
        <w:rPr>
          <w:lang w:eastAsia="zh-CN"/>
        </w:rPr>
        <w:t>-PSB</w:t>
      </w:r>
      <w:r>
        <w:rPr>
          <w:rFonts w:hint="eastAsia"/>
          <w:lang w:eastAsia="zh-CN"/>
        </w:rPr>
        <w:t>2</w:t>
      </w:r>
      <w:r>
        <w:rPr>
          <w:lang w:eastAsia="zh-CN"/>
        </w:rPr>
        <w:t>01/</w:t>
      </w:r>
      <w:r>
        <w:rPr>
          <w:rFonts w:hint="eastAsia"/>
          <w:lang w:eastAsia="zh-CN"/>
        </w:rPr>
        <w:t>2</w:t>
      </w:r>
      <w:r>
        <w:rPr>
          <w:lang w:eastAsia="zh-CN"/>
        </w:rPr>
        <w:t>03）</w:t>
      </w:r>
    </w:p>
    <w:p>
      <w:pPr>
        <w:pStyle w:val="37"/>
        <w:widowControl w:val="0"/>
        <w:numPr>
          <w:ilvl w:val="3"/>
          <w:numId w:val="95"/>
        </w:numPr>
        <w:tabs>
          <w:tab w:val="left" w:pos="1661"/>
        </w:tabs>
        <w:spacing w:before="240" w:line="0" w:lineRule="atLeast"/>
        <w:ind w:left="1650" w:hanging="397"/>
      </w:pPr>
      <w:r>
        <w:t>装配完整的潜污泵（包括泵壳、叶轮、机械密封、泵轴等）</w:t>
      </w:r>
    </w:p>
    <w:p>
      <w:pPr>
        <w:pStyle w:val="37"/>
        <w:widowControl w:val="0"/>
        <w:numPr>
          <w:ilvl w:val="3"/>
          <w:numId w:val="95"/>
        </w:numPr>
        <w:tabs>
          <w:tab w:val="left" w:pos="1661"/>
        </w:tabs>
        <w:spacing w:before="240" w:line="0" w:lineRule="atLeast"/>
        <w:ind w:left="1650" w:hanging="397"/>
      </w:pPr>
      <w:r>
        <w:t>耐磨环</w:t>
      </w:r>
    </w:p>
    <w:p>
      <w:pPr>
        <w:pStyle w:val="37"/>
        <w:widowControl w:val="0"/>
        <w:numPr>
          <w:ilvl w:val="3"/>
          <w:numId w:val="95"/>
        </w:numPr>
        <w:tabs>
          <w:tab w:val="left" w:pos="1661"/>
        </w:tabs>
        <w:spacing w:before="240" w:line="0" w:lineRule="atLeast"/>
        <w:ind w:left="1650" w:hanging="397"/>
      </w:pPr>
      <w:r>
        <w:t>潜水电机</w:t>
      </w:r>
    </w:p>
    <w:p>
      <w:pPr>
        <w:pStyle w:val="37"/>
        <w:widowControl w:val="0"/>
        <w:numPr>
          <w:ilvl w:val="3"/>
          <w:numId w:val="95"/>
        </w:numPr>
        <w:tabs>
          <w:tab w:val="left" w:pos="1661"/>
        </w:tabs>
        <w:spacing w:before="240" w:line="0" w:lineRule="atLeast"/>
        <w:ind w:left="1650" w:hanging="397"/>
      </w:pPr>
      <w:r>
        <w:t>基座、鸭脚弯头及耦合装置</w:t>
      </w:r>
    </w:p>
    <w:p>
      <w:pPr>
        <w:pStyle w:val="37"/>
        <w:widowControl w:val="0"/>
        <w:numPr>
          <w:ilvl w:val="3"/>
          <w:numId w:val="95"/>
        </w:numPr>
        <w:tabs>
          <w:tab w:val="left" w:pos="1661"/>
        </w:tabs>
        <w:spacing w:before="240" w:line="0" w:lineRule="atLeast"/>
        <w:ind w:left="1650" w:hanging="397"/>
      </w:pPr>
      <w:r>
        <w:t>包括支架、导索/导杆、提升链、提升倒链器（带间隔大环的不锈钢环链）、支撑件等全套提升装置</w:t>
      </w:r>
    </w:p>
    <w:p>
      <w:pPr>
        <w:pStyle w:val="37"/>
        <w:widowControl w:val="0"/>
        <w:numPr>
          <w:ilvl w:val="3"/>
          <w:numId w:val="95"/>
        </w:numPr>
        <w:tabs>
          <w:tab w:val="left" w:pos="1661"/>
        </w:tabs>
        <w:spacing w:before="240" w:line="0" w:lineRule="atLeast"/>
        <w:ind w:left="1650" w:hanging="397"/>
      </w:pPr>
      <w:r>
        <w:t>潜水电缆（</w:t>
      </w:r>
      <w:r>
        <w:rPr>
          <w:rFonts w:hint="eastAsia"/>
        </w:rPr>
        <w:t>电缆长度：根据现场条件配置</w:t>
      </w:r>
      <w:r>
        <w:t>）及保护套、电缆固定装置、接头、紧固件、电缆接线箱</w:t>
      </w:r>
    </w:p>
    <w:p>
      <w:pPr>
        <w:pStyle w:val="37"/>
        <w:widowControl w:val="0"/>
        <w:numPr>
          <w:ilvl w:val="3"/>
          <w:numId w:val="95"/>
        </w:numPr>
        <w:tabs>
          <w:tab w:val="left" w:pos="1661"/>
        </w:tabs>
        <w:spacing w:before="240" w:line="0" w:lineRule="atLeast"/>
        <w:ind w:left="1650" w:hanging="397"/>
      </w:pPr>
      <w:r>
        <w:t xml:space="preserve">低液位保护器、渗漏保护器、热敏开关 </w:t>
      </w:r>
    </w:p>
    <w:p>
      <w:pPr>
        <w:pStyle w:val="37"/>
        <w:widowControl w:val="0"/>
        <w:numPr>
          <w:ilvl w:val="3"/>
          <w:numId w:val="95"/>
        </w:numPr>
        <w:tabs>
          <w:tab w:val="left" w:pos="1661"/>
        </w:tabs>
        <w:spacing w:before="240" w:line="0" w:lineRule="atLeast"/>
        <w:ind w:left="1650" w:hanging="397"/>
      </w:pPr>
      <w:r>
        <w:t>现场按钮箱（内置防渗漏保护器）</w:t>
      </w:r>
    </w:p>
    <w:p>
      <w:pPr>
        <w:pStyle w:val="37"/>
        <w:widowControl w:val="0"/>
        <w:numPr>
          <w:ilvl w:val="3"/>
          <w:numId w:val="95"/>
        </w:numPr>
        <w:tabs>
          <w:tab w:val="left" w:pos="1661"/>
        </w:tabs>
        <w:spacing w:before="240" w:line="0" w:lineRule="atLeast"/>
        <w:ind w:left="1650" w:hanging="397"/>
      </w:pPr>
      <w:r>
        <w:t>变频器（全部变频，置于MCC内）</w:t>
      </w:r>
    </w:p>
    <w:p>
      <w:pPr>
        <w:pStyle w:val="37"/>
        <w:widowControl w:val="0"/>
        <w:numPr>
          <w:ilvl w:val="3"/>
          <w:numId w:val="95"/>
        </w:numPr>
        <w:tabs>
          <w:tab w:val="left" w:pos="1661"/>
        </w:tabs>
        <w:spacing w:before="240" w:line="0" w:lineRule="atLeast"/>
        <w:ind w:left="1650" w:hanging="397"/>
      </w:pPr>
      <w:r>
        <w:t>所有连接附件、化学地脚螺栓</w:t>
      </w:r>
      <w:r>
        <w:rPr>
          <w:rFonts w:hint="eastAsia"/>
        </w:rPr>
        <w:t>（含水泵出口法兰与出水管的法兰连接附件及密封垫片）</w:t>
      </w:r>
    </w:p>
    <w:p>
      <w:pPr>
        <w:pStyle w:val="36"/>
        <w:widowControl w:val="0"/>
        <w:rPr>
          <w:lang w:eastAsia="zh-CN"/>
        </w:rPr>
      </w:pPr>
      <w:r>
        <w:rPr>
          <w:lang w:eastAsia="zh-CN"/>
        </w:rPr>
        <w:t>砂滤池进水提升泵（</w:t>
      </w:r>
      <w:r>
        <w:rPr>
          <w:rFonts w:hint="eastAsia"/>
          <w:lang w:eastAsia="zh-CN"/>
        </w:rPr>
        <w:t>LPW</w:t>
      </w:r>
      <w:r>
        <w:t>-PSB101/104</w:t>
      </w:r>
      <w:r>
        <w:rPr>
          <w:lang w:eastAsia="zh-CN"/>
        </w:rPr>
        <w:t>）</w:t>
      </w:r>
    </w:p>
    <w:p>
      <w:pPr>
        <w:pStyle w:val="37"/>
        <w:widowControl w:val="0"/>
        <w:numPr>
          <w:ilvl w:val="3"/>
          <w:numId w:val="95"/>
        </w:numPr>
        <w:tabs>
          <w:tab w:val="left" w:pos="1661"/>
        </w:tabs>
        <w:spacing w:before="240" w:line="0" w:lineRule="atLeast"/>
        <w:ind w:left="1650" w:hanging="397"/>
      </w:pPr>
      <w:r>
        <w:t>装配完整的潜污泵（包括泵壳、叶轮、机械密封、泵轴等）</w:t>
      </w:r>
    </w:p>
    <w:p>
      <w:pPr>
        <w:pStyle w:val="37"/>
        <w:widowControl w:val="0"/>
        <w:numPr>
          <w:ilvl w:val="3"/>
          <w:numId w:val="95"/>
        </w:numPr>
        <w:tabs>
          <w:tab w:val="left" w:pos="1661"/>
        </w:tabs>
        <w:spacing w:before="240" w:line="0" w:lineRule="atLeast"/>
        <w:ind w:left="1650" w:hanging="397"/>
      </w:pPr>
      <w:r>
        <w:t>耐磨环</w:t>
      </w:r>
    </w:p>
    <w:p>
      <w:pPr>
        <w:pStyle w:val="37"/>
        <w:widowControl w:val="0"/>
        <w:numPr>
          <w:ilvl w:val="3"/>
          <w:numId w:val="95"/>
        </w:numPr>
        <w:tabs>
          <w:tab w:val="left" w:pos="1661"/>
        </w:tabs>
        <w:spacing w:before="240" w:line="0" w:lineRule="atLeast"/>
        <w:ind w:left="1650" w:hanging="397"/>
      </w:pPr>
      <w:r>
        <w:t>潜水电机</w:t>
      </w:r>
    </w:p>
    <w:p>
      <w:pPr>
        <w:pStyle w:val="37"/>
        <w:widowControl w:val="0"/>
        <w:numPr>
          <w:ilvl w:val="3"/>
          <w:numId w:val="95"/>
        </w:numPr>
        <w:tabs>
          <w:tab w:val="left" w:pos="1661"/>
        </w:tabs>
        <w:spacing w:before="240" w:line="0" w:lineRule="atLeast"/>
        <w:ind w:left="1650" w:hanging="397"/>
      </w:pPr>
      <w:r>
        <w:t>基座、鸭脚弯头及耦合装置</w:t>
      </w:r>
    </w:p>
    <w:p>
      <w:pPr>
        <w:pStyle w:val="37"/>
        <w:widowControl w:val="0"/>
        <w:numPr>
          <w:ilvl w:val="3"/>
          <w:numId w:val="95"/>
        </w:numPr>
        <w:tabs>
          <w:tab w:val="left" w:pos="1661"/>
        </w:tabs>
        <w:spacing w:before="240" w:line="0" w:lineRule="atLeast"/>
        <w:ind w:left="1650" w:hanging="397"/>
      </w:pPr>
      <w:r>
        <w:t>包括支架、导索/导杆、提升链、提升倒链器（带间隔大环的不锈钢环链）、支撑件等全套提升装置</w:t>
      </w:r>
    </w:p>
    <w:p>
      <w:pPr>
        <w:pStyle w:val="37"/>
        <w:widowControl w:val="0"/>
        <w:numPr>
          <w:ilvl w:val="3"/>
          <w:numId w:val="95"/>
        </w:numPr>
        <w:tabs>
          <w:tab w:val="left" w:pos="1661"/>
        </w:tabs>
        <w:spacing w:before="240" w:line="0" w:lineRule="atLeast"/>
        <w:ind w:left="1650" w:hanging="397"/>
      </w:pPr>
      <w:r>
        <w:t>潜水电缆（</w:t>
      </w:r>
      <w:r>
        <w:rPr>
          <w:rFonts w:hint="eastAsia"/>
        </w:rPr>
        <w:t>电缆长度：根据现场条件配置</w:t>
      </w:r>
      <w:r>
        <w:t>）及保护套、电缆固定装置、接头、紧固件、电缆接线箱</w:t>
      </w:r>
    </w:p>
    <w:p>
      <w:pPr>
        <w:pStyle w:val="37"/>
        <w:widowControl w:val="0"/>
        <w:numPr>
          <w:ilvl w:val="3"/>
          <w:numId w:val="95"/>
        </w:numPr>
        <w:tabs>
          <w:tab w:val="left" w:pos="1661"/>
        </w:tabs>
        <w:spacing w:before="240" w:line="0" w:lineRule="atLeast"/>
        <w:ind w:left="1650" w:hanging="397"/>
      </w:pPr>
      <w:r>
        <w:t xml:space="preserve">低液位保护器、渗漏保护器、热敏开关 </w:t>
      </w:r>
    </w:p>
    <w:p>
      <w:pPr>
        <w:pStyle w:val="37"/>
        <w:widowControl w:val="0"/>
        <w:numPr>
          <w:ilvl w:val="3"/>
          <w:numId w:val="95"/>
        </w:numPr>
        <w:tabs>
          <w:tab w:val="left" w:pos="1661"/>
        </w:tabs>
        <w:spacing w:before="240" w:line="0" w:lineRule="atLeast"/>
        <w:ind w:left="1650" w:hanging="397"/>
      </w:pPr>
      <w:r>
        <w:t>现场按钮箱（内置防渗漏保护器）</w:t>
      </w:r>
    </w:p>
    <w:p>
      <w:pPr>
        <w:pStyle w:val="37"/>
        <w:widowControl w:val="0"/>
        <w:numPr>
          <w:ilvl w:val="3"/>
          <w:numId w:val="95"/>
        </w:numPr>
        <w:tabs>
          <w:tab w:val="left" w:pos="1661"/>
        </w:tabs>
        <w:spacing w:before="240" w:line="0" w:lineRule="atLeast"/>
        <w:ind w:left="1650" w:hanging="397"/>
      </w:pPr>
      <w:r>
        <w:t>变频器（</w:t>
      </w:r>
      <w:r>
        <w:rPr>
          <w:rFonts w:hint="eastAsia"/>
        </w:rPr>
        <w:t>全</w:t>
      </w:r>
      <w:r>
        <w:t>变频，置于MCC内）</w:t>
      </w:r>
    </w:p>
    <w:p>
      <w:pPr>
        <w:pStyle w:val="37"/>
        <w:widowControl w:val="0"/>
        <w:numPr>
          <w:ilvl w:val="3"/>
          <w:numId w:val="95"/>
        </w:numPr>
        <w:tabs>
          <w:tab w:val="left" w:pos="1661"/>
        </w:tabs>
        <w:spacing w:before="240" w:line="0" w:lineRule="atLeast"/>
        <w:ind w:left="1650" w:hanging="397"/>
      </w:pPr>
      <w:r>
        <w:t>所有连接附件、化学地脚螺栓</w:t>
      </w:r>
      <w:r>
        <w:rPr>
          <w:rFonts w:hint="eastAsia"/>
        </w:rPr>
        <w:t>（含水泵出口法兰与出水管的法兰连接附件及密封垫片）</w:t>
      </w:r>
    </w:p>
    <w:p>
      <w:pPr>
        <w:pStyle w:val="36"/>
        <w:widowControl w:val="0"/>
        <w:rPr>
          <w:lang w:eastAsia="zh-CN"/>
        </w:rPr>
      </w:pPr>
      <w:r>
        <w:rPr>
          <w:lang w:eastAsia="zh-CN"/>
        </w:rPr>
        <w:t>砂滤池反冲洗排水泵（</w:t>
      </w:r>
      <w:r>
        <w:rPr>
          <w:rFonts w:hint="eastAsia"/>
          <w:lang w:eastAsia="zh-CN"/>
        </w:rPr>
        <w:t>WPF</w:t>
      </w:r>
      <w:r>
        <w:t>-PSB</w:t>
      </w:r>
      <w:r>
        <w:rPr>
          <w:rFonts w:hint="eastAsia"/>
          <w:lang w:eastAsia="zh-CN"/>
        </w:rPr>
        <w:t>1</w:t>
      </w:r>
      <w:r>
        <w:t>01/</w:t>
      </w:r>
      <w:r>
        <w:rPr>
          <w:rFonts w:hint="eastAsia"/>
          <w:lang w:eastAsia="zh-CN"/>
        </w:rPr>
        <w:t>1</w:t>
      </w:r>
      <w:r>
        <w:t>0</w:t>
      </w:r>
      <w:r>
        <w:rPr>
          <w:lang w:eastAsia="zh-CN"/>
        </w:rPr>
        <w:t>2）</w:t>
      </w:r>
    </w:p>
    <w:p>
      <w:pPr>
        <w:pStyle w:val="37"/>
        <w:widowControl w:val="0"/>
        <w:numPr>
          <w:ilvl w:val="3"/>
          <w:numId w:val="95"/>
        </w:numPr>
        <w:tabs>
          <w:tab w:val="left" w:pos="1661"/>
        </w:tabs>
        <w:spacing w:before="240" w:line="0" w:lineRule="atLeast"/>
        <w:ind w:left="1650" w:hanging="397"/>
      </w:pPr>
      <w:r>
        <w:t>装配完整的潜污泵（包括泵壳、叶轮、机械密封、泵轴等）</w:t>
      </w:r>
    </w:p>
    <w:p>
      <w:pPr>
        <w:pStyle w:val="37"/>
        <w:widowControl w:val="0"/>
        <w:numPr>
          <w:ilvl w:val="3"/>
          <w:numId w:val="95"/>
        </w:numPr>
        <w:tabs>
          <w:tab w:val="left" w:pos="1661"/>
        </w:tabs>
        <w:spacing w:before="240" w:line="0" w:lineRule="atLeast"/>
        <w:ind w:left="1650" w:hanging="397"/>
      </w:pPr>
      <w:r>
        <w:t>耐磨环</w:t>
      </w:r>
    </w:p>
    <w:p>
      <w:pPr>
        <w:pStyle w:val="37"/>
        <w:widowControl w:val="0"/>
        <w:numPr>
          <w:ilvl w:val="3"/>
          <w:numId w:val="95"/>
        </w:numPr>
        <w:tabs>
          <w:tab w:val="left" w:pos="1661"/>
        </w:tabs>
        <w:spacing w:before="240" w:line="0" w:lineRule="atLeast"/>
        <w:ind w:left="1650" w:hanging="397"/>
      </w:pPr>
      <w:r>
        <w:t>潜水电机</w:t>
      </w:r>
    </w:p>
    <w:p>
      <w:pPr>
        <w:pStyle w:val="37"/>
        <w:widowControl w:val="0"/>
        <w:numPr>
          <w:ilvl w:val="3"/>
          <w:numId w:val="95"/>
        </w:numPr>
        <w:tabs>
          <w:tab w:val="left" w:pos="1661"/>
        </w:tabs>
        <w:spacing w:before="240" w:line="0" w:lineRule="atLeast"/>
        <w:ind w:left="1650" w:hanging="397"/>
      </w:pPr>
      <w:r>
        <w:t>基座、鸭脚弯头及耦合装置</w:t>
      </w:r>
    </w:p>
    <w:p>
      <w:pPr>
        <w:pStyle w:val="37"/>
        <w:widowControl w:val="0"/>
        <w:numPr>
          <w:ilvl w:val="3"/>
          <w:numId w:val="95"/>
        </w:numPr>
        <w:tabs>
          <w:tab w:val="left" w:pos="1661"/>
        </w:tabs>
        <w:spacing w:before="240" w:line="0" w:lineRule="atLeast"/>
        <w:ind w:left="1650" w:hanging="397"/>
      </w:pPr>
      <w:r>
        <w:t>包括支架、导索/导杆、提升链、提升倒链器（带间隔大环的不锈钢环链）、支撑件等全套提升装置</w:t>
      </w:r>
    </w:p>
    <w:p>
      <w:pPr>
        <w:pStyle w:val="37"/>
        <w:widowControl w:val="0"/>
        <w:numPr>
          <w:ilvl w:val="3"/>
          <w:numId w:val="95"/>
        </w:numPr>
        <w:tabs>
          <w:tab w:val="left" w:pos="1661"/>
        </w:tabs>
        <w:spacing w:before="240" w:line="0" w:lineRule="atLeast"/>
        <w:ind w:left="1650" w:hanging="397"/>
      </w:pPr>
      <w:r>
        <w:t>潜水电缆（</w:t>
      </w:r>
      <w:r>
        <w:rPr>
          <w:rFonts w:hint="eastAsia"/>
        </w:rPr>
        <w:t>电缆长度：根据现场条件配置</w:t>
      </w:r>
      <w:r>
        <w:t>）及保护套、电缆固定装置、接头、紧固件、电缆接线箱</w:t>
      </w:r>
    </w:p>
    <w:p>
      <w:pPr>
        <w:pStyle w:val="37"/>
        <w:widowControl w:val="0"/>
        <w:numPr>
          <w:ilvl w:val="3"/>
          <w:numId w:val="95"/>
        </w:numPr>
        <w:tabs>
          <w:tab w:val="left" w:pos="1661"/>
        </w:tabs>
        <w:spacing w:before="240" w:line="0" w:lineRule="atLeast"/>
        <w:ind w:left="1650" w:hanging="397"/>
      </w:pPr>
      <w:r>
        <w:t xml:space="preserve">低液位保护器、渗漏保护器、热敏开关 </w:t>
      </w:r>
    </w:p>
    <w:p>
      <w:pPr>
        <w:pStyle w:val="37"/>
        <w:widowControl w:val="0"/>
        <w:numPr>
          <w:ilvl w:val="3"/>
          <w:numId w:val="95"/>
        </w:numPr>
        <w:tabs>
          <w:tab w:val="left" w:pos="1661"/>
        </w:tabs>
        <w:spacing w:before="240" w:line="0" w:lineRule="atLeast"/>
        <w:ind w:left="1650" w:hanging="397"/>
        <w:rPr>
          <w:rFonts w:hint="eastAsia"/>
        </w:rPr>
      </w:pPr>
      <w:r>
        <w:t>现场按钮箱（内置防渗漏保护器）</w:t>
      </w:r>
    </w:p>
    <w:p>
      <w:pPr>
        <w:pStyle w:val="37"/>
        <w:widowControl w:val="0"/>
        <w:numPr>
          <w:ilvl w:val="3"/>
          <w:numId w:val="95"/>
        </w:numPr>
        <w:tabs>
          <w:tab w:val="left" w:pos="1661"/>
        </w:tabs>
        <w:spacing w:before="240" w:line="0" w:lineRule="atLeast"/>
        <w:ind w:left="1650" w:hanging="397"/>
      </w:pPr>
      <w:r>
        <w:t>所有连接附件、化学地脚螺栓</w:t>
      </w:r>
      <w:r>
        <w:rPr>
          <w:rFonts w:hint="eastAsia"/>
        </w:rPr>
        <w:t>（含水泵出口法兰与出水管的法兰连接附件及密封垫片）</w:t>
      </w:r>
    </w:p>
    <w:p>
      <w:pPr>
        <w:pStyle w:val="36"/>
      </w:pPr>
      <w:r>
        <w:t>砂滤池潜水排污泵（</w:t>
      </w:r>
      <w:r>
        <w:rPr>
          <w:szCs w:val="21"/>
        </w:rPr>
        <w:t>FLT-PSB301</w:t>
      </w:r>
      <w:r>
        <w:t>）；</w:t>
      </w:r>
      <w:r>
        <w:rPr>
          <w:rFonts w:hint="eastAsia"/>
        </w:rPr>
        <w:t>生产用水</w:t>
      </w:r>
      <w:r>
        <w:t>泵房潜水排污泵(SPB-PSB 101)</w:t>
      </w:r>
      <w:r>
        <w:rPr>
          <w:rFonts w:hint="eastAsia"/>
        </w:rPr>
        <w:t>、污泥脱水机房</w:t>
      </w:r>
      <w:r>
        <w:t>潜污泵</w:t>
      </w:r>
      <w:r>
        <w:rPr>
          <w:rFonts w:hint="eastAsia"/>
        </w:rPr>
        <w:t>（</w:t>
      </w:r>
      <w:r>
        <w:rPr>
          <w:lang w:eastAsia="zh-CN"/>
        </w:rPr>
        <w:t>SDH-PVL501</w:t>
      </w:r>
      <w:r>
        <w:rPr>
          <w:rFonts w:hint="eastAsia"/>
        </w:rPr>
        <w:t>）</w:t>
      </w:r>
    </w:p>
    <w:p>
      <w:pPr>
        <w:pStyle w:val="37"/>
        <w:widowControl w:val="0"/>
        <w:numPr>
          <w:ilvl w:val="3"/>
          <w:numId w:val="95"/>
        </w:numPr>
        <w:tabs>
          <w:tab w:val="left" w:pos="1661"/>
        </w:tabs>
        <w:spacing w:before="240" w:line="0" w:lineRule="atLeast"/>
        <w:ind w:left="1650" w:hanging="397"/>
      </w:pPr>
      <w:r>
        <w:t>装配完整的潜污泵（包括泵壳、叶轮、机械密封、泵轴等）</w:t>
      </w:r>
    </w:p>
    <w:p>
      <w:pPr>
        <w:pStyle w:val="37"/>
        <w:widowControl w:val="0"/>
        <w:numPr>
          <w:ilvl w:val="3"/>
          <w:numId w:val="95"/>
        </w:numPr>
        <w:tabs>
          <w:tab w:val="left" w:pos="1661"/>
        </w:tabs>
        <w:spacing w:before="240" w:line="0" w:lineRule="atLeast"/>
        <w:ind w:left="1650" w:hanging="397"/>
      </w:pPr>
      <w:r>
        <w:t>潜水电机</w:t>
      </w:r>
    </w:p>
    <w:p>
      <w:pPr>
        <w:pStyle w:val="37"/>
        <w:widowControl w:val="0"/>
        <w:numPr>
          <w:ilvl w:val="3"/>
          <w:numId w:val="95"/>
        </w:numPr>
        <w:tabs>
          <w:tab w:val="left" w:pos="1661"/>
        </w:tabs>
        <w:spacing w:before="240" w:line="0" w:lineRule="atLeast"/>
        <w:ind w:left="1650" w:hanging="397"/>
      </w:pPr>
      <w:r>
        <w:t>包括支架、提升链全套提升装置等</w:t>
      </w:r>
    </w:p>
    <w:p>
      <w:pPr>
        <w:pStyle w:val="37"/>
        <w:widowControl w:val="0"/>
        <w:numPr>
          <w:ilvl w:val="3"/>
          <w:numId w:val="95"/>
        </w:numPr>
        <w:tabs>
          <w:tab w:val="left" w:pos="1661"/>
        </w:tabs>
        <w:spacing w:before="240" w:line="0" w:lineRule="atLeast"/>
        <w:ind w:left="1650" w:hanging="397"/>
      </w:pPr>
      <w:r>
        <w:t>潜水电缆（</w:t>
      </w:r>
      <w:r>
        <w:rPr>
          <w:rFonts w:hint="eastAsia"/>
        </w:rPr>
        <w:t>电缆长度：根据现场条件配置</w:t>
      </w:r>
      <w:r>
        <w:t>）、接头、紧固件、电缆接线箱</w:t>
      </w:r>
    </w:p>
    <w:p>
      <w:pPr>
        <w:pStyle w:val="37"/>
        <w:widowControl w:val="0"/>
        <w:numPr>
          <w:ilvl w:val="3"/>
          <w:numId w:val="95"/>
        </w:numPr>
        <w:tabs>
          <w:tab w:val="left" w:pos="1661"/>
        </w:tabs>
        <w:spacing w:before="240" w:line="0" w:lineRule="atLeast"/>
        <w:ind w:left="1650" w:hanging="397"/>
      </w:pPr>
      <w:r>
        <w:t>液位</w:t>
      </w:r>
      <w:r>
        <w:rPr>
          <w:rFonts w:hint="eastAsia"/>
        </w:rPr>
        <w:t>控制装置，具有低液位停泵、高液位启泵、超过液位报警功能</w:t>
      </w:r>
    </w:p>
    <w:p>
      <w:pPr>
        <w:pStyle w:val="37"/>
        <w:widowControl w:val="0"/>
        <w:numPr>
          <w:ilvl w:val="3"/>
          <w:numId w:val="95"/>
        </w:numPr>
        <w:tabs>
          <w:tab w:val="left" w:pos="1661"/>
        </w:tabs>
        <w:spacing w:before="240" w:line="0" w:lineRule="atLeast"/>
        <w:ind w:left="1650" w:hanging="397"/>
        <w:rPr>
          <w:rFonts w:hint="eastAsia"/>
        </w:rPr>
      </w:pPr>
      <w:r>
        <w:rPr>
          <w:rFonts w:hint="eastAsia"/>
        </w:rPr>
        <w:t>现场控制箱，箱内预留远方控制接点及运行故障无源接点信号端子至PLC</w:t>
      </w:r>
    </w:p>
    <w:p>
      <w:pPr>
        <w:pStyle w:val="37"/>
        <w:widowControl w:val="0"/>
        <w:numPr>
          <w:ilvl w:val="3"/>
          <w:numId w:val="95"/>
        </w:numPr>
        <w:tabs>
          <w:tab w:val="left" w:pos="1661"/>
        </w:tabs>
        <w:spacing w:before="240" w:line="0" w:lineRule="atLeast"/>
        <w:ind w:left="1650" w:hanging="397"/>
      </w:pPr>
      <w:r>
        <w:t>带3米排水软管及</w:t>
      </w:r>
      <w:r>
        <w:rPr>
          <w:rFonts w:hint="eastAsia"/>
        </w:rPr>
        <w:t>不</w:t>
      </w:r>
      <w:r>
        <w:t>锈钢卡箍</w:t>
      </w:r>
      <w:r>
        <w:rPr>
          <w:rFonts w:hint="eastAsia"/>
        </w:rPr>
        <w:t>等</w:t>
      </w:r>
      <w:r>
        <w:t>连接件</w:t>
      </w:r>
    </w:p>
    <w:p>
      <w:pPr>
        <w:pStyle w:val="37"/>
        <w:widowControl w:val="0"/>
        <w:numPr>
          <w:ilvl w:val="3"/>
          <w:numId w:val="95"/>
        </w:numPr>
        <w:tabs>
          <w:tab w:val="left" w:pos="1661"/>
        </w:tabs>
        <w:spacing w:before="240" w:line="0" w:lineRule="atLeast"/>
        <w:ind w:left="1650" w:hanging="397"/>
        <w:rPr>
          <w:rFonts w:hint="eastAsia"/>
        </w:rPr>
      </w:pPr>
      <w:r>
        <w:t>带</w:t>
      </w:r>
      <w:r>
        <w:rPr>
          <w:rFonts w:hint="eastAsia"/>
        </w:rPr>
        <w:t>DN80</w:t>
      </w:r>
      <w:r>
        <w:t>出口阀及止回阀</w:t>
      </w:r>
    </w:p>
    <w:p>
      <w:pPr>
        <w:pStyle w:val="37"/>
        <w:widowControl w:val="0"/>
        <w:numPr>
          <w:ilvl w:val="3"/>
          <w:numId w:val="95"/>
        </w:numPr>
        <w:tabs>
          <w:tab w:val="left" w:pos="1661"/>
        </w:tabs>
        <w:spacing w:before="240" w:line="0" w:lineRule="atLeast"/>
        <w:ind w:left="1650" w:hanging="397"/>
      </w:pPr>
      <w:r>
        <w:t>所有连接附件、化学地脚螺栓</w:t>
      </w:r>
    </w:p>
    <w:p>
      <w:pPr>
        <w:pStyle w:val="6"/>
      </w:pPr>
      <w:r>
        <w:t>现场条件及技术性能</w:t>
      </w:r>
      <w:bookmarkEnd w:id="164"/>
    </w:p>
    <w:p>
      <w:pPr>
        <w:pStyle w:val="8"/>
      </w:pPr>
      <w:r>
        <w:t>现场条件</w:t>
      </w:r>
    </w:p>
    <w:p>
      <w:pPr>
        <w:pStyle w:val="36"/>
        <w:widowControl w:val="0"/>
      </w:pPr>
      <w:r>
        <w:t>表一</w:t>
      </w:r>
    </w:p>
    <w:tbl>
      <w:tblPr>
        <w:tblStyle w:val="19"/>
        <w:tblW w:w="8421"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27"/>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b/>
                <w:kern w:val="0"/>
                <w:sz w:val="21"/>
                <w:szCs w:val="21"/>
              </w:rPr>
            </w:pPr>
            <w:r>
              <w:rPr>
                <w:b/>
                <w:kern w:val="0"/>
                <w:sz w:val="21"/>
                <w:szCs w:val="21"/>
              </w:rPr>
              <w:t>设备名称</w:t>
            </w:r>
          </w:p>
        </w:tc>
        <w:tc>
          <w:tcPr>
            <w:tcW w:w="2127"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进水提升泵</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rFonts w:hint="eastAsia"/>
                <w:b/>
                <w:bCs/>
                <w:kern w:val="0"/>
                <w:sz w:val="21"/>
                <w:szCs w:val="21"/>
              </w:rPr>
              <w:t>浮渣冲洗泵</w:t>
            </w:r>
          </w:p>
        </w:tc>
        <w:tc>
          <w:tcPr>
            <w:tcW w:w="2126" w:type="dxa"/>
            <w:vAlign w:val="center"/>
          </w:tcPr>
          <w:p>
            <w:pPr>
              <w:pStyle w:val="37"/>
              <w:widowControl w:val="0"/>
              <w:tabs>
                <w:tab w:val="clear" w:pos="1020"/>
                <w:tab w:val="clear" w:pos="1090"/>
              </w:tabs>
              <w:spacing w:before="120" w:beforeLines="50" w:after="0" w:line="0" w:lineRule="atLeast"/>
              <w:ind w:left="0" w:leftChars="0" w:firstLine="0"/>
              <w:jc w:val="center"/>
              <w:rPr>
                <w:bCs/>
                <w:sz w:val="21"/>
                <w:szCs w:val="21"/>
              </w:rPr>
            </w:pPr>
            <w:r>
              <w:rPr>
                <w:b/>
                <w:bCs/>
                <w:sz w:val="21"/>
                <w:szCs w:val="21"/>
              </w:rPr>
              <w:t xml:space="preserve">内回流泵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设备编号</w:t>
            </w:r>
          </w:p>
        </w:tc>
        <w:tc>
          <w:tcPr>
            <w:tcW w:w="2127"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rFonts w:hint="eastAsia"/>
                <w:kern w:val="0"/>
                <w:sz w:val="21"/>
                <w:szCs w:val="21"/>
              </w:rPr>
              <w:t>CSR</w:t>
            </w:r>
            <w:r>
              <w:rPr>
                <w:kern w:val="0"/>
                <w:sz w:val="21"/>
                <w:szCs w:val="21"/>
              </w:rPr>
              <w:t>-PPU101/10</w:t>
            </w:r>
            <w:r>
              <w:rPr>
                <w:rFonts w:hint="eastAsia"/>
                <w:kern w:val="0"/>
                <w:sz w:val="21"/>
                <w:szCs w:val="21"/>
              </w:rPr>
              <w:t>4</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GRT-PPU</w:t>
            </w:r>
            <w:r>
              <w:rPr>
                <w:rFonts w:hint="eastAsia"/>
                <w:kern w:val="0"/>
                <w:sz w:val="21"/>
                <w:szCs w:val="21"/>
              </w:rPr>
              <w:t>1</w:t>
            </w:r>
            <w:r>
              <w:rPr>
                <w:kern w:val="0"/>
                <w:sz w:val="21"/>
                <w:szCs w:val="21"/>
              </w:rPr>
              <w:t>01</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AER1/2-PSB101/02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数量</w:t>
            </w:r>
          </w:p>
        </w:tc>
        <w:tc>
          <w:tcPr>
            <w:tcW w:w="2127"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rFonts w:hint="eastAsia"/>
                <w:kern w:val="0"/>
                <w:sz w:val="21"/>
                <w:szCs w:val="21"/>
              </w:rPr>
              <w:t>4</w:t>
            </w:r>
            <w:r>
              <w:rPr>
                <w:kern w:val="0"/>
                <w:sz w:val="21"/>
                <w:szCs w:val="21"/>
              </w:rPr>
              <w:t>套（</w:t>
            </w:r>
            <w:r>
              <w:rPr>
                <w:rFonts w:hint="eastAsia"/>
                <w:kern w:val="0"/>
                <w:sz w:val="21"/>
                <w:szCs w:val="21"/>
              </w:rPr>
              <w:t>全部变频</w:t>
            </w:r>
            <w:r>
              <w:rPr>
                <w:kern w:val="0"/>
                <w:sz w:val="21"/>
                <w:szCs w:val="21"/>
              </w:rPr>
              <w:t>）</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rFonts w:hint="eastAsia"/>
                <w:kern w:val="0"/>
                <w:sz w:val="21"/>
                <w:szCs w:val="21"/>
              </w:rPr>
              <w:t>1</w:t>
            </w:r>
            <w:r>
              <w:rPr>
                <w:kern w:val="0"/>
                <w:sz w:val="21"/>
                <w:szCs w:val="21"/>
              </w:rPr>
              <w:t>套</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4套(全部变频控制)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介质</w:t>
            </w:r>
          </w:p>
        </w:tc>
        <w:tc>
          <w:tcPr>
            <w:tcW w:w="212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pH</w:t>
            </w:r>
          </w:p>
        </w:tc>
        <w:tc>
          <w:tcPr>
            <w:tcW w:w="212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介质温度（C</w:t>
            </w:r>
            <w:r>
              <w:rPr>
                <w:kern w:val="0"/>
                <w:sz w:val="21"/>
                <w:szCs w:val="21"/>
              </w:rPr>
              <w:sym w:font="Symbol" w:char="F0B0"/>
            </w:r>
            <w:r>
              <w:rPr>
                <w:kern w:val="0"/>
                <w:sz w:val="21"/>
                <w:szCs w:val="21"/>
              </w:rPr>
              <w:t>）</w:t>
            </w:r>
          </w:p>
        </w:tc>
        <w:tc>
          <w:tcPr>
            <w:tcW w:w="212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输送介质密度（kg/m3）</w:t>
            </w:r>
          </w:p>
        </w:tc>
        <w:tc>
          <w:tcPr>
            <w:tcW w:w="2127"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~1000</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~1000</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工作制</w:t>
            </w:r>
            <w:r>
              <w:rPr>
                <w:kern w:val="0"/>
                <w:sz w:val="21"/>
                <w:szCs w:val="21"/>
                <w:lang w:val="en-GB"/>
              </w:rPr>
              <w:t>（</w:t>
            </w:r>
            <w:r>
              <w:rPr>
                <w:kern w:val="0"/>
                <w:sz w:val="21"/>
                <w:szCs w:val="21"/>
              </w:rPr>
              <w:t>h/day</w:t>
            </w:r>
            <w:r>
              <w:rPr>
                <w:kern w:val="0"/>
                <w:sz w:val="21"/>
                <w:szCs w:val="21"/>
                <w:lang w:val="en-GB"/>
              </w:rPr>
              <w:t>）</w:t>
            </w:r>
          </w:p>
        </w:tc>
        <w:tc>
          <w:tcPr>
            <w:tcW w:w="212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24</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连续/间断</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固定或移动式吊架</w:t>
            </w:r>
          </w:p>
        </w:tc>
        <w:tc>
          <w:tcPr>
            <w:tcW w:w="212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rFonts w:hint="eastAsia"/>
                <w:kern w:val="0"/>
                <w:sz w:val="21"/>
                <w:szCs w:val="21"/>
              </w:rPr>
            </w:pPr>
            <w:r>
              <w:rPr>
                <w:rFonts w:hint="eastAsia"/>
                <w:kern w:val="0"/>
                <w:sz w:val="21"/>
                <w:szCs w:val="21"/>
              </w:rPr>
              <w:t>1套固</w:t>
            </w:r>
            <w:r>
              <w:rPr>
                <w:kern w:val="0"/>
                <w:sz w:val="21"/>
                <w:szCs w:val="21"/>
              </w:rPr>
              <w:t>定吊架</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固定式，4套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pStyle w:val="37"/>
              <w:widowControl w:val="0"/>
              <w:tabs>
                <w:tab w:val="clear" w:pos="1020"/>
                <w:tab w:val="clear" w:pos="1090"/>
              </w:tabs>
              <w:spacing w:before="120" w:beforeLines="50" w:after="0" w:line="0" w:lineRule="atLeast"/>
              <w:ind w:left="0" w:leftChars="0" w:firstLine="0"/>
              <w:jc w:val="center"/>
              <w:rPr>
                <w:kern w:val="0"/>
                <w:sz w:val="21"/>
                <w:szCs w:val="21"/>
              </w:rPr>
            </w:pPr>
            <w:r>
              <w:rPr>
                <w:kern w:val="0"/>
                <w:sz w:val="21"/>
                <w:szCs w:val="21"/>
              </w:rPr>
              <w:t>安装地点</w:t>
            </w:r>
          </w:p>
        </w:tc>
        <w:tc>
          <w:tcPr>
            <w:tcW w:w="212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进水泵房</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rFonts w:hint="eastAsia"/>
                <w:kern w:val="0"/>
                <w:sz w:val="21"/>
                <w:szCs w:val="21"/>
              </w:rPr>
              <w:t>沉砂池出水渠</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生物池</w:t>
            </w:r>
          </w:p>
        </w:tc>
      </w:tr>
    </w:tbl>
    <w:p>
      <w:pPr>
        <w:pStyle w:val="36"/>
        <w:widowControl w:val="0"/>
      </w:pPr>
      <w:r>
        <w:t>表二</w:t>
      </w:r>
    </w:p>
    <w:tbl>
      <w:tblPr>
        <w:tblStyle w:val="19"/>
        <w:tblW w:w="842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center"/>
          </w:tcPr>
          <w:p>
            <w:pPr>
              <w:pStyle w:val="38"/>
              <w:keepNext w:val="0"/>
              <w:spacing w:before="120" w:beforeLines="50" w:line="0" w:lineRule="atLeast"/>
              <w:jc w:val="center"/>
              <w:rPr>
                <w:rFonts w:ascii="Times New Roman"/>
                <w:sz w:val="21"/>
                <w:szCs w:val="21"/>
              </w:rPr>
            </w:pPr>
            <w:r>
              <w:rPr>
                <w:rFonts w:ascii="Times New Roman"/>
                <w:sz w:val="21"/>
                <w:szCs w:val="21"/>
              </w:rPr>
              <w:t>设备名称</w:t>
            </w:r>
          </w:p>
        </w:tc>
        <w:tc>
          <w:tcPr>
            <w:tcW w:w="2126" w:type="dxa"/>
            <w:vAlign w:val="center"/>
          </w:tcPr>
          <w:p>
            <w:pPr>
              <w:pStyle w:val="38"/>
              <w:keepNext w:val="0"/>
              <w:spacing w:before="120" w:beforeLines="50" w:line="0" w:lineRule="atLeast"/>
              <w:jc w:val="center"/>
              <w:rPr>
                <w:rFonts w:ascii="Times New Roman"/>
                <w:sz w:val="21"/>
                <w:szCs w:val="21"/>
              </w:rPr>
            </w:pPr>
            <w:r>
              <w:rPr>
                <w:rFonts w:ascii="Times New Roman"/>
                <w:sz w:val="21"/>
                <w:szCs w:val="21"/>
              </w:rPr>
              <w:t>回流污泥泵</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剩余污泥泵</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砂滤池进水提升泵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top"/>
          </w:tcPr>
          <w:p>
            <w:pPr>
              <w:pStyle w:val="38"/>
              <w:keepNext w:val="0"/>
              <w:spacing w:before="120" w:beforeLines="50" w:line="0" w:lineRule="atLeast"/>
              <w:jc w:val="center"/>
              <w:rPr>
                <w:rFonts w:ascii="Times New Roman"/>
                <w:b w:val="0"/>
                <w:sz w:val="21"/>
                <w:szCs w:val="21"/>
              </w:rPr>
            </w:pPr>
            <w:r>
              <w:rPr>
                <w:rFonts w:ascii="Times New Roman"/>
                <w:b w:val="0"/>
                <w:sz w:val="21"/>
                <w:szCs w:val="21"/>
              </w:rPr>
              <w:t>设备编号</w:t>
            </w:r>
          </w:p>
        </w:tc>
        <w:tc>
          <w:tcPr>
            <w:tcW w:w="2126" w:type="dxa"/>
            <w:vAlign w:val="center"/>
          </w:tcPr>
          <w:p>
            <w:pPr>
              <w:widowControl w:val="0"/>
              <w:overflowPunct w:val="0"/>
              <w:autoSpaceDE w:val="0"/>
              <w:autoSpaceDN w:val="0"/>
              <w:adjustRightInd w:val="0"/>
              <w:spacing w:before="0" w:line="0" w:lineRule="atLeast"/>
              <w:jc w:val="center"/>
              <w:textAlignment w:val="baseline"/>
              <w:rPr>
                <w:kern w:val="0"/>
                <w:sz w:val="21"/>
                <w:szCs w:val="21"/>
              </w:rPr>
            </w:pPr>
            <w:r>
              <w:rPr>
                <w:rFonts w:hint="eastAsia"/>
              </w:rPr>
              <w:t>SP</w:t>
            </w:r>
            <w:r>
              <w:t>-PSB</w:t>
            </w:r>
            <w:r>
              <w:rPr>
                <w:rFonts w:hint="eastAsia"/>
              </w:rPr>
              <w:t>1</w:t>
            </w:r>
            <w:r>
              <w:t>01/</w:t>
            </w:r>
            <w:r>
              <w:rPr>
                <w:rFonts w:hint="eastAsia"/>
              </w:rPr>
              <w:t>1</w:t>
            </w:r>
            <w:r>
              <w:t>03</w:t>
            </w:r>
          </w:p>
        </w:tc>
        <w:tc>
          <w:tcPr>
            <w:tcW w:w="2126" w:type="dxa"/>
            <w:vAlign w:val="center"/>
          </w:tcPr>
          <w:p>
            <w:pPr>
              <w:widowControl w:val="0"/>
              <w:tabs>
                <w:tab w:val="left" w:pos="1020"/>
                <w:tab w:val="left" w:pos="1090"/>
                <w:tab w:val="left" w:pos="1200"/>
              </w:tabs>
              <w:overflowPunct w:val="0"/>
              <w:autoSpaceDE w:val="0"/>
              <w:autoSpaceDN w:val="0"/>
              <w:adjustRightInd w:val="0"/>
              <w:spacing w:before="0" w:line="0" w:lineRule="atLeast"/>
              <w:jc w:val="center"/>
              <w:textAlignment w:val="baseline"/>
              <w:rPr>
                <w:bCs/>
                <w:kern w:val="0"/>
                <w:sz w:val="21"/>
                <w:szCs w:val="21"/>
              </w:rPr>
            </w:pPr>
            <w:r>
              <w:rPr>
                <w:rFonts w:hint="eastAsia"/>
              </w:rPr>
              <w:t>SP</w:t>
            </w:r>
            <w:r>
              <w:t>-PSB</w:t>
            </w:r>
            <w:r>
              <w:rPr>
                <w:rFonts w:hint="eastAsia"/>
              </w:rPr>
              <w:t>2</w:t>
            </w:r>
            <w:r>
              <w:t>01/</w:t>
            </w:r>
            <w:r>
              <w:rPr>
                <w:rFonts w:hint="eastAsia"/>
              </w:rPr>
              <w:t>2</w:t>
            </w:r>
            <w:r>
              <w:t>03</w:t>
            </w:r>
          </w:p>
        </w:tc>
        <w:tc>
          <w:tcPr>
            <w:tcW w:w="2126" w:type="dxa"/>
            <w:vAlign w:val="center"/>
          </w:tcPr>
          <w:p>
            <w:pPr>
              <w:widowControl w:val="0"/>
              <w:tabs>
                <w:tab w:val="left" w:pos="1020"/>
                <w:tab w:val="left" w:pos="1090"/>
                <w:tab w:val="left" w:pos="1200"/>
              </w:tabs>
              <w:overflowPunct w:val="0"/>
              <w:autoSpaceDE w:val="0"/>
              <w:autoSpaceDN w:val="0"/>
              <w:adjustRightInd w:val="0"/>
              <w:spacing w:before="0" w:line="0" w:lineRule="atLeast"/>
              <w:jc w:val="center"/>
              <w:textAlignment w:val="baseline"/>
            </w:pPr>
            <w:r>
              <w:rPr>
                <w:rFonts w:hint="eastAsia"/>
              </w:rPr>
              <w:t>LPW</w:t>
            </w:r>
            <w:r>
              <w:t>-PSB101/104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数量</w:t>
            </w:r>
          </w:p>
        </w:tc>
        <w:tc>
          <w:tcPr>
            <w:tcW w:w="2126" w:type="dxa"/>
            <w:vAlign w:val="center"/>
          </w:tcPr>
          <w:p>
            <w:pPr>
              <w:pStyle w:val="37"/>
              <w:widowControl w:val="0"/>
              <w:tabs>
                <w:tab w:val="clear" w:pos="1020"/>
                <w:tab w:val="clear" w:pos="1090"/>
              </w:tabs>
              <w:spacing w:before="120" w:beforeLines="50" w:after="0" w:line="0" w:lineRule="atLeast"/>
              <w:ind w:left="0" w:leftChars="0" w:firstLine="0"/>
              <w:jc w:val="center"/>
              <w:rPr>
                <w:bCs/>
                <w:sz w:val="21"/>
                <w:szCs w:val="21"/>
              </w:rPr>
            </w:pPr>
            <w:r>
              <w:rPr>
                <w:bCs/>
                <w:sz w:val="21"/>
                <w:szCs w:val="21"/>
              </w:rPr>
              <w:t>3</w:t>
            </w:r>
            <w:r>
              <w:rPr>
                <w:rFonts w:hint="eastAsia"/>
                <w:bCs/>
                <w:sz w:val="21"/>
                <w:szCs w:val="21"/>
              </w:rPr>
              <w:t>套</w:t>
            </w:r>
            <w:r>
              <w:rPr>
                <w:bCs/>
                <w:sz w:val="21"/>
                <w:szCs w:val="21"/>
              </w:rPr>
              <w:t>（</w:t>
            </w:r>
            <w:r>
              <w:rPr>
                <w:rFonts w:hint="eastAsia"/>
                <w:bCs/>
                <w:sz w:val="21"/>
                <w:szCs w:val="21"/>
              </w:rPr>
              <w:t>全变频，</w:t>
            </w:r>
            <w:r>
              <w:rPr>
                <w:bCs/>
                <w:sz w:val="21"/>
                <w:szCs w:val="21"/>
              </w:rPr>
              <w:t>2用1备）</w:t>
            </w:r>
          </w:p>
        </w:tc>
        <w:tc>
          <w:tcPr>
            <w:tcW w:w="2126" w:type="dxa"/>
            <w:vAlign w:val="top"/>
          </w:tcPr>
          <w:p>
            <w:pPr>
              <w:pStyle w:val="37"/>
              <w:widowControl w:val="0"/>
              <w:tabs>
                <w:tab w:val="clear" w:pos="1020"/>
                <w:tab w:val="clear" w:pos="1090"/>
              </w:tabs>
              <w:spacing w:before="120" w:beforeLines="50" w:after="0" w:line="0" w:lineRule="atLeast"/>
              <w:ind w:left="0" w:leftChars="0" w:firstLine="0"/>
              <w:jc w:val="center"/>
              <w:rPr>
                <w:bCs/>
                <w:sz w:val="21"/>
                <w:szCs w:val="21"/>
              </w:rPr>
            </w:pPr>
            <w:r>
              <w:rPr>
                <w:bCs/>
                <w:sz w:val="21"/>
                <w:szCs w:val="21"/>
              </w:rPr>
              <w:t>3套（2用1备，全部变频控制）</w:t>
            </w:r>
          </w:p>
        </w:tc>
        <w:tc>
          <w:tcPr>
            <w:tcW w:w="2126" w:type="dxa"/>
            <w:vAlign w:val="top"/>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Cs/>
                <w:kern w:val="0"/>
                <w:sz w:val="21"/>
                <w:szCs w:val="21"/>
              </w:rPr>
            </w:pPr>
            <w:r>
              <w:rPr>
                <w:bCs/>
                <w:kern w:val="0"/>
                <w:sz w:val="21"/>
                <w:szCs w:val="21"/>
              </w:rPr>
              <w:t>4套（</w:t>
            </w:r>
            <w:r>
              <w:rPr>
                <w:rFonts w:hint="eastAsia"/>
                <w:bCs/>
                <w:kern w:val="0"/>
                <w:sz w:val="21"/>
                <w:szCs w:val="21"/>
              </w:rPr>
              <w:t>全</w:t>
            </w:r>
            <w:r>
              <w:rPr>
                <w:bCs/>
                <w:kern w:val="0"/>
                <w:sz w:val="21"/>
                <w:szCs w:val="21"/>
              </w:rPr>
              <w:t>变频</w:t>
            </w:r>
            <w:r>
              <w:rPr>
                <w:rFonts w:hint="eastAsia"/>
                <w:bCs/>
                <w:kern w:val="0"/>
                <w:sz w:val="21"/>
                <w:szCs w:val="21"/>
              </w:rPr>
              <w:t>，</w:t>
            </w:r>
            <w:r>
              <w:rPr>
                <w:bCs/>
                <w:kern w:val="0"/>
                <w:sz w:val="21"/>
                <w:szCs w:val="21"/>
              </w:rPr>
              <w:t>3用1备）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介质</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污泥</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污泥</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pH</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6～9</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介质温度（C</w:t>
            </w:r>
            <w:r>
              <w:rPr>
                <w:rFonts w:ascii="Times New Roman"/>
                <w:b w:val="0"/>
                <w:sz w:val="21"/>
                <w:szCs w:val="21"/>
              </w:rPr>
              <w:sym w:font="Symbol" w:char="F0B0"/>
            </w:r>
            <w:r>
              <w:rPr>
                <w:rFonts w:ascii="Times New Roman"/>
                <w:b w:val="0"/>
                <w:sz w:val="21"/>
                <w:szCs w:val="21"/>
              </w:rPr>
              <w:t>）</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14~25</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输送介质密度（kg/m</w:t>
            </w:r>
            <w:r>
              <w:rPr>
                <w:rFonts w:ascii="Times New Roman"/>
                <w:b w:val="0"/>
                <w:sz w:val="21"/>
                <w:szCs w:val="21"/>
                <w:vertAlign w:val="superscript"/>
              </w:rPr>
              <w:t>3</w:t>
            </w:r>
            <w:r>
              <w:rPr>
                <w:rFonts w:ascii="Times New Roman"/>
                <w:b w:val="0"/>
                <w:sz w:val="21"/>
                <w:szCs w:val="21"/>
              </w:rPr>
              <w:t>）</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~1000</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b/>
                <w:sz w:val="21"/>
                <w:szCs w:val="21"/>
              </w:rPr>
              <w:t>~</w:t>
            </w:r>
            <w:r>
              <w:rPr>
                <w:kern w:val="0"/>
                <w:sz w:val="21"/>
                <w:szCs w:val="21"/>
              </w:rPr>
              <w:t>1000</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b/>
                <w:sz w:val="21"/>
                <w:szCs w:val="21"/>
              </w:rPr>
              <w:t>~</w:t>
            </w:r>
            <w:r>
              <w:rPr>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048"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工作制</w:t>
            </w:r>
            <w:r>
              <w:rPr>
                <w:rFonts w:ascii="Times New Roman"/>
                <w:b w:val="0"/>
                <w:sz w:val="21"/>
                <w:szCs w:val="21"/>
                <w:lang w:val="en-GB"/>
              </w:rPr>
              <w:t>（</w:t>
            </w:r>
            <w:r>
              <w:rPr>
                <w:rFonts w:ascii="Times New Roman"/>
                <w:b w:val="0"/>
                <w:sz w:val="21"/>
                <w:szCs w:val="21"/>
              </w:rPr>
              <w:t>h/day</w:t>
            </w:r>
            <w:r>
              <w:rPr>
                <w:rFonts w:ascii="Times New Roman"/>
                <w:b w:val="0"/>
                <w:sz w:val="21"/>
                <w:szCs w:val="21"/>
                <w:lang w:val="en-GB"/>
              </w:rPr>
              <w:t>）</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24</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24</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连续/间断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8"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安装地点</w:t>
            </w:r>
          </w:p>
        </w:tc>
        <w:tc>
          <w:tcPr>
            <w:tcW w:w="2126" w:type="dxa"/>
            <w:vAlign w:val="center"/>
          </w:tcPr>
          <w:p>
            <w:pPr>
              <w:pStyle w:val="38"/>
              <w:keepNext w:val="0"/>
              <w:spacing w:before="120" w:beforeLines="50" w:line="0" w:lineRule="atLeast"/>
              <w:jc w:val="center"/>
              <w:rPr>
                <w:rFonts w:ascii="Times New Roman"/>
                <w:b w:val="0"/>
                <w:sz w:val="21"/>
                <w:szCs w:val="21"/>
              </w:rPr>
            </w:pPr>
            <w:r>
              <w:rPr>
                <w:rFonts w:hint="eastAsia" w:ascii="Times New Roman"/>
                <w:b w:val="0"/>
                <w:sz w:val="21"/>
                <w:szCs w:val="21"/>
              </w:rPr>
              <w:t>回流及剩余</w:t>
            </w:r>
            <w:r>
              <w:rPr>
                <w:rFonts w:ascii="Times New Roman"/>
                <w:b w:val="0"/>
                <w:sz w:val="21"/>
                <w:szCs w:val="21"/>
              </w:rPr>
              <w:t>污泥泵房</w:t>
            </w:r>
          </w:p>
        </w:tc>
        <w:tc>
          <w:tcPr>
            <w:tcW w:w="2126" w:type="dxa"/>
            <w:vAlign w:val="top"/>
          </w:tcPr>
          <w:p>
            <w:pPr>
              <w:pStyle w:val="38"/>
              <w:keepNext w:val="0"/>
              <w:spacing w:before="120" w:beforeLines="50" w:line="0" w:lineRule="atLeast"/>
              <w:jc w:val="center"/>
              <w:rPr>
                <w:rFonts w:ascii="Times New Roman"/>
                <w:b w:val="0"/>
                <w:sz w:val="21"/>
                <w:szCs w:val="21"/>
              </w:rPr>
            </w:pPr>
            <w:r>
              <w:rPr>
                <w:rFonts w:hint="eastAsia" w:ascii="Times New Roman"/>
                <w:b w:val="0"/>
                <w:sz w:val="22"/>
                <w:szCs w:val="21"/>
              </w:rPr>
              <w:t>回流及剩余</w:t>
            </w:r>
            <w:r>
              <w:rPr>
                <w:rFonts w:ascii="Times New Roman"/>
                <w:b w:val="0"/>
                <w:sz w:val="22"/>
                <w:szCs w:val="21"/>
              </w:rPr>
              <w:t>污泥泵房</w:t>
            </w:r>
          </w:p>
        </w:tc>
        <w:tc>
          <w:tcPr>
            <w:tcW w:w="2126" w:type="dxa"/>
            <w:vAlign w:val="top"/>
          </w:tcPr>
          <w:p>
            <w:pPr>
              <w:pStyle w:val="38"/>
              <w:keepNext w:val="0"/>
              <w:spacing w:before="120" w:beforeLines="50" w:line="0" w:lineRule="atLeast"/>
              <w:jc w:val="center"/>
              <w:rPr>
                <w:rFonts w:ascii="Times New Roman"/>
                <w:b w:val="0"/>
                <w:sz w:val="22"/>
                <w:szCs w:val="21"/>
              </w:rPr>
            </w:pPr>
            <w:r>
              <w:rPr>
                <w:rFonts w:ascii="Times New Roman"/>
                <w:b w:val="0"/>
                <w:sz w:val="22"/>
                <w:szCs w:val="21"/>
              </w:rPr>
              <w:t>砂滤池进水泵房</w:t>
            </w:r>
          </w:p>
        </w:tc>
      </w:tr>
    </w:tbl>
    <w:p>
      <w:pPr>
        <w:pStyle w:val="36"/>
      </w:pPr>
      <w:r>
        <w:t>表三</w:t>
      </w:r>
    </w:p>
    <w:tbl>
      <w:tblPr>
        <w:tblStyle w:val="19"/>
        <w:tblW w:w="8420"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b/>
                <w:kern w:val="0"/>
                <w:sz w:val="21"/>
                <w:szCs w:val="21"/>
              </w:rPr>
            </w:pPr>
            <w:r>
              <w:rPr>
                <w:b/>
                <w:kern w:val="0"/>
                <w:sz w:val="21"/>
                <w:szCs w:val="21"/>
              </w:rPr>
              <w:t>设备名称</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砂滤池反冲洗排水泵</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砂滤池潜水排污泵</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rFonts w:hint="eastAsia"/>
                <w:b/>
                <w:bCs/>
                <w:kern w:val="0"/>
                <w:sz w:val="21"/>
                <w:szCs w:val="21"/>
              </w:rPr>
              <w:t>潜水轴流泵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设备编号</w:t>
            </w:r>
          </w:p>
        </w:tc>
        <w:tc>
          <w:tcPr>
            <w:tcW w:w="2126" w:type="dxa"/>
            <w:vAlign w:val="center"/>
          </w:tcPr>
          <w:p>
            <w:pPr>
              <w:widowControl w:val="0"/>
              <w:tabs>
                <w:tab w:val="left" w:pos="1020"/>
                <w:tab w:val="left" w:pos="1090"/>
                <w:tab w:val="left" w:pos="1200"/>
              </w:tabs>
              <w:overflowPunct w:val="0"/>
              <w:autoSpaceDE w:val="0"/>
              <w:autoSpaceDN w:val="0"/>
              <w:adjustRightInd w:val="0"/>
              <w:spacing w:before="0" w:line="0" w:lineRule="atLeast"/>
              <w:jc w:val="center"/>
              <w:textAlignment w:val="baseline"/>
            </w:pPr>
            <w:r>
              <w:rPr>
                <w:rFonts w:hint="eastAsia"/>
              </w:rPr>
              <w:t>WPF</w:t>
            </w:r>
            <w:r>
              <w:t>-PSB</w:t>
            </w:r>
            <w:r>
              <w:rPr>
                <w:rFonts w:hint="eastAsia"/>
              </w:rPr>
              <w:t>1</w:t>
            </w:r>
            <w:r>
              <w:t>01/</w:t>
            </w:r>
            <w:r>
              <w:rPr>
                <w:rFonts w:hint="eastAsia"/>
              </w:rPr>
              <w:t>1</w:t>
            </w:r>
            <w:r>
              <w:t>02</w:t>
            </w:r>
          </w:p>
        </w:tc>
        <w:tc>
          <w:tcPr>
            <w:tcW w:w="2126" w:type="dxa"/>
            <w:vAlign w:val="center"/>
          </w:tcPr>
          <w:p>
            <w:pPr>
              <w:widowControl w:val="0"/>
              <w:tabs>
                <w:tab w:val="left" w:pos="1020"/>
                <w:tab w:val="left" w:pos="1090"/>
                <w:tab w:val="left" w:pos="1200"/>
              </w:tabs>
              <w:overflowPunct w:val="0"/>
              <w:autoSpaceDE w:val="0"/>
              <w:autoSpaceDN w:val="0"/>
              <w:adjustRightInd w:val="0"/>
              <w:spacing w:before="0" w:line="0" w:lineRule="atLeast"/>
              <w:jc w:val="center"/>
              <w:textAlignment w:val="baseline"/>
              <w:rPr>
                <w:b/>
                <w:bCs/>
                <w:kern w:val="0"/>
                <w:sz w:val="21"/>
                <w:szCs w:val="21"/>
              </w:rPr>
            </w:pPr>
            <w:r>
              <w:rPr>
                <w:rFonts w:hint="eastAsia"/>
              </w:rPr>
              <w:t>FLT</w:t>
            </w:r>
            <w:r>
              <w:t>-PSB</w:t>
            </w:r>
            <w:r>
              <w:rPr>
                <w:rFonts w:hint="eastAsia"/>
              </w:rPr>
              <w:t>1</w:t>
            </w:r>
            <w:r>
              <w:t>01</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pPr>
            <w:r>
              <w:rPr>
                <w:sz w:val="21"/>
                <w:szCs w:val="21"/>
              </w:rPr>
              <w:t>SCT-PSB101-03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数量</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Cs/>
                <w:kern w:val="0"/>
                <w:sz w:val="21"/>
                <w:szCs w:val="21"/>
              </w:rPr>
            </w:pPr>
            <w:r>
              <w:rPr>
                <w:bCs/>
                <w:kern w:val="0"/>
                <w:sz w:val="21"/>
                <w:szCs w:val="21"/>
              </w:rPr>
              <w:t>2套（1用1备）</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Cs/>
                <w:kern w:val="0"/>
                <w:sz w:val="21"/>
                <w:szCs w:val="21"/>
              </w:rPr>
            </w:pPr>
            <w:r>
              <w:rPr>
                <w:bCs/>
                <w:kern w:val="0"/>
                <w:sz w:val="21"/>
                <w:szCs w:val="21"/>
              </w:rPr>
              <w:t>1套</w:t>
            </w:r>
          </w:p>
        </w:tc>
        <w:tc>
          <w:tcPr>
            <w:tcW w:w="2126" w:type="dxa"/>
            <w:vAlign w:val="center"/>
          </w:tcPr>
          <w:p>
            <w:pPr>
              <w:pStyle w:val="37"/>
              <w:widowControl w:val="0"/>
              <w:tabs>
                <w:tab w:val="clear" w:pos="1020"/>
                <w:tab w:val="clear" w:pos="1090"/>
              </w:tabs>
              <w:spacing w:before="120" w:beforeLines="50" w:after="0" w:line="0" w:lineRule="atLeast"/>
              <w:ind w:left="0" w:leftChars="0" w:firstLine="0"/>
              <w:jc w:val="center"/>
              <w:rPr>
                <w:bCs/>
                <w:sz w:val="21"/>
                <w:szCs w:val="21"/>
              </w:rPr>
            </w:pPr>
            <w:r>
              <w:rPr>
                <w:bCs/>
                <w:sz w:val="21"/>
                <w:szCs w:val="21"/>
              </w:rPr>
              <w:t>3</w:t>
            </w:r>
            <w:r>
              <w:rPr>
                <w:rFonts w:hint="eastAsia"/>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介质</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污</w:t>
            </w:r>
            <w:r>
              <w:rPr>
                <w:rFonts w:hint="eastAsia" w:ascii="Times New Roman"/>
                <w:b w:val="0"/>
                <w:sz w:val="21"/>
                <w:szCs w:val="21"/>
              </w:rPr>
              <w:t xml:space="preserve">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pH</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介质温度（C</w:t>
            </w:r>
            <w:r>
              <w:rPr>
                <w:kern w:val="0"/>
                <w:sz w:val="21"/>
                <w:szCs w:val="21"/>
              </w:rPr>
              <w:sym w:font="Symbol" w:char="F0B0"/>
            </w:r>
            <w:r>
              <w:rPr>
                <w:kern w:val="0"/>
                <w:sz w:val="21"/>
                <w:szCs w:val="21"/>
              </w:rPr>
              <w:t>）</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输送介质密度（kg/m</w:t>
            </w:r>
            <w:r>
              <w:rPr>
                <w:kern w:val="0"/>
                <w:sz w:val="21"/>
                <w:szCs w:val="21"/>
                <w:vertAlign w:val="superscript"/>
              </w:rPr>
              <w:t>3</w:t>
            </w:r>
            <w:r>
              <w:rPr>
                <w:kern w:val="0"/>
                <w:sz w:val="21"/>
                <w:szCs w:val="21"/>
              </w:rPr>
              <w:t>）</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b/>
                <w:sz w:val="21"/>
                <w:szCs w:val="21"/>
              </w:rPr>
              <w:t>~</w:t>
            </w:r>
            <w:r>
              <w:rPr>
                <w:kern w:val="0"/>
                <w:sz w:val="21"/>
                <w:szCs w:val="21"/>
              </w:rPr>
              <w:t>1000</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0"/>
                <w:szCs w:val="21"/>
              </w:rPr>
            </w:pPr>
            <w:r>
              <w:rPr>
                <w:b/>
                <w:sz w:val="21"/>
                <w:szCs w:val="21"/>
              </w:rPr>
              <w:t>~</w:t>
            </w:r>
            <w:r>
              <w:rPr>
                <w:kern w:val="0"/>
                <w:sz w:val="20"/>
                <w:szCs w:val="21"/>
              </w:rPr>
              <w:t>1000</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042"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工作制</w:t>
            </w:r>
            <w:r>
              <w:rPr>
                <w:kern w:val="0"/>
                <w:sz w:val="21"/>
                <w:szCs w:val="21"/>
                <w:lang w:val="en-GB"/>
              </w:rPr>
              <w:t>（</w:t>
            </w:r>
            <w:r>
              <w:rPr>
                <w:kern w:val="0"/>
                <w:sz w:val="21"/>
                <w:szCs w:val="21"/>
              </w:rPr>
              <w:t>h/day</w:t>
            </w:r>
            <w:r>
              <w:rPr>
                <w:kern w:val="0"/>
                <w:sz w:val="21"/>
                <w:szCs w:val="21"/>
                <w:lang w:val="en-GB"/>
              </w:rPr>
              <w:t>）</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连续/间断</w:t>
            </w:r>
          </w:p>
        </w:tc>
        <w:tc>
          <w:tcPr>
            <w:tcW w:w="212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间断</w:t>
            </w:r>
          </w:p>
        </w:tc>
        <w:tc>
          <w:tcPr>
            <w:tcW w:w="2126" w:type="dxa"/>
            <w:vAlign w:val="center"/>
          </w:tcPr>
          <w:p>
            <w:pPr>
              <w:pStyle w:val="38"/>
              <w:keepNext w:val="0"/>
              <w:spacing w:before="120" w:beforeLines="50" w:line="0" w:lineRule="atLeast"/>
              <w:jc w:val="center"/>
              <w:rPr>
                <w:rFonts w:ascii="Times New Roman"/>
                <w:b w:val="0"/>
                <w:sz w:val="21"/>
                <w:szCs w:val="21"/>
              </w:rPr>
            </w:pPr>
            <w:r>
              <w:rPr>
                <w:rFonts w:ascii="Times New Roman"/>
                <w:b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2"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2"/>
                <w:szCs w:val="21"/>
              </w:rPr>
            </w:pPr>
            <w:r>
              <w:rPr>
                <w:kern w:val="0"/>
                <w:sz w:val="22"/>
                <w:szCs w:val="21"/>
              </w:rPr>
              <w:t>安装地点</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2"/>
                <w:szCs w:val="21"/>
              </w:rPr>
            </w:pPr>
            <w:r>
              <w:rPr>
                <w:kern w:val="0"/>
                <w:sz w:val="22"/>
                <w:szCs w:val="21"/>
              </w:rPr>
              <w:t>砂滤池反冲洗排水池</w:t>
            </w:r>
          </w:p>
        </w:tc>
        <w:tc>
          <w:tcPr>
            <w:tcW w:w="212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2"/>
                <w:szCs w:val="21"/>
              </w:rPr>
            </w:pPr>
            <w:r>
              <w:rPr>
                <w:kern w:val="0"/>
                <w:sz w:val="22"/>
                <w:szCs w:val="21"/>
              </w:rPr>
              <w:t>砂滤池反冲洗泵房</w:t>
            </w:r>
            <w:r>
              <w:rPr>
                <w:rFonts w:hint="eastAsia"/>
                <w:kern w:val="0"/>
                <w:sz w:val="22"/>
                <w:szCs w:val="21"/>
              </w:rPr>
              <w:t>，</w:t>
            </w:r>
            <w:r>
              <w:rPr>
                <w:kern w:val="0"/>
                <w:sz w:val="22"/>
                <w:szCs w:val="21"/>
              </w:rPr>
              <w:t>半地下安装</w:t>
            </w:r>
            <w:r>
              <w:rPr>
                <w:rFonts w:hint="eastAsia"/>
                <w:kern w:val="0"/>
                <w:sz w:val="22"/>
                <w:szCs w:val="21"/>
              </w:rPr>
              <w:t>。固定式安装（带3米连接软管及夹箍及出口止回阀、闸阀）</w:t>
            </w:r>
          </w:p>
        </w:tc>
        <w:tc>
          <w:tcPr>
            <w:tcW w:w="2126" w:type="dxa"/>
            <w:vAlign w:val="center"/>
          </w:tcPr>
          <w:p>
            <w:pPr>
              <w:pStyle w:val="38"/>
              <w:keepNext w:val="0"/>
              <w:spacing w:before="120" w:beforeLines="50" w:line="0" w:lineRule="atLeast"/>
              <w:jc w:val="center"/>
              <w:rPr>
                <w:rFonts w:ascii="Times New Roman"/>
                <w:b w:val="0"/>
                <w:sz w:val="21"/>
                <w:szCs w:val="21"/>
              </w:rPr>
            </w:pPr>
            <w:r>
              <w:rPr>
                <w:rFonts w:hint="eastAsia" w:ascii="Times New Roman"/>
                <w:b w:val="0"/>
                <w:sz w:val="21"/>
                <w:szCs w:val="21"/>
              </w:rPr>
              <w:t>次氯酸钠接触池、巴氏计量槽及最终出水井</w:t>
            </w:r>
          </w:p>
        </w:tc>
      </w:tr>
    </w:tbl>
    <w:p>
      <w:pPr>
        <w:pStyle w:val="36"/>
      </w:pPr>
      <w:r>
        <w:t>表</w:t>
      </w:r>
      <w:r>
        <w:rPr>
          <w:lang w:eastAsia="zh-CN"/>
        </w:rPr>
        <w:t>四</w:t>
      </w:r>
    </w:p>
    <w:tbl>
      <w:tblPr>
        <w:tblStyle w:val="19"/>
        <w:tblW w:w="8421"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29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b/>
                <w:kern w:val="0"/>
                <w:sz w:val="21"/>
                <w:szCs w:val="21"/>
              </w:rPr>
            </w:pPr>
            <w:r>
              <w:rPr>
                <w:b/>
                <w:kern w:val="0"/>
                <w:sz w:val="21"/>
                <w:szCs w:val="21"/>
              </w:rPr>
              <w:t>设备名称</w:t>
            </w:r>
          </w:p>
        </w:tc>
        <w:tc>
          <w:tcPr>
            <w:tcW w:w="297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b/>
                <w:kern w:val="0"/>
                <w:sz w:val="21"/>
                <w:szCs w:val="21"/>
              </w:rPr>
            </w:pPr>
            <w:r>
              <w:rPr>
                <w:rFonts w:hint="eastAsia"/>
                <w:b/>
                <w:kern w:val="0"/>
                <w:sz w:val="21"/>
                <w:szCs w:val="21"/>
              </w:rPr>
              <w:t>生产用</w:t>
            </w:r>
            <w:r>
              <w:rPr>
                <w:b/>
                <w:kern w:val="0"/>
                <w:sz w:val="21"/>
                <w:szCs w:val="21"/>
              </w:rPr>
              <w:t>水泵房潜水排污泵</w:t>
            </w:r>
          </w:p>
        </w:tc>
        <w:tc>
          <w:tcPr>
            <w:tcW w:w="297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rFonts w:hint="eastAsia"/>
                <w:b/>
                <w:kern w:val="0"/>
                <w:sz w:val="21"/>
                <w:szCs w:val="21"/>
              </w:rPr>
            </w:pPr>
            <w:r>
              <w:rPr>
                <w:rFonts w:hint="eastAsia"/>
                <w:b/>
                <w:kern w:val="0"/>
                <w:sz w:val="21"/>
                <w:szCs w:val="21"/>
              </w:rPr>
              <w:t>污泥脱水机房</w:t>
            </w:r>
            <w:r>
              <w:rPr>
                <w:b/>
                <w:kern w:val="0"/>
                <w:sz w:val="21"/>
                <w:szCs w:val="21"/>
              </w:rPr>
              <w:t>潜污泵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rFonts w:hint="eastAsia"/>
                <w:kern w:val="0"/>
                <w:sz w:val="21"/>
                <w:szCs w:val="21"/>
              </w:rPr>
            </w:pPr>
            <w:r>
              <w:rPr>
                <w:kern w:val="0"/>
                <w:sz w:val="21"/>
                <w:szCs w:val="21"/>
              </w:rPr>
              <w:t>设备编号</w:t>
            </w:r>
          </w:p>
        </w:tc>
        <w:tc>
          <w:tcPr>
            <w:tcW w:w="297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sz w:val="21"/>
                <w:szCs w:val="21"/>
              </w:rPr>
            </w:pPr>
            <w:r>
              <w:rPr>
                <w:sz w:val="21"/>
                <w:szCs w:val="21"/>
              </w:rPr>
              <w:t>SPB-PSB101</w:t>
            </w:r>
          </w:p>
        </w:tc>
        <w:tc>
          <w:tcPr>
            <w:tcW w:w="2977" w:type="dxa"/>
            <w:vAlign w:val="top"/>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sz w:val="21"/>
                <w:szCs w:val="21"/>
              </w:rPr>
            </w:pPr>
            <w:r>
              <w:rPr>
                <w:sz w:val="21"/>
                <w:szCs w:val="21"/>
              </w:rPr>
              <w:t>SDH-PVL501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数量</w:t>
            </w:r>
          </w:p>
        </w:tc>
        <w:tc>
          <w:tcPr>
            <w:tcW w:w="297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Cs/>
                <w:kern w:val="0"/>
                <w:sz w:val="21"/>
                <w:szCs w:val="21"/>
              </w:rPr>
            </w:pPr>
            <w:r>
              <w:rPr>
                <w:rFonts w:hint="eastAsia"/>
                <w:bCs/>
                <w:kern w:val="0"/>
                <w:sz w:val="21"/>
                <w:szCs w:val="21"/>
              </w:rPr>
              <w:t>1</w:t>
            </w:r>
            <w:r>
              <w:rPr>
                <w:bCs/>
                <w:kern w:val="0"/>
                <w:sz w:val="21"/>
                <w:szCs w:val="21"/>
              </w:rPr>
              <w:t>套</w:t>
            </w:r>
          </w:p>
        </w:tc>
        <w:tc>
          <w:tcPr>
            <w:tcW w:w="2977" w:type="dxa"/>
            <w:vAlign w:val="top"/>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rFonts w:hint="eastAsia"/>
                <w:bCs/>
                <w:kern w:val="0"/>
                <w:sz w:val="21"/>
                <w:szCs w:val="21"/>
              </w:rPr>
            </w:pPr>
            <w:r>
              <w:rPr>
                <w:rFonts w:hint="eastAsia"/>
                <w:bCs/>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介质</w:t>
            </w:r>
          </w:p>
        </w:tc>
        <w:tc>
          <w:tcPr>
            <w:tcW w:w="297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c>
          <w:tcPr>
            <w:tcW w:w="2977"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pH</w:t>
            </w:r>
          </w:p>
        </w:tc>
        <w:tc>
          <w:tcPr>
            <w:tcW w:w="297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c>
          <w:tcPr>
            <w:tcW w:w="2977"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介质温度（C</w:t>
            </w:r>
            <w:r>
              <w:rPr>
                <w:kern w:val="0"/>
                <w:sz w:val="21"/>
                <w:szCs w:val="21"/>
              </w:rPr>
              <w:sym w:font="Symbol" w:char="F0B0"/>
            </w:r>
            <w:r>
              <w:rPr>
                <w:kern w:val="0"/>
                <w:sz w:val="21"/>
                <w:szCs w:val="21"/>
              </w:rPr>
              <w:t>）</w:t>
            </w:r>
          </w:p>
        </w:tc>
        <w:tc>
          <w:tcPr>
            <w:tcW w:w="297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c>
          <w:tcPr>
            <w:tcW w:w="2977"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输送介质密度（kg/m</w:t>
            </w:r>
            <w:r>
              <w:rPr>
                <w:kern w:val="0"/>
                <w:sz w:val="21"/>
                <w:szCs w:val="21"/>
                <w:vertAlign w:val="superscript"/>
              </w:rPr>
              <w:t>3</w:t>
            </w:r>
            <w:r>
              <w:rPr>
                <w:kern w:val="0"/>
                <w:sz w:val="21"/>
                <w:szCs w:val="21"/>
              </w:rPr>
              <w:t>）</w:t>
            </w:r>
          </w:p>
        </w:tc>
        <w:tc>
          <w:tcPr>
            <w:tcW w:w="2976"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b/>
                <w:sz w:val="21"/>
                <w:szCs w:val="21"/>
              </w:rPr>
              <w:t>~</w:t>
            </w:r>
            <w:r>
              <w:rPr>
                <w:kern w:val="0"/>
                <w:sz w:val="21"/>
                <w:szCs w:val="21"/>
              </w:rPr>
              <w:t>1000</w:t>
            </w:r>
          </w:p>
        </w:tc>
        <w:tc>
          <w:tcPr>
            <w:tcW w:w="2977" w:type="dxa"/>
            <w:vAlign w:val="center"/>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b/>
                <w:sz w:val="21"/>
                <w:szCs w:val="21"/>
              </w:rPr>
              <w:t>~</w:t>
            </w:r>
            <w:r>
              <w:rPr>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468"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工作制</w:t>
            </w:r>
            <w:r>
              <w:rPr>
                <w:kern w:val="0"/>
                <w:sz w:val="21"/>
                <w:szCs w:val="21"/>
                <w:lang w:val="en-GB"/>
              </w:rPr>
              <w:t>（</w:t>
            </w:r>
            <w:r>
              <w:rPr>
                <w:kern w:val="0"/>
                <w:sz w:val="21"/>
                <w:szCs w:val="21"/>
              </w:rPr>
              <w:t>h/day</w:t>
            </w:r>
            <w:r>
              <w:rPr>
                <w:kern w:val="0"/>
                <w:sz w:val="21"/>
                <w:szCs w:val="21"/>
                <w:lang w:val="en-GB"/>
              </w:rPr>
              <w:t>）</w:t>
            </w:r>
          </w:p>
        </w:tc>
        <w:tc>
          <w:tcPr>
            <w:tcW w:w="297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间断</w:t>
            </w:r>
          </w:p>
        </w:tc>
        <w:tc>
          <w:tcPr>
            <w:tcW w:w="297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8"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kern w:val="0"/>
                <w:sz w:val="21"/>
                <w:szCs w:val="21"/>
              </w:rPr>
              <w:t>安装地点</w:t>
            </w:r>
          </w:p>
        </w:tc>
        <w:tc>
          <w:tcPr>
            <w:tcW w:w="2976"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kern w:val="0"/>
                <w:sz w:val="21"/>
                <w:szCs w:val="21"/>
              </w:rPr>
            </w:pPr>
            <w:r>
              <w:rPr>
                <w:rFonts w:hint="eastAsia"/>
                <w:kern w:val="0"/>
                <w:sz w:val="21"/>
                <w:szCs w:val="21"/>
              </w:rPr>
              <w:t>生产用</w:t>
            </w:r>
            <w:r>
              <w:rPr>
                <w:kern w:val="0"/>
                <w:sz w:val="21"/>
                <w:szCs w:val="21"/>
              </w:rPr>
              <w:t>水泵房</w:t>
            </w:r>
            <w:r>
              <w:rPr>
                <w:rFonts w:hint="eastAsia"/>
                <w:kern w:val="0"/>
                <w:sz w:val="21"/>
                <w:szCs w:val="21"/>
              </w:rPr>
              <w:t>，半</w:t>
            </w:r>
            <w:r>
              <w:rPr>
                <w:kern w:val="0"/>
                <w:sz w:val="21"/>
                <w:szCs w:val="21"/>
              </w:rPr>
              <w:t>地下安装</w:t>
            </w:r>
            <w:r>
              <w:rPr>
                <w:rFonts w:hint="eastAsia"/>
                <w:kern w:val="0"/>
                <w:sz w:val="21"/>
                <w:szCs w:val="21"/>
              </w:rPr>
              <w:t>。固定式安装（带3米连接软管及夹箍及出口止回阀、闸阀）</w:t>
            </w:r>
          </w:p>
        </w:tc>
        <w:tc>
          <w:tcPr>
            <w:tcW w:w="2977" w:type="dxa"/>
            <w:vAlign w:val="top"/>
          </w:tcPr>
          <w:p>
            <w:pPr>
              <w:widowControl w:val="0"/>
              <w:tabs>
                <w:tab w:val="left" w:pos="1200"/>
              </w:tabs>
              <w:overflowPunct w:val="0"/>
              <w:autoSpaceDE w:val="0"/>
              <w:autoSpaceDN w:val="0"/>
              <w:adjustRightInd w:val="0"/>
              <w:spacing w:before="120" w:beforeLines="50" w:line="0" w:lineRule="atLeast"/>
              <w:jc w:val="center"/>
              <w:textAlignment w:val="baseline"/>
              <w:rPr>
                <w:rFonts w:hint="eastAsia"/>
                <w:kern w:val="0"/>
                <w:sz w:val="21"/>
                <w:szCs w:val="21"/>
              </w:rPr>
            </w:pPr>
            <w:r>
              <w:rPr>
                <w:rFonts w:hint="eastAsia"/>
                <w:sz w:val="21"/>
                <w:szCs w:val="21"/>
              </w:rPr>
              <w:t>污泥脱水机房</w:t>
            </w:r>
          </w:p>
        </w:tc>
      </w:tr>
    </w:tbl>
    <w:p>
      <w:pPr>
        <w:pStyle w:val="8"/>
      </w:pPr>
      <w:r>
        <w:t>技术性能</w:t>
      </w:r>
    </w:p>
    <w:p>
      <w:pPr>
        <w:pStyle w:val="36"/>
        <w:widowControl w:val="0"/>
      </w:pPr>
      <w:r>
        <w:t>表一</w:t>
      </w:r>
    </w:p>
    <w:tbl>
      <w:tblPr>
        <w:tblStyle w:val="19"/>
        <w:tblW w:w="8427"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268"/>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8"/>
              <w:keepNext w:val="0"/>
              <w:tabs>
                <w:tab w:val="left" w:pos="1200"/>
              </w:tabs>
              <w:spacing w:before="120" w:beforeLines="50" w:line="0" w:lineRule="atLeast"/>
              <w:jc w:val="center"/>
              <w:rPr>
                <w:rFonts w:ascii="Times New Roman"/>
                <w:sz w:val="21"/>
                <w:szCs w:val="21"/>
              </w:rPr>
            </w:pPr>
            <w:r>
              <w:rPr>
                <w:rFonts w:ascii="Times New Roman"/>
                <w:sz w:val="21"/>
                <w:szCs w:val="21"/>
              </w:rPr>
              <w:t>设备名称</w:t>
            </w:r>
          </w:p>
        </w:tc>
        <w:tc>
          <w:tcPr>
            <w:tcW w:w="2268" w:type="dxa"/>
            <w:vAlign w:val="center"/>
          </w:tcPr>
          <w:p>
            <w:pPr>
              <w:pStyle w:val="37"/>
              <w:widowControl w:val="0"/>
              <w:tabs>
                <w:tab w:val="left" w:pos="1200"/>
              </w:tabs>
              <w:spacing w:before="120" w:beforeLines="50" w:after="0" w:line="0" w:lineRule="atLeast"/>
              <w:ind w:left="0" w:leftChars="0" w:firstLine="0"/>
              <w:jc w:val="center"/>
              <w:rPr>
                <w:b/>
                <w:bCs/>
                <w:sz w:val="21"/>
                <w:szCs w:val="21"/>
              </w:rPr>
            </w:pPr>
            <w:r>
              <w:rPr>
                <w:b/>
                <w:bCs/>
                <w:sz w:val="21"/>
                <w:szCs w:val="21"/>
              </w:rPr>
              <w:t>进水提升泵</w:t>
            </w:r>
          </w:p>
        </w:tc>
        <w:tc>
          <w:tcPr>
            <w:tcW w:w="1984"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rFonts w:hint="eastAsia"/>
                <w:b/>
                <w:bCs/>
                <w:kern w:val="0"/>
                <w:sz w:val="21"/>
                <w:szCs w:val="21"/>
              </w:rPr>
              <w:t>浮渣冲洗</w:t>
            </w:r>
            <w:r>
              <w:rPr>
                <w:b/>
                <w:bCs/>
                <w:kern w:val="0"/>
                <w:sz w:val="21"/>
                <w:szCs w:val="21"/>
              </w:rPr>
              <w:t>泵</w:t>
            </w:r>
          </w:p>
        </w:tc>
        <w:tc>
          <w:tcPr>
            <w:tcW w:w="2410" w:type="dxa"/>
            <w:vAlign w:val="top"/>
          </w:tcPr>
          <w:p>
            <w:pPr>
              <w:pStyle w:val="37"/>
              <w:widowControl w:val="0"/>
              <w:tabs>
                <w:tab w:val="left" w:pos="1200"/>
              </w:tabs>
              <w:spacing w:before="120" w:beforeLines="50" w:after="0" w:line="0" w:lineRule="atLeast"/>
              <w:ind w:left="0" w:leftChars="0" w:firstLine="0"/>
              <w:jc w:val="center"/>
              <w:rPr>
                <w:b/>
                <w:bCs/>
                <w:sz w:val="21"/>
                <w:szCs w:val="21"/>
              </w:rPr>
            </w:pPr>
            <w:r>
              <w:rPr>
                <w:b/>
                <w:bCs/>
                <w:sz w:val="21"/>
                <w:szCs w:val="21"/>
              </w:rPr>
              <w:t>内回流泵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765" w:type="dxa"/>
            <w:vAlign w:val="center"/>
          </w:tcPr>
          <w:p>
            <w:pPr>
              <w:pStyle w:val="3"/>
              <w:tabs>
                <w:tab w:val="left" w:pos="1200"/>
              </w:tabs>
              <w:spacing w:before="120" w:beforeLines="50" w:line="0" w:lineRule="atLeast"/>
              <w:jc w:val="center"/>
              <w:rPr>
                <w:bCs/>
                <w:sz w:val="21"/>
                <w:szCs w:val="21"/>
                <w:vertAlign w:val="baseline"/>
                <w:lang w:val="en-US" w:eastAsia="zh-CN"/>
              </w:rPr>
            </w:pPr>
            <w:r>
              <w:rPr>
                <w:bCs/>
                <w:sz w:val="21"/>
                <w:szCs w:val="21"/>
                <w:vertAlign w:val="baseline"/>
                <w:lang w:val="en-US" w:eastAsia="zh-CN"/>
              </w:rPr>
              <w:t>设备编号</w:t>
            </w:r>
          </w:p>
        </w:tc>
        <w:tc>
          <w:tcPr>
            <w:tcW w:w="2268"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Cs/>
                <w:kern w:val="0"/>
                <w:sz w:val="21"/>
                <w:szCs w:val="21"/>
              </w:rPr>
            </w:pPr>
            <w:r>
              <w:rPr>
                <w:rFonts w:hint="eastAsia"/>
              </w:rPr>
              <w:t>CSR</w:t>
            </w:r>
            <w:r>
              <w:t>-PPU101/10</w:t>
            </w:r>
            <w:r>
              <w:rPr>
                <w:rFonts w:hint="eastAsia"/>
              </w:rPr>
              <w:t>4</w:t>
            </w:r>
          </w:p>
        </w:tc>
        <w:tc>
          <w:tcPr>
            <w:tcW w:w="1984"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kern w:val="0"/>
                <w:sz w:val="21"/>
                <w:szCs w:val="21"/>
              </w:rPr>
            </w:pPr>
            <w:r>
              <w:t>GRT-PPU</w:t>
            </w:r>
            <w:r>
              <w:rPr>
                <w:rFonts w:hint="eastAsia"/>
              </w:rPr>
              <w:t>1</w:t>
            </w:r>
            <w:r>
              <w:t>01</w:t>
            </w:r>
          </w:p>
        </w:tc>
        <w:tc>
          <w:tcPr>
            <w:tcW w:w="2410" w:type="dxa"/>
            <w:vAlign w:val="top"/>
          </w:tcPr>
          <w:p>
            <w:pPr>
              <w:widowControl w:val="0"/>
              <w:overflowPunct w:val="0"/>
              <w:autoSpaceDE w:val="0"/>
              <w:autoSpaceDN w:val="0"/>
              <w:adjustRightInd w:val="0"/>
              <w:spacing w:before="0" w:line="0" w:lineRule="atLeast"/>
              <w:jc w:val="center"/>
              <w:textAlignment w:val="baseline"/>
              <w:rPr>
                <w:b/>
                <w:bCs/>
                <w:kern w:val="0"/>
                <w:sz w:val="21"/>
                <w:szCs w:val="21"/>
              </w:rPr>
            </w:pPr>
            <w:r>
              <w:rPr>
                <w:szCs w:val="21"/>
              </w:rPr>
              <w:t>AER1/2-PSB101/102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形式</w:t>
            </w:r>
          </w:p>
        </w:tc>
        <w:tc>
          <w:tcPr>
            <w:tcW w:w="2268"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c>
          <w:tcPr>
            <w:tcW w:w="1984"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c>
          <w:tcPr>
            <w:tcW w:w="2410"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水平潜水轴流泵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叶轮型式</w:t>
            </w:r>
          </w:p>
        </w:tc>
        <w:tc>
          <w:tcPr>
            <w:tcW w:w="2268"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c>
          <w:tcPr>
            <w:tcW w:w="1984"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c>
          <w:tcPr>
            <w:tcW w:w="2410"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三叶螺旋桨式叶轮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
              <w:tabs>
                <w:tab w:val="left" w:pos="1200"/>
              </w:tabs>
              <w:spacing w:before="120" w:beforeLines="50" w:line="0" w:lineRule="atLeast"/>
              <w:jc w:val="center"/>
              <w:rPr>
                <w:b/>
                <w:sz w:val="21"/>
                <w:szCs w:val="21"/>
                <w:vertAlign w:val="baseline"/>
                <w:lang w:val="en-US" w:eastAsia="zh-CN"/>
              </w:rPr>
            </w:pPr>
            <w:r>
              <w:rPr>
                <w:sz w:val="21"/>
                <w:szCs w:val="21"/>
                <w:vertAlign w:val="baseline"/>
                <w:lang w:val="en-US" w:eastAsia="zh-CN"/>
              </w:rPr>
              <w:t>流量 (m</w:t>
            </w:r>
            <w:r>
              <w:rPr>
                <w:sz w:val="21"/>
                <w:szCs w:val="21"/>
                <w:lang w:val="en-US" w:eastAsia="zh-CN"/>
              </w:rPr>
              <w:t>3</w:t>
            </w:r>
            <w:r>
              <w:rPr>
                <w:sz w:val="21"/>
                <w:szCs w:val="21"/>
                <w:vertAlign w:val="baseline"/>
                <w:lang w:val="en-US" w:eastAsia="zh-CN"/>
              </w:rPr>
              <w:t>/h)</w:t>
            </w:r>
          </w:p>
        </w:tc>
        <w:tc>
          <w:tcPr>
            <w:tcW w:w="2268" w:type="dxa"/>
            <w:vAlign w:val="center"/>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1500</w:t>
            </w:r>
          </w:p>
        </w:tc>
        <w:tc>
          <w:tcPr>
            <w:tcW w:w="1984" w:type="dxa"/>
            <w:vAlign w:val="top"/>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16.7</w:t>
            </w:r>
          </w:p>
        </w:tc>
        <w:tc>
          <w:tcPr>
            <w:tcW w:w="2410" w:type="dxa"/>
            <w:vAlign w:val="center"/>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25</w:t>
            </w:r>
            <w:r>
              <w:rPr>
                <w:sz w:val="21"/>
                <w:szCs w:val="21"/>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扬程 (m)</w:t>
            </w:r>
          </w:p>
        </w:tc>
        <w:tc>
          <w:tcPr>
            <w:tcW w:w="2268"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12.5</w:t>
            </w:r>
          </w:p>
        </w:tc>
        <w:tc>
          <w:tcPr>
            <w:tcW w:w="1984"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10</w:t>
            </w:r>
          </w:p>
        </w:tc>
        <w:tc>
          <w:tcPr>
            <w:tcW w:w="2410"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0.</w:t>
            </w:r>
            <w:r>
              <w:rPr>
                <w:rFonts w:hint="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效率(％)</w:t>
            </w:r>
          </w:p>
        </w:tc>
        <w:tc>
          <w:tcPr>
            <w:tcW w:w="2268" w:type="dxa"/>
            <w:tcBorders>
              <w:right w:val="single" w:color="auto" w:sz="4" w:space="0"/>
            </w:tcBorders>
            <w:vAlign w:val="center"/>
          </w:tcPr>
          <w:p>
            <w:pPr>
              <w:pStyle w:val="3"/>
              <w:tabs>
                <w:tab w:val="left" w:pos="1200"/>
              </w:tabs>
              <w:spacing w:before="120" w:beforeLines="50" w:line="0" w:lineRule="atLeast"/>
              <w:jc w:val="center"/>
              <w:rPr>
                <w:b/>
                <w:sz w:val="21"/>
                <w:szCs w:val="21"/>
                <w:vertAlign w:val="baseline"/>
                <w:lang w:val="en-US" w:eastAsia="zh-CN"/>
              </w:rPr>
            </w:pPr>
            <w:r>
              <w:rPr>
                <w:sz w:val="21"/>
                <w:szCs w:val="21"/>
                <w:vertAlign w:val="baseline"/>
                <w:lang w:val="en-US" w:eastAsia="zh-CN"/>
              </w:rPr>
              <w:t>≥80</w:t>
            </w:r>
          </w:p>
        </w:tc>
        <w:tc>
          <w:tcPr>
            <w:tcW w:w="1984" w:type="dxa"/>
            <w:tcBorders>
              <w:right w:val="single" w:color="auto" w:sz="4" w:space="0"/>
            </w:tcBorders>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w:t>
            </w:r>
          </w:p>
        </w:tc>
        <w:tc>
          <w:tcPr>
            <w:tcW w:w="2410"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每小时允许起动次数(次)</w:t>
            </w:r>
          </w:p>
        </w:tc>
        <w:tc>
          <w:tcPr>
            <w:tcW w:w="2268" w:type="dxa"/>
            <w:tcBorders>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c>
          <w:tcPr>
            <w:tcW w:w="1984" w:type="dxa"/>
            <w:tcBorders>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c>
          <w:tcPr>
            <w:tcW w:w="2410" w:type="dxa"/>
            <w:tcBorders>
              <w:left w:val="single" w:color="auto" w:sz="4" w:space="0"/>
              <w:bottom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电源</w:t>
            </w:r>
          </w:p>
        </w:tc>
        <w:tc>
          <w:tcPr>
            <w:tcW w:w="2268" w:type="dxa"/>
            <w:tcBorders>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380V/3ph/50Hz</w:t>
            </w:r>
          </w:p>
        </w:tc>
        <w:tc>
          <w:tcPr>
            <w:tcW w:w="1984" w:type="dxa"/>
            <w:tcBorders>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380V/3ph/50Hz</w:t>
            </w:r>
          </w:p>
        </w:tc>
        <w:tc>
          <w:tcPr>
            <w:tcW w:w="2410" w:type="dxa"/>
            <w:tcBorders>
              <w:left w:val="single" w:color="auto" w:sz="4" w:space="0"/>
              <w:bottom w:val="single" w:color="auto" w:sz="4" w:space="0"/>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5" w:type="dxa"/>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电机防护等级/绝缘等级</w:t>
            </w:r>
          </w:p>
        </w:tc>
        <w:tc>
          <w:tcPr>
            <w:tcW w:w="2268" w:type="dxa"/>
            <w:tcBorders>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c>
          <w:tcPr>
            <w:tcW w:w="1984" w:type="dxa"/>
            <w:tcBorders>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c>
          <w:tcPr>
            <w:tcW w:w="2410" w:type="dxa"/>
            <w:tcBorders>
              <w:left w:val="single" w:color="auto" w:sz="4" w:space="0"/>
              <w:bottom w:val="single" w:color="auto" w:sz="4" w:space="0"/>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r>
    </w:tbl>
    <w:p>
      <w:pPr>
        <w:pStyle w:val="36"/>
        <w:widowControl w:val="0"/>
      </w:pPr>
      <w:bookmarkStart w:id="165" w:name="_Toc155414318"/>
      <w:r>
        <w:t>表二</w:t>
      </w:r>
    </w:p>
    <w:tbl>
      <w:tblPr>
        <w:tblStyle w:val="19"/>
        <w:tblW w:w="842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center"/>
          </w:tcPr>
          <w:p>
            <w:pPr>
              <w:pStyle w:val="38"/>
              <w:keepNext w:val="0"/>
              <w:tabs>
                <w:tab w:val="left" w:pos="1200"/>
              </w:tabs>
              <w:spacing w:before="120" w:beforeLines="50" w:line="0" w:lineRule="atLeast"/>
              <w:jc w:val="center"/>
              <w:rPr>
                <w:rFonts w:ascii="Times New Roman"/>
                <w:sz w:val="21"/>
                <w:szCs w:val="21"/>
              </w:rPr>
            </w:pPr>
            <w:r>
              <w:rPr>
                <w:rFonts w:ascii="Times New Roman"/>
                <w:sz w:val="21"/>
                <w:szCs w:val="21"/>
              </w:rPr>
              <w:t>设备名称</w:t>
            </w:r>
          </w:p>
        </w:tc>
        <w:tc>
          <w:tcPr>
            <w:tcW w:w="2126" w:type="dxa"/>
            <w:vAlign w:val="center"/>
          </w:tcPr>
          <w:p>
            <w:pPr>
              <w:pStyle w:val="38"/>
              <w:keepNext w:val="0"/>
              <w:spacing w:before="120" w:beforeLines="50" w:line="0" w:lineRule="atLeast"/>
              <w:jc w:val="center"/>
              <w:rPr>
                <w:rFonts w:ascii="Times New Roman"/>
                <w:sz w:val="21"/>
                <w:szCs w:val="21"/>
              </w:rPr>
            </w:pPr>
            <w:r>
              <w:rPr>
                <w:rFonts w:ascii="Times New Roman"/>
                <w:sz w:val="21"/>
                <w:szCs w:val="21"/>
              </w:rPr>
              <w:t>回流污泥泵</w:t>
            </w:r>
          </w:p>
        </w:tc>
        <w:tc>
          <w:tcPr>
            <w:tcW w:w="2126" w:type="dxa"/>
            <w:vAlign w:val="top"/>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剩余污泥泵</w:t>
            </w:r>
          </w:p>
        </w:tc>
        <w:tc>
          <w:tcPr>
            <w:tcW w:w="2126" w:type="dxa"/>
            <w:vAlign w:val="top"/>
          </w:tcPr>
          <w:p>
            <w:pPr>
              <w:pStyle w:val="37"/>
              <w:widowControl w:val="0"/>
              <w:tabs>
                <w:tab w:val="left" w:pos="1200"/>
              </w:tabs>
              <w:spacing w:before="120" w:beforeLines="50" w:after="0" w:line="0" w:lineRule="atLeast"/>
              <w:ind w:left="0" w:leftChars="0" w:firstLine="0"/>
              <w:jc w:val="center"/>
              <w:rPr>
                <w:b/>
                <w:bCs/>
                <w:sz w:val="21"/>
                <w:szCs w:val="21"/>
              </w:rPr>
            </w:pPr>
            <w:r>
              <w:rPr>
                <w:b/>
                <w:bCs/>
                <w:sz w:val="21"/>
                <w:szCs w:val="21"/>
              </w:rPr>
              <w:t>砂滤池进水提升泵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bCs/>
                <w:sz w:val="21"/>
                <w:szCs w:val="21"/>
                <w:vertAlign w:val="baseline"/>
                <w:lang w:val="en-US" w:eastAsia="zh-CN"/>
              </w:rPr>
            </w:pPr>
            <w:r>
              <w:rPr>
                <w:bCs/>
                <w:sz w:val="21"/>
                <w:szCs w:val="21"/>
                <w:vertAlign w:val="baseline"/>
                <w:lang w:val="en-US" w:eastAsia="zh-CN"/>
              </w:rPr>
              <w:t>设备编号</w:t>
            </w:r>
          </w:p>
        </w:tc>
        <w:tc>
          <w:tcPr>
            <w:tcW w:w="2126" w:type="dxa"/>
            <w:vAlign w:val="center"/>
          </w:tcPr>
          <w:p>
            <w:pPr>
              <w:widowControl w:val="0"/>
              <w:overflowPunct w:val="0"/>
              <w:autoSpaceDE w:val="0"/>
              <w:autoSpaceDN w:val="0"/>
              <w:adjustRightInd w:val="0"/>
              <w:spacing w:before="0" w:line="0" w:lineRule="atLeast"/>
              <w:jc w:val="center"/>
              <w:textAlignment w:val="baseline"/>
              <w:rPr>
                <w:kern w:val="0"/>
                <w:sz w:val="21"/>
                <w:szCs w:val="21"/>
              </w:rPr>
            </w:pPr>
            <w:r>
              <w:rPr>
                <w:rFonts w:hint="eastAsia"/>
              </w:rPr>
              <w:t>SP</w:t>
            </w:r>
            <w:r>
              <w:t>-PSB</w:t>
            </w:r>
            <w:r>
              <w:rPr>
                <w:rFonts w:hint="eastAsia"/>
              </w:rPr>
              <w:t>1</w:t>
            </w:r>
            <w:r>
              <w:t>01/</w:t>
            </w:r>
            <w:r>
              <w:rPr>
                <w:rFonts w:hint="eastAsia"/>
              </w:rPr>
              <w:t>1</w:t>
            </w:r>
            <w:r>
              <w:t>03</w:t>
            </w:r>
          </w:p>
        </w:tc>
        <w:tc>
          <w:tcPr>
            <w:tcW w:w="2126" w:type="dxa"/>
            <w:vAlign w:val="center"/>
          </w:tcPr>
          <w:p>
            <w:pPr>
              <w:widowControl w:val="0"/>
              <w:tabs>
                <w:tab w:val="left" w:pos="1020"/>
                <w:tab w:val="left" w:pos="1090"/>
                <w:tab w:val="left" w:pos="1200"/>
              </w:tabs>
              <w:overflowPunct w:val="0"/>
              <w:autoSpaceDE w:val="0"/>
              <w:autoSpaceDN w:val="0"/>
              <w:adjustRightInd w:val="0"/>
              <w:spacing w:before="0" w:line="0" w:lineRule="atLeast"/>
              <w:jc w:val="center"/>
              <w:textAlignment w:val="baseline"/>
              <w:rPr>
                <w:bCs/>
                <w:kern w:val="0"/>
                <w:sz w:val="21"/>
                <w:szCs w:val="21"/>
              </w:rPr>
            </w:pPr>
            <w:r>
              <w:rPr>
                <w:rFonts w:hint="eastAsia"/>
              </w:rPr>
              <w:t>SP</w:t>
            </w:r>
            <w:r>
              <w:t>-PSB</w:t>
            </w:r>
            <w:r>
              <w:rPr>
                <w:rFonts w:hint="eastAsia"/>
              </w:rPr>
              <w:t>2</w:t>
            </w:r>
            <w:r>
              <w:t>01/</w:t>
            </w:r>
            <w:r>
              <w:rPr>
                <w:rFonts w:hint="eastAsia"/>
              </w:rPr>
              <w:t>2</w:t>
            </w:r>
            <w:r>
              <w:t>03</w:t>
            </w:r>
          </w:p>
        </w:tc>
        <w:tc>
          <w:tcPr>
            <w:tcW w:w="2126" w:type="dxa"/>
            <w:vAlign w:val="center"/>
          </w:tcPr>
          <w:p>
            <w:pPr>
              <w:widowControl w:val="0"/>
              <w:overflowPunct w:val="0"/>
              <w:autoSpaceDE w:val="0"/>
              <w:autoSpaceDN w:val="0"/>
              <w:adjustRightInd w:val="0"/>
              <w:spacing w:before="0" w:line="0" w:lineRule="atLeast"/>
              <w:jc w:val="center"/>
              <w:textAlignment w:val="baseline"/>
              <w:rPr>
                <w:kern w:val="0"/>
                <w:sz w:val="21"/>
                <w:szCs w:val="21"/>
              </w:rPr>
            </w:pPr>
            <w:r>
              <w:rPr>
                <w:rFonts w:hint="eastAsia"/>
              </w:rPr>
              <w:t>LPW</w:t>
            </w:r>
            <w:r>
              <w:t>-PSB101/104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形式</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潜水轴流泵</w:t>
            </w:r>
          </w:p>
        </w:tc>
        <w:tc>
          <w:tcPr>
            <w:tcW w:w="2126"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叶轮型式</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c>
          <w:tcPr>
            <w:tcW w:w="2126"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b/>
                <w:sz w:val="21"/>
                <w:szCs w:val="21"/>
                <w:vertAlign w:val="baseline"/>
                <w:lang w:val="en-US" w:eastAsia="zh-CN"/>
              </w:rPr>
            </w:pPr>
            <w:r>
              <w:rPr>
                <w:sz w:val="21"/>
                <w:szCs w:val="21"/>
                <w:vertAlign w:val="baseline"/>
                <w:lang w:val="en-US" w:eastAsia="zh-CN"/>
              </w:rPr>
              <w:t>流量 (m</w:t>
            </w:r>
            <w:r>
              <w:rPr>
                <w:sz w:val="21"/>
                <w:szCs w:val="21"/>
                <w:lang w:val="en-US" w:eastAsia="zh-CN"/>
              </w:rPr>
              <w:t>3</w:t>
            </w:r>
            <w:r>
              <w:rPr>
                <w:sz w:val="21"/>
                <w:szCs w:val="21"/>
                <w:vertAlign w:val="baseline"/>
                <w:lang w:val="en-US" w:eastAsia="zh-CN"/>
              </w:rPr>
              <w:t>/h)</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18</w:t>
            </w:r>
            <w:r>
              <w:rPr>
                <w:sz w:val="21"/>
                <w:szCs w:val="21"/>
                <w:vertAlign w:val="baseline"/>
                <w:lang w:val="en-US" w:eastAsia="zh-CN"/>
              </w:rPr>
              <w:t>00</w:t>
            </w:r>
          </w:p>
        </w:tc>
        <w:tc>
          <w:tcPr>
            <w:tcW w:w="2126"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w:t>
            </w:r>
            <w:r>
              <w:rPr>
                <w:rFonts w:hint="eastAsia"/>
                <w:sz w:val="21"/>
                <w:szCs w:val="21"/>
                <w:vertAlign w:val="baseline"/>
                <w:lang w:val="en-US" w:eastAsia="zh-CN"/>
              </w:rPr>
              <w:t>5</w:t>
            </w:r>
            <w:r>
              <w:rPr>
                <w:sz w:val="21"/>
                <w:szCs w:val="21"/>
                <w:vertAlign w:val="baseline"/>
                <w:lang w:val="en-US" w:eastAsia="zh-CN"/>
              </w:rPr>
              <w:t>0</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w:t>
            </w:r>
            <w:r>
              <w:rPr>
                <w:rFonts w:hint="eastAsia"/>
                <w:sz w:val="21"/>
                <w:szCs w:val="21"/>
                <w:vertAlign w:val="baseline"/>
                <w:lang w:val="en-US" w:eastAsia="zh-CN"/>
              </w:rPr>
              <w:t>50</w:t>
            </w:r>
            <w:r>
              <w:rPr>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扬程 (m)</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5</w:t>
            </w:r>
          </w:p>
        </w:tc>
        <w:tc>
          <w:tcPr>
            <w:tcW w:w="2126"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20</w:t>
            </w:r>
          </w:p>
        </w:tc>
        <w:tc>
          <w:tcPr>
            <w:tcW w:w="2126"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效率(％)</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≥78</w:t>
            </w:r>
          </w:p>
        </w:tc>
        <w:tc>
          <w:tcPr>
            <w:tcW w:w="2126" w:type="dxa"/>
            <w:tcBorders>
              <w:left w:val="single" w:color="auto" w:sz="4" w:space="0"/>
              <w:right w:val="single" w:color="auto" w:sz="4" w:space="0"/>
            </w:tcBorders>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≥70</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每小时允许起动次数(次)</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048"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电源</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380V/3ph/50Hz</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380V/3ph/50Hz</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048" w:type="dxa"/>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电机防护等级/绝缘等级</w:t>
            </w:r>
          </w:p>
        </w:tc>
        <w:tc>
          <w:tcPr>
            <w:tcW w:w="2126" w:type="dxa"/>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c>
          <w:tcPr>
            <w:tcW w:w="2126" w:type="dxa"/>
            <w:tcBorders>
              <w:left w:val="single" w:color="auto" w:sz="4" w:space="0"/>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c>
          <w:tcPr>
            <w:tcW w:w="2126" w:type="dxa"/>
            <w:tcBorders>
              <w:left w:val="single" w:color="auto" w:sz="4" w:space="0"/>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r>
    </w:tbl>
    <w:p>
      <w:pPr>
        <w:pStyle w:val="36"/>
      </w:pPr>
      <w:r>
        <w:t>表</w:t>
      </w:r>
      <w:r>
        <w:rPr>
          <w:lang w:eastAsia="zh-CN"/>
        </w:rPr>
        <w:t>三</w:t>
      </w:r>
    </w:p>
    <w:tbl>
      <w:tblPr>
        <w:tblStyle w:val="19"/>
        <w:tblW w:w="8427"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27"/>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center"/>
          </w:tcPr>
          <w:p>
            <w:pPr>
              <w:pStyle w:val="38"/>
              <w:keepNext w:val="0"/>
              <w:tabs>
                <w:tab w:val="left" w:pos="1200"/>
              </w:tabs>
              <w:spacing w:before="120" w:beforeLines="50" w:line="0" w:lineRule="atLeast"/>
              <w:jc w:val="center"/>
              <w:rPr>
                <w:rFonts w:ascii="Times New Roman"/>
                <w:sz w:val="21"/>
                <w:szCs w:val="21"/>
              </w:rPr>
            </w:pPr>
            <w:r>
              <w:rPr>
                <w:rFonts w:ascii="Times New Roman"/>
                <w:sz w:val="21"/>
                <w:szCs w:val="21"/>
              </w:rPr>
              <w:t>设备名称</w:t>
            </w:r>
          </w:p>
        </w:tc>
        <w:tc>
          <w:tcPr>
            <w:tcW w:w="2127"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砂滤池反冲洗排水泵</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b/>
                <w:bCs/>
                <w:kern w:val="0"/>
                <w:sz w:val="21"/>
                <w:szCs w:val="21"/>
              </w:rPr>
              <w:t>砂滤池潜水排污泵</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rPr>
                <w:b/>
                <w:bCs/>
                <w:kern w:val="0"/>
                <w:sz w:val="21"/>
                <w:szCs w:val="21"/>
              </w:rPr>
            </w:pPr>
            <w:r>
              <w:rPr>
                <w:rFonts w:hint="eastAsia"/>
                <w:b/>
                <w:bCs/>
                <w:kern w:val="0"/>
                <w:sz w:val="21"/>
                <w:szCs w:val="21"/>
              </w:rPr>
              <w:t>潜水轴流泵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bCs/>
                <w:sz w:val="21"/>
                <w:szCs w:val="21"/>
                <w:vertAlign w:val="baseline"/>
                <w:lang w:val="en-US" w:eastAsia="zh-CN"/>
              </w:rPr>
            </w:pPr>
            <w:r>
              <w:rPr>
                <w:bCs/>
                <w:sz w:val="21"/>
                <w:szCs w:val="21"/>
                <w:vertAlign w:val="baseline"/>
                <w:lang w:val="en-US" w:eastAsia="zh-CN"/>
              </w:rPr>
              <w:t>设备编号</w:t>
            </w:r>
          </w:p>
        </w:tc>
        <w:tc>
          <w:tcPr>
            <w:tcW w:w="2127" w:type="dxa"/>
            <w:vAlign w:val="center"/>
          </w:tcPr>
          <w:p>
            <w:pPr>
              <w:widowControl w:val="0"/>
              <w:overflowPunct w:val="0"/>
              <w:autoSpaceDE w:val="0"/>
              <w:autoSpaceDN w:val="0"/>
              <w:adjustRightInd w:val="0"/>
              <w:spacing w:before="0" w:line="0" w:lineRule="atLeast"/>
              <w:jc w:val="center"/>
              <w:textAlignment w:val="baseline"/>
              <w:rPr>
                <w:kern w:val="0"/>
                <w:sz w:val="21"/>
                <w:szCs w:val="21"/>
              </w:rPr>
            </w:pPr>
            <w:r>
              <w:rPr>
                <w:rFonts w:hint="eastAsia"/>
              </w:rPr>
              <w:t>WPF</w:t>
            </w:r>
            <w:r>
              <w:t>-PSB</w:t>
            </w:r>
            <w:r>
              <w:rPr>
                <w:rFonts w:hint="eastAsia"/>
              </w:rPr>
              <w:t>1</w:t>
            </w:r>
            <w:r>
              <w:t>01/</w:t>
            </w:r>
            <w:r>
              <w:rPr>
                <w:rFonts w:hint="eastAsia"/>
              </w:rPr>
              <w:t>1</w:t>
            </w:r>
            <w:r>
              <w:t>02</w:t>
            </w:r>
          </w:p>
        </w:tc>
        <w:tc>
          <w:tcPr>
            <w:tcW w:w="2126" w:type="dxa"/>
            <w:vAlign w:val="center"/>
          </w:tcPr>
          <w:p>
            <w:pPr>
              <w:widowControl w:val="0"/>
              <w:overflowPunct w:val="0"/>
              <w:autoSpaceDE w:val="0"/>
              <w:autoSpaceDN w:val="0"/>
              <w:adjustRightInd w:val="0"/>
              <w:spacing w:before="0" w:line="0" w:lineRule="atLeast"/>
              <w:jc w:val="center"/>
              <w:textAlignment w:val="baseline"/>
              <w:rPr>
                <w:kern w:val="0"/>
                <w:sz w:val="21"/>
                <w:szCs w:val="21"/>
              </w:rPr>
            </w:pPr>
            <w:r>
              <w:rPr>
                <w:rFonts w:hint="eastAsia"/>
              </w:rPr>
              <w:t>FLT</w:t>
            </w:r>
            <w:r>
              <w:t>-PSB</w:t>
            </w:r>
            <w:r>
              <w:rPr>
                <w:rFonts w:hint="eastAsia"/>
              </w:rPr>
              <w:t>1</w:t>
            </w:r>
            <w:r>
              <w:t>01</w:t>
            </w:r>
          </w:p>
        </w:tc>
        <w:tc>
          <w:tcPr>
            <w:tcW w:w="2126"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pPr>
            <w:r>
              <w:rPr>
                <w:sz w:val="21"/>
                <w:szCs w:val="21"/>
              </w:rPr>
              <w:t>SCT-PSB101-03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形式</w:t>
            </w:r>
          </w:p>
        </w:tc>
        <w:tc>
          <w:tcPr>
            <w:tcW w:w="212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潜水轴流泵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叶轮型式</w:t>
            </w:r>
          </w:p>
        </w:tc>
        <w:tc>
          <w:tcPr>
            <w:tcW w:w="212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b/>
                <w:sz w:val="21"/>
                <w:szCs w:val="21"/>
                <w:vertAlign w:val="baseline"/>
                <w:lang w:val="en-US" w:eastAsia="zh-CN"/>
              </w:rPr>
            </w:pPr>
            <w:r>
              <w:rPr>
                <w:sz w:val="21"/>
                <w:szCs w:val="21"/>
                <w:vertAlign w:val="baseline"/>
                <w:lang w:val="en-US" w:eastAsia="zh-CN"/>
              </w:rPr>
              <w:t>流量 (m</w:t>
            </w:r>
            <w:r>
              <w:rPr>
                <w:sz w:val="21"/>
                <w:szCs w:val="21"/>
                <w:lang w:val="en-US" w:eastAsia="zh-CN"/>
              </w:rPr>
              <w:t>3</w:t>
            </w:r>
            <w:r>
              <w:rPr>
                <w:sz w:val="21"/>
                <w:szCs w:val="21"/>
                <w:vertAlign w:val="baseline"/>
                <w:lang w:val="en-US" w:eastAsia="zh-CN"/>
              </w:rPr>
              <w:t>/h)</w:t>
            </w:r>
          </w:p>
        </w:tc>
        <w:tc>
          <w:tcPr>
            <w:tcW w:w="212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460</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10</w:t>
            </w:r>
          </w:p>
        </w:tc>
        <w:tc>
          <w:tcPr>
            <w:tcW w:w="2126"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扬程 (m)</w:t>
            </w:r>
          </w:p>
        </w:tc>
        <w:tc>
          <w:tcPr>
            <w:tcW w:w="212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22</w:t>
            </w:r>
          </w:p>
        </w:tc>
        <w:tc>
          <w:tcPr>
            <w:tcW w:w="2126"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12</w:t>
            </w:r>
          </w:p>
        </w:tc>
        <w:tc>
          <w:tcPr>
            <w:tcW w:w="2126"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效率(％)</w:t>
            </w:r>
          </w:p>
        </w:tc>
        <w:tc>
          <w:tcPr>
            <w:tcW w:w="212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≥70</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048"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每小时允许起动次数(次)</w:t>
            </w:r>
          </w:p>
        </w:tc>
        <w:tc>
          <w:tcPr>
            <w:tcW w:w="212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w:t>
            </w:r>
            <w:r>
              <w:rPr>
                <w:rFonts w:hint="eastAsia"/>
                <w:sz w:val="21"/>
                <w:szCs w:val="21"/>
                <w:vertAlign w:val="baseline"/>
                <w:lang w:val="en-US" w:eastAsia="zh-CN"/>
              </w:rPr>
              <w:t>5</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048" w:type="dxa"/>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电源</w:t>
            </w:r>
          </w:p>
        </w:tc>
        <w:tc>
          <w:tcPr>
            <w:tcW w:w="2127" w:type="dxa"/>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380V/3ph/50Hz</w:t>
            </w:r>
          </w:p>
        </w:tc>
        <w:tc>
          <w:tcPr>
            <w:tcW w:w="2126" w:type="dxa"/>
            <w:tcBorders>
              <w:left w:val="single" w:color="auto" w:sz="4" w:space="0"/>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380V/3ph/50Hz</w:t>
            </w:r>
          </w:p>
        </w:tc>
        <w:tc>
          <w:tcPr>
            <w:tcW w:w="2126" w:type="dxa"/>
            <w:tcBorders>
              <w:left w:val="single" w:color="auto" w:sz="4" w:space="0"/>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048" w:type="dxa"/>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电机防护等级/绝缘等级</w:t>
            </w:r>
          </w:p>
        </w:tc>
        <w:tc>
          <w:tcPr>
            <w:tcW w:w="2127" w:type="dxa"/>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c>
          <w:tcPr>
            <w:tcW w:w="2126" w:type="dxa"/>
            <w:tcBorders>
              <w:left w:val="single" w:color="auto" w:sz="4" w:space="0"/>
              <w:right w:val="single" w:color="auto" w:sz="4" w:space="0"/>
            </w:tcBorders>
            <w:vAlign w:val="center"/>
          </w:tcPr>
          <w:p>
            <w:pPr>
              <w:pStyle w:val="38"/>
              <w:tabs>
                <w:tab w:val="left" w:pos="1200"/>
              </w:tabs>
              <w:spacing w:before="120" w:beforeLines="50" w:line="0" w:lineRule="atLeast"/>
              <w:jc w:val="center"/>
              <w:rPr>
                <w:rFonts w:ascii="Times New Roman"/>
                <w:b w:val="0"/>
                <w:sz w:val="21"/>
                <w:szCs w:val="21"/>
              </w:rPr>
            </w:pPr>
            <w:r>
              <w:rPr>
                <w:rFonts w:ascii="Times New Roman"/>
                <w:b w:val="0"/>
                <w:sz w:val="21"/>
                <w:szCs w:val="21"/>
              </w:rPr>
              <w:t>IP68/</w:t>
            </w:r>
            <w:r>
              <w:rPr>
                <w:rFonts w:hint="eastAsia" w:ascii="Times New Roman"/>
                <w:b w:val="0"/>
                <w:sz w:val="21"/>
                <w:szCs w:val="21"/>
              </w:rPr>
              <w:t>F</w:t>
            </w:r>
          </w:p>
        </w:tc>
        <w:tc>
          <w:tcPr>
            <w:tcW w:w="2126"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IP68/</w:t>
            </w:r>
            <w:r>
              <w:rPr>
                <w:rFonts w:hint="eastAsia"/>
                <w:sz w:val="21"/>
                <w:szCs w:val="21"/>
                <w:vertAlign w:val="baseline"/>
                <w:lang w:val="en-US" w:eastAsia="zh-CN"/>
              </w:rPr>
              <w:t>F</w:t>
            </w:r>
          </w:p>
        </w:tc>
      </w:tr>
    </w:tbl>
    <w:p>
      <w:pPr>
        <w:pStyle w:val="36"/>
      </w:pPr>
      <w:r>
        <w:t>表</w:t>
      </w:r>
      <w:r>
        <w:rPr>
          <w:lang w:eastAsia="zh-CN"/>
        </w:rPr>
        <w:t>四</w:t>
      </w:r>
    </w:p>
    <w:tbl>
      <w:tblPr>
        <w:tblStyle w:val="19"/>
        <w:tblW w:w="8427"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7" w:type="dxa"/>
            <w:vAlign w:val="center"/>
          </w:tcPr>
          <w:p>
            <w:pPr>
              <w:pStyle w:val="38"/>
              <w:keepNext w:val="0"/>
              <w:tabs>
                <w:tab w:val="left" w:pos="1200"/>
              </w:tabs>
              <w:spacing w:before="120" w:beforeLines="50" w:line="0" w:lineRule="atLeast"/>
              <w:jc w:val="center"/>
              <w:rPr>
                <w:rFonts w:ascii="Times New Roman"/>
                <w:sz w:val="21"/>
                <w:szCs w:val="21"/>
              </w:rPr>
            </w:pPr>
            <w:r>
              <w:rPr>
                <w:rFonts w:ascii="Times New Roman"/>
                <w:sz w:val="21"/>
                <w:szCs w:val="21"/>
              </w:rPr>
              <w:t>设备名称</w:t>
            </w:r>
          </w:p>
        </w:tc>
        <w:tc>
          <w:tcPr>
            <w:tcW w:w="2977" w:type="dxa"/>
            <w:vAlign w:val="center"/>
          </w:tcPr>
          <w:p>
            <w:pPr>
              <w:pStyle w:val="38"/>
              <w:keepNext w:val="0"/>
              <w:tabs>
                <w:tab w:val="left" w:pos="1200"/>
              </w:tabs>
              <w:spacing w:before="120" w:beforeLines="50" w:line="0" w:lineRule="atLeast"/>
              <w:jc w:val="center"/>
              <w:rPr>
                <w:rFonts w:ascii="Times New Roman"/>
                <w:sz w:val="21"/>
                <w:szCs w:val="21"/>
              </w:rPr>
            </w:pPr>
            <w:r>
              <w:rPr>
                <w:rFonts w:hint="eastAsia" w:ascii="Times New Roman"/>
                <w:sz w:val="21"/>
                <w:szCs w:val="21"/>
              </w:rPr>
              <w:t>生产用水</w:t>
            </w:r>
            <w:r>
              <w:rPr>
                <w:rFonts w:ascii="Times New Roman"/>
                <w:sz w:val="21"/>
                <w:szCs w:val="21"/>
              </w:rPr>
              <w:t>泵房潜水排污泵</w:t>
            </w:r>
          </w:p>
        </w:tc>
        <w:tc>
          <w:tcPr>
            <w:tcW w:w="2693" w:type="dxa"/>
            <w:vAlign w:val="top"/>
          </w:tcPr>
          <w:p>
            <w:pPr>
              <w:pStyle w:val="38"/>
              <w:keepNext w:val="0"/>
              <w:tabs>
                <w:tab w:val="left" w:pos="1200"/>
              </w:tabs>
              <w:spacing w:before="120" w:beforeLines="50" w:line="0" w:lineRule="atLeast"/>
              <w:jc w:val="center"/>
              <w:rPr>
                <w:rFonts w:hint="eastAsia" w:ascii="Times New Roman"/>
                <w:sz w:val="21"/>
                <w:szCs w:val="21"/>
              </w:rPr>
            </w:pPr>
            <w:r>
              <w:rPr>
                <w:rFonts w:hint="eastAsia" w:ascii="Times New Roman"/>
                <w:sz w:val="21"/>
                <w:szCs w:val="21"/>
              </w:rPr>
              <w:t>污泥脱水机房</w:t>
            </w:r>
            <w:r>
              <w:rPr>
                <w:rFonts w:ascii="Times New Roman"/>
                <w:sz w:val="21"/>
                <w:szCs w:val="21"/>
              </w:rPr>
              <w:t>潜污泵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7" w:type="dxa"/>
            <w:vAlign w:val="top"/>
          </w:tcPr>
          <w:p>
            <w:pPr>
              <w:pStyle w:val="3"/>
              <w:tabs>
                <w:tab w:val="left" w:pos="1200"/>
              </w:tabs>
              <w:spacing w:before="120" w:beforeLines="50" w:line="0" w:lineRule="atLeast"/>
              <w:jc w:val="center"/>
              <w:rPr>
                <w:bCs/>
                <w:sz w:val="21"/>
                <w:szCs w:val="21"/>
                <w:vertAlign w:val="baseline"/>
                <w:lang w:val="en-US" w:eastAsia="zh-CN"/>
              </w:rPr>
            </w:pPr>
            <w:r>
              <w:rPr>
                <w:bCs/>
                <w:sz w:val="21"/>
                <w:szCs w:val="21"/>
                <w:vertAlign w:val="baseline"/>
                <w:lang w:val="en-US" w:eastAsia="zh-CN"/>
              </w:rPr>
              <w:t>设备编号</w:t>
            </w:r>
          </w:p>
        </w:tc>
        <w:tc>
          <w:tcPr>
            <w:tcW w:w="2977" w:type="dxa"/>
            <w:vAlign w:val="center"/>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pPr>
            <w:r>
              <w:t>SPB-PSB101</w:t>
            </w:r>
          </w:p>
        </w:tc>
        <w:tc>
          <w:tcPr>
            <w:tcW w:w="2693" w:type="dxa"/>
            <w:vAlign w:val="top"/>
          </w:tcPr>
          <w:p>
            <w:pPr>
              <w:widowControl w:val="0"/>
              <w:tabs>
                <w:tab w:val="left" w:pos="1020"/>
                <w:tab w:val="left" w:pos="1090"/>
                <w:tab w:val="left" w:pos="1200"/>
              </w:tabs>
              <w:overflowPunct w:val="0"/>
              <w:autoSpaceDE w:val="0"/>
              <w:autoSpaceDN w:val="0"/>
              <w:adjustRightInd w:val="0"/>
              <w:spacing w:before="120" w:beforeLines="50" w:line="0" w:lineRule="atLeast"/>
              <w:jc w:val="center"/>
              <w:textAlignment w:val="baseline"/>
            </w:pPr>
            <w:r>
              <w:t>SDH-PVL501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7"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形式</w:t>
            </w:r>
          </w:p>
        </w:tc>
        <w:tc>
          <w:tcPr>
            <w:tcW w:w="2977"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c>
          <w:tcPr>
            <w:tcW w:w="2693"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离心潜水泵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7"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叶轮型式</w:t>
            </w:r>
          </w:p>
        </w:tc>
        <w:tc>
          <w:tcPr>
            <w:tcW w:w="2977"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c>
          <w:tcPr>
            <w:tcW w:w="2693"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无堵塞叶轮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7" w:type="dxa"/>
            <w:vAlign w:val="top"/>
          </w:tcPr>
          <w:p>
            <w:pPr>
              <w:pStyle w:val="3"/>
              <w:tabs>
                <w:tab w:val="left" w:pos="1200"/>
              </w:tabs>
              <w:spacing w:before="120" w:beforeLines="50" w:line="0" w:lineRule="atLeast"/>
              <w:jc w:val="center"/>
              <w:rPr>
                <w:b/>
                <w:sz w:val="21"/>
                <w:szCs w:val="21"/>
                <w:vertAlign w:val="baseline"/>
                <w:lang w:val="en-US" w:eastAsia="zh-CN"/>
              </w:rPr>
            </w:pPr>
            <w:r>
              <w:rPr>
                <w:sz w:val="21"/>
                <w:szCs w:val="21"/>
                <w:vertAlign w:val="baseline"/>
                <w:lang w:val="en-US" w:eastAsia="zh-CN"/>
              </w:rPr>
              <w:t>流量 (m</w:t>
            </w:r>
            <w:r>
              <w:rPr>
                <w:sz w:val="21"/>
                <w:szCs w:val="21"/>
                <w:lang w:val="en-US" w:eastAsia="zh-CN"/>
              </w:rPr>
              <w:t>3</w:t>
            </w:r>
            <w:r>
              <w:rPr>
                <w:sz w:val="21"/>
                <w:szCs w:val="21"/>
                <w:vertAlign w:val="baseline"/>
                <w:lang w:val="en-US" w:eastAsia="zh-CN"/>
              </w:rPr>
              <w:t>/h)</w:t>
            </w:r>
          </w:p>
        </w:tc>
        <w:tc>
          <w:tcPr>
            <w:tcW w:w="2977" w:type="dxa"/>
            <w:vAlign w:val="top"/>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20</w:t>
            </w:r>
          </w:p>
        </w:tc>
        <w:tc>
          <w:tcPr>
            <w:tcW w:w="2693" w:type="dxa"/>
            <w:vAlign w:val="top"/>
          </w:tcPr>
          <w:p>
            <w:pPr>
              <w:pStyle w:val="3"/>
              <w:tabs>
                <w:tab w:val="left" w:pos="1200"/>
              </w:tabs>
              <w:spacing w:before="120" w:beforeLines="50" w:line="0" w:lineRule="atLeast"/>
              <w:jc w:val="center"/>
              <w:rPr>
                <w:rFonts w:hint="eastAsia"/>
                <w:sz w:val="21"/>
                <w:szCs w:val="21"/>
                <w:vertAlign w:val="baseline"/>
                <w:lang w:val="en-US" w:eastAsia="zh-CN"/>
              </w:rPr>
            </w:pPr>
            <w:r>
              <w:rPr>
                <w:rFonts w:hint="eastAsia"/>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7"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扬程 (m)</w:t>
            </w:r>
          </w:p>
        </w:tc>
        <w:tc>
          <w:tcPr>
            <w:tcW w:w="2977" w:type="dxa"/>
            <w:tcBorders>
              <w:bottom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6</w:t>
            </w:r>
          </w:p>
        </w:tc>
        <w:tc>
          <w:tcPr>
            <w:tcW w:w="2693" w:type="dxa"/>
            <w:tcBorders>
              <w:bottom w:val="single" w:color="auto" w:sz="4" w:space="0"/>
            </w:tcBorders>
            <w:vAlign w:val="top"/>
          </w:tcPr>
          <w:p>
            <w:pPr>
              <w:pStyle w:val="3"/>
              <w:tabs>
                <w:tab w:val="left" w:pos="1200"/>
              </w:tabs>
              <w:spacing w:before="120" w:beforeLines="50" w:line="0" w:lineRule="atLeast"/>
              <w:jc w:val="center"/>
              <w:rPr>
                <w:rFonts w:hint="eastAsia"/>
                <w:sz w:val="21"/>
                <w:szCs w:val="21"/>
                <w:vertAlign w:val="baseline"/>
                <w:lang w:val="en-US" w:eastAsia="zh-CN"/>
              </w:rPr>
            </w:pPr>
            <w:r>
              <w:rPr>
                <w:rFonts w:hint="eastAsia"/>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57"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效率(％)</w:t>
            </w:r>
          </w:p>
        </w:tc>
        <w:tc>
          <w:tcPr>
            <w:tcW w:w="2977" w:type="dxa"/>
            <w:tcBorders>
              <w:left w:val="single" w:color="auto" w:sz="4" w:space="0"/>
              <w:right w:val="single" w:color="auto" w:sz="4" w:space="0"/>
            </w:tcBorders>
            <w:vAlign w:val="top"/>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w:t>
            </w:r>
          </w:p>
        </w:tc>
        <w:tc>
          <w:tcPr>
            <w:tcW w:w="2693" w:type="dxa"/>
            <w:tcBorders>
              <w:left w:val="single" w:color="auto" w:sz="4" w:space="0"/>
              <w:right w:val="single" w:color="auto" w:sz="4" w:space="0"/>
            </w:tcBorders>
            <w:vAlign w:val="top"/>
          </w:tcPr>
          <w:p>
            <w:pPr>
              <w:pStyle w:val="3"/>
              <w:tabs>
                <w:tab w:val="left" w:pos="1200"/>
              </w:tabs>
              <w:spacing w:before="120" w:beforeLines="50" w:line="0" w:lineRule="atLeast"/>
              <w:jc w:val="center"/>
              <w:rPr>
                <w:sz w:val="21"/>
                <w:szCs w:val="21"/>
                <w:vertAlign w:val="baseline"/>
                <w:lang w:val="en-US" w:eastAsia="zh-CN"/>
              </w:rPr>
            </w:pPr>
            <w:r>
              <w:rPr>
                <w:rFonts w:hint="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2757" w:type="dxa"/>
            <w:vAlign w:val="top"/>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每小时允许起动次数(次)</w:t>
            </w:r>
          </w:p>
        </w:tc>
        <w:tc>
          <w:tcPr>
            <w:tcW w:w="2977"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w:t>
            </w:r>
            <w:r>
              <w:rPr>
                <w:rFonts w:hint="eastAsia"/>
                <w:sz w:val="21"/>
                <w:szCs w:val="21"/>
                <w:vertAlign w:val="baseline"/>
                <w:lang w:val="en-US" w:eastAsia="zh-CN"/>
              </w:rPr>
              <w:t>5</w:t>
            </w:r>
          </w:p>
        </w:tc>
        <w:tc>
          <w:tcPr>
            <w:tcW w:w="2693"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≥1</w:t>
            </w:r>
            <w:r>
              <w:rPr>
                <w:rFonts w:hint="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275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电源</w:t>
            </w:r>
          </w:p>
        </w:tc>
        <w:tc>
          <w:tcPr>
            <w:tcW w:w="2977"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380V/3ph/50Hz</w:t>
            </w:r>
          </w:p>
        </w:tc>
        <w:tc>
          <w:tcPr>
            <w:tcW w:w="2693"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2757" w:type="dxa"/>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电机防护等级/绝缘等级</w:t>
            </w:r>
          </w:p>
        </w:tc>
        <w:tc>
          <w:tcPr>
            <w:tcW w:w="2977"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IP68/</w:t>
            </w:r>
            <w:r>
              <w:rPr>
                <w:rFonts w:hint="eastAsia"/>
                <w:sz w:val="21"/>
                <w:szCs w:val="21"/>
                <w:vertAlign w:val="baseline"/>
                <w:lang w:val="en-US" w:eastAsia="zh-CN"/>
              </w:rPr>
              <w:t>F</w:t>
            </w:r>
          </w:p>
        </w:tc>
        <w:tc>
          <w:tcPr>
            <w:tcW w:w="2693" w:type="dxa"/>
            <w:tcBorders>
              <w:left w:val="single" w:color="auto" w:sz="4" w:space="0"/>
              <w:right w:val="single" w:color="auto" w:sz="4" w:space="0"/>
            </w:tcBorders>
            <w:vAlign w:val="center"/>
          </w:tcPr>
          <w:p>
            <w:pPr>
              <w:pStyle w:val="3"/>
              <w:tabs>
                <w:tab w:val="left" w:pos="1200"/>
              </w:tabs>
              <w:spacing w:before="120" w:beforeLines="50" w:line="0" w:lineRule="atLeast"/>
              <w:jc w:val="center"/>
              <w:rPr>
                <w:sz w:val="21"/>
                <w:szCs w:val="21"/>
                <w:vertAlign w:val="baseline"/>
                <w:lang w:val="en-US" w:eastAsia="zh-CN"/>
              </w:rPr>
            </w:pPr>
            <w:r>
              <w:rPr>
                <w:sz w:val="21"/>
                <w:szCs w:val="21"/>
                <w:vertAlign w:val="baseline"/>
                <w:lang w:val="en-US" w:eastAsia="zh-CN"/>
              </w:rPr>
              <w:t>IP68/</w:t>
            </w:r>
            <w:r>
              <w:rPr>
                <w:rFonts w:hint="eastAsia"/>
                <w:sz w:val="21"/>
                <w:szCs w:val="21"/>
                <w:vertAlign w:val="baseline"/>
                <w:lang w:val="en-US" w:eastAsia="zh-CN"/>
              </w:rPr>
              <w:t>F</w:t>
            </w:r>
          </w:p>
        </w:tc>
      </w:tr>
    </w:tbl>
    <w:p>
      <w:pPr>
        <w:pStyle w:val="6"/>
      </w:pPr>
      <w:r>
        <w:t>技术要求</w:t>
      </w:r>
      <w:bookmarkEnd w:id="165"/>
    </w:p>
    <w:p>
      <w:pPr>
        <w:pStyle w:val="7"/>
      </w:pPr>
      <w:r>
        <w:t>综述</w:t>
      </w:r>
    </w:p>
    <w:p>
      <w:pPr>
        <w:pStyle w:val="8"/>
        <w:rPr>
          <w:rFonts w:hint="eastAsia"/>
        </w:rPr>
      </w:pPr>
      <w:r>
        <w:rPr>
          <w:rFonts w:hint="eastAsia"/>
          <w:lang w:eastAsia="zh-CN"/>
        </w:rPr>
        <w:t>进水提升泵</w:t>
      </w:r>
      <w:r>
        <w:t>应能沿不少于两根的平行导杆上下移动，自动与预置于坑底部的耦合装置相连接。提升时，耦合自动脱落。</w:t>
      </w:r>
    </w:p>
    <w:p>
      <w:pPr>
        <w:pStyle w:val="8"/>
      </w:pPr>
      <w:r>
        <w:rPr>
          <w:rFonts w:hint="eastAsia"/>
        </w:rPr>
        <w:t>潜水轴流泵安装于导流筒内，无需螺栓固定。应有定位装置，运转时无旋转。</w:t>
      </w:r>
    </w:p>
    <w:p>
      <w:pPr>
        <w:pStyle w:val="8"/>
      </w:pPr>
      <w:r>
        <w:t>每台泵应能在全浸没的条件下连续运行、间歇运行和长期停止状态后恢复运行。</w:t>
      </w:r>
    </w:p>
    <w:p>
      <w:pPr>
        <w:pStyle w:val="8"/>
      </w:pPr>
      <w:r>
        <w:t>泵应能承受因回流水引起的反转，而不致对水泵造成任何危害。</w:t>
      </w:r>
    </w:p>
    <w:p>
      <w:pPr>
        <w:pStyle w:val="8"/>
      </w:pPr>
      <w:r>
        <w:t>水泵装置在设计的工作范围内，应无震动，无汽蚀发生，运行平稳。泵的转子部件应作动、静平衡试验。</w:t>
      </w:r>
    </w:p>
    <w:p>
      <w:pPr>
        <w:pStyle w:val="8"/>
      </w:pPr>
      <w:r>
        <w:t>泵和电机的全部重量由泵的排水弯管承担，泵和电机的任何部分不能直接与泵坑底板接触或放在泵坑底板的支座上。</w:t>
      </w:r>
    </w:p>
    <w:p>
      <w:pPr>
        <w:pStyle w:val="8"/>
      </w:pPr>
      <w:r>
        <w:t>因进水泵井较深，应配备提升倒链装置。采用间隔大环的不锈钢环链，应由潜水设备厂家配套提供。</w:t>
      </w:r>
    </w:p>
    <w:p>
      <w:pPr>
        <w:pStyle w:val="8"/>
      </w:pPr>
      <w:r>
        <w:t>内回流泵主要由叶轮、潜水电机、自耦合系统、导杆及提升装置等组成，其设计应保证泵的方便可靠的运行。泵安装在导杆上，便于放下。自耦合系统保证可快速、方便、可靠地与池壁水管相连接。</w:t>
      </w:r>
    </w:p>
    <w:p>
      <w:pPr>
        <w:pStyle w:val="8"/>
      </w:pPr>
      <w:r>
        <w:t>导杆及吊架应有足够的强度和刚度，在内回流起放过程中不允许有任何变形产生。导杆壁厚应不小于</w:t>
      </w:r>
      <w:r>
        <w:rPr>
          <w:rFonts w:hint="eastAsia"/>
          <w:lang w:eastAsia="zh-CN"/>
        </w:rPr>
        <w:t>4</w:t>
      </w:r>
      <w:r>
        <w:t>mm。</w:t>
      </w:r>
      <w:r>
        <w:rPr>
          <w:rFonts w:hint="eastAsia"/>
          <w:lang w:eastAsia="zh-CN"/>
        </w:rPr>
        <w:t>卖方应根据池深、吊装设备重量及运行状况核算导杆的强度和刚度。</w:t>
      </w:r>
    </w:p>
    <w:p>
      <w:pPr>
        <w:pStyle w:val="8"/>
      </w:pPr>
      <w:r>
        <w:t>30kW</w:t>
      </w:r>
      <w:r>
        <w:rPr>
          <w:rFonts w:hint="eastAsia"/>
          <w:lang w:eastAsia="zh-CN"/>
        </w:rPr>
        <w:t>及</w:t>
      </w:r>
      <w:r>
        <w:rPr>
          <w:lang w:eastAsia="zh-CN"/>
        </w:rPr>
        <w:t>以上功率的水泵全部采用变频控制。</w:t>
      </w:r>
      <w:r>
        <w:t>90kW及以上的用电设备应有轴温监测及就地显示功能，并上传至PLC和中控室。</w:t>
      </w:r>
    </w:p>
    <w:p>
      <w:pPr>
        <w:pStyle w:val="8"/>
        <w:rPr>
          <w:rFonts w:hint="eastAsia"/>
        </w:rPr>
      </w:pPr>
      <w:r>
        <w:t>应由设备制造商配套提供与提升链固定用的不锈钢电缆卡，固定间距应不大于1.5m。</w:t>
      </w:r>
    </w:p>
    <w:p>
      <w:pPr>
        <w:pStyle w:val="8"/>
      </w:pPr>
      <w:r>
        <w:rPr>
          <w:rFonts w:hint="eastAsia"/>
        </w:rPr>
        <w:t>所有地下</w:t>
      </w:r>
      <w:r>
        <w:rPr>
          <w:rFonts w:hint="eastAsia"/>
          <w:lang w:eastAsia="zh-CN"/>
        </w:rPr>
        <w:t>和半地下</w:t>
      </w:r>
      <w:r>
        <w:rPr>
          <w:rFonts w:hint="eastAsia"/>
        </w:rPr>
        <w:t>车间内集水池或坑内固定安装的排污泵，因与全厂的安全保障问题关系紧密，故应选用运行稳定可靠的设备，并配置液位开关，保证设备能及时投入运行。所有设备的高液位报警信号应上传至中控室。</w:t>
      </w:r>
    </w:p>
    <w:p>
      <w:pPr>
        <w:pStyle w:val="7"/>
        <w:rPr>
          <w:lang w:eastAsia="zh-CN"/>
        </w:rPr>
      </w:pPr>
      <w:r>
        <w:rPr>
          <w:lang w:eastAsia="zh-CN"/>
        </w:rPr>
        <w:t>潜水泵</w:t>
      </w:r>
    </w:p>
    <w:p>
      <w:pPr>
        <w:pStyle w:val="8"/>
      </w:pPr>
      <w:r>
        <w:t>泵壳要有足够的厚度承受所有的负荷，包括静水压试验压力以及连续工作压力。</w:t>
      </w:r>
    </w:p>
    <w:p>
      <w:pPr>
        <w:pStyle w:val="8"/>
      </w:pPr>
      <w:r>
        <w:t>离心泵与排水连接座密封</w:t>
      </w:r>
      <w:r>
        <w:rPr>
          <w:rFonts w:hint="eastAsia"/>
          <w:lang w:eastAsia="zh-CN"/>
        </w:rPr>
        <w:t>应</w:t>
      </w:r>
      <w:r>
        <w:t>保证可靠无泄漏无脱落。</w:t>
      </w:r>
    </w:p>
    <w:p>
      <w:pPr>
        <w:pStyle w:val="8"/>
      </w:pPr>
      <w:r>
        <w:t>叶轮和泵轴之间采用键连接固定在轴的端部，并加以密封，叶轮和轴必须采用锁定装置以防叶轮和轴无论是正转还是偶尔发生反转都不会发生松动。</w:t>
      </w:r>
    </w:p>
    <w:p>
      <w:pPr>
        <w:pStyle w:val="8"/>
      </w:pPr>
      <w:r>
        <w:t>离心泵叶轮采用闭式单流道无堵塞设计或采用半开式多叶片、后扫式、无堵塞设计。半开式多叶片无堵塞叶轮的导叶部分应进行硬化处理，当叶轮旋转时能够通过泵室（或插入环）上的释放凹槽对叶轮进行清洁，使叶片上不积累杂质，从而维持水泵能无堵塞运行。叶轮具有特定角度的完全后扫式导叶，能够处理固体、纤维、粘稠污泥和其它污水中的杂质。叶轮锁定在轴上。泵室/插入环和叶轮之间的间距可以进行调节。</w:t>
      </w:r>
    </w:p>
    <w:p>
      <w:pPr>
        <w:pStyle w:val="8"/>
        <w:rPr>
          <w:rFonts w:hint="eastAsia"/>
        </w:rPr>
      </w:pPr>
      <w:r>
        <w:t>内回流泵的叶轮为自清洁螺旋桨三叶式叶轮。其结构应保证高效率，并无堵塞结渣，叶片的角度应根据使用工况选定最佳值。</w:t>
      </w:r>
    </w:p>
    <w:p>
      <w:pPr>
        <w:pStyle w:val="8"/>
        <w:rPr>
          <w:rFonts w:hint="eastAsia"/>
        </w:rPr>
      </w:pPr>
      <w:r>
        <w:rPr>
          <w:rFonts w:hint="eastAsia"/>
          <w:lang w:eastAsia="zh-CN"/>
        </w:rPr>
        <w:t>回流污泥泵</w:t>
      </w:r>
      <w:r>
        <w:rPr>
          <w:rFonts w:hint="eastAsia"/>
        </w:rPr>
        <w:t>为潜水轴流泵，安放于导流筒内，无需螺栓固定。</w:t>
      </w:r>
    </w:p>
    <w:p>
      <w:pPr>
        <w:pStyle w:val="8"/>
        <w:rPr>
          <w:rFonts w:hint="eastAsia"/>
        </w:rPr>
      </w:pPr>
      <w:r>
        <w:rPr>
          <w:rFonts w:hint="eastAsia"/>
        </w:rPr>
        <w:t>潜水轴流泵导筒为悬吊支撑结构。导流筒内应设有定位装置，保证潜水泵工作时泵体不产生转动。</w:t>
      </w:r>
    </w:p>
    <w:p>
      <w:pPr>
        <w:pStyle w:val="8"/>
      </w:pPr>
      <w:r>
        <w:rPr>
          <w:rFonts w:hint="eastAsia"/>
        </w:rPr>
        <w:t>潜水轴流泵壳的吸入口与导流筒底板的安装结合面处应有密封橡胶。</w:t>
      </w:r>
    </w:p>
    <w:p>
      <w:pPr>
        <w:pStyle w:val="8"/>
      </w:pPr>
      <w:r>
        <w:t>叶轮应作动平衡和静平衡试验。</w:t>
      </w:r>
    </w:p>
    <w:p>
      <w:pPr>
        <w:pStyle w:val="8"/>
      </w:pPr>
      <w:r>
        <w:t>泵和电机的轴应是连续无间断的轴（内回流泵除外），泵轴须是电机轴的延伸。耦连不能被接受。</w:t>
      </w:r>
    </w:p>
    <w:p>
      <w:pPr>
        <w:pStyle w:val="8"/>
      </w:pPr>
      <w:r>
        <w:t>泵轴应在油脂润滑的上下轴承上转动，上轴承主要用于承担径向力。下轴承承担径向力及轴向力。轴承寿命最低为10万小时。</w:t>
      </w:r>
    </w:p>
    <w:p>
      <w:pPr>
        <w:pStyle w:val="8"/>
      </w:pPr>
      <w:r>
        <w:t>大功率潜水泵轴承应设置独立的温度传感器，如果温度过高，传感器应实施报警并停机。</w:t>
      </w:r>
    </w:p>
    <w:p>
      <w:pPr>
        <w:pStyle w:val="8"/>
      </w:pPr>
      <w:r>
        <w:t>每台泵至少应配有上下两个双重独立的机械密封系统。密封在油腔内运行，该油腔能以一稳定的流速对重叠的密封面进行润滑。</w:t>
      </w:r>
    </w:p>
    <w:p>
      <w:pPr>
        <w:pStyle w:val="8"/>
      </w:pPr>
      <w:r>
        <w:t>根据上述要求，单流道无堵塞式叶轮潜水泵在蜗壳和叶轮间安装耐磨环保证效密封。必须将耐磨环可靠地固定在泵壳上，在正常运行条件下或逆向运转时都不会发生松动。耐磨环紧固方式应考虑到拆卸方便。</w:t>
      </w:r>
    </w:p>
    <w:p>
      <w:pPr>
        <w:pStyle w:val="7"/>
      </w:pPr>
      <w:r>
        <w:t>电机</w:t>
      </w:r>
    </w:p>
    <w:p>
      <w:pPr>
        <w:pStyle w:val="8"/>
      </w:pPr>
      <w:r>
        <w:t>电机为感应式鼠笼电机。电机应采用专为潜水泵设计并能连续泵送温度最高为40</w:t>
      </w:r>
      <w:r>
        <w:rPr/>
        <w:sym w:font="Symbol" w:char="F0B0"/>
      </w:r>
      <w:r>
        <w:t>C的介质。为监视每相绕组上的温度，在定子绕组线圈中应装有热敏开关，热敏开关应与外部电机过载保护相连接并接到控制柜。</w:t>
      </w:r>
    </w:p>
    <w:p>
      <w:pPr>
        <w:pStyle w:val="8"/>
      </w:pPr>
      <w:r>
        <w:t>*电机和水泵均应由同一制造商制造。</w:t>
      </w:r>
    </w:p>
    <w:p>
      <w:pPr>
        <w:pStyle w:val="8"/>
      </w:pPr>
      <w:r>
        <w:t>组合服务因子（电压、频率、重力因素）应达到最小值为1.15，电机电压的误差应为10％，电机设计在最高40</w:t>
      </w:r>
      <w:r>
        <w:rPr/>
        <w:sym w:font="Symbol" w:char="F0B0"/>
      </w:r>
      <w:r>
        <w:t>C环境下工作，并且定子绕组的平均温升不超过80</w:t>
      </w:r>
      <w:r>
        <w:rPr/>
        <w:sym w:font="Symbol" w:char="F0B0"/>
      </w:r>
      <w:r>
        <w:t>C，应提供一份能显示转矩，电流，功率因素，输入输出功率和效率的性能表。该性能表还应包括启动和零负荷特性的数据。</w:t>
      </w:r>
    </w:p>
    <w:p>
      <w:pPr>
        <w:pStyle w:val="8"/>
      </w:pPr>
      <w:r>
        <w:t>卖方需提供电机的每个保护传感器的信号规格，保证信号能传送到MCC。</w:t>
      </w:r>
    </w:p>
    <w:p>
      <w:pPr>
        <w:pStyle w:val="8"/>
      </w:pPr>
      <w:r>
        <w:t>电机的定子绕组需安装超温传感器。</w:t>
      </w:r>
    </w:p>
    <w:p>
      <w:pPr>
        <w:pStyle w:val="8"/>
      </w:pPr>
      <w:r>
        <w:t>安装防渗漏传感器防止液体进入定子绕组。</w:t>
      </w:r>
    </w:p>
    <w:p>
      <w:pPr>
        <w:pStyle w:val="8"/>
      </w:pPr>
      <w:r>
        <w:t>水检测装置应安装在电机的电缆接线室内。</w:t>
      </w:r>
    </w:p>
    <w:p>
      <w:pPr>
        <w:pStyle w:val="8"/>
      </w:pPr>
      <w:r>
        <w:t>潜水泵电动机应是直冷式电机，即电机靠接触周围的介质水进行冷却。电机功率大于60kW的电机不接受无冷却夹套的设计。</w:t>
      </w:r>
    </w:p>
    <w:p>
      <w:pPr>
        <w:pStyle w:val="8"/>
      </w:pPr>
      <w:r>
        <w:t>电机功率的备用系数</w:t>
      </w:r>
      <w:r>
        <w:rPr>
          <w:rFonts w:hint="eastAsia"/>
        </w:rPr>
        <w:t>的备用系数（配套系数）应满足GB/T24674-2009标准的要求</w:t>
      </w:r>
      <w:r>
        <w:t>。</w:t>
      </w:r>
    </w:p>
    <w:p>
      <w:pPr>
        <w:pStyle w:val="7"/>
      </w:pPr>
      <w:r>
        <w:t>电缆密封</w:t>
      </w:r>
    </w:p>
    <w:p>
      <w:pPr>
        <w:pStyle w:val="8"/>
      </w:pPr>
      <w:r>
        <w:t>电缆进线密封设计应能消除一定的扭矩以形成一个防水的潜水密封。</w:t>
      </w:r>
    </w:p>
    <w:p>
      <w:pPr>
        <w:pStyle w:val="8"/>
      </w:pPr>
      <w:r>
        <w:t>电缆接头部分，应采取措施防止由于温差引起的电缆内外空气交换。</w:t>
      </w:r>
    </w:p>
    <w:p>
      <w:pPr>
        <w:pStyle w:val="8"/>
      </w:pPr>
      <w:r>
        <w:t>电缆密封应可方便更换。</w:t>
      </w:r>
    </w:p>
    <w:p>
      <w:pPr>
        <w:pStyle w:val="6"/>
      </w:pPr>
      <w:bookmarkStart w:id="166" w:name="_Toc155414319"/>
      <w:r>
        <w:t>主要零部件材料</w:t>
      </w:r>
      <w:bookmarkEnd w:id="166"/>
    </w:p>
    <w:p>
      <w:pPr>
        <w:pStyle w:val="8"/>
      </w:pPr>
      <w:r>
        <w:t>潜</w:t>
      </w:r>
      <w:r>
        <w:rPr>
          <w:lang w:eastAsia="zh-CN"/>
        </w:rPr>
        <w:t>水离心</w:t>
      </w:r>
      <w:r>
        <w:t>泵</w:t>
      </w:r>
    </w:p>
    <w:tbl>
      <w:tblPr>
        <w:tblStyle w:val="19"/>
        <w:tblW w:w="7506"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泵壳</w:t>
            </w:r>
          </w:p>
        </w:tc>
        <w:tc>
          <w:tcPr>
            <w:tcW w:w="3766" w:type="dxa"/>
            <w:vAlign w:val="top"/>
          </w:tcPr>
          <w:p>
            <w:pPr>
              <w:pStyle w:val="38"/>
              <w:keepNext w:val="0"/>
              <w:tabs>
                <w:tab w:val="left" w:pos="1200"/>
              </w:tabs>
              <w:spacing w:before="120" w:beforeLines="50" w:line="0" w:lineRule="atLeast"/>
              <w:ind w:right="107" w:rightChars="51"/>
              <w:jc w:val="both"/>
              <w:rPr>
                <w:rFonts w:ascii="Times New Roman"/>
                <w:b w:val="0"/>
              </w:rPr>
            </w:pPr>
            <w:r>
              <w:rPr>
                <w:rFonts w:ascii="Times New Roman"/>
                <w:b w:val="0"/>
              </w:rPr>
              <w:t>ASTM A-48Class35B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泵座及鸭脚弯头</w:t>
            </w:r>
          </w:p>
        </w:tc>
        <w:tc>
          <w:tcPr>
            <w:tcW w:w="3766" w:type="dxa"/>
            <w:vAlign w:val="top"/>
          </w:tcPr>
          <w:p>
            <w:pPr>
              <w:pStyle w:val="38"/>
              <w:keepNext w:val="0"/>
              <w:tabs>
                <w:tab w:val="left" w:pos="1200"/>
              </w:tabs>
              <w:spacing w:before="120" w:beforeLines="50" w:line="0" w:lineRule="atLeast"/>
              <w:ind w:right="107" w:rightChars="51"/>
              <w:jc w:val="both"/>
              <w:rPr>
                <w:rFonts w:ascii="Times New Roman"/>
                <w:b w:val="0"/>
              </w:rPr>
            </w:pPr>
            <w:r>
              <w:rPr>
                <w:rFonts w:ascii="Times New Roman"/>
                <w:b w:val="0"/>
              </w:rPr>
              <w:t>ASTM A-48Class35B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叶轮</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ASTM A-48Class35B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耐磨环</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ASTM A-48Class30B</w:t>
            </w:r>
            <w:r>
              <w:rPr>
                <w:rFonts w:hint="eastAsia" w:ascii="Times New Roman"/>
                <w:b w:val="0"/>
              </w:rPr>
              <w:t>或AISI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ind w:left="-445" w:leftChars="-212" w:firstLine="422" w:firstLineChars="201"/>
              <w:jc w:val="both"/>
              <w:rPr>
                <w:rFonts w:ascii="Times New Roman"/>
                <w:b w:val="0"/>
              </w:rPr>
            </w:pPr>
            <w:r>
              <w:rPr>
                <w:rFonts w:ascii="Times New Roman"/>
                <w:b w:val="0"/>
              </w:rPr>
              <w:t>泵轴(或轴套)</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420</w:t>
            </w:r>
            <w:r>
              <w:rPr>
                <w:rFonts w:hint="eastAsia" w:ascii="Times New Roman"/>
                <w:b w:val="0"/>
              </w:rPr>
              <w:t>或431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机械密封</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碳化钨或碳化硅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导杆</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w:t>
            </w:r>
            <w:r>
              <w:rPr>
                <w:rFonts w:hint="eastAsia" w:ascii="Times New Roman"/>
                <w:b w:val="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泵吊架</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提升链</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bottom w:val="single" w:color="auto" w:sz="4" w:space="0"/>
            </w:tcBorders>
            <w:vAlign w:val="top"/>
          </w:tcPr>
          <w:p>
            <w:pPr>
              <w:pStyle w:val="38"/>
              <w:keepNext w:val="0"/>
              <w:tabs>
                <w:tab w:val="left" w:pos="1200"/>
              </w:tabs>
              <w:spacing w:before="120" w:beforeLines="50" w:line="0" w:lineRule="atLeast"/>
              <w:jc w:val="both"/>
              <w:rPr>
                <w:rFonts w:ascii="Times New Roman"/>
                <w:b w:val="0"/>
              </w:rPr>
            </w:pPr>
            <w:r>
              <w:rPr>
                <w:rFonts w:ascii="Times New Roman"/>
                <w:b w:val="0"/>
              </w:rPr>
              <w:t>所有安装连接附件/化学地脚螺栓</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 xml:space="preserve">AISI </w:t>
            </w:r>
            <w:r>
              <w:rPr>
                <w:rFonts w:hint="eastAsia" w:ascii="Times New Roman"/>
                <w:b w:val="0"/>
              </w:rPr>
              <w:t>304</w:t>
            </w:r>
          </w:p>
        </w:tc>
      </w:tr>
    </w:tbl>
    <w:p>
      <w:pPr>
        <w:pStyle w:val="8"/>
      </w:pPr>
      <w:bookmarkStart w:id="167" w:name="_Toc155414320"/>
      <w:r>
        <w:t>内回流泵</w:t>
      </w:r>
    </w:p>
    <w:tbl>
      <w:tblPr>
        <w:tblStyle w:val="19"/>
        <w:tblW w:w="7506"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泵壳</w:t>
            </w:r>
          </w:p>
        </w:tc>
        <w:tc>
          <w:tcPr>
            <w:tcW w:w="3766" w:type="dxa"/>
            <w:vAlign w:val="top"/>
          </w:tcPr>
          <w:p>
            <w:pPr>
              <w:pStyle w:val="38"/>
              <w:keepNext w:val="0"/>
              <w:tabs>
                <w:tab w:val="left" w:pos="1200"/>
              </w:tabs>
              <w:spacing w:before="120" w:beforeLines="50" w:line="0" w:lineRule="atLeast"/>
              <w:ind w:right="107" w:rightChars="51"/>
              <w:jc w:val="both"/>
              <w:rPr>
                <w:rFonts w:ascii="Times New Roman"/>
                <w:b w:val="0"/>
              </w:rPr>
            </w:pPr>
            <w:r>
              <w:rPr>
                <w:rFonts w:ascii="Times New Roman"/>
                <w:b w:val="0"/>
              </w:rPr>
              <w:t>ASTM A-48Class35B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叶轮</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带有耦合爪和托架的导流环</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w:t>
            </w:r>
            <w:r>
              <w:rPr>
                <w:rFonts w:hint="eastAsia" w:ascii="Times New Roman"/>
                <w:b w:val="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ind w:left="-445" w:leftChars="-212" w:firstLine="422" w:firstLineChars="201"/>
              <w:jc w:val="both"/>
              <w:rPr>
                <w:rFonts w:ascii="Times New Roman"/>
                <w:b w:val="0"/>
              </w:rPr>
            </w:pPr>
            <w:r>
              <w:rPr>
                <w:rFonts w:ascii="Times New Roman"/>
                <w:b w:val="0"/>
              </w:rPr>
              <w:t>泵轴</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420</w:t>
            </w:r>
            <w:r>
              <w:rPr>
                <w:rFonts w:hint="eastAsia" w:ascii="Times New Roman"/>
                <w:b w:val="0"/>
              </w:rPr>
              <w:t>、</w:t>
            </w:r>
            <w:r>
              <w:rPr>
                <w:rFonts w:ascii="Times New Roman"/>
                <w:b w:val="0"/>
              </w:rPr>
              <w:t>304L</w:t>
            </w:r>
            <w:r>
              <w:rPr>
                <w:rFonts w:hint="eastAsia" w:ascii="Times New Roman"/>
                <w:b w:val="0"/>
              </w:rPr>
              <w:t>或431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机械密封</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碳化钨或碳化硅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导杆</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泵吊架</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提升链或钢丝绳</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带法兰的穿墙管</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bottom w:val="single" w:color="auto" w:sz="4" w:space="0"/>
            </w:tcBorders>
            <w:vAlign w:val="top"/>
          </w:tcPr>
          <w:p>
            <w:pPr>
              <w:pStyle w:val="38"/>
              <w:keepNext w:val="0"/>
              <w:tabs>
                <w:tab w:val="left" w:pos="1200"/>
              </w:tabs>
              <w:spacing w:before="120" w:beforeLines="50" w:line="0" w:lineRule="atLeast"/>
              <w:jc w:val="both"/>
              <w:rPr>
                <w:rFonts w:ascii="Times New Roman"/>
                <w:b w:val="0"/>
              </w:rPr>
            </w:pPr>
            <w:r>
              <w:rPr>
                <w:rFonts w:ascii="Times New Roman"/>
                <w:b w:val="0"/>
              </w:rPr>
              <w:t>所有安装连接附件/化学地脚螺栓</w:t>
            </w:r>
          </w:p>
        </w:tc>
        <w:tc>
          <w:tcPr>
            <w:tcW w:w="3766" w:type="dxa"/>
            <w:vAlign w:val="top"/>
          </w:tcPr>
          <w:p>
            <w:pPr>
              <w:pStyle w:val="38"/>
              <w:keepNext w:val="0"/>
              <w:tabs>
                <w:tab w:val="left" w:pos="1200"/>
              </w:tabs>
              <w:spacing w:before="120" w:beforeLines="50" w:line="0" w:lineRule="atLeast"/>
              <w:jc w:val="both"/>
              <w:rPr>
                <w:rFonts w:ascii="Times New Roman"/>
                <w:b w:val="0"/>
              </w:rPr>
            </w:pPr>
            <w:r>
              <w:rPr>
                <w:rFonts w:ascii="Times New Roman"/>
                <w:b w:val="0"/>
              </w:rPr>
              <w:t>AISI 304</w:t>
            </w:r>
          </w:p>
        </w:tc>
      </w:tr>
    </w:tbl>
    <w:p>
      <w:pPr>
        <w:pStyle w:val="8"/>
        <w:rPr>
          <w:rFonts w:hint="eastAsia"/>
        </w:rPr>
      </w:pPr>
      <w:r>
        <w:rPr>
          <w:rFonts w:hint="eastAsia"/>
        </w:rPr>
        <w:t>回流污泥泵</w:t>
      </w:r>
      <w:r>
        <w:rPr>
          <w:rFonts w:hint="eastAsia"/>
          <w:lang w:eastAsia="zh-CN"/>
        </w:rPr>
        <w:t>及</w:t>
      </w:r>
      <w:r>
        <w:rPr>
          <w:lang w:eastAsia="zh-CN"/>
        </w:rPr>
        <w:t>潜水轴流泵</w:t>
      </w:r>
    </w:p>
    <w:tbl>
      <w:tblPr>
        <w:tblStyle w:val="19"/>
        <w:tblW w:w="7506"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泵壳</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ASTM A-48Class35B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叶轮</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铝铜合金或不锈钢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泵轴</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ascii="Times New Roman"/>
                <w:b w:val="0"/>
              </w:rPr>
            </w:pPr>
            <w:r>
              <w:rPr>
                <w:rFonts w:hint="eastAsia" w:ascii="Times New Roman"/>
                <w:b w:val="0"/>
              </w:rPr>
              <w:t>与介质接触的采用不锈钢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机械密封</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碳化钨或碳化硅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链/钢丝绳/电缆保护套/电缆固定装置</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泵筒、泵盖及三通</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碳钢防腐（重</w:t>
            </w:r>
            <w:r>
              <w:rPr>
                <w:rFonts w:ascii="Times New Roman"/>
                <w:b w:val="0"/>
              </w:rPr>
              <w:t>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泵筒圈座</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碳钢防腐（重防腐）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0"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所有连接附件/化学地脚螺栓</w:t>
            </w:r>
          </w:p>
        </w:tc>
        <w:tc>
          <w:tcPr>
            <w:tcW w:w="3766" w:type="dxa"/>
            <w:tcBorders>
              <w:top w:val="single" w:color="auto" w:sz="4" w:space="0"/>
              <w:left w:val="single" w:color="auto" w:sz="4" w:space="0"/>
              <w:bottom w:val="single" w:color="auto" w:sz="4" w:space="0"/>
              <w:right w:val="single" w:color="auto" w:sz="4" w:space="0"/>
            </w:tcBorders>
            <w:vAlign w:val="bottom"/>
          </w:tcPr>
          <w:p>
            <w:pPr>
              <w:pStyle w:val="38"/>
              <w:keepNext w:val="0"/>
              <w:tabs>
                <w:tab w:val="left" w:pos="1200"/>
              </w:tabs>
              <w:spacing w:before="120" w:beforeLines="50" w:line="20" w:lineRule="atLeast"/>
              <w:jc w:val="both"/>
              <w:rPr>
                <w:rFonts w:hint="eastAsia" w:ascii="Times New Roman"/>
                <w:b w:val="0"/>
              </w:rPr>
            </w:pPr>
            <w:r>
              <w:rPr>
                <w:rFonts w:hint="eastAsia" w:ascii="Times New Roman"/>
                <w:b w:val="0"/>
              </w:rPr>
              <w:t>AISI 304</w:t>
            </w:r>
          </w:p>
        </w:tc>
      </w:tr>
    </w:tbl>
    <w:p>
      <w:pPr>
        <w:pStyle w:val="6"/>
      </w:pPr>
      <w:r>
        <w:t>控制</w:t>
      </w:r>
      <w:bookmarkEnd w:id="167"/>
    </w:p>
    <w:p>
      <w:pPr>
        <w:pStyle w:val="8"/>
      </w:pPr>
      <w:r>
        <w:t>潜水排污泵带现场控制箱，其它潜水泵配就地按钮</w:t>
      </w:r>
      <w:r>
        <w:rPr>
          <w:rFonts w:hint="eastAsia"/>
          <w:lang w:eastAsia="zh-CN"/>
        </w:rPr>
        <w:t>箱</w:t>
      </w:r>
      <w:r>
        <w:t>。详见2.</w:t>
      </w:r>
      <w:r>
        <w:rPr>
          <w:lang w:eastAsia="zh-CN"/>
        </w:rPr>
        <w:t>7</w:t>
      </w:r>
      <w:r>
        <w:rPr>
          <w:rFonts w:hint="eastAsia"/>
          <w:lang w:eastAsia="zh-CN"/>
        </w:rPr>
        <w:t>节</w:t>
      </w:r>
      <w:r>
        <w:t>相关要求。</w:t>
      </w:r>
    </w:p>
    <w:p>
      <w:pPr>
        <w:pStyle w:val="8"/>
      </w:pPr>
      <w:r>
        <w:t>现场控制箱应将水泵的状态信号以点对点或通信（带可编程控制器）的方式，传输到相应的控制站并可以接受控制站的控制信号。</w:t>
      </w:r>
    </w:p>
    <w:p>
      <w:pPr>
        <w:pStyle w:val="8"/>
      </w:pPr>
      <w:r>
        <w:t>成套提供的检测仪表的电源由现场控制箱提供，其测量信号连接至现场控制箱并带有足够长的连接电缆。</w:t>
      </w:r>
    </w:p>
    <w:p>
      <w:pPr>
        <w:pStyle w:val="6"/>
      </w:pPr>
      <w:bookmarkStart w:id="168" w:name="_Toc13032035"/>
      <w:bookmarkStart w:id="169" w:name="_Toc155414321"/>
      <w:r>
        <w:t>出厂检验</w:t>
      </w:r>
      <w:bookmarkEnd w:id="168"/>
      <w:bookmarkEnd w:id="169"/>
    </w:p>
    <w:p>
      <w:pPr>
        <w:pStyle w:val="7"/>
      </w:pPr>
      <w:r>
        <w:t>总则</w:t>
      </w:r>
    </w:p>
    <w:p>
      <w:pPr>
        <w:pStyle w:val="8"/>
      </w:pPr>
      <w:r>
        <w:t>所有泵在制造过程中与制造之后以及发运之前，应经受检查，包括材料及铸件的检验，制造时部件与制造工艺的检验及油漆工作的检查。</w:t>
      </w:r>
    </w:p>
    <w:p>
      <w:pPr>
        <w:pStyle w:val="8"/>
      </w:pPr>
      <w:r>
        <w:t>在浇铸泵壳,叶轮时所取得的试棒化学分析,以验证其成分符合泵结构所批准的材料。</w:t>
      </w:r>
    </w:p>
    <w:p>
      <w:pPr>
        <w:pStyle w:val="8"/>
      </w:pPr>
      <w:r>
        <w:t>卖方应提供所有的泵轴机械密封及耐磨内衬材料的试验证明。</w:t>
      </w:r>
    </w:p>
    <w:p>
      <w:pPr>
        <w:pStyle w:val="8"/>
      </w:pPr>
      <w:r>
        <w:t>每台泵都应做以下试验:</w:t>
      </w:r>
    </w:p>
    <w:p>
      <w:pPr>
        <w:pStyle w:val="36"/>
        <w:widowControl w:val="0"/>
      </w:pPr>
      <w:r>
        <w:t>静水压试验</w:t>
      </w:r>
    </w:p>
    <w:p>
      <w:pPr>
        <w:pStyle w:val="36"/>
        <w:widowControl w:val="0"/>
      </w:pPr>
      <w:r>
        <w:t>泵的性能试验</w:t>
      </w:r>
    </w:p>
    <w:p>
      <w:pPr>
        <w:pStyle w:val="36"/>
        <w:widowControl w:val="0"/>
      </w:pPr>
      <w:r>
        <w:t>泵的清水汽蚀试验</w:t>
      </w:r>
    </w:p>
    <w:p>
      <w:pPr>
        <w:pStyle w:val="36"/>
        <w:widowControl w:val="0"/>
      </w:pPr>
      <w:r>
        <w:t>泵的噪音震动试验</w:t>
      </w:r>
    </w:p>
    <w:p>
      <w:pPr>
        <w:pStyle w:val="36"/>
        <w:widowControl w:val="0"/>
      </w:pPr>
      <w:r>
        <w:t>泵的固体通过能力试验</w:t>
      </w:r>
    </w:p>
    <w:p>
      <w:pPr>
        <w:pStyle w:val="7"/>
      </w:pPr>
      <w:r>
        <w:t>静水压试验</w:t>
      </w:r>
    </w:p>
    <w:p>
      <w:pPr>
        <w:pStyle w:val="8"/>
      </w:pPr>
      <w:r>
        <w:t>每台泵应经受在正常运行条件和额定转速时,泵体应以最大工作压力的1.75倍的压力做静水压试验。试验压力应至少保持30分钟,其间所有的连接和密封处都不应有任何泄漏。</w:t>
      </w:r>
    </w:p>
    <w:p>
      <w:pPr>
        <w:pStyle w:val="8"/>
      </w:pPr>
      <w:r>
        <w:t>在泵体内保持压力试验期间,如探测到缺陷时,应进行X-射线探伤,以确定缺陷的程度.允许的缺陷程度应按ASTME44所规定的严重程度2来确定。</w:t>
      </w:r>
    </w:p>
    <w:p>
      <w:pPr>
        <w:pStyle w:val="7"/>
      </w:pPr>
      <w:r>
        <w:t>性能试验</w:t>
      </w:r>
    </w:p>
    <w:p>
      <w:pPr>
        <w:pStyle w:val="8"/>
      </w:pPr>
      <w:r>
        <w:t>在泵内部施涂料之前,除本技术说明另有规定要求外,应按照国际标准ISO-2548用清水进行全部性能试验。</w:t>
      </w:r>
    </w:p>
    <w:p>
      <w:pPr>
        <w:pStyle w:val="8"/>
      </w:pPr>
      <w:r>
        <w:t>流量测量装置应符合国际标准ISO2548的规定。</w:t>
      </w:r>
    </w:p>
    <w:p>
      <w:pPr>
        <w:pStyle w:val="7"/>
      </w:pPr>
      <w:r>
        <w:t>噪声和振动试验</w:t>
      </w:r>
    </w:p>
    <w:p>
      <w:pPr>
        <w:pStyle w:val="8"/>
      </w:pPr>
      <w:r>
        <w:t>在进行泵的清水性能试验时，应对每台泵组进行噪声和振动试验，以证明是否符合技术规定中的要求，噪声测定应遵照ISO或GB的有关要求，,在泵任何工况运转时以声功率为准，在条件不具备时允许采用声压法，其噪声不得大于规定值。振动测定应遵照ISO或GB的有关要求，在泵工作范围内的振动评价应达到B级。</w:t>
      </w:r>
    </w:p>
    <w:p>
      <w:pPr>
        <w:pStyle w:val="7"/>
      </w:pPr>
      <w:r>
        <w:t>固体通过能力试验</w:t>
      </w:r>
    </w:p>
    <w:p>
      <w:pPr>
        <w:pStyle w:val="8"/>
      </w:pPr>
      <w:r>
        <w:t>泵应进行悬浮固体物通过能力试验，试验装置应能使各种固体物引入到泵的吸水入口。</w:t>
      </w:r>
    </w:p>
    <w:p>
      <w:pPr>
        <w:pStyle w:val="7"/>
      </w:pPr>
      <w:r>
        <w:t>泵的拒收</w:t>
      </w:r>
    </w:p>
    <w:p>
      <w:pPr>
        <w:pStyle w:val="8"/>
      </w:pPr>
      <w:r>
        <w:t>如果未能通过以下试验，泵将被拒绝接受:</w:t>
      </w:r>
    </w:p>
    <w:p>
      <w:pPr>
        <w:pStyle w:val="36"/>
        <w:widowControl w:val="0"/>
      </w:pPr>
      <w:r>
        <w:t>未能通过静水压试验</w:t>
      </w:r>
    </w:p>
    <w:p>
      <w:pPr>
        <w:pStyle w:val="36"/>
        <w:widowControl w:val="0"/>
      </w:pPr>
      <w:r>
        <w:t>未能通过汽蚀试验</w:t>
      </w:r>
    </w:p>
    <w:p>
      <w:pPr>
        <w:pStyle w:val="36"/>
        <w:widowControl w:val="0"/>
      </w:pPr>
      <w:r>
        <w:t>未能通过噪声和振动试验</w:t>
      </w:r>
    </w:p>
    <w:p>
      <w:pPr>
        <w:pStyle w:val="36"/>
        <w:widowControl w:val="0"/>
      </w:pPr>
      <w:r>
        <w:t>未能通过固体物通过能力试验</w:t>
      </w:r>
    </w:p>
    <w:p>
      <w:pPr>
        <w:pStyle w:val="36"/>
        <w:widowControl w:val="0"/>
      </w:pPr>
      <w:r>
        <w:t>未能通过满足国际标准ISO2548条款中所规定的消耗功率，效率，扬程和流量的偏差极限</w:t>
      </w:r>
    </w:p>
    <w:p>
      <w:pPr>
        <w:pStyle w:val="6"/>
      </w:pPr>
      <w:r>
        <w:t>调试与试车</w:t>
      </w:r>
    </w:p>
    <w:p>
      <w:pPr>
        <w:pStyle w:val="8"/>
      </w:pPr>
      <w:r>
        <w:t>带负荷运行（根据池中容量可进行调整），检测水泵的流量、扬程及效率须符合设计要求。</w:t>
      </w:r>
    </w:p>
    <w:p>
      <w:pPr>
        <w:pStyle w:val="8"/>
      </w:pPr>
      <w:r>
        <w:t>运转时应平稳、无异常声音、振动和温升，电机电流正常。</w:t>
      </w:r>
    </w:p>
    <w:p>
      <w:pPr>
        <w:pStyle w:val="8"/>
      </w:pPr>
      <w:r>
        <w:t>检测电机安全保护措施须符合潜水泵技术要求。</w:t>
      </w:r>
    </w:p>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Pr>
        <w:pStyle w:val="5"/>
        <w:rPr>
          <w:rFonts w:hint="eastAsia"/>
        </w:rPr>
      </w:pPr>
      <w:bookmarkStart w:id="170" w:name="_Toc496622449"/>
      <w:bookmarkStart w:id="171" w:name="_Toc160264730"/>
      <w:bookmarkStart w:id="172" w:name="_Toc160162637"/>
      <w:bookmarkStart w:id="173" w:name="_Toc223705827"/>
      <w:bookmarkStart w:id="174" w:name="_Toc223706122"/>
      <w:bookmarkStart w:id="175" w:name="_Toc230313108"/>
      <w:bookmarkStart w:id="176" w:name="_Toc155414648"/>
      <w:bookmarkStart w:id="177" w:name="_Toc155681821"/>
      <w:bookmarkStart w:id="178" w:name="_Toc122766664"/>
      <w:bookmarkStart w:id="179" w:name="_Toc223706233"/>
      <w:bookmarkStart w:id="180" w:name="_Toc230339520"/>
      <w:bookmarkStart w:id="181" w:name="_Toc156735558"/>
      <w:bookmarkStart w:id="182" w:name="_Toc228010723"/>
      <w:bookmarkStart w:id="183" w:name="_Toc152996001"/>
      <w:bookmarkStart w:id="184" w:name="_Toc230339592"/>
      <w:bookmarkStart w:id="185" w:name="_Toc155414387"/>
      <w:bookmarkStart w:id="186" w:name="_Toc155669592"/>
      <w:bookmarkStart w:id="187" w:name="_Toc160351505"/>
      <w:bookmarkStart w:id="188" w:name="_Toc228010807"/>
      <w:bookmarkStart w:id="189" w:name="_Toc228102636"/>
      <w:bookmarkStart w:id="190" w:name="_Toc228010620"/>
      <w:bookmarkStart w:id="191" w:name="_Toc119911230"/>
      <w:bookmarkStart w:id="192" w:name="_Toc231483507"/>
      <w:bookmarkStart w:id="193" w:name="_Toc223660265"/>
      <w:bookmarkStart w:id="194" w:name="_Toc158302100"/>
      <w:bookmarkStart w:id="195" w:name="_Toc230314236"/>
      <w:bookmarkStart w:id="196" w:name="_Toc228362301"/>
      <w:bookmarkStart w:id="197" w:name="_Toc115492449"/>
      <w:bookmarkStart w:id="198" w:name="_Toc233467097"/>
      <w:bookmarkStart w:id="199" w:name="_Toc158199990"/>
      <w:bookmarkStart w:id="200" w:name="_Toc232339037"/>
      <w:bookmarkStart w:id="201" w:name="_Toc361046292"/>
      <w:bookmarkStart w:id="202" w:name="_Toc355209714"/>
      <w:bookmarkStart w:id="203" w:name="_Toc355965705"/>
      <w:bookmarkStart w:id="204" w:name="_Toc115491942"/>
      <w:bookmarkStart w:id="205" w:name="_Toc113524490"/>
      <w:bookmarkStart w:id="206" w:name="_Toc121134693"/>
      <w:bookmarkStart w:id="207" w:name="_Toc360808431"/>
      <w:bookmarkStart w:id="208" w:name="_Toc232252109"/>
      <w:bookmarkStart w:id="209" w:name="_Toc117053542"/>
      <w:bookmarkStart w:id="210" w:name="_Toc158729818"/>
      <w:bookmarkStart w:id="211" w:name="_Toc210363847"/>
      <w:bookmarkStart w:id="212" w:name="_Toc155668511"/>
      <w:bookmarkStart w:id="213" w:name="_Toc231813925"/>
      <w:bookmarkStart w:id="214" w:name="_Toc114754973"/>
      <w:bookmarkStart w:id="215" w:name="_Toc115492309"/>
      <w:bookmarkStart w:id="216" w:name="_Toc116658781"/>
      <w:bookmarkStart w:id="217" w:name="_Toc119052973"/>
      <w:bookmarkStart w:id="218" w:name="_Toc357591171"/>
      <w:bookmarkStart w:id="219" w:name="_Toc106901859"/>
      <w:bookmarkStart w:id="220" w:name="_Toc119678488"/>
      <w:bookmarkStart w:id="221" w:name="_Toc355874160"/>
      <w:bookmarkStart w:id="222" w:name="_Toc355966391"/>
      <w:bookmarkStart w:id="223" w:name="_Toc114324104"/>
      <w:bookmarkStart w:id="224" w:name="_Toc156986360"/>
      <w:bookmarkStart w:id="225" w:name="_Toc113511800"/>
      <w:bookmarkStart w:id="226" w:name="_Toc232079283"/>
      <w:bookmarkStart w:id="227" w:name="_Toc106902395"/>
      <w:bookmarkStart w:id="228" w:name="_Toc106901060"/>
      <w:bookmarkStart w:id="229" w:name="_Toc232079015"/>
      <w:bookmarkStart w:id="230" w:name="_Toc156987843"/>
      <w:bookmarkStart w:id="231" w:name="_Toc357109665"/>
      <w:bookmarkStart w:id="232" w:name="_Toc355975724"/>
      <w:bookmarkStart w:id="233" w:name="_Toc156986172"/>
      <w:bookmarkStart w:id="234" w:name="_Toc122766650"/>
      <w:bookmarkStart w:id="235" w:name="_Toc119678474"/>
      <w:bookmarkStart w:id="236" w:name="_Toc116658767"/>
      <w:bookmarkStart w:id="237" w:name="_Toc119911216"/>
      <w:bookmarkStart w:id="238" w:name="_Toc119052959"/>
      <w:bookmarkStart w:id="239" w:name="_Toc117053528"/>
      <w:bookmarkStart w:id="240" w:name="_Toc115492435"/>
      <w:bookmarkStart w:id="241" w:name="_Toc121134679"/>
      <w:bookmarkStart w:id="242" w:name="_Toc115492295"/>
      <w:bookmarkStart w:id="243" w:name="_Toc115491928"/>
      <w:bookmarkStart w:id="244" w:name="_Toc106901055"/>
      <w:bookmarkStart w:id="245" w:name="_Toc113511794"/>
      <w:bookmarkStart w:id="246" w:name="_Toc114754962"/>
      <w:bookmarkStart w:id="247" w:name="_Toc114324095"/>
      <w:bookmarkStart w:id="248" w:name="_Toc105916157"/>
      <w:bookmarkStart w:id="249" w:name="_Toc106901854"/>
      <w:bookmarkStart w:id="250" w:name="_Toc113524484"/>
      <w:bookmarkStart w:id="251" w:name="_Toc106902390"/>
      <w:r>
        <w:rPr>
          <w:rFonts w:hint="eastAsia"/>
        </w:rPr>
        <w:t>自</w:t>
      </w:r>
      <w:r>
        <w:t>用水泵</w:t>
      </w:r>
      <w:r>
        <w:rPr>
          <w:rFonts w:hint="eastAsia"/>
        </w:rPr>
        <w:t>一</w:t>
      </w:r>
      <w:bookmarkEnd w:id="170"/>
    </w:p>
    <w:p>
      <w:pPr>
        <w:pStyle w:val="6"/>
        <w:rPr>
          <w:rFonts w:hint="eastAsia"/>
        </w:rPr>
      </w:pPr>
      <w:r>
        <w:rPr>
          <w:rFonts w:hint="eastAsia"/>
        </w:rPr>
        <w:t>工作范围</w:t>
      </w:r>
    </w:p>
    <w:p>
      <w:pPr>
        <w:pStyle w:val="8"/>
        <w:rPr>
          <w:rFonts w:hint="eastAsia"/>
        </w:rPr>
      </w:pPr>
      <w:r>
        <w:t>卖方应提供</w:t>
      </w:r>
      <w:r>
        <w:rPr>
          <w:rFonts w:hint="eastAsia"/>
          <w:lang w:eastAsia="zh-CN"/>
        </w:rPr>
        <w:t>水泵满足消防水泵需求，</w:t>
      </w:r>
      <w:r>
        <w:t>保证设备安全、稳定、可靠运行的全套设备、辅助及安装连接附件</w:t>
      </w:r>
      <w:r>
        <w:rPr>
          <w:rFonts w:hint="eastAsia"/>
        </w:rPr>
        <w:t>，并负责安装</w:t>
      </w:r>
      <w:r>
        <w:rPr>
          <w:rFonts w:hint="eastAsia"/>
          <w:lang w:eastAsia="zh-CN"/>
        </w:rPr>
        <w:t>指</w:t>
      </w:r>
      <w:r>
        <w:rPr>
          <w:lang w:eastAsia="zh-CN"/>
        </w:rPr>
        <w:t>导</w:t>
      </w:r>
      <w:r>
        <w:rPr>
          <w:rFonts w:hint="eastAsia"/>
        </w:rPr>
        <w:t>、调试及试运行等工作</w:t>
      </w:r>
      <w:r>
        <w:t>。设备主要组成部分及供货范围（不限于此）：</w:t>
      </w:r>
    </w:p>
    <w:p>
      <w:pPr>
        <w:pStyle w:val="36"/>
      </w:pPr>
      <w:r>
        <w:t>装配完整的</w:t>
      </w:r>
      <w:r>
        <w:rPr>
          <w:rFonts w:hint="eastAsia"/>
        </w:rPr>
        <w:t>水泵</w:t>
      </w:r>
      <w:r>
        <w:t>（包括电机、泵体、叶轮、机械密封、耐磨板等</w:t>
      </w:r>
    </w:p>
    <w:p>
      <w:pPr>
        <w:pStyle w:val="36"/>
      </w:pPr>
      <w:r>
        <w:t>控制柜</w:t>
      </w:r>
    </w:p>
    <w:p>
      <w:pPr>
        <w:pStyle w:val="36"/>
        <w:rPr>
          <w:rFonts w:hint="eastAsia"/>
        </w:rPr>
      </w:pPr>
      <w:r>
        <w:rPr>
          <w:rFonts w:hint="eastAsia"/>
        </w:rPr>
        <w:t>水泵进出口渐缩管及渐扩管</w:t>
      </w:r>
    </w:p>
    <w:p>
      <w:pPr>
        <w:pStyle w:val="36"/>
        <w:rPr>
          <w:rFonts w:hint="eastAsia"/>
        </w:rPr>
      </w:pPr>
      <w:r>
        <w:rPr>
          <w:rFonts w:hint="eastAsia"/>
        </w:rPr>
        <w:t>配套阀门、</w:t>
      </w:r>
      <w:r>
        <w:t>安全阀、压力表</w:t>
      </w:r>
      <w:r>
        <w:rPr>
          <w:rFonts w:hint="eastAsia"/>
        </w:rPr>
        <w:t>、流量开关</w:t>
      </w:r>
      <w:r>
        <w:t>等</w:t>
      </w:r>
    </w:p>
    <w:p>
      <w:pPr>
        <w:pStyle w:val="36"/>
        <w:rPr>
          <w:rFonts w:hint="eastAsia"/>
        </w:rPr>
      </w:pPr>
      <w:r>
        <w:t>所有安装连接附件、地脚螺栓</w:t>
      </w:r>
    </w:p>
    <w:p>
      <w:pPr>
        <w:pStyle w:val="6"/>
        <w:rPr>
          <w:rFonts w:hint="eastAsia"/>
        </w:rPr>
      </w:pPr>
      <w:r>
        <w:rPr>
          <w:rFonts w:hint="eastAsia"/>
        </w:rPr>
        <w:t>工作条件及主要技术性能</w:t>
      </w:r>
    </w:p>
    <w:p>
      <w:pPr>
        <w:pStyle w:val="8"/>
        <w:rPr>
          <w:rFonts w:hint="eastAsia"/>
        </w:rPr>
      </w:pPr>
      <w:r>
        <w:rPr>
          <w:rFonts w:hint="eastAsia"/>
        </w:rPr>
        <w:t>工作条件</w:t>
      </w:r>
    </w:p>
    <w:tbl>
      <w:tblPr>
        <w:tblStyle w:val="19"/>
        <w:tblW w:w="8026"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设备名称</w:t>
            </w:r>
          </w:p>
        </w:tc>
        <w:tc>
          <w:tcPr>
            <w:tcW w:w="4253" w:type="dxa"/>
            <w:vAlign w:val="center"/>
          </w:tcPr>
          <w:p>
            <w:pPr>
              <w:spacing w:before="120" w:beforeLines="50"/>
              <w:jc w:val="center"/>
              <w:rPr>
                <w:rFonts w:hint="eastAsia"/>
              </w:rPr>
            </w:pPr>
            <w:r>
              <w:rPr>
                <w:rFonts w:hint="eastAsia"/>
              </w:rPr>
              <w:t>生产</w:t>
            </w:r>
            <w:r>
              <w:t>用水泵房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设备编号</w:t>
            </w:r>
          </w:p>
        </w:tc>
        <w:tc>
          <w:tcPr>
            <w:tcW w:w="4253" w:type="dxa"/>
            <w:vAlign w:val="center"/>
          </w:tcPr>
          <w:p>
            <w:pPr>
              <w:spacing w:before="120" w:beforeLines="50"/>
              <w:jc w:val="center"/>
            </w:pPr>
            <w:r>
              <w:t>SPB-PCF</w:t>
            </w:r>
            <w:r>
              <w:rPr>
                <w:rFonts w:hint="eastAsia"/>
              </w:rPr>
              <w:t>10</w:t>
            </w:r>
            <w:r>
              <w:t>1/</w:t>
            </w:r>
            <w:r>
              <w:rPr>
                <w:rFonts w:hint="eastAsia"/>
              </w:rPr>
              <w:t>1</w:t>
            </w: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数量</w:t>
            </w:r>
          </w:p>
        </w:tc>
        <w:tc>
          <w:tcPr>
            <w:tcW w:w="4253" w:type="dxa"/>
            <w:vAlign w:val="top"/>
          </w:tcPr>
          <w:p>
            <w:pPr>
              <w:spacing w:before="120" w:beforeLines="50"/>
              <w:jc w:val="center"/>
              <w:rPr>
                <w:rFonts w:hint="eastAsia"/>
                <w:bCs/>
              </w:rPr>
            </w:pPr>
            <w:r>
              <w:rPr>
                <w:rFonts w:hint="eastAsia"/>
                <w:bCs/>
              </w:rPr>
              <w:t>3套，2用1备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环境温度</w:t>
            </w:r>
          </w:p>
        </w:tc>
        <w:tc>
          <w:tcPr>
            <w:tcW w:w="4253" w:type="dxa"/>
            <w:vAlign w:val="top"/>
          </w:tcPr>
          <w:p>
            <w:pPr>
              <w:spacing w:before="120" w:beforeLines="50"/>
              <w:jc w:val="center"/>
              <w:rPr>
                <w:rFonts w:hint="eastAsia"/>
              </w:rPr>
            </w:pPr>
            <w:r>
              <w:t>10~30</w:t>
            </w:r>
            <w:r>
              <w:rPr/>
              <w:sym w:font="Symbol" w:char="F0B0"/>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海拔高度</w:t>
            </w:r>
          </w:p>
        </w:tc>
        <w:tc>
          <w:tcPr>
            <w:tcW w:w="4253" w:type="dxa"/>
            <w:vAlign w:val="top"/>
          </w:tcPr>
          <w:p>
            <w:pPr>
              <w:spacing w:before="120" w:beforeLines="50"/>
              <w:jc w:val="center"/>
              <w:rPr>
                <w:rFonts w:hint="eastAsia"/>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介质</w:t>
            </w:r>
          </w:p>
        </w:tc>
        <w:tc>
          <w:tcPr>
            <w:tcW w:w="4253" w:type="dxa"/>
            <w:vAlign w:val="top"/>
          </w:tcPr>
          <w:p>
            <w:pPr>
              <w:spacing w:before="120" w:beforeLines="50"/>
              <w:jc w:val="center"/>
              <w:rPr>
                <w:rFonts w:hint="eastAsia"/>
              </w:rPr>
            </w:pPr>
            <w:r>
              <w:rPr>
                <w:rFonts w:hint="eastAsia"/>
              </w:rPr>
              <w:t>次氯酸钠消毒池出水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t>pH</w:t>
            </w:r>
          </w:p>
        </w:tc>
        <w:tc>
          <w:tcPr>
            <w:tcW w:w="4253" w:type="dxa"/>
            <w:vAlign w:val="top"/>
          </w:tcPr>
          <w:p>
            <w:pPr>
              <w:spacing w:before="120" w:beforeLines="50"/>
              <w:jc w:val="center"/>
              <w:rPr>
                <w:rFonts w:hint="eastAsia"/>
              </w:rPr>
            </w:pPr>
            <w:r>
              <w:t>6</w:t>
            </w:r>
            <w:r>
              <w:rPr>
                <w:rFonts w:hint="eastAsia"/>
              </w:rPr>
              <w:t>～</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介质温度</w:t>
            </w:r>
          </w:p>
        </w:tc>
        <w:tc>
          <w:tcPr>
            <w:tcW w:w="4253" w:type="dxa"/>
            <w:vAlign w:val="top"/>
          </w:tcPr>
          <w:p>
            <w:pPr>
              <w:spacing w:before="120" w:beforeLines="50"/>
              <w:jc w:val="center"/>
              <w:rPr>
                <w:rFonts w:hint="eastAsia"/>
              </w:rPr>
            </w:pPr>
            <w:r>
              <w:t>12~25</w:t>
            </w:r>
            <w:r>
              <w:rPr/>
              <w:sym w:font="Symbol" w:char="F0B0"/>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介质密度</w:t>
            </w:r>
          </w:p>
        </w:tc>
        <w:tc>
          <w:tcPr>
            <w:tcW w:w="4253" w:type="dxa"/>
            <w:vAlign w:val="top"/>
          </w:tcPr>
          <w:p>
            <w:pPr>
              <w:spacing w:before="120" w:beforeLines="50"/>
              <w:jc w:val="center"/>
              <w:rPr>
                <w:rFonts w:hint="eastAsia"/>
              </w:rPr>
            </w:pPr>
            <w:r>
              <w:t>1000kg/m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工作制</w:t>
            </w:r>
          </w:p>
        </w:tc>
        <w:tc>
          <w:tcPr>
            <w:tcW w:w="4253" w:type="dxa"/>
            <w:vAlign w:val="top"/>
          </w:tcPr>
          <w:p>
            <w:pPr>
              <w:spacing w:before="120" w:beforeLines="50"/>
              <w:jc w:val="center"/>
              <w:rPr>
                <w:rFonts w:hint="eastAsia"/>
              </w:rPr>
            </w:pPr>
            <w:r>
              <w:rPr>
                <w:rFonts w:hint="eastAsia"/>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73" w:type="dxa"/>
            <w:vAlign w:val="top"/>
          </w:tcPr>
          <w:p>
            <w:pPr>
              <w:spacing w:before="120" w:beforeLines="50"/>
              <w:rPr>
                <w:rFonts w:hint="eastAsia"/>
              </w:rPr>
            </w:pPr>
            <w:r>
              <w:rPr>
                <w:rFonts w:hint="eastAsia"/>
              </w:rPr>
              <w:t>安装地点</w:t>
            </w:r>
          </w:p>
        </w:tc>
        <w:tc>
          <w:tcPr>
            <w:tcW w:w="4253" w:type="dxa"/>
            <w:vAlign w:val="top"/>
          </w:tcPr>
          <w:p>
            <w:pPr>
              <w:spacing w:before="120" w:beforeLines="50"/>
              <w:jc w:val="center"/>
              <w:rPr>
                <w:rFonts w:hint="eastAsia"/>
              </w:rPr>
            </w:pPr>
            <w:r>
              <w:rPr>
                <w:rFonts w:hint="eastAsia"/>
              </w:rPr>
              <w:t>生产用水泵房</w:t>
            </w:r>
          </w:p>
        </w:tc>
      </w:tr>
    </w:tbl>
    <w:p>
      <w:pPr>
        <w:pStyle w:val="8"/>
        <w:rPr>
          <w:rFonts w:hint="eastAsia"/>
        </w:rPr>
      </w:pPr>
      <w:r>
        <w:rPr>
          <w:rFonts w:hint="eastAsia"/>
        </w:rPr>
        <w:t>性能参数</w:t>
      </w:r>
    </w:p>
    <w:p>
      <w:pPr>
        <w:pStyle w:val="36"/>
        <w:numPr>
          <w:ilvl w:val="5"/>
          <w:numId w:val="96"/>
        </w:numPr>
        <w:jc w:val="left"/>
      </w:pPr>
      <w:r>
        <w:rPr>
          <w:rFonts w:hint="eastAsia"/>
        </w:rPr>
        <w:t>水泵</w:t>
      </w:r>
    </w:p>
    <w:tbl>
      <w:tblPr>
        <w:tblStyle w:val="19"/>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设备名称</w:t>
            </w:r>
          </w:p>
        </w:tc>
        <w:tc>
          <w:tcPr>
            <w:tcW w:w="4253" w:type="dxa"/>
            <w:vAlign w:val="center"/>
          </w:tcPr>
          <w:p>
            <w:pPr>
              <w:spacing w:before="120" w:beforeLines="50"/>
              <w:jc w:val="center"/>
              <w:rPr>
                <w:rFonts w:hint="eastAsia"/>
              </w:rPr>
            </w:pPr>
            <w:r>
              <w:rPr>
                <w:rFonts w:hint="eastAsia"/>
              </w:rPr>
              <w:t>自用</w:t>
            </w:r>
            <w:r>
              <w:t>水泵</w:t>
            </w:r>
            <w:r>
              <w:rPr>
                <w:rFonts w:hint="eastAsi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设备编号</w:t>
            </w:r>
          </w:p>
        </w:tc>
        <w:tc>
          <w:tcPr>
            <w:tcW w:w="4253" w:type="dxa"/>
            <w:vAlign w:val="center"/>
          </w:tcPr>
          <w:p>
            <w:pPr>
              <w:spacing w:before="120" w:beforeLines="50"/>
              <w:jc w:val="center"/>
            </w:pPr>
            <w:r>
              <w:t>SPB-PCF</w:t>
            </w:r>
            <w:r>
              <w:rPr>
                <w:rFonts w:hint="eastAsia"/>
              </w:rPr>
              <w:t>10</w:t>
            </w:r>
            <w:r>
              <w:t>1/</w:t>
            </w:r>
            <w:r>
              <w:rPr>
                <w:rFonts w:hint="eastAsia"/>
              </w:rPr>
              <w:t>1</w:t>
            </w: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型式</w:t>
            </w:r>
          </w:p>
        </w:tc>
        <w:tc>
          <w:tcPr>
            <w:tcW w:w="4253" w:type="dxa"/>
            <w:vAlign w:val="top"/>
          </w:tcPr>
          <w:p>
            <w:pPr>
              <w:spacing w:before="120" w:beforeLines="50"/>
              <w:jc w:val="center"/>
              <w:rPr>
                <w:rFonts w:hint="eastAsia"/>
              </w:rPr>
            </w:pPr>
            <w:r>
              <w:rPr>
                <w:rFonts w:hint="eastAsia"/>
              </w:rPr>
              <w:t>立式单级单吸离心泵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流量</w:t>
            </w:r>
          </w:p>
        </w:tc>
        <w:tc>
          <w:tcPr>
            <w:tcW w:w="4253" w:type="dxa"/>
            <w:vAlign w:val="top"/>
          </w:tcPr>
          <w:p>
            <w:pPr>
              <w:spacing w:before="120" w:beforeLines="50"/>
              <w:jc w:val="center"/>
              <w:rPr>
                <w:rFonts w:hint="eastAsia"/>
              </w:rPr>
            </w:pPr>
            <w:r>
              <w:rPr>
                <w:rFonts w:hint="eastAsia"/>
              </w:rPr>
              <w:t>90</w:t>
            </w:r>
            <w:r>
              <w:t>m</w:t>
            </w:r>
            <w:r>
              <w:rPr>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扬程</w:t>
            </w:r>
          </w:p>
        </w:tc>
        <w:tc>
          <w:tcPr>
            <w:tcW w:w="4253" w:type="dxa"/>
            <w:vAlign w:val="top"/>
          </w:tcPr>
          <w:p>
            <w:pPr>
              <w:spacing w:before="120" w:beforeLines="50"/>
              <w:jc w:val="center"/>
              <w:rPr>
                <w:rFonts w:hint="eastAsia"/>
              </w:rP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 xml:space="preserve">效率 </w:t>
            </w:r>
          </w:p>
        </w:tc>
        <w:tc>
          <w:tcPr>
            <w:tcW w:w="4253" w:type="dxa"/>
            <w:vAlign w:val="top"/>
          </w:tcPr>
          <w:p>
            <w:pPr>
              <w:spacing w:before="120" w:beforeLines="50"/>
              <w:jc w:val="center"/>
              <w:rPr>
                <w:rFonts w:hint="eastAsia"/>
              </w:rPr>
            </w:pPr>
            <w:r>
              <w:rPr>
                <w:rFonts w:hint="eastAsia"/>
              </w:rPr>
              <w:sym w:font="Symbol" w:char="F0B3"/>
            </w:r>
            <w:r>
              <w:rPr>
                <w:rFonts w:hint="eastAsia"/>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NPSH</w:t>
            </w:r>
          </w:p>
        </w:tc>
        <w:tc>
          <w:tcPr>
            <w:tcW w:w="4253" w:type="dxa"/>
            <w:vAlign w:val="top"/>
          </w:tcPr>
          <w:p>
            <w:pPr>
              <w:spacing w:before="120" w:beforeLines="50"/>
              <w:jc w:val="center"/>
              <w:rPr>
                <w:rFonts w:hint="eastAsia"/>
              </w:rPr>
            </w:pPr>
            <w:r>
              <w:rPr>
                <w:rFonts w:hint="eastAsia"/>
              </w:rPr>
              <w:sym w:font="Symbol" w:char="F0A3"/>
            </w:r>
            <w:r>
              <w:rPr>
                <w:rFonts w:hint="eastAsia"/>
              </w:rPr>
              <w:t>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bCs/>
              </w:rPr>
            </w:pPr>
            <w:r>
              <w:rPr>
                <w:rFonts w:hint="eastAsia"/>
                <w:bCs/>
              </w:rPr>
              <w:t>电机防护等级/绝缘等级</w:t>
            </w:r>
          </w:p>
        </w:tc>
        <w:tc>
          <w:tcPr>
            <w:tcW w:w="4253" w:type="dxa"/>
            <w:vAlign w:val="top"/>
          </w:tcPr>
          <w:p>
            <w:pPr>
              <w:spacing w:before="120" w:beforeLines="50"/>
              <w:jc w:val="center"/>
              <w:rPr>
                <w:rFonts w:hint="eastAsia"/>
              </w:rPr>
            </w:pPr>
            <w:r>
              <w:rPr>
                <w:rFonts w:hint="eastAsia"/>
              </w:rPr>
              <w:t>IP55/F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噪声 dB(A)</w:t>
            </w:r>
          </w:p>
        </w:tc>
        <w:tc>
          <w:tcPr>
            <w:tcW w:w="4253" w:type="dxa"/>
            <w:vAlign w:val="top"/>
          </w:tcPr>
          <w:p>
            <w:pPr>
              <w:spacing w:before="120" w:beforeLines="50"/>
              <w:jc w:val="center"/>
              <w:rPr>
                <w:rFonts w:hint="eastAsia"/>
              </w:rPr>
            </w:pPr>
            <w:r>
              <w:rPr>
                <w:rFonts w:hint="eastAsia"/>
              </w:rPr>
              <w:sym w:font="Symbol" w:char="F0A3"/>
            </w: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spacing w:before="120" w:beforeLines="50"/>
              <w:rPr>
                <w:rFonts w:hint="eastAsia"/>
              </w:rPr>
            </w:pPr>
            <w:r>
              <w:rPr>
                <w:rFonts w:hint="eastAsia"/>
              </w:rPr>
              <w:t>电源</w:t>
            </w:r>
          </w:p>
        </w:tc>
        <w:tc>
          <w:tcPr>
            <w:tcW w:w="4253" w:type="dxa"/>
            <w:tcBorders>
              <w:left w:val="nil"/>
            </w:tcBorders>
            <w:vAlign w:val="top"/>
          </w:tcPr>
          <w:p>
            <w:pPr>
              <w:spacing w:before="120" w:beforeLines="50"/>
              <w:jc w:val="center"/>
              <w:rPr>
                <w:rFonts w:hint="eastAsia"/>
              </w:rPr>
            </w:pPr>
            <w:r>
              <w:rPr>
                <w:rFonts w:hint="eastAsia"/>
              </w:rPr>
              <w:t>380V/3</w:t>
            </w:r>
            <w:r>
              <w:t>ph/50Hz</w:t>
            </w:r>
          </w:p>
        </w:tc>
      </w:tr>
    </w:tbl>
    <w:p>
      <w:pPr>
        <w:pStyle w:val="6"/>
        <w:rPr>
          <w:rFonts w:hint="eastAsia"/>
        </w:rPr>
      </w:pPr>
      <w:r>
        <w:rPr>
          <w:rFonts w:hint="eastAsia"/>
        </w:rPr>
        <w:t>概述</w:t>
      </w:r>
    </w:p>
    <w:p>
      <w:pPr>
        <w:pStyle w:val="8"/>
        <w:rPr>
          <w:rFonts w:hint="eastAsia"/>
        </w:rPr>
      </w:pPr>
      <w:r>
        <w:rPr>
          <w:rFonts w:hint="eastAsia"/>
          <w:lang w:eastAsia="zh-CN"/>
        </w:rPr>
        <w:t>自用水</w:t>
      </w:r>
      <w:r>
        <w:rPr>
          <w:rFonts w:hint="eastAsia"/>
        </w:rPr>
        <w:t>泵</w:t>
      </w:r>
      <w:r>
        <w:rPr>
          <w:rFonts w:hint="eastAsia"/>
          <w:lang w:eastAsia="zh-CN"/>
        </w:rPr>
        <w:t>一</w:t>
      </w:r>
      <w:r>
        <w:rPr>
          <w:rFonts w:hint="eastAsia"/>
        </w:rPr>
        <w:t>安装在</w:t>
      </w:r>
      <w:r>
        <w:rPr>
          <w:rFonts w:hint="eastAsia"/>
          <w:lang w:eastAsia="zh-CN"/>
        </w:rPr>
        <w:t>生产用水泵</w:t>
      </w:r>
      <w:r>
        <w:rPr>
          <w:rFonts w:hint="eastAsia"/>
        </w:rPr>
        <w:t>房内，安装位置及空间详见图纸。</w:t>
      </w:r>
    </w:p>
    <w:p>
      <w:pPr>
        <w:pStyle w:val="8"/>
        <w:rPr>
          <w:rFonts w:hint="eastAsia"/>
        </w:rPr>
      </w:pPr>
      <w:r>
        <w:rPr>
          <w:rFonts w:hint="eastAsia"/>
          <w:lang w:eastAsia="zh-CN"/>
        </w:rPr>
        <w:t>自用水</w:t>
      </w:r>
      <w:r>
        <w:rPr>
          <w:rFonts w:hint="eastAsia"/>
        </w:rPr>
        <w:t>泵</w:t>
      </w:r>
      <w:r>
        <w:rPr>
          <w:rFonts w:hint="eastAsia"/>
          <w:lang w:eastAsia="zh-CN"/>
        </w:rPr>
        <w:t>一</w:t>
      </w:r>
      <w:r>
        <w:rPr>
          <w:rFonts w:hint="eastAsia"/>
        </w:rPr>
        <w:t>系统主要为泥区室内消防供水，消防时消防泵可根据管网压力及流量开关</w:t>
      </w:r>
      <w:r>
        <w:t>自动启停、连续供水</w:t>
      </w:r>
      <w:r>
        <w:rPr>
          <w:rFonts w:hint="eastAsia"/>
        </w:rPr>
        <w:t>；平时靠稳压系统</w:t>
      </w:r>
      <w:r>
        <w:t>储水加压、蓄能稳压。</w:t>
      </w:r>
    </w:p>
    <w:p>
      <w:pPr>
        <w:pStyle w:val="8"/>
        <w:rPr>
          <w:rFonts w:hint="eastAsia"/>
        </w:rPr>
      </w:pPr>
      <w:r>
        <w:rPr>
          <w:rFonts w:hint="eastAsia"/>
        </w:rPr>
        <w:t>消防稳压设备要求满足消防规范要求，有3CF认证及消防AB签。整套设备成套供应，含不锈钢稳压泵两台，配控制柜及气压罐。整套设备含槽钢底座、出口母管、阀门、弯头、电接点压力表及压力传感器、流量开关等附件。控制柜一用一备，互为备用。</w:t>
      </w:r>
    </w:p>
    <w:p>
      <w:pPr>
        <w:pStyle w:val="6"/>
        <w:rPr>
          <w:rFonts w:hint="eastAsia"/>
        </w:rPr>
      </w:pPr>
      <w:r>
        <w:rPr>
          <w:rFonts w:hint="eastAsia"/>
        </w:rPr>
        <w:t>技术要求</w:t>
      </w:r>
    </w:p>
    <w:p>
      <w:pPr>
        <w:pStyle w:val="8"/>
        <w:rPr>
          <w:rFonts w:hint="eastAsia"/>
        </w:rPr>
      </w:pPr>
      <w:r>
        <w:rPr>
          <w:rFonts w:hint="eastAsia"/>
        </w:rPr>
        <w:t>采用节能型鼠笼式电机（Y2</w:t>
      </w:r>
      <w:r>
        <w:t>）</w:t>
      </w:r>
      <w:r>
        <w:rPr>
          <w:rFonts w:hint="eastAsia"/>
        </w:rPr>
        <w:t>，电机定子绕组线圈组接线满足电机启动方式接线要求。电机电压满足设计选型要求。电机的防护等级IP54，绝缘等级为F。</w:t>
      </w:r>
    </w:p>
    <w:p>
      <w:pPr>
        <w:pStyle w:val="8"/>
        <w:rPr>
          <w:rFonts w:hint="eastAsia"/>
        </w:rPr>
      </w:pPr>
      <w:r>
        <w:rPr>
          <w:rFonts w:hint="eastAsia"/>
        </w:rPr>
        <w:t>水泵生产厂商应提供完整的水泵流量扬程性能曲线，并应标示流量、扬程、气蚀余量、功率和效率、转速、噪音，以及安装场所的环境要求等因素综合确认。</w:t>
      </w:r>
    </w:p>
    <w:p>
      <w:pPr>
        <w:pStyle w:val="8"/>
        <w:rPr>
          <w:rFonts w:hint="eastAsia"/>
        </w:rPr>
      </w:pPr>
      <w:r>
        <w:rPr>
          <w:rFonts w:hint="eastAsia"/>
        </w:rPr>
        <w:t>水泵的性能应满足消防给水系统所需流量和压力的要求。</w:t>
      </w:r>
    </w:p>
    <w:p>
      <w:pPr>
        <w:pStyle w:val="8"/>
        <w:rPr>
          <w:rFonts w:hint="eastAsia"/>
        </w:rPr>
      </w:pPr>
      <w:r>
        <w:rPr>
          <w:rFonts w:hint="eastAsia"/>
        </w:rPr>
        <w:t>水泵所配驱动器的功率应满足所选水泵流量扬程性能曲线上任何一点运行所需功率的要求。</w:t>
      </w:r>
    </w:p>
    <w:p>
      <w:pPr>
        <w:pStyle w:val="8"/>
        <w:rPr>
          <w:rFonts w:hint="eastAsia"/>
        </w:rPr>
      </w:pPr>
      <w:r>
        <w:rPr>
          <w:rFonts w:hint="eastAsia"/>
        </w:rPr>
        <w:t xml:space="preserve">流量扬程性能曲线应为无驼峰、无拐点的光滑曲线，零流量时的压力不应大于设计工作压力的140%，且宜大于设计工作压力的120%。当出流量为设计流量的150%时，其出口压力不应低于设计工作压力的65%。   </w:t>
      </w:r>
    </w:p>
    <w:p>
      <w:pPr>
        <w:pStyle w:val="8"/>
        <w:rPr>
          <w:rFonts w:hint="eastAsia"/>
        </w:rPr>
      </w:pPr>
      <w:r>
        <w:rPr>
          <w:rFonts w:hint="eastAsia"/>
        </w:rPr>
        <w:t>消防泵控制及操作应按照《消防给水及消火栓系统技术规范》(GB50974-2014)第11章执行。</w:t>
      </w:r>
    </w:p>
    <w:p>
      <w:pPr>
        <w:pStyle w:val="8"/>
        <w:rPr>
          <w:rFonts w:hint="eastAsia"/>
        </w:rPr>
      </w:pPr>
      <w:r>
        <w:rPr>
          <w:rFonts w:hint="eastAsia"/>
        </w:rPr>
        <w:t>消防水泵采用消防专用立式单级单吸离心泵，其设计、制造、安装、检验和验收等应符合GA6245-2006、GA30-2002及离心泵相关标准的要求。消防水泵应为通过中华人民共和国国家公安部消防型式认可，具有消防生产、销售资质，经消防省、市部门认可。符合国家或行业的生产技术标准，有良好的健全的售后服务。</w:t>
      </w:r>
    </w:p>
    <w:p>
      <w:pPr>
        <w:pStyle w:val="8"/>
        <w:rPr>
          <w:rFonts w:hint="eastAsia"/>
        </w:rPr>
      </w:pPr>
      <w:r>
        <w:rPr>
          <w:rFonts w:hint="eastAsia"/>
        </w:rPr>
        <w:t>泵体及各种外露的罩壳、箱体均应喷涂GB/T 3181-2008中表2给出的R03大红漆。铭牌内容按GA6245-2006要求标注。</w:t>
      </w:r>
    </w:p>
    <w:p>
      <w:pPr>
        <w:pStyle w:val="8"/>
      </w:pPr>
      <w:r>
        <w:rPr>
          <w:rFonts w:hint="eastAsia"/>
        </w:rPr>
        <w:t>在任何情况下，泵体和泵盖，包括轴封箱和密封端盖的额定压力均不得超过泵法兰的公称压力。泵体包括轴封箱密封端盖应有足够的壁厚，使之在工作温度和额定压力条件下能承受住压力和变形。此外泵体还应留有足够的腐蚀裕度。</w:t>
      </w:r>
    </w:p>
    <w:p>
      <w:pPr>
        <w:pStyle w:val="8"/>
      </w:pPr>
      <w:r>
        <w:rPr>
          <w:rFonts w:hint="eastAsia"/>
        </w:rPr>
        <w:t>在泵体的入口和出口处应设有压力表接头，由卖方提供压力表。在泵的最低处或几个低位处均应设置放液接头，并用螺塞封堵。在水泵出口的最高处应留有排气阀接口。</w:t>
      </w:r>
    </w:p>
    <w:p>
      <w:pPr>
        <w:pStyle w:val="8"/>
      </w:pPr>
      <w:r>
        <w:rPr>
          <w:rFonts w:hint="eastAsia"/>
        </w:rPr>
        <w:t>泵壳铸件应无任何铸造缺陷</w:t>
      </w:r>
      <w:r>
        <w:t>,</w:t>
      </w:r>
      <w:r>
        <w:rPr>
          <w:rFonts w:hint="eastAsia"/>
        </w:rPr>
        <w:t>泵壳内表面流道经精加工后光滑平整。</w:t>
      </w:r>
    </w:p>
    <w:p>
      <w:pPr>
        <w:pStyle w:val="8"/>
      </w:pPr>
      <w:r>
        <w:rPr>
          <w:rFonts w:hint="eastAsia"/>
        </w:rPr>
        <w:t>叶轮结构型式应保证污水的高效率泵送。叶轮应配有耐磨环，并应作静平衡和动平衡试验。叶轮应有可靠的固定，防止在按规定方向旋转时，发生圆周方向和轴向移动。</w:t>
      </w:r>
    </w:p>
    <w:p>
      <w:pPr>
        <w:pStyle w:val="8"/>
        <w:rPr>
          <w:rFonts w:hint="eastAsia"/>
        </w:rPr>
      </w:pPr>
      <w:r>
        <w:rPr>
          <w:rFonts w:hint="eastAsia"/>
        </w:rPr>
        <w:t>应采用机械密封。</w:t>
      </w:r>
    </w:p>
    <w:p>
      <w:pPr>
        <w:pStyle w:val="8"/>
      </w:pPr>
      <w:r>
        <w:rPr>
          <w:rFonts w:hint="eastAsia"/>
        </w:rPr>
        <w:t>泵轴应有足够的强度和刚度，以便传递原动机额定功率。</w:t>
      </w:r>
    </w:p>
    <w:p>
      <w:pPr>
        <w:pStyle w:val="8"/>
      </w:pPr>
      <w:r>
        <w:rPr>
          <w:rFonts w:hint="eastAsia"/>
        </w:rPr>
        <w:t>水泵应采用SKF滚动轴承，当泵是在容许范围内工作时，轴承的基本额定寿命至少应为8</w:t>
      </w:r>
      <w:r>
        <w:t>0000</w:t>
      </w:r>
      <w:r>
        <w:rPr>
          <w:rFonts w:hint="eastAsia"/>
        </w:rPr>
        <w:t>小时。轴承的使用温度不得超过环境温度</w:t>
      </w:r>
      <w:r>
        <w:t xml:space="preserve"> 40</w:t>
      </w:r>
      <w:r>
        <w:rPr>
          <w:rFonts w:hint="eastAsia"/>
        </w:rPr>
        <w:t>℃，最高工作温度不得超过</w:t>
      </w:r>
      <w:r>
        <w:t>75</w:t>
      </w:r>
      <w:r>
        <w:rPr>
          <w:rFonts w:hint="eastAsia"/>
        </w:rPr>
        <w:t>℃。轴承座外表面温度不应超过75℃，温升不应超过35℃。</w:t>
      </w:r>
    </w:p>
    <w:p>
      <w:pPr>
        <w:pStyle w:val="8"/>
        <w:rPr>
          <w:rFonts w:hint="eastAsia"/>
        </w:rPr>
      </w:pPr>
      <w:r>
        <w:rPr>
          <w:rFonts w:hint="eastAsia"/>
        </w:rPr>
        <w:t>应有过热和过流保护装置。</w:t>
      </w:r>
    </w:p>
    <w:p>
      <w:pPr>
        <w:pStyle w:val="8"/>
        <w:rPr>
          <w:rFonts w:hint="eastAsia"/>
        </w:rPr>
      </w:pPr>
      <w:r>
        <w:rPr>
          <w:rFonts w:hint="eastAsia"/>
        </w:rPr>
        <w:t>进出管路方向参见附图。</w:t>
      </w:r>
    </w:p>
    <w:p>
      <w:pPr>
        <w:pStyle w:val="8"/>
        <w:rPr>
          <w:rFonts w:hint="eastAsia"/>
        </w:rPr>
      </w:pPr>
      <w:r>
        <w:rPr>
          <w:rFonts w:hint="eastAsia"/>
        </w:rPr>
        <w:t>消防水泵应采用自灌式吸水，其吸水管上应设阀门，阀门的直径不应小于消防水泵吸水口直径，且不应采用蝶阀。阀门及伸缩接头等附属设备属于本合同供货范围。</w:t>
      </w:r>
    </w:p>
    <w:p>
      <w:pPr>
        <w:pStyle w:val="8"/>
        <w:rPr>
          <w:rFonts w:hint="eastAsia"/>
        </w:rPr>
      </w:pPr>
      <w:r>
        <w:rPr>
          <w:rFonts w:hint="eastAsia"/>
        </w:rPr>
        <w:t>消防水泵的出水管上应安装止回阀和压力表，并应安装检查和调试用的DN65mm放水阀门。压力表量程应为工作压力的2~2.5倍。当出水管上安装闸阀时，应锁定在常开位置。</w:t>
      </w:r>
    </w:p>
    <w:p>
      <w:pPr>
        <w:pStyle w:val="8"/>
      </w:pPr>
      <w:r>
        <w:rPr>
          <w:rFonts w:hint="eastAsia"/>
        </w:rPr>
        <w:t>消防水泵的管路上应设置安全阀，其开启压力不大于最高工作压力的1.1倍。</w:t>
      </w:r>
    </w:p>
    <w:p>
      <w:pPr>
        <w:pStyle w:val="6"/>
      </w:pPr>
      <w:r>
        <w:rPr>
          <w:rFonts w:hint="eastAsia"/>
        </w:rPr>
        <w:t>主要零部件材料</w:t>
      </w:r>
    </w:p>
    <w:tbl>
      <w:tblPr>
        <w:tblStyle w:val="19"/>
        <w:tblW w:w="7560"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0" w:type="dxa"/>
            <w:vAlign w:val="top"/>
          </w:tcPr>
          <w:p>
            <w:pPr>
              <w:spacing w:before="120"/>
              <w:rPr>
                <w:rFonts w:hint="eastAsia"/>
              </w:rPr>
            </w:pPr>
            <w:r>
              <w:rPr>
                <w:rFonts w:hint="eastAsia"/>
              </w:rPr>
              <w:t>泵壳</w:t>
            </w:r>
          </w:p>
        </w:tc>
        <w:tc>
          <w:tcPr>
            <w:tcW w:w="3880" w:type="dxa"/>
            <w:vAlign w:val="top"/>
          </w:tcPr>
          <w:p>
            <w:pPr>
              <w:spacing w:before="120"/>
              <w:rPr>
                <w:rFonts w:hint="eastAsia"/>
              </w:rPr>
            </w:pPr>
            <w:r>
              <w:rPr>
                <w:rFonts w:hint="eastAsia"/>
              </w:rPr>
              <w:t>ASTM A-48Class35B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0" w:type="dxa"/>
            <w:vAlign w:val="top"/>
          </w:tcPr>
          <w:p>
            <w:pPr>
              <w:spacing w:before="120"/>
              <w:rPr>
                <w:rFonts w:hint="eastAsia"/>
              </w:rPr>
            </w:pPr>
            <w:r>
              <w:rPr>
                <w:rFonts w:hint="eastAsia"/>
              </w:rPr>
              <w:t>叶轮</w:t>
            </w:r>
          </w:p>
        </w:tc>
        <w:tc>
          <w:tcPr>
            <w:tcW w:w="3880" w:type="dxa"/>
            <w:vAlign w:val="top"/>
          </w:tcPr>
          <w:p>
            <w:pPr>
              <w:spacing w:before="120"/>
              <w:rPr>
                <w:rFonts w:hint="eastAsia"/>
              </w:rPr>
            </w:pPr>
            <w:r>
              <w:rPr>
                <w:rFonts w:hint="eastAsia"/>
              </w:rPr>
              <w:t>青铜或不锈钢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0" w:type="dxa"/>
            <w:vAlign w:val="top"/>
          </w:tcPr>
          <w:p>
            <w:pPr>
              <w:spacing w:before="120"/>
              <w:rPr>
                <w:rFonts w:hint="eastAsia"/>
              </w:rPr>
            </w:pPr>
            <w:r>
              <w:rPr>
                <w:rFonts w:hint="eastAsia"/>
              </w:rPr>
              <w:t>泵轴</w:t>
            </w:r>
          </w:p>
        </w:tc>
        <w:tc>
          <w:tcPr>
            <w:tcW w:w="3880" w:type="dxa"/>
            <w:vAlign w:val="top"/>
          </w:tcPr>
          <w:p>
            <w:pPr>
              <w:spacing w:before="120"/>
            </w:pPr>
            <w:r>
              <w:rPr>
                <w:rFonts w:hint="eastAsia"/>
              </w:rPr>
              <w:t>AISI 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0" w:type="dxa"/>
            <w:vAlign w:val="top"/>
          </w:tcPr>
          <w:p>
            <w:pPr>
              <w:spacing w:before="120"/>
              <w:rPr>
                <w:rFonts w:hint="eastAsia"/>
              </w:rPr>
            </w:pPr>
            <w:r>
              <w:rPr>
                <w:rFonts w:hint="eastAsia"/>
              </w:rPr>
              <w:t>泵体及叶轮密封</w:t>
            </w:r>
          </w:p>
        </w:tc>
        <w:tc>
          <w:tcPr>
            <w:tcW w:w="3880" w:type="dxa"/>
            <w:vAlign w:val="top"/>
          </w:tcPr>
          <w:p>
            <w:pPr>
              <w:spacing w:before="120"/>
              <w:rPr>
                <w:rFonts w:hint="eastAsia"/>
              </w:rPr>
            </w:pPr>
            <w:r>
              <w:rPr>
                <w:rFonts w:hint="eastAsia"/>
              </w:rPr>
              <w:t>青铜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0" w:type="dxa"/>
            <w:vAlign w:val="top"/>
          </w:tcPr>
          <w:p>
            <w:pPr>
              <w:spacing w:before="120"/>
              <w:rPr>
                <w:rFonts w:hint="eastAsia"/>
              </w:rPr>
            </w:pPr>
            <w:r>
              <w:rPr>
                <w:rFonts w:hint="eastAsia"/>
              </w:rPr>
              <w:t>机械密封</w:t>
            </w:r>
          </w:p>
        </w:tc>
        <w:tc>
          <w:tcPr>
            <w:tcW w:w="3880" w:type="dxa"/>
            <w:vAlign w:val="top"/>
          </w:tcPr>
          <w:p>
            <w:pPr>
              <w:spacing w:before="120"/>
              <w:rPr>
                <w:rFonts w:hint="eastAsia"/>
              </w:rPr>
            </w:pPr>
            <w:r>
              <w:rPr>
                <w:rFonts w:hint="eastAsia"/>
              </w:rPr>
              <w:t>碳化钨或碳化硅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0" w:type="dxa"/>
            <w:tcBorders>
              <w:bottom w:val="single" w:color="auto" w:sz="4" w:space="0"/>
            </w:tcBorders>
            <w:vAlign w:val="top"/>
          </w:tcPr>
          <w:p>
            <w:pPr>
              <w:spacing w:before="120"/>
              <w:rPr>
                <w:rFonts w:hint="eastAsia"/>
              </w:rPr>
            </w:pPr>
            <w:r>
              <w:rPr>
                <w:rFonts w:hint="eastAsia"/>
              </w:rPr>
              <w:t>所有安装连接附件/化学地脚螺栓</w:t>
            </w:r>
          </w:p>
        </w:tc>
        <w:tc>
          <w:tcPr>
            <w:tcW w:w="3880" w:type="dxa"/>
            <w:vAlign w:val="top"/>
          </w:tcPr>
          <w:p>
            <w:pPr>
              <w:spacing w:before="120"/>
              <w:rPr>
                <w:rFonts w:hint="eastAsia"/>
              </w:rPr>
            </w:pPr>
            <w:r>
              <w:rPr>
                <w:rFonts w:hint="eastAsia"/>
              </w:rPr>
              <w:t>AISI 304</w:t>
            </w:r>
          </w:p>
        </w:tc>
      </w:tr>
    </w:tbl>
    <w:p>
      <w:pPr>
        <w:pStyle w:val="6"/>
        <w:rPr>
          <w:rFonts w:hint="eastAsia"/>
        </w:rPr>
      </w:pPr>
      <w:r>
        <w:rPr>
          <w:rFonts w:hint="eastAsia"/>
        </w:rPr>
        <w:t>控制要求</w:t>
      </w:r>
    </w:p>
    <w:p>
      <w:pPr>
        <w:pStyle w:val="8"/>
        <w:rPr>
          <w:rFonts w:hint="eastAsia"/>
        </w:rPr>
      </w:pPr>
      <w:r>
        <w:rPr>
          <w:rFonts w:hint="eastAsia"/>
          <w:lang w:eastAsia="zh-CN"/>
        </w:rPr>
        <w:t>水泵</w:t>
      </w:r>
      <w:r>
        <w:rPr>
          <w:rFonts w:hint="eastAsia"/>
        </w:rPr>
        <w:t>控制设备应是经国家消防检验中心检测合格的产品，且有出厂合格证。</w:t>
      </w:r>
      <w:r>
        <w:rPr>
          <w:rFonts w:hint="eastAsia"/>
          <w:lang w:eastAsia="zh-CN"/>
        </w:rPr>
        <w:t>水泵</w:t>
      </w:r>
      <w:r>
        <w:rPr>
          <w:rFonts w:hint="eastAsia"/>
        </w:rPr>
        <w:t>控制设备至少具有如下控制功能（不限于此）</w:t>
      </w:r>
      <w:r>
        <w:rPr>
          <w:rFonts w:hint="eastAsia"/>
          <w:lang w:eastAsia="zh-CN"/>
        </w:rPr>
        <w:t>：</w:t>
      </w:r>
    </w:p>
    <w:p>
      <w:pPr>
        <w:pStyle w:val="36"/>
        <w:numPr>
          <w:ilvl w:val="5"/>
          <w:numId w:val="97"/>
        </w:numPr>
        <w:tabs>
          <w:tab w:val="left" w:pos="680"/>
          <w:tab w:val="left" w:pos="1200"/>
        </w:tabs>
        <w:rPr>
          <w:rFonts w:hint="eastAsia"/>
        </w:rPr>
      </w:pPr>
      <w:r>
        <w:rPr>
          <w:rFonts w:hint="eastAsia"/>
        </w:rPr>
        <w:t>显示水泵的工作、故障状态；</w:t>
      </w:r>
    </w:p>
    <w:p>
      <w:pPr>
        <w:pStyle w:val="36"/>
        <w:numPr>
          <w:ilvl w:val="5"/>
          <w:numId w:val="97"/>
        </w:numPr>
        <w:tabs>
          <w:tab w:val="left" w:pos="680"/>
          <w:tab w:val="left" w:pos="1200"/>
        </w:tabs>
        <w:rPr>
          <w:rFonts w:hint="eastAsia"/>
        </w:rPr>
      </w:pPr>
      <w:r>
        <w:rPr>
          <w:rFonts w:hint="eastAsia"/>
        </w:rPr>
        <w:t>显示水流指示器、压力开关、安全信号阀的工作状态。</w:t>
      </w:r>
    </w:p>
    <w:p>
      <w:pPr>
        <w:pStyle w:val="8"/>
      </w:pPr>
      <w:r>
        <w:rPr>
          <w:rFonts w:hint="eastAsia"/>
        </w:rPr>
        <w:t>水泵的操作方式为就地手动控制，自动控制和远方控制。水泵配电及控制均由系统成套电气控制柜完成。由</w:t>
      </w:r>
      <w:r>
        <w:rPr>
          <w:rFonts w:hint="eastAsia"/>
          <w:lang w:eastAsia="zh-CN"/>
        </w:rPr>
        <w:t>三期变电室</w:t>
      </w:r>
      <w:r>
        <w:rPr>
          <w:rFonts w:hint="eastAsia"/>
        </w:rPr>
        <w:t>为系统成套电气控制柜提供两路380V低压电源。</w:t>
      </w:r>
    </w:p>
    <w:p>
      <w:pPr>
        <w:pStyle w:val="8"/>
      </w:pPr>
      <w:r>
        <w:rPr>
          <w:rFonts w:hint="eastAsia"/>
          <w:lang w:eastAsia="zh-CN"/>
        </w:rPr>
        <w:t>系统成套电气控制柜</w:t>
      </w:r>
      <w:r>
        <w:rPr>
          <w:rFonts w:hint="eastAsia"/>
        </w:rPr>
        <w:t>应具有双路电源</w:t>
      </w:r>
      <w:r>
        <w:rPr>
          <w:rFonts w:hint="eastAsia"/>
          <w:lang w:eastAsia="zh-CN"/>
        </w:rPr>
        <w:t>互投装置</w:t>
      </w:r>
      <w:r>
        <w:rPr>
          <w:rFonts w:hint="eastAsia"/>
        </w:rPr>
        <w:t>，双路电源应能自动及手动切换，设备亦可配有单独的双电源互投柜，应能自动及手动切换，切换时间不应大于</w:t>
      </w:r>
      <w:r>
        <w:t>2s</w:t>
      </w:r>
    </w:p>
    <w:p>
      <w:pPr>
        <w:pStyle w:val="8"/>
        <w:rPr>
          <w:rFonts w:hint="eastAsia"/>
          <w:kern w:val="0"/>
        </w:rPr>
      </w:pPr>
      <w:r>
        <w:rPr>
          <w:rFonts w:hint="eastAsia"/>
        </w:rPr>
        <w:t>系统成套电气控制柜现场安装，防护等级：IP55。</w:t>
      </w:r>
    </w:p>
    <w:p>
      <w:pPr>
        <w:pStyle w:val="8"/>
      </w:pPr>
      <w:r>
        <w:rPr>
          <w:rFonts w:hint="eastAsia"/>
        </w:rPr>
        <w:t>设备应具备手动紧急启动和自动启动两种启动方式。</w:t>
      </w:r>
    </w:p>
    <w:p>
      <w:pPr>
        <w:pStyle w:val="8"/>
      </w:pPr>
      <w:r>
        <w:t>当消火栓的手动报警按钮被启动及发出信号时，消防总控制屏接收到信号</w:t>
      </w:r>
      <w:r>
        <w:rPr>
          <w:rFonts w:hint="eastAsia"/>
        </w:rPr>
        <w:t>并</w:t>
      </w:r>
      <w:r>
        <w:t>确认后，立即启动警铃。</w:t>
      </w:r>
    </w:p>
    <w:p>
      <w:pPr>
        <w:pStyle w:val="8"/>
      </w:pPr>
      <w:r>
        <w:t>当水泵按钮被启动，立即启动消火栓水泵，启动信号应同时输至消防总控制屏。</w:t>
      </w:r>
      <w:r>
        <w:rPr>
          <w:rFonts w:hint="eastAsia"/>
        </w:rPr>
        <w:t>消防泵应采用工频</w:t>
      </w:r>
      <w:r>
        <w:rPr>
          <w:rFonts w:hint="eastAsia"/>
          <w:lang w:eastAsia="zh-CN"/>
        </w:rPr>
        <w:t>及低频</w:t>
      </w:r>
      <w:r>
        <w:rPr>
          <w:rFonts w:hint="eastAsia"/>
        </w:rPr>
        <w:t>方式运行，消防泵启动并达到额定给水参数的时间应在</w:t>
      </w:r>
      <w:r>
        <w:t>30</w:t>
      </w:r>
      <w:r>
        <w:rPr>
          <w:rFonts w:hint="eastAsia"/>
        </w:rPr>
        <w:t>s内。消防泵启动后，退出消防状态时，停泵应用手动操作</w:t>
      </w:r>
      <w:r>
        <w:t>。</w:t>
      </w:r>
    </w:p>
    <w:p>
      <w:pPr>
        <w:pStyle w:val="8"/>
        <w:rPr>
          <w:rFonts w:hint="eastAsia"/>
        </w:rPr>
      </w:pPr>
      <w:r>
        <w:t>同时在消防分区显示屏/总控制屏及彩色图形显示器上会显示出所有设备被启动的状态及信号位置。</w:t>
      </w:r>
    </w:p>
    <w:p>
      <w:pPr>
        <w:pStyle w:val="8"/>
      </w:pPr>
      <w:r>
        <w:rPr>
          <w:rFonts w:hint="eastAsia"/>
          <w:lang w:eastAsia="zh-CN"/>
        </w:rPr>
        <w:t>水</w:t>
      </w:r>
      <w:r>
        <w:rPr>
          <w:rFonts w:hint="eastAsia"/>
        </w:rPr>
        <w:t>泵启动时，自用水系统停止供水；当集水池液位到设定的低液位时，除消防泵外的其他水泵停止工作，以保证足够的消防水量。</w:t>
      </w:r>
    </w:p>
    <w:p>
      <w:pPr>
        <w:pStyle w:val="8"/>
      </w:pPr>
      <w:r>
        <w:t>控制线路应提供选择先后和自动交替设备，将主、副泵交替。</w:t>
      </w:r>
    </w:p>
    <w:p>
      <w:pPr>
        <w:pStyle w:val="8"/>
      </w:pPr>
      <w:r>
        <w:t>提供自动切入设备使其中一个工作泵发生故障时，备用水泵自动切入工作。</w:t>
      </w:r>
    </w:p>
    <w:p>
      <w:pPr>
        <w:pStyle w:val="8"/>
        <w:rPr>
          <w:rFonts w:hint="eastAsia"/>
        </w:rPr>
      </w:pPr>
      <w:r>
        <w:t>系统内应装有工作／备用和自动／停止／手动的选择切换。</w:t>
      </w:r>
    </w:p>
    <w:p>
      <w:pPr>
        <w:pStyle w:val="6"/>
        <w:rPr>
          <w:rFonts w:hint="eastAsia"/>
        </w:rPr>
      </w:pPr>
      <w:r>
        <w:rPr>
          <w:rFonts w:hint="eastAsia"/>
        </w:rPr>
        <w:t>出厂检验</w:t>
      </w:r>
    </w:p>
    <w:p>
      <w:pPr>
        <w:pStyle w:val="8"/>
        <w:rPr>
          <w:rFonts w:hint="eastAsia"/>
        </w:rPr>
      </w:pPr>
      <w:r>
        <w:t>管路系统的试验压力应为最大工作压力的1.5倍，且不得小于0.6MPa, 大于2.4MPa。不允许有任何泄漏。</w:t>
      </w:r>
    </w:p>
    <w:p>
      <w:pPr>
        <w:pStyle w:val="8"/>
        <w:rPr>
          <w:rFonts w:hint="eastAsia"/>
        </w:rPr>
      </w:pPr>
      <w:r>
        <w:t>每套隔膜</w:t>
      </w:r>
      <w:r>
        <w:rPr>
          <w:rFonts w:hint="eastAsia"/>
        </w:rPr>
        <w:t>稳</w:t>
      </w:r>
      <w:r>
        <w:t>压给水设备均应检查试验合格，并附有产品合格证和使用说明书方可出厂</w:t>
      </w:r>
    </w:p>
    <w:p>
      <w:pPr>
        <w:pStyle w:val="8"/>
      </w:pPr>
      <w:r>
        <w:rPr>
          <w:rFonts w:hint="eastAsia"/>
        </w:rPr>
        <w:t>材料试验应包括化学成分试验、机械性能试验、无损试验等</w:t>
      </w:r>
    </w:p>
    <w:p>
      <w:pPr>
        <w:pStyle w:val="8"/>
        <w:rPr>
          <w:rFonts w:hint="eastAsia"/>
        </w:rPr>
      </w:pPr>
      <w:r>
        <w:rPr>
          <w:rFonts w:hint="eastAsia"/>
        </w:rPr>
        <w:t>泵的试验和检查包括：</w:t>
      </w:r>
    </w:p>
    <w:p>
      <w:pPr>
        <w:pStyle w:val="36"/>
        <w:numPr>
          <w:ilvl w:val="5"/>
          <w:numId w:val="98"/>
        </w:numPr>
        <w:rPr>
          <w:rFonts w:hint="eastAsia"/>
        </w:rPr>
      </w:pPr>
      <w:r>
        <w:rPr>
          <w:rFonts w:hint="eastAsia"/>
        </w:rPr>
        <w:t>水压试验</w:t>
      </w:r>
    </w:p>
    <w:p>
      <w:pPr>
        <w:pStyle w:val="37"/>
        <w:numPr>
          <w:ilvl w:val="3"/>
          <w:numId w:val="95"/>
        </w:numPr>
        <w:tabs>
          <w:tab w:val="left" w:pos="1661"/>
        </w:tabs>
        <w:spacing w:before="240" w:line="0" w:lineRule="atLeast"/>
        <w:ind w:left="1650" w:hanging="397"/>
      </w:pPr>
      <w:r>
        <w:rPr>
          <w:rFonts w:hint="eastAsia"/>
        </w:rPr>
        <w:t>对承压零件</w:t>
      </w:r>
      <w:r>
        <w:t>(</w:t>
      </w:r>
      <w:r>
        <w:rPr>
          <w:rFonts w:hint="eastAsia"/>
        </w:rPr>
        <w:t>泵体、泵盖和密封端盖，包括它们的紧固件在内</w:t>
      </w:r>
      <w:r>
        <w:t>)</w:t>
      </w:r>
      <w:r>
        <w:rPr>
          <w:rFonts w:hint="eastAsia"/>
        </w:rPr>
        <w:t>应进行试验压力为最高工作压力</w:t>
      </w:r>
      <w:r>
        <w:t>1.</w:t>
      </w:r>
      <w:r>
        <w:rPr>
          <w:rFonts w:hint="eastAsia"/>
        </w:rPr>
        <w:t>1倍的水压试验。试验应使用冷清水进行，保持压力的时间至少为</w:t>
      </w:r>
      <w:r>
        <w:t>1</w:t>
      </w:r>
      <w:r>
        <w:rPr>
          <w:rFonts w:hint="eastAsia"/>
        </w:rPr>
        <w:t>5分钟，无可见泄漏。堵塞泵的过流部件的所有开口，逐步对泵壳加压至最大工作压力与进口最大允许正压的压力之和的2倍或2.0MPa，两者取大者，在此压力下持续1min</w:t>
      </w:r>
      <w:r>
        <w:rPr>
          <w:rFonts w:hint="eastAsia" w:ascii="宋体" w:hAnsi="宋体"/>
        </w:rPr>
        <w:t>±</w:t>
      </w:r>
      <w:r>
        <w:rPr>
          <w:rFonts w:hint="eastAsia"/>
        </w:rPr>
        <w:t>0.2min，试验过程中泵壳不应有影响性能的变形和裂纹等缺陷。以</w:t>
      </w:r>
    </w:p>
    <w:p>
      <w:pPr>
        <w:pStyle w:val="37"/>
        <w:numPr>
          <w:ilvl w:val="3"/>
          <w:numId w:val="95"/>
        </w:numPr>
        <w:tabs>
          <w:tab w:val="left" w:pos="1661"/>
        </w:tabs>
        <w:spacing w:before="240" w:line="0" w:lineRule="atLeast"/>
        <w:ind w:left="1650" w:hanging="397"/>
      </w:pPr>
      <w:r>
        <w:rPr>
          <w:rFonts w:hint="eastAsia"/>
        </w:rPr>
        <w:t>对各类辅助管路的试验压力至少应为其最高工作压力的</w:t>
      </w:r>
      <w:r>
        <w:t>1.5</w:t>
      </w:r>
      <w:r>
        <w:rPr>
          <w:rFonts w:hint="eastAsia"/>
        </w:rPr>
        <w:t>倍，并不应低于1</w:t>
      </w:r>
      <w:r>
        <w:t>.</w:t>
      </w:r>
      <w:r>
        <w:rPr>
          <w:rFonts w:hint="eastAsia"/>
        </w:rPr>
        <w:t>4</w:t>
      </w:r>
      <w:r>
        <w:t>MPa</w:t>
      </w:r>
      <w:r>
        <w:rPr>
          <w:rFonts w:hint="eastAsia"/>
        </w:rPr>
        <w:t>，持续15分钟，应无泄漏、宏观变形或损坏。气压试验的介质宜采用空气或氮气。气压严密性试验的试验压力应为0</w:t>
      </w:r>
      <w:r>
        <w:t>.</w:t>
      </w:r>
      <w:r>
        <w:rPr>
          <w:rFonts w:hint="eastAsia"/>
        </w:rPr>
        <w:t>28</w:t>
      </w:r>
      <w:r>
        <w:t>MPa</w:t>
      </w:r>
      <w:r>
        <w:rPr>
          <w:rFonts w:hint="eastAsia"/>
        </w:rPr>
        <w:t>，且稳压24</w:t>
      </w:r>
      <w:r>
        <w:t>h</w:t>
      </w:r>
      <w:r>
        <w:rPr>
          <w:rFonts w:hint="eastAsia"/>
        </w:rPr>
        <w:t>，压力降不应大于0</w:t>
      </w:r>
      <w:r>
        <w:t>.</w:t>
      </w:r>
      <w:r>
        <w:rPr>
          <w:rFonts w:hint="eastAsia"/>
        </w:rPr>
        <w:t>01</w:t>
      </w:r>
      <w:r>
        <w:t>MPa</w:t>
      </w:r>
      <w:r>
        <w:rPr>
          <w:rFonts w:hint="eastAsia"/>
        </w:rPr>
        <w:t>。</w:t>
      </w:r>
    </w:p>
    <w:p>
      <w:pPr>
        <w:pStyle w:val="36"/>
        <w:numPr>
          <w:ilvl w:val="5"/>
          <w:numId w:val="98"/>
        </w:numPr>
      </w:pPr>
      <w:r>
        <w:rPr>
          <w:rFonts w:hint="eastAsia"/>
        </w:rPr>
        <w:t>性能试验</w:t>
      </w:r>
    </w:p>
    <w:p>
      <w:pPr>
        <w:pStyle w:val="37"/>
        <w:numPr>
          <w:ilvl w:val="3"/>
          <w:numId w:val="95"/>
        </w:numPr>
        <w:tabs>
          <w:tab w:val="left" w:pos="1661"/>
        </w:tabs>
        <w:spacing w:before="240" w:line="0" w:lineRule="atLeast"/>
        <w:ind w:left="1650" w:hanging="397"/>
      </w:pPr>
      <w:r>
        <w:rPr>
          <w:rFonts w:hint="eastAsia"/>
        </w:rPr>
        <w:t>水力试验及</w:t>
      </w:r>
      <w:r>
        <w:t>NPSH</w:t>
      </w:r>
      <w:r>
        <w:rPr>
          <w:rFonts w:hint="eastAsia"/>
        </w:rPr>
        <w:t>试验应按照</w:t>
      </w:r>
      <w:r>
        <w:t>GB/T3216-</w:t>
      </w:r>
      <w:r>
        <w:rPr>
          <w:rFonts w:hint="eastAsia"/>
        </w:rPr>
        <w:t>2005、</w:t>
      </w:r>
      <w:r>
        <w:t>GB/T13006-1991</w:t>
      </w:r>
      <w:r>
        <w:rPr>
          <w:rFonts w:hint="eastAsia"/>
        </w:rPr>
        <w:t>标准进行</w:t>
      </w:r>
    </w:p>
    <w:p>
      <w:pPr>
        <w:pStyle w:val="37"/>
        <w:numPr>
          <w:ilvl w:val="3"/>
          <w:numId w:val="95"/>
        </w:numPr>
        <w:tabs>
          <w:tab w:val="left" w:pos="1661"/>
        </w:tabs>
        <w:spacing w:before="240" w:line="0" w:lineRule="atLeast"/>
        <w:ind w:left="1650" w:hanging="397"/>
      </w:pPr>
      <w:r>
        <w:rPr>
          <w:rFonts w:hint="eastAsia"/>
        </w:rPr>
        <w:t>振动试验按照JB/T 8097-1999标准进行</w:t>
      </w:r>
    </w:p>
    <w:p>
      <w:pPr>
        <w:pStyle w:val="37"/>
        <w:numPr>
          <w:ilvl w:val="3"/>
          <w:numId w:val="95"/>
        </w:numPr>
        <w:tabs>
          <w:tab w:val="left" w:pos="1661"/>
        </w:tabs>
        <w:spacing w:before="240" w:line="0" w:lineRule="atLeast"/>
        <w:ind w:left="1650" w:hanging="397"/>
      </w:pPr>
      <w:r>
        <w:rPr>
          <w:rFonts w:hint="eastAsia"/>
        </w:rPr>
        <w:t>噪声试验按照JB/T 8098-1999标准进行</w:t>
      </w:r>
    </w:p>
    <w:p>
      <w:pPr>
        <w:pStyle w:val="37"/>
        <w:numPr>
          <w:ilvl w:val="3"/>
          <w:numId w:val="95"/>
        </w:numPr>
        <w:tabs>
          <w:tab w:val="left" w:pos="1661"/>
        </w:tabs>
        <w:spacing w:before="240" w:line="0" w:lineRule="atLeast"/>
        <w:ind w:left="1650" w:hanging="397"/>
      </w:pPr>
      <w:r>
        <w:rPr>
          <w:rFonts w:hint="eastAsia"/>
        </w:rPr>
        <w:t>检测轴承温度</w:t>
      </w:r>
      <w:r>
        <w:t>&lt;</w:t>
      </w:r>
      <w:r>
        <w:rPr>
          <w:rFonts w:hint="eastAsia"/>
        </w:rPr>
        <w:t>75</w:t>
      </w:r>
      <w:r>
        <w:rPr/>
        <w:sym w:font="Symbol" w:char="F0B0"/>
      </w:r>
      <w:r>
        <w:t>C</w:t>
      </w:r>
    </w:p>
    <w:p>
      <w:pPr>
        <w:pStyle w:val="37"/>
        <w:numPr>
          <w:ilvl w:val="3"/>
          <w:numId w:val="95"/>
        </w:numPr>
        <w:tabs>
          <w:tab w:val="left" w:pos="1661"/>
        </w:tabs>
        <w:spacing w:before="240" w:line="0" w:lineRule="atLeast"/>
        <w:ind w:left="1650" w:hanging="397"/>
      </w:pPr>
      <w:r>
        <w:rPr>
          <w:rFonts w:hint="eastAsia"/>
        </w:rPr>
        <w:t>检测密封的泄漏</w:t>
      </w:r>
    </w:p>
    <w:p>
      <w:pPr>
        <w:pStyle w:val="36"/>
        <w:numPr>
          <w:ilvl w:val="5"/>
          <w:numId w:val="98"/>
        </w:numPr>
      </w:pPr>
      <w:r>
        <w:rPr>
          <w:rFonts w:hint="eastAsia"/>
        </w:rPr>
        <w:t>检查</w:t>
      </w:r>
    </w:p>
    <w:p>
      <w:pPr>
        <w:pStyle w:val="37"/>
        <w:numPr>
          <w:ilvl w:val="3"/>
          <w:numId w:val="95"/>
        </w:numPr>
        <w:tabs>
          <w:tab w:val="left" w:pos="1661"/>
        </w:tabs>
        <w:spacing w:before="240" w:line="0" w:lineRule="atLeast"/>
        <w:ind w:left="1650" w:hanging="397"/>
      </w:pPr>
      <w:r>
        <w:rPr>
          <w:rFonts w:hint="eastAsia"/>
        </w:rPr>
        <w:t>装配前零部件的检验</w:t>
      </w:r>
    </w:p>
    <w:p>
      <w:pPr>
        <w:pStyle w:val="37"/>
        <w:numPr>
          <w:ilvl w:val="3"/>
          <w:numId w:val="95"/>
        </w:numPr>
        <w:tabs>
          <w:tab w:val="left" w:pos="1661"/>
        </w:tabs>
        <w:spacing w:before="240" w:line="0" w:lineRule="atLeast"/>
        <w:ind w:left="1650" w:hanging="397"/>
      </w:pPr>
      <w:r>
        <w:rPr>
          <w:rFonts w:hint="eastAsia"/>
        </w:rPr>
        <w:t>经试验运转后泵体和密封环的内部检验</w:t>
      </w:r>
    </w:p>
    <w:p>
      <w:pPr>
        <w:pStyle w:val="37"/>
        <w:numPr>
          <w:ilvl w:val="3"/>
          <w:numId w:val="95"/>
        </w:numPr>
        <w:tabs>
          <w:tab w:val="left" w:pos="1661"/>
        </w:tabs>
        <w:spacing w:before="240" w:line="0" w:lineRule="atLeast"/>
        <w:ind w:left="1650" w:hanging="397"/>
      </w:pPr>
      <w:r>
        <w:rPr>
          <w:rFonts w:hint="eastAsia"/>
        </w:rPr>
        <w:t>安装尺寸的检查</w:t>
      </w:r>
    </w:p>
    <w:p>
      <w:pPr>
        <w:pStyle w:val="37"/>
        <w:numPr>
          <w:ilvl w:val="3"/>
          <w:numId w:val="95"/>
        </w:numPr>
        <w:tabs>
          <w:tab w:val="left" w:pos="1661"/>
        </w:tabs>
        <w:spacing w:before="240" w:line="0" w:lineRule="atLeast"/>
        <w:ind w:left="1650" w:hanging="397"/>
      </w:pPr>
      <w:r>
        <w:rPr>
          <w:rFonts w:hint="eastAsia"/>
        </w:rPr>
        <w:t>辅助管路和其它附件的检查</w:t>
      </w:r>
    </w:p>
    <w:p>
      <w:pPr>
        <w:pStyle w:val="37"/>
        <w:numPr>
          <w:ilvl w:val="3"/>
          <w:numId w:val="95"/>
        </w:numPr>
        <w:tabs>
          <w:tab w:val="left" w:pos="1661"/>
        </w:tabs>
        <w:spacing w:before="240" w:line="0" w:lineRule="atLeast"/>
        <w:ind w:left="1650" w:hanging="397"/>
      </w:pPr>
      <w:r>
        <w:rPr>
          <w:rFonts w:hint="eastAsia"/>
        </w:rPr>
        <w:t>整机外观检查</w:t>
      </w:r>
      <w:r>
        <w:t>(</w:t>
      </w:r>
      <w:r>
        <w:rPr>
          <w:rFonts w:hint="eastAsia"/>
        </w:rPr>
        <w:t>包括铭牌数据、表面油漆、装箱单填写正确与否、随机文件及附件</w:t>
      </w:r>
      <w:r>
        <w:t>)</w:t>
      </w:r>
    </w:p>
    <w:p>
      <w:pPr>
        <w:pStyle w:val="37"/>
        <w:numPr>
          <w:ilvl w:val="3"/>
          <w:numId w:val="95"/>
        </w:numPr>
        <w:tabs>
          <w:tab w:val="left" w:pos="1661"/>
        </w:tabs>
        <w:spacing w:before="240" w:line="0" w:lineRule="atLeast"/>
        <w:ind w:left="1650" w:hanging="397"/>
        <w:rPr>
          <w:rFonts w:hint="eastAsia"/>
        </w:rPr>
      </w:pPr>
      <w:r>
        <w:rPr>
          <w:rFonts w:hint="eastAsia"/>
        </w:rPr>
        <w:t>运行状态检查</w:t>
      </w:r>
      <w:r>
        <w:t>(</w:t>
      </w:r>
      <w:r>
        <w:rPr>
          <w:rFonts w:hint="eastAsia"/>
        </w:rPr>
        <w:t>包括转向</w:t>
      </w:r>
      <w:r>
        <w:t>)</w:t>
      </w:r>
    </w:p>
    <w:p>
      <w:pPr>
        <w:pStyle w:val="6"/>
        <w:rPr>
          <w:rFonts w:hint="eastAsia"/>
        </w:rPr>
      </w:pPr>
      <w:r>
        <w:rPr>
          <w:rFonts w:hint="eastAsia"/>
        </w:rPr>
        <w:t>调试和试车</w:t>
      </w:r>
    </w:p>
    <w:p>
      <w:pPr>
        <w:pStyle w:val="8"/>
        <w:rPr>
          <w:rFonts w:hint="eastAsia"/>
        </w:rPr>
      </w:pPr>
      <w:r>
        <w:rPr>
          <w:rFonts w:hint="eastAsia"/>
        </w:rPr>
        <w:t>泵的试运转前的检查应符合下列要求：</w:t>
      </w:r>
    </w:p>
    <w:p>
      <w:pPr>
        <w:pStyle w:val="36"/>
        <w:numPr>
          <w:ilvl w:val="5"/>
          <w:numId w:val="99"/>
        </w:numPr>
        <w:rPr>
          <w:rFonts w:hint="eastAsia"/>
        </w:rPr>
      </w:pPr>
      <w:r>
        <w:rPr>
          <w:rFonts w:hint="eastAsia"/>
        </w:rPr>
        <w:t>驱动电机的转向应与泵的转向相符；</w:t>
      </w:r>
    </w:p>
    <w:p>
      <w:pPr>
        <w:pStyle w:val="36"/>
        <w:numPr>
          <w:ilvl w:val="5"/>
          <w:numId w:val="99"/>
        </w:numPr>
        <w:rPr>
          <w:rFonts w:hint="eastAsia"/>
        </w:rPr>
      </w:pPr>
      <w:r>
        <w:rPr>
          <w:rFonts w:hint="eastAsia"/>
        </w:rPr>
        <w:t>各固定连接部位应无松动；</w:t>
      </w:r>
    </w:p>
    <w:p>
      <w:pPr>
        <w:pStyle w:val="36"/>
        <w:numPr>
          <w:ilvl w:val="5"/>
          <w:numId w:val="99"/>
        </w:numPr>
        <w:rPr>
          <w:rFonts w:hint="eastAsia"/>
        </w:rPr>
      </w:pPr>
      <w:r>
        <w:rPr>
          <w:rFonts w:hint="eastAsia"/>
        </w:rPr>
        <w:t>各润滑部位已按要求加注了润滑剂；</w:t>
      </w:r>
    </w:p>
    <w:p>
      <w:pPr>
        <w:pStyle w:val="36"/>
        <w:numPr>
          <w:ilvl w:val="5"/>
          <w:numId w:val="99"/>
        </w:numPr>
        <w:rPr>
          <w:rFonts w:hint="eastAsia"/>
        </w:rPr>
      </w:pPr>
      <w:r>
        <w:rPr>
          <w:rFonts w:hint="eastAsia"/>
        </w:rPr>
        <w:t>各指示仪表、安全保护装置及电控装置均应灵敏、准确、可靠；</w:t>
      </w:r>
    </w:p>
    <w:p>
      <w:pPr>
        <w:pStyle w:val="36"/>
        <w:numPr>
          <w:ilvl w:val="5"/>
          <w:numId w:val="99"/>
        </w:numPr>
        <w:rPr>
          <w:rFonts w:hint="eastAsia"/>
        </w:rPr>
      </w:pPr>
      <w:r>
        <w:rPr>
          <w:rFonts w:hint="eastAsia"/>
        </w:rPr>
        <w:t>盘车灵活、无异常现象。</w:t>
      </w:r>
    </w:p>
    <w:p>
      <w:pPr>
        <w:pStyle w:val="8"/>
        <w:rPr>
          <w:rFonts w:hint="eastAsia"/>
        </w:rPr>
      </w:pPr>
      <w:r>
        <w:rPr>
          <w:rFonts w:hint="eastAsia"/>
        </w:rPr>
        <w:t>泵试运转时应符合下列要求：</w:t>
      </w:r>
    </w:p>
    <w:p>
      <w:pPr>
        <w:pStyle w:val="36"/>
        <w:numPr>
          <w:ilvl w:val="5"/>
          <w:numId w:val="99"/>
        </w:numPr>
      </w:pPr>
      <w:r>
        <w:rPr>
          <w:rFonts w:hint="eastAsia"/>
        </w:rPr>
        <w:t>各固定连接部位不应有松动。</w:t>
      </w:r>
    </w:p>
    <w:p>
      <w:pPr>
        <w:pStyle w:val="36"/>
        <w:numPr>
          <w:ilvl w:val="5"/>
          <w:numId w:val="99"/>
        </w:numPr>
      </w:pPr>
      <w:r>
        <w:rPr>
          <w:rFonts w:hint="eastAsia"/>
        </w:rPr>
        <w:t>运转时应平稳、无异常声音、振动和温升，电机电流正常。</w:t>
      </w:r>
    </w:p>
    <w:p>
      <w:pPr>
        <w:pStyle w:val="36"/>
        <w:numPr>
          <w:ilvl w:val="5"/>
          <w:numId w:val="99"/>
        </w:numPr>
        <w:rPr>
          <w:rFonts w:hint="eastAsia"/>
        </w:rPr>
      </w:pPr>
      <w:r>
        <w:rPr>
          <w:rFonts w:hint="eastAsia"/>
        </w:rPr>
        <w:t>检测电机安全保护措施须符合相关要求。</w:t>
      </w:r>
    </w:p>
    <w:p>
      <w:pPr>
        <w:pStyle w:val="36"/>
        <w:numPr>
          <w:ilvl w:val="5"/>
          <w:numId w:val="99"/>
        </w:numPr>
        <w:rPr>
          <w:rFonts w:hint="eastAsia"/>
        </w:rPr>
      </w:pPr>
      <w:r>
        <w:rPr>
          <w:rFonts w:hint="eastAsia"/>
        </w:rPr>
        <w:t>附属系统的运转正常，管道连接应牢固无渗漏。</w:t>
      </w:r>
    </w:p>
    <w:p>
      <w:pPr>
        <w:pStyle w:val="36"/>
        <w:numPr>
          <w:ilvl w:val="5"/>
          <w:numId w:val="99"/>
        </w:numPr>
        <w:rPr>
          <w:rFonts w:hint="eastAsia"/>
        </w:rPr>
      </w:pPr>
      <w:r>
        <w:rPr>
          <w:rFonts w:hint="eastAsia"/>
        </w:rPr>
        <w:t>滑动轴承的温度不应大于70</w:t>
      </w:r>
      <w:r>
        <w:rPr>
          <w:rFonts w:hint="eastAsia"/>
        </w:rPr>
        <w:sym w:font="Symbol" w:char="F0B0"/>
      </w:r>
      <w:r>
        <w:rPr>
          <w:rFonts w:hint="eastAsia"/>
        </w:rPr>
        <w:t>C；滚动轴承的温度不应大于80</w:t>
      </w:r>
      <w:r>
        <w:rPr>
          <w:rFonts w:hint="eastAsia"/>
        </w:rPr>
        <w:sym w:font="Symbol" w:char="F0B0"/>
      </w:r>
      <w:r>
        <w:rPr>
          <w:rFonts w:hint="eastAsia"/>
        </w:rPr>
        <w:t>C.</w:t>
      </w:r>
    </w:p>
    <w:p>
      <w:pPr>
        <w:pStyle w:val="36"/>
        <w:numPr>
          <w:ilvl w:val="5"/>
          <w:numId w:val="99"/>
        </w:numPr>
        <w:rPr>
          <w:rFonts w:hint="eastAsia"/>
        </w:rPr>
      </w:pPr>
      <w:r>
        <w:rPr>
          <w:rFonts w:hint="eastAsia"/>
        </w:rPr>
        <w:t>泵的安全保护和电控装置及各部分仪表均应灵敏、正确、可靠。</w:t>
      </w:r>
    </w:p>
    <w:p>
      <w:pPr>
        <w:pStyle w:val="36"/>
        <w:numPr>
          <w:ilvl w:val="5"/>
          <w:numId w:val="99"/>
        </w:numPr>
        <w:rPr>
          <w:rFonts w:hint="eastAsia"/>
        </w:rPr>
      </w:pPr>
      <w:r>
        <w:rPr>
          <w:rFonts w:hint="eastAsia"/>
        </w:rPr>
        <w:t>机械密封的泄漏量不应大于5mL/h。</w:t>
      </w:r>
    </w:p>
    <w:p>
      <w:pPr>
        <w:pStyle w:val="36"/>
        <w:numPr>
          <w:ilvl w:val="5"/>
          <w:numId w:val="99"/>
        </w:numPr>
        <w:rPr>
          <w:rFonts w:hint="eastAsia"/>
        </w:rPr>
      </w:pPr>
      <w:r>
        <w:rPr>
          <w:rFonts w:hint="eastAsia"/>
        </w:rPr>
        <w:t>带负荷运行（根据池中容量可进行调整），检测水泵的流量、扬程及效率须符合设计要求。</w:t>
      </w:r>
    </w:p>
    <w:p>
      <w:pPr>
        <w:pStyle w:val="36"/>
        <w:numPr>
          <w:ilvl w:val="5"/>
          <w:numId w:val="99"/>
        </w:numPr>
        <w:rPr>
          <w:rFonts w:hint="eastAsia"/>
        </w:rPr>
      </w:pPr>
      <w:r>
        <w:rPr>
          <w:rFonts w:hint="eastAsia"/>
        </w:rPr>
        <w:t>当调试和试车完成后，现场模拟火灾报警信号，观察消防水泵动作情况，切换到另一路电源或备用电源，并记录水泵动作时间。</w:t>
      </w:r>
    </w:p>
    <w:p>
      <w:pPr>
        <w:pStyle w:val="36"/>
        <w:numPr>
          <w:ilvl w:val="5"/>
          <w:numId w:val="99"/>
        </w:numPr>
        <w:rPr>
          <w:rFonts w:hint="eastAsia"/>
          <w:lang w:eastAsia="zh-CN"/>
        </w:rPr>
      </w:pPr>
      <w:r>
        <w:rPr>
          <w:rFonts w:hint="eastAsia"/>
        </w:rPr>
        <w:t>现场检验完成后，由卖方提供相关资料并负责办理相关部门的消防验收手续，所发生的相关费用应包含在设备投标报价中</w:t>
      </w:r>
      <w:r>
        <w:rPr>
          <w:rFonts w:hint="eastAsia"/>
          <w:lang w:eastAsia="zh-CN"/>
        </w:rPr>
        <w:t>。</w:t>
      </w:r>
    </w:p>
    <w:p>
      <w:pPr>
        <w:pStyle w:val="5"/>
      </w:pPr>
      <w:bookmarkStart w:id="252" w:name="_Toc496622450"/>
      <w:r>
        <w:rPr>
          <w:rFonts w:hint="eastAsia"/>
        </w:rPr>
        <w:t>自用水</w:t>
      </w:r>
      <w:r>
        <w:t>泵</w:t>
      </w:r>
      <w:r>
        <w:rPr>
          <w:rFonts w:hint="eastAsia"/>
        </w:rPr>
        <w:t>二</w:t>
      </w:r>
      <w:r>
        <w:t>及稳压罐</w:t>
      </w:r>
      <w:bookmarkEnd w:id="252"/>
    </w:p>
    <w:p>
      <w:pPr>
        <w:pStyle w:val="6"/>
        <w:rPr>
          <w:rFonts w:hint="eastAsia"/>
          <w:lang w:eastAsia="zh-CN"/>
        </w:rPr>
      </w:pPr>
      <w:r>
        <w:t>工作范围</w:t>
      </w:r>
    </w:p>
    <w:p>
      <w:pPr>
        <w:pStyle w:val="8"/>
        <w:rPr>
          <w:rFonts w:hint="eastAsia"/>
          <w:lang w:eastAsia="zh-CN"/>
        </w:rPr>
      </w:pPr>
      <w:r>
        <w:t>本节规定了自用水泵的规格、构造、零部件材质、制造、出厂检验、供货、调试及试运行的技术要求。</w:t>
      </w:r>
    </w:p>
    <w:p>
      <w:pPr>
        <w:pStyle w:val="8"/>
        <w:rPr>
          <w:rFonts w:hint="eastAsia"/>
          <w:lang w:eastAsia="zh-CN"/>
        </w:rPr>
      </w:pPr>
      <w:r>
        <w:t>设备主要组成部分及供货范围（不限于此）：</w:t>
      </w:r>
    </w:p>
    <w:p>
      <w:pPr>
        <w:pStyle w:val="36"/>
      </w:pPr>
      <w:r>
        <w:t>装配完整的</w:t>
      </w:r>
      <w:r>
        <w:rPr>
          <w:lang w:val="en-GB"/>
        </w:rPr>
        <w:t>自用水泵</w:t>
      </w:r>
      <w:r>
        <w:t>（包括电机、泵体、叶轮、机械密封、耐磨板等）</w:t>
      </w:r>
    </w:p>
    <w:p>
      <w:pPr>
        <w:pStyle w:val="36"/>
        <w:rPr>
          <w:rFonts w:hint="eastAsia"/>
          <w:lang w:eastAsia="zh-CN"/>
        </w:rPr>
      </w:pPr>
      <w:r>
        <w:t>稳压罐</w:t>
      </w:r>
    </w:p>
    <w:p>
      <w:pPr>
        <w:pStyle w:val="36"/>
        <w:rPr>
          <w:rFonts w:hint="eastAsia"/>
          <w:lang w:eastAsia="zh-CN"/>
        </w:rPr>
      </w:pPr>
      <w:r>
        <w:rPr>
          <w:rFonts w:hint="eastAsia"/>
        </w:rPr>
        <w:t>变频器</w:t>
      </w:r>
    </w:p>
    <w:p>
      <w:pPr>
        <w:pStyle w:val="36"/>
        <w:rPr>
          <w:rFonts w:hint="eastAsia"/>
          <w:lang w:eastAsia="zh-CN"/>
        </w:rPr>
      </w:pPr>
      <w:r>
        <w:t>电缆（至按钮箱）及保护套、接头、紧固件</w:t>
      </w:r>
    </w:p>
    <w:p>
      <w:pPr>
        <w:pStyle w:val="36"/>
        <w:rPr>
          <w:rFonts w:hint="eastAsia"/>
          <w:lang w:eastAsia="zh-CN"/>
        </w:rPr>
      </w:pPr>
      <w:r>
        <w:t>现场按钮接线箱 ，内置防渗漏保护器</w:t>
      </w:r>
    </w:p>
    <w:p>
      <w:pPr>
        <w:pStyle w:val="36"/>
        <w:rPr>
          <w:lang w:eastAsia="zh-CN"/>
        </w:rPr>
      </w:pPr>
      <w:r>
        <w:t>所有连接附件、化学地脚螺栓</w:t>
      </w:r>
    </w:p>
    <w:p>
      <w:pPr>
        <w:pStyle w:val="6"/>
      </w:pPr>
      <w:r>
        <w:rPr>
          <w:lang w:eastAsia="zh-CN"/>
        </w:rPr>
        <w:t>现场</w:t>
      </w:r>
      <w:r>
        <w:t>条件</w:t>
      </w:r>
      <w:r>
        <w:rPr>
          <w:lang w:eastAsia="zh-CN"/>
        </w:rPr>
        <w:t>和</w:t>
      </w:r>
      <w:r>
        <w:t>技术性能</w:t>
      </w:r>
    </w:p>
    <w:p>
      <w:pPr>
        <w:pStyle w:val="8"/>
      </w:pPr>
      <w:r>
        <w:rPr>
          <w:lang w:eastAsia="zh-CN"/>
        </w:rPr>
        <w:t>现场</w:t>
      </w:r>
      <w:r>
        <w:t>条件</w:t>
      </w:r>
    </w:p>
    <w:tbl>
      <w:tblPr>
        <w:tblStyle w:val="19"/>
        <w:tblW w:w="7755"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设备编号</w:t>
            </w:r>
          </w:p>
        </w:tc>
        <w:tc>
          <w:tcPr>
            <w:tcW w:w="3969" w:type="dxa"/>
            <w:vAlign w:val="top"/>
          </w:tcPr>
          <w:p>
            <w:pPr>
              <w:widowControl w:val="0"/>
              <w:spacing w:before="120"/>
            </w:pPr>
            <w:r>
              <w:t>SPB-PCF201/203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数量</w:t>
            </w:r>
          </w:p>
        </w:tc>
        <w:tc>
          <w:tcPr>
            <w:tcW w:w="3969" w:type="dxa"/>
            <w:vAlign w:val="top"/>
          </w:tcPr>
          <w:p>
            <w:pPr>
              <w:widowControl w:val="0"/>
              <w:spacing w:before="120"/>
            </w:pPr>
            <w:r>
              <w:rPr>
                <w:rFonts w:hint="eastAsia"/>
              </w:rPr>
              <w:t>2</w:t>
            </w:r>
            <w:r>
              <w:t>套</w:t>
            </w:r>
            <w:r>
              <w:rPr>
                <w:rFonts w:hint="eastAsia"/>
              </w:rPr>
              <w:t>（1</w:t>
            </w:r>
            <w:r>
              <w:t>用1备，全部变频控制）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环境温度</w:t>
            </w:r>
          </w:p>
        </w:tc>
        <w:tc>
          <w:tcPr>
            <w:tcW w:w="3969" w:type="dxa"/>
            <w:vAlign w:val="top"/>
          </w:tcPr>
          <w:p>
            <w:pPr>
              <w:widowControl w:val="0"/>
              <w:spacing w:before="120"/>
            </w:pPr>
            <w:r>
              <w:t>10~40</w:t>
            </w:r>
            <w:r>
              <w:rPr/>
              <w:sym w:font="Symbol" w:char="F0B0"/>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海拔高度</w:t>
            </w:r>
          </w:p>
        </w:tc>
        <w:tc>
          <w:tcPr>
            <w:tcW w:w="3969" w:type="dxa"/>
            <w:vAlign w:val="top"/>
          </w:tcPr>
          <w:p>
            <w:pPr>
              <w:widowControl w:val="0"/>
              <w:spacing w:before="120"/>
            </w:pPr>
            <w:r>
              <w:t>~</w:t>
            </w:r>
            <w:r>
              <w:rPr>
                <w:rFonts w:hint="eastAsia"/>
              </w:rPr>
              <w:t>65</w:t>
            </w:r>
            <w: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介质</w:t>
            </w:r>
          </w:p>
        </w:tc>
        <w:tc>
          <w:tcPr>
            <w:tcW w:w="3969" w:type="dxa"/>
            <w:vAlign w:val="top"/>
          </w:tcPr>
          <w:p>
            <w:pPr>
              <w:widowControl w:val="0"/>
              <w:spacing w:before="120"/>
            </w:pPr>
            <w:r>
              <w:rPr>
                <w:rFonts w:hint="eastAsia"/>
              </w:rPr>
              <w:t>次氯酸钠接触池出水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pH</w:t>
            </w:r>
          </w:p>
        </w:tc>
        <w:tc>
          <w:tcPr>
            <w:tcW w:w="3969" w:type="dxa"/>
            <w:vAlign w:val="top"/>
          </w:tcPr>
          <w:p>
            <w:pPr>
              <w:widowControl w:val="0"/>
              <w:spacing w:before="120"/>
            </w:pPr>
            <w: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介质温度</w:t>
            </w:r>
          </w:p>
        </w:tc>
        <w:tc>
          <w:tcPr>
            <w:tcW w:w="3969" w:type="dxa"/>
            <w:vAlign w:val="top"/>
          </w:tcPr>
          <w:p>
            <w:pPr>
              <w:widowControl w:val="0"/>
              <w:spacing w:before="120"/>
            </w:pPr>
            <w:r>
              <w:t>14～25</w:t>
            </w:r>
            <w:r>
              <w:rPr/>
              <w:sym w:font="Symbol" w:char="F0B0"/>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介质密度</w:t>
            </w:r>
          </w:p>
        </w:tc>
        <w:tc>
          <w:tcPr>
            <w:tcW w:w="3969" w:type="dxa"/>
            <w:vAlign w:val="top"/>
          </w:tcPr>
          <w:p>
            <w:pPr>
              <w:widowControl w:val="0"/>
              <w:spacing w:before="120"/>
            </w:pPr>
            <w:r>
              <w:t>1000kg/m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稳压罐</w:t>
            </w:r>
          </w:p>
        </w:tc>
        <w:tc>
          <w:tcPr>
            <w:tcW w:w="3969" w:type="dxa"/>
            <w:vAlign w:val="top"/>
          </w:tcPr>
          <w:p>
            <w:pPr>
              <w:widowControl w:val="0"/>
              <w:spacing w:before="120"/>
            </w:pPr>
            <w:r>
              <w:t>水泵配套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工作制</w:t>
            </w:r>
          </w:p>
        </w:tc>
        <w:tc>
          <w:tcPr>
            <w:tcW w:w="3969" w:type="dxa"/>
            <w:vAlign w:val="top"/>
          </w:tcPr>
          <w:p>
            <w:pPr>
              <w:widowControl w:val="0"/>
              <w:spacing w:before="120"/>
            </w:pPr>
            <w: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top"/>
          </w:tcPr>
          <w:p>
            <w:pPr>
              <w:widowControl w:val="0"/>
              <w:spacing w:before="120"/>
            </w:pPr>
            <w:r>
              <w:t>安装地点</w:t>
            </w:r>
          </w:p>
        </w:tc>
        <w:tc>
          <w:tcPr>
            <w:tcW w:w="3969" w:type="dxa"/>
            <w:vAlign w:val="top"/>
          </w:tcPr>
          <w:p>
            <w:pPr>
              <w:widowControl w:val="0"/>
              <w:spacing w:before="120"/>
            </w:pPr>
            <w:r>
              <w:t>配水泵房</w:t>
            </w:r>
          </w:p>
        </w:tc>
      </w:tr>
    </w:tbl>
    <w:p>
      <w:pPr>
        <w:pStyle w:val="8"/>
      </w:pPr>
      <w:r>
        <w:t>性能参数</w:t>
      </w:r>
    </w:p>
    <w:tbl>
      <w:tblPr>
        <w:tblStyle w:val="19"/>
        <w:tblW w:w="7755"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bottom"/>
          </w:tcPr>
          <w:p>
            <w:pPr>
              <w:widowControl w:val="0"/>
              <w:spacing w:before="120"/>
            </w:pPr>
            <w:r>
              <w:t>水泵型式</w:t>
            </w:r>
          </w:p>
        </w:tc>
        <w:tc>
          <w:tcPr>
            <w:tcW w:w="3969" w:type="dxa"/>
            <w:vAlign w:val="bottom"/>
          </w:tcPr>
          <w:p>
            <w:pPr>
              <w:widowControl w:val="0"/>
              <w:spacing w:before="120"/>
            </w:pPr>
            <w:r>
              <w:t>立式单级离心泵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bottom"/>
          </w:tcPr>
          <w:p>
            <w:pPr>
              <w:widowControl w:val="0"/>
              <w:spacing w:before="120"/>
            </w:pPr>
            <w:r>
              <w:t>单泵流量</w:t>
            </w:r>
          </w:p>
        </w:tc>
        <w:tc>
          <w:tcPr>
            <w:tcW w:w="3969" w:type="dxa"/>
            <w:vAlign w:val="bottom"/>
          </w:tcPr>
          <w:p>
            <w:pPr>
              <w:widowControl w:val="0"/>
              <w:spacing w:before="120"/>
            </w:pPr>
            <w:r>
              <w:rPr>
                <w:rFonts w:hint="eastAsia"/>
              </w:rPr>
              <w:t>3</w:t>
            </w:r>
            <w:r>
              <w:t>0 m</w:t>
            </w:r>
            <w:r>
              <w:rPr>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bottom"/>
          </w:tcPr>
          <w:p>
            <w:pPr>
              <w:widowControl w:val="0"/>
              <w:spacing w:before="120"/>
            </w:pPr>
            <w:r>
              <w:t>扬程</w:t>
            </w:r>
          </w:p>
        </w:tc>
        <w:tc>
          <w:tcPr>
            <w:tcW w:w="3969" w:type="dxa"/>
            <w:vAlign w:val="bottom"/>
          </w:tcPr>
          <w:p>
            <w:pPr>
              <w:widowControl w:val="0"/>
              <w:spacing w:before="120"/>
            </w:pPr>
            <w:r>
              <w:rPr>
                <w:rFonts w:hint="eastAsia"/>
              </w:rPr>
              <w:t>5</w:t>
            </w:r>
            <w: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bottom"/>
          </w:tcPr>
          <w:p>
            <w:pPr>
              <w:widowControl w:val="0"/>
              <w:spacing w:before="120"/>
            </w:pPr>
            <w:r>
              <w:t>每小时启动次数</w:t>
            </w:r>
          </w:p>
        </w:tc>
        <w:tc>
          <w:tcPr>
            <w:tcW w:w="3969" w:type="dxa"/>
            <w:vAlign w:val="bottom"/>
          </w:tcPr>
          <w:p>
            <w:pPr>
              <w:widowControl w:val="0"/>
              <w:spacing w:before="120"/>
            </w:pPr>
            <w:r>
              <w:rPr/>
              <w:sym w:font="Symbol" w:char="F0B3"/>
            </w: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bottom"/>
          </w:tcPr>
          <w:p>
            <w:pPr>
              <w:widowControl w:val="0"/>
              <w:spacing w:before="120"/>
              <w:rPr>
                <w:bCs/>
              </w:rPr>
            </w:pPr>
            <w:r>
              <w:rPr>
                <w:bCs/>
              </w:rPr>
              <w:t>电机防护等级/绝缘等级</w:t>
            </w:r>
          </w:p>
        </w:tc>
        <w:tc>
          <w:tcPr>
            <w:tcW w:w="3969" w:type="dxa"/>
            <w:vAlign w:val="bottom"/>
          </w:tcPr>
          <w:p>
            <w:pPr>
              <w:widowControl w:val="0"/>
              <w:spacing w:before="120"/>
            </w:pPr>
            <w:r>
              <w:t>IP68/F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bottom"/>
          </w:tcPr>
          <w:p>
            <w:pPr>
              <w:widowControl w:val="0"/>
              <w:spacing w:before="120"/>
            </w:pPr>
            <w:r>
              <w:t xml:space="preserve">噪声 </w:t>
            </w:r>
          </w:p>
        </w:tc>
        <w:tc>
          <w:tcPr>
            <w:tcW w:w="3969" w:type="dxa"/>
            <w:vAlign w:val="bottom"/>
          </w:tcPr>
          <w:p>
            <w:pPr>
              <w:widowControl w:val="0"/>
              <w:spacing w:before="120"/>
            </w:pPr>
            <w:r>
              <w:rPr/>
              <w:sym w:font="Symbol" w:char="F0A3"/>
            </w:r>
            <w: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6" w:type="dxa"/>
            <w:vAlign w:val="bottom"/>
          </w:tcPr>
          <w:p>
            <w:pPr>
              <w:widowControl w:val="0"/>
              <w:spacing w:before="120"/>
            </w:pPr>
            <w:r>
              <w:t>电源</w:t>
            </w:r>
          </w:p>
        </w:tc>
        <w:tc>
          <w:tcPr>
            <w:tcW w:w="3969" w:type="dxa"/>
            <w:tcBorders>
              <w:left w:val="nil"/>
            </w:tcBorders>
            <w:vAlign w:val="bottom"/>
          </w:tcPr>
          <w:p>
            <w:pPr>
              <w:widowControl w:val="0"/>
              <w:spacing w:before="120"/>
            </w:pPr>
            <w:r>
              <w:t>380V/3ph/50Hz</w:t>
            </w:r>
          </w:p>
        </w:tc>
      </w:tr>
    </w:tbl>
    <w:p>
      <w:pPr>
        <w:pStyle w:val="6"/>
      </w:pPr>
      <w:bookmarkStart w:id="253" w:name="_Toc307818195"/>
      <w:bookmarkStart w:id="254" w:name="_Toc234240345"/>
      <w:r>
        <w:t>技术要求</w:t>
      </w:r>
      <w:bookmarkEnd w:id="253"/>
      <w:bookmarkEnd w:id="254"/>
    </w:p>
    <w:p>
      <w:pPr>
        <w:pStyle w:val="8"/>
      </w:pPr>
      <w:r>
        <w:rPr>
          <w:lang w:eastAsia="zh-CN"/>
        </w:rPr>
        <w:t>水泵</w:t>
      </w:r>
      <w:r>
        <w:t>结构型式为立式单级管道离心泵，干式安装，带有过滤装置。</w:t>
      </w:r>
    </w:p>
    <w:p>
      <w:pPr>
        <w:pStyle w:val="8"/>
      </w:pPr>
      <w:r>
        <w:t>轴封采用机械密封，密封的静环和动环由碳化硅或碳化钨制成。</w:t>
      </w:r>
    </w:p>
    <w:p>
      <w:pPr>
        <w:pStyle w:val="8"/>
      </w:pPr>
      <w:r>
        <w:t>叶轮应做动、静平衡试验。</w:t>
      </w:r>
    </w:p>
    <w:p>
      <w:pPr>
        <w:pStyle w:val="8"/>
      </w:pPr>
      <w:r>
        <w:rPr>
          <w:lang w:eastAsia="zh-CN"/>
        </w:rPr>
        <w:t>水泵</w:t>
      </w:r>
      <w:r>
        <w:t>应设有耐磨环。</w:t>
      </w:r>
    </w:p>
    <w:p>
      <w:pPr>
        <w:pStyle w:val="8"/>
      </w:pPr>
      <w:r>
        <w:t>泵盖上留有放气孔，泵体下侧设有放水孔，泵体两侧法兰上均应设有压力表孔，以确保泵的正常使用和维护。</w:t>
      </w:r>
    </w:p>
    <w:p>
      <w:pPr>
        <w:pStyle w:val="8"/>
      </w:pPr>
      <w:r>
        <w:t>稳压罐</w:t>
      </w:r>
    </w:p>
    <w:p>
      <w:pPr>
        <w:pStyle w:val="36"/>
        <w:widowControl w:val="0"/>
      </w:pPr>
      <w:r>
        <w:rPr>
          <w:lang w:eastAsia="zh-CN"/>
        </w:rPr>
        <w:t>污水供水泵配套提供稳压罐。</w:t>
      </w:r>
    </w:p>
    <w:p>
      <w:pPr>
        <w:pStyle w:val="36"/>
        <w:widowControl w:val="0"/>
      </w:pPr>
      <w:r>
        <w:t>设备制造单位必须具备健全的质量管理体系。应有相关部门签发的生产许可证。</w:t>
      </w:r>
    </w:p>
    <w:p>
      <w:pPr>
        <w:pStyle w:val="36"/>
        <w:widowControl w:val="0"/>
      </w:pPr>
      <w:r>
        <w:t>稳压水罐制造单位应持有压力容器监察机构签发的压力容器制造许可证或注册证名书。</w:t>
      </w:r>
    </w:p>
    <w:p>
      <w:pPr>
        <w:pStyle w:val="36"/>
        <w:widowControl w:val="0"/>
      </w:pPr>
      <w:r>
        <w:t>隔膜稳压给水设备的设计、制造、检验和试验应符合JG/T3010.1标准的规定。</w:t>
      </w:r>
    </w:p>
    <w:p>
      <w:pPr>
        <w:pStyle w:val="36"/>
        <w:widowControl w:val="0"/>
      </w:pPr>
      <w:r>
        <w:t>稳压水罐的设计、材料、制造、压力试验、检验与验收，均应符合GB150的要求。</w:t>
      </w:r>
    </w:p>
    <w:p>
      <w:pPr>
        <w:pStyle w:val="36"/>
        <w:widowControl w:val="0"/>
      </w:pPr>
      <w:r>
        <w:t>稳压水罐的封头应采用椭圆形标准封头。尺寸应符合JB1154的规定。</w:t>
      </w:r>
    </w:p>
    <w:p>
      <w:pPr>
        <w:pStyle w:val="36"/>
        <w:widowControl w:val="0"/>
      </w:pPr>
      <w:r>
        <w:t>凡是与稳压隔膜接触的棱角，均应作成圆弧状。</w:t>
      </w:r>
    </w:p>
    <w:p>
      <w:pPr>
        <w:pStyle w:val="36"/>
        <w:widowControl w:val="0"/>
      </w:pPr>
      <w:r>
        <w:t>稳压水罐的支座应符合JB1166的规定。气压水罐的表面涂漆应符合JB2536的规定。</w:t>
      </w:r>
    </w:p>
    <w:p>
      <w:pPr>
        <w:pStyle w:val="36"/>
        <w:widowControl w:val="0"/>
      </w:pPr>
      <w:r>
        <w:t>橡胶隔膜的直径、高度、容积应与气压水罐的规格相匹配。</w:t>
      </w:r>
    </w:p>
    <w:p>
      <w:pPr>
        <w:pStyle w:val="36"/>
        <w:widowControl w:val="0"/>
      </w:pPr>
      <w:r>
        <w:t>橡胶隔膜的材质应符合GB4087和GB4088的规定，不得有任何外观上的缺陷。其物理机械性能应满足：</w:t>
      </w:r>
    </w:p>
    <w:tbl>
      <w:tblPr>
        <w:tblStyle w:val="19"/>
        <w:tblW w:w="7610" w:type="dxa"/>
        <w:tblInd w:w="1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2476"/>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vAlign w:val="top"/>
          </w:tcPr>
          <w:p>
            <w:pPr>
              <w:widowControl w:val="0"/>
              <w:spacing w:before="120"/>
              <w:jc w:val="center"/>
            </w:pPr>
            <w:r>
              <w:t>项目</w:t>
            </w:r>
          </w:p>
        </w:tc>
        <w:tc>
          <w:tcPr>
            <w:tcW w:w="2476" w:type="dxa"/>
            <w:vAlign w:val="top"/>
          </w:tcPr>
          <w:p>
            <w:pPr>
              <w:widowControl w:val="0"/>
              <w:spacing w:before="120"/>
              <w:jc w:val="center"/>
            </w:pPr>
            <w:r>
              <w:t>单位</w:t>
            </w:r>
          </w:p>
        </w:tc>
        <w:tc>
          <w:tcPr>
            <w:tcW w:w="2360" w:type="dxa"/>
            <w:vAlign w:val="top"/>
          </w:tcPr>
          <w:p>
            <w:pPr>
              <w:widowControl w:val="0"/>
              <w:spacing w:before="120"/>
              <w:jc w:val="center"/>
            </w:pPr>
            <w: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vAlign w:val="top"/>
          </w:tcPr>
          <w:p>
            <w:pPr>
              <w:widowControl w:val="0"/>
              <w:spacing w:before="120"/>
            </w:pPr>
            <w:r>
              <w:t>硬度（邵尔A型）</w:t>
            </w:r>
          </w:p>
        </w:tc>
        <w:tc>
          <w:tcPr>
            <w:tcW w:w="2476" w:type="dxa"/>
            <w:vAlign w:val="top"/>
          </w:tcPr>
          <w:p>
            <w:pPr>
              <w:widowControl w:val="0"/>
              <w:spacing w:before="120"/>
              <w:jc w:val="center"/>
            </w:pPr>
            <w:r>
              <w:t>度</w:t>
            </w:r>
          </w:p>
        </w:tc>
        <w:tc>
          <w:tcPr>
            <w:tcW w:w="2360" w:type="dxa"/>
            <w:vAlign w:val="top"/>
          </w:tcPr>
          <w:p>
            <w:pPr>
              <w:widowControl w:val="0"/>
              <w:spacing w:before="120"/>
              <w:jc w:val="center"/>
            </w:pPr>
            <w:r>
              <w:t>50</w:t>
            </w:r>
            <w:r>
              <w:rPr/>
              <w:sym w:font="Symbol" w:char="F0B1"/>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vAlign w:val="top"/>
          </w:tcPr>
          <w:p>
            <w:pPr>
              <w:widowControl w:val="0"/>
              <w:spacing w:before="120"/>
            </w:pPr>
            <w:r>
              <w:t>抗拉强度</w:t>
            </w:r>
          </w:p>
        </w:tc>
        <w:tc>
          <w:tcPr>
            <w:tcW w:w="2476" w:type="dxa"/>
            <w:vAlign w:val="top"/>
          </w:tcPr>
          <w:p>
            <w:pPr>
              <w:widowControl w:val="0"/>
              <w:spacing w:before="120"/>
              <w:jc w:val="center"/>
            </w:pPr>
            <w:r>
              <w:t>MPa</w:t>
            </w:r>
          </w:p>
        </w:tc>
        <w:tc>
          <w:tcPr>
            <w:tcW w:w="2360" w:type="dxa"/>
            <w:vAlign w:val="top"/>
          </w:tcPr>
          <w:p>
            <w:pPr>
              <w:widowControl w:val="0"/>
              <w:spacing w:before="120"/>
              <w:jc w:val="center"/>
            </w:pPr>
            <w:r>
              <w:rPr/>
              <w:sym w:font="Symbol" w:char="F0B3"/>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vAlign w:val="top"/>
          </w:tcPr>
          <w:p>
            <w:pPr>
              <w:widowControl w:val="0"/>
              <w:spacing w:before="120"/>
            </w:pPr>
            <w:r>
              <w:t>扯断伸长率</w:t>
            </w:r>
          </w:p>
        </w:tc>
        <w:tc>
          <w:tcPr>
            <w:tcW w:w="2476" w:type="dxa"/>
            <w:vAlign w:val="top"/>
          </w:tcPr>
          <w:p>
            <w:pPr>
              <w:widowControl w:val="0"/>
              <w:spacing w:before="120"/>
              <w:jc w:val="center"/>
            </w:pPr>
            <w:r>
              <w:t>%</w:t>
            </w:r>
          </w:p>
        </w:tc>
        <w:tc>
          <w:tcPr>
            <w:tcW w:w="2360" w:type="dxa"/>
            <w:vAlign w:val="top"/>
          </w:tcPr>
          <w:p>
            <w:pPr>
              <w:widowControl w:val="0"/>
              <w:spacing w:before="120"/>
              <w:jc w:val="center"/>
            </w:pPr>
            <w:r>
              <w:rPr/>
              <w:sym w:font="Symbol" w:char="F0B3"/>
            </w:r>
            <w: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vAlign w:val="top"/>
          </w:tcPr>
          <w:p>
            <w:pPr>
              <w:widowControl w:val="0"/>
              <w:spacing w:before="120"/>
            </w:pPr>
            <w:r>
              <w:t>扯断永久变形</w:t>
            </w:r>
          </w:p>
        </w:tc>
        <w:tc>
          <w:tcPr>
            <w:tcW w:w="2476" w:type="dxa"/>
            <w:vAlign w:val="top"/>
          </w:tcPr>
          <w:p>
            <w:pPr>
              <w:widowControl w:val="0"/>
              <w:spacing w:before="120"/>
              <w:jc w:val="center"/>
            </w:pPr>
            <w:r>
              <w:t>%</w:t>
            </w:r>
          </w:p>
        </w:tc>
        <w:tc>
          <w:tcPr>
            <w:tcW w:w="2360" w:type="dxa"/>
            <w:vAlign w:val="top"/>
          </w:tcPr>
          <w:p>
            <w:pPr>
              <w:widowControl w:val="0"/>
              <w:spacing w:before="120"/>
              <w:jc w:val="center"/>
            </w:pPr>
            <w:r>
              <w:rPr/>
              <w:sym w:font="Symbol" w:char="F0A3"/>
            </w: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vAlign w:val="top"/>
          </w:tcPr>
          <w:p>
            <w:pPr>
              <w:widowControl w:val="0"/>
              <w:spacing w:before="120"/>
            </w:pPr>
            <w:r>
              <w:t>挠曲龟裂</w:t>
            </w:r>
          </w:p>
        </w:tc>
        <w:tc>
          <w:tcPr>
            <w:tcW w:w="2476" w:type="dxa"/>
            <w:vAlign w:val="top"/>
          </w:tcPr>
          <w:p>
            <w:pPr>
              <w:widowControl w:val="0"/>
              <w:spacing w:before="120"/>
              <w:jc w:val="center"/>
            </w:pPr>
            <w:r>
              <w:t>(3级龟裂)万次</w:t>
            </w:r>
          </w:p>
        </w:tc>
        <w:tc>
          <w:tcPr>
            <w:tcW w:w="2360" w:type="dxa"/>
            <w:vAlign w:val="top"/>
          </w:tcPr>
          <w:p>
            <w:pPr>
              <w:widowControl w:val="0"/>
              <w:spacing w:before="120"/>
              <w:jc w:val="center"/>
            </w:pPr>
            <w:r>
              <w:rPr/>
              <w:sym w:font="Symbol" w:char="F0B3"/>
            </w: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vAlign w:val="top"/>
          </w:tcPr>
          <w:p>
            <w:pPr>
              <w:widowControl w:val="0"/>
              <w:spacing w:before="120"/>
            </w:pPr>
            <w:r>
              <w:t>老化系数</w:t>
            </w:r>
          </w:p>
        </w:tc>
        <w:tc>
          <w:tcPr>
            <w:tcW w:w="2476" w:type="dxa"/>
            <w:vAlign w:val="top"/>
          </w:tcPr>
          <w:p>
            <w:pPr>
              <w:widowControl w:val="0"/>
              <w:spacing w:before="120"/>
              <w:jc w:val="center"/>
            </w:pPr>
            <w:r>
              <w:t>72ºC</w:t>
            </w:r>
            <w:r>
              <w:rPr/>
              <w:sym w:font="Symbol" w:char="F0B4"/>
            </w:r>
            <w:r>
              <w:t>72h</w:t>
            </w:r>
          </w:p>
        </w:tc>
        <w:tc>
          <w:tcPr>
            <w:tcW w:w="2360" w:type="dxa"/>
            <w:vAlign w:val="top"/>
          </w:tcPr>
          <w:p>
            <w:pPr>
              <w:widowControl w:val="0"/>
              <w:spacing w:before="120"/>
              <w:jc w:val="center"/>
            </w:pPr>
            <w:r>
              <w:rPr/>
              <w:sym w:font="Symbol" w:char="F0B3"/>
            </w:r>
            <w:r>
              <w:t>0.7</w:t>
            </w:r>
          </w:p>
        </w:tc>
      </w:tr>
    </w:tbl>
    <w:p>
      <w:pPr>
        <w:pStyle w:val="6"/>
      </w:pPr>
      <w:r>
        <w:t>主要零部件材料</w:t>
      </w:r>
    </w:p>
    <w:tbl>
      <w:tblPr>
        <w:tblStyle w:val="19"/>
        <w:tblW w:w="7694"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vAlign w:val="bottom"/>
          </w:tcPr>
          <w:p>
            <w:pPr>
              <w:widowControl w:val="0"/>
              <w:spacing w:before="120"/>
            </w:pPr>
            <w:r>
              <w:t>泵壳</w:t>
            </w:r>
          </w:p>
        </w:tc>
        <w:tc>
          <w:tcPr>
            <w:tcW w:w="3914" w:type="dxa"/>
            <w:vAlign w:val="bottom"/>
          </w:tcPr>
          <w:p>
            <w:pPr>
              <w:widowControl w:val="0"/>
              <w:spacing w:before="120"/>
            </w:pPr>
            <w:r>
              <w:rPr>
                <w:rFonts w:hint="eastAsia"/>
              </w:rPr>
              <w:t>铸铁</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vAlign w:val="bottom"/>
          </w:tcPr>
          <w:p>
            <w:pPr>
              <w:widowControl w:val="0"/>
              <w:spacing w:before="120"/>
            </w:pPr>
            <w:r>
              <w:t>叶轮</w:t>
            </w:r>
          </w:p>
        </w:tc>
        <w:tc>
          <w:tcPr>
            <w:tcW w:w="3914" w:type="dxa"/>
            <w:vAlign w:val="bottom"/>
          </w:tcPr>
          <w:p>
            <w:pPr>
              <w:widowControl w:val="0"/>
              <w:spacing w:before="120"/>
            </w:pPr>
            <w: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vAlign w:val="bottom"/>
          </w:tcPr>
          <w:p>
            <w:pPr>
              <w:widowControl w:val="0"/>
              <w:spacing w:before="120"/>
            </w:pPr>
            <w:r>
              <w:t>管路系统</w:t>
            </w:r>
          </w:p>
        </w:tc>
        <w:tc>
          <w:tcPr>
            <w:tcW w:w="3914" w:type="dxa"/>
            <w:vAlign w:val="bottom"/>
          </w:tcPr>
          <w:p>
            <w:pPr>
              <w:widowControl w:val="0"/>
              <w:spacing w:before="120"/>
            </w:pPr>
            <w: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vAlign w:val="bottom"/>
          </w:tcPr>
          <w:p>
            <w:pPr>
              <w:widowControl w:val="0"/>
              <w:spacing w:before="120"/>
            </w:pPr>
            <w:r>
              <w:t>稳压罐罐体</w:t>
            </w:r>
          </w:p>
        </w:tc>
        <w:tc>
          <w:tcPr>
            <w:tcW w:w="3914" w:type="dxa"/>
            <w:vAlign w:val="bottom"/>
          </w:tcPr>
          <w:p>
            <w:pPr>
              <w:widowControl w:val="0"/>
              <w:spacing w:before="120"/>
            </w:pPr>
            <w:r>
              <w:t>碳钢防腐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0" w:type="dxa"/>
            <w:tcBorders>
              <w:bottom w:val="single" w:color="auto" w:sz="4" w:space="0"/>
            </w:tcBorders>
            <w:vAlign w:val="bottom"/>
          </w:tcPr>
          <w:p>
            <w:pPr>
              <w:widowControl w:val="0"/>
              <w:spacing w:before="120"/>
            </w:pPr>
            <w:r>
              <w:t>所有安装连接附件/化学地脚螺栓</w:t>
            </w:r>
          </w:p>
        </w:tc>
        <w:tc>
          <w:tcPr>
            <w:tcW w:w="3914" w:type="dxa"/>
            <w:vAlign w:val="bottom"/>
          </w:tcPr>
          <w:p>
            <w:pPr>
              <w:widowControl w:val="0"/>
              <w:spacing w:before="120"/>
            </w:pPr>
            <w:r>
              <w:t>AISI 304</w:t>
            </w:r>
          </w:p>
        </w:tc>
      </w:tr>
    </w:tbl>
    <w:p>
      <w:pPr>
        <w:pStyle w:val="6"/>
      </w:pPr>
      <w:r>
        <w:t>控制要求</w:t>
      </w:r>
    </w:p>
    <w:p>
      <w:pPr>
        <w:pStyle w:val="8"/>
      </w:pPr>
      <w:r>
        <w:t>配套提供按钮箱，按钮箱技术要求见</w:t>
      </w:r>
      <w:r>
        <w:rPr>
          <w:rFonts w:hint="eastAsia"/>
          <w:lang w:eastAsia="zh-CN"/>
        </w:rPr>
        <w:t>本规范2.7.4、</w:t>
      </w:r>
      <w:r>
        <w:rPr>
          <w:lang w:eastAsia="zh-CN"/>
        </w:rPr>
        <w:t>2.7</w:t>
      </w:r>
      <w:r>
        <w:rPr>
          <w:rFonts w:hint="eastAsia"/>
          <w:lang w:eastAsia="zh-CN"/>
        </w:rPr>
        <w:t>.5条款</w:t>
      </w:r>
      <w:r>
        <w:t>。</w:t>
      </w:r>
    </w:p>
    <w:p>
      <w:pPr>
        <w:pStyle w:val="6"/>
      </w:pPr>
      <w:r>
        <w:t>出厂检验</w:t>
      </w:r>
    </w:p>
    <w:p>
      <w:pPr>
        <w:pStyle w:val="8"/>
      </w:pPr>
      <w:r>
        <w:t>所有泵在制造过程中与制造之后以及发运之前，应经受检查，包括材料的检验，制造时部件与制造工艺的检验及油漆工作的检查。</w:t>
      </w:r>
    </w:p>
    <w:p>
      <w:pPr>
        <w:pStyle w:val="6"/>
      </w:pPr>
      <w:r>
        <w:t>调试与试车</w:t>
      </w:r>
    </w:p>
    <w:p>
      <w:pPr>
        <w:pStyle w:val="8"/>
      </w:pPr>
      <w:r>
        <w:t>带负荷运行</w:t>
      </w:r>
      <w:r>
        <w:rPr>
          <w:lang w:eastAsia="zh-CN"/>
        </w:rPr>
        <w:t>，</w:t>
      </w:r>
      <w:r>
        <w:t>泵的流量、扬程须符合设计要求。</w:t>
      </w:r>
    </w:p>
    <w:p>
      <w:pPr>
        <w:pStyle w:val="8"/>
      </w:pPr>
      <w:r>
        <w:t>运转时应平稳、无异常声音、振动和温升，电机电流正常。</w:t>
      </w:r>
    </w:p>
    <w:p>
      <w:pPr>
        <w:pStyle w:val="8"/>
      </w:pPr>
      <w:r>
        <w:t>检测电机安全保护措施须符合相关标准的技术要求。</w:t>
      </w:r>
    </w:p>
    <w:p>
      <w:pPr>
        <w:pStyle w:val="5"/>
      </w:pPr>
      <w:bookmarkStart w:id="255" w:name="_Toc496622451"/>
      <w:r>
        <w:rPr>
          <w:rFonts w:hint="eastAsia"/>
          <w:lang w:eastAsia="zh-CN"/>
        </w:rPr>
        <w:t>磁悬浮</w:t>
      </w:r>
      <w:r>
        <w:t>离心式鼓风机</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55"/>
    </w:p>
    <w:p>
      <w:pPr>
        <w:pStyle w:val="6"/>
      </w:pPr>
      <w:bookmarkStart w:id="256" w:name="_Toc155414388"/>
      <w:r>
        <w:t>工作范围</w:t>
      </w:r>
      <w:bookmarkEnd w:id="256"/>
    </w:p>
    <w:p>
      <w:pPr>
        <w:pStyle w:val="8"/>
      </w:pPr>
      <w:r>
        <w:t>卖方应提供保证设备安全、稳定、可靠运行的全套设备、辅助及安装连接附件，并负责安装指导、调试及试运行等工作。设备主要组成部分及供货范围（不限于此）：</w:t>
      </w:r>
    </w:p>
    <w:p>
      <w:pPr>
        <w:pStyle w:val="37"/>
        <w:widowControl w:val="0"/>
        <w:numPr>
          <w:ilvl w:val="3"/>
          <w:numId w:val="95"/>
        </w:numPr>
        <w:tabs>
          <w:tab w:val="left" w:pos="1661"/>
        </w:tabs>
        <w:spacing w:before="240" w:line="0" w:lineRule="atLeast"/>
        <w:ind w:left="1650" w:hanging="397"/>
      </w:pPr>
      <w:r>
        <w:t>装配完整的离心鼓风机</w:t>
      </w:r>
      <w:r>
        <w:rPr>
          <w:rFonts w:hint="eastAsia"/>
        </w:rPr>
        <w:t>（包括壳体、叶轮、位置传感器、径向和轴向磁性轴承</w:t>
      </w:r>
      <w:r>
        <w:t xml:space="preserve">, </w:t>
      </w:r>
      <w:r>
        <w:rPr>
          <w:rFonts w:hint="eastAsia"/>
        </w:rPr>
        <w:t>轴和密封等）</w:t>
      </w:r>
    </w:p>
    <w:p>
      <w:pPr>
        <w:pStyle w:val="37"/>
        <w:widowControl w:val="0"/>
        <w:numPr>
          <w:ilvl w:val="3"/>
          <w:numId w:val="95"/>
        </w:numPr>
        <w:tabs>
          <w:tab w:val="left" w:pos="1661"/>
        </w:tabs>
        <w:spacing w:before="240" w:line="0" w:lineRule="atLeast"/>
        <w:ind w:left="1650" w:hanging="397"/>
      </w:pPr>
      <w:r>
        <w:rPr>
          <w:rFonts w:hint="eastAsia"/>
        </w:rPr>
        <w:t>磁力轴承控制系统</w:t>
      </w:r>
    </w:p>
    <w:p>
      <w:pPr>
        <w:pStyle w:val="37"/>
        <w:widowControl w:val="0"/>
        <w:numPr>
          <w:ilvl w:val="3"/>
          <w:numId w:val="95"/>
        </w:numPr>
        <w:tabs>
          <w:tab w:val="left" w:pos="1661"/>
        </w:tabs>
        <w:spacing w:before="240" w:line="0" w:lineRule="atLeast"/>
        <w:ind w:left="1650" w:hanging="397"/>
      </w:pPr>
      <w:r>
        <w:rPr>
          <w:rFonts w:hint="eastAsia"/>
        </w:rPr>
        <w:t>高速电机及冷却风扇</w:t>
      </w:r>
    </w:p>
    <w:p>
      <w:pPr>
        <w:pStyle w:val="37"/>
        <w:widowControl w:val="0"/>
        <w:numPr>
          <w:ilvl w:val="3"/>
          <w:numId w:val="95"/>
        </w:numPr>
        <w:tabs>
          <w:tab w:val="left" w:pos="1661"/>
        </w:tabs>
        <w:spacing w:before="240" w:line="0" w:lineRule="atLeast"/>
        <w:ind w:left="1650" w:hanging="397"/>
      </w:pPr>
      <w:r>
        <w:rPr>
          <w:rFonts w:hint="eastAsia"/>
        </w:rPr>
        <w:t>进口过滤器及消音器</w:t>
      </w:r>
    </w:p>
    <w:p>
      <w:pPr>
        <w:pStyle w:val="37"/>
        <w:widowControl w:val="0"/>
        <w:numPr>
          <w:ilvl w:val="3"/>
          <w:numId w:val="95"/>
        </w:numPr>
        <w:tabs>
          <w:tab w:val="left" w:pos="1661"/>
        </w:tabs>
        <w:spacing w:before="240" w:line="0" w:lineRule="atLeast"/>
        <w:ind w:left="1650" w:hanging="397"/>
      </w:pPr>
      <w:r>
        <w:rPr>
          <w:rFonts w:hint="eastAsia"/>
        </w:rPr>
        <w:t>出口手动蝶阀及止回阀、</w:t>
      </w:r>
      <w:r>
        <w:t>柔性</w:t>
      </w:r>
      <w:r>
        <w:rPr>
          <w:rFonts w:hint="eastAsia"/>
        </w:rPr>
        <w:t>接</w:t>
      </w:r>
      <w:r>
        <w:t>头</w:t>
      </w:r>
    </w:p>
    <w:p>
      <w:pPr>
        <w:pStyle w:val="37"/>
        <w:widowControl w:val="0"/>
        <w:numPr>
          <w:ilvl w:val="3"/>
          <w:numId w:val="95"/>
        </w:numPr>
        <w:tabs>
          <w:tab w:val="left" w:pos="1661"/>
        </w:tabs>
        <w:spacing w:before="240" w:line="0" w:lineRule="atLeast"/>
        <w:ind w:left="1650" w:hanging="397"/>
      </w:pPr>
      <w:r>
        <w:rPr>
          <w:rFonts w:hint="eastAsia"/>
        </w:rPr>
        <w:t>自动放空阀</w:t>
      </w:r>
    </w:p>
    <w:p>
      <w:pPr>
        <w:pStyle w:val="37"/>
        <w:widowControl w:val="0"/>
        <w:numPr>
          <w:ilvl w:val="3"/>
          <w:numId w:val="95"/>
        </w:numPr>
        <w:tabs>
          <w:tab w:val="left" w:pos="1661"/>
        </w:tabs>
        <w:spacing w:before="240" w:line="0" w:lineRule="atLeast"/>
        <w:ind w:left="1650" w:hanging="397"/>
      </w:pPr>
      <w:r>
        <w:rPr>
          <w:rFonts w:hint="eastAsia"/>
        </w:rPr>
        <w:t>机座及调平装置</w:t>
      </w:r>
    </w:p>
    <w:p>
      <w:pPr>
        <w:pStyle w:val="37"/>
        <w:widowControl w:val="0"/>
        <w:numPr>
          <w:ilvl w:val="3"/>
          <w:numId w:val="95"/>
        </w:numPr>
        <w:tabs>
          <w:tab w:val="left" w:pos="1661"/>
        </w:tabs>
        <w:spacing w:before="240" w:line="0" w:lineRule="atLeast"/>
        <w:ind w:left="1650" w:hanging="397"/>
      </w:pPr>
      <w:r>
        <w:rPr>
          <w:rFonts w:hint="eastAsia"/>
        </w:rPr>
        <w:t>全套仪表及安全控制监测系统</w:t>
      </w:r>
    </w:p>
    <w:p>
      <w:pPr>
        <w:pStyle w:val="37"/>
        <w:numPr>
          <w:ilvl w:val="3"/>
          <w:numId w:val="95"/>
        </w:numPr>
        <w:tabs>
          <w:tab w:val="left" w:pos="1661"/>
          <w:tab w:val="left" w:pos="2268"/>
          <w:tab w:val="clear" w:pos="1873"/>
        </w:tabs>
        <w:spacing w:before="240" w:after="0" w:line="240" w:lineRule="atLeast"/>
        <w:ind w:left="1650" w:hanging="397"/>
        <w:rPr>
          <w:rFonts w:hint="eastAsia"/>
        </w:rPr>
      </w:pPr>
      <w:r>
        <w:rPr>
          <w:rFonts w:hint="eastAsia"/>
        </w:rPr>
        <w:t>系统间电缆</w:t>
      </w:r>
    </w:p>
    <w:p>
      <w:pPr>
        <w:pStyle w:val="37"/>
        <w:numPr>
          <w:ilvl w:val="3"/>
          <w:numId w:val="95"/>
        </w:numPr>
        <w:tabs>
          <w:tab w:val="left" w:pos="1661"/>
          <w:tab w:val="left" w:pos="2268"/>
          <w:tab w:val="clear" w:pos="1873"/>
        </w:tabs>
        <w:spacing w:before="240" w:after="0" w:line="240" w:lineRule="atLeast"/>
        <w:ind w:left="1650" w:hanging="397"/>
      </w:pPr>
      <w:r>
        <w:rPr>
          <w:rFonts w:hint="eastAsia"/>
        </w:rPr>
        <w:t>就地控制盘</w:t>
      </w:r>
    </w:p>
    <w:p>
      <w:pPr>
        <w:pStyle w:val="37"/>
        <w:numPr>
          <w:ilvl w:val="3"/>
          <w:numId w:val="95"/>
        </w:numPr>
        <w:tabs>
          <w:tab w:val="left" w:pos="1661"/>
          <w:tab w:val="left" w:pos="2268"/>
          <w:tab w:val="clear" w:pos="1873"/>
        </w:tabs>
        <w:spacing w:before="240" w:after="0" w:line="240" w:lineRule="atLeast"/>
        <w:ind w:left="1650" w:hanging="397"/>
        <w:rPr>
          <w:rFonts w:hint="eastAsia"/>
        </w:rPr>
      </w:pPr>
      <w:r>
        <w:rPr>
          <w:rFonts w:hint="eastAsia"/>
        </w:rPr>
        <w:t>主控柜</w:t>
      </w:r>
    </w:p>
    <w:p>
      <w:pPr>
        <w:pStyle w:val="37"/>
        <w:numPr>
          <w:ilvl w:val="3"/>
          <w:numId w:val="95"/>
        </w:numPr>
        <w:tabs>
          <w:tab w:val="left" w:pos="1661"/>
          <w:tab w:val="left" w:pos="2268"/>
          <w:tab w:val="clear" w:pos="1873"/>
        </w:tabs>
        <w:spacing w:before="240" w:after="0" w:line="240" w:lineRule="atLeast"/>
        <w:ind w:left="1650" w:hanging="397"/>
        <w:rPr>
          <w:rFonts w:hint="eastAsia"/>
        </w:rPr>
      </w:pPr>
      <w:r>
        <w:rPr>
          <w:rFonts w:hint="eastAsia"/>
        </w:rPr>
        <w:t>变频器及控制软件</w:t>
      </w:r>
    </w:p>
    <w:p>
      <w:pPr>
        <w:pStyle w:val="37"/>
        <w:numPr>
          <w:ilvl w:val="3"/>
          <w:numId w:val="95"/>
        </w:numPr>
        <w:tabs>
          <w:tab w:val="left" w:pos="1661"/>
          <w:tab w:val="left" w:pos="2268"/>
          <w:tab w:val="clear" w:pos="1873"/>
        </w:tabs>
        <w:spacing w:before="240" w:after="0" w:line="240" w:lineRule="atLeast"/>
        <w:ind w:left="1650" w:hanging="397"/>
        <w:rPr>
          <w:rFonts w:hint="eastAsia"/>
        </w:rPr>
      </w:pPr>
      <w:r>
        <w:rPr>
          <w:rFonts w:hint="eastAsia"/>
        </w:rPr>
        <w:t>防喘振系统</w:t>
      </w:r>
    </w:p>
    <w:p>
      <w:pPr>
        <w:pStyle w:val="37"/>
        <w:numPr>
          <w:ilvl w:val="3"/>
          <w:numId w:val="95"/>
        </w:numPr>
        <w:tabs>
          <w:tab w:val="left" w:pos="1661"/>
          <w:tab w:val="left" w:pos="2268"/>
          <w:tab w:val="clear" w:pos="1873"/>
        </w:tabs>
        <w:spacing w:before="240" w:after="0" w:line="240" w:lineRule="atLeast"/>
        <w:ind w:left="1650" w:hanging="397"/>
        <w:rPr>
          <w:rFonts w:hint="eastAsia"/>
        </w:rPr>
      </w:pPr>
      <w:r>
        <w:rPr>
          <w:rFonts w:hint="eastAsia"/>
        </w:rPr>
        <w:t>隔音罩</w:t>
      </w:r>
    </w:p>
    <w:p>
      <w:pPr>
        <w:pStyle w:val="37"/>
        <w:numPr>
          <w:ilvl w:val="3"/>
          <w:numId w:val="95"/>
        </w:numPr>
        <w:tabs>
          <w:tab w:val="left" w:pos="1661"/>
          <w:tab w:val="left" w:pos="2268"/>
          <w:tab w:val="clear" w:pos="1873"/>
        </w:tabs>
        <w:spacing w:before="240" w:after="0" w:line="240" w:lineRule="atLeast"/>
        <w:ind w:left="1650" w:hanging="397"/>
        <w:rPr>
          <w:rFonts w:hint="eastAsia"/>
        </w:rPr>
      </w:pPr>
      <w:r>
        <w:rPr>
          <w:rFonts w:hint="eastAsia"/>
        </w:rPr>
        <w:t>风管保温及防护铝板</w:t>
      </w:r>
    </w:p>
    <w:p>
      <w:pPr>
        <w:pStyle w:val="37"/>
        <w:numPr>
          <w:ilvl w:val="3"/>
          <w:numId w:val="95"/>
        </w:numPr>
        <w:tabs>
          <w:tab w:val="left" w:pos="1661"/>
          <w:tab w:val="left" w:pos="2268"/>
          <w:tab w:val="clear" w:pos="1873"/>
        </w:tabs>
        <w:spacing w:before="240" w:after="0" w:line="240" w:lineRule="atLeast"/>
        <w:ind w:left="1650" w:hanging="397"/>
        <w:rPr>
          <w:rFonts w:hint="eastAsia"/>
        </w:rPr>
      </w:pPr>
      <w:r>
        <w:rPr>
          <w:rFonts w:hint="eastAsia"/>
        </w:rPr>
        <w:t>室外进风口及排风管出口百叶及防雨装置</w:t>
      </w:r>
    </w:p>
    <w:p>
      <w:pPr>
        <w:pStyle w:val="37"/>
        <w:widowControl w:val="0"/>
        <w:numPr>
          <w:ilvl w:val="3"/>
          <w:numId w:val="95"/>
        </w:numPr>
        <w:tabs>
          <w:tab w:val="left" w:pos="1661"/>
        </w:tabs>
        <w:spacing w:before="240" w:line="0" w:lineRule="atLeast"/>
        <w:ind w:left="1650" w:hanging="397"/>
      </w:pPr>
      <w:r>
        <w:rPr>
          <w:rFonts w:hint="eastAsia"/>
        </w:rPr>
        <w:t>所有连接附件、化学地脚螺栓或调节螺栓</w:t>
      </w:r>
    </w:p>
    <w:p>
      <w:pPr>
        <w:pStyle w:val="6"/>
      </w:pPr>
      <w:bookmarkStart w:id="257" w:name="_Toc155414389"/>
      <w:r>
        <w:t>现场条件和技术性能</w:t>
      </w:r>
      <w:bookmarkEnd w:id="257"/>
    </w:p>
    <w:tbl>
      <w:tblPr>
        <w:tblStyle w:val="19"/>
        <w:tblW w:w="7669" w:type="dxa"/>
        <w:tblInd w:w="1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鼓风机编号</w:t>
            </w:r>
          </w:p>
        </w:tc>
        <w:tc>
          <w:tcPr>
            <w:tcW w:w="3511" w:type="dxa"/>
            <w:vAlign w:val="bottom"/>
          </w:tcPr>
          <w:p>
            <w:pPr>
              <w:pStyle w:val="39"/>
              <w:spacing w:before="120" w:beforeLines="50" w:after="0" w:line="240" w:lineRule="atLeast"/>
              <w:rPr>
                <w:szCs w:val="24"/>
              </w:rPr>
            </w:pPr>
            <w:r>
              <w:rPr>
                <w:szCs w:val="24"/>
              </w:rPr>
              <w:t>BSW-CBL101/10</w:t>
            </w:r>
            <w:r>
              <w:rPr>
                <w:rFonts w:hint="eastAsia"/>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4</w:t>
            </w:r>
            <w:r>
              <w:rPr>
                <w:szCs w:val="24"/>
              </w:rPr>
              <w:t>（</w:t>
            </w:r>
            <w:r>
              <w:rPr>
                <w:rFonts w:hint="eastAsia"/>
                <w:szCs w:val="24"/>
              </w:rPr>
              <w:t>3</w:t>
            </w:r>
            <w:r>
              <w:rPr>
                <w:szCs w:val="24"/>
              </w:rPr>
              <w:t>用</w:t>
            </w:r>
            <w:r>
              <w:rPr>
                <w:rFonts w:hint="eastAsia"/>
                <w:szCs w:val="24"/>
              </w:rPr>
              <w:t>1</w:t>
            </w:r>
            <w:r>
              <w:rPr>
                <w:szCs w:val="24"/>
              </w:rPr>
              <w:t>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rFonts w:hint="eastAsia"/>
                <w:szCs w:val="24"/>
              </w:rPr>
              <w:t>手</w:t>
            </w:r>
            <w:r>
              <w:rPr>
                <w:szCs w:val="24"/>
              </w:rPr>
              <w:t>动蝶阀编号（空气支管</w:t>
            </w:r>
            <w:r>
              <w:rPr>
                <w:rFonts w:hint="eastAsia"/>
                <w:szCs w:val="24"/>
              </w:rPr>
              <w:t>, DN350</w:t>
            </w:r>
            <w:r>
              <w:rPr>
                <w:szCs w:val="24"/>
              </w:rPr>
              <w:t>）</w:t>
            </w:r>
          </w:p>
        </w:tc>
        <w:tc>
          <w:tcPr>
            <w:tcW w:w="3511" w:type="dxa"/>
            <w:vAlign w:val="bottom"/>
          </w:tcPr>
          <w:p>
            <w:pPr>
              <w:pStyle w:val="39"/>
              <w:spacing w:before="120" w:beforeLines="50" w:after="0" w:line="240" w:lineRule="atLeast"/>
              <w:rPr>
                <w:szCs w:val="24"/>
              </w:rPr>
            </w:pPr>
            <w:r>
              <w:rPr>
                <w:szCs w:val="24"/>
              </w:rPr>
              <w:t>BSW-</w:t>
            </w:r>
            <w:r>
              <w:rPr>
                <w:rFonts w:hint="eastAsia"/>
                <w:szCs w:val="24"/>
              </w:rPr>
              <w:t>M</w:t>
            </w:r>
            <w:r>
              <w:rPr>
                <w:szCs w:val="24"/>
              </w:rPr>
              <w:t>FV201/20</w:t>
            </w:r>
            <w:r>
              <w:rPr>
                <w:rFonts w:hint="eastAsia"/>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rFonts w:hint="eastAsia"/>
                <w:szCs w:val="24"/>
              </w:rPr>
            </w:pPr>
            <w:r>
              <w:rPr>
                <w:rFonts w:hint="eastAsia"/>
                <w:szCs w:val="24"/>
              </w:rPr>
              <w:t>4</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手动蝶阀编号（空气</w:t>
            </w:r>
            <w:r>
              <w:rPr>
                <w:rFonts w:hint="eastAsia"/>
                <w:szCs w:val="24"/>
              </w:rPr>
              <w:t>干</w:t>
            </w:r>
            <w:r>
              <w:rPr>
                <w:szCs w:val="24"/>
              </w:rPr>
              <w:t>管</w:t>
            </w:r>
            <w:r>
              <w:rPr>
                <w:rFonts w:hint="eastAsia"/>
                <w:szCs w:val="24"/>
              </w:rPr>
              <w:t>, DN600</w:t>
            </w:r>
            <w:r>
              <w:rPr>
                <w:szCs w:val="24"/>
              </w:rPr>
              <w:t>）</w:t>
            </w:r>
          </w:p>
        </w:tc>
        <w:tc>
          <w:tcPr>
            <w:tcW w:w="3511" w:type="dxa"/>
            <w:vAlign w:val="bottom"/>
          </w:tcPr>
          <w:p>
            <w:pPr>
              <w:pStyle w:val="39"/>
              <w:spacing w:before="120" w:beforeLines="50" w:after="0" w:line="240" w:lineRule="atLeast"/>
              <w:rPr>
                <w:bCs/>
                <w:szCs w:val="24"/>
              </w:rPr>
            </w:pPr>
            <w:r>
              <w:rPr>
                <w:bCs/>
                <w:szCs w:val="24"/>
              </w:rPr>
              <w:t>BSW-MFV101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1</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止回阀编号（空气支管</w:t>
            </w:r>
            <w:r>
              <w:rPr>
                <w:rFonts w:hint="eastAsia"/>
                <w:szCs w:val="24"/>
              </w:rPr>
              <w:t>, DN350</w:t>
            </w:r>
            <w:r>
              <w:rPr>
                <w:szCs w:val="24"/>
              </w:rPr>
              <w:t>）</w:t>
            </w:r>
          </w:p>
        </w:tc>
        <w:tc>
          <w:tcPr>
            <w:tcW w:w="3511" w:type="dxa"/>
            <w:vAlign w:val="bottom"/>
          </w:tcPr>
          <w:p>
            <w:pPr>
              <w:pStyle w:val="39"/>
              <w:spacing w:before="120" w:beforeLines="50" w:after="0" w:line="240" w:lineRule="atLeast"/>
              <w:rPr>
                <w:szCs w:val="24"/>
              </w:rPr>
            </w:pPr>
            <w:r>
              <w:rPr>
                <w:szCs w:val="24"/>
              </w:rPr>
              <w:t>BSW-NRV101/10</w:t>
            </w:r>
            <w:r>
              <w:rPr>
                <w:rFonts w:hint="eastAsia"/>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4</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进</w:t>
            </w:r>
            <w:r>
              <w:rPr>
                <w:rFonts w:hint="eastAsia"/>
                <w:szCs w:val="24"/>
              </w:rPr>
              <w:t>、</w:t>
            </w:r>
            <w:r>
              <w:rPr>
                <w:szCs w:val="24"/>
              </w:rPr>
              <w:t>出口柔性接头</w:t>
            </w:r>
          </w:p>
        </w:tc>
        <w:tc>
          <w:tcPr>
            <w:tcW w:w="3511" w:type="dxa"/>
            <w:vAlign w:val="bottom"/>
          </w:tcPr>
          <w:p>
            <w:pPr>
              <w:pStyle w:val="39"/>
              <w:spacing w:before="120" w:beforeLines="50" w:after="0" w:line="240" w:lineRule="atLeast"/>
              <w:rPr>
                <w:szCs w:val="24"/>
              </w:rPr>
            </w:pPr>
            <w:r>
              <w:rPr>
                <w:szCs w:val="24"/>
              </w:rPr>
              <w:t>与鼓风机配套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bottom"/>
          </w:tcPr>
          <w:p>
            <w:pPr>
              <w:pStyle w:val="39"/>
              <w:spacing w:before="120" w:beforeLines="50" w:after="0" w:line="240" w:lineRule="atLeast"/>
              <w:rPr>
                <w:szCs w:val="24"/>
              </w:rPr>
            </w:pPr>
            <w:r>
              <w:rPr>
                <w:szCs w:val="24"/>
              </w:rPr>
              <w:t>数量</w:t>
            </w:r>
          </w:p>
        </w:tc>
        <w:tc>
          <w:tcPr>
            <w:tcW w:w="3511" w:type="dxa"/>
            <w:vAlign w:val="bottom"/>
          </w:tcPr>
          <w:p>
            <w:pPr>
              <w:pStyle w:val="39"/>
              <w:spacing w:before="120" w:beforeLines="50" w:after="0" w:line="240" w:lineRule="atLeast"/>
              <w:rPr>
                <w:szCs w:val="24"/>
              </w:rPr>
            </w:pPr>
            <w:r>
              <w:rPr>
                <w:rFonts w:hint="eastAsia"/>
                <w:szCs w:val="24"/>
              </w:rPr>
              <w:t>4</w:t>
            </w:r>
            <w:r>
              <w:rPr>
                <w:szCs w:val="24"/>
              </w:rPr>
              <w:t>×</w:t>
            </w:r>
            <w:r>
              <w:rPr>
                <w:rFonts w:hint="eastAsia"/>
                <w:szCs w:val="24"/>
              </w:rPr>
              <w:t>2</w:t>
            </w:r>
            <w:r>
              <w:rPr>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 鼓风机的型式</w:t>
            </w:r>
          </w:p>
        </w:tc>
        <w:tc>
          <w:tcPr>
            <w:tcW w:w="3511" w:type="dxa"/>
            <w:vAlign w:val="top"/>
          </w:tcPr>
          <w:p>
            <w:pPr>
              <w:spacing w:before="120" w:beforeLines="50"/>
              <w:rPr>
                <w:rFonts w:hint="eastAsia"/>
              </w:rPr>
            </w:pPr>
            <w:r>
              <w:rPr>
                <w:rFonts w:hint="eastAsia"/>
              </w:rPr>
              <w:t>高速磁悬浮单级离心鼓风机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输送介质</w:t>
            </w:r>
          </w:p>
        </w:tc>
        <w:tc>
          <w:tcPr>
            <w:tcW w:w="3511" w:type="dxa"/>
            <w:vAlign w:val="top"/>
          </w:tcPr>
          <w:p>
            <w:pPr>
              <w:spacing w:before="120" w:beforeLines="50"/>
              <w:rPr>
                <w:rFonts w:hint="eastAsia"/>
              </w:rPr>
            </w:pPr>
            <w:r>
              <w:rPr>
                <w:rFonts w:hint="eastAsia"/>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 风量（100%）</w:t>
            </w:r>
            <w:r>
              <w:t>/</w:t>
            </w:r>
            <w:r>
              <w:rPr>
                <w:rFonts w:hint="eastAsia"/>
              </w:rPr>
              <w:t>台</w:t>
            </w:r>
          </w:p>
        </w:tc>
        <w:tc>
          <w:tcPr>
            <w:tcW w:w="3511" w:type="dxa"/>
            <w:vAlign w:val="top"/>
          </w:tcPr>
          <w:p>
            <w:pPr>
              <w:spacing w:before="120" w:beforeLines="50"/>
              <w:rPr>
                <w:rFonts w:hint="eastAsia"/>
              </w:rPr>
            </w:pPr>
            <w:r>
              <w:rPr>
                <w:rFonts w:hint="eastAsia"/>
              </w:rPr>
              <w:t>130</w:t>
            </w:r>
            <w:r>
              <w:t>m</w:t>
            </w:r>
            <w:r>
              <w:rPr>
                <w:rFonts w:hint="eastAsia"/>
                <w:vertAlign w:val="superscript"/>
              </w:rPr>
              <w:t>3</w:t>
            </w:r>
            <w:r>
              <w:rPr>
                <w:rFonts w:hint="eastAsia"/>
              </w:rPr>
              <w:t>/</w:t>
            </w:r>
            <w:r>
              <w:t>min</w:t>
            </w:r>
            <w:r>
              <w:rPr>
                <w:bCs/>
              </w:rPr>
              <w:t xml:space="preserve"> (20</w:t>
            </w:r>
            <w:r>
              <w:rPr>
                <w:bCs/>
              </w:rPr>
              <w:sym w:font="Symbol" w:char="F0B0"/>
            </w:r>
            <w:r>
              <w:rPr>
                <w:bCs/>
              </w:rPr>
              <w:t>C, 1.013bar)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压升</w:t>
            </w:r>
          </w:p>
        </w:tc>
        <w:tc>
          <w:tcPr>
            <w:tcW w:w="3511" w:type="dxa"/>
            <w:vAlign w:val="top"/>
          </w:tcPr>
          <w:p>
            <w:pPr>
              <w:spacing w:before="120" w:beforeLines="50"/>
              <w:rPr>
                <w:rFonts w:hint="eastAsia"/>
              </w:rPr>
            </w:pPr>
            <w:r>
              <w:rPr>
                <w:rFonts w:hint="eastAsia"/>
              </w:rPr>
              <w:t>0.075MPa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风量调节范围</w:t>
            </w:r>
          </w:p>
        </w:tc>
        <w:tc>
          <w:tcPr>
            <w:tcW w:w="3511" w:type="dxa"/>
            <w:vAlign w:val="top"/>
          </w:tcPr>
          <w:p>
            <w:pPr>
              <w:spacing w:before="120" w:beforeLines="50"/>
            </w:pPr>
            <w:r>
              <w:rPr>
                <w:rFonts w:hint="eastAsia"/>
              </w:rPr>
              <w:t>50</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误差范围</w:t>
            </w:r>
          </w:p>
        </w:tc>
        <w:tc>
          <w:tcPr>
            <w:tcW w:w="3511" w:type="dxa"/>
            <w:vAlign w:val="top"/>
          </w:tcPr>
          <w:p>
            <w:pPr>
              <w:spacing w:before="120" w:beforeLines="50"/>
              <w:rPr>
                <w:rFonts w:hint="eastAsia"/>
              </w:rPr>
            </w:pPr>
            <w:r>
              <w:t>≤±</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安装地点</w:t>
            </w:r>
          </w:p>
        </w:tc>
        <w:tc>
          <w:tcPr>
            <w:tcW w:w="3511" w:type="dxa"/>
            <w:vAlign w:val="bottom"/>
          </w:tcPr>
          <w:p>
            <w:pPr>
              <w:spacing w:before="120" w:beforeLines="50"/>
            </w:pPr>
            <w:r>
              <w:t>鼓风机房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海拔高度</w:t>
            </w:r>
          </w:p>
        </w:tc>
        <w:tc>
          <w:tcPr>
            <w:tcW w:w="3511" w:type="dxa"/>
            <w:vAlign w:val="bottom"/>
          </w:tcPr>
          <w:p>
            <w:pPr>
              <w:spacing w:before="120" w:beforeLines="50"/>
            </w:pPr>
            <w:r>
              <w:rPr>
                <w:rFonts w:hint="eastAsia"/>
              </w:rPr>
              <w:t>约65</w:t>
            </w:r>
            <w: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大气压力</w:t>
            </w:r>
          </w:p>
        </w:tc>
        <w:tc>
          <w:tcPr>
            <w:tcW w:w="3511" w:type="dxa"/>
            <w:vAlign w:val="top"/>
          </w:tcPr>
          <w:p>
            <w:pPr>
              <w:spacing w:before="120" w:beforeLines="50"/>
              <w:rPr>
                <w:rFonts w:hint="eastAsia"/>
              </w:rPr>
            </w:pPr>
            <w:r>
              <w:t>1.</w:t>
            </w:r>
            <w:r>
              <w:rPr>
                <w:rFonts w:hint="eastAsia"/>
              </w:rPr>
              <w:t xml:space="preserve">013 </w:t>
            </w:r>
            <w:r>
              <w:t>bar</w:t>
            </w:r>
            <w:r>
              <w:rPr>
                <w:rFonts w:hint="eastAsia"/>
              </w:rPr>
              <w:t>（绝对）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8" w:type="dxa"/>
            <w:vAlign w:val="top"/>
          </w:tcPr>
          <w:p>
            <w:pPr>
              <w:spacing w:before="120" w:beforeLines="50"/>
              <w:rPr>
                <w:rFonts w:hint="eastAsia"/>
              </w:rPr>
            </w:pPr>
            <w:r>
              <w:rPr>
                <w:rFonts w:hint="eastAsia"/>
              </w:rPr>
              <w:t>工作制</w:t>
            </w:r>
          </w:p>
        </w:tc>
        <w:tc>
          <w:tcPr>
            <w:tcW w:w="3511" w:type="dxa"/>
            <w:vAlign w:val="top"/>
          </w:tcPr>
          <w:p>
            <w:pPr>
              <w:spacing w:before="120" w:beforeLines="50"/>
              <w:rPr>
                <w:rFonts w:hint="eastAsia"/>
              </w:rPr>
            </w:pPr>
            <w:r>
              <w:rPr>
                <w:rFonts w:hint="eastAsia"/>
              </w:rPr>
              <w:t>24</w:t>
            </w:r>
            <w:r>
              <w:t>h/day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top"/>
          </w:tcPr>
          <w:p>
            <w:pPr>
              <w:spacing w:before="120" w:beforeLines="50"/>
              <w:rPr>
                <w:rFonts w:hint="eastAsia"/>
              </w:rPr>
            </w:pPr>
            <w:r>
              <w:rPr>
                <w:rFonts w:hint="eastAsia"/>
              </w:rPr>
              <w:t>进口空气相对湿度</w:t>
            </w:r>
          </w:p>
        </w:tc>
        <w:tc>
          <w:tcPr>
            <w:tcW w:w="3511" w:type="dxa"/>
            <w:vAlign w:val="top"/>
          </w:tcPr>
          <w:p>
            <w:pPr>
              <w:spacing w:before="120" w:beforeLines="50"/>
              <w:rPr>
                <w:rFonts w:hint="eastAsia"/>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top"/>
          </w:tcPr>
          <w:p>
            <w:pPr>
              <w:spacing w:before="120" w:beforeLines="50"/>
              <w:rPr>
                <w:rFonts w:hint="eastAsia"/>
              </w:rPr>
            </w:pPr>
            <w:r>
              <w:rPr>
                <w:rFonts w:hint="eastAsia"/>
              </w:rPr>
              <w:t>室内环境温度</w:t>
            </w:r>
          </w:p>
        </w:tc>
        <w:tc>
          <w:tcPr>
            <w:tcW w:w="3511" w:type="dxa"/>
            <w:vAlign w:val="top"/>
          </w:tcPr>
          <w:p>
            <w:pPr>
              <w:spacing w:before="120" w:beforeLines="50"/>
              <w:rPr>
                <w:rFonts w:hint="eastAsia"/>
              </w:rPr>
            </w:pPr>
            <w:r>
              <w:rPr>
                <w:rFonts w:hint="eastAsia"/>
              </w:rPr>
              <w:t>5~45</w:t>
            </w:r>
            <w:r>
              <w:rPr/>
              <w:sym w:font="Symbol" w:char="F0B0"/>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top"/>
          </w:tcPr>
          <w:p>
            <w:pPr>
              <w:spacing w:before="120" w:beforeLines="50"/>
              <w:rPr>
                <w:rFonts w:hint="eastAsia"/>
              </w:rPr>
            </w:pPr>
            <w:r>
              <w:rPr>
                <w:rFonts w:hint="eastAsia"/>
              </w:rPr>
              <w:t>室内相对湿度</w:t>
            </w:r>
          </w:p>
        </w:tc>
        <w:tc>
          <w:tcPr>
            <w:tcW w:w="3511" w:type="dxa"/>
            <w:vAlign w:val="top"/>
          </w:tcPr>
          <w:p>
            <w:pPr>
              <w:spacing w:before="120" w:beforeLines="50"/>
              <w:rPr>
                <w:rFonts w:hint="eastAsia"/>
              </w:rPr>
            </w:pPr>
            <w:r>
              <w:rPr>
                <w:rFonts w:hint="eastAsia"/>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bottom"/>
          </w:tcPr>
          <w:p>
            <w:pPr>
              <w:pStyle w:val="39"/>
              <w:spacing w:before="120" w:beforeLines="50" w:after="0" w:line="240" w:lineRule="atLeast"/>
              <w:rPr>
                <w:szCs w:val="24"/>
              </w:rPr>
            </w:pPr>
            <w:r>
              <w:rPr>
                <w:szCs w:val="24"/>
              </w:rPr>
              <w:t>电源</w:t>
            </w:r>
          </w:p>
        </w:tc>
        <w:tc>
          <w:tcPr>
            <w:tcW w:w="3511" w:type="dxa"/>
            <w:vAlign w:val="bottom"/>
          </w:tcPr>
          <w:p>
            <w:pPr>
              <w:pStyle w:val="39"/>
              <w:spacing w:before="120" w:beforeLines="50" w:after="0" w:line="240" w:lineRule="atLeast"/>
              <w:rPr>
                <w:szCs w:val="24"/>
              </w:rPr>
            </w:pPr>
            <w:r>
              <w:rPr>
                <w:szCs w:val="24"/>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bottom"/>
          </w:tcPr>
          <w:p>
            <w:pPr>
              <w:pStyle w:val="39"/>
              <w:spacing w:before="120" w:beforeLines="50" w:after="0" w:line="240" w:lineRule="atLeast"/>
              <w:rPr>
                <w:szCs w:val="24"/>
              </w:rPr>
            </w:pPr>
            <w:r>
              <w:rPr>
                <w:szCs w:val="24"/>
              </w:rPr>
              <w:t>噪声（加罩）</w:t>
            </w:r>
          </w:p>
        </w:tc>
        <w:tc>
          <w:tcPr>
            <w:tcW w:w="3511" w:type="dxa"/>
            <w:vAlign w:val="bottom"/>
          </w:tcPr>
          <w:p>
            <w:pPr>
              <w:pStyle w:val="39"/>
              <w:spacing w:before="120" w:beforeLines="50" w:after="0" w:line="240" w:lineRule="atLeast"/>
              <w:rPr>
                <w:szCs w:val="24"/>
              </w:rPr>
            </w:pPr>
            <w:r>
              <w:rPr>
                <w:szCs w:val="24"/>
              </w:rPr>
              <w:sym w:font="Symbol" w:char="F0A3"/>
            </w:r>
            <w:r>
              <w:rPr>
                <w:szCs w:val="24"/>
              </w:rPr>
              <w:t>8</w:t>
            </w:r>
            <w:r>
              <w:rPr>
                <w:rFonts w:hint="eastAsia"/>
                <w:szCs w:val="24"/>
              </w:rPr>
              <w:t>5</w:t>
            </w:r>
            <w:r>
              <w:rPr>
                <w:szCs w:val="24"/>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4158" w:type="dxa"/>
            <w:vAlign w:val="bottom"/>
          </w:tcPr>
          <w:p>
            <w:pPr>
              <w:pStyle w:val="39"/>
              <w:spacing w:before="120" w:beforeLines="50" w:after="0" w:line="240" w:lineRule="atLeast"/>
              <w:rPr>
                <w:szCs w:val="24"/>
              </w:rPr>
            </w:pPr>
            <w:r>
              <w:rPr>
                <w:rFonts w:hint="eastAsia"/>
                <w:szCs w:val="24"/>
              </w:rPr>
              <w:t>进/</w:t>
            </w:r>
            <w:r>
              <w:rPr>
                <w:szCs w:val="24"/>
              </w:rPr>
              <w:t>排气方向</w:t>
            </w:r>
          </w:p>
        </w:tc>
        <w:tc>
          <w:tcPr>
            <w:tcW w:w="3511" w:type="dxa"/>
            <w:vAlign w:val="bottom"/>
          </w:tcPr>
          <w:p>
            <w:pPr>
              <w:pStyle w:val="39"/>
              <w:spacing w:before="120" w:beforeLines="50" w:after="0" w:line="240" w:lineRule="atLeast"/>
              <w:rPr>
                <w:szCs w:val="24"/>
              </w:rPr>
            </w:pPr>
            <w:r>
              <w:rPr>
                <w:szCs w:val="24"/>
              </w:rPr>
              <w:t>参见附图</w:t>
            </w:r>
          </w:p>
        </w:tc>
      </w:tr>
    </w:tbl>
    <w:p>
      <w:pPr>
        <w:pStyle w:val="6"/>
      </w:pPr>
      <w:bookmarkStart w:id="258" w:name="_Toc155414390"/>
      <w:r>
        <w:t>鼓风机的技术要求</w:t>
      </w:r>
      <w:bookmarkEnd w:id="258"/>
    </w:p>
    <w:p>
      <w:pPr>
        <w:pStyle w:val="7"/>
        <w:rPr>
          <w:rFonts w:hint="eastAsia"/>
        </w:rPr>
      </w:pPr>
      <w:r>
        <w:rPr>
          <w:rFonts w:hint="eastAsia"/>
        </w:rPr>
        <w:t>磁悬浮鼓风机</w:t>
      </w:r>
    </w:p>
    <w:p>
      <w:pPr>
        <w:pStyle w:val="8"/>
        <w:rPr>
          <w:rFonts w:hint="eastAsia"/>
        </w:rPr>
      </w:pPr>
      <w:r>
        <w:rPr>
          <w:rFonts w:hint="eastAsia"/>
        </w:rPr>
        <w:t>*鼓风机的型式应采用高速磁悬浮单级离心式鼓风机，应为一体化设计。</w:t>
      </w:r>
    </w:p>
    <w:p>
      <w:pPr>
        <w:pStyle w:val="8"/>
        <w:rPr>
          <w:rFonts w:hint="eastAsia"/>
        </w:rPr>
      </w:pPr>
      <w:r>
        <w:rPr>
          <w:rFonts w:hint="eastAsia"/>
        </w:rPr>
        <w:t>鼓风机的设计与制造应符合EN61800-3标准，性能试验应符合ISO 5389标准。在规定的工作条件下，鼓风机、电机及其附属设备的使用寿命应不少于20年。</w:t>
      </w:r>
    </w:p>
    <w:p>
      <w:pPr>
        <w:pStyle w:val="8"/>
        <w:rPr>
          <w:rFonts w:hint="eastAsia"/>
        </w:rPr>
      </w:pPr>
      <w:r>
        <w:rPr>
          <w:rFonts w:hint="eastAsia" w:ascii="宋体" w:hAnsi="宋体" w:cs="宋体"/>
        </w:rPr>
        <w:t>磁悬浮单级离心鼓风机应提供的是完全无油的空气。</w:t>
      </w:r>
      <w:r>
        <w:rPr>
          <w:rFonts w:hint="eastAsia"/>
        </w:rPr>
        <w:t>应可根据进口温度和压差的变化进行转速的控制，调节风量，确保风机在各个工况点能达到最佳效率。</w:t>
      </w:r>
    </w:p>
    <w:p>
      <w:pPr>
        <w:pStyle w:val="8"/>
        <w:rPr>
          <w:rFonts w:hint="eastAsia"/>
        </w:rPr>
      </w:pPr>
      <w:r>
        <w:rPr>
          <w:rFonts w:hint="eastAsia"/>
        </w:rPr>
        <w:t>鼓风机涡壳与风机出口为一体，</w:t>
      </w:r>
      <w:r>
        <w:rPr>
          <w:rFonts w:hint="eastAsia" w:ascii="宋体" w:hAnsi="宋体" w:cs="宋体"/>
        </w:rPr>
        <w:t>材质为</w:t>
      </w:r>
      <w:r>
        <w:rPr>
          <w:rFonts w:hint="eastAsia" w:ascii="宋体" w:hAnsi="宋体" w:cs="宋体"/>
          <w:lang w:eastAsia="zh-CN"/>
        </w:rPr>
        <w:t>球墨铸铁或</w:t>
      </w:r>
      <w:r>
        <w:rPr>
          <w:rFonts w:hint="eastAsia" w:ascii="宋体" w:hAnsi="宋体" w:cs="宋体"/>
        </w:rPr>
        <w:t>铸铝。出口法兰</w:t>
      </w:r>
      <w:r>
        <w:rPr>
          <w:rFonts w:hint="eastAsia"/>
        </w:rPr>
        <w:t>设计压力等级为PN10。</w:t>
      </w:r>
    </w:p>
    <w:p>
      <w:pPr>
        <w:pStyle w:val="8"/>
      </w:pPr>
      <w:r>
        <w:rPr>
          <w:rFonts w:hint="eastAsia"/>
        </w:rPr>
        <w:t>叶轮由铝合金锻造制成，叶片为半开式设计，三维形状，</w:t>
      </w:r>
      <w:r>
        <w:t>所有表面需精加工</w:t>
      </w:r>
      <w:r>
        <w:rPr>
          <w:rFonts w:hint="eastAsia"/>
        </w:rPr>
        <w:t>。</w:t>
      </w:r>
    </w:p>
    <w:p>
      <w:pPr>
        <w:pStyle w:val="8"/>
      </w:pPr>
      <w:r>
        <w:rPr>
          <w:rFonts w:hint="eastAsia"/>
        </w:rPr>
        <w:t>采用风冷</w:t>
      </w:r>
      <w:r>
        <w:rPr>
          <w:rFonts w:hint="eastAsia"/>
          <w:lang w:eastAsia="zh-CN"/>
        </w:rPr>
        <w:t>或带内置循环冷却介质的</w:t>
      </w:r>
      <w:r>
        <w:rPr>
          <w:rFonts w:hint="eastAsia"/>
        </w:rPr>
        <w:t>变频高速</w:t>
      </w:r>
      <w:r>
        <w:rPr>
          <w:rFonts w:hint="eastAsia"/>
          <w:lang w:eastAsia="zh-CN"/>
        </w:rPr>
        <w:t>同步永磁</w:t>
      </w:r>
      <w:r>
        <w:rPr>
          <w:rFonts w:hint="eastAsia"/>
        </w:rPr>
        <w:t>电机。电机轴立式或水平安装,</w:t>
      </w:r>
      <w:r>
        <w:t xml:space="preserve"> </w:t>
      </w:r>
      <w:r>
        <w:rPr>
          <w:rFonts w:hint="eastAsia"/>
        </w:rPr>
        <w:t>带有磁力轴承，具有磁悬浮无级变速的特性。电机转轴直接与叶轮连接，电机的冷却风扇直接与转轴相连。电机防护等级为IP5</w:t>
      </w:r>
      <w:r>
        <w:rPr>
          <w:rFonts w:hint="eastAsia"/>
          <w:lang w:eastAsia="zh-CN"/>
        </w:rPr>
        <w:t>5</w:t>
      </w:r>
      <w:r>
        <w:rPr>
          <w:rFonts w:hint="eastAsia"/>
        </w:rPr>
        <w:t>，绝缘等级为F。电机通过弹性固定件安装在框架上。电机应具有热保护功能。</w:t>
      </w:r>
    </w:p>
    <w:p>
      <w:pPr>
        <w:pStyle w:val="8"/>
        <w:rPr>
          <w:rFonts w:hint="eastAsia"/>
        </w:rPr>
      </w:pPr>
      <w:r>
        <w:rPr>
          <w:rFonts w:hint="eastAsia"/>
        </w:rPr>
        <w:t>所采用的磁力轴承</w:t>
      </w:r>
      <w:r>
        <w:rPr>
          <w:rFonts w:hint="eastAsia" w:ascii="宋体" w:hAnsi="宋体" w:cs="宋体"/>
        </w:rPr>
        <w:t>运转部分和静止部分的表面</w:t>
      </w:r>
      <w:r>
        <w:rPr>
          <w:rFonts w:hint="eastAsia"/>
        </w:rPr>
        <w:t>应</w:t>
      </w:r>
      <w:r>
        <w:rPr>
          <w:rFonts w:hint="eastAsia" w:ascii="宋体" w:hAnsi="宋体" w:cs="宋体"/>
        </w:rPr>
        <w:t>没有任何机械接触，无摩擦，无磨损，且</w:t>
      </w:r>
      <w:r>
        <w:rPr>
          <w:rFonts w:hint="eastAsia"/>
        </w:rPr>
        <w:t>免润滑、免维护。两个径向和一个轴向电磁轴承通过活性轴承控制器控制转子，对其进行精准的定位。</w:t>
      </w:r>
      <w:r>
        <w:t>所有轴承的使用寿命应达到100000小时</w:t>
      </w:r>
      <w:r>
        <w:rPr>
          <w:rFonts w:hint="eastAsia"/>
        </w:rPr>
        <w:t>。</w:t>
      </w:r>
    </w:p>
    <w:p>
      <w:pPr>
        <w:pStyle w:val="8"/>
        <w:rPr>
          <w:rFonts w:hint="eastAsia"/>
        </w:rPr>
      </w:pPr>
      <w:r>
        <w:rPr>
          <w:rFonts w:hint="eastAsia"/>
        </w:rPr>
        <w:t>磁力轴承应具有安全轴承、备用电源等多重断电保护功能，不会因突然停电或故障停机造成任何损坏。</w:t>
      </w:r>
    </w:p>
    <w:p>
      <w:pPr>
        <w:pStyle w:val="8"/>
        <w:rPr>
          <w:rFonts w:hint="eastAsia"/>
        </w:rPr>
      </w:pPr>
      <w:r>
        <w:rPr>
          <w:rFonts w:hint="eastAsia"/>
        </w:rPr>
        <w:t>设备散热及放空应排至室外，鼓风机的系统设计应保证在给定的室内环境条件范围内安全、可靠、稳定、连续运行。不会受夏季极端温度和湿度条件的影响而停机。上述给定的车间最高温度值不含设备及管道散热造成的温升。</w:t>
      </w:r>
    </w:p>
    <w:p>
      <w:pPr>
        <w:pStyle w:val="8"/>
        <w:rPr>
          <w:rFonts w:hint="eastAsia"/>
        </w:rPr>
      </w:pPr>
      <w:r>
        <w:rPr>
          <w:rFonts w:hint="eastAsia"/>
        </w:rPr>
        <w:t>鼓风机应配置可靠的防喘振装置。</w:t>
      </w:r>
    </w:p>
    <w:p>
      <w:pPr>
        <w:pStyle w:val="8"/>
        <w:rPr>
          <w:rFonts w:hint="eastAsia"/>
        </w:rPr>
      </w:pPr>
      <w:r>
        <w:rPr>
          <w:rFonts w:hint="eastAsia"/>
        </w:rPr>
        <w:t>控制盘应带有触摸显示屏。鼓风机运行情况应能够实时进行监测，显示数据应包括(不限于此)：</w:t>
      </w:r>
    </w:p>
    <w:p>
      <w:pPr>
        <w:pStyle w:val="36"/>
        <w:rPr>
          <w:rFonts w:hint="eastAsia"/>
        </w:rPr>
      </w:pPr>
      <w:r>
        <w:rPr>
          <w:rFonts w:hint="eastAsia"/>
        </w:rPr>
        <w:t>实际的风量值（%）</w:t>
      </w:r>
    </w:p>
    <w:p>
      <w:pPr>
        <w:pStyle w:val="36"/>
        <w:rPr>
          <w:rFonts w:hint="eastAsia"/>
        </w:rPr>
      </w:pPr>
      <w:r>
        <w:rPr>
          <w:rFonts w:hint="eastAsia"/>
        </w:rPr>
        <w:t>压力比</w:t>
      </w:r>
    </w:p>
    <w:p>
      <w:pPr>
        <w:pStyle w:val="36"/>
        <w:rPr>
          <w:rFonts w:hint="eastAsia"/>
        </w:rPr>
      </w:pPr>
      <w:r>
        <w:rPr>
          <w:rFonts w:hint="eastAsia"/>
        </w:rPr>
        <w:t>进口压力（kPa）</w:t>
      </w:r>
    </w:p>
    <w:p>
      <w:pPr>
        <w:pStyle w:val="36"/>
        <w:rPr>
          <w:rFonts w:hint="eastAsia"/>
        </w:rPr>
      </w:pPr>
      <w:r>
        <w:rPr>
          <w:rFonts w:hint="eastAsia"/>
        </w:rPr>
        <w:t>出口压力（kPa）</w:t>
      </w:r>
    </w:p>
    <w:p>
      <w:pPr>
        <w:pStyle w:val="36"/>
        <w:rPr>
          <w:rFonts w:hint="eastAsia"/>
        </w:rPr>
      </w:pPr>
      <w:r>
        <w:rPr>
          <w:rFonts w:hint="eastAsia"/>
        </w:rPr>
        <w:t>电机供电频率（Hz）</w:t>
      </w:r>
    </w:p>
    <w:p>
      <w:pPr>
        <w:pStyle w:val="36"/>
        <w:rPr>
          <w:rFonts w:hint="eastAsia"/>
        </w:rPr>
      </w:pPr>
      <w:r>
        <w:rPr>
          <w:rFonts w:hint="eastAsia"/>
        </w:rPr>
        <w:t>电机扭矩（Nm）</w:t>
      </w:r>
    </w:p>
    <w:p>
      <w:pPr>
        <w:pStyle w:val="36"/>
        <w:rPr>
          <w:rFonts w:hint="eastAsia"/>
        </w:rPr>
      </w:pPr>
      <w:r>
        <w:rPr>
          <w:rFonts w:hint="eastAsia"/>
        </w:rPr>
        <w:t>电机电流（A）</w:t>
      </w:r>
    </w:p>
    <w:p>
      <w:pPr>
        <w:pStyle w:val="36"/>
        <w:rPr>
          <w:rFonts w:hint="eastAsia"/>
        </w:rPr>
      </w:pPr>
      <w:r>
        <w:rPr>
          <w:rFonts w:hint="eastAsia"/>
        </w:rPr>
        <w:t>电机电压（V）</w:t>
      </w:r>
    </w:p>
    <w:p>
      <w:pPr>
        <w:pStyle w:val="36"/>
        <w:rPr>
          <w:rFonts w:hint="eastAsia"/>
        </w:rPr>
      </w:pPr>
      <w:r>
        <w:rPr>
          <w:rFonts w:hint="eastAsia"/>
        </w:rPr>
        <w:t>直流回路电压（V）</w:t>
      </w:r>
    </w:p>
    <w:p>
      <w:pPr>
        <w:pStyle w:val="36"/>
        <w:rPr>
          <w:rFonts w:hint="eastAsia"/>
        </w:rPr>
      </w:pPr>
      <w:r>
        <w:rPr>
          <w:rFonts w:hint="eastAsia"/>
        </w:rPr>
        <w:t>电机温度（</w:t>
      </w:r>
      <w:r>
        <w:rPr>
          <w:rFonts w:hint="eastAsia" w:ascii="宋体" w:hAnsi="宋体"/>
        </w:rPr>
        <w:t>℃）</w:t>
      </w:r>
    </w:p>
    <w:p>
      <w:pPr>
        <w:pStyle w:val="36"/>
        <w:rPr>
          <w:rFonts w:hint="eastAsia"/>
        </w:rPr>
      </w:pPr>
      <w:r>
        <w:rPr>
          <w:rFonts w:hint="eastAsia"/>
        </w:rPr>
        <w:t>变频器温度（</w:t>
      </w:r>
      <w:r>
        <w:rPr>
          <w:rFonts w:hint="eastAsia" w:ascii="宋体" w:hAnsi="宋体"/>
        </w:rPr>
        <w:t>℃）</w:t>
      </w:r>
    </w:p>
    <w:p>
      <w:pPr>
        <w:pStyle w:val="36"/>
        <w:rPr>
          <w:rFonts w:hint="eastAsia"/>
        </w:rPr>
      </w:pPr>
      <w:r>
        <w:rPr>
          <w:rFonts w:hint="eastAsia"/>
        </w:rPr>
        <w:t>进口空气温度（</w:t>
      </w:r>
      <w:r>
        <w:rPr>
          <w:rFonts w:hint="eastAsia" w:ascii="宋体" w:hAnsi="宋体"/>
        </w:rPr>
        <w:t>℃）</w:t>
      </w:r>
    </w:p>
    <w:p>
      <w:pPr>
        <w:pStyle w:val="36"/>
        <w:rPr>
          <w:rFonts w:hint="eastAsia"/>
        </w:rPr>
      </w:pPr>
      <w:r>
        <w:rPr>
          <w:rFonts w:hint="eastAsia" w:ascii="宋体" w:hAnsi="宋体"/>
        </w:rPr>
        <w:t>风机转速（</w:t>
      </w:r>
      <w:r>
        <w:t>rpm</w:t>
      </w:r>
      <w:r>
        <w:rPr>
          <w:rFonts w:hint="eastAsia" w:ascii="宋体" w:hAnsi="宋体"/>
        </w:rPr>
        <w:t>）</w:t>
      </w:r>
    </w:p>
    <w:p>
      <w:pPr>
        <w:pStyle w:val="36"/>
        <w:rPr>
          <w:rFonts w:hint="eastAsia"/>
        </w:rPr>
      </w:pPr>
      <w:r>
        <w:rPr>
          <w:rFonts w:hint="eastAsia"/>
        </w:rPr>
        <w:t>运行时间（小时）</w:t>
      </w:r>
    </w:p>
    <w:p>
      <w:pPr>
        <w:pStyle w:val="36"/>
        <w:rPr>
          <w:rFonts w:hint="eastAsia"/>
        </w:rPr>
      </w:pPr>
      <w:r>
        <w:rPr>
          <w:rFonts w:hint="eastAsia"/>
        </w:rPr>
        <w:t>运行时间（天）</w:t>
      </w:r>
    </w:p>
    <w:p>
      <w:pPr>
        <w:pStyle w:val="8"/>
        <w:rPr>
          <w:rFonts w:hint="eastAsia"/>
        </w:rPr>
      </w:pPr>
      <w:r>
        <w:rPr>
          <w:rFonts w:hint="eastAsia"/>
        </w:rPr>
        <w:t>在鼓风机的运行过程中，如果控制系统检测到故障，风机应会自动报警或停机，且控制盘上会显示故障信号。所有信号应能远传。</w:t>
      </w:r>
    </w:p>
    <w:p>
      <w:pPr>
        <w:pStyle w:val="8"/>
        <w:rPr>
          <w:rFonts w:hint="eastAsia"/>
        </w:rPr>
      </w:pPr>
      <w:r>
        <w:rPr>
          <w:rFonts w:hint="eastAsia"/>
        </w:rPr>
        <w:t>鼓风机还应具有如下保护功能（不限于此）：</w:t>
      </w:r>
    </w:p>
    <w:p>
      <w:pPr>
        <w:pStyle w:val="36"/>
        <w:rPr>
          <w:rFonts w:hint="eastAsia"/>
        </w:rPr>
      </w:pPr>
      <w:r>
        <w:rPr>
          <w:rFonts w:hint="eastAsia"/>
        </w:rPr>
        <w:t>主电源的电压过载</w:t>
      </w:r>
    </w:p>
    <w:p>
      <w:pPr>
        <w:pStyle w:val="36"/>
        <w:rPr>
          <w:rFonts w:hint="eastAsia"/>
        </w:rPr>
      </w:pPr>
      <w:r>
        <w:rPr>
          <w:rFonts w:hint="eastAsia"/>
        </w:rPr>
        <w:t>主电源的欠压</w:t>
      </w:r>
    </w:p>
    <w:p>
      <w:pPr>
        <w:pStyle w:val="36"/>
        <w:rPr>
          <w:rFonts w:hint="eastAsia"/>
        </w:rPr>
      </w:pPr>
      <w:r>
        <w:rPr>
          <w:rFonts w:hint="eastAsia"/>
        </w:rPr>
        <w:t>一相故障</w:t>
      </w:r>
    </w:p>
    <w:p>
      <w:pPr>
        <w:pStyle w:val="36"/>
        <w:rPr>
          <w:rFonts w:hint="eastAsia"/>
        </w:rPr>
      </w:pPr>
      <w:r>
        <w:rPr>
          <w:rFonts w:hint="eastAsia"/>
        </w:rPr>
        <w:t>辅助电源的过/欠压</w:t>
      </w:r>
    </w:p>
    <w:p>
      <w:pPr>
        <w:pStyle w:val="36"/>
        <w:rPr>
          <w:rFonts w:hint="eastAsia"/>
        </w:rPr>
      </w:pPr>
      <w:r>
        <w:rPr>
          <w:rFonts w:hint="eastAsia"/>
        </w:rPr>
        <w:t>进口及出口空气管的堵塞</w:t>
      </w:r>
    </w:p>
    <w:p>
      <w:pPr>
        <w:pStyle w:val="36"/>
        <w:rPr>
          <w:rFonts w:hint="eastAsia"/>
        </w:rPr>
      </w:pPr>
      <w:r>
        <w:rPr>
          <w:rFonts w:hint="eastAsia"/>
        </w:rPr>
        <w:t>空气温度超出规定限值</w:t>
      </w:r>
    </w:p>
    <w:p>
      <w:pPr>
        <w:pStyle w:val="36"/>
      </w:pPr>
      <w:r>
        <w:rPr>
          <w:rFonts w:hint="eastAsia"/>
        </w:rPr>
        <w:t>冷却空气温度超出规定温度限值</w:t>
      </w:r>
    </w:p>
    <w:p>
      <w:pPr>
        <w:pStyle w:val="7"/>
        <w:rPr>
          <w:rFonts w:hint="eastAsia"/>
        </w:rPr>
      </w:pPr>
      <w:r>
        <w:t>辅助设备</w:t>
      </w:r>
    </w:p>
    <w:p>
      <w:pPr>
        <w:pStyle w:val="8"/>
      </w:pPr>
      <w:r>
        <w:t>出口</w:t>
      </w:r>
      <w:r>
        <w:rPr>
          <w:rFonts w:hint="eastAsia"/>
        </w:rPr>
        <w:t>柔性接头</w:t>
      </w:r>
    </w:p>
    <w:p>
      <w:pPr>
        <w:pStyle w:val="36"/>
        <w:rPr>
          <w:rFonts w:hint="eastAsia"/>
        </w:rPr>
      </w:pPr>
      <w:r>
        <w:t>每台鼓风机出口应配有</w:t>
      </w:r>
      <w:r>
        <w:rPr>
          <w:rFonts w:hint="eastAsia"/>
        </w:rPr>
        <w:t>出口柔性接头，采用不锈钢金属</w:t>
      </w:r>
      <w:r>
        <w:t>膨胀节</w:t>
      </w:r>
      <w:r>
        <w:rPr>
          <w:rFonts w:hint="eastAsia"/>
        </w:rPr>
        <w:t>，</w:t>
      </w:r>
      <w:r>
        <w:t>可以降低由热膨胀引起的管道应力和鼓风机引起的管道振动</w:t>
      </w:r>
      <w:r>
        <w:rPr>
          <w:rFonts w:hint="eastAsia"/>
        </w:rPr>
        <w:t>。</w:t>
      </w:r>
      <w:r>
        <w:t>膨胀节应能承受所有运行工况的压力和0～200</w:t>
      </w:r>
      <w:r>
        <w:rPr/>
        <w:sym w:font="Symbol" w:char="F0B0"/>
      </w:r>
      <w:r>
        <w:t>C的温度</w:t>
      </w:r>
      <w:r>
        <w:rPr>
          <w:rFonts w:hint="eastAsia"/>
        </w:rPr>
        <w:t>。</w:t>
      </w:r>
    </w:p>
    <w:p>
      <w:pPr>
        <w:pStyle w:val="8"/>
      </w:pPr>
      <w:r>
        <w:t>出口扩压管</w:t>
      </w:r>
    </w:p>
    <w:p>
      <w:pPr>
        <w:pStyle w:val="36"/>
        <w:rPr>
          <w:rFonts w:hint="eastAsia"/>
        </w:rPr>
      </w:pPr>
      <w:r>
        <w:t>每台鼓风机应在鼓风机出口与出口管间配有扩压管以降低空气流速至20米/秒</w:t>
      </w:r>
      <w:r>
        <w:rPr>
          <w:rFonts w:hint="eastAsia"/>
        </w:rPr>
        <w:t>。</w:t>
      </w:r>
      <w:r>
        <w:t>出口扩压管的长度经空气动力学设计以回收动压及</w:t>
      </w:r>
      <w:r>
        <w:rPr>
          <w:rFonts w:hint="eastAsia"/>
        </w:rPr>
        <w:t>将</w:t>
      </w:r>
      <w:r>
        <w:t>气流扰动</w:t>
      </w:r>
      <w:r>
        <w:rPr>
          <w:rFonts w:hint="eastAsia"/>
        </w:rPr>
        <w:t>减小到最</w:t>
      </w:r>
      <w:r>
        <w:t>小</w:t>
      </w:r>
      <w:r>
        <w:rPr>
          <w:rFonts w:hint="eastAsia"/>
        </w:rPr>
        <w:t>。</w:t>
      </w:r>
      <w:r>
        <w:t>出口扩压管应配有法兰及</w:t>
      </w:r>
      <w:r>
        <w:rPr>
          <w:rFonts w:hint="eastAsia"/>
        </w:rPr>
        <w:t>安装传感器的</w:t>
      </w:r>
      <w:r>
        <w:t>接口</w:t>
      </w:r>
      <w:r>
        <w:rPr>
          <w:rFonts w:hint="eastAsia"/>
        </w:rPr>
        <w:t>。</w:t>
      </w:r>
    </w:p>
    <w:p>
      <w:pPr>
        <w:pStyle w:val="8"/>
        <w:rPr>
          <w:rFonts w:hint="eastAsia"/>
        </w:rPr>
      </w:pPr>
      <w:r>
        <w:rPr>
          <w:rFonts w:hint="eastAsia"/>
        </w:rPr>
        <w:t>放</w:t>
      </w:r>
      <w:r>
        <w:t>空(旁通)阀</w:t>
      </w:r>
    </w:p>
    <w:p>
      <w:pPr>
        <w:pStyle w:val="36"/>
        <w:rPr>
          <w:rFonts w:hint="eastAsia"/>
        </w:rPr>
      </w:pPr>
      <w:r>
        <w:t>每台鼓风机应配有</w:t>
      </w:r>
      <w:r>
        <w:rPr>
          <w:rFonts w:hint="eastAsia"/>
        </w:rPr>
        <w:t>自动放</w:t>
      </w:r>
      <w:r>
        <w:t>空阀以便在无负荷情况下起动和停</w:t>
      </w:r>
      <w:r>
        <w:rPr>
          <w:rFonts w:hint="eastAsia"/>
        </w:rPr>
        <w:t>机。</w:t>
      </w:r>
      <w:r>
        <w:t>阀门应为适用于</w:t>
      </w:r>
      <w:r>
        <w:rPr>
          <w:rFonts w:hint="eastAsia"/>
        </w:rPr>
        <w:t>高温</w:t>
      </w:r>
      <w:r>
        <w:t>空气的</w:t>
      </w:r>
      <w:r>
        <w:rPr>
          <w:rFonts w:hint="eastAsia"/>
        </w:rPr>
        <w:t>气动或电动</w:t>
      </w:r>
      <w:r>
        <w:t>蝶阀</w:t>
      </w:r>
      <w:r>
        <w:rPr>
          <w:rFonts w:hint="eastAsia"/>
        </w:rPr>
        <w:t>，</w:t>
      </w:r>
      <w:r>
        <w:t>配有限位开关的阀门操作器可用于200</w:t>
      </w:r>
      <w:r>
        <w:rPr/>
        <w:sym w:font="Symbol" w:char="F0B0"/>
      </w:r>
      <w:r>
        <w:t>C的运行温度</w:t>
      </w:r>
      <w:r>
        <w:rPr>
          <w:rFonts w:hint="eastAsia"/>
        </w:rPr>
        <w:t>。</w:t>
      </w:r>
      <w:r>
        <w:t>在自动运行状态下,阀门操作器将根据鼓风机控制柜上的远距离开闭信号来调节阀门的开和关</w:t>
      </w:r>
      <w:r>
        <w:rPr>
          <w:rFonts w:hint="eastAsia"/>
        </w:rPr>
        <w:t>。</w:t>
      </w:r>
      <w:r>
        <w:t>在手动运行状态下</w:t>
      </w:r>
      <w:r>
        <w:rPr>
          <w:rFonts w:hint="eastAsia"/>
        </w:rPr>
        <w:t>，</w:t>
      </w:r>
      <w:r>
        <w:t>靠开关按钮来控制阀门的开和关</w:t>
      </w:r>
      <w:r>
        <w:rPr>
          <w:rFonts w:hint="eastAsia"/>
        </w:rPr>
        <w:t>。</w:t>
      </w:r>
      <w:r>
        <w:t>每台鼓风机的就地控制柜上应配有显示阀门全开或全关的指示灯</w:t>
      </w:r>
      <w:r>
        <w:rPr>
          <w:rFonts w:hint="eastAsia"/>
        </w:rPr>
        <w:t>。</w:t>
      </w:r>
    </w:p>
    <w:p>
      <w:pPr>
        <w:pStyle w:val="36"/>
      </w:pPr>
      <w:r>
        <w:rPr>
          <w:rFonts w:hint="eastAsia"/>
        </w:rPr>
        <w:t>如果采用气动放空阀，气源应由鼓风机提供，不应配备单独的外加气源。</w:t>
      </w:r>
    </w:p>
    <w:p>
      <w:pPr>
        <w:pStyle w:val="8"/>
        <w:rPr>
          <w:rFonts w:hint="eastAsia"/>
        </w:rPr>
      </w:pPr>
      <w:r>
        <w:rPr>
          <w:rFonts w:hint="eastAsia"/>
        </w:rPr>
        <w:t>出口</w:t>
      </w:r>
      <w:r>
        <w:t>止回阀</w:t>
      </w:r>
      <w:r>
        <w:rPr>
          <w:rFonts w:hint="eastAsia"/>
        </w:rPr>
        <w:t>和</w:t>
      </w:r>
      <w:r>
        <w:rPr>
          <w:rFonts w:hint="eastAsia"/>
          <w:lang w:eastAsia="zh-CN"/>
        </w:rPr>
        <w:t>手</w:t>
      </w:r>
      <w:r>
        <w:rPr>
          <w:rFonts w:hint="eastAsia"/>
        </w:rPr>
        <w:t>动蝶阀</w:t>
      </w:r>
    </w:p>
    <w:p>
      <w:pPr>
        <w:pStyle w:val="36"/>
        <w:rPr>
          <w:rFonts w:hint="eastAsia"/>
        </w:rPr>
      </w:pPr>
      <w:r>
        <w:t>每台鼓风机应配有止回阀</w:t>
      </w:r>
      <w:r>
        <w:rPr>
          <w:rFonts w:hint="eastAsia"/>
        </w:rPr>
        <w:t>和</w:t>
      </w:r>
      <w:r>
        <w:rPr>
          <w:rFonts w:hint="eastAsia"/>
          <w:lang w:eastAsia="zh-CN"/>
        </w:rPr>
        <w:t>手</w:t>
      </w:r>
      <w:r>
        <w:rPr>
          <w:rFonts w:hint="eastAsia"/>
        </w:rPr>
        <w:t>动蝶阀。</w:t>
      </w:r>
      <w:r>
        <w:t>阀门</w:t>
      </w:r>
      <w:r>
        <w:rPr>
          <w:rFonts w:hint="eastAsia"/>
        </w:rPr>
        <w:t>应</w:t>
      </w:r>
      <w:r>
        <w:t>适用于200</w:t>
      </w:r>
      <w:r>
        <w:rPr/>
        <w:sym w:font="Symbol" w:char="F0B0"/>
      </w:r>
      <w:r>
        <w:t>C温度</w:t>
      </w:r>
      <w:r>
        <w:rPr>
          <w:rFonts w:hint="eastAsia"/>
        </w:rPr>
        <w:t>。</w:t>
      </w:r>
    </w:p>
    <w:p>
      <w:pPr>
        <w:pStyle w:val="36"/>
        <w:rPr>
          <w:rFonts w:hint="eastAsia"/>
        </w:rPr>
      </w:pPr>
      <w:r>
        <w:rPr>
          <w:rFonts w:hint="eastAsia"/>
        </w:rPr>
        <w:t>阀门要求参见3.9条款相关内容。</w:t>
      </w:r>
    </w:p>
    <w:p>
      <w:pPr>
        <w:pStyle w:val="8"/>
        <w:rPr>
          <w:rFonts w:hint="eastAsia"/>
        </w:rPr>
      </w:pPr>
      <w:r>
        <w:rPr>
          <w:rFonts w:hint="eastAsia"/>
        </w:rPr>
        <w:t>隔音罩</w:t>
      </w:r>
    </w:p>
    <w:p>
      <w:pPr>
        <w:pStyle w:val="36"/>
      </w:pPr>
      <w:r>
        <w:rPr>
          <w:rFonts w:hint="eastAsia"/>
        </w:rPr>
        <w:t>应设有整机隔音罩</w:t>
      </w:r>
      <w:r>
        <w:t>,</w:t>
      </w:r>
      <w:r>
        <w:rPr>
          <w:rFonts w:hint="eastAsia"/>
        </w:rPr>
        <w:t xml:space="preserve"> 并设有电动通风装置。</w:t>
      </w:r>
    </w:p>
    <w:p>
      <w:pPr>
        <w:pStyle w:val="8"/>
      </w:pPr>
      <w:r>
        <w:t>底座及其安装</w:t>
      </w:r>
      <w:r>
        <w:rPr>
          <w:rFonts w:hint="eastAsia"/>
        </w:rPr>
        <w:t>地脚</w:t>
      </w:r>
    </w:p>
    <w:p>
      <w:pPr>
        <w:pStyle w:val="36"/>
        <w:rPr>
          <w:rFonts w:hint="eastAsia"/>
        </w:rPr>
      </w:pPr>
      <w:r>
        <w:t>每台鼓风机应配有一个公用底座以安装鼓风机</w:t>
      </w:r>
      <w:r>
        <w:rPr>
          <w:rFonts w:hint="eastAsia"/>
        </w:rPr>
        <w:t>、</w:t>
      </w:r>
      <w:r>
        <w:t>电机</w:t>
      </w:r>
      <w:r>
        <w:rPr>
          <w:rFonts w:hint="eastAsia"/>
        </w:rPr>
        <w:t>、电磁轴承控制器、变频器、控制箱及其它</w:t>
      </w:r>
      <w:r>
        <w:t>附件</w:t>
      </w:r>
      <w:r>
        <w:rPr>
          <w:rFonts w:hint="eastAsia"/>
        </w:rPr>
        <w:t>。</w:t>
      </w:r>
      <w:r>
        <w:t>该底座应</w:t>
      </w:r>
      <w:r>
        <w:rPr>
          <w:rFonts w:hint="eastAsia"/>
        </w:rPr>
        <w:t>由成型钢材制成，具</w:t>
      </w:r>
      <w:r>
        <w:t>有足够的刚性</w:t>
      </w:r>
      <w:r>
        <w:rPr>
          <w:rFonts w:hint="eastAsia"/>
        </w:rPr>
        <w:t>，并</w:t>
      </w:r>
      <w:r>
        <w:t>采用四点吊装</w:t>
      </w:r>
      <w:r>
        <w:rPr>
          <w:rFonts w:hint="eastAsia"/>
        </w:rPr>
        <w:t>。</w:t>
      </w:r>
      <w:r>
        <w:t>在设备整体吊装时不允许发生变型或其他损伤</w:t>
      </w:r>
      <w:r>
        <w:rPr>
          <w:rFonts w:hint="eastAsia"/>
        </w:rPr>
        <w:t>。</w:t>
      </w:r>
    </w:p>
    <w:p>
      <w:pPr>
        <w:pStyle w:val="36"/>
        <w:rPr>
          <w:rFonts w:hint="eastAsia"/>
        </w:rPr>
      </w:pPr>
      <w:r>
        <w:t>底座</w:t>
      </w:r>
      <w:r>
        <w:rPr>
          <w:rFonts w:hint="eastAsia"/>
        </w:rPr>
        <w:t>及</w:t>
      </w:r>
      <w:r>
        <w:t>安装</w:t>
      </w:r>
      <w:r>
        <w:rPr>
          <w:rFonts w:hint="eastAsia"/>
        </w:rPr>
        <w:t>地脚由鼓风机制造商提供，应带有减振装置，吸收鼓风机的振动，无变形。</w:t>
      </w:r>
    </w:p>
    <w:p>
      <w:pPr>
        <w:pStyle w:val="36"/>
        <w:rPr>
          <w:rFonts w:hint="eastAsia"/>
        </w:rPr>
      </w:pPr>
      <w:r>
        <w:rPr>
          <w:rFonts w:hint="eastAsia"/>
        </w:rPr>
        <w:t>鼓风机的地脚应具有调平功能，保证鼓风机的安装精度。</w:t>
      </w:r>
    </w:p>
    <w:p>
      <w:pPr>
        <w:pStyle w:val="8"/>
      </w:pPr>
      <w:r>
        <w:rPr>
          <w:rFonts w:hint="eastAsia"/>
        </w:rPr>
        <w:t>管路系统</w:t>
      </w:r>
    </w:p>
    <w:p>
      <w:pPr>
        <w:pStyle w:val="36"/>
        <w:rPr>
          <w:rFonts w:hint="eastAsia"/>
        </w:rPr>
      </w:pPr>
      <w:r>
        <w:rPr>
          <w:rFonts w:hint="eastAsia"/>
        </w:rPr>
        <w:t>卖方应根据现场条件和运行需要配备系统的所有进出风管路、弯头、管件、支架、安装及连接附件和地脚螺栓等，管路系统包括：工艺气体进（支管）、出风管路、放空管路</w:t>
      </w:r>
      <w:r>
        <w:rPr>
          <w:rFonts w:hint="eastAsia"/>
          <w:lang w:eastAsia="zh-CN"/>
        </w:rPr>
        <w:t>，</w:t>
      </w:r>
      <w:r>
        <w:rPr>
          <w:rFonts w:hint="eastAsia"/>
        </w:rPr>
        <w:t>工艺气体出风管为鼓风机出风口至生物池，包含生物池厂区埋地环管。</w:t>
      </w:r>
    </w:p>
    <w:p>
      <w:pPr>
        <w:pStyle w:val="36"/>
      </w:pPr>
      <w:r>
        <w:t>工艺气体总进风管为矩型结构，由镀锌钢板加工制成，板厚不小于2mm; 应配有角钢加强肋、支架</w:t>
      </w:r>
      <w:r>
        <w:rPr>
          <w:rFonts w:hint="eastAsia"/>
        </w:rPr>
        <w:t>、</w:t>
      </w:r>
      <w:r>
        <w:t>安装和连接附件。总进风管从</w:t>
      </w:r>
      <w:r>
        <w:rPr>
          <w:kern w:val="0"/>
          <w:lang w:val="zh-CN"/>
        </w:rPr>
        <w:t>室外进风，长度约25~30m</w:t>
      </w:r>
      <w:r>
        <w:rPr>
          <w:rFonts w:hint="eastAsia"/>
          <w:kern w:val="0"/>
          <w:lang w:val="zh-CN"/>
        </w:rPr>
        <w:t>（</w:t>
      </w:r>
      <w:r>
        <w:rPr>
          <w:rFonts w:hint="eastAsia" w:ascii="宋体" w:cs="宋体"/>
          <w:kern w:val="0"/>
          <w:lang w:val="zh-CN"/>
        </w:rPr>
        <w:t>根据施工图布置最终确定，不做价格调整）</w:t>
      </w:r>
      <w:r>
        <w:t>。总进风管</w:t>
      </w:r>
      <w:r>
        <w:rPr>
          <w:rFonts w:hint="eastAsia"/>
        </w:rPr>
        <w:t>进</w:t>
      </w:r>
      <w:r>
        <w:t>风口</w:t>
      </w:r>
      <w:r>
        <w:rPr>
          <w:rFonts w:hint="eastAsia"/>
        </w:rPr>
        <w:t>应</w:t>
      </w:r>
      <w:r>
        <w:t>配有固定百叶及防雨装置。车间内3台鼓风机从总进风管吸风，总进风管的高度尺寸应与磁悬浮风机的</w:t>
      </w:r>
      <w:r>
        <w:rPr>
          <w:rFonts w:hint="eastAsia"/>
        </w:rPr>
        <w:t>工艺气体</w:t>
      </w:r>
      <w:r>
        <w:t>进风过滤器</w:t>
      </w:r>
      <w:r>
        <w:rPr>
          <w:rFonts w:hint="eastAsia"/>
        </w:rPr>
        <w:t>及冷却气体过滤器</w:t>
      </w:r>
      <w:r>
        <w:t>相匹配，并配套相应的连接和密封装置上。总进风管的高度×宽度尺寸应不小于1米×1米。在室内总进风管段</w:t>
      </w:r>
      <w:r>
        <w:rPr>
          <w:rFonts w:hint="eastAsia"/>
        </w:rPr>
        <w:t>上</w:t>
      </w:r>
      <w:r>
        <w:t>设两道插拔式粗滤装置，可方便更换</w:t>
      </w:r>
      <w:r>
        <w:rPr>
          <w:rFonts w:hint="eastAsia"/>
        </w:rPr>
        <w:t>滤棉</w:t>
      </w:r>
      <w:r>
        <w:t>。应根据鼓风机的进口除尘</w:t>
      </w:r>
      <w:r>
        <w:rPr>
          <w:rFonts w:hint="eastAsia"/>
        </w:rPr>
        <w:t>的</w:t>
      </w:r>
      <w:r>
        <w:t>要求配套相应过滤精度</w:t>
      </w:r>
      <w:r>
        <w:rPr>
          <w:rFonts w:hint="eastAsia"/>
        </w:rPr>
        <w:t>的</w:t>
      </w:r>
      <w:r>
        <w:t>滤</w:t>
      </w:r>
      <w:r>
        <w:rPr>
          <w:rFonts w:hint="eastAsia"/>
        </w:rPr>
        <w:t>棉</w:t>
      </w:r>
      <w:r>
        <w:t>，滤棉为化纤材质。招标附图中未画出此段总进风管道，但上述所有内容应包含在设备的供货范围内。</w:t>
      </w:r>
    </w:p>
    <w:p>
      <w:pPr>
        <w:pStyle w:val="36"/>
        <w:rPr>
          <w:rFonts w:hint="eastAsia"/>
        </w:rPr>
      </w:pPr>
      <w:r>
        <w:rPr>
          <w:rFonts w:hint="eastAsia"/>
        </w:rPr>
        <w:t>所有对车间环境温度可能造成温升影响的管路系统应做保温处理，并配有铝制防护板，由卖方负责供货。</w:t>
      </w:r>
    </w:p>
    <w:p>
      <w:pPr>
        <w:pStyle w:val="36"/>
      </w:pPr>
      <w:r>
        <w:rPr>
          <w:rFonts w:hint="eastAsia"/>
        </w:rPr>
        <w:t>冷却排风管路采用镀锌钢，管道壁厚应不小于3mm; 应设有百叶和防雨装置，由卖方负责</w:t>
      </w:r>
    </w:p>
    <w:p>
      <w:pPr>
        <w:pStyle w:val="6"/>
      </w:pPr>
      <w:bookmarkStart w:id="259" w:name="_Toc155414391"/>
      <w:r>
        <w:t>主要零部件材料</w:t>
      </w:r>
      <w:bookmarkEnd w:id="259"/>
    </w:p>
    <w:tbl>
      <w:tblPr>
        <w:tblStyle w:val="19"/>
        <w:tblW w:w="7733"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3"/>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风机壳</w:t>
            </w:r>
          </w:p>
        </w:tc>
        <w:tc>
          <w:tcPr>
            <w:tcW w:w="3800" w:type="dxa"/>
            <w:vAlign w:val="top"/>
          </w:tcPr>
          <w:p>
            <w:pPr>
              <w:spacing w:before="120"/>
            </w:pPr>
            <w:r>
              <w:rPr>
                <w:rFonts w:hint="eastAsia"/>
              </w:rPr>
              <w:t>铸造铝合金或球墨铸铁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叶轮</w:t>
            </w:r>
          </w:p>
        </w:tc>
        <w:tc>
          <w:tcPr>
            <w:tcW w:w="3800" w:type="dxa"/>
            <w:vAlign w:val="top"/>
          </w:tcPr>
          <w:p>
            <w:pPr>
              <w:spacing w:before="120"/>
              <w:rPr>
                <w:rFonts w:hint="eastAsia"/>
              </w:rPr>
            </w:pPr>
            <w:r>
              <w:rPr>
                <w:rFonts w:hint="eastAsia"/>
              </w:rPr>
              <w:t xml:space="preserve">锻造铝合金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主轴</w:t>
            </w:r>
          </w:p>
        </w:tc>
        <w:tc>
          <w:tcPr>
            <w:tcW w:w="3800" w:type="dxa"/>
            <w:vAlign w:val="top"/>
          </w:tcPr>
          <w:p>
            <w:pPr>
              <w:spacing w:before="120"/>
              <w:rPr>
                <w:rFonts w:hint="eastAsia"/>
              </w:rPr>
            </w:pPr>
            <w:r>
              <w:rPr>
                <w:rFonts w:hint="eastAsia"/>
              </w:rPr>
              <w:t>铬钼合金钢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底座</w:t>
            </w:r>
          </w:p>
        </w:tc>
        <w:tc>
          <w:tcPr>
            <w:tcW w:w="3800" w:type="dxa"/>
            <w:vAlign w:val="top"/>
          </w:tcPr>
          <w:p>
            <w:pPr>
              <w:spacing w:before="120"/>
              <w:rPr>
                <w:rFonts w:hint="eastAsia"/>
              </w:rPr>
            </w:pPr>
            <w:r>
              <w:rPr>
                <w:rFonts w:hint="eastAsia"/>
              </w:rPr>
              <w:t>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进口消音器和过滤器</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隔音罩</w:t>
            </w:r>
          </w:p>
        </w:tc>
        <w:tc>
          <w:tcPr>
            <w:tcW w:w="3800" w:type="dxa"/>
            <w:vAlign w:val="top"/>
          </w:tcPr>
          <w:p>
            <w:pPr>
              <w:spacing w:before="120"/>
              <w:rPr>
                <w:rFonts w:hint="eastAsia"/>
              </w:rPr>
            </w:pPr>
            <w:r>
              <w:rPr>
                <w:rFonts w:hint="eastAsia"/>
              </w:rP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排气消音器和电机冷却消音器</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进出风管及锥形扩压器</w:t>
            </w:r>
          </w:p>
        </w:tc>
        <w:tc>
          <w:tcPr>
            <w:tcW w:w="3800" w:type="dxa"/>
            <w:vAlign w:val="top"/>
          </w:tcPr>
          <w:p>
            <w:pPr>
              <w:spacing w:before="120"/>
              <w:rPr>
                <w:rFonts w:hint="eastAsia"/>
              </w:rPr>
            </w:pPr>
            <w:r>
              <w:rPr>
                <w:rFonts w:hint="eastAsia"/>
              </w:rP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排风管路</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进风总管</w:t>
            </w:r>
          </w:p>
        </w:tc>
        <w:tc>
          <w:tcPr>
            <w:tcW w:w="3800" w:type="dxa"/>
            <w:vAlign w:val="top"/>
          </w:tcPr>
          <w:p>
            <w:pPr>
              <w:spacing w:before="120"/>
              <w:rPr>
                <w:rFonts w:hint="eastAsia"/>
              </w:rPr>
            </w:pPr>
            <w:r>
              <w:rPr>
                <w:rFonts w:hint="eastAsia"/>
              </w:rPr>
              <w:t>镀锌钢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管道支架</w:t>
            </w:r>
          </w:p>
        </w:tc>
        <w:tc>
          <w:tcPr>
            <w:tcW w:w="3800" w:type="dxa"/>
            <w:vAlign w:val="top"/>
          </w:tcPr>
          <w:p>
            <w:pPr>
              <w:spacing w:before="120"/>
              <w:rPr>
                <w:rFonts w:hint="eastAsia"/>
              </w:rPr>
            </w:pPr>
            <w:r>
              <w:rPr>
                <w:rFonts w:hint="eastAsia"/>
              </w:rPr>
              <w:t>镀锌钢或Q235-B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3" w:type="dxa"/>
            <w:vAlign w:val="top"/>
          </w:tcPr>
          <w:p>
            <w:pPr>
              <w:spacing w:before="120"/>
              <w:rPr>
                <w:rFonts w:hint="eastAsia"/>
              </w:rPr>
            </w:pPr>
            <w:r>
              <w:rPr>
                <w:rFonts w:hint="eastAsia"/>
              </w:rPr>
              <w:t>所有安装及连接附件/化学地脚螺栓</w:t>
            </w:r>
          </w:p>
        </w:tc>
        <w:tc>
          <w:tcPr>
            <w:tcW w:w="3800" w:type="dxa"/>
            <w:vAlign w:val="top"/>
          </w:tcPr>
          <w:p>
            <w:pPr>
              <w:spacing w:before="120"/>
              <w:rPr>
                <w:rFonts w:hint="eastAsia"/>
              </w:rPr>
            </w:pPr>
            <w:r>
              <w:rPr>
                <w:rFonts w:hint="eastAsia"/>
              </w:rPr>
              <w:t>镀锌钢</w:t>
            </w:r>
          </w:p>
        </w:tc>
      </w:tr>
    </w:tbl>
    <w:p>
      <w:pPr>
        <w:pStyle w:val="6"/>
      </w:pPr>
      <w:bookmarkStart w:id="260" w:name="_Toc155414392"/>
      <w:r>
        <w:rPr>
          <w:lang w:eastAsia="zh-CN"/>
        </w:rPr>
        <w:t>电气</w:t>
      </w:r>
      <w:r>
        <w:t>控制</w:t>
      </w:r>
      <w:bookmarkEnd w:id="260"/>
    </w:p>
    <w:p>
      <w:pPr>
        <w:pStyle w:val="8"/>
        <w:rPr>
          <w:rFonts w:hint="eastAsia"/>
        </w:rPr>
      </w:pPr>
      <w:r>
        <w:rPr>
          <w:rFonts w:hint="eastAsia"/>
        </w:rPr>
        <w:t>鼓风机的控制系统应与整个污水处理厂控制系统应可配套良好连接，并保证通讯顺畅。</w:t>
      </w:r>
    </w:p>
    <w:p>
      <w:pPr>
        <w:pStyle w:val="8"/>
        <w:rPr>
          <w:rFonts w:hint="eastAsia"/>
        </w:rPr>
      </w:pPr>
      <w:r>
        <w:rPr>
          <w:rFonts w:hint="eastAsia"/>
        </w:rPr>
        <w:t>所有实时监控和保护功能与控制软件相衔接，远程控制通过4~20</w:t>
      </w:r>
      <w:r>
        <w:t>mA</w:t>
      </w:r>
      <w:r>
        <w:rPr>
          <w:rFonts w:hint="eastAsia"/>
        </w:rPr>
        <w:t>或网络来实现</w:t>
      </w:r>
    </w:p>
    <w:p>
      <w:pPr>
        <w:pStyle w:val="8"/>
        <w:rPr>
          <w:rFonts w:hint="eastAsia"/>
        </w:rPr>
      </w:pPr>
      <w:r>
        <w:rPr>
          <w:rFonts w:hint="eastAsia"/>
        </w:rPr>
        <w:t>卖方应保证所提供的可编程控制器能与大厂通讯，并提供相应的编程软件和负责完成相关工作。通讯要使用全厂就地控制网络的通讯协议。</w:t>
      </w:r>
    </w:p>
    <w:p>
      <w:pPr>
        <w:pStyle w:val="8"/>
        <w:rPr>
          <w:rFonts w:hint="eastAsia"/>
        </w:rPr>
      </w:pPr>
      <w:r>
        <w:rPr>
          <w:rFonts w:hint="eastAsia"/>
        </w:rPr>
        <w:t>就地控制盘与每台风机的控制柜组合在一起，包括监视屏和键入键，主控制开关和锁定停止按钮。通过触摸键和主运行开关进行控制运行。</w:t>
      </w:r>
    </w:p>
    <w:p>
      <w:pPr>
        <w:pStyle w:val="8"/>
        <w:rPr>
          <w:rFonts w:hint="eastAsia"/>
        </w:rPr>
      </w:pPr>
      <w:r>
        <w:rPr>
          <w:rFonts w:hint="eastAsia"/>
        </w:rPr>
        <w:t>防护等级：IP54。</w:t>
      </w:r>
    </w:p>
    <w:p>
      <w:pPr>
        <w:pStyle w:val="8"/>
      </w:pPr>
      <w:r>
        <w:rPr>
          <w:rFonts w:hint="eastAsia"/>
        </w:rPr>
        <w:t>其它相关要求参见2.</w:t>
      </w:r>
      <w:r>
        <w:rPr>
          <w:rFonts w:hint="eastAsia"/>
          <w:lang w:eastAsia="zh-CN"/>
        </w:rPr>
        <w:t>7</w:t>
      </w:r>
      <w:r>
        <w:rPr>
          <w:rFonts w:hint="eastAsia"/>
        </w:rPr>
        <w:t>条款及第4节“电气设备”相关条款</w:t>
      </w:r>
      <w:r>
        <w:rPr>
          <w:rFonts w:hint="eastAsia"/>
          <w:lang w:val="en-US" w:eastAsia="zh-CN"/>
        </w:rPr>
        <w:t>。</w:t>
      </w:r>
    </w:p>
    <w:p>
      <w:pPr>
        <w:pStyle w:val="6"/>
      </w:pPr>
      <w:bookmarkStart w:id="261" w:name="_Toc155414393"/>
      <w:r>
        <w:t>出厂检验</w:t>
      </w:r>
      <w:bookmarkEnd w:id="261"/>
    </w:p>
    <w:p>
      <w:pPr>
        <w:pStyle w:val="8"/>
      </w:pPr>
      <w:r>
        <w:t>每台鼓风机都应进行出厂试验</w:t>
      </w:r>
      <w:r>
        <w:rPr>
          <w:rFonts w:hint="eastAsia"/>
        </w:rPr>
        <w:t>，</w:t>
      </w:r>
      <w:r>
        <w:t>以确定其整个性能范围内的机械和</w:t>
      </w:r>
      <w:r>
        <w:rPr>
          <w:rFonts w:hint="eastAsia"/>
        </w:rPr>
        <w:t>空气动力学</w:t>
      </w:r>
      <w:r>
        <w:t>性能满足</w:t>
      </w:r>
      <w:r>
        <w:rPr>
          <w:rFonts w:hint="eastAsia"/>
        </w:rPr>
        <w:t>技术</w:t>
      </w:r>
      <w:r>
        <w:t>要求</w:t>
      </w:r>
      <w:r>
        <w:rPr>
          <w:rFonts w:hint="eastAsia"/>
        </w:rPr>
        <w:t>。并提供相应的测试证明和性能曲线。</w:t>
      </w:r>
    </w:p>
    <w:p>
      <w:pPr>
        <w:pStyle w:val="8"/>
        <w:rPr>
          <w:rFonts w:hint="eastAsia"/>
        </w:rPr>
      </w:pPr>
      <w:r>
        <w:rPr>
          <w:rFonts w:hint="eastAsia"/>
        </w:rPr>
        <w:t>鼓风机测试时间最少为温度稳定后5小时，并记录下列数据：</w:t>
      </w:r>
    </w:p>
    <w:p>
      <w:pPr>
        <w:pStyle w:val="36"/>
        <w:rPr>
          <w:rFonts w:hint="eastAsia"/>
        </w:rPr>
      </w:pPr>
      <w:r>
        <w:rPr>
          <w:rFonts w:hint="eastAsia"/>
        </w:rPr>
        <w:t>测试持续时间</w:t>
      </w:r>
    </w:p>
    <w:p>
      <w:pPr>
        <w:pStyle w:val="36"/>
        <w:rPr>
          <w:rFonts w:hint="eastAsia"/>
        </w:rPr>
      </w:pPr>
      <w:r>
        <w:rPr>
          <w:rFonts w:hint="eastAsia"/>
        </w:rPr>
        <w:t>速度</w:t>
      </w:r>
    </w:p>
    <w:p>
      <w:pPr>
        <w:pStyle w:val="36"/>
        <w:rPr>
          <w:rFonts w:hint="eastAsia"/>
        </w:rPr>
      </w:pPr>
      <w:r>
        <w:rPr>
          <w:rFonts w:hint="eastAsia"/>
        </w:rPr>
        <w:t>振动</w:t>
      </w:r>
    </w:p>
    <w:p>
      <w:pPr>
        <w:pStyle w:val="36"/>
        <w:rPr>
          <w:rFonts w:hint="eastAsia"/>
        </w:rPr>
      </w:pPr>
      <w:r>
        <w:rPr>
          <w:rFonts w:hint="eastAsia"/>
        </w:rPr>
        <w:t>能力</w:t>
      </w:r>
    </w:p>
    <w:p>
      <w:pPr>
        <w:pStyle w:val="36"/>
        <w:rPr>
          <w:rFonts w:hint="eastAsia"/>
        </w:rPr>
      </w:pPr>
      <w:r>
        <w:rPr>
          <w:rFonts w:hint="eastAsia"/>
        </w:rPr>
        <w:t>空气温度</w:t>
      </w:r>
    </w:p>
    <w:p>
      <w:pPr>
        <w:pStyle w:val="8"/>
        <w:rPr>
          <w:rFonts w:hint="eastAsia"/>
        </w:rPr>
      </w:pPr>
      <w:r>
        <w:rPr>
          <w:rFonts w:hint="eastAsia"/>
        </w:rPr>
        <w:t>工厂检测还应包括检测仪表、开关和保护装置的功能测试。</w:t>
      </w:r>
    </w:p>
    <w:p>
      <w:pPr>
        <w:pStyle w:val="8"/>
      </w:pPr>
      <w:r>
        <w:rPr>
          <w:rFonts w:hint="eastAsia"/>
        </w:rPr>
        <w:t>在现场应进行性能测试和试运行</w:t>
      </w:r>
      <w:r>
        <w:t>。</w:t>
      </w:r>
    </w:p>
    <w:p>
      <w:pPr>
        <w:pStyle w:val="6"/>
      </w:pPr>
      <w:r>
        <w:rPr>
          <w:rFonts w:hint="eastAsia"/>
          <w:lang w:eastAsia="zh-CN"/>
        </w:rPr>
        <w:t>检验、</w:t>
      </w:r>
      <w:r>
        <w:t>调试与试车</w:t>
      </w:r>
    </w:p>
    <w:p>
      <w:pPr>
        <w:pStyle w:val="8"/>
      </w:pPr>
      <w:r>
        <w:t>鼓风机制造商应派具有丰富安装调试经验的代表去检验安装情况和监督指导。</w:t>
      </w:r>
    </w:p>
    <w:p>
      <w:pPr>
        <w:pStyle w:val="8"/>
      </w:pPr>
      <w:r>
        <w:t>现场试车和调试。如果由于制造厂的原因造成设备无法运转，制造商将免费提供所需的额外服务。</w:t>
      </w:r>
    </w:p>
    <w:p>
      <w:pPr>
        <w:pStyle w:val="8"/>
      </w:pPr>
      <w:r>
        <w:t>当鼓风机、电机、控制系统及所有附件安装完毕后，每台鼓风机均应在实际运行条件下进行现场验收试验。该试验由鼓风机制造商代表在有用户及其工程师在场的情况下进行。</w:t>
      </w:r>
    </w:p>
    <w:p>
      <w:pPr>
        <w:pStyle w:val="8"/>
      </w:pPr>
      <w:r>
        <w:t>现场验收试验应证明鼓风机在任何情况下都保证：</w:t>
      </w:r>
    </w:p>
    <w:p>
      <w:pPr>
        <w:pStyle w:val="36"/>
      </w:pPr>
      <w:r>
        <w:t>安装和运输过程中无损坏</w:t>
      </w:r>
    </w:p>
    <w:p>
      <w:pPr>
        <w:pStyle w:val="36"/>
      </w:pPr>
      <w:r>
        <w:t>安装正确</w:t>
      </w:r>
    </w:p>
    <w:p>
      <w:pPr>
        <w:pStyle w:val="36"/>
      </w:pPr>
      <w:r>
        <w:t>无机械缺陷</w:t>
      </w:r>
    </w:p>
    <w:p>
      <w:pPr>
        <w:pStyle w:val="36"/>
      </w:pPr>
      <w:r>
        <w:t>对中良好</w:t>
      </w:r>
    </w:p>
    <w:p>
      <w:pPr>
        <w:pStyle w:val="36"/>
      </w:pPr>
      <w:r>
        <w:t>连接正确</w:t>
      </w:r>
    </w:p>
    <w:p>
      <w:pPr>
        <w:pStyle w:val="36"/>
      </w:pPr>
      <w:r>
        <w:t>无过热部件</w:t>
      </w:r>
    </w:p>
    <w:p>
      <w:pPr>
        <w:pStyle w:val="36"/>
      </w:pPr>
      <w:r>
        <w:t>无异常振动和噪音</w:t>
      </w:r>
    </w:p>
    <w:p>
      <w:pPr>
        <w:pStyle w:val="36"/>
      </w:pPr>
      <w:r>
        <w:t>无过载部件</w:t>
      </w:r>
    </w:p>
    <w:p>
      <w:pPr>
        <w:pStyle w:val="36"/>
      </w:pPr>
      <w:r>
        <w:t>无漏气</w:t>
      </w:r>
    </w:p>
    <w:p>
      <w:pPr>
        <w:pStyle w:val="36"/>
      </w:pPr>
      <w:r>
        <w:t>保护装置灵敏、可靠</w:t>
      </w:r>
    </w:p>
    <w:p>
      <w:pPr>
        <w:pStyle w:val="8"/>
      </w:pPr>
      <w:r>
        <w:t>现场验收试验及试验步骤应由双方共同安排。合同方应就试验步骤与用户形成共识，且试验不能妨碍现场设施的正常运行。</w:t>
      </w:r>
    </w:p>
    <w:p>
      <w:pPr>
        <w:pStyle w:val="8"/>
      </w:pPr>
      <w:r>
        <w:t>制造商专家应在检查安装情况及进行现场试验时，指导用户及其工程师如何起动、停止鼓风机, 定期润滑及故障检修。如果由于设计、制造或安装的原因影响培训,制造商将免费提供额外培训。</w:t>
      </w:r>
    </w:p>
    <w:p>
      <w:pPr>
        <w:pStyle w:val="8"/>
      </w:pPr>
      <w:r>
        <w:t>按照标准GB50275《压缩机、风机、泵安装工程施工及验收规范》3.5.15~3.5.16条款的要求进行鼓风机的运行试验。</w:t>
      </w:r>
    </w:p>
    <w:p>
      <w:pPr>
        <w:pStyle w:val="8"/>
      </w:pPr>
      <w:r>
        <w:t>按照标准GB50231《机械设备安装工程施工及验收通用规范》第七章的要求进行辅助设备的运行试验。</w:t>
      </w:r>
    </w:p>
    <w:p>
      <w:pPr>
        <w:pStyle w:val="8"/>
      </w:pPr>
      <w:r>
        <w:rPr>
          <w:rFonts w:hint="eastAsia"/>
        </w:rPr>
        <w:t>低</w:t>
      </w:r>
      <w:r>
        <w:t>负荷运转的时间不应少于8小时。</w:t>
      </w:r>
    </w:p>
    <w:p>
      <w:pPr>
        <w:pStyle w:val="8"/>
      </w:pPr>
      <w:r>
        <w:t>连续负荷运转的时间不应少24小时。</w:t>
      </w:r>
    </w:p>
    <w:p>
      <w:pPr>
        <w:pStyle w:val="5"/>
      </w:pPr>
      <w:bookmarkStart w:id="262" w:name="_Toc223660266"/>
      <w:bookmarkStart w:id="263" w:name="_Toc114754972"/>
      <w:bookmarkStart w:id="264" w:name="_Toc158302101"/>
      <w:bookmarkStart w:id="265" w:name="_Toc115492448"/>
      <w:bookmarkStart w:id="266" w:name="_Toc155414649"/>
      <w:bookmarkStart w:id="267" w:name="_Toc228010724"/>
      <w:bookmarkStart w:id="268" w:name="_Toc160351506"/>
      <w:bookmarkStart w:id="269" w:name="_Toc355975725"/>
      <w:bookmarkStart w:id="270" w:name="_Toc158199991"/>
      <w:bookmarkStart w:id="271" w:name="_Toc115491941"/>
      <w:bookmarkStart w:id="272" w:name="_Toc121134692"/>
      <w:bookmarkStart w:id="273" w:name="_Toc119678487"/>
      <w:bookmarkStart w:id="274" w:name="_Toc152996002"/>
      <w:bookmarkStart w:id="275" w:name="_Toc106901858"/>
      <w:bookmarkStart w:id="276" w:name="_Toc113524489"/>
      <w:bookmarkStart w:id="277" w:name="_Toc355966392"/>
      <w:bookmarkStart w:id="278" w:name="_Toc160264731"/>
      <w:bookmarkStart w:id="279" w:name="_Toc228102637"/>
      <w:bookmarkStart w:id="280" w:name="_Toc155681822"/>
      <w:bookmarkStart w:id="281" w:name="_Toc361046293"/>
      <w:bookmarkStart w:id="282" w:name="_Toc228362302"/>
      <w:bookmarkStart w:id="283" w:name="_Toc155414395"/>
      <w:bookmarkStart w:id="284" w:name="_Toc156986173"/>
      <w:bookmarkStart w:id="285" w:name="_Toc231813926"/>
      <w:bookmarkStart w:id="286" w:name="_Toc228010808"/>
      <w:bookmarkStart w:id="287" w:name="_Toc156735559"/>
      <w:bookmarkStart w:id="288" w:name="_Toc156987844"/>
      <w:bookmarkStart w:id="289" w:name="_Toc230339521"/>
      <w:bookmarkStart w:id="290" w:name="_Toc116658780"/>
      <w:bookmarkStart w:id="291" w:name="_Toc119911229"/>
      <w:bookmarkStart w:id="292" w:name="_Toc228010621"/>
      <w:bookmarkStart w:id="293" w:name="_Toc355874161"/>
      <w:bookmarkStart w:id="294" w:name="_Toc158729819"/>
      <w:bookmarkStart w:id="295" w:name="_Toc122766663"/>
      <w:bookmarkStart w:id="296" w:name="_Toc155668512"/>
      <w:bookmarkStart w:id="297" w:name="_Toc232079284"/>
      <w:bookmarkStart w:id="298" w:name="_Toc119052972"/>
      <w:bookmarkStart w:id="299" w:name="_Toc210363848"/>
      <w:bookmarkStart w:id="300" w:name="_Toc106902394"/>
      <w:bookmarkStart w:id="301" w:name="_Toc230314237"/>
      <w:bookmarkStart w:id="302" w:name="_Toc223705828"/>
      <w:bookmarkStart w:id="303" w:name="_Toc223706234"/>
      <w:bookmarkStart w:id="304" w:name="_Toc160162638"/>
      <w:bookmarkStart w:id="305" w:name="_Toc230339593"/>
      <w:bookmarkStart w:id="306" w:name="_Toc357109666"/>
      <w:bookmarkStart w:id="307" w:name="_Toc156986361"/>
      <w:bookmarkStart w:id="308" w:name="_Toc113511799"/>
      <w:bookmarkStart w:id="309" w:name="_Toc106901059"/>
      <w:bookmarkStart w:id="310" w:name="_Toc355965706"/>
      <w:bookmarkStart w:id="311" w:name="_Toc232252110"/>
      <w:bookmarkStart w:id="312" w:name="_Toc232339038"/>
      <w:bookmarkStart w:id="313" w:name="_Toc231483508"/>
      <w:bookmarkStart w:id="314" w:name="_Toc233467098"/>
      <w:bookmarkStart w:id="315" w:name="_Toc496622452"/>
      <w:bookmarkStart w:id="316" w:name="_Toc360808432"/>
      <w:bookmarkStart w:id="317" w:name="_Toc117053541"/>
      <w:bookmarkStart w:id="318" w:name="_Toc355209715"/>
      <w:bookmarkStart w:id="319" w:name="_Toc155669593"/>
      <w:bookmarkStart w:id="320" w:name="_Toc230313109"/>
      <w:bookmarkStart w:id="321" w:name="_Toc114324103"/>
      <w:bookmarkStart w:id="322" w:name="_Toc232079016"/>
      <w:bookmarkStart w:id="323" w:name="_Toc357591172"/>
      <w:bookmarkStart w:id="324" w:name="_Toc223706123"/>
      <w:bookmarkStart w:id="325" w:name="_Toc115492308"/>
      <w:r>
        <w:t>卷帘式过滤器</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6"/>
      </w:pPr>
      <w:bookmarkStart w:id="326" w:name="_Toc155414396"/>
      <w:r>
        <w:t>工作范围</w:t>
      </w:r>
      <w:bookmarkEnd w:id="326"/>
    </w:p>
    <w:p>
      <w:pPr>
        <w:pStyle w:val="8"/>
        <w:rPr>
          <w:rFonts w:hint="eastAsia"/>
        </w:rPr>
      </w:pPr>
      <w:r>
        <w:t>卖方应提供保证设备安全、稳定、可靠运行的全套设备、辅助及安装连接附件，并负责安装指导、调试及试运行等工作。设备主要组成部分及供货范围（不限于此）</w:t>
      </w:r>
      <w:r>
        <w:rPr>
          <w:rFonts w:hint="eastAsia"/>
          <w:lang w:eastAsia="zh-CN"/>
        </w:rPr>
        <w:t>：</w:t>
      </w:r>
    </w:p>
    <w:p>
      <w:pPr>
        <w:pStyle w:val="36"/>
      </w:pPr>
      <w:r>
        <w:t>装配完整的空气过滤器（包括介质箱、滤料、立柱、压料栏及密封等）</w:t>
      </w:r>
    </w:p>
    <w:p>
      <w:pPr>
        <w:pStyle w:val="36"/>
      </w:pPr>
      <w:r>
        <w:t>驱动机构</w:t>
      </w:r>
    </w:p>
    <w:p>
      <w:pPr>
        <w:pStyle w:val="36"/>
      </w:pPr>
      <w:r>
        <w:t>现场控制箱及特殊出线电缆</w:t>
      </w:r>
    </w:p>
    <w:p>
      <w:pPr>
        <w:pStyle w:val="36"/>
      </w:pPr>
      <w:r>
        <w:t>压力传感器</w:t>
      </w:r>
    </w:p>
    <w:p>
      <w:pPr>
        <w:pStyle w:val="36"/>
      </w:pPr>
      <w:r>
        <w:t>设备内部连接电缆、接线箱</w:t>
      </w:r>
    </w:p>
    <w:p>
      <w:pPr>
        <w:pStyle w:val="36"/>
      </w:pPr>
      <w:r>
        <w:t>所有连接附件、化学地脚螺栓</w:t>
      </w:r>
    </w:p>
    <w:p>
      <w:pPr>
        <w:pStyle w:val="6"/>
      </w:pPr>
      <w:bookmarkStart w:id="327" w:name="_Toc155414397"/>
      <w:r>
        <w:t>现场条件及技术性能</w:t>
      </w:r>
      <w:bookmarkEnd w:id="327"/>
    </w:p>
    <w:tbl>
      <w:tblPr>
        <w:tblStyle w:val="19"/>
        <w:tblW w:w="7327" w:type="dxa"/>
        <w:tblInd w:w="1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8"/>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718" w:type="dxa"/>
            <w:vAlign w:val="bottom"/>
          </w:tcPr>
          <w:p>
            <w:pPr>
              <w:widowControl w:val="0"/>
              <w:spacing w:before="120"/>
              <w:rPr>
                <w:bCs/>
              </w:rPr>
            </w:pPr>
            <w:r>
              <w:rPr>
                <w:bCs/>
              </w:rPr>
              <w:t>设备编号</w:t>
            </w:r>
          </w:p>
        </w:tc>
        <w:tc>
          <w:tcPr>
            <w:tcW w:w="3609" w:type="dxa"/>
            <w:vAlign w:val="bottom"/>
          </w:tcPr>
          <w:p>
            <w:pPr>
              <w:widowControl w:val="0"/>
              <w:spacing w:before="120"/>
              <w:rPr>
                <w:bCs/>
              </w:rPr>
            </w:pPr>
            <w:r>
              <w:t>BSW-AFT101/102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718" w:type="dxa"/>
            <w:vAlign w:val="top"/>
          </w:tcPr>
          <w:p>
            <w:pPr>
              <w:widowControl w:val="0"/>
              <w:spacing w:before="120"/>
              <w:rPr>
                <w:bCs/>
              </w:rPr>
            </w:pPr>
            <w:r>
              <w:rPr>
                <w:bCs/>
              </w:rPr>
              <w:t xml:space="preserve">数量 </w:t>
            </w:r>
          </w:p>
        </w:tc>
        <w:tc>
          <w:tcPr>
            <w:tcW w:w="3609" w:type="dxa"/>
            <w:vAlign w:val="top"/>
          </w:tcPr>
          <w:p>
            <w:pPr>
              <w:widowControl w:val="0"/>
              <w:spacing w:before="120"/>
            </w:pPr>
            <w: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718" w:type="dxa"/>
            <w:vAlign w:val="top"/>
          </w:tcPr>
          <w:p>
            <w:pPr>
              <w:pStyle w:val="38"/>
              <w:keepNext w:val="0"/>
              <w:tabs>
                <w:tab w:val="left" w:pos="1200"/>
              </w:tabs>
              <w:spacing w:before="120"/>
              <w:jc w:val="both"/>
              <w:rPr>
                <w:rFonts w:ascii="Times New Roman"/>
                <w:b w:val="0"/>
              </w:rPr>
            </w:pPr>
            <w:r>
              <w:rPr>
                <w:rFonts w:ascii="Times New Roman"/>
                <w:b w:val="0"/>
              </w:rPr>
              <w:t>空气温度</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0～45</w:t>
            </w:r>
            <w:r>
              <w:rPr>
                <w:rFonts w:ascii="Times New Roman"/>
                <w:b w:val="0"/>
              </w:rPr>
              <w:sym w:font="Symbol" w:char="F0B0"/>
            </w:r>
            <w:r>
              <w:rPr>
                <w:rFonts w:ascii="Times New Roman"/>
                <w:b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空气湿度</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风量</w:t>
            </w:r>
          </w:p>
        </w:tc>
        <w:tc>
          <w:tcPr>
            <w:tcW w:w="3609" w:type="dxa"/>
            <w:vAlign w:val="top"/>
          </w:tcPr>
          <w:p>
            <w:pPr>
              <w:pStyle w:val="38"/>
              <w:keepNext w:val="0"/>
              <w:tabs>
                <w:tab w:val="left" w:pos="1200"/>
              </w:tabs>
              <w:spacing w:before="120"/>
              <w:jc w:val="both"/>
              <w:rPr>
                <w:rFonts w:ascii="Times New Roman"/>
                <w:b w:val="0"/>
              </w:rPr>
            </w:pPr>
            <w:r>
              <w:rPr>
                <w:rFonts w:ascii="Times New Roman"/>
              </w:rPr>
              <w:sym w:font="Symbol" w:char="F0B3"/>
            </w:r>
            <w:r>
              <w:rPr>
                <w:rFonts w:hint="eastAsia" w:ascii="Times New Roman"/>
                <w:b w:val="0"/>
              </w:rPr>
              <w:t>17</w:t>
            </w:r>
            <w:r>
              <w:rPr>
                <w:rFonts w:ascii="Times New Roman"/>
                <w:b w:val="0"/>
              </w:rPr>
              <w:t>000m</w:t>
            </w:r>
            <w:r>
              <w:rPr>
                <w:rFonts w:ascii="Times New Roman"/>
                <w:b w:val="0"/>
                <w:vertAlign w:val="superscript"/>
              </w:rPr>
              <w:t>3</w:t>
            </w:r>
            <w:r>
              <w:rPr>
                <w:rFonts w:ascii="Times New Roman"/>
                <w:b w:val="0"/>
              </w:rPr>
              <w:t>/h.台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hint="eastAsia" w:ascii="Times New Roman"/>
                <w:b w:val="0"/>
              </w:rPr>
              <w:t>风道尺寸</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W×H=1200×2000mm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过滤面积</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单套设备应满足最大处理风量的要求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&gt;1</w:t>
            </w:r>
            <w:r>
              <w:rPr>
                <w:rFonts w:ascii="Times New Roman"/>
                <w:b w:val="0"/>
              </w:rPr>
              <w:sym w:font="Symbol" w:char="F06D"/>
            </w:r>
            <w:r>
              <w:rPr>
                <w:rFonts w:ascii="Times New Roman"/>
                <w:b w:val="0"/>
              </w:rPr>
              <w:t>m灰尘粒径的过滤效率</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过滤的总压力差</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sym w:font="Symbol" w:char="F0A3"/>
            </w:r>
            <w:r>
              <w:rPr>
                <w:rFonts w:ascii="Times New Roman"/>
                <w:b w:val="0"/>
              </w:rPr>
              <w:t>50mmH</w:t>
            </w:r>
            <w:r>
              <w:rPr>
                <w:rFonts w:ascii="Times New Roman"/>
                <w:b w:val="0"/>
                <w:vertAlign w:val="subscript"/>
              </w:rPr>
              <w:t>2</w:t>
            </w:r>
            <w:r>
              <w:rPr>
                <w:rFonts w:ascii="Times New Roman"/>
                <w:b w:val="0"/>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过滤器型式</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自动卷帘式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电源</w:t>
            </w:r>
          </w:p>
        </w:tc>
        <w:tc>
          <w:tcPr>
            <w:tcW w:w="3609" w:type="dxa"/>
            <w:vAlign w:val="top"/>
          </w:tcPr>
          <w:p>
            <w:pPr>
              <w:pStyle w:val="38"/>
              <w:tabs>
                <w:tab w:val="left" w:pos="1200"/>
              </w:tabs>
              <w:spacing w:before="120"/>
              <w:jc w:val="both"/>
              <w:rPr>
                <w:rFonts w:ascii="Times New Roman"/>
                <w:b w:val="0"/>
              </w:rPr>
            </w:pPr>
            <w:r>
              <w:rPr>
                <w:rFonts w:ascii="Times New Roman"/>
                <w:b w:val="0"/>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电机防护等级/绝缘等级</w:t>
            </w:r>
          </w:p>
        </w:tc>
        <w:tc>
          <w:tcPr>
            <w:tcW w:w="3609" w:type="dxa"/>
            <w:vAlign w:val="top"/>
          </w:tcPr>
          <w:p>
            <w:pPr>
              <w:pStyle w:val="38"/>
              <w:tabs>
                <w:tab w:val="left" w:pos="1200"/>
              </w:tabs>
              <w:spacing w:before="120"/>
              <w:jc w:val="both"/>
              <w:rPr>
                <w:rFonts w:ascii="Times New Roman"/>
                <w:b w:val="0"/>
              </w:rPr>
            </w:pPr>
            <w:r>
              <w:rPr>
                <w:rFonts w:ascii="Times New Roman"/>
                <w:b w:val="0"/>
              </w:rPr>
              <w:t>IP55/F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噪声</w:t>
            </w:r>
          </w:p>
        </w:tc>
        <w:tc>
          <w:tcPr>
            <w:tcW w:w="3609" w:type="dxa"/>
            <w:vAlign w:val="top"/>
          </w:tcPr>
          <w:p>
            <w:pPr>
              <w:pStyle w:val="38"/>
              <w:tabs>
                <w:tab w:val="left" w:pos="1200"/>
              </w:tabs>
              <w:spacing w:before="120"/>
              <w:jc w:val="both"/>
              <w:rPr>
                <w:rFonts w:ascii="Times New Roman"/>
                <w:b w:val="0"/>
              </w:rPr>
            </w:pPr>
            <w:r>
              <w:rPr>
                <w:rFonts w:ascii="Times New Roman"/>
                <w:b w:val="0"/>
              </w:rPr>
              <w:sym w:font="Symbol" w:char="F0A3"/>
            </w:r>
            <w:r>
              <w:rPr>
                <w:rFonts w:ascii="Times New Roman"/>
                <w:b w:val="0"/>
              </w:rPr>
              <w:t>80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18" w:type="dxa"/>
            <w:vAlign w:val="top"/>
          </w:tcPr>
          <w:p>
            <w:pPr>
              <w:pStyle w:val="38"/>
              <w:keepNext w:val="0"/>
              <w:tabs>
                <w:tab w:val="left" w:pos="1200"/>
              </w:tabs>
              <w:spacing w:before="120"/>
              <w:jc w:val="both"/>
              <w:rPr>
                <w:rFonts w:ascii="Times New Roman"/>
                <w:b w:val="0"/>
              </w:rPr>
            </w:pPr>
            <w:r>
              <w:rPr>
                <w:rFonts w:ascii="Times New Roman"/>
                <w:b w:val="0"/>
              </w:rPr>
              <w:t>安装地点</w:t>
            </w:r>
          </w:p>
        </w:tc>
        <w:tc>
          <w:tcPr>
            <w:tcW w:w="3609" w:type="dxa"/>
            <w:vAlign w:val="top"/>
          </w:tcPr>
          <w:p>
            <w:pPr>
              <w:pStyle w:val="38"/>
              <w:keepNext w:val="0"/>
              <w:tabs>
                <w:tab w:val="left" w:pos="1200"/>
              </w:tabs>
              <w:spacing w:before="120"/>
              <w:jc w:val="both"/>
              <w:rPr>
                <w:rFonts w:ascii="Times New Roman"/>
                <w:b w:val="0"/>
              </w:rPr>
            </w:pPr>
            <w:r>
              <w:rPr>
                <w:rFonts w:ascii="Times New Roman"/>
                <w:b w:val="0"/>
              </w:rPr>
              <w:t>鼓风机房</w:t>
            </w:r>
          </w:p>
        </w:tc>
      </w:tr>
    </w:tbl>
    <w:p>
      <w:pPr>
        <w:pStyle w:val="6"/>
      </w:pPr>
      <w:bookmarkStart w:id="328" w:name="_Toc155414398"/>
      <w:r>
        <w:t>空气过滤器的技术要求</w:t>
      </w:r>
      <w:bookmarkEnd w:id="328"/>
    </w:p>
    <w:p>
      <w:pPr>
        <w:pStyle w:val="8"/>
      </w:pPr>
      <w:r>
        <w:t>过滤器为自动卷帘式，驱动电机根据过滤空气的压力差自动推进滤带。</w:t>
      </w:r>
    </w:p>
    <w:p>
      <w:pPr>
        <w:pStyle w:val="8"/>
      </w:pPr>
      <w:r>
        <w:t>过滤器有上、下两个介质箱。上方介质箱装有干净的过滤介质，含尘介质在下方介质箱中被压缩。</w:t>
      </w:r>
    </w:p>
    <w:p>
      <w:pPr>
        <w:pStyle w:val="8"/>
      </w:pPr>
      <w:r>
        <w:t>过滤介质在自动推进系统的控制下前进，保持稳定连续的除尘效果。</w:t>
      </w:r>
    </w:p>
    <w:p>
      <w:pPr>
        <w:pStyle w:val="8"/>
      </w:pPr>
      <w:r>
        <w:t>滤带为化纤卷材，厚度约为10mm。滤带可重复使用。</w:t>
      </w:r>
    </w:p>
    <w:p>
      <w:pPr>
        <w:pStyle w:val="8"/>
      </w:pPr>
      <w:r>
        <w:t>滤带两侧应有保护板。厢体四周与墙壁的接触面应垫有橡胶密封垫。</w:t>
      </w:r>
    </w:p>
    <w:p>
      <w:pPr>
        <w:pStyle w:val="8"/>
      </w:pPr>
      <w:r>
        <w:t>两台过滤器驱动电机的安装位置应为对称布置。</w:t>
      </w:r>
    </w:p>
    <w:p>
      <w:pPr>
        <w:pStyle w:val="6"/>
      </w:pPr>
      <w:bookmarkStart w:id="329" w:name="_Toc155414399"/>
      <w:r>
        <w:t>主要零部件材料</w:t>
      </w:r>
      <w:bookmarkEnd w:id="329"/>
    </w:p>
    <w:tbl>
      <w:tblPr>
        <w:tblStyle w:val="19"/>
        <w:tblW w:w="7782" w:type="dxa"/>
        <w:tblInd w:w="1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256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tcBorders>
              <w:bottom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滤带</w:t>
            </w:r>
          </w:p>
        </w:tc>
        <w:tc>
          <w:tcPr>
            <w:tcW w:w="2566" w:type="dxa"/>
            <w:tcBorders>
              <w:bottom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化纤卷材</w:t>
            </w:r>
          </w:p>
        </w:tc>
        <w:tc>
          <w:tcPr>
            <w:tcW w:w="2555" w:type="dxa"/>
            <w:tcBorders>
              <w:bottom w:val="single" w:color="auto" w:sz="4" w:space="0"/>
            </w:tcBorders>
            <w:vAlign w:val="top"/>
          </w:tcPr>
          <w:p>
            <w:pPr>
              <w:pStyle w:val="38"/>
              <w:keepNext w:val="0"/>
              <w:tabs>
                <w:tab w:val="left" w:pos="1200"/>
              </w:tabs>
              <w:spacing w:before="120"/>
              <w:jc w:val="both"/>
              <w:rPr>
                <w:rFonts w:asci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介质箱</w:t>
            </w:r>
          </w:p>
        </w:tc>
        <w:tc>
          <w:tcPr>
            <w:tcW w:w="2566"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镀锌钢</w:t>
            </w:r>
          </w:p>
        </w:tc>
        <w:tc>
          <w:tcPr>
            <w:tcW w:w="2555" w:type="dxa"/>
            <w:tcBorders>
              <w:top w:val="single" w:color="auto" w:sz="4" w:space="0"/>
            </w:tcBorders>
            <w:vAlign w:val="top"/>
          </w:tcPr>
          <w:p>
            <w:pPr>
              <w:pStyle w:val="38"/>
              <w:keepNext w:val="0"/>
              <w:tabs>
                <w:tab w:val="left" w:pos="1200"/>
              </w:tabs>
              <w:spacing w:before="120"/>
              <w:jc w:val="both"/>
              <w:rPr>
                <w:rFonts w:asci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结构框架</w:t>
            </w:r>
          </w:p>
        </w:tc>
        <w:tc>
          <w:tcPr>
            <w:tcW w:w="2566" w:type="dxa"/>
            <w:tcBorders>
              <w:top w:val="single" w:color="auto" w:sz="4" w:space="0"/>
            </w:tcBorders>
            <w:vAlign w:val="top"/>
          </w:tcPr>
          <w:p>
            <w:pPr>
              <w:pStyle w:val="38"/>
              <w:keepNext w:val="0"/>
              <w:tabs>
                <w:tab w:val="left" w:pos="1200"/>
              </w:tabs>
              <w:spacing w:before="120"/>
              <w:jc w:val="both"/>
              <w:rPr>
                <w:rFonts w:ascii="Times New Roman"/>
                <w:b w:val="0"/>
              </w:rPr>
            </w:pPr>
            <w:r>
              <w:rPr>
                <w:rFonts w:ascii="Times New Roman"/>
                <w:b w:val="0"/>
              </w:rPr>
              <w:t>镀锌钢</w:t>
            </w:r>
          </w:p>
        </w:tc>
        <w:tc>
          <w:tcPr>
            <w:tcW w:w="2555" w:type="dxa"/>
            <w:tcBorders>
              <w:top w:val="single" w:color="auto" w:sz="4" w:space="0"/>
            </w:tcBorders>
            <w:vAlign w:val="top"/>
          </w:tcPr>
          <w:p>
            <w:pPr>
              <w:pStyle w:val="38"/>
              <w:keepNext w:val="0"/>
              <w:tabs>
                <w:tab w:val="left" w:pos="1200"/>
              </w:tabs>
              <w:spacing w:before="120"/>
              <w:jc w:val="both"/>
              <w:rPr>
                <w:rFonts w:asci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61" w:type="dxa"/>
            <w:vAlign w:val="top"/>
          </w:tcPr>
          <w:p>
            <w:pPr>
              <w:pStyle w:val="38"/>
              <w:keepNext w:val="0"/>
              <w:tabs>
                <w:tab w:val="left" w:pos="1200"/>
              </w:tabs>
              <w:spacing w:before="120"/>
              <w:jc w:val="both"/>
              <w:rPr>
                <w:rFonts w:ascii="Times New Roman"/>
                <w:b w:val="0"/>
              </w:rPr>
            </w:pPr>
            <w:r>
              <w:rPr>
                <w:rFonts w:ascii="Times New Roman"/>
                <w:b w:val="0"/>
              </w:rPr>
              <w:t>所有连接附件、化学地脚螺栓</w:t>
            </w:r>
          </w:p>
        </w:tc>
        <w:tc>
          <w:tcPr>
            <w:tcW w:w="2566" w:type="dxa"/>
            <w:vAlign w:val="top"/>
          </w:tcPr>
          <w:p>
            <w:pPr>
              <w:pStyle w:val="38"/>
              <w:keepNext w:val="0"/>
              <w:tabs>
                <w:tab w:val="left" w:pos="1200"/>
              </w:tabs>
              <w:spacing w:before="120"/>
              <w:jc w:val="both"/>
              <w:rPr>
                <w:rFonts w:ascii="Times New Roman"/>
                <w:b w:val="0"/>
              </w:rPr>
            </w:pPr>
            <w:r>
              <w:rPr>
                <w:rFonts w:ascii="Times New Roman"/>
                <w:b w:val="0"/>
              </w:rPr>
              <w:t>AISI 304</w:t>
            </w:r>
          </w:p>
        </w:tc>
        <w:tc>
          <w:tcPr>
            <w:tcW w:w="2555" w:type="dxa"/>
            <w:vAlign w:val="top"/>
          </w:tcPr>
          <w:p>
            <w:pPr>
              <w:pStyle w:val="38"/>
              <w:keepNext w:val="0"/>
              <w:tabs>
                <w:tab w:val="left" w:pos="1200"/>
              </w:tabs>
              <w:spacing w:before="120"/>
              <w:jc w:val="both"/>
              <w:rPr>
                <w:rFonts w:ascii="Times New Roman"/>
                <w:b w:val="0"/>
              </w:rPr>
            </w:pPr>
          </w:p>
        </w:tc>
      </w:tr>
    </w:tbl>
    <w:p>
      <w:pPr>
        <w:pStyle w:val="6"/>
      </w:pPr>
      <w:bookmarkStart w:id="330" w:name="_Toc155414400"/>
      <w:r>
        <w:t>控制</w:t>
      </w:r>
      <w:bookmarkEnd w:id="330"/>
    </w:p>
    <w:p>
      <w:pPr>
        <w:pStyle w:val="8"/>
      </w:pPr>
      <w:r>
        <w:t>空气过滤器控制箱安装在室内墙上，操作方式为手动按钮控制、根据过滤空气的压差自动控制和远方可编程控制器控制。</w:t>
      </w:r>
    </w:p>
    <w:p>
      <w:pPr>
        <w:pStyle w:val="8"/>
      </w:pPr>
      <w:r>
        <w:t>电气设备</w:t>
      </w:r>
      <w:r>
        <w:rPr>
          <w:lang w:eastAsia="zh-CN"/>
        </w:rPr>
        <w:t>制造</w:t>
      </w:r>
      <w:r>
        <w:t>商要与机械设备</w:t>
      </w:r>
      <w:r>
        <w:rPr>
          <w:lang w:eastAsia="zh-CN"/>
        </w:rPr>
        <w:t>制造</w:t>
      </w:r>
      <w:r>
        <w:t>商商定电气连锁的要求。</w:t>
      </w:r>
    </w:p>
    <w:p>
      <w:pPr>
        <w:pStyle w:val="8"/>
      </w:pPr>
      <w:r>
        <w:t>转换开关的位置信号及每个设备的运行、故障等无源接点信号分别通过端子送往厂内可编程控制器。</w:t>
      </w:r>
    </w:p>
    <w:p>
      <w:pPr>
        <w:pStyle w:val="8"/>
      </w:pPr>
      <w:r>
        <w:t>每个设备的控制回路预留厂内可编程控制器远方控制接点。</w:t>
      </w:r>
    </w:p>
    <w:p>
      <w:pPr>
        <w:pStyle w:val="8"/>
      </w:pPr>
      <w:r>
        <w:t>就地控制箱其它技术要求见2.9.</w:t>
      </w:r>
      <w:r>
        <w:rPr>
          <w:lang w:eastAsia="zh-CN"/>
        </w:rPr>
        <w:t>9</w:t>
      </w:r>
      <w:r>
        <w:t>条款。</w:t>
      </w:r>
    </w:p>
    <w:p>
      <w:pPr>
        <w:pStyle w:val="6"/>
      </w:pPr>
      <w:bookmarkStart w:id="331" w:name="_Toc155414401"/>
      <w:r>
        <w:t>出厂检验</w:t>
      </w:r>
      <w:bookmarkEnd w:id="331"/>
    </w:p>
    <w:p>
      <w:pPr>
        <w:pStyle w:val="8"/>
      </w:pPr>
      <w:r>
        <w:t>过滤器应运行平稳，无卡滞现象。</w:t>
      </w:r>
    </w:p>
    <w:p>
      <w:pPr>
        <w:pStyle w:val="8"/>
      </w:pPr>
      <w:r>
        <w:t>滤材无破损。</w:t>
      </w:r>
    </w:p>
    <w:p>
      <w:pPr>
        <w:pStyle w:val="8"/>
      </w:pPr>
      <w:r>
        <w:t>自动推进系统的运行应准确可靠。</w:t>
      </w:r>
    </w:p>
    <w:p>
      <w:pPr>
        <w:pStyle w:val="8"/>
      </w:pPr>
      <w:r>
        <w:t>应按照标准GB50231《机械设备安装工程施工及验收通用规范》和标准GB50236《现场设备、工业管道焊接工程施工及验收规范》进行设备安装及检验。</w:t>
      </w:r>
    </w:p>
    <w:p>
      <w:pPr>
        <w:pStyle w:val="8"/>
      </w:pPr>
      <w:r>
        <w:t>滤材安装要规整，滤材装好后，压料栏的压紧螺栓要调节适度。</w:t>
      </w:r>
    </w:p>
    <w:p>
      <w:pPr>
        <w:pStyle w:val="6"/>
      </w:pPr>
      <w:r>
        <w:t>调试与试车</w:t>
      </w:r>
    </w:p>
    <w:p>
      <w:pPr>
        <w:pStyle w:val="8"/>
      </w:pPr>
      <w:r>
        <w:t>按照标准GB50231《机械设备安装工程施工及验收通用规范》第七章的要求进行试运行试验。</w:t>
      </w:r>
    </w:p>
    <w:p>
      <w:pPr>
        <w:pStyle w:val="8"/>
      </w:pPr>
      <w:r>
        <w:t>压差计的水阻力位应保持在0～35mmH</w:t>
      </w:r>
      <w:r>
        <w:rPr>
          <w:vertAlign w:val="subscript"/>
        </w:rPr>
        <w:t>2</w:t>
      </w:r>
      <w:r>
        <w:t>O。</w:t>
      </w:r>
    </w:p>
    <w:p>
      <w:pPr>
        <w:pStyle w:val="8"/>
      </w:pPr>
      <w:r>
        <w:t>滤材无破损</w:t>
      </w:r>
    </w:p>
    <w:p>
      <w:pPr>
        <w:pStyle w:val="8"/>
      </w:pPr>
      <w:r>
        <w:t>过滤器应运行平稳，无卡滞现象。</w:t>
      </w:r>
    </w:p>
    <w:p>
      <w:pPr>
        <w:pStyle w:val="8"/>
      </w:pPr>
      <w:r>
        <w:t>自动推进系统的运行应准确可靠。</w:t>
      </w:r>
    </w:p>
    <w:bookmarkEnd w:id="234"/>
    <w:bookmarkEnd w:id="235"/>
    <w:bookmarkEnd w:id="236"/>
    <w:bookmarkEnd w:id="237"/>
    <w:bookmarkEnd w:id="238"/>
    <w:bookmarkEnd w:id="239"/>
    <w:bookmarkEnd w:id="240"/>
    <w:bookmarkEnd w:id="241"/>
    <w:bookmarkEnd w:id="242"/>
    <w:bookmarkEnd w:id="243"/>
    <w:p>
      <w:pPr>
        <w:pStyle w:val="5"/>
      </w:pPr>
      <w:bookmarkStart w:id="332" w:name="_Toc258307288"/>
      <w:bookmarkStart w:id="333" w:name="_Toc261724100"/>
      <w:bookmarkStart w:id="334" w:name="_Toc224901742"/>
      <w:bookmarkStart w:id="335" w:name="_Toc227397608"/>
      <w:bookmarkStart w:id="336" w:name="_Toc224918138"/>
      <w:bookmarkStart w:id="337" w:name="_Toc224840228"/>
      <w:bookmarkStart w:id="338" w:name="_Toc258060943"/>
      <w:bookmarkStart w:id="339" w:name="_Toc301859615"/>
      <w:bookmarkStart w:id="340" w:name="_Toc224298566"/>
      <w:bookmarkStart w:id="341" w:name="_Toc223092011"/>
      <w:bookmarkStart w:id="342" w:name="_Toc228614264"/>
      <w:bookmarkStart w:id="343" w:name="_Toc228077307"/>
      <w:bookmarkStart w:id="344" w:name="_Toc261007651"/>
      <w:bookmarkStart w:id="345" w:name="_Toc227236311"/>
      <w:bookmarkStart w:id="346" w:name="_Toc224906602"/>
      <w:bookmarkStart w:id="347" w:name="_Toc250895472"/>
      <w:bookmarkStart w:id="348" w:name="_Toc261622601"/>
      <w:bookmarkStart w:id="349" w:name="_Toc227765214"/>
      <w:bookmarkStart w:id="350" w:name="_Toc224906417"/>
      <w:bookmarkStart w:id="351" w:name="_Toc496622457"/>
      <w:bookmarkStart w:id="352" w:name="_Toc224975622"/>
      <w:bookmarkStart w:id="353" w:name="_Toc261724475"/>
      <w:bookmarkStart w:id="354" w:name="_Toc261005723"/>
      <w:bookmarkStart w:id="355" w:name="_Toc224298750"/>
      <w:bookmarkStart w:id="356" w:name="_Toc224657400"/>
      <w:bookmarkStart w:id="357" w:name="_Toc261724667"/>
      <w:bookmarkStart w:id="358" w:name="_Toc261857942"/>
      <w:bookmarkStart w:id="359" w:name="_Toc260766306"/>
      <w:bookmarkStart w:id="360" w:name="_Toc227849351"/>
      <w:bookmarkStart w:id="361" w:name="_Toc228614068"/>
      <w:bookmarkStart w:id="362" w:name="_Toc259384749"/>
      <w:bookmarkStart w:id="363" w:name="_Toc227688126"/>
      <w:bookmarkStart w:id="364" w:name="_Toc261724414"/>
      <w:bookmarkStart w:id="365" w:name="_Toc227691280"/>
      <w:bookmarkStart w:id="366" w:name="_Toc224918453"/>
      <w:bookmarkStart w:id="367" w:name="_Toc258610334"/>
      <w:bookmarkStart w:id="368" w:name="_Toc227222747"/>
      <w:bookmarkStart w:id="369" w:name="_Toc231818305"/>
      <w:bookmarkStart w:id="370" w:name="_Toc259371886"/>
      <w:bookmarkStart w:id="371" w:name="_Toc261724536"/>
      <w:bookmarkStart w:id="372" w:name="_Toc253042123"/>
      <w:bookmarkStart w:id="373" w:name="_Toc256366892"/>
      <w:bookmarkStart w:id="374" w:name="_Toc223706130"/>
      <w:bookmarkStart w:id="375" w:name="_Toc360808438"/>
      <w:bookmarkStart w:id="376" w:name="_Toc361046299"/>
      <w:bookmarkStart w:id="377" w:name="_Toc357109672"/>
      <w:bookmarkStart w:id="378" w:name="_Toc119911238"/>
      <w:bookmarkStart w:id="379" w:name="_Toc223706241"/>
      <w:bookmarkStart w:id="380" w:name="_Toc158729831"/>
      <w:bookmarkStart w:id="381" w:name="_Toc231483511"/>
      <w:bookmarkStart w:id="382" w:name="_Toc228010727"/>
      <w:bookmarkStart w:id="383" w:name="_Toc160162650"/>
      <w:bookmarkStart w:id="384" w:name="_Toc119052981"/>
      <w:bookmarkStart w:id="385" w:name="_Toc233467101"/>
      <w:bookmarkStart w:id="386" w:name="_Toc355975731"/>
      <w:bookmarkStart w:id="387" w:name="_Toc228102640"/>
      <w:bookmarkStart w:id="388" w:name="_Toc156987856"/>
      <w:bookmarkStart w:id="389" w:name="_Toc158302113"/>
      <w:bookmarkStart w:id="390" w:name="_Toc106902400"/>
      <w:bookmarkStart w:id="391" w:name="_Toc160264743"/>
      <w:bookmarkStart w:id="392" w:name="_Toc355966398"/>
      <w:bookmarkStart w:id="393" w:name="_Toc113511806"/>
      <w:bookmarkStart w:id="394" w:name="_Toc223660273"/>
      <w:bookmarkStart w:id="395" w:name="_Toc357591178"/>
      <w:bookmarkStart w:id="396" w:name="_Toc228010624"/>
      <w:bookmarkStart w:id="397" w:name="_Toc210363854"/>
      <w:bookmarkStart w:id="398" w:name="_Toc160351518"/>
      <w:bookmarkStart w:id="399" w:name="_Toc228362305"/>
      <w:bookmarkStart w:id="400" w:name="_Toc152996015"/>
      <w:bookmarkStart w:id="401" w:name="_Toc121134701"/>
      <w:bookmarkStart w:id="402" w:name="_Toc113524497"/>
      <w:bookmarkStart w:id="403" w:name="_Toc355209721"/>
      <w:bookmarkStart w:id="404" w:name="_Toc230313112"/>
      <w:bookmarkStart w:id="405" w:name="_Toc115492317"/>
      <w:bookmarkStart w:id="406" w:name="_Toc231813929"/>
      <w:bookmarkStart w:id="407" w:name="_Toc155414492"/>
      <w:bookmarkStart w:id="408" w:name="_Toc119678496"/>
      <w:bookmarkStart w:id="409" w:name="_Toc114754984"/>
      <w:bookmarkStart w:id="410" w:name="_Toc156735571"/>
      <w:bookmarkStart w:id="411" w:name="_Toc158729825"/>
      <w:bookmarkStart w:id="412" w:name="_Toc228010811"/>
      <w:bookmarkStart w:id="413" w:name="_Toc156986373"/>
      <w:bookmarkStart w:id="414" w:name="_Toc230339596"/>
      <w:bookmarkStart w:id="415" w:name="_Toc223705835"/>
      <w:bookmarkStart w:id="416" w:name="_Toc156986367"/>
      <w:bookmarkStart w:id="417" w:name="_Toc116658789"/>
      <w:bookmarkStart w:id="418" w:name="_Toc160351512"/>
      <w:bookmarkStart w:id="419" w:name="_Toc355965712"/>
      <w:bookmarkStart w:id="420" w:name="_Toc155681829"/>
      <w:bookmarkStart w:id="421" w:name="_Toc232079019"/>
      <w:bookmarkStart w:id="422" w:name="_Toc155414662"/>
      <w:bookmarkStart w:id="423" w:name="_Toc115491950"/>
      <w:bookmarkStart w:id="424" w:name="_Toc230314240"/>
      <w:bookmarkStart w:id="425" w:name="_Toc158199997"/>
      <w:bookmarkStart w:id="426" w:name="_Toc158200003"/>
      <w:bookmarkStart w:id="427" w:name="_Toc160162644"/>
      <w:bookmarkStart w:id="428" w:name="_Toc155414656"/>
      <w:bookmarkStart w:id="429" w:name="_Toc232339041"/>
      <w:bookmarkStart w:id="430" w:name="_Toc230339524"/>
      <w:bookmarkStart w:id="431" w:name="_Toc114324111"/>
      <w:bookmarkStart w:id="432" w:name="_Toc232252113"/>
      <w:bookmarkStart w:id="433" w:name="_Toc115492457"/>
      <w:bookmarkStart w:id="434" w:name="_Toc158302107"/>
      <w:bookmarkStart w:id="435" w:name="_Toc155669606"/>
      <w:bookmarkStart w:id="436" w:name="_Toc155681835"/>
      <w:bookmarkStart w:id="437" w:name="_Toc156986179"/>
      <w:bookmarkStart w:id="438" w:name="_Toc117053550"/>
      <w:bookmarkStart w:id="439" w:name="_Toc122766672"/>
      <w:bookmarkStart w:id="440" w:name="_Toc160264737"/>
      <w:bookmarkStart w:id="441" w:name="_Toc156735565"/>
      <w:bookmarkStart w:id="442" w:name="_Toc155668519"/>
      <w:bookmarkStart w:id="443" w:name="_Toc155669600"/>
      <w:bookmarkStart w:id="444" w:name="_Toc156986185"/>
      <w:bookmarkStart w:id="445" w:name="_Toc355874167"/>
      <w:bookmarkStart w:id="446" w:name="_Toc156987850"/>
      <w:bookmarkStart w:id="447" w:name="_Toc152996009"/>
      <w:bookmarkStart w:id="448" w:name="_Toc155414445"/>
      <w:bookmarkStart w:id="449" w:name="_Toc155668525"/>
      <w:bookmarkStart w:id="450" w:name="_Toc232079287"/>
      <w:r>
        <w:rPr>
          <w:rFonts w:hint="eastAsia"/>
        </w:rPr>
        <w:t>加药</w:t>
      </w:r>
      <w:r>
        <w:t>系统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Style w:val="6"/>
      </w:pPr>
      <w:bookmarkStart w:id="451" w:name="_Toc224298567"/>
      <w:bookmarkStart w:id="452" w:name="_Toc224906418"/>
      <w:r>
        <w:t>工作范围</w:t>
      </w:r>
      <w:bookmarkEnd w:id="451"/>
      <w:bookmarkEnd w:id="452"/>
    </w:p>
    <w:p>
      <w:pPr>
        <w:pStyle w:val="8"/>
      </w:pPr>
      <w:r>
        <w:t>卖方应提供保证设备安全、稳定、可靠运行的全套设备、辅助及安装连接附件</w:t>
      </w:r>
      <w:r>
        <w:rPr>
          <w:rFonts w:hint="eastAsia"/>
        </w:rPr>
        <w:t>，并负责安装指导、调试及试运行等工作</w:t>
      </w:r>
      <w:r>
        <w:t>。设备主要组成部分及供货范围（不限于此）：</w:t>
      </w:r>
    </w:p>
    <w:tbl>
      <w:tblPr>
        <w:tblStyle w:val="19"/>
        <w:tblW w:w="8299" w:type="dxa"/>
        <w:tblInd w:w="28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
      <w:tblGrid>
        <w:gridCol w:w="584"/>
        <w:gridCol w:w="1287"/>
        <w:gridCol w:w="1701"/>
        <w:gridCol w:w="3543"/>
        <w:gridCol w:w="614"/>
        <w:gridCol w:w="5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rPr>
          <w:tblHeader/>
        </w:trPr>
        <w:tc>
          <w:tcPr>
            <w:tcW w:w="584" w:type="dxa"/>
            <w:tcBorders>
              <w:top w:val="single" w:color="000000" w:sz="6" w:space="0"/>
              <w:left w:val="single" w:color="auto" w:sz="4" w:space="0"/>
              <w:bottom w:val="single" w:color="auto" w:sz="4" w:space="0"/>
            </w:tcBorders>
            <w:vAlign w:val="center"/>
          </w:tcPr>
          <w:p>
            <w:pPr>
              <w:spacing w:before="120" w:beforeLines="50"/>
              <w:rPr>
                <w:b/>
                <w:caps/>
                <w:sz w:val="21"/>
                <w:szCs w:val="21"/>
              </w:rPr>
            </w:pPr>
            <w:r>
              <w:rPr>
                <w:b/>
                <w:caps/>
                <w:sz w:val="21"/>
                <w:szCs w:val="21"/>
              </w:rPr>
              <w:t>序号</w:t>
            </w:r>
          </w:p>
        </w:tc>
        <w:tc>
          <w:tcPr>
            <w:tcW w:w="1287" w:type="dxa"/>
            <w:tcBorders>
              <w:top w:val="single" w:color="000000" w:sz="6" w:space="0"/>
              <w:bottom w:val="single" w:color="auto" w:sz="4" w:space="0"/>
            </w:tcBorders>
            <w:vAlign w:val="center"/>
          </w:tcPr>
          <w:p>
            <w:pPr>
              <w:spacing w:before="120" w:beforeLines="50"/>
              <w:rPr>
                <w:b/>
                <w:caps/>
                <w:sz w:val="21"/>
                <w:szCs w:val="21"/>
              </w:rPr>
            </w:pPr>
            <w:r>
              <w:rPr>
                <w:b/>
                <w:caps/>
                <w:sz w:val="21"/>
                <w:szCs w:val="21"/>
              </w:rPr>
              <w:t>设备编号</w:t>
            </w:r>
          </w:p>
        </w:tc>
        <w:tc>
          <w:tcPr>
            <w:tcW w:w="1701" w:type="dxa"/>
            <w:tcBorders>
              <w:top w:val="single" w:color="000000" w:sz="6" w:space="0"/>
              <w:bottom w:val="single" w:color="auto" w:sz="4" w:space="0"/>
            </w:tcBorders>
            <w:vAlign w:val="center"/>
          </w:tcPr>
          <w:p>
            <w:pPr>
              <w:spacing w:before="120" w:beforeLines="50"/>
              <w:jc w:val="center"/>
              <w:rPr>
                <w:b/>
                <w:caps/>
                <w:sz w:val="21"/>
                <w:szCs w:val="21"/>
              </w:rPr>
            </w:pPr>
            <w:r>
              <w:rPr>
                <w:b/>
                <w:caps/>
                <w:sz w:val="21"/>
                <w:szCs w:val="21"/>
              </w:rPr>
              <w:t>设备名称</w:t>
            </w:r>
          </w:p>
        </w:tc>
        <w:tc>
          <w:tcPr>
            <w:tcW w:w="3543" w:type="dxa"/>
            <w:tcBorders>
              <w:top w:val="single" w:color="000000" w:sz="6" w:space="0"/>
              <w:bottom w:val="single" w:color="auto" w:sz="4" w:space="0"/>
            </w:tcBorders>
            <w:vAlign w:val="center"/>
          </w:tcPr>
          <w:p>
            <w:pPr>
              <w:spacing w:before="120" w:beforeLines="50"/>
              <w:jc w:val="center"/>
              <w:rPr>
                <w:b/>
                <w:caps/>
                <w:sz w:val="21"/>
                <w:szCs w:val="21"/>
              </w:rPr>
            </w:pPr>
            <w:r>
              <w:rPr>
                <w:b/>
                <w:caps/>
                <w:sz w:val="21"/>
                <w:szCs w:val="21"/>
              </w:rPr>
              <w:t>技术描述</w:t>
            </w:r>
          </w:p>
        </w:tc>
        <w:tc>
          <w:tcPr>
            <w:tcW w:w="614" w:type="dxa"/>
            <w:tcBorders>
              <w:top w:val="single" w:color="000000" w:sz="6" w:space="0"/>
              <w:bottom w:val="single" w:color="auto" w:sz="4" w:space="0"/>
            </w:tcBorders>
            <w:vAlign w:val="center"/>
          </w:tcPr>
          <w:p>
            <w:pPr>
              <w:spacing w:before="120" w:beforeLines="50"/>
              <w:jc w:val="center"/>
              <w:rPr>
                <w:b/>
                <w:caps/>
                <w:sz w:val="21"/>
                <w:szCs w:val="21"/>
              </w:rPr>
            </w:pPr>
            <w:r>
              <w:rPr>
                <w:b/>
                <w:caps/>
                <w:sz w:val="21"/>
                <w:szCs w:val="21"/>
              </w:rPr>
              <w:t>数量</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b/>
                <w:caps/>
                <w:sz w:val="21"/>
                <w:szCs w:val="21"/>
              </w:rPr>
            </w:pPr>
            <w:r>
              <w:rPr>
                <w:b/>
                <w:caps/>
                <w:sz w:val="21"/>
                <w:szCs w:val="21"/>
              </w:rPr>
              <w:t>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1</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CCS-CTK101/102</w:t>
            </w:r>
          </w:p>
        </w:tc>
        <w:tc>
          <w:tcPr>
            <w:tcW w:w="1701" w:type="dxa"/>
            <w:tcBorders>
              <w:top w:val="single" w:color="000000" w:sz="6" w:space="0"/>
              <w:bottom w:val="single" w:color="auto" w:sz="4" w:space="0"/>
            </w:tcBorders>
            <w:vAlign w:val="center"/>
          </w:tcPr>
          <w:p>
            <w:pPr>
              <w:spacing w:before="120" w:beforeLines="50"/>
              <w:rPr>
                <w:rFonts w:hint="eastAsia"/>
                <w:sz w:val="21"/>
                <w:szCs w:val="21"/>
              </w:rPr>
            </w:pPr>
            <w:r>
              <w:rPr>
                <w:rFonts w:hint="eastAsia"/>
                <w:sz w:val="21"/>
                <w:szCs w:val="21"/>
              </w:rPr>
              <w:t>醋酸钠储药罐</w:t>
            </w:r>
          </w:p>
        </w:tc>
        <w:tc>
          <w:tcPr>
            <w:tcW w:w="3543" w:type="dxa"/>
            <w:tcBorders>
              <w:top w:val="single" w:color="000000" w:sz="6" w:space="0"/>
              <w:bottom w:val="single" w:color="auto" w:sz="4" w:space="0"/>
            </w:tcBorders>
            <w:vAlign w:val="center"/>
          </w:tcPr>
          <w:p>
            <w:pPr>
              <w:spacing w:before="120" w:beforeLines="50"/>
              <w:jc w:val="center"/>
              <w:rPr>
                <w:rFonts w:hint="eastAsia"/>
                <w:sz w:val="21"/>
                <w:szCs w:val="21"/>
              </w:rPr>
            </w:pPr>
            <w:r>
              <w:rPr>
                <w:rFonts w:hint="eastAsia"/>
                <w:sz w:val="21"/>
                <w:szCs w:val="21"/>
              </w:rPr>
              <w:t>50m</w:t>
            </w:r>
            <w:r>
              <w:rPr>
                <w:rFonts w:hint="eastAsia"/>
                <w:sz w:val="21"/>
                <w:szCs w:val="21"/>
                <w:vertAlign w:val="superscript"/>
              </w:rPr>
              <w:t>3</w:t>
            </w:r>
            <w:r>
              <w:rPr>
                <w:rFonts w:hint="eastAsia"/>
                <w:sz w:val="21"/>
                <w:szCs w:val="21"/>
              </w:rPr>
              <w:t>，直径3.2m</w:t>
            </w:r>
          </w:p>
        </w:tc>
        <w:tc>
          <w:tcPr>
            <w:tcW w:w="614" w:type="dxa"/>
            <w:tcBorders>
              <w:top w:val="single" w:color="000000" w:sz="6" w:space="0"/>
              <w:bottom w:val="single" w:color="auto" w:sz="4" w:space="0"/>
            </w:tcBorders>
            <w:vAlign w:val="center"/>
          </w:tcPr>
          <w:p>
            <w:pPr>
              <w:spacing w:before="120" w:beforeLines="50"/>
              <w:jc w:val="center"/>
              <w:rPr>
                <w:rFonts w:hint="eastAsia"/>
                <w:sz w:val="21"/>
                <w:szCs w:val="21"/>
              </w:rPr>
            </w:pPr>
            <w:r>
              <w:rPr>
                <w:rFonts w:hint="eastAsia"/>
                <w:sz w:val="21"/>
                <w:szCs w:val="21"/>
              </w:rPr>
              <w:t>2</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rFonts w:hint="eastAsia"/>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000000" w:sz="6" w:space="0"/>
            </w:tcBorders>
            <w:vAlign w:val="center"/>
          </w:tcPr>
          <w:p>
            <w:pPr>
              <w:spacing w:before="120" w:beforeLines="50"/>
              <w:ind w:left="196"/>
              <w:rPr>
                <w:sz w:val="21"/>
                <w:szCs w:val="21"/>
              </w:rPr>
            </w:pPr>
            <w:r>
              <w:rPr>
                <w:sz w:val="21"/>
                <w:szCs w:val="21"/>
              </w:rPr>
              <w:t>2</w:t>
            </w:r>
          </w:p>
        </w:tc>
        <w:tc>
          <w:tcPr>
            <w:tcW w:w="1287" w:type="dxa"/>
            <w:tcBorders>
              <w:top w:val="single" w:color="000000" w:sz="6" w:space="0"/>
              <w:bottom w:val="single" w:color="000000" w:sz="6" w:space="0"/>
            </w:tcBorders>
            <w:vAlign w:val="center"/>
          </w:tcPr>
          <w:p>
            <w:pPr>
              <w:spacing w:before="120" w:beforeLines="50"/>
              <w:jc w:val="center"/>
              <w:rPr>
                <w:sz w:val="21"/>
                <w:szCs w:val="21"/>
              </w:rPr>
            </w:pPr>
            <w:r>
              <w:rPr>
                <w:rFonts w:hint="eastAsia"/>
                <w:sz w:val="21"/>
                <w:szCs w:val="21"/>
              </w:rPr>
              <w:t>CC</w:t>
            </w:r>
            <w:r>
              <w:rPr>
                <w:sz w:val="21"/>
                <w:szCs w:val="21"/>
              </w:rPr>
              <w:t>S- PP</w:t>
            </w:r>
            <w:r>
              <w:rPr>
                <w:rFonts w:hint="eastAsia"/>
                <w:sz w:val="21"/>
                <w:szCs w:val="21"/>
              </w:rPr>
              <w:t>U</w:t>
            </w:r>
            <w:r>
              <w:rPr>
                <w:sz w:val="21"/>
                <w:szCs w:val="21"/>
              </w:rPr>
              <w:t>101</w:t>
            </w:r>
            <w:r>
              <w:rPr>
                <w:rFonts w:hint="eastAsia"/>
                <w:sz w:val="21"/>
                <w:szCs w:val="21"/>
              </w:rPr>
              <w:t>/</w:t>
            </w:r>
            <w:r>
              <w:rPr>
                <w:sz w:val="21"/>
                <w:szCs w:val="21"/>
              </w:rPr>
              <w:t>10</w:t>
            </w:r>
            <w:r>
              <w:rPr>
                <w:rFonts w:hint="eastAsia"/>
                <w:sz w:val="21"/>
                <w:szCs w:val="21"/>
              </w:rPr>
              <w:t>3</w:t>
            </w:r>
          </w:p>
        </w:tc>
        <w:tc>
          <w:tcPr>
            <w:tcW w:w="1701" w:type="dxa"/>
            <w:tcBorders>
              <w:top w:val="single" w:color="000000" w:sz="6" w:space="0"/>
              <w:bottom w:val="single" w:color="000000" w:sz="6" w:space="0"/>
            </w:tcBorders>
            <w:vAlign w:val="center"/>
          </w:tcPr>
          <w:p>
            <w:pPr>
              <w:spacing w:before="120" w:beforeLines="50"/>
              <w:rPr>
                <w:sz w:val="21"/>
                <w:szCs w:val="21"/>
              </w:rPr>
            </w:pPr>
            <w:r>
              <w:rPr>
                <w:rFonts w:hint="eastAsia"/>
                <w:sz w:val="21"/>
                <w:szCs w:val="21"/>
              </w:rPr>
              <w:t>醋酸钠加药泵组1（含泵架）</w:t>
            </w:r>
          </w:p>
        </w:tc>
        <w:tc>
          <w:tcPr>
            <w:tcW w:w="3543" w:type="dxa"/>
            <w:tcBorders>
              <w:top w:val="single" w:color="000000" w:sz="6" w:space="0"/>
              <w:bottom w:val="single" w:color="000000" w:sz="6" w:space="0"/>
            </w:tcBorders>
            <w:vAlign w:val="center"/>
          </w:tcPr>
          <w:p>
            <w:pPr>
              <w:spacing w:before="120" w:beforeLines="50"/>
              <w:jc w:val="left"/>
              <w:rPr>
                <w:rFonts w:hint="eastAsia"/>
                <w:sz w:val="21"/>
                <w:szCs w:val="21"/>
              </w:rPr>
            </w:pPr>
            <w:r>
              <w:rPr>
                <w:rFonts w:hint="eastAsia"/>
                <w:sz w:val="21"/>
                <w:szCs w:val="21"/>
              </w:rPr>
              <w:t>能力：150L/h，扬程20m；</w:t>
            </w:r>
          </w:p>
          <w:p>
            <w:pPr>
              <w:spacing w:before="120" w:beforeLines="50"/>
              <w:jc w:val="left"/>
              <w:rPr>
                <w:sz w:val="21"/>
                <w:szCs w:val="21"/>
              </w:rPr>
            </w:pPr>
            <w:r>
              <w:rPr>
                <w:rFonts w:hint="eastAsia"/>
                <w:sz w:val="21"/>
                <w:szCs w:val="21"/>
              </w:rPr>
              <w:t>泵组内含3台泵，2用1备，变频，每组含阻尼器，背压阀，安全阀，手动阀，Y型过滤器等；</w:t>
            </w:r>
          </w:p>
        </w:tc>
        <w:tc>
          <w:tcPr>
            <w:tcW w:w="614" w:type="dxa"/>
            <w:tcBorders>
              <w:top w:val="single" w:color="000000" w:sz="6" w:space="0"/>
              <w:bottom w:val="single" w:color="000000" w:sz="6" w:space="0"/>
            </w:tcBorders>
            <w:vAlign w:val="center"/>
          </w:tcPr>
          <w:p>
            <w:pPr>
              <w:spacing w:before="120" w:beforeLines="50"/>
              <w:jc w:val="center"/>
              <w:rPr>
                <w:sz w:val="21"/>
                <w:szCs w:val="21"/>
              </w:rPr>
            </w:pPr>
            <w:r>
              <w:rPr>
                <w:rFonts w:hint="eastAsia"/>
                <w:sz w:val="21"/>
                <w:szCs w:val="21"/>
              </w:rPr>
              <w:t>3</w:t>
            </w:r>
          </w:p>
        </w:tc>
        <w:tc>
          <w:tcPr>
            <w:tcW w:w="570" w:type="dxa"/>
            <w:tcBorders>
              <w:top w:val="single" w:color="000000" w:sz="6" w:space="0"/>
              <w:bottom w:val="single" w:color="000000" w:sz="6" w:space="0"/>
              <w:right w:val="single" w:color="auto" w:sz="4" w:space="0"/>
            </w:tcBorders>
            <w:vAlign w:val="center"/>
          </w:tcPr>
          <w:p>
            <w:pPr>
              <w:spacing w:before="120" w:beforeLines="50"/>
              <w:jc w:val="center"/>
              <w:rPr>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c>
          <w:tcPr>
            <w:tcW w:w="584" w:type="dxa"/>
            <w:tcBorders>
              <w:top w:val="single" w:color="000000" w:sz="6" w:space="0"/>
              <w:left w:val="single" w:color="auto" w:sz="4" w:space="0"/>
              <w:bottom w:val="single" w:color="000000" w:sz="6" w:space="0"/>
            </w:tcBorders>
            <w:vAlign w:val="center"/>
          </w:tcPr>
          <w:p>
            <w:pPr>
              <w:spacing w:before="120" w:beforeLines="50"/>
              <w:ind w:left="196"/>
              <w:rPr>
                <w:rFonts w:hint="eastAsia"/>
                <w:sz w:val="21"/>
                <w:szCs w:val="21"/>
              </w:rPr>
            </w:pPr>
            <w:r>
              <w:rPr>
                <w:sz w:val="21"/>
                <w:szCs w:val="21"/>
              </w:rPr>
              <w:t>3</w:t>
            </w:r>
          </w:p>
        </w:tc>
        <w:tc>
          <w:tcPr>
            <w:tcW w:w="1287" w:type="dxa"/>
            <w:tcBorders>
              <w:top w:val="single" w:color="000000" w:sz="6" w:space="0"/>
              <w:bottom w:val="single" w:color="000000" w:sz="6" w:space="0"/>
            </w:tcBorders>
            <w:vAlign w:val="center"/>
          </w:tcPr>
          <w:p>
            <w:pPr>
              <w:spacing w:before="120" w:beforeLines="50"/>
              <w:jc w:val="center"/>
              <w:rPr>
                <w:sz w:val="21"/>
                <w:szCs w:val="21"/>
              </w:rPr>
            </w:pPr>
            <w:r>
              <w:rPr>
                <w:rFonts w:hint="eastAsia"/>
                <w:sz w:val="21"/>
                <w:szCs w:val="21"/>
              </w:rPr>
              <w:t>CC</w:t>
            </w:r>
            <w:r>
              <w:rPr>
                <w:sz w:val="21"/>
                <w:szCs w:val="21"/>
              </w:rPr>
              <w:t>S- PP</w:t>
            </w:r>
            <w:r>
              <w:rPr>
                <w:rFonts w:hint="eastAsia"/>
                <w:sz w:val="21"/>
                <w:szCs w:val="21"/>
              </w:rPr>
              <w:t>U2</w:t>
            </w:r>
            <w:r>
              <w:rPr>
                <w:sz w:val="21"/>
                <w:szCs w:val="21"/>
              </w:rPr>
              <w:t>01</w:t>
            </w:r>
            <w:r>
              <w:rPr>
                <w:rFonts w:hint="eastAsia"/>
                <w:sz w:val="21"/>
                <w:szCs w:val="21"/>
              </w:rPr>
              <w:t>/2</w:t>
            </w:r>
            <w:r>
              <w:rPr>
                <w:sz w:val="21"/>
                <w:szCs w:val="21"/>
              </w:rPr>
              <w:t>0</w:t>
            </w:r>
            <w:r>
              <w:rPr>
                <w:rFonts w:hint="eastAsia"/>
                <w:sz w:val="21"/>
                <w:szCs w:val="21"/>
              </w:rPr>
              <w:t>3</w:t>
            </w:r>
          </w:p>
        </w:tc>
        <w:tc>
          <w:tcPr>
            <w:tcW w:w="1701" w:type="dxa"/>
            <w:tcBorders>
              <w:top w:val="single" w:color="000000" w:sz="6" w:space="0"/>
              <w:bottom w:val="single" w:color="000000" w:sz="6" w:space="0"/>
            </w:tcBorders>
            <w:vAlign w:val="center"/>
          </w:tcPr>
          <w:p>
            <w:pPr>
              <w:spacing w:before="120" w:beforeLines="50"/>
              <w:rPr>
                <w:sz w:val="21"/>
                <w:szCs w:val="21"/>
              </w:rPr>
            </w:pPr>
            <w:r>
              <w:rPr>
                <w:rFonts w:hint="eastAsia"/>
                <w:sz w:val="21"/>
                <w:szCs w:val="21"/>
              </w:rPr>
              <w:t>醋酸钠加药泵组2（含泵架）</w:t>
            </w:r>
          </w:p>
        </w:tc>
        <w:tc>
          <w:tcPr>
            <w:tcW w:w="3543" w:type="dxa"/>
            <w:tcBorders>
              <w:top w:val="single" w:color="000000" w:sz="6" w:space="0"/>
              <w:bottom w:val="single" w:color="000000" w:sz="6" w:space="0"/>
            </w:tcBorders>
            <w:vAlign w:val="center"/>
          </w:tcPr>
          <w:p>
            <w:pPr>
              <w:spacing w:before="120" w:beforeLines="50"/>
              <w:jc w:val="left"/>
              <w:rPr>
                <w:rFonts w:hint="eastAsia"/>
                <w:sz w:val="21"/>
                <w:szCs w:val="21"/>
              </w:rPr>
            </w:pPr>
            <w:r>
              <w:rPr>
                <w:rFonts w:hint="eastAsia"/>
                <w:sz w:val="21"/>
                <w:szCs w:val="21"/>
              </w:rPr>
              <w:t>能力：150L/h，扬程20m；</w:t>
            </w:r>
          </w:p>
          <w:p>
            <w:pPr>
              <w:spacing w:before="120" w:beforeLines="50"/>
              <w:jc w:val="left"/>
              <w:rPr>
                <w:sz w:val="21"/>
                <w:szCs w:val="21"/>
              </w:rPr>
            </w:pPr>
            <w:r>
              <w:rPr>
                <w:rFonts w:hint="eastAsia"/>
                <w:sz w:val="21"/>
                <w:szCs w:val="21"/>
              </w:rPr>
              <w:t>泵组内含3台泵，2用1备，变频，每组含阻尼器，背压阀，安全阀，手动阀，Y型过滤器等；</w:t>
            </w:r>
          </w:p>
        </w:tc>
        <w:tc>
          <w:tcPr>
            <w:tcW w:w="614" w:type="dxa"/>
            <w:tcBorders>
              <w:top w:val="single" w:color="000000" w:sz="6" w:space="0"/>
              <w:bottom w:val="single" w:color="000000" w:sz="6" w:space="0"/>
            </w:tcBorders>
            <w:vAlign w:val="center"/>
          </w:tcPr>
          <w:p>
            <w:pPr>
              <w:spacing w:before="120" w:beforeLines="50"/>
              <w:jc w:val="center"/>
              <w:rPr>
                <w:sz w:val="21"/>
                <w:szCs w:val="21"/>
              </w:rPr>
            </w:pPr>
            <w:r>
              <w:rPr>
                <w:rFonts w:hint="eastAsia"/>
                <w:sz w:val="21"/>
                <w:szCs w:val="21"/>
              </w:rPr>
              <w:t>3</w:t>
            </w:r>
          </w:p>
        </w:tc>
        <w:tc>
          <w:tcPr>
            <w:tcW w:w="570" w:type="dxa"/>
            <w:tcBorders>
              <w:top w:val="single" w:color="000000" w:sz="6" w:space="0"/>
              <w:bottom w:val="single" w:color="000000" w:sz="6" w:space="0"/>
              <w:right w:val="single" w:color="auto" w:sz="4" w:space="0"/>
            </w:tcBorders>
            <w:vAlign w:val="center"/>
          </w:tcPr>
          <w:p>
            <w:pPr>
              <w:spacing w:before="120" w:beforeLines="50"/>
              <w:jc w:val="center"/>
              <w:rPr>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4</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CCS-CTK201/202</w:t>
            </w:r>
          </w:p>
        </w:tc>
        <w:tc>
          <w:tcPr>
            <w:tcW w:w="1701" w:type="dxa"/>
            <w:tcBorders>
              <w:top w:val="single" w:color="000000" w:sz="6" w:space="0"/>
              <w:bottom w:val="single" w:color="auto" w:sz="4" w:space="0"/>
            </w:tcBorders>
            <w:vAlign w:val="center"/>
          </w:tcPr>
          <w:p>
            <w:pPr>
              <w:spacing w:before="120" w:beforeLines="50"/>
              <w:rPr>
                <w:rFonts w:hint="eastAsia"/>
                <w:sz w:val="21"/>
                <w:szCs w:val="21"/>
              </w:rPr>
            </w:pPr>
            <w:r>
              <w:rPr>
                <w:rFonts w:hint="eastAsia"/>
                <w:sz w:val="21"/>
                <w:szCs w:val="21"/>
              </w:rPr>
              <w:t>PFS（聚合硫酸铁）储罐</w:t>
            </w:r>
          </w:p>
        </w:tc>
        <w:tc>
          <w:tcPr>
            <w:tcW w:w="3543" w:type="dxa"/>
            <w:tcBorders>
              <w:top w:val="single" w:color="000000" w:sz="6" w:space="0"/>
              <w:bottom w:val="single" w:color="auto" w:sz="4" w:space="0"/>
            </w:tcBorders>
            <w:vAlign w:val="center"/>
          </w:tcPr>
          <w:p>
            <w:pPr>
              <w:spacing w:before="120" w:beforeLines="50"/>
              <w:jc w:val="left"/>
              <w:rPr>
                <w:rFonts w:hint="eastAsia"/>
                <w:sz w:val="21"/>
                <w:szCs w:val="21"/>
              </w:rPr>
            </w:pPr>
            <w:r>
              <w:rPr>
                <w:rFonts w:hint="eastAsia"/>
                <w:sz w:val="21"/>
                <w:szCs w:val="21"/>
              </w:rPr>
              <w:t>50m</w:t>
            </w:r>
            <w:r>
              <w:rPr>
                <w:rFonts w:hint="eastAsia"/>
                <w:sz w:val="21"/>
                <w:szCs w:val="21"/>
                <w:vertAlign w:val="superscript"/>
              </w:rPr>
              <w:t>3</w:t>
            </w:r>
            <w:r>
              <w:rPr>
                <w:rFonts w:hint="eastAsia"/>
                <w:sz w:val="21"/>
                <w:szCs w:val="21"/>
              </w:rPr>
              <w:t>，直径3.2m，高7.6m</w:t>
            </w:r>
          </w:p>
        </w:tc>
        <w:tc>
          <w:tcPr>
            <w:tcW w:w="614" w:type="dxa"/>
            <w:tcBorders>
              <w:top w:val="single" w:color="000000" w:sz="6" w:space="0"/>
              <w:bottom w:val="single" w:color="auto" w:sz="4" w:space="0"/>
            </w:tcBorders>
            <w:vAlign w:val="center"/>
          </w:tcPr>
          <w:p>
            <w:pPr>
              <w:spacing w:before="120" w:beforeLines="50"/>
              <w:jc w:val="center"/>
              <w:rPr>
                <w:rFonts w:hint="eastAsia"/>
                <w:sz w:val="21"/>
                <w:szCs w:val="21"/>
              </w:rPr>
            </w:pPr>
            <w:r>
              <w:rPr>
                <w:rFonts w:hint="eastAsia"/>
                <w:sz w:val="21"/>
                <w:szCs w:val="21"/>
              </w:rPr>
              <w:t>2</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rFonts w:hint="eastAsia"/>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5</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sz w:val="21"/>
                <w:szCs w:val="21"/>
              </w:rPr>
              <w:t>C</w:t>
            </w:r>
            <w:r>
              <w:rPr>
                <w:rFonts w:hint="eastAsia"/>
                <w:sz w:val="21"/>
                <w:szCs w:val="21"/>
              </w:rPr>
              <w:t>C</w:t>
            </w:r>
            <w:r>
              <w:rPr>
                <w:sz w:val="21"/>
                <w:szCs w:val="21"/>
              </w:rPr>
              <w:t>S-PPU</w:t>
            </w:r>
            <w:r>
              <w:rPr>
                <w:rFonts w:hint="eastAsia"/>
                <w:sz w:val="21"/>
                <w:szCs w:val="21"/>
              </w:rPr>
              <w:t>3</w:t>
            </w:r>
            <w:r>
              <w:rPr>
                <w:sz w:val="21"/>
                <w:szCs w:val="21"/>
              </w:rPr>
              <w:t>01/</w:t>
            </w:r>
            <w:r>
              <w:rPr>
                <w:rFonts w:hint="eastAsia"/>
                <w:sz w:val="21"/>
                <w:szCs w:val="21"/>
              </w:rPr>
              <w:t>303</w:t>
            </w:r>
          </w:p>
        </w:tc>
        <w:tc>
          <w:tcPr>
            <w:tcW w:w="1701" w:type="dxa"/>
            <w:tcBorders>
              <w:top w:val="single" w:color="000000" w:sz="6" w:space="0"/>
              <w:bottom w:val="single" w:color="auto" w:sz="4" w:space="0"/>
            </w:tcBorders>
            <w:vAlign w:val="center"/>
          </w:tcPr>
          <w:p>
            <w:pPr>
              <w:spacing w:before="120" w:beforeLines="50"/>
              <w:rPr>
                <w:rFonts w:hint="eastAsia"/>
                <w:sz w:val="21"/>
                <w:szCs w:val="21"/>
              </w:rPr>
            </w:pPr>
            <w:r>
              <w:rPr>
                <w:rFonts w:hint="eastAsia"/>
                <w:sz w:val="21"/>
                <w:szCs w:val="21"/>
              </w:rPr>
              <w:t>PFS（聚合硫酸铁）加药泵组（含泵架）</w:t>
            </w:r>
          </w:p>
        </w:tc>
        <w:tc>
          <w:tcPr>
            <w:tcW w:w="3543" w:type="dxa"/>
            <w:tcBorders>
              <w:top w:val="single" w:color="000000" w:sz="6" w:space="0"/>
              <w:bottom w:val="single" w:color="auto" w:sz="4" w:space="0"/>
            </w:tcBorders>
            <w:vAlign w:val="center"/>
          </w:tcPr>
          <w:p>
            <w:pPr>
              <w:spacing w:before="120" w:beforeLines="50"/>
              <w:jc w:val="left"/>
              <w:rPr>
                <w:rFonts w:hint="eastAsia"/>
                <w:sz w:val="21"/>
                <w:szCs w:val="21"/>
              </w:rPr>
            </w:pPr>
            <w:r>
              <w:rPr>
                <w:rFonts w:hint="eastAsia"/>
                <w:sz w:val="21"/>
                <w:szCs w:val="21"/>
              </w:rPr>
              <w:t>能力：</w:t>
            </w:r>
            <w:r>
              <w:rPr>
                <w:sz w:val="21"/>
                <w:szCs w:val="21"/>
              </w:rPr>
              <w:t>2</w:t>
            </w:r>
            <w:r>
              <w:rPr>
                <w:rFonts w:hint="eastAsia"/>
                <w:sz w:val="21"/>
                <w:szCs w:val="21"/>
              </w:rPr>
              <w:t>00L/h，扬程20m；</w:t>
            </w:r>
          </w:p>
          <w:p>
            <w:pPr>
              <w:spacing w:before="120" w:beforeLines="50"/>
              <w:jc w:val="left"/>
              <w:rPr>
                <w:sz w:val="21"/>
                <w:szCs w:val="21"/>
              </w:rPr>
            </w:pPr>
            <w:r>
              <w:rPr>
                <w:rFonts w:hint="eastAsia"/>
                <w:sz w:val="21"/>
                <w:szCs w:val="21"/>
              </w:rPr>
              <w:t>泵组内含3台泵，2用1备，变频，每组含阻尼器，背压阀，安全阀，手动阀，Y型过滤器等；</w:t>
            </w:r>
          </w:p>
        </w:tc>
        <w:tc>
          <w:tcPr>
            <w:tcW w:w="614"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3</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6</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CCS-CTK301</w:t>
            </w:r>
          </w:p>
        </w:tc>
        <w:tc>
          <w:tcPr>
            <w:tcW w:w="1701" w:type="dxa"/>
            <w:tcBorders>
              <w:top w:val="single" w:color="000000" w:sz="6" w:space="0"/>
              <w:bottom w:val="single" w:color="auto" w:sz="4" w:space="0"/>
            </w:tcBorders>
            <w:vAlign w:val="center"/>
          </w:tcPr>
          <w:p>
            <w:pPr>
              <w:spacing w:before="120" w:beforeLines="50"/>
              <w:rPr>
                <w:rFonts w:hint="eastAsia"/>
                <w:sz w:val="21"/>
                <w:szCs w:val="21"/>
              </w:rPr>
            </w:pPr>
            <w:r>
              <w:rPr>
                <w:rFonts w:hint="eastAsia"/>
                <w:sz w:val="21"/>
                <w:szCs w:val="21"/>
              </w:rPr>
              <w:t>次氯酸钠储罐</w:t>
            </w:r>
          </w:p>
        </w:tc>
        <w:tc>
          <w:tcPr>
            <w:tcW w:w="3543" w:type="dxa"/>
            <w:tcBorders>
              <w:top w:val="single" w:color="000000" w:sz="6" w:space="0"/>
              <w:bottom w:val="single" w:color="auto" w:sz="4" w:space="0"/>
            </w:tcBorders>
            <w:vAlign w:val="center"/>
          </w:tcPr>
          <w:p>
            <w:pPr>
              <w:spacing w:before="120" w:beforeLines="50"/>
              <w:jc w:val="center"/>
              <w:rPr>
                <w:rFonts w:hint="eastAsia"/>
                <w:sz w:val="21"/>
                <w:szCs w:val="21"/>
              </w:rPr>
            </w:pPr>
            <w:r>
              <w:rPr>
                <w:rFonts w:hint="eastAsia"/>
                <w:sz w:val="21"/>
                <w:szCs w:val="21"/>
              </w:rPr>
              <w:t>50m</w:t>
            </w:r>
            <w:r>
              <w:rPr>
                <w:rFonts w:hint="eastAsia"/>
                <w:sz w:val="21"/>
                <w:szCs w:val="21"/>
                <w:vertAlign w:val="superscript"/>
              </w:rPr>
              <w:t>3</w:t>
            </w:r>
            <w:r>
              <w:rPr>
                <w:rFonts w:hint="eastAsia"/>
                <w:sz w:val="21"/>
                <w:szCs w:val="21"/>
              </w:rPr>
              <w:t>，直径3.2m，高7.6m</w:t>
            </w:r>
          </w:p>
        </w:tc>
        <w:tc>
          <w:tcPr>
            <w:tcW w:w="614" w:type="dxa"/>
            <w:tcBorders>
              <w:top w:val="single" w:color="000000" w:sz="6" w:space="0"/>
              <w:bottom w:val="single" w:color="auto" w:sz="4" w:space="0"/>
            </w:tcBorders>
            <w:vAlign w:val="center"/>
          </w:tcPr>
          <w:p>
            <w:pPr>
              <w:spacing w:before="120" w:beforeLines="50"/>
              <w:jc w:val="center"/>
              <w:rPr>
                <w:rFonts w:hint="eastAsia"/>
                <w:sz w:val="21"/>
                <w:szCs w:val="21"/>
              </w:rPr>
            </w:pPr>
            <w:r>
              <w:rPr>
                <w:rFonts w:hint="eastAsia"/>
                <w:sz w:val="21"/>
                <w:szCs w:val="21"/>
              </w:rPr>
              <w:t>1</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rFonts w:hint="eastAsia"/>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7</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sz w:val="21"/>
                <w:szCs w:val="21"/>
              </w:rPr>
              <w:t>C</w:t>
            </w:r>
            <w:r>
              <w:rPr>
                <w:rFonts w:hint="eastAsia"/>
                <w:sz w:val="21"/>
                <w:szCs w:val="21"/>
              </w:rPr>
              <w:t>C</w:t>
            </w:r>
            <w:r>
              <w:rPr>
                <w:sz w:val="21"/>
                <w:szCs w:val="21"/>
              </w:rPr>
              <w:t>S-PPU</w:t>
            </w:r>
            <w:r>
              <w:rPr>
                <w:rFonts w:hint="eastAsia"/>
                <w:sz w:val="21"/>
                <w:szCs w:val="21"/>
              </w:rPr>
              <w:t>4</w:t>
            </w:r>
            <w:r>
              <w:rPr>
                <w:sz w:val="21"/>
                <w:szCs w:val="21"/>
              </w:rPr>
              <w:t>01/</w:t>
            </w:r>
            <w:r>
              <w:rPr>
                <w:rFonts w:hint="eastAsia"/>
                <w:sz w:val="21"/>
                <w:szCs w:val="21"/>
              </w:rPr>
              <w:t>403</w:t>
            </w:r>
          </w:p>
        </w:tc>
        <w:tc>
          <w:tcPr>
            <w:tcW w:w="1701" w:type="dxa"/>
            <w:tcBorders>
              <w:top w:val="single" w:color="000000" w:sz="6" w:space="0"/>
              <w:bottom w:val="single" w:color="auto" w:sz="4" w:space="0"/>
            </w:tcBorders>
            <w:vAlign w:val="center"/>
          </w:tcPr>
          <w:p>
            <w:pPr>
              <w:spacing w:before="120" w:beforeLines="50"/>
              <w:rPr>
                <w:sz w:val="21"/>
                <w:szCs w:val="21"/>
              </w:rPr>
            </w:pPr>
            <w:r>
              <w:rPr>
                <w:rFonts w:hint="eastAsia"/>
                <w:sz w:val="21"/>
                <w:szCs w:val="21"/>
              </w:rPr>
              <w:t>次氯酸钠加药泵组1（含泵架）</w:t>
            </w:r>
          </w:p>
        </w:tc>
        <w:tc>
          <w:tcPr>
            <w:tcW w:w="3543" w:type="dxa"/>
            <w:tcBorders>
              <w:top w:val="single" w:color="000000" w:sz="6" w:space="0"/>
              <w:bottom w:val="single" w:color="auto" w:sz="4" w:space="0"/>
            </w:tcBorders>
            <w:vAlign w:val="center"/>
          </w:tcPr>
          <w:p>
            <w:pPr>
              <w:spacing w:before="120" w:beforeLines="50"/>
              <w:jc w:val="left"/>
              <w:rPr>
                <w:rFonts w:hint="eastAsia"/>
                <w:sz w:val="21"/>
                <w:szCs w:val="21"/>
              </w:rPr>
            </w:pPr>
            <w:r>
              <w:rPr>
                <w:rFonts w:hint="eastAsia"/>
                <w:sz w:val="21"/>
                <w:szCs w:val="21"/>
              </w:rPr>
              <w:t>能力：200L/h，扬程20m；</w:t>
            </w:r>
          </w:p>
          <w:p>
            <w:pPr>
              <w:spacing w:before="120" w:beforeLines="50"/>
              <w:jc w:val="left"/>
              <w:rPr>
                <w:sz w:val="21"/>
                <w:szCs w:val="21"/>
              </w:rPr>
            </w:pPr>
            <w:r>
              <w:rPr>
                <w:rFonts w:hint="eastAsia"/>
                <w:sz w:val="21"/>
                <w:szCs w:val="21"/>
              </w:rPr>
              <w:t>泵组内含3台泵，2用1备，变频，每组含阻尼器，背压阀，安全阀，手动阀，Y型过滤器等；</w:t>
            </w:r>
          </w:p>
        </w:tc>
        <w:tc>
          <w:tcPr>
            <w:tcW w:w="614"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3</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8</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sz w:val="21"/>
                <w:szCs w:val="21"/>
              </w:rPr>
              <w:t>C</w:t>
            </w:r>
            <w:r>
              <w:rPr>
                <w:rFonts w:hint="eastAsia"/>
                <w:sz w:val="21"/>
                <w:szCs w:val="21"/>
              </w:rPr>
              <w:t>C</w:t>
            </w:r>
            <w:r>
              <w:rPr>
                <w:sz w:val="21"/>
                <w:szCs w:val="21"/>
              </w:rPr>
              <w:t>S-PPU</w:t>
            </w:r>
            <w:r>
              <w:rPr>
                <w:rFonts w:hint="eastAsia"/>
                <w:sz w:val="21"/>
                <w:szCs w:val="21"/>
              </w:rPr>
              <w:t>5</w:t>
            </w:r>
            <w:r>
              <w:rPr>
                <w:sz w:val="21"/>
                <w:szCs w:val="21"/>
              </w:rPr>
              <w:t>01</w:t>
            </w:r>
          </w:p>
        </w:tc>
        <w:tc>
          <w:tcPr>
            <w:tcW w:w="1701" w:type="dxa"/>
            <w:tcBorders>
              <w:top w:val="single" w:color="000000" w:sz="6" w:space="0"/>
              <w:bottom w:val="single" w:color="auto" w:sz="4" w:space="0"/>
            </w:tcBorders>
            <w:vAlign w:val="center"/>
          </w:tcPr>
          <w:p>
            <w:pPr>
              <w:spacing w:before="120" w:beforeLines="50"/>
              <w:rPr>
                <w:sz w:val="21"/>
                <w:szCs w:val="21"/>
              </w:rPr>
            </w:pPr>
            <w:r>
              <w:rPr>
                <w:rFonts w:hint="eastAsia"/>
                <w:sz w:val="21"/>
                <w:szCs w:val="21"/>
              </w:rPr>
              <w:t>次氯酸钠加药泵2（含泵架）</w:t>
            </w:r>
          </w:p>
        </w:tc>
        <w:tc>
          <w:tcPr>
            <w:tcW w:w="3543" w:type="dxa"/>
            <w:tcBorders>
              <w:top w:val="single" w:color="000000" w:sz="6" w:space="0"/>
              <w:bottom w:val="single" w:color="auto" w:sz="4" w:space="0"/>
            </w:tcBorders>
            <w:vAlign w:val="center"/>
          </w:tcPr>
          <w:p>
            <w:pPr>
              <w:spacing w:before="120" w:beforeLines="50"/>
              <w:jc w:val="left"/>
              <w:rPr>
                <w:rFonts w:hint="eastAsia"/>
                <w:sz w:val="21"/>
                <w:szCs w:val="21"/>
              </w:rPr>
            </w:pPr>
            <w:r>
              <w:rPr>
                <w:rFonts w:hint="eastAsia"/>
                <w:sz w:val="21"/>
                <w:szCs w:val="21"/>
              </w:rPr>
              <w:t>能力：200L/h，扬程20m；</w:t>
            </w:r>
          </w:p>
          <w:p>
            <w:pPr>
              <w:spacing w:before="120" w:beforeLines="50"/>
              <w:jc w:val="left"/>
              <w:rPr>
                <w:sz w:val="21"/>
                <w:szCs w:val="21"/>
              </w:rPr>
            </w:pPr>
            <w:r>
              <w:rPr>
                <w:rFonts w:hint="eastAsia"/>
                <w:sz w:val="21"/>
                <w:szCs w:val="21"/>
              </w:rPr>
              <w:t>变频，含阻尼器，背压阀，安全阀，手动阀，Y型过滤器等；</w:t>
            </w:r>
          </w:p>
        </w:tc>
        <w:tc>
          <w:tcPr>
            <w:tcW w:w="614"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1</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9</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CCS-CTK401</w:t>
            </w:r>
          </w:p>
        </w:tc>
        <w:tc>
          <w:tcPr>
            <w:tcW w:w="1701" w:type="dxa"/>
            <w:tcBorders>
              <w:top w:val="single" w:color="000000" w:sz="6" w:space="0"/>
              <w:bottom w:val="single" w:color="auto" w:sz="4" w:space="0"/>
            </w:tcBorders>
            <w:vAlign w:val="center"/>
          </w:tcPr>
          <w:p>
            <w:pPr>
              <w:spacing w:before="120" w:beforeLines="50"/>
              <w:rPr>
                <w:rFonts w:hint="eastAsia"/>
                <w:sz w:val="21"/>
                <w:szCs w:val="21"/>
              </w:rPr>
            </w:pPr>
            <w:r>
              <w:rPr>
                <w:rFonts w:hint="eastAsia"/>
                <w:sz w:val="21"/>
                <w:szCs w:val="21"/>
              </w:rPr>
              <w:t>PAC储罐</w:t>
            </w:r>
          </w:p>
        </w:tc>
        <w:tc>
          <w:tcPr>
            <w:tcW w:w="3543" w:type="dxa"/>
            <w:tcBorders>
              <w:top w:val="single" w:color="000000" w:sz="6" w:space="0"/>
              <w:bottom w:val="single" w:color="auto" w:sz="4" w:space="0"/>
            </w:tcBorders>
            <w:vAlign w:val="center"/>
          </w:tcPr>
          <w:p>
            <w:pPr>
              <w:spacing w:before="120" w:beforeLines="50"/>
              <w:jc w:val="center"/>
              <w:rPr>
                <w:rFonts w:hint="eastAsia"/>
                <w:sz w:val="21"/>
                <w:szCs w:val="21"/>
              </w:rPr>
            </w:pPr>
            <w:r>
              <w:rPr>
                <w:rFonts w:hint="eastAsia"/>
                <w:sz w:val="21"/>
                <w:szCs w:val="21"/>
              </w:rPr>
              <w:t>20m</w:t>
            </w:r>
            <w:r>
              <w:rPr>
                <w:rFonts w:hint="eastAsia"/>
                <w:sz w:val="21"/>
                <w:szCs w:val="21"/>
                <w:vertAlign w:val="superscript"/>
              </w:rPr>
              <w:t>3</w:t>
            </w:r>
            <w:r>
              <w:rPr>
                <w:rFonts w:hint="eastAsia"/>
                <w:sz w:val="21"/>
                <w:szCs w:val="21"/>
              </w:rPr>
              <w:t>，直径2.5m，高4m</w:t>
            </w:r>
          </w:p>
        </w:tc>
        <w:tc>
          <w:tcPr>
            <w:tcW w:w="614" w:type="dxa"/>
            <w:tcBorders>
              <w:top w:val="single" w:color="000000" w:sz="6" w:space="0"/>
              <w:bottom w:val="single" w:color="auto" w:sz="4" w:space="0"/>
            </w:tcBorders>
            <w:vAlign w:val="center"/>
          </w:tcPr>
          <w:p>
            <w:pPr>
              <w:spacing w:before="120" w:beforeLines="50"/>
              <w:jc w:val="center"/>
              <w:rPr>
                <w:rFonts w:hint="eastAsia"/>
                <w:sz w:val="21"/>
                <w:szCs w:val="21"/>
              </w:rPr>
            </w:pPr>
            <w:r>
              <w:rPr>
                <w:rFonts w:hint="eastAsia"/>
                <w:sz w:val="21"/>
                <w:szCs w:val="21"/>
              </w:rPr>
              <w:t>1</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rFonts w:hint="eastAsia"/>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10</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sz w:val="21"/>
                <w:szCs w:val="21"/>
              </w:rPr>
              <w:t>C</w:t>
            </w:r>
            <w:r>
              <w:rPr>
                <w:rFonts w:hint="eastAsia"/>
                <w:sz w:val="21"/>
                <w:szCs w:val="21"/>
              </w:rPr>
              <w:t>C</w:t>
            </w:r>
            <w:r>
              <w:rPr>
                <w:sz w:val="21"/>
                <w:szCs w:val="21"/>
              </w:rPr>
              <w:t>S-PPU</w:t>
            </w:r>
            <w:r>
              <w:rPr>
                <w:rFonts w:hint="eastAsia"/>
                <w:sz w:val="21"/>
                <w:szCs w:val="21"/>
              </w:rPr>
              <w:t>6</w:t>
            </w:r>
            <w:r>
              <w:rPr>
                <w:sz w:val="21"/>
                <w:szCs w:val="21"/>
              </w:rPr>
              <w:t>01/</w:t>
            </w:r>
            <w:r>
              <w:rPr>
                <w:rFonts w:hint="eastAsia"/>
                <w:sz w:val="21"/>
                <w:szCs w:val="21"/>
              </w:rPr>
              <w:t>6</w:t>
            </w:r>
            <w:r>
              <w:rPr>
                <w:sz w:val="21"/>
                <w:szCs w:val="21"/>
              </w:rPr>
              <w:t>03</w:t>
            </w:r>
          </w:p>
        </w:tc>
        <w:tc>
          <w:tcPr>
            <w:tcW w:w="1701" w:type="dxa"/>
            <w:tcBorders>
              <w:top w:val="single" w:color="000000" w:sz="6" w:space="0"/>
              <w:bottom w:val="single" w:color="auto" w:sz="4" w:space="0"/>
            </w:tcBorders>
            <w:vAlign w:val="center"/>
          </w:tcPr>
          <w:p>
            <w:pPr>
              <w:spacing w:before="120" w:beforeLines="50"/>
              <w:rPr>
                <w:sz w:val="21"/>
                <w:szCs w:val="21"/>
              </w:rPr>
            </w:pPr>
            <w:r>
              <w:rPr>
                <w:rFonts w:hint="eastAsia"/>
                <w:sz w:val="21"/>
                <w:szCs w:val="21"/>
              </w:rPr>
              <w:t>PAC加药泵组（含泵架）</w:t>
            </w:r>
          </w:p>
        </w:tc>
        <w:tc>
          <w:tcPr>
            <w:tcW w:w="3543" w:type="dxa"/>
            <w:tcBorders>
              <w:top w:val="single" w:color="000000" w:sz="6" w:space="0"/>
              <w:bottom w:val="single" w:color="auto" w:sz="4" w:space="0"/>
            </w:tcBorders>
            <w:vAlign w:val="center"/>
          </w:tcPr>
          <w:p>
            <w:pPr>
              <w:spacing w:before="120" w:beforeLines="50"/>
              <w:jc w:val="left"/>
              <w:rPr>
                <w:rFonts w:hint="eastAsia"/>
                <w:sz w:val="21"/>
                <w:szCs w:val="21"/>
              </w:rPr>
            </w:pPr>
            <w:r>
              <w:rPr>
                <w:rFonts w:hint="eastAsia"/>
                <w:sz w:val="21"/>
                <w:szCs w:val="21"/>
              </w:rPr>
              <w:t>能力：100L/h，扬程20m；</w:t>
            </w:r>
          </w:p>
          <w:p>
            <w:pPr>
              <w:spacing w:before="120" w:beforeLines="50"/>
              <w:jc w:val="left"/>
              <w:rPr>
                <w:sz w:val="21"/>
                <w:szCs w:val="21"/>
              </w:rPr>
            </w:pPr>
            <w:r>
              <w:rPr>
                <w:rFonts w:hint="eastAsia"/>
                <w:sz w:val="21"/>
                <w:szCs w:val="21"/>
              </w:rPr>
              <w:t>泵组内含3台泵，2用1备，变频，每组含阻尼器，背压阀，安全阀，手动阀，Y型过滤器等；</w:t>
            </w:r>
          </w:p>
        </w:tc>
        <w:tc>
          <w:tcPr>
            <w:tcW w:w="614"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3</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sz w:val="21"/>
                <w:szCs w:val="21"/>
              </w:rPr>
            </w:pPr>
            <w:r>
              <w:rPr>
                <w:rFonts w:hint="eastAsia"/>
                <w:sz w:val="21"/>
                <w:szCs w:val="21"/>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c>
          <w:tcPr>
            <w:tcW w:w="584" w:type="dxa"/>
            <w:tcBorders>
              <w:top w:val="single" w:color="000000" w:sz="6" w:space="0"/>
              <w:left w:val="single" w:color="auto" w:sz="4" w:space="0"/>
              <w:bottom w:val="single" w:color="auto" w:sz="4" w:space="0"/>
            </w:tcBorders>
            <w:vAlign w:val="center"/>
          </w:tcPr>
          <w:p>
            <w:pPr>
              <w:spacing w:before="120" w:beforeLines="50"/>
              <w:ind w:left="196"/>
              <w:rPr>
                <w:rFonts w:hint="eastAsia"/>
                <w:sz w:val="21"/>
                <w:szCs w:val="21"/>
              </w:rPr>
            </w:pPr>
            <w:r>
              <w:rPr>
                <w:sz w:val="21"/>
                <w:szCs w:val="21"/>
              </w:rPr>
              <w:t>11</w:t>
            </w:r>
          </w:p>
        </w:tc>
        <w:tc>
          <w:tcPr>
            <w:tcW w:w="1287" w:type="dxa"/>
            <w:tcBorders>
              <w:top w:val="single" w:color="000000" w:sz="6" w:space="0"/>
              <w:bottom w:val="single" w:color="auto" w:sz="4" w:space="0"/>
            </w:tcBorders>
            <w:vAlign w:val="center"/>
          </w:tcPr>
          <w:p>
            <w:pPr>
              <w:spacing w:before="120" w:beforeLines="50"/>
              <w:jc w:val="center"/>
              <w:rPr>
                <w:sz w:val="21"/>
                <w:szCs w:val="21"/>
              </w:rPr>
            </w:pPr>
            <w:r>
              <w:rPr>
                <w:sz w:val="21"/>
                <w:szCs w:val="21"/>
              </w:rPr>
              <w:t>CPS-</w:t>
            </w:r>
            <w:r>
              <w:rPr>
                <w:rFonts w:hint="eastAsia"/>
                <w:sz w:val="21"/>
                <w:szCs w:val="21"/>
              </w:rPr>
              <w:t>EWY</w:t>
            </w:r>
            <w:r>
              <w:rPr>
                <w:sz w:val="21"/>
                <w:szCs w:val="21"/>
              </w:rPr>
              <w:t>101</w:t>
            </w:r>
          </w:p>
        </w:tc>
        <w:tc>
          <w:tcPr>
            <w:tcW w:w="1701" w:type="dxa"/>
            <w:tcBorders>
              <w:top w:val="single" w:color="000000" w:sz="6" w:space="0"/>
              <w:bottom w:val="single" w:color="auto" w:sz="4" w:space="0"/>
            </w:tcBorders>
            <w:vAlign w:val="center"/>
          </w:tcPr>
          <w:p>
            <w:pPr>
              <w:spacing w:before="120" w:beforeLines="50"/>
              <w:rPr>
                <w:sz w:val="21"/>
                <w:szCs w:val="21"/>
              </w:rPr>
            </w:pPr>
            <w:r>
              <w:rPr>
                <w:rFonts w:hint="eastAsia"/>
                <w:sz w:val="21"/>
                <w:szCs w:val="21"/>
              </w:rPr>
              <w:t>紧急淋浴洗眼器</w:t>
            </w:r>
          </w:p>
        </w:tc>
        <w:tc>
          <w:tcPr>
            <w:tcW w:w="3543"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不锈钢，脚踏式</w:t>
            </w:r>
          </w:p>
        </w:tc>
        <w:tc>
          <w:tcPr>
            <w:tcW w:w="614" w:type="dxa"/>
            <w:tcBorders>
              <w:top w:val="single" w:color="000000" w:sz="6" w:space="0"/>
              <w:bottom w:val="single" w:color="auto" w:sz="4" w:space="0"/>
            </w:tcBorders>
            <w:vAlign w:val="center"/>
          </w:tcPr>
          <w:p>
            <w:pPr>
              <w:spacing w:before="120" w:beforeLines="50"/>
              <w:jc w:val="center"/>
              <w:rPr>
                <w:sz w:val="21"/>
                <w:szCs w:val="21"/>
              </w:rPr>
            </w:pPr>
            <w:r>
              <w:rPr>
                <w:rFonts w:hint="eastAsia"/>
                <w:sz w:val="21"/>
                <w:szCs w:val="21"/>
              </w:rPr>
              <w:t>1</w:t>
            </w:r>
          </w:p>
        </w:tc>
        <w:tc>
          <w:tcPr>
            <w:tcW w:w="570" w:type="dxa"/>
            <w:tcBorders>
              <w:top w:val="single" w:color="000000" w:sz="6" w:space="0"/>
              <w:bottom w:val="single" w:color="auto" w:sz="4" w:space="0"/>
              <w:right w:val="single" w:color="auto" w:sz="4" w:space="0"/>
            </w:tcBorders>
            <w:vAlign w:val="center"/>
          </w:tcPr>
          <w:p>
            <w:pPr>
              <w:spacing w:before="120" w:beforeLines="50"/>
              <w:jc w:val="center"/>
              <w:rPr>
                <w:sz w:val="21"/>
                <w:szCs w:val="21"/>
              </w:rPr>
            </w:pPr>
            <w:r>
              <w:rPr>
                <w:rFonts w:hint="eastAsia"/>
                <w:sz w:val="21"/>
                <w:szCs w:val="21"/>
              </w:rPr>
              <w:t>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000000" w:sz="6" w:space="0"/>
            </w:tcBorders>
            <w:vAlign w:val="center"/>
          </w:tcPr>
          <w:p>
            <w:pPr>
              <w:spacing w:before="120" w:beforeLines="50"/>
              <w:ind w:left="196"/>
              <w:rPr>
                <w:rFonts w:hint="eastAsia"/>
                <w:sz w:val="21"/>
                <w:szCs w:val="21"/>
              </w:rPr>
            </w:pPr>
            <w:r>
              <w:rPr>
                <w:rFonts w:hint="eastAsia"/>
                <w:sz w:val="21"/>
                <w:szCs w:val="21"/>
              </w:rPr>
              <w:t>12</w:t>
            </w:r>
          </w:p>
        </w:tc>
        <w:tc>
          <w:tcPr>
            <w:tcW w:w="1287" w:type="dxa"/>
            <w:tcBorders>
              <w:top w:val="single" w:color="000000" w:sz="6" w:space="0"/>
              <w:bottom w:val="single" w:color="000000" w:sz="6" w:space="0"/>
            </w:tcBorders>
            <w:vAlign w:val="center"/>
          </w:tcPr>
          <w:p>
            <w:pPr>
              <w:spacing w:before="120" w:beforeLines="50"/>
              <w:jc w:val="center"/>
              <w:rPr>
                <w:sz w:val="21"/>
                <w:szCs w:val="21"/>
              </w:rPr>
            </w:pPr>
            <w:r>
              <w:rPr>
                <w:rFonts w:hint="eastAsia"/>
                <w:sz w:val="21"/>
                <w:szCs w:val="21"/>
              </w:rPr>
              <w:t>/</w:t>
            </w:r>
          </w:p>
        </w:tc>
        <w:tc>
          <w:tcPr>
            <w:tcW w:w="1701" w:type="dxa"/>
            <w:tcBorders>
              <w:top w:val="single" w:color="000000" w:sz="6" w:space="0"/>
              <w:bottom w:val="single" w:color="000000" w:sz="6" w:space="0"/>
            </w:tcBorders>
            <w:vAlign w:val="center"/>
          </w:tcPr>
          <w:p>
            <w:pPr>
              <w:spacing w:before="120" w:beforeLines="50"/>
              <w:rPr>
                <w:sz w:val="21"/>
                <w:szCs w:val="21"/>
              </w:rPr>
            </w:pPr>
            <w:r>
              <w:rPr>
                <w:sz w:val="21"/>
                <w:szCs w:val="21"/>
              </w:rPr>
              <w:t>所有系统管路、支架、管件、法兰、阀门</w:t>
            </w:r>
            <w:r>
              <w:rPr>
                <w:rFonts w:hint="eastAsia"/>
                <w:sz w:val="21"/>
                <w:szCs w:val="21"/>
              </w:rPr>
              <w:t>、伸缩接头、</w:t>
            </w:r>
            <w:r>
              <w:rPr>
                <w:sz w:val="21"/>
                <w:szCs w:val="21"/>
              </w:rPr>
              <w:t>安装</w:t>
            </w:r>
            <w:r>
              <w:rPr>
                <w:rFonts w:hint="eastAsia"/>
                <w:sz w:val="21"/>
                <w:szCs w:val="21"/>
              </w:rPr>
              <w:t>及连接</w:t>
            </w:r>
            <w:r>
              <w:rPr>
                <w:sz w:val="21"/>
                <w:szCs w:val="21"/>
              </w:rPr>
              <w:t>附件等</w:t>
            </w:r>
          </w:p>
        </w:tc>
        <w:tc>
          <w:tcPr>
            <w:tcW w:w="3543" w:type="dxa"/>
            <w:tcBorders>
              <w:top w:val="single" w:color="000000" w:sz="6" w:space="0"/>
              <w:bottom w:val="single" w:color="000000" w:sz="6" w:space="0"/>
            </w:tcBorders>
            <w:vAlign w:val="center"/>
          </w:tcPr>
          <w:p>
            <w:pPr>
              <w:spacing w:before="120" w:beforeLines="50"/>
              <w:jc w:val="center"/>
              <w:rPr>
                <w:rFonts w:hint="eastAsia"/>
                <w:sz w:val="21"/>
                <w:szCs w:val="21"/>
              </w:rPr>
            </w:pPr>
            <w:r>
              <w:rPr>
                <w:rFonts w:hint="eastAsia"/>
                <w:sz w:val="21"/>
                <w:szCs w:val="21"/>
              </w:rPr>
              <w:t>与设备配套，含过滤器</w:t>
            </w:r>
            <w:r>
              <w:rPr>
                <w:sz w:val="21"/>
                <w:szCs w:val="21"/>
              </w:rPr>
              <w:t>（</w:t>
            </w:r>
            <w:r>
              <w:rPr>
                <w:rFonts w:hint="eastAsia" w:hAnsi="宋体"/>
                <w:sz w:val="21"/>
                <w:szCs w:val="21"/>
              </w:rPr>
              <w:t>加药间出墙1米</w:t>
            </w:r>
            <w:r>
              <w:rPr>
                <w:sz w:val="21"/>
                <w:szCs w:val="21"/>
              </w:rPr>
              <w:t>）</w:t>
            </w:r>
          </w:p>
        </w:tc>
        <w:tc>
          <w:tcPr>
            <w:tcW w:w="614" w:type="dxa"/>
            <w:tcBorders>
              <w:top w:val="single" w:color="000000" w:sz="6" w:space="0"/>
              <w:bottom w:val="single" w:color="000000" w:sz="6" w:space="0"/>
            </w:tcBorders>
            <w:vAlign w:val="center"/>
          </w:tcPr>
          <w:p>
            <w:pPr>
              <w:spacing w:before="120" w:beforeLines="50"/>
              <w:jc w:val="center"/>
              <w:rPr>
                <w:rFonts w:hint="eastAsia"/>
                <w:sz w:val="21"/>
                <w:szCs w:val="21"/>
              </w:rPr>
            </w:pPr>
            <w:r>
              <w:rPr>
                <w:rFonts w:hint="eastAsia"/>
                <w:sz w:val="21"/>
                <w:szCs w:val="21"/>
              </w:rPr>
              <w:t>全</w:t>
            </w:r>
          </w:p>
        </w:tc>
        <w:tc>
          <w:tcPr>
            <w:tcW w:w="570" w:type="dxa"/>
            <w:tcBorders>
              <w:top w:val="single" w:color="000000" w:sz="6" w:space="0"/>
              <w:bottom w:val="single" w:color="000000" w:sz="6" w:space="0"/>
              <w:right w:val="single" w:color="auto" w:sz="4" w:space="0"/>
            </w:tcBorders>
            <w:vAlign w:val="center"/>
          </w:tcPr>
          <w:p>
            <w:pPr>
              <w:spacing w:before="120" w:beforeLines="50"/>
              <w:jc w:val="center"/>
              <w:rPr>
                <w:rFonts w:hint="eastAsia"/>
                <w:sz w:val="21"/>
                <w:szCs w:val="21"/>
              </w:rPr>
            </w:pPr>
            <w:r>
              <w:rPr>
                <w:rFonts w:hint="eastAsia"/>
                <w:sz w:val="21"/>
                <w:szCs w:val="21"/>
              </w:rPr>
              <w:t>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000000" w:sz="6" w:space="0"/>
            </w:tcBorders>
            <w:vAlign w:val="center"/>
          </w:tcPr>
          <w:p>
            <w:pPr>
              <w:spacing w:before="120" w:beforeLines="50"/>
              <w:ind w:left="196"/>
              <w:rPr>
                <w:rFonts w:hint="eastAsia"/>
                <w:sz w:val="21"/>
                <w:szCs w:val="21"/>
              </w:rPr>
            </w:pPr>
            <w:r>
              <w:rPr>
                <w:rFonts w:hint="eastAsia"/>
                <w:sz w:val="21"/>
                <w:szCs w:val="21"/>
              </w:rPr>
              <w:t>13</w:t>
            </w:r>
          </w:p>
        </w:tc>
        <w:tc>
          <w:tcPr>
            <w:tcW w:w="1287" w:type="dxa"/>
            <w:tcBorders>
              <w:top w:val="single" w:color="000000" w:sz="6" w:space="0"/>
              <w:bottom w:val="single" w:color="000000" w:sz="6" w:space="0"/>
            </w:tcBorders>
            <w:vAlign w:val="center"/>
          </w:tcPr>
          <w:p>
            <w:pPr>
              <w:spacing w:before="120" w:beforeLines="50"/>
              <w:jc w:val="center"/>
              <w:rPr>
                <w:sz w:val="21"/>
                <w:szCs w:val="21"/>
              </w:rPr>
            </w:pPr>
            <w:r>
              <w:rPr>
                <w:rFonts w:hint="eastAsia"/>
                <w:sz w:val="21"/>
                <w:szCs w:val="21"/>
              </w:rPr>
              <w:t>/</w:t>
            </w:r>
          </w:p>
        </w:tc>
        <w:tc>
          <w:tcPr>
            <w:tcW w:w="1701" w:type="dxa"/>
            <w:tcBorders>
              <w:top w:val="single" w:color="000000" w:sz="6" w:space="0"/>
              <w:bottom w:val="single" w:color="000000" w:sz="6" w:space="0"/>
            </w:tcBorders>
            <w:vAlign w:val="center"/>
          </w:tcPr>
          <w:p>
            <w:pPr>
              <w:spacing w:before="120" w:beforeLines="50"/>
              <w:rPr>
                <w:sz w:val="21"/>
                <w:szCs w:val="21"/>
              </w:rPr>
            </w:pPr>
            <w:r>
              <w:rPr>
                <w:rFonts w:hint="eastAsia"/>
                <w:sz w:val="21"/>
                <w:szCs w:val="21"/>
              </w:rPr>
              <w:t>配电控制柜、</w:t>
            </w:r>
            <w:r>
              <w:rPr>
                <w:sz w:val="21"/>
                <w:szCs w:val="21"/>
              </w:rPr>
              <w:t>仪表、</w:t>
            </w:r>
            <w:r>
              <w:rPr>
                <w:rFonts w:hint="eastAsia"/>
                <w:sz w:val="21"/>
                <w:szCs w:val="21"/>
              </w:rPr>
              <w:t>可编程控制器</w:t>
            </w:r>
            <w:r>
              <w:rPr>
                <w:sz w:val="21"/>
                <w:szCs w:val="21"/>
              </w:rPr>
              <w:t>自控系统及</w:t>
            </w:r>
            <w:r>
              <w:rPr>
                <w:rFonts w:hint="eastAsia"/>
                <w:sz w:val="21"/>
                <w:szCs w:val="21"/>
              </w:rPr>
              <w:t>控制柜、电缆</w:t>
            </w:r>
            <w:r>
              <w:rPr>
                <w:sz w:val="21"/>
                <w:szCs w:val="21"/>
              </w:rPr>
              <w:t>及</w:t>
            </w:r>
            <w:r>
              <w:rPr>
                <w:rFonts w:hint="eastAsia"/>
                <w:sz w:val="21"/>
                <w:szCs w:val="21"/>
              </w:rPr>
              <w:t>桥</w:t>
            </w:r>
            <w:r>
              <w:rPr>
                <w:sz w:val="21"/>
                <w:szCs w:val="21"/>
              </w:rPr>
              <w:t>架</w:t>
            </w:r>
          </w:p>
        </w:tc>
        <w:tc>
          <w:tcPr>
            <w:tcW w:w="3543" w:type="dxa"/>
            <w:tcBorders>
              <w:top w:val="single" w:color="000000" w:sz="6" w:space="0"/>
              <w:bottom w:val="single" w:color="000000" w:sz="6" w:space="0"/>
            </w:tcBorders>
            <w:vAlign w:val="center"/>
          </w:tcPr>
          <w:p>
            <w:pPr>
              <w:spacing w:before="120" w:beforeLines="50"/>
              <w:jc w:val="center"/>
              <w:rPr>
                <w:sz w:val="21"/>
                <w:szCs w:val="21"/>
              </w:rPr>
            </w:pPr>
            <w:r>
              <w:rPr>
                <w:rFonts w:hint="eastAsia"/>
                <w:sz w:val="21"/>
                <w:szCs w:val="21"/>
              </w:rPr>
              <w:t>/</w:t>
            </w:r>
          </w:p>
        </w:tc>
        <w:tc>
          <w:tcPr>
            <w:tcW w:w="614" w:type="dxa"/>
            <w:tcBorders>
              <w:top w:val="single" w:color="000000" w:sz="6" w:space="0"/>
              <w:bottom w:val="single" w:color="000000" w:sz="6" w:space="0"/>
            </w:tcBorders>
            <w:vAlign w:val="center"/>
          </w:tcPr>
          <w:p>
            <w:pPr>
              <w:spacing w:before="120" w:beforeLines="50"/>
              <w:jc w:val="center"/>
              <w:rPr>
                <w:rFonts w:hint="eastAsia"/>
                <w:sz w:val="21"/>
                <w:szCs w:val="21"/>
              </w:rPr>
            </w:pPr>
            <w:r>
              <w:rPr>
                <w:rFonts w:hint="eastAsia"/>
                <w:sz w:val="21"/>
                <w:szCs w:val="21"/>
              </w:rPr>
              <w:t>全</w:t>
            </w:r>
          </w:p>
        </w:tc>
        <w:tc>
          <w:tcPr>
            <w:tcW w:w="570" w:type="dxa"/>
            <w:tcBorders>
              <w:top w:val="single" w:color="000000" w:sz="6" w:space="0"/>
              <w:bottom w:val="single" w:color="000000" w:sz="6" w:space="0"/>
              <w:right w:val="single" w:color="auto" w:sz="4" w:space="0"/>
            </w:tcBorders>
            <w:vAlign w:val="center"/>
          </w:tcPr>
          <w:p>
            <w:pPr>
              <w:spacing w:before="120" w:beforeLines="50"/>
              <w:jc w:val="center"/>
              <w:rPr>
                <w:rFonts w:hint="eastAsia"/>
                <w:sz w:val="21"/>
                <w:szCs w:val="21"/>
              </w:rPr>
            </w:pPr>
            <w:r>
              <w:rPr>
                <w:rFonts w:hint="eastAsia"/>
                <w:sz w:val="21"/>
                <w:szCs w:val="21"/>
              </w:rPr>
              <w:t>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000000" w:sz="6" w:space="0"/>
            </w:tcBorders>
            <w:vAlign w:val="center"/>
          </w:tcPr>
          <w:p>
            <w:pPr>
              <w:spacing w:before="120" w:beforeLines="50"/>
              <w:ind w:left="196"/>
              <w:rPr>
                <w:rFonts w:hint="eastAsia"/>
                <w:sz w:val="21"/>
                <w:szCs w:val="21"/>
              </w:rPr>
            </w:pPr>
            <w:r>
              <w:rPr>
                <w:rFonts w:hint="eastAsia"/>
                <w:sz w:val="21"/>
                <w:szCs w:val="21"/>
              </w:rPr>
              <w:t>14</w:t>
            </w:r>
          </w:p>
        </w:tc>
        <w:tc>
          <w:tcPr>
            <w:tcW w:w="1287" w:type="dxa"/>
            <w:tcBorders>
              <w:top w:val="single" w:color="000000" w:sz="6" w:space="0"/>
              <w:bottom w:val="single" w:color="000000" w:sz="6" w:space="0"/>
            </w:tcBorders>
            <w:vAlign w:val="top"/>
          </w:tcPr>
          <w:p>
            <w:pPr>
              <w:spacing w:before="120" w:beforeLines="50"/>
              <w:jc w:val="center"/>
              <w:rPr>
                <w:sz w:val="21"/>
                <w:szCs w:val="21"/>
              </w:rPr>
            </w:pPr>
            <w:r>
              <w:rPr>
                <w:rFonts w:hint="eastAsia"/>
                <w:sz w:val="21"/>
                <w:szCs w:val="21"/>
              </w:rPr>
              <w:t>/</w:t>
            </w:r>
          </w:p>
        </w:tc>
        <w:tc>
          <w:tcPr>
            <w:tcW w:w="1701" w:type="dxa"/>
            <w:tcBorders>
              <w:top w:val="single" w:color="000000" w:sz="6" w:space="0"/>
              <w:bottom w:val="single" w:color="000000" w:sz="6" w:space="0"/>
            </w:tcBorders>
            <w:vAlign w:val="top"/>
          </w:tcPr>
          <w:p>
            <w:pPr>
              <w:spacing w:before="120" w:beforeLines="50"/>
              <w:rPr>
                <w:sz w:val="21"/>
                <w:szCs w:val="21"/>
              </w:rPr>
            </w:pPr>
            <w:r>
              <w:rPr>
                <w:sz w:val="21"/>
                <w:szCs w:val="21"/>
              </w:rPr>
              <w:t>所有</w:t>
            </w:r>
            <w:r>
              <w:rPr>
                <w:rFonts w:hint="eastAsia"/>
                <w:sz w:val="21"/>
                <w:szCs w:val="21"/>
              </w:rPr>
              <w:t>连</w:t>
            </w:r>
            <w:r>
              <w:rPr>
                <w:sz w:val="21"/>
                <w:szCs w:val="21"/>
              </w:rPr>
              <w:t>接附件、地脚螺栓</w:t>
            </w:r>
          </w:p>
        </w:tc>
        <w:tc>
          <w:tcPr>
            <w:tcW w:w="3543" w:type="dxa"/>
            <w:tcBorders>
              <w:top w:val="single" w:color="000000" w:sz="6" w:space="0"/>
              <w:bottom w:val="single" w:color="000000" w:sz="6" w:space="0"/>
            </w:tcBorders>
            <w:vAlign w:val="center"/>
          </w:tcPr>
          <w:p>
            <w:pPr>
              <w:spacing w:before="120" w:beforeLines="50"/>
              <w:jc w:val="center"/>
              <w:rPr>
                <w:rFonts w:hint="eastAsia"/>
                <w:sz w:val="21"/>
                <w:szCs w:val="21"/>
              </w:rPr>
            </w:pPr>
            <w:r>
              <w:rPr>
                <w:rFonts w:hint="eastAsia"/>
                <w:sz w:val="21"/>
                <w:szCs w:val="21"/>
              </w:rPr>
              <w:t>/</w:t>
            </w:r>
          </w:p>
        </w:tc>
        <w:tc>
          <w:tcPr>
            <w:tcW w:w="614" w:type="dxa"/>
            <w:tcBorders>
              <w:top w:val="single" w:color="000000" w:sz="6" w:space="0"/>
              <w:bottom w:val="single" w:color="000000" w:sz="6" w:space="0"/>
            </w:tcBorders>
            <w:vAlign w:val="center"/>
          </w:tcPr>
          <w:p>
            <w:pPr>
              <w:spacing w:before="120" w:beforeLines="50"/>
              <w:jc w:val="center"/>
              <w:rPr>
                <w:rFonts w:hint="eastAsia"/>
                <w:sz w:val="21"/>
                <w:szCs w:val="21"/>
              </w:rPr>
            </w:pPr>
            <w:r>
              <w:rPr>
                <w:rFonts w:hint="eastAsia"/>
                <w:sz w:val="21"/>
                <w:szCs w:val="21"/>
              </w:rPr>
              <w:t>全</w:t>
            </w:r>
          </w:p>
        </w:tc>
        <w:tc>
          <w:tcPr>
            <w:tcW w:w="570" w:type="dxa"/>
            <w:tcBorders>
              <w:top w:val="single" w:color="000000" w:sz="6" w:space="0"/>
              <w:bottom w:val="single" w:color="000000" w:sz="6" w:space="0"/>
              <w:right w:val="single" w:color="auto" w:sz="4" w:space="0"/>
            </w:tcBorders>
            <w:vAlign w:val="center"/>
          </w:tcPr>
          <w:p>
            <w:pPr>
              <w:spacing w:before="120" w:beforeLines="50"/>
              <w:jc w:val="center"/>
              <w:rPr>
                <w:rFonts w:hint="eastAsia"/>
                <w:sz w:val="21"/>
                <w:szCs w:val="21"/>
              </w:rPr>
            </w:pPr>
            <w:r>
              <w:rPr>
                <w:rFonts w:hint="eastAsia"/>
                <w:sz w:val="21"/>
                <w:szCs w:val="21"/>
              </w:rPr>
              <w:t>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c>
          <w:tcPr>
            <w:tcW w:w="584" w:type="dxa"/>
            <w:tcBorders>
              <w:top w:val="single" w:color="000000" w:sz="6" w:space="0"/>
              <w:left w:val="single" w:color="auto" w:sz="4" w:space="0"/>
              <w:bottom w:val="single" w:color="000000" w:sz="6" w:space="0"/>
            </w:tcBorders>
            <w:vAlign w:val="center"/>
          </w:tcPr>
          <w:p>
            <w:pPr>
              <w:spacing w:before="120" w:beforeLines="50"/>
              <w:jc w:val="center"/>
              <w:rPr>
                <w:rFonts w:hint="eastAsia"/>
                <w:sz w:val="21"/>
                <w:szCs w:val="21"/>
              </w:rPr>
            </w:pPr>
            <w:r>
              <w:rPr>
                <w:rFonts w:hint="eastAsia"/>
                <w:sz w:val="21"/>
                <w:szCs w:val="21"/>
              </w:rPr>
              <w:t>15</w:t>
            </w:r>
          </w:p>
        </w:tc>
        <w:tc>
          <w:tcPr>
            <w:tcW w:w="1287" w:type="dxa"/>
            <w:tcBorders>
              <w:top w:val="single" w:color="000000" w:sz="6" w:space="0"/>
              <w:bottom w:val="single" w:color="000000" w:sz="6" w:space="0"/>
            </w:tcBorders>
            <w:vAlign w:val="top"/>
          </w:tcPr>
          <w:p>
            <w:pPr>
              <w:spacing w:before="120" w:beforeLines="50"/>
              <w:jc w:val="center"/>
              <w:rPr>
                <w:rFonts w:hint="eastAsia"/>
                <w:sz w:val="21"/>
                <w:szCs w:val="21"/>
              </w:rPr>
            </w:pPr>
            <w:r>
              <w:rPr>
                <w:rFonts w:hint="eastAsia"/>
                <w:sz w:val="21"/>
                <w:szCs w:val="21"/>
              </w:rPr>
              <w:t>/</w:t>
            </w:r>
          </w:p>
        </w:tc>
        <w:tc>
          <w:tcPr>
            <w:tcW w:w="1701" w:type="dxa"/>
            <w:tcBorders>
              <w:top w:val="single" w:color="000000" w:sz="6" w:space="0"/>
              <w:bottom w:val="single" w:color="000000" w:sz="6" w:space="0"/>
            </w:tcBorders>
            <w:vAlign w:val="center"/>
          </w:tcPr>
          <w:p>
            <w:pPr>
              <w:spacing w:before="120" w:beforeLines="50"/>
              <w:rPr>
                <w:sz w:val="21"/>
                <w:szCs w:val="21"/>
              </w:rPr>
            </w:pPr>
            <w:r>
              <w:rPr>
                <w:rFonts w:hint="eastAsia" w:ascii="宋体" w:cs="宋体"/>
                <w:sz w:val="21"/>
                <w:szCs w:val="21"/>
              </w:rPr>
              <w:t>钢结构固定支架</w:t>
            </w:r>
            <w:r>
              <w:rPr>
                <w:sz w:val="21"/>
                <w:szCs w:val="21"/>
              </w:rPr>
              <w:t>（带防溅推拉挡板）</w:t>
            </w:r>
          </w:p>
        </w:tc>
        <w:tc>
          <w:tcPr>
            <w:tcW w:w="3543" w:type="dxa"/>
            <w:tcBorders>
              <w:top w:val="single" w:color="000000" w:sz="6" w:space="0"/>
              <w:bottom w:val="single" w:color="000000" w:sz="6" w:space="0"/>
            </w:tcBorders>
            <w:vAlign w:val="center"/>
          </w:tcPr>
          <w:p>
            <w:pPr>
              <w:spacing w:before="120" w:beforeLines="50"/>
              <w:jc w:val="left"/>
              <w:rPr>
                <w:rFonts w:hint="eastAsia"/>
                <w:sz w:val="21"/>
                <w:szCs w:val="21"/>
              </w:rPr>
            </w:pPr>
            <w:r>
              <w:rPr>
                <w:rFonts w:hint="eastAsia" w:ascii="宋体" w:cs="宋体"/>
                <w:sz w:val="21"/>
                <w:szCs w:val="21"/>
              </w:rPr>
              <w:t>所有管路、阀门、阻尼器、过滤器、化料器等附属设备亦应排列整齐安装在其上，并加以固定</w:t>
            </w:r>
          </w:p>
        </w:tc>
        <w:tc>
          <w:tcPr>
            <w:tcW w:w="614" w:type="dxa"/>
            <w:tcBorders>
              <w:top w:val="single" w:color="000000" w:sz="6" w:space="0"/>
              <w:bottom w:val="single" w:color="000000" w:sz="6" w:space="0"/>
            </w:tcBorders>
            <w:vAlign w:val="center"/>
          </w:tcPr>
          <w:p>
            <w:pPr>
              <w:spacing w:before="120" w:beforeLines="50"/>
              <w:jc w:val="center"/>
              <w:rPr>
                <w:rFonts w:hint="eastAsia"/>
                <w:sz w:val="21"/>
                <w:szCs w:val="21"/>
              </w:rPr>
            </w:pPr>
            <w:r>
              <w:rPr>
                <w:sz w:val="21"/>
                <w:szCs w:val="21"/>
              </w:rPr>
              <w:t>全</w:t>
            </w:r>
          </w:p>
        </w:tc>
        <w:tc>
          <w:tcPr>
            <w:tcW w:w="570" w:type="dxa"/>
            <w:tcBorders>
              <w:top w:val="single" w:color="000000" w:sz="6" w:space="0"/>
              <w:bottom w:val="single" w:color="000000" w:sz="6" w:space="0"/>
              <w:right w:val="single" w:color="auto" w:sz="4" w:space="0"/>
            </w:tcBorders>
            <w:vAlign w:val="center"/>
          </w:tcPr>
          <w:p>
            <w:pPr>
              <w:spacing w:before="120" w:beforeLines="50"/>
              <w:jc w:val="center"/>
              <w:rPr>
                <w:rFonts w:hint="eastAsia"/>
                <w:sz w:val="21"/>
                <w:szCs w:val="21"/>
              </w:rPr>
            </w:pPr>
            <w:r>
              <w:rPr>
                <w:sz w:val="21"/>
                <w:szCs w:val="21"/>
              </w:rPr>
              <w:t>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30" w:type="dxa"/>
            <w:bottom w:w="0" w:type="dxa"/>
            <w:right w:w="30" w:type="dxa"/>
          </w:tblCellMar>
        </w:tblPrEx>
        <w:tc>
          <w:tcPr>
            <w:tcW w:w="584" w:type="dxa"/>
            <w:tcBorders>
              <w:top w:val="single" w:color="000000" w:sz="6" w:space="0"/>
              <w:left w:val="single" w:color="auto" w:sz="4" w:space="0"/>
              <w:bottom w:val="single" w:color="auto" w:sz="4" w:space="0"/>
            </w:tcBorders>
            <w:vAlign w:val="center"/>
          </w:tcPr>
          <w:p>
            <w:pPr>
              <w:spacing w:before="120" w:beforeLines="50"/>
              <w:jc w:val="center"/>
              <w:rPr>
                <w:rFonts w:hint="eastAsia"/>
                <w:sz w:val="21"/>
                <w:szCs w:val="21"/>
              </w:rPr>
            </w:pPr>
            <w:r>
              <w:rPr>
                <w:rFonts w:hint="eastAsia"/>
                <w:sz w:val="21"/>
                <w:szCs w:val="21"/>
              </w:rPr>
              <w:t>16</w:t>
            </w:r>
          </w:p>
        </w:tc>
        <w:tc>
          <w:tcPr>
            <w:tcW w:w="1287" w:type="dxa"/>
            <w:tcBorders>
              <w:top w:val="single" w:color="000000" w:sz="6" w:space="0"/>
              <w:bottom w:val="single" w:color="auto" w:sz="4" w:space="0"/>
            </w:tcBorders>
            <w:vAlign w:val="center"/>
          </w:tcPr>
          <w:p>
            <w:pPr>
              <w:widowControl w:val="0"/>
              <w:spacing w:before="120" w:beforeLines="50"/>
              <w:jc w:val="center"/>
              <w:rPr>
                <w:sz w:val="21"/>
                <w:szCs w:val="21"/>
              </w:rPr>
            </w:pPr>
            <w:r>
              <w:rPr>
                <w:sz w:val="21"/>
                <w:szCs w:val="21"/>
              </w:rPr>
              <w:t>/</w:t>
            </w:r>
          </w:p>
        </w:tc>
        <w:tc>
          <w:tcPr>
            <w:tcW w:w="1701" w:type="dxa"/>
            <w:tcBorders>
              <w:top w:val="single" w:color="000000" w:sz="6" w:space="0"/>
              <w:bottom w:val="single" w:color="auto" w:sz="4" w:space="0"/>
            </w:tcBorders>
            <w:vAlign w:val="center"/>
          </w:tcPr>
          <w:p>
            <w:pPr>
              <w:widowControl w:val="0"/>
              <w:spacing w:before="120" w:beforeLines="50"/>
              <w:rPr>
                <w:sz w:val="21"/>
                <w:szCs w:val="21"/>
              </w:rPr>
            </w:pPr>
            <w:r>
              <w:rPr>
                <w:sz w:val="21"/>
                <w:szCs w:val="21"/>
              </w:rPr>
              <w:t>罐车卸液装置</w:t>
            </w:r>
          </w:p>
        </w:tc>
        <w:tc>
          <w:tcPr>
            <w:tcW w:w="3543" w:type="dxa"/>
            <w:tcBorders>
              <w:top w:val="single" w:color="000000" w:sz="6" w:space="0"/>
              <w:bottom w:val="single" w:color="auto" w:sz="4" w:space="0"/>
            </w:tcBorders>
            <w:vAlign w:val="center"/>
          </w:tcPr>
          <w:p>
            <w:pPr>
              <w:widowControl w:val="0"/>
              <w:spacing w:before="120" w:beforeLines="50"/>
              <w:jc w:val="left"/>
              <w:rPr>
                <w:sz w:val="21"/>
                <w:szCs w:val="21"/>
              </w:rPr>
            </w:pPr>
            <w:r>
              <w:rPr>
                <w:sz w:val="21"/>
                <w:szCs w:val="21"/>
              </w:rPr>
              <w:t>加药系统的进药管上要配有快速接头和拉断阀</w:t>
            </w:r>
          </w:p>
        </w:tc>
        <w:tc>
          <w:tcPr>
            <w:tcW w:w="614" w:type="dxa"/>
            <w:tcBorders>
              <w:top w:val="single" w:color="000000" w:sz="6" w:space="0"/>
              <w:bottom w:val="single" w:color="auto" w:sz="4" w:space="0"/>
            </w:tcBorders>
            <w:vAlign w:val="center"/>
          </w:tcPr>
          <w:p>
            <w:pPr>
              <w:widowControl w:val="0"/>
              <w:spacing w:before="120" w:beforeLines="50"/>
              <w:jc w:val="center"/>
              <w:rPr>
                <w:sz w:val="21"/>
                <w:szCs w:val="21"/>
              </w:rPr>
            </w:pPr>
            <w:r>
              <w:rPr>
                <w:sz w:val="21"/>
                <w:szCs w:val="21"/>
              </w:rPr>
              <w:t>全套</w:t>
            </w:r>
          </w:p>
        </w:tc>
        <w:tc>
          <w:tcPr>
            <w:tcW w:w="570" w:type="dxa"/>
            <w:tcBorders>
              <w:top w:val="single" w:color="000000" w:sz="6" w:space="0"/>
              <w:bottom w:val="single" w:color="auto" w:sz="4" w:space="0"/>
              <w:right w:val="single" w:color="auto" w:sz="4" w:space="0"/>
            </w:tcBorders>
            <w:vAlign w:val="center"/>
          </w:tcPr>
          <w:p>
            <w:pPr>
              <w:widowControl w:val="0"/>
              <w:spacing w:before="120" w:beforeLines="50"/>
              <w:jc w:val="center"/>
              <w:rPr>
                <w:sz w:val="21"/>
                <w:szCs w:val="21"/>
              </w:rPr>
            </w:pPr>
            <w:r>
              <w:rPr>
                <w:sz w:val="21"/>
                <w:szCs w:val="21"/>
              </w:rPr>
              <w:t>/</w:t>
            </w:r>
          </w:p>
        </w:tc>
      </w:tr>
    </w:tbl>
    <w:p>
      <w:pPr>
        <w:pStyle w:val="8"/>
      </w:pPr>
      <w:bookmarkStart w:id="453" w:name="_Toc155414456"/>
      <w:r>
        <w:rPr>
          <w:rFonts w:hint="eastAsia"/>
        </w:rPr>
        <w:t>供货</w:t>
      </w:r>
      <w:r>
        <w:t>范围</w:t>
      </w:r>
      <w:r>
        <w:rPr>
          <w:rFonts w:hint="eastAsia"/>
        </w:rPr>
        <w:t>：加药</w:t>
      </w:r>
      <w:r>
        <w:t>管出加药间</w:t>
      </w:r>
      <w:r>
        <w:rPr>
          <w:rFonts w:hint="eastAsia"/>
        </w:rPr>
        <w:t>1</w:t>
      </w:r>
      <w:r>
        <w:t>m范围内</w:t>
      </w:r>
      <w:r>
        <w:rPr>
          <w:rFonts w:hint="eastAsia"/>
        </w:rPr>
        <w:t>，</w:t>
      </w:r>
      <w:r>
        <w:t>所有加药泵</w:t>
      </w:r>
      <w:r>
        <w:rPr>
          <w:rFonts w:hint="eastAsia"/>
        </w:rPr>
        <w:t>、</w:t>
      </w:r>
      <w:r>
        <w:t>储药罐、</w:t>
      </w:r>
      <w:r>
        <w:rPr>
          <w:rFonts w:hint="eastAsia"/>
        </w:rPr>
        <w:t>加药阀门、</w:t>
      </w:r>
      <w:r>
        <w:t>管道</w:t>
      </w:r>
      <w:r>
        <w:rPr>
          <w:rFonts w:hint="eastAsia"/>
        </w:rPr>
        <w:t>、</w:t>
      </w:r>
      <w:r>
        <w:t>管件、配电控制</w:t>
      </w:r>
      <w:r>
        <w:rPr>
          <w:rFonts w:hint="eastAsia"/>
        </w:rPr>
        <w:t>系统</w:t>
      </w:r>
      <w:r>
        <w:t>等</w:t>
      </w:r>
      <w:r>
        <w:rPr>
          <w:rFonts w:hint="eastAsia"/>
        </w:rPr>
        <w:t>全套</w:t>
      </w:r>
      <w:r>
        <w:t>系统</w:t>
      </w:r>
      <w:r>
        <w:rPr>
          <w:rFonts w:hint="eastAsia"/>
        </w:rPr>
        <w:t>；</w:t>
      </w:r>
    </w:p>
    <w:p>
      <w:pPr>
        <w:pStyle w:val="6"/>
        <w:rPr>
          <w:rFonts w:hint="eastAsia"/>
        </w:rPr>
      </w:pPr>
      <w:r>
        <w:rPr>
          <w:rFonts w:hint="eastAsia"/>
        </w:rPr>
        <w:t>设备性能参数和技术要求</w:t>
      </w:r>
      <w:bookmarkEnd w:id="453"/>
    </w:p>
    <w:p>
      <w:pPr>
        <w:pStyle w:val="42"/>
        <w:keepNext/>
        <w:keepLines/>
        <w:numPr>
          <w:ilvl w:val="0"/>
          <w:numId w:val="100"/>
        </w:numPr>
        <w:tabs>
          <w:tab w:val="left" w:pos="1200"/>
        </w:tabs>
        <w:ind w:firstLineChars="0"/>
        <w:outlineLvl w:val="3"/>
        <w:rPr>
          <w:rFonts w:hint="eastAsia"/>
          <w:b/>
          <w:bCs/>
          <w:vanish/>
        </w:rPr>
      </w:pPr>
    </w:p>
    <w:p>
      <w:pPr>
        <w:pStyle w:val="42"/>
        <w:keepNext/>
        <w:keepLines/>
        <w:numPr>
          <w:ilvl w:val="0"/>
          <w:numId w:val="100"/>
        </w:numPr>
        <w:tabs>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1"/>
          <w:numId w:val="100"/>
        </w:numPr>
        <w:tabs>
          <w:tab w:val="left" w:pos="802"/>
          <w:tab w:val="left" w:pos="1200"/>
        </w:tabs>
        <w:ind w:firstLineChars="0"/>
        <w:outlineLvl w:val="3"/>
        <w:rPr>
          <w:rFonts w:hint="eastAsia"/>
          <w:b/>
          <w:bCs/>
          <w:vanish/>
        </w:rPr>
      </w:pPr>
    </w:p>
    <w:p>
      <w:pPr>
        <w:pStyle w:val="42"/>
        <w:keepNext/>
        <w:keepLines/>
        <w:numPr>
          <w:ilvl w:val="2"/>
          <w:numId w:val="100"/>
        </w:numPr>
        <w:tabs>
          <w:tab w:val="left" w:pos="1200"/>
        </w:tabs>
        <w:ind w:firstLineChars="0"/>
        <w:outlineLvl w:val="3"/>
        <w:rPr>
          <w:rFonts w:hint="eastAsia"/>
          <w:b/>
          <w:bCs/>
          <w:vanish/>
        </w:rPr>
      </w:pPr>
    </w:p>
    <w:p>
      <w:pPr>
        <w:pStyle w:val="42"/>
        <w:keepNext/>
        <w:keepLines/>
        <w:numPr>
          <w:ilvl w:val="2"/>
          <w:numId w:val="100"/>
        </w:numPr>
        <w:tabs>
          <w:tab w:val="left" w:pos="1200"/>
        </w:tabs>
        <w:ind w:firstLineChars="0"/>
        <w:outlineLvl w:val="3"/>
        <w:rPr>
          <w:rFonts w:hint="eastAsia"/>
          <w:b/>
          <w:bCs/>
          <w:vanish/>
        </w:rPr>
      </w:pPr>
    </w:p>
    <w:p>
      <w:pPr>
        <w:pStyle w:val="7"/>
        <w:tabs>
          <w:tab w:val="left" w:pos="142"/>
        </w:tabs>
        <w:ind w:left="6719"/>
        <w:rPr>
          <w:rFonts w:hint="eastAsia"/>
        </w:rPr>
      </w:pPr>
      <w:r>
        <w:rPr>
          <w:rFonts w:hint="eastAsia"/>
        </w:rPr>
        <w:t>综述</w:t>
      </w:r>
    </w:p>
    <w:p>
      <w:pPr>
        <w:pStyle w:val="8"/>
        <w:rPr>
          <w:rFonts w:hint="eastAsia"/>
        </w:rPr>
      </w:pPr>
      <w:r>
        <w:t>为</w:t>
      </w:r>
      <w:r>
        <w:rPr>
          <w:rFonts w:hint="eastAsia"/>
        </w:rPr>
        <w:t>了给生物</w:t>
      </w:r>
      <w:r>
        <w:t>池中硝酸盐氮的</w:t>
      </w:r>
      <w:r>
        <w:rPr>
          <w:rFonts w:hint="eastAsia"/>
          <w:lang w:eastAsia="zh-CN"/>
        </w:rPr>
        <w:t>去除</w:t>
      </w:r>
      <w:r>
        <w:t>补充碳源</w:t>
      </w:r>
      <w:r>
        <w:rPr>
          <w:rFonts w:hint="eastAsia"/>
        </w:rPr>
        <w:t>，设置醋酸钠投加系统。</w:t>
      </w:r>
      <w:r>
        <w:t>碳源投加点设在生物池上</w:t>
      </w:r>
      <w:r>
        <w:rPr>
          <w:rFonts w:hint="eastAsia"/>
          <w:lang w:eastAsia="zh-CN"/>
        </w:rPr>
        <w:t>厌氧区或</w:t>
      </w:r>
      <w:r>
        <w:rPr>
          <w:rFonts w:hint="eastAsia"/>
        </w:rPr>
        <w:t>缺氧区。</w:t>
      </w:r>
    </w:p>
    <w:p>
      <w:pPr>
        <w:pStyle w:val="8"/>
        <w:rPr>
          <w:rFonts w:hint="eastAsia"/>
        </w:rPr>
      </w:pPr>
      <w:r>
        <w:rPr>
          <w:rFonts w:hint="eastAsia"/>
        </w:rPr>
        <w:t>进厂污水除磷以生物除磷为主，以投加化学药剂PFS除磷为辅助，确保出水水质达标排放。加药点设在生物池出水进入沉淀池前。</w:t>
      </w:r>
    </w:p>
    <w:p>
      <w:pPr>
        <w:pStyle w:val="8"/>
        <w:rPr>
          <w:rFonts w:hint="eastAsia"/>
        </w:rPr>
      </w:pPr>
      <w:r>
        <w:rPr>
          <w:rFonts w:hint="eastAsia"/>
          <w:lang w:eastAsia="zh-CN"/>
        </w:rPr>
        <w:t>水厂</w:t>
      </w:r>
      <w:r>
        <w:t>出水</w:t>
      </w:r>
      <w:r>
        <w:rPr>
          <w:rFonts w:hint="eastAsia"/>
        </w:rPr>
        <w:t>投加</w:t>
      </w:r>
      <w:r>
        <w:t>次氯酸钠进行消毒</w:t>
      </w:r>
      <w:r>
        <w:rPr>
          <w:rFonts w:hint="eastAsia"/>
          <w:lang w:eastAsia="zh-CN"/>
        </w:rPr>
        <w:t>。</w:t>
      </w:r>
    </w:p>
    <w:p>
      <w:pPr>
        <w:pStyle w:val="8"/>
        <w:rPr>
          <w:rFonts w:hint="eastAsia"/>
        </w:rPr>
      </w:pPr>
      <w:r>
        <w:t>在</w:t>
      </w:r>
      <w:r>
        <w:rPr>
          <w:rFonts w:hint="eastAsia"/>
        </w:rPr>
        <w:t>砂滤池</w:t>
      </w:r>
      <w:r>
        <w:t>微絮凝</w:t>
      </w:r>
      <w:r>
        <w:rPr>
          <w:rFonts w:hint="eastAsia"/>
        </w:rPr>
        <w:t>部分</w:t>
      </w:r>
      <w:r>
        <w:t>，</w:t>
      </w:r>
      <w:r>
        <w:rPr>
          <w:rFonts w:hint="eastAsia"/>
        </w:rPr>
        <w:t>投加</w:t>
      </w:r>
      <w:r>
        <w:t>PAC优化微絮凝</w:t>
      </w:r>
      <w:r>
        <w:rPr>
          <w:rFonts w:hint="eastAsia"/>
        </w:rPr>
        <w:t>效果</w:t>
      </w:r>
      <w:r>
        <w:t>，</w:t>
      </w:r>
      <w:r>
        <w:rPr>
          <w:rFonts w:hint="eastAsia"/>
        </w:rPr>
        <w:t>便于</w:t>
      </w:r>
      <w:r>
        <w:t>后续</w:t>
      </w:r>
      <w:r>
        <w:rPr>
          <w:rFonts w:hint="eastAsia"/>
        </w:rPr>
        <w:t>过滤</w:t>
      </w:r>
      <w:r>
        <w:t>。</w:t>
      </w:r>
    </w:p>
    <w:p>
      <w:pPr>
        <w:pStyle w:val="8"/>
        <w:rPr>
          <w:rFonts w:hint="eastAsia"/>
        </w:rPr>
      </w:pPr>
      <w:r>
        <w:rPr>
          <w:rFonts w:hint="eastAsia"/>
        </w:rPr>
        <w:t>加药系统的所有设备及附件应安装在一个整体机架上，并设有钢结构固定支架。所有管路、阀</w:t>
      </w:r>
      <w:r>
        <w:rPr>
          <w:rFonts w:hint="eastAsia"/>
          <w:lang w:eastAsia="zh-CN"/>
        </w:rPr>
        <w:t>门</w:t>
      </w:r>
      <w:r>
        <w:rPr>
          <w:rFonts w:hint="eastAsia"/>
        </w:rPr>
        <w:t>、阻尼器、过滤器</w:t>
      </w:r>
      <w:r>
        <w:rPr>
          <w:rFonts w:hint="eastAsia"/>
          <w:lang w:eastAsia="zh-CN"/>
        </w:rPr>
        <w:t>、化料器</w:t>
      </w:r>
      <w:r>
        <w:rPr>
          <w:rFonts w:hint="eastAsia"/>
        </w:rPr>
        <w:t>等附属设备亦应排列整齐安装在其上，并加以固定</w:t>
      </w:r>
      <w:r>
        <w:rPr>
          <w:rFonts w:hint="eastAsia"/>
          <w:lang w:eastAsia="zh-CN"/>
        </w:rPr>
        <w:t>。</w:t>
      </w:r>
    </w:p>
    <w:p>
      <w:pPr>
        <w:pStyle w:val="7"/>
        <w:tabs>
          <w:tab w:val="left" w:pos="142"/>
        </w:tabs>
        <w:ind w:left="6719"/>
        <w:rPr>
          <w:rFonts w:hint="eastAsia"/>
          <w:lang w:eastAsia="zh-CN"/>
        </w:rPr>
      </w:pPr>
      <w:r>
        <w:rPr>
          <w:rFonts w:hint="eastAsia"/>
        </w:rPr>
        <w:t>加药泵</w:t>
      </w:r>
    </w:p>
    <w:tbl>
      <w:tblPr>
        <w:tblStyle w:val="19"/>
        <w:tblW w:w="85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3"/>
        <w:gridCol w:w="1843"/>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设备名称</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醋酸钠</w:t>
            </w:r>
            <w:r>
              <w:rPr>
                <w:sz w:val="21"/>
                <w:szCs w:val="21"/>
              </w:rPr>
              <w:t>加药计量泵</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PFS</w:t>
            </w:r>
            <w:r>
              <w:rPr>
                <w:sz w:val="21"/>
                <w:szCs w:val="21"/>
              </w:rPr>
              <w:t>加药计量泵</w:t>
            </w:r>
          </w:p>
        </w:tc>
        <w:tc>
          <w:tcPr>
            <w:tcW w:w="1701"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次氯酸钠</w:t>
            </w:r>
            <w:r>
              <w:rPr>
                <w:sz w:val="21"/>
                <w:szCs w:val="21"/>
              </w:rPr>
              <w:t>加药计量泵</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PAC</w:t>
            </w:r>
            <w:r>
              <w:rPr>
                <w:sz w:val="21"/>
                <w:szCs w:val="21"/>
              </w:rPr>
              <w:t>加药计量泵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设备编号</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rFonts w:hint="eastAsia"/>
                <w:sz w:val="21"/>
                <w:szCs w:val="21"/>
              </w:rPr>
            </w:pPr>
            <w:r>
              <w:rPr>
                <w:sz w:val="21"/>
                <w:szCs w:val="21"/>
              </w:rPr>
              <w:t>C</w:t>
            </w:r>
            <w:r>
              <w:rPr>
                <w:rFonts w:hint="eastAsia"/>
                <w:sz w:val="21"/>
                <w:szCs w:val="21"/>
              </w:rPr>
              <w:t>C</w:t>
            </w:r>
            <w:r>
              <w:rPr>
                <w:sz w:val="21"/>
                <w:szCs w:val="21"/>
              </w:rPr>
              <w:t>S-PPU101/10</w:t>
            </w:r>
            <w:r>
              <w:rPr>
                <w:rFonts w:hint="eastAsia"/>
                <w:sz w:val="21"/>
                <w:szCs w:val="21"/>
              </w:rPr>
              <w:t>3</w:t>
            </w:r>
          </w:p>
          <w:p>
            <w:pPr>
              <w:spacing w:before="120"/>
              <w:jc w:val="center"/>
              <w:rPr>
                <w:sz w:val="21"/>
                <w:szCs w:val="21"/>
              </w:rPr>
            </w:pPr>
            <w:r>
              <w:rPr>
                <w:sz w:val="21"/>
                <w:szCs w:val="21"/>
              </w:rPr>
              <w:t>C</w:t>
            </w:r>
            <w:r>
              <w:rPr>
                <w:rFonts w:hint="eastAsia"/>
                <w:sz w:val="21"/>
                <w:szCs w:val="21"/>
              </w:rPr>
              <w:t>C</w:t>
            </w:r>
            <w:r>
              <w:rPr>
                <w:sz w:val="21"/>
                <w:szCs w:val="21"/>
              </w:rPr>
              <w:t>S-PPU</w:t>
            </w:r>
            <w:r>
              <w:rPr>
                <w:rFonts w:hint="eastAsia"/>
                <w:sz w:val="21"/>
                <w:szCs w:val="21"/>
              </w:rPr>
              <w:t>20</w:t>
            </w:r>
            <w:r>
              <w:rPr>
                <w:sz w:val="21"/>
                <w:szCs w:val="21"/>
              </w:rPr>
              <w:t>1/</w:t>
            </w:r>
            <w:r>
              <w:rPr>
                <w:rFonts w:hint="eastAsia"/>
                <w:sz w:val="21"/>
                <w:szCs w:val="21"/>
              </w:rPr>
              <w:t>203</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C</w:t>
            </w:r>
            <w:r>
              <w:rPr>
                <w:rFonts w:hint="eastAsia"/>
                <w:sz w:val="21"/>
                <w:szCs w:val="21"/>
              </w:rPr>
              <w:t>C</w:t>
            </w:r>
            <w:r>
              <w:rPr>
                <w:sz w:val="21"/>
                <w:szCs w:val="21"/>
              </w:rPr>
              <w:t>S-PPU</w:t>
            </w:r>
            <w:r>
              <w:rPr>
                <w:rFonts w:hint="eastAsia"/>
                <w:sz w:val="21"/>
                <w:szCs w:val="21"/>
              </w:rPr>
              <w:t>3</w:t>
            </w:r>
            <w:r>
              <w:rPr>
                <w:sz w:val="21"/>
                <w:szCs w:val="21"/>
              </w:rPr>
              <w:t>01/</w:t>
            </w:r>
            <w:r>
              <w:rPr>
                <w:rFonts w:hint="eastAsia"/>
                <w:sz w:val="21"/>
                <w:szCs w:val="21"/>
              </w:rPr>
              <w:t>303</w:t>
            </w:r>
          </w:p>
        </w:tc>
        <w:tc>
          <w:tcPr>
            <w:tcW w:w="1701" w:type="dxa"/>
            <w:tcBorders>
              <w:top w:val="single" w:color="auto" w:sz="4" w:space="0"/>
              <w:left w:val="single" w:color="auto" w:sz="4" w:space="0"/>
              <w:bottom w:val="single" w:color="auto" w:sz="4" w:space="0"/>
              <w:right w:val="single" w:color="auto" w:sz="4" w:space="0"/>
            </w:tcBorders>
            <w:vAlign w:val="top"/>
          </w:tcPr>
          <w:p>
            <w:pPr>
              <w:spacing w:before="120"/>
              <w:jc w:val="center"/>
              <w:rPr>
                <w:rFonts w:hint="eastAsia"/>
                <w:sz w:val="21"/>
                <w:szCs w:val="21"/>
              </w:rPr>
            </w:pPr>
            <w:r>
              <w:rPr>
                <w:sz w:val="21"/>
                <w:szCs w:val="21"/>
              </w:rPr>
              <w:t>C</w:t>
            </w:r>
            <w:r>
              <w:rPr>
                <w:rFonts w:hint="eastAsia"/>
                <w:sz w:val="21"/>
                <w:szCs w:val="21"/>
              </w:rPr>
              <w:t>C</w:t>
            </w:r>
            <w:r>
              <w:rPr>
                <w:sz w:val="21"/>
                <w:szCs w:val="21"/>
              </w:rPr>
              <w:t>S-PPU</w:t>
            </w:r>
            <w:r>
              <w:rPr>
                <w:rFonts w:hint="eastAsia"/>
                <w:sz w:val="21"/>
                <w:szCs w:val="21"/>
              </w:rPr>
              <w:t>4</w:t>
            </w:r>
            <w:r>
              <w:rPr>
                <w:sz w:val="21"/>
                <w:szCs w:val="21"/>
              </w:rPr>
              <w:t>01/</w:t>
            </w:r>
            <w:r>
              <w:rPr>
                <w:rFonts w:hint="eastAsia"/>
                <w:sz w:val="21"/>
                <w:szCs w:val="21"/>
              </w:rPr>
              <w:t>403</w:t>
            </w:r>
          </w:p>
          <w:p>
            <w:pPr>
              <w:spacing w:before="120"/>
              <w:jc w:val="center"/>
              <w:rPr>
                <w:sz w:val="21"/>
                <w:szCs w:val="21"/>
              </w:rPr>
            </w:pPr>
            <w:r>
              <w:rPr>
                <w:sz w:val="21"/>
                <w:szCs w:val="21"/>
              </w:rPr>
              <w:t>C</w:t>
            </w:r>
            <w:r>
              <w:rPr>
                <w:rFonts w:hint="eastAsia"/>
                <w:sz w:val="21"/>
                <w:szCs w:val="21"/>
              </w:rPr>
              <w:t>C</w:t>
            </w:r>
            <w:r>
              <w:rPr>
                <w:sz w:val="21"/>
                <w:szCs w:val="21"/>
              </w:rPr>
              <w:t>S-PPU</w:t>
            </w:r>
            <w:r>
              <w:rPr>
                <w:rFonts w:hint="eastAsia"/>
                <w:sz w:val="21"/>
                <w:szCs w:val="21"/>
              </w:rPr>
              <w:t>5</w:t>
            </w:r>
            <w:r>
              <w:rPr>
                <w:sz w:val="21"/>
                <w:szCs w:val="21"/>
              </w:rPr>
              <w:t>01</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CPS-PPU</w:t>
            </w:r>
            <w:r>
              <w:rPr>
                <w:rFonts w:hint="eastAsia"/>
                <w:sz w:val="21"/>
                <w:szCs w:val="21"/>
              </w:rPr>
              <w:t>6</w:t>
            </w:r>
            <w:r>
              <w:rPr>
                <w:sz w:val="21"/>
                <w:szCs w:val="21"/>
              </w:rPr>
              <w:t>01/</w:t>
            </w:r>
            <w:r>
              <w:rPr>
                <w:rFonts w:hint="eastAsia"/>
                <w:sz w:val="21"/>
                <w:szCs w:val="21"/>
              </w:rPr>
              <w:t>6</w:t>
            </w:r>
            <w:r>
              <w:rPr>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型式</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隔膜计量泵，带背压阀</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隔膜计量泵，带背压阀</w:t>
            </w:r>
          </w:p>
        </w:tc>
        <w:tc>
          <w:tcPr>
            <w:tcW w:w="1701"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隔膜计量泵，带背压阀</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隔膜计量泵，带背压阀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介质</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p>
        </w:tc>
        <w:tc>
          <w:tcPr>
            <w:tcW w:w="1701"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次氯酸钠</w:t>
            </w:r>
            <w:r>
              <w:rPr>
                <w:sz w:val="21"/>
                <w:szCs w:val="21"/>
              </w:rPr>
              <w:t>（</w:t>
            </w:r>
            <w:r>
              <w:rPr>
                <w:rFonts w:hint="eastAsia"/>
                <w:sz w:val="21"/>
                <w:szCs w:val="21"/>
              </w:rPr>
              <w:t>10%溶液</w:t>
            </w:r>
            <w:r>
              <w:rPr>
                <w:sz w:val="21"/>
                <w:szCs w:val="21"/>
              </w:rPr>
              <w:t>）</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流量</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150</w:t>
            </w:r>
            <w:r>
              <w:rPr>
                <w:sz w:val="21"/>
                <w:szCs w:val="21"/>
              </w:rPr>
              <w:t>L/h</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2</w:t>
            </w:r>
            <w:r>
              <w:rPr>
                <w:rFonts w:hint="eastAsia"/>
                <w:sz w:val="21"/>
                <w:szCs w:val="21"/>
              </w:rPr>
              <w:t>00</w:t>
            </w:r>
            <w:r>
              <w:rPr>
                <w:sz w:val="21"/>
                <w:szCs w:val="21"/>
              </w:rPr>
              <w:t>L/h</w:t>
            </w:r>
          </w:p>
        </w:tc>
        <w:tc>
          <w:tcPr>
            <w:tcW w:w="1701"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200</w:t>
            </w:r>
            <w:r>
              <w:rPr>
                <w:sz w:val="21"/>
                <w:szCs w:val="21"/>
              </w:rPr>
              <w:t>L/h</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100</w:t>
            </w:r>
            <w:r>
              <w:rPr>
                <w:sz w:val="21"/>
                <w:szCs w:val="21"/>
              </w:rPr>
              <w:t>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压力</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2</w:t>
            </w:r>
            <w:r>
              <w:rPr>
                <w:sz w:val="21"/>
                <w:szCs w:val="21"/>
              </w:rPr>
              <w:t>0m</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2</w:t>
            </w:r>
            <w:r>
              <w:rPr>
                <w:sz w:val="21"/>
                <w:szCs w:val="21"/>
              </w:rPr>
              <w:t>0m</w:t>
            </w:r>
          </w:p>
        </w:tc>
        <w:tc>
          <w:tcPr>
            <w:tcW w:w="1701"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2</w:t>
            </w:r>
            <w:r>
              <w:rPr>
                <w:sz w:val="21"/>
                <w:szCs w:val="21"/>
              </w:rPr>
              <w:t>0m</w:t>
            </w:r>
          </w:p>
        </w:tc>
        <w:tc>
          <w:tcPr>
            <w:tcW w:w="1843" w:type="dxa"/>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rFonts w:hint="eastAsia"/>
                <w:sz w:val="21"/>
                <w:szCs w:val="21"/>
              </w:rPr>
              <w:t>2</w:t>
            </w:r>
            <w:r>
              <w:rPr>
                <w:sz w:val="21"/>
                <w:szCs w:val="21"/>
              </w:rP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流量调节范围</w:t>
            </w:r>
          </w:p>
        </w:tc>
        <w:tc>
          <w:tcPr>
            <w:tcW w:w="7230" w:type="dxa"/>
            <w:gridSpan w:val="4"/>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rFonts w:hint="eastAsia"/>
                <w:sz w:val="21"/>
                <w:szCs w:val="21"/>
              </w:rPr>
            </w:pPr>
            <w:r>
              <w:rPr>
                <w:sz w:val="21"/>
                <w:szCs w:val="21"/>
              </w:rPr>
              <w:t>防护等级</w:t>
            </w:r>
            <w:r>
              <w:rPr>
                <w:rFonts w:hint="eastAsia"/>
                <w:sz w:val="21"/>
                <w:szCs w:val="21"/>
              </w:rPr>
              <w:t>/</w:t>
            </w:r>
          </w:p>
          <w:p>
            <w:pPr>
              <w:spacing w:before="0"/>
              <w:rPr>
                <w:sz w:val="21"/>
                <w:szCs w:val="21"/>
              </w:rPr>
            </w:pPr>
            <w:r>
              <w:rPr>
                <w:sz w:val="21"/>
                <w:szCs w:val="21"/>
              </w:rPr>
              <w:t>绝缘等级</w:t>
            </w:r>
          </w:p>
        </w:tc>
        <w:tc>
          <w:tcPr>
            <w:tcW w:w="7230" w:type="dxa"/>
            <w:gridSpan w:val="4"/>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IP55/F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电源</w:t>
            </w:r>
          </w:p>
        </w:tc>
        <w:tc>
          <w:tcPr>
            <w:tcW w:w="7230" w:type="dxa"/>
            <w:gridSpan w:val="4"/>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380V/3ph/50Hz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隔膜材质</w:t>
            </w:r>
          </w:p>
        </w:tc>
        <w:tc>
          <w:tcPr>
            <w:tcW w:w="7230" w:type="dxa"/>
            <w:gridSpan w:val="4"/>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PTFE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逆止球（阀）</w:t>
            </w:r>
          </w:p>
        </w:tc>
        <w:tc>
          <w:tcPr>
            <w:tcW w:w="7230" w:type="dxa"/>
            <w:gridSpan w:val="4"/>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过流部件材料</w:t>
            </w:r>
          </w:p>
        </w:tc>
        <w:tc>
          <w:tcPr>
            <w:tcW w:w="7230" w:type="dxa"/>
            <w:gridSpan w:val="4"/>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PVC-U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top"/>
          </w:tcPr>
          <w:p>
            <w:pPr>
              <w:spacing w:before="120"/>
              <w:rPr>
                <w:sz w:val="21"/>
                <w:szCs w:val="21"/>
              </w:rPr>
            </w:pPr>
            <w:r>
              <w:rPr>
                <w:sz w:val="21"/>
                <w:szCs w:val="21"/>
              </w:rPr>
              <w:t>所有安装连接附件、地脚螺栓</w:t>
            </w:r>
          </w:p>
        </w:tc>
        <w:tc>
          <w:tcPr>
            <w:tcW w:w="7230" w:type="dxa"/>
            <w:gridSpan w:val="4"/>
            <w:tcBorders>
              <w:top w:val="single" w:color="auto" w:sz="4" w:space="0"/>
              <w:left w:val="single" w:color="auto" w:sz="4" w:space="0"/>
              <w:bottom w:val="single" w:color="auto" w:sz="4" w:space="0"/>
              <w:right w:val="single" w:color="auto" w:sz="4" w:space="0"/>
            </w:tcBorders>
            <w:vAlign w:val="top"/>
          </w:tcPr>
          <w:p>
            <w:pPr>
              <w:spacing w:before="120"/>
              <w:jc w:val="center"/>
              <w:rPr>
                <w:sz w:val="21"/>
                <w:szCs w:val="21"/>
              </w:rPr>
            </w:pPr>
            <w:r>
              <w:rPr>
                <w:sz w:val="21"/>
                <w:szCs w:val="21"/>
              </w:rPr>
              <w:t>AISI 304</w:t>
            </w:r>
          </w:p>
        </w:tc>
      </w:tr>
    </w:tbl>
    <w:p>
      <w:pPr>
        <w:pStyle w:val="8"/>
      </w:pPr>
      <w:r>
        <w:t>加药计量泵采用电驱动机械隔膜计量泵，并应配置过滤器，背压阀，安全阀，止回阀，脉冲缓冲器，转子流量计、压力表、校正柱等附件，以满足投加系统需要，确保投加系统的安全可靠。</w:t>
      </w:r>
    </w:p>
    <w:p>
      <w:pPr>
        <w:pStyle w:val="8"/>
      </w:pPr>
      <w:r>
        <w:t>加药泵采用隔膜计量泵,设内置控制器，全部采用变频控制。</w:t>
      </w:r>
    </w:p>
    <w:p>
      <w:pPr>
        <w:pStyle w:val="8"/>
      </w:pPr>
      <w:r>
        <w:t>泵应保证在0%~100相对行程长度下，允许的流量调节范围内可靠运转。</w:t>
      </w:r>
    </w:p>
    <w:p>
      <w:pPr>
        <w:pStyle w:val="8"/>
      </w:pPr>
      <w:r>
        <w:t>泵在额定条件下和最大相对行程长度处的流量计量精度应不低于</w:t>
      </w:r>
      <w:r>
        <w:rPr/>
        <w:sym w:font="Symbol" w:char="F0B1"/>
      </w:r>
      <w:r>
        <w:t>2%。</w:t>
      </w:r>
    </w:p>
    <w:p>
      <w:pPr>
        <w:pStyle w:val="8"/>
      </w:pPr>
      <w:r>
        <w:t>泵在额定条件下的实际流量值应不低于泵的额定流量值。</w:t>
      </w:r>
    </w:p>
    <w:p>
      <w:pPr>
        <w:pStyle w:val="8"/>
      </w:pPr>
      <w:r>
        <w:t>泵接头应耐磨耐腐。</w:t>
      </w:r>
    </w:p>
    <w:p>
      <w:pPr>
        <w:pStyle w:val="8"/>
      </w:pPr>
      <w:r>
        <w:t>泵进、出口法兰的连接尺寸应符合GB或ISO的规定。</w:t>
      </w:r>
    </w:p>
    <w:p>
      <w:pPr>
        <w:pStyle w:val="8"/>
      </w:pPr>
      <w:r>
        <w:t>承受液体压力的零部件，应按1.5倍的工作压力进行水压试验，压力持续时间不少于10min。在试压过程中不应有渗漏现象。</w:t>
      </w:r>
    </w:p>
    <w:p>
      <w:pPr>
        <w:pStyle w:val="8"/>
      </w:pPr>
      <w:r>
        <w:t>在正常使用条件下，隔膜的使用寿命应不少于一年。</w:t>
      </w:r>
    </w:p>
    <w:p>
      <w:pPr>
        <w:pStyle w:val="8"/>
      </w:pPr>
      <w:r>
        <w:t>应配有安全阀，防止压力过载时损坏计量泵。</w:t>
      </w:r>
    </w:p>
    <w:p>
      <w:pPr>
        <w:pStyle w:val="8"/>
      </w:pPr>
      <w:r>
        <w:t>泵出口下游安装脉冲阻尼器，用以平衡脉冲出料状态，残余脉冲±5以下，最高工作压力1.0MPa，隔膜材质PTFE橡胶。</w:t>
      </w:r>
    </w:p>
    <w:p>
      <w:pPr>
        <w:pStyle w:val="8"/>
      </w:pPr>
      <w:r>
        <w:t>安全阀</w:t>
      </w:r>
    </w:p>
    <w:p>
      <w:pPr>
        <w:pStyle w:val="36"/>
        <w:widowControl w:val="0"/>
      </w:pPr>
      <w:r>
        <w:t>采用隔膜式安全阀，装于投加泵上方管路上，阀压力调节范围0～3ar，当投加压力管路超压时可通过设定的压力安全阀自动泄放，放至排液回流管，保证系统压力稳定，以保护泵隔膜和管道不受损坏。接口尺寸按管路口径所配。阀体材质应与输送介质及操作条件相匹配，隔膜材质为PTFE橡胶。</w:t>
      </w:r>
    </w:p>
    <w:p>
      <w:pPr>
        <w:pStyle w:val="8"/>
      </w:pPr>
      <w:r>
        <w:t>背压阀</w:t>
      </w:r>
    </w:p>
    <w:p>
      <w:pPr>
        <w:pStyle w:val="36"/>
        <w:widowControl w:val="0"/>
      </w:pPr>
      <w:r>
        <w:t>采用可调膜片式背压阀，能在系统管路中产生恒定的背压，消除投加点压力波动所引起的投加量变化，以确保计量精确，并可防止虹吸的发生，背压可调范围0~4bar，进出口尺寸按管路尺寸所配，阀体材质应与输送介质及操作条件相匹配。</w:t>
      </w:r>
    </w:p>
    <w:p>
      <w:pPr>
        <w:pStyle w:val="8"/>
      </w:pPr>
      <w:r>
        <w:t>脉动阻尼器</w:t>
      </w:r>
    </w:p>
    <w:p>
      <w:pPr>
        <w:pStyle w:val="36"/>
        <w:widowControl w:val="0"/>
      </w:pPr>
      <w:r>
        <w:t>采用的隔膜式脉冲阻尼器，安装在泵出口管路上以减少运行管道的脉动，用于平衡脉冲出液状态，可消除水垂对系统的危害，保护管路系统附件。最大调节流量和压力应与系统相匹配，阀体材质应与输送介质及操作条件相匹配，隔膜材质采用PTFE橡胶。脉动峰值不大于5%。</w:t>
      </w:r>
    </w:p>
    <w:p>
      <w:pPr>
        <w:pStyle w:val="8"/>
      </w:pPr>
      <w:r>
        <w:t>Y型过滤器</w:t>
      </w:r>
    </w:p>
    <w:p>
      <w:pPr>
        <w:pStyle w:val="36"/>
        <w:widowControl w:val="0"/>
      </w:pPr>
      <w:r>
        <w:t>过滤器按装在隔膜泵进液口前面，经过滤可去除药液中的杂质。能保护泵阀等附件不受杂质影响。壳体及滤网材质应与输送介质及操作条件相匹配。</w:t>
      </w:r>
    </w:p>
    <w:p>
      <w:pPr>
        <w:pStyle w:val="8"/>
      </w:pPr>
      <w:r>
        <w:t>流量计</w:t>
      </w:r>
    </w:p>
    <w:p>
      <w:pPr>
        <w:pStyle w:val="36"/>
        <w:widowControl w:val="0"/>
      </w:pPr>
      <w:r>
        <w:t>在投加装置</w:t>
      </w:r>
      <w:r>
        <w:rPr>
          <w:rFonts w:hint="eastAsia"/>
          <w:lang w:eastAsia="zh-CN"/>
        </w:rPr>
        <w:t>的</w:t>
      </w:r>
      <w:r>
        <w:rPr>
          <w:lang w:eastAsia="zh-CN"/>
        </w:rPr>
        <w:t>投药管</w:t>
      </w:r>
      <w:r>
        <w:t>上为确定投加量需配装流量计，应选配转子流量计，流量计应具有工作可靠，精度较高的特点。并具有就地显示，信号传送，数据积累功能。且适用于强腐蚀性介质。信号输出4～20mA。</w:t>
      </w:r>
    </w:p>
    <w:p>
      <w:pPr>
        <w:pStyle w:val="8"/>
      </w:pPr>
      <w:r>
        <w:t>管道及阀门</w:t>
      </w:r>
    </w:p>
    <w:p>
      <w:pPr>
        <w:pStyle w:val="36"/>
        <w:widowControl w:val="0"/>
      </w:pPr>
      <w:r>
        <w:t>PAC加药系统管道应选用优质PVC-U管，管配件也采用等同材料，适用于所输介质。所有管道与附件安装连接后，做水压或气密性试验，确保无任何泄漏。所有系统管路及管件的熔接应由具有工程经验的工人操作，并符合相关验收标准的要求。</w:t>
      </w:r>
    </w:p>
    <w:p>
      <w:pPr>
        <w:pStyle w:val="36"/>
        <w:widowControl w:val="0"/>
      </w:pPr>
      <w:r>
        <w:t>所有密封件材质应为PTFE橡胶。</w:t>
      </w:r>
    </w:p>
    <w:p>
      <w:pPr>
        <w:pStyle w:val="8"/>
        <w:rPr>
          <w:rFonts w:hint="eastAsia"/>
        </w:rPr>
      </w:pPr>
      <w:r>
        <w:t>每套加药系统的所有设备及附件应分别安装在一个整体机架上，并设有推拉式透明有机玻璃防护板，防止药液泄漏外溅。所有管路、止回阀、安全阀、背压阀、阻尼器、过滤器、校正柱等附属设备亦应排列整齐安装在其上，并加以固定</w:t>
      </w:r>
      <w:r>
        <w:rPr>
          <w:rFonts w:hint="eastAsia"/>
        </w:rPr>
        <w:t>。</w:t>
      </w:r>
    </w:p>
    <w:p>
      <w:pPr>
        <w:pStyle w:val="7"/>
        <w:tabs>
          <w:tab w:val="left" w:pos="142"/>
        </w:tabs>
        <w:ind w:left="6719"/>
        <w:rPr>
          <w:rFonts w:hint="eastAsia"/>
        </w:rPr>
      </w:pPr>
      <w:r>
        <w:rPr>
          <w:rFonts w:hint="eastAsia"/>
        </w:rPr>
        <w:t>储罐</w:t>
      </w:r>
    </w:p>
    <w:p>
      <w:pPr>
        <w:pStyle w:val="8"/>
      </w:pPr>
      <w:r>
        <w:t>主要技术参数</w:t>
      </w:r>
    </w:p>
    <w:tbl>
      <w:tblPr>
        <w:tblStyle w:val="19"/>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85"/>
        <w:gridCol w:w="1759"/>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top"/>
          </w:tcPr>
          <w:p>
            <w:pPr>
              <w:widowControl w:val="0"/>
              <w:spacing w:before="120"/>
              <w:rPr>
                <w:sz w:val="21"/>
                <w:szCs w:val="21"/>
              </w:rPr>
            </w:pPr>
            <w:r>
              <w:rPr>
                <w:sz w:val="21"/>
                <w:szCs w:val="21"/>
              </w:rPr>
              <w:t>设备名称</w:t>
            </w:r>
          </w:p>
        </w:tc>
        <w:tc>
          <w:tcPr>
            <w:tcW w:w="1785" w:type="dxa"/>
            <w:vAlign w:val="top"/>
          </w:tcPr>
          <w:p>
            <w:pPr>
              <w:widowControl w:val="0"/>
              <w:spacing w:before="120"/>
              <w:jc w:val="center"/>
              <w:rPr>
                <w:sz w:val="21"/>
                <w:szCs w:val="21"/>
              </w:rPr>
            </w:pPr>
            <w:r>
              <w:rPr>
                <w:rFonts w:hint="eastAsia"/>
                <w:sz w:val="21"/>
                <w:szCs w:val="21"/>
              </w:rPr>
              <w:t>醋酸钠储罐</w:t>
            </w:r>
          </w:p>
        </w:tc>
        <w:tc>
          <w:tcPr>
            <w:tcW w:w="1759" w:type="dxa"/>
            <w:vAlign w:val="top"/>
          </w:tcPr>
          <w:p>
            <w:pPr>
              <w:widowControl w:val="0"/>
              <w:spacing w:before="120"/>
              <w:jc w:val="center"/>
              <w:rPr>
                <w:sz w:val="21"/>
                <w:szCs w:val="21"/>
              </w:rPr>
            </w:pPr>
            <w:r>
              <w:rPr>
                <w:rFonts w:hint="eastAsia"/>
                <w:sz w:val="21"/>
                <w:szCs w:val="21"/>
              </w:rPr>
              <w:t>PFS储罐</w:t>
            </w:r>
          </w:p>
        </w:tc>
        <w:tc>
          <w:tcPr>
            <w:tcW w:w="1842" w:type="dxa"/>
            <w:vAlign w:val="top"/>
          </w:tcPr>
          <w:p>
            <w:pPr>
              <w:widowControl w:val="0"/>
              <w:spacing w:before="120"/>
              <w:jc w:val="center"/>
              <w:rPr>
                <w:sz w:val="21"/>
                <w:szCs w:val="21"/>
              </w:rPr>
            </w:pPr>
            <w:r>
              <w:rPr>
                <w:rFonts w:hint="eastAsia"/>
                <w:sz w:val="21"/>
                <w:szCs w:val="21"/>
              </w:rPr>
              <w:t>次氯酸钠</w:t>
            </w:r>
            <w:r>
              <w:rPr>
                <w:sz w:val="21"/>
                <w:szCs w:val="21"/>
              </w:rPr>
              <w:t>储罐</w:t>
            </w:r>
          </w:p>
        </w:tc>
        <w:tc>
          <w:tcPr>
            <w:tcW w:w="1701" w:type="dxa"/>
            <w:vAlign w:val="top"/>
          </w:tcPr>
          <w:p>
            <w:pPr>
              <w:widowControl w:val="0"/>
              <w:spacing w:before="120"/>
              <w:jc w:val="center"/>
              <w:rPr>
                <w:sz w:val="21"/>
                <w:szCs w:val="21"/>
              </w:rPr>
            </w:pPr>
            <w:r>
              <w:rPr>
                <w:rFonts w:hint="eastAsia"/>
                <w:sz w:val="21"/>
                <w:szCs w:val="21"/>
              </w:rPr>
              <w:t>PAC储罐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bottom"/>
          </w:tcPr>
          <w:p>
            <w:pPr>
              <w:widowControl w:val="0"/>
              <w:spacing w:before="120"/>
              <w:rPr>
                <w:sz w:val="21"/>
                <w:szCs w:val="21"/>
              </w:rPr>
            </w:pPr>
            <w:r>
              <w:rPr>
                <w:sz w:val="21"/>
                <w:szCs w:val="21"/>
              </w:rPr>
              <w:t>设备编号</w:t>
            </w:r>
          </w:p>
        </w:tc>
        <w:tc>
          <w:tcPr>
            <w:tcW w:w="1785" w:type="dxa"/>
            <w:vAlign w:val="bottom"/>
          </w:tcPr>
          <w:p>
            <w:pPr>
              <w:widowControl w:val="0"/>
              <w:spacing w:before="120"/>
              <w:jc w:val="center"/>
              <w:rPr>
                <w:sz w:val="21"/>
                <w:szCs w:val="21"/>
              </w:rPr>
            </w:pPr>
            <w:r>
              <w:rPr>
                <w:sz w:val="21"/>
                <w:szCs w:val="21"/>
              </w:rPr>
              <w:t>CCS-CTK101/102</w:t>
            </w:r>
          </w:p>
        </w:tc>
        <w:tc>
          <w:tcPr>
            <w:tcW w:w="1759" w:type="dxa"/>
            <w:vAlign w:val="bottom"/>
          </w:tcPr>
          <w:p>
            <w:pPr>
              <w:widowControl w:val="0"/>
              <w:spacing w:before="120"/>
              <w:jc w:val="center"/>
              <w:rPr>
                <w:sz w:val="21"/>
                <w:szCs w:val="21"/>
              </w:rPr>
            </w:pPr>
            <w:r>
              <w:rPr>
                <w:sz w:val="21"/>
                <w:szCs w:val="21"/>
              </w:rPr>
              <w:t>CCS-CTK</w:t>
            </w:r>
            <w:r>
              <w:rPr>
                <w:rFonts w:hint="eastAsia"/>
                <w:sz w:val="21"/>
                <w:szCs w:val="21"/>
              </w:rPr>
              <w:t>2</w:t>
            </w:r>
            <w:r>
              <w:rPr>
                <w:sz w:val="21"/>
                <w:szCs w:val="21"/>
              </w:rPr>
              <w:t>01/</w:t>
            </w:r>
            <w:r>
              <w:rPr>
                <w:rFonts w:hint="eastAsia"/>
                <w:sz w:val="21"/>
                <w:szCs w:val="21"/>
              </w:rPr>
              <w:t>2</w:t>
            </w:r>
            <w:r>
              <w:rPr>
                <w:sz w:val="21"/>
                <w:szCs w:val="21"/>
              </w:rPr>
              <w:t>02</w:t>
            </w:r>
          </w:p>
        </w:tc>
        <w:tc>
          <w:tcPr>
            <w:tcW w:w="1842" w:type="dxa"/>
            <w:vAlign w:val="bottom"/>
          </w:tcPr>
          <w:p>
            <w:pPr>
              <w:widowControl w:val="0"/>
              <w:spacing w:before="120"/>
              <w:jc w:val="center"/>
              <w:rPr>
                <w:sz w:val="21"/>
                <w:szCs w:val="21"/>
              </w:rPr>
            </w:pPr>
            <w:r>
              <w:rPr>
                <w:sz w:val="21"/>
                <w:szCs w:val="21"/>
              </w:rPr>
              <w:t>CCS-CTK</w:t>
            </w:r>
            <w:r>
              <w:rPr>
                <w:rFonts w:hint="eastAsia"/>
                <w:sz w:val="21"/>
                <w:szCs w:val="21"/>
              </w:rPr>
              <w:t>301</w:t>
            </w:r>
          </w:p>
        </w:tc>
        <w:tc>
          <w:tcPr>
            <w:tcW w:w="1701" w:type="dxa"/>
            <w:vAlign w:val="bottom"/>
          </w:tcPr>
          <w:p>
            <w:pPr>
              <w:widowControl w:val="0"/>
              <w:spacing w:before="120"/>
              <w:jc w:val="center"/>
              <w:rPr>
                <w:sz w:val="21"/>
                <w:szCs w:val="21"/>
              </w:rPr>
            </w:pPr>
            <w:r>
              <w:rPr>
                <w:sz w:val="21"/>
                <w:szCs w:val="21"/>
              </w:rPr>
              <w:t>CPS-CTK</w:t>
            </w:r>
            <w:r>
              <w:rPr>
                <w:rFonts w:hint="eastAsia"/>
                <w:sz w:val="21"/>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bottom"/>
          </w:tcPr>
          <w:p>
            <w:pPr>
              <w:widowControl w:val="0"/>
              <w:spacing w:before="120"/>
              <w:rPr>
                <w:sz w:val="21"/>
                <w:szCs w:val="21"/>
              </w:rPr>
            </w:pPr>
            <w:r>
              <w:rPr>
                <w:sz w:val="21"/>
                <w:szCs w:val="21"/>
              </w:rPr>
              <w:t>储罐容积</w:t>
            </w:r>
          </w:p>
        </w:tc>
        <w:tc>
          <w:tcPr>
            <w:tcW w:w="1785" w:type="dxa"/>
            <w:vAlign w:val="bottom"/>
          </w:tcPr>
          <w:p>
            <w:pPr>
              <w:widowControl w:val="0"/>
              <w:spacing w:before="120"/>
              <w:jc w:val="center"/>
              <w:rPr>
                <w:sz w:val="21"/>
                <w:szCs w:val="21"/>
              </w:rPr>
            </w:pPr>
            <w:r>
              <w:rPr>
                <w:sz w:val="21"/>
                <w:szCs w:val="21"/>
              </w:rPr>
              <w:t>V= 50m³</w:t>
            </w:r>
          </w:p>
        </w:tc>
        <w:tc>
          <w:tcPr>
            <w:tcW w:w="1759" w:type="dxa"/>
            <w:vAlign w:val="bottom"/>
          </w:tcPr>
          <w:p>
            <w:pPr>
              <w:widowControl w:val="0"/>
              <w:spacing w:before="120"/>
              <w:jc w:val="center"/>
              <w:rPr>
                <w:sz w:val="21"/>
                <w:szCs w:val="21"/>
              </w:rPr>
            </w:pPr>
            <w:r>
              <w:rPr>
                <w:sz w:val="21"/>
                <w:szCs w:val="21"/>
              </w:rPr>
              <w:t>V= 50m³</w:t>
            </w:r>
          </w:p>
        </w:tc>
        <w:tc>
          <w:tcPr>
            <w:tcW w:w="1842" w:type="dxa"/>
            <w:vAlign w:val="bottom"/>
          </w:tcPr>
          <w:p>
            <w:pPr>
              <w:widowControl w:val="0"/>
              <w:spacing w:before="120"/>
              <w:jc w:val="center"/>
              <w:rPr>
                <w:sz w:val="21"/>
                <w:szCs w:val="21"/>
              </w:rPr>
            </w:pPr>
            <w:r>
              <w:rPr>
                <w:sz w:val="21"/>
                <w:szCs w:val="21"/>
              </w:rPr>
              <w:t>V= 50m³</w:t>
            </w:r>
          </w:p>
        </w:tc>
        <w:tc>
          <w:tcPr>
            <w:tcW w:w="1701" w:type="dxa"/>
            <w:vAlign w:val="bottom"/>
          </w:tcPr>
          <w:p>
            <w:pPr>
              <w:widowControl w:val="0"/>
              <w:spacing w:before="120"/>
              <w:jc w:val="center"/>
              <w:rPr>
                <w:sz w:val="21"/>
                <w:szCs w:val="21"/>
              </w:rPr>
            </w:pPr>
            <w:r>
              <w:rPr>
                <w:sz w:val="21"/>
                <w:szCs w:val="21"/>
              </w:rPr>
              <w:t>V=</w:t>
            </w:r>
            <w:r>
              <w:rPr>
                <w:rFonts w:hint="eastAsia"/>
                <w:sz w:val="21"/>
                <w:szCs w:val="21"/>
              </w:rPr>
              <w:t>20</w:t>
            </w:r>
            <w:r>
              <w:rPr>
                <w:sz w:val="21"/>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top"/>
          </w:tcPr>
          <w:p>
            <w:pPr>
              <w:widowControl w:val="0"/>
              <w:spacing w:before="120"/>
              <w:rPr>
                <w:b/>
                <w:sz w:val="21"/>
                <w:szCs w:val="21"/>
              </w:rPr>
            </w:pPr>
            <w:r>
              <w:rPr>
                <w:rFonts w:hint="eastAsia"/>
                <w:sz w:val="21"/>
                <w:szCs w:val="21"/>
              </w:rPr>
              <w:t>罐</w:t>
            </w:r>
            <w:r>
              <w:rPr>
                <w:sz w:val="21"/>
                <w:szCs w:val="21"/>
              </w:rPr>
              <w:t>径</w:t>
            </w:r>
          </w:p>
        </w:tc>
        <w:tc>
          <w:tcPr>
            <w:tcW w:w="1785" w:type="dxa"/>
            <w:vAlign w:val="top"/>
          </w:tcPr>
          <w:p>
            <w:pPr>
              <w:widowControl w:val="0"/>
              <w:spacing w:before="120"/>
              <w:jc w:val="center"/>
              <w:rPr>
                <w:sz w:val="21"/>
                <w:szCs w:val="21"/>
              </w:rPr>
            </w:pPr>
            <w:r>
              <w:rPr>
                <w:sz w:val="21"/>
                <w:szCs w:val="21"/>
              </w:rPr>
              <w:t>~3.2m</w:t>
            </w:r>
          </w:p>
        </w:tc>
        <w:tc>
          <w:tcPr>
            <w:tcW w:w="1759" w:type="dxa"/>
            <w:vAlign w:val="top"/>
          </w:tcPr>
          <w:p>
            <w:pPr>
              <w:widowControl w:val="0"/>
              <w:spacing w:before="120"/>
              <w:jc w:val="center"/>
              <w:rPr>
                <w:sz w:val="21"/>
                <w:szCs w:val="21"/>
              </w:rPr>
            </w:pPr>
            <w:r>
              <w:rPr>
                <w:sz w:val="21"/>
                <w:szCs w:val="21"/>
              </w:rPr>
              <w:t>~3.2m</w:t>
            </w:r>
          </w:p>
        </w:tc>
        <w:tc>
          <w:tcPr>
            <w:tcW w:w="1842" w:type="dxa"/>
            <w:vAlign w:val="top"/>
          </w:tcPr>
          <w:p>
            <w:pPr>
              <w:widowControl w:val="0"/>
              <w:spacing w:before="120"/>
              <w:jc w:val="center"/>
              <w:rPr>
                <w:sz w:val="21"/>
                <w:szCs w:val="21"/>
              </w:rPr>
            </w:pPr>
            <w:r>
              <w:rPr>
                <w:sz w:val="21"/>
                <w:szCs w:val="21"/>
              </w:rPr>
              <w:t>~3.2m</w:t>
            </w:r>
          </w:p>
        </w:tc>
        <w:tc>
          <w:tcPr>
            <w:tcW w:w="1701" w:type="dxa"/>
            <w:vAlign w:val="top"/>
          </w:tcPr>
          <w:p>
            <w:pPr>
              <w:widowControl w:val="0"/>
              <w:spacing w:before="120"/>
              <w:jc w:val="center"/>
              <w:rPr>
                <w:sz w:val="21"/>
                <w:szCs w:val="21"/>
              </w:rPr>
            </w:pPr>
            <w:r>
              <w:rPr>
                <w:sz w:val="21"/>
                <w:szCs w:val="21"/>
              </w:rPr>
              <w:t>~</w:t>
            </w:r>
            <w:r>
              <w:rPr>
                <w:rFonts w:hint="eastAsia"/>
                <w:sz w:val="21"/>
                <w:szCs w:val="21"/>
              </w:rPr>
              <w:t>2.5</w:t>
            </w:r>
            <w:r>
              <w:rPr>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top"/>
          </w:tcPr>
          <w:p>
            <w:pPr>
              <w:widowControl w:val="0"/>
              <w:spacing w:before="120"/>
              <w:rPr>
                <w:sz w:val="21"/>
                <w:szCs w:val="21"/>
              </w:rPr>
            </w:pPr>
            <w:r>
              <w:rPr>
                <w:sz w:val="21"/>
                <w:szCs w:val="21"/>
              </w:rPr>
              <w:t>药剂原品</w:t>
            </w:r>
          </w:p>
        </w:tc>
        <w:tc>
          <w:tcPr>
            <w:tcW w:w="1785" w:type="dxa"/>
            <w:vAlign w:val="top"/>
          </w:tcPr>
          <w:p>
            <w:pPr>
              <w:widowControl w:val="0"/>
              <w:spacing w:before="120"/>
              <w:jc w:val="center"/>
              <w:rPr>
                <w:sz w:val="21"/>
                <w:szCs w:val="21"/>
              </w:rPr>
            </w:pPr>
            <w:r>
              <w:rPr>
                <w:rFonts w:hint="eastAsia"/>
                <w:sz w:val="21"/>
                <w:szCs w:val="21"/>
              </w:rPr>
              <w:t>30%醋酸钠溶液</w:t>
            </w:r>
          </w:p>
        </w:tc>
        <w:tc>
          <w:tcPr>
            <w:tcW w:w="1759" w:type="dxa"/>
            <w:vAlign w:val="top"/>
          </w:tcPr>
          <w:p>
            <w:pPr>
              <w:widowControl w:val="0"/>
              <w:spacing w:before="120"/>
              <w:jc w:val="center"/>
              <w:rPr>
                <w:sz w:val="21"/>
                <w:szCs w:val="21"/>
              </w:rPr>
            </w:pPr>
            <w:r>
              <w:rPr>
                <w:rFonts w:hint="eastAsia"/>
                <w:sz w:val="21"/>
                <w:szCs w:val="21"/>
              </w:rPr>
              <w:t>11%PFS溶液</w:t>
            </w:r>
          </w:p>
        </w:tc>
        <w:tc>
          <w:tcPr>
            <w:tcW w:w="1842" w:type="dxa"/>
            <w:vAlign w:val="top"/>
          </w:tcPr>
          <w:p>
            <w:pPr>
              <w:widowControl w:val="0"/>
              <w:spacing w:before="120"/>
              <w:jc w:val="center"/>
              <w:rPr>
                <w:sz w:val="21"/>
                <w:szCs w:val="21"/>
              </w:rPr>
            </w:pPr>
            <w:r>
              <w:rPr>
                <w:rFonts w:hint="eastAsia"/>
                <w:sz w:val="21"/>
                <w:szCs w:val="21"/>
              </w:rPr>
              <w:t>10%次氯酸钠溶液</w:t>
            </w:r>
          </w:p>
        </w:tc>
        <w:tc>
          <w:tcPr>
            <w:tcW w:w="1701" w:type="dxa"/>
            <w:vAlign w:val="top"/>
          </w:tcPr>
          <w:p>
            <w:pPr>
              <w:widowControl w:val="0"/>
              <w:spacing w:before="120"/>
              <w:jc w:val="center"/>
              <w:rPr>
                <w:sz w:val="21"/>
                <w:szCs w:val="21"/>
              </w:rPr>
            </w:pPr>
            <w:r>
              <w:rPr>
                <w:rFonts w:hint="eastAsia"/>
                <w:sz w:val="21"/>
                <w:szCs w:val="21"/>
              </w:rPr>
              <w:t>10%PAC溶液</w:t>
            </w:r>
          </w:p>
        </w:tc>
      </w:tr>
    </w:tbl>
    <w:p>
      <w:pPr>
        <w:pStyle w:val="8"/>
      </w:pPr>
      <w:r>
        <w:t>储罐为卧式结构，壁厚应有足够的强度和刚度，罐体及所有管路连接处不允许有任何泄漏。</w:t>
      </w:r>
    </w:p>
    <w:p>
      <w:pPr>
        <w:pStyle w:val="8"/>
      </w:pPr>
      <w:r>
        <w:t>罐体材料应耐腐蚀并能承受由化学反应产生的发热影响，储罐的材料为钢衬PE。储罐的设计加工制造应满足相关国家和行业标准（HG/T20678）要求。</w:t>
      </w:r>
    </w:p>
    <w:p>
      <w:pPr>
        <w:pStyle w:val="8"/>
        <w:rPr>
          <w:rFonts w:hint="eastAsia"/>
        </w:rPr>
      </w:pPr>
      <w:r>
        <w:t>PE衬板厚度应不小于1</w:t>
      </w:r>
      <w:r>
        <w:rPr>
          <w:rFonts w:hint="eastAsia"/>
          <w:lang w:val="en-US" w:eastAsia="zh-CN"/>
        </w:rPr>
        <w:t>0</w:t>
      </w:r>
      <w:r>
        <w:t>mm; 固定网格材质为不锈钢，其厚度应不小于8mm。内衬不允许有任何空鼓现象。</w:t>
      </w:r>
    </w:p>
    <w:p>
      <w:pPr>
        <w:pStyle w:val="8"/>
      </w:pPr>
      <w:r>
        <w:rPr>
          <w:rFonts w:hint="eastAsia"/>
        </w:rPr>
        <w:t>罐体及管道应带有</w:t>
      </w:r>
      <w:r>
        <w:t>聚氨酯隔热层</w:t>
      </w:r>
      <w:r>
        <w:rPr>
          <w:rFonts w:hint="eastAsia"/>
        </w:rPr>
        <w:t>，</w:t>
      </w:r>
      <w:r>
        <w:t>厚度≥100mm</w:t>
      </w:r>
      <w:r>
        <w:rPr>
          <w:rFonts w:hint="eastAsia"/>
        </w:rPr>
        <w:t>，并设有铝合金护板，保证室外安装全天候使用。</w:t>
      </w:r>
    </w:p>
    <w:p>
      <w:pPr>
        <w:pStyle w:val="8"/>
      </w:pPr>
      <w:r>
        <w:t>储罐应带有液位计、高低液位开关和可视的液位显示计，以及高、低液位报警。系统设计应采取有效措施防止罐体抽空形成负压。罐液位</w:t>
      </w:r>
      <w:r>
        <w:rPr>
          <w:rFonts w:hint="eastAsia"/>
        </w:rPr>
        <w:t>及</w:t>
      </w:r>
      <w:r>
        <w:t>报警等信号应远传至中控室。</w:t>
      </w:r>
    </w:p>
    <w:p>
      <w:pPr>
        <w:pStyle w:val="8"/>
      </w:pPr>
      <w:r>
        <w:t>储罐应带</w:t>
      </w:r>
      <w:r>
        <w:rPr>
          <w:rFonts w:hint="eastAsia"/>
        </w:rPr>
        <w:t>有</w:t>
      </w:r>
      <w:r>
        <w:t>进</w:t>
      </w:r>
      <w:r>
        <w:rPr>
          <w:rFonts w:hint="eastAsia"/>
        </w:rPr>
        <w:t>药</w:t>
      </w:r>
      <w:r>
        <w:t>、出药、溢流</w:t>
      </w:r>
      <w:r>
        <w:rPr>
          <w:rFonts w:hint="eastAsia"/>
        </w:rPr>
        <w:t>、</w:t>
      </w:r>
      <w:r>
        <w:t>放空</w:t>
      </w:r>
      <w:r>
        <w:rPr>
          <w:rFonts w:hint="eastAsia"/>
        </w:rPr>
        <w:t>管道</w:t>
      </w:r>
      <w:r>
        <w:t>及阀门；</w:t>
      </w:r>
    </w:p>
    <w:p>
      <w:pPr>
        <w:pStyle w:val="8"/>
        <w:rPr>
          <w:rFonts w:hint="eastAsia"/>
        </w:rPr>
      </w:pPr>
      <w:r>
        <w:t>所有固定和安装连接附件的材质应为不锈钢。</w:t>
      </w:r>
      <w:r>
        <w:rPr>
          <w:rFonts w:hint="eastAsia"/>
        </w:rPr>
        <w:t>储罐应配套爬梯、检修平台及安全护栏，方便检查和维修。如果罐高超过3米，爬梯应设安全护筐。</w:t>
      </w:r>
    </w:p>
    <w:p>
      <w:pPr>
        <w:pStyle w:val="6"/>
      </w:pPr>
      <w:bookmarkStart w:id="454" w:name="_Toc155414457"/>
      <w:r>
        <w:rPr>
          <w:rFonts w:hint="eastAsia"/>
        </w:rPr>
        <w:t>主要零部件材料</w:t>
      </w:r>
      <w:bookmarkEnd w:id="454"/>
    </w:p>
    <w:p>
      <w:pPr>
        <w:pStyle w:val="8"/>
      </w:pPr>
      <w:bookmarkStart w:id="455" w:name="_Toc155414458"/>
      <w:r>
        <w:t>加药泵</w:t>
      </w:r>
    </w:p>
    <w:tbl>
      <w:tblPr>
        <w:tblStyle w:val="19"/>
        <w:tblW w:w="7796"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6"/>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widowControl w:val="0"/>
              <w:spacing w:before="120" w:line="0" w:lineRule="atLeast"/>
            </w:pPr>
            <w:r>
              <w:t xml:space="preserve">过滤件材质 </w:t>
            </w:r>
          </w:p>
        </w:tc>
        <w:tc>
          <w:tcPr>
            <w:tcW w:w="3940" w:type="dxa"/>
            <w:vAlign w:val="top"/>
          </w:tcPr>
          <w:p>
            <w:pPr>
              <w:widowControl w:val="0"/>
              <w:spacing w:before="120" w:line="0" w:lineRule="atLeast"/>
            </w:pPr>
            <w:r>
              <w:t>PVDF或PVC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隔膜材质</w:t>
            </w:r>
          </w:p>
        </w:tc>
        <w:tc>
          <w:tcPr>
            <w:tcW w:w="3940" w:type="dxa"/>
            <w:vAlign w:val="top"/>
          </w:tcPr>
          <w:p>
            <w:pPr>
              <w:pStyle w:val="39"/>
              <w:spacing w:before="120" w:beforeLines="50" w:after="0" w:line="240" w:lineRule="atLeast"/>
            </w:pPr>
            <w:r>
              <w:t>PTFE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逆止球（阀）</w:t>
            </w:r>
          </w:p>
        </w:tc>
        <w:tc>
          <w:tcPr>
            <w:tcW w:w="3940" w:type="dxa"/>
            <w:vAlign w:val="top"/>
          </w:tcPr>
          <w:p>
            <w:pPr>
              <w:pStyle w:val="39"/>
              <w:spacing w:before="120" w:beforeLines="50" w:after="0" w:line="240" w:lineRule="atLeast"/>
            </w:pPr>
            <w:r>
              <w:t>陶瓷</w:t>
            </w:r>
            <w:r>
              <w:rPr>
                <w:rFonts w:hint="eastAsia"/>
              </w:rPr>
              <w:t>或与输送介质相匹配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过流部件材料</w:t>
            </w:r>
          </w:p>
        </w:tc>
        <w:tc>
          <w:tcPr>
            <w:tcW w:w="3940" w:type="dxa"/>
            <w:vAlign w:val="top"/>
          </w:tcPr>
          <w:p>
            <w:pPr>
              <w:pStyle w:val="39"/>
              <w:spacing w:before="120" w:beforeLines="50" w:after="0" w:line="240" w:lineRule="atLeast"/>
            </w:pPr>
            <w:r>
              <w:t>UPVC</w:t>
            </w:r>
            <w:r>
              <w:rPr>
                <w:rFonts w:hint="eastAsia"/>
              </w:rPr>
              <w:t>或与输送介质相匹配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所有安装连接附件、地脚螺栓</w:t>
            </w:r>
          </w:p>
        </w:tc>
        <w:tc>
          <w:tcPr>
            <w:tcW w:w="3940" w:type="dxa"/>
            <w:vAlign w:val="top"/>
          </w:tcPr>
          <w:p>
            <w:pPr>
              <w:pStyle w:val="39"/>
              <w:spacing w:before="120" w:beforeLines="50" w:after="0" w:line="240" w:lineRule="atLeast"/>
            </w:pPr>
            <w:r>
              <w:t>AISI 304</w:t>
            </w:r>
          </w:p>
        </w:tc>
      </w:tr>
    </w:tbl>
    <w:p>
      <w:pPr>
        <w:pStyle w:val="8"/>
      </w:pPr>
      <w:r>
        <w:t>储罐</w:t>
      </w:r>
    </w:p>
    <w:tbl>
      <w:tblPr>
        <w:tblStyle w:val="19"/>
        <w:tblW w:w="7787"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6"/>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widowControl w:val="0"/>
              <w:spacing w:before="120"/>
            </w:pPr>
            <w:r>
              <w:t>罐体材料</w:t>
            </w:r>
          </w:p>
        </w:tc>
        <w:tc>
          <w:tcPr>
            <w:tcW w:w="3931" w:type="dxa"/>
            <w:vAlign w:val="top"/>
          </w:tcPr>
          <w:p>
            <w:pPr>
              <w:widowControl w:val="0"/>
              <w:spacing w:before="120"/>
            </w:pPr>
            <w:r>
              <w:t>碳钢衬塑（PE）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widowControl w:val="0"/>
              <w:spacing w:before="120"/>
              <w:rPr>
                <w:rFonts w:hint="eastAsia"/>
              </w:rPr>
            </w:pPr>
            <w:r>
              <w:rPr>
                <w:rFonts w:hint="eastAsia"/>
              </w:rPr>
              <w:t>爬梯及平台</w:t>
            </w:r>
          </w:p>
        </w:tc>
        <w:tc>
          <w:tcPr>
            <w:tcW w:w="3931" w:type="dxa"/>
            <w:vAlign w:val="top"/>
          </w:tcPr>
          <w:p>
            <w:pPr>
              <w:widowControl w:val="0"/>
              <w:spacing w:before="120"/>
              <w:rPr>
                <w:rFonts w:hint="eastAsia"/>
              </w:rPr>
            </w:pPr>
            <w:r>
              <w:rPr>
                <w:rFonts w:hint="eastAsia"/>
              </w:rPr>
              <w:t>碳钢防腐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widowControl w:val="0"/>
              <w:spacing w:before="120"/>
            </w:pPr>
            <w:r>
              <w:t>安装连接附件</w:t>
            </w:r>
          </w:p>
        </w:tc>
        <w:tc>
          <w:tcPr>
            <w:tcW w:w="3931" w:type="dxa"/>
            <w:vAlign w:val="top"/>
          </w:tcPr>
          <w:p>
            <w:pPr>
              <w:widowControl w:val="0"/>
              <w:spacing w:before="120"/>
            </w:pPr>
            <w:r>
              <w:rPr>
                <w:rFonts w:hint="eastAsia"/>
              </w:rPr>
              <w:t>热浸锌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widowControl w:val="0"/>
              <w:spacing w:before="120"/>
            </w:pPr>
            <w:r>
              <w:rPr>
                <w:rFonts w:hint="eastAsia"/>
              </w:rPr>
              <w:t>管道</w:t>
            </w:r>
          </w:p>
        </w:tc>
        <w:tc>
          <w:tcPr>
            <w:tcW w:w="3931" w:type="dxa"/>
            <w:vAlign w:val="top"/>
          </w:tcPr>
          <w:p>
            <w:pPr>
              <w:widowControl w:val="0"/>
              <w:spacing w:before="120"/>
              <w:rPr>
                <w:rFonts w:hint="eastAsia"/>
              </w:rPr>
            </w:pPr>
            <w:r>
              <w:rPr>
                <w:rFonts w:hint="eastAsia"/>
              </w:rPr>
              <w:t>碳钢</w:t>
            </w:r>
            <w:r>
              <w:t>衬塑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widowControl w:val="0"/>
              <w:spacing w:before="120"/>
              <w:rPr>
                <w:rFonts w:hint="eastAsia"/>
              </w:rPr>
            </w:pPr>
            <w:r>
              <w:rPr>
                <w:rFonts w:hint="eastAsia"/>
              </w:rPr>
              <w:t>阀门</w:t>
            </w:r>
          </w:p>
        </w:tc>
        <w:tc>
          <w:tcPr>
            <w:tcW w:w="3931" w:type="dxa"/>
            <w:vAlign w:val="top"/>
          </w:tcPr>
          <w:p>
            <w:pPr>
              <w:widowControl w:val="0"/>
              <w:spacing w:before="120"/>
              <w:rPr>
                <w:rFonts w:hint="eastAsia"/>
              </w:rPr>
            </w:pPr>
            <w:r>
              <w:t>应与输送介质相匹配</w:t>
            </w:r>
          </w:p>
        </w:tc>
      </w:tr>
    </w:tbl>
    <w:p>
      <w:pPr>
        <w:pStyle w:val="8"/>
      </w:pPr>
      <w:r>
        <w:t>其它</w:t>
      </w:r>
    </w:p>
    <w:tbl>
      <w:tblPr>
        <w:tblStyle w:val="19"/>
        <w:tblW w:w="7784"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6"/>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过滤器、均流器、背压阀等</w:t>
            </w:r>
          </w:p>
        </w:tc>
        <w:tc>
          <w:tcPr>
            <w:tcW w:w="3928" w:type="dxa"/>
            <w:vAlign w:val="top"/>
          </w:tcPr>
          <w:p>
            <w:pPr>
              <w:pStyle w:val="39"/>
              <w:spacing w:before="120" w:beforeLines="50" w:after="0" w:line="240" w:lineRule="atLeast"/>
            </w:pPr>
            <w:r>
              <w:t>应与输送介质相匹配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管路及管件</w:t>
            </w:r>
          </w:p>
        </w:tc>
        <w:tc>
          <w:tcPr>
            <w:tcW w:w="3928" w:type="dxa"/>
            <w:vAlign w:val="top"/>
          </w:tcPr>
          <w:p>
            <w:pPr>
              <w:pStyle w:val="39"/>
              <w:spacing w:before="120" w:beforeLines="50" w:after="0" w:line="240" w:lineRule="atLeast"/>
              <w:rPr>
                <w:rFonts w:hint="eastAsia"/>
              </w:rPr>
            </w:pPr>
            <w:r>
              <w:t>PVC-U</w:t>
            </w:r>
            <w:r>
              <w:rPr>
                <w:rFonts w:hint="eastAsia"/>
              </w:rPr>
              <w:t>（室内</w:t>
            </w:r>
            <w:r>
              <w:t>）</w:t>
            </w:r>
            <w:r>
              <w:rPr>
                <w:rFonts w:hint="eastAsia"/>
              </w:rPr>
              <w:t>、</w:t>
            </w:r>
            <w:r>
              <w:t>PE（</w:t>
            </w:r>
            <w:r>
              <w:rPr>
                <w:rFonts w:hint="eastAsia"/>
              </w:rPr>
              <w:t>室外</w:t>
            </w:r>
            <w:r>
              <w:t>、埋地）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支架</w:t>
            </w:r>
          </w:p>
        </w:tc>
        <w:tc>
          <w:tcPr>
            <w:tcW w:w="3928" w:type="dxa"/>
            <w:vAlign w:val="top"/>
          </w:tcPr>
          <w:p>
            <w:pPr>
              <w:pStyle w:val="39"/>
              <w:spacing w:before="120" w:beforeLines="50" w:after="0" w:line="240" w:lineRule="atLeast"/>
            </w:pPr>
            <w: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钢结构组合支架（计量泵、过滤器、均流器、背压阀等）</w:t>
            </w:r>
          </w:p>
        </w:tc>
        <w:tc>
          <w:tcPr>
            <w:tcW w:w="3928" w:type="dxa"/>
            <w:vAlign w:val="top"/>
          </w:tcPr>
          <w:p>
            <w:pPr>
              <w:pStyle w:val="39"/>
              <w:spacing w:before="120" w:beforeLines="50" w:after="0" w:line="240" w:lineRule="atLeast"/>
            </w:pPr>
            <w: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6" w:type="dxa"/>
            <w:vAlign w:val="top"/>
          </w:tcPr>
          <w:p>
            <w:pPr>
              <w:pStyle w:val="39"/>
              <w:spacing w:before="120" w:beforeLines="50" w:after="0" w:line="240" w:lineRule="atLeast"/>
            </w:pPr>
            <w:r>
              <w:t>所有连接附件、地脚螺栓</w:t>
            </w:r>
          </w:p>
        </w:tc>
        <w:tc>
          <w:tcPr>
            <w:tcW w:w="3928" w:type="dxa"/>
            <w:vAlign w:val="top"/>
          </w:tcPr>
          <w:p>
            <w:pPr>
              <w:pStyle w:val="39"/>
              <w:spacing w:before="120" w:beforeLines="50" w:after="0" w:line="240" w:lineRule="atLeast"/>
            </w:pPr>
            <w:r>
              <w:t>AISI 304</w:t>
            </w:r>
          </w:p>
        </w:tc>
      </w:tr>
    </w:tbl>
    <w:p>
      <w:pPr>
        <w:pStyle w:val="6"/>
        <w:rPr>
          <w:rFonts w:hint="eastAsia"/>
        </w:rPr>
      </w:pPr>
      <w:r>
        <w:rPr>
          <w:rFonts w:hint="eastAsia"/>
        </w:rPr>
        <w:t>控制要求</w:t>
      </w:r>
      <w:bookmarkEnd w:id="455"/>
    </w:p>
    <w:p>
      <w:pPr>
        <w:pStyle w:val="8"/>
        <w:rPr>
          <w:rFonts w:hint="eastAsia"/>
        </w:rPr>
      </w:pPr>
      <w:r>
        <w:rPr>
          <w:rFonts w:hint="eastAsia"/>
        </w:rPr>
        <w:t>加药</w:t>
      </w:r>
      <w:r>
        <w:t>系统应提供电控柜一套，</w:t>
      </w:r>
      <w:r>
        <w:rPr>
          <w:rFonts w:hint="eastAsia"/>
          <w:lang w:eastAsia="zh-CN"/>
        </w:rPr>
        <w:t>自带PLC可编程控制器，</w:t>
      </w:r>
      <w:r>
        <w:rPr>
          <w:rFonts w:hint="eastAsia"/>
        </w:rPr>
        <w:t>对系统</w:t>
      </w:r>
      <w:r>
        <w:t>内所有设备</w:t>
      </w:r>
      <w:r>
        <w:rPr>
          <w:rFonts w:hint="eastAsia"/>
        </w:rPr>
        <w:t>（包括储药罐及配套搅拌器）提供电源及控制</w:t>
      </w:r>
      <w:r>
        <w:t>，并能在电控柜开/停设备。</w:t>
      </w:r>
      <w:r>
        <w:rPr>
          <w:rFonts w:hint="eastAsia"/>
        </w:rPr>
        <w:t>电控柜及所有出线电缆及桥架等均在本工作范围</w:t>
      </w:r>
      <w:r>
        <w:t>。</w:t>
      </w:r>
    </w:p>
    <w:p>
      <w:pPr>
        <w:pStyle w:val="8"/>
        <w:rPr>
          <w:rFonts w:hint="eastAsia"/>
        </w:rPr>
      </w:pPr>
      <w:r>
        <w:rPr>
          <w:rFonts w:hint="eastAsia"/>
        </w:rPr>
        <w:t>电控柜安装在加药间（落地），负责整个加药系统的控制操作。加药系统</w:t>
      </w:r>
      <w:r>
        <w:rPr>
          <w:rFonts w:hint="eastAsia"/>
          <w:lang w:eastAsia="zh-CN"/>
        </w:rPr>
        <w:t>系统PLC控制器</w:t>
      </w:r>
      <w:r>
        <w:rPr>
          <w:rFonts w:hint="eastAsia"/>
        </w:rPr>
        <w:t>应与整个</w:t>
      </w:r>
      <w:r>
        <w:rPr>
          <w:rFonts w:hint="eastAsia"/>
          <w:lang w:eastAsia="zh-CN"/>
        </w:rPr>
        <w:t>污水</w:t>
      </w:r>
      <w:r>
        <w:rPr>
          <w:rFonts w:hint="eastAsia"/>
        </w:rPr>
        <w:t>厂控制系统的可编程控制器为相同的生产商</w:t>
      </w:r>
      <w:r>
        <w:rPr>
          <w:rFonts w:hint="eastAsia"/>
          <w:lang w:eastAsia="zh-CN"/>
        </w:rPr>
        <w:t>，</w:t>
      </w:r>
      <w:r>
        <w:rPr>
          <w:rFonts w:hint="eastAsia"/>
        </w:rPr>
        <w:t>并通过</w:t>
      </w:r>
      <w:r>
        <w:rPr>
          <w:rFonts w:hint="eastAsia"/>
          <w:lang w:eastAsia="zh-CN"/>
        </w:rPr>
        <w:t>以太网</w:t>
      </w:r>
      <w:r>
        <w:rPr>
          <w:rFonts w:hint="eastAsia"/>
        </w:rPr>
        <w:t>与相应的现场控制站实现通讯。</w:t>
      </w:r>
    </w:p>
    <w:p>
      <w:pPr>
        <w:pStyle w:val="8"/>
        <w:rPr>
          <w:rFonts w:hint="eastAsia"/>
        </w:rPr>
      </w:pPr>
      <w:r>
        <w:rPr>
          <w:rFonts w:hint="eastAsia"/>
        </w:rPr>
        <w:t>电</w:t>
      </w:r>
      <w:r>
        <w:t>控柜还包括有</w:t>
      </w:r>
      <w:r>
        <w:rPr>
          <w:rFonts w:hint="eastAsia"/>
        </w:rPr>
        <w:t>空气断路器、接触器、热继电器、</w:t>
      </w:r>
      <w:r>
        <w:t>控制开关、表计装置、指示灯、熔断器、端子等</w:t>
      </w:r>
      <w:r>
        <w:rPr>
          <w:rFonts w:hint="eastAsia"/>
        </w:rPr>
        <w:t>，其中空气断路器、接触器、热继电器等一次元器件选型应与低压MCC柜内一致。</w:t>
      </w:r>
    </w:p>
    <w:p>
      <w:pPr>
        <w:pStyle w:val="8"/>
      </w:pPr>
      <w:r>
        <w:rPr>
          <w:rFonts w:hint="eastAsia"/>
        </w:rPr>
        <w:t>电控柜其它技术要求见2.</w:t>
      </w:r>
      <w:r>
        <w:rPr>
          <w:rFonts w:hint="eastAsia"/>
          <w:lang w:eastAsia="zh-CN"/>
        </w:rPr>
        <w:t>11</w:t>
      </w:r>
      <w:r>
        <w:rPr>
          <w:rFonts w:hint="eastAsia"/>
        </w:rPr>
        <w:t>节。</w:t>
      </w:r>
    </w:p>
    <w:p>
      <w:pPr>
        <w:pStyle w:val="6"/>
      </w:pPr>
      <w:bookmarkStart w:id="456" w:name="_Toc155414459"/>
      <w:r>
        <w:rPr>
          <w:rFonts w:hint="eastAsia"/>
        </w:rPr>
        <w:t>出厂检验</w:t>
      </w:r>
      <w:bookmarkEnd w:id="456"/>
    </w:p>
    <w:p>
      <w:pPr>
        <w:pStyle w:val="8"/>
      </w:pPr>
      <w:r>
        <w:rPr>
          <w:rFonts w:hint="eastAsia"/>
        </w:rPr>
        <w:t>每台设备在出厂前须在额定转速下进行试验，空载运转时间不少于</w:t>
      </w:r>
      <w:r>
        <w:t>4h,</w:t>
      </w:r>
      <w:r>
        <w:rPr>
          <w:rFonts w:hint="eastAsia"/>
        </w:rPr>
        <w:t xml:space="preserve"> 加水运行时间不少于1h，并附有产品合格证和使用维护说明书方可出厂。设备出厂检验应包括以下内容：</w:t>
      </w:r>
    </w:p>
    <w:p>
      <w:pPr>
        <w:pStyle w:val="36"/>
        <w:numPr>
          <w:ilvl w:val="5"/>
          <w:numId w:val="101"/>
        </w:numPr>
      </w:pPr>
      <w:r>
        <w:rPr>
          <w:rFonts w:hint="eastAsia"/>
        </w:rPr>
        <w:t>外观检验</w:t>
      </w:r>
    </w:p>
    <w:p>
      <w:pPr>
        <w:pStyle w:val="36"/>
        <w:numPr>
          <w:ilvl w:val="5"/>
          <w:numId w:val="101"/>
        </w:numPr>
      </w:pPr>
      <w:r>
        <w:rPr>
          <w:rFonts w:hint="eastAsia"/>
        </w:rPr>
        <w:t>启动试验</w:t>
      </w:r>
    </w:p>
    <w:p>
      <w:pPr>
        <w:pStyle w:val="36"/>
        <w:numPr>
          <w:ilvl w:val="5"/>
          <w:numId w:val="101"/>
        </w:numPr>
      </w:pPr>
      <w:r>
        <w:rPr>
          <w:rFonts w:hint="eastAsia"/>
        </w:rPr>
        <w:t>干运转试验（至少4小时）</w:t>
      </w:r>
    </w:p>
    <w:p>
      <w:pPr>
        <w:pStyle w:val="36"/>
        <w:numPr>
          <w:ilvl w:val="5"/>
          <w:numId w:val="101"/>
        </w:numPr>
      </w:pPr>
      <w:r>
        <w:rPr>
          <w:rFonts w:hint="eastAsia"/>
        </w:rPr>
        <w:t>振动试验</w:t>
      </w:r>
    </w:p>
    <w:p>
      <w:pPr>
        <w:pStyle w:val="36"/>
        <w:numPr>
          <w:ilvl w:val="5"/>
          <w:numId w:val="101"/>
        </w:numPr>
      </w:pPr>
      <w:r>
        <w:rPr>
          <w:rFonts w:hint="eastAsia"/>
        </w:rPr>
        <w:t>噪声试验</w:t>
      </w:r>
    </w:p>
    <w:p>
      <w:pPr>
        <w:pStyle w:val="36"/>
        <w:numPr>
          <w:ilvl w:val="5"/>
          <w:numId w:val="101"/>
        </w:numPr>
      </w:pPr>
      <w:r>
        <w:rPr>
          <w:rFonts w:hint="eastAsia"/>
        </w:rPr>
        <w:t>加水试验</w:t>
      </w:r>
    </w:p>
    <w:p>
      <w:pPr>
        <w:pStyle w:val="6"/>
        <w:rPr>
          <w:rFonts w:hint="eastAsia"/>
        </w:rPr>
      </w:pPr>
      <w:r>
        <w:rPr>
          <w:rFonts w:hint="eastAsia"/>
        </w:rPr>
        <w:t>调试和试车</w:t>
      </w:r>
    </w:p>
    <w:p>
      <w:pPr>
        <w:pStyle w:val="8"/>
      </w:pPr>
      <w:r>
        <w:t>卖方应按要求提交现场调试及检测计划，经买方审批后方可实施。</w:t>
      </w:r>
    </w:p>
    <w:p>
      <w:pPr>
        <w:pStyle w:val="8"/>
      </w:pPr>
      <w:r>
        <w:t>应按照第2章2.1</w:t>
      </w:r>
      <w:r>
        <w:rPr>
          <w:rFonts w:hint="eastAsia"/>
          <w:lang w:eastAsia="zh-CN"/>
        </w:rPr>
        <w:t>0</w:t>
      </w:r>
      <w:r>
        <w:t>条款和标准GB50231《机械设备安装工程施工及验收通用规范》、GB50275《压缩机、风机、泵安装工程施工及验收规范》进行清水和污水运行试验。</w:t>
      </w:r>
    </w:p>
    <w:p>
      <w:pPr>
        <w:pStyle w:val="8"/>
      </w:pPr>
      <w:r>
        <w:t>所有管路、阀门均不允许有泄漏。</w:t>
      </w:r>
    </w:p>
    <w:p>
      <w:pPr>
        <w:pStyle w:val="8"/>
      </w:pPr>
      <w:r>
        <w:t>所有仪表和阀门应灵敏可靠。</w:t>
      </w:r>
    </w:p>
    <w:p>
      <w:pPr>
        <w:pStyle w:val="8"/>
      </w:pPr>
      <w:r>
        <w:t>所有设备运转平稳，无振动和异常声响。</w:t>
      </w:r>
    </w:p>
    <w:p>
      <w:pPr>
        <w:pStyle w:val="8"/>
        <w:rPr>
          <w:rFonts w:hint="eastAsia"/>
        </w:rPr>
      </w:pPr>
      <w:r>
        <w:t>加药泵计量准确</w:t>
      </w:r>
      <w:r>
        <w:rPr>
          <w:rFonts w:hint="eastAsia"/>
        </w:rPr>
        <w:t>。</w:t>
      </w:r>
    </w:p>
    <w:p>
      <w:pPr>
        <w:pStyle w:val="5"/>
      </w:pPr>
      <w:bookmarkStart w:id="457" w:name="_Toc496622461"/>
      <w:r>
        <w:rPr>
          <w:lang w:eastAsia="zh-CN"/>
        </w:rPr>
        <w:t>管路补偿</w:t>
      </w:r>
      <w:r>
        <w:t>接头</w:t>
      </w:r>
      <w:r>
        <w:rPr>
          <w:rFonts w:hint="eastAsia"/>
        </w:rPr>
        <w:t>及金属膨胀节</w:t>
      </w:r>
      <w:bookmarkEnd w:id="457"/>
    </w:p>
    <w:p>
      <w:pPr>
        <w:pStyle w:val="6"/>
      </w:pPr>
      <w:bookmarkStart w:id="458" w:name="_Toc155414486"/>
      <w:r>
        <w:t>工作范围</w:t>
      </w:r>
      <w:bookmarkEnd w:id="458"/>
    </w:p>
    <w:p>
      <w:pPr>
        <w:pStyle w:val="8"/>
      </w:pPr>
      <w:r>
        <w:t>卖方应提供保证设备安全、稳定、可靠运行的全套设备、辅助及安装连接附件，并负责安装</w:t>
      </w:r>
      <w:r>
        <w:rPr>
          <w:rFonts w:hint="eastAsia"/>
          <w:lang w:eastAsia="zh-CN"/>
        </w:rPr>
        <w:t>指</w:t>
      </w:r>
      <w:r>
        <w:rPr>
          <w:lang w:eastAsia="zh-CN"/>
        </w:rPr>
        <w:t>导</w:t>
      </w:r>
      <w:r>
        <w:t>、调试及试运行等工作。下述</w:t>
      </w:r>
      <w:r>
        <w:rPr>
          <w:lang w:eastAsia="zh-CN"/>
        </w:rPr>
        <w:t>管路补偿接头</w:t>
      </w:r>
      <w:r>
        <w:t>规格表中并未涵盖</w:t>
      </w:r>
      <w:r>
        <w:rPr>
          <w:lang w:eastAsia="zh-CN"/>
        </w:rPr>
        <w:t>细格栅冲洗系统、</w:t>
      </w:r>
      <w:r>
        <w:t>加药系统、</w:t>
      </w:r>
      <w:r>
        <w:rPr>
          <w:lang w:eastAsia="zh-CN"/>
        </w:rPr>
        <w:t>污泥脱水</w:t>
      </w:r>
      <w:r>
        <w:t>系统等成套系统供货</w:t>
      </w:r>
      <w:r>
        <w:rPr>
          <w:lang w:eastAsia="zh-CN"/>
        </w:rPr>
        <w:t>以及鼓风机配套</w:t>
      </w:r>
      <w:r>
        <w:t>的</w:t>
      </w:r>
      <w:r>
        <w:rPr>
          <w:lang w:eastAsia="zh-CN"/>
        </w:rPr>
        <w:t>补偿接头</w:t>
      </w:r>
      <w:r>
        <w:t>，系统供货的</w:t>
      </w:r>
      <w:r>
        <w:rPr>
          <w:lang w:eastAsia="zh-CN"/>
        </w:rPr>
        <w:t>补偿接头</w:t>
      </w:r>
      <w:r>
        <w:t>将由卖方根据系统设计实际需要配置并供货，并根据介质情况合理选择</w:t>
      </w:r>
      <w:r>
        <w:rPr>
          <w:lang w:eastAsia="zh-CN"/>
        </w:rPr>
        <w:t>补偿接头</w:t>
      </w:r>
      <w:r>
        <w:t>的结构型式及材质。设备主要组成部分及供货范围（不限于此）：</w:t>
      </w:r>
    </w:p>
    <w:p>
      <w:pPr>
        <w:pStyle w:val="37"/>
        <w:widowControl w:val="0"/>
        <w:numPr>
          <w:ilvl w:val="3"/>
          <w:numId w:val="95"/>
        </w:numPr>
        <w:tabs>
          <w:tab w:val="left" w:pos="1661"/>
        </w:tabs>
        <w:spacing w:before="240" w:line="0" w:lineRule="atLeast"/>
        <w:ind w:left="1650" w:hanging="397"/>
        <w:rPr>
          <w:rFonts w:hint="eastAsia"/>
        </w:rPr>
      </w:pPr>
      <w:r>
        <w:t>装配完整的管路补偿接头</w:t>
      </w:r>
      <w:r>
        <w:rPr>
          <w:rFonts w:hint="eastAsia"/>
        </w:rPr>
        <w:t>及对法兰（如果补偿接头直接与阀门连接，且阀门已配套对法兰，则补偿接头可不配置对法兰）和</w:t>
      </w:r>
      <w:r>
        <w:t>安装连接附件</w:t>
      </w:r>
    </w:p>
    <w:p>
      <w:pPr>
        <w:pStyle w:val="37"/>
        <w:widowControl w:val="0"/>
        <w:numPr>
          <w:ilvl w:val="3"/>
          <w:numId w:val="95"/>
        </w:numPr>
        <w:tabs>
          <w:tab w:val="left" w:pos="1661"/>
        </w:tabs>
        <w:spacing w:before="240" w:line="0" w:lineRule="atLeast"/>
        <w:ind w:left="1650" w:hanging="397"/>
        <w:rPr>
          <w:rFonts w:hint="eastAsia"/>
        </w:rPr>
      </w:pPr>
      <w:r>
        <w:rPr>
          <w:rFonts w:hint="eastAsia"/>
        </w:rPr>
        <w:t>装配完整的金属波纹膨胀节及对法兰和安装连接附件</w:t>
      </w:r>
    </w:p>
    <w:p>
      <w:pPr>
        <w:pStyle w:val="6"/>
      </w:pPr>
      <w:r>
        <w:rPr>
          <w:rFonts w:hint="eastAsia"/>
        </w:rPr>
        <w:t>管路补偿接头</w:t>
      </w:r>
    </w:p>
    <w:p>
      <w:pPr>
        <w:pStyle w:val="8"/>
      </w:pPr>
      <w:bookmarkStart w:id="459" w:name="_Toc84406693"/>
      <w:r>
        <w:t>数量、规格及参数</w:t>
      </w:r>
    </w:p>
    <w:tbl>
      <w:tblPr>
        <w:tblStyle w:val="19"/>
        <w:tblW w:w="8463" w:type="dxa"/>
        <w:tblInd w:w="392"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276"/>
        <w:gridCol w:w="849"/>
        <w:gridCol w:w="567"/>
        <w:gridCol w:w="1134"/>
        <w:gridCol w:w="1020"/>
        <w:gridCol w:w="1100"/>
        <w:gridCol w:w="110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auto" w:sz="4" w:space="0"/>
              <w:left w:val="single" w:color="auto" w:sz="4" w:space="0"/>
              <w:bottom w:val="single" w:color="000000" w:sz="6" w:space="0"/>
              <w:right w:val="single" w:color="000000" w:sz="6" w:space="0"/>
            </w:tcBorders>
            <w:vAlign w:val="center"/>
          </w:tcPr>
          <w:p>
            <w:pPr>
              <w:pStyle w:val="38"/>
              <w:keepNext w:val="0"/>
              <w:tabs>
                <w:tab w:val="left" w:pos="1050"/>
              </w:tabs>
              <w:spacing w:before="120" w:beforeLines="50" w:line="240" w:lineRule="atLeast"/>
              <w:ind w:left="-76" w:leftChars="-36" w:firstLine="86" w:firstLineChars="41"/>
              <w:jc w:val="center"/>
              <w:rPr>
                <w:rFonts w:ascii="Times New Roman"/>
                <w:sz w:val="21"/>
                <w:szCs w:val="21"/>
              </w:rPr>
            </w:pPr>
            <w:r>
              <w:rPr>
                <w:rFonts w:ascii="Times New Roman"/>
                <w:sz w:val="21"/>
                <w:szCs w:val="21"/>
              </w:rPr>
              <w:t>设备名称</w:t>
            </w:r>
          </w:p>
        </w:tc>
        <w:tc>
          <w:tcPr>
            <w:tcW w:w="1276"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设备</w:t>
            </w:r>
          </w:p>
          <w:p>
            <w:pPr>
              <w:pStyle w:val="38"/>
              <w:keepNext w:val="0"/>
              <w:tabs>
                <w:tab w:val="left" w:pos="1050"/>
              </w:tabs>
              <w:spacing w:before="0" w:line="240" w:lineRule="atLeast"/>
              <w:jc w:val="center"/>
              <w:rPr>
                <w:rFonts w:ascii="Times New Roman"/>
                <w:sz w:val="21"/>
                <w:szCs w:val="21"/>
              </w:rPr>
            </w:pPr>
            <w:r>
              <w:rPr>
                <w:rFonts w:ascii="Times New Roman"/>
                <w:sz w:val="21"/>
                <w:szCs w:val="21"/>
              </w:rPr>
              <w:t>编号</w:t>
            </w:r>
          </w:p>
        </w:tc>
        <w:tc>
          <w:tcPr>
            <w:tcW w:w="849"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sz w:val="21"/>
                <w:szCs w:val="21"/>
              </w:rPr>
              <w:t>规格</w:t>
            </w:r>
          </w:p>
        </w:tc>
        <w:tc>
          <w:tcPr>
            <w:tcW w:w="567"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数量</w:t>
            </w:r>
          </w:p>
        </w:tc>
        <w:tc>
          <w:tcPr>
            <w:tcW w:w="1134"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公称压力</w:t>
            </w:r>
            <w:r>
              <w:rPr>
                <w:rFonts w:ascii="Times New Roman"/>
                <w:b w:val="0"/>
                <w:bCs/>
                <w:sz w:val="21"/>
                <w:szCs w:val="21"/>
              </w:rPr>
              <w:t>(MPa)</w:t>
            </w:r>
          </w:p>
        </w:tc>
        <w:tc>
          <w:tcPr>
            <w:tcW w:w="1020" w:type="dxa"/>
            <w:tcBorders>
              <w:top w:val="single" w:color="auto" w:sz="4"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伸缩或调节量</w:t>
            </w:r>
            <w:r>
              <w:rPr>
                <w:rFonts w:ascii="Times New Roman"/>
                <w:b w:val="0"/>
                <w:bCs/>
                <w:sz w:val="21"/>
                <w:szCs w:val="21"/>
              </w:rPr>
              <w:t>(mm)</w:t>
            </w:r>
          </w:p>
        </w:tc>
        <w:tc>
          <w:tcPr>
            <w:tcW w:w="1100" w:type="dxa"/>
            <w:tcBorders>
              <w:top w:val="single" w:color="auto" w:sz="4" w:space="0"/>
              <w:left w:val="single" w:color="000000" w:sz="6" w:space="0"/>
              <w:bottom w:val="single" w:color="000000" w:sz="6" w:space="0"/>
              <w:right w:val="single" w:color="000000" w:sz="6" w:space="0"/>
            </w:tcBorders>
            <w:vAlign w:val="center"/>
          </w:tcPr>
          <w:p>
            <w:pPr>
              <w:widowControl w:val="0"/>
              <w:spacing w:before="120" w:beforeLines="50"/>
              <w:jc w:val="center"/>
              <w:rPr>
                <w:b/>
                <w:sz w:val="21"/>
                <w:szCs w:val="21"/>
              </w:rPr>
            </w:pPr>
            <w:r>
              <w:rPr>
                <w:b/>
                <w:sz w:val="21"/>
                <w:szCs w:val="21"/>
              </w:rPr>
              <w:t>可挠量(</w:t>
            </w:r>
            <w:r>
              <w:rPr>
                <w:b/>
                <w:sz w:val="21"/>
                <w:szCs w:val="21"/>
              </w:rPr>
              <w:sym w:font="Symbol" w:char="F0B0"/>
            </w:r>
            <w:r>
              <w:rPr>
                <w:b/>
                <w:sz w:val="21"/>
                <w:szCs w:val="21"/>
              </w:rPr>
              <w:t>) 偏心量</w:t>
            </w:r>
            <w:r>
              <w:rPr>
                <w:b/>
                <w:bCs/>
                <w:sz w:val="21"/>
                <w:szCs w:val="21"/>
              </w:rPr>
              <w:t>(mm)</w:t>
            </w:r>
          </w:p>
        </w:tc>
        <w:tc>
          <w:tcPr>
            <w:tcW w:w="1100" w:type="dxa"/>
            <w:tcBorders>
              <w:top w:val="single" w:color="auto" w:sz="4" w:space="0"/>
              <w:left w:val="single" w:color="000000" w:sz="6" w:space="0"/>
              <w:bottom w:val="single" w:color="000000" w:sz="6" w:space="0"/>
              <w:right w:val="single" w:color="auto" w:sz="4" w:space="0"/>
            </w:tcBorders>
            <w:vAlign w:val="center"/>
          </w:tcPr>
          <w:p>
            <w:pPr>
              <w:pStyle w:val="38"/>
              <w:keepNext w:val="0"/>
              <w:tabs>
                <w:tab w:val="left" w:pos="1050"/>
              </w:tabs>
              <w:spacing w:before="120" w:beforeLines="50" w:line="240" w:lineRule="atLeast"/>
              <w:jc w:val="center"/>
              <w:rPr>
                <w:rFonts w:ascii="Times New Roman"/>
                <w:sz w:val="21"/>
                <w:szCs w:val="21"/>
              </w:rPr>
            </w:pPr>
            <w:r>
              <w:rPr>
                <w:rFonts w:ascii="Times New Roman"/>
                <w:sz w:val="21"/>
                <w:szCs w:val="21"/>
              </w:rPr>
              <w:t>安装地点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CSR</w:t>
            </w:r>
            <w:r>
              <w:t>-</w:t>
            </w:r>
            <w:r>
              <w:rPr>
                <w:rFonts w:hint="eastAsia"/>
              </w:rPr>
              <w:t>CNV</w:t>
            </w:r>
            <w:r>
              <w:t>101/10</w:t>
            </w:r>
            <w:r>
              <w:rPr>
                <w:rFonts w:hint="eastAsia"/>
              </w:rPr>
              <w:t>4</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6</w:t>
            </w:r>
            <w:r>
              <w:rPr>
                <w:bCs/>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粗格栅间及进水泵井</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kern w:val="0"/>
                <w:sz w:val="21"/>
                <w:szCs w:val="21"/>
              </w:rPr>
              <w:t>单</w:t>
            </w:r>
            <w:r>
              <w:rPr>
                <w:kern w:val="0"/>
                <w:sz w:val="21"/>
                <w:szCs w:val="21"/>
              </w:rPr>
              <w:t>法兰</w:t>
            </w:r>
            <w:r>
              <w:rPr>
                <w:rFonts w:hint="eastAsia"/>
                <w:kern w:val="0"/>
                <w:sz w:val="21"/>
                <w:szCs w:val="21"/>
              </w:rPr>
              <w:t>限</w:t>
            </w:r>
            <w:r>
              <w:rPr>
                <w:kern w:val="0"/>
                <w:sz w:val="21"/>
                <w:szCs w:val="21"/>
              </w:rPr>
              <w:t>位接头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GRT-CNV</w:t>
            </w:r>
            <w:r>
              <w:rPr>
                <w:rFonts w:hint="eastAsia"/>
                <w:kern w:val="0"/>
                <w:sz w:val="21"/>
                <w:szCs w:val="21"/>
              </w:rPr>
              <w:t>1</w:t>
            </w:r>
            <w:r>
              <w:rPr>
                <w:kern w:val="0"/>
                <w:sz w:val="21"/>
                <w:szCs w:val="21"/>
              </w:rPr>
              <w:t>01/</w:t>
            </w:r>
            <w:r>
              <w:rPr>
                <w:rFonts w:hint="eastAsia"/>
                <w:kern w:val="0"/>
                <w:sz w:val="21"/>
                <w:szCs w:val="21"/>
              </w:rPr>
              <w:t>102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DN300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曝气沉砂池</w:t>
            </w:r>
            <w:r>
              <w:rPr>
                <w:rFonts w:hint="eastAsia" w:ascii="Times New Roman"/>
                <w:b w:val="0"/>
                <w:sz w:val="21"/>
                <w:szCs w:val="21"/>
              </w:rPr>
              <w:t>放空管</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法兰松套</w:t>
            </w:r>
            <w:r>
              <w:rPr>
                <w:rFonts w:hint="eastAsia"/>
                <w:kern w:val="0"/>
                <w:sz w:val="21"/>
                <w:szCs w:val="21"/>
              </w:rPr>
              <w:t>式</w:t>
            </w:r>
            <w:r>
              <w:rPr>
                <w:kern w:val="0"/>
                <w:sz w:val="21"/>
                <w:szCs w:val="21"/>
              </w:rPr>
              <w:t>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sz w:val="21"/>
                <w:szCs w:val="21"/>
              </w:rPr>
              <w:t>AER1/2-CNV101/02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w:t>
            </w:r>
            <w:r>
              <w:rPr>
                <w:rFonts w:hint="eastAsia"/>
                <w:kern w:val="0"/>
                <w:sz w:val="21"/>
                <w:szCs w:val="21"/>
              </w:rPr>
              <w:t>3</w:t>
            </w:r>
            <w:r>
              <w:rPr>
                <w:kern w:val="0"/>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2/3</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ascii="Times New Roman"/>
                <w:b w:val="0"/>
                <w:sz w:val="21"/>
                <w:szCs w:val="21"/>
              </w:rPr>
              <w:t>生物池</w:t>
            </w:r>
            <w:r>
              <w:rPr>
                <w:rFonts w:hint="eastAsia" w:ascii="Times New Roman"/>
                <w:b w:val="0"/>
                <w:sz w:val="21"/>
                <w:szCs w:val="21"/>
              </w:rPr>
              <w:t>放空管路</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sz w:val="21"/>
                <w:szCs w:val="21"/>
              </w:rPr>
              <w:t>SP-</w:t>
            </w:r>
            <w:r>
              <w:rPr>
                <w:rFonts w:hint="eastAsia"/>
                <w:sz w:val="21"/>
                <w:szCs w:val="21"/>
              </w:rPr>
              <w:t>CNV1</w:t>
            </w:r>
            <w:r>
              <w:rPr>
                <w:sz w:val="21"/>
                <w:szCs w:val="21"/>
              </w:rPr>
              <w:t>01/</w:t>
            </w:r>
            <w:r>
              <w:rPr>
                <w:rFonts w:hint="eastAsia"/>
                <w:sz w:val="21"/>
                <w:szCs w:val="21"/>
              </w:rPr>
              <w:t>1</w:t>
            </w:r>
            <w:r>
              <w:rPr>
                <w:sz w:val="21"/>
                <w:szCs w:val="21"/>
              </w:rPr>
              <w:t>03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DN150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w:t>
            </w:r>
            <w:r>
              <w:rPr>
                <w:bCs/>
                <w:sz w:val="21"/>
                <w:szCs w:val="21"/>
              </w:rPr>
              <w:t>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hint="eastAsia" w:ascii="Times New Roman"/>
                <w:b w:val="0"/>
                <w:sz w:val="21"/>
                <w:szCs w:val="21"/>
              </w:rPr>
            </w:pPr>
            <w:r>
              <w:rPr>
                <w:rFonts w:hint="eastAsia" w:ascii="Times New Roman"/>
                <w:b w:val="0"/>
                <w:sz w:val="21"/>
                <w:szCs w:val="21"/>
              </w:rPr>
              <w:t>剩余污</w:t>
            </w:r>
            <w:r>
              <w:rPr>
                <w:rFonts w:ascii="Times New Roman"/>
                <w:b w:val="0"/>
                <w:sz w:val="21"/>
                <w:szCs w:val="21"/>
              </w:rPr>
              <w:t>泥泵出口</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kern w:val="0"/>
                <w:sz w:val="21"/>
                <w:szCs w:val="21"/>
              </w:rPr>
              <w:t>单</w:t>
            </w:r>
            <w:r>
              <w:rPr>
                <w:kern w:val="0"/>
                <w:sz w:val="21"/>
                <w:szCs w:val="21"/>
              </w:rPr>
              <w:t>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sz w:val="21"/>
                <w:szCs w:val="21"/>
              </w:rPr>
              <w:t>WPF</w:t>
            </w:r>
            <w:r>
              <w:rPr>
                <w:sz w:val="21"/>
                <w:szCs w:val="21"/>
              </w:rPr>
              <w:t>-</w:t>
            </w:r>
            <w:r>
              <w:rPr>
                <w:rFonts w:hint="eastAsia"/>
                <w:sz w:val="21"/>
                <w:szCs w:val="21"/>
              </w:rPr>
              <w:t>CNV1</w:t>
            </w:r>
            <w:r>
              <w:rPr>
                <w:sz w:val="21"/>
                <w:szCs w:val="21"/>
              </w:rPr>
              <w:t>01/</w:t>
            </w:r>
            <w:r>
              <w:rPr>
                <w:rFonts w:hint="eastAsia"/>
                <w:sz w:val="21"/>
                <w:szCs w:val="21"/>
              </w:rPr>
              <w:t>1</w:t>
            </w:r>
            <w:r>
              <w:rPr>
                <w:sz w:val="21"/>
                <w:szCs w:val="21"/>
              </w:rPr>
              <w:t>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w:t>
            </w:r>
            <w:r>
              <w:rPr>
                <w:rFonts w:hint="eastAsia"/>
                <w:kern w:val="0"/>
                <w:sz w:val="21"/>
                <w:szCs w:val="21"/>
              </w:rPr>
              <w:t>3</w:t>
            </w:r>
            <w:r>
              <w:rPr>
                <w:kern w:val="0"/>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沉淀池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sz w:val="21"/>
                <w:szCs w:val="21"/>
              </w:rPr>
              <w:t>WPF</w:t>
            </w:r>
            <w:r>
              <w:rPr>
                <w:sz w:val="21"/>
                <w:szCs w:val="21"/>
              </w:rPr>
              <w:t>-</w:t>
            </w:r>
            <w:r>
              <w:rPr>
                <w:rFonts w:hint="eastAsia"/>
                <w:sz w:val="21"/>
                <w:szCs w:val="21"/>
              </w:rPr>
              <w:t>CNV1</w:t>
            </w:r>
            <w:r>
              <w:rPr>
                <w:sz w:val="21"/>
                <w:szCs w:val="21"/>
              </w:rPr>
              <w:t>01/</w:t>
            </w:r>
            <w:r>
              <w:rPr>
                <w:rFonts w:hint="eastAsia"/>
                <w:sz w:val="21"/>
                <w:szCs w:val="21"/>
              </w:rPr>
              <w:t>1</w:t>
            </w:r>
            <w:r>
              <w:rPr>
                <w:sz w:val="21"/>
                <w:szCs w:val="21"/>
              </w:rPr>
              <w:t>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w:t>
            </w:r>
            <w:r>
              <w:rPr>
                <w:rFonts w:hint="eastAsia"/>
                <w:kern w:val="0"/>
                <w:sz w:val="21"/>
                <w:szCs w:val="21"/>
              </w:rPr>
              <w:t>3</w:t>
            </w:r>
            <w:r>
              <w:rPr>
                <w:kern w:val="0"/>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限位</w:t>
            </w:r>
            <w:r>
              <w:rPr>
                <w:kern w:val="0"/>
                <w:sz w:val="21"/>
                <w:szCs w:val="21"/>
              </w:rPr>
              <w:t>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PS</w:t>
            </w:r>
            <w:r>
              <w:t>-</w:t>
            </w:r>
            <w:r>
              <w:rPr>
                <w:rFonts w:hint="eastAsia"/>
              </w:rPr>
              <w:t>CNV</w:t>
            </w:r>
            <w:r>
              <w:t>101/10</w:t>
            </w:r>
            <w:r>
              <w:rPr>
                <w:rFonts w:hint="eastAsia"/>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400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砂滤池反冲洗泵房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PS</w:t>
            </w:r>
            <w:r>
              <w:t>-</w:t>
            </w:r>
            <w:r>
              <w:rPr>
                <w:rFonts w:hint="eastAsia"/>
              </w:rPr>
              <w:t>CNV2</w:t>
            </w:r>
            <w:r>
              <w:t>01/</w:t>
            </w:r>
            <w:r>
              <w:rPr>
                <w:rFonts w:hint="eastAsia"/>
              </w:rPr>
              <w:t>2</w:t>
            </w:r>
            <w:r>
              <w:t>0</w:t>
            </w:r>
            <w:r>
              <w:rPr>
                <w:rFonts w:hint="eastAsia"/>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350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BSW</w:t>
            </w:r>
            <w:r>
              <w:t xml:space="preserve"> –</w:t>
            </w:r>
            <w:r>
              <w:rPr>
                <w:rFonts w:hint="eastAsia"/>
              </w:rPr>
              <w:t>CNV1</w:t>
            </w:r>
            <w:r>
              <w:t>01/</w:t>
            </w:r>
            <w:r>
              <w:rPr>
                <w:rFonts w:hint="eastAsia"/>
              </w:rPr>
              <w:t>1</w:t>
            </w:r>
            <w:r>
              <w:t>0</w:t>
            </w:r>
            <w:r>
              <w:rPr>
                <w:rFonts w:hint="eastAsia"/>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200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rFonts w:hint="eastAsia"/>
                <w:kern w:val="0"/>
                <w:sz w:val="21"/>
                <w:szCs w:val="21"/>
              </w:rPr>
              <w:t>单</w:t>
            </w:r>
            <w:r>
              <w:rPr>
                <w:kern w:val="0"/>
                <w:sz w:val="21"/>
                <w:szCs w:val="21"/>
              </w:rPr>
              <w:t>法兰</w:t>
            </w:r>
            <w:r>
              <w:rPr>
                <w:rFonts w:hint="eastAsia"/>
                <w:kern w:val="0"/>
                <w:sz w:val="21"/>
                <w:szCs w:val="21"/>
              </w:rPr>
              <w:t>限</w:t>
            </w:r>
            <w:r>
              <w:rPr>
                <w:kern w:val="0"/>
                <w:sz w:val="21"/>
                <w:szCs w:val="21"/>
              </w:rPr>
              <w:t>位接头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adjustRightInd w:val="0"/>
              <w:spacing w:before="24" w:beforeLines="10"/>
              <w:jc w:val="center"/>
              <w:rPr>
                <w:kern w:val="0"/>
                <w:sz w:val="21"/>
                <w:szCs w:val="21"/>
              </w:rPr>
            </w:pPr>
            <w:r>
              <w:rPr>
                <w:kern w:val="0"/>
                <w:sz w:val="21"/>
                <w:szCs w:val="21"/>
              </w:rPr>
              <w:t>FLT-CNV</w:t>
            </w:r>
            <w:r>
              <w:rPr>
                <w:rFonts w:hint="eastAsia"/>
                <w:kern w:val="0"/>
                <w:sz w:val="21"/>
                <w:szCs w:val="21"/>
              </w:rPr>
              <w:t>1</w:t>
            </w:r>
            <w:r>
              <w:rPr>
                <w:kern w:val="0"/>
                <w:sz w:val="21"/>
                <w:szCs w:val="21"/>
              </w:rPr>
              <w:t>01/</w:t>
            </w:r>
            <w:r>
              <w:rPr>
                <w:rFonts w:hint="eastAsia"/>
                <w:kern w:val="0"/>
                <w:sz w:val="21"/>
                <w:szCs w:val="21"/>
              </w:rPr>
              <w:t>1</w:t>
            </w:r>
            <w:r>
              <w:rPr>
                <w:kern w:val="0"/>
                <w:sz w:val="21"/>
                <w:szCs w:val="21"/>
              </w:rPr>
              <w:t>3</w:t>
            </w:r>
            <w:r>
              <w:rPr>
                <w:rFonts w:hint="eastAsia"/>
                <w:kern w:val="0"/>
                <w:sz w:val="21"/>
                <w:szCs w:val="21"/>
              </w:rPr>
              <w:t>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kern w:val="0"/>
                <w:sz w:val="21"/>
                <w:szCs w:val="21"/>
              </w:rPr>
              <w:t>DN150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3</w:t>
            </w:r>
            <w:r>
              <w:rPr>
                <w:rFonts w:hint="eastAsia"/>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2</w:t>
            </w:r>
            <w:r>
              <w:rPr>
                <w:rFonts w:hint="eastAsia"/>
                <w:bCs/>
                <w:sz w:val="21"/>
                <w:szCs w:val="21"/>
              </w:rPr>
              <w:t>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单</w:t>
            </w:r>
            <w:r>
              <w:rPr>
                <w:kern w:val="0"/>
                <w:sz w:val="21"/>
                <w:szCs w:val="21"/>
              </w:rPr>
              <w:t>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FLT-</w:t>
            </w:r>
            <w:r>
              <w:rPr>
                <w:rFonts w:hint="eastAsia"/>
              </w:rPr>
              <w:t>CNV</w:t>
            </w:r>
            <w:r>
              <w:t>201/208</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6</w:t>
            </w:r>
            <w:r>
              <w:rPr>
                <w:bCs/>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单</w:t>
            </w:r>
            <w:r>
              <w:rPr>
                <w:kern w:val="0"/>
                <w:sz w:val="21"/>
                <w:szCs w:val="21"/>
              </w:rPr>
              <w:t>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FLT-</w:t>
            </w:r>
            <w:r>
              <w:rPr>
                <w:rFonts w:hint="eastAsia"/>
              </w:rPr>
              <w:t>CNV</w:t>
            </w:r>
            <w:r>
              <w:t>301/308</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DN400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单</w:t>
            </w:r>
            <w:r>
              <w:rPr>
                <w:kern w:val="0"/>
                <w:sz w:val="21"/>
                <w:szCs w:val="21"/>
              </w:rPr>
              <w:t>法兰</w:t>
            </w:r>
            <w:r>
              <w:rPr>
                <w:rFonts w:hint="eastAsia"/>
                <w:sz w:val="21"/>
                <w:szCs w:val="21"/>
              </w:rPr>
              <w:t>传力伸缩接头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FLT-</w:t>
            </w:r>
            <w:r>
              <w:rPr>
                <w:rFonts w:hint="eastAsia"/>
              </w:rPr>
              <w:t>CNV</w:t>
            </w:r>
            <w:r>
              <w:t>401/408</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DN300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砂滤池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SPB-CNV101/10</w:t>
            </w:r>
            <w:r>
              <w:rPr>
                <w:rFonts w:hint="eastAsia"/>
              </w:rPr>
              <w:t>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15</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SPB-CNV201</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10</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SPB-CNV301</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8</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SPB-CNV701/70</w:t>
            </w:r>
            <w:r>
              <w:rPr>
                <w:rFonts w:hint="eastAsia"/>
                <w:sz w:val="21"/>
                <w:szCs w:val="21"/>
              </w:rPr>
              <w:t>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15</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w:t>
            </w:r>
            <w:r>
              <w:rPr>
                <w:rFonts w:hint="eastAsia"/>
                <w:kern w:val="0"/>
                <w:sz w:val="21"/>
                <w:szCs w:val="21"/>
              </w:rPr>
              <w:t>传力</w:t>
            </w:r>
            <w:r>
              <w:rPr>
                <w:kern w:val="0"/>
                <w:sz w:val="21"/>
                <w:szCs w:val="21"/>
              </w:rPr>
              <w:t>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sz w:val="21"/>
                <w:szCs w:val="21"/>
              </w:rPr>
              <w:t>SPB-CNV801</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w:t>
            </w:r>
            <w:r>
              <w:rPr>
                <w:bCs/>
                <w:sz w:val="21"/>
                <w:szCs w:val="21"/>
              </w:rPr>
              <w:t>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20</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生产用水泵房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法</w:t>
            </w:r>
            <w:r>
              <w:rPr>
                <w:kern w:val="0"/>
                <w:sz w:val="21"/>
                <w:szCs w:val="21"/>
              </w:rPr>
              <w:t>兰</w:t>
            </w:r>
            <w:r>
              <w:rPr>
                <w:rFonts w:hint="eastAsia"/>
                <w:kern w:val="0"/>
                <w:sz w:val="21"/>
                <w:szCs w:val="21"/>
              </w:rPr>
              <w:t>松套</w:t>
            </w:r>
            <w:r>
              <w:rPr>
                <w:kern w:val="0"/>
                <w:sz w:val="21"/>
                <w:szCs w:val="21"/>
              </w:rPr>
              <w:t>式</w:t>
            </w:r>
            <w:r>
              <w:rPr>
                <w:rFonts w:hint="eastAsia"/>
                <w:sz w:val="21"/>
                <w:szCs w:val="21"/>
              </w:rPr>
              <w:t>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STT-</w:t>
            </w:r>
            <w:r>
              <w:rPr>
                <w:rFonts w:hint="eastAsia"/>
              </w:rPr>
              <w:t>CNV</w:t>
            </w:r>
            <w:r>
              <w:t>101/102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DN300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32.5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2/2</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浓缩池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rFonts w:hint="eastAsia"/>
                <w:kern w:val="0"/>
                <w:sz w:val="21"/>
                <w:szCs w:val="21"/>
              </w:rPr>
              <w:t>法</w:t>
            </w:r>
            <w:r>
              <w:rPr>
                <w:kern w:val="0"/>
                <w:sz w:val="21"/>
                <w:szCs w:val="21"/>
              </w:rPr>
              <w:t>兰</w:t>
            </w:r>
            <w:r>
              <w:rPr>
                <w:rFonts w:hint="eastAsia"/>
                <w:kern w:val="0"/>
                <w:sz w:val="21"/>
                <w:szCs w:val="21"/>
              </w:rPr>
              <w:t>松套</w:t>
            </w:r>
            <w:r>
              <w:rPr>
                <w:kern w:val="0"/>
                <w:sz w:val="21"/>
                <w:szCs w:val="21"/>
              </w:rPr>
              <w:t>式</w:t>
            </w:r>
            <w:r>
              <w:rPr>
                <w:rFonts w:hint="eastAsia"/>
                <w:sz w:val="21"/>
                <w:szCs w:val="21"/>
              </w:rPr>
              <w:t>伸缩接头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STT-</w:t>
            </w:r>
            <w:r>
              <w:rPr>
                <w:rFonts w:hint="eastAsia"/>
              </w:rPr>
              <w:t>CNV</w:t>
            </w:r>
            <w:r>
              <w:t>201/202</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DN250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2/3</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ascii="Times New Roman"/>
                <w:b w:val="0"/>
                <w:sz w:val="21"/>
                <w:szCs w:val="21"/>
              </w:rPr>
            </w:pPr>
            <w:r>
              <w:rPr>
                <w:rFonts w:hint="eastAsia" w:ascii="Times New Roman"/>
                <w:b w:val="0"/>
                <w:sz w:val="21"/>
                <w:szCs w:val="21"/>
              </w:rPr>
              <w:t>浓缩池</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417" w:type="dxa"/>
            <w:tcBorders>
              <w:top w:val="single" w:color="000000" w:sz="6" w:space="0"/>
              <w:left w:val="single" w:color="auto" w:sz="4" w:space="0"/>
              <w:bottom w:val="single" w:color="000000" w:sz="6" w:space="0"/>
              <w:right w:val="single" w:color="000000" w:sz="6" w:space="0"/>
            </w:tcBorders>
            <w:vAlign w:val="center"/>
          </w:tcPr>
          <w:p>
            <w:pPr>
              <w:widowControl w:val="0"/>
              <w:autoSpaceDE w:val="0"/>
              <w:autoSpaceDN w:val="0"/>
              <w:adjustRightInd w:val="0"/>
              <w:spacing w:before="24" w:beforeLines="10" w:line="0" w:lineRule="atLeast"/>
              <w:jc w:val="center"/>
              <w:rPr>
                <w:kern w:val="0"/>
                <w:sz w:val="21"/>
                <w:szCs w:val="21"/>
              </w:rPr>
            </w:pPr>
            <w:r>
              <w:rPr>
                <w:kern w:val="0"/>
                <w:sz w:val="21"/>
                <w:szCs w:val="21"/>
              </w:rPr>
              <w:t>双法兰限位补偿接头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before="48" w:beforeLines="20"/>
              <w:jc w:val="center"/>
              <w:rPr>
                <w:sz w:val="21"/>
                <w:szCs w:val="21"/>
              </w:rPr>
            </w:pPr>
            <w:r>
              <w:rPr>
                <w:rFonts w:hint="eastAsia"/>
                <w:sz w:val="21"/>
                <w:szCs w:val="21"/>
              </w:rPr>
              <w:t>SDH</w:t>
            </w:r>
            <w:r>
              <w:rPr>
                <w:sz w:val="21"/>
                <w:szCs w:val="21"/>
              </w:rPr>
              <w:t>-CNV101/10</w:t>
            </w:r>
            <w:r>
              <w:rPr>
                <w:rFonts w:hint="eastAsia"/>
                <w:sz w:val="21"/>
                <w:szCs w:val="21"/>
              </w:rPr>
              <w:t>3</w:t>
            </w:r>
          </w:p>
        </w:tc>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DN</w:t>
            </w:r>
            <w:r>
              <w:rPr>
                <w:rFonts w:hint="eastAsia"/>
                <w:bCs/>
                <w:sz w:val="21"/>
                <w:szCs w:val="21"/>
              </w:rPr>
              <w:t>15</w:t>
            </w:r>
            <w:r>
              <w:rPr>
                <w:bCs/>
                <w:sz w:val="21"/>
                <w:szCs w:val="21"/>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rFonts w:hint="eastAsia"/>
                <w:bCs/>
                <w:sz w:val="21"/>
                <w:szCs w:val="21"/>
              </w:rPr>
            </w:pPr>
            <w:r>
              <w:rPr>
                <w:rFonts w:hint="eastAsia"/>
                <w:bCs/>
                <w:sz w:val="21"/>
                <w:szCs w:val="21"/>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t>1.0</w:t>
            </w:r>
          </w:p>
        </w:tc>
        <w:tc>
          <w:tcPr>
            <w:tcW w:w="102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bCs/>
                <w:sz w:val="21"/>
                <w:szCs w:val="21"/>
              </w:rPr>
              <w:sym w:font="Symbol" w:char="F0B1"/>
            </w:r>
            <w:r>
              <w:rPr>
                <w:rFonts w:hint="eastAsia"/>
                <w:bCs/>
                <w:sz w:val="21"/>
                <w:szCs w:val="21"/>
              </w:rPr>
              <w:t>25</w:t>
            </w:r>
          </w:p>
        </w:tc>
        <w:tc>
          <w:tcPr>
            <w:tcW w:w="1100" w:type="dxa"/>
            <w:tcBorders>
              <w:top w:val="single" w:color="000000" w:sz="6" w:space="0"/>
              <w:left w:val="single" w:color="000000" w:sz="6" w:space="0"/>
              <w:bottom w:val="single" w:color="000000" w:sz="6" w:space="0"/>
              <w:right w:val="single" w:color="000000" w:sz="6" w:space="0"/>
            </w:tcBorders>
            <w:vAlign w:val="center"/>
          </w:tcPr>
          <w:p>
            <w:pPr>
              <w:widowControl w:val="0"/>
              <w:spacing w:before="120" w:beforeLines="50"/>
              <w:jc w:val="center"/>
              <w:rPr>
                <w:bCs/>
                <w:sz w:val="21"/>
                <w:szCs w:val="21"/>
              </w:rPr>
            </w:pPr>
            <w:r>
              <w:rPr>
                <w:rFonts w:hint="eastAsia"/>
                <w:bCs/>
                <w:sz w:val="21"/>
                <w:szCs w:val="21"/>
              </w:rPr>
              <w:t>/</w:t>
            </w:r>
          </w:p>
        </w:tc>
        <w:tc>
          <w:tcPr>
            <w:tcW w:w="1100"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200"/>
              </w:tabs>
              <w:spacing w:before="120" w:beforeLines="50" w:line="0" w:lineRule="atLeast"/>
              <w:jc w:val="center"/>
              <w:rPr>
                <w:rFonts w:hint="eastAsia" w:ascii="Times New Roman"/>
                <w:b w:val="0"/>
                <w:sz w:val="21"/>
                <w:szCs w:val="21"/>
              </w:rPr>
            </w:pPr>
            <w:r>
              <w:rPr>
                <w:rFonts w:hint="eastAsia" w:ascii="Times New Roman"/>
                <w:b w:val="0"/>
                <w:sz w:val="21"/>
                <w:szCs w:val="21"/>
              </w:rPr>
              <w:t>污泥脱水机房</w:t>
            </w:r>
          </w:p>
        </w:tc>
      </w:tr>
    </w:tbl>
    <w:p>
      <w:pPr>
        <w:pStyle w:val="8"/>
      </w:pPr>
      <w:r>
        <w:rPr>
          <w:lang w:eastAsia="zh-CN"/>
        </w:rPr>
        <w:t>补偿</w:t>
      </w:r>
      <w:r>
        <w:t>接头本体不应有擦伤、沟槽或碰撞形成的明显凹陷，并不得有裂纹、结疤、折叠、分层等缺陷。</w:t>
      </w:r>
    </w:p>
    <w:p>
      <w:pPr>
        <w:pStyle w:val="8"/>
      </w:pPr>
      <w:r>
        <w:rPr>
          <w:lang w:eastAsia="zh-CN"/>
        </w:rPr>
        <w:t>补偿</w:t>
      </w:r>
      <w:r>
        <w:t>接头本体的强度应能承受1.5倍的公称压力，持压5min，不应有渗漏和内塑性变形。</w:t>
      </w:r>
    </w:p>
    <w:p>
      <w:pPr>
        <w:pStyle w:val="8"/>
      </w:pPr>
      <w:r>
        <w:rPr>
          <w:lang w:eastAsia="zh-CN"/>
        </w:rPr>
        <w:t>补偿</w:t>
      </w:r>
      <w:r>
        <w:t>接头密封副应能承受1.25倍的公称压力，持压5min, 不应有渗漏。</w:t>
      </w:r>
    </w:p>
    <w:p>
      <w:pPr>
        <w:pStyle w:val="8"/>
      </w:pPr>
      <w:r>
        <w:t>污水介质非不锈钢材质的阀体内外表面及非不锈钢材质的阀板应采用静电环氧树脂喷涂防腐，内表面涂层厚度不小于250μm，外表面涂层厚度不小于200μm。</w:t>
      </w:r>
    </w:p>
    <w:p>
      <w:pPr>
        <w:pStyle w:val="6"/>
        <w:rPr>
          <w:rFonts w:hint="eastAsia"/>
        </w:rPr>
      </w:pPr>
      <w:bookmarkStart w:id="460" w:name="_Toc155414488"/>
      <w:r>
        <w:rPr>
          <w:rFonts w:hint="eastAsia"/>
        </w:rPr>
        <w:t>金属膨胀节</w:t>
      </w:r>
    </w:p>
    <w:p>
      <w:pPr>
        <w:pStyle w:val="8"/>
      </w:pPr>
      <w:r>
        <w:rPr>
          <w:rFonts w:hint="eastAsia"/>
        </w:rPr>
        <w:t>规格及参数</w:t>
      </w:r>
    </w:p>
    <w:tbl>
      <w:tblPr>
        <w:tblStyle w:val="19"/>
        <w:tblW w:w="8408" w:type="dxa"/>
        <w:tblInd w:w="34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320"/>
        <w:gridCol w:w="992"/>
        <w:gridCol w:w="529"/>
        <w:gridCol w:w="792"/>
        <w:gridCol w:w="1144"/>
        <w:gridCol w:w="1331"/>
        <w:gridCol w:w="882"/>
        <w:gridCol w:w="141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320" w:type="dxa"/>
            <w:tcBorders>
              <w:top w:val="single" w:color="auto" w:sz="4" w:space="0"/>
              <w:left w:val="single" w:color="auto" w:sz="4"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设备编号</w:t>
            </w:r>
          </w:p>
        </w:tc>
        <w:tc>
          <w:tcPr>
            <w:tcW w:w="992" w:type="dxa"/>
            <w:tcBorders>
              <w:top w:val="single" w:color="auto" w:sz="4" w:space="0"/>
              <w:left w:val="single" w:color="000000" w:sz="6" w:space="0"/>
              <w:bottom w:val="single" w:color="000000" w:sz="6" w:space="0"/>
              <w:right w:val="single" w:color="000000" w:sz="6" w:space="0"/>
            </w:tcBorders>
            <w:vAlign w:val="top"/>
          </w:tcPr>
          <w:p>
            <w:pPr>
              <w:pStyle w:val="38"/>
              <w:keepNext w:val="0"/>
              <w:spacing w:before="120" w:beforeLines="50" w:line="240" w:lineRule="atLeast"/>
              <w:jc w:val="center"/>
              <w:rPr>
                <w:rFonts w:ascii="Times New Roman"/>
                <w:b w:val="0"/>
                <w:bCs/>
                <w:sz w:val="21"/>
                <w:szCs w:val="21"/>
              </w:rPr>
            </w:pPr>
            <w:r>
              <w:rPr>
                <w:rFonts w:hint="eastAsia" w:ascii="Times New Roman"/>
                <w:sz w:val="21"/>
                <w:szCs w:val="21"/>
              </w:rPr>
              <w:t>规格</w:t>
            </w:r>
          </w:p>
        </w:tc>
        <w:tc>
          <w:tcPr>
            <w:tcW w:w="529"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数量</w:t>
            </w:r>
          </w:p>
        </w:tc>
        <w:tc>
          <w:tcPr>
            <w:tcW w:w="792"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介质</w:t>
            </w:r>
          </w:p>
        </w:tc>
        <w:tc>
          <w:tcPr>
            <w:tcW w:w="1144"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公称压力</w:t>
            </w:r>
            <w:r>
              <w:rPr>
                <w:rFonts w:ascii="Times New Roman"/>
                <w:b w:val="0"/>
                <w:bCs/>
                <w:sz w:val="21"/>
                <w:szCs w:val="21"/>
              </w:rPr>
              <w:t>(MPa)</w:t>
            </w:r>
          </w:p>
        </w:tc>
        <w:tc>
          <w:tcPr>
            <w:tcW w:w="1331"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型式</w:t>
            </w:r>
          </w:p>
        </w:tc>
        <w:tc>
          <w:tcPr>
            <w:tcW w:w="882" w:type="dxa"/>
            <w:tcBorders>
              <w:top w:val="single" w:color="auto" w:sz="4" w:space="0"/>
              <w:left w:val="single" w:color="000000" w:sz="6" w:space="0"/>
              <w:bottom w:val="single" w:color="000000" w:sz="6" w:space="0"/>
              <w:right w:val="single" w:color="000000" w:sz="6"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补偿量</w:t>
            </w:r>
            <w:r>
              <w:rPr>
                <w:rFonts w:ascii="Times New Roman"/>
                <w:b w:val="0"/>
                <w:bCs/>
                <w:sz w:val="21"/>
                <w:szCs w:val="21"/>
              </w:rPr>
              <w:t>(mm)</w:t>
            </w:r>
          </w:p>
        </w:tc>
        <w:tc>
          <w:tcPr>
            <w:tcW w:w="1418" w:type="dxa"/>
            <w:tcBorders>
              <w:top w:val="single" w:color="auto" w:sz="4" w:space="0"/>
              <w:left w:val="single" w:color="000000" w:sz="6" w:space="0"/>
              <w:bottom w:val="single" w:color="000000" w:sz="6" w:space="0"/>
              <w:right w:val="single" w:color="auto" w:sz="4" w:space="0"/>
            </w:tcBorders>
            <w:vAlign w:val="top"/>
          </w:tcPr>
          <w:p>
            <w:pPr>
              <w:pStyle w:val="38"/>
              <w:keepNext w:val="0"/>
              <w:tabs>
                <w:tab w:val="left" w:pos="1050"/>
              </w:tabs>
              <w:spacing w:before="120" w:beforeLines="50" w:line="240" w:lineRule="atLeast"/>
              <w:jc w:val="center"/>
              <w:rPr>
                <w:rFonts w:ascii="Times New Roman"/>
                <w:sz w:val="21"/>
                <w:szCs w:val="21"/>
              </w:rPr>
            </w:pPr>
            <w:r>
              <w:rPr>
                <w:rFonts w:hint="eastAsia" w:ascii="Times New Roman"/>
                <w:sz w:val="21"/>
                <w:szCs w:val="21"/>
              </w:rPr>
              <w:t>安装地点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320" w:type="dxa"/>
            <w:tcBorders>
              <w:top w:val="single" w:color="000000" w:sz="6" w:space="0"/>
              <w:left w:val="single" w:color="auto" w:sz="4"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AER1/2-CNV201/</w:t>
            </w:r>
            <w:r>
              <w:rPr>
                <w:rFonts w:hint="eastAsia" w:ascii="Times New Roman"/>
                <w:b w:val="0"/>
                <w:sz w:val="21"/>
                <w:szCs w:val="21"/>
              </w:rPr>
              <w:t>202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DN400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4</w:t>
            </w:r>
          </w:p>
        </w:tc>
        <w:tc>
          <w:tcPr>
            <w:tcW w:w="7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空气</w:t>
            </w:r>
          </w:p>
        </w:tc>
        <w:tc>
          <w:tcPr>
            <w:tcW w:w="1144"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1.0</w:t>
            </w:r>
          </w:p>
        </w:tc>
        <w:tc>
          <w:tcPr>
            <w:tcW w:w="1331"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轴向金属波纹补偿器</w:t>
            </w:r>
          </w:p>
        </w:tc>
        <w:tc>
          <w:tcPr>
            <w:tcW w:w="88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r>
              <w:rPr>
                <w:rFonts w:hint="eastAsia" w:ascii="Times New Roman"/>
                <w:b w:val="0"/>
                <w:bCs/>
                <w:sz w:val="21"/>
                <w:szCs w:val="21"/>
              </w:rPr>
              <w:t>50</w:t>
            </w:r>
          </w:p>
        </w:tc>
        <w:tc>
          <w:tcPr>
            <w:tcW w:w="1418"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生物池曝气管</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c>
          <w:tcPr>
            <w:tcW w:w="1320" w:type="dxa"/>
            <w:tcBorders>
              <w:top w:val="single" w:color="000000" w:sz="6" w:space="0"/>
              <w:left w:val="single" w:color="auto" w:sz="4"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AER1/2-CNV301/</w:t>
            </w:r>
            <w:r>
              <w:rPr>
                <w:rFonts w:hint="eastAsia" w:ascii="Times New Roman"/>
                <w:b w:val="0"/>
                <w:sz w:val="21"/>
                <w:szCs w:val="21"/>
              </w:rPr>
              <w:t>302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DN350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4</w:t>
            </w:r>
          </w:p>
        </w:tc>
        <w:tc>
          <w:tcPr>
            <w:tcW w:w="79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空气</w:t>
            </w:r>
          </w:p>
        </w:tc>
        <w:tc>
          <w:tcPr>
            <w:tcW w:w="1144"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1.0</w:t>
            </w:r>
          </w:p>
        </w:tc>
        <w:tc>
          <w:tcPr>
            <w:tcW w:w="1331"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轴向金属波纹补偿器</w:t>
            </w:r>
          </w:p>
        </w:tc>
        <w:tc>
          <w:tcPr>
            <w:tcW w:w="882" w:type="dxa"/>
            <w:tcBorders>
              <w:top w:val="single" w:color="000000" w:sz="6" w:space="0"/>
              <w:left w:val="single" w:color="000000" w:sz="6" w:space="0"/>
              <w:bottom w:val="single" w:color="000000" w:sz="6" w:space="0"/>
              <w:right w:val="single" w:color="000000" w:sz="6" w:space="0"/>
            </w:tcBorders>
            <w:vAlign w:val="center"/>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r>
              <w:rPr>
                <w:rFonts w:hint="eastAsia" w:ascii="Times New Roman"/>
                <w:b w:val="0"/>
                <w:bCs/>
                <w:sz w:val="21"/>
                <w:szCs w:val="21"/>
              </w:rPr>
              <w:t>50</w:t>
            </w:r>
          </w:p>
        </w:tc>
        <w:tc>
          <w:tcPr>
            <w:tcW w:w="1418" w:type="dxa"/>
            <w:tcBorders>
              <w:top w:val="single" w:color="000000" w:sz="6" w:space="0"/>
              <w:left w:val="single" w:color="000000" w:sz="6" w:space="0"/>
              <w:bottom w:val="single" w:color="000000" w:sz="6" w:space="0"/>
              <w:right w:val="single" w:color="auto" w:sz="4" w:space="0"/>
            </w:tcBorders>
            <w:vAlign w:val="center"/>
          </w:tcPr>
          <w:p>
            <w:pPr>
              <w:pStyle w:val="38"/>
              <w:keepNext w:val="0"/>
              <w:tabs>
                <w:tab w:val="left" w:pos="1050"/>
              </w:tabs>
              <w:spacing w:before="120" w:beforeLines="50" w:line="240" w:lineRule="atLeast"/>
              <w:jc w:val="center"/>
              <w:rPr>
                <w:rFonts w:hint="eastAsia" w:ascii="Times New Roman"/>
                <w:b w:val="0"/>
                <w:bCs/>
                <w:sz w:val="21"/>
                <w:szCs w:val="21"/>
              </w:rPr>
            </w:pPr>
            <w:r>
              <w:rPr>
                <w:rFonts w:hint="eastAsia" w:ascii="Times New Roman"/>
                <w:b w:val="0"/>
                <w:bCs/>
                <w:sz w:val="21"/>
                <w:szCs w:val="21"/>
              </w:rPr>
              <w:t>生物池曝气管</w:t>
            </w:r>
          </w:p>
        </w:tc>
      </w:tr>
    </w:tbl>
    <w:p>
      <w:pPr>
        <w:pStyle w:val="8"/>
        <w:rPr>
          <w:rFonts w:hint="eastAsia"/>
        </w:rPr>
      </w:pPr>
      <w:r>
        <w:rPr>
          <w:rFonts w:hint="eastAsia"/>
        </w:rPr>
        <w:t>波纹管采用法兰连接。波纹管的设计、制造应满足GB/T12777标准的要求。</w:t>
      </w:r>
    </w:p>
    <w:p>
      <w:pPr>
        <w:pStyle w:val="8"/>
        <w:rPr>
          <w:rFonts w:hint="eastAsia"/>
        </w:rPr>
      </w:pPr>
      <w:r>
        <w:rPr>
          <w:rFonts w:hint="eastAsia"/>
        </w:rPr>
        <w:t>应带有内导流管。</w:t>
      </w:r>
    </w:p>
    <w:p>
      <w:pPr>
        <w:pStyle w:val="6"/>
      </w:pPr>
      <w:r>
        <w:t>主要零部件材料</w:t>
      </w:r>
      <w:bookmarkEnd w:id="459"/>
      <w:bookmarkEnd w:id="460"/>
    </w:p>
    <w:p>
      <w:pPr>
        <w:pStyle w:val="8"/>
      </w:pPr>
      <w:r>
        <w:rPr>
          <w:lang w:eastAsia="zh-CN"/>
        </w:rPr>
        <w:t>补偿</w:t>
      </w:r>
      <w:r>
        <w:t>接头</w:t>
      </w:r>
    </w:p>
    <w:tbl>
      <w:tblPr>
        <w:tblStyle w:val="19"/>
        <w:tblW w:w="727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768"/>
        <w:gridCol w:w="17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Cs/>
                <w:sz w:val="21"/>
                <w:szCs w:val="21"/>
              </w:rPr>
            </w:pPr>
            <w:r>
              <w:rPr>
                <w:rFonts w:ascii="Times New Roman"/>
                <w:bCs/>
                <w:sz w:val="21"/>
                <w:szCs w:val="21"/>
              </w:rPr>
              <w:t>设备名称</w:t>
            </w:r>
          </w:p>
        </w:tc>
        <w:tc>
          <w:tcPr>
            <w:tcW w:w="1768" w:type="dxa"/>
            <w:vAlign w:val="top"/>
          </w:tcPr>
          <w:p>
            <w:pPr>
              <w:pStyle w:val="38"/>
              <w:keepNext w:val="0"/>
              <w:tabs>
                <w:tab w:val="left" w:pos="1050"/>
              </w:tabs>
              <w:spacing w:before="120" w:beforeLines="50" w:line="240" w:lineRule="atLeast"/>
              <w:ind w:left="-172" w:leftChars="-82" w:firstLine="173" w:firstLineChars="82"/>
              <w:jc w:val="center"/>
              <w:rPr>
                <w:rFonts w:ascii="Times New Roman"/>
                <w:bCs/>
                <w:sz w:val="21"/>
                <w:szCs w:val="21"/>
              </w:rPr>
            </w:pPr>
            <w:r>
              <w:rPr>
                <w:rFonts w:ascii="Times New Roman"/>
                <w:bCs/>
                <w:sz w:val="21"/>
                <w:szCs w:val="21"/>
              </w:rPr>
              <w:t>法兰限位</w:t>
            </w:r>
            <w:r>
              <w:rPr>
                <w:rFonts w:hint="eastAsia" w:ascii="Times New Roman"/>
                <w:bCs/>
                <w:sz w:val="21"/>
                <w:szCs w:val="21"/>
              </w:rPr>
              <w:t>式</w:t>
            </w:r>
            <w:r>
              <w:rPr>
                <w:rFonts w:ascii="Times New Roman"/>
                <w:bCs/>
                <w:sz w:val="21"/>
                <w:szCs w:val="21"/>
              </w:rPr>
              <w:t>补偿接头</w:t>
            </w:r>
          </w:p>
        </w:tc>
        <w:tc>
          <w:tcPr>
            <w:tcW w:w="1776" w:type="dxa"/>
            <w:vAlign w:val="top"/>
          </w:tcPr>
          <w:p>
            <w:pPr>
              <w:pStyle w:val="38"/>
              <w:keepNext w:val="0"/>
              <w:tabs>
                <w:tab w:val="left" w:pos="1050"/>
              </w:tabs>
              <w:spacing w:before="120" w:beforeLines="50" w:line="240" w:lineRule="atLeast"/>
              <w:ind w:left="-172" w:leftChars="-82" w:firstLine="173" w:firstLineChars="82"/>
              <w:jc w:val="center"/>
              <w:rPr>
                <w:rFonts w:ascii="Times New Roman"/>
                <w:bCs/>
                <w:sz w:val="21"/>
                <w:szCs w:val="21"/>
              </w:rPr>
            </w:pPr>
            <w:r>
              <w:rPr>
                <w:rFonts w:ascii="Times New Roman"/>
                <w:bCs/>
                <w:sz w:val="21"/>
                <w:szCs w:val="21"/>
              </w:rPr>
              <w:t>法兰传力</w:t>
            </w:r>
            <w:r>
              <w:rPr>
                <w:rFonts w:hint="eastAsia" w:ascii="Times New Roman"/>
                <w:bCs/>
                <w:sz w:val="21"/>
                <w:szCs w:val="21"/>
              </w:rPr>
              <w:t>式</w:t>
            </w:r>
            <w:r>
              <w:rPr>
                <w:rFonts w:ascii="Times New Roman"/>
                <w:bCs/>
                <w:sz w:val="21"/>
                <w:szCs w:val="21"/>
              </w:rPr>
              <w:t>补偿接头</w:t>
            </w:r>
          </w:p>
        </w:tc>
        <w:tc>
          <w:tcPr>
            <w:tcW w:w="1776" w:type="dxa"/>
            <w:vAlign w:val="top"/>
          </w:tcPr>
          <w:p>
            <w:pPr>
              <w:pStyle w:val="38"/>
              <w:keepNext w:val="0"/>
              <w:tabs>
                <w:tab w:val="left" w:pos="1050"/>
              </w:tabs>
              <w:spacing w:before="120" w:beforeLines="50" w:line="240" w:lineRule="atLeast"/>
              <w:ind w:left="-172" w:leftChars="-82" w:firstLine="173" w:firstLineChars="82"/>
              <w:jc w:val="center"/>
              <w:rPr>
                <w:rFonts w:ascii="Times New Roman"/>
                <w:bCs/>
                <w:sz w:val="21"/>
                <w:szCs w:val="21"/>
              </w:rPr>
            </w:pPr>
            <w:r>
              <w:rPr>
                <w:rFonts w:ascii="Times New Roman"/>
                <w:bCs/>
                <w:sz w:val="21"/>
                <w:szCs w:val="21"/>
              </w:rPr>
              <w:t>法兰</w:t>
            </w:r>
            <w:r>
              <w:rPr>
                <w:rFonts w:hint="eastAsia" w:ascii="Times New Roman"/>
                <w:bCs/>
                <w:sz w:val="21"/>
                <w:szCs w:val="21"/>
              </w:rPr>
              <w:t>松套</w:t>
            </w:r>
            <w:r>
              <w:rPr>
                <w:rFonts w:ascii="Times New Roman"/>
                <w:bCs/>
                <w:sz w:val="21"/>
                <w:szCs w:val="21"/>
              </w:rPr>
              <w:t>补偿接头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本体</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密封圈</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NBR</w:t>
            </w:r>
            <w:r>
              <w:rPr>
                <w:rFonts w:hint="eastAsia" w:ascii="Times New Roman"/>
                <w:b w:val="0"/>
                <w:bCs/>
                <w:sz w:val="21"/>
                <w:szCs w:val="21"/>
              </w:rPr>
              <w:t>或EPDM（根据介质确定）</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NBR</w:t>
            </w:r>
            <w:r>
              <w:rPr>
                <w:rFonts w:hint="eastAsia" w:ascii="Times New Roman"/>
                <w:b w:val="0"/>
                <w:bCs/>
                <w:sz w:val="21"/>
                <w:szCs w:val="21"/>
              </w:rPr>
              <w:t>或EPDM（根据介质确定）</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NBR</w:t>
            </w:r>
            <w:r>
              <w:rPr>
                <w:rFonts w:hint="eastAsia" w:ascii="Times New Roman"/>
                <w:b w:val="0"/>
                <w:bCs/>
                <w:sz w:val="21"/>
                <w:szCs w:val="21"/>
              </w:rPr>
              <w:t>或EPDM（根据介质确定）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限位短管</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碳钢防腐</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压盖</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QT400-15/Q235A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bCs/>
                <w:sz w:val="21"/>
                <w:szCs w:val="21"/>
              </w:rPr>
              <w:t>螺栓、螺柱及螺母</w:t>
            </w:r>
          </w:p>
        </w:tc>
        <w:tc>
          <w:tcPr>
            <w:tcW w:w="1768"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AISI 304/鼓风机房为镀锌钢</w:t>
            </w:r>
          </w:p>
        </w:tc>
        <w:tc>
          <w:tcPr>
            <w:tcW w:w="1776" w:type="dxa"/>
            <w:vAlign w:val="top"/>
          </w:tcPr>
          <w:p>
            <w:pPr>
              <w:pStyle w:val="38"/>
              <w:keepNext w:val="0"/>
              <w:tabs>
                <w:tab w:val="left" w:pos="1050"/>
              </w:tabs>
              <w:spacing w:before="120" w:beforeLines="50" w:line="240" w:lineRule="atLeast"/>
              <w:jc w:val="center"/>
              <w:rPr>
                <w:rFonts w:ascii="Times New Roman"/>
                <w:b w:val="0"/>
                <w:bCs/>
                <w:sz w:val="21"/>
                <w:szCs w:val="21"/>
              </w:rPr>
            </w:pPr>
            <w:r>
              <w:rPr>
                <w:rFonts w:ascii="Times New Roman"/>
                <w:b w:val="0"/>
                <w:sz w:val="21"/>
                <w:szCs w:val="21"/>
              </w:rPr>
              <w:t>AISI 304/鼓风机房为镀锌钢</w:t>
            </w:r>
          </w:p>
        </w:tc>
        <w:tc>
          <w:tcPr>
            <w:tcW w:w="1776" w:type="dxa"/>
            <w:vAlign w:val="top"/>
          </w:tcPr>
          <w:p>
            <w:pPr>
              <w:pStyle w:val="38"/>
              <w:keepNext w:val="0"/>
              <w:tabs>
                <w:tab w:val="left" w:pos="1050"/>
              </w:tabs>
              <w:spacing w:before="120" w:beforeLines="50" w:line="240" w:lineRule="atLeast"/>
              <w:jc w:val="center"/>
              <w:rPr>
                <w:rFonts w:ascii="Times New Roman"/>
                <w:b w:val="0"/>
                <w:sz w:val="21"/>
                <w:szCs w:val="21"/>
              </w:rPr>
            </w:pPr>
            <w:r>
              <w:rPr>
                <w:rFonts w:ascii="Times New Roman"/>
                <w:b w:val="0"/>
                <w:sz w:val="21"/>
                <w:szCs w:val="21"/>
              </w:rPr>
              <w:t>AISI 304/鼓风机房为镀锌钢</w:t>
            </w:r>
          </w:p>
        </w:tc>
      </w:tr>
    </w:tbl>
    <w:p>
      <w:pPr>
        <w:pStyle w:val="8"/>
      </w:pPr>
      <w:bookmarkStart w:id="461" w:name="_Toc155414489"/>
      <w:bookmarkStart w:id="462" w:name="_Toc84406694"/>
      <w:r>
        <w:rPr>
          <w:rFonts w:hint="eastAsia"/>
        </w:rPr>
        <w:t>波纹管</w:t>
      </w:r>
    </w:p>
    <w:tbl>
      <w:tblPr>
        <w:tblStyle w:val="19"/>
        <w:tblW w:w="722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波纹管</w:t>
            </w:r>
          </w:p>
        </w:tc>
        <w:tc>
          <w:tcPr>
            <w:tcW w:w="3543" w:type="dxa"/>
            <w:vAlign w:val="top"/>
          </w:tcPr>
          <w:p>
            <w:pPr>
              <w:pStyle w:val="38"/>
              <w:keepNext w:val="0"/>
              <w:spacing w:before="120"/>
              <w:jc w:val="both"/>
              <w:rPr>
                <w:rFonts w:ascii="Times New Roman"/>
                <w:b w:val="0"/>
              </w:rPr>
            </w:pPr>
            <w:r>
              <w:rPr>
                <w:rFonts w:hint="eastAsia"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法兰</w:t>
            </w:r>
          </w:p>
        </w:tc>
        <w:tc>
          <w:tcPr>
            <w:tcW w:w="3543" w:type="dxa"/>
            <w:vAlign w:val="top"/>
          </w:tcPr>
          <w:p>
            <w:pPr>
              <w:pStyle w:val="38"/>
              <w:keepNext w:val="0"/>
              <w:spacing w:before="120"/>
              <w:jc w:val="both"/>
              <w:rPr>
                <w:rFonts w:hint="eastAsia" w:ascii="Times New Roman"/>
                <w:b w:val="0"/>
              </w:rPr>
            </w:pPr>
            <w:r>
              <w:rPr>
                <w:rFonts w:hint="eastAsia" w:ascii="Times New Roman"/>
                <w:b w:val="0"/>
                <w:bCs/>
                <w:szCs w:val="21"/>
              </w:rPr>
              <w:t>碳钢防腐（鼓风机房）/</w:t>
            </w:r>
            <w:r>
              <w:rPr>
                <w:rFonts w:hint="eastAsia" w:ascii="Times New Roman"/>
                <w:b w:val="0"/>
              </w:rPr>
              <w:t xml:space="preserve"> AISI 304（空气支管）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导管</w:t>
            </w:r>
          </w:p>
        </w:tc>
        <w:tc>
          <w:tcPr>
            <w:tcW w:w="3543" w:type="dxa"/>
            <w:vAlign w:val="top"/>
          </w:tcPr>
          <w:p>
            <w:pPr>
              <w:pStyle w:val="38"/>
              <w:keepNext w:val="0"/>
              <w:spacing w:before="120"/>
              <w:jc w:val="both"/>
              <w:rPr>
                <w:rFonts w:ascii="Times New Roman"/>
                <w:b w:val="0"/>
              </w:rPr>
            </w:pPr>
            <w:r>
              <w:rPr>
                <w:rFonts w:hint="eastAsia" w:ascii="Times New Roman"/>
                <w:b w:val="0"/>
              </w:rPr>
              <w:t>AISI 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top"/>
          </w:tcPr>
          <w:p>
            <w:pPr>
              <w:pStyle w:val="38"/>
              <w:keepNext w:val="0"/>
              <w:spacing w:before="120"/>
              <w:jc w:val="both"/>
              <w:rPr>
                <w:rFonts w:hint="eastAsia" w:ascii="Times New Roman"/>
                <w:b w:val="0"/>
              </w:rPr>
            </w:pPr>
            <w:r>
              <w:rPr>
                <w:rFonts w:hint="eastAsia" w:ascii="Times New Roman"/>
                <w:b w:val="0"/>
              </w:rPr>
              <w:t>所有连接附件</w:t>
            </w:r>
          </w:p>
        </w:tc>
        <w:tc>
          <w:tcPr>
            <w:tcW w:w="3543" w:type="dxa"/>
            <w:vAlign w:val="top"/>
          </w:tcPr>
          <w:p>
            <w:pPr>
              <w:pStyle w:val="38"/>
              <w:keepNext w:val="0"/>
              <w:spacing w:before="120"/>
              <w:jc w:val="both"/>
              <w:rPr>
                <w:rFonts w:hint="eastAsia" w:ascii="Times New Roman"/>
                <w:b w:val="0"/>
              </w:rPr>
            </w:pPr>
            <w:r>
              <w:rPr>
                <w:rFonts w:hint="eastAsia" w:ascii="Times New Roman"/>
                <w:b w:val="0"/>
              </w:rPr>
              <w:t>AISI 304</w:t>
            </w:r>
          </w:p>
        </w:tc>
      </w:tr>
    </w:tbl>
    <w:p>
      <w:pPr>
        <w:pStyle w:val="8"/>
      </w:pPr>
      <w:r>
        <w:t>密封垫片</w:t>
      </w:r>
    </w:p>
    <w:tbl>
      <w:tblPr>
        <w:tblStyle w:val="19"/>
        <w:tblW w:w="722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pStyle w:val="43"/>
              <w:overflowPunct w:val="0"/>
              <w:ind w:firstLine="0" w:firstLineChars="0"/>
              <w:textAlignment w:val="baseline"/>
              <w:rPr>
                <w:rFonts w:ascii="Times New Roman" w:hAnsi="Times New Roman"/>
                <w:b w:val="0"/>
              </w:rPr>
            </w:pPr>
            <w:r>
              <w:rPr>
                <w:rFonts w:ascii="Times New Roman" w:hAnsi="Times New Roman"/>
                <w:b w:val="0"/>
              </w:rPr>
              <w:t>密封垫片</w:t>
            </w:r>
          </w:p>
        </w:tc>
        <w:tc>
          <w:tcPr>
            <w:tcW w:w="5953" w:type="dxa"/>
            <w:tcBorders>
              <w:top w:val="single" w:color="auto" w:sz="4" w:space="0"/>
              <w:left w:val="single" w:color="auto" w:sz="4" w:space="0"/>
              <w:bottom w:val="single" w:color="auto" w:sz="4" w:space="0"/>
              <w:right w:val="single" w:color="auto" w:sz="4" w:space="0"/>
            </w:tcBorders>
            <w:vAlign w:val="bottom"/>
          </w:tcPr>
          <w:p>
            <w:pPr>
              <w:pStyle w:val="43"/>
              <w:overflowPunct w:val="0"/>
              <w:ind w:firstLine="0" w:firstLineChars="0"/>
              <w:textAlignment w:val="baseline"/>
              <w:rPr>
                <w:rFonts w:ascii="Times New Roman" w:hAnsi="Times New Roman"/>
                <w:b w:val="0"/>
              </w:rPr>
            </w:pPr>
            <w:r>
              <w:rPr>
                <w:rFonts w:ascii="Times New Roman" w:hAnsi="Times New Roman"/>
                <w:b w:val="0"/>
              </w:rPr>
              <w:t>污水介质及含油介质的管道密封垫片材质为丁腈橡胶；酸、碱介质的管道密封垫片材质为乙丙橡胶；100度以下高温空气管可选用乙丙橡胶密封垫片，100度以上高温气管或压缩空气管道应选用石棉橡胶板垫片</w:t>
            </w:r>
          </w:p>
        </w:tc>
      </w:tr>
    </w:tbl>
    <w:p>
      <w:pPr>
        <w:pStyle w:val="6"/>
      </w:pPr>
      <w:r>
        <w:t>出厂检验</w:t>
      </w:r>
      <w:bookmarkEnd w:id="461"/>
      <w:bookmarkEnd w:id="462"/>
    </w:p>
    <w:p>
      <w:pPr>
        <w:pStyle w:val="8"/>
        <w:rPr>
          <w:rFonts w:hint="eastAsia"/>
        </w:rPr>
      </w:pPr>
      <w:r>
        <w:rPr>
          <w:rFonts w:hint="eastAsia"/>
        </w:rPr>
        <w:t>伸缩接头应进行压力试验</w:t>
      </w:r>
      <w:r>
        <w:t>,</w:t>
      </w:r>
      <w:r>
        <w:rPr>
          <w:rFonts w:hint="eastAsia"/>
        </w:rPr>
        <w:t>并进行密封检验</w:t>
      </w:r>
      <w:r>
        <w:rPr>
          <w:rFonts w:hint="eastAsia"/>
          <w:lang w:eastAsia="zh-CN"/>
        </w:rPr>
        <w:t>，</w:t>
      </w:r>
      <w:r>
        <w:rPr>
          <w:rFonts w:hint="eastAsia"/>
        </w:rPr>
        <w:t>强度试验压力应为工作压力的</w:t>
      </w:r>
      <w:r>
        <w:t>1.5</w:t>
      </w:r>
      <w:r>
        <w:rPr>
          <w:rFonts w:hint="eastAsia"/>
        </w:rPr>
        <w:t>倍，密封性试验压力应为工作压力的</w:t>
      </w:r>
      <w:r>
        <w:t>1.</w:t>
      </w:r>
      <w:r>
        <w:rPr>
          <w:rFonts w:hint="eastAsia"/>
        </w:rPr>
        <w:t>2</w:t>
      </w:r>
      <w:r>
        <w:t>5</w:t>
      </w:r>
      <w:r>
        <w:rPr>
          <w:rFonts w:hint="eastAsia"/>
        </w:rPr>
        <w:t>倍，保持5min，阀体、法兰连接和密封等均不允许有泄漏。</w:t>
      </w:r>
    </w:p>
    <w:p>
      <w:pPr>
        <w:pStyle w:val="8"/>
        <w:rPr>
          <w:rFonts w:hint="eastAsia"/>
        </w:rPr>
      </w:pPr>
      <w:r>
        <w:rPr>
          <w:rFonts w:hint="eastAsia"/>
        </w:rPr>
        <w:t>波纹管的出厂检验应符合GB/T12777标准的要求，检验内容应包括：</w:t>
      </w:r>
    </w:p>
    <w:p>
      <w:pPr>
        <w:pStyle w:val="41"/>
        <w:widowControl w:val="0"/>
        <w:tabs>
          <w:tab w:val="left" w:pos="1496"/>
        </w:tabs>
        <w:ind w:left="1496"/>
        <w:rPr>
          <w:rFonts w:hint="eastAsia"/>
        </w:rPr>
      </w:pPr>
      <w:r>
        <w:rPr>
          <w:rFonts w:hint="eastAsia"/>
        </w:rPr>
        <w:t>外观检验</w:t>
      </w:r>
    </w:p>
    <w:p>
      <w:pPr>
        <w:pStyle w:val="41"/>
        <w:widowControl w:val="0"/>
        <w:tabs>
          <w:tab w:val="left" w:pos="1496"/>
        </w:tabs>
        <w:ind w:left="1496"/>
        <w:rPr>
          <w:rFonts w:hint="eastAsia"/>
        </w:rPr>
      </w:pPr>
      <w:r>
        <w:rPr>
          <w:rFonts w:hint="eastAsia"/>
        </w:rPr>
        <w:t>尺寸检验</w:t>
      </w:r>
    </w:p>
    <w:p>
      <w:pPr>
        <w:pStyle w:val="41"/>
        <w:widowControl w:val="0"/>
        <w:tabs>
          <w:tab w:val="left" w:pos="1496"/>
        </w:tabs>
        <w:ind w:left="1496"/>
        <w:rPr>
          <w:rFonts w:hint="eastAsia"/>
        </w:rPr>
      </w:pPr>
      <w:r>
        <w:rPr>
          <w:rFonts w:hint="eastAsia"/>
        </w:rPr>
        <w:t>焊缝探伤</w:t>
      </w:r>
    </w:p>
    <w:p>
      <w:pPr>
        <w:pStyle w:val="41"/>
        <w:widowControl w:val="0"/>
        <w:tabs>
          <w:tab w:val="left" w:pos="1496"/>
        </w:tabs>
        <w:ind w:left="1496"/>
        <w:rPr>
          <w:rFonts w:hint="eastAsia"/>
        </w:rPr>
      </w:pPr>
      <w:r>
        <w:rPr>
          <w:rFonts w:hint="eastAsia"/>
        </w:rPr>
        <w:t>压力试验</w:t>
      </w:r>
    </w:p>
    <w:p>
      <w:pPr>
        <w:pStyle w:val="41"/>
        <w:widowControl w:val="0"/>
        <w:tabs>
          <w:tab w:val="left" w:pos="1496"/>
        </w:tabs>
        <w:ind w:left="1496"/>
      </w:pPr>
      <w:r>
        <w:rPr>
          <w:rFonts w:hint="eastAsia"/>
        </w:rPr>
        <w:t>气密性试验</w:t>
      </w:r>
    </w:p>
    <w:p>
      <w:pPr>
        <w:pStyle w:val="6"/>
      </w:pPr>
      <w:r>
        <w:t>调试与试运行</w:t>
      </w:r>
    </w:p>
    <w:p>
      <w:pPr>
        <w:pStyle w:val="8"/>
        <w:rPr>
          <w:rFonts w:hint="eastAsia"/>
          <w:lang w:eastAsia="zh-CN"/>
        </w:rPr>
      </w:pPr>
      <w:r>
        <w:t>不允许有任何泄漏。</w:t>
      </w:r>
    </w:p>
    <w:bookmarkEnd w:id="160"/>
    <w:bookmarkEnd w:id="161"/>
    <w:bookmarkEnd w:id="162"/>
    <w:bookmarkEnd w:id="244"/>
    <w:bookmarkEnd w:id="245"/>
    <w:bookmarkEnd w:id="246"/>
    <w:bookmarkEnd w:id="247"/>
    <w:bookmarkEnd w:id="248"/>
    <w:bookmarkEnd w:id="249"/>
    <w:bookmarkEnd w:id="250"/>
    <w:bookmarkEnd w:id="251"/>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Pr>
        <w:pStyle w:val="8"/>
        <w:numPr>
          <w:ilvl w:val="4"/>
          <w:numId w:val="0"/>
        </w:numPr>
        <w:tabs>
          <w:tab w:val="clear" w:pos="680"/>
        </w:tabs>
        <w:rPr>
          <w:rFonts w:hint="eastAsia"/>
        </w:rPr>
      </w:pPr>
      <w:bookmarkStart w:id="463" w:name="_Toc496622477"/>
    </w:p>
    <w:bookmarkEnd w:id="463"/>
    <w:p>
      <w:pPr>
        <w:pStyle w:val="41"/>
        <w:numPr>
          <w:ilvl w:val="6"/>
          <w:numId w:val="0"/>
        </w:numPr>
        <w:tabs>
          <w:tab w:val="clear" w:pos="1588"/>
        </w:tabs>
        <w:ind w:firstLine="420" w:firstLineChars="200"/>
        <w:jc w:val="left"/>
        <w:rPr>
          <w:rFonts w:hint="eastAsia"/>
          <w:lang w:eastAsia="zh-CN"/>
        </w:rPr>
      </w:pPr>
    </w:p>
    <w:p>
      <w:pPr>
        <w:pStyle w:val="41"/>
        <w:numPr>
          <w:ilvl w:val="6"/>
          <w:numId w:val="0"/>
        </w:numPr>
        <w:tabs>
          <w:tab w:val="clear" w:pos="1588"/>
        </w:tabs>
        <w:ind w:firstLine="562" w:firstLineChars="200"/>
        <w:jc w:val="left"/>
        <w:rPr>
          <w:rFonts w:hint="default"/>
          <w:b/>
          <w:bCs/>
        </w:rPr>
      </w:pPr>
      <w:r>
        <w:rPr>
          <w:rFonts w:hint="eastAsia"/>
          <w:b/>
          <w:bCs/>
          <w:sz w:val="28"/>
          <w:szCs w:val="28"/>
          <w:lang w:val="en-US" w:eastAsia="zh-CN"/>
        </w:rPr>
        <w:t>以上为设备的主要技术参数。</w:t>
      </w:r>
      <w:r>
        <w:rPr>
          <w:rFonts w:hint="eastAsia" w:ascii="宋体" w:hAnsi="宋体"/>
          <w:b/>
          <w:bCs/>
          <w:sz w:val="28"/>
          <w:szCs w:val="28"/>
        </w:rPr>
        <w:t>根据污水处理厂设计情况</w:t>
      </w:r>
      <w:r>
        <w:rPr>
          <w:rFonts w:hint="eastAsia" w:ascii="宋体" w:hAnsi="宋体"/>
          <w:b/>
          <w:bCs/>
          <w:sz w:val="28"/>
          <w:szCs w:val="28"/>
          <w:lang w:eastAsia="zh-CN"/>
        </w:rPr>
        <w:t>，</w:t>
      </w:r>
      <w:r>
        <w:rPr>
          <w:rFonts w:hint="eastAsia"/>
          <w:b/>
          <w:bCs/>
          <w:sz w:val="28"/>
          <w:szCs w:val="28"/>
          <w:lang w:val="en-US" w:eastAsia="zh-CN"/>
        </w:rPr>
        <w:t>详细技术可参照附件</w:t>
      </w:r>
      <w:r>
        <w:rPr>
          <w:rFonts w:hint="eastAsia" w:ascii="宋体" w:hAnsi="宋体"/>
          <w:b/>
          <w:bCs/>
          <w:sz w:val="28"/>
          <w:szCs w:val="28"/>
        </w:rPr>
        <w:t>“全厂工艺系统和设备采购”</w:t>
      </w:r>
      <w:r>
        <w:rPr>
          <w:rFonts w:hint="eastAsia" w:ascii="宋体" w:hAnsi="宋体" w:cs="宋体"/>
          <w:b/>
          <w:bCs/>
          <w:i w:val="0"/>
          <w:color w:val="000000"/>
          <w:kern w:val="0"/>
          <w:sz w:val="28"/>
          <w:szCs w:val="28"/>
          <w:u w:val="none"/>
          <w:lang w:val="en-US" w:eastAsia="zh-CN" w:bidi="ar"/>
        </w:rPr>
        <w:t>和</w:t>
      </w:r>
      <w:r>
        <w:rPr>
          <w:rFonts w:hint="eastAsia" w:ascii="宋体" w:hAnsi="宋体"/>
          <w:b/>
          <w:bCs/>
          <w:sz w:val="28"/>
          <w:szCs w:val="28"/>
          <w:lang w:eastAsia="zh-CN"/>
        </w:rPr>
        <w:t>“</w:t>
      </w:r>
      <w:r>
        <w:rPr>
          <w:rFonts w:hint="eastAsia" w:ascii="宋体" w:hAnsi="宋体"/>
          <w:b/>
          <w:bCs/>
          <w:sz w:val="28"/>
          <w:szCs w:val="28"/>
        </w:rPr>
        <w:t>图纸</w:t>
      </w:r>
      <w:r>
        <w:rPr>
          <w:rFonts w:hint="eastAsia" w:ascii="宋体" w:hAnsi="宋体"/>
          <w:b/>
          <w:bCs/>
          <w:sz w:val="28"/>
          <w:szCs w:val="28"/>
          <w:lang w:eastAsia="zh-CN"/>
        </w:rPr>
        <w:t>”。</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89"/>
        </w:numPr>
        <w:kinsoku/>
        <w:topLinePunct w:val="0"/>
        <w:bidi w:val="0"/>
        <w:spacing w:beforeLines="0" w:afterLines="0" w:line="400" w:lineRule="exact"/>
        <w:ind w:left="0" w:leftChars="0" w:firstLine="0" w:firstLineChars="0"/>
        <w:jc w:val="left"/>
        <w:rPr>
          <w:rFonts w:hint="eastAsia" w:ascii="宋体" w:hAnsi="宋体"/>
          <w:sz w:val="28"/>
        </w:rPr>
      </w:pPr>
      <w:r>
        <w:rPr>
          <w:rFonts w:hint="eastAsia" w:ascii="宋体" w:hAnsi="宋体"/>
          <w:sz w:val="28"/>
        </w:rPr>
        <w:t>检验考核要求</w:t>
      </w:r>
    </w:p>
    <w:p>
      <w:pPr>
        <w:pStyle w:val="2"/>
        <w:ind w:left="0" w:leftChars="0" w:firstLine="0" w:firstLineChars="0"/>
        <w:rPr>
          <w:rFonts w:hint="eastAsia"/>
          <w:b/>
          <w:bCs/>
        </w:rPr>
      </w:pPr>
    </w:p>
    <w:p>
      <w:pPr>
        <w:pStyle w:val="2"/>
        <w:rPr>
          <w:rFonts w:hint="eastAsia"/>
          <w:b/>
          <w:bCs/>
        </w:rPr>
      </w:pPr>
      <w:r>
        <w:rPr>
          <w:rFonts w:hint="eastAsia"/>
          <w:b/>
          <w:bCs/>
        </w:rPr>
        <w:t>验收标准</w:t>
      </w:r>
    </w:p>
    <w:p>
      <w:pPr>
        <w:keepNext w:val="0"/>
        <w:keepLines w:val="0"/>
        <w:pageBreakBefore w:val="0"/>
        <w:numPr>
          <w:ilvl w:val="0"/>
          <w:numId w:val="102"/>
        </w:numPr>
        <w:kinsoku/>
        <w:topLinePunct w:val="0"/>
        <w:bidi w:val="0"/>
        <w:adjustRightInd w:val="0"/>
        <w:snapToGrid w:val="0"/>
        <w:spacing w:line="400" w:lineRule="exact"/>
        <w:ind w:firstLine="525" w:firstLineChars="250"/>
        <w:rPr>
          <w:rFonts w:hint="eastAsia" w:ascii="宋体" w:hAnsi="宋体" w:eastAsia="宋体" w:cs="宋体"/>
          <w:sz w:val="24"/>
          <w:szCs w:val="24"/>
        </w:rPr>
      </w:pPr>
      <w:r>
        <w:rPr>
          <w:rFonts w:hint="eastAsia"/>
          <w:lang w:val="en-US" w:eastAsia="zh-CN"/>
        </w:rPr>
        <w:t xml:space="preserve"> </w:t>
      </w:r>
      <w:r>
        <w:rPr>
          <w:rFonts w:hint="eastAsia"/>
          <w:sz w:val="21"/>
          <w:szCs w:val="21"/>
          <w:lang w:val="en-US" w:eastAsia="zh-CN"/>
        </w:rPr>
        <w:t xml:space="preserve"> </w:t>
      </w:r>
      <w:r>
        <w:rPr>
          <w:rFonts w:hint="eastAsia" w:ascii="宋体" w:hAnsi="宋体" w:eastAsia="宋体" w:cs="宋体"/>
          <w:sz w:val="24"/>
          <w:szCs w:val="24"/>
        </w:rPr>
        <w:t>本项目采用现场运行、测试验收方式验收。投标人完成的项目应达到的质量标准应符合</w:t>
      </w:r>
      <w:r>
        <w:rPr>
          <w:rFonts w:hint="eastAsia" w:ascii="宋体" w:hAnsi="宋体" w:eastAsia="宋体" w:cs="宋体"/>
          <w:sz w:val="24"/>
          <w:szCs w:val="24"/>
          <w:lang w:eastAsia="zh-CN"/>
        </w:rPr>
        <w:t>国家和履约地相关安全质量标准；行业技术规范标准；环保节能标准；强制认证相关标准</w:t>
      </w:r>
      <w:r>
        <w:rPr>
          <w:rFonts w:hint="eastAsia" w:ascii="宋体" w:hAnsi="宋体" w:eastAsia="宋体" w:cs="宋体"/>
          <w:sz w:val="24"/>
          <w:szCs w:val="24"/>
        </w:rPr>
        <w:t>。</w:t>
      </w:r>
    </w:p>
    <w:p>
      <w:pPr>
        <w:keepNext w:val="0"/>
        <w:keepLines w:val="0"/>
        <w:pageBreakBefore w:val="0"/>
        <w:numPr>
          <w:ilvl w:val="0"/>
          <w:numId w:val="102"/>
        </w:numPr>
        <w:kinsoku/>
        <w:topLinePunct w:val="0"/>
        <w:bidi w:val="0"/>
        <w:adjustRightInd w:val="0"/>
        <w:snapToGrid w:val="0"/>
        <w:spacing w:line="40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eastAsia="zh-CN"/>
        </w:rPr>
        <w:t>符合招标文件要求和投标文件承诺。</w:t>
      </w:r>
    </w:p>
    <w:p>
      <w:pPr>
        <w:keepNext w:val="0"/>
        <w:keepLines w:val="0"/>
        <w:pageBreakBefore w:val="0"/>
        <w:numPr>
          <w:ilvl w:val="0"/>
          <w:numId w:val="102"/>
        </w:numPr>
        <w:kinsoku/>
        <w:topLinePunct w:val="0"/>
        <w:bidi w:val="0"/>
        <w:adjustRightInd w:val="0"/>
        <w:snapToGrid w:val="0"/>
        <w:spacing w:line="400" w:lineRule="exact"/>
        <w:ind w:left="0" w:leftChars="0" w:firstLine="600" w:firstLineChars="250"/>
        <w:rPr>
          <w:rFonts w:hint="eastAsia" w:eastAsia="宋体"/>
          <w:lang w:val="en-US" w:eastAsia="zh-CN"/>
        </w:rPr>
      </w:pPr>
      <w:r>
        <w:rPr>
          <w:rFonts w:hint="eastAsia" w:ascii="宋体" w:hAnsi="宋体" w:eastAsia="宋体" w:cs="宋体"/>
          <w:sz w:val="24"/>
          <w:szCs w:val="24"/>
        </w:rPr>
        <w:t>本项目验收由采购人组织进行。</w:t>
      </w:r>
    </w:p>
    <w:p>
      <w:pPr>
        <w:keepNext w:val="0"/>
        <w:keepLines w:val="0"/>
        <w:pageBreakBefore w:val="0"/>
        <w:numPr>
          <w:ilvl w:val="0"/>
          <w:numId w:val="89"/>
        </w:numPr>
        <w:kinsoku/>
        <w:topLinePunct w:val="0"/>
        <w:bidi w:val="0"/>
        <w:spacing w:beforeLines="0" w:afterLines="0" w:line="400" w:lineRule="exact"/>
        <w:ind w:left="0" w:leftChars="0" w:firstLine="0" w:firstLineChars="0"/>
        <w:jc w:val="left"/>
        <w:rPr>
          <w:rFonts w:hint="eastAsia" w:ascii="宋体" w:hAnsi="宋体"/>
          <w:sz w:val="28"/>
        </w:rPr>
      </w:pPr>
      <w:r>
        <w:rPr>
          <w:rFonts w:hint="eastAsia" w:ascii="宋体" w:hAnsi="宋体"/>
          <w:sz w:val="28"/>
        </w:rPr>
        <w:t>技术服务和质保期服务要求</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zh-CN"/>
        </w:rPr>
      </w:pPr>
      <w:r>
        <w:rPr>
          <w:rFonts w:hint="eastAsia"/>
          <w:lang w:val="en-US" w:eastAsia="zh-CN"/>
        </w:rPr>
        <w:t xml:space="preserve"> </w:t>
      </w:r>
      <w:r>
        <w:rPr>
          <w:rFonts w:hint="eastAsia" w:ascii="宋体" w:hAnsi="宋体" w:eastAsia="宋体" w:cs="宋体"/>
          <w:b w:val="0"/>
          <w:bCs w:val="0"/>
          <w:color w:val="000000"/>
          <w:sz w:val="24"/>
          <w:szCs w:val="24"/>
        </w:rPr>
        <w:t>质保期：</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u w:val="single"/>
          <w:lang w:val="en-US" w:eastAsia="zh-CN"/>
        </w:rPr>
        <w:t xml:space="preserve">  1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zh-CN"/>
        </w:rPr>
        <w:t>。</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lang w:val="en-US" w:eastAsia="zh-CN"/>
        </w:rPr>
        <w:t>中标人应具有完善的服务保证体系，在质保期内提供24小时全天候服务。工程竣工后，供应商应出具制式保修单</w:t>
      </w:r>
      <w:r>
        <w:rPr>
          <w:rFonts w:hint="eastAsia" w:ascii="宋体" w:hAnsi="宋体" w:eastAsia="宋体" w:cs="宋体"/>
          <w:b/>
          <w:bCs/>
          <w:color w:val="000000"/>
          <w:sz w:val="24"/>
          <w:szCs w:val="24"/>
          <w:lang w:val="en-US" w:eastAsia="zh-CN"/>
        </w:rPr>
        <w:t>。*质保期内，中标单位接到返修通知单24小时内必须组织返修，逾期返修造成的全部损失由供应商承担。</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设备供应商应在设备安装、调试、试运行完成后，提供相关培训人员对设备的检验、操作和维修做出相应的培训。</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auto"/>
          <w:sz w:val="24"/>
          <w:szCs w:val="24"/>
          <w:lang w:val="zh-CN"/>
        </w:rPr>
        <w:t>产品售后服务要求：</w:t>
      </w:r>
      <w:r>
        <w:rPr>
          <w:rFonts w:hint="eastAsia" w:ascii="宋体" w:hAnsi="宋体" w:eastAsia="宋体" w:cs="宋体"/>
          <w:b w:val="0"/>
          <w:bCs w:val="0"/>
          <w:sz w:val="24"/>
          <w:szCs w:val="24"/>
        </w:rPr>
        <w:t>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2"/>
          <w:sz w:val="24"/>
          <w:szCs w:val="24"/>
          <w:shd w:val="clear" w:color="auto" w:fill="FFFFFF"/>
          <w:lang w:val="en-US" w:eastAsia="zh-CN" w:bidi="ar-SA"/>
        </w:rPr>
        <w:t>如供应商是该设备的非生产</w:t>
      </w:r>
      <w:r>
        <w:rPr>
          <w:rFonts w:hint="eastAsia" w:ascii="宋体" w:hAnsi="宋体" w:cs="宋体"/>
          <w:b w:val="0"/>
          <w:bCs w:val="0"/>
          <w:kern w:val="2"/>
          <w:sz w:val="24"/>
          <w:szCs w:val="24"/>
          <w:shd w:val="clear" w:color="auto" w:fill="FFFFFF"/>
          <w:lang w:val="en-US" w:eastAsia="zh-CN" w:bidi="ar-SA"/>
        </w:rPr>
        <w:t>、制造</w:t>
      </w:r>
      <w:r>
        <w:rPr>
          <w:rFonts w:hint="eastAsia" w:ascii="宋体" w:hAnsi="宋体" w:eastAsia="宋体" w:cs="宋体"/>
          <w:b w:val="0"/>
          <w:bCs w:val="0"/>
          <w:kern w:val="2"/>
          <w:sz w:val="24"/>
          <w:szCs w:val="24"/>
          <w:shd w:val="clear" w:color="auto" w:fill="FFFFFF"/>
          <w:lang w:val="en-US" w:eastAsia="zh-CN" w:bidi="ar-SA"/>
        </w:rPr>
        <w:t>商，请提供厂家的授权书，以保证该设备有完正的售后维修体系。</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2"/>
          <w:sz w:val="24"/>
          <w:szCs w:val="24"/>
          <w:shd w:val="clear" w:color="auto" w:fill="FFFFFF"/>
          <w:lang w:val="en-US" w:eastAsia="zh-CN" w:bidi="ar-SA"/>
        </w:rPr>
        <w:t>设备供应商应有专业的技术人员积极配合投标人完成后续设备的安装、调试、试运行、验收工作。</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设备在安装、调试、试运行、验收完成后，签署“政府采购项目验收书”，进入质量保证期。</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0"/>
          <w:sz w:val="24"/>
          <w:szCs w:val="24"/>
          <w:shd w:val="clear" w:color="auto" w:fill="FFFFFF"/>
          <w:lang w:val="zh-CN"/>
        </w:rPr>
        <w:t>本招标文件所列需求为最低要求，投标产品不得低于最低要求</w:t>
      </w:r>
      <w:r>
        <w:rPr>
          <w:rFonts w:hint="eastAsia" w:ascii="宋体" w:hAnsi="宋体" w:eastAsia="宋体" w:cs="宋体"/>
          <w:sz w:val="24"/>
          <w:szCs w:val="24"/>
          <w:lang w:val="zh-CN"/>
        </w:rPr>
        <w:t>，</w:t>
      </w:r>
      <w:r>
        <w:rPr>
          <w:rFonts w:hint="eastAsia" w:ascii="宋体" w:hAnsi="宋体" w:eastAsia="宋体" w:cs="宋体"/>
          <w:b/>
          <w:bCs/>
          <w:sz w:val="24"/>
          <w:szCs w:val="24"/>
          <w:lang w:val="zh-CN"/>
        </w:rPr>
        <w:t>否则为无效投标</w:t>
      </w:r>
      <w:r>
        <w:rPr>
          <w:rFonts w:hint="eastAsia" w:ascii="宋体" w:hAnsi="宋体" w:cs="宋体"/>
          <w:b/>
          <w:bCs/>
          <w:sz w:val="24"/>
          <w:szCs w:val="24"/>
          <w:lang w:val="zh-CN"/>
        </w:rPr>
        <w:t>。</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zh-CN" w:eastAsia="zh-CN" w:bidi="ar-SA"/>
        </w:rPr>
        <w:t>供应商</w:t>
      </w:r>
      <w:r>
        <w:rPr>
          <w:rFonts w:hint="eastAsia" w:ascii="宋体" w:hAnsi="宋体" w:eastAsia="宋体" w:cs="宋体"/>
          <w:color w:val="auto"/>
          <w:kern w:val="2"/>
          <w:sz w:val="24"/>
          <w:szCs w:val="24"/>
          <w:shd w:val="clear" w:color="auto" w:fill="FFFFFF"/>
          <w:lang w:val="zh-CN" w:eastAsia="zh-CN" w:bidi="ar-SA"/>
        </w:rPr>
        <w:t>应就所投标段完整投标，否则为</w:t>
      </w:r>
      <w:r>
        <w:rPr>
          <w:rFonts w:hint="eastAsia" w:ascii="宋体" w:hAnsi="宋体" w:eastAsia="宋体" w:cs="宋体"/>
          <w:b/>
          <w:bCs/>
          <w:kern w:val="2"/>
          <w:sz w:val="24"/>
          <w:szCs w:val="24"/>
          <w:shd w:val="clear" w:color="auto" w:fill="FFFFFF"/>
          <w:lang w:val="zh-CN" w:eastAsia="zh-CN" w:bidi="ar-SA"/>
        </w:rPr>
        <w:t>无效投标</w:t>
      </w:r>
      <w:r>
        <w:rPr>
          <w:rFonts w:hint="eastAsia" w:ascii="宋体" w:hAnsi="宋体" w:eastAsia="宋体" w:cs="宋体"/>
          <w:kern w:val="2"/>
          <w:sz w:val="24"/>
          <w:szCs w:val="24"/>
          <w:shd w:val="clear" w:color="auto" w:fill="FFFFFF"/>
          <w:lang w:val="zh-CN" w:eastAsia="zh-CN" w:bidi="ar-SA"/>
        </w:rPr>
        <w:t>。</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en-US" w:eastAsia="zh-CN" w:bidi="ar-SA"/>
        </w:rPr>
        <w:t>产品必须符合国家质量检测标准和本招标文件规定标准的全新正品现货，提供</w:t>
      </w:r>
      <w:r>
        <w:rPr>
          <w:rFonts w:hint="eastAsia" w:ascii="宋体" w:hAnsi="宋体" w:eastAsia="宋体" w:cs="宋体"/>
          <w:kern w:val="2"/>
          <w:sz w:val="24"/>
          <w:szCs w:val="24"/>
          <w:shd w:val="clear" w:color="auto" w:fill="FFFFFF"/>
          <w:lang w:val="zh-CN" w:eastAsia="zh-CN" w:bidi="ar-SA"/>
        </w:rPr>
        <w:t>随货物《产品合格证》及其它相关质量证明文件。</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专利权：供应商应保证用户在使用该货物或其任何一部分时不受第三方提出侵犯其专利权、商标权和工业设计权等起诉。</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zh-CN" w:eastAsia="zh-CN" w:bidi="ar-SA"/>
        </w:rPr>
        <w:t>供应商须明确承诺免费包修期，同时应提出故障响应时间，在免费包修期内，同一质量问题连续两次维修仍无法正常使用，供应商必须予以更换同品牌、同型号的全新产品。</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shd w:val="clear" w:color="auto" w:fill="FFFFFF"/>
          <w:lang w:val="zh-CN" w:eastAsia="zh-CN" w:bidi="ar-SA"/>
        </w:rPr>
        <w:t>本项目为交钥匙工程（包括设备、材料、元件等的生产购置、运输、更换安装、移置、验收、与其它施工单位协作等为完成本项目所产生的费用），如有招标文件中没有明确，而本项目必须的各种材料、设备、施工器械等均应包括在本项目中，采购人不再另行进行支付有关款项。</w:t>
      </w:r>
    </w:p>
    <w:p>
      <w:pPr>
        <w:pStyle w:val="13"/>
        <w:keepNext w:val="0"/>
        <w:keepLines w:val="0"/>
        <w:pageBreakBefore w:val="0"/>
        <w:numPr>
          <w:ilvl w:val="0"/>
          <w:numId w:val="103"/>
        </w:numPr>
        <w:shd w:val="clear" w:color="auto" w:fill="FFFFFF"/>
        <w:kinsoku/>
        <w:topLinePunct w:val="0"/>
        <w:bidi w:val="0"/>
        <w:spacing w:before="0" w:beforeAutospacing="0" w:after="0" w:afterAutospacing="0" w:line="400" w:lineRule="exact"/>
        <w:ind w:firstLine="720" w:firstLineChars="3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付款方式：签订合同后付合同总价的</w:t>
      </w:r>
      <w:r>
        <w:rPr>
          <w:rFonts w:hint="eastAsia" w:ascii="宋体" w:hAnsi="宋体" w:eastAsia="宋体" w:cs="宋体"/>
          <w:b w:val="0"/>
          <w:bCs w:val="0"/>
          <w:color w:val="000000"/>
          <w:sz w:val="24"/>
          <w:szCs w:val="24"/>
          <w:u w:val="single"/>
          <w:lang w:val="en-US" w:eastAsia="zh-CN"/>
        </w:rPr>
        <w:t xml:space="preserve"> 30 </w:t>
      </w:r>
      <w:r>
        <w:rPr>
          <w:rFonts w:hint="eastAsia" w:ascii="宋体" w:hAnsi="宋体" w:eastAsia="宋体" w:cs="宋体"/>
          <w:b w:val="0"/>
          <w:bCs w:val="0"/>
          <w:color w:val="000000"/>
          <w:sz w:val="24"/>
          <w:szCs w:val="24"/>
          <w:lang w:val="en-US" w:eastAsia="zh-CN"/>
        </w:rPr>
        <w:t xml:space="preserve">%，供货商发货付合同总价的 </w:t>
      </w:r>
      <w:r>
        <w:rPr>
          <w:rFonts w:hint="eastAsia" w:ascii="宋体" w:hAnsi="宋体" w:eastAsia="宋体" w:cs="宋体"/>
          <w:b w:val="0"/>
          <w:bCs w:val="0"/>
          <w:color w:val="000000"/>
          <w:sz w:val="24"/>
          <w:szCs w:val="24"/>
          <w:u w:val="single"/>
          <w:lang w:val="en-US" w:eastAsia="zh-CN"/>
        </w:rPr>
        <w:t xml:space="preserve">30 </w:t>
      </w:r>
      <w:r>
        <w:rPr>
          <w:rFonts w:hint="eastAsia" w:ascii="宋体" w:hAnsi="宋体" w:eastAsia="宋体" w:cs="宋体"/>
          <w:b w:val="0"/>
          <w:bCs w:val="0"/>
          <w:color w:val="000000"/>
          <w:sz w:val="24"/>
          <w:szCs w:val="24"/>
          <w:lang w:val="en-US" w:eastAsia="zh-CN"/>
        </w:rPr>
        <w:t xml:space="preserve"> %，项目完工经验收合格后付合同总价的</w:t>
      </w:r>
      <w:r>
        <w:rPr>
          <w:rFonts w:hint="eastAsia" w:ascii="宋体" w:hAnsi="宋体" w:eastAsia="宋体" w:cs="宋体"/>
          <w:b w:val="0"/>
          <w:bCs w:val="0"/>
          <w:color w:val="000000"/>
          <w:sz w:val="24"/>
          <w:szCs w:val="24"/>
          <w:u w:val="single"/>
          <w:lang w:val="en-US" w:eastAsia="zh-CN"/>
        </w:rPr>
        <w:t xml:space="preserve"> 35 </w:t>
      </w:r>
      <w:r>
        <w:rPr>
          <w:rFonts w:hint="eastAsia" w:ascii="宋体" w:hAnsi="宋体" w:eastAsia="宋体" w:cs="宋体"/>
          <w:b w:val="0"/>
          <w:bCs w:val="0"/>
          <w:color w:val="000000"/>
          <w:sz w:val="24"/>
          <w:szCs w:val="24"/>
          <w:lang w:val="en-US" w:eastAsia="zh-CN"/>
        </w:rPr>
        <w:t>%，质保期满一年后无质量问题付剩余的</w:t>
      </w:r>
      <w:r>
        <w:rPr>
          <w:rFonts w:hint="eastAsia" w:ascii="宋体" w:hAnsi="宋体" w:eastAsia="宋体" w:cs="宋体"/>
          <w:b w:val="0"/>
          <w:bCs w:val="0"/>
          <w:color w:val="000000"/>
          <w:sz w:val="24"/>
          <w:szCs w:val="24"/>
          <w:u w:val="single"/>
          <w:lang w:val="en-US" w:eastAsia="zh-CN"/>
        </w:rPr>
        <w:t xml:space="preserve">  5</w:t>
      </w:r>
      <w:r>
        <w:rPr>
          <w:rFonts w:hint="eastAsia" w:ascii="宋体" w:hAnsi="宋体" w:eastAsia="宋体" w:cs="宋体"/>
          <w:b w:val="0"/>
          <w:bCs w:val="0"/>
          <w:color w:val="000000"/>
          <w:sz w:val="24"/>
          <w:szCs w:val="24"/>
          <w:lang w:val="en-US" w:eastAsia="zh-CN"/>
        </w:rPr>
        <w:t xml:space="preserve"> %。</w:t>
      </w:r>
    </w:p>
    <w:p>
      <w:pPr>
        <w:pStyle w:val="13"/>
        <w:keepNext w:val="0"/>
        <w:keepLines w:val="0"/>
        <w:pageBreakBefore w:val="0"/>
        <w:numPr>
          <w:ilvl w:val="0"/>
          <w:numId w:val="0"/>
        </w:numPr>
        <w:shd w:val="clear" w:color="auto" w:fill="FFFFFF"/>
        <w:kinsoku/>
        <w:topLinePunct w:val="0"/>
        <w:bidi w:val="0"/>
        <w:spacing w:before="0" w:beforeAutospacing="0" w:after="0" w:afterAutospacing="0" w:line="400" w:lineRule="exac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pStyle w:val="13"/>
        <w:keepNext w:val="0"/>
        <w:keepLines w:val="0"/>
        <w:pageBreakBefore w:val="0"/>
        <w:widowControl/>
        <w:numPr>
          <w:ilvl w:val="0"/>
          <w:numId w:val="0"/>
        </w:numPr>
        <w:shd w:val="clear" w:color="auto" w:fill="FFFFFF"/>
        <w:kinsoku/>
        <w:topLinePunct w:val="0"/>
        <w:bidi w:val="0"/>
        <w:spacing w:before="0" w:beforeLines="0" w:beforeAutospacing="0" w:after="0" w:afterLines="0" w:afterAutospacing="0" w:line="400" w:lineRule="exact"/>
        <w:jc w:val="left"/>
        <w:rPr>
          <w:rFonts w:hint="eastAsia" w:ascii="宋体" w:hAnsi="宋体" w:eastAsia="宋体" w:cs="宋体"/>
          <w:b w:val="0"/>
          <w:bCs w:val="0"/>
          <w:color w:val="000000"/>
          <w:sz w:val="24"/>
          <w:szCs w:val="24"/>
          <w:lang w:val="en-US" w:eastAsia="zh-CN"/>
        </w:rPr>
      </w:pPr>
    </w:p>
    <w:p>
      <w:pPr>
        <w:keepNext w:val="0"/>
        <w:keepLines w:val="0"/>
        <w:pageBreakBefore w:val="0"/>
        <w:kinsoku/>
        <w:topLinePunct w:val="0"/>
        <w:bidi w:val="0"/>
        <w:spacing w:beforeLines="0" w:afterLines="0" w:line="400" w:lineRule="exact"/>
        <w:jc w:val="left"/>
        <w:rPr>
          <w:rFonts w:hint="default"/>
          <w:sz w:val="24"/>
        </w:rPr>
      </w:pPr>
      <w:bookmarkStart w:id="464" w:name="page76"/>
      <w:bookmarkEnd w:id="464"/>
    </w:p>
    <w:p>
      <w:pPr>
        <w:keepNext w:val="0"/>
        <w:keepLines w:val="0"/>
        <w:pageBreakBefore w:val="0"/>
        <w:numPr>
          <w:ilvl w:val="0"/>
          <w:numId w:val="104"/>
        </w:numPr>
        <w:kinsoku/>
        <w:topLinePunct w:val="0"/>
        <w:bidi w:val="0"/>
        <w:spacing w:beforeLines="0" w:afterLines="0" w:line="240" w:lineRule="auto"/>
        <w:ind w:firstLine="2590" w:firstLineChars="600"/>
        <w:jc w:val="left"/>
        <w:rPr>
          <w:rFonts w:hint="eastAsia" w:ascii="宋体" w:hAnsi="宋体"/>
          <w:b/>
          <w:sz w:val="43"/>
        </w:rPr>
      </w:pPr>
      <w:r>
        <w:rPr>
          <w:rFonts w:hint="eastAsia" w:ascii="宋体" w:hAnsi="宋体"/>
          <w:b/>
          <w:sz w:val="43"/>
        </w:rPr>
        <w:t>投标文件格式</w:t>
      </w:r>
    </w:p>
    <w:p>
      <w:pPr>
        <w:pStyle w:val="2"/>
        <w:numPr>
          <w:ilvl w:val="0"/>
          <w:numId w:val="0"/>
        </w:numPr>
        <w:rPr>
          <w:rFonts w:hint="default"/>
        </w:rPr>
      </w:pPr>
    </w:p>
    <w:p>
      <w:pPr>
        <w:keepNext w:val="0"/>
        <w:keepLines w:val="0"/>
        <w:pageBreakBefore w:val="0"/>
        <w:kinsoku/>
        <w:topLinePunct w:val="0"/>
        <w:bidi w:val="0"/>
        <w:spacing w:beforeLines="0" w:afterLines="0" w:line="400" w:lineRule="exact"/>
        <w:jc w:val="left"/>
        <w:rPr>
          <w:rFonts w:hint="default"/>
          <w:sz w:val="24"/>
        </w:rPr>
      </w:pPr>
      <w:bookmarkStart w:id="465" w:name="page77"/>
      <w:bookmarkEnd w:id="465"/>
    </w:p>
    <w:p>
      <w:pPr>
        <w:keepNext w:val="0"/>
        <w:keepLines w:val="0"/>
        <w:pageBreakBefore w:val="0"/>
        <w:kinsoku/>
        <w:topLinePunct w:val="0"/>
        <w:bidi w:val="0"/>
        <w:spacing w:beforeLines="0" w:afterLines="0" w:line="400" w:lineRule="exact"/>
        <w:ind w:firstLine="560" w:firstLineChars="200"/>
        <w:jc w:val="left"/>
        <w:rPr>
          <w:rFonts w:hint="default"/>
          <w:sz w:val="24"/>
        </w:rPr>
      </w:pPr>
      <w:r>
        <w:rPr>
          <w:rFonts w:hint="eastAsia" w:ascii="宋体" w:hAnsi="宋体"/>
          <w:sz w:val="28"/>
          <w:u w:val="single"/>
          <w:lang w:val="en-US" w:eastAsia="zh-CN"/>
        </w:rPr>
        <w:t xml:space="preserve">                         </w:t>
      </w:r>
      <w:r>
        <w:rPr>
          <w:rFonts w:hint="eastAsia" w:ascii="宋体" w:hAnsi="宋体"/>
          <w:sz w:val="28"/>
        </w:rPr>
        <w:t>（项目名称）设备采购招标项目</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240" w:lineRule="auto"/>
        <w:ind w:left="2000"/>
        <w:jc w:val="left"/>
        <w:rPr>
          <w:rFonts w:hint="eastAsia" w:ascii="宋体" w:hAnsi="宋体"/>
          <w:sz w:val="44"/>
        </w:rPr>
      </w:pPr>
    </w:p>
    <w:p>
      <w:pPr>
        <w:keepNext w:val="0"/>
        <w:keepLines w:val="0"/>
        <w:pageBreakBefore w:val="0"/>
        <w:kinsoku/>
        <w:topLinePunct w:val="0"/>
        <w:bidi w:val="0"/>
        <w:spacing w:beforeLines="0" w:afterLines="0" w:line="240" w:lineRule="auto"/>
        <w:ind w:left="2000" w:firstLine="1320" w:firstLineChars="300"/>
        <w:jc w:val="left"/>
        <w:rPr>
          <w:rFonts w:hint="default"/>
          <w:sz w:val="24"/>
        </w:rPr>
      </w:pPr>
      <w:r>
        <w:rPr>
          <w:rFonts w:hint="eastAsia" w:ascii="宋体" w:hAnsi="宋体"/>
          <w:sz w:val="44"/>
        </w:rPr>
        <w:t>投 标 文 件</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720"/>
        </w:tabs>
        <w:kinsoku/>
        <w:topLinePunct w:val="0"/>
        <w:bidi w:val="0"/>
        <w:spacing w:beforeLines="0" w:afterLines="0" w:line="400" w:lineRule="exact"/>
        <w:ind w:firstLine="560" w:firstLineChars="200"/>
        <w:jc w:val="left"/>
        <w:rPr>
          <w:rFonts w:hint="default"/>
          <w:sz w:val="24"/>
        </w:rPr>
      </w:pPr>
      <w:r>
        <w:rPr>
          <w:rFonts w:hint="eastAsia" w:ascii="宋体" w:hAnsi="宋体"/>
          <w:sz w:val="28"/>
        </w:rPr>
        <w:t>投标人：</w:t>
      </w:r>
      <w:r>
        <w:rPr>
          <w:rFonts w:hint="eastAsia" w:ascii="宋体" w:hAnsi="宋体"/>
          <w:sz w:val="28"/>
          <w:u w:val="single"/>
          <w:lang w:val="en-US" w:eastAsia="zh-CN"/>
        </w:rPr>
        <w:t xml:space="preserve">                              </w:t>
      </w:r>
      <w:r>
        <w:rPr>
          <w:rFonts w:hint="default"/>
          <w:sz w:val="24"/>
          <w:u w:val="single"/>
        </w:rPr>
        <w:tab/>
      </w:r>
      <w:r>
        <w:rPr>
          <w:rFonts w:hint="eastAsia" w:ascii="宋体" w:hAnsi="宋体"/>
          <w:sz w:val="28"/>
        </w:rPr>
        <w:t>（盖单位章）</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6320"/>
        </w:tabs>
        <w:kinsoku/>
        <w:topLinePunct w:val="0"/>
        <w:bidi w:val="0"/>
        <w:spacing w:beforeLines="0" w:afterLines="0" w:line="400" w:lineRule="exact"/>
        <w:ind w:firstLine="540" w:firstLineChars="200"/>
        <w:jc w:val="left"/>
        <w:rPr>
          <w:rFonts w:hint="default"/>
          <w:sz w:val="24"/>
        </w:rPr>
      </w:pPr>
      <w:r>
        <w:rPr>
          <w:rFonts w:hint="eastAsia" w:ascii="宋体" w:hAnsi="宋体"/>
          <w:sz w:val="27"/>
        </w:rPr>
        <w:t>法定代表人（单位负责人）或其委托代理人：</w:t>
      </w:r>
      <w:r>
        <w:rPr>
          <w:rFonts w:hint="eastAsia"/>
          <w:sz w:val="24"/>
          <w:u w:val="single"/>
          <w:lang w:val="en-US" w:eastAsia="zh-CN"/>
        </w:rPr>
        <w:t xml:space="preserve">                </w:t>
      </w:r>
      <w:r>
        <w:rPr>
          <w:rFonts w:hint="eastAsia" w:ascii="宋体" w:hAnsi="宋体"/>
          <w:sz w:val="27"/>
        </w:rPr>
        <w:t>（签字）</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3400"/>
          <w:tab w:val="left" w:pos="4420"/>
        </w:tabs>
        <w:kinsoku/>
        <w:topLinePunct w:val="0"/>
        <w:bidi w:val="0"/>
        <w:spacing w:beforeLines="0" w:afterLines="0" w:line="400" w:lineRule="exact"/>
        <w:ind w:firstLine="2520" w:firstLineChars="900"/>
        <w:jc w:val="left"/>
        <w:rPr>
          <w:rFonts w:hint="default"/>
          <w:sz w:val="24"/>
        </w:rPr>
      </w:pPr>
      <w:r>
        <w:rPr>
          <w:rFonts w:hint="eastAsia" w:ascii="宋体" w:hAnsi="宋体"/>
          <w:sz w:val="28"/>
          <w:u w:val="single"/>
          <w:lang w:val="en-US" w:eastAsia="zh-CN"/>
        </w:rPr>
        <w:t xml:space="preserve">      </w:t>
      </w:r>
      <w:r>
        <w:rPr>
          <w:rFonts w:hint="eastAsia" w:ascii="宋体" w:hAnsi="宋体"/>
          <w:sz w:val="28"/>
        </w:rPr>
        <w:t>年</w:t>
      </w:r>
      <w:r>
        <w:rPr>
          <w:rFonts w:hint="default"/>
          <w:sz w:val="24"/>
          <w:u w:val="single"/>
        </w:rPr>
        <w:tab/>
      </w:r>
      <w:r>
        <w:rPr>
          <w:rFonts w:hint="eastAsia" w:ascii="宋体" w:hAnsi="宋体"/>
          <w:sz w:val="28"/>
        </w:rPr>
        <w:t>月</w:t>
      </w:r>
      <w:r>
        <w:rPr>
          <w:rFonts w:hint="eastAsia"/>
          <w:sz w:val="24"/>
          <w:u w:val="single"/>
          <w:lang w:val="en-US" w:eastAsia="zh-CN"/>
        </w:rPr>
        <w:t xml:space="preserve">          </w:t>
      </w:r>
      <w:r>
        <w:rPr>
          <w:rFonts w:hint="eastAsia" w:ascii="宋体" w:hAnsi="宋体"/>
          <w:sz w:val="28"/>
        </w:rPr>
        <w:t>日</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ind w:left="4000"/>
        <w:jc w:val="left"/>
        <w:rPr>
          <w:rFonts w:hint="default"/>
          <w:sz w:val="24"/>
        </w:rPr>
      </w:pPr>
      <w:r>
        <w:rPr>
          <w:rFonts w:hint="eastAsia" w:ascii="宋体" w:hAnsi="宋体"/>
          <w:b/>
          <w:sz w:val="32"/>
        </w:rPr>
        <w:t>目</w:t>
      </w:r>
      <w:r>
        <w:rPr>
          <w:rFonts w:hint="eastAsia" w:ascii="宋体" w:hAnsi="宋体"/>
          <w:b/>
          <w:sz w:val="32"/>
          <w:lang w:val="en-US" w:eastAsia="zh-CN"/>
        </w:rPr>
        <w:t xml:space="preserve">  </w:t>
      </w:r>
      <w:r>
        <w:rPr>
          <w:rFonts w:hint="eastAsia" w:ascii="宋体" w:hAnsi="宋体"/>
          <w:b/>
          <w:sz w:val="32"/>
        </w:rPr>
        <w:t>录</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一、投标函</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0"/>
        </w:rPr>
        <w:t>二、</w:t>
      </w:r>
      <w:r>
        <w:rPr>
          <w:rFonts w:hint="eastAsia" w:ascii="宋体" w:hAnsi="宋体"/>
          <w:sz w:val="21"/>
        </w:rPr>
        <w:t>法定代表人（单位负责人）身份证明（适用于无委托代理人的情况）</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二、授权委托书（适用于有委托代理人的情况）</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三</w:t>
      </w:r>
      <w:r>
        <w:rPr>
          <w:rFonts w:hint="eastAsia" w:ascii="宋体" w:hAnsi="宋体"/>
          <w:sz w:val="21"/>
        </w:rPr>
        <w:t>、投标保证金</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四</w:t>
      </w:r>
      <w:r>
        <w:rPr>
          <w:rFonts w:hint="eastAsia" w:ascii="宋体" w:hAnsi="宋体"/>
          <w:sz w:val="21"/>
        </w:rPr>
        <w:t>、商务和技术偏差表</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五</w:t>
      </w:r>
      <w:r>
        <w:rPr>
          <w:rFonts w:hint="eastAsia" w:ascii="宋体" w:hAnsi="宋体"/>
          <w:sz w:val="21"/>
        </w:rPr>
        <w:t>、分项报价表</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六</w:t>
      </w:r>
      <w:r>
        <w:rPr>
          <w:rFonts w:hint="eastAsia" w:ascii="宋体" w:hAnsi="宋体"/>
          <w:sz w:val="21"/>
        </w:rPr>
        <w:t>、资格审查资料</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七</w:t>
      </w:r>
      <w:r>
        <w:rPr>
          <w:rFonts w:hint="eastAsia" w:ascii="宋体" w:hAnsi="宋体"/>
          <w:sz w:val="21"/>
        </w:rPr>
        <w:t>、投标设备技术性能指标的详细描述</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八</w:t>
      </w:r>
      <w:r>
        <w:rPr>
          <w:rFonts w:hint="eastAsia" w:ascii="宋体" w:hAnsi="宋体"/>
          <w:sz w:val="21"/>
        </w:rPr>
        <w:t>、技术支持资料</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lang w:eastAsia="zh-CN"/>
        </w:rPr>
        <w:t>九</w:t>
      </w:r>
      <w:r>
        <w:rPr>
          <w:rFonts w:hint="eastAsia" w:ascii="宋体" w:hAnsi="宋体"/>
          <w:sz w:val="21"/>
        </w:rPr>
        <w:t>、技术服务和质保期服务计划</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1"/>
        </w:rPr>
        <w:t>十、其他资料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0"/>
        </w:numPr>
        <w:kinsoku/>
        <w:topLinePunct w:val="0"/>
        <w:bidi w:val="0"/>
        <w:spacing w:beforeLines="0" w:afterLines="0" w:line="400" w:lineRule="exact"/>
        <w:jc w:val="left"/>
        <w:rPr>
          <w:rFonts w:hint="eastAsia" w:ascii="宋体" w:hAnsi="宋体"/>
          <w:b/>
          <w:sz w:val="32"/>
          <w:lang w:eastAsia="zh-CN"/>
        </w:rPr>
      </w:pPr>
    </w:p>
    <w:p>
      <w:pPr>
        <w:pStyle w:val="2"/>
        <w:rPr>
          <w:rFonts w:hint="eastAsia"/>
          <w:lang w:eastAsia="zh-CN"/>
        </w:rPr>
      </w:pPr>
    </w:p>
    <w:p>
      <w:pPr>
        <w:keepNext w:val="0"/>
        <w:keepLines w:val="0"/>
        <w:pageBreakBefore w:val="0"/>
        <w:numPr>
          <w:ilvl w:val="0"/>
          <w:numId w:val="0"/>
        </w:numPr>
        <w:kinsoku/>
        <w:topLinePunct w:val="0"/>
        <w:bidi w:val="0"/>
        <w:spacing w:beforeLines="0" w:afterLines="0" w:line="400" w:lineRule="exact"/>
        <w:jc w:val="left"/>
        <w:rPr>
          <w:rFonts w:hint="eastAsia" w:ascii="宋体" w:hAnsi="宋体"/>
          <w:b/>
          <w:sz w:val="32"/>
          <w:lang w:eastAsia="zh-CN"/>
        </w:rPr>
      </w:pPr>
    </w:p>
    <w:p>
      <w:pPr>
        <w:keepNext w:val="0"/>
        <w:keepLines w:val="0"/>
        <w:pageBreakBefore w:val="0"/>
        <w:numPr>
          <w:ilvl w:val="0"/>
          <w:numId w:val="0"/>
        </w:numPr>
        <w:kinsoku/>
        <w:topLinePunct w:val="0"/>
        <w:bidi w:val="0"/>
        <w:spacing w:beforeLines="0" w:afterLines="0" w:line="400" w:lineRule="exact"/>
        <w:ind w:firstLine="2570" w:firstLineChars="800"/>
        <w:jc w:val="left"/>
        <w:rPr>
          <w:rFonts w:hint="eastAsia" w:ascii="宋体" w:hAnsi="宋体"/>
          <w:b/>
          <w:sz w:val="32"/>
          <w:lang w:eastAsia="zh-CN"/>
        </w:rPr>
      </w:pPr>
    </w:p>
    <w:p>
      <w:pPr>
        <w:keepNext w:val="0"/>
        <w:keepLines w:val="0"/>
        <w:pageBreakBefore w:val="0"/>
        <w:numPr>
          <w:ilvl w:val="0"/>
          <w:numId w:val="0"/>
        </w:numPr>
        <w:kinsoku/>
        <w:topLinePunct w:val="0"/>
        <w:bidi w:val="0"/>
        <w:spacing w:beforeLines="0" w:afterLines="0" w:line="400" w:lineRule="exact"/>
        <w:ind w:firstLine="3534" w:firstLineChars="1100"/>
        <w:jc w:val="left"/>
        <w:rPr>
          <w:rFonts w:hint="default" w:ascii="宋体" w:hAnsi="宋体"/>
          <w:b/>
          <w:sz w:val="32"/>
        </w:rPr>
      </w:pPr>
      <w:r>
        <w:rPr>
          <w:rFonts w:hint="eastAsia" w:ascii="宋体" w:hAnsi="宋体"/>
          <w:b/>
          <w:sz w:val="32"/>
          <w:lang w:eastAsia="zh-CN"/>
        </w:rPr>
        <w:t>一、</w:t>
      </w:r>
      <w:r>
        <w:rPr>
          <w:rFonts w:hint="eastAsia" w:ascii="宋体" w:hAnsi="宋体"/>
          <w:b/>
          <w:sz w:val="32"/>
        </w:rPr>
        <w:t>投标函</w:t>
      </w:r>
    </w:p>
    <w:p>
      <w:pPr>
        <w:pStyle w:val="2"/>
        <w:rPr>
          <w:rFonts w:hint="default"/>
        </w:rPr>
      </w:pPr>
    </w:p>
    <w:p>
      <w:pPr>
        <w:keepNext w:val="0"/>
        <w:keepLines w:val="0"/>
        <w:pageBreakBefore w:val="0"/>
        <w:kinsoku/>
        <w:topLinePunct w:val="0"/>
        <w:bidi w:val="0"/>
        <w:spacing w:line="400" w:lineRule="exact"/>
        <w:ind w:firstLine="480" w:firstLineChars="200"/>
        <w:rPr>
          <w:rFonts w:hint="default"/>
          <w:sz w:val="24"/>
        </w:rPr>
      </w:pPr>
      <w:r>
        <w:rPr>
          <w:rFonts w:hint="eastAsia" w:ascii="新宋体" w:hAnsi="新宋体" w:eastAsia="新宋体"/>
          <w:sz w:val="24"/>
          <w:u w:val="single"/>
        </w:rPr>
        <w:t xml:space="preserve">                   </w:t>
      </w:r>
      <w:r>
        <w:rPr>
          <w:rFonts w:hint="eastAsia" w:ascii="新宋体" w:hAnsi="新宋体" w:eastAsia="新宋体"/>
          <w:sz w:val="21"/>
          <w:szCs w:val="21"/>
          <w:u w:val="single"/>
        </w:rPr>
        <w:t xml:space="preserve">   </w:t>
      </w:r>
      <w:r>
        <w:rPr>
          <w:rFonts w:hint="eastAsia" w:ascii="宋体" w:hAnsi="宋体" w:eastAsia="宋体" w:cs="宋体"/>
          <w:sz w:val="21"/>
          <w:szCs w:val="21"/>
        </w:rPr>
        <w:t>（招标人名称）</w:t>
      </w:r>
      <w:r>
        <w:rPr>
          <w:rFonts w:hint="eastAsia" w:ascii="新宋体" w:hAnsi="新宋体" w:eastAsia="新宋体"/>
          <w:sz w:val="24"/>
          <w:lang w:eastAsia="zh-CN"/>
        </w:rPr>
        <w:t>：</w:t>
      </w:r>
    </w:p>
    <w:p>
      <w:pPr>
        <w:keepNext w:val="0"/>
        <w:keepLines w:val="0"/>
        <w:pageBreakBefore w:val="0"/>
        <w:numPr>
          <w:ilvl w:val="0"/>
          <w:numId w:val="105"/>
        </w:numPr>
        <w:tabs>
          <w:tab w:val="left" w:pos="840"/>
          <w:tab w:val="left" w:pos="1050"/>
          <w:tab w:val="clear" w:pos="312"/>
        </w:tabs>
        <w:kinsoku/>
        <w:topLinePunct w:val="0"/>
        <w:bidi w:val="0"/>
        <w:spacing w:beforeLines="0" w:afterLines="0" w:line="400" w:lineRule="exact"/>
        <w:ind w:left="400" w:leftChars="0" w:firstLine="239" w:firstLineChars="114"/>
        <w:jc w:val="left"/>
        <w:rPr>
          <w:rFonts w:hint="default" w:ascii="宋体" w:hAnsi="宋体"/>
          <w:sz w:val="21"/>
        </w:rPr>
      </w:pPr>
      <w:r>
        <w:rPr>
          <w:rFonts w:hint="eastAsia"/>
          <w:sz w:val="21"/>
          <w:szCs w:val="21"/>
          <w:lang w:val="en-US" w:eastAsia="zh-CN"/>
        </w:rPr>
        <w:t>我方已仔细研究了</w:t>
      </w:r>
      <w:r>
        <w:rPr>
          <w:rFonts w:hint="eastAsia"/>
          <w:sz w:val="21"/>
          <w:szCs w:val="21"/>
          <w:u w:val="single"/>
          <w:lang w:val="en-US" w:eastAsia="zh-CN"/>
        </w:rPr>
        <w:t xml:space="preserve">                                 </w:t>
      </w:r>
      <w:r>
        <w:rPr>
          <w:rFonts w:hint="eastAsia"/>
          <w:sz w:val="21"/>
          <w:szCs w:val="21"/>
          <w:u w:val="none"/>
          <w:lang w:val="en-US" w:eastAsia="zh-CN"/>
        </w:rPr>
        <w:t>（项目名称）设备采购招标项目招标</w:t>
      </w:r>
      <w:r>
        <w:rPr>
          <w:rFonts w:hint="eastAsia"/>
          <w:sz w:val="24"/>
          <w:u w:val="none"/>
          <w:lang w:val="en-US" w:eastAsia="zh-CN"/>
        </w:rPr>
        <w:t>文件的</w:t>
      </w:r>
      <w:r>
        <w:rPr>
          <w:rFonts w:hint="eastAsia" w:ascii="宋体" w:hAnsi="宋体"/>
          <w:sz w:val="21"/>
          <w:lang w:val="en-US" w:eastAsia="zh-CN"/>
        </w:rPr>
        <w:t>全部内容，愿意以人民币（大写）</w:t>
      </w:r>
      <w:r>
        <w:rPr>
          <w:rFonts w:hint="eastAsia" w:ascii="宋体" w:hAnsi="宋体"/>
          <w:sz w:val="21"/>
          <w:u w:val="single"/>
          <w:lang w:val="en-US" w:eastAsia="zh-CN"/>
        </w:rPr>
        <w:t xml:space="preserve">                 </w:t>
      </w:r>
      <w:r>
        <w:rPr>
          <w:rFonts w:hint="eastAsia" w:ascii="宋体" w:hAnsi="宋体"/>
          <w:sz w:val="21"/>
        </w:rPr>
        <w:t>（</w:t>
      </w:r>
      <w:r>
        <w:rPr>
          <w:rFonts w:hint="default" w:ascii="宋体" w:hAnsi="宋体"/>
          <w:sz w:val="21"/>
        </w:rPr>
        <w:t>¥</w:t>
      </w:r>
      <w:r>
        <w:rPr>
          <w:rFonts w:hint="eastAsia" w:ascii="宋体" w:hAnsi="宋体"/>
          <w:sz w:val="21"/>
          <w:lang w:val="en-US" w:eastAsia="zh-CN"/>
        </w:rPr>
        <w:t xml:space="preserve">  </w:t>
      </w:r>
      <w:r>
        <w:rPr>
          <w:rFonts w:hint="eastAsia" w:ascii="宋体" w:hAnsi="宋体"/>
          <w:sz w:val="21"/>
          <w:u w:val="single"/>
          <w:lang w:val="en-US" w:eastAsia="zh-CN"/>
        </w:rPr>
        <w:t xml:space="preserve">                        </w:t>
      </w:r>
      <w:r>
        <w:rPr>
          <w:rFonts w:hint="eastAsia" w:ascii="宋体" w:hAnsi="宋体"/>
          <w:sz w:val="21"/>
          <w:lang w:val="en-US" w:eastAsia="zh-CN"/>
        </w:rPr>
        <w:t xml:space="preserve">）的投标总报价（其中，增值税税率为 </w:t>
      </w:r>
      <w:r>
        <w:rPr>
          <w:rFonts w:hint="eastAsia" w:ascii="宋体" w:hAnsi="宋体"/>
          <w:sz w:val="21"/>
          <w:u w:val="single"/>
          <w:lang w:val="en-US" w:eastAsia="zh-CN"/>
        </w:rPr>
        <w:t xml:space="preserve">                     </w:t>
      </w:r>
      <w:r>
        <w:rPr>
          <w:rFonts w:hint="eastAsia" w:ascii="宋体" w:hAnsi="宋体"/>
          <w:sz w:val="21"/>
          <w:lang w:val="en-US" w:eastAsia="zh-CN"/>
        </w:rPr>
        <w:t>）提供</w:t>
      </w:r>
      <w:r>
        <w:rPr>
          <w:rFonts w:hint="eastAsia" w:ascii="宋体" w:hAnsi="宋体"/>
          <w:sz w:val="21"/>
        </w:rPr>
        <w:t>（设备名称及技术服务和质保期服务），</w:t>
      </w:r>
      <w:r>
        <w:rPr>
          <w:rFonts w:hint="eastAsia" w:ascii="宋体" w:hAnsi="宋体"/>
          <w:sz w:val="21"/>
          <w:lang w:eastAsia="zh-CN"/>
        </w:rPr>
        <w:t>并按合同约定履行义务。</w:t>
      </w:r>
      <w:r>
        <w:rPr>
          <w:rFonts w:hint="eastAsia" w:ascii="宋体" w:hAnsi="宋体"/>
          <w:sz w:val="21"/>
          <w:lang w:val="en-US" w:eastAsia="zh-CN"/>
        </w:rPr>
        <w:t xml:space="preserve">                     </w:t>
      </w:r>
    </w:p>
    <w:p>
      <w:pPr>
        <w:keepNext w:val="0"/>
        <w:keepLines w:val="0"/>
        <w:pageBreakBefore w:val="0"/>
        <w:kinsoku/>
        <w:topLinePunct w:val="0"/>
        <w:bidi w:val="0"/>
        <w:spacing w:beforeLines="0" w:afterLines="0" w:line="400" w:lineRule="exact"/>
        <w:ind w:left="400" w:leftChars="0" w:firstLine="239" w:firstLineChars="114"/>
        <w:jc w:val="left"/>
        <w:rPr>
          <w:rFonts w:hint="default"/>
          <w:sz w:val="24"/>
        </w:rPr>
      </w:pPr>
      <w:r>
        <w:rPr>
          <w:rFonts w:hint="default" w:ascii="宋体" w:hAnsi="宋体"/>
          <w:sz w:val="21"/>
        </w:rPr>
        <w:t xml:space="preserve">2. </w:t>
      </w:r>
      <w:r>
        <w:rPr>
          <w:rFonts w:hint="eastAsia" w:ascii="宋体" w:hAnsi="宋体"/>
          <w:sz w:val="21"/>
        </w:rPr>
        <w:t>我方的投标文件包括下列内容：</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）投标函；</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）法定代表人（单位负责人）身份证明或授权委托书；</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）投标保证金（如有）；</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）商务和技术偏差表；</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5</w:t>
      </w:r>
      <w:r>
        <w:rPr>
          <w:rFonts w:hint="eastAsia" w:ascii="宋体" w:hAnsi="宋体"/>
          <w:sz w:val="21"/>
        </w:rPr>
        <w:t>）分项报价表；</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6</w:t>
      </w:r>
      <w:r>
        <w:rPr>
          <w:rFonts w:hint="eastAsia" w:ascii="宋体" w:hAnsi="宋体"/>
          <w:sz w:val="21"/>
        </w:rPr>
        <w:t>）资格审查资料；</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7</w:t>
      </w:r>
      <w:r>
        <w:rPr>
          <w:rFonts w:hint="eastAsia" w:ascii="宋体" w:hAnsi="宋体"/>
          <w:sz w:val="21"/>
        </w:rPr>
        <w:t>）投标设备技术性能指标的详细描述；</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w:t>
      </w:r>
      <w:r>
        <w:rPr>
          <w:rFonts w:hint="default" w:ascii="Times New Roman" w:hAnsi="Times New Roman" w:eastAsia="Times New Roman"/>
          <w:sz w:val="21"/>
        </w:rPr>
        <w:t>8</w:t>
      </w:r>
      <w:r>
        <w:rPr>
          <w:rFonts w:hint="eastAsia" w:ascii="宋体" w:hAnsi="宋体"/>
          <w:sz w:val="21"/>
        </w:rPr>
        <w:t>）技术支持资料；</w:t>
      </w:r>
    </w:p>
    <w:p>
      <w:pPr>
        <w:keepNext w:val="0"/>
        <w:keepLines w:val="0"/>
        <w:pageBreakBefore w:val="0"/>
        <w:kinsoku/>
        <w:topLinePunct w:val="0"/>
        <w:bidi w:val="0"/>
        <w:spacing w:beforeLines="0" w:afterLines="0" w:line="400" w:lineRule="exact"/>
        <w:ind w:left="400"/>
        <w:jc w:val="left"/>
        <w:rPr>
          <w:rFonts w:hint="eastAsia" w:ascii="宋体" w:hAnsi="宋体"/>
          <w:sz w:val="21"/>
        </w:rPr>
      </w:pPr>
      <w:r>
        <w:rPr>
          <w:rFonts w:hint="eastAsia" w:ascii="宋体" w:hAnsi="宋体"/>
          <w:sz w:val="21"/>
        </w:rPr>
        <w:t>（</w:t>
      </w:r>
      <w:r>
        <w:rPr>
          <w:rFonts w:hint="default" w:ascii="Times New Roman" w:hAnsi="Times New Roman" w:eastAsia="Times New Roman"/>
          <w:sz w:val="21"/>
        </w:rPr>
        <w:t>9</w:t>
      </w:r>
      <w:r>
        <w:rPr>
          <w:rFonts w:hint="eastAsia" w:ascii="宋体" w:hAnsi="宋体"/>
          <w:sz w:val="21"/>
        </w:rPr>
        <w:t>）技术服务和质保</w:t>
      </w:r>
    </w:p>
    <w:p>
      <w:pPr>
        <w:keepNext w:val="0"/>
        <w:keepLines w:val="0"/>
        <w:pageBreakBefore w:val="0"/>
        <w:kinsoku/>
        <w:topLinePunct w:val="0"/>
        <w:bidi w:val="0"/>
        <w:spacing w:beforeLines="0" w:afterLines="0" w:line="400" w:lineRule="exact"/>
        <w:ind w:left="400"/>
        <w:jc w:val="left"/>
        <w:rPr>
          <w:rFonts w:hint="default"/>
          <w:sz w:val="24"/>
        </w:rPr>
      </w:pPr>
      <w:r>
        <w:rPr>
          <w:rFonts w:hint="eastAsia" w:ascii="宋体" w:hAnsi="宋体"/>
          <w:sz w:val="21"/>
        </w:rPr>
        <w:t>期服务计划；</w:t>
      </w:r>
    </w:p>
    <w:p>
      <w:pPr>
        <w:keepNext w:val="0"/>
        <w:keepLines w:val="0"/>
        <w:pageBreakBefore w:val="0"/>
        <w:kinsoku/>
        <w:topLinePunct w:val="0"/>
        <w:bidi w:val="0"/>
        <w:spacing w:beforeLines="0" w:afterLines="0" w:line="400" w:lineRule="exact"/>
        <w:ind w:left="400"/>
        <w:jc w:val="left"/>
        <w:rPr>
          <w:rFonts w:hint="default"/>
          <w:sz w:val="24"/>
        </w:rPr>
      </w:pPr>
      <w:r>
        <w:rPr>
          <w:rFonts w:hint="default" w:ascii="Times New Roman" w:hAnsi="Times New Roman" w:eastAsia="Times New Roman"/>
          <w:sz w:val="21"/>
        </w:rPr>
        <w:t>……</w:t>
      </w:r>
    </w:p>
    <w:p>
      <w:pPr>
        <w:keepNext w:val="0"/>
        <w:keepLines w:val="0"/>
        <w:pageBreakBefore w:val="0"/>
        <w:kinsoku/>
        <w:topLinePunct w:val="0"/>
        <w:bidi w:val="0"/>
        <w:spacing w:beforeLines="0" w:afterLines="0" w:line="400" w:lineRule="exact"/>
        <w:ind w:left="420"/>
        <w:jc w:val="left"/>
        <w:rPr>
          <w:rFonts w:hint="default"/>
          <w:sz w:val="24"/>
        </w:rPr>
      </w:pPr>
      <w:r>
        <w:rPr>
          <w:rFonts w:hint="eastAsia" w:ascii="宋体" w:hAnsi="宋体"/>
          <w:sz w:val="21"/>
        </w:rPr>
        <w:t>投标文件的上述组成部分如存在内容不一致的，以投标函为准。</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3</w:t>
      </w:r>
      <w:r>
        <w:rPr>
          <w:rFonts w:hint="eastAsia" w:ascii="宋体" w:hAnsi="宋体"/>
          <w:sz w:val="21"/>
        </w:rPr>
        <w:t>．我方承诺除</w:t>
      </w:r>
      <w:r>
        <w:rPr>
          <w:rFonts w:hint="eastAsia" w:ascii="宋体" w:hAnsi="宋体"/>
          <w:sz w:val="22"/>
        </w:rPr>
        <w:t>商务和技术</w:t>
      </w:r>
      <w:r>
        <w:rPr>
          <w:rFonts w:hint="eastAsia" w:ascii="宋体" w:hAnsi="宋体"/>
          <w:sz w:val="21"/>
        </w:rPr>
        <w:t>偏差表列出的偏差外，我方响应招标文件的全部要求。</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4</w:t>
      </w:r>
      <w:r>
        <w:rPr>
          <w:rFonts w:hint="eastAsia" w:ascii="宋体" w:hAnsi="宋体"/>
          <w:sz w:val="21"/>
        </w:rPr>
        <w:t>．我方承诺在招标文件规定的投标有效期内不撤销投标文件。</w:t>
      </w:r>
    </w:p>
    <w:p>
      <w:pPr>
        <w:keepNext w:val="0"/>
        <w:keepLines w:val="0"/>
        <w:pageBreakBefore w:val="0"/>
        <w:kinsoku/>
        <w:topLinePunct w:val="0"/>
        <w:bidi w:val="0"/>
        <w:spacing w:beforeLines="0" w:afterLines="0" w:line="400" w:lineRule="exact"/>
        <w:ind w:left="420"/>
        <w:jc w:val="left"/>
        <w:rPr>
          <w:rFonts w:hint="default"/>
          <w:sz w:val="24"/>
        </w:rPr>
      </w:pPr>
      <w:r>
        <w:rPr>
          <w:rFonts w:hint="default" w:ascii="Times New Roman" w:hAnsi="Times New Roman" w:eastAsia="Times New Roman"/>
          <w:sz w:val="21"/>
        </w:rPr>
        <w:t>5</w:t>
      </w:r>
      <w:r>
        <w:rPr>
          <w:rFonts w:hint="eastAsia" w:ascii="宋体" w:hAnsi="宋体"/>
          <w:sz w:val="21"/>
        </w:rPr>
        <w:t>．如我方中标，我方承诺：</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1</w:t>
      </w:r>
      <w:r>
        <w:rPr>
          <w:rFonts w:hint="eastAsia" w:ascii="宋体" w:hAnsi="宋体"/>
          <w:sz w:val="21"/>
        </w:rPr>
        <w:t>）在收到中标通知书后，在中标通知书规定的期限内与你方签订合同；</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2</w:t>
      </w:r>
      <w:r>
        <w:rPr>
          <w:rFonts w:hint="eastAsia" w:ascii="宋体" w:hAnsi="宋体"/>
          <w:sz w:val="21"/>
        </w:rPr>
        <w:t>）在签订合同时不向你方提出附加条件；</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3</w:t>
      </w:r>
      <w:r>
        <w:rPr>
          <w:rFonts w:hint="eastAsia" w:ascii="宋体" w:hAnsi="宋体"/>
          <w:sz w:val="21"/>
        </w:rPr>
        <w:t>）按照招标文件要求提交履约保证金；</w:t>
      </w:r>
    </w:p>
    <w:p>
      <w:pPr>
        <w:keepNext w:val="0"/>
        <w:keepLines w:val="0"/>
        <w:pageBreakBefore w:val="0"/>
        <w:kinsoku/>
        <w:topLinePunct w:val="0"/>
        <w:bidi w:val="0"/>
        <w:spacing w:beforeLines="0" w:afterLines="0" w:line="400" w:lineRule="exact"/>
        <w:ind w:left="840"/>
        <w:jc w:val="left"/>
        <w:rPr>
          <w:rFonts w:hint="default"/>
          <w:sz w:val="24"/>
        </w:rPr>
      </w:pPr>
      <w:r>
        <w:rPr>
          <w:rFonts w:hint="eastAsia" w:ascii="宋体" w:hAnsi="宋体"/>
          <w:sz w:val="21"/>
        </w:rPr>
        <w:t>（</w:t>
      </w:r>
      <w:r>
        <w:rPr>
          <w:rFonts w:hint="default" w:ascii="Times New Roman" w:hAnsi="Times New Roman" w:eastAsia="Times New Roman"/>
          <w:sz w:val="21"/>
        </w:rPr>
        <w:t>4</w:t>
      </w:r>
      <w:r>
        <w:rPr>
          <w:rFonts w:hint="eastAsia" w:ascii="宋体" w:hAnsi="宋体"/>
          <w:sz w:val="21"/>
        </w:rPr>
        <w:t>）在合同约定的期限内完成合同规定的全部义务。</w:t>
      </w:r>
    </w:p>
    <w:p>
      <w:pPr>
        <w:keepNext w:val="0"/>
        <w:keepLines w:val="0"/>
        <w:pageBreakBefore w:val="0"/>
        <w:kinsoku/>
        <w:topLinePunct w:val="0"/>
        <w:bidi w:val="0"/>
        <w:spacing w:beforeLines="0" w:afterLines="0" w:line="400" w:lineRule="exact"/>
        <w:ind w:left="0" w:leftChars="0" w:firstLine="418" w:firstLineChars="209"/>
        <w:jc w:val="left"/>
        <w:rPr>
          <w:rFonts w:hint="default"/>
          <w:sz w:val="24"/>
        </w:rPr>
      </w:pPr>
      <w:r>
        <w:rPr>
          <w:rFonts w:hint="default" w:ascii="Times New Roman" w:hAnsi="Times New Roman" w:eastAsia="Times New Roman"/>
          <w:sz w:val="20"/>
        </w:rPr>
        <w:t>6</w:t>
      </w:r>
      <w:r>
        <w:rPr>
          <w:rFonts w:hint="eastAsia" w:ascii="宋体" w:hAnsi="宋体"/>
          <w:sz w:val="20"/>
        </w:rPr>
        <w:t>．</w:t>
      </w:r>
      <w:r>
        <w:rPr>
          <w:rFonts w:hint="eastAsia" w:ascii="宋体" w:hAnsi="宋体"/>
          <w:sz w:val="21"/>
        </w:rPr>
        <w:t>我方在此声明，所递交的投标文件及有关资料内容完整、真实和准确，且不存在第二章</w:t>
      </w:r>
      <w:r>
        <w:rPr>
          <w:rFonts w:hint="default" w:ascii="Times New Roman" w:hAnsi="Times New Roman" w:eastAsia="Times New Roman"/>
          <w:sz w:val="21"/>
        </w:rPr>
        <w:t>“</w:t>
      </w:r>
      <w:r>
        <w:rPr>
          <w:rFonts w:hint="eastAsia" w:ascii="宋体" w:hAnsi="宋体"/>
          <w:sz w:val="21"/>
        </w:rPr>
        <w:t>投标人须知</w:t>
      </w:r>
      <w:r>
        <w:rPr>
          <w:rFonts w:hint="default" w:ascii="Times New Roman" w:hAnsi="Times New Roman" w:eastAsia="Times New Roman"/>
          <w:sz w:val="21"/>
        </w:rPr>
        <w:t>”</w:t>
      </w:r>
      <w:r>
        <w:rPr>
          <w:rFonts w:hint="eastAsia" w:ascii="宋体" w:hAnsi="宋体"/>
          <w:sz w:val="21"/>
        </w:rPr>
        <w:t>第</w:t>
      </w:r>
      <w:r>
        <w:rPr>
          <w:rFonts w:hint="default" w:ascii="Times New Roman" w:hAnsi="Times New Roman" w:eastAsia="Times New Roman"/>
          <w:sz w:val="21"/>
        </w:rPr>
        <w:t xml:space="preserve"> 1.4.3 </w:t>
      </w:r>
      <w:r>
        <w:rPr>
          <w:rFonts w:hint="eastAsia" w:ascii="宋体" w:hAnsi="宋体"/>
          <w:sz w:val="21"/>
        </w:rPr>
        <w:t>项规定的任何一种情形。</w:t>
      </w:r>
    </w:p>
    <w:p>
      <w:pPr>
        <w:keepNext w:val="0"/>
        <w:keepLines w:val="0"/>
        <w:pageBreakBefore w:val="0"/>
        <w:tabs>
          <w:tab w:val="left" w:pos="3760"/>
        </w:tabs>
        <w:kinsoku/>
        <w:topLinePunct w:val="0"/>
        <w:bidi w:val="0"/>
        <w:spacing w:beforeLines="0" w:afterLines="0" w:line="400" w:lineRule="exact"/>
        <w:ind w:left="420"/>
        <w:jc w:val="left"/>
        <w:rPr>
          <w:rFonts w:hint="default" w:ascii="宋体" w:hAnsi="宋体"/>
          <w:sz w:val="21"/>
        </w:rPr>
      </w:pPr>
      <w:r>
        <w:rPr>
          <w:rFonts w:hint="default" w:ascii="Times New Roman" w:hAnsi="Times New Roman" w:eastAsia="Times New Roman"/>
          <w:sz w:val="21"/>
        </w:rPr>
        <w:t>7</w:t>
      </w:r>
      <w:r>
        <w:rPr>
          <w:rFonts w:hint="eastAsia" w:ascii="宋体" w:hAnsi="宋体"/>
          <w:sz w:val="21"/>
        </w:rPr>
        <w:t>．</w:t>
      </w:r>
      <w:r>
        <w:rPr>
          <w:rFonts w:hint="default"/>
          <w:sz w:val="24"/>
        </w:rPr>
        <w:tab/>
      </w:r>
      <w:r>
        <w:rPr>
          <w:rFonts w:hint="eastAsia" w:ascii="宋体" w:hAnsi="宋体"/>
          <w:sz w:val="21"/>
        </w:rPr>
        <w:t>（其他补充说明）。</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64736" behindDoc="1" locked="0" layoutInCell="1" allowOverlap="1">
                <wp:simplePos x="0" y="0"/>
                <wp:positionH relativeFrom="column">
                  <wp:posOffset>467995</wp:posOffset>
                </wp:positionH>
                <wp:positionV relativeFrom="paragraph">
                  <wp:posOffset>-8890</wp:posOffset>
                </wp:positionV>
                <wp:extent cx="1932305" cy="0"/>
                <wp:effectExtent l="0" t="0" r="0" b="0"/>
                <wp:wrapNone/>
                <wp:docPr id="99" name="直线 106"/>
                <wp:cNvGraphicFramePr/>
                <a:graphic xmlns:a="http://schemas.openxmlformats.org/drawingml/2006/main">
                  <a:graphicData uri="http://schemas.microsoft.com/office/word/2010/wordprocessingShape">
                    <wps:wsp>
                      <wps:cNvCnPr/>
                      <wps:spPr>
                        <a:xfrm>
                          <a:off x="0" y="0"/>
                          <a:ext cx="193230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06" o:spid="_x0000_s1026" o:spt="20" style="position:absolute;left:0pt;margin-left:36.85pt;margin-top:-0.7pt;height:0pt;width:152.15pt;z-index:-251551744;mso-width-relative:page;mso-height-relative:page;" filled="f" stroked="t" coordsize="21600,21600" o:gfxdata="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zzJBPUAAAACAEAAA8AAAAAAAAAAQAgAAAAIgAAAGRy&#10;cy9kb3ducmV2LnhtbFBLAQIUABQAAAAIAIdO4kBa+ILS0AEAAJADAAAOAAAAAAAAAAEAIAAAACMB&#10;AABkcnMvZTJvRG9jLnhtbFBLBQYAAAAABgAGAFkBAABlBQAAAAA=&#10;">
                <v:fill on="f" focussize="0,0"/>
                <v:stroke weight="0.47992125984252pt" color="#000000" joinstyle="round"/>
                <v:imagedata o:title=""/>
                <o:lock v:ext="edit" aspectratio="f"/>
              </v:line>
            </w:pict>
          </mc:Fallback>
        </mc:AlternateContent>
      </w:r>
      <w:bookmarkStart w:id="466" w:name="page80"/>
      <w:bookmarkEnd w:id="466"/>
    </w:p>
    <w:p>
      <w:pPr>
        <w:keepNext w:val="0"/>
        <w:keepLines w:val="0"/>
        <w:pageBreakBefore w:val="0"/>
        <w:tabs>
          <w:tab w:val="left" w:pos="5020"/>
        </w:tabs>
        <w:kinsoku/>
        <w:topLinePunct w:val="0"/>
        <w:bidi w:val="0"/>
        <w:spacing w:beforeLines="0" w:afterLines="0" w:line="400" w:lineRule="exact"/>
        <w:ind w:firstLine="2100" w:firstLineChars="1000"/>
        <w:jc w:val="left"/>
        <w:rPr>
          <w:rFonts w:hint="eastAsia" w:ascii="宋体" w:hAnsi="宋体"/>
          <w:sz w:val="21"/>
        </w:rPr>
      </w:pPr>
      <w:r>
        <w:rPr>
          <w:rFonts w:hint="eastAsia" w:ascii="宋体" w:hAnsi="宋体"/>
          <w:sz w:val="21"/>
        </w:rPr>
        <w:t>投 标 人：</w:t>
      </w:r>
      <w:r>
        <w:rPr>
          <w:rFonts w:hint="eastAsia" w:ascii="宋体" w:hAnsi="宋体"/>
          <w:sz w:val="21"/>
          <w:u w:val="single"/>
          <w:lang w:val="en-US" w:eastAsia="zh-CN"/>
        </w:rPr>
        <w:t xml:space="preserve">                                     </w:t>
      </w:r>
      <w:r>
        <w:rPr>
          <w:rFonts w:hint="eastAsia" w:ascii="宋体" w:hAnsi="宋体"/>
          <w:sz w:val="21"/>
          <w:lang w:val="en-US" w:eastAsia="zh-CN"/>
        </w:rPr>
        <w:t xml:space="preserve"> </w:t>
      </w:r>
      <w:r>
        <w:rPr>
          <w:rFonts w:hint="eastAsia" w:ascii="宋体" w:hAnsi="宋体"/>
          <w:sz w:val="21"/>
        </w:rPr>
        <w:t>（盖单位章）</w:t>
      </w:r>
    </w:p>
    <w:p>
      <w:pPr>
        <w:keepNext w:val="0"/>
        <w:keepLines w:val="0"/>
        <w:pageBreakBefore w:val="0"/>
        <w:tabs>
          <w:tab w:val="left" w:pos="50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法定代表人（单位负责人）或其委托代理人：</w:t>
      </w:r>
      <w:r>
        <w:rPr>
          <w:rFonts w:hint="eastAsia" w:ascii="宋体" w:hAnsi="宋体"/>
          <w:sz w:val="21"/>
          <w:u w:val="single"/>
          <w:lang w:val="en-US" w:eastAsia="zh-CN"/>
        </w:rPr>
        <w:t xml:space="preserve">              </w:t>
      </w:r>
      <w:r>
        <w:rPr>
          <w:rFonts w:hint="eastAsia" w:ascii="宋体" w:hAnsi="宋体"/>
          <w:sz w:val="21"/>
        </w:rPr>
        <w:t>（签字）</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u w:val="single"/>
        </w:rPr>
      </w:pPr>
      <w:r>
        <w:rPr>
          <w:rFonts w:hint="eastAsia" w:ascii="宋体" w:hAnsi="宋体"/>
          <w:sz w:val="21"/>
        </w:rPr>
        <w:t>地</w:t>
      </w:r>
      <w:r>
        <w:rPr>
          <w:rFonts w:hint="default"/>
          <w:sz w:val="24"/>
        </w:rPr>
        <w:tab/>
      </w:r>
      <w:r>
        <w:rPr>
          <w:rFonts w:hint="eastAsia" w:ascii="宋体" w:hAnsi="宋体"/>
          <w:sz w:val="21"/>
        </w:rPr>
        <w:t>址：</w:t>
      </w:r>
      <w:r>
        <w:rPr>
          <w:rFonts w:hint="eastAsia" w:ascii="宋体" w:hAnsi="宋体"/>
          <w:sz w:val="21"/>
          <w:lang w:val="en-US" w:eastAsia="zh-CN"/>
        </w:rPr>
        <w:t xml:space="preserve"> </w:t>
      </w:r>
      <w:r>
        <w:rPr>
          <w:rFonts w:hint="eastAsia" w:ascii="宋体" w:hAnsi="宋体"/>
          <w:sz w:val="21"/>
          <w:u w:val="single"/>
          <w:lang w:val="en-US" w:eastAsia="zh-CN"/>
        </w:rPr>
        <w:t xml:space="preserve">                                             </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网</w:t>
      </w:r>
      <w:r>
        <w:rPr>
          <w:rFonts w:hint="default"/>
          <w:sz w:val="24"/>
        </w:rPr>
        <w:tab/>
      </w:r>
      <w:r>
        <w:rPr>
          <w:rFonts w:hint="eastAsia" w:ascii="宋体" w:hAnsi="宋体"/>
          <w:sz w:val="21"/>
        </w:rPr>
        <w:t>址：</w:t>
      </w:r>
      <w:r>
        <w:rPr>
          <w:rFonts w:hint="eastAsia" w:ascii="宋体" w:hAnsi="宋体"/>
          <w:sz w:val="21"/>
          <w:u w:val="single"/>
          <w:lang w:val="en-US" w:eastAsia="zh-CN"/>
        </w:rPr>
        <w:t xml:space="preserve">                                              </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电</w:t>
      </w:r>
      <w:r>
        <w:rPr>
          <w:rFonts w:hint="default"/>
          <w:sz w:val="24"/>
        </w:rPr>
        <w:tab/>
      </w:r>
      <w:r>
        <w:rPr>
          <w:rFonts w:hint="eastAsia" w:ascii="宋体" w:hAnsi="宋体"/>
          <w:sz w:val="21"/>
        </w:rPr>
        <w:t>话：</w:t>
      </w:r>
      <w:r>
        <w:rPr>
          <w:rFonts w:hint="eastAsia" w:ascii="宋体" w:hAnsi="宋体"/>
          <w:sz w:val="21"/>
          <w:u w:val="single"/>
          <w:lang w:val="en-US" w:eastAsia="zh-CN"/>
        </w:rPr>
        <w:t xml:space="preserve">                                              </w:t>
      </w:r>
    </w:p>
    <w:p>
      <w:pPr>
        <w:keepNext w:val="0"/>
        <w:keepLines w:val="0"/>
        <w:pageBreakBefore w:val="0"/>
        <w:tabs>
          <w:tab w:val="left" w:pos="620"/>
        </w:tabs>
        <w:kinsoku/>
        <w:topLinePunct w:val="0"/>
        <w:bidi w:val="0"/>
        <w:spacing w:beforeLines="0" w:afterLines="0" w:line="400" w:lineRule="exact"/>
        <w:ind w:firstLine="2100" w:firstLineChars="1000"/>
        <w:jc w:val="left"/>
        <w:rPr>
          <w:rFonts w:hint="default"/>
          <w:sz w:val="24"/>
        </w:rPr>
      </w:pPr>
      <w:r>
        <w:rPr>
          <w:rFonts w:hint="eastAsia" w:ascii="宋体" w:hAnsi="宋体"/>
          <w:sz w:val="21"/>
        </w:rPr>
        <w:t>传</w:t>
      </w:r>
      <w:r>
        <w:rPr>
          <w:rFonts w:hint="default"/>
          <w:sz w:val="24"/>
        </w:rPr>
        <w:tab/>
      </w:r>
      <w:r>
        <w:rPr>
          <w:rFonts w:hint="eastAsia" w:ascii="宋体" w:hAnsi="宋体"/>
          <w:sz w:val="21"/>
        </w:rPr>
        <w:t>真：</w:t>
      </w:r>
      <w:r>
        <w:rPr>
          <w:rFonts w:hint="eastAsia" w:ascii="宋体" w:hAnsi="宋体"/>
          <w:sz w:val="21"/>
          <w:u w:val="single"/>
          <w:lang w:val="en-US" w:eastAsia="zh-CN"/>
        </w:rPr>
        <w:t xml:space="preserve">                                              </w:t>
      </w:r>
    </w:p>
    <w:p>
      <w:pPr>
        <w:keepNext w:val="0"/>
        <w:keepLines w:val="0"/>
        <w:pageBreakBefore w:val="0"/>
        <w:kinsoku/>
        <w:topLinePunct w:val="0"/>
        <w:bidi w:val="0"/>
        <w:spacing w:beforeLines="0" w:afterLines="0" w:line="400" w:lineRule="exact"/>
        <w:ind w:firstLine="2100" w:firstLineChars="1000"/>
        <w:jc w:val="left"/>
        <w:rPr>
          <w:rFonts w:hint="default"/>
          <w:sz w:val="24"/>
        </w:rPr>
      </w:pPr>
      <w:r>
        <w:rPr>
          <w:rFonts w:hint="eastAsia" w:ascii="宋体" w:hAnsi="宋体"/>
          <w:sz w:val="21"/>
        </w:rPr>
        <w:t>邮政编码：</w:t>
      </w:r>
      <w:r>
        <w:rPr>
          <w:rFonts w:hint="eastAsia" w:ascii="宋体" w:hAnsi="宋体"/>
          <w:sz w:val="21"/>
          <w:lang w:val="en-US" w:eastAsia="zh-CN"/>
        </w:rPr>
        <w:t xml:space="preserve"> </w:t>
      </w:r>
      <w:r>
        <w:rPr>
          <w:rFonts w:hint="eastAsia" w:ascii="宋体" w:hAnsi="宋体"/>
          <w:sz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tabs>
          <w:tab w:val="left" w:pos="5060"/>
          <w:tab w:val="left" w:pos="5900"/>
        </w:tabs>
        <w:kinsoku/>
        <w:overflowPunct w:val="0"/>
        <w:topLinePunct w:val="0"/>
        <w:bidi w:val="0"/>
        <w:spacing w:beforeLines="0" w:afterLines="0" w:line="400" w:lineRule="exact"/>
        <w:ind w:left="4240"/>
        <w:jc w:val="left"/>
        <w:rPr>
          <w:rFonts w:hint="default"/>
          <w:sz w:val="24"/>
        </w:rPr>
      </w:pPr>
      <w:r>
        <w:rPr>
          <w:rFonts w:hint="eastAsia" w:ascii="宋体" w:hAnsi="宋体"/>
          <w:sz w:val="21"/>
        </w:rPr>
        <w:t>年</w:t>
      </w:r>
      <w:r>
        <w:rPr>
          <w:rFonts w:hint="default"/>
          <w:sz w:val="24"/>
        </w:rPr>
        <w:tab/>
      </w:r>
      <w:r>
        <w:rPr>
          <w:rFonts w:hint="eastAsia" w:ascii="宋体" w:hAnsi="宋体"/>
          <w:sz w:val="21"/>
        </w:rPr>
        <w:t>月</w:t>
      </w:r>
      <w:r>
        <w:rPr>
          <w:rFonts w:hint="default"/>
          <w:sz w:val="24"/>
        </w:rPr>
        <w:tab/>
      </w:r>
      <w:r>
        <w:rPr>
          <w:rFonts w:hint="eastAsia" w:ascii="宋体" w:hAnsi="宋体"/>
          <w:sz w:val="20"/>
        </w:rPr>
        <w:t>日</w:t>
      </w:r>
    </w:p>
    <w:p>
      <w:pPr>
        <w:keepNext w:val="0"/>
        <w:keepLines w:val="0"/>
        <w:pageBreakBefore w:val="0"/>
        <w:kinsoku/>
        <w:topLinePunct w:val="0"/>
        <w:bidi w:val="0"/>
        <w:spacing w:beforeLines="0" w:afterLines="0" w:line="400" w:lineRule="exact"/>
        <w:jc w:val="left"/>
        <w:rPr>
          <w:rFonts w:hint="default"/>
          <w:sz w:val="24"/>
        </w:rPr>
      </w:pPr>
      <w:r>
        <w:rPr>
          <w:rFonts w:hint="default"/>
          <w:sz w:val="24"/>
        </w:rPr>
        <mc:AlternateContent>
          <mc:Choice Requires="wps">
            <w:drawing>
              <wp:anchor distT="0" distB="0" distL="114300" distR="114300" simplePos="0" relativeHeight="251772928" behindDoc="1" locked="0" layoutInCell="1" allowOverlap="1">
                <wp:simplePos x="0" y="0"/>
                <wp:positionH relativeFrom="column">
                  <wp:posOffset>2285365</wp:posOffset>
                </wp:positionH>
                <wp:positionV relativeFrom="paragraph">
                  <wp:posOffset>0</wp:posOffset>
                </wp:positionV>
                <wp:extent cx="400685" cy="0"/>
                <wp:effectExtent l="0" t="0" r="0" b="0"/>
                <wp:wrapNone/>
                <wp:docPr id="107" name="直线 114"/>
                <wp:cNvGraphicFramePr/>
                <a:graphic xmlns:a="http://schemas.openxmlformats.org/drawingml/2006/main">
                  <a:graphicData uri="http://schemas.microsoft.com/office/word/2010/wordprocessingShape">
                    <wps:wsp>
                      <wps:cNvCnPr/>
                      <wps:spPr>
                        <a:xfrm>
                          <a:off x="0" y="0"/>
                          <a:ext cx="4006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179.95pt;margin-top:0pt;height:0pt;width:31.55pt;z-index:-251543552;mso-width-relative:page;mso-height-relative:page;" filled="f" stroked="t" coordsize="21600,21600" o:gfxdata="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oDznzSAAAABQEAAA8AAAAAAAAAAQAgAAAAIgAAAGRycy9k&#10;b3ducmV2LnhtbFBLAQIUABQAAAAIAIdO4kBVo3iNzwEAAJADAAAOAAAAAAAAAAEAIAAAACEBAABk&#10;cnMvZTJvRG9jLnhtbFBLBQYAAAAABgAGAFkBAABiBQ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73952" behindDoc="1" locked="0" layoutInCell="1" allowOverlap="1">
                <wp:simplePos x="0" y="0"/>
                <wp:positionH relativeFrom="column">
                  <wp:posOffset>2820035</wp:posOffset>
                </wp:positionH>
                <wp:positionV relativeFrom="paragraph">
                  <wp:posOffset>0</wp:posOffset>
                </wp:positionV>
                <wp:extent cx="399415" cy="0"/>
                <wp:effectExtent l="0" t="0" r="0" b="0"/>
                <wp:wrapNone/>
                <wp:docPr id="108" name="直线 115"/>
                <wp:cNvGraphicFramePr/>
                <a:graphic xmlns:a="http://schemas.openxmlformats.org/drawingml/2006/main">
                  <a:graphicData uri="http://schemas.microsoft.com/office/word/2010/wordprocessingShape">
                    <wps:wsp>
                      <wps:cNvCnPr/>
                      <wps:spPr>
                        <a:xfrm>
                          <a:off x="0" y="0"/>
                          <a:ext cx="39941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222.05pt;margin-top:0pt;height:0pt;width:31.45pt;z-index:-251542528;mso-width-relative:page;mso-height-relative:page;" filled="f" stroked="t" coordsize="21600,21600" o:gfxdata="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d9kjNEAAAAFAQAADwAAAAAAAAABACAAAAAiAAAAZHJzL2Rv&#10;d25yZXYueG1sUEsBAhQAFAAAAAgAh07iQBhomTXPAQAAkAMAAA4AAAAAAAAAAQAgAAAAIAEAAGRy&#10;cy9lMm9Eb2MueG1sUEsFBgAAAAAGAAYAWQEAAGEFAAAAAA==&#10;">
                <v:fill on="f" focussize="0,0"/>
                <v:stroke weight="0.47992125984252pt" color="#000000" joinstyle="round"/>
                <v:imagedata o:title=""/>
                <o:lock v:ext="edit" aspectratio="f"/>
              </v:line>
            </w:pict>
          </mc:Fallback>
        </mc:AlternateContent>
      </w:r>
      <w:r>
        <w:rPr>
          <w:rFonts w:hint="default"/>
          <w:sz w:val="24"/>
        </w:rPr>
        <mc:AlternateContent>
          <mc:Choice Requires="wps">
            <w:drawing>
              <wp:anchor distT="0" distB="0" distL="114300" distR="114300" simplePos="0" relativeHeight="251774976" behindDoc="1" locked="0" layoutInCell="1" allowOverlap="1">
                <wp:simplePos x="0" y="0"/>
                <wp:positionH relativeFrom="column">
                  <wp:posOffset>3353435</wp:posOffset>
                </wp:positionH>
                <wp:positionV relativeFrom="paragraph">
                  <wp:posOffset>0</wp:posOffset>
                </wp:positionV>
                <wp:extent cx="399415" cy="0"/>
                <wp:effectExtent l="0" t="0" r="0" b="0"/>
                <wp:wrapNone/>
                <wp:docPr id="109" name="直线 116"/>
                <wp:cNvGraphicFramePr/>
                <a:graphic xmlns:a="http://schemas.openxmlformats.org/drawingml/2006/main">
                  <a:graphicData uri="http://schemas.microsoft.com/office/word/2010/wordprocessingShape">
                    <wps:wsp>
                      <wps:cNvCnPr/>
                      <wps:spPr>
                        <a:xfrm>
                          <a:off x="0" y="0"/>
                          <a:ext cx="39941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264.05pt;margin-top:0pt;height:0pt;width:31.45pt;z-index:-251541504;mso-width-relative:page;mso-height-relative:page;" filled="f" stroked="t" coordsize="21600,21600" o:gfxdata="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RQT0gAAAAUBAAAPAAAAAAAAAAEAIAAAACIAAABkcnMv&#10;ZG93bnJldi54bWxQSwECFAAUAAAACACHTuJAbusAstABAACQAwAADgAAAAAAAAABACAAAAAhAQAA&#10;ZHJzL2Uyb0RvYy54bWxQSwUGAAAAAAYABgBZAQAAYwUAAAAA&#10;">
                <v:fill on="f" focussize="0,0"/>
                <v:stroke weight="0.47992125984252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p>
    <w:p>
      <w:pPr>
        <w:pStyle w:val="2"/>
        <w:ind w:left="0" w:leftChars="0" w:firstLine="0" w:firstLineChars="0"/>
        <w:rPr>
          <w:rFonts w:hint="default"/>
        </w:rPr>
      </w:pPr>
    </w:p>
    <w:p>
      <w:pPr>
        <w:keepNext w:val="0"/>
        <w:keepLines w:val="0"/>
        <w:pageBreakBefore w:val="0"/>
        <w:kinsoku/>
        <w:topLinePunct w:val="0"/>
        <w:bidi w:val="0"/>
        <w:spacing w:beforeLines="0" w:afterLines="0" w:line="400" w:lineRule="exact"/>
        <w:jc w:val="left"/>
        <w:rPr>
          <w:rFonts w:hint="eastAsia" w:ascii="宋体" w:hAnsi="宋体"/>
          <w:b/>
          <w:sz w:val="32"/>
        </w:rPr>
      </w:pPr>
      <w:bookmarkStart w:id="467" w:name="page81"/>
      <w:bookmarkEnd w:id="467"/>
    </w:p>
    <w:p>
      <w:pPr>
        <w:keepNext w:val="0"/>
        <w:keepLines w:val="0"/>
        <w:pageBreakBefore w:val="0"/>
        <w:kinsoku/>
        <w:topLinePunct w:val="0"/>
        <w:bidi w:val="0"/>
        <w:spacing w:beforeLines="0" w:afterLines="0" w:line="400" w:lineRule="exact"/>
        <w:ind w:left="1420"/>
        <w:jc w:val="left"/>
        <w:rPr>
          <w:rFonts w:hint="eastAsia" w:ascii="宋体" w:hAnsi="宋体"/>
          <w:b/>
          <w:sz w:val="32"/>
        </w:rPr>
      </w:pPr>
    </w:p>
    <w:p>
      <w:pPr>
        <w:keepNext w:val="0"/>
        <w:keepLines w:val="0"/>
        <w:pageBreakBefore w:val="0"/>
        <w:kinsoku/>
        <w:topLinePunct w:val="0"/>
        <w:bidi w:val="0"/>
        <w:spacing w:beforeLines="0" w:afterLines="0" w:line="400" w:lineRule="exact"/>
        <w:ind w:left="1420"/>
        <w:jc w:val="left"/>
        <w:rPr>
          <w:rFonts w:hint="default"/>
          <w:sz w:val="24"/>
        </w:rPr>
      </w:pPr>
      <w:r>
        <w:rPr>
          <w:rFonts w:hint="eastAsia" w:ascii="宋体" w:hAnsi="宋体"/>
          <w:b/>
          <w:sz w:val="32"/>
        </w:rPr>
        <w:t>二、法定代表人（单位负责人）身份证明</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eastAsia" w:eastAsia="宋体"/>
          <w:sz w:val="21"/>
          <w:szCs w:val="21"/>
          <w:lang w:eastAsia="zh-CN"/>
        </w:rPr>
      </w:pPr>
      <w:r>
        <w:rPr>
          <w:rFonts w:hint="eastAsia"/>
          <w:sz w:val="21"/>
          <w:szCs w:val="21"/>
          <w:lang w:eastAsia="zh-CN"/>
        </w:rPr>
        <w:t>投标人名称：</w:t>
      </w:r>
      <w:r>
        <w:rPr>
          <w:rFonts w:hint="eastAsia"/>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eastAsia="宋体"/>
          <w:sz w:val="21"/>
          <w:szCs w:val="21"/>
          <w:lang w:eastAsia="zh-CN"/>
        </w:rPr>
      </w:pPr>
      <w:r>
        <w:rPr>
          <w:rFonts w:hint="eastAsia"/>
          <w:sz w:val="21"/>
          <w:szCs w:val="21"/>
          <w:lang w:eastAsia="zh-CN"/>
        </w:rPr>
        <w:t>姓名：</w:t>
      </w:r>
      <w:r>
        <w:rPr>
          <w:rFonts w:hint="eastAsia"/>
          <w:sz w:val="21"/>
          <w:szCs w:val="21"/>
          <w:u w:val="single"/>
          <w:lang w:val="en-US" w:eastAsia="zh-CN"/>
        </w:rPr>
        <w:t xml:space="preserve">                        </w:t>
      </w:r>
      <w:r>
        <w:rPr>
          <w:rFonts w:hint="eastAsia"/>
          <w:sz w:val="21"/>
          <w:szCs w:val="21"/>
          <w:u w:val="none"/>
          <w:lang w:val="en-US" w:eastAsia="zh-CN"/>
        </w:rPr>
        <w:t xml:space="preserve"> 性别</w:t>
      </w:r>
      <w:r>
        <w:rPr>
          <w:rFonts w:hint="eastAsia"/>
          <w:sz w:val="21"/>
          <w:szCs w:val="21"/>
          <w:lang w:eastAsia="zh-CN"/>
        </w:rPr>
        <w:t>：</w:t>
      </w:r>
      <w:r>
        <w:rPr>
          <w:rFonts w:hint="eastAsia"/>
          <w:sz w:val="21"/>
          <w:szCs w:val="21"/>
          <w:u w:val="single"/>
          <w:lang w:val="en-US" w:eastAsia="zh-CN"/>
        </w:rPr>
        <w:t xml:space="preserve">             </w:t>
      </w:r>
      <w:r>
        <w:rPr>
          <w:rFonts w:hint="eastAsia"/>
          <w:sz w:val="21"/>
          <w:szCs w:val="21"/>
          <w:lang w:eastAsia="zh-CN"/>
        </w:rPr>
        <w:t>年龄：</w:t>
      </w:r>
      <w:r>
        <w:rPr>
          <w:rFonts w:hint="eastAsia"/>
          <w:sz w:val="21"/>
          <w:szCs w:val="21"/>
          <w:u w:val="single"/>
          <w:lang w:val="en-US" w:eastAsia="zh-CN"/>
        </w:rPr>
        <w:t xml:space="preserve">                          </w:t>
      </w:r>
      <w:r>
        <w:rPr>
          <w:rFonts w:hint="eastAsia"/>
          <w:sz w:val="21"/>
          <w:szCs w:val="21"/>
          <w:u w:val="none"/>
          <w:lang w:val="en-US" w:eastAsia="zh-CN"/>
        </w:rPr>
        <w:t>职务</w:t>
      </w:r>
      <w:r>
        <w:rPr>
          <w:rFonts w:hint="eastAsia"/>
          <w:sz w:val="21"/>
          <w:szCs w:val="21"/>
          <w:lang w:eastAsia="zh-CN"/>
        </w:rPr>
        <w:t>：</w:t>
      </w:r>
      <w:r>
        <w:rPr>
          <w:rFonts w:hint="eastAsia"/>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sz w:val="21"/>
          <w:szCs w:val="21"/>
          <w:u w:val="single"/>
          <w:lang w:val="en-US" w:eastAsia="zh-CN"/>
        </w:rPr>
      </w:pPr>
      <w:r>
        <w:rPr>
          <w:rFonts w:hint="eastAsia"/>
          <w:sz w:val="21"/>
          <w:szCs w:val="21"/>
          <w:lang w:eastAsia="zh-CN"/>
        </w:rPr>
        <w:t>系</w:t>
      </w:r>
      <w:r>
        <w:rPr>
          <w:rFonts w:hint="eastAsia"/>
          <w:sz w:val="21"/>
          <w:szCs w:val="21"/>
          <w:u w:val="single"/>
          <w:lang w:val="en-US" w:eastAsia="zh-CN"/>
        </w:rPr>
        <w:t xml:space="preserve">                                 </w:t>
      </w:r>
      <w:r>
        <w:rPr>
          <w:rFonts w:hint="eastAsia"/>
          <w:sz w:val="21"/>
          <w:szCs w:val="21"/>
          <w:u w:val="none"/>
          <w:lang w:val="en-US" w:eastAsia="zh-CN"/>
        </w:rPr>
        <w:t>（投标人名称）的法定代表人（单位负责人）。</w:t>
      </w:r>
    </w:p>
    <w:p>
      <w:pPr>
        <w:pStyle w:val="2"/>
        <w:keepNext w:val="0"/>
        <w:keepLines w:val="0"/>
        <w:pageBreakBefore w:val="0"/>
        <w:kinsoku/>
        <w:topLinePunct w:val="0"/>
        <w:bidi w:val="0"/>
        <w:spacing w:line="400" w:lineRule="exact"/>
        <w:rPr>
          <w:rFonts w:hint="default"/>
          <w:sz w:val="21"/>
          <w:szCs w:val="21"/>
        </w:rPr>
      </w:pPr>
      <w:r>
        <w:rPr>
          <w:rFonts w:hint="eastAsia"/>
          <w:sz w:val="21"/>
          <w:szCs w:val="21"/>
          <w:u w:val="none"/>
          <w:lang w:val="en-US" w:eastAsia="zh-CN"/>
        </w:rPr>
        <w:t>特此证明。</w: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附：法定代表人（单位负责人）身份证复印件。</w:t>
      </w: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注：本身份证明需由投标人加盖单位公章。</w: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tabs>
          <w:tab w:val="left" w:pos="6400"/>
        </w:tabs>
        <w:kinsoku/>
        <w:overflowPunct w:val="0"/>
        <w:topLinePunct w:val="0"/>
        <w:bidi w:val="0"/>
        <w:spacing w:beforeLines="0" w:afterLines="0" w:line="400" w:lineRule="exact"/>
        <w:ind w:left="4120"/>
        <w:jc w:val="left"/>
        <w:rPr>
          <w:rFonts w:hint="default"/>
          <w:sz w:val="21"/>
          <w:szCs w:val="21"/>
        </w:rPr>
      </w:pPr>
      <w:r>
        <w:rPr>
          <w:rFonts w:hint="eastAsia" w:ascii="宋体" w:hAnsi="宋体"/>
          <w:sz w:val="21"/>
          <w:szCs w:val="21"/>
        </w:rPr>
        <w:t>投标人：</w:t>
      </w:r>
      <w:r>
        <w:rPr>
          <w:rFonts w:hint="default"/>
          <w:sz w:val="21"/>
          <w:szCs w:val="21"/>
        </w:rPr>
        <w:tab/>
      </w:r>
      <w:r>
        <w:rPr>
          <w:rFonts w:hint="eastAsia" w:ascii="宋体" w:hAnsi="宋体"/>
          <w:sz w:val="21"/>
          <w:szCs w:val="21"/>
        </w:rPr>
        <w:t>（单位公章）</w:t>
      </w:r>
    </w:p>
    <w:p>
      <w:pPr>
        <w:keepNext w:val="0"/>
        <w:keepLines w:val="0"/>
        <w:pageBreakBefore w:val="0"/>
        <w:kinsoku/>
        <w:topLinePunct w:val="0"/>
        <w:bidi w:val="0"/>
        <w:spacing w:beforeLines="0" w:afterLines="0" w:line="400" w:lineRule="exact"/>
        <w:jc w:val="left"/>
        <w:rPr>
          <w:rFonts w:hint="default"/>
          <w:sz w:val="21"/>
          <w:szCs w:val="21"/>
        </w:rPr>
      </w:pPr>
      <w:r>
        <w:rPr>
          <w:rFonts w:hint="default"/>
          <w:sz w:val="21"/>
          <w:szCs w:val="21"/>
        </w:rPr>
        <mc:AlternateContent>
          <mc:Choice Requires="wps">
            <w:drawing>
              <wp:anchor distT="0" distB="0" distL="114300" distR="114300" simplePos="0" relativeHeight="251776000" behindDoc="1" locked="0" layoutInCell="1" allowOverlap="1">
                <wp:simplePos x="0" y="0"/>
                <wp:positionH relativeFrom="column">
                  <wp:posOffset>3144520</wp:posOffset>
                </wp:positionH>
                <wp:positionV relativeFrom="paragraph">
                  <wp:posOffset>635</wp:posOffset>
                </wp:positionV>
                <wp:extent cx="932815" cy="0"/>
                <wp:effectExtent l="0" t="0" r="0" b="0"/>
                <wp:wrapNone/>
                <wp:docPr id="110" name="直线 117"/>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247.6pt;margin-top:0.05pt;height:0pt;width:73.45pt;z-index:-251540480;mso-width-relative:page;mso-height-relative:page;" filled="f" stroked="t" coordsize="21600,21600" o:gfxdata="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fAGvNQAAAAFAQAADwAAAAAAAAABACAAAAAiAAAAZHJz&#10;L2Rvd25yZXYueG1sUEsBAhQAFAAAAAgAh07iQLR5y6fPAQAAkAMAAA4AAAAAAAAAAQAgAAAAIwEA&#10;AGRycy9lMm9Eb2MueG1sUEsFBgAAAAAGAAYAWQEAAGQFAAAAAA==&#10;">
                <v:fill on="f" focussize="0,0"/>
                <v:stroke weight="0.48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1"/>
          <w:szCs w:val="21"/>
        </w:rPr>
      </w:pPr>
    </w:p>
    <w:p>
      <w:pPr>
        <w:keepNext w:val="0"/>
        <w:keepLines w:val="0"/>
        <w:pageBreakBefore w:val="0"/>
        <w:tabs>
          <w:tab w:val="left" w:pos="6080"/>
          <w:tab w:val="left" w:pos="6920"/>
        </w:tabs>
        <w:kinsoku/>
        <w:topLinePunct w:val="0"/>
        <w:bidi w:val="0"/>
        <w:spacing w:beforeLines="0" w:afterLines="0" w:line="400" w:lineRule="exact"/>
        <w:ind w:left="5260"/>
        <w:jc w:val="left"/>
        <w:rPr>
          <w:rFonts w:hint="default"/>
          <w:sz w:val="21"/>
          <w:szCs w:val="21"/>
        </w:rPr>
      </w:pPr>
      <w:r>
        <w:rPr>
          <w:rFonts w:hint="eastAsia" w:ascii="宋体" w:hAnsi="宋体"/>
          <w:sz w:val="21"/>
          <w:szCs w:val="21"/>
        </w:rPr>
        <w:t>年</w:t>
      </w:r>
      <w:r>
        <w:rPr>
          <w:rFonts w:hint="default"/>
          <w:sz w:val="21"/>
          <w:szCs w:val="21"/>
        </w:rPr>
        <w:tab/>
      </w:r>
      <w:r>
        <w:rPr>
          <w:rFonts w:hint="eastAsia" w:ascii="宋体" w:hAnsi="宋体"/>
          <w:sz w:val="21"/>
          <w:szCs w:val="21"/>
        </w:rPr>
        <w:t>月</w:t>
      </w:r>
      <w:r>
        <w:rPr>
          <w:rFonts w:hint="default"/>
          <w:sz w:val="21"/>
          <w:szCs w:val="21"/>
        </w:rPr>
        <w:tab/>
      </w:r>
      <w:r>
        <w:rPr>
          <w:rFonts w:hint="eastAsia" w:ascii="宋体" w:hAnsi="宋体"/>
          <w:sz w:val="21"/>
          <w:szCs w:val="21"/>
        </w:rPr>
        <w:t>日</w:t>
      </w:r>
    </w:p>
    <w:p>
      <w:pPr>
        <w:keepNext w:val="0"/>
        <w:keepLines w:val="0"/>
        <w:pageBreakBefore w:val="0"/>
        <w:kinsoku/>
        <w:topLinePunct w:val="0"/>
        <w:bidi w:val="0"/>
        <w:spacing w:beforeLines="0" w:afterLines="0" w:line="400" w:lineRule="exact"/>
        <w:jc w:val="left"/>
        <w:rPr>
          <w:rFonts w:hint="default"/>
          <w:sz w:val="21"/>
          <w:szCs w:val="21"/>
        </w:rPr>
      </w:pPr>
      <w:r>
        <w:rPr>
          <w:rFonts w:hint="default"/>
          <w:sz w:val="21"/>
          <w:szCs w:val="21"/>
        </w:rPr>
        <mc:AlternateContent>
          <mc:Choice Requires="wps">
            <w:drawing>
              <wp:anchor distT="0" distB="0" distL="114300" distR="114300" simplePos="0" relativeHeight="251777024" behindDoc="1" locked="0" layoutInCell="1" allowOverlap="1">
                <wp:simplePos x="0" y="0"/>
                <wp:positionH relativeFrom="column">
                  <wp:posOffset>2933700</wp:posOffset>
                </wp:positionH>
                <wp:positionV relativeFrom="paragraph">
                  <wp:posOffset>0</wp:posOffset>
                </wp:positionV>
                <wp:extent cx="401320" cy="0"/>
                <wp:effectExtent l="0" t="0" r="0" b="0"/>
                <wp:wrapNone/>
                <wp:docPr id="111" name="直线 118"/>
                <wp:cNvGraphicFramePr/>
                <a:graphic xmlns:a="http://schemas.openxmlformats.org/drawingml/2006/main">
                  <a:graphicData uri="http://schemas.microsoft.com/office/word/2010/wordprocessingShape">
                    <wps:wsp>
                      <wps:cNvCnPr/>
                      <wps:spPr>
                        <a:xfrm>
                          <a:off x="0" y="0"/>
                          <a:ext cx="4013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231pt;margin-top:0pt;height:0pt;width:31.6pt;z-index:-251539456;mso-width-relative:page;mso-height-relative:page;" filled="f" stroked="t" coordsize="21600,21600" o:gfxdata="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&#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yxe01gAAAAUBAAAPAAAAAAAAAAEAIAAAACIAAABk&#10;cnMvZG93bnJldi54bWxQSwECFAAUAAAACACHTuJALNEfPc8BAACQAwAADgAAAAAAAAABACAAAAAl&#10;AQAAZHJzL2Uyb0RvYy54bWxQSwUGAAAAAAYABgBZAQAAZgU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778048" behindDoc="1" locked="0" layoutInCell="1" allowOverlap="1">
                <wp:simplePos x="0" y="0"/>
                <wp:positionH relativeFrom="column">
                  <wp:posOffset>3469005</wp:posOffset>
                </wp:positionH>
                <wp:positionV relativeFrom="paragraph">
                  <wp:posOffset>0</wp:posOffset>
                </wp:positionV>
                <wp:extent cx="399415" cy="0"/>
                <wp:effectExtent l="0" t="0" r="0" b="0"/>
                <wp:wrapNone/>
                <wp:docPr id="112" name="直线 119"/>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273.15pt;margin-top:0pt;height:0pt;width:31.45pt;z-index:-251538432;mso-width-relative:page;mso-height-relative:page;" filled="f" stroked="t" coordsize="21600,21600" o:gfxdata="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UZ99tUAAAAFAQAADwAAAAAAAAABACAAAAAiAAAA&#10;ZHJzL2Rvd25yZXYueG1sUEsBAhQAFAAAAAgAh07iQCwRhQvRAQAAkAMAAA4AAAAAAAAAAQAgAAAA&#10;JAEAAGRycy9lMm9Eb2MueG1sUEsFBgAAAAAGAAYAWQEAAGcFAAAAAA==&#10;">
                <v:fill on="f" focussize="0,0"/>
                <v:stroke weight="0.48pt" color="#000000" joinstyle="round"/>
                <v:imagedata o:title=""/>
                <o:lock v:ext="edit" aspectratio="f"/>
              </v:line>
            </w:pict>
          </mc:Fallback>
        </mc:AlternateContent>
      </w:r>
      <w:r>
        <w:rPr>
          <w:rFonts w:hint="default"/>
          <w:sz w:val="21"/>
          <w:szCs w:val="21"/>
        </w:rPr>
        <mc:AlternateContent>
          <mc:Choice Requires="wps">
            <w:drawing>
              <wp:anchor distT="0" distB="0" distL="114300" distR="114300" simplePos="0" relativeHeight="251779072" behindDoc="1" locked="0" layoutInCell="1" allowOverlap="1">
                <wp:simplePos x="0" y="0"/>
                <wp:positionH relativeFrom="column">
                  <wp:posOffset>4002405</wp:posOffset>
                </wp:positionH>
                <wp:positionV relativeFrom="paragraph">
                  <wp:posOffset>0</wp:posOffset>
                </wp:positionV>
                <wp:extent cx="399415" cy="0"/>
                <wp:effectExtent l="0" t="0" r="0" b="0"/>
                <wp:wrapNone/>
                <wp:docPr id="113" name="直线 120"/>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315.15pt;margin-top:0pt;height:0pt;width:31.45pt;z-index:-251537408;mso-width-relative:page;mso-height-relative:page;" filled="f" stroked="t" coordsize="21600,21600" o:gfxdata="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NiB/VAAAABQEAAA8AAAAAAAAAAQAgAAAAIgAAAGRy&#10;cy9kb3ducmV2LnhtbFBLAQIUABQAAAAIAIdO4kC/pirFzwEAAJADAAAOAAAAAAAAAAEAIAAAACQB&#10;AABkcnMvZTJvRG9jLnhtbFBLBQYAAAAABgAGAFkBAABlBQAAAAA=&#10;">
                <v:fill on="f" focussize="0,0"/>
                <v:stroke weight="0.48pt" color="#000000" joinstyle="round"/>
                <v:imagedata o:title=""/>
                <o:lock v:ext="edit" aspectratio="f"/>
              </v:line>
            </w:pict>
          </mc:Fallback>
        </mc:AlternateConten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200"/>
        <w:jc w:val="left"/>
        <w:rPr>
          <w:rFonts w:hint="default"/>
          <w:sz w:val="24"/>
        </w:rPr>
      </w:pPr>
      <w:r>
        <w:rPr>
          <w:rFonts w:hint="eastAsia" w:ascii="宋体" w:hAnsi="宋体"/>
          <w:b/>
          <w:sz w:val="32"/>
        </w:rPr>
        <w:t>二、授权委托书</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autoSpaceDE w:val="0"/>
        <w:autoSpaceDN w:val="0"/>
        <w:bidi w:val="0"/>
        <w:adjustRightIn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本人 </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w:t>
      </w:r>
      <w:r>
        <w:rPr>
          <w:rFonts w:hint="eastAsia" w:ascii="宋体" w:hAnsi="宋体" w:eastAsia="宋体" w:cs="宋体"/>
          <w:sz w:val="21"/>
          <w:szCs w:val="21"/>
          <w:u w:val="none"/>
          <w:lang w:val="en-US" w:eastAsia="zh-CN"/>
        </w:rPr>
        <w:t>（单位负责人）</w:t>
      </w: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（姓名）为我方代理人。代理人根据授权，以我方名义签署、澄清</w:t>
      </w:r>
      <w:r>
        <w:rPr>
          <w:rFonts w:hint="eastAsia" w:ascii="宋体" w:hAnsi="宋体" w:eastAsia="宋体" w:cs="宋体"/>
          <w:sz w:val="21"/>
          <w:szCs w:val="21"/>
          <w:lang w:eastAsia="zh-CN"/>
        </w:rPr>
        <w:t>确认</w:t>
      </w:r>
      <w:r>
        <w:rPr>
          <w:rFonts w:hint="eastAsia" w:ascii="宋体" w:hAnsi="宋体" w:eastAsia="宋体" w:cs="宋体"/>
          <w:sz w:val="21"/>
          <w:szCs w:val="21"/>
        </w:rPr>
        <w:t>、递交、撤回、修</w:t>
      </w:r>
      <w:r>
        <w:rPr>
          <w:rFonts w:hint="eastAsia" w:ascii="宋体" w:hAnsi="宋体" w:eastAsia="宋体" w:cs="宋体"/>
          <w:sz w:val="21"/>
          <w:szCs w:val="21"/>
          <w:u w:val="none"/>
        </w:rPr>
        <w:t>改</w:t>
      </w:r>
      <w:r>
        <w:rPr>
          <w:rFonts w:hint="eastAsia" w:ascii="宋体" w:hAnsi="宋体" w:eastAsia="宋体" w:cs="宋体"/>
          <w:sz w:val="21"/>
          <w:szCs w:val="21"/>
          <w:u w:val="none"/>
          <w:lang w:eastAsia="zh-CN"/>
        </w:rPr>
        <w:t>设备采购招标项目的招标文件</w:t>
      </w:r>
      <w:r>
        <w:rPr>
          <w:rFonts w:hint="eastAsia" w:ascii="宋体" w:hAnsi="宋体" w:eastAsia="宋体" w:cs="宋体"/>
          <w:sz w:val="21"/>
          <w:szCs w:val="21"/>
        </w:rPr>
        <w:t>、签订合同和处理有关事宜，其法律后果由我方承担。</w:t>
      </w:r>
    </w:p>
    <w:p>
      <w:pPr>
        <w:keepNext w:val="0"/>
        <w:keepLines w:val="0"/>
        <w:pageBreakBefore w:val="0"/>
        <w:kinsoku/>
        <w:topLinePunct w:val="0"/>
        <w:autoSpaceDE w:val="0"/>
        <w:autoSpaceDN w:val="0"/>
        <w:bidi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kinsoku/>
        <w:topLinePunct w:val="0"/>
        <w:autoSpaceDE w:val="0"/>
        <w:autoSpaceDN w:val="0"/>
        <w:bidi w:val="0"/>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代理人无转委托权。</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附：法定代表人（单位负责人）身份证复印件及委托代理人身份证复印件</w:t>
      </w:r>
      <w:r>
        <w:rPr>
          <w:rFonts w:hint="eastAsia" w:ascii="宋体" w:hAnsi="宋体" w:cs="宋体"/>
          <w:sz w:val="21"/>
          <w:szCs w:val="21"/>
          <w:lang w:eastAsia="zh-CN"/>
        </w:rPr>
        <w:t>。</w:t>
      </w:r>
    </w:p>
    <w:p>
      <w:pPr>
        <w:keepNext w:val="0"/>
        <w:keepLines w:val="0"/>
        <w:pageBreakBefore w:val="0"/>
        <w:kinsoku/>
        <w:overflowPunct w:val="0"/>
        <w:topLinePunct w:val="0"/>
        <w:bidi w:val="0"/>
        <w:spacing w:beforeLines="0" w:afterLines="0" w:line="400" w:lineRule="exact"/>
        <w:ind w:right="100"/>
        <w:jc w:val="left"/>
        <w:rPr>
          <w:rFonts w:hint="eastAsia" w:ascii="宋体" w:hAnsi="宋体" w:eastAsia="宋体" w:cs="宋体"/>
          <w:sz w:val="21"/>
          <w:szCs w:val="21"/>
        </w:rPr>
      </w:pPr>
      <w:r>
        <w:rPr>
          <w:rFonts w:hint="eastAsia" w:ascii="宋体" w:hAnsi="宋体" w:eastAsia="宋体" w:cs="宋体"/>
          <w:sz w:val="21"/>
          <w:szCs w:val="21"/>
        </w:rPr>
        <w:t>注：本授权委托书需由投标人加盖单位公章并由其法定代表人（单位负责人）和委托代理人签字。</w:t>
      </w: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（签字）</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（签字）</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keepNext w:val="0"/>
        <w:keepLines w:val="0"/>
        <w:pageBreakBefore w:val="0"/>
        <w:kinsoku/>
        <w:topLinePunct w:val="0"/>
        <w:autoSpaceDE w:val="0"/>
        <w:autoSpaceDN w:val="0"/>
        <w:bidi w:val="0"/>
        <w:adjustRightInd w:val="0"/>
        <w:spacing w:line="400" w:lineRule="exact"/>
        <w:ind w:firstLine="3238" w:firstLineChars="1542"/>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pStyle w:val="2"/>
        <w:keepNext w:val="0"/>
        <w:keepLines w:val="0"/>
        <w:pageBreakBefore w:val="0"/>
        <w:kinsoku/>
        <w:topLinePunct w:val="0"/>
        <w:bidi w:val="0"/>
        <w:spacing w:line="400" w:lineRule="exact"/>
        <w:rPr>
          <w:rFonts w:hint="eastAsia" w:ascii="宋体" w:hAnsi="宋体" w:eastAsia="宋体" w:cs="宋体"/>
          <w:sz w:val="21"/>
          <w:szCs w:val="21"/>
        </w:rPr>
      </w:pPr>
    </w:p>
    <w:p>
      <w:pPr>
        <w:pStyle w:val="2"/>
        <w:keepNext w:val="0"/>
        <w:keepLines w:val="0"/>
        <w:pageBreakBefore w:val="0"/>
        <w:kinsoku/>
        <w:topLinePunct w:val="0"/>
        <w:bidi w:val="0"/>
        <w:spacing w:line="400" w:lineRule="exact"/>
        <w:rPr>
          <w:rFonts w:hint="default" w:ascii="宋体" w:hAnsi="宋体"/>
          <w:sz w:val="21"/>
        </w:rPr>
      </w:pPr>
    </w:p>
    <w:p>
      <w:pPr>
        <w:pStyle w:val="2"/>
        <w:keepNext w:val="0"/>
        <w:keepLines w:val="0"/>
        <w:pageBreakBefore w:val="0"/>
        <w:kinsoku/>
        <w:topLinePunct w:val="0"/>
        <w:bidi w:val="0"/>
        <w:spacing w:line="400" w:lineRule="exact"/>
        <w:rPr>
          <w:rFonts w:hint="default" w:ascii="宋体" w:hAnsi="宋体"/>
          <w:sz w:val="21"/>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ind w:left="0" w:leftChars="0" w:firstLine="0" w:firstLineChars="0"/>
        <w:rPr>
          <w:rFonts w:hint="eastAsia" w:ascii="宋体" w:hAnsi="宋体" w:eastAsia="宋体" w:cs="宋体"/>
          <w:sz w:val="21"/>
          <w:szCs w:val="21"/>
        </w:rPr>
      </w:pPr>
      <w:bookmarkStart w:id="468" w:name="page83"/>
      <w:bookmarkEnd w:id="468"/>
    </w:p>
    <w:p>
      <w:pPr>
        <w:pStyle w:val="2"/>
        <w:rPr>
          <w:rFonts w:hint="eastAsia" w:ascii="宋体" w:hAnsi="宋体" w:eastAsia="宋体" w:cs="宋体"/>
          <w:sz w:val="21"/>
          <w:szCs w:val="21"/>
        </w:rPr>
      </w:pPr>
    </w:p>
    <w:p>
      <w:pPr>
        <w:keepNext w:val="0"/>
        <w:keepLines w:val="0"/>
        <w:pageBreakBefore w:val="0"/>
        <w:numPr>
          <w:ilvl w:val="0"/>
          <w:numId w:val="0"/>
        </w:numPr>
        <w:kinsoku/>
        <w:topLinePunct w:val="0"/>
        <w:bidi w:val="0"/>
        <w:spacing w:beforeLines="0" w:afterLines="0" w:line="400" w:lineRule="exact"/>
        <w:jc w:val="center"/>
        <w:rPr>
          <w:rFonts w:hint="eastAsia" w:ascii="宋体" w:hAnsi="宋体"/>
          <w:b/>
          <w:sz w:val="32"/>
        </w:rPr>
      </w:pPr>
      <w:bookmarkStart w:id="469" w:name="page84"/>
      <w:bookmarkEnd w:id="469"/>
      <w:r>
        <w:rPr>
          <w:rFonts w:hint="eastAsia" w:ascii="宋体" w:hAnsi="宋体"/>
          <w:b/>
          <w:sz w:val="32"/>
          <w:lang w:eastAsia="zh-CN"/>
        </w:rPr>
        <w:t>三、</w:t>
      </w:r>
      <w:r>
        <w:rPr>
          <w:rFonts w:hint="eastAsia" w:ascii="宋体" w:hAnsi="宋体"/>
          <w:b/>
          <w:sz w:val="32"/>
        </w:rPr>
        <w:t>投标保证金</w:t>
      </w:r>
    </w:p>
    <w:p>
      <w:pPr>
        <w:pStyle w:val="2"/>
        <w:numPr>
          <w:ilvl w:val="0"/>
          <w:numId w:val="0"/>
        </w:numPr>
        <w:rPr>
          <w:rFonts w:hint="eastAsia"/>
        </w:rPr>
      </w:pPr>
    </w:p>
    <w:p>
      <w:pPr>
        <w:keepNext w:val="0"/>
        <w:keepLines w:val="0"/>
        <w:pageBreakBefore w:val="0"/>
        <w:kinsoku/>
        <w:topLinePunct w:val="0"/>
        <w:bidi w:val="0"/>
        <w:spacing w:line="400" w:lineRule="exact"/>
        <w:ind w:firstLine="420" w:firstLineChars="200"/>
        <w:rPr>
          <w:rFonts w:ascii="宋体" w:hAnsi="宋体"/>
          <w:sz w:val="21"/>
          <w:szCs w:val="21"/>
        </w:rPr>
      </w:pPr>
      <w:r>
        <w:rPr>
          <w:rFonts w:hint="eastAsia" w:ascii="宋体" w:hAnsi="宋体"/>
          <w:sz w:val="21"/>
          <w:szCs w:val="21"/>
        </w:rPr>
        <w:t>附投标保证金有效证明资料：</w:t>
      </w:r>
    </w:p>
    <w:p>
      <w:pPr>
        <w:keepNext w:val="0"/>
        <w:keepLines w:val="0"/>
        <w:pageBreakBefore w:val="0"/>
        <w:kinsoku/>
        <w:topLinePunct w:val="0"/>
        <w:bidi w:val="0"/>
        <w:spacing w:beforeLines="0" w:afterLines="0" w:line="400" w:lineRule="exact"/>
        <w:jc w:val="lef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pStyle w:val="2"/>
        <w:keepNext w:val="0"/>
        <w:keepLines w:val="0"/>
        <w:pageBreakBefore w:val="0"/>
        <w:kinsoku/>
        <w:topLinePunct w:val="0"/>
        <w:bidi w:val="0"/>
        <w:spacing w:line="400" w:lineRule="exac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470" w:name="page85"/>
      <w:bookmarkEnd w:id="470"/>
    </w:p>
    <w:p>
      <w:pPr>
        <w:keepNext w:val="0"/>
        <w:keepLines w:val="0"/>
        <w:pageBreakBefore w:val="0"/>
        <w:kinsoku/>
        <w:topLinePunct w:val="0"/>
        <w:bidi w:val="0"/>
        <w:spacing w:beforeLines="0" w:afterLines="0" w:line="400" w:lineRule="exact"/>
        <w:ind w:left="2300"/>
        <w:jc w:val="both"/>
        <w:rPr>
          <w:rFonts w:hint="default"/>
          <w:sz w:val="24"/>
        </w:rPr>
      </w:pPr>
      <w:r>
        <w:rPr>
          <w:rFonts w:hint="eastAsia" w:ascii="宋体" w:hAnsi="宋体"/>
          <w:b/>
          <w:sz w:val="32"/>
          <w:lang w:eastAsia="zh-CN"/>
        </w:rPr>
        <w:t>四</w:t>
      </w:r>
      <w:r>
        <w:rPr>
          <w:rFonts w:hint="eastAsia" w:ascii="宋体" w:hAnsi="宋体"/>
          <w:b/>
          <w:sz w:val="32"/>
        </w:rPr>
        <w:t>、商务和技术偏差表</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tbl>
      <w:tblPr>
        <w:tblStyle w:val="20"/>
        <w:tblpPr w:leftFromText="180" w:rightFromText="180" w:vertAnchor="text" w:horzAnchor="page" w:tblpX="1809" w:tblpY="22"/>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940"/>
        <w:gridCol w:w="2607"/>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序号</w:t>
            </w:r>
          </w:p>
        </w:tc>
        <w:tc>
          <w:tcPr>
            <w:tcW w:w="294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招标文件章节及条款号</w:t>
            </w:r>
          </w:p>
        </w:tc>
        <w:tc>
          <w:tcPr>
            <w:tcW w:w="2607"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投标文件章节及条款号</w:t>
            </w:r>
          </w:p>
        </w:tc>
        <w:tc>
          <w:tcPr>
            <w:tcW w:w="2213" w:type="dxa"/>
            <w:vAlign w:val="center"/>
          </w:tcPr>
          <w:p>
            <w:pPr>
              <w:keepNext w:val="0"/>
              <w:keepLines w:val="0"/>
              <w:pageBreakBefore w:val="0"/>
              <w:widowControl w:val="0"/>
              <w:kinsoku/>
              <w:topLinePunct w:val="0"/>
              <w:bidi w:val="0"/>
              <w:spacing w:beforeLines="0" w:afterLines="0" w:line="400" w:lineRule="exact"/>
              <w:jc w:val="center"/>
              <w:rPr>
                <w:rFonts w:hint="eastAsia" w:eastAsia="宋体"/>
                <w:b/>
                <w:bCs/>
                <w:sz w:val="21"/>
                <w:szCs w:val="21"/>
                <w:vertAlign w:val="baseline"/>
                <w:lang w:eastAsia="zh-CN"/>
              </w:rPr>
            </w:pPr>
            <w:r>
              <w:rPr>
                <w:rFonts w:hint="eastAsia"/>
                <w:b/>
                <w:bCs/>
                <w:sz w:val="21"/>
                <w:szCs w:val="21"/>
                <w:vertAlign w:val="baseline"/>
                <w:lang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1</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2</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3</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4</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090"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5</w:t>
            </w: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090" w:type="dxa"/>
            <w:vAlign w:val="center"/>
          </w:tcPr>
          <w:p>
            <w:pPr>
              <w:keepNext w:val="0"/>
              <w:keepLines w:val="0"/>
              <w:pageBreakBefore w:val="0"/>
              <w:widowControl w:val="0"/>
              <w:kinsoku/>
              <w:topLinePunct w:val="0"/>
              <w:bidi w:val="0"/>
              <w:spacing w:beforeLines="0" w:afterLines="0" w:line="400" w:lineRule="exact"/>
              <w:ind w:left="40"/>
              <w:jc w:val="center"/>
              <w:rPr>
                <w:rFonts w:hint="default"/>
                <w:sz w:val="24"/>
                <w:vertAlign w:val="baseline"/>
              </w:rPr>
            </w:pPr>
            <w:r>
              <w:rPr>
                <w:rFonts w:hint="default" w:ascii="Times New Roman" w:hAnsi="Times New Roman" w:eastAsia="Times New Roman"/>
                <w:sz w:val="21"/>
              </w:rPr>
              <w:t>……</w:t>
            </w:r>
          </w:p>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c>
          <w:tcPr>
            <w:tcW w:w="2940"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607"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c>
          <w:tcPr>
            <w:tcW w:w="2213" w:type="dxa"/>
          </w:tcPr>
          <w:p>
            <w:pPr>
              <w:keepNext w:val="0"/>
              <w:keepLines w:val="0"/>
              <w:pageBreakBefore w:val="0"/>
              <w:widowControl w:val="0"/>
              <w:kinsoku/>
              <w:topLinePunct w:val="0"/>
              <w:bidi w:val="0"/>
              <w:spacing w:beforeLines="0" w:afterLines="0" w:line="400" w:lineRule="exact"/>
              <w:jc w:val="left"/>
              <w:rPr>
                <w:rFonts w:hint="default"/>
                <w:sz w:val="24"/>
                <w:vertAlign w:val="baseline"/>
              </w:rPr>
            </w:pPr>
          </w:p>
        </w:tc>
      </w:tr>
    </w:tbl>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40"/>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1"/>
          <w:szCs w:val="21"/>
        </w:rPr>
      </w:pPr>
      <w:r>
        <w:rPr>
          <w:rFonts w:hint="eastAsia" w:ascii="宋体" w:hAnsi="宋体"/>
          <w:sz w:val="21"/>
          <w:szCs w:val="21"/>
        </w:rPr>
        <w:t>投标人保证：除商务和技术偏差表列出的偏差外，投标人响应招标文件的全部要求。</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200"/>
        <w:jc w:val="left"/>
        <w:rPr>
          <w:rFonts w:hint="default"/>
          <w:sz w:val="24"/>
        </w:rPr>
      </w:pPr>
      <w:r>
        <w:rPr>
          <w:rFonts w:hint="eastAsia" w:ascii="宋体" w:hAnsi="宋体"/>
          <w:b/>
          <w:sz w:val="32"/>
          <w:lang w:eastAsia="zh-CN"/>
        </w:rPr>
        <w:t>五</w:t>
      </w:r>
      <w:r>
        <w:rPr>
          <w:rFonts w:hint="eastAsia" w:ascii="宋体" w:hAnsi="宋体"/>
          <w:b/>
          <w:sz w:val="32"/>
        </w:rPr>
        <w:t>、分项报价表</w:t>
      </w:r>
    </w:p>
    <w:p>
      <w:pPr>
        <w:keepNext w:val="0"/>
        <w:keepLines w:val="0"/>
        <w:pageBreakBefore w:val="0"/>
        <w:numPr>
          <w:ilvl w:val="0"/>
          <w:numId w:val="106"/>
        </w:numPr>
        <w:tabs>
          <w:tab w:val="left" w:pos="680"/>
          <w:tab w:val="clear" w:pos="720"/>
        </w:tabs>
        <w:kinsoku/>
        <w:overflowPunct w:val="0"/>
        <w:topLinePunct w:val="0"/>
        <w:bidi w:val="0"/>
        <w:spacing w:beforeLines="0" w:afterLines="0" w:line="400" w:lineRule="exact"/>
        <w:ind w:left="680" w:hanging="260"/>
        <w:rPr>
          <w:rFonts w:hint="default" w:ascii="Times New Roman" w:hAnsi="Times New Roman" w:eastAsia="Times New Roman"/>
          <w:sz w:val="21"/>
        </w:rPr>
      </w:pPr>
      <w:r>
        <w:rPr>
          <w:rFonts w:hint="eastAsia" w:ascii="宋体" w:hAnsi="宋体"/>
          <w:sz w:val="21"/>
        </w:rPr>
        <w:t>分项报价表说明</w:t>
      </w:r>
    </w:p>
    <w:p>
      <w:pPr>
        <w:keepNext w:val="0"/>
        <w:keepLines w:val="0"/>
        <w:pageBreakBefore w:val="0"/>
        <w:numPr>
          <w:ilvl w:val="0"/>
          <w:numId w:val="106"/>
        </w:numPr>
        <w:tabs>
          <w:tab w:val="left" w:pos="680"/>
          <w:tab w:val="clear" w:pos="720"/>
        </w:tabs>
        <w:kinsoku/>
        <w:overflowPunct w:val="0"/>
        <w:topLinePunct w:val="0"/>
        <w:bidi w:val="0"/>
        <w:spacing w:beforeLines="0" w:afterLines="0" w:line="400" w:lineRule="exact"/>
        <w:ind w:left="680" w:hanging="260"/>
        <w:rPr>
          <w:rFonts w:hint="eastAsia" w:ascii="宋体" w:hAnsi="宋体" w:eastAsia="宋体" w:cs="宋体"/>
          <w:sz w:val="21"/>
          <w:szCs w:val="21"/>
        </w:rPr>
      </w:pPr>
      <w:r>
        <w:rPr>
          <w:rFonts w:hint="eastAsia" w:ascii="宋体" w:hAnsi="宋体"/>
          <w:sz w:val="21"/>
        </w:rPr>
        <w:t>分项报价表</w:t>
      </w:r>
    </w:p>
    <w:p>
      <w:pPr>
        <w:keepNext w:val="0"/>
        <w:keepLines w:val="0"/>
        <w:pageBreakBefore w:val="0"/>
        <w:kinsoku/>
        <w:topLinePunct w:val="0"/>
        <w:bidi w:val="0"/>
        <w:spacing w:beforeLines="0" w:afterLines="0" w:line="400" w:lineRule="exact"/>
        <w:ind w:firstLine="6090" w:firstLineChars="2900"/>
        <w:jc w:val="left"/>
        <w:rPr>
          <w:rFonts w:hint="eastAsia" w:ascii="宋体" w:hAnsi="宋体" w:eastAsia="宋体" w:cs="宋体"/>
          <w:sz w:val="21"/>
          <w:szCs w:val="21"/>
        </w:rPr>
      </w:pPr>
      <w:r>
        <w:rPr>
          <w:rFonts w:hint="eastAsia" w:ascii="宋体" w:hAnsi="宋体" w:eastAsia="宋体" w:cs="宋体"/>
          <w:sz w:val="21"/>
          <w:szCs w:val="21"/>
        </w:rPr>
        <w:t>单位：人民币元</w:t>
      </w:r>
    </w:p>
    <w:tbl>
      <w:tblPr>
        <w:tblStyle w:val="2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09"/>
        <w:gridCol w:w="1308"/>
        <w:gridCol w:w="1308"/>
        <w:gridCol w:w="1308"/>
        <w:gridCol w:w="131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分项名称</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单价（元）</w:t>
            </w: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总价（元）</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w w:val="99"/>
                <w:sz w:val="21"/>
                <w:szCs w:val="21"/>
              </w:rPr>
              <w:t>……</w:t>
            </w: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w w:val="99"/>
                <w:sz w:val="21"/>
                <w:szCs w:val="21"/>
              </w:rPr>
              <w:t>……</w:t>
            </w: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8"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6541" w:type="dxa"/>
            <w:gridSpan w:val="5"/>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合计报价</w:t>
            </w:r>
          </w:p>
        </w:tc>
        <w:tc>
          <w:tcPr>
            <w:tcW w:w="1310"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30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bl>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bookmarkStart w:id="479" w:name="_GoBack"/>
      <w:bookmarkEnd w:id="479"/>
    </w:p>
    <w:p>
      <w:pPr>
        <w:pStyle w:val="2"/>
        <w:ind w:left="0" w:leftChars="0" w:firstLine="0" w:firstLineChars="0"/>
        <w:rPr>
          <w:rFonts w:hint="default"/>
        </w:rPr>
      </w:pPr>
    </w:p>
    <w:p>
      <w:pPr>
        <w:pStyle w:val="2"/>
        <w:keepNext w:val="0"/>
        <w:keepLines w:val="0"/>
        <w:pageBreakBefore w:val="0"/>
        <w:kinsoku/>
        <w:topLinePunct w:val="0"/>
        <w:bidi w:val="0"/>
        <w:spacing w:line="400" w:lineRule="exact"/>
        <w:ind w:firstLine="3173" w:firstLineChars="1000"/>
        <w:rPr>
          <w:rFonts w:hint="default"/>
          <w:sz w:val="24"/>
        </w:rPr>
      </w:pPr>
      <w:r>
        <w:rPr>
          <w:rFonts w:hint="eastAsia" w:ascii="宋体" w:hAnsi="宋体"/>
          <w:b/>
          <w:w w:val="99"/>
          <w:sz w:val="32"/>
          <w:lang w:eastAsia="zh-CN"/>
        </w:rPr>
        <w:t>六</w:t>
      </w:r>
      <w:r>
        <w:rPr>
          <w:rFonts w:hint="eastAsia" w:ascii="宋体" w:hAnsi="宋体"/>
          <w:b/>
          <w:w w:val="99"/>
          <w:sz w:val="32"/>
        </w:rPr>
        <w:t>、资格审查资料</w:t>
      </w:r>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8"/>
        </w:rPr>
        <w:t>（一）基本情况表</w:t>
      </w:r>
    </w:p>
    <w:tbl>
      <w:tblPr>
        <w:tblStyle w:val="20"/>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542"/>
        <w:gridCol w:w="1724"/>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投标人名称</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注册资金</w:t>
            </w:r>
          </w:p>
        </w:tc>
        <w:tc>
          <w:tcPr>
            <w:tcW w:w="3266" w:type="dxa"/>
            <w:gridSpan w:val="2"/>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成立时间</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注册地址</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员工总数</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906" w:type="dxa"/>
            <w:vMerge w:val="restart"/>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联系方式</w:t>
            </w: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电话</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906" w:type="dxa"/>
            <w:vMerge w:val="continue"/>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网址</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传真</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法定代表人</w:t>
            </w:r>
          </w:p>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（单位负责人）</w:t>
            </w:r>
          </w:p>
        </w:tc>
        <w:tc>
          <w:tcPr>
            <w:tcW w:w="1542"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姓名</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电话</w:t>
            </w:r>
          </w:p>
        </w:tc>
        <w:tc>
          <w:tcPr>
            <w:tcW w:w="1724"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投标人须知要求投标人需具有的各类资质</w:t>
            </w:r>
          </w:p>
        </w:tc>
        <w:tc>
          <w:tcPr>
            <w:tcW w:w="6714" w:type="dxa"/>
            <w:gridSpan w:val="4"/>
            <w:vAlign w:val="center"/>
          </w:tcPr>
          <w:p>
            <w:pPr>
              <w:keepNext w:val="0"/>
              <w:keepLines w:val="0"/>
              <w:pageBreakBefore w:val="0"/>
              <w:widowControl w:val="0"/>
              <w:kinsoku/>
              <w:topLinePunct w:val="0"/>
              <w:bidi w:val="0"/>
              <w:spacing w:beforeLines="0" w:afterLines="0" w:line="400" w:lineRule="exact"/>
              <w:jc w:val="both"/>
              <w:rPr>
                <w:rFonts w:hint="eastAsia" w:ascii="宋体" w:hAnsi="宋体" w:eastAsia="宋体" w:cs="宋体"/>
                <w:sz w:val="21"/>
                <w:szCs w:val="21"/>
                <w:vertAlign w:val="baseline"/>
              </w:rPr>
            </w:pPr>
            <w:r>
              <w:rPr>
                <w:rFonts w:hint="eastAsia" w:ascii="宋体" w:hAnsi="宋体" w:eastAsia="宋体" w:cs="宋体"/>
                <w:sz w:val="21"/>
                <w:szCs w:val="21"/>
              </w:rPr>
              <w:t>类型：</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等级：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基本账户开户银行</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基本账户银行账号</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近三年营业额</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w w:val="99"/>
                <w:sz w:val="21"/>
                <w:szCs w:val="21"/>
              </w:rPr>
            </w:pPr>
            <w:r>
              <w:rPr>
                <w:rFonts w:hint="eastAsia" w:ascii="宋体" w:hAnsi="宋体" w:eastAsia="宋体" w:cs="宋体"/>
                <w:sz w:val="21"/>
                <w:szCs w:val="21"/>
              </w:rPr>
              <w:t>投标人关联企业情况（包括但不限于与投标人法定代表人（单位负责人）为同一人或者存在控股、管理关系的不同单位）</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w w:val="99"/>
                <w:sz w:val="21"/>
                <w:szCs w:val="21"/>
              </w:rPr>
            </w:pPr>
            <w:r>
              <w:rPr>
                <w:rFonts w:hint="eastAsia" w:ascii="宋体" w:hAnsi="宋体" w:eastAsia="宋体" w:cs="宋体"/>
                <w:sz w:val="21"/>
                <w:szCs w:val="21"/>
              </w:rPr>
              <w:t>投标设备制造商名称</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r>
              <w:rPr>
                <w:rFonts w:hint="eastAsia" w:ascii="宋体" w:hAnsi="宋体" w:eastAsia="宋体" w:cs="宋体"/>
                <w:sz w:val="21"/>
                <w:szCs w:val="21"/>
              </w:rPr>
              <w:t>投标人须知要求投标设备制造商需具有的资质证书</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06"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6714" w:type="dxa"/>
            <w:gridSpan w:val="4"/>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rPr>
            </w:pPr>
          </w:p>
        </w:tc>
      </w:tr>
    </w:tbl>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注：1. 投标人应根据投标人须知第 3.5.1 项的要求在本表后附相关证明材料。境内投标人以现金或者支票形式提交投标保证金的，还应附基本账户开户许可证复印件。</w:t>
      </w:r>
    </w:p>
    <w:p>
      <w:pPr>
        <w:keepNext w:val="0"/>
        <w:keepLines w:val="0"/>
        <w:pageBreakBefore w:val="0"/>
        <w:kinsoku/>
        <w:topLinePunct w:val="0"/>
        <w:bidi w:val="0"/>
        <w:spacing w:beforeLines="0" w:afterLines="0" w:line="400" w:lineRule="exact"/>
        <w:ind w:left="0" w:leftChars="0" w:firstLine="420" w:firstLineChars="200"/>
        <w:jc w:val="left"/>
        <w:rPr>
          <w:rFonts w:hint="default"/>
          <w:sz w:val="24"/>
        </w:rPr>
      </w:pPr>
      <w:r>
        <w:rPr>
          <w:rFonts w:hint="eastAsia" w:ascii="宋体" w:hAnsi="宋体" w:eastAsia="宋体" w:cs="宋体"/>
          <w:sz w:val="21"/>
          <w:szCs w:val="21"/>
        </w:rPr>
        <w:t>2. 如果投标人须知第 1.4.1 项对投标设备制造商的资质提出了要求，投标人应根据投标人须知第 3.5.1 项的要求在本表后附相关资质证书复印件。</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ind w:left="0" w:leftChars="0" w:firstLine="0" w:firstLineChars="0"/>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471" w:name="page89"/>
      <w:bookmarkEnd w:id="471"/>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sz w:val="28"/>
        </w:rPr>
        <w:t>（二）近年财务状况表</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numPr>
          <w:ilvl w:val="0"/>
          <w:numId w:val="107"/>
        </w:numPr>
        <w:tabs>
          <w:tab w:val="left" w:pos="540"/>
          <w:tab w:val="clear" w:pos="720"/>
        </w:tabs>
        <w:kinsoku/>
        <w:overflowPunct w:val="0"/>
        <w:topLinePunct w:val="0"/>
        <w:bidi w:val="0"/>
        <w:spacing w:beforeLines="0" w:afterLines="0" w:line="400" w:lineRule="exact"/>
        <w:ind w:left="540" w:hanging="260"/>
        <w:rPr>
          <w:rFonts w:hint="default" w:ascii="Times New Roman" w:hAnsi="Times New Roman" w:eastAsia="Times New Roman"/>
          <w:sz w:val="21"/>
        </w:rPr>
      </w:pPr>
      <w:r>
        <w:rPr>
          <w:rFonts w:hint="eastAsia" w:ascii="宋体" w:hAnsi="宋体"/>
          <w:sz w:val="21"/>
        </w:rPr>
        <w:t xml:space="preserve">投标人应根据投标人须知第 </w:t>
      </w:r>
      <w:r>
        <w:rPr>
          <w:rFonts w:hint="default" w:ascii="Times New Roman" w:hAnsi="Times New Roman" w:eastAsia="Times New Roman"/>
          <w:sz w:val="21"/>
        </w:rPr>
        <w:t>3.5.2</w:t>
      </w:r>
      <w:r>
        <w:rPr>
          <w:rFonts w:hint="eastAsia" w:ascii="宋体" w:hAnsi="宋体"/>
          <w:sz w:val="21"/>
        </w:rPr>
        <w:t xml:space="preserve"> 项的要求在本表后附相关证明材料。</w:t>
      </w:r>
    </w:p>
    <w:p>
      <w:pPr>
        <w:keepNext w:val="0"/>
        <w:keepLines w:val="0"/>
        <w:pageBreakBefore w:val="0"/>
        <w:numPr>
          <w:ilvl w:val="0"/>
          <w:numId w:val="107"/>
        </w:numPr>
        <w:tabs>
          <w:tab w:val="left" w:pos="546"/>
          <w:tab w:val="clear" w:pos="720"/>
        </w:tabs>
        <w:kinsoku/>
        <w:overflowPunct w:val="0"/>
        <w:topLinePunct w:val="0"/>
        <w:bidi w:val="0"/>
        <w:spacing w:beforeLines="0" w:afterLines="0" w:line="400" w:lineRule="exact"/>
        <w:ind w:left="-140" w:firstLine="420"/>
        <w:rPr>
          <w:rFonts w:hint="default" w:ascii="Times New Roman" w:hAnsi="Times New Roman" w:eastAsia="Times New Roman"/>
          <w:sz w:val="21"/>
        </w:rPr>
      </w:pPr>
      <w:r>
        <w:rPr>
          <w:rFonts w:hint="eastAsia" w:ascii="宋体" w:hAnsi="宋体"/>
          <w:sz w:val="21"/>
        </w:rPr>
        <w:t>对于可以现货供应的标准设备（非定制设备），投标人的财务状况一般不宜作为审查投标人履约能力的因素。</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sz w:val="24"/>
        </w:rPr>
      </w:pPr>
    </w:p>
    <w:p>
      <w:pPr>
        <w:pStyle w:val="2"/>
        <w:rPr>
          <w:rFonts w:hint="default"/>
          <w:sz w:val="24"/>
        </w:rPr>
      </w:pPr>
    </w:p>
    <w:p>
      <w:pPr>
        <w:pStyle w:val="2"/>
        <w:rPr>
          <w:rFonts w:hint="default"/>
          <w:sz w:val="24"/>
        </w:rPr>
      </w:pPr>
    </w:p>
    <w:p>
      <w:pPr>
        <w:pStyle w:val="2"/>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140"/>
        <w:jc w:val="left"/>
        <w:rPr>
          <w:rFonts w:hint="default"/>
          <w:sz w:val="24"/>
        </w:rPr>
      </w:pPr>
      <w:bookmarkStart w:id="472" w:name="page90"/>
      <w:bookmarkEnd w:id="472"/>
      <w:r>
        <w:rPr>
          <w:rFonts w:hint="eastAsia" w:ascii="宋体" w:hAnsi="宋体"/>
          <w:sz w:val="28"/>
        </w:rPr>
        <w:t>（三）近年完成的类似项目情况表</w:t>
      </w:r>
    </w:p>
    <w:tbl>
      <w:tblPr>
        <w:tblStyle w:val="20"/>
        <w:tblpPr w:leftFromText="180" w:rightFromText="180" w:vertAnchor="text" w:horzAnchor="page" w:tblpX="1900" w:tblpY="276"/>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设备名称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规格和型号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项目名称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买方名称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买方联系人及电话</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签约合同价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项目概况及投标人履约情况</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ascii="宋体" w:hAnsi="宋体" w:eastAsia="宋体" w:cs="宋体"/>
                <w:sz w:val="21"/>
                <w:szCs w:val="21"/>
                <w:vertAlign w:val="baseline"/>
              </w:rPr>
            </w:pPr>
          </w:p>
        </w:tc>
      </w:tr>
    </w:tbl>
    <w:p>
      <w:pPr>
        <w:pStyle w:val="2"/>
        <w:keepNext w:val="0"/>
        <w:keepLines w:val="0"/>
        <w:pageBreakBefore w:val="0"/>
        <w:kinsoku/>
        <w:topLinePunct w:val="0"/>
        <w:bidi w:val="0"/>
        <w:spacing w:line="400" w:lineRule="exac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注：1. 投标人应根据投标人须知第 3.5.3 项的要求在本表后附相关证明材料。</w:t>
      </w:r>
    </w:p>
    <w:p>
      <w:pPr>
        <w:keepNext w:val="0"/>
        <w:keepLines w:val="0"/>
        <w:pageBreakBefore w:val="0"/>
        <w:kinsoku/>
        <w:topLinePunct w:val="0"/>
        <w:bidi w:val="0"/>
        <w:spacing w:beforeLines="0" w:afterLines="0"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2. 投标人为代理经销商的，投标人须知第 1.4.1 项要求投标人提供投标设备的业绩的，投标人应按照上表的格式提供投标设备的业绩情况并根据投标人须知第 3.5.3 项的要求在本表后附相关证明材料。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（四）正在供货和新承接的项目情况表</w:t>
      </w:r>
      <w:bookmarkStart w:id="473" w:name="page91"/>
      <w:bookmarkEnd w:id="473"/>
    </w:p>
    <w:tbl>
      <w:tblPr>
        <w:tblStyle w:val="20"/>
        <w:tblpPr w:leftFromText="180" w:rightFromText="180" w:vertAnchor="text" w:horzAnchor="page" w:tblpX="1937" w:tblpY="34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设备名称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规格和型号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项目名称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买方名称</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买方联系人及电话</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签约合同价</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eastAsia" w:ascii="宋体" w:hAnsi="宋体"/>
                <w:sz w:val="21"/>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r>
              <w:rPr>
                <w:rFonts w:hint="default"/>
                <w:sz w:val="24"/>
                <w:vertAlign w:val="baseline"/>
              </w:rPr>
              <w:t>项目概况及投标人履约情况</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trPr>
        <w:tc>
          <w:tcPr>
            <w:tcW w:w="2291" w:type="dxa"/>
            <w:vAlign w:val="center"/>
          </w:tcPr>
          <w:p>
            <w:pPr>
              <w:keepNext w:val="0"/>
              <w:keepLines w:val="0"/>
              <w:pageBreakBefore w:val="0"/>
              <w:widowControl w:val="0"/>
              <w:kinsoku/>
              <w:topLinePunct w:val="0"/>
              <w:bidi w:val="0"/>
              <w:spacing w:beforeLines="0" w:afterLines="0" w:line="400" w:lineRule="exact"/>
              <w:jc w:val="center"/>
              <w:rPr>
                <w:rFonts w:hint="eastAsia" w:eastAsia="宋体"/>
                <w:sz w:val="24"/>
                <w:vertAlign w:val="baseline"/>
                <w:lang w:val="en-US" w:eastAsia="zh-CN"/>
              </w:rPr>
            </w:pPr>
            <w:r>
              <w:rPr>
                <w:rFonts w:hint="eastAsia"/>
                <w:sz w:val="24"/>
                <w:vertAlign w:val="baseline"/>
                <w:lang w:val="en-US" w:eastAsia="zh-CN"/>
              </w:rPr>
              <w:t>备注</w:t>
            </w:r>
          </w:p>
        </w:tc>
        <w:tc>
          <w:tcPr>
            <w:tcW w:w="6469" w:type="dxa"/>
            <w:vAlign w:val="center"/>
          </w:tcPr>
          <w:p>
            <w:pPr>
              <w:keepNext w:val="0"/>
              <w:keepLines w:val="0"/>
              <w:pageBreakBefore w:val="0"/>
              <w:widowControl w:val="0"/>
              <w:kinsoku/>
              <w:topLinePunct w:val="0"/>
              <w:bidi w:val="0"/>
              <w:spacing w:beforeLines="0" w:afterLines="0" w:line="400" w:lineRule="exact"/>
              <w:jc w:val="center"/>
              <w:rPr>
                <w:rFonts w:hint="default"/>
                <w:sz w:val="24"/>
                <w:vertAlign w:val="baseline"/>
              </w:rPr>
            </w:pPr>
          </w:p>
        </w:tc>
      </w:tr>
    </w:tbl>
    <w:p>
      <w:pPr>
        <w:keepNext w:val="0"/>
        <w:keepLines w:val="0"/>
        <w:pageBreakBefore w:val="0"/>
        <w:kinsoku/>
        <w:topLinePunct w:val="0"/>
        <w:bidi w:val="0"/>
        <w:spacing w:beforeLines="0" w:afterLines="0" w:line="400" w:lineRule="exact"/>
        <w:jc w:val="center"/>
        <w:rPr>
          <w:rFonts w:hint="default"/>
          <w:sz w:val="24"/>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注：投标人应根据投标人须知第 3.5.4 项的要求在本表后附相关证明材料。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（五）近年发生的诉讼及仲裁情况</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注：投标人应根据投标人须知第 3.5.5 项的要求附相关证明材料。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474" w:name="page93"/>
      <w:bookmarkEnd w:id="474"/>
    </w:p>
    <w:p>
      <w:pPr>
        <w:keepNext w:val="0"/>
        <w:keepLines w:val="0"/>
        <w:pageBreakBefore w:val="0"/>
        <w:kinsoku/>
        <w:topLinePunct w:val="0"/>
        <w:bidi w:val="0"/>
        <w:spacing w:beforeLines="0" w:afterLines="0" w:line="400" w:lineRule="exact"/>
        <w:ind w:left="140"/>
        <w:jc w:val="left"/>
        <w:rPr>
          <w:rFonts w:hint="default"/>
          <w:sz w:val="24"/>
        </w:rPr>
      </w:pPr>
      <w:r>
        <w:rPr>
          <w:rFonts w:hint="eastAsia" w:ascii="宋体" w:hAnsi="宋体"/>
          <w:sz w:val="28"/>
        </w:rPr>
        <w:t>（六）制造商授权书</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ind w:left="3480"/>
        <w:jc w:val="left"/>
        <w:rPr>
          <w:rFonts w:hint="default"/>
          <w:sz w:val="24"/>
        </w:rPr>
      </w:pPr>
      <w:r>
        <w:rPr>
          <w:rFonts w:hint="eastAsia" w:ascii="宋体" w:hAnsi="宋体"/>
          <w:sz w:val="28"/>
        </w:rPr>
        <w:t>制造商授权书</w:t>
      </w:r>
    </w:p>
    <w:p>
      <w:pPr>
        <w:pStyle w:val="2"/>
        <w:keepNext w:val="0"/>
        <w:keepLines w:val="0"/>
        <w:pageBreakBefore w:val="0"/>
        <w:kinsoku/>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lang w:eastAsia="zh-CN"/>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（招标人）</w:t>
      </w:r>
    </w:p>
    <w:p>
      <w:pPr>
        <w:pStyle w:val="2"/>
        <w:keepNext w:val="0"/>
        <w:keepLines w:val="0"/>
        <w:pageBreakBefore w:val="0"/>
        <w:kinsoku/>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我单位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（制造商名称）是按</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（国家／地区名称）法律成立的一家制造商，主要营业地点设在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制造商地址）。兹授权按</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（国家／地区名称）的法律正式成立的，主要营业地点设在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（投标人的单位地址）的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（投标人名称）</w:t>
      </w:r>
      <w:r>
        <w:rPr>
          <w:rFonts w:hint="eastAsia" w:ascii="宋体" w:hAnsi="宋体" w:eastAsia="宋体" w:cs="宋体"/>
          <w:sz w:val="21"/>
          <w:szCs w:val="21"/>
          <w:lang w:eastAsia="zh-CN"/>
        </w:rPr>
        <w:t>以我单位制造的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（设备名称）进行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（项目名称）投标活动。我单位同意按照中标合同供货，并对产品质量承担</w:t>
      </w:r>
      <w:r>
        <w:rPr>
          <w:rFonts w:hint="eastAsia" w:ascii="宋体" w:hAnsi="宋体" w:eastAsia="宋体" w:cs="宋体"/>
          <w:sz w:val="21"/>
          <w:szCs w:val="21"/>
        </w:rPr>
        <w:t>责任</w:t>
      </w:r>
      <w:r>
        <w:rPr>
          <w:rFonts w:hint="eastAsia" w:ascii="宋体" w:hAnsi="宋体" w:eastAsia="宋体" w:cs="宋体"/>
          <w:sz w:val="21"/>
          <w:szCs w:val="21"/>
          <w:lang w:eastAsia="zh-CN"/>
        </w:rPr>
        <w:t>。</w:t>
      </w:r>
    </w:p>
    <w:p>
      <w:pPr>
        <w:pStyle w:val="2"/>
        <w:keepNext w:val="0"/>
        <w:keepLines w:val="0"/>
        <w:pageBreakBefore w:val="0"/>
        <w:kinsoku/>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授权期限：</w:t>
      </w:r>
      <w:r>
        <w:rPr>
          <w:rFonts w:hint="eastAsia" w:ascii="宋体" w:hAnsi="宋体" w:eastAsia="宋体" w:cs="宋体"/>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lang w:eastAsia="zh-CN"/>
        </w:rPr>
      </w:pPr>
      <w:r>
        <w:rPr>
          <w:rFonts w:hint="eastAsia" w:ascii="宋体" w:hAnsi="宋体" w:eastAsia="宋体" w:cs="宋体"/>
          <w:kern w:val="0"/>
          <w:sz w:val="21"/>
          <w:szCs w:val="21"/>
          <w:lang w:eastAsia="zh-CN"/>
        </w:rPr>
        <w:t>投标人名称：</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sz w:val="21"/>
          <w:szCs w:val="21"/>
        </w:rPr>
        <w:t>（盖单位章）  制造商名称</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（盖单位章）</w:t>
      </w:r>
      <w:r>
        <w:rPr>
          <w:rFonts w:hint="eastAsia" w:ascii="宋体" w:hAnsi="宋体" w:eastAsia="宋体" w:cs="宋体"/>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签字人职务：</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sz w:val="21"/>
          <w:szCs w:val="21"/>
        </w:rPr>
        <w:t>签字人职务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签字人姓名：</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sz w:val="21"/>
          <w:szCs w:val="21"/>
        </w:rPr>
        <w:t>签字人姓名</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rPr>
      </w:pPr>
      <w:r>
        <w:rPr>
          <w:rFonts w:hint="eastAsia" w:ascii="宋体" w:hAnsi="宋体" w:eastAsia="宋体" w:cs="宋体"/>
          <w:kern w:val="0"/>
          <w:sz w:val="21"/>
          <w:szCs w:val="21"/>
          <w:lang w:eastAsia="zh-CN"/>
        </w:rPr>
        <w:t>签字人签名：</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 xml:space="preserve">               签字人签名：</w:t>
      </w:r>
      <w:r>
        <w:rPr>
          <w:rFonts w:hint="eastAsia" w:ascii="宋体" w:hAnsi="宋体" w:eastAsia="宋体" w:cs="宋体"/>
          <w:kern w:val="0"/>
          <w:sz w:val="21"/>
          <w:szCs w:val="21"/>
          <w:u w:val="single"/>
          <w:lang w:val="en-US" w:eastAsia="zh-CN"/>
        </w:rPr>
        <w:t xml:space="preserve">                 </w:t>
      </w:r>
    </w:p>
    <w:p>
      <w:pPr>
        <w:keepNext w:val="0"/>
        <w:keepLines w:val="0"/>
        <w:pageBreakBefore w:val="0"/>
        <w:kinsoku/>
        <w:topLinePunct w:val="0"/>
        <w:bidi w:val="0"/>
        <w:spacing w:beforeLines="0" w:afterLines="0" w:line="400" w:lineRule="exact"/>
        <w:jc w:val="left"/>
        <w:rPr>
          <w:rFonts w:hint="eastAsia" w:ascii="宋体" w:hAnsi="宋体" w:eastAsia="宋体" w:cs="宋体"/>
          <w:sz w:val="21"/>
          <w:szCs w:val="21"/>
          <w:lang w:val="en-US" w:eastAsia="zh-CN"/>
        </w:rPr>
        <w:sectPr>
          <w:headerReference r:id="rId7" w:type="default"/>
          <w:footerReference r:id="rId8" w:type="default"/>
          <w:type w:val="continuous"/>
          <w:pgSz w:w="12240" w:h="15840"/>
          <w:pgMar w:top="1440" w:right="1803" w:bottom="1440" w:left="1803" w:header="720" w:footer="720" w:gutter="0"/>
          <w:lnNumType w:countBy="0" w:distance="360"/>
          <w:pgNumType w:fmt="decimal"/>
          <w:cols w:space="425" w:num="1"/>
          <w:rtlGutter w:val="0"/>
          <w:docGrid w:linePitch="0" w:charSpace="0"/>
        </w:sectPr>
      </w:pPr>
      <w:r>
        <w:rPr>
          <w:rFonts w:hint="eastAsia" w:ascii="宋体" w:hAnsi="宋体" w:eastAsia="宋体" w:cs="宋体"/>
          <w:sz w:val="21"/>
          <w:szCs w:val="21"/>
          <w:lang w:val="en-US" w:eastAsia="zh-CN"/>
        </w:rPr>
        <w:t xml:space="preserve">                                                                                           </w:t>
      </w:r>
    </w:p>
    <w:p>
      <w:pPr>
        <w:keepNext w:val="0"/>
        <w:keepLines w:val="0"/>
        <w:pageBreakBefore w:val="0"/>
        <w:kinsoku/>
        <w:topLinePunct w:val="0"/>
        <w:bidi w:val="0"/>
        <w:spacing w:beforeLines="0" w:afterLines="0" w:line="400" w:lineRule="exact"/>
        <w:jc w:val="left"/>
        <w:rPr>
          <w:rFonts w:hint="default"/>
          <w:sz w:val="24"/>
        </w:rPr>
      </w:pPr>
    </w:p>
    <w:p>
      <w:pPr>
        <w:pStyle w:val="2"/>
        <w:rPr>
          <w:rFonts w:hint="default"/>
        </w:rPr>
      </w:pPr>
    </w:p>
    <w:p>
      <w:pPr>
        <w:keepNext w:val="0"/>
        <w:keepLines w:val="0"/>
        <w:pageBreakBefore w:val="0"/>
        <w:kinsoku/>
        <w:topLinePunct w:val="0"/>
        <w:bidi w:val="0"/>
        <w:spacing w:beforeLines="0" w:afterLines="0" w:line="400" w:lineRule="exact"/>
        <w:jc w:val="left"/>
        <w:rPr>
          <w:rFonts w:hint="default"/>
          <w:sz w:val="24"/>
        </w:rPr>
      </w:pPr>
      <w:bookmarkStart w:id="475" w:name="page94"/>
      <w:bookmarkEnd w:id="475"/>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b/>
          <w:sz w:val="32"/>
          <w:lang w:eastAsia="zh-CN"/>
        </w:rPr>
        <w:t>七</w:t>
      </w:r>
      <w:r>
        <w:rPr>
          <w:rFonts w:hint="eastAsia" w:ascii="宋体" w:hAnsi="宋体"/>
          <w:b/>
          <w:sz w:val="32"/>
        </w:rPr>
        <w:t>、投标设备技术性能指标的详细描述</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476" w:name="page95"/>
      <w:bookmarkEnd w:id="476"/>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b/>
          <w:sz w:val="31"/>
          <w:lang w:eastAsia="zh-CN"/>
        </w:rPr>
        <w:t>八</w:t>
      </w:r>
      <w:r>
        <w:rPr>
          <w:rFonts w:hint="eastAsia" w:ascii="宋体" w:hAnsi="宋体"/>
          <w:b/>
          <w:sz w:val="31"/>
        </w:rPr>
        <w:t>、技术支持资料</w:t>
      </w: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477" w:name="page96"/>
      <w:bookmarkEnd w:id="477"/>
    </w:p>
    <w:p>
      <w:pPr>
        <w:keepNext w:val="0"/>
        <w:keepLines w:val="0"/>
        <w:pageBreakBefore w:val="0"/>
        <w:numPr>
          <w:ilvl w:val="0"/>
          <w:numId w:val="0"/>
        </w:numPr>
        <w:kinsoku/>
        <w:topLinePunct w:val="0"/>
        <w:bidi w:val="0"/>
        <w:spacing w:beforeLines="0" w:afterLines="0" w:line="400" w:lineRule="exact"/>
        <w:jc w:val="left"/>
        <w:rPr>
          <w:rFonts w:hint="eastAsia" w:ascii="宋体" w:hAnsi="宋体"/>
          <w:b/>
          <w:sz w:val="31"/>
        </w:rPr>
      </w:pPr>
      <w:r>
        <w:rPr>
          <w:rFonts w:hint="eastAsia" w:ascii="宋体" w:hAnsi="宋体"/>
          <w:b/>
          <w:sz w:val="31"/>
          <w:lang w:eastAsia="zh-CN"/>
        </w:rPr>
        <w:t>九、</w:t>
      </w:r>
      <w:r>
        <w:rPr>
          <w:rFonts w:hint="eastAsia" w:ascii="宋体" w:hAnsi="宋体"/>
          <w:b/>
          <w:sz w:val="31"/>
        </w:rPr>
        <w:t>技术服务和质保期服务计划</w:t>
      </w:r>
    </w:p>
    <w:p>
      <w:pPr>
        <w:pStyle w:val="2"/>
        <w:keepNext w:val="0"/>
        <w:keepLines w:val="0"/>
        <w:pageBreakBefore w:val="0"/>
        <w:numPr>
          <w:ilvl w:val="0"/>
          <w:numId w:val="0"/>
        </w:numPr>
        <w:kinsoku/>
        <w:topLinePunct w:val="0"/>
        <w:bidi w:val="0"/>
        <w:adjustRightInd w:val="0"/>
        <w:spacing w:after="120" w:afterLines="0" w:line="400" w:lineRule="exact"/>
        <w:jc w:val="left"/>
        <w:textAlignment w:val="baseline"/>
        <w:rPr>
          <w:rFonts w:hint="default"/>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p>
    <w:p>
      <w:pPr>
        <w:keepNext w:val="0"/>
        <w:keepLines w:val="0"/>
        <w:pageBreakBefore w:val="0"/>
        <w:kinsoku/>
        <w:topLinePunct w:val="0"/>
        <w:bidi w:val="0"/>
        <w:spacing w:beforeLines="0" w:afterLines="0" w:line="400" w:lineRule="exact"/>
        <w:jc w:val="left"/>
        <w:rPr>
          <w:rFonts w:hint="default"/>
          <w:sz w:val="24"/>
        </w:rPr>
      </w:pPr>
      <w:bookmarkStart w:id="478" w:name="page97"/>
      <w:bookmarkEnd w:id="478"/>
    </w:p>
    <w:p>
      <w:pPr>
        <w:keepNext w:val="0"/>
        <w:keepLines w:val="0"/>
        <w:pageBreakBefore w:val="0"/>
        <w:kinsoku/>
        <w:topLinePunct w:val="0"/>
        <w:bidi w:val="0"/>
        <w:spacing w:beforeLines="0" w:afterLines="0" w:line="400" w:lineRule="exact"/>
        <w:jc w:val="left"/>
        <w:rPr>
          <w:rFonts w:hint="default"/>
          <w:sz w:val="24"/>
        </w:rPr>
      </w:pPr>
      <w:r>
        <w:rPr>
          <w:rFonts w:hint="eastAsia" w:ascii="宋体" w:hAnsi="宋体"/>
          <w:b/>
          <w:sz w:val="31"/>
        </w:rPr>
        <w:t>十、其他资料</w:t>
      </w:r>
    </w:p>
    <w:p>
      <w:pPr>
        <w:keepNext w:val="0"/>
        <w:keepLines w:val="0"/>
        <w:pageBreakBefore w:val="0"/>
        <w:kinsoku/>
        <w:topLinePunct w:val="0"/>
        <w:bidi w:val="0"/>
        <w:spacing w:beforeLines="0" w:afterLines="0" w:line="400" w:lineRule="exact"/>
        <w:jc w:val="left"/>
        <w:rPr>
          <w:rFonts w:hint="default"/>
          <w:sz w:val="24"/>
        </w:rPr>
      </w:pPr>
    </w:p>
    <w:sectPr>
      <w:headerReference r:id="rId9" w:type="default"/>
      <w:footerReference r:id="rId10" w:type="default"/>
      <w:pgSz w:w="12240" w:h="15840"/>
      <w:pgMar w:top="1440" w:right="1803" w:bottom="1440" w:left="1803" w:header="720" w:footer="720" w:gutter="0"/>
      <w:lnNumType w:countBy="0" w:distance="360"/>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Courier New"/>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Technic">
    <w:altName w:val="Segoe Print"/>
    <w:panose1 w:val="00000400000000000000"/>
    <w:charset w:val="02"/>
    <w:family w:val="auto"/>
    <w:pitch w:val="default"/>
    <w:sig w:usb0="00000000" w:usb1="00000000" w:usb2="00000000" w:usb3="00000000" w:csb0="00000000" w:csb1="00000000"/>
  </w:font>
  <w:font w:name="方正书宋简体">
    <w:altName w:val="宋体"/>
    <w:panose1 w:val="00000000000000000000"/>
    <w:charset w:val="86"/>
    <w:family w:val="auto"/>
    <w:pitch w:val="default"/>
    <w:sig w:usb0="00000000" w:usb1="00000000" w:usb2="00000010" w:usb3="00000000" w:csb0="00040000" w:csb1="00000000"/>
  </w:font>
  <w:font w:name="仿宋体">
    <w:altName w:val="宋体"/>
    <w:panose1 w:val="02020603050405020304"/>
    <w:charset w:val="86"/>
    <w:family w:val="roman"/>
    <w:pitch w:val="default"/>
    <w:sig w:usb0="00000000" w:usb1="00000000" w:usb2="00000010" w:usb3="00000000" w:csb0="00040000" w:csb1="00000000"/>
  </w:font>
  <w:font w:name="???|±¨??ì??ò">
    <w:altName w:val="宋体"/>
    <w:panose1 w:val="02020603050405020304"/>
    <w:charset w:val="86"/>
    <w:family w:val="roman"/>
    <w:pitch w:val="default"/>
    <w:sig w:usb0="00000000" w:usb1="00000000" w:usb2="0000001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楷书_2312">
    <w:altName w:val="宋体"/>
    <w:panose1 w:val="00000000000000000000"/>
    <w:charset w:val="86"/>
    <w:family w:val="roman"/>
    <w:pitch w:val="default"/>
    <w:sig w:usb0="00000000" w:usb1="00000000" w:usb2="00000814" w:usb3="00000000" w:csb0="0004000D" w:csb1="FFFFFFFF"/>
  </w:font>
  <w:font w:name="Arial Narrow">
    <w:altName w:val="Arial"/>
    <w:panose1 w:val="020B0606020202030204"/>
    <w:charset w:val="00"/>
    <w:family w:val="swiss"/>
    <w:pitch w:val="default"/>
    <w:sig w:usb0="00000000" w:usb1="00000000" w:usb2="00000000" w:usb3="00000000" w:csb0="2000009F" w:csb1="DFD70000"/>
  </w:font>
  <w:font w:name="Century">
    <w:altName w:val="Nyala"/>
    <w:panose1 w:val="02040604050505020304"/>
    <w:charset w:val="00"/>
    <w:family w:val="roman"/>
    <w:pitch w:val="default"/>
    <w:sig w:usb0="00000000" w:usb1="00000000" w:usb2="00000000" w:usb3="00000000" w:csb0="2000009F" w:csb1="DFD70000"/>
  </w:font>
  <w:font w:name="全真中明體">
    <w:altName w:val="MingLiU-ExtB"/>
    <w:panose1 w:val="00000000000000000000"/>
    <w:charset w:val="88"/>
    <w:family w:val="modern"/>
    <w:pitch w:val="default"/>
    <w:sig w:usb0="00000000" w:usb1="00000000" w:usb2="00000010" w:usb3="00000000" w:csb0="00100000" w:csb1="00000000"/>
  </w:font>
  <w:font w:name="Taipei">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2"/>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ArialMT">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长城楷体">
    <w:altName w:val="宋体"/>
    <w:panose1 w:val="02070309020205020404"/>
    <w:charset w:val="00"/>
    <w:family w:val="moder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Nyala">
    <w:panose1 w:val="02000504070300020003"/>
    <w:charset w:val="00"/>
    <w:family w:val="auto"/>
    <w:pitch w:val="default"/>
    <w:sig w:usb0="A000006F" w:usb1="00000000" w:usb2="00000800" w:usb3="00000000" w:csb0="00000093" w:csb1="00000000"/>
  </w:font>
  <w:font w:name="长城小标宋体">
    <w:altName w:val="宋体"/>
    <w:panose1 w:val="00000000000000000000"/>
    <w:charset w:val="00"/>
    <w:family w:val="auto"/>
    <w:pitch w:val="default"/>
    <w:sig w:usb0="00000000" w:usb1="00000000" w:usb2="00000000" w:usb3="00000000" w:csb0="00000000" w:csb1="00000000"/>
  </w:font>
  <w:font w:name="Kozuka Mincho Pro M">
    <w:altName w:val="MS UI Gothic"/>
    <w:panose1 w:val="020206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AcadEref">
    <w:altName w:val="Vrinda"/>
    <w:panose1 w:val="02000500000000020003"/>
    <w:charset w:val="00"/>
    <w:family w:val="auto"/>
    <w:pitch w:val="default"/>
    <w:sig w:usb0="00000000" w:usb1="00000000" w:usb2="00000000" w:usb3="00000000" w:csb0="00000001" w:csb1="00000000"/>
  </w:font>
  <w:font w:name="Yu Gothic UI">
    <w:altName w:val="Meiryo UI"/>
    <w:panose1 w:val="020B0500000000000000"/>
    <w:charset w:val="80"/>
    <w:family w:val="auto"/>
    <w:pitch w:val="default"/>
    <w:sig w:usb0="00000000" w:usb1="00000000" w:usb2="00000016" w:usb3="00000000" w:csb0="2002009F" w:csb1="0000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rPr>
        <w:sz w:val="24"/>
        <w:szCs w:val="24"/>
      </w:rPr>
    </w:pPr>
    <w:r>
      <w:rPr>
        <w:rFonts w:hint="eastAsia"/>
        <w:sz w:val="21"/>
        <w:szCs w:val="21"/>
        <w:lang w:val="en-US" w:eastAsia="zh-CN"/>
      </w:rPr>
      <w:t xml:space="preserve">许昌瑞贝卡水业有限公司污水净化分公司污水处理三期工程设备采购项目                       招标文件   </w:t>
    </w:r>
    <w:r>
      <w:rPr>
        <w:rFonts w:hint="eastAsia"/>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lang w:val="en-US" w:eastAsia="zh-CN"/>
      </w:rPr>
      <w:t xml:space="preserve">  </w:t>
    </w:r>
  </w:p>
  <w:p>
    <w:pPr>
      <w:pStyle w:val="11"/>
      <w:pBdr>
        <w:bottom w:val="none" w:color="auto" w:sz="0" w:space="1"/>
      </w:pBdr>
      <w:rPr>
        <w:rFonts w:hint="eastAsia"/>
      </w:rPr>
    </w:pPr>
  </w:p>
  <w:p>
    <w:pPr>
      <w:pStyle w:val="11"/>
      <w:pBdr>
        <w:bottom w:val="none" w:color="auto" w:sz="0" w:space="1"/>
      </w:pBdr>
      <w:rPr>
        <w:rFonts w:hint="eastAsia"/>
      </w:rPr>
    </w:pPr>
  </w:p>
  <w:p>
    <w:pPr>
      <w:pStyle w:val="11"/>
      <w:pBdr>
        <w:bottom w:val="single" w:color="auto" w:sz="4" w:space="1"/>
      </w:pBdr>
      <w:jc w:val="left"/>
    </w:pPr>
    <w:r>
      <w:rPr>
        <w:rFonts w:hint="eastAsia"/>
        <w:sz w:val="21"/>
        <w:szCs w:val="21"/>
        <w:lang w:val="en-US" w:eastAsia="zh-CN"/>
      </w:rPr>
      <w:t>许昌瑞贝卡水业有限公司污水净化分公司</w:t>
    </w:r>
    <w:r>
      <w:rPr>
        <w:rFonts w:hint="eastAsia"/>
        <w:sz w:val="21"/>
        <w:szCs w:val="21"/>
      </w:rPr>
      <w:t>污水处理三期工程设备采购项目</w:t>
    </w:r>
    <w:r>
      <w:rPr>
        <w:rFonts w:hint="eastAsia"/>
        <w:sz w:val="21"/>
        <w:szCs w:val="21"/>
        <w:lang w:val="en-US" w:eastAsia="zh-CN"/>
      </w:rPr>
      <w:t xml:space="preserve">                                                                                                      招标文件     </w:t>
    </w:r>
    <w:r>
      <w:rPr>
        <w:rFonts w:hint="eastAsia"/>
        <w:sz w:val="24"/>
        <w:szCs w:val="24"/>
        <w:lang w:val="en-US" w:eastAsia="zh-CN"/>
      </w:rPr>
      <w:t xml:space="preserve">                                   </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lang w:val="en-US" w:eastAsia="zh-CN"/>
      </w:rPr>
      <w:t xml:space="preserve">  </w:t>
    </w:r>
  </w:p>
  <w:p>
    <w:pPr>
      <w:pStyle w:val="11"/>
      <w:pBdr>
        <w:bottom w:val="single" w:color="auto" w:sz="4" w:space="1"/>
      </w:pBdr>
      <w:jc w:val="left"/>
    </w:pPr>
    <w:r>
      <w:rPr>
        <w:rFonts w:hint="eastAsia"/>
        <w:sz w:val="21"/>
        <w:szCs w:val="21"/>
        <w:lang w:val="en-US" w:eastAsia="zh-CN"/>
      </w:rPr>
      <w:t>许昌瑞贝卡水业有限公司污水净化分公司</w:t>
    </w:r>
    <w:r>
      <w:rPr>
        <w:rFonts w:hint="eastAsia"/>
        <w:sz w:val="21"/>
        <w:szCs w:val="21"/>
      </w:rPr>
      <w:t>污水处理三期工程设备采购项目</w:t>
    </w:r>
    <w:r>
      <w:rPr>
        <w:rFonts w:hint="eastAsia"/>
        <w:sz w:val="21"/>
        <w:szCs w:val="21"/>
        <w:lang w:val="en-US" w:eastAsia="zh-CN"/>
      </w:rPr>
      <w:t xml:space="preserve">                  招标文件           </w:t>
    </w:r>
    <w:r>
      <w:rPr>
        <w:rFonts w:hint="eastAsia"/>
        <w:sz w:val="24"/>
        <w:szCs w:val="24"/>
        <w:lang w:val="en-US" w:eastAsia="zh-CN"/>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lang w:val="en-US" w:eastAsia="zh-CN"/>
      </w:rPr>
      <w:t xml:space="preserve">  </w:t>
    </w:r>
  </w:p>
  <w:p>
    <w:pPr>
      <w:pStyle w:val="11"/>
      <w:pBdr>
        <w:bottom w:val="single" w:color="auto" w:sz="4" w:space="1"/>
      </w:pBdr>
      <w:jc w:val="left"/>
    </w:pPr>
    <w:r>
      <w:rPr>
        <w:rFonts w:hint="eastAsia"/>
        <w:sz w:val="21"/>
        <w:szCs w:val="21"/>
        <w:lang w:val="en-US" w:eastAsia="zh-CN"/>
      </w:rPr>
      <w:t>许昌瑞贝卡水业有限公司污水净化分公司</w:t>
    </w:r>
    <w:r>
      <w:rPr>
        <w:rFonts w:hint="eastAsia"/>
        <w:sz w:val="21"/>
        <w:szCs w:val="21"/>
      </w:rPr>
      <w:t>污水处理三期工程设备采购项目</w:t>
    </w:r>
    <w:r>
      <w:rPr>
        <w:rFonts w:hint="eastAsia"/>
        <w:sz w:val="21"/>
        <w:szCs w:val="21"/>
        <w:lang w:val="en-US" w:eastAsia="zh-CN"/>
      </w:rPr>
      <w:t xml:space="preserve">                招标文件          </w:t>
    </w:r>
    <w:r>
      <w:rPr>
        <w:rFonts w:hint="eastAsia"/>
        <w:sz w:val="24"/>
        <w:szCs w:val="24"/>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94EE6"/>
    <w:multiLevelType w:val="singleLevel"/>
    <w:tmpl w:val="8A794EE6"/>
    <w:lvl w:ilvl="0" w:tentative="0">
      <w:start w:val="2"/>
      <w:numFmt w:val="decimal"/>
      <w:suff w:val="nothing"/>
      <w:lvlText w:val="%1、"/>
      <w:lvlJc w:val="left"/>
    </w:lvl>
  </w:abstractNum>
  <w:abstractNum w:abstractNumId="1">
    <w:nsid w:val="00000099"/>
    <w:multiLevelType w:val="multilevel"/>
    <w:tmpl w:val="00000099"/>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3.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120"/>
    <w:multiLevelType w:val="multilevel"/>
    <w:tmpl w:val="00000120"/>
    <w:lvl w:ilvl="0" w:tentative="0">
      <w:start w:val="4"/>
      <w:numFmt w:val="decimal"/>
      <w:lvlText w:val="1.%1"/>
      <w:lvlJc w:val="left"/>
      <w:pPr>
        <w:tabs>
          <w:tab w:val="left" w:pos="720"/>
        </w:tabs>
        <w:ind w:left="720" w:hanging="360"/>
      </w:pPr>
      <w:rPr>
        <w:rFonts w:hint="default"/>
        <w:u w:val="none" w:color="auto"/>
      </w:rPr>
    </w:lvl>
    <w:lvl w:ilvl="1" w:tentative="0">
      <w:start w:val="1"/>
      <w:numFmt w:val="decimal"/>
      <w:lvlText w:val="1.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0124"/>
    <w:multiLevelType w:val="multilevel"/>
    <w:tmpl w:val="00000124"/>
    <w:lvl w:ilvl="0" w:tentative="0">
      <w:start w:val="2"/>
      <w:numFmt w:val="decimal"/>
      <w:lvlText w:val="3.4.%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1EB"/>
    <w:multiLevelType w:val="multilevel"/>
    <w:tmpl w:val="000001EB"/>
    <w:lvl w:ilvl="0" w:tentative="0">
      <w:start w:val="2"/>
      <w:numFmt w:val="decimal"/>
      <w:lvlText w:val="%1."/>
      <w:lvlJc w:val="left"/>
      <w:pPr>
        <w:tabs>
          <w:tab w:val="left" w:pos="720"/>
        </w:tabs>
        <w:ind w:left="720" w:hanging="360"/>
      </w:pPr>
      <w:rPr>
        <w:rFonts w:hint="default"/>
        <w:u w:val="none" w:color="auto"/>
      </w:rPr>
    </w:lvl>
    <w:lvl w:ilvl="1" w:tentative="0">
      <w:start w:val="1"/>
      <w:numFmt w:val="decimal"/>
      <w:lvlText w:val="2.%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30A"/>
    <w:multiLevelType w:val="multilevel"/>
    <w:tmpl w:val="0000030A"/>
    <w:lvl w:ilvl="0" w:tentative="0">
      <w:start w:val="1"/>
      <w:numFmt w:val="decimal"/>
      <w:lvlText w:val="1.1.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732"/>
    <w:multiLevelType w:val="multilevel"/>
    <w:tmpl w:val="00000732"/>
    <w:lvl w:ilvl="0" w:tentative="0">
      <w:start w:val="2"/>
      <w:numFmt w:val="decimal"/>
      <w:lvlText w:val="1.%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074D"/>
    <w:multiLevelType w:val="multilevel"/>
    <w:tmpl w:val="0000074D"/>
    <w:lvl w:ilvl="0" w:tentative="0">
      <w:start w:val="3"/>
      <w:numFmt w:val="decimal"/>
      <w:lvlText w:val="4.%1"/>
      <w:lvlJc w:val="left"/>
      <w:pPr>
        <w:tabs>
          <w:tab w:val="left" w:pos="720"/>
        </w:tabs>
        <w:ind w:left="720" w:hanging="360"/>
      </w:pPr>
      <w:rPr>
        <w:rFonts w:hint="default"/>
        <w:u w:val="none" w:color="auto"/>
      </w:rPr>
    </w:lvl>
    <w:lvl w:ilvl="1" w:tentative="0">
      <w:start w:val="1"/>
      <w:numFmt w:val="decimal"/>
      <w:lvlText w:val="4.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BB3"/>
    <w:multiLevelType w:val="multilevel"/>
    <w:tmpl w:val="00000BB3"/>
    <w:lvl w:ilvl="0" w:tentative="0">
      <w:start w:val="2"/>
      <w:numFmt w:val="decimal"/>
      <w:lvlText w:val="2.%1"/>
      <w:lvlJc w:val="left"/>
      <w:pPr>
        <w:tabs>
          <w:tab w:val="left" w:pos="720"/>
        </w:tabs>
        <w:ind w:left="720" w:hanging="360"/>
      </w:pPr>
      <w:rPr>
        <w:rFonts w:hint="default"/>
        <w:u w:val="none" w:color="auto"/>
      </w:rPr>
    </w:lvl>
    <w:lvl w:ilvl="1" w:tentative="0">
      <w:start w:val="1"/>
      <w:numFmt w:val="decimal"/>
      <w:lvlText w:val="2.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BDB"/>
    <w:multiLevelType w:val="multilevel"/>
    <w:tmpl w:val="00000BDB"/>
    <w:lvl w:ilvl="0" w:tentative="0">
      <w:start w:val="1"/>
      <w:numFmt w:val="decimal"/>
      <w:lvlText w:val="1.1.13.%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DDC"/>
    <w:multiLevelType w:val="multilevel"/>
    <w:tmpl w:val="00000DDC"/>
    <w:lvl w:ilvl="0" w:tentative="0">
      <w:start w:val="1"/>
      <w:numFmt w:val="decimal"/>
      <w:lvlText w:val="%1"/>
      <w:lvlJc w:val="left"/>
      <w:pPr>
        <w:tabs>
          <w:tab w:val="left" w:pos="720"/>
        </w:tabs>
        <w:ind w:left="720" w:hanging="360"/>
      </w:pPr>
      <w:rPr>
        <w:rFonts w:hint="default"/>
        <w:u w:val="none" w:color="auto"/>
      </w:rPr>
    </w:lvl>
    <w:lvl w:ilvl="1" w:tentative="0">
      <w:start w:val="2"/>
      <w:numFmt w:val="decimal"/>
      <w:lvlText w:val="6.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F3E"/>
    <w:multiLevelType w:val="multilevel"/>
    <w:tmpl w:val="00000F3E"/>
    <w:lvl w:ilvl="0" w:tentative="0">
      <w:start w:val="3"/>
      <w:numFmt w:val="decimal"/>
      <w:lvlText w:val="3.%1"/>
      <w:lvlJc w:val="left"/>
      <w:pPr>
        <w:tabs>
          <w:tab w:val="left" w:pos="720"/>
        </w:tabs>
        <w:ind w:left="720" w:hanging="360"/>
      </w:pPr>
      <w:rPr>
        <w:rFonts w:hint="default"/>
        <w:u w:val="none" w:color="auto"/>
      </w:rPr>
    </w:lvl>
    <w:lvl w:ilvl="1" w:tentative="0">
      <w:start w:val="1"/>
      <w:numFmt w:val="decimal"/>
      <w:lvlText w:val="3.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1238"/>
    <w:multiLevelType w:val="multilevel"/>
    <w:tmpl w:val="00001238"/>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2.2.%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12DB"/>
    <w:multiLevelType w:val="multilevel"/>
    <w:tmpl w:val="000012DB"/>
    <w:lvl w:ilvl="0" w:tentative="0">
      <w:start w:val="3"/>
      <w:numFmt w:val="decimal"/>
      <w:lvlText w:val="2.%1"/>
      <w:lvlJc w:val="left"/>
      <w:pPr>
        <w:tabs>
          <w:tab w:val="left" w:pos="720"/>
        </w:tabs>
        <w:ind w:left="720" w:hanging="360"/>
      </w:pPr>
      <w:rPr>
        <w:rFonts w:hint="default"/>
        <w:u w:val="none" w:color="auto"/>
      </w:rPr>
    </w:lvl>
    <w:lvl w:ilvl="1" w:tentative="0">
      <w:start w:val="1"/>
      <w:numFmt w:val="decimal"/>
      <w:lvlText w:val="2.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00012E1"/>
    <w:multiLevelType w:val="multilevel"/>
    <w:tmpl w:val="000012E1"/>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0001366"/>
    <w:multiLevelType w:val="multilevel"/>
    <w:tmpl w:val="00001366"/>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8.%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0000153C"/>
    <w:multiLevelType w:val="multilevel"/>
    <w:tmpl w:val="0000153C"/>
    <w:lvl w:ilvl="0" w:tentative="0">
      <w:start w:val="3"/>
      <w:numFmt w:val="decimal"/>
      <w:lvlText w:val="%1."/>
      <w:lvlJc w:val="left"/>
      <w:pPr>
        <w:tabs>
          <w:tab w:val="left" w:pos="720"/>
        </w:tabs>
        <w:ind w:left="720" w:hanging="360"/>
      </w:pPr>
      <w:rPr>
        <w:rFonts w:hint="default"/>
        <w:u w:val="none" w:color="auto"/>
      </w:rPr>
    </w:lvl>
    <w:lvl w:ilvl="1" w:tentative="0">
      <w:start w:val="1"/>
      <w:numFmt w:val="decimal"/>
      <w:lvlText w:val="3.%2"/>
      <w:lvlJc w:val="left"/>
      <w:pPr>
        <w:tabs>
          <w:tab w:val="left" w:pos="1440"/>
        </w:tabs>
        <w:ind w:left="1440" w:hanging="360"/>
      </w:pPr>
      <w:rPr>
        <w:rFonts w:hint="default"/>
        <w:u w:val="none" w:color="auto"/>
      </w:rPr>
    </w:lvl>
    <w:lvl w:ilvl="2" w:tentative="0">
      <w:start w:val="1"/>
      <w:numFmt w:val="decimal"/>
      <w:lvlText w:val="3.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000015A1"/>
    <w:multiLevelType w:val="multilevel"/>
    <w:tmpl w:val="000015A1"/>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00001649"/>
    <w:multiLevelType w:val="multilevel"/>
    <w:tmpl w:val="00001649"/>
    <w:lvl w:ilvl="0" w:tentative="0">
      <w:start w:val="2"/>
      <w:numFmt w:val="decimal"/>
      <w:lvlText w:val="1.4.%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00001A49"/>
    <w:multiLevelType w:val="multilevel"/>
    <w:tmpl w:val="00001A49"/>
    <w:lvl w:ilvl="0" w:tentative="0">
      <w:start w:val="3"/>
      <w:numFmt w:val="decimal"/>
      <w:lvlText w:val="5.%1"/>
      <w:lvlJc w:val="left"/>
      <w:pPr>
        <w:tabs>
          <w:tab w:val="left" w:pos="720"/>
        </w:tabs>
        <w:ind w:left="720" w:hanging="360"/>
      </w:pPr>
      <w:rPr>
        <w:rFonts w:hint="default"/>
        <w:u w:val="none" w:color="auto"/>
      </w:rPr>
    </w:lvl>
    <w:lvl w:ilvl="1" w:tentative="0">
      <w:start w:val="1"/>
      <w:numFmt w:val="decimal"/>
      <w:lvlText w:val="5.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00001AD4"/>
    <w:multiLevelType w:val="multilevel"/>
    <w:tmpl w:val="00001AD4"/>
    <w:lvl w:ilvl="0" w:tentative="0">
      <w:start w:val="2"/>
      <w:numFmt w:val="decimal"/>
      <w:lvlText w:val="3.%1"/>
      <w:lvlJc w:val="left"/>
      <w:pPr>
        <w:tabs>
          <w:tab w:val="left" w:pos="720"/>
        </w:tabs>
        <w:ind w:left="720" w:hanging="360"/>
      </w:pPr>
      <w:rPr>
        <w:rFonts w:hint="default"/>
        <w:u w:val="none" w:color="auto"/>
      </w:rPr>
    </w:lvl>
    <w:lvl w:ilvl="1" w:tentative="0">
      <w:start w:val="1"/>
      <w:numFmt w:val="decimal"/>
      <w:lvlText w:val="3.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00001CD0"/>
    <w:multiLevelType w:val="multilevel"/>
    <w:tmpl w:val="00001CD0"/>
    <w:lvl w:ilvl="0" w:tentative="0">
      <w:start w:val="9"/>
      <w:numFmt w:val="decimal"/>
      <w:lvlText w:val="%1."/>
      <w:lvlJc w:val="left"/>
      <w:pPr>
        <w:tabs>
          <w:tab w:val="left" w:pos="720"/>
        </w:tabs>
        <w:ind w:left="720" w:hanging="360"/>
      </w:pPr>
      <w:rPr>
        <w:rFonts w:hint="default"/>
        <w:u w:val="none" w:color="auto"/>
      </w:rPr>
    </w:lvl>
    <w:lvl w:ilvl="1" w:tentative="0">
      <w:start w:val="1"/>
      <w:numFmt w:val="decimal"/>
      <w:lvlText w:val="9.%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00001E1F"/>
    <w:multiLevelType w:val="multilevel"/>
    <w:tmpl w:val="00001E1F"/>
    <w:lvl w:ilvl="0" w:tentative="0">
      <w:start w:val="3"/>
      <w:numFmt w:val="decimal"/>
      <w:lvlText w:val="%1."/>
      <w:lvlJc w:val="left"/>
      <w:pPr>
        <w:tabs>
          <w:tab w:val="left" w:pos="720"/>
        </w:tabs>
        <w:ind w:left="720" w:hanging="360"/>
      </w:pPr>
      <w:rPr>
        <w:rFonts w:hint="default"/>
        <w:u w:val="none" w:color="auto"/>
      </w:rPr>
    </w:lvl>
    <w:lvl w:ilvl="1" w:tentative="0">
      <w:start w:val="1"/>
      <w:numFmt w:val="decimal"/>
      <w:lvlText w:val="3.%2"/>
      <w:lvlJc w:val="left"/>
      <w:pPr>
        <w:tabs>
          <w:tab w:val="left" w:pos="1440"/>
        </w:tabs>
        <w:ind w:left="1440" w:hanging="360"/>
      </w:pPr>
      <w:rPr>
        <w:rFonts w:hint="default"/>
        <w:u w:val="none" w:color="auto"/>
      </w:rPr>
    </w:lvl>
    <w:lvl w:ilvl="2" w:tentative="0">
      <w:start w:val="1"/>
      <w:numFmt w:val="decimal"/>
      <w:lvlText w:val="3.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000022EE"/>
    <w:multiLevelType w:val="multilevel"/>
    <w:tmpl w:val="000022EE"/>
    <w:lvl w:ilvl="0" w:tentative="0">
      <w:start w:val="3"/>
      <w:numFmt w:val="decimal"/>
      <w:lvlText w:val="%1."/>
      <w:lvlJc w:val="left"/>
      <w:pPr>
        <w:tabs>
          <w:tab w:val="left" w:pos="720"/>
        </w:tabs>
        <w:ind w:left="720" w:hanging="360"/>
      </w:pPr>
      <w:rPr>
        <w:rFonts w:hint="default"/>
        <w:u w:val="none" w:color="auto"/>
      </w:rPr>
    </w:lvl>
    <w:lvl w:ilvl="1" w:tentative="0">
      <w:start w:val="1"/>
      <w:numFmt w:val="decimal"/>
      <w:lvlText w:val="3.%2"/>
      <w:lvlJc w:val="left"/>
      <w:pPr>
        <w:tabs>
          <w:tab w:val="left" w:pos="1440"/>
        </w:tabs>
        <w:ind w:left="1440" w:hanging="360"/>
      </w:pPr>
      <w:rPr>
        <w:rFonts w:hint="default"/>
        <w:u w:val="none" w:color="auto"/>
      </w:rPr>
    </w:lvl>
    <w:lvl w:ilvl="2" w:tentative="0">
      <w:start w:val="1"/>
      <w:numFmt w:val="decimal"/>
      <w:lvlText w:val="3.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00002350"/>
    <w:multiLevelType w:val="multilevel"/>
    <w:tmpl w:val="00002350"/>
    <w:lvl w:ilvl="0" w:tentative="0">
      <w:start w:val="6"/>
      <w:numFmt w:val="decimal"/>
      <w:lvlText w:val="1.%1"/>
      <w:lvlJc w:val="left"/>
      <w:pPr>
        <w:tabs>
          <w:tab w:val="left" w:pos="720"/>
        </w:tabs>
        <w:ind w:left="720" w:hanging="360"/>
      </w:pPr>
      <w:rPr>
        <w:rFonts w:hint="default"/>
        <w:u w:val="none" w:color="auto"/>
      </w:rPr>
    </w:lvl>
    <w:lvl w:ilvl="1" w:tentative="0">
      <w:start w:val="1"/>
      <w:numFmt w:val="decimal"/>
      <w:lvlText w:val="1.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0000260D"/>
    <w:multiLevelType w:val="multilevel"/>
    <w:tmpl w:val="0000260D"/>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000026A6"/>
    <w:multiLevelType w:val="multilevel"/>
    <w:tmpl w:val="000026A6"/>
    <w:lvl w:ilvl="0" w:tentative="0">
      <w:start w:val="7"/>
      <w:numFmt w:val="decimal"/>
      <w:lvlText w:val="%1."/>
      <w:lvlJc w:val="left"/>
      <w:pPr>
        <w:tabs>
          <w:tab w:val="left" w:pos="720"/>
        </w:tabs>
        <w:ind w:left="720" w:hanging="360"/>
      </w:pPr>
      <w:rPr>
        <w:rFonts w:hint="default"/>
        <w:u w:val="none" w:color="auto"/>
      </w:rPr>
    </w:lvl>
    <w:lvl w:ilvl="1" w:tentative="0">
      <w:start w:val="1"/>
      <w:numFmt w:val="decimal"/>
      <w:lvlText w:val="7.%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000026E9"/>
    <w:multiLevelType w:val="multilevel"/>
    <w:tmpl w:val="000026E9"/>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2"/>
      <w:numFmt w:val="decimal"/>
      <w:lvlText w:val="1.1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00002C3B"/>
    <w:multiLevelType w:val="multilevel"/>
    <w:tmpl w:val="00002C3B"/>
    <w:lvl w:ilvl="0" w:tentative="0">
      <w:start w:val="16"/>
      <w:numFmt w:val="decimal"/>
      <w:lvlText w:val="%1."/>
      <w:lvlJc w:val="left"/>
      <w:pPr>
        <w:tabs>
          <w:tab w:val="left" w:pos="720"/>
        </w:tabs>
        <w:ind w:left="720" w:hanging="360"/>
      </w:pPr>
      <w:rPr>
        <w:rFonts w:hint="default"/>
        <w:u w:val="none" w:color="auto"/>
      </w:rPr>
    </w:lvl>
    <w:lvl w:ilvl="1" w:tentative="0">
      <w:start w:val="1"/>
      <w:numFmt w:val="decimal"/>
      <w:lvlText w:val="1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00002CD6"/>
    <w:multiLevelType w:val="multilevel"/>
    <w:tmpl w:val="00002CD6"/>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2"/>
      <w:lvlJc w:val="left"/>
      <w:pPr>
        <w:tabs>
          <w:tab w:val="left" w:pos="1440"/>
        </w:tabs>
        <w:ind w:left="1440" w:hanging="360"/>
      </w:pPr>
      <w:rPr>
        <w:rFonts w:hint="default"/>
        <w:u w:val="none" w:color="auto"/>
      </w:rPr>
    </w:lvl>
    <w:lvl w:ilvl="2" w:tentative="0">
      <w:start w:val="1"/>
      <w:numFmt w:val="decimal"/>
      <w:lvlText w:val="1.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0">
    <w:nsid w:val="00002D12"/>
    <w:multiLevelType w:val="multilevel"/>
    <w:tmpl w:val="00002D12"/>
    <w:lvl w:ilvl="0" w:tentative="0">
      <w:start w:val="4"/>
      <w:numFmt w:val="decimal"/>
      <w:lvlText w:val="4.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00002E40"/>
    <w:multiLevelType w:val="multilevel"/>
    <w:tmpl w:val="00002E40"/>
    <w:lvl w:ilvl="0" w:tentative="0">
      <w:start w:val="8"/>
      <w:numFmt w:val="decimal"/>
      <w:lvlText w:val="%1."/>
      <w:lvlJc w:val="left"/>
      <w:pPr>
        <w:tabs>
          <w:tab w:val="left" w:pos="720"/>
        </w:tabs>
        <w:ind w:left="720" w:hanging="360"/>
      </w:pPr>
      <w:rPr>
        <w:rFonts w:hint="default"/>
        <w:u w:val="none" w:color="auto"/>
      </w:rPr>
    </w:lvl>
    <w:lvl w:ilvl="1" w:tentative="0">
      <w:start w:val="1"/>
      <w:numFmt w:val="decimal"/>
      <w:lvlText w:val="8.%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2">
    <w:nsid w:val="00002EA6"/>
    <w:multiLevelType w:val="multilevel"/>
    <w:tmpl w:val="00002EA6"/>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2.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3">
    <w:nsid w:val="0000301C"/>
    <w:multiLevelType w:val="multilevel"/>
    <w:tmpl w:val="0000301C"/>
    <w:lvl w:ilvl="0" w:tentative="0">
      <w:start w:val="5"/>
      <w:numFmt w:val="decimal"/>
      <w:lvlText w:val="1.1.%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0000305E"/>
    <w:multiLevelType w:val="multilevel"/>
    <w:tmpl w:val="0000305E"/>
    <w:lvl w:ilvl="0" w:tentative="0">
      <w:start w:val="1"/>
      <w:numFmt w:val="decimal"/>
      <w:lvlText w:val="3.5.%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5">
    <w:nsid w:val="0000314F"/>
    <w:multiLevelType w:val="multilevel"/>
    <w:tmpl w:val="0000314F"/>
    <w:lvl w:ilvl="0" w:tentative="0">
      <w:start w:val="2"/>
      <w:numFmt w:val="decimal"/>
      <w:lvlText w:val="6.4.%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0000366B"/>
    <w:multiLevelType w:val="multilevel"/>
    <w:tmpl w:val="0000366B"/>
    <w:lvl w:ilvl="0" w:tentative="0">
      <w:start w:val="1"/>
      <w:numFmt w:val="decimal"/>
      <w:lvlText w:val="%1"/>
      <w:lvlJc w:val="left"/>
      <w:pPr>
        <w:tabs>
          <w:tab w:val="left" w:pos="720"/>
        </w:tabs>
        <w:ind w:left="720" w:hanging="360"/>
      </w:pPr>
      <w:rPr>
        <w:rFonts w:hint="default"/>
        <w:u w:val="none" w:color="auto"/>
      </w:rPr>
    </w:lvl>
    <w:lvl w:ilvl="1" w:tentative="0">
      <w:start w:val="2"/>
      <w:numFmt w:val="decimal"/>
      <w:lvlText w:val="9.%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0000390C"/>
    <w:multiLevelType w:val="multilevel"/>
    <w:tmpl w:val="0000390C"/>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3.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8">
    <w:nsid w:val="00003A9E"/>
    <w:multiLevelType w:val="multilevel"/>
    <w:tmpl w:val="00003A9E"/>
    <w:lvl w:ilvl="0" w:tentative="0">
      <w:start w:val="1"/>
      <w:numFmt w:val="decimal"/>
      <w:lvlText w:val="%1"/>
      <w:lvlJc w:val="left"/>
      <w:pPr>
        <w:tabs>
          <w:tab w:val="left" w:pos="720"/>
        </w:tabs>
        <w:ind w:left="720" w:hanging="360"/>
      </w:pPr>
      <w:rPr>
        <w:rFonts w:hint="default"/>
        <w:u w:val="none" w:color="auto"/>
      </w:rPr>
    </w:lvl>
    <w:lvl w:ilvl="1" w:tentative="0">
      <w:start w:val="7"/>
      <w:numFmt w:val="decimal"/>
      <w:lvlText w:val="6.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9">
    <w:nsid w:val="00003B25"/>
    <w:multiLevelType w:val="multilevel"/>
    <w:tmpl w:val="00003B25"/>
    <w:lvl w:ilvl="0" w:tentative="0">
      <w:start w:val="2"/>
      <w:numFmt w:val="decimal"/>
      <w:lvlText w:val="2.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0">
    <w:nsid w:val="00003BF6"/>
    <w:multiLevelType w:val="multilevel"/>
    <w:tmpl w:val="00003BF6"/>
    <w:lvl w:ilvl="0" w:tentative="0">
      <w:start w:val="6"/>
      <w:numFmt w:val="decimal"/>
      <w:lvlText w:val="%1."/>
      <w:lvlJc w:val="left"/>
      <w:pPr>
        <w:tabs>
          <w:tab w:val="left" w:pos="720"/>
        </w:tabs>
        <w:ind w:left="720" w:hanging="360"/>
      </w:pPr>
      <w:rPr>
        <w:rFonts w:hint="default"/>
        <w:u w:val="none" w:color="auto"/>
      </w:rPr>
    </w:lvl>
    <w:lvl w:ilvl="1" w:tentative="0">
      <w:start w:val="1"/>
      <w:numFmt w:val="decimal"/>
      <w:lvlText w:val="6.%2"/>
      <w:lvlJc w:val="left"/>
      <w:pPr>
        <w:tabs>
          <w:tab w:val="left" w:pos="1440"/>
        </w:tabs>
        <w:ind w:left="1440" w:hanging="360"/>
      </w:pPr>
      <w:rPr>
        <w:rFonts w:hint="default"/>
        <w:u w:val="none" w:color="auto"/>
      </w:rPr>
    </w:lvl>
    <w:lvl w:ilvl="2" w:tentative="0">
      <w:start w:val="1"/>
      <w:numFmt w:val="decimal"/>
      <w:lvlText w:val="6.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1">
    <w:nsid w:val="00003E12"/>
    <w:multiLevelType w:val="multilevel"/>
    <w:tmpl w:val="00003E12"/>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5.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2">
    <w:nsid w:val="00003EF6"/>
    <w:multiLevelType w:val="multilevel"/>
    <w:tmpl w:val="00003EF6"/>
    <w:lvl w:ilvl="0" w:tentative="0">
      <w:start w:val="2"/>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3">
    <w:nsid w:val="000041BB"/>
    <w:multiLevelType w:val="multilevel"/>
    <w:tmpl w:val="000041BB"/>
    <w:lvl w:ilvl="0" w:tentative="0">
      <w:start w:val="11"/>
      <w:numFmt w:val="decimal"/>
      <w:lvlText w:val="1.%1"/>
      <w:lvlJc w:val="left"/>
      <w:pPr>
        <w:tabs>
          <w:tab w:val="left" w:pos="720"/>
        </w:tabs>
        <w:ind w:left="720" w:hanging="360"/>
      </w:pPr>
      <w:rPr>
        <w:rFonts w:hint="default"/>
        <w:u w:val="none" w:color="auto"/>
      </w:rPr>
    </w:lvl>
    <w:lvl w:ilvl="1" w:tentative="0">
      <w:start w:val="1"/>
      <w:numFmt w:val="decimal"/>
      <w:lvlText w:val="1.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4">
    <w:nsid w:val="00004230"/>
    <w:multiLevelType w:val="multilevel"/>
    <w:tmpl w:val="00004230"/>
    <w:lvl w:ilvl="0" w:tentative="0">
      <w:start w:val="11"/>
      <w:numFmt w:val="decimal"/>
      <w:lvlText w:val="%1."/>
      <w:lvlJc w:val="left"/>
      <w:pPr>
        <w:tabs>
          <w:tab w:val="left" w:pos="720"/>
        </w:tabs>
        <w:ind w:left="720" w:hanging="360"/>
      </w:pPr>
      <w:rPr>
        <w:rFonts w:hint="default"/>
        <w:u w:val="none" w:color="auto"/>
      </w:rPr>
    </w:lvl>
    <w:lvl w:ilvl="1" w:tentative="0">
      <w:start w:val="1"/>
      <w:numFmt w:val="decimal"/>
      <w:lvlText w:val="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5">
    <w:nsid w:val="0000428B"/>
    <w:multiLevelType w:val="multilevel"/>
    <w:tmpl w:val="0000428B"/>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6.%2"/>
      <w:lvlJc w:val="left"/>
      <w:pPr>
        <w:tabs>
          <w:tab w:val="left" w:pos="1440"/>
        </w:tabs>
        <w:ind w:left="1440" w:hanging="360"/>
      </w:pPr>
      <w:rPr>
        <w:rFonts w:hint="default"/>
        <w:u w:val="none" w:color="auto"/>
      </w:rPr>
    </w:lvl>
    <w:lvl w:ilvl="2" w:tentative="0">
      <w:start w:val="1"/>
      <w:numFmt w:val="decimal"/>
      <w:lvlText w:val="6.3.%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6">
    <w:nsid w:val="0000440D"/>
    <w:multiLevelType w:val="multilevel"/>
    <w:tmpl w:val="0000440D"/>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3.5.%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7">
    <w:nsid w:val="00004509"/>
    <w:multiLevelType w:val="multilevel"/>
    <w:tmpl w:val="00004509"/>
    <w:lvl w:ilvl="0" w:tentative="0">
      <w:start w:val="2"/>
      <w:numFmt w:val="decimal"/>
      <w:lvlText w:val="%1."/>
      <w:lvlJc w:val="left"/>
      <w:pPr>
        <w:tabs>
          <w:tab w:val="left" w:pos="720"/>
        </w:tabs>
        <w:ind w:left="720" w:hanging="360"/>
      </w:pPr>
      <w:rPr>
        <w:rFonts w:hint="default"/>
        <w:u w:val="none" w:color="auto"/>
      </w:rPr>
    </w:lvl>
    <w:lvl w:ilvl="1" w:tentative="0">
      <w:start w:val="1"/>
      <w:numFmt w:val="decimal"/>
      <w:lvlText w:val="2.%2"/>
      <w:lvlJc w:val="left"/>
      <w:pPr>
        <w:tabs>
          <w:tab w:val="left" w:pos="1440"/>
        </w:tabs>
        <w:ind w:left="1440" w:hanging="360"/>
      </w:pPr>
      <w:rPr>
        <w:rFonts w:hint="default"/>
        <w:u w:val="none" w:color="auto"/>
      </w:rPr>
    </w:lvl>
    <w:lvl w:ilvl="2" w:tentative="0">
      <w:start w:val="1"/>
      <w:numFmt w:val="decimal"/>
      <w:lvlText w:val="2.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8">
    <w:nsid w:val="00004823"/>
    <w:multiLevelType w:val="multilevel"/>
    <w:tmpl w:val="00004823"/>
    <w:lvl w:ilvl="0" w:tentative="0">
      <w:start w:val="4"/>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9">
    <w:nsid w:val="0000491C"/>
    <w:multiLevelType w:val="multilevel"/>
    <w:tmpl w:val="0000491C"/>
    <w:lvl w:ilvl="0" w:tentative="0">
      <w:start w:val="6"/>
      <w:numFmt w:val="decimal"/>
      <w:lvlText w:val="3.%1"/>
      <w:lvlJc w:val="left"/>
      <w:pPr>
        <w:tabs>
          <w:tab w:val="left" w:pos="720"/>
        </w:tabs>
        <w:ind w:left="720" w:hanging="360"/>
      </w:pPr>
      <w:rPr>
        <w:rFonts w:hint="default"/>
        <w:u w:val="none" w:color="auto"/>
      </w:rPr>
    </w:lvl>
    <w:lvl w:ilvl="1" w:tentative="0">
      <w:start w:val="1"/>
      <w:numFmt w:val="decimal"/>
      <w:lvlText w:val="3.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0">
    <w:nsid w:val="00004944"/>
    <w:multiLevelType w:val="multilevel"/>
    <w:tmpl w:val="00004944"/>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7.%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1">
    <w:nsid w:val="00004B40"/>
    <w:multiLevelType w:val="multilevel"/>
    <w:tmpl w:val="00004B40"/>
    <w:lvl w:ilvl="0" w:tentative="0">
      <w:start w:val="1"/>
      <w:numFmt w:val="decimal"/>
      <w:lvlText w:val="%1"/>
      <w:lvlJc w:val="left"/>
      <w:pPr>
        <w:tabs>
          <w:tab w:val="left" w:pos="720"/>
        </w:tabs>
        <w:ind w:left="720" w:hanging="360"/>
      </w:pPr>
      <w:rPr>
        <w:rFonts w:hint="default"/>
        <w:u w:val="none" w:color="auto"/>
      </w:rPr>
    </w:lvl>
    <w:lvl w:ilvl="1" w:tentative="0">
      <w:start w:val="2"/>
      <w:numFmt w:val="decimal"/>
      <w:lvlText w:val="4.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2">
    <w:nsid w:val="00004CAD"/>
    <w:multiLevelType w:val="multilevel"/>
    <w:tmpl w:val="00004CAD"/>
    <w:lvl w:ilvl="0" w:tentative="0">
      <w:start w:val="4"/>
      <w:numFmt w:val="decimal"/>
      <w:lvlText w:val="6.%1"/>
      <w:lvlJc w:val="left"/>
      <w:pPr>
        <w:tabs>
          <w:tab w:val="left" w:pos="720"/>
        </w:tabs>
        <w:ind w:left="720" w:hanging="360"/>
      </w:pPr>
      <w:rPr>
        <w:rFonts w:hint="default"/>
        <w:u w:val="none" w:color="auto"/>
      </w:rPr>
    </w:lvl>
    <w:lvl w:ilvl="1" w:tentative="0">
      <w:start w:val="1"/>
      <w:numFmt w:val="decimal"/>
      <w:lvlText w:val="6.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3">
    <w:nsid w:val="00004D06"/>
    <w:multiLevelType w:val="multilevel"/>
    <w:tmpl w:val="00004D06"/>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3.7.%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4">
    <w:nsid w:val="00004DB7"/>
    <w:multiLevelType w:val="multilevel"/>
    <w:tmpl w:val="00004DB7"/>
    <w:lvl w:ilvl="0" w:tentative="0">
      <w:start w:val="4"/>
      <w:numFmt w:val="decimal"/>
      <w:lvlText w:val="%1."/>
      <w:lvlJc w:val="left"/>
      <w:pPr>
        <w:tabs>
          <w:tab w:val="left" w:pos="720"/>
        </w:tabs>
        <w:ind w:left="720" w:hanging="360"/>
      </w:pPr>
      <w:rPr>
        <w:rFonts w:hint="default"/>
        <w:u w:val="none" w:color="auto"/>
      </w:rPr>
    </w:lvl>
    <w:lvl w:ilvl="1" w:tentative="0">
      <w:start w:val="1"/>
      <w:numFmt w:val="decimal"/>
      <w:lvlText w:val="4.%2"/>
      <w:lvlJc w:val="left"/>
      <w:pPr>
        <w:tabs>
          <w:tab w:val="left" w:pos="1440"/>
        </w:tabs>
        <w:ind w:left="1440" w:hanging="360"/>
      </w:pPr>
      <w:rPr>
        <w:rFonts w:hint="default"/>
        <w:u w:val="none" w:color="auto"/>
      </w:rPr>
    </w:lvl>
    <w:lvl w:ilvl="2" w:tentative="0">
      <w:start w:val="1"/>
      <w:numFmt w:val="decimal"/>
      <w:lvlText w:val="4.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0004DF2"/>
    <w:multiLevelType w:val="multilevel"/>
    <w:tmpl w:val="00004DF2"/>
    <w:lvl w:ilvl="0" w:tentative="0">
      <w:start w:val="7"/>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6">
    <w:nsid w:val="00005422"/>
    <w:multiLevelType w:val="multilevel"/>
    <w:tmpl w:val="00005422"/>
    <w:lvl w:ilvl="0" w:tentative="0">
      <w:start w:val="4"/>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54DE"/>
    <w:multiLevelType w:val="multilevel"/>
    <w:tmpl w:val="000054DE"/>
    <w:lvl w:ilvl="0" w:tentative="0">
      <w:start w:val="2"/>
      <w:numFmt w:val="decimal"/>
      <w:lvlText w:val="4.%1"/>
      <w:lvlJc w:val="left"/>
      <w:pPr>
        <w:tabs>
          <w:tab w:val="left" w:pos="720"/>
        </w:tabs>
        <w:ind w:left="720" w:hanging="360"/>
      </w:pPr>
      <w:rPr>
        <w:rFonts w:hint="default"/>
        <w:u w:val="none" w:color="auto"/>
      </w:rPr>
    </w:lvl>
    <w:lvl w:ilvl="1" w:tentative="0">
      <w:start w:val="1"/>
      <w:numFmt w:val="decimal"/>
      <w:lvlText w:val="4.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8">
    <w:nsid w:val="000056AE"/>
    <w:multiLevelType w:val="multilevel"/>
    <w:tmpl w:val="000056AE"/>
    <w:lvl w:ilvl="0" w:tentative="0">
      <w:start w:val="1"/>
      <w:numFmt w:val="decimal"/>
      <w:lvlText w:val="%1"/>
      <w:lvlJc w:val="left"/>
      <w:pPr>
        <w:tabs>
          <w:tab w:val="left" w:pos="720"/>
        </w:tabs>
        <w:ind w:left="720" w:hanging="360"/>
      </w:pPr>
      <w:rPr>
        <w:rFonts w:hint="default"/>
        <w:u w:val="none" w:color="auto"/>
      </w:rPr>
    </w:lvl>
    <w:lvl w:ilvl="1" w:tentative="0">
      <w:start w:val="14"/>
      <w:numFmt w:val="decimal"/>
      <w:lvlText w:val="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9">
    <w:nsid w:val="00005878"/>
    <w:multiLevelType w:val="multilevel"/>
    <w:tmpl w:val="00005878"/>
    <w:lvl w:ilvl="0" w:tentative="0">
      <w:start w:val="2"/>
      <w:numFmt w:val="decimal"/>
      <w:lvlText w:val="4.%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0">
    <w:nsid w:val="00005AF1"/>
    <w:multiLevelType w:val="multilevel"/>
    <w:tmpl w:val="00005AF1"/>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10.%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1">
    <w:nsid w:val="00005CFD"/>
    <w:multiLevelType w:val="multilevel"/>
    <w:tmpl w:val="00005CFD"/>
    <w:lvl w:ilvl="0" w:tentative="0">
      <w:start w:val="1"/>
      <w:numFmt w:val="decimal"/>
      <w:lvlText w:val="5.%1"/>
      <w:lvlJc w:val="left"/>
      <w:pPr>
        <w:tabs>
          <w:tab w:val="left" w:pos="720"/>
        </w:tabs>
        <w:ind w:left="720" w:hanging="360"/>
      </w:pPr>
      <w:rPr>
        <w:rFonts w:hint="default"/>
        <w:u w:val="none" w:color="auto"/>
      </w:rPr>
    </w:lvl>
    <w:lvl w:ilvl="1" w:tentative="0">
      <w:start w:val="1"/>
      <w:numFmt w:val="decimal"/>
      <w:lvlText w:val="5.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2">
    <w:nsid w:val="00005E14"/>
    <w:multiLevelType w:val="multilevel"/>
    <w:tmpl w:val="00005E14"/>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6.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3">
    <w:nsid w:val="00005F32"/>
    <w:multiLevelType w:val="multilevel"/>
    <w:tmpl w:val="00005F32"/>
    <w:lvl w:ilvl="0" w:tentative="0">
      <w:start w:val="1"/>
      <w:numFmt w:val="decimal"/>
      <w:lvlText w:val="%1"/>
      <w:lvlJc w:val="left"/>
      <w:pPr>
        <w:tabs>
          <w:tab w:val="left" w:pos="720"/>
        </w:tabs>
        <w:ind w:left="720" w:hanging="360"/>
      </w:pPr>
      <w:rPr>
        <w:rFonts w:hint="default"/>
        <w:u w:val="none" w:color="auto"/>
      </w:rPr>
    </w:lvl>
    <w:lvl w:ilvl="1" w:tentative="0">
      <w:start w:val="4"/>
      <w:numFmt w:val="decimal"/>
      <w:lvlText w:val="5.%2"/>
      <w:lvlJc w:val="left"/>
      <w:pPr>
        <w:tabs>
          <w:tab w:val="left" w:pos="1440"/>
        </w:tabs>
        <w:ind w:left="1440" w:hanging="360"/>
      </w:pPr>
      <w:rPr>
        <w:rFonts w:hint="default"/>
        <w:u w:val="none" w:color="auto"/>
      </w:rPr>
    </w:lvl>
    <w:lvl w:ilvl="2" w:tentative="0">
      <w:start w:val="1"/>
      <w:numFmt w:val="decimal"/>
      <w:lvlText w:val="5.4.%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4">
    <w:nsid w:val="00005F49"/>
    <w:multiLevelType w:val="multilevel"/>
    <w:tmpl w:val="00005F49"/>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6.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5">
    <w:nsid w:val="00005F90"/>
    <w:multiLevelType w:val="multilevel"/>
    <w:tmpl w:val="00005F90"/>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1.4.%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6">
    <w:nsid w:val="00006032"/>
    <w:multiLevelType w:val="multilevel"/>
    <w:tmpl w:val="00006032"/>
    <w:lvl w:ilvl="0" w:tentative="0">
      <w:start w:val="14"/>
      <w:numFmt w:val="decimal"/>
      <w:lvlText w:val="%1."/>
      <w:lvlJc w:val="left"/>
      <w:pPr>
        <w:tabs>
          <w:tab w:val="left" w:pos="720"/>
        </w:tabs>
        <w:ind w:left="720" w:hanging="360"/>
      </w:pPr>
      <w:rPr>
        <w:rFonts w:hint="default"/>
        <w:u w:val="none" w:color="auto"/>
      </w:rPr>
    </w:lvl>
    <w:lvl w:ilvl="1" w:tentative="0">
      <w:start w:val="1"/>
      <w:numFmt w:val="decimal"/>
      <w:lvlText w:val="1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7">
    <w:nsid w:val="000063CB"/>
    <w:multiLevelType w:val="multilevel"/>
    <w:tmpl w:val="000063CB"/>
    <w:lvl w:ilvl="0" w:tentative="0">
      <w:start w:val="3"/>
      <w:numFmt w:val="decimal"/>
      <w:lvlText w:val="3.%1"/>
      <w:lvlJc w:val="left"/>
      <w:pPr>
        <w:tabs>
          <w:tab w:val="left" w:pos="720"/>
        </w:tabs>
        <w:ind w:left="720" w:hanging="360"/>
      </w:pPr>
      <w:rPr>
        <w:rFonts w:hint="default"/>
        <w:u w:val="none" w:color="auto"/>
      </w:rPr>
    </w:lvl>
    <w:lvl w:ilvl="1" w:tentative="0">
      <w:start w:val="1"/>
      <w:numFmt w:val="decimal"/>
      <w:lvlText w:val="3.3.%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8">
    <w:nsid w:val="00006443"/>
    <w:multiLevelType w:val="multilevel"/>
    <w:tmpl w:val="00006443"/>
    <w:lvl w:ilvl="0" w:tentative="0">
      <w:start w:val="5"/>
      <w:numFmt w:val="decimal"/>
      <w:lvlText w:val="%1."/>
      <w:lvlJc w:val="left"/>
      <w:pPr>
        <w:tabs>
          <w:tab w:val="left" w:pos="720"/>
        </w:tabs>
        <w:ind w:left="720" w:hanging="360"/>
      </w:pPr>
      <w:rPr>
        <w:rFonts w:hint="default"/>
        <w:u w:val="none" w:color="auto"/>
      </w:rPr>
    </w:lvl>
    <w:lvl w:ilvl="1" w:tentative="0">
      <w:start w:val="1"/>
      <w:numFmt w:val="decimal"/>
      <w:lvlText w:val="5.%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9">
    <w:nsid w:val="000066BB"/>
    <w:multiLevelType w:val="multilevel"/>
    <w:tmpl w:val="000066BB"/>
    <w:lvl w:ilvl="0" w:tentative="0">
      <w:start w:val="6"/>
      <w:numFmt w:val="decimal"/>
      <w:lvlText w:val="%1."/>
      <w:lvlJc w:val="left"/>
      <w:pPr>
        <w:tabs>
          <w:tab w:val="left" w:pos="720"/>
        </w:tabs>
        <w:ind w:left="720" w:hanging="360"/>
      </w:pPr>
      <w:rPr>
        <w:rFonts w:hint="default"/>
        <w:u w:val="none" w:color="auto"/>
      </w:rPr>
    </w:lvl>
    <w:lvl w:ilvl="1" w:tentative="0">
      <w:start w:val="1"/>
      <w:numFmt w:val="decimal"/>
      <w:lvlText w:val="6.%2"/>
      <w:lvlJc w:val="left"/>
      <w:pPr>
        <w:tabs>
          <w:tab w:val="left" w:pos="1440"/>
        </w:tabs>
        <w:ind w:left="1440" w:hanging="360"/>
      </w:pPr>
      <w:rPr>
        <w:rFonts w:hint="default"/>
        <w:u w:val="none" w:color="auto"/>
      </w:rPr>
    </w:lvl>
    <w:lvl w:ilvl="2" w:tentative="0">
      <w:start w:val="1"/>
      <w:numFmt w:val="decimal"/>
      <w:lvlText w:val="6.1.%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0">
    <w:nsid w:val="000066C4"/>
    <w:multiLevelType w:val="multilevel"/>
    <w:tmpl w:val="000066C4"/>
    <w:lvl w:ilvl="0" w:tentative="0">
      <w:start w:val="10"/>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1">
    <w:nsid w:val="00006952"/>
    <w:multiLevelType w:val="multilevel"/>
    <w:tmpl w:val="00006952"/>
    <w:lvl w:ilvl="0" w:tentative="0">
      <w:start w:val="1"/>
      <w:numFmt w:val="decimal"/>
      <w:lvlText w:val="%1"/>
      <w:lvlJc w:val="left"/>
      <w:pPr>
        <w:tabs>
          <w:tab w:val="left" w:pos="720"/>
        </w:tabs>
        <w:ind w:left="720" w:hanging="360"/>
      </w:pPr>
      <w:rPr>
        <w:rFonts w:hint="default"/>
        <w:u w:val="none" w:color="auto"/>
      </w:rPr>
    </w:lvl>
    <w:lvl w:ilvl="1" w:tentative="0">
      <w:start w:val="3"/>
      <w:numFmt w:val="decimal"/>
      <w:lvlText w:val="1.%2"/>
      <w:lvlJc w:val="left"/>
      <w:pPr>
        <w:tabs>
          <w:tab w:val="left" w:pos="1440"/>
        </w:tabs>
        <w:ind w:left="1440" w:hanging="360"/>
      </w:pPr>
      <w:rPr>
        <w:rFonts w:hint="default"/>
        <w:u w:val="none" w:color="auto"/>
      </w:rPr>
    </w:lvl>
    <w:lvl w:ilvl="2" w:tentative="0">
      <w:start w:val="1"/>
      <w:numFmt w:val="decimal"/>
      <w:lvlText w:val="1.3.%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2">
    <w:nsid w:val="00006B36"/>
    <w:multiLevelType w:val="multilevel"/>
    <w:tmpl w:val="00006B36"/>
    <w:lvl w:ilvl="0" w:tentative="0">
      <w:start w:val="1"/>
      <w:numFmt w:val="decimal"/>
      <w:lvlText w:val="4.2.%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3">
    <w:nsid w:val="00006B89"/>
    <w:multiLevelType w:val="multilevel"/>
    <w:tmpl w:val="00006B89"/>
    <w:lvl w:ilvl="0" w:tentative="0">
      <w:start w:val="1"/>
      <w:numFmt w:val="decimal"/>
      <w:lvlText w:val="1.1.1.%1"/>
      <w:lvlJc w:val="left"/>
      <w:pPr>
        <w:tabs>
          <w:tab w:val="left" w:pos="720"/>
        </w:tabs>
        <w:ind w:left="720" w:hanging="360"/>
      </w:pPr>
      <w:rPr>
        <w:rFonts w:hint="default"/>
        <w:u w:val="none" w:color="auto"/>
      </w:rPr>
    </w:lvl>
    <w:lvl w:ilvl="1" w:tentative="0">
      <w:start w:val="2"/>
      <w:numFmt w:val="decimal"/>
      <w:lvlText w:val="1.1.%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4">
    <w:nsid w:val="00006BFC"/>
    <w:multiLevelType w:val="multilevel"/>
    <w:tmpl w:val="00006BFC"/>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3.4.%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5">
    <w:nsid w:val="00006DF1"/>
    <w:multiLevelType w:val="multilevel"/>
    <w:tmpl w:val="00006DF1"/>
    <w:lvl w:ilvl="0" w:tentative="0">
      <w:start w:val="9"/>
      <w:numFmt w:val="decimal"/>
      <w:lvlText w:val="1.%1"/>
      <w:lvlJc w:val="left"/>
      <w:pPr>
        <w:tabs>
          <w:tab w:val="left" w:pos="720"/>
        </w:tabs>
        <w:ind w:left="720" w:hanging="360"/>
      </w:pPr>
      <w:rPr>
        <w:rFonts w:hint="default"/>
        <w:u w:val="none" w:color="auto"/>
      </w:rPr>
    </w:lvl>
    <w:lvl w:ilvl="1" w:tentative="0">
      <w:start w:val="1"/>
      <w:numFmt w:val="decimal"/>
      <w:lvlText w:val="1.9.%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6">
    <w:nsid w:val="0000701F"/>
    <w:multiLevelType w:val="multilevel"/>
    <w:tmpl w:val="0000701F"/>
    <w:lvl w:ilvl="0" w:tentative="0">
      <w:start w:val="6"/>
      <w:numFmt w:val="decimal"/>
      <w:lvlText w:val="7.%1"/>
      <w:lvlJc w:val="left"/>
      <w:pPr>
        <w:tabs>
          <w:tab w:val="left" w:pos="720"/>
        </w:tabs>
        <w:ind w:left="720" w:hanging="360"/>
      </w:pPr>
      <w:rPr>
        <w:rFonts w:hint="default"/>
        <w:u w:val="none" w:color="auto"/>
      </w:rPr>
    </w:lvl>
    <w:lvl w:ilvl="1" w:tentative="0">
      <w:start w:val="1"/>
      <w:numFmt w:val="decimal"/>
      <w:lvlText w:val="7.6.%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7">
    <w:nsid w:val="000072AE"/>
    <w:multiLevelType w:val="multilevel"/>
    <w:tmpl w:val="000072AE"/>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1.2.%3"/>
      <w:lvlJc w:val="left"/>
      <w:pPr>
        <w:tabs>
          <w:tab w:val="left" w:pos="2160"/>
        </w:tabs>
        <w:ind w:left="2160" w:hanging="360"/>
      </w:pPr>
      <w:rPr>
        <w:rFonts w:hint="default"/>
        <w:u w:val="none" w:color="auto"/>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8">
    <w:nsid w:val="0000759A"/>
    <w:multiLevelType w:val="multilevel"/>
    <w:tmpl w:val="0000759A"/>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1.5.%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9">
    <w:nsid w:val="0000767D"/>
    <w:multiLevelType w:val="multilevel"/>
    <w:tmpl w:val="0000767D"/>
    <w:lvl w:ilvl="0" w:tentative="0">
      <w:start w:val="5"/>
      <w:numFmt w:val="decimal"/>
      <w:lvlText w:val="8.%1"/>
      <w:lvlJc w:val="left"/>
      <w:pPr>
        <w:tabs>
          <w:tab w:val="left" w:pos="720"/>
        </w:tabs>
        <w:ind w:left="720" w:hanging="360"/>
      </w:pPr>
      <w:rPr>
        <w:rFonts w:hint="default"/>
        <w:u w:val="none" w:color="auto"/>
      </w:rPr>
    </w:lvl>
    <w:lvl w:ilvl="1" w:tentative="0">
      <w:start w:val="1"/>
      <w:numFmt w:val="decimal"/>
      <w:lvlText w:val="8.5.%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0">
    <w:nsid w:val="0000797D"/>
    <w:multiLevelType w:val="multilevel"/>
    <w:tmpl w:val="0000797D"/>
    <w:lvl w:ilvl="0" w:tentative="0">
      <w:start w:val="2"/>
      <w:numFmt w:val="decimal"/>
      <w:lvlText w:val="6.%1"/>
      <w:lvlJc w:val="left"/>
      <w:pPr>
        <w:tabs>
          <w:tab w:val="left" w:pos="720"/>
        </w:tabs>
        <w:ind w:left="720" w:hanging="360"/>
      </w:pPr>
      <w:rPr>
        <w:rFonts w:hint="default"/>
        <w:u w:val="none" w:color="auto"/>
      </w:rPr>
    </w:lvl>
    <w:lvl w:ilvl="1" w:tentative="0">
      <w:start w:val="1"/>
      <w:numFmt w:val="decimal"/>
      <w:lvlText w:val="6.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1">
    <w:nsid w:val="0000798B"/>
    <w:multiLevelType w:val="multilevel"/>
    <w:tmpl w:val="0000798B"/>
    <w:lvl w:ilvl="0" w:tentative="0">
      <w:start w:val="1"/>
      <w:numFmt w:val="decimal"/>
      <w:lvlText w:val="%1."/>
      <w:lvlJc w:val="left"/>
      <w:pPr>
        <w:tabs>
          <w:tab w:val="left" w:pos="720"/>
        </w:tabs>
        <w:ind w:left="720" w:hanging="36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2">
    <w:nsid w:val="00007A5A"/>
    <w:multiLevelType w:val="multilevel"/>
    <w:tmpl w:val="00007A5A"/>
    <w:lvl w:ilvl="0" w:tentative="0">
      <w:start w:val="7"/>
      <w:numFmt w:val="decimal"/>
      <w:lvlText w:val="7.%1"/>
      <w:lvlJc w:val="left"/>
      <w:pPr>
        <w:tabs>
          <w:tab w:val="left" w:pos="720"/>
        </w:tabs>
        <w:ind w:left="720" w:hanging="360"/>
      </w:pPr>
      <w:rPr>
        <w:rFonts w:hint="default"/>
        <w:u w:val="none" w:color="auto"/>
      </w:rPr>
    </w:lvl>
    <w:lvl w:ilvl="1" w:tentative="0">
      <w:start w:val="1"/>
      <w:numFmt w:val="decimal"/>
      <w:lvlText w:val="7.7.%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3">
    <w:nsid w:val="00007E87"/>
    <w:multiLevelType w:val="multilevel"/>
    <w:tmpl w:val="00007E87"/>
    <w:lvl w:ilvl="0" w:tentative="0">
      <w:start w:val="2"/>
      <w:numFmt w:val="decimal"/>
      <w:lvlText w:val="3.%1"/>
      <w:lvlJc w:val="left"/>
      <w:pPr>
        <w:tabs>
          <w:tab w:val="left" w:pos="720"/>
        </w:tabs>
        <w:ind w:left="720" w:hanging="360"/>
      </w:pPr>
      <w:rPr>
        <w:rFonts w:hint="default"/>
        <w:u w:val="none" w:color="auto"/>
      </w:rPr>
    </w:lvl>
    <w:lvl w:ilvl="1" w:tentative="0">
      <w:start w:val="1"/>
      <w:numFmt w:val="decimal"/>
      <w:lvlText w:val="3.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4">
    <w:nsid w:val="00007EB7"/>
    <w:multiLevelType w:val="multilevel"/>
    <w:tmpl w:val="00007EB7"/>
    <w:lvl w:ilvl="0" w:tentative="0">
      <w:start w:val="12"/>
      <w:numFmt w:val="decimal"/>
      <w:lvlText w:val="%1."/>
      <w:lvlJc w:val="left"/>
      <w:pPr>
        <w:tabs>
          <w:tab w:val="left" w:pos="720"/>
        </w:tabs>
        <w:ind w:left="720" w:hanging="360"/>
      </w:pPr>
      <w:rPr>
        <w:rFonts w:hint="default"/>
        <w:u w:val="none" w:color="auto"/>
      </w:rPr>
    </w:lvl>
    <w:lvl w:ilvl="1" w:tentative="0">
      <w:start w:val="1"/>
      <w:numFmt w:val="decimal"/>
      <w:lvlText w:val="12.%2"/>
      <w:lvlJc w:val="left"/>
      <w:pPr>
        <w:tabs>
          <w:tab w:val="left" w:pos="1440"/>
        </w:tabs>
        <w:ind w:left="1440" w:hanging="360"/>
      </w:pPr>
      <w:rPr>
        <w:rFonts w:hint="default"/>
        <w:u w:val="none" w:color="auto"/>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5">
    <w:nsid w:val="00D17A14"/>
    <w:multiLevelType w:val="multilevel"/>
    <w:tmpl w:val="00D17A14"/>
    <w:lvl w:ilvl="0" w:tentative="0">
      <w:start w:val="1"/>
      <w:numFmt w:val="decimal"/>
      <w:lvlText w:val="第%1节："/>
      <w:lvlJc w:val="left"/>
      <w:pPr>
        <w:tabs>
          <w:tab w:val="left" w:pos="2029"/>
        </w:tabs>
        <w:ind w:left="2029" w:hanging="1985"/>
      </w:pPr>
      <w:rPr>
        <w:rFonts w:hint="default" w:ascii="Times New Roman" w:hAnsi="Times New Roman"/>
        <w:caps/>
        <w:strike w:val="0"/>
        <w:dstrike w:val="0"/>
        <w:vanish w:val="0"/>
        <w:color w:val="auto"/>
        <w:vertAlign w:val="baseline"/>
      </w:rPr>
    </w:lvl>
    <w:lvl w:ilvl="1" w:tentative="0">
      <w:start w:val="1"/>
      <w:numFmt w:val="decimal"/>
      <w:isLgl/>
      <w:lvlText w:val="%1.%2"/>
      <w:lvlJc w:val="left"/>
      <w:pPr>
        <w:tabs>
          <w:tab w:val="left" w:pos="740"/>
        </w:tabs>
        <w:ind w:left="740" w:hanging="680"/>
      </w:pPr>
      <w:rPr>
        <w:rFonts w:hint="eastAsia"/>
      </w:rPr>
    </w:lvl>
    <w:lvl w:ilvl="2" w:tentative="0">
      <w:start w:val="1"/>
      <w:numFmt w:val="decimal"/>
      <w:isLgl/>
      <w:lvlText w:val="%1.%2.%3"/>
      <w:lvlJc w:val="left"/>
      <w:pPr>
        <w:tabs>
          <w:tab w:val="left" w:pos="964"/>
        </w:tabs>
        <w:ind w:left="964" w:hanging="737"/>
      </w:pPr>
      <w:rPr>
        <w:rFonts w:hint="default" w:ascii="Times New Roman" w:hAnsi="Times New Roman" w:cs="Times New Roman"/>
        <w:b/>
        <w:caps w:val="0"/>
        <w:strike w:val="0"/>
        <w:dstrike w:val="0"/>
        <w:vanish w:val="0"/>
        <w:color w:val="auto"/>
        <w:vertAlign w:val="baseline"/>
      </w:rPr>
    </w:lvl>
    <w:lvl w:ilvl="3" w:tentative="0">
      <w:start w:val="1"/>
      <w:numFmt w:val="decimal"/>
      <w:lvlText w:val="%1.%2.%3.%4"/>
      <w:lvlJc w:val="left"/>
      <w:pPr>
        <w:tabs>
          <w:tab w:val="left" w:pos="142"/>
        </w:tabs>
        <w:ind w:left="6719" w:hanging="6577"/>
      </w:pPr>
      <w:rPr>
        <w:rFonts w:hint="eastAsia"/>
      </w:rPr>
    </w:lvl>
    <w:lvl w:ilvl="4" w:tentative="0">
      <w:start w:val="1"/>
      <w:numFmt w:val="upperLetter"/>
      <w:lvlText w:val="%5."/>
      <w:lvlJc w:val="left"/>
      <w:pPr>
        <w:tabs>
          <w:tab w:val="left" w:pos="680"/>
        </w:tabs>
        <w:ind w:left="680" w:hanging="453"/>
      </w:pPr>
      <w:rPr>
        <w:rFonts w:hint="default" w:ascii="Times New Roman" w:hAnsi="Times New Roman" w:cs="Times New Roman"/>
        <w:color w:val="auto"/>
      </w:rPr>
    </w:lvl>
    <w:lvl w:ilvl="5" w:tentative="0">
      <w:start w:val="1"/>
      <w:numFmt w:val="decimal"/>
      <w:lvlText w:val="%6."/>
      <w:lvlJc w:val="left"/>
      <w:pPr>
        <w:tabs>
          <w:tab w:val="left" w:pos="1134"/>
        </w:tabs>
        <w:ind w:left="1134" w:hanging="454"/>
      </w:pPr>
      <w:rPr>
        <w:rFonts w:hint="eastAsia"/>
      </w:rPr>
    </w:lvl>
    <w:lvl w:ilvl="6" w:tentative="0">
      <w:start w:val="1"/>
      <w:numFmt w:val="lowerLetter"/>
      <w:lvlText w:val="%7."/>
      <w:lvlJc w:val="left"/>
      <w:pPr>
        <w:tabs>
          <w:tab w:val="left" w:pos="1588"/>
        </w:tabs>
        <w:ind w:left="1588" w:hanging="454"/>
      </w:pPr>
      <w:rPr>
        <w:rFonts w:hint="eastAsia"/>
      </w:rPr>
    </w:lvl>
    <w:lvl w:ilvl="7" w:tentative="0">
      <w:start w:val="1"/>
      <w:numFmt w:val="lowerRoman"/>
      <w:lvlText w:val="%8."/>
      <w:lvlJc w:val="left"/>
      <w:pPr>
        <w:tabs>
          <w:tab w:val="left" w:pos="2562"/>
        </w:tabs>
        <w:ind w:left="2295" w:hanging="453"/>
      </w:pPr>
      <w:rPr>
        <w:rFonts w:hint="eastAsia"/>
      </w:rPr>
    </w:lvl>
    <w:lvl w:ilvl="8" w:tentative="0">
      <w:start w:val="1"/>
      <w:numFmt w:val="decimal"/>
      <w:lvlText w:val="(%9)"/>
      <w:lvlJc w:val="left"/>
      <w:pPr>
        <w:tabs>
          <w:tab w:val="left" w:pos="2608"/>
        </w:tabs>
        <w:ind w:left="2608" w:hanging="567"/>
      </w:pPr>
      <w:rPr>
        <w:rFonts w:hint="eastAsia"/>
      </w:rPr>
    </w:lvl>
  </w:abstractNum>
  <w:abstractNum w:abstractNumId="86">
    <w:nsid w:val="0C583190"/>
    <w:multiLevelType w:val="multilevel"/>
    <w:tmpl w:val="0C583190"/>
    <w:lvl w:ilvl="0" w:tentative="0">
      <w:start w:val="1"/>
      <w:numFmt w:val="decimal"/>
      <w:lvlText w:val="第%1部分："/>
      <w:lvlJc w:val="left"/>
      <w:pPr>
        <w:tabs>
          <w:tab w:val="left" w:pos="574"/>
        </w:tabs>
        <w:ind w:left="574" w:firstLine="0"/>
      </w:pPr>
      <w:rPr>
        <w:rFonts w:hint="default" w:ascii="Times New Roman" w:hAnsi="Times New Roman"/>
        <w:caps/>
        <w:strike w:val="0"/>
        <w:dstrike w:val="0"/>
        <w:vanish w:val="0"/>
        <w:color w:val="auto"/>
        <w:vertAlign w:val="baseline"/>
      </w:rPr>
    </w:lvl>
    <w:lvl w:ilvl="1" w:tentative="0">
      <w:start w:val="1"/>
      <w:numFmt w:val="decimal"/>
      <w:isLgl/>
      <w:lvlText w:val="%1.%2"/>
      <w:lvlJc w:val="left"/>
      <w:pPr>
        <w:tabs>
          <w:tab w:val="left" w:pos="680"/>
        </w:tabs>
        <w:ind w:left="68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isLgl/>
      <w:lvlText w:val="%1.%2.%3"/>
      <w:lvlJc w:val="left"/>
      <w:pPr>
        <w:tabs>
          <w:tab w:val="left" w:pos="964"/>
        </w:tabs>
        <w:ind w:left="0" w:firstLine="0"/>
      </w:pPr>
      <w:rPr>
        <w:rFonts w:hint="default"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1304"/>
        </w:tabs>
        <w:ind w:left="0" w:firstLine="0"/>
      </w:pPr>
      <w:rPr>
        <w:rFonts w:hint="eastAsia"/>
      </w:rPr>
    </w:lvl>
    <w:lvl w:ilvl="4" w:tentative="0">
      <w:start w:val="1"/>
      <w:numFmt w:val="upperLetter"/>
      <w:lvlText w:val="%5."/>
      <w:lvlJc w:val="left"/>
      <w:pPr>
        <w:tabs>
          <w:tab w:val="left" w:pos="879"/>
        </w:tabs>
        <w:ind w:left="879" w:hanging="453"/>
      </w:pPr>
      <w:rPr>
        <w:rFonts w:hint="default" w:ascii="Times New Roman" w:hAnsi="Times New Roman" w:cs="Times New Roman"/>
        <w:color w:val="auto"/>
        <w:lang w:val="en-US"/>
      </w:rPr>
    </w:lvl>
    <w:lvl w:ilvl="5" w:tentative="0">
      <w:start w:val="1"/>
      <w:numFmt w:val="decimal"/>
      <w:lvlText w:val="%6."/>
      <w:lvlJc w:val="left"/>
      <w:pPr>
        <w:tabs>
          <w:tab w:val="left" w:pos="994"/>
        </w:tabs>
        <w:ind w:left="994" w:hanging="454"/>
      </w:pPr>
      <w:rPr>
        <w:rFonts w:hint="eastAsia"/>
      </w:rPr>
    </w:lvl>
    <w:lvl w:ilvl="6" w:tentative="0">
      <w:start w:val="1"/>
      <w:numFmt w:val="lowerLetter"/>
      <w:lvlText w:val="%7."/>
      <w:lvlJc w:val="left"/>
      <w:pPr>
        <w:tabs>
          <w:tab w:val="left" w:pos="1588"/>
        </w:tabs>
        <w:ind w:left="1588" w:hanging="454"/>
      </w:pPr>
      <w:rPr>
        <w:rFonts w:hint="eastAsia"/>
      </w:rPr>
    </w:lvl>
    <w:lvl w:ilvl="7" w:tentative="0">
      <w:start w:val="1"/>
      <w:numFmt w:val="lowerRoman"/>
      <w:lvlText w:val="%8."/>
      <w:lvlJc w:val="left"/>
      <w:pPr>
        <w:tabs>
          <w:tab w:val="left" w:pos="2308"/>
        </w:tabs>
        <w:ind w:left="2041" w:hanging="453"/>
      </w:pPr>
      <w:rPr>
        <w:rFonts w:hint="eastAsia"/>
      </w:rPr>
    </w:lvl>
    <w:lvl w:ilvl="8" w:tentative="0">
      <w:start w:val="1"/>
      <w:numFmt w:val="decimal"/>
      <w:lvlText w:val="(%9)"/>
      <w:lvlJc w:val="left"/>
      <w:pPr>
        <w:tabs>
          <w:tab w:val="left" w:pos="2608"/>
        </w:tabs>
        <w:ind w:left="2608" w:hanging="567"/>
      </w:pPr>
      <w:rPr>
        <w:rFonts w:hint="eastAsia"/>
      </w:rPr>
    </w:lvl>
  </w:abstractNum>
  <w:abstractNum w:abstractNumId="87">
    <w:nsid w:val="194F2412"/>
    <w:multiLevelType w:val="multilevel"/>
    <w:tmpl w:val="194F2412"/>
    <w:lvl w:ilvl="0" w:tentative="0">
      <w:start w:val="1"/>
      <w:numFmt w:val="decimal"/>
      <w:lvlText w:val="第%1部分："/>
      <w:lvlJc w:val="left"/>
      <w:pPr>
        <w:tabs>
          <w:tab w:val="left" w:pos="574"/>
        </w:tabs>
        <w:ind w:left="574" w:firstLine="0"/>
      </w:pPr>
      <w:rPr>
        <w:rFonts w:hint="default" w:ascii="Times New Roman" w:hAnsi="Times New Roman"/>
        <w:caps/>
        <w:strike w:val="0"/>
        <w:dstrike w:val="0"/>
        <w:vanish w:val="0"/>
        <w:color w:val="auto"/>
        <w:vertAlign w:val="baseline"/>
      </w:rPr>
    </w:lvl>
    <w:lvl w:ilvl="1" w:tentative="0">
      <w:start w:val="1"/>
      <w:numFmt w:val="decimal"/>
      <w:isLgl/>
      <w:lvlText w:val="%1.%2"/>
      <w:lvlJc w:val="left"/>
      <w:pPr>
        <w:tabs>
          <w:tab w:val="left" w:pos="680"/>
        </w:tabs>
        <w:ind w:left="68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isLgl/>
      <w:lvlText w:val="%1.%2.%3"/>
      <w:lvlJc w:val="left"/>
      <w:pPr>
        <w:tabs>
          <w:tab w:val="left" w:pos="964"/>
        </w:tabs>
        <w:ind w:left="0" w:firstLine="0"/>
      </w:pPr>
      <w:rPr>
        <w:rFonts w:hint="default"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1304"/>
        </w:tabs>
        <w:ind w:left="0" w:firstLine="0"/>
      </w:pPr>
      <w:rPr>
        <w:rFonts w:hint="eastAsia"/>
      </w:rPr>
    </w:lvl>
    <w:lvl w:ilvl="4" w:tentative="0">
      <w:start w:val="1"/>
      <w:numFmt w:val="upperLetter"/>
      <w:lvlText w:val="%5."/>
      <w:lvlJc w:val="left"/>
      <w:pPr>
        <w:tabs>
          <w:tab w:val="left" w:pos="879"/>
        </w:tabs>
        <w:ind w:left="879" w:hanging="453"/>
      </w:pPr>
      <w:rPr>
        <w:rFonts w:hint="default" w:ascii="Times New Roman" w:hAnsi="Times New Roman" w:cs="Times New Roman"/>
        <w:color w:val="auto"/>
        <w:lang w:val="en-US"/>
      </w:rPr>
    </w:lvl>
    <w:lvl w:ilvl="5" w:tentative="0">
      <w:start w:val="1"/>
      <w:numFmt w:val="decimal"/>
      <w:lvlText w:val="%6."/>
      <w:lvlJc w:val="left"/>
      <w:pPr>
        <w:tabs>
          <w:tab w:val="left" w:pos="994"/>
        </w:tabs>
        <w:ind w:left="994" w:hanging="454"/>
      </w:pPr>
      <w:rPr>
        <w:rFonts w:hint="eastAsia"/>
      </w:rPr>
    </w:lvl>
    <w:lvl w:ilvl="6" w:tentative="0">
      <w:start w:val="1"/>
      <w:numFmt w:val="lowerLetter"/>
      <w:lvlText w:val="%7."/>
      <w:lvlJc w:val="left"/>
      <w:pPr>
        <w:tabs>
          <w:tab w:val="left" w:pos="1588"/>
        </w:tabs>
        <w:ind w:left="1588" w:hanging="454"/>
      </w:pPr>
      <w:rPr>
        <w:rFonts w:hint="eastAsia"/>
      </w:rPr>
    </w:lvl>
    <w:lvl w:ilvl="7" w:tentative="0">
      <w:start w:val="1"/>
      <w:numFmt w:val="lowerRoman"/>
      <w:lvlText w:val="%8."/>
      <w:lvlJc w:val="left"/>
      <w:pPr>
        <w:tabs>
          <w:tab w:val="left" w:pos="2308"/>
        </w:tabs>
        <w:ind w:left="2041" w:hanging="453"/>
      </w:pPr>
      <w:rPr>
        <w:rFonts w:hint="eastAsia"/>
      </w:rPr>
    </w:lvl>
    <w:lvl w:ilvl="8" w:tentative="0">
      <w:start w:val="1"/>
      <w:numFmt w:val="decimal"/>
      <w:lvlText w:val="(%9)"/>
      <w:lvlJc w:val="left"/>
      <w:pPr>
        <w:tabs>
          <w:tab w:val="left" w:pos="2608"/>
        </w:tabs>
        <w:ind w:left="2608" w:hanging="567"/>
      </w:pPr>
      <w:rPr>
        <w:rFonts w:hint="eastAsia"/>
      </w:rPr>
    </w:lvl>
  </w:abstractNum>
  <w:abstractNum w:abstractNumId="88">
    <w:nsid w:val="27900B55"/>
    <w:multiLevelType w:val="multilevel"/>
    <w:tmpl w:val="27900B55"/>
    <w:lvl w:ilvl="0" w:tentative="0">
      <w:start w:val="1"/>
      <w:numFmt w:val="decimal"/>
      <w:lvlText w:val="第%1部分："/>
      <w:lvlJc w:val="left"/>
      <w:pPr>
        <w:tabs>
          <w:tab w:val="left" w:pos="574"/>
        </w:tabs>
        <w:ind w:left="574" w:firstLine="0"/>
      </w:pPr>
      <w:rPr>
        <w:rFonts w:hint="default" w:ascii="Times New Roman" w:hAnsi="Times New Roman"/>
        <w:caps/>
        <w:strike w:val="0"/>
        <w:dstrike w:val="0"/>
        <w:vanish w:val="0"/>
        <w:color w:val="auto"/>
        <w:vertAlign w:val="baseline"/>
      </w:rPr>
    </w:lvl>
    <w:lvl w:ilvl="1" w:tentative="0">
      <w:start w:val="1"/>
      <w:numFmt w:val="decimal"/>
      <w:isLgl/>
      <w:lvlText w:val="%1.%2"/>
      <w:lvlJc w:val="left"/>
      <w:pPr>
        <w:tabs>
          <w:tab w:val="left" w:pos="680"/>
        </w:tabs>
        <w:ind w:left="68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isLgl/>
      <w:lvlText w:val="%1.%2.%3"/>
      <w:lvlJc w:val="left"/>
      <w:pPr>
        <w:tabs>
          <w:tab w:val="left" w:pos="964"/>
        </w:tabs>
        <w:ind w:left="0" w:firstLine="0"/>
      </w:pPr>
      <w:rPr>
        <w:rFonts w:hint="default"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1304"/>
        </w:tabs>
        <w:ind w:left="0" w:firstLine="0"/>
      </w:pPr>
      <w:rPr>
        <w:rFonts w:hint="eastAsia"/>
      </w:rPr>
    </w:lvl>
    <w:lvl w:ilvl="4" w:tentative="0">
      <w:start w:val="1"/>
      <w:numFmt w:val="upperLetter"/>
      <w:lvlText w:val="%5."/>
      <w:lvlJc w:val="left"/>
      <w:pPr>
        <w:tabs>
          <w:tab w:val="left" w:pos="879"/>
        </w:tabs>
        <w:ind w:left="879" w:hanging="453"/>
      </w:pPr>
      <w:rPr>
        <w:rFonts w:hint="default" w:ascii="Times New Roman" w:hAnsi="Times New Roman" w:cs="Times New Roman"/>
        <w:color w:val="auto"/>
        <w:lang w:val="en-US"/>
      </w:rPr>
    </w:lvl>
    <w:lvl w:ilvl="5" w:tentative="0">
      <w:start w:val="1"/>
      <w:numFmt w:val="decimal"/>
      <w:lvlText w:val="%6."/>
      <w:lvlJc w:val="left"/>
      <w:pPr>
        <w:tabs>
          <w:tab w:val="left" w:pos="994"/>
        </w:tabs>
        <w:ind w:left="994" w:hanging="454"/>
      </w:pPr>
      <w:rPr>
        <w:rFonts w:hint="eastAsia"/>
      </w:rPr>
    </w:lvl>
    <w:lvl w:ilvl="6" w:tentative="0">
      <w:start w:val="1"/>
      <w:numFmt w:val="lowerLetter"/>
      <w:lvlText w:val="%7."/>
      <w:lvlJc w:val="left"/>
      <w:pPr>
        <w:tabs>
          <w:tab w:val="left" w:pos="1588"/>
        </w:tabs>
        <w:ind w:left="1588" w:hanging="454"/>
      </w:pPr>
      <w:rPr>
        <w:rFonts w:hint="eastAsia"/>
      </w:rPr>
    </w:lvl>
    <w:lvl w:ilvl="7" w:tentative="0">
      <w:start w:val="1"/>
      <w:numFmt w:val="lowerRoman"/>
      <w:lvlText w:val="%8."/>
      <w:lvlJc w:val="left"/>
      <w:pPr>
        <w:tabs>
          <w:tab w:val="left" w:pos="2308"/>
        </w:tabs>
        <w:ind w:left="2041" w:hanging="453"/>
      </w:pPr>
      <w:rPr>
        <w:rFonts w:hint="eastAsia"/>
      </w:rPr>
    </w:lvl>
    <w:lvl w:ilvl="8" w:tentative="0">
      <w:start w:val="1"/>
      <w:numFmt w:val="decimal"/>
      <w:lvlText w:val="(%9)"/>
      <w:lvlJc w:val="left"/>
      <w:pPr>
        <w:tabs>
          <w:tab w:val="left" w:pos="2608"/>
        </w:tabs>
        <w:ind w:left="2608" w:hanging="567"/>
      </w:pPr>
      <w:rPr>
        <w:rFonts w:hint="eastAsia"/>
      </w:rPr>
    </w:lvl>
  </w:abstractNum>
  <w:abstractNum w:abstractNumId="89">
    <w:nsid w:val="28E88B53"/>
    <w:multiLevelType w:val="singleLevel"/>
    <w:tmpl w:val="28E88B53"/>
    <w:lvl w:ilvl="0" w:tentative="0">
      <w:start w:val="2"/>
      <w:numFmt w:val="decimal"/>
      <w:suff w:val="nothing"/>
      <w:lvlText w:val="%1、"/>
      <w:lvlJc w:val="left"/>
      <w:pPr>
        <w:ind w:left="660" w:leftChars="0" w:firstLine="0" w:firstLineChars="0"/>
      </w:pPr>
    </w:lvl>
  </w:abstractNum>
  <w:abstractNum w:abstractNumId="90">
    <w:nsid w:val="2C0119AE"/>
    <w:multiLevelType w:val="singleLevel"/>
    <w:tmpl w:val="2C0119AE"/>
    <w:lvl w:ilvl="0" w:tentative="0">
      <w:start w:val="1"/>
      <w:numFmt w:val="decimal"/>
      <w:lvlText w:val="%1."/>
      <w:lvlJc w:val="left"/>
      <w:pPr>
        <w:tabs>
          <w:tab w:val="left" w:pos="312"/>
        </w:tabs>
      </w:pPr>
    </w:lvl>
  </w:abstractNum>
  <w:abstractNum w:abstractNumId="91">
    <w:nsid w:val="2FCE3DFD"/>
    <w:multiLevelType w:val="multilevel"/>
    <w:tmpl w:val="2FCE3DFD"/>
    <w:lvl w:ilvl="0" w:tentative="0">
      <w:start w:val="1"/>
      <w:numFmt w:val="decimal"/>
      <w:lvlText w:val="第%1节："/>
      <w:lvlJc w:val="left"/>
      <w:pPr>
        <w:tabs>
          <w:tab w:val="left" w:pos="2029"/>
        </w:tabs>
        <w:ind w:left="2029" w:hanging="1985"/>
      </w:pPr>
      <w:rPr>
        <w:rFonts w:hint="default" w:ascii="Times New Roman" w:hAnsi="Times New Roman"/>
        <w:caps/>
        <w:strike w:val="0"/>
        <w:dstrike w:val="0"/>
        <w:vanish w:val="0"/>
        <w:color w:val="auto"/>
        <w:vertAlign w:val="baseline"/>
      </w:rPr>
    </w:lvl>
    <w:lvl w:ilvl="1" w:tentative="0">
      <w:start w:val="1"/>
      <w:numFmt w:val="decimal"/>
      <w:isLgl/>
      <w:lvlText w:val="%1.%2"/>
      <w:lvlJc w:val="left"/>
      <w:pPr>
        <w:tabs>
          <w:tab w:val="left" w:pos="740"/>
        </w:tabs>
        <w:ind w:left="740" w:hanging="680"/>
      </w:pPr>
      <w:rPr>
        <w:rFonts w:hint="eastAsia"/>
      </w:rPr>
    </w:lvl>
    <w:lvl w:ilvl="2" w:tentative="0">
      <w:start w:val="1"/>
      <w:numFmt w:val="decimal"/>
      <w:isLgl/>
      <w:lvlText w:val="%1.%2.%3"/>
      <w:lvlJc w:val="left"/>
      <w:pPr>
        <w:tabs>
          <w:tab w:val="left" w:pos="964"/>
        </w:tabs>
        <w:ind w:left="964" w:hanging="737"/>
      </w:pPr>
      <w:rPr>
        <w:rFonts w:hint="default" w:ascii="Times New Roman" w:hAnsi="Times New Roman" w:cs="Times New Roman"/>
        <w:b/>
        <w:caps w:val="0"/>
        <w:strike w:val="0"/>
        <w:dstrike w:val="0"/>
        <w:vanish w:val="0"/>
        <w:color w:val="auto"/>
        <w:vertAlign w:val="baseline"/>
      </w:rPr>
    </w:lvl>
    <w:lvl w:ilvl="3" w:tentative="0">
      <w:start w:val="1"/>
      <w:numFmt w:val="decimal"/>
      <w:lvlText w:val="%1.%2.%3.%4"/>
      <w:lvlJc w:val="left"/>
      <w:pPr>
        <w:tabs>
          <w:tab w:val="left" w:pos="142"/>
        </w:tabs>
        <w:ind w:left="6719" w:hanging="6577"/>
      </w:pPr>
      <w:rPr>
        <w:rFonts w:hint="eastAsia"/>
      </w:rPr>
    </w:lvl>
    <w:lvl w:ilvl="4" w:tentative="0">
      <w:start w:val="1"/>
      <w:numFmt w:val="upperLetter"/>
      <w:lvlText w:val="%5."/>
      <w:lvlJc w:val="left"/>
      <w:pPr>
        <w:tabs>
          <w:tab w:val="left" w:pos="680"/>
        </w:tabs>
        <w:ind w:left="680" w:hanging="453"/>
      </w:pPr>
      <w:rPr>
        <w:rFonts w:hint="default" w:ascii="Times New Roman" w:hAnsi="Times New Roman" w:cs="Times New Roman"/>
        <w:color w:val="auto"/>
      </w:rPr>
    </w:lvl>
    <w:lvl w:ilvl="5" w:tentative="0">
      <w:start w:val="1"/>
      <w:numFmt w:val="decimal"/>
      <w:lvlText w:val="%6."/>
      <w:lvlJc w:val="left"/>
      <w:pPr>
        <w:tabs>
          <w:tab w:val="left" w:pos="1134"/>
        </w:tabs>
        <w:ind w:left="1134" w:hanging="454"/>
      </w:pPr>
      <w:rPr>
        <w:rFonts w:hint="eastAsia"/>
      </w:rPr>
    </w:lvl>
    <w:lvl w:ilvl="6" w:tentative="0">
      <w:start w:val="1"/>
      <w:numFmt w:val="lowerLetter"/>
      <w:lvlText w:val="%7."/>
      <w:lvlJc w:val="left"/>
      <w:pPr>
        <w:tabs>
          <w:tab w:val="left" w:pos="1588"/>
        </w:tabs>
        <w:ind w:left="1588" w:hanging="454"/>
      </w:pPr>
      <w:rPr>
        <w:rFonts w:hint="eastAsia"/>
      </w:rPr>
    </w:lvl>
    <w:lvl w:ilvl="7" w:tentative="0">
      <w:start w:val="1"/>
      <w:numFmt w:val="lowerRoman"/>
      <w:lvlText w:val="%8."/>
      <w:lvlJc w:val="left"/>
      <w:pPr>
        <w:tabs>
          <w:tab w:val="left" w:pos="2562"/>
        </w:tabs>
        <w:ind w:left="2295" w:hanging="453"/>
      </w:pPr>
      <w:rPr>
        <w:rFonts w:hint="eastAsia"/>
      </w:rPr>
    </w:lvl>
    <w:lvl w:ilvl="8" w:tentative="0">
      <w:start w:val="1"/>
      <w:numFmt w:val="decimal"/>
      <w:lvlText w:val="(%9)"/>
      <w:lvlJc w:val="left"/>
      <w:pPr>
        <w:tabs>
          <w:tab w:val="left" w:pos="2608"/>
        </w:tabs>
        <w:ind w:left="2608" w:hanging="567"/>
      </w:pPr>
      <w:rPr>
        <w:rFonts w:hint="eastAsia"/>
      </w:rPr>
    </w:lvl>
  </w:abstractNum>
  <w:abstractNum w:abstractNumId="92">
    <w:nsid w:val="3AD65816"/>
    <w:multiLevelType w:val="multilevel"/>
    <w:tmpl w:val="3AD65816"/>
    <w:lvl w:ilvl="0" w:tentative="0">
      <w:start w:val="1"/>
      <w:numFmt w:val="decimal"/>
      <w:lvlText w:val="第%1部分："/>
      <w:lvlJc w:val="left"/>
      <w:pPr>
        <w:tabs>
          <w:tab w:val="left" w:pos="574"/>
        </w:tabs>
        <w:ind w:left="574" w:firstLine="0"/>
      </w:pPr>
      <w:rPr>
        <w:rFonts w:hint="default" w:ascii="Times New Roman" w:hAnsi="Times New Roman"/>
        <w:caps/>
        <w:strike w:val="0"/>
        <w:dstrike w:val="0"/>
        <w:vanish w:val="0"/>
        <w:color w:val="auto"/>
        <w:vertAlign w:val="baseline"/>
      </w:rPr>
    </w:lvl>
    <w:lvl w:ilvl="1" w:tentative="0">
      <w:start w:val="1"/>
      <w:numFmt w:val="decimal"/>
      <w:isLgl/>
      <w:lvlText w:val="%1.%2"/>
      <w:lvlJc w:val="left"/>
      <w:pPr>
        <w:tabs>
          <w:tab w:val="left" w:pos="680"/>
        </w:tabs>
        <w:ind w:left="68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isLgl/>
      <w:lvlText w:val="%1.%2.%3"/>
      <w:lvlJc w:val="left"/>
      <w:pPr>
        <w:tabs>
          <w:tab w:val="left" w:pos="964"/>
        </w:tabs>
        <w:ind w:left="0" w:firstLine="0"/>
      </w:pPr>
      <w:rPr>
        <w:rFonts w:hint="default"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1304"/>
        </w:tabs>
        <w:ind w:left="0" w:firstLine="0"/>
      </w:pPr>
      <w:rPr>
        <w:rFonts w:hint="eastAsia"/>
      </w:rPr>
    </w:lvl>
    <w:lvl w:ilvl="4" w:tentative="0">
      <w:start w:val="1"/>
      <w:numFmt w:val="upperLetter"/>
      <w:lvlText w:val="%5."/>
      <w:lvlJc w:val="left"/>
      <w:pPr>
        <w:tabs>
          <w:tab w:val="left" w:pos="879"/>
        </w:tabs>
        <w:ind w:left="879" w:hanging="453"/>
      </w:pPr>
      <w:rPr>
        <w:rFonts w:hint="default" w:ascii="Times New Roman" w:hAnsi="Times New Roman" w:cs="Times New Roman"/>
        <w:color w:val="auto"/>
        <w:lang w:val="en-US"/>
      </w:rPr>
    </w:lvl>
    <w:lvl w:ilvl="5" w:tentative="0">
      <w:start w:val="1"/>
      <w:numFmt w:val="decimal"/>
      <w:lvlText w:val="%6."/>
      <w:lvlJc w:val="left"/>
      <w:pPr>
        <w:tabs>
          <w:tab w:val="left" w:pos="994"/>
        </w:tabs>
        <w:ind w:left="994" w:hanging="454"/>
      </w:pPr>
      <w:rPr>
        <w:rFonts w:hint="eastAsia"/>
      </w:rPr>
    </w:lvl>
    <w:lvl w:ilvl="6" w:tentative="0">
      <w:start w:val="1"/>
      <w:numFmt w:val="lowerLetter"/>
      <w:lvlText w:val="%7."/>
      <w:lvlJc w:val="left"/>
      <w:pPr>
        <w:tabs>
          <w:tab w:val="left" w:pos="1588"/>
        </w:tabs>
        <w:ind w:left="1588" w:hanging="454"/>
      </w:pPr>
      <w:rPr>
        <w:rFonts w:hint="eastAsia"/>
      </w:rPr>
    </w:lvl>
    <w:lvl w:ilvl="7" w:tentative="0">
      <w:start w:val="1"/>
      <w:numFmt w:val="lowerRoman"/>
      <w:lvlText w:val="%8."/>
      <w:lvlJc w:val="left"/>
      <w:pPr>
        <w:tabs>
          <w:tab w:val="left" w:pos="2308"/>
        </w:tabs>
        <w:ind w:left="2041" w:hanging="453"/>
      </w:pPr>
      <w:rPr>
        <w:rFonts w:hint="eastAsia"/>
      </w:rPr>
    </w:lvl>
    <w:lvl w:ilvl="8" w:tentative="0">
      <w:start w:val="1"/>
      <w:numFmt w:val="decimal"/>
      <w:lvlText w:val="(%9)"/>
      <w:lvlJc w:val="left"/>
      <w:pPr>
        <w:tabs>
          <w:tab w:val="left" w:pos="2608"/>
        </w:tabs>
        <w:ind w:left="2608" w:hanging="567"/>
      </w:pPr>
      <w:rPr>
        <w:rFonts w:hint="eastAsia"/>
      </w:rPr>
    </w:lvl>
  </w:abstractNum>
  <w:abstractNum w:abstractNumId="93">
    <w:nsid w:val="3D250259"/>
    <w:multiLevelType w:val="multilevel"/>
    <w:tmpl w:val="3D250259"/>
    <w:lvl w:ilvl="0" w:tentative="0">
      <w:start w:val="2"/>
      <w:numFmt w:val="bullet"/>
      <w:lvlText w:val="-"/>
      <w:lvlJc w:val="left"/>
      <w:pPr>
        <w:tabs>
          <w:tab w:val="left" w:pos="3038"/>
        </w:tabs>
        <w:ind w:left="3038" w:hanging="360"/>
      </w:pPr>
      <w:rPr>
        <w:rFonts w:hint="default" w:ascii="Times New Roman" w:hAnsi="Times New Roman" w:eastAsia="宋体"/>
      </w:rPr>
    </w:lvl>
    <w:lvl w:ilvl="1" w:tentative="0">
      <w:start w:val="1"/>
      <w:numFmt w:val="bullet"/>
      <w:lvlText w:val=""/>
      <w:lvlJc w:val="left"/>
      <w:pPr>
        <w:tabs>
          <w:tab w:val="left" w:pos="2500"/>
        </w:tabs>
        <w:ind w:left="2500" w:hanging="420"/>
      </w:pPr>
      <w:rPr>
        <w:rFonts w:hint="default" w:ascii="Wingdings" w:hAnsi="Wingdings" w:cs="Wingdings"/>
      </w:rPr>
    </w:lvl>
    <w:lvl w:ilvl="2" w:tentative="0">
      <w:start w:val="1"/>
      <w:numFmt w:val="bullet"/>
      <w:lvlText w:val=""/>
      <w:lvlJc w:val="left"/>
      <w:pPr>
        <w:tabs>
          <w:tab w:val="left" w:pos="2920"/>
        </w:tabs>
        <w:ind w:left="2920" w:hanging="420"/>
      </w:pPr>
      <w:rPr>
        <w:rFonts w:hint="default" w:ascii="Wingdings" w:hAnsi="Wingdings" w:cs="Wingdings"/>
      </w:rPr>
    </w:lvl>
    <w:lvl w:ilvl="3" w:tentative="0">
      <w:start w:val="2"/>
      <w:numFmt w:val="bullet"/>
      <w:lvlText w:val="-"/>
      <w:lvlJc w:val="left"/>
      <w:pPr>
        <w:tabs>
          <w:tab w:val="left" w:pos="1873"/>
        </w:tabs>
        <w:ind w:left="1873" w:hanging="567"/>
      </w:pPr>
      <w:rPr>
        <w:rFonts w:hint="default" w:ascii="Times New Roman" w:hAnsi="Times New Roman" w:eastAsia="宋体"/>
      </w:rPr>
    </w:lvl>
    <w:lvl w:ilvl="4" w:tentative="0">
      <w:start w:val="1"/>
      <w:numFmt w:val="bullet"/>
      <w:lvlText w:val=""/>
      <w:lvlJc w:val="left"/>
      <w:pPr>
        <w:tabs>
          <w:tab w:val="left" w:pos="3760"/>
        </w:tabs>
        <w:ind w:left="3760" w:hanging="420"/>
      </w:pPr>
      <w:rPr>
        <w:rFonts w:hint="default" w:ascii="Wingdings" w:hAnsi="Wingdings" w:cs="Wingdings"/>
      </w:rPr>
    </w:lvl>
    <w:lvl w:ilvl="5" w:tentative="0">
      <w:start w:val="1"/>
      <w:numFmt w:val="bullet"/>
      <w:lvlText w:val=""/>
      <w:lvlJc w:val="left"/>
      <w:pPr>
        <w:tabs>
          <w:tab w:val="left" w:pos="4180"/>
        </w:tabs>
        <w:ind w:left="4180" w:hanging="420"/>
      </w:pPr>
      <w:rPr>
        <w:rFonts w:hint="default" w:ascii="Wingdings" w:hAnsi="Wingdings" w:cs="Wingdings"/>
      </w:rPr>
    </w:lvl>
    <w:lvl w:ilvl="6" w:tentative="0">
      <w:start w:val="1"/>
      <w:numFmt w:val="bullet"/>
      <w:lvlText w:val=""/>
      <w:lvlJc w:val="left"/>
      <w:pPr>
        <w:tabs>
          <w:tab w:val="left" w:pos="4600"/>
        </w:tabs>
        <w:ind w:left="4600" w:hanging="420"/>
      </w:pPr>
      <w:rPr>
        <w:rFonts w:hint="default" w:ascii="Wingdings" w:hAnsi="Wingdings" w:cs="Wingdings"/>
      </w:rPr>
    </w:lvl>
    <w:lvl w:ilvl="7" w:tentative="0">
      <w:start w:val="1"/>
      <w:numFmt w:val="bullet"/>
      <w:lvlText w:val=""/>
      <w:lvlJc w:val="left"/>
      <w:pPr>
        <w:tabs>
          <w:tab w:val="left" w:pos="5020"/>
        </w:tabs>
        <w:ind w:left="5020" w:hanging="420"/>
      </w:pPr>
      <w:rPr>
        <w:rFonts w:hint="default" w:ascii="Wingdings" w:hAnsi="Wingdings" w:cs="Wingdings"/>
      </w:rPr>
    </w:lvl>
    <w:lvl w:ilvl="8" w:tentative="0">
      <w:start w:val="1"/>
      <w:numFmt w:val="bullet"/>
      <w:lvlText w:val=""/>
      <w:lvlJc w:val="left"/>
      <w:pPr>
        <w:tabs>
          <w:tab w:val="left" w:pos="5440"/>
        </w:tabs>
        <w:ind w:left="5440" w:hanging="420"/>
      </w:pPr>
      <w:rPr>
        <w:rFonts w:hint="default" w:ascii="Wingdings" w:hAnsi="Wingdings" w:cs="Wingdings"/>
      </w:rPr>
    </w:lvl>
  </w:abstractNum>
  <w:abstractNum w:abstractNumId="94">
    <w:nsid w:val="5A095BB0"/>
    <w:multiLevelType w:val="singleLevel"/>
    <w:tmpl w:val="5A095BB0"/>
    <w:lvl w:ilvl="0" w:tentative="0">
      <w:start w:val="1"/>
      <w:numFmt w:val="decimal"/>
      <w:suff w:val="nothing"/>
      <w:lvlText w:val="%1、"/>
      <w:lvlJc w:val="left"/>
    </w:lvl>
  </w:abstractNum>
  <w:abstractNum w:abstractNumId="95">
    <w:nsid w:val="5A335A37"/>
    <w:multiLevelType w:val="singleLevel"/>
    <w:tmpl w:val="5A335A37"/>
    <w:lvl w:ilvl="0" w:tentative="0">
      <w:start w:val="2"/>
      <w:numFmt w:val="decimal"/>
      <w:suff w:val="nothing"/>
      <w:lvlText w:val="（%1）"/>
      <w:lvlJc w:val="left"/>
    </w:lvl>
  </w:abstractNum>
  <w:abstractNum w:abstractNumId="96">
    <w:nsid w:val="5A38D074"/>
    <w:multiLevelType w:val="singleLevel"/>
    <w:tmpl w:val="5A38D074"/>
    <w:lvl w:ilvl="0" w:tentative="0">
      <w:start w:val="1"/>
      <w:numFmt w:val="chineseCounting"/>
      <w:suff w:val="nothing"/>
      <w:lvlText w:val="%1、"/>
      <w:lvlJc w:val="left"/>
    </w:lvl>
  </w:abstractNum>
  <w:abstractNum w:abstractNumId="97">
    <w:nsid w:val="5A38E47D"/>
    <w:multiLevelType w:val="singleLevel"/>
    <w:tmpl w:val="5A38E47D"/>
    <w:lvl w:ilvl="0" w:tentative="0">
      <w:start w:val="1"/>
      <w:numFmt w:val="decimal"/>
      <w:suff w:val="space"/>
      <w:lvlText w:val="%1."/>
      <w:lvlJc w:val="left"/>
    </w:lvl>
  </w:abstractNum>
  <w:abstractNum w:abstractNumId="98">
    <w:nsid w:val="5A39D058"/>
    <w:multiLevelType w:val="singleLevel"/>
    <w:tmpl w:val="5A39D058"/>
    <w:lvl w:ilvl="0" w:tentative="0">
      <w:start w:val="1"/>
      <w:numFmt w:val="decimal"/>
      <w:lvlText w:val="%1."/>
      <w:lvlJc w:val="left"/>
      <w:pPr>
        <w:tabs>
          <w:tab w:val="left" w:pos="312"/>
        </w:tabs>
      </w:pPr>
    </w:lvl>
  </w:abstractNum>
  <w:abstractNum w:abstractNumId="99">
    <w:nsid w:val="5A3BBC6B"/>
    <w:multiLevelType w:val="singleLevel"/>
    <w:tmpl w:val="5A3BBC6B"/>
    <w:lvl w:ilvl="0" w:tentative="0">
      <w:start w:val="1"/>
      <w:numFmt w:val="decimal"/>
      <w:suff w:val="nothing"/>
      <w:lvlText w:val="（%1）"/>
      <w:lvlJc w:val="left"/>
    </w:lvl>
  </w:abstractNum>
  <w:abstractNum w:abstractNumId="100">
    <w:nsid w:val="5A3BC01F"/>
    <w:multiLevelType w:val="singleLevel"/>
    <w:tmpl w:val="5A3BC01F"/>
    <w:lvl w:ilvl="0" w:tentative="0">
      <w:start w:val="1"/>
      <w:numFmt w:val="decimal"/>
      <w:suff w:val="nothing"/>
      <w:lvlText w:val="（%1）"/>
      <w:lvlJc w:val="left"/>
    </w:lvl>
  </w:abstractNum>
  <w:abstractNum w:abstractNumId="101">
    <w:nsid w:val="5A3BCCEF"/>
    <w:multiLevelType w:val="singleLevel"/>
    <w:tmpl w:val="5A3BCCEF"/>
    <w:lvl w:ilvl="0" w:tentative="0">
      <w:start w:val="6"/>
      <w:numFmt w:val="chineseCounting"/>
      <w:suff w:val="nothing"/>
      <w:lvlText w:val="第%1章"/>
      <w:lvlJc w:val="left"/>
    </w:lvl>
  </w:abstractNum>
  <w:abstractNum w:abstractNumId="102">
    <w:nsid w:val="5A43526F"/>
    <w:multiLevelType w:val="singleLevel"/>
    <w:tmpl w:val="5A43526F"/>
    <w:lvl w:ilvl="0" w:tentative="0">
      <w:start w:val="7"/>
      <w:numFmt w:val="decimal"/>
      <w:suff w:val="nothing"/>
      <w:lvlText w:val="%1、"/>
      <w:lvlJc w:val="left"/>
    </w:lvl>
  </w:abstractNum>
  <w:abstractNum w:abstractNumId="103">
    <w:nsid w:val="5A4D9749"/>
    <w:multiLevelType w:val="singleLevel"/>
    <w:tmpl w:val="5A4D9749"/>
    <w:lvl w:ilvl="0" w:tentative="0">
      <w:start w:val="8"/>
      <w:numFmt w:val="decimal"/>
      <w:suff w:val="space"/>
      <w:lvlText w:val="%1."/>
      <w:lvlJc w:val="left"/>
    </w:lvl>
  </w:abstractNum>
  <w:abstractNum w:abstractNumId="104">
    <w:nsid w:val="5A4D9E48"/>
    <w:multiLevelType w:val="singleLevel"/>
    <w:tmpl w:val="5A4D9E48"/>
    <w:lvl w:ilvl="0" w:tentative="0">
      <w:start w:val="1"/>
      <w:numFmt w:val="decimal"/>
      <w:suff w:val="nothing"/>
      <w:lvlText w:val="（%1）"/>
      <w:lvlJc w:val="left"/>
      <w:pPr>
        <w:ind w:left="60" w:leftChars="0" w:firstLine="0" w:firstLineChars="0"/>
      </w:pPr>
    </w:lvl>
  </w:abstractNum>
  <w:abstractNum w:abstractNumId="105">
    <w:nsid w:val="5FF5D0E6"/>
    <w:multiLevelType w:val="singleLevel"/>
    <w:tmpl w:val="5FF5D0E6"/>
    <w:lvl w:ilvl="0" w:tentative="0">
      <w:start w:val="2"/>
      <w:numFmt w:val="decimal"/>
      <w:suff w:val="nothing"/>
      <w:lvlText w:val="%1、"/>
      <w:lvlJc w:val="left"/>
      <w:pPr>
        <w:ind w:left="660" w:leftChars="0" w:firstLine="0" w:firstLineChars="0"/>
      </w:pPr>
    </w:lvl>
  </w:abstractNum>
  <w:abstractNum w:abstractNumId="106">
    <w:nsid w:val="6BE21553"/>
    <w:multiLevelType w:val="multilevel"/>
    <w:tmpl w:val="6BE21553"/>
    <w:lvl w:ilvl="0" w:tentative="0">
      <w:start w:val="1"/>
      <w:numFmt w:val="decimal"/>
      <w:pStyle w:val="4"/>
      <w:lvlText w:val="第%1节："/>
      <w:lvlJc w:val="left"/>
      <w:pPr>
        <w:tabs>
          <w:tab w:val="left" w:pos="2029"/>
        </w:tabs>
        <w:ind w:left="2029" w:hanging="1985"/>
      </w:pPr>
    </w:lvl>
    <w:lvl w:ilvl="1" w:tentative="0">
      <w:start w:val="1"/>
      <w:numFmt w:val="decimal"/>
      <w:pStyle w:val="5"/>
      <w:isLgl/>
      <w:lvlText w:val="%1.%2"/>
      <w:lvlJc w:val="left"/>
      <w:pPr>
        <w:tabs>
          <w:tab w:val="left" w:pos="740"/>
        </w:tabs>
        <w:ind w:left="740" w:hanging="680"/>
      </w:pPr>
      <w:rPr>
        <w:rFonts w:hint="eastAsia"/>
      </w:rPr>
    </w:lvl>
    <w:lvl w:ilvl="2" w:tentative="0">
      <w:start w:val="1"/>
      <w:numFmt w:val="decimal"/>
      <w:pStyle w:val="6"/>
      <w:isLgl/>
      <w:lvlText w:val="%1.%2.%3"/>
      <w:lvlJc w:val="left"/>
      <w:pPr>
        <w:tabs>
          <w:tab w:val="left" w:pos="964"/>
        </w:tabs>
        <w:ind w:left="964" w:hanging="737"/>
      </w:pPr>
      <w:rPr>
        <w:rFonts w:hint="default" w:ascii="Times New Roman" w:hAnsi="Times New Roman" w:cs="Times New Roman"/>
        <w:caps w:val="0"/>
        <w:strike w:val="0"/>
        <w:dstrike w:val="0"/>
        <w:vanish w:val="0"/>
        <w:color w:val="auto"/>
        <w:vertAlign w:val="baseline"/>
      </w:rPr>
    </w:lvl>
    <w:lvl w:ilvl="3" w:tentative="0">
      <w:start w:val="1"/>
      <w:numFmt w:val="decimal"/>
      <w:pStyle w:val="7"/>
      <w:lvlText w:val="%1.%2.%3.%4"/>
      <w:lvlJc w:val="left"/>
      <w:pPr>
        <w:tabs>
          <w:tab w:val="left" w:pos="227"/>
        </w:tabs>
        <w:ind w:left="6804" w:hanging="6577"/>
      </w:pPr>
      <w:rPr>
        <w:rFonts w:hint="eastAsia"/>
      </w:rPr>
    </w:lvl>
    <w:lvl w:ilvl="4" w:tentative="0">
      <w:start w:val="1"/>
      <w:numFmt w:val="upperLetter"/>
      <w:pStyle w:val="8"/>
      <w:lvlText w:val="%5."/>
      <w:lvlJc w:val="left"/>
      <w:pPr>
        <w:tabs>
          <w:tab w:val="left" w:pos="680"/>
        </w:tabs>
        <w:ind w:left="680" w:hanging="453"/>
      </w:pPr>
      <w:rPr>
        <w:rFonts w:hint="eastAsia"/>
      </w:rPr>
    </w:lvl>
    <w:lvl w:ilvl="5" w:tentative="0">
      <w:start w:val="1"/>
      <w:numFmt w:val="decimal"/>
      <w:pStyle w:val="36"/>
      <w:lvlText w:val="%6."/>
      <w:lvlJc w:val="left"/>
      <w:pPr>
        <w:tabs>
          <w:tab w:val="left" w:pos="1134"/>
        </w:tabs>
        <w:ind w:left="1134" w:hanging="454"/>
      </w:pPr>
      <w:rPr>
        <w:rFonts w:hint="eastAsia"/>
      </w:rPr>
    </w:lvl>
    <w:lvl w:ilvl="6" w:tentative="0">
      <w:start w:val="1"/>
      <w:numFmt w:val="lowerLetter"/>
      <w:pStyle w:val="41"/>
      <w:lvlText w:val="%7."/>
      <w:lvlJc w:val="left"/>
      <w:pPr>
        <w:tabs>
          <w:tab w:val="left" w:pos="1588"/>
        </w:tabs>
        <w:ind w:left="1588" w:hanging="454"/>
      </w:pPr>
      <w:rPr>
        <w:rFonts w:hint="eastAsia"/>
      </w:rPr>
    </w:lvl>
    <w:lvl w:ilvl="7" w:tentative="0">
      <w:start w:val="1"/>
      <w:numFmt w:val="lowerRoman"/>
      <w:lvlText w:val="%8."/>
      <w:lvlJc w:val="left"/>
      <w:pPr>
        <w:tabs>
          <w:tab w:val="left" w:pos="2308"/>
        </w:tabs>
        <w:ind w:left="2041" w:hanging="453"/>
      </w:pPr>
      <w:rPr>
        <w:rFonts w:hint="eastAsia"/>
      </w:rPr>
    </w:lvl>
    <w:lvl w:ilvl="8" w:tentative="0">
      <w:start w:val="1"/>
      <w:numFmt w:val="decimal"/>
      <w:lvlText w:val="(%9)"/>
      <w:lvlJc w:val="left"/>
      <w:pPr>
        <w:tabs>
          <w:tab w:val="left" w:pos="2608"/>
        </w:tabs>
        <w:ind w:left="2608" w:hanging="567"/>
      </w:pPr>
      <w:rPr>
        <w:rFonts w:hint="eastAsia"/>
      </w:rPr>
    </w:lvl>
  </w:abstractNum>
  <w:num w:numId="1">
    <w:abstractNumId w:val="106"/>
  </w:num>
  <w:num w:numId="2">
    <w:abstractNumId w:val="48"/>
  </w:num>
  <w:num w:numId="3">
    <w:abstractNumId w:val="103"/>
  </w:num>
  <w:num w:numId="4">
    <w:abstractNumId w:val="102"/>
  </w:num>
  <w:num w:numId="5">
    <w:abstractNumId w:val="29"/>
  </w:num>
  <w:num w:numId="6">
    <w:abstractNumId w:val="77"/>
  </w:num>
  <w:num w:numId="7">
    <w:abstractNumId w:val="71"/>
  </w:num>
  <w:num w:numId="8">
    <w:abstractNumId w:val="65"/>
  </w:num>
  <w:num w:numId="9">
    <w:abstractNumId w:val="18"/>
  </w:num>
  <w:num w:numId="10">
    <w:abstractNumId w:val="75"/>
  </w:num>
  <w:num w:numId="11">
    <w:abstractNumId w:val="60"/>
  </w:num>
  <w:num w:numId="12">
    <w:abstractNumId w:val="43"/>
  </w:num>
  <w:num w:numId="13">
    <w:abstractNumId w:val="27"/>
  </w:num>
  <w:num w:numId="14">
    <w:abstractNumId w:val="4"/>
  </w:num>
  <w:num w:numId="15">
    <w:abstractNumId w:val="8"/>
  </w:num>
  <w:num w:numId="16">
    <w:abstractNumId w:val="32"/>
  </w:num>
  <w:num w:numId="17">
    <w:abstractNumId w:val="13"/>
  </w:num>
  <w:num w:numId="18">
    <w:abstractNumId w:val="16"/>
  </w:num>
  <w:num w:numId="19">
    <w:abstractNumId w:val="95"/>
  </w:num>
  <w:num w:numId="20">
    <w:abstractNumId w:val="83"/>
  </w:num>
  <w:num w:numId="21">
    <w:abstractNumId w:val="37"/>
  </w:num>
  <w:num w:numId="22">
    <w:abstractNumId w:val="11"/>
  </w:num>
  <w:num w:numId="23">
    <w:abstractNumId w:val="1"/>
  </w:num>
  <w:num w:numId="24">
    <w:abstractNumId w:val="3"/>
  </w:num>
  <w:num w:numId="25">
    <w:abstractNumId w:val="34"/>
  </w:num>
  <w:num w:numId="26">
    <w:abstractNumId w:val="46"/>
  </w:num>
  <w:num w:numId="27">
    <w:abstractNumId w:val="49"/>
  </w:num>
  <w:num w:numId="28">
    <w:abstractNumId w:val="53"/>
  </w:num>
  <w:num w:numId="29">
    <w:abstractNumId w:val="54"/>
  </w:num>
  <w:num w:numId="30">
    <w:abstractNumId w:val="57"/>
  </w:num>
  <w:num w:numId="31">
    <w:abstractNumId w:val="30"/>
  </w:num>
  <w:num w:numId="32">
    <w:abstractNumId w:val="7"/>
  </w:num>
  <w:num w:numId="33">
    <w:abstractNumId w:val="68"/>
  </w:num>
  <w:num w:numId="34">
    <w:abstractNumId w:val="69"/>
  </w:num>
  <w:num w:numId="35">
    <w:abstractNumId w:val="45"/>
  </w:num>
  <w:num w:numId="36">
    <w:abstractNumId w:val="26"/>
  </w:num>
  <w:num w:numId="37">
    <w:abstractNumId w:val="76"/>
  </w:num>
  <w:num w:numId="38">
    <w:abstractNumId w:val="82"/>
  </w:num>
  <w:num w:numId="39">
    <w:abstractNumId w:val="79"/>
  </w:num>
  <w:num w:numId="40">
    <w:abstractNumId w:val="47"/>
  </w:num>
  <w:num w:numId="41">
    <w:abstractNumId w:val="12"/>
  </w:num>
  <w:num w:numId="42">
    <w:abstractNumId w:val="39"/>
  </w:num>
  <w:num w:numId="43">
    <w:abstractNumId w:val="22"/>
  </w:num>
  <w:num w:numId="44">
    <w:abstractNumId w:val="99"/>
  </w:num>
  <w:num w:numId="45">
    <w:abstractNumId w:val="20"/>
  </w:num>
  <w:num w:numId="46">
    <w:abstractNumId w:val="67"/>
  </w:num>
  <w:num w:numId="47">
    <w:abstractNumId w:val="74"/>
  </w:num>
  <w:num w:numId="48">
    <w:abstractNumId w:val="25"/>
  </w:num>
  <w:num w:numId="49">
    <w:abstractNumId w:val="73"/>
  </w:num>
  <w:num w:numId="50">
    <w:abstractNumId w:val="5"/>
  </w:num>
  <w:num w:numId="51">
    <w:abstractNumId w:val="33"/>
  </w:num>
  <w:num w:numId="52">
    <w:abstractNumId w:val="9"/>
  </w:num>
  <w:num w:numId="53">
    <w:abstractNumId w:val="58"/>
  </w:num>
  <w:num w:numId="54">
    <w:abstractNumId w:val="6"/>
  </w:num>
  <w:num w:numId="55">
    <w:abstractNumId w:val="2"/>
  </w:num>
  <w:num w:numId="56">
    <w:abstractNumId w:val="78"/>
  </w:num>
  <w:num w:numId="57">
    <w:abstractNumId w:val="24"/>
  </w:num>
  <w:num w:numId="58">
    <w:abstractNumId w:val="23"/>
  </w:num>
  <w:num w:numId="59">
    <w:abstractNumId w:val="51"/>
  </w:num>
  <w:num w:numId="60">
    <w:abstractNumId w:val="59"/>
  </w:num>
  <w:num w:numId="61">
    <w:abstractNumId w:val="72"/>
  </w:num>
  <w:num w:numId="62">
    <w:abstractNumId w:val="61"/>
  </w:num>
  <w:num w:numId="63">
    <w:abstractNumId w:val="41"/>
  </w:num>
  <w:num w:numId="64">
    <w:abstractNumId w:val="19"/>
  </w:num>
  <w:num w:numId="65">
    <w:abstractNumId w:val="63"/>
  </w:num>
  <w:num w:numId="66">
    <w:abstractNumId w:val="40"/>
  </w:num>
  <w:num w:numId="67">
    <w:abstractNumId w:val="100"/>
  </w:num>
  <w:num w:numId="68">
    <w:abstractNumId w:val="38"/>
  </w:num>
  <w:num w:numId="69">
    <w:abstractNumId w:val="80"/>
  </w:num>
  <w:num w:numId="70">
    <w:abstractNumId w:val="64"/>
  </w:num>
  <w:num w:numId="71">
    <w:abstractNumId w:val="10"/>
  </w:num>
  <w:num w:numId="72">
    <w:abstractNumId w:val="52"/>
  </w:num>
  <w:num w:numId="73">
    <w:abstractNumId w:val="35"/>
  </w:num>
  <w:num w:numId="74">
    <w:abstractNumId w:val="62"/>
  </w:num>
  <w:num w:numId="75">
    <w:abstractNumId w:val="55"/>
  </w:num>
  <w:num w:numId="76">
    <w:abstractNumId w:val="50"/>
  </w:num>
  <w:num w:numId="77">
    <w:abstractNumId w:val="31"/>
  </w:num>
  <w:num w:numId="78">
    <w:abstractNumId w:val="15"/>
  </w:num>
  <w:num w:numId="79">
    <w:abstractNumId w:val="21"/>
  </w:num>
  <w:num w:numId="80">
    <w:abstractNumId w:val="36"/>
  </w:num>
  <w:num w:numId="81">
    <w:abstractNumId w:val="70"/>
  </w:num>
  <w:num w:numId="82">
    <w:abstractNumId w:val="44"/>
  </w:num>
  <w:num w:numId="83">
    <w:abstractNumId w:val="84"/>
  </w:num>
  <w:num w:numId="84">
    <w:abstractNumId w:val="66"/>
  </w:num>
  <w:num w:numId="85">
    <w:abstractNumId w:val="28"/>
  </w:num>
  <w:num w:numId="86">
    <w:abstractNumId w:val="17"/>
  </w:num>
  <w:num w:numId="87">
    <w:abstractNumId w:val="56"/>
  </w:num>
  <w:num w:numId="88">
    <w:abstractNumId w:val="42"/>
  </w:num>
  <w:num w:numId="89">
    <w:abstractNumId w:val="96"/>
  </w:num>
  <w:num w:numId="90">
    <w:abstractNumId w:val="104"/>
  </w:num>
  <w:num w:numId="91">
    <w:abstractNumId w:val="90"/>
  </w:num>
  <w:num w:numId="92">
    <w:abstractNumId w:val="105"/>
  </w:num>
  <w:num w:numId="93">
    <w:abstractNumId w:val="0"/>
  </w:num>
  <w:num w:numId="94">
    <w:abstractNumId w:val="89"/>
  </w:num>
  <w:num w:numId="95">
    <w:abstractNumId w:val="93"/>
  </w:num>
  <w:num w:numId="96">
    <w:abstractNumId w:val="87"/>
  </w:num>
  <w:num w:numId="97">
    <w:abstractNumId w:val="86"/>
  </w:num>
  <w:num w:numId="98">
    <w:abstractNumId w:val="92"/>
  </w:num>
  <w:num w:numId="99">
    <w:abstractNumId w:val="88"/>
  </w:num>
  <w:num w:numId="100">
    <w:abstractNumId w:val="85"/>
  </w:num>
  <w:num w:numId="101">
    <w:abstractNumId w:val="91"/>
  </w:num>
  <w:num w:numId="102">
    <w:abstractNumId w:val="94"/>
  </w:num>
  <w:num w:numId="103">
    <w:abstractNumId w:val="97"/>
  </w:num>
  <w:num w:numId="104">
    <w:abstractNumId w:val="101"/>
  </w:num>
  <w:num w:numId="105">
    <w:abstractNumId w:val="98"/>
  </w:num>
  <w:num w:numId="106">
    <w:abstractNumId w:val="14"/>
  </w:num>
  <w:num w:numId="10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0284"/>
    <w:rsid w:val="002F6D42"/>
    <w:rsid w:val="00AC67F7"/>
    <w:rsid w:val="01AF76BB"/>
    <w:rsid w:val="02E045E6"/>
    <w:rsid w:val="03653266"/>
    <w:rsid w:val="043B7E63"/>
    <w:rsid w:val="04575254"/>
    <w:rsid w:val="04C24521"/>
    <w:rsid w:val="0521039C"/>
    <w:rsid w:val="06506FC9"/>
    <w:rsid w:val="06980944"/>
    <w:rsid w:val="070F49D8"/>
    <w:rsid w:val="074E1FE3"/>
    <w:rsid w:val="08975154"/>
    <w:rsid w:val="08F42280"/>
    <w:rsid w:val="0AE172F8"/>
    <w:rsid w:val="0C9E0671"/>
    <w:rsid w:val="0E04530C"/>
    <w:rsid w:val="0E0F257E"/>
    <w:rsid w:val="0E1000B7"/>
    <w:rsid w:val="0F2116C3"/>
    <w:rsid w:val="0F33345F"/>
    <w:rsid w:val="0F8A4EAE"/>
    <w:rsid w:val="0F8C0F89"/>
    <w:rsid w:val="0F9D2F0E"/>
    <w:rsid w:val="0FC01B46"/>
    <w:rsid w:val="103255A4"/>
    <w:rsid w:val="10490557"/>
    <w:rsid w:val="119F0FEC"/>
    <w:rsid w:val="11A54EC5"/>
    <w:rsid w:val="12A00D6E"/>
    <w:rsid w:val="134144C5"/>
    <w:rsid w:val="13906116"/>
    <w:rsid w:val="13A81CE2"/>
    <w:rsid w:val="13AF09CC"/>
    <w:rsid w:val="14DC2D9B"/>
    <w:rsid w:val="152734D2"/>
    <w:rsid w:val="15733D37"/>
    <w:rsid w:val="19233892"/>
    <w:rsid w:val="195813A7"/>
    <w:rsid w:val="196144F8"/>
    <w:rsid w:val="1A462635"/>
    <w:rsid w:val="1B0B6FE3"/>
    <w:rsid w:val="1B293959"/>
    <w:rsid w:val="1B96109D"/>
    <w:rsid w:val="1C184E23"/>
    <w:rsid w:val="1D6D0CD0"/>
    <w:rsid w:val="1DD14969"/>
    <w:rsid w:val="1EFF1396"/>
    <w:rsid w:val="1F784CD1"/>
    <w:rsid w:val="1F8D1FB3"/>
    <w:rsid w:val="20627A49"/>
    <w:rsid w:val="22AC2799"/>
    <w:rsid w:val="22DE1658"/>
    <w:rsid w:val="23236606"/>
    <w:rsid w:val="237F376C"/>
    <w:rsid w:val="23CE02F9"/>
    <w:rsid w:val="23E11038"/>
    <w:rsid w:val="24654256"/>
    <w:rsid w:val="253E1589"/>
    <w:rsid w:val="276E784F"/>
    <w:rsid w:val="27D71DB5"/>
    <w:rsid w:val="28AD66F1"/>
    <w:rsid w:val="29545506"/>
    <w:rsid w:val="29896F29"/>
    <w:rsid w:val="2A1B2290"/>
    <w:rsid w:val="2AB971EC"/>
    <w:rsid w:val="2AE51839"/>
    <w:rsid w:val="2B1513DC"/>
    <w:rsid w:val="2C10779D"/>
    <w:rsid w:val="2C13687B"/>
    <w:rsid w:val="2C633CBF"/>
    <w:rsid w:val="2C9C6E66"/>
    <w:rsid w:val="2D7E280B"/>
    <w:rsid w:val="2DAD099C"/>
    <w:rsid w:val="2E5F5DD5"/>
    <w:rsid w:val="2EE70C8A"/>
    <w:rsid w:val="2F6446B5"/>
    <w:rsid w:val="2F7328DB"/>
    <w:rsid w:val="2FEE6D78"/>
    <w:rsid w:val="2FFE4A05"/>
    <w:rsid w:val="300C7FEA"/>
    <w:rsid w:val="30CE3CB0"/>
    <w:rsid w:val="31887A71"/>
    <w:rsid w:val="31C56FA7"/>
    <w:rsid w:val="33D409CA"/>
    <w:rsid w:val="346E5886"/>
    <w:rsid w:val="34A34405"/>
    <w:rsid w:val="3506107C"/>
    <w:rsid w:val="35F24178"/>
    <w:rsid w:val="367B1A5A"/>
    <w:rsid w:val="36C02717"/>
    <w:rsid w:val="3AB14168"/>
    <w:rsid w:val="3B3A2609"/>
    <w:rsid w:val="3B70292F"/>
    <w:rsid w:val="3BA5612A"/>
    <w:rsid w:val="3BB244D2"/>
    <w:rsid w:val="3C3360C1"/>
    <w:rsid w:val="3C9565D4"/>
    <w:rsid w:val="3CF802BF"/>
    <w:rsid w:val="3D122E2C"/>
    <w:rsid w:val="3D18360C"/>
    <w:rsid w:val="3E2562BC"/>
    <w:rsid w:val="3EA960A3"/>
    <w:rsid w:val="3F13143A"/>
    <w:rsid w:val="3F301783"/>
    <w:rsid w:val="3F3D279C"/>
    <w:rsid w:val="3F7F5FFE"/>
    <w:rsid w:val="41FE0918"/>
    <w:rsid w:val="42236CF7"/>
    <w:rsid w:val="42514BE9"/>
    <w:rsid w:val="4259116C"/>
    <w:rsid w:val="426C760F"/>
    <w:rsid w:val="432360F9"/>
    <w:rsid w:val="44734380"/>
    <w:rsid w:val="44DE4243"/>
    <w:rsid w:val="44E633EE"/>
    <w:rsid w:val="44EC5DBB"/>
    <w:rsid w:val="45FA1796"/>
    <w:rsid w:val="472C3A98"/>
    <w:rsid w:val="477B71BD"/>
    <w:rsid w:val="47DE0244"/>
    <w:rsid w:val="48207F68"/>
    <w:rsid w:val="48355FCF"/>
    <w:rsid w:val="48926381"/>
    <w:rsid w:val="49492ADC"/>
    <w:rsid w:val="4ADF49D2"/>
    <w:rsid w:val="4CB2253B"/>
    <w:rsid w:val="4CCA7482"/>
    <w:rsid w:val="4FB90135"/>
    <w:rsid w:val="51786874"/>
    <w:rsid w:val="51D66CAD"/>
    <w:rsid w:val="5216763D"/>
    <w:rsid w:val="52CA0B4F"/>
    <w:rsid w:val="53E61D5C"/>
    <w:rsid w:val="543A5D5C"/>
    <w:rsid w:val="54BB1625"/>
    <w:rsid w:val="55C55E4B"/>
    <w:rsid w:val="55F016CF"/>
    <w:rsid w:val="567D3A4D"/>
    <w:rsid w:val="56BB5CD8"/>
    <w:rsid w:val="56D00F09"/>
    <w:rsid w:val="57364F43"/>
    <w:rsid w:val="57BB2AA6"/>
    <w:rsid w:val="57DD6C8B"/>
    <w:rsid w:val="57F327DE"/>
    <w:rsid w:val="58B918F0"/>
    <w:rsid w:val="591E122B"/>
    <w:rsid w:val="59964B76"/>
    <w:rsid w:val="59D522E9"/>
    <w:rsid w:val="59E67CA3"/>
    <w:rsid w:val="5B244414"/>
    <w:rsid w:val="5B7A7B45"/>
    <w:rsid w:val="5B997E77"/>
    <w:rsid w:val="5BF75F4E"/>
    <w:rsid w:val="5D7B1FE6"/>
    <w:rsid w:val="5DF65A6C"/>
    <w:rsid w:val="5E29512F"/>
    <w:rsid w:val="5EC3336E"/>
    <w:rsid w:val="5EE04141"/>
    <w:rsid w:val="5F3F5442"/>
    <w:rsid w:val="5F752E4E"/>
    <w:rsid w:val="5FDD1932"/>
    <w:rsid w:val="61175BC1"/>
    <w:rsid w:val="613769DA"/>
    <w:rsid w:val="61477B2E"/>
    <w:rsid w:val="616B566E"/>
    <w:rsid w:val="62A976C8"/>
    <w:rsid w:val="643B025A"/>
    <w:rsid w:val="651E59FF"/>
    <w:rsid w:val="656B2DE5"/>
    <w:rsid w:val="67183FAF"/>
    <w:rsid w:val="676E41FE"/>
    <w:rsid w:val="67DF4B92"/>
    <w:rsid w:val="688834F9"/>
    <w:rsid w:val="68A713E2"/>
    <w:rsid w:val="69065DCC"/>
    <w:rsid w:val="690B67C0"/>
    <w:rsid w:val="692505DE"/>
    <w:rsid w:val="69D56973"/>
    <w:rsid w:val="6B221BD5"/>
    <w:rsid w:val="6BEF1537"/>
    <w:rsid w:val="6D362631"/>
    <w:rsid w:val="6DD7697F"/>
    <w:rsid w:val="6E5A6EBF"/>
    <w:rsid w:val="6E6F7A3C"/>
    <w:rsid w:val="6EB176DE"/>
    <w:rsid w:val="71223BA7"/>
    <w:rsid w:val="71F46D31"/>
    <w:rsid w:val="71FD2365"/>
    <w:rsid w:val="720E360A"/>
    <w:rsid w:val="73A3111F"/>
    <w:rsid w:val="73D8256B"/>
    <w:rsid w:val="740C2F5B"/>
    <w:rsid w:val="743B2A2D"/>
    <w:rsid w:val="74764470"/>
    <w:rsid w:val="750C705E"/>
    <w:rsid w:val="755E325F"/>
    <w:rsid w:val="759F09F9"/>
    <w:rsid w:val="75E554B1"/>
    <w:rsid w:val="77765846"/>
    <w:rsid w:val="783A56B5"/>
    <w:rsid w:val="78960D63"/>
    <w:rsid w:val="78AD3292"/>
    <w:rsid w:val="79BE2097"/>
    <w:rsid w:val="7C8B62DC"/>
    <w:rsid w:val="7CAA0F66"/>
    <w:rsid w:val="7CDE6601"/>
    <w:rsid w:val="7D265FEA"/>
    <w:rsid w:val="7EEF5066"/>
    <w:rsid w:val="7EF240F0"/>
    <w:rsid w:val="7F02696C"/>
    <w:rsid w:val="7F1370D6"/>
    <w:rsid w:val="7F3F20C6"/>
    <w:rsid w:val="7F9C0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qFormat="1" w:uiPriority="9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uiPriority="99" w:name="Strong"/>
    <w:lsdException w:qFormat="1" w:uiPriority="99"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paragraph" w:styleId="4">
    <w:name w:val="heading 1"/>
    <w:basedOn w:val="1"/>
    <w:next w:val="1"/>
    <w:unhideWhenUsed/>
    <w:qFormat/>
    <w:uiPriority w:val="99"/>
    <w:pPr>
      <w:keepNext/>
      <w:pageBreakBefore/>
      <w:widowControl w:val="0"/>
      <w:numPr>
        <w:ilvl w:val="0"/>
        <w:numId w:val="1"/>
      </w:numPr>
      <w:overflowPunct w:val="0"/>
      <w:autoSpaceDE w:val="0"/>
      <w:autoSpaceDN w:val="0"/>
      <w:adjustRightInd w:val="0"/>
      <w:spacing w:before="0" w:line="240" w:lineRule="auto"/>
      <w:ind w:left="2030"/>
      <w:jc w:val="center"/>
      <w:textAlignment w:val="baseline"/>
      <w:outlineLvl w:val="0"/>
    </w:pPr>
    <w:rPr>
      <w:rFonts w:eastAsia="黑体"/>
      <w:b/>
      <w:bCs/>
      <w:caps/>
      <w:color w:val="000000"/>
      <w:kern w:val="28"/>
      <w:sz w:val="28"/>
      <w:szCs w:val="28"/>
    </w:rPr>
  </w:style>
  <w:style w:type="paragraph" w:styleId="5">
    <w:name w:val="heading 2"/>
    <w:basedOn w:val="1"/>
    <w:next w:val="6"/>
    <w:unhideWhenUsed/>
    <w:qFormat/>
    <w:uiPriority w:val="99"/>
    <w:pPr>
      <w:keepLines/>
      <w:widowControl w:val="0"/>
      <w:numPr>
        <w:ilvl w:val="1"/>
        <w:numId w:val="1"/>
      </w:numPr>
      <w:tabs>
        <w:tab w:val="left" w:pos="1200"/>
      </w:tabs>
      <w:spacing w:before="360"/>
      <w:outlineLvl w:val="1"/>
    </w:pPr>
    <w:rPr>
      <w:rFonts w:eastAsia="黑体"/>
      <w:b/>
      <w:bCs/>
      <w:caps/>
      <w:sz w:val="28"/>
      <w:szCs w:val="28"/>
    </w:rPr>
  </w:style>
  <w:style w:type="paragraph" w:styleId="6">
    <w:name w:val="heading 3"/>
    <w:basedOn w:val="1"/>
    <w:next w:val="7"/>
    <w:unhideWhenUsed/>
    <w:qFormat/>
    <w:uiPriority w:val="99"/>
    <w:pPr>
      <w:keepLines/>
      <w:widowControl w:val="0"/>
      <w:numPr>
        <w:ilvl w:val="2"/>
        <w:numId w:val="1"/>
      </w:numPr>
      <w:spacing w:line="240" w:lineRule="auto"/>
      <w:outlineLvl w:val="2"/>
    </w:pPr>
    <w:rPr>
      <w:rFonts w:eastAsia="黑体"/>
      <w:b/>
    </w:rPr>
  </w:style>
  <w:style w:type="paragraph" w:styleId="7">
    <w:name w:val="heading 4"/>
    <w:basedOn w:val="1"/>
    <w:next w:val="8"/>
    <w:unhideWhenUsed/>
    <w:qFormat/>
    <w:uiPriority w:val="99"/>
    <w:pPr>
      <w:keepNext/>
      <w:keepLines/>
      <w:numPr>
        <w:ilvl w:val="3"/>
        <w:numId w:val="1"/>
      </w:numPr>
      <w:tabs>
        <w:tab w:val="left" w:pos="1200"/>
      </w:tabs>
      <w:outlineLvl w:val="3"/>
    </w:pPr>
    <w:rPr>
      <w:b/>
      <w:bCs/>
    </w:rPr>
  </w:style>
  <w:style w:type="character" w:default="1" w:styleId="14">
    <w:name w:val="Default Paragraph Font"/>
    <w:unhideWhenUsed/>
    <w:qFormat/>
    <w:uiPriority w:val="99"/>
    <w:rPr>
      <w:rFonts w:hint="default"/>
      <w:sz w:val="24"/>
    </w:rPr>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adjustRightInd w:val="0"/>
      <w:spacing w:after="120" w:afterLines="0" w:line="360" w:lineRule="atLeast"/>
      <w:jc w:val="left"/>
      <w:textAlignment w:val="baseline"/>
    </w:pPr>
    <w:rPr>
      <w:rFonts w:ascii="Times New Roman" w:hAnsi="Times New Roman" w:cs="Times New Roman"/>
      <w:kern w:val="0"/>
      <w:sz w:val="24"/>
      <w:szCs w:val="20"/>
    </w:rPr>
  </w:style>
  <w:style w:type="paragraph" w:customStyle="1" w:styleId="8">
    <w:name w:val="A."/>
    <w:basedOn w:val="1"/>
    <w:qFormat/>
    <w:uiPriority w:val="0"/>
    <w:pPr>
      <w:widowControl w:val="0"/>
      <w:numPr>
        <w:ilvl w:val="4"/>
        <w:numId w:val="1"/>
      </w:numPr>
      <w:tabs>
        <w:tab w:val="left" w:pos="1200"/>
        <w:tab w:val="left" w:pos="5245"/>
      </w:tabs>
    </w:pPr>
  </w:style>
  <w:style w:type="paragraph" w:styleId="9">
    <w:name w:val="Plain Text"/>
    <w:basedOn w:val="1"/>
    <w:unhideWhenUsed/>
    <w:qFormat/>
    <w:uiPriority w:val="99"/>
    <w:rPr>
      <w:rFonts w:ascii="宋体" w:hAnsi="Courier New"/>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99"/>
    <w:pPr>
      <w:widowControl w:val="0"/>
      <w:tabs>
        <w:tab w:val="left" w:pos="840"/>
        <w:tab w:val="right" w:leader="dot" w:pos="8891"/>
      </w:tabs>
      <w:spacing w:before="72" w:beforeLines="30" w:line="0" w:lineRule="atLeast"/>
      <w:jc w:val="center"/>
    </w:pPr>
    <w:rPr>
      <w:kern w:val="0"/>
      <w:sz w:val="21"/>
      <w:szCs w:val="21"/>
    </w:rPr>
  </w:style>
  <w:style w:type="paragraph" w:styleId="13">
    <w:name w:val="Normal (Web)"/>
    <w:basedOn w:val="1"/>
    <w:unhideWhenUsed/>
    <w:qFormat/>
    <w:uiPriority w:val="99"/>
    <w:pPr>
      <w:widowControl/>
      <w:spacing w:before="100" w:beforeLines="0" w:beforeAutospacing="1" w:after="100" w:afterLines="0" w:afterAutospacing="1"/>
      <w:ind w:firstLine="200"/>
      <w:jc w:val="left"/>
    </w:pPr>
    <w:rPr>
      <w:rFonts w:ascii="隶书" w:hAnsi="隶书" w:cs="隶书"/>
      <w:sz w:val="24"/>
    </w:rPr>
  </w:style>
  <w:style w:type="character" w:styleId="15">
    <w:name w:val="page number"/>
    <w:unhideWhenUsed/>
    <w:qFormat/>
    <w:uiPriority w:val="99"/>
  </w:style>
  <w:style w:type="character" w:styleId="16">
    <w:name w:val="FollowedHyperlink"/>
    <w:basedOn w:val="14"/>
    <w:unhideWhenUsed/>
    <w:qFormat/>
    <w:uiPriority w:val="99"/>
    <w:rPr>
      <w:color w:val="000000"/>
      <w:u w:val="none"/>
    </w:rPr>
  </w:style>
  <w:style w:type="character" w:styleId="17">
    <w:name w:val="Emphasis"/>
    <w:basedOn w:val="14"/>
    <w:unhideWhenUsed/>
    <w:qFormat/>
    <w:uiPriority w:val="99"/>
  </w:style>
  <w:style w:type="character" w:styleId="18">
    <w:name w:val="Hyperlink"/>
    <w:basedOn w:val="14"/>
    <w:unhideWhenUsed/>
    <w:qFormat/>
    <w:uiPriority w:val="99"/>
    <w:rPr>
      <w:color w:val="0371C6"/>
      <w:u w:val="none"/>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font111"/>
    <w:basedOn w:val="14"/>
    <w:qFormat/>
    <w:uiPriority w:val="0"/>
    <w:rPr>
      <w:rFonts w:hint="eastAsia" w:ascii="宋体" w:hAnsi="宋体" w:eastAsia="宋体" w:cs="宋体"/>
      <w:color w:val="000000"/>
      <w:sz w:val="20"/>
      <w:szCs w:val="20"/>
      <w:u w:val="none"/>
    </w:rPr>
  </w:style>
  <w:style w:type="character" w:customStyle="1" w:styleId="22">
    <w:name w:val="font71"/>
    <w:basedOn w:val="14"/>
    <w:qFormat/>
    <w:uiPriority w:val="0"/>
    <w:rPr>
      <w:rFonts w:hint="default" w:ascii="Times New Roman" w:hAnsi="Times New Roman" w:cs="Times New Roman"/>
      <w:color w:val="000000"/>
      <w:sz w:val="20"/>
      <w:szCs w:val="20"/>
      <w:u w:val="none"/>
    </w:rPr>
  </w:style>
  <w:style w:type="character" w:customStyle="1" w:styleId="23">
    <w:name w:val="font141"/>
    <w:basedOn w:val="14"/>
    <w:qFormat/>
    <w:uiPriority w:val="0"/>
    <w:rPr>
      <w:rFonts w:hint="default" w:ascii="Times New Roman" w:hAnsi="Times New Roman" w:cs="Times New Roman"/>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151"/>
    <w:basedOn w:val="14"/>
    <w:qFormat/>
    <w:uiPriority w:val="0"/>
    <w:rPr>
      <w:rFonts w:hint="default" w:ascii="Times New Roman" w:hAnsi="Times New Roman" w:cs="Times New Roman"/>
      <w:color w:val="000000"/>
      <w:sz w:val="21"/>
      <w:szCs w:val="21"/>
      <w:u w:val="none"/>
    </w:rPr>
  </w:style>
  <w:style w:type="character" w:customStyle="1" w:styleId="26">
    <w:name w:val="font101"/>
    <w:basedOn w:val="14"/>
    <w:qFormat/>
    <w:uiPriority w:val="0"/>
    <w:rPr>
      <w:rFonts w:hint="eastAsia" w:ascii="宋体" w:hAnsi="宋体" w:eastAsia="宋体" w:cs="宋体"/>
      <w:color w:val="000000"/>
      <w:sz w:val="21"/>
      <w:szCs w:val="21"/>
      <w:u w:val="none"/>
    </w:rPr>
  </w:style>
  <w:style w:type="character" w:customStyle="1" w:styleId="27">
    <w:name w:val="font91"/>
    <w:basedOn w:val="14"/>
    <w:qFormat/>
    <w:uiPriority w:val="0"/>
    <w:rPr>
      <w:rFonts w:hint="eastAsia" w:ascii="宋体" w:hAnsi="宋体" w:eastAsia="宋体" w:cs="宋体"/>
      <w:color w:val="000000"/>
      <w:sz w:val="20"/>
      <w:szCs w:val="20"/>
      <w:u w:val="none"/>
    </w:rPr>
  </w:style>
  <w:style w:type="character" w:customStyle="1" w:styleId="28">
    <w:name w:val="font61"/>
    <w:basedOn w:val="14"/>
    <w:qFormat/>
    <w:uiPriority w:val="0"/>
    <w:rPr>
      <w:rFonts w:hint="eastAsia" w:ascii="宋体" w:hAnsi="宋体" w:eastAsia="宋体" w:cs="宋体"/>
      <w:color w:val="000000"/>
      <w:sz w:val="20"/>
      <w:szCs w:val="20"/>
      <w:u w:val="none"/>
    </w:rPr>
  </w:style>
  <w:style w:type="character" w:customStyle="1" w:styleId="29">
    <w:name w:val="font21"/>
    <w:basedOn w:val="14"/>
    <w:qFormat/>
    <w:uiPriority w:val="0"/>
    <w:rPr>
      <w:rFonts w:hint="eastAsia" w:ascii="宋体" w:hAnsi="宋体" w:eastAsia="宋体" w:cs="宋体"/>
      <w:color w:val="000000"/>
      <w:sz w:val="20"/>
      <w:szCs w:val="20"/>
      <w:u w:val="none"/>
    </w:rPr>
  </w:style>
  <w:style w:type="character" w:customStyle="1" w:styleId="30">
    <w:name w:val="font12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31"/>
    <w:basedOn w:val="14"/>
    <w:qFormat/>
    <w:uiPriority w:val="0"/>
    <w:rPr>
      <w:rFonts w:hint="eastAsia" w:ascii="宋体" w:hAnsi="宋体" w:eastAsia="宋体" w:cs="宋体"/>
      <w:color w:val="000000"/>
      <w:sz w:val="20"/>
      <w:szCs w:val="20"/>
      <w:u w:val="none"/>
    </w:rPr>
  </w:style>
  <w:style w:type="character" w:customStyle="1" w:styleId="33">
    <w:name w:val="font51"/>
    <w:basedOn w:val="14"/>
    <w:qFormat/>
    <w:uiPriority w:val="0"/>
    <w:rPr>
      <w:rFonts w:hint="eastAsia" w:ascii="宋体" w:hAnsi="宋体" w:eastAsia="宋体" w:cs="宋体"/>
      <w:color w:val="000000"/>
      <w:sz w:val="22"/>
      <w:szCs w:val="22"/>
      <w:u w:val="none"/>
    </w:rPr>
  </w:style>
  <w:style w:type="character" w:customStyle="1" w:styleId="34">
    <w:name w:val="font122"/>
    <w:basedOn w:val="14"/>
    <w:qFormat/>
    <w:uiPriority w:val="0"/>
    <w:rPr>
      <w:rFonts w:hint="eastAsia" w:ascii="宋体" w:hAnsi="宋体" w:eastAsia="宋体" w:cs="宋体"/>
      <w:color w:val="000000"/>
      <w:sz w:val="20"/>
      <w:szCs w:val="20"/>
      <w:u w:val="none"/>
    </w:rPr>
  </w:style>
  <w:style w:type="character" w:customStyle="1" w:styleId="35">
    <w:name w:val="font12"/>
    <w:basedOn w:val="14"/>
    <w:qFormat/>
    <w:uiPriority w:val="0"/>
    <w:rPr>
      <w:rFonts w:hint="eastAsia" w:ascii="宋体" w:hAnsi="宋体" w:eastAsia="宋体" w:cs="宋体"/>
      <w:color w:val="000000"/>
      <w:sz w:val="20"/>
      <w:szCs w:val="20"/>
      <w:u w:val="none"/>
    </w:rPr>
  </w:style>
  <w:style w:type="paragraph" w:customStyle="1" w:styleId="36">
    <w:name w:val="1."/>
    <w:basedOn w:val="1"/>
    <w:qFormat/>
    <w:uiPriority w:val="0"/>
    <w:pPr>
      <w:numPr>
        <w:ilvl w:val="5"/>
        <w:numId w:val="1"/>
      </w:numPr>
    </w:pPr>
  </w:style>
  <w:style w:type="paragraph" w:customStyle="1" w:styleId="37">
    <w:name w:val="text"/>
    <w:basedOn w:val="1"/>
    <w:qFormat/>
    <w:uiPriority w:val="0"/>
    <w:pPr>
      <w:tabs>
        <w:tab w:val="left" w:pos="1020"/>
        <w:tab w:val="left" w:pos="1090"/>
      </w:tabs>
      <w:overflowPunct w:val="0"/>
      <w:autoSpaceDE w:val="0"/>
      <w:autoSpaceDN w:val="0"/>
      <w:adjustRightInd w:val="0"/>
      <w:spacing w:before="312" w:beforeLines="100" w:after="60" w:line="264" w:lineRule="auto"/>
      <w:ind w:left="1098" w:leftChars="522" w:hanging="2"/>
      <w:textAlignment w:val="baseline"/>
    </w:pPr>
    <w:rPr>
      <w:kern w:val="0"/>
    </w:rPr>
  </w:style>
  <w:style w:type="paragraph" w:customStyle="1" w:styleId="38">
    <w:name w:val="1.1"/>
    <w:basedOn w:val="1"/>
    <w:qFormat/>
    <w:uiPriority w:val="0"/>
    <w:pPr>
      <w:keepNext/>
      <w:widowControl w:val="0"/>
      <w:overflowPunct w:val="0"/>
      <w:autoSpaceDE w:val="0"/>
      <w:autoSpaceDN w:val="0"/>
      <w:adjustRightInd w:val="0"/>
      <w:spacing w:line="240" w:lineRule="auto"/>
      <w:jc w:val="left"/>
      <w:textAlignment w:val="baseline"/>
    </w:pPr>
    <w:rPr>
      <w:rFonts w:ascii="宋体"/>
      <w:b/>
      <w:kern w:val="0"/>
      <w:szCs w:val="20"/>
    </w:rPr>
  </w:style>
  <w:style w:type="paragraph" w:customStyle="1" w:styleId="39">
    <w:name w:val="表格"/>
    <w:basedOn w:val="1"/>
    <w:qFormat/>
    <w:uiPriority w:val="0"/>
    <w:pPr>
      <w:widowControl w:val="0"/>
      <w:spacing w:before="60" w:after="60" w:line="240" w:lineRule="auto"/>
    </w:pPr>
    <w:rPr>
      <w:szCs w:val="20"/>
    </w:rPr>
  </w:style>
  <w:style w:type="paragraph" w:styleId="40">
    <w:name w:val="No Spacing"/>
    <w:qFormat/>
    <w:uiPriority w:val="1"/>
    <w:pPr>
      <w:spacing w:before="50" w:beforeLines="50"/>
      <w:jc w:val="both"/>
    </w:pPr>
    <w:rPr>
      <w:rFonts w:ascii="Times New Roman" w:hAnsi="Times New Roman" w:eastAsia="宋体" w:cs="Times New Roman"/>
      <w:kern w:val="2"/>
      <w:sz w:val="21"/>
      <w:szCs w:val="24"/>
      <w:lang w:val="en-US" w:eastAsia="zh-CN" w:bidi="ar-SA"/>
    </w:rPr>
  </w:style>
  <w:style w:type="paragraph" w:customStyle="1" w:styleId="41">
    <w:name w:val="sma."/>
    <w:basedOn w:val="1"/>
    <w:qFormat/>
    <w:uiPriority w:val="0"/>
    <w:pPr>
      <w:numPr>
        <w:ilvl w:val="6"/>
        <w:numId w:val="1"/>
      </w:numPr>
    </w:pPr>
  </w:style>
  <w:style w:type="paragraph" w:styleId="42">
    <w:name w:val="List Paragraph"/>
    <w:basedOn w:val="1"/>
    <w:qFormat/>
    <w:uiPriority w:val="34"/>
    <w:pPr>
      <w:ind w:firstLine="420" w:firstLineChars="200"/>
    </w:pPr>
  </w:style>
  <w:style w:type="paragraph" w:customStyle="1" w:styleId="43">
    <w:name w:val="T0105"/>
    <w:basedOn w:val="1"/>
    <w:qFormat/>
    <w:uiPriority w:val="0"/>
    <w:pPr>
      <w:widowControl w:val="0"/>
      <w:tabs>
        <w:tab w:val="left" w:pos="1050"/>
      </w:tabs>
      <w:spacing w:before="120" w:beforeLines="50" w:line="340" w:lineRule="atLeast"/>
      <w:ind w:firstLine="480" w:firstLineChars="200"/>
    </w:pPr>
    <w:rPr>
      <w:rFonts w:ascii="宋体" w:hAnsi="宋体"/>
      <w:b/>
      <w:bCs/>
    </w:rPr>
  </w:style>
  <w:style w:type="character" w:customStyle="1" w:styleId="44">
    <w:name w:val="gb-jt"/>
    <w:basedOn w:val="14"/>
    <w:qFormat/>
    <w:uiPriority w:val="0"/>
  </w:style>
  <w:style w:type="character" w:customStyle="1" w:styleId="45">
    <w:name w:val="blue"/>
    <w:basedOn w:val="14"/>
    <w:qFormat/>
    <w:uiPriority w:val="0"/>
    <w:rPr>
      <w:color w:val="0371C6"/>
      <w:sz w:val="21"/>
      <w:szCs w:val="21"/>
    </w:rPr>
  </w:style>
  <w:style w:type="character" w:customStyle="1" w:styleId="46">
    <w:name w:val="red"/>
    <w:basedOn w:val="14"/>
    <w:qFormat/>
    <w:uiPriority w:val="0"/>
    <w:rPr>
      <w:color w:val="FF0000"/>
      <w:sz w:val="18"/>
      <w:szCs w:val="18"/>
    </w:rPr>
  </w:style>
  <w:style w:type="character" w:customStyle="1" w:styleId="47">
    <w:name w:val="red1"/>
    <w:basedOn w:val="14"/>
    <w:qFormat/>
    <w:uiPriority w:val="0"/>
    <w:rPr>
      <w:color w:val="FF0000"/>
      <w:sz w:val="18"/>
      <w:szCs w:val="18"/>
    </w:rPr>
  </w:style>
  <w:style w:type="character" w:customStyle="1" w:styleId="48">
    <w:name w:val="red2"/>
    <w:basedOn w:val="14"/>
    <w:qFormat/>
    <w:uiPriority w:val="0"/>
    <w:rPr>
      <w:color w:val="FF0000"/>
    </w:rPr>
  </w:style>
  <w:style w:type="character" w:customStyle="1" w:styleId="49">
    <w:name w:val="green"/>
    <w:basedOn w:val="14"/>
    <w:qFormat/>
    <w:uiPriority w:val="0"/>
    <w:rPr>
      <w:color w:val="66AE00"/>
      <w:sz w:val="18"/>
      <w:szCs w:val="18"/>
    </w:rPr>
  </w:style>
  <w:style w:type="character" w:customStyle="1" w:styleId="50">
    <w:name w:val="green1"/>
    <w:basedOn w:val="14"/>
    <w:qFormat/>
    <w:uiPriority w:val="0"/>
    <w:rPr>
      <w:color w:val="66AE00"/>
      <w:sz w:val="18"/>
      <w:szCs w:val="18"/>
    </w:rPr>
  </w:style>
  <w:style w:type="character" w:customStyle="1" w:styleId="51">
    <w:name w:val="hover24"/>
    <w:basedOn w:val="14"/>
    <w:qFormat/>
    <w:uiPriority w:val="0"/>
  </w:style>
  <w:style w:type="character" w:customStyle="1" w:styleId="52">
    <w:name w:val="right"/>
    <w:basedOn w:val="14"/>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Office_10.1.0.7106_F1E327BC-269C-435d-A152-05C5408002CA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2017-12-15T04:36:00Z</dcterms:created>
  <dc:creator>Administrator</dc:creator>
  <cp:lastModifiedBy>山东天马招标代理有限公司:山东天马招标代理有限公司</cp:lastModifiedBy>
  <cp:lastPrinted>2018-02-06T04:32:13Z</cp:lastPrinted>
  <dcterms:modified xsi:type="dcterms:W3CDTF">2018-02-06T04:33:39Z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