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emf" ContentType="image/x-em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9"/>
        <w:rPr>
          <w:rFonts w:hint="default" w:ascii="新宋体" w:hAnsi="新宋体" w:eastAsia="新宋体"/>
          <w:b/>
          <w:sz w:val="52"/>
          <w:szCs w:val="52"/>
        </w:rPr>
      </w:pPr>
    </w:p>
    <w:p>
      <w:pPr>
        <w:spacing w:line="480" w:lineRule="exact"/>
        <w:rPr>
          <w:rFonts w:ascii="宋体" w:hAnsi="宋体" w:cs="宋体"/>
          <w:b/>
          <w:bCs/>
          <w:sz w:val="32"/>
        </w:rPr>
      </w:pPr>
    </w:p>
    <w:p>
      <w:pPr>
        <w:pStyle w:val="2"/>
        <w:jc w:val="center"/>
        <w:rPr>
          <w:rFonts w:ascii="黑体" w:hAnsi="黑体" w:eastAsia="黑体" w:cs="黑体"/>
          <w:sz w:val="52"/>
          <w:szCs w:val="52"/>
        </w:rPr>
      </w:pPr>
      <w:bookmarkStart w:id="0" w:name="_Toc503267552"/>
      <w:r>
        <w:rPr>
          <w:rFonts w:hint="eastAsia" w:ascii="黑体" w:hAnsi="黑体" w:eastAsia="黑体" w:cs="黑体"/>
          <w:sz w:val="52"/>
          <w:szCs w:val="52"/>
        </w:rPr>
        <w:t>许昌市中心城区抗震防灾专项规划编制单位</w:t>
      </w:r>
      <w:bookmarkEnd w:id="0"/>
    </w:p>
    <w:p>
      <w:pPr>
        <w:spacing w:line="480" w:lineRule="exact"/>
        <w:ind w:firstLine="562" w:firstLineChars="200"/>
        <w:jc w:val="center"/>
        <w:rPr>
          <w:rFonts w:ascii="宋体" w:hAnsi="宋体" w:cs="宋体"/>
          <w:b/>
          <w:bCs/>
          <w:sz w:val="28"/>
          <w:szCs w:val="28"/>
        </w:rPr>
      </w:pPr>
      <w:r>
        <w:rPr>
          <w:rFonts w:hint="eastAsia" w:ascii="宋体" w:hAnsi="宋体" w:cs="宋体"/>
          <w:b/>
          <w:bCs/>
          <w:sz w:val="28"/>
          <w:szCs w:val="28"/>
        </w:rPr>
        <w:t>项目编号：ZFCG-G2017221</w:t>
      </w:r>
    </w:p>
    <w:p>
      <w:pPr>
        <w:keepNext w:val="0"/>
        <w:keepLines w:val="0"/>
        <w:pageBreakBefore w:val="0"/>
        <w:widowControl/>
        <w:kinsoku/>
        <w:wordWrap/>
        <w:overflowPunct/>
        <w:topLinePunct w:val="0"/>
        <w:autoSpaceDE/>
        <w:autoSpaceDN/>
        <w:bidi w:val="0"/>
        <w:adjustRightInd/>
        <w:snapToGrid/>
        <w:spacing w:line="240" w:lineRule="atLeast"/>
        <w:ind w:left="0" w:leftChars="0" w:right="0" w:rightChars="0" w:firstLine="562" w:firstLineChars="200"/>
        <w:jc w:val="center"/>
        <w:textAlignment w:val="auto"/>
        <w:outlineLvl w:val="9"/>
        <w:rPr>
          <w:rFonts w:ascii="宋体" w:hAnsi="宋体" w:cs="宋体"/>
          <w:b/>
          <w:bCs/>
          <w:sz w:val="28"/>
          <w:szCs w:val="28"/>
        </w:rPr>
      </w:pPr>
    </w:p>
    <w:p>
      <w:pPr>
        <w:keepNext w:val="0"/>
        <w:keepLines w:val="0"/>
        <w:pageBreakBefore w:val="0"/>
        <w:widowControl/>
        <w:kinsoku/>
        <w:wordWrap/>
        <w:overflowPunct/>
        <w:topLinePunct w:val="0"/>
        <w:autoSpaceDE/>
        <w:autoSpaceDN/>
        <w:bidi w:val="0"/>
        <w:adjustRightInd/>
        <w:snapToGrid/>
        <w:spacing w:line="240" w:lineRule="atLeast"/>
        <w:ind w:left="0" w:leftChars="0" w:right="0" w:rightChars="0"/>
        <w:jc w:val="center"/>
        <w:textAlignment w:val="auto"/>
        <w:outlineLvl w:val="9"/>
        <w:rPr>
          <w:rFonts w:hint="eastAsia" w:ascii="宋体" w:hAnsi="宋体" w:eastAsia="宋体" w:cs="宋体"/>
          <w:sz w:val="30"/>
          <w:lang w:eastAsia="zh-CN"/>
        </w:rPr>
      </w:pPr>
      <w:r>
        <w:rPr>
          <w:rFonts w:hint="eastAsia" w:ascii="宋体" w:hAnsi="宋体" w:cs="宋体"/>
          <w:b/>
          <w:bCs/>
          <w:sz w:val="72"/>
          <w:szCs w:val="72"/>
          <w:lang w:val="en-US" w:eastAsia="zh-CN"/>
        </w:rPr>
        <w:t>技术方案</w:t>
      </w:r>
    </w:p>
    <w:p>
      <w:pPr>
        <w:spacing w:line="480" w:lineRule="exact"/>
        <w:rPr>
          <w:rFonts w:ascii="宋体" w:hAnsi="宋体" w:cs="宋体"/>
          <w:sz w:val="30"/>
        </w:rPr>
      </w:pPr>
    </w:p>
    <w:p>
      <w:pPr>
        <w:spacing w:line="480" w:lineRule="exact"/>
        <w:rPr>
          <w:rFonts w:ascii="宋体" w:hAnsi="宋体" w:cs="宋体"/>
          <w:sz w:val="30"/>
        </w:rPr>
      </w:pPr>
    </w:p>
    <w:p>
      <w:pPr>
        <w:spacing w:line="480" w:lineRule="exact"/>
        <w:rPr>
          <w:rFonts w:ascii="宋体" w:hAnsi="宋体" w:cs="宋体"/>
          <w:sz w:val="30"/>
        </w:rPr>
      </w:pPr>
    </w:p>
    <w:p>
      <w:pPr>
        <w:autoSpaceDE w:val="0"/>
        <w:autoSpaceDN w:val="0"/>
        <w:adjustRightInd w:val="0"/>
        <w:ind w:firstLine="1124" w:firstLineChars="400"/>
        <w:rPr>
          <w:rFonts w:ascii="宋体" w:hAnsi="宋体" w:cs="宋体"/>
          <w:sz w:val="28"/>
          <w:szCs w:val="28"/>
          <w:u w:val="single"/>
        </w:rPr>
      </w:pPr>
      <w:r>
        <w:rPr>
          <w:rFonts w:hint="eastAsia" w:ascii="宋体" w:hAnsi="宋体" w:cs="宋体"/>
          <w:b/>
          <w:bCs/>
          <w:sz w:val="28"/>
          <w:szCs w:val="28"/>
        </w:rPr>
        <w:t xml:space="preserve">投标单位（盖章）： </w:t>
      </w:r>
      <w:r>
        <w:rPr>
          <w:rFonts w:hint="eastAsia" w:ascii="宋体" w:hAnsi="宋体" w:cs="宋体"/>
          <w:b/>
          <w:bCs/>
          <w:sz w:val="28"/>
          <w:szCs w:val="28"/>
          <w:u w:val="single"/>
        </w:rPr>
        <w:t xml:space="preserve">       北京工业大学          </w:t>
      </w:r>
    </w:p>
    <w:p>
      <w:pPr>
        <w:ind w:firstLine="1119" w:firstLineChars="398"/>
        <w:rPr>
          <w:rFonts w:ascii="宋体" w:hAnsi="宋体" w:cs="宋体"/>
          <w:b/>
          <w:bCs/>
          <w:sz w:val="28"/>
          <w:szCs w:val="28"/>
          <w:u w:val="single"/>
        </w:rPr>
      </w:pPr>
      <w:r>
        <w:rPr>
          <w:rFonts w:hint="eastAsia" w:ascii="宋体" w:hAnsi="宋体" w:cs="宋体"/>
          <w:b/>
          <w:bCs/>
          <w:sz w:val="28"/>
          <w:szCs w:val="28"/>
        </w:rPr>
        <w:t xml:space="preserve">投标单位联系人：  </w:t>
      </w:r>
      <w:r>
        <w:rPr>
          <w:rFonts w:hint="eastAsia" w:ascii="宋体" w:hAnsi="宋体" w:cs="宋体"/>
          <w:b/>
          <w:bCs/>
          <w:sz w:val="28"/>
          <w:szCs w:val="28"/>
          <w:u w:val="single"/>
        </w:rPr>
        <w:t xml:space="preserve">          王威               </w:t>
      </w:r>
    </w:p>
    <w:p>
      <w:pPr>
        <w:ind w:firstLine="1119" w:firstLineChars="398"/>
        <w:rPr>
          <w:rFonts w:ascii="宋体" w:hAnsi="宋体" w:cs="宋体"/>
          <w:b/>
          <w:bCs/>
          <w:sz w:val="28"/>
          <w:szCs w:val="28"/>
          <w:u w:val="single"/>
        </w:rPr>
      </w:pPr>
      <w:r>
        <w:rPr>
          <w:rFonts w:hint="eastAsia" w:ascii="宋体" w:hAnsi="宋体" w:cs="宋体"/>
          <w:b/>
          <w:bCs/>
          <w:sz w:val="28"/>
          <w:szCs w:val="28"/>
        </w:rPr>
        <w:t xml:space="preserve">电          话：  </w:t>
      </w:r>
      <w:r>
        <w:rPr>
          <w:rFonts w:hint="eastAsia" w:ascii="宋体" w:hAnsi="宋体" w:cs="宋体"/>
          <w:b/>
          <w:bCs/>
          <w:sz w:val="28"/>
          <w:szCs w:val="28"/>
          <w:u w:val="single"/>
        </w:rPr>
        <w:t xml:space="preserve">       </w:t>
      </w:r>
      <w:r>
        <w:rPr>
          <w:rFonts w:ascii="宋体" w:hAnsi="宋体" w:cs="宋体"/>
          <w:b/>
          <w:bCs/>
          <w:szCs w:val="28"/>
          <w:u w:val="single"/>
        </w:rPr>
        <w:t xml:space="preserve"> </w:t>
      </w:r>
      <w:r>
        <w:rPr>
          <w:rFonts w:hint="eastAsia" w:ascii="宋体" w:hAnsi="宋体" w:cs="宋体"/>
          <w:b/>
          <w:bCs/>
          <w:sz w:val="28"/>
          <w:szCs w:val="28"/>
          <w:u w:val="single"/>
        </w:rPr>
        <w:t xml:space="preserve">15801628620          </w:t>
      </w:r>
    </w:p>
    <w:p>
      <w:pPr>
        <w:ind w:firstLine="1119" w:firstLineChars="398"/>
        <w:rPr>
          <w:rFonts w:ascii="宋体" w:hAnsi="宋体" w:cs="宋体"/>
          <w:b/>
          <w:bCs/>
          <w:sz w:val="28"/>
          <w:szCs w:val="28"/>
        </w:rPr>
      </w:pPr>
      <w:r>
        <w:rPr>
          <w:rFonts w:hint="eastAsia" w:ascii="宋体" w:hAnsi="宋体" w:cs="宋体"/>
          <w:b/>
          <w:bCs/>
          <w:sz w:val="28"/>
          <w:szCs w:val="28"/>
        </w:rPr>
        <w:t xml:space="preserve">传          真：  </w:t>
      </w:r>
      <w:r>
        <w:rPr>
          <w:rFonts w:hint="eastAsia" w:ascii="宋体" w:hAnsi="宋体" w:cs="宋体"/>
          <w:b/>
          <w:bCs/>
          <w:sz w:val="28"/>
          <w:szCs w:val="28"/>
          <w:u w:val="single"/>
        </w:rPr>
        <w:t xml:space="preserve">        010-</w:t>
      </w:r>
      <w:r>
        <w:rPr>
          <w:rFonts w:ascii="宋体" w:hAnsi="宋体" w:cs="宋体"/>
          <w:b/>
          <w:bCs/>
          <w:sz w:val="28"/>
          <w:szCs w:val="28"/>
          <w:u w:val="single"/>
        </w:rPr>
        <w:t>6</w:t>
      </w:r>
      <w:r>
        <w:rPr>
          <w:rFonts w:hint="eastAsia" w:ascii="宋体" w:hAnsi="宋体" w:cs="宋体"/>
          <w:b/>
          <w:bCs/>
          <w:sz w:val="28"/>
          <w:szCs w:val="28"/>
          <w:u w:val="single"/>
        </w:rPr>
        <w:t>7392241</w:t>
      </w:r>
      <w:r>
        <w:rPr>
          <w:rFonts w:ascii="宋体" w:hAnsi="宋体" w:cs="宋体"/>
          <w:b/>
          <w:bCs/>
          <w:szCs w:val="28"/>
          <w:u w:val="single"/>
        </w:rPr>
        <w:t xml:space="preserve"> </w:t>
      </w:r>
      <w:r>
        <w:rPr>
          <w:rFonts w:hint="eastAsia" w:ascii="宋体" w:hAnsi="宋体" w:cs="宋体"/>
          <w:b/>
          <w:bCs/>
          <w:szCs w:val="28"/>
          <w:u w:val="single"/>
        </w:rPr>
        <w:t xml:space="preserve">  </w:t>
      </w:r>
      <w:r>
        <w:rPr>
          <w:rFonts w:hint="eastAsia" w:ascii="宋体" w:hAnsi="宋体" w:cs="宋体"/>
          <w:b/>
          <w:bCs/>
          <w:sz w:val="28"/>
          <w:szCs w:val="28"/>
          <w:u w:val="single"/>
        </w:rPr>
        <w:t xml:space="preserve">       </w:t>
      </w:r>
    </w:p>
    <w:p>
      <w:pPr>
        <w:ind w:firstLine="1119" w:firstLineChars="398"/>
        <w:rPr>
          <w:rFonts w:ascii="宋体" w:hAnsi="宋体" w:cs="宋体"/>
          <w:b/>
          <w:bCs/>
          <w:sz w:val="28"/>
          <w:szCs w:val="28"/>
          <w:u w:val="single"/>
        </w:rPr>
      </w:pPr>
      <w:r>
        <w:rPr>
          <w:rFonts w:hint="eastAsia" w:ascii="宋体" w:hAnsi="宋体" w:cs="宋体"/>
          <w:b/>
          <w:bCs/>
          <w:sz w:val="28"/>
          <w:szCs w:val="28"/>
        </w:rPr>
        <w:t xml:space="preserve">电  子  邮  箱：  </w:t>
      </w:r>
      <w:r>
        <w:rPr>
          <w:rFonts w:hint="eastAsia" w:ascii="宋体" w:hAnsi="宋体" w:cs="宋体"/>
          <w:b/>
          <w:bCs/>
          <w:sz w:val="28"/>
          <w:szCs w:val="28"/>
          <w:u w:val="single"/>
        </w:rPr>
        <w:t xml:space="preserve">      ieeww@bjut.edu.cn</w:t>
      </w:r>
      <w:r>
        <w:rPr>
          <w:rFonts w:ascii="宋体" w:hAnsi="宋体" w:cs="宋体"/>
          <w:b/>
          <w:bCs/>
          <w:sz w:val="28"/>
          <w:szCs w:val="28"/>
          <w:u w:val="single"/>
        </w:rPr>
        <w:t xml:space="preserve"> </w:t>
      </w:r>
      <w:r>
        <w:rPr>
          <w:rFonts w:hint="eastAsia" w:ascii="宋体" w:hAnsi="宋体" w:cs="宋体"/>
          <w:b/>
          <w:bCs/>
          <w:sz w:val="28"/>
          <w:szCs w:val="28"/>
          <w:u w:val="single"/>
        </w:rPr>
        <w:t xml:space="preserve">     </w:t>
      </w:r>
    </w:p>
    <w:p>
      <w:pPr>
        <w:ind w:firstLine="1119" w:firstLineChars="398"/>
        <w:rPr>
          <w:rFonts w:ascii="宋体" w:hAnsi="宋体" w:cs="宋体"/>
          <w:b/>
          <w:bCs/>
          <w:sz w:val="28"/>
          <w:szCs w:val="28"/>
        </w:rPr>
      </w:pPr>
    </w:p>
    <w:p>
      <w:pPr>
        <w:ind w:left="1124"/>
        <w:jc w:val="center"/>
        <w:rPr>
          <w:rFonts w:ascii="宋体" w:hAnsi="宋体" w:cs="宋体"/>
          <w:b/>
          <w:bCs/>
          <w:sz w:val="28"/>
          <w:szCs w:val="28"/>
        </w:rPr>
      </w:pPr>
      <w:r>
        <w:rPr>
          <w:rFonts w:ascii="宋体" w:hAnsi="宋体" w:cs="宋体"/>
          <w:b/>
          <w:bCs/>
          <w:sz w:val="28"/>
          <w:szCs w:val="28"/>
          <w:u w:val="single"/>
        </w:rPr>
        <w:t>2018</w:t>
      </w:r>
      <w:r>
        <w:rPr>
          <w:rFonts w:hint="eastAsia" w:ascii="宋体" w:hAnsi="宋体" w:cs="宋体"/>
          <w:b/>
          <w:bCs/>
          <w:sz w:val="28"/>
          <w:szCs w:val="28"/>
        </w:rPr>
        <w:t>年</w:t>
      </w:r>
      <w:r>
        <w:rPr>
          <w:rFonts w:hint="eastAsia" w:ascii="宋体" w:hAnsi="宋体" w:cs="宋体"/>
          <w:b/>
          <w:bCs/>
          <w:sz w:val="28"/>
          <w:szCs w:val="28"/>
          <w:u w:val="single"/>
        </w:rPr>
        <w:t xml:space="preserve">  1  </w:t>
      </w:r>
      <w:r>
        <w:rPr>
          <w:rFonts w:hint="eastAsia" w:ascii="宋体" w:hAnsi="宋体" w:cs="宋体"/>
          <w:b/>
          <w:bCs/>
          <w:sz w:val="28"/>
          <w:szCs w:val="28"/>
        </w:rPr>
        <w:t>月</w:t>
      </w:r>
      <w:r>
        <w:rPr>
          <w:rFonts w:hint="eastAsia" w:ascii="宋体" w:hAnsi="宋体" w:cs="宋体"/>
          <w:b/>
          <w:bCs/>
          <w:sz w:val="28"/>
          <w:szCs w:val="28"/>
          <w:u w:val="single"/>
        </w:rPr>
        <w:t xml:space="preserve">  12</w:t>
      </w:r>
      <w:r>
        <w:rPr>
          <w:rFonts w:ascii="宋体" w:hAnsi="宋体" w:cs="宋体"/>
          <w:b/>
          <w:bCs/>
          <w:sz w:val="28"/>
          <w:szCs w:val="28"/>
          <w:u w:val="single"/>
        </w:rPr>
        <w:t xml:space="preserve"> </w:t>
      </w:r>
      <w:r>
        <w:rPr>
          <w:rFonts w:hint="eastAsia" w:ascii="宋体" w:hAnsi="宋体" w:cs="宋体"/>
          <w:b/>
          <w:bCs/>
          <w:sz w:val="28"/>
          <w:szCs w:val="28"/>
          <w:u w:val="single"/>
        </w:rPr>
        <w:t xml:space="preserve"> </w:t>
      </w:r>
      <w:r>
        <w:rPr>
          <w:rFonts w:hint="eastAsia" w:ascii="宋体" w:hAnsi="宋体" w:cs="宋体"/>
          <w:b/>
          <w:bCs/>
          <w:sz w:val="28"/>
          <w:szCs w:val="28"/>
        </w:rPr>
        <w:t>日</w:t>
      </w:r>
    </w:p>
    <w:p>
      <w:pPr>
        <w:jc w:val="both"/>
        <w:rPr>
          <w:rFonts w:ascii="宋体" w:hAnsi="宋体" w:cs="宋体"/>
          <w:b/>
          <w:bCs/>
          <w:sz w:val="28"/>
          <w:szCs w:val="28"/>
        </w:rPr>
      </w:pPr>
    </w:p>
    <w:p>
      <w:pPr>
        <w:jc w:val="both"/>
        <w:rPr>
          <w:rFonts w:ascii="宋体" w:hAnsi="宋体" w:cs="宋体"/>
          <w:b/>
          <w:bCs/>
          <w:sz w:val="28"/>
          <w:szCs w:val="28"/>
        </w:rPr>
      </w:pPr>
    </w:p>
    <w:p>
      <w:pPr>
        <w:pStyle w:val="23"/>
        <w:tabs>
          <w:tab w:val="right" w:leader="dot" w:pos="8306"/>
        </w:tabs>
        <w:rPr>
          <w:rFonts w:ascii="宋体" w:hAnsi="宋体" w:eastAsia="宋体"/>
          <w:sz w:val="21"/>
        </w:rPr>
      </w:pPr>
    </w:p>
    <w:sdt>
      <w:sdtPr>
        <w:rPr>
          <w:rFonts w:ascii="Times New Roman" w:hAnsi="Times New Roman" w:eastAsia="宋体" w:cstheme="minorBidi"/>
          <w:color w:val="auto"/>
          <w:kern w:val="2"/>
          <w:sz w:val="21"/>
          <w:szCs w:val="22"/>
          <w:lang w:val="zh-CN"/>
        </w:rPr>
        <w:id w:val="-308485059"/>
        <w:docPartObj>
          <w:docPartGallery w:val="Table of Contents"/>
          <w:docPartUnique/>
        </w:docPartObj>
      </w:sdtPr>
      <w:sdtEndPr>
        <w:rPr>
          <w:rFonts w:ascii="Times New Roman" w:hAnsi="Times New Roman" w:eastAsia="宋体" w:cstheme="minorBidi"/>
          <w:b/>
          <w:bCs/>
          <w:color w:val="auto"/>
          <w:kern w:val="2"/>
          <w:sz w:val="21"/>
          <w:szCs w:val="22"/>
          <w:lang w:val="zh-CN"/>
        </w:rPr>
      </w:sdtEndPr>
      <w:sdtContent>
        <w:p>
          <w:pPr>
            <w:pStyle w:val="40"/>
            <w:jc w:val="center"/>
          </w:pPr>
          <w:r>
            <w:rPr>
              <w:lang w:val="zh-CN"/>
            </w:rPr>
            <w:t>目录</w:t>
          </w:r>
        </w:p>
        <w:p>
          <w:pPr>
            <w:pStyle w:val="13"/>
            <w:tabs>
              <w:tab w:val="right" w:leader="dot" w:pos="8296"/>
            </w:tabs>
            <w:spacing w:line="380" w:lineRule="atLeast"/>
            <w:jc w:val="center"/>
            <w:rPr>
              <w:sz w:val="24"/>
              <w:szCs w:val="24"/>
            </w:rPr>
          </w:pPr>
          <w:r>
            <w:rPr>
              <w:sz w:val="24"/>
              <w:szCs w:val="24"/>
            </w:rPr>
            <w:fldChar w:fldCharType="begin"/>
          </w:r>
          <w:r>
            <w:rPr>
              <w:sz w:val="24"/>
              <w:szCs w:val="24"/>
            </w:rPr>
            <w:instrText xml:space="preserve"> TOC \o "1-3" \h \z \u </w:instrText>
          </w:r>
          <w:r>
            <w:rPr>
              <w:sz w:val="24"/>
              <w:szCs w:val="24"/>
            </w:rPr>
            <w:fldChar w:fldCharType="separate"/>
          </w:r>
          <w:r>
            <w:fldChar w:fldCharType="begin"/>
          </w:r>
          <w:r>
            <w:instrText xml:space="preserve"> HYPERLINK \l "_Toc503267555" </w:instrText>
          </w:r>
          <w:r>
            <w:fldChar w:fldCharType="separate"/>
          </w:r>
          <w:r>
            <w:rPr>
              <w:rStyle w:val="17"/>
              <w:rFonts w:hint="eastAsia"/>
              <w:b/>
              <w:sz w:val="24"/>
              <w:szCs w:val="24"/>
              <w:lang w:val="zh-CN"/>
            </w:rPr>
            <w:t>技术方案</w:t>
          </w:r>
          <w:r>
            <w:rPr>
              <w:sz w:val="24"/>
              <w:szCs w:val="24"/>
            </w:rPr>
            <w:fldChar w:fldCharType="end"/>
          </w:r>
        </w:p>
        <w:p>
          <w:pPr>
            <w:pStyle w:val="14"/>
            <w:tabs>
              <w:tab w:val="right" w:leader="dot" w:pos="8296"/>
            </w:tabs>
            <w:spacing w:line="380" w:lineRule="atLeast"/>
            <w:rPr>
              <w:sz w:val="24"/>
              <w:szCs w:val="24"/>
            </w:rPr>
          </w:pPr>
          <w:r>
            <w:fldChar w:fldCharType="begin"/>
          </w:r>
          <w:r>
            <w:instrText xml:space="preserve"> HYPERLINK \l "_Toc503267556" </w:instrText>
          </w:r>
          <w:r>
            <w:fldChar w:fldCharType="separate"/>
          </w:r>
          <w:r>
            <w:rPr>
              <w:rStyle w:val="17"/>
              <w:sz w:val="24"/>
              <w:szCs w:val="24"/>
            </w:rPr>
            <w:t xml:space="preserve">1 </w:t>
          </w:r>
          <w:r>
            <w:rPr>
              <w:rStyle w:val="17"/>
              <w:rFonts w:hint="eastAsia"/>
              <w:sz w:val="24"/>
              <w:szCs w:val="24"/>
            </w:rPr>
            <w:t>项目解读</w:t>
          </w:r>
          <w:r>
            <w:rPr>
              <w:sz w:val="24"/>
              <w:szCs w:val="24"/>
            </w:rPr>
            <w:tab/>
          </w:r>
          <w:r>
            <w:rPr>
              <w:sz w:val="24"/>
              <w:szCs w:val="24"/>
            </w:rPr>
            <w:fldChar w:fldCharType="begin"/>
          </w:r>
          <w:r>
            <w:rPr>
              <w:sz w:val="24"/>
              <w:szCs w:val="24"/>
            </w:rPr>
            <w:instrText xml:space="preserve"> PAGEREF _Toc503267556 \h </w:instrText>
          </w:r>
          <w:r>
            <w:rPr>
              <w:sz w:val="24"/>
              <w:szCs w:val="24"/>
            </w:rPr>
            <w:fldChar w:fldCharType="separate"/>
          </w:r>
          <w:r>
            <w:rPr>
              <w:sz w:val="24"/>
              <w:szCs w:val="24"/>
            </w:rPr>
            <w:t>3</w:t>
          </w:r>
          <w:r>
            <w:rPr>
              <w:sz w:val="24"/>
              <w:szCs w:val="24"/>
            </w:rPr>
            <w:fldChar w:fldCharType="end"/>
          </w:r>
          <w:r>
            <w:rPr>
              <w:sz w:val="24"/>
              <w:szCs w:val="24"/>
            </w:rPr>
            <w:fldChar w:fldCharType="end"/>
          </w:r>
        </w:p>
        <w:p>
          <w:pPr>
            <w:pStyle w:val="8"/>
            <w:tabs>
              <w:tab w:val="right" w:leader="dot" w:pos="8296"/>
            </w:tabs>
            <w:spacing w:line="380" w:lineRule="atLeast"/>
            <w:rPr>
              <w:sz w:val="24"/>
              <w:szCs w:val="24"/>
            </w:rPr>
          </w:pPr>
          <w:r>
            <w:fldChar w:fldCharType="begin"/>
          </w:r>
          <w:r>
            <w:instrText xml:space="preserve"> HYPERLINK \l "_Toc503267557" </w:instrText>
          </w:r>
          <w:r>
            <w:fldChar w:fldCharType="separate"/>
          </w:r>
          <w:r>
            <w:rPr>
              <w:rStyle w:val="17"/>
              <w:sz w:val="24"/>
              <w:szCs w:val="24"/>
            </w:rPr>
            <w:t xml:space="preserve">1.1 </w:t>
          </w:r>
          <w:r>
            <w:rPr>
              <w:rStyle w:val="17"/>
              <w:rFonts w:hint="eastAsia"/>
              <w:sz w:val="24"/>
              <w:szCs w:val="24"/>
            </w:rPr>
            <w:t>城市概况</w:t>
          </w:r>
          <w:r>
            <w:rPr>
              <w:sz w:val="24"/>
              <w:szCs w:val="24"/>
            </w:rPr>
            <w:tab/>
          </w:r>
          <w:r>
            <w:rPr>
              <w:sz w:val="24"/>
              <w:szCs w:val="24"/>
            </w:rPr>
            <w:fldChar w:fldCharType="begin"/>
          </w:r>
          <w:r>
            <w:rPr>
              <w:sz w:val="24"/>
              <w:szCs w:val="24"/>
            </w:rPr>
            <w:instrText xml:space="preserve"> PAGEREF _Toc503267557 \h </w:instrText>
          </w:r>
          <w:r>
            <w:rPr>
              <w:sz w:val="24"/>
              <w:szCs w:val="24"/>
            </w:rPr>
            <w:fldChar w:fldCharType="separate"/>
          </w:r>
          <w:r>
            <w:rPr>
              <w:sz w:val="24"/>
              <w:szCs w:val="24"/>
            </w:rPr>
            <w:t>3</w:t>
          </w:r>
          <w:r>
            <w:rPr>
              <w:sz w:val="24"/>
              <w:szCs w:val="24"/>
            </w:rPr>
            <w:fldChar w:fldCharType="end"/>
          </w:r>
          <w:r>
            <w:rPr>
              <w:sz w:val="24"/>
              <w:szCs w:val="24"/>
            </w:rPr>
            <w:fldChar w:fldCharType="end"/>
          </w:r>
        </w:p>
        <w:p>
          <w:pPr>
            <w:pStyle w:val="8"/>
            <w:tabs>
              <w:tab w:val="right" w:leader="dot" w:pos="8296"/>
            </w:tabs>
            <w:spacing w:line="380" w:lineRule="atLeast"/>
            <w:rPr>
              <w:sz w:val="24"/>
              <w:szCs w:val="24"/>
            </w:rPr>
          </w:pPr>
          <w:r>
            <w:fldChar w:fldCharType="begin"/>
          </w:r>
          <w:r>
            <w:instrText xml:space="preserve"> HYPERLINK \l "_Toc503267558" </w:instrText>
          </w:r>
          <w:r>
            <w:fldChar w:fldCharType="separate"/>
          </w:r>
          <w:r>
            <w:rPr>
              <w:rStyle w:val="17"/>
              <w:sz w:val="24"/>
              <w:szCs w:val="24"/>
            </w:rPr>
            <w:t xml:space="preserve">1.2 </w:t>
          </w:r>
          <w:r>
            <w:rPr>
              <w:rStyle w:val="17"/>
              <w:rFonts w:hint="eastAsia"/>
              <w:sz w:val="24"/>
              <w:szCs w:val="24"/>
            </w:rPr>
            <w:t>城市规划概况</w:t>
          </w:r>
          <w:r>
            <w:rPr>
              <w:sz w:val="24"/>
              <w:szCs w:val="24"/>
            </w:rPr>
            <w:tab/>
          </w:r>
          <w:r>
            <w:rPr>
              <w:sz w:val="24"/>
              <w:szCs w:val="24"/>
            </w:rPr>
            <w:fldChar w:fldCharType="begin"/>
          </w:r>
          <w:r>
            <w:rPr>
              <w:sz w:val="24"/>
              <w:szCs w:val="24"/>
            </w:rPr>
            <w:instrText xml:space="preserve"> PAGEREF _Toc503267558 \h </w:instrText>
          </w:r>
          <w:r>
            <w:rPr>
              <w:sz w:val="24"/>
              <w:szCs w:val="24"/>
            </w:rPr>
            <w:fldChar w:fldCharType="separate"/>
          </w:r>
          <w:r>
            <w:rPr>
              <w:sz w:val="24"/>
              <w:szCs w:val="24"/>
            </w:rPr>
            <w:t>4</w:t>
          </w:r>
          <w:r>
            <w:rPr>
              <w:sz w:val="24"/>
              <w:szCs w:val="24"/>
            </w:rPr>
            <w:fldChar w:fldCharType="end"/>
          </w:r>
          <w:r>
            <w:rPr>
              <w:sz w:val="24"/>
              <w:szCs w:val="24"/>
            </w:rPr>
            <w:fldChar w:fldCharType="end"/>
          </w:r>
        </w:p>
        <w:p>
          <w:pPr>
            <w:pStyle w:val="8"/>
            <w:tabs>
              <w:tab w:val="right" w:leader="dot" w:pos="8296"/>
            </w:tabs>
            <w:spacing w:line="380" w:lineRule="atLeast"/>
            <w:rPr>
              <w:sz w:val="24"/>
              <w:szCs w:val="24"/>
            </w:rPr>
          </w:pPr>
          <w:r>
            <w:fldChar w:fldCharType="begin"/>
          </w:r>
          <w:r>
            <w:instrText xml:space="preserve"> HYPERLINK \l "_Toc503267559" </w:instrText>
          </w:r>
          <w:r>
            <w:fldChar w:fldCharType="separate"/>
          </w:r>
          <w:r>
            <w:rPr>
              <w:rStyle w:val="17"/>
              <w:sz w:val="24"/>
              <w:szCs w:val="24"/>
            </w:rPr>
            <w:t xml:space="preserve">1.3 </w:t>
          </w:r>
          <w:r>
            <w:rPr>
              <w:rStyle w:val="17"/>
              <w:rFonts w:hint="eastAsia"/>
              <w:sz w:val="24"/>
              <w:szCs w:val="24"/>
            </w:rPr>
            <w:t>许昌市地震</w:t>
          </w:r>
          <w:bookmarkStart w:id="161" w:name="_GoBack"/>
          <w:bookmarkEnd w:id="161"/>
          <w:r>
            <w:rPr>
              <w:rStyle w:val="17"/>
              <w:rFonts w:hint="eastAsia"/>
              <w:sz w:val="24"/>
              <w:szCs w:val="24"/>
            </w:rPr>
            <w:t>地质环境</w:t>
          </w:r>
          <w:r>
            <w:rPr>
              <w:sz w:val="24"/>
              <w:szCs w:val="24"/>
            </w:rPr>
            <w:tab/>
          </w:r>
          <w:r>
            <w:rPr>
              <w:sz w:val="24"/>
              <w:szCs w:val="24"/>
            </w:rPr>
            <w:fldChar w:fldCharType="begin"/>
          </w:r>
          <w:r>
            <w:rPr>
              <w:sz w:val="24"/>
              <w:szCs w:val="24"/>
            </w:rPr>
            <w:instrText xml:space="preserve"> PAGEREF _Toc503267559 \h </w:instrText>
          </w:r>
          <w:r>
            <w:rPr>
              <w:sz w:val="24"/>
              <w:szCs w:val="24"/>
            </w:rPr>
            <w:fldChar w:fldCharType="separate"/>
          </w:r>
          <w:r>
            <w:rPr>
              <w:sz w:val="24"/>
              <w:szCs w:val="24"/>
            </w:rPr>
            <w:t>9</w:t>
          </w:r>
          <w:r>
            <w:rPr>
              <w:sz w:val="24"/>
              <w:szCs w:val="24"/>
            </w:rPr>
            <w:fldChar w:fldCharType="end"/>
          </w:r>
          <w:r>
            <w:rPr>
              <w:sz w:val="24"/>
              <w:szCs w:val="24"/>
            </w:rPr>
            <w:fldChar w:fldCharType="end"/>
          </w:r>
        </w:p>
        <w:p>
          <w:pPr>
            <w:pStyle w:val="8"/>
            <w:tabs>
              <w:tab w:val="right" w:leader="dot" w:pos="8296"/>
            </w:tabs>
            <w:spacing w:line="380" w:lineRule="atLeast"/>
            <w:rPr>
              <w:sz w:val="24"/>
              <w:szCs w:val="24"/>
            </w:rPr>
          </w:pPr>
          <w:r>
            <w:fldChar w:fldCharType="begin"/>
          </w:r>
          <w:r>
            <w:instrText xml:space="preserve"> HYPERLINK \l "_Toc503267560" </w:instrText>
          </w:r>
          <w:r>
            <w:fldChar w:fldCharType="separate"/>
          </w:r>
          <w:r>
            <w:rPr>
              <w:rStyle w:val="17"/>
              <w:sz w:val="24"/>
              <w:szCs w:val="24"/>
            </w:rPr>
            <w:t xml:space="preserve">1.4 </w:t>
          </w:r>
          <w:r>
            <w:rPr>
              <w:rStyle w:val="17"/>
              <w:rFonts w:hint="eastAsia"/>
              <w:sz w:val="24"/>
              <w:szCs w:val="24"/>
            </w:rPr>
            <w:t>许昌市城市抗震防灾建设与管理的背景</w:t>
          </w:r>
          <w:r>
            <w:rPr>
              <w:sz w:val="24"/>
              <w:szCs w:val="24"/>
            </w:rPr>
            <w:tab/>
          </w:r>
          <w:r>
            <w:rPr>
              <w:sz w:val="24"/>
              <w:szCs w:val="24"/>
            </w:rPr>
            <w:fldChar w:fldCharType="begin"/>
          </w:r>
          <w:r>
            <w:rPr>
              <w:sz w:val="24"/>
              <w:szCs w:val="24"/>
            </w:rPr>
            <w:instrText xml:space="preserve"> PAGEREF _Toc503267560 \h </w:instrText>
          </w:r>
          <w:r>
            <w:rPr>
              <w:sz w:val="24"/>
              <w:szCs w:val="24"/>
            </w:rPr>
            <w:fldChar w:fldCharType="separate"/>
          </w:r>
          <w:r>
            <w:rPr>
              <w:sz w:val="24"/>
              <w:szCs w:val="24"/>
            </w:rPr>
            <w:t>13</w:t>
          </w:r>
          <w:r>
            <w:rPr>
              <w:sz w:val="24"/>
              <w:szCs w:val="24"/>
            </w:rPr>
            <w:fldChar w:fldCharType="end"/>
          </w:r>
          <w:r>
            <w:rPr>
              <w:sz w:val="24"/>
              <w:szCs w:val="24"/>
            </w:rPr>
            <w:fldChar w:fldCharType="end"/>
          </w:r>
        </w:p>
        <w:p>
          <w:pPr>
            <w:pStyle w:val="14"/>
            <w:tabs>
              <w:tab w:val="right" w:leader="dot" w:pos="8296"/>
            </w:tabs>
            <w:spacing w:line="380" w:lineRule="atLeast"/>
            <w:rPr>
              <w:sz w:val="24"/>
              <w:szCs w:val="24"/>
            </w:rPr>
          </w:pPr>
          <w:r>
            <w:fldChar w:fldCharType="begin"/>
          </w:r>
          <w:r>
            <w:instrText xml:space="preserve"> HYPERLINK \l "_Toc503267561" </w:instrText>
          </w:r>
          <w:r>
            <w:fldChar w:fldCharType="separate"/>
          </w:r>
          <w:r>
            <w:rPr>
              <w:rStyle w:val="17"/>
              <w:sz w:val="24"/>
              <w:szCs w:val="24"/>
            </w:rPr>
            <w:t xml:space="preserve">2 </w:t>
          </w:r>
          <w:r>
            <w:rPr>
              <w:rStyle w:val="17"/>
              <w:rFonts w:hint="eastAsia"/>
              <w:sz w:val="24"/>
              <w:szCs w:val="24"/>
            </w:rPr>
            <w:t>基本思路</w:t>
          </w:r>
          <w:r>
            <w:rPr>
              <w:sz w:val="24"/>
              <w:szCs w:val="24"/>
            </w:rPr>
            <w:tab/>
          </w:r>
          <w:r>
            <w:rPr>
              <w:sz w:val="24"/>
              <w:szCs w:val="24"/>
            </w:rPr>
            <w:fldChar w:fldCharType="begin"/>
          </w:r>
          <w:r>
            <w:rPr>
              <w:sz w:val="24"/>
              <w:szCs w:val="24"/>
            </w:rPr>
            <w:instrText xml:space="preserve"> PAGEREF _Toc503267561 \h </w:instrText>
          </w:r>
          <w:r>
            <w:rPr>
              <w:sz w:val="24"/>
              <w:szCs w:val="24"/>
            </w:rPr>
            <w:fldChar w:fldCharType="separate"/>
          </w:r>
          <w:r>
            <w:rPr>
              <w:sz w:val="24"/>
              <w:szCs w:val="24"/>
            </w:rPr>
            <w:t>17</w:t>
          </w:r>
          <w:r>
            <w:rPr>
              <w:sz w:val="24"/>
              <w:szCs w:val="24"/>
            </w:rPr>
            <w:fldChar w:fldCharType="end"/>
          </w:r>
          <w:r>
            <w:rPr>
              <w:sz w:val="24"/>
              <w:szCs w:val="24"/>
            </w:rPr>
            <w:fldChar w:fldCharType="end"/>
          </w:r>
        </w:p>
        <w:p>
          <w:pPr>
            <w:pStyle w:val="8"/>
            <w:tabs>
              <w:tab w:val="right" w:leader="dot" w:pos="8296"/>
            </w:tabs>
            <w:spacing w:line="380" w:lineRule="atLeast"/>
            <w:rPr>
              <w:sz w:val="24"/>
              <w:szCs w:val="24"/>
            </w:rPr>
          </w:pPr>
          <w:r>
            <w:fldChar w:fldCharType="begin"/>
          </w:r>
          <w:r>
            <w:instrText xml:space="preserve"> HYPERLINK \l "_Toc503267562" </w:instrText>
          </w:r>
          <w:r>
            <w:fldChar w:fldCharType="separate"/>
          </w:r>
          <w:r>
            <w:rPr>
              <w:rStyle w:val="17"/>
              <w:sz w:val="24"/>
              <w:szCs w:val="24"/>
            </w:rPr>
            <w:t xml:space="preserve">2.1 </w:t>
          </w:r>
          <w:r>
            <w:rPr>
              <w:rStyle w:val="17"/>
              <w:rFonts w:hint="eastAsia"/>
              <w:sz w:val="24"/>
              <w:szCs w:val="24"/>
            </w:rPr>
            <w:t>规划编制思路</w:t>
          </w:r>
          <w:r>
            <w:rPr>
              <w:sz w:val="24"/>
              <w:szCs w:val="24"/>
            </w:rPr>
            <w:tab/>
          </w:r>
          <w:r>
            <w:rPr>
              <w:sz w:val="24"/>
              <w:szCs w:val="24"/>
            </w:rPr>
            <w:fldChar w:fldCharType="begin"/>
          </w:r>
          <w:r>
            <w:rPr>
              <w:sz w:val="24"/>
              <w:szCs w:val="24"/>
            </w:rPr>
            <w:instrText xml:space="preserve"> PAGEREF _Toc503267562 \h </w:instrText>
          </w:r>
          <w:r>
            <w:rPr>
              <w:sz w:val="24"/>
              <w:szCs w:val="24"/>
            </w:rPr>
            <w:fldChar w:fldCharType="separate"/>
          </w:r>
          <w:r>
            <w:rPr>
              <w:sz w:val="24"/>
              <w:szCs w:val="24"/>
            </w:rPr>
            <w:t>17</w:t>
          </w:r>
          <w:r>
            <w:rPr>
              <w:sz w:val="24"/>
              <w:szCs w:val="24"/>
            </w:rPr>
            <w:fldChar w:fldCharType="end"/>
          </w:r>
          <w:r>
            <w:rPr>
              <w:sz w:val="24"/>
              <w:szCs w:val="24"/>
            </w:rPr>
            <w:fldChar w:fldCharType="end"/>
          </w:r>
        </w:p>
        <w:p>
          <w:pPr>
            <w:pStyle w:val="8"/>
            <w:tabs>
              <w:tab w:val="right" w:leader="dot" w:pos="8296"/>
            </w:tabs>
            <w:spacing w:line="380" w:lineRule="atLeast"/>
            <w:rPr>
              <w:sz w:val="24"/>
              <w:szCs w:val="24"/>
            </w:rPr>
          </w:pPr>
          <w:r>
            <w:fldChar w:fldCharType="begin"/>
          </w:r>
          <w:r>
            <w:instrText xml:space="preserve"> HYPERLINK \l "_Toc503267563" </w:instrText>
          </w:r>
          <w:r>
            <w:fldChar w:fldCharType="separate"/>
          </w:r>
          <w:r>
            <w:rPr>
              <w:rStyle w:val="17"/>
              <w:sz w:val="24"/>
              <w:szCs w:val="24"/>
            </w:rPr>
            <w:t xml:space="preserve">2.2 </w:t>
          </w:r>
          <w:r>
            <w:rPr>
              <w:rStyle w:val="17"/>
              <w:rFonts w:hint="eastAsia"/>
              <w:sz w:val="24"/>
              <w:szCs w:val="24"/>
            </w:rPr>
            <w:t>规划编制总体原则</w:t>
          </w:r>
          <w:r>
            <w:rPr>
              <w:sz w:val="24"/>
              <w:szCs w:val="24"/>
            </w:rPr>
            <w:tab/>
          </w:r>
          <w:r>
            <w:rPr>
              <w:sz w:val="24"/>
              <w:szCs w:val="24"/>
            </w:rPr>
            <w:fldChar w:fldCharType="begin"/>
          </w:r>
          <w:r>
            <w:rPr>
              <w:sz w:val="24"/>
              <w:szCs w:val="24"/>
            </w:rPr>
            <w:instrText xml:space="preserve"> PAGEREF _Toc503267563 \h </w:instrText>
          </w:r>
          <w:r>
            <w:rPr>
              <w:sz w:val="24"/>
              <w:szCs w:val="24"/>
            </w:rPr>
            <w:fldChar w:fldCharType="separate"/>
          </w:r>
          <w:r>
            <w:rPr>
              <w:sz w:val="24"/>
              <w:szCs w:val="24"/>
            </w:rPr>
            <w:t>20</w:t>
          </w:r>
          <w:r>
            <w:rPr>
              <w:sz w:val="24"/>
              <w:szCs w:val="24"/>
            </w:rPr>
            <w:fldChar w:fldCharType="end"/>
          </w:r>
          <w:r>
            <w:rPr>
              <w:sz w:val="24"/>
              <w:szCs w:val="24"/>
            </w:rPr>
            <w:fldChar w:fldCharType="end"/>
          </w:r>
        </w:p>
        <w:p>
          <w:pPr>
            <w:pStyle w:val="14"/>
            <w:tabs>
              <w:tab w:val="right" w:leader="dot" w:pos="8296"/>
            </w:tabs>
            <w:spacing w:line="380" w:lineRule="atLeast"/>
            <w:rPr>
              <w:sz w:val="24"/>
              <w:szCs w:val="24"/>
            </w:rPr>
          </w:pPr>
          <w:r>
            <w:fldChar w:fldCharType="begin"/>
          </w:r>
          <w:r>
            <w:instrText xml:space="preserve"> HYPERLINK \l "_Toc503267564" </w:instrText>
          </w:r>
          <w:r>
            <w:fldChar w:fldCharType="separate"/>
          </w:r>
          <w:r>
            <w:rPr>
              <w:rStyle w:val="17"/>
              <w:sz w:val="24"/>
              <w:szCs w:val="24"/>
            </w:rPr>
            <w:t xml:space="preserve">3 </w:t>
          </w:r>
          <w:r>
            <w:rPr>
              <w:rStyle w:val="17"/>
              <w:rFonts w:hint="eastAsia"/>
              <w:sz w:val="24"/>
              <w:szCs w:val="24"/>
            </w:rPr>
            <w:t>技术路线</w:t>
          </w:r>
          <w:r>
            <w:rPr>
              <w:sz w:val="24"/>
              <w:szCs w:val="24"/>
            </w:rPr>
            <w:tab/>
          </w:r>
          <w:r>
            <w:rPr>
              <w:sz w:val="24"/>
              <w:szCs w:val="24"/>
            </w:rPr>
            <w:fldChar w:fldCharType="begin"/>
          </w:r>
          <w:r>
            <w:rPr>
              <w:sz w:val="24"/>
              <w:szCs w:val="24"/>
            </w:rPr>
            <w:instrText xml:space="preserve"> PAGEREF _Toc503267564 \h </w:instrText>
          </w:r>
          <w:r>
            <w:rPr>
              <w:sz w:val="24"/>
              <w:szCs w:val="24"/>
            </w:rPr>
            <w:fldChar w:fldCharType="separate"/>
          </w:r>
          <w:r>
            <w:rPr>
              <w:sz w:val="24"/>
              <w:szCs w:val="24"/>
            </w:rPr>
            <w:t>25</w:t>
          </w:r>
          <w:r>
            <w:rPr>
              <w:sz w:val="24"/>
              <w:szCs w:val="24"/>
            </w:rPr>
            <w:fldChar w:fldCharType="end"/>
          </w:r>
          <w:r>
            <w:rPr>
              <w:sz w:val="24"/>
              <w:szCs w:val="24"/>
            </w:rPr>
            <w:fldChar w:fldCharType="end"/>
          </w:r>
        </w:p>
        <w:p>
          <w:pPr>
            <w:pStyle w:val="8"/>
            <w:tabs>
              <w:tab w:val="right" w:leader="dot" w:pos="8296"/>
            </w:tabs>
            <w:spacing w:line="380" w:lineRule="atLeast"/>
            <w:rPr>
              <w:sz w:val="24"/>
              <w:szCs w:val="24"/>
            </w:rPr>
          </w:pPr>
          <w:r>
            <w:fldChar w:fldCharType="begin"/>
          </w:r>
          <w:r>
            <w:instrText xml:space="preserve"> HYPERLINK \l "_Toc503267565" </w:instrText>
          </w:r>
          <w:r>
            <w:fldChar w:fldCharType="separate"/>
          </w:r>
          <w:r>
            <w:rPr>
              <w:rStyle w:val="17"/>
              <w:sz w:val="24"/>
              <w:szCs w:val="24"/>
            </w:rPr>
            <w:t xml:space="preserve">3.1 </w:t>
          </w:r>
          <w:r>
            <w:rPr>
              <w:rStyle w:val="17"/>
              <w:rFonts w:hint="eastAsia"/>
              <w:sz w:val="24"/>
              <w:szCs w:val="24"/>
            </w:rPr>
            <w:t>前期基础工作</w:t>
          </w:r>
          <w:r>
            <w:rPr>
              <w:sz w:val="24"/>
              <w:szCs w:val="24"/>
            </w:rPr>
            <w:tab/>
          </w:r>
          <w:r>
            <w:rPr>
              <w:sz w:val="24"/>
              <w:szCs w:val="24"/>
            </w:rPr>
            <w:fldChar w:fldCharType="begin"/>
          </w:r>
          <w:r>
            <w:rPr>
              <w:sz w:val="24"/>
              <w:szCs w:val="24"/>
            </w:rPr>
            <w:instrText xml:space="preserve"> PAGEREF _Toc503267565 \h </w:instrText>
          </w:r>
          <w:r>
            <w:rPr>
              <w:sz w:val="24"/>
              <w:szCs w:val="24"/>
            </w:rPr>
            <w:fldChar w:fldCharType="separate"/>
          </w:r>
          <w:r>
            <w:rPr>
              <w:sz w:val="24"/>
              <w:szCs w:val="24"/>
            </w:rPr>
            <w:t>25</w:t>
          </w:r>
          <w:r>
            <w:rPr>
              <w:sz w:val="24"/>
              <w:szCs w:val="24"/>
            </w:rPr>
            <w:fldChar w:fldCharType="end"/>
          </w:r>
          <w:r>
            <w:rPr>
              <w:sz w:val="24"/>
              <w:szCs w:val="24"/>
            </w:rPr>
            <w:fldChar w:fldCharType="end"/>
          </w:r>
        </w:p>
        <w:p>
          <w:pPr>
            <w:pStyle w:val="8"/>
            <w:tabs>
              <w:tab w:val="right" w:leader="dot" w:pos="8296"/>
            </w:tabs>
            <w:spacing w:line="380" w:lineRule="atLeast"/>
            <w:rPr>
              <w:sz w:val="24"/>
              <w:szCs w:val="24"/>
            </w:rPr>
          </w:pPr>
          <w:r>
            <w:fldChar w:fldCharType="begin"/>
          </w:r>
          <w:r>
            <w:instrText xml:space="preserve"> HYPERLINK \l "_Toc503267566" </w:instrText>
          </w:r>
          <w:r>
            <w:fldChar w:fldCharType="separate"/>
          </w:r>
          <w:r>
            <w:rPr>
              <w:rStyle w:val="17"/>
              <w:sz w:val="24"/>
              <w:szCs w:val="24"/>
            </w:rPr>
            <w:t xml:space="preserve">3.2 </w:t>
          </w:r>
          <w:r>
            <w:rPr>
              <w:rStyle w:val="17"/>
              <w:rFonts w:hint="eastAsia"/>
              <w:sz w:val="24"/>
              <w:szCs w:val="24"/>
            </w:rPr>
            <w:t>规划内容与技术路线</w:t>
          </w:r>
          <w:r>
            <w:rPr>
              <w:sz w:val="24"/>
              <w:szCs w:val="24"/>
            </w:rPr>
            <w:tab/>
          </w:r>
          <w:r>
            <w:rPr>
              <w:sz w:val="24"/>
              <w:szCs w:val="24"/>
            </w:rPr>
            <w:fldChar w:fldCharType="begin"/>
          </w:r>
          <w:r>
            <w:rPr>
              <w:sz w:val="24"/>
              <w:szCs w:val="24"/>
            </w:rPr>
            <w:instrText xml:space="preserve"> PAGEREF _Toc503267566 \h </w:instrText>
          </w:r>
          <w:r>
            <w:rPr>
              <w:sz w:val="24"/>
              <w:szCs w:val="24"/>
            </w:rPr>
            <w:fldChar w:fldCharType="separate"/>
          </w:r>
          <w:r>
            <w:rPr>
              <w:sz w:val="24"/>
              <w:szCs w:val="24"/>
            </w:rPr>
            <w:t>26</w:t>
          </w:r>
          <w:r>
            <w:rPr>
              <w:sz w:val="24"/>
              <w:szCs w:val="24"/>
            </w:rPr>
            <w:fldChar w:fldCharType="end"/>
          </w:r>
          <w:r>
            <w:rPr>
              <w:sz w:val="24"/>
              <w:szCs w:val="24"/>
            </w:rPr>
            <w:fldChar w:fldCharType="end"/>
          </w:r>
        </w:p>
        <w:p>
          <w:pPr>
            <w:pStyle w:val="8"/>
            <w:tabs>
              <w:tab w:val="right" w:leader="dot" w:pos="8296"/>
            </w:tabs>
            <w:spacing w:line="380" w:lineRule="atLeast"/>
            <w:rPr>
              <w:sz w:val="24"/>
              <w:szCs w:val="24"/>
            </w:rPr>
          </w:pPr>
          <w:r>
            <w:fldChar w:fldCharType="begin"/>
          </w:r>
          <w:r>
            <w:instrText xml:space="preserve"> HYPERLINK \l "_Toc503267567" </w:instrText>
          </w:r>
          <w:r>
            <w:fldChar w:fldCharType="separate"/>
          </w:r>
          <w:r>
            <w:rPr>
              <w:rStyle w:val="17"/>
              <w:sz w:val="24"/>
              <w:szCs w:val="24"/>
            </w:rPr>
            <w:t xml:space="preserve">3.3 </w:t>
          </w:r>
          <w:r>
            <w:rPr>
              <w:rStyle w:val="17"/>
              <w:rFonts w:hint="eastAsia"/>
              <w:sz w:val="24"/>
              <w:szCs w:val="24"/>
            </w:rPr>
            <w:t>编制方法和技术路线的实用性、创新性和可行性</w:t>
          </w:r>
          <w:r>
            <w:rPr>
              <w:sz w:val="24"/>
              <w:szCs w:val="24"/>
            </w:rPr>
            <w:tab/>
          </w:r>
          <w:r>
            <w:rPr>
              <w:sz w:val="24"/>
              <w:szCs w:val="24"/>
            </w:rPr>
            <w:fldChar w:fldCharType="begin"/>
          </w:r>
          <w:r>
            <w:rPr>
              <w:sz w:val="24"/>
              <w:szCs w:val="24"/>
            </w:rPr>
            <w:instrText xml:space="preserve"> PAGEREF _Toc503267567 \h </w:instrText>
          </w:r>
          <w:r>
            <w:rPr>
              <w:sz w:val="24"/>
              <w:szCs w:val="24"/>
            </w:rPr>
            <w:fldChar w:fldCharType="separate"/>
          </w:r>
          <w:r>
            <w:rPr>
              <w:sz w:val="24"/>
              <w:szCs w:val="24"/>
            </w:rPr>
            <w:t>33</w:t>
          </w:r>
          <w:r>
            <w:rPr>
              <w:sz w:val="24"/>
              <w:szCs w:val="24"/>
            </w:rPr>
            <w:fldChar w:fldCharType="end"/>
          </w:r>
          <w:r>
            <w:rPr>
              <w:sz w:val="24"/>
              <w:szCs w:val="24"/>
            </w:rPr>
            <w:fldChar w:fldCharType="end"/>
          </w:r>
        </w:p>
        <w:p>
          <w:pPr>
            <w:pStyle w:val="14"/>
            <w:tabs>
              <w:tab w:val="right" w:leader="dot" w:pos="8296"/>
            </w:tabs>
            <w:spacing w:line="380" w:lineRule="atLeast"/>
            <w:rPr>
              <w:sz w:val="24"/>
              <w:szCs w:val="24"/>
            </w:rPr>
          </w:pPr>
          <w:r>
            <w:fldChar w:fldCharType="begin"/>
          </w:r>
          <w:r>
            <w:instrText xml:space="preserve"> HYPERLINK \l "_Toc503267568" </w:instrText>
          </w:r>
          <w:r>
            <w:fldChar w:fldCharType="separate"/>
          </w:r>
          <w:r>
            <w:rPr>
              <w:rStyle w:val="17"/>
              <w:sz w:val="24"/>
              <w:szCs w:val="24"/>
            </w:rPr>
            <w:t xml:space="preserve">4 </w:t>
          </w:r>
          <w:r>
            <w:rPr>
              <w:rStyle w:val="17"/>
              <w:rFonts w:hint="eastAsia"/>
              <w:sz w:val="24"/>
              <w:szCs w:val="24"/>
            </w:rPr>
            <w:t>内容框架</w:t>
          </w:r>
          <w:r>
            <w:rPr>
              <w:sz w:val="24"/>
              <w:szCs w:val="24"/>
            </w:rPr>
            <w:tab/>
          </w:r>
          <w:r>
            <w:rPr>
              <w:sz w:val="24"/>
              <w:szCs w:val="24"/>
            </w:rPr>
            <w:fldChar w:fldCharType="begin"/>
          </w:r>
          <w:r>
            <w:rPr>
              <w:sz w:val="24"/>
              <w:szCs w:val="24"/>
            </w:rPr>
            <w:instrText xml:space="preserve"> PAGEREF _Toc503267568 \h </w:instrText>
          </w:r>
          <w:r>
            <w:rPr>
              <w:sz w:val="24"/>
              <w:szCs w:val="24"/>
            </w:rPr>
            <w:fldChar w:fldCharType="separate"/>
          </w:r>
          <w:r>
            <w:rPr>
              <w:sz w:val="24"/>
              <w:szCs w:val="24"/>
            </w:rPr>
            <w:t>35</w:t>
          </w:r>
          <w:r>
            <w:rPr>
              <w:sz w:val="24"/>
              <w:szCs w:val="24"/>
            </w:rPr>
            <w:fldChar w:fldCharType="end"/>
          </w:r>
          <w:r>
            <w:rPr>
              <w:sz w:val="24"/>
              <w:szCs w:val="24"/>
            </w:rPr>
            <w:fldChar w:fldCharType="end"/>
          </w:r>
        </w:p>
        <w:p>
          <w:pPr>
            <w:pStyle w:val="8"/>
            <w:tabs>
              <w:tab w:val="right" w:leader="dot" w:pos="8296"/>
            </w:tabs>
            <w:spacing w:line="380" w:lineRule="atLeast"/>
            <w:rPr>
              <w:sz w:val="24"/>
              <w:szCs w:val="24"/>
            </w:rPr>
          </w:pPr>
          <w:r>
            <w:fldChar w:fldCharType="begin"/>
          </w:r>
          <w:r>
            <w:instrText xml:space="preserve"> HYPERLINK \l "_Toc503267569" </w:instrText>
          </w:r>
          <w:r>
            <w:fldChar w:fldCharType="separate"/>
          </w:r>
          <w:r>
            <w:rPr>
              <w:rStyle w:val="17"/>
              <w:sz w:val="24"/>
              <w:szCs w:val="24"/>
            </w:rPr>
            <w:t xml:space="preserve">4.1 </w:t>
          </w:r>
          <w:r>
            <w:rPr>
              <w:rStyle w:val="17"/>
              <w:rFonts w:hint="eastAsia"/>
              <w:sz w:val="24"/>
              <w:szCs w:val="24"/>
            </w:rPr>
            <w:t>规划的主要内容框架</w:t>
          </w:r>
          <w:r>
            <w:rPr>
              <w:sz w:val="24"/>
              <w:szCs w:val="24"/>
            </w:rPr>
            <w:tab/>
          </w:r>
          <w:r>
            <w:rPr>
              <w:sz w:val="24"/>
              <w:szCs w:val="24"/>
            </w:rPr>
            <w:fldChar w:fldCharType="begin"/>
          </w:r>
          <w:r>
            <w:rPr>
              <w:sz w:val="24"/>
              <w:szCs w:val="24"/>
            </w:rPr>
            <w:instrText xml:space="preserve"> PAGEREF _Toc503267569 \h </w:instrText>
          </w:r>
          <w:r>
            <w:rPr>
              <w:sz w:val="24"/>
              <w:szCs w:val="24"/>
            </w:rPr>
            <w:fldChar w:fldCharType="separate"/>
          </w:r>
          <w:r>
            <w:rPr>
              <w:sz w:val="24"/>
              <w:szCs w:val="24"/>
            </w:rPr>
            <w:t>35</w:t>
          </w:r>
          <w:r>
            <w:rPr>
              <w:sz w:val="24"/>
              <w:szCs w:val="24"/>
            </w:rPr>
            <w:fldChar w:fldCharType="end"/>
          </w:r>
          <w:r>
            <w:rPr>
              <w:sz w:val="24"/>
              <w:szCs w:val="24"/>
            </w:rPr>
            <w:fldChar w:fldCharType="end"/>
          </w:r>
        </w:p>
        <w:p>
          <w:pPr>
            <w:pStyle w:val="8"/>
            <w:tabs>
              <w:tab w:val="right" w:leader="dot" w:pos="8296"/>
            </w:tabs>
            <w:spacing w:line="380" w:lineRule="atLeast"/>
            <w:rPr>
              <w:sz w:val="24"/>
              <w:szCs w:val="24"/>
            </w:rPr>
          </w:pPr>
          <w:r>
            <w:fldChar w:fldCharType="begin"/>
          </w:r>
          <w:r>
            <w:instrText xml:space="preserve"> HYPERLINK \l "_Toc503267570" </w:instrText>
          </w:r>
          <w:r>
            <w:fldChar w:fldCharType="separate"/>
          </w:r>
          <w:r>
            <w:rPr>
              <w:rStyle w:val="17"/>
              <w:sz w:val="24"/>
              <w:szCs w:val="24"/>
            </w:rPr>
            <w:t xml:space="preserve">4.2 </w:t>
          </w:r>
          <w:r>
            <w:rPr>
              <w:rStyle w:val="17"/>
              <w:rFonts w:hint="eastAsia"/>
              <w:sz w:val="24"/>
              <w:szCs w:val="24"/>
            </w:rPr>
            <w:t>专题研究主要内容</w:t>
          </w:r>
          <w:r>
            <w:rPr>
              <w:sz w:val="24"/>
              <w:szCs w:val="24"/>
            </w:rPr>
            <w:tab/>
          </w:r>
          <w:r>
            <w:rPr>
              <w:sz w:val="24"/>
              <w:szCs w:val="24"/>
            </w:rPr>
            <w:fldChar w:fldCharType="begin"/>
          </w:r>
          <w:r>
            <w:rPr>
              <w:sz w:val="24"/>
              <w:szCs w:val="24"/>
            </w:rPr>
            <w:instrText xml:space="preserve"> PAGEREF _Toc503267570 \h </w:instrText>
          </w:r>
          <w:r>
            <w:rPr>
              <w:sz w:val="24"/>
              <w:szCs w:val="24"/>
            </w:rPr>
            <w:fldChar w:fldCharType="separate"/>
          </w:r>
          <w:r>
            <w:rPr>
              <w:sz w:val="24"/>
              <w:szCs w:val="24"/>
            </w:rPr>
            <w:t>37</w:t>
          </w:r>
          <w:r>
            <w:rPr>
              <w:sz w:val="24"/>
              <w:szCs w:val="24"/>
            </w:rPr>
            <w:fldChar w:fldCharType="end"/>
          </w:r>
          <w:r>
            <w:rPr>
              <w:sz w:val="24"/>
              <w:szCs w:val="24"/>
            </w:rPr>
            <w:fldChar w:fldCharType="end"/>
          </w:r>
        </w:p>
        <w:p>
          <w:pPr>
            <w:pStyle w:val="14"/>
            <w:tabs>
              <w:tab w:val="right" w:leader="dot" w:pos="8296"/>
            </w:tabs>
            <w:spacing w:line="380" w:lineRule="atLeast"/>
            <w:rPr>
              <w:sz w:val="24"/>
              <w:szCs w:val="24"/>
            </w:rPr>
          </w:pPr>
          <w:r>
            <w:fldChar w:fldCharType="begin"/>
          </w:r>
          <w:r>
            <w:instrText xml:space="preserve"> HYPERLINK \l "_Toc503267571" </w:instrText>
          </w:r>
          <w:r>
            <w:fldChar w:fldCharType="separate"/>
          </w:r>
          <w:r>
            <w:rPr>
              <w:rStyle w:val="17"/>
              <w:sz w:val="24"/>
              <w:szCs w:val="24"/>
            </w:rPr>
            <w:t xml:space="preserve">5 </w:t>
          </w:r>
          <w:r>
            <w:rPr>
              <w:rStyle w:val="17"/>
              <w:rFonts w:hint="eastAsia"/>
              <w:sz w:val="24"/>
              <w:szCs w:val="24"/>
            </w:rPr>
            <w:t>成果构成与验收</w:t>
          </w:r>
          <w:r>
            <w:rPr>
              <w:sz w:val="24"/>
              <w:szCs w:val="24"/>
            </w:rPr>
            <w:tab/>
          </w:r>
          <w:r>
            <w:rPr>
              <w:sz w:val="24"/>
              <w:szCs w:val="24"/>
            </w:rPr>
            <w:fldChar w:fldCharType="begin"/>
          </w:r>
          <w:r>
            <w:rPr>
              <w:sz w:val="24"/>
              <w:szCs w:val="24"/>
            </w:rPr>
            <w:instrText xml:space="preserve"> PAGEREF _Toc503267571 \h </w:instrText>
          </w:r>
          <w:r>
            <w:rPr>
              <w:sz w:val="24"/>
              <w:szCs w:val="24"/>
            </w:rPr>
            <w:fldChar w:fldCharType="separate"/>
          </w:r>
          <w:r>
            <w:rPr>
              <w:sz w:val="24"/>
              <w:szCs w:val="24"/>
            </w:rPr>
            <w:t>38</w:t>
          </w:r>
          <w:r>
            <w:rPr>
              <w:sz w:val="24"/>
              <w:szCs w:val="24"/>
            </w:rPr>
            <w:fldChar w:fldCharType="end"/>
          </w:r>
          <w:r>
            <w:rPr>
              <w:sz w:val="24"/>
              <w:szCs w:val="24"/>
            </w:rPr>
            <w:fldChar w:fldCharType="end"/>
          </w:r>
        </w:p>
        <w:p>
          <w:pPr>
            <w:pStyle w:val="8"/>
            <w:tabs>
              <w:tab w:val="right" w:leader="dot" w:pos="8296"/>
            </w:tabs>
            <w:spacing w:line="380" w:lineRule="atLeast"/>
            <w:rPr>
              <w:sz w:val="24"/>
              <w:szCs w:val="24"/>
            </w:rPr>
          </w:pPr>
          <w:r>
            <w:fldChar w:fldCharType="begin"/>
          </w:r>
          <w:r>
            <w:instrText xml:space="preserve"> HYPERLINK \l "_Toc503267572" </w:instrText>
          </w:r>
          <w:r>
            <w:fldChar w:fldCharType="separate"/>
          </w:r>
          <w:r>
            <w:rPr>
              <w:rStyle w:val="17"/>
              <w:sz w:val="24"/>
              <w:szCs w:val="24"/>
            </w:rPr>
            <w:t xml:space="preserve">5.1 </w:t>
          </w:r>
          <w:r>
            <w:rPr>
              <w:rStyle w:val="17"/>
              <w:rFonts w:hint="eastAsia"/>
              <w:sz w:val="24"/>
              <w:szCs w:val="24"/>
            </w:rPr>
            <w:t>规划成果构成</w:t>
          </w:r>
          <w:r>
            <w:rPr>
              <w:sz w:val="24"/>
              <w:szCs w:val="24"/>
            </w:rPr>
            <w:tab/>
          </w:r>
          <w:r>
            <w:rPr>
              <w:sz w:val="24"/>
              <w:szCs w:val="24"/>
            </w:rPr>
            <w:fldChar w:fldCharType="begin"/>
          </w:r>
          <w:r>
            <w:rPr>
              <w:sz w:val="24"/>
              <w:szCs w:val="24"/>
            </w:rPr>
            <w:instrText xml:space="preserve"> PAGEREF _Toc503267572 \h </w:instrText>
          </w:r>
          <w:r>
            <w:rPr>
              <w:sz w:val="24"/>
              <w:szCs w:val="24"/>
            </w:rPr>
            <w:fldChar w:fldCharType="separate"/>
          </w:r>
          <w:r>
            <w:rPr>
              <w:sz w:val="24"/>
              <w:szCs w:val="24"/>
            </w:rPr>
            <w:t>38</w:t>
          </w:r>
          <w:r>
            <w:rPr>
              <w:sz w:val="24"/>
              <w:szCs w:val="24"/>
            </w:rPr>
            <w:fldChar w:fldCharType="end"/>
          </w:r>
          <w:r>
            <w:rPr>
              <w:sz w:val="24"/>
              <w:szCs w:val="24"/>
            </w:rPr>
            <w:fldChar w:fldCharType="end"/>
          </w:r>
        </w:p>
        <w:p>
          <w:pPr>
            <w:pStyle w:val="8"/>
            <w:tabs>
              <w:tab w:val="right" w:leader="dot" w:pos="8296"/>
            </w:tabs>
            <w:spacing w:line="380" w:lineRule="atLeast"/>
            <w:rPr>
              <w:sz w:val="24"/>
              <w:szCs w:val="24"/>
            </w:rPr>
          </w:pPr>
          <w:r>
            <w:fldChar w:fldCharType="begin"/>
          </w:r>
          <w:r>
            <w:instrText xml:space="preserve"> HYPERLINK \l "_Toc503267573" </w:instrText>
          </w:r>
          <w:r>
            <w:fldChar w:fldCharType="separate"/>
          </w:r>
          <w:r>
            <w:rPr>
              <w:rStyle w:val="17"/>
              <w:sz w:val="24"/>
              <w:szCs w:val="24"/>
            </w:rPr>
            <w:t xml:space="preserve">5.2 </w:t>
          </w:r>
          <w:r>
            <w:rPr>
              <w:rStyle w:val="17"/>
              <w:rFonts w:hint="eastAsia"/>
              <w:sz w:val="24"/>
              <w:szCs w:val="24"/>
            </w:rPr>
            <w:t>成果验收方式：</w:t>
          </w:r>
          <w:r>
            <w:rPr>
              <w:sz w:val="24"/>
              <w:szCs w:val="24"/>
            </w:rPr>
            <w:tab/>
          </w:r>
          <w:r>
            <w:rPr>
              <w:sz w:val="24"/>
              <w:szCs w:val="24"/>
            </w:rPr>
            <w:fldChar w:fldCharType="begin"/>
          </w:r>
          <w:r>
            <w:rPr>
              <w:sz w:val="24"/>
              <w:szCs w:val="24"/>
            </w:rPr>
            <w:instrText xml:space="preserve"> PAGEREF _Toc503267573 \h </w:instrText>
          </w:r>
          <w:r>
            <w:rPr>
              <w:sz w:val="24"/>
              <w:szCs w:val="24"/>
            </w:rPr>
            <w:fldChar w:fldCharType="separate"/>
          </w:r>
          <w:r>
            <w:rPr>
              <w:sz w:val="24"/>
              <w:szCs w:val="24"/>
            </w:rPr>
            <w:t>39</w:t>
          </w:r>
          <w:r>
            <w:rPr>
              <w:sz w:val="24"/>
              <w:szCs w:val="24"/>
            </w:rPr>
            <w:fldChar w:fldCharType="end"/>
          </w:r>
          <w:r>
            <w:rPr>
              <w:sz w:val="24"/>
              <w:szCs w:val="24"/>
            </w:rPr>
            <w:fldChar w:fldCharType="end"/>
          </w:r>
        </w:p>
        <w:p>
          <w:pPr>
            <w:pStyle w:val="14"/>
            <w:tabs>
              <w:tab w:val="right" w:leader="dot" w:pos="8296"/>
            </w:tabs>
            <w:spacing w:line="380" w:lineRule="atLeast"/>
            <w:rPr>
              <w:sz w:val="24"/>
              <w:szCs w:val="24"/>
            </w:rPr>
          </w:pPr>
          <w:r>
            <w:fldChar w:fldCharType="begin"/>
          </w:r>
          <w:r>
            <w:instrText xml:space="preserve"> HYPERLINK \l "_Toc503267574" </w:instrText>
          </w:r>
          <w:r>
            <w:fldChar w:fldCharType="separate"/>
          </w:r>
          <w:r>
            <w:rPr>
              <w:rStyle w:val="17"/>
              <w:sz w:val="24"/>
              <w:szCs w:val="24"/>
            </w:rPr>
            <w:t xml:space="preserve">6 </w:t>
          </w:r>
          <w:r>
            <w:rPr>
              <w:rStyle w:val="17"/>
              <w:rFonts w:hint="eastAsia"/>
              <w:sz w:val="24"/>
              <w:szCs w:val="24"/>
            </w:rPr>
            <w:t>规划编制进度计划与实施措施</w:t>
          </w:r>
          <w:r>
            <w:rPr>
              <w:sz w:val="24"/>
              <w:szCs w:val="24"/>
            </w:rPr>
            <w:tab/>
          </w:r>
          <w:r>
            <w:rPr>
              <w:sz w:val="24"/>
              <w:szCs w:val="24"/>
            </w:rPr>
            <w:fldChar w:fldCharType="begin"/>
          </w:r>
          <w:r>
            <w:rPr>
              <w:sz w:val="24"/>
              <w:szCs w:val="24"/>
            </w:rPr>
            <w:instrText xml:space="preserve"> PAGEREF _Toc503267574 \h </w:instrText>
          </w:r>
          <w:r>
            <w:rPr>
              <w:sz w:val="24"/>
              <w:szCs w:val="24"/>
            </w:rPr>
            <w:fldChar w:fldCharType="separate"/>
          </w:r>
          <w:r>
            <w:rPr>
              <w:sz w:val="24"/>
              <w:szCs w:val="24"/>
            </w:rPr>
            <w:t>40</w:t>
          </w:r>
          <w:r>
            <w:rPr>
              <w:sz w:val="24"/>
              <w:szCs w:val="24"/>
            </w:rPr>
            <w:fldChar w:fldCharType="end"/>
          </w:r>
          <w:r>
            <w:rPr>
              <w:sz w:val="24"/>
              <w:szCs w:val="24"/>
            </w:rPr>
            <w:fldChar w:fldCharType="end"/>
          </w:r>
        </w:p>
        <w:p>
          <w:pPr>
            <w:pStyle w:val="8"/>
            <w:tabs>
              <w:tab w:val="right" w:leader="dot" w:pos="8296"/>
            </w:tabs>
            <w:spacing w:line="380" w:lineRule="atLeast"/>
            <w:rPr>
              <w:sz w:val="24"/>
              <w:szCs w:val="24"/>
            </w:rPr>
          </w:pPr>
          <w:r>
            <w:fldChar w:fldCharType="begin"/>
          </w:r>
          <w:r>
            <w:instrText xml:space="preserve"> HYPERLINK \l "_Toc503267575" </w:instrText>
          </w:r>
          <w:r>
            <w:fldChar w:fldCharType="separate"/>
          </w:r>
          <w:r>
            <w:rPr>
              <w:rStyle w:val="17"/>
              <w:sz w:val="24"/>
              <w:szCs w:val="24"/>
            </w:rPr>
            <w:t xml:space="preserve">6.1 </w:t>
          </w:r>
          <w:r>
            <w:rPr>
              <w:rStyle w:val="17"/>
              <w:rFonts w:hint="eastAsia"/>
              <w:sz w:val="24"/>
              <w:szCs w:val="24"/>
            </w:rPr>
            <w:t>规划编制进度计划</w:t>
          </w:r>
          <w:r>
            <w:rPr>
              <w:sz w:val="24"/>
              <w:szCs w:val="24"/>
            </w:rPr>
            <w:tab/>
          </w:r>
          <w:r>
            <w:rPr>
              <w:sz w:val="24"/>
              <w:szCs w:val="24"/>
            </w:rPr>
            <w:fldChar w:fldCharType="begin"/>
          </w:r>
          <w:r>
            <w:rPr>
              <w:sz w:val="24"/>
              <w:szCs w:val="24"/>
            </w:rPr>
            <w:instrText xml:space="preserve"> PAGEREF _Toc503267575 \h </w:instrText>
          </w:r>
          <w:r>
            <w:rPr>
              <w:sz w:val="24"/>
              <w:szCs w:val="24"/>
            </w:rPr>
            <w:fldChar w:fldCharType="separate"/>
          </w:r>
          <w:r>
            <w:rPr>
              <w:sz w:val="24"/>
              <w:szCs w:val="24"/>
            </w:rPr>
            <w:t>40</w:t>
          </w:r>
          <w:r>
            <w:rPr>
              <w:sz w:val="24"/>
              <w:szCs w:val="24"/>
            </w:rPr>
            <w:fldChar w:fldCharType="end"/>
          </w:r>
          <w:r>
            <w:rPr>
              <w:sz w:val="24"/>
              <w:szCs w:val="24"/>
            </w:rPr>
            <w:fldChar w:fldCharType="end"/>
          </w:r>
        </w:p>
        <w:p>
          <w:pPr>
            <w:pStyle w:val="8"/>
            <w:tabs>
              <w:tab w:val="right" w:leader="dot" w:pos="8296"/>
            </w:tabs>
            <w:spacing w:line="380" w:lineRule="atLeast"/>
            <w:rPr>
              <w:sz w:val="24"/>
              <w:szCs w:val="24"/>
            </w:rPr>
          </w:pPr>
          <w:r>
            <w:fldChar w:fldCharType="begin"/>
          </w:r>
          <w:r>
            <w:instrText xml:space="preserve"> HYPERLINK \l "_Toc503267576" </w:instrText>
          </w:r>
          <w:r>
            <w:fldChar w:fldCharType="separate"/>
          </w:r>
          <w:r>
            <w:rPr>
              <w:rStyle w:val="17"/>
              <w:sz w:val="24"/>
              <w:szCs w:val="24"/>
            </w:rPr>
            <w:t xml:space="preserve">6.2 </w:t>
          </w:r>
          <w:r>
            <w:rPr>
              <w:rStyle w:val="17"/>
              <w:rFonts w:hint="eastAsia"/>
              <w:sz w:val="24"/>
              <w:szCs w:val="24"/>
            </w:rPr>
            <w:t>实施措施</w:t>
          </w:r>
          <w:r>
            <w:rPr>
              <w:sz w:val="24"/>
              <w:szCs w:val="24"/>
            </w:rPr>
            <w:tab/>
          </w:r>
          <w:r>
            <w:rPr>
              <w:sz w:val="24"/>
              <w:szCs w:val="24"/>
            </w:rPr>
            <w:fldChar w:fldCharType="begin"/>
          </w:r>
          <w:r>
            <w:rPr>
              <w:sz w:val="24"/>
              <w:szCs w:val="24"/>
            </w:rPr>
            <w:instrText xml:space="preserve"> PAGEREF _Toc503267576 \h </w:instrText>
          </w:r>
          <w:r>
            <w:rPr>
              <w:sz w:val="24"/>
              <w:szCs w:val="24"/>
            </w:rPr>
            <w:fldChar w:fldCharType="separate"/>
          </w:r>
          <w:r>
            <w:rPr>
              <w:sz w:val="24"/>
              <w:szCs w:val="24"/>
            </w:rPr>
            <w:t>42</w:t>
          </w:r>
          <w:r>
            <w:rPr>
              <w:sz w:val="24"/>
              <w:szCs w:val="24"/>
            </w:rPr>
            <w:fldChar w:fldCharType="end"/>
          </w:r>
          <w:r>
            <w:rPr>
              <w:sz w:val="24"/>
              <w:szCs w:val="24"/>
            </w:rPr>
            <w:fldChar w:fldCharType="end"/>
          </w:r>
        </w:p>
        <w:p>
          <w:pPr>
            <w:pStyle w:val="14"/>
            <w:tabs>
              <w:tab w:val="right" w:leader="dot" w:pos="8296"/>
            </w:tabs>
            <w:spacing w:line="380" w:lineRule="atLeast"/>
            <w:rPr>
              <w:sz w:val="24"/>
              <w:szCs w:val="24"/>
            </w:rPr>
          </w:pPr>
          <w:r>
            <w:fldChar w:fldCharType="begin"/>
          </w:r>
          <w:r>
            <w:instrText xml:space="preserve"> HYPERLINK \l "_Toc503267577" </w:instrText>
          </w:r>
          <w:r>
            <w:fldChar w:fldCharType="separate"/>
          </w:r>
          <w:r>
            <w:rPr>
              <w:rStyle w:val="17"/>
              <w:sz w:val="24"/>
              <w:szCs w:val="24"/>
            </w:rPr>
            <w:t xml:space="preserve">7 </w:t>
          </w:r>
          <w:r>
            <w:rPr>
              <w:rStyle w:val="17"/>
              <w:rFonts w:hint="eastAsia"/>
              <w:sz w:val="24"/>
              <w:szCs w:val="24"/>
            </w:rPr>
            <w:t>服务承诺及质量保证措施</w:t>
          </w:r>
          <w:r>
            <w:rPr>
              <w:sz w:val="24"/>
              <w:szCs w:val="24"/>
            </w:rPr>
            <w:tab/>
          </w:r>
          <w:r>
            <w:rPr>
              <w:sz w:val="24"/>
              <w:szCs w:val="24"/>
            </w:rPr>
            <w:fldChar w:fldCharType="begin"/>
          </w:r>
          <w:r>
            <w:rPr>
              <w:sz w:val="24"/>
              <w:szCs w:val="24"/>
            </w:rPr>
            <w:instrText xml:space="preserve"> PAGEREF _Toc503267577 \h </w:instrText>
          </w:r>
          <w:r>
            <w:rPr>
              <w:sz w:val="24"/>
              <w:szCs w:val="24"/>
            </w:rPr>
            <w:fldChar w:fldCharType="separate"/>
          </w:r>
          <w:r>
            <w:rPr>
              <w:sz w:val="24"/>
              <w:szCs w:val="24"/>
            </w:rPr>
            <w:t>42</w:t>
          </w:r>
          <w:r>
            <w:rPr>
              <w:sz w:val="24"/>
              <w:szCs w:val="24"/>
            </w:rPr>
            <w:fldChar w:fldCharType="end"/>
          </w:r>
          <w:r>
            <w:rPr>
              <w:sz w:val="24"/>
              <w:szCs w:val="24"/>
            </w:rPr>
            <w:fldChar w:fldCharType="end"/>
          </w:r>
        </w:p>
        <w:p>
          <w:pPr>
            <w:pStyle w:val="8"/>
            <w:tabs>
              <w:tab w:val="right" w:leader="dot" w:pos="8296"/>
            </w:tabs>
            <w:spacing w:line="380" w:lineRule="atLeast"/>
            <w:rPr>
              <w:sz w:val="24"/>
              <w:szCs w:val="24"/>
            </w:rPr>
          </w:pPr>
          <w:r>
            <w:fldChar w:fldCharType="begin"/>
          </w:r>
          <w:r>
            <w:instrText xml:space="preserve"> HYPERLINK \l "_Toc503267578" </w:instrText>
          </w:r>
          <w:r>
            <w:fldChar w:fldCharType="separate"/>
          </w:r>
          <w:r>
            <w:rPr>
              <w:rStyle w:val="17"/>
              <w:sz w:val="24"/>
              <w:szCs w:val="24"/>
            </w:rPr>
            <w:t xml:space="preserve">7.1 </w:t>
          </w:r>
          <w:r>
            <w:rPr>
              <w:rStyle w:val="17"/>
              <w:rFonts w:hint="eastAsia"/>
              <w:sz w:val="24"/>
              <w:szCs w:val="24"/>
            </w:rPr>
            <w:t>服务承诺</w:t>
          </w:r>
          <w:r>
            <w:rPr>
              <w:sz w:val="24"/>
              <w:szCs w:val="24"/>
            </w:rPr>
            <w:tab/>
          </w:r>
          <w:r>
            <w:rPr>
              <w:sz w:val="24"/>
              <w:szCs w:val="24"/>
            </w:rPr>
            <w:fldChar w:fldCharType="begin"/>
          </w:r>
          <w:r>
            <w:rPr>
              <w:sz w:val="24"/>
              <w:szCs w:val="24"/>
            </w:rPr>
            <w:instrText xml:space="preserve"> PAGEREF _Toc503267578 \h </w:instrText>
          </w:r>
          <w:r>
            <w:rPr>
              <w:sz w:val="24"/>
              <w:szCs w:val="24"/>
            </w:rPr>
            <w:fldChar w:fldCharType="separate"/>
          </w:r>
          <w:r>
            <w:rPr>
              <w:sz w:val="24"/>
              <w:szCs w:val="24"/>
            </w:rPr>
            <w:t>42</w:t>
          </w:r>
          <w:r>
            <w:rPr>
              <w:sz w:val="24"/>
              <w:szCs w:val="24"/>
            </w:rPr>
            <w:fldChar w:fldCharType="end"/>
          </w:r>
          <w:r>
            <w:rPr>
              <w:sz w:val="24"/>
              <w:szCs w:val="24"/>
            </w:rPr>
            <w:fldChar w:fldCharType="end"/>
          </w:r>
        </w:p>
        <w:p>
          <w:pPr>
            <w:pStyle w:val="8"/>
            <w:tabs>
              <w:tab w:val="right" w:leader="dot" w:pos="8296"/>
            </w:tabs>
            <w:spacing w:line="380" w:lineRule="atLeast"/>
            <w:rPr>
              <w:sz w:val="24"/>
              <w:szCs w:val="24"/>
            </w:rPr>
          </w:pPr>
          <w:r>
            <w:fldChar w:fldCharType="begin"/>
          </w:r>
          <w:r>
            <w:instrText xml:space="preserve"> HYPERLINK \l "_Toc503267579" </w:instrText>
          </w:r>
          <w:r>
            <w:fldChar w:fldCharType="separate"/>
          </w:r>
          <w:r>
            <w:rPr>
              <w:rStyle w:val="17"/>
              <w:sz w:val="24"/>
              <w:szCs w:val="24"/>
            </w:rPr>
            <w:t xml:space="preserve">7.2 </w:t>
          </w:r>
          <w:r>
            <w:rPr>
              <w:rStyle w:val="17"/>
              <w:rFonts w:hint="eastAsia"/>
              <w:sz w:val="24"/>
              <w:szCs w:val="24"/>
            </w:rPr>
            <w:t>质量保证措施</w:t>
          </w:r>
          <w:r>
            <w:rPr>
              <w:sz w:val="24"/>
              <w:szCs w:val="24"/>
            </w:rPr>
            <w:tab/>
          </w:r>
          <w:r>
            <w:rPr>
              <w:sz w:val="24"/>
              <w:szCs w:val="24"/>
            </w:rPr>
            <w:fldChar w:fldCharType="begin"/>
          </w:r>
          <w:r>
            <w:rPr>
              <w:sz w:val="24"/>
              <w:szCs w:val="24"/>
            </w:rPr>
            <w:instrText xml:space="preserve"> PAGEREF _Toc503267579 \h </w:instrText>
          </w:r>
          <w:r>
            <w:rPr>
              <w:sz w:val="24"/>
              <w:szCs w:val="24"/>
            </w:rPr>
            <w:fldChar w:fldCharType="separate"/>
          </w:r>
          <w:r>
            <w:rPr>
              <w:sz w:val="24"/>
              <w:szCs w:val="24"/>
            </w:rPr>
            <w:t>43</w:t>
          </w:r>
          <w:r>
            <w:rPr>
              <w:sz w:val="24"/>
              <w:szCs w:val="24"/>
            </w:rPr>
            <w:fldChar w:fldCharType="end"/>
          </w:r>
          <w:r>
            <w:rPr>
              <w:sz w:val="24"/>
              <w:szCs w:val="24"/>
            </w:rPr>
            <w:fldChar w:fldCharType="end"/>
          </w:r>
        </w:p>
        <w:p>
          <w:pPr>
            <w:pStyle w:val="13"/>
            <w:tabs>
              <w:tab w:val="right" w:leader="dot" w:pos="8296"/>
            </w:tabs>
            <w:spacing w:line="380" w:lineRule="atLeast"/>
          </w:pPr>
          <w:r>
            <w:rPr>
              <w:b/>
              <w:bCs/>
              <w:sz w:val="24"/>
              <w:szCs w:val="24"/>
              <w:lang w:val="zh-CN"/>
            </w:rPr>
            <w:fldChar w:fldCharType="end"/>
          </w:r>
        </w:p>
      </w:sdtContent>
    </w:sdt>
    <w:p>
      <w:pPr>
        <w:jc w:val="center"/>
      </w:pPr>
    </w:p>
    <w:p>
      <w:pPr>
        <w:jc w:val="both"/>
        <w:rPr>
          <w:lang w:val="zh-CN"/>
        </w:rPr>
      </w:pPr>
    </w:p>
    <w:p>
      <w:pPr>
        <w:pStyle w:val="2"/>
        <w:jc w:val="center"/>
        <w:rPr>
          <w:lang w:val="zh-CN"/>
        </w:rPr>
      </w:pPr>
      <w:bookmarkStart w:id="1" w:name="_Toc9956"/>
      <w:bookmarkStart w:id="2" w:name="_Toc11895"/>
      <w:bookmarkStart w:id="3" w:name="_Toc503267555"/>
      <w:bookmarkStart w:id="4" w:name="_Toc25174"/>
      <w:bookmarkStart w:id="5" w:name="_Toc27886"/>
      <w:bookmarkStart w:id="6" w:name="_Toc7301"/>
      <w:bookmarkStart w:id="7" w:name="_Toc32071"/>
      <w:bookmarkStart w:id="8" w:name="_Toc10515"/>
      <w:r>
        <w:rPr>
          <w:rFonts w:hint="eastAsia"/>
          <w:lang w:val="zh-CN"/>
        </w:rPr>
        <w:t>技术方案</w:t>
      </w:r>
      <w:bookmarkEnd w:id="1"/>
      <w:bookmarkEnd w:id="2"/>
      <w:bookmarkEnd w:id="3"/>
      <w:bookmarkEnd w:id="4"/>
      <w:bookmarkEnd w:id="5"/>
      <w:bookmarkEnd w:id="6"/>
      <w:bookmarkEnd w:id="7"/>
      <w:bookmarkEnd w:id="8"/>
    </w:p>
    <w:p>
      <w:pPr>
        <w:pStyle w:val="3"/>
      </w:pPr>
      <w:bookmarkStart w:id="9" w:name="_Toc503267556"/>
      <w:bookmarkStart w:id="10" w:name="_Toc417409879"/>
      <w:bookmarkStart w:id="11" w:name="_Toc417410091"/>
      <w:bookmarkStart w:id="12" w:name="_Toc20598"/>
      <w:bookmarkStart w:id="13" w:name="_Toc32030"/>
      <w:bookmarkStart w:id="14" w:name="_Toc14520"/>
      <w:bookmarkStart w:id="15" w:name="_Toc23760"/>
      <w:bookmarkStart w:id="16" w:name="_Toc32333"/>
      <w:bookmarkStart w:id="17" w:name="_Toc13692"/>
      <w:bookmarkStart w:id="18" w:name="_Toc21808"/>
      <w:r>
        <w:rPr>
          <w:rFonts w:hint="eastAsia"/>
        </w:rPr>
        <w:t>1 项目解读</w:t>
      </w:r>
      <w:bookmarkEnd w:id="9"/>
      <w:bookmarkEnd w:id="10"/>
      <w:bookmarkEnd w:id="11"/>
    </w:p>
    <w:p>
      <w:pPr>
        <w:pStyle w:val="4"/>
      </w:pPr>
      <w:bookmarkStart w:id="19" w:name="_Toc503267557"/>
      <w:bookmarkStart w:id="20" w:name="_Toc417409880"/>
      <w:bookmarkStart w:id="21" w:name="_Toc417410092"/>
      <w:r>
        <w:rPr>
          <w:rFonts w:hint="eastAsia"/>
        </w:rPr>
        <w:t>1</w:t>
      </w:r>
      <w:r>
        <w:t xml:space="preserve">.1 </w:t>
      </w:r>
      <w:r>
        <w:rPr>
          <w:rFonts w:hint="eastAsia"/>
        </w:rPr>
        <w:t>城市概况</w:t>
      </w:r>
      <w:bookmarkEnd w:id="19"/>
      <w:bookmarkEnd w:id="20"/>
      <w:bookmarkEnd w:id="21"/>
    </w:p>
    <w:p>
      <w:pPr>
        <w:pStyle w:val="37"/>
        <w:spacing w:line="360" w:lineRule="auto"/>
        <w:rPr>
          <w:szCs w:val="21"/>
        </w:rPr>
      </w:pPr>
      <w:r>
        <w:rPr>
          <w:rFonts w:hint="eastAsia"/>
          <w:szCs w:val="21"/>
        </w:rPr>
        <w:t>许昌市位于河南省中部，北靠省会郑州市和历史文化名城开封市，西靠平顶山市，南接漯河市，东连周口市；地理坐标为东经113°03′－114°19′、北纬33°46′－34°24′。市域总面积4996平方公里，辖禹州市、长葛市、许昌县、鄢陵县、襄城县和魏都区两市三县一区（82个乡（镇），14个街道办事处）。北距郑州市87公里，南距漯河市65公里，东距开封市105公里，西距洛阳市187公里，京广铁路、京广高铁、京珠高速、武西高速、永登高速、107国道、219省道和103省道纵贯南北，兰南高速、311国道、325省道、237省道和329省道横穿东西，北距新郑国际机场40余公里。</w:t>
      </w:r>
    </w:p>
    <w:p>
      <w:pPr>
        <w:pStyle w:val="25"/>
        <w:spacing w:line="240" w:lineRule="atLeast"/>
        <w:ind w:firstLine="0" w:firstLineChars="0"/>
      </w:pPr>
      <w:r>
        <w:drawing>
          <wp:inline distT="0" distB="0" distL="0" distR="0">
            <wp:extent cx="5274310" cy="3665220"/>
            <wp:effectExtent l="0" t="0" r="254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5"/>
                    <a:stretch>
                      <a:fillRect/>
                    </a:stretch>
                  </pic:blipFill>
                  <pic:spPr>
                    <a:xfrm>
                      <a:off x="0" y="0"/>
                      <a:ext cx="5274310" cy="3665220"/>
                    </a:xfrm>
                    <a:prstGeom prst="rect">
                      <a:avLst/>
                    </a:prstGeom>
                  </pic:spPr>
                </pic:pic>
              </a:graphicData>
            </a:graphic>
          </wp:inline>
        </w:drawing>
      </w:r>
    </w:p>
    <w:p>
      <w:pPr>
        <w:pStyle w:val="25"/>
        <w:ind w:firstLine="480"/>
        <w:jc w:val="center"/>
        <w:rPr>
          <w:rFonts w:ascii="Times New Roman" w:hAnsi="Times New Roman" w:eastAsia="宋体" w:cs="Times New Roman"/>
          <w:color w:val="000000"/>
          <w:sz w:val="24"/>
          <w:szCs w:val="21"/>
        </w:rPr>
      </w:pPr>
      <w:r>
        <w:rPr>
          <w:rFonts w:hint="eastAsia" w:ascii="Times New Roman" w:hAnsi="Times New Roman" w:eastAsia="宋体" w:cs="Times New Roman"/>
          <w:color w:val="000000"/>
          <w:sz w:val="24"/>
          <w:szCs w:val="21"/>
        </w:rPr>
        <w:t>图1</w:t>
      </w:r>
      <w:r>
        <w:rPr>
          <w:rFonts w:ascii="Times New Roman" w:hAnsi="Times New Roman" w:eastAsia="宋体" w:cs="Times New Roman"/>
          <w:color w:val="000000"/>
          <w:sz w:val="24"/>
          <w:szCs w:val="21"/>
        </w:rPr>
        <w:t xml:space="preserve">.1  </w:t>
      </w:r>
      <w:r>
        <w:rPr>
          <w:rFonts w:hint="eastAsia" w:ascii="Times New Roman" w:hAnsi="Times New Roman" w:eastAsia="宋体" w:cs="Times New Roman"/>
          <w:color w:val="000000"/>
          <w:sz w:val="24"/>
          <w:szCs w:val="21"/>
        </w:rPr>
        <w:t>许昌市区位图</w:t>
      </w:r>
    </w:p>
    <w:p>
      <w:pPr>
        <w:pStyle w:val="37"/>
        <w:spacing w:line="360" w:lineRule="auto"/>
        <w:rPr>
          <w:szCs w:val="21"/>
        </w:rPr>
      </w:pPr>
      <w:r>
        <w:rPr>
          <w:rFonts w:hint="eastAsia"/>
          <w:szCs w:val="21"/>
        </w:rPr>
        <w:t>2016年末全市常住人口438.05万人，比2015年增加3.9万人。其中城镇常住人口216.31万人，比2015年增加9.78万人，增长4.74%，许昌市城镇人口比重呈现稳步提高的态势。 2016年全市城镇化率达到49.38%，增幅1.81个百分点，高于全省平均水平0.16个百分点，增幅已连续两年居全省第一，由于河南省城镇化水平在全国较低，许昌市城镇化率低于全国（2016年57.33%）7.95个百分点，略高于全省城镇化48.5%平均水平。</w:t>
      </w:r>
    </w:p>
    <w:p>
      <w:pPr>
        <w:pStyle w:val="25"/>
        <w:ind w:firstLine="480"/>
        <w:rPr>
          <w:rFonts w:ascii="宋体"/>
          <w:b/>
        </w:rPr>
      </w:pPr>
      <w:r>
        <w:rPr>
          <w:rFonts w:hint="eastAsia" w:ascii="Times New Roman" w:hAnsi="Times New Roman" w:eastAsia="宋体" w:cs="Times New Roman"/>
          <w:color w:val="000000"/>
          <w:sz w:val="24"/>
          <w:szCs w:val="21"/>
        </w:rPr>
        <w:t>许昌市属于北暖温带季风气候区，热量资源丰富，光能充足；降水适中；无霜期长。除西部禹州市有部分山区岗地外，其余为平原地区，气候差异不大。许昌市一年四季分明，春秋两季时长各有两个月左右，夏季不足四个月，冬季长达四个半月。四季气候特点是春季干旱多风沙，夏季炎热雨集中，秋高气爽日照长，冬季寒冷少雨雪。气候年际和季节变化大，常形成不利的气候条件，多旱、涝、风、雹等自然灾害，成为制约农业发展的不利因素。历年平均气温在14.3℃-14.6℃，平均无霜期219天，平均日照时数2154.2小时，年平均太阳辐射总量120.6千卡/平方厘米。许昌市日照充足，太阳辐射量大，农业生产潜力大。历年平均降水量671.1-736.0毫米，风向、风速均有明显的变化。历年年平均空气的相对湿度在68-71%之间。历年年平均无霜期为217.5天。</w:t>
      </w:r>
    </w:p>
    <w:p>
      <w:pPr>
        <w:pStyle w:val="4"/>
      </w:pPr>
      <w:bookmarkStart w:id="22" w:name="_Toc503267558"/>
      <w:bookmarkStart w:id="23" w:name="_Toc417409881"/>
      <w:bookmarkStart w:id="24" w:name="_Toc417410093"/>
      <w:r>
        <w:rPr>
          <w:rFonts w:hint="eastAsia"/>
        </w:rPr>
        <w:t>1.2</w:t>
      </w:r>
      <w:r>
        <w:t xml:space="preserve"> </w:t>
      </w:r>
      <w:r>
        <w:rPr>
          <w:rFonts w:hint="eastAsia"/>
        </w:rPr>
        <w:t>城市规划概况</w:t>
      </w:r>
      <w:bookmarkEnd w:id="22"/>
      <w:bookmarkEnd w:id="23"/>
      <w:bookmarkEnd w:id="24"/>
    </w:p>
    <w:p>
      <w:pPr>
        <w:pStyle w:val="25"/>
        <w:ind w:firstLine="480"/>
        <w:rPr>
          <w:rFonts w:ascii="Times New Roman" w:hAnsi="Times New Roman" w:eastAsia="宋体" w:cs="Times New Roman"/>
          <w:color w:val="000000"/>
          <w:sz w:val="24"/>
          <w:szCs w:val="21"/>
        </w:rPr>
      </w:pPr>
      <w:r>
        <w:rPr>
          <w:rFonts w:hint="eastAsia" w:ascii="Times New Roman" w:hAnsi="Times New Roman" w:eastAsia="宋体" w:cs="Times New Roman"/>
          <w:color w:val="000000"/>
          <w:sz w:val="24"/>
          <w:szCs w:val="21"/>
        </w:rPr>
        <w:t>根据《许昌市城市总体规划》（20</w:t>
      </w:r>
      <w:r>
        <w:rPr>
          <w:rFonts w:ascii="Times New Roman" w:hAnsi="Times New Roman" w:eastAsia="宋体" w:cs="Times New Roman"/>
          <w:color w:val="000000"/>
          <w:sz w:val="24"/>
          <w:szCs w:val="21"/>
        </w:rPr>
        <w:t>15</w:t>
      </w:r>
      <w:r>
        <w:rPr>
          <w:rFonts w:hint="eastAsia" w:ascii="Times New Roman" w:hAnsi="Times New Roman" w:eastAsia="宋体" w:cs="Times New Roman"/>
          <w:color w:val="000000"/>
          <w:sz w:val="24"/>
          <w:szCs w:val="21"/>
        </w:rPr>
        <w:t>-2030），许昌市城市规划概况如下：</w:t>
      </w:r>
    </w:p>
    <w:p>
      <w:pPr>
        <w:pStyle w:val="25"/>
        <w:ind w:firstLine="482"/>
        <w:rPr>
          <w:rFonts w:ascii="Times New Roman" w:hAnsi="Times New Roman" w:eastAsia="宋体" w:cs="Times New Roman"/>
          <w:b/>
          <w:color w:val="000000"/>
          <w:sz w:val="24"/>
          <w:szCs w:val="21"/>
        </w:rPr>
      </w:pPr>
      <w:r>
        <w:rPr>
          <w:rFonts w:hint="eastAsia" w:ascii="Times New Roman" w:hAnsi="Times New Roman" w:eastAsia="宋体" w:cs="Times New Roman"/>
          <w:b/>
          <w:color w:val="000000"/>
          <w:sz w:val="24"/>
          <w:szCs w:val="21"/>
        </w:rPr>
        <w:t>1、城市性质与发展目标</w:t>
      </w:r>
    </w:p>
    <w:p>
      <w:pPr>
        <w:pStyle w:val="25"/>
        <w:ind w:firstLine="480"/>
        <w:rPr>
          <w:rFonts w:ascii="Times New Roman" w:hAnsi="Times New Roman" w:eastAsia="宋体" w:cs="Times New Roman"/>
          <w:color w:val="000000"/>
          <w:sz w:val="24"/>
          <w:szCs w:val="21"/>
        </w:rPr>
      </w:pPr>
      <w:r>
        <w:rPr>
          <w:rFonts w:hint="eastAsia" w:ascii="Times New Roman" w:hAnsi="Times New Roman" w:eastAsia="宋体" w:cs="Times New Roman"/>
          <w:color w:val="000000"/>
          <w:sz w:val="24"/>
          <w:szCs w:val="21"/>
        </w:rPr>
        <w:t>（1）城市性质：许昌是中原城市群地区性中心城市，中原经济区交通和物流枢纽城市，全国重要先进制造业基地，汉魏历史文化名城。</w:t>
      </w:r>
    </w:p>
    <w:p>
      <w:pPr>
        <w:pStyle w:val="25"/>
        <w:ind w:firstLine="480"/>
        <w:rPr>
          <w:rFonts w:ascii="Times New Roman" w:hAnsi="Times New Roman" w:eastAsia="宋体" w:cs="Times New Roman"/>
          <w:color w:val="000000"/>
          <w:sz w:val="24"/>
          <w:szCs w:val="21"/>
        </w:rPr>
      </w:pPr>
      <w:r>
        <w:rPr>
          <w:rFonts w:hint="eastAsia" w:ascii="Times New Roman" w:hAnsi="Times New Roman" w:eastAsia="宋体" w:cs="Times New Roman"/>
          <w:color w:val="000000"/>
          <w:sz w:val="24"/>
          <w:szCs w:val="21"/>
        </w:rPr>
        <w:t>（2）城市职能</w:t>
      </w:r>
    </w:p>
    <w:p>
      <w:pPr>
        <w:pStyle w:val="25"/>
        <w:ind w:firstLine="480"/>
        <w:rPr>
          <w:rFonts w:ascii="Times New Roman" w:hAnsi="Times New Roman" w:eastAsia="宋体" w:cs="Times New Roman"/>
          <w:color w:val="000000"/>
          <w:sz w:val="24"/>
          <w:szCs w:val="21"/>
        </w:rPr>
      </w:pPr>
      <w:r>
        <w:rPr>
          <w:rFonts w:hint="eastAsia" w:ascii="Times New Roman" w:hAnsi="Times New Roman" w:eastAsia="宋体" w:cs="Times New Roman"/>
          <w:color w:val="000000"/>
          <w:sz w:val="24"/>
          <w:szCs w:val="21"/>
        </w:rPr>
        <w:t>积极融入国家“一带一路”建设、中原经济区建设和郑州航空港经济综合试验区建设等区域战略，结合自身的社会经济基础和交通区位优势，突出构建以下职能：</w:t>
      </w:r>
    </w:p>
    <w:p>
      <w:pPr>
        <w:pStyle w:val="25"/>
        <w:numPr>
          <w:ilvl w:val="0"/>
          <w:numId w:val="1"/>
        </w:numPr>
        <w:ind w:firstLineChars="0"/>
        <w:rPr>
          <w:rFonts w:ascii="Times New Roman" w:hAnsi="Times New Roman" w:eastAsia="宋体" w:cs="Times New Roman"/>
          <w:color w:val="000000"/>
          <w:sz w:val="24"/>
          <w:szCs w:val="21"/>
        </w:rPr>
      </w:pPr>
      <w:r>
        <w:rPr>
          <w:rFonts w:hint="eastAsia" w:ascii="Times New Roman" w:hAnsi="Times New Roman" w:eastAsia="宋体" w:cs="Times New Roman"/>
          <w:color w:val="000000"/>
          <w:sz w:val="24"/>
          <w:szCs w:val="21"/>
        </w:rPr>
        <w:t>基于中原崛起战略的职能：中原经济区“三化”协调、“四化”同步发展先行区；中原经济区商贸和物流枢纽；中原经济区先进制造业基地。</w:t>
      </w:r>
    </w:p>
    <w:p>
      <w:pPr>
        <w:pStyle w:val="25"/>
        <w:numPr>
          <w:ilvl w:val="0"/>
          <w:numId w:val="1"/>
        </w:numPr>
        <w:ind w:firstLineChars="0"/>
        <w:rPr>
          <w:rFonts w:ascii="Times New Roman" w:hAnsi="Times New Roman" w:eastAsia="宋体" w:cs="Times New Roman"/>
          <w:color w:val="000000"/>
          <w:sz w:val="24"/>
          <w:szCs w:val="21"/>
        </w:rPr>
      </w:pPr>
      <w:r>
        <w:rPr>
          <w:rFonts w:hint="eastAsia" w:ascii="Times New Roman" w:hAnsi="Times New Roman" w:eastAsia="宋体" w:cs="Times New Roman"/>
          <w:color w:val="000000"/>
          <w:sz w:val="24"/>
          <w:szCs w:val="21"/>
        </w:rPr>
        <w:t>基于许昌城乡综合竞争力提升的职能：中原城市群地区中心城市；郑州都市区南部生态休闲消费中心；豫中南地区创新创业基地。</w:t>
      </w:r>
    </w:p>
    <w:p>
      <w:pPr>
        <w:pStyle w:val="25"/>
        <w:numPr>
          <w:ilvl w:val="0"/>
          <w:numId w:val="1"/>
        </w:numPr>
        <w:ind w:firstLineChars="0"/>
        <w:rPr>
          <w:rFonts w:ascii="Times New Roman" w:hAnsi="Times New Roman" w:eastAsia="宋体" w:cs="Times New Roman"/>
          <w:color w:val="000000"/>
          <w:sz w:val="24"/>
          <w:szCs w:val="21"/>
        </w:rPr>
      </w:pPr>
      <w:r>
        <w:rPr>
          <w:rFonts w:hint="eastAsia" w:ascii="Times New Roman" w:hAnsi="Times New Roman" w:eastAsia="宋体" w:cs="Times New Roman"/>
          <w:color w:val="000000"/>
          <w:sz w:val="24"/>
          <w:szCs w:val="21"/>
        </w:rPr>
        <w:t>基于许昌区域形象塑造的职能：汉魏文化名城，国内知名旅游目的地和汉魏文化特色城市；林水特色生态城市，宜居、宜业、宜游、宜学、宜商魅力城区。</w:t>
      </w:r>
    </w:p>
    <w:p>
      <w:pPr>
        <w:pStyle w:val="25"/>
        <w:ind w:firstLine="482"/>
        <w:rPr>
          <w:rFonts w:ascii="Times New Roman" w:hAnsi="Times New Roman" w:eastAsia="宋体" w:cs="Times New Roman"/>
          <w:b/>
          <w:color w:val="000000"/>
          <w:sz w:val="24"/>
          <w:szCs w:val="21"/>
        </w:rPr>
      </w:pPr>
      <w:r>
        <w:rPr>
          <w:rFonts w:hint="eastAsia" w:ascii="Times New Roman" w:hAnsi="Times New Roman" w:eastAsia="宋体" w:cs="Times New Roman"/>
          <w:b/>
          <w:color w:val="000000"/>
          <w:sz w:val="24"/>
          <w:szCs w:val="21"/>
        </w:rPr>
        <w:t>2、城市规模与布局结构</w:t>
      </w:r>
    </w:p>
    <w:p>
      <w:pPr>
        <w:pStyle w:val="25"/>
        <w:ind w:firstLine="480"/>
        <w:rPr>
          <w:rFonts w:ascii="Times New Roman" w:hAnsi="Times New Roman" w:eastAsia="宋体" w:cs="Times New Roman"/>
          <w:color w:val="000000"/>
          <w:sz w:val="24"/>
          <w:szCs w:val="21"/>
        </w:rPr>
      </w:pPr>
      <w:r>
        <w:rPr>
          <w:rFonts w:hint="eastAsia" w:ascii="Times New Roman" w:hAnsi="Times New Roman" w:eastAsia="宋体" w:cs="Times New Roman"/>
          <w:color w:val="000000"/>
          <w:sz w:val="24"/>
          <w:szCs w:val="21"/>
        </w:rPr>
        <w:t>（1）城市规模</w:t>
      </w:r>
    </w:p>
    <w:p>
      <w:pPr>
        <w:pStyle w:val="25"/>
        <w:ind w:firstLine="480"/>
        <w:rPr>
          <w:rFonts w:ascii="Times New Roman" w:hAnsi="Times New Roman" w:eastAsia="宋体" w:cs="Times New Roman"/>
          <w:color w:val="000000"/>
          <w:sz w:val="24"/>
          <w:szCs w:val="21"/>
        </w:rPr>
      </w:pPr>
      <w:r>
        <w:rPr>
          <w:rFonts w:hint="eastAsia" w:ascii="Times New Roman" w:hAnsi="Times New Roman" w:eastAsia="宋体" w:cs="Times New Roman"/>
          <w:color w:val="000000"/>
          <w:sz w:val="24"/>
          <w:szCs w:val="21"/>
        </w:rPr>
        <w:t>1）人口规模：2020年，主城区常住人口规模为125万人；2030年，主城区常住人口规模为190万人。</w:t>
      </w:r>
    </w:p>
    <w:p>
      <w:pPr>
        <w:pStyle w:val="25"/>
        <w:ind w:firstLine="480"/>
        <w:rPr>
          <w:rFonts w:ascii="Times New Roman" w:hAnsi="Times New Roman" w:eastAsia="宋体" w:cs="Times New Roman"/>
          <w:color w:val="000000"/>
          <w:sz w:val="24"/>
          <w:szCs w:val="21"/>
        </w:rPr>
      </w:pPr>
      <w:r>
        <w:rPr>
          <w:rFonts w:hint="eastAsia" w:ascii="Times New Roman" w:hAnsi="Times New Roman" w:eastAsia="宋体" w:cs="Times New Roman"/>
          <w:color w:val="000000"/>
          <w:sz w:val="24"/>
          <w:szCs w:val="21"/>
        </w:rPr>
        <w:t>2）用地规模：2020年，主城区城市建设用地规模控制在135平方公里；2030年，主城区城市建设用地规模控制在189平方公里。</w:t>
      </w:r>
    </w:p>
    <w:p>
      <w:pPr>
        <w:pStyle w:val="25"/>
        <w:ind w:firstLine="480"/>
        <w:rPr>
          <w:rFonts w:ascii="Times New Roman" w:hAnsi="Times New Roman" w:eastAsia="宋体" w:cs="Times New Roman"/>
          <w:color w:val="000000"/>
          <w:sz w:val="24"/>
          <w:szCs w:val="21"/>
        </w:rPr>
      </w:pPr>
      <w:r>
        <w:rPr>
          <w:rFonts w:hint="eastAsia" w:ascii="Times New Roman" w:hAnsi="Times New Roman" w:eastAsia="宋体" w:cs="Times New Roman"/>
          <w:color w:val="000000"/>
          <w:sz w:val="24"/>
          <w:szCs w:val="21"/>
        </w:rPr>
        <w:t>（2）城市布局结构</w:t>
      </w:r>
    </w:p>
    <w:p>
      <w:pPr>
        <w:pStyle w:val="25"/>
        <w:ind w:firstLine="0" w:firstLineChars="0"/>
        <w:rPr>
          <w:rFonts w:ascii="Times New Roman" w:hAnsi="Times New Roman" w:eastAsia="宋体" w:cs="Times New Roman"/>
          <w:color w:val="000000"/>
          <w:sz w:val="24"/>
          <w:szCs w:val="21"/>
        </w:rPr>
      </w:pPr>
      <w:r>
        <w:drawing>
          <wp:inline distT="0" distB="0" distL="0" distR="0">
            <wp:extent cx="5274310" cy="3580130"/>
            <wp:effectExtent l="0" t="0" r="2540" b="1270"/>
            <wp:docPr id="149" name="图片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图片 149"/>
                    <pic:cNvPicPr>
                      <a:picLocks noChangeAspect="1"/>
                    </pic:cNvPicPr>
                  </pic:nvPicPr>
                  <pic:blipFill>
                    <a:blip r:embed="rId6"/>
                    <a:stretch>
                      <a:fillRect/>
                    </a:stretch>
                  </pic:blipFill>
                  <pic:spPr>
                    <a:xfrm>
                      <a:off x="0" y="0"/>
                      <a:ext cx="5274310" cy="3580130"/>
                    </a:xfrm>
                    <a:prstGeom prst="rect">
                      <a:avLst/>
                    </a:prstGeom>
                  </pic:spPr>
                </pic:pic>
              </a:graphicData>
            </a:graphic>
          </wp:inline>
        </w:drawing>
      </w:r>
    </w:p>
    <w:p>
      <w:pPr>
        <w:pStyle w:val="25"/>
        <w:ind w:firstLine="0" w:firstLineChars="0"/>
        <w:jc w:val="center"/>
        <w:rPr>
          <w:rFonts w:ascii="Times New Roman" w:hAnsi="Times New Roman" w:eastAsia="宋体" w:cs="Times New Roman"/>
          <w:color w:val="000000"/>
          <w:sz w:val="24"/>
          <w:szCs w:val="21"/>
        </w:rPr>
      </w:pPr>
      <w:r>
        <w:rPr>
          <w:rFonts w:ascii="Times New Roman" w:hAnsi="Times New Roman" w:eastAsia="宋体" w:cs="Times New Roman"/>
          <w:color w:val="000000"/>
          <w:sz w:val="24"/>
          <w:szCs w:val="21"/>
        </w:rPr>
        <w:t>图</w:t>
      </w:r>
      <w:r>
        <w:rPr>
          <w:rFonts w:hint="eastAsia" w:ascii="Times New Roman" w:hAnsi="Times New Roman" w:eastAsia="宋体" w:cs="Times New Roman"/>
          <w:color w:val="000000"/>
          <w:sz w:val="24"/>
          <w:szCs w:val="21"/>
        </w:rPr>
        <w:t>1.2</w:t>
      </w:r>
      <w:r>
        <w:rPr>
          <w:rFonts w:ascii="Times New Roman" w:hAnsi="Times New Roman" w:eastAsia="宋体" w:cs="Times New Roman"/>
          <w:color w:val="000000"/>
          <w:sz w:val="24"/>
          <w:szCs w:val="21"/>
        </w:rPr>
        <w:t xml:space="preserve"> </w:t>
      </w:r>
      <w:r>
        <w:rPr>
          <w:rFonts w:hint="eastAsia" w:ascii="Times New Roman" w:hAnsi="Times New Roman" w:eastAsia="宋体" w:cs="Times New Roman"/>
          <w:color w:val="000000"/>
          <w:sz w:val="24"/>
          <w:szCs w:val="21"/>
        </w:rPr>
        <w:t>主城区规划结构分析图</w:t>
      </w:r>
    </w:p>
    <w:p>
      <w:pPr>
        <w:pStyle w:val="25"/>
        <w:ind w:firstLine="480"/>
        <w:rPr>
          <w:rFonts w:ascii="Times New Roman" w:hAnsi="Times New Roman" w:eastAsia="宋体" w:cs="Times New Roman"/>
          <w:color w:val="000000"/>
          <w:sz w:val="24"/>
          <w:szCs w:val="21"/>
        </w:rPr>
      </w:pPr>
      <w:r>
        <w:rPr>
          <w:rFonts w:hint="eastAsia" w:ascii="Times New Roman" w:hAnsi="Times New Roman" w:eastAsia="宋体" w:cs="Times New Roman"/>
          <w:color w:val="000000"/>
          <w:sz w:val="24"/>
          <w:szCs w:val="21"/>
        </w:rPr>
        <w:t>按照“生产空间集约高效、生活空间宜居适度、生态空间山清水秀”的布局原则，完善和优化城市功能布局，提升城市的通透性和微循环能力，形成“一核两心、一轴三廊、绿环五片、组团发展”的空间结构。</w:t>
      </w:r>
    </w:p>
    <w:p>
      <w:pPr>
        <w:pStyle w:val="25"/>
        <w:ind w:firstLine="480"/>
        <w:rPr>
          <w:rFonts w:ascii="Times New Roman" w:hAnsi="Times New Roman" w:eastAsia="宋体" w:cs="Times New Roman"/>
          <w:color w:val="000000"/>
          <w:sz w:val="24"/>
          <w:szCs w:val="21"/>
        </w:rPr>
      </w:pPr>
      <w:r>
        <w:rPr>
          <w:rFonts w:hint="eastAsia" w:ascii="Times New Roman" w:hAnsi="Times New Roman" w:eastAsia="宋体" w:cs="Times New Roman"/>
          <w:color w:val="000000"/>
          <w:sz w:val="24"/>
          <w:szCs w:val="21"/>
        </w:rPr>
        <w:t>“一核”：位于建安大道与永兴路之间，由市城乡一体化示范区主中心和行政文化中心组成的市域“复合城市中心”。重点培育高端服务功能。</w:t>
      </w:r>
    </w:p>
    <w:p>
      <w:pPr>
        <w:pStyle w:val="25"/>
        <w:ind w:firstLine="480"/>
        <w:rPr>
          <w:rFonts w:ascii="Times New Roman" w:hAnsi="Times New Roman" w:eastAsia="宋体" w:cs="Times New Roman"/>
          <w:color w:val="000000"/>
          <w:sz w:val="24"/>
          <w:szCs w:val="21"/>
        </w:rPr>
      </w:pPr>
      <w:r>
        <w:rPr>
          <w:rFonts w:hint="eastAsia" w:ascii="Times New Roman" w:hAnsi="Times New Roman" w:eastAsia="宋体" w:cs="Times New Roman"/>
          <w:color w:val="000000"/>
          <w:sz w:val="24"/>
          <w:szCs w:val="21"/>
        </w:rPr>
        <w:t>“两心”：分别是老城商业中心和城乡一体化示范区副中心。老城商业中心是文化旅游商业服务中心；城乡一体化示范区副中心是许昌县的行政文化综合服务中心。</w:t>
      </w:r>
    </w:p>
    <w:p>
      <w:pPr>
        <w:pStyle w:val="25"/>
        <w:ind w:firstLine="480"/>
        <w:rPr>
          <w:rFonts w:ascii="Times New Roman" w:hAnsi="Times New Roman" w:eastAsia="宋体" w:cs="Times New Roman"/>
          <w:color w:val="000000"/>
          <w:sz w:val="24"/>
          <w:szCs w:val="21"/>
        </w:rPr>
      </w:pPr>
      <w:r>
        <w:rPr>
          <w:rFonts w:hint="eastAsia" w:ascii="Times New Roman" w:hAnsi="Times New Roman" w:eastAsia="宋体" w:cs="Times New Roman"/>
          <w:color w:val="000000"/>
          <w:sz w:val="24"/>
          <w:szCs w:val="21"/>
        </w:rPr>
        <w:t>“一轴”：沿文峰路形成的主城区中部南北向发展轴。自南向北分别串联老城商业中心、行政文化中心、城乡一体化示范区主中心和城乡一体化示范区副中心，是引导城市空间向北拓展的主轴。</w:t>
      </w:r>
    </w:p>
    <w:p>
      <w:pPr>
        <w:pStyle w:val="25"/>
        <w:ind w:firstLine="480"/>
        <w:rPr>
          <w:rFonts w:ascii="Times New Roman" w:hAnsi="Times New Roman" w:eastAsia="宋体" w:cs="Times New Roman"/>
          <w:color w:val="000000"/>
          <w:sz w:val="24"/>
          <w:szCs w:val="24"/>
        </w:rPr>
      </w:pPr>
      <w:r>
        <w:rPr>
          <w:rFonts w:hint="eastAsia" w:ascii="Times New Roman" w:hAnsi="Times New Roman" w:eastAsia="宋体" w:cs="Times New Roman"/>
          <w:color w:val="000000"/>
          <w:sz w:val="24"/>
          <w:szCs w:val="21"/>
        </w:rPr>
        <w:t>“三廊”：沿主城区内三条东西向干道形成的发展廊道。自北向南分别是新元大道、永兴路和许继大道—莲城大道。引导主城区东中西三个区域互动发展，构</w:t>
      </w:r>
      <w:r>
        <w:rPr>
          <w:rFonts w:hint="eastAsia" w:ascii="Times New Roman" w:hAnsi="Times New Roman" w:eastAsia="宋体" w:cs="Times New Roman"/>
          <w:color w:val="000000"/>
          <w:sz w:val="24"/>
          <w:szCs w:val="24"/>
        </w:rPr>
        <w:t>建紧凑的城市发展格局。</w:t>
      </w:r>
    </w:p>
    <w:p>
      <w:pPr>
        <w:pStyle w:val="25"/>
        <w:ind w:firstLine="480"/>
        <w:rPr>
          <w:rFonts w:ascii="Times New Roman" w:hAnsi="Times New Roman" w:eastAsia="宋体" w:cs="Times New Roman"/>
          <w:color w:val="000000"/>
          <w:sz w:val="24"/>
          <w:szCs w:val="24"/>
        </w:rPr>
      </w:pPr>
      <w:r>
        <w:rPr>
          <w:rFonts w:hint="eastAsia" w:ascii="Times New Roman" w:hAnsi="Times New Roman" w:eastAsia="宋体" w:cs="Times New Roman"/>
          <w:color w:val="000000"/>
          <w:sz w:val="24"/>
          <w:szCs w:val="24"/>
        </w:rPr>
        <w:t>“五片”：包括主城南片区、主城北片区、东北片区、东南片区和西南片区。</w:t>
      </w:r>
    </w:p>
    <w:p>
      <w:pPr>
        <w:pStyle w:val="25"/>
        <w:ind w:firstLine="482"/>
        <w:rPr>
          <w:rFonts w:ascii="Times New Roman" w:hAnsi="Times New Roman" w:eastAsia="宋体" w:cs="Times New Roman"/>
          <w:b/>
          <w:color w:val="000000"/>
          <w:sz w:val="24"/>
          <w:szCs w:val="24"/>
        </w:rPr>
      </w:pPr>
      <w:r>
        <w:rPr>
          <w:rFonts w:hint="eastAsia" w:ascii="Times New Roman" w:hAnsi="Times New Roman" w:eastAsia="宋体" w:cs="Times New Roman"/>
          <w:b/>
          <w:color w:val="000000"/>
          <w:sz w:val="24"/>
          <w:szCs w:val="24"/>
        </w:rPr>
        <w:t>3、城市综合交通</w:t>
      </w:r>
    </w:p>
    <w:p>
      <w:pPr>
        <w:pStyle w:val="25"/>
        <w:ind w:firstLine="480"/>
        <w:rPr>
          <w:rFonts w:ascii="Times New Roman" w:hAnsi="Times New Roman" w:eastAsia="宋体" w:cs="Times New Roman"/>
          <w:color w:val="000000"/>
          <w:sz w:val="24"/>
          <w:szCs w:val="21"/>
        </w:rPr>
      </w:pPr>
      <w:r>
        <w:rPr>
          <w:rFonts w:hint="eastAsia" w:ascii="Times New Roman" w:hAnsi="Times New Roman" w:eastAsia="宋体" w:cs="Times New Roman"/>
          <w:color w:val="000000"/>
          <w:sz w:val="24"/>
          <w:szCs w:val="21"/>
        </w:rPr>
        <w:t>至2030年，主城区95%以上的居民单程出行时间不超过45分钟；公交分担率达到40%以上；机动车保有量控制在47.5万辆以内，千人拥有率250辆。</w:t>
      </w:r>
    </w:p>
    <w:p>
      <w:pPr>
        <w:pStyle w:val="25"/>
        <w:numPr>
          <w:ilvl w:val="0"/>
          <w:numId w:val="2"/>
        </w:numPr>
        <w:ind w:firstLineChars="0"/>
        <w:rPr>
          <w:rFonts w:ascii="Times New Roman" w:hAnsi="Times New Roman" w:eastAsia="宋体" w:cs="Times New Roman"/>
          <w:color w:val="000000"/>
          <w:sz w:val="24"/>
          <w:szCs w:val="21"/>
        </w:rPr>
      </w:pPr>
      <w:r>
        <w:rPr>
          <w:rFonts w:hint="eastAsia" w:ascii="Times New Roman" w:hAnsi="Times New Roman" w:eastAsia="宋体" w:cs="Times New Roman"/>
          <w:color w:val="000000"/>
          <w:sz w:val="24"/>
          <w:szCs w:val="21"/>
        </w:rPr>
        <w:t>铁路</w:t>
      </w:r>
    </w:p>
    <w:p>
      <w:pPr>
        <w:pStyle w:val="25"/>
        <w:ind w:firstLine="480"/>
        <w:rPr>
          <w:rFonts w:ascii="Times New Roman" w:hAnsi="Times New Roman" w:eastAsia="宋体" w:cs="Times New Roman"/>
          <w:color w:val="000000"/>
          <w:sz w:val="24"/>
          <w:szCs w:val="21"/>
        </w:rPr>
      </w:pPr>
      <w:r>
        <w:rPr>
          <w:rFonts w:hint="eastAsia" w:ascii="Times New Roman" w:hAnsi="Times New Roman" w:eastAsia="宋体" w:cs="Times New Roman"/>
          <w:color w:val="000000"/>
          <w:sz w:val="24"/>
          <w:szCs w:val="21"/>
        </w:rPr>
        <w:t>确立省域铁路客运中心地位，辐射平顶山、漯河、周口等豫南地区，建立以许昌东站为核心枢纽，对外联系周边城市的轨道网络体系。</w:t>
      </w:r>
    </w:p>
    <w:p>
      <w:pPr>
        <w:pStyle w:val="25"/>
        <w:ind w:firstLine="480"/>
        <w:rPr>
          <w:rFonts w:ascii="Times New Roman" w:hAnsi="Times New Roman" w:eastAsia="宋体" w:cs="Times New Roman"/>
          <w:color w:val="000000"/>
          <w:sz w:val="24"/>
          <w:szCs w:val="21"/>
        </w:rPr>
      </w:pPr>
      <w:r>
        <w:rPr>
          <w:rFonts w:hint="eastAsia" w:ascii="Times New Roman" w:hAnsi="Times New Roman" w:eastAsia="宋体" w:cs="Times New Roman"/>
          <w:color w:val="000000"/>
          <w:sz w:val="24"/>
          <w:szCs w:val="21"/>
        </w:rPr>
        <w:t>2条高速铁路客运专线：京广高铁（已建成运营）、郑合铁路（规划新建）。服务许昌及周边城市的远程客运。</w:t>
      </w:r>
    </w:p>
    <w:p>
      <w:pPr>
        <w:pStyle w:val="25"/>
        <w:ind w:firstLine="480"/>
        <w:rPr>
          <w:rFonts w:ascii="Times New Roman" w:hAnsi="Times New Roman" w:eastAsia="宋体" w:cs="Times New Roman"/>
          <w:color w:val="000000"/>
          <w:sz w:val="24"/>
          <w:szCs w:val="21"/>
        </w:rPr>
      </w:pPr>
      <w:r>
        <w:rPr>
          <w:rFonts w:hint="eastAsia" w:ascii="Times New Roman" w:hAnsi="Times New Roman" w:eastAsia="宋体" w:cs="Times New Roman"/>
          <w:color w:val="000000"/>
          <w:sz w:val="24"/>
          <w:szCs w:val="21"/>
        </w:rPr>
        <w:t>1条国家级干线铁路：京广铁路。是兼具客货功能的普通铁路，客运站场为现状许昌火车站，货运站场规划向北迁至农大路至周庄街之间地段。主要服务许昌市中远程的普通客流和货物运输。</w:t>
      </w:r>
    </w:p>
    <w:p>
      <w:pPr>
        <w:pStyle w:val="25"/>
        <w:ind w:firstLine="480"/>
        <w:rPr>
          <w:rFonts w:ascii="Times New Roman" w:hAnsi="Times New Roman" w:eastAsia="宋体" w:cs="Times New Roman"/>
          <w:color w:val="000000"/>
          <w:sz w:val="24"/>
          <w:szCs w:val="21"/>
        </w:rPr>
      </w:pPr>
      <w:r>
        <w:rPr>
          <w:rFonts w:hint="eastAsia" w:ascii="Times New Roman" w:hAnsi="Times New Roman" w:eastAsia="宋体" w:cs="Times New Roman"/>
          <w:color w:val="000000"/>
          <w:sz w:val="24"/>
          <w:szCs w:val="21"/>
        </w:rPr>
        <w:t>1条区域干线铁路：三洋铁路。是一条以货运为主、兼顾客运的区域性铁路干线，在主城区的西北部设置与京广铁路的联络线。</w:t>
      </w:r>
    </w:p>
    <w:p>
      <w:pPr>
        <w:pStyle w:val="25"/>
        <w:ind w:firstLine="480"/>
      </w:pPr>
      <w:r>
        <w:rPr>
          <w:rFonts w:hint="eastAsia" w:ascii="Times New Roman" w:hAnsi="Times New Roman" w:eastAsia="宋体" w:cs="Times New Roman"/>
          <w:color w:val="000000"/>
          <w:sz w:val="24"/>
          <w:szCs w:val="21"/>
        </w:rPr>
        <w:t>2条城际轻轨：郑州—许昌—漯河、郑州—许昌—平顶山，其中郑州至许昌主城区段共线布置，是未来许昌与中原城市群城市联系的主要交通方式，规划建议城际铁路从京广高速铁路线的西侧通过，进入许昌东站，并结合主城区的中心区，按照5-7公里间距布局轨道站点。</w:t>
      </w:r>
      <w:r>
        <w:t xml:space="preserve"> </w:t>
      </w:r>
      <w:r>
        <w:drawing>
          <wp:inline distT="0" distB="0" distL="0" distR="0">
            <wp:extent cx="5274310" cy="3698875"/>
            <wp:effectExtent l="0" t="0" r="2540" b="0"/>
            <wp:docPr id="152" name="图片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图片 152"/>
                    <pic:cNvPicPr>
                      <a:picLocks noChangeAspect="1"/>
                    </pic:cNvPicPr>
                  </pic:nvPicPr>
                  <pic:blipFill>
                    <a:blip r:embed="rId7"/>
                    <a:stretch>
                      <a:fillRect/>
                    </a:stretch>
                  </pic:blipFill>
                  <pic:spPr>
                    <a:xfrm>
                      <a:off x="0" y="0"/>
                      <a:ext cx="5274310" cy="3698875"/>
                    </a:xfrm>
                    <a:prstGeom prst="rect">
                      <a:avLst/>
                    </a:prstGeom>
                  </pic:spPr>
                </pic:pic>
              </a:graphicData>
            </a:graphic>
          </wp:inline>
        </w:drawing>
      </w:r>
    </w:p>
    <w:p>
      <w:pPr>
        <w:pStyle w:val="25"/>
        <w:ind w:firstLine="480"/>
        <w:jc w:val="center"/>
        <w:rPr>
          <w:rFonts w:ascii="Times New Roman" w:hAnsi="Times New Roman" w:eastAsia="宋体" w:cs="Times New Roman"/>
          <w:color w:val="000000"/>
          <w:sz w:val="24"/>
          <w:szCs w:val="21"/>
        </w:rPr>
      </w:pPr>
      <w:r>
        <w:rPr>
          <w:rFonts w:hint="eastAsia" w:ascii="Times New Roman" w:hAnsi="Times New Roman" w:eastAsia="宋体" w:cs="Times New Roman"/>
          <w:color w:val="000000"/>
          <w:sz w:val="24"/>
          <w:szCs w:val="21"/>
        </w:rPr>
        <w:t>图1.3 许昌市综合交通图</w:t>
      </w:r>
    </w:p>
    <w:p>
      <w:pPr>
        <w:pStyle w:val="25"/>
        <w:numPr>
          <w:ilvl w:val="0"/>
          <w:numId w:val="2"/>
        </w:numPr>
        <w:ind w:firstLineChars="0"/>
        <w:rPr>
          <w:rFonts w:ascii="Times New Roman" w:hAnsi="Times New Roman" w:eastAsia="宋体" w:cs="Times New Roman"/>
          <w:color w:val="000000"/>
          <w:sz w:val="24"/>
          <w:szCs w:val="21"/>
        </w:rPr>
      </w:pPr>
      <w:r>
        <w:rPr>
          <w:rFonts w:hint="eastAsia" w:ascii="Times New Roman" w:hAnsi="Times New Roman" w:eastAsia="宋体" w:cs="Times New Roman"/>
          <w:color w:val="000000"/>
          <w:sz w:val="24"/>
          <w:szCs w:val="21"/>
        </w:rPr>
        <w:t>公路</w:t>
      </w:r>
    </w:p>
    <w:p>
      <w:pPr>
        <w:pStyle w:val="25"/>
        <w:ind w:firstLine="480"/>
        <w:rPr>
          <w:rFonts w:ascii="Times New Roman" w:hAnsi="Times New Roman" w:eastAsia="宋体" w:cs="Times New Roman"/>
          <w:color w:val="000000"/>
          <w:sz w:val="24"/>
          <w:szCs w:val="21"/>
        </w:rPr>
      </w:pPr>
      <w:r>
        <w:rPr>
          <w:rFonts w:hint="eastAsia" w:ascii="Times New Roman" w:hAnsi="Times New Roman" w:eastAsia="宋体" w:cs="Times New Roman"/>
          <w:color w:val="000000"/>
          <w:sz w:val="24"/>
          <w:szCs w:val="21"/>
        </w:rPr>
        <w:t>强化高速公路、公路与城市道路的衔接，构筑一体化综合运输网络。</w:t>
      </w:r>
    </w:p>
    <w:p>
      <w:pPr>
        <w:pStyle w:val="25"/>
        <w:ind w:firstLine="480"/>
        <w:rPr>
          <w:rFonts w:ascii="Times New Roman" w:hAnsi="Times New Roman" w:eastAsia="宋体" w:cs="Times New Roman"/>
          <w:color w:val="000000"/>
          <w:sz w:val="24"/>
          <w:szCs w:val="21"/>
        </w:rPr>
      </w:pPr>
      <w:r>
        <w:rPr>
          <w:rFonts w:hint="eastAsia" w:ascii="Times New Roman" w:hAnsi="Times New Roman" w:eastAsia="宋体" w:cs="Times New Roman"/>
          <w:color w:val="000000"/>
          <w:sz w:val="24"/>
          <w:szCs w:val="21"/>
        </w:rPr>
        <w:t>（1）高速公路</w:t>
      </w:r>
    </w:p>
    <w:p>
      <w:pPr>
        <w:pStyle w:val="25"/>
        <w:ind w:firstLine="480"/>
        <w:rPr>
          <w:rFonts w:ascii="Times New Roman" w:hAnsi="Times New Roman" w:eastAsia="宋体" w:cs="Times New Roman"/>
          <w:color w:val="000000"/>
          <w:sz w:val="24"/>
          <w:szCs w:val="21"/>
        </w:rPr>
      </w:pPr>
      <w:r>
        <w:rPr>
          <w:rFonts w:hint="eastAsia" w:ascii="Times New Roman" w:hAnsi="Times New Roman" w:eastAsia="宋体" w:cs="Times New Roman"/>
          <w:color w:val="000000"/>
          <w:sz w:val="24"/>
          <w:szCs w:val="21"/>
        </w:rPr>
        <w:t>主城区内有高速公路4条，分别为京港澳高速、永登高速、兰南高速和规划高速连接线，在区域层面，形成以主城区为核心，放射状路网系统，规划保留现状5个高速公路出入口，并对 .许昌东区出入口进行改造提升，新增高速公路出入口3处。</w:t>
      </w:r>
    </w:p>
    <w:p>
      <w:pPr>
        <w:pStyle w:val="25"/>
        <w:ind w:firstLine="480"/>
        <w:rPr>
          <w:rFonts w:ascii="Times New Roman" w:hAnsi="Times New Roman" w:eastAsia="宋体" w:cs="Times New Roman"/>
          <w:color w:val="000000"/>
          <w:sz w:val="24"/>
          <w:szCs w:val="21"/>
        </w:rPr>
      </w:pPr>
      <w:r>
        <w:rPr>
          <w:rFonts w:hint="eastAsia" w:ascii="Times New Roman" w:hAnsi="Times New Roman" w:eastAsia="宋体" w:cs="Times New Roman"/>
          <w:color w:val="000000"/>
          <w:sz w:val="24"/>
          <w:szCs w:val="21"/>
        </w:rPr>
        <w:t>（2）国道</w:t>
      </w:r>
    </w:p>
    <w:p>
      <w:pPr>
        <w:pStyle w:val="25"/>
        <w:ind w:firstLine="480"/>
        <w:rPr>
          <w:rFonts w:ascii="Times New Roman" w:hAnsi="Times New Roman" w:eastAsia="宋体" w:cs="Times New Roman"/>
          <w:color w:val="000000"/>
          <w:sz w:val="24"/>
          <w:szCs w:val="21"/>
        </w:rPr>
      </w:pPr>
      <w:r>
        <w:rPr>
          <w:rFonts w:hint="eastAsia" w:ascii="Times New Roman" w:hAnsi="Times New Roman" w:eastAsia="宋体" w:cs="Times New Roman"/>
          <w:color w:val="000000"/>
          <w:sz w:val="24"/>
          <w:szCs w:val="21"/>
        </w:rPr>
        <w:t>主城区内有国道3条，G107、G311和现状S220升级改造。国道以改造为主，减少绕行距离，并使之与城市交通相分离，迁至城市边缘。其中，G107远期外迁至主城区中原路的东侧；G311（南外环段）远期延长与G107相接；S220升级为国道，在主城区内，与西外环和北苑大道结合新建。</w:t>
      </w:r>
    </w:p>
    <w:p>
      <w:pPr>
        <w:pStyle w:val="25"/>
        <w:ind w:firstLine="480"/>
        <w:rPr>
          <w:rFonts w:ascii="Times New Roman" w:hAnsi="Times New Roman" w:eastAsia="宋体" w:cs="Times New Roman"/>
          <w:color w:val="000000"/>
          <w:sz w:val="24"/>
          <w:szCs w:val="21"/>
        </w:rPr>
      </w:pPr>
      <w:r>
        <w:rPr>
          <w:rFonts w:hint="eastAsia" w:ascii="Times New Roman" w:hAnsi="Times New Roman" w:eastAsia="宋体" w:cs="Times New Roman"/>
          <w:color w:val="000000"/>
          <w:sz w:val="24"/>
          <w:szCs w:val="21"/>
        </w:rPr>
        <w:t>（3）省道</w:t>
      </w:r>
    </w:p>
    <w:p>
      <w:pPr>
        <w:pStyle w:val="25"/>
        <w:ind w:firstLine="480"/>
        <w:rPr>
          <w:rFonts w:ascii="Times New Roman" w:hAnsi="Times New Roman" w:eastAsia="宋体" w:cs="Times New Roman"/>
          <w:color w:val="000000"/>
          <w:sz w:val="24"/>
          <w:szCs w:val="21"/>
        </w:rPr>
      </w:pPr>
      <w:r>
        <w:rPr>
          <w:rFonts w:hint="eastAsia" w:ascii="Times New Roman" w:hAnsi="Times New Roman" w:eastAsia="宋体" w:cs="Times New Roman"/>
          <w:color w:val="000000"/>
          <w:sz w:val="24"/>
          <w:szCs w:val="21"/>
        </w:rPr>
        <w:t>主城区内有省道2条，S325和S320。以改造为主，加强衔接。其中，S325改与永昌路衔接，限制过多的过境交通通过天宝路进入许昌东站；S320与新元大道相衔接，是周边镇区进入示范区副中心的主要通道。</w:t>
      </w:r>
    </w:p>
    <w:p>
      <w:pPr>
        <w:pStyle w:val="25"/>
        <w:numPr>
          <w:ilvl w:val="0"/>
          <w:numId w:val="2"/>
        </w:numPr>
        <w:ind w:firstLineChars="0"/>
        <w:rPr>
          <w:rFonts w:ascii="Times New Roman" w:eastAsia="宋体"/>
          <w:sz w:val="24"/>
          <w:szCs w:val="21"/>
        </w:rPr>
      </w:pPr>
      <w:r>
        <w:rPr>
          <w:rFonts w:hint="eastAsia" w:ascii="Times New Roman" w:eastAsia="宋体"/>
          <w:sz w:val="24"/>
          <w:szCs w:val="21"/>
        </w:rPr>
        <w:t>城市汽车客运站</w:t>
      </w:r>
    </w:p>
    <w:p>
      <w:pPr>
        <w:pStyle w:val="25"/>
        <w:ind w:firstLine="480"/>
        <w:rPr>
          <w:rFonts w:ascii="Times New Roman" w:eastAsia="宋体"/>
          <w:sz w:val="24"/>
          <w:szCs w:val="21"/>
        </w:rPr>
      </w:pPr>
      <w:r>
        <w:rPr>
          <w:rFonts w:hint="eastAsia" w:ascii="Times New Roman" w:eastAsia="宋体"/>
          <w:sz w:val="24"/>
          <w:szCs w:val="21"/>
        </w:rPr>
        <w:t>本次规划确定主城区内一级车站1个，二级车站</w:t>
      </w:r>
      <w:r>
        <w:rPr>
          <w:rFonts w:hint="eastAsia" w:eastAsia="宋体"/>
          <w:sz w:val="24"/>
          <w:szCs w:val="21"/>
        </w:rPr>
        <w:t>2</w:t>
      </w:r>
      <w:r>
        <w:rPr>
          <w:rFonts w:hint="eastAsia" w:ascii="Times New Roman" w:eastAsia="宋体"/>
          <w:sz w:val="24"/>
          <w:szCs w:val="21"/>
        </w:rPr>
        <w:t>个，三级车站</w:t>
      </w:r>
      <w:r>
        <w:rPr>
          <w:rFonts w:hint="eastAsia" w:eastAsia="宋体"/>
          <w:sz w:val="24"/>
          <w:szCs w:val="21"/>
        </w:rPr>
        <w:t>4</w:t>
      </w:r>
      <w:r>
        <w:rPr>
          <w:rFonts w:hint="eastAsia" w:ascii="Times New Roman" w:eastAsia="宋体"/>
          <w:sz w:val="24"/>
          <w:szCs w:val="21"/>
        </w:rPr>
        <w:t>个。</w:t>
      </w:r>
    </w:p>
    <w:p>
      <w:pPr>
        <w:pStyle w:val="25"/>
        <w:ind w:firstLine="480"/>
        <w:rPr>
          <w:rFonts w:ascii="Times New Roman" w:hAnsi="Times New Roman" w:eastAsia="宋体" w:cs="Times New Roman"/>
          <w:color w:val="000000"/>
          <w:sz w:val="24"/>
          <w:szCs w:val="21"/>
        </w:rPr>
      </w:pPr>
      <w:r>
        <w:rPr>
          <w:rFonts w:hint="eastAsia" w:ascii="Times New Roman" w:hAnsi="Times New Roman" w:eastAsia="宋体" w:cs="Times New Roman"/>
          <w:color w:val="000000"/>
          <w:sz w:val="24"/>
          <w:szCs w:val="21"/>
        </w:rPr>
        <w:t>一级车站：为许昌汽车东站，结合许昌高铁东站设置，用地规模为5公顷。</w:t>
      </w:r>
    </w:p>
    <w:p>
      <w:pPr>
        <w:pStyle w:val="25"/>
        <w:ind w:firstLine="480"/>
        <w:rPr>
          <w:rFonts w:ascii="Times New Roman" w:hAnsi="Times New Roman" w:eastAsia="宋体" w:cs="Times New Roman"/>
          <w:color w:val="000000"/>
          <w:sz w:val="24"/>
          <w:szCs w:val="21"/>
        </w:rPr>
      </w:pPr>
      <w:r>
        <w:rPr>
          <w:rFonts w:hint="eastAsia" w:ascii="Times New Roman" w:hAnsi="Times New Roman" w:eastAsia="宋体" w:cs="Times New Roman"/>
          <w:color w:val="000000"/>
          <w:sz w:val="24"/>
          <w:szCs w:val="21"/>
        </w:rPr>
        <w:t>二级车站：包括许昌汽车站和小召汽车站，其中，许昌汽车站为现状车站，用地规模为1.5公顷，小召汽车站结合许昌高铁北站设置，用地规模为3公顷。</w:t>
      </w:r>
    </w:p>
    <w:p>
      <w:pPr>
        <w:pStyle w:val="25"/>
        <w:ind w:firstLine="480"/>
        <w:rPr>
          <w:rFonts w:ascii="Times New Roman" w:hAnsi="Times New Roman" w:eastAsia="宋体" w:cs="Times New Roman"/>
          <w:color w:val="000000"/>
          <w:sz w:val="24"/>
          <w:szCs w:val="21"/>
        </w:rPr>
      </w:pPr>
      <w:r>
        <w:rPr>
          <w:rFonts w:hint="eastAsia" w:ascii="Times New Roman" w:hAnsi="Times New Roman" w:eastAsia="宋体" w:cs="Times New Roman"/>
          <w:color w:val="000000"/>
          <w:sz w:val="24"/>
          <w:szCs w:val="21"/>
        </w:rPr>
        <w:t>三级车站：包括新元汽车站、许昌汽车北站、许昌汽车南站、许昌汽车西站和苏桥汽车站，其中许昌汽车北站用地规划为2.5公顷，新元汽车站、许昌汽车南站和许昌汽车西站用地规划为2公顷，苏桥汽车站用地规模为1.5公顷。</w:t>
      </w:r>
    </w:p>
    <w:p>
      <w:pPr>
        <w:pStyle w:val="37"/>
        <w:spacing w:line="360" w:lineRule="auto"/>
        <w:ind w:firstLine="482"/>
        <w:rPr>
          <w:rFonts w:ascii="宋体" w:hAnsi="宋体"/>
          <w:b/>
        </w:rPr>
      </w:pPr>
      <w:r>
        <w:rPr>
          <w:rFonts w:hint="eastAsia" w:ascii="宋体" w:hAnsi="宋体"/>
          <w:b/>
        </w:rPr>
        <w:t>4、城市抗震防灾规划要求</w:t>
      </w:r>
    </w:p>
    <w:p>
      <w:pPr>
        <w:spacing w:line="360" w:lineRule="auto"/>
        <w:ind w:firstLine="420"/>
        <w:rPr>
          <w:rFonts w:ascii="宋体" w:hAnsi="宋体"/>
          <w:sz w:val="24"/>
          <w:szCs w:val="24"/>
        </w:rPr>
      </w:pPr>
      <w:r>
        <w:rPr>
          <w:rFonts w:hint="eastAsia" w:ascii="宋体" w:hAnsi="宋体"/>
          <w:sz w:val="24"/>
          <w:szCs w:val="24"/>
        </w:rPr>
        <w:t>（1）抗震设防标准</w:t>
      </w:r>
    </w:p>
    <w:p>
      <w:pPr>
        <w:spacing w:line="360" w:lineRule="auto"/>
        <w:ind w:firstLine="420"/>
        <w:rPr>
          <w:rFonts w:ascii="宋体" w:hAnsi="宋体"/>
          <w:sz w:val="24"/>
          <w:szCs w:val="24"/>
        </w:rPr>
      </w:pPr>
      <w:r>
        <w:rPr>
          <w:rFonts w:hint="eastAsia" w:ascii="宋体" w:hAnsi="宋体"/>
          <w:sz w:val="24"/>
          <w:szCs w:val="24"/>
        </w:rPr>
        <w:t>许昌市的地震烈度为Ⅶ度。</w:t>
      </w:r>
    </w:p>
    <w:p>
      <w:pPr>
        <w:spacing w:line="360" w:lineRule="auto"/>
        <w:ind w:firstLine="420"/>
        <w:rPr>
          <w:rFonts w:ascii="宋体" w:hAnsi="宋体"/>
          <w:sz w:val="24"/>
          <w:szCs w:val="24"/>
        </w:rPr>
      </w:pPr>
      <w:r>
        <w:rPr>
          <w:rFonts w:hint="eastAsia" w:ascii="宋体" w:hAnsi="宋体"/>
          <w:sz w:val="24"/>
          <w:szCs w:val="24"/>
        </w:rPr>
        <w:t>主城区内的地震断裂带主要有：许昌-禹州断裂、许昌-太康断层、灵井-董村断裂、将官池断裂和长村张-东夏亭断裂带。甲类建筑应避开主断裂带。</w:t>
      </w:r>
    </w:p>
    <w:p>
      <w:pPr>
        <w:spacing w:line="360" w:lineRule="auto"/>
        <w:ind w:firstLine="420"/>
        <w:rPr>
          <w:rFonts w:ascii="宋体" w:hAnsi="宋体"/>
          <w:sz w:val="24"/>
          <w:szCs w:val="24"/>
        </w:rPr>
      </w:pPr>
      <w:r>
        <w:rPr>
          <w:rFonts w:hint="eastAsia" w:ascii="宋体" w:hAnsi="宋体"/>
          <w:sz w:val="24"/>
          <w:szCs w:val="24"/>
        </w:rPr>
        <w:t>（2）公共避震场所</w:t>
      </w:r>
    </w:p>
    <w:p>
      <w:pPr>
        <w:spacing w:line="360" w:lineRule="auto"/>
        <w:ind w:firstLine="420"/>
        <w:rPr>
          <w:rFonts w:ascii="宋体" w:hAnsi="宋体"/>
          <w:sz w:val="24"/>
          <w:szCs w:val="24"/>
        </w:rPr>
      </w:pPr>
      <w:r>
        <w:rPr>
          <w:rFonts w:hint="eastAsia" w:ascii="宋体" w:hAnsi="宋体"/>
          <w:sz w:val="24"/>
          <w:szCs w:val="24"/>
        </w:rPr>
        <w:t>公共避震场所分为紧急避震场所、固定避震场所和中心避震场所三种类型。结合城市公园、绿地、广场、运动场建设。</w:t>
      </w:r>
    </w:p>
    <w:p>
      <w:pPr>
        <w:spacing w:line="360" w:lineRule="auto"/>
        <w:ind w:firstLine="420"/>
        <w:rPr>
          <w:rFonts w:ascii="宋体" w:hAnsi="宋体"/>
          <w:sz w:val="24"/>
          <w:szCs w:val="24"/>
        </w:rPr>
      </w:pPr>
      <w:r>
        <w:rPr>
          <w:rFonts w:hint="eastAsia" w:ascii="宋体" w:hAnsi="宋体"/>
          <w:sz w:val="24"/>
          <w:szCs w:val="24"/>
        </w:rPr>
        <w:t>紧急避震疏散场所人均有效避难面积不小于l平方米，起紧急避震疏散场所作用的超高层建筑避难层（间）的人均有效避难面积不小于0.2平方米，紧急避震疏散场所的服务半径宜为500m。</w:t>
      </w:r>
    </w:p>
    <w:p>
      <w:pPr>
        <w:spacing w:line="360" w:lineRule="auto"/>
        <w:ind w:firstLine="420"/>
        <w:rPr>
          <w:rFonts w:ascii="宋体" w:hAnsi="宋体"/>
          <w:sz w:val="24"/>
          <w:szCs w:val="24"/>
        </w:rPr>
      </w:pPr>
      <w:r>
        <w:rPr>
          <w:rFonts w:hint="eastAsia" w:ascii="宋体" w:hAnsi="宋体"/>
          <w:sz w:val="24"/>
          <w:szCs w:val="24"/>
        </w:rPr>
        <w:t>固定避震疏散场所人均有效避难面积不小于2平方米，固定避震疏散场所的服务半径宜为2～3km。</w:t>
      </w:r>
    </w:p>
    <w:p>
      <w:pPr>
        <w:spacing w:line="360" w:lineRule="auto"/>
        <w:ind w:firstLine="420"/>
        <w:rPr>
          <w:rFonts w:ascii="宋体" w:hAnsi="宋体"/>
          <w:sz w:val="24"/>
          <w:szCs w:val="24"/>
        </w:rPr>
      </w:pPr>
      <w:r>
        <w:rPr>
          <w:rFonts w:hint="eastAsia" w:ascii="宋体" w:hAnsi="宋体"/>
          <w:sz w:val="24"/>
          <w:szCs w:val="24"/>
        </w:rPr>
        <w:t>中心避震场所面积不小于50公顷。</w:t>
      </w:r>
    </w:p>
    <w:p>
      <w:pPr>
        <w:spacing w:line="360" w:lineRule="auto"/>
        <w:ind w:firstLine="420"/>
        <w:rPr>
          <w:rFonts w:ascii="宋体" w:hAnsi="宋体"/>
          <w:sz w:val="24"/>
          <w:szCs w:val="24"/>
        </w:rPr>
      </w:pPr>
      <w:r>
        <w:rPr>
          <w:rFonts w:hint="eastAsia" w:ascii="宋体" w:hAnsi="宋体"/>
          <w:sz w:val="24"/>
          <w:szCs w:val="24"/>
        </w:rPr>
        <w:t>（3）避震疏散通道</w:t>
      </w:r>
    </w:p>
    <w:p>
      <w:pPr>
        <w:spacing w:line="360" w:lineRule="auto"/>
        <w:ind w:firstLine="420"/>
        <w:rPr>
          <w:rFonts w:ascii="宋体" w:hAnsi="宋体"/>
          <w:sz w:val="24"/>
          <w:szCs w:val="24"/>
        </w:rPr>
      </w:pPr>
      <w:r>
        <w:rPr>
          <w:rFonts w:hint="eastAsia" w:ascii="宋体" w:hAnsi="宋体"/>
          <w:sz w:val="24"/>
          <w:szCs w:val="24"/>
        </w:rPr>
        <w:t>依托城市高速路网构筑对外应急主通道；依托城市主干路、次干路、支路建设内部应急通道或辅助通道系统，城市组团之间保证两条以上通道联系；各住宅区应有避灾道路连接公共避震场所；各级避灾道路应建成相互贯通的网络状，能够衔接各避震场所，形成完善的避灾道路系统，保证救援疏散的需要。</w:t>
      </w:r>
    </w:p>
    <w:p>
      <w:pPr>
        <w:spacing w:line="360" w:lineRule="auto"/>
        <w:ind w:firstLine="420"/>
        <w:rPr>
          <w:rFonts w:ascii="宋体" w:hAnsi="宋体"/>
          <w:sz w:val="24"/>
          <w:szCs w:val="24"/>
        </w:rPr>
      </w:pPr>
      <w:r>
        <w:rPr>
          <w:rFonts w:hint="eastAsia" w:ascii="宋体" w:hAnsi="宋体"/>
          <w:sz w:val="24"/>
          <w:szCs w:val="24"/>
        </w:rPr>
        <w:t>紧急避震疏散场所内外的避震疏散通道有效宽度不宜低于4m，固定避震疏散场所内外的避震疏散主通道有效宽度不宜低于7m。与城市出入口、中心避震疏散场所、市政府抗震救灾指挥中心相连的救灾主干路不宜低于15m。避震疏散主通道两侧的建筑应能保障疏散通道的安全畅通。</w:t>
      </w:r>
    </w:p>
    <w:p>
      <w:pPr>
        <w:spacing w:line="360" w:lineRule="auto"/>
        <w:rPr>
          <w:rFonts w:ascii="宋体" w:hAnsi="宋体"/>
          <w:sz w:val="24"/>
          <w:szCs w:val="24"/>
        </w:rPr>
      </w:pPr>
      <w:r>
        <w:drawing>
          <wp:inline distT="0" distB="0" distL="0" distR="0">
            <wp:extent cx="5274310" cy="3571875"/>
            <wp:effectExtent l="0" t="0" r="2540" b="9525"/>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1"/>
                    <pic:cNvPicPr>
                      <a:picLocks noChangeAspect="1"/>
                    </pic:cNvPicPr>
                  </pic:nvPicPr>
                  <pic:blipFill>
                    <a:blip r:embed="rId8"/>
                    <a:stretch>
                      <a:fillRect/>
                    </a:stretch>
                  </pic:blipFill>
                  <pic:spPr>
                    <a:xfrm>
                      <a:off x="0" y="0"/>
                      <a:ext cx="5274310" cy="3571875"/>
                    </a:xfrm>
                    <a:prstGeom prst="rect">
                      <a:avLst/>
                    </a:prstGeom>
                  </pic:spPr>
                </pic:pic>
              </a:graphicData>
            </a:graphic>
          </wp:inline>
        </w:drawing>
      </w:r>
    </w:p>
    <w:p>
      <w:pPr>
        <w:spacing w:line="360" w:lineRule="auto"/>
        <w:jc w:val="center"/>
        <w:rPr>
          <w:sz w:val="24"/>
          <w:szCs w:val="24"/>
        </w:rPr>
      </w:pPr>
      <w:r>
        <w:rPr>
          <w:rFonts w:ascii="宋体" w:hAnsi="宋体"/>
          <w:sz w:val="24"/>
          <w:szCs w:val="24"/>
        </w:rPr>
        <w:t>图1.4</w:t>
      </w:r>
      <w:r>
        <w:rPr>
          <w:rFonts w:hint="eastAsia" w:ascii="宋体" w:hAnsi="宋体"/>
          <w:sz w:val="24"/>
          <w:szCs w:val="24"/>
        </w:rPr>
        <w:t xml:space="preserve"> 许昌市综合防灾规划图</w:t>
      </w:r>
    </w:p>
    <w:p>
      <w:pPr>
        <w:pStyle w:val="4"/>
        <w:rPr>
          <w:sz w:val="24"/>
          <w:szCs w:val="24"/>
        </w:rPr>
      </w:pPr>
      <w:bookmarkStart w:id="25" w:name="_Toc503267559"/>
      <w:bookmarkStart w:id="26" w:name="_Toc417409882"/>
      <w:bookmarkStart w:id="27" w:name="_Toc261883442"/>
      <w:bookmarkStart w:id="28" w:name="_Toc290032660"/>
      <w:bookmarkStart w:id="29" w:name="_Toc417410094"/>
      <w:r>
        <w:rPr>
          <w:rFonts w:hint="eastAsia"/>
        </w:rPr>
        <w:t>1</w:t>
      </w:r>
      <w:r>
        <w:t xml:space="preserve">.3 </w:t>
      </w:r>
      <w:r>
        <w:rPr>
          <w:rFonts w:hint="eastAsia"/>
        </w:rPr>
        <w:t>许昌市地震地质环境</w:t>
      </w:r>
      <w:bookmarkEnd w:id="25"/>
      <w:bookmarkEnd w:id="26"/>
      <w:bookmarkEnd w:id="27"/>
      <w:bookmarkEnd w:id="28"/>
      <w:bookmarkEnd w:id="29"/>
    </w:p>
    <w:p>
      <w:pPr>
        <w:pStyle w:val="37"/>
        <w:spacing w:line="360" w:lineRule="auto"/>
        <w:rPr>
          <w:rFonts w:ascii="宋体" w:hAnsi="宋体"/>
          <w:color w:val="auto"/>
        </w:rPr>
      </w:pPr>
      <w:r>
        <w:rPr>
          <w:rFonts w:hint="eastAsia" w:ascii="宋体" w:hAnsi="宋体"/>
          <w:color w:val="auto"/>
        </w:rPr>
        <w:t>许昌地处中国河南省腹地，北临郑州，西依伏牛山脉、中岳嵩山，东、南接黄淮海大平原，介于东经112°42′-114°14′，北纬34°16′--34°58′之间。许昌市所处大地构造位置为秦岭东西向复杂构造体系的北亚带与新华夏系华北沉降带的联合部位，相当于槽台学派的中朝准地台二级构造单元豫西断块与华北拗陷的邻接部位，因受两大构造体系的控制，区内断裂构造非常发育。历史上许昌地区为地震多发区，具有大震和震群交替出现的特点。据文献资料统计，曾发生有感地震20多次，5级以上的破坏性有1524年的5.43级地震等[参考文献：张本的，王国清.</w:t>
      </w:r>
      <w:r>
        <w:rPr>
          <w:rFonts w:hint="eastAsia"/>
        </w:rPr>
        <w:t xml:space="preserve"> </w:t>
      </w:r>
      <w:r>
        <w:rPr>
          <w:rFonts w:hint="eastAsia" w:ascii="宋体" w:hAnsi="宋体"/>
          <w:color w:val="auto"/>
        </w:rPr>
        <w:t>许昌地区历史地震统计分析[J].</w:t>
      </w:r>
      <w:r>
        <w:rPr>
          <w:rFonts w:hint="eastAsia"/>
        </w:rPr>
        <w:t xml:space="preserve"> </w:t>
      </w:r>
      <w:r>
        <w:rPr>
          <w:rFonts w:hint="eastAsia" w:ascii="宋体" w:hAnsi="宋体"/>
          <w:color w:val="auto"/>
        </w:rPr>
        <w:t>深河职业技术学院学报，2002，1（3）：68-</w:t>
      </w:r>
      <w:r>
        <w:rPr>
          <w:rFonts w:ascii="宋体" w:hAnsi="宋体"/>
          <w:color w:val="auto"/>
        </w:rPr>
        <w:t>71</w:t>
      </w:r>
      <w:r>
        <w:rPr>
          <w:rFonts w:hint="eastAsia" w:ascii="宋体" w:hAnsi="宋体"/>
          <w:color w:val="auto"/>
        </w:rPr>
        <w:t>]。</w:t>
      </w:r>
    </w:p>
    <w:p>
      <w:pPr>
        <w:pStyle w:val="37"/>
        <w:spacing w:line="360" w:lineRule="auto"/>
        <w:ind w:firstLine="0" w:firstLineChars="0"/>
        <w:rPr>
          <w:rFonts w:ascii="宋体" w:hAnsi="宋体"/>
          <w:color w:val="auto"/>
        </w:rPr>
      </w:pPr>
      <w:r>
        <w:drawing>
          <wp:inline distT="0" distB="0" distL="0" distR="0">
            <wp:extent cx="5273675" cy="2636520"/>
            <wp:effectExtent l="0" t="0" r="3175" b="0"/>
            <wp:docPr id="150" name="图片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 name="图片 150"/>
                    <pic:cNvPicPr>
                      <a:picLocks noChangeAspect="1"/>
                    </pic:cNvPicPr>
                  </pic:nvPicPr>
                  <pic:blipFill>
                    <a:blip r:embed="rId9"/>
                    <a:srcRect t="13887" b="34707"/>
                    <a:stretch>
                      <a:fillRect/>
                    </a:stretch>
                  </pic:blipFill>
                  <pic:spPr>
                    <a:xfrm>
                      <a:off x="0" y="0"/>
                      <a:ext cx="5274310" cy="2637193"/>
                    </a:xfrm>
                    <a:prstGeom prst="rect">
                      <a:avLst/>
                    </a:prstGeom>
                    <a:ln>
                      <a:noFill/>
                    </a:ln>
                  </pic:spPr>
                </pic:pic>
              </a:graphicData>
            </a:graphic>
          </wp:inline>
        </w:drawing>
      </w:r>
    </w:p>
    <w:p>
      <w:pPr>
        <w:pStyle w:val="37"/>
        <w:spacing w:line="360" w:lineRule="auto"/>
        <w:ind w:firstLine="0" w:firstLineChars="0"/>
        <w:jc w:val="center"/>
        <w:rPr>
          <w:rFonts w:ascii="宋体" w:hAnsi="宋体"/>
          <w:color w:val="auto"/>
        </w:rPr>
      </w:pPr>
      <w:r>
        <w:rPr>
          <w:rFonts w:hint="eastAsia" w:ascii="宋体" w:hAnsi="宋体"/>
          <w:color w:val="auto"/>
        </w:rPr>
        <w:t>图1.</w:t>
      </w:r>
      <w:r>
        <w:rPr>
          <w:rFonts w:ascii="宋体" w:hAnsi="宋体"/>
          <w:color w:val="auto"/>
        </w:rPr>
        <w:t xml:space="preserve">5  </w:t>
      </w:r>
      <w:r>
        <w:rPr>
          <w:rFonts w:hint="eastAsia" w:ascii="宋体" w:hAnsi="宋体"/>
          <w:color w:val="auto"/>
        </w:rPr>
        <w:t>许昌市地震动峰值加速度（g）</w:t>
      </w:r>
    </w:p>
    <w:p>
      <w:pPr>
        <w:pStyle w:val="37"/>
        <w:spacing w:line="360" w:lineRule="auto"/>
        <w:ind w:firstLine="0" w:firstLineChars="0"/>
        <w:rPr>
          <w:rFonts w:ascii="宋体" w:hAnsi="宋体"/>
          <w:color w:val="auto"/>
        </w:rPr>
      </w:pPr>
      <w:r>
        <w:drawing>
          <wp:inline distT="0" distB="0" distL="0" distR="0">
            <wp:extent cx="5273675" cy="2519680"/>
            <wp:effectExtent l="0" t="0" r="3175"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pic:cNvPicPr>
                  </pic:nvPicPr>
                  <pic:blipFill>
                    <a:blip r:embed="rId10"/>
                    <a:srcRect t="13916" b="36848"/>
                    <a:stretch>
                      <a:fillRect/>
                    </a:stretch>
                  </pic:blipFill>
                  <pic:spPr>
                    <a:xfrm>
                      <a:off x="0" y="0"/>
                      <a:ext cx="5274310" cy="2520219"/>
                    </a:xfrm>
                    <a:prstGeom prst="rect">
                      <a:avLst/>
                    </a:prstGeom>
                    <a:ln>
                      <a:noFill/>
                    </a:ln>
                  </pic:spPr>
                </pic:pic>
              </a:graphicData>
            </a:graphic>
          </wp:inline>
        </w:drawing>
      </w:r>
    </w:p>
    <w:p>
      <w:pPr>
        <w:pStyle w:val="37"/>
        <w:spacing w:line="360" w:lineRule="auto"/>
        <w:ind w:firstLine="0" w:firstLineChars="0"/>
        <w:jc w:val="center"/>
        <w:rPr>
          <w:rFonts w:ascii="宋体" w:hAnsi="宋体"/>
          <w:color w:val="auto"/>
        </w:rPr>
      </w:pPr>
      <w:r>
        <w:rPr>
          <w:rFonts w:hint="eastAsia" w:ascii="宋体" w:hAnsi="宋体"/>
          <w:color w:val="auto"/>
        </w:rPr>
        <w:t>图1.</w:t>
      </w:r>
      <w:r>
        <w:rPr>
          <w:rFonts w:ascii="宋体" w:hAnsi="宋体"/>
          <w:color w:val="auto"/>
        </w:rPr>
        <w:t xml:space="preserve">6  </w:t>
      </w:r>
      <w:r>
        <w:rPr>
          <w:rFonts w:hint="eastAsia" w:ascii="宋体" w:hAnsi="宋体"/>
          <w:color w:val="auto"/>
        </w:rPr>
        <w:t>许昌市地震动特征周期（s）</w:t>
      </w:r>
    </w:p>
    <w:p>
      <w:pPr>
        <w:pStyle w:val="37"/>
        <w:spacing w:line="360" w:lineRule="auto"/>
        <w:ind w:firstLine="0" w:firstLineChars="0"/>
        <w:jc w:val="center"/>
        <w:rPr>
          <w:rFonts w:ascii="宋体" w:hAnsi="宋体"/>
          <w:color w:val="auto"/>
        </w:rPr>
      </w:pPr>
    </w:p>
    <w:p>
      <w:pPr>
        <w:pStyle w:val="37"/>
        <w:spacing w:line="360" w:lineRule="auto"/>
        <w:ind w:firstLine="0" w:firstLineChars="0"/>
        <w:jc w:val="center"/>
        <w:rPr>
          <w:rFonts w:ascii="宋体" w:hAnsi="宋体"/>
          <w:color w:val="auto"/>
        </w:rPr>
      </w:pPr>
      <w:r>
        <w:rPr>
          <w:rFonts w:hint="eastAsia" w:ascii="宋体" w:hAnsi="宋体"/>
          <w:color w:val="auto"/>
        </w:rPr>
        <w:t>表1 许昌历史地震统计表</w:t>
      </w:r>
    </w:p>
    <w:p>
      <w:pPr>
        <w:pStyle w:val="37"/>
        <w:spacing w:line="360" w:lineRule="auto"/>
        <w:ind w:firstLine="0" w:firstLineChars="0"/>
        <w:rPr>
          <w:rFonts w:ascii="宋体" w:hAnsi="宋体"/>
          <w:color w:val="auto"/>
        </w:rPr>
      </w:pPr>
      <w:r>
        <w:drawing>
          <wp:inline distT="0" distB="0" distL="0" distR="0">
            <wp:extent cx="5274310" cy="5096510"/>
            <wp:effectExtent l="0" t="0" r="2540" b="889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2"/>
                    <pic:cNvPicPr>
                      <a:picLocks noChangeAspect="1"/>
                    </pic:cNvPicPr>
                  </pic:nvPicPr>
                  <pic:blipFill>
                    <a:blip r:embed="rId11"/>
                    <a:stretch>
                      <a:fillRect/>
                    </a:stretch>
                  </pic:blipFill>
                  <pic:spPr>
                    <a:xfrm>
                      <a:off x="0" y="0"/>
                      <a:ext cx="5274310" cy="5096510"/>
                    </a:xfrm>
                    <a:prstGeom prst="rect">
                      <a:avLst/>
                    </a:prstGeom>
                  </pic:spPr>
                </pic:pic>
              </a:graphicData>
            </a:graphic>
          </wp:inline>
        </w:drawing>
      </w:r>
    </w:p>
    <w:p>
      <w:pPr>
        <w:pStyle w:val="37"/>
        <w:spacing w:line="360" w:lineRule="auto"/>
        <w:ind w:firstLine="0" w:firstLineChars="0"/>
        <w:jc w:val="center"/>
        <w:rPr>
          <w:rFonts w:ascii="宋体" w:hAnsi="宋体"/>
          <w:color w:val="auto"/>
        </w:rPr>
      </w:pPr>
      <w:r>
        <w:rPr>
          <w:rFonts w:hint="eastAsia" w:ascii="宋体" w:hAnsi="宋体"/>
          <w:color w:val="auto"/>
        </w:rPr>
        <w:t>表2</w:t>
      </w:r>
      <w:r>
        <w:rPr>
          <w:rFonts w:ascii="宋体" w:hAnsi="宋体"/>
          <w:color w:val="auto"/>
        </w:rPr>
        <w:t xml:space="preserve"> </w:t>
      </w:r>
      <w:r>
        <w:rPr>
          <w:rFonts w:hint="eastAsia" w:ascii="宋体" w:hAnsi="宋体"/>
          <w:color w:val="auto"/>
        </w:rPr>
        <w:t>许昌周边县市历史地震统计表</w:t>
      </w:r>
    </w:p>
    <w:p>
      <w:pPr>
        <w:pStyle w:val="37"/>
        <w:spacing w:line="360" w:lineRule="auto"/>
        <w:ind w:firstLine="0" w:firstLineChars="0"/>
        <w:jc w:val="center"/>
        <w:rPr>
          <w:rFonts w:ascii="宋体" w:hAnsi="宋体"/>
          <w:color w:val="auto"/>
        </w:rPr>
      </w:pPr>
      <w:r>
        <w:drawing>
          <wp:inline distT="0" distB="0" distL="0" distR="0">
            <wp:extent cx="3504565" cy="1590040"/>
            <wp:effectExtent l="0" t="0" r="635" b="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3"/>
                    <pic:cNvPicPr>
                      <a:picLocks noChangeAspect="1"/>
                    </pic:cNvPicPr>
                  </pic:nvPicPr>
                  <pic:blipFill>
                    <a:blip r:embed="rId12"/>
                    <a:stretch>
                      <a:fillRect/>
                    </a:stretch>
                  </pic:blipFill>
                  <pic:spPr>
                    <a:xfrm>
                      <a:off x="0" y="0"/>
                      <a:ext cx="3504762" cy="1590476"/>
                    </a:xfrm>
                    <a:prstGeom prst="rect">
                      <a:avLst/>
                    </a:prstGeom>
                  </pic:spPr>
                </pic:pic>
              </a:graphicData>
            </a:graphic>
          </wp:inline>
        </w:drawing>
      </w:r>
    </w:p>
    <w:p>
      <w:pPr>
        <w:pStyle w:val="37"/>
        <w:spacing w:line="360" w:lineRule="auto"/>
        <w:rPr>
          <w:rFonts w:ascii="宋体" w:hAnsi="宋体"/>
          <w:color w:val="auto"/>
        </w:rPr>
      </w:pPr>
      <w:r>
        <w:rPr>
          <w:rFonts w:hint="eastAsia" w:ascii="宋体" w:hAnsi="宋体"/>
          <w:color w:val="auto"/>
        </w:rPr>
        <w:t>对上述统计资料进行分析，发现许昌地区自公元927年至2002年的1075年间共发生地震22次，平均约50年发生一次地震。</w:t>
      </w:r>
    </w:p>
    <w:p>
      <w:pPr>
        <w:pStyle w:val="37"/>
        <w:spacing w:line="360" w:lineRule="auto"/>
        <w:rPr>
          <w:rFonts w:ascii="宋体" w:hAnsi="宋体"/>
          <w:color w:val="auto"/>
        </w:rPr>
      </w:pPr>
      <w:r>
        <w:drawing>
          <wp:inline distT="0" distB="0" distL="0" distR="0">
            <wp:extent cx="4839970" cy="2656840"/>
            <wp:effectExtent l="0" t="0" r="0" b="0"/>
            <wp:docPr id="148" name="图片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图片 148"/>
                    <pic:cNvPicPr>
                      <a:picLocks noChangeAspect="1"/>
                    </pic:cNvPicPr>
                  </pic:nvPicPr>
                  <pic:blipFill>
                    <a:blip r:embed="rId13"/>
                    <a:stretch>
                      <a:fillRect/>
                    </a:stretch>
                  </pic:blipFill>
                  <pic:spPr>
                    <a:xfrm>
                      <a:off x="0" y="0"/>
                      <a:ext cx="4846074" cy="2659915"/>
                    </a:xfrm>
                    <a:prstGeom prst="rect">
                      <a:avLst/>
                    </a:prstGeom>
                  </pic:spPr>
                </pic:pic>
              </a:graphicData>
            </a:graphic>
          </wp:inline>
        </w:drawing>
      </w:r>
    </w:p>
    <w:p>
      <w:pPr>
        <w:pStyle w:val="37"/>
        <w:spacing w:line="360" w:lineRule="auto"/>
        <w:ind w:firstLine="0" w:firstLineChars="0"/>
        <w:jc w:val="center"/>
        <w:rPr>
          <w:rFonts w:ascii="宋体" w:hAnsi="宋体"/>
          <w:color w:val="auto"/>
        </w:rPr>
      </w:pPr>
      <w:r>
        <w:rPr>
          <w:rFonts w:hint="eastAsia" w:ascii="宋体" w:hAnsi="宋体"/>
          <w:color w:val="auto"/>
        </w:rPr>
        <w:t>图1.</w:t>
      </w:r>
      <w:r>
        <w:rPr>
          <w:rFonts w:ascii="宋体" w:hAnsi="宋体"/>
          <w:color w:val="auto"/>
        </w:rPr>
        <w:t xml:space="preserve">7  </w:t>
      </w:r>
      <w:r>
        <w:rPr>
          <w:rFonts w:hint="eastAsia" w:ascii="宋体" w:hAnsi="宋体"/>
          <w:color w:val="auto"/>
        </w:rPr>
        <w:t>许昌历史地震时间-震级图</w:t>
      </w:r>
    </w:p>
    <w:p>
      <w:pPr>
        <w:pStyle w:val="37"/>
        <w:spacing w:line="360" w:lineRule="auto"/>
        <w:rPr>
          <w:rFonts w:ascii="宋体" w:hAnsi="宋体"/>
          <w:color w:val="auto"/>
        </w:rPr>
      </w:pPr>
      <w:r>
        <w:rPr>
          <w:rFonts w:hint="eastAsia" w:ascii="宋体" w:hAnsi="宋体"/>
          <w:color w:val="auto"/>
        </w:rPr>
        <w:t>从图</w:t>
      </w:r>
      <w:r>
        <w:rPr>
          <w:rFonts w:ascii="宋体" w:hAnsi="宋体"/>
          <w:color w:val="auto"/>
        </w:rPr>
        <w:t>7</w:t>
      </w:r>
      <w:r>
        <w:rPr>
          <w:rFonts w:hint="eastAsia" w:ascii="宋体" w:hAnsi="宋体"/>
          <w:color w:val="auto"/>
        </w:rPr>
        <w:t>可以看出许昌历史地震既有明显的震群型地震，又有孤立型地震，时间上具有明显的平静期和活跃期。历史上许昌共出现过6个震群型地震活跃期，时间分别为公元1027-1047年、1</w:t>
      </w:r>
      <w:r>
        <w:rPr>
          <w:rFonts w:ascii="宋体" w:hAnsi="宋体"/>
          <w:color w:val="auto"/>
        </w:rPr>
        <w:t>50</w:t>
      </w:r>
      <w:r>
        <w:rPr>
          <w:rFonts w:hint="eastAsia" w:ascii="宋体" w:hAnsi="宋体"/>
          <w:color w:val="auto"/>
        </w:rPr>
        <w:t>4-1525年、1676-1695年、1820-1837年、1917-1920年、1980-1989年，对应平均发震率分别为1/10、1</w:t>
      </w:r>
      <w:r>
        <w:rPr>
          <w:rFonts w:ascii="宋体" w:hAnsi="宋体"/>
          <w:color w:val="auto"/>
        </w:rPr>
        <w:t>/</w:t>
      </w:r>
      <w:r>
        <w:rPr>
          <w:rFonts w:hint="eastAsia" w:ascii="宋体" w:hAnsi="宋体"/>
          <w:color w:val="auto"/>
        </w:rPr>
        <w:t>4/、l/4、l/9、l/2、1/5(次/年)，持续时间为4、20年：共有6个地震平静期，分别出现在公元928-1026年、1046-1503年、1595-1638年、1696-1819年、1838-1916年、1921-1979年，持续时间为50-450年：大于4级的破坏性地震共有4次，分别发生在公元1524年、2639年、2695年、2820年，对应时间间隔分别为115年、56年、115年，具有约60年和120年的周期性，即大震发生的周期约为60的倍数。</w:t>
      </w:r>
    </w:p>
    <w:p>
      <w:pPr>
        <w:pStyle w:val="37"/>
        <w:spacing w:line="360" w:lineRule="auto"/>
        <w:rPr>
          <w:rFonts w:ascii="宋体" w:hAnsi="宋体"/>
          <w:color w:val="auto"/>
        </w:rPr>
      </w:pPr>
      <w:r>
        <w:rPr>
          <w:rFonts w:hint="eastAsia" w:ascii="宋体" w:hAnsi="宋体"/>
          <w:color w:val="auto"/>
        </w:rPr>
        <w:t>由以上统计分析可以看出，许昌地震具有如下特点:</w:t>
      </w:r>
    </w:p>
    <w:p>
      <w:pPr>
        <w:pStyle w:val="37"/>
        <w:spacing w:line="360" w:lineRule="auto"/>
        <w:rPr>
          <w:rFonts w:ascii="宋体" w:hAnsi="宋体"/>
          <w:color w:val="auto"/>
        </w:rPr>
      </w:pPr>
      <w:r>
        <w:rPr>
          <w:rFonts w:hint="eastAsia" w:ascii="宋体" w:hAnsi="宋体"/>
          <w:color w:val="auto"/>
        </w:rPr>
        <w:t>（1）许昌地震发生频繁，按</w:t>
      </w:r>
      <w:r>
        <w:rPr>
          <w:rFonts w:ascii="宋体" w:hAnsi="宋体"/>
          <w:color w:val="auto"/>
        </w:rPr>
        <w:t>1000</w:t>
      </w:r>
      <w:r>
        <w:rPr>
          <w:rFonts w:hint="eastAsia" w:ascii="宋体" w:hAnsi="宋体"/>
          <w:color w:val="auto"/>
        </w:rPr>
        <w:t>年来的地震统计资料计算，平均50年左右就发生一次地震。</w:t>
      </w:r>
    </w:p>
    <w:p>
      <w:pPr>
        <w:pStyle w:val="37"/>
        <w:spacing w:line="360" w:lineRule="auto"/>
        <w:rPr>
          <w:rFonts w:ascii="宋体" w:hAnsi="宋体"/>
          <w:color w:val="auto"/>
        </w:rPr>
      </w:pPr>
      <w:r>
        <w:rPr>
          <w:rFonts w:hint="eastAsia" w:ascii="宋体" w:hAnsi="宋体"/>
          <w:color w:val="auto"/>
        </w:rPr>
        <w:t>（2）许昌历史地震在时间上具有6个活跃期和6个平静期。活跃期持续时间3-20年之间，地震活跃期内多以4级以下的地震为主，平均4-</w:t>
      </w:r>
      <w:r>
        <w:rPr>
          <w:rFonts w:ascii="宋体" w:hAnsi="宋体"/>
          <w:color w:val="auto"/>
        </w:rPr>
        <w:t>10</w:t>
      </w:r>
      <w:r>
        <w:rPr>
          <w:rFonts w:hint="eastAsia" w:ascii="宋体" w:hAnsi="宋体"/>
          <w:color w:val="auto"/>
        </w:rPr>
        <w:t>年发震一次；平静期持续时间大部分在50-120年之间。</w:t>
      </w:r>
    </w:p>
    <w:p>
      <w:pPr>
        <w:pStyle w:val="37"/>
        <w:spacing w:line="360" w:lineRule="auto"/>
        <w:rPr>
          <w:rFonts w:ascii="宋体" w:hAnsi="宋体"/>
          <w:color w:val="auto"/>
        </w:rPr>
      </w:pPr>
      <w:r>
        <w:rPr>
          <w:rFonts w:hint="eastAsia" w:ascii="宋体" w:hAnsi="宋体"/>
          <w:color w:val="auto"/>
        </w:rPr>
        <w:t>（3）大于4级的破坏性地震，分别发生在1524年，1639年，1695年，1820年，其发震间隔约为60年或120年，即:大地震的发震期为60的倍数。</w:t>
      </w:r>
    </w:p>
    <w:p>
      <w:pPr>
        <w:pStyle w:val="37"/>
        <w:spacing w:line="360" w:lineRule="auto"/>
        <w:rPr>
          <w:rFonts w:ascii="宋体" w:hAnsi="宋体"/>
          <w:color w:val="auto"/>
        </w:rPr>
      </w:pPr>
      <w:r>
        <w:rPr>
          <w:rFonts w:hint="eastAsia" w:ascii="宋体" w:hAnsi="宋体"/>
          <w:color w:val="auto"/>
        </w:rPr>
        <w:t>（4）许昌市的大地震和震级较小的震群交替发生。一次地震后平静期越长，其下次发生地震的震级就越大，如1027-1047年的活跃期后有469年的平静期，1524年发生了5.4级的地震；1525年到1638年有120年的平静期，1639年发生了一次较强型的地震;；16</w:t>
      </w:r>
      <w:r>
        <w:rPr>
          <w:rFonts w:ascii="宋体" w:hAnsi="宋体"/>
          <w:color w:val="auto"/>
        </w:rPr>
        <w:t>96</w:t>
      </w:r>
      <w:r>
        <w:rPr>
          <w:rFonts w:hint="eastAsia" w:ascii="宋体" w:hAnsi="宋体"/>
          <w:color w:val="auto"/>
        </w:rPr>
        <w:t>年到1819年间124年的平静期后，1820年发生了接近6级的大震。</w:t>
      </w:r>
    </w:p>
    <w:p>
      <w:pPr>
        <w:pStyle w:val="37"/>
        <w:spacing w:line="360" w:lineRule="auto"/>
        <w:rPr>
          <w:rFonts w:ascii="宋体" w:hAnsi="宋体"/>
          <w:color w:val="auto"/>
        </w:rPr>
      </w:pPr>
      <w:r>
        <w:rPr>
          <w:rFonts w:hint="eastAsia" w:ascii="宋体" w:hAnsi="宋体"/>
          <w:color w:val="auto"/>
        </w:rPr>
        <w:t>（5）两次大震期间，如果中间发生较小规模的地震，则下次大震时的震级就相对较小，如1639-1695年的64年间，中间发生了4次小震，则1695年的大地震的震级就相对较小。</w:t>
      </w:r>
    </w:p>
    <w:p>
      <w:pPr>
        <w:pStyle w:val="37"/>
        <w:spacing w:line="360" w:lineRule="auto"/>
        <w:rPr>
          <w:rFonts w:ascii="宋体" w:hAnsi="宋体"/>
          <w:color w:val="auto"/>
        </w:rPr>
      </w:pPr>
      <w:r>
        <w:rPr>
          <w:rFonts w:hint="eastAsia" w:ascii="宋体" w:hAnsi="宋体"/>
          <w:color w:val="auto"/>
        </w:rPr>
        <w:t>（6）许昌地区较大地震的发震位置，多在许昌市区的东南或东北</w:t>
      </w:r>
      <w:r>
        <w:rPr>
          <w:rFonts w:ascii="宋体" w:hAnsi="宋体"/>
          <w:color w:val="auto"/>
        </w:rPr>
        <w:t>10-20</w:t>
      </w:r>
      <w:r>
        <w:rPr>
          <w:rFonts w:hint="eastAsia" w:ascii="宋体" w:hAnsi="宋体"/>
          <w:color w:val="auto"/>
        </w:rPr>
        <w:t>公里的范围内，如1</w:t>
      </w:r>
      <w:r>
        <w:rPr>
          <w:rFonts w:ascii="宋体" w:hAnsi="宋体"/>
          <w:color w:val="auto"/>
        </w:rPr>
        <w:t>5</w:t>
      </w:r>
      <w:r>
        <w:rPr>
          <w:rFonts w:hint="eastAsia" w:ascii="宋体" w:hAnsi="宋体"/>
          <w:color w:val="auto"/>
        </w:rPr>
        <w:t>24年发生在许昌东南巧公里处的张播店地震，1820年发生在许昌东北10公里处的周家店地震和1639年发生在许昌东北的地震。</w:t>
      </w:r>
    </w:p>
    <w:p>
      <w:pPr>
        <w:pStyle w:val="37"/>
        <w:spacing w:line="360" w:lineRule="auto"/>
        <w:rPr>
          <w:rFonts w:ascii="宋体" w:hAnsi="宋体"/>
          <w:color w:val="auto"/>
        </w:rPr>
      </w:pPr>
      <w:r>
        <w:rPr>
          <w:rFonts w:hint="eastAsia" w:ascii="宋体" w:hAnsi="宋体"/>
          <w:color w:val="auto"/>
        </w:rPr>
        <w:t>许昌地处豫西山地向黄淮海平原过渡地区，地貌西部山岗起伏，东部沃野坦荡，处于伏牛山余脉向东平原过渡地区，东西长117公里，南北宽53公里，东西狭长。地势大体由西向东南倾斜，地面坡降由百分之一过渡到二千分之一，平均坡度为0.2～0.5‰;许昌市西部为低山丘陵，最高海拔1150米；东部为淮海平原西缘，最低海拔50米。地势自西北向东南缓慢倾斜。地貌景观呈东西向分带，按地貌成因及形态组合分为平原、山地和岗地三大类。其中平原面积2163.1平方公里，占全市总面积的53.2%。，山地面积717.30平方公里、岗地面积492.76平方公里、平原面积3768.30平方公里。</w:t>
      </w:r>
    </w:p>
    <w:p>
      <w:pPr>
        <w:pStyle w:val="37"/>
        <w:spacing w:line="360" w:lineRule="auto"/>
        <w:rPr>
          <w:rFonts w:ascii="宋体" w:hAnsi="宋体"/>
          <w:color w:val="auto"/>
          <w:sz w:val="28"/>
          <w:szCs w:val="28"/>
        </w:rPr>
      </w:pPr>
      <w:r>
        <w:rPr>
          <w:rFonts w:hint="eastAsia" w:ascii="宋体" w:hAnsi="宋体"/>
          <w:color w:val="auto"/>
        </w:rPr>
        <w:t>许昌所处大地构造位置为秦岭东西复杂构造体系的北亚带与新华夏系华沉降带的联合部位，相当槽台学派的中朝准地台二级构造单元豫西断块与华北拗陷的邻接部位。地表为新生界覆盖，无基岩出露。属华北地层区豫西分区的嵩山、箕山小区，基底由上太古界登封群集下元古界嵩山群构成。地层展布方向为北西西——南东东或近东西。地层层序（由下至上）为：上太古界登封群、下元古界嵩山群、中元古界汝阳群、寒武系、奥陶系中统马家沟组、石炭系中上统、二迭系、新生界地层。</w:t>
      </w:r>
    </w:p>
    <w:p>
      <w:pPr>
        <w:pStyle w:val="4"/>
      </w:pPr>
      <w:bookmarkStart w:id="30" w:name="_Toc261883443"/>
      <w:bookmarkStart w:id="31" w:name="_Toc290032661"/>
      <w:bookmarkStart w:id="32" w:name="_Toc417409883"/>
      <w:bookmarkStart w:id="33" w:name="_Toc417410095"/>
      <w:bookmarkStart w:id="34" w:name="_Toc503267560"/>
      <w:r>
        <w:rPr>
          <w:rFonts w:hint="eastAsia"/>
        </w:rPr>
        <w:t>1</w:t>
      </w:r>
      <w:r>
        <w:t xml:space="preserve">.4 </w:t>
      </w:r>
      <w:r>
        <w:rPr>
          <w:rFonts w:hint="eastAsia"/>
        </w:rPr>
        <w:t>许昌市城市抗震防灾建设与管理的背景</w:t>
      </w:r>
      <w:bookmarkEnd w:id="30"/>
      <w:bookmarkEnd w:id="31"/>
      <w:bookmarkEnd w:id="32"/>
      <w:bookmarkEnd w:id="33"/>
      <w:bookmarkEnd w:id="34"/>
    </w:p>
    <w:p>
      <w:pPr>
        <w:pStyle w:val="37"/>
        <w:spacing w:line="360" w:lineRule="auto"/>
        <w:rPr>
          <w:rFonts w:ascii="宋体" w:hAnsi="宋体"/>
          <w:color w:val="auto"/>
        </w:rPr>
      </w:pPr>
      <w:r>
        <w:rPr>
          <w:rFonts w:hint="eastAsia" w:ascii="宋体" w:hAnsi="宋体"/>
          <w:color w:val="auto"/>
        </w:rPr>
        <w:t>根据建设部117号令《城市抗震防灾规划管理规定》的要求，城市抗震防灾规划是城市总体规划中的专业规划。在抗震设防区的城市，编制城市总体规划时必须包括城市抗震防灾规划。城市抗震防灾规划的规划范围应当与城市总体规划相一致，并与城市总体规划同步实施。十八大以来，国家和领导高度重视城市防灾减灾工作。《国家新型城镇化规划（2014－2020年）》对新型城镇健全防灾减灾救灾体制做了明确要求；2016年《中共中央 国务院关于进一步加强城市规划建设管理工作的若干意见》提出切实保障城市安全的要求；2016年习近平同志在唐山大地震四十周年考察时指出，要总结经验，进一步增强忧患意识、责任意识，坚持以防为主、防抗救相结合，坚持常态减灾和非常态救灾相统一，努力实现从注重灾后救助向注重灾前预防转变，从应对单一灾种向综合减灾转变，从减少灾害损失向减轻灾害风险转变，全面提升全社会抵御自然灾害的综合防范能力。2017年10月18日，十九大报告中明确提出要提升城市防灾减灾救灾能力。这些都对许昌市城市抗震防灾与建设抗震安全型都市提出了基本的规划建设发展要求。近年来，许昌市政府高度重视城市抗震防灾工作。在应急管理和处理突发公共事件方面做了大量工作。为做好许昌市建设系统抗震防灾工作，使许昌市防灾资源配置更加优化，构建城市地震防灾减灾综合体系，进一步提高城市的综合抗震防灾能力和应急救灾能力，减轻未来地震灾害，保障人民生命财产安全，为构建安全和谐、科学、可持续发展的保障型城市服务，编制《许昌市城市抗震防灾规划》具有非常重要的现实意义。主要原因如下：</w:t>
      </w:r>
    </w:p>
    <w:p>
      <w:pPr>
        <w:pStyle w:val="37"/>
        <w:spacing w:line="360" w:lineRule="auto"/>
        <w:rPr>
          <w:rFonts w:ascii="宋体" w:hAnsi="宋体"/>
          <w:color w:val="auto"/>
        </w:rPr>
      </w:pPr>
      <w:r>
        <w:rPr>
          <w:rFonts w:hint="eastAsia" w:ascii="宋体" w:hAnsi="宋体"/>
          <w:color w:val="auto"/>
        </w:rPr>
        <w:t>（1）许昌市城市总体规划（20</w:t>
      </w:r>
      <w:r>
        <w:rPr>
          <w:rFonts w:ascii="宋体" w:hAnsi="宋体"/>
          <w:color w:val="auto"/>
        </w:rPr>
        <w:t>15</w:t>
      </w:r>
      <w:r>
        <w:rPr>
          <w:rFonts w:hint="eastAsia" w:ascii="宋体" w:hAnsi="宋体"/>
          <w:color w:val="auto"/>
        </w:rPr>
        <w:t>～2030）已发布实施。规划提出至2030年，基本实现把该中心城区建设成为“中原城市群地区性中心城市，中原经济区交通和物流枢纽城市，全国重要先进制造业基地，汉魏历史文化名城”。要达到这一目标，特别是要保证城市的社会安定、布局合理和设施完善要求，需完善防灾安全保障型都市建设。因此，作为总体规划的一项重要专项规划，编制城市抗震防灾规划势在必行。</w:t>
      </w:r>
    </w:p>
    <w:p>
      <w:pPr>
        <w:pStyle w:val="37"/>
        <w:spacing w:line="360" w:lineRule="auto"/>
        <w:rPr>
          <w:rFonts w:ascii="宋体" w:hAnsi="宋体"/>
          <w:color w:val="auto"/>
        </w:rPr>
      </w:pPr>
      <w:r>
        <w:rPr>
          <w:rFonts w:hint="eastAsia" w:ascii="宋体" w:hAnsi="宋体"/>
          <w:color w:val="auto"/>
        </w:rPr>
        <w:t>（2）许昌市在上世纪九十年进行过许昌市抗震防灾基础研究，城市建设中进行了大量工程场地的钻孔勘察数据分析，该规划涉及城市建设用地防灾等多个方面内容，这些前期工作对指导许昌市城市抗震防灾工作起到了很大作用。随着许昌市的快速发展，2016年全市中心市区首位度明显提升，建成区面积达到108.27平方公里，人口达到96万人，比2010年建成区面积增加25.27平方公里，人口增加15.89万人，同期全市常住人口增加7.09万人，表明人口向城市建成区流动速度明显加快。城市的建筑工程、基础设施已发生了巨大变化，城市的灾害影响环境也变得更加复杂多变。因此，需要摸清现状城市各类设施的抗震防灾能力，编城市抗震防灾规划，并考虑规划的前瞻性，与城市总体规划相适应。在规划编制中，原有规划仍有不少部分内容可以作为参考。</w:t>
      </w:r>
    </w:p>
    <w:p>
      <w:pPr>
        <w:pStyle w:val="37"/>
        <w:spacing w:line="360" w:lineRule="auto"/>
        <w:rPr>
          <w:rFonts w:ascii="宋体" w:hAnsi="宋体"/>
          <w:color w:val="auto"/>
        </w:rPr>
      </w:pPr>
      <w:r>
        <w:rPr>
          <w:rFonts w:hint="eastAsia" w:ascii="宋体" w:hAnsi="宋体"/>
          <w:color w:val="auto"/>
        </w:rPr>
        <w:t>（3）据文献资料统计，曾发生有感地震20多次，5级以上的破坏性有1524年的5.43级地震等。随着经济的快速发展，许昌市的城市抗震防灾能力还存在许多薄弱环节，与其经济发展不相适应的矛盾越来越突出。中心城区不满足抗震要求的建筑、关键基础设施、避震疏散设施等存在较多的抗震隐患，一旦遭遇到中强地震，可能会有很大的破坏，甚至使城市瘫痪。因此，为了保障城市的防灾安全，需要编制和实施防灾规划，通过城市布局优化和建设用地选择、工程设施及其系统的抗震要求和措施、防灾减灾基础设施建设等手段，实现防灾资源的合理优化配置，从源头上保障城市系统的综合抗震能力和应急救灾能力。</w:t>
      </w:r>
    </w:p>
    <w:p>
      <w:pPr>
        <w:pStyle w:val="37"/>
        <w:spacing w:line="360" w:lineRule="auto"/>
        <w:rPr>
          <w:rFonts w:ascii="宋体" w:hAnsi="宋体"/>
          <w:color w:val="auto"/>
        </w:rPr>
      </w:pPr>
      <w:r>
        <w:rPr>
          <w:rFonts w:hint="eastAsia" w:ascii="宋体" w:hAnsi="宋体"/>
          <w:color w:val="auto"/>
        </w:rPr>
        <w:t>（4）许昌市</w:t>
      </w:r>
      <w:r>
        <w:rPr>
          <w:rFonts w:ascii="宋体" w:hAnsi="宋体"/>
          <w:color w:val="auto"/>
        </w:rPr>
        <w:t>中心城区</w:t>
      </w:r>
      <w:r>
        <w:rPr>
          <w:rFonts w:hint="eastAsia" w:ascii="宋体" w:hAnsi="宋体"/>
          <w:color w:val="auto"/>
        </w:rPr>
        <w:t>建筑物拥挤，街道狭窄；生命线系统错综复杂；快速的城市化进程正不断破坏着原有的生态平衡，绿地面积日益减少；人们防灾意识淡薄等，潜在的承灾体易损性很高。一旦发生强烈地震将造成严重的直接损失，同时城市的某些特征对地震灾害更是具有放大作用，抗震防灾能力还存在一些薄弱环节，为地震次生火灾、水灾等创造条件；由于历史原因城市功能分区不明显，形成工业企业与居住、办公混杂分布的局面，也为地震次生火灾等造成很多隐患。因此，通过编制许昌市城市抗震防灾规划来消除这些城市抗震防灾中的地震次数灾害产生的薄弱环节显得尤为必要。</w:t>
      </w:r>
    </w:p>
    <w:p>
      <w:pPr>
        <w:pStyle w:val="37"/>
        <w:spacing w:line="360" w:lineRule="auto"/>
        <w:rPr>
          <w:rFonts w:ascii="宋体" w:hAnsi="宋体"/>
          <w:color w:val="auto"/>
        </w:rPr>
      </w:pPr>
      <w:r>
        <w:rPr>
          <w:rFonts w:hint="eastAsia" w:ascii="宋体" w:hAnsi="宋体"/>
          <w:color w:val="auto"/>
        </w:rPr>
        <w:t>（5）许昌市属于</w:t>
      </w:r>
      <w:r>
        <w:rPr>
          <w:rFonts w:ascii="宋体" w:hAnsi="宋体"/>
          <w:color w:val="auto"/>
        </w:rPr>
        <w:t>国家历史文化</w:t>
      </w:r>
      <w:r>
        <w:rPr>
          <w:rFonts w:hint="eastAsia" w:ascii="宋体" w:hAnsi="宋体"/>
          <w:color w:val="auto"/>
        </w:rPr>
        <w:t>名城</w:t>
      </w:r>
      <w:r>
        <w:rPr>
          <w:rFonts w:ascii="宋体" w:hAnsi="宋体"/>
          <w:color w:val="auto"/>
        </w:rPr>
        <w:t>，</w:t>
      </w:r>
      <w:r>
        <w:rPr>
          <w:rFonts w:hint="eastAsia" w:ascii="宋体" w:hAnsi="宋体"/>
          <w:color w:val="auto"/>
        </w:rPr>
        <w:t>拥有丰富的人文和自然景观。护城河以内的整个区域控制为古城风貌保护区，八一路以南，七一路以北，京广铁路以东，文峰路以西，总面积约3.9平方公里控制为古城建设控制地带。主城区范围内有27处国家、省、市、县级文物保护单位；南大街、衙前街和西大街、天平街、东大街2个历史文化街区，位于历史城区内。现实中各种保护建筑和文物的抗震能力普遍较差，传统古城及文物保护中普遍忽略抗震问题，历史建筑及文物的抗震保护已迫在眉睫。</w:t>
      </w:r>
    </w:p>
    <w:p>
      <w:pPr>
        <w:pStyle w:val="37"/>
        <w:spacing w:line="360" w:lineRule="auto"/>
        <w:ind w:firstLine="0" w:firstLineChars="0"/>
        <w:rPr>
          <w:rFonts w:ascii="宋体" w:hAnsi="宋体"/>
          <w:color w:val="auto"/>
        </w:rPr>
      </w:pPr>
      <w:r>
        <w:drawing>
          <wp:inline distT="0" distB="0" distL="0" distR="0">
            <wp:extent cx="5274310" cy="3569335"/>
            <wp:effectExtent l="0" t="0" r="2540" b="0"/>
            <wp:docPr id="153" name="图片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 name="图片 153"/>
                    <pic:cNvPicPr>
                      <a:picLocks noChangeAspect="1"/>
                    </pic:cNvPicPr>
                  </pic:nvPicPr>
                  <pic:blipFill>
                    <a:blip r:embed="rId14"/>
                    <a:stretch>
                      <a:fillRect/>
                    </a:stretch>
                  </pic:blipFill>
                  <pic:spPr>
                    <a:xfrm>
                      <a:off x="0" y="0"/>
                      <a:ext cx="5274310" cy="3569335"/>
                    </a:xfrm>
                    <a:prstGeom prst="rect">
                      <a:avLst/>
                    </a:prstGeom>
                  </pic:spPr>
                </pic:pic>
              </a:graphicData>
            </a:graphic>
          </wp:inline>
        </w:drawing>
      </w:r>
    </w:p>
    <w:p>
      <w:pPr>
        <w:pStyle w:val="37"/>
        <w:spacing w:line="360" w:lineRule="auto"/>
        <w:ind w:firstLine="0" w:firstLineChars="0"/>
        <w:jc w:val="center"/>
        <w:rPr>
          <w:rFonts w:ascii="宋体" w:hAnsi="宋体"/>
          <w:color w:val="auto"/>
        </w:rPr>
      </w:pPr>
      <w:r>
        <w:rPr>
          <w:rFonts w:ascii="宋体" w:hAnsi="宋体"/>
          <w:color w:val="auto"/>
        </w:rPr>
        <w:t>图</w:t>
      </w:r>
      <w:r>
        <w:rPr>
          <w:rFonts w:hint="eastAsia" w:ascii="宋体" w:hAnsi="宋体"/>
          <w:color w:val="auto"/>
        </w:rPr>
        <w:t>1</w:t>
      </w:r>
      <w:r>
        <w:rPr>
          <w:rFonts w:ascii="宋体" w:hAnsi="宋体"/>
          <w:color w:val="auto"/>
        </w:rPr>
        <w:t xml:space="preserve">.8  </w:t>
      </w:r>
      <w:r>
        <w:rPr>
          <w:rFonts w:hint="eastAsia" w:ascii="宋体" w:hAnsi="宋体"/>
          <w:color w:val="auto"/>
        </w:rPr>
        <w:t>主城区历史文化名城保护规划示意图</w:t>
      </w:r>
    </w:p>
    <w:p>
      <w:pPr>
        <w:pStyle w:val="37"/>
        <w:spacing w:line="360" w:lineRule="auto"/>
        <w:rPr>
          <w:rFonts w:ascii="宋体" w:hAnsi="宋体"/>
          <w:color w:val="auto"/>
        </w:rPr>
      </w:pPr>
      <w:r>
        <w:rPr>
          <w:rFonts w:hint="eastAsia" w:ascii="宋体" w:hAnsi="宋体"/>
          <w:color w:val="auto"/>
        </w:rPr>
        <w:t>（6）2000年以来，我国相关的抗震规范标准进行了修编并颁布实施，汶川大地震后，建筑抗震设计规范和建筑工程抗震设防分类标准均进行了紧急修订，这些新规范比相应的旧规范有较大的变化。许昌市市区还存在一些按照旧抗震规范设计的建筑物，在新时期下，如何保障这些建筑物的抗震防灾安全，也是一个迫切需要解决的现实问题。</w:t>
      </w:r>
    </w:p>
    <w:p>
      <w:pPr>
        <w:pStyle w:val="37"/>
        <w:spacing w:line="360" w:lineRule="auto"/>
        <w:rPr>
          <w:rFonts w:ascii="宋体" w:hAnsi="宋体"/>
          <w:color w:val="auto"/>
        </w:rPr>
      </w:pPr>
      <w:r>
        <w:rPr>
          <w:rFonts w:hint="eastAsia" w:ascii="宋体" w:hAnsi="宋体"/>
          <w:color w:val="auto"/>
        </w:rPr>
        <w:t>（7）汶川大地震造成了大量的人员伤亡和经济损失，基础设施在震后也没有发挥救灾的作用，需要引起城市抗震建设反思的问题有很多。从规划角度看，合理的城市防灾空间布局、防灾基础设施的设防与配置、防灾避难疏散体系的建设、震后居民安置点的规划等都需要在抗震防灾规划中落实。</w:t>
      </w:r>
    </w:p>
    <w:p>
      <w:pPr>
        <w:pStyle w:val="37"/>
        <w:spacing w:line="360" w:lineRule="auto"/>
        <w:rPr>
          <w:rFonts w:ascii="宋体" w:hAnsi="宋体"/>
          <w:b/>
        </w:rPr>
      </w:pPr>
      <w:r>
        <w:rPr>
          <w:rFonts w:hint="eastAsia" w:ascii="宋体" w:hAnsi="宋体"/>
          <w:color w:val="auto"/>
        </w:rPr>
        <w:t>（8）事实证明，抗震防灾规划的落实与实施，对减轻城市地震灾害损失，提高城市总体抗灾水平和应急救援能力具有重要的作用。历史文化名城丽江由于震前编制并实施了抗震防灾规划，在1996年丽江地震中损失大大减少，取得了预期的效果。在日本，城市防灾规划建设包括城市的不燃化、建筑物和社会基础设施的抗震化、防灾公园和防灾据点建设等。尤其是神户市抗震防灾规划的实施，使得1995年1月17日阪神大地震发生后，神户市1250处大大小小的防灾公园在救灾方面显示了巨大作用。</w:t>
      </w:r>
    </w:p>
    <w:p>
      <w:pPr>
        <w:pStyle w:val="3"/>
      </w:pPr>
      <w:r>
        <w:br w:type="page"/>
      </w:r>
      <w:bookmarkStart w:id="35" w:name="_Toc417409884"/>
      <w:bookmarkStart w:id="36" w:name="_Toc503267561"/>
      <w:bookmarkStart w:id="37" w:name="_Toc417410096"/>
      <w:r>
        <w:rPr>
          <w:rFonts w:hint="eastAsia"/>
        </w:rPr>
        <w:t>2</w:t>
      </w:r>
      <w:r>
        <w:t xml:space="preserve"> </w:t>
      </w:r>
      <w:r>
        <w:rPr>
          <w:rFonts w:hint="eastAsia"/>
        </w:rPr>
        <w:t>基本思路</w:t>
      </w:r>
      <w:bookmarkEnd w:id="35"/>
      <w:bookmarkEnd w:id="36"/>
      <w:bookmarkEnd w:id="37"/>
    </w:p>
    <w:p>
      <w:pPr>
        <w:pStyle w:val="4"/>
      </w:pPr>
      <w:bookmarkStart w:id="38" w:name="_Toc417410097"/>
      <w:bookmarkStart w:id="39" w:name="_Toc290032663"/>
      <w:bookmarkStart w:id="40" w:name="_Toc417409885"/>
      <w:bookmarkStart w:id="41" w:name="_Toc503267562"/>
      <w:r>
        <w:rPr>
          <w:rFonts w:hint="eastAsia"/>
        </w:rPr>
        <w:t>2</w:t>
      </w:r>
      <w:r>
        <w:t xml:space="preserve">.1 </w:t>
      </w:r>
      <w:r>
        <w:rPr>
          <w:rFonts w:hint="eastAsia"/>
        </w:rPr>
        <w:t>规划编制思路</w:t>
      </w:r>
      <w:bookmarkEnd w:id="38"/>
      <w:bookmarkEnd w:id="39"/>
      <w:bookmarkEnd w:id="40"/>
      <w:bookmarkEnd w:id="41"/>
    </w:p>
    <w:p>
      <w:pPr>
        <w:spacing w:line="360" w:lineRule="auto"/>
        <w:ind w:firstLine="600" w:firstLineChars="250"/>
        <w:rPr>
          <w:rFonts w:ascii="宋体" w:hAnsi="宋体"/>
          <w:sz w:val="24"/>
          <w:szCs w:val="24"/>
        </w:rPr>
      </w:pPr>
      <w:r>
        <w:rPr>
          <w:rFonts w:hint="eastAsia" w:ascii="宋体" w:hAnsi="宋体"/>
          <w:sz w:val="24"/>
          <w:szCs w:val="24"/>
        </w:rPr>
        <w:t>许昌市抗震防灾规划的研究和编制方案是项目组根据许昌市实际情况、灾害环境和规划发展要求而制定的。在研究和编制方案的制定过程中，项目组组织了精干团队，在大量掌握国内外有关防灾规划编制和研究技术的基础上，结合项目组进行城市防灾规划领域的研究和开发经验，并与有关专家、学者进行了反复研讨，并</w:t>
      </w:r>
      <w:r>
        <w:rPr>
          <w:rFonts w:hint="eastAsia" w:ascii="宋体" w:hAnsi="宋体"/>
          <w:b/>
          <w:sz w:val="24"/>
          <w:szCs w:val="24"/>
        </w:rPr>
        <w:t>充分考虑了2010年东日本大地震和2008年5.12汶川特大地震的经验</w:t>
      </w:r>
      <w:r>
        <w:rPr>
          <w:rFonts w:hint="eastAsia" w:ascii="宋体" w:hAnsi="宋体"/>
          <w:sz w:val="24"/>
          <w:szCs w:val="24"/>
        </w:rPr>
        <w:t>，并综合考虑了国内外近几年来的震害经验，确定了以下方案制定原则：</w:t>
      </w:r>
    </w:p>
    <w:p>
      <w:pPr>
        <w:jc w:val="center"/>
        <w:rPr>
          <w:sz w:val="24"/>
          <w:szCs w:val="24"/>
        </w:rPr>
      </w:pPr>
      <w:r>
        <w:rPr>
          <w:sz w:val="24"/>
          <w:szCs w:val="24"/>
        </w:rPr>
        <w:object>
          <v:shape id="_x0000_i1025" o:spt="75" type="#_x0000_t75" style="height:335.65pt;width:336.5pt;" o:ole="t" filled="f" o:preferrelative="t" stroked="f" coordsize="21600,21600">
            <v:path/>
            <v:fill on="f" focussize="0,0"/>
            <v:stroke on="f" joinstyle="miter"/>
            <v:imagedata r:id="rId16" o:title=""/>
            <o:lock v:ext="edit" aspectratio="t"/>
            <w10:wrap type="none"/>
            <w10:anchorlock/>
          </v:shape>
          <o:OLEObject Type="Embed" ProgID="Word.Picture.8" ShapeID="_x0000_i1025" DrawAspect="Content" ObjectID="_1468075725" r:id="rId15">
            <o:LockedField>false</o:LockedField>
          </o:OLEObject>
        </w:object>
      </w:r>
    </w:p>
    <w:p>
      <w:pPr>
        <w:spacing w:before="156" w:beforeLines="50" w:line="360" w:lineRule="auto"/>
        <w:ind w:firstLine="482" w:firstLineChars="200"/>
        <w:jc w:val="center"/>
        <w:rPr>
          <w:rFonts w:ascii="仿宋_GB2312" w:eastAsia="仿宋_GB2312"/>
          <w:b/>
          <w:bCs/>
          <w:sz w:val="24"/>
          <w:szCs w:val="24"/>
        </w:rPr>
      </w:pPr>
      <w:r>
        <w:rPr>
          <w:rFonts w:hint="eastAsia"/>
          <w:b/>
          <w:sz w:val="24"/>
          <w:szCs w:val="24"/>
        </w:rPr>
        <w:t>图2.1</w:t>
      </w:r>
      <w:r>
        <w:rPr>
          <w:b/>
          <w:sz w:val="24"/>
          <w:szCs w:val="24"/>
        </w:rPr>
        <w:t xml:space="preserve"> </w:t>
      </w:r>
      <w:r>
        <w:rPr>
          <w:rFonts w:hint="eastAsia"/>
          <w:b/>
          <w:sz w:val="24"/>
          <w:szCs w:val="24"/>
        </w:rPr>
        <w:t>基于城市现状和发展并重的抗震防灾规划的研究的编制框架</w:t>
      </w:r>
    </w:p>
    <w:p>
      <w:pPr>
        <w:spacing w:line="360" w:lineRule="auto"/>
        <w:ind w:firstLine="420"/>
        <w:rPr>
          <w:rFonts w:ascii="宋体" w:hAnsi="宋体"/>
          <w:sz w:val="24"/>
          <w:szCs w:val="24"/>
        </w:rPr>
      </w:pPr>
      <w:r>
        <w:rPr>
          <w:rFonts w:hint="eastAsia" w:ascii="宋体" w:hAnsi="宋体"/>
          <w:sz w:val="24"/>
          <w:szCs w:val="24"/>
        </w:rPr>
        <w:t>1、</w:t>
      </w:r>
      <w:r>
        <w:rPr>
          <w:rFonts w:hint="eastAsia" w:ascii="宋体" w:hAnsi="宋体"/>
          <w:bCs/>
          <w:sz w:val="24"/>
          <w:szCs w:val="24"/>
        </w:rPr>
        <w:t>从城市现状抗震能力的提高和城市规划发展的抗震能力保障两个方面，</w:t>
      </w:r>
      <w:r>
        <w:rPr>
          <w:rFonts w:hint="eastAsia" w:ascii="宋体" w:hAnsi="宋体"/>
          <w:sz w:val="24"/>
          <w:szCs w:val="24"/>
        </w:rPr>
        <w:t>贯彻“</w:t>
      </w:r>
      <w:r>
        <w:rPr>
          <w:rFonts w:hint="eastAsia" w:ascii="宋体" w:hAnsi="宋体"/>
          <w:b/>
          <w:sz w:val="24"/>
          <w:szCs w:val="24"/>
        </w:rPr>
        <w:t>基于现状和发展并重的抗震防灾规划</w:t>
      </w:r>
      <w:r>
        <w:rPr>
          <w:rFonts w:hint="eastAsia" w:ascii="宋体" w:hAnsi="宋体"/>
          <w:sz w:val="24"/>
          <w:szCs w:val="24"/>
        </w:rPr>
        <w:t>”的崭新编制理念（编制思路见图2.1所示），体现新时期城市抗震防灾规划的时代要求，强调创新性、实用性和可操作性，</w:t>
      </w:r>
      <w:r>
        <w:rPr>
          <w:rFonts w:hint="eastAsia" w:ascii="宋体" w:hAnsi="宋体"/>
          <w:bCs/>
          <w:sz w:val="24"/>
          <w:szCs w:val="24"/>
        </w:rPr>
        <w:t>达到全面提高城市抗震防灾能力的根本目标。</w:t>
      </w:r>
      <w:r>
        <w:rPr>
          <w:rFonts w:hint="eastAsia" w:ascii="宋体" w:hAnsi="宋体"/>
          <w:sz w:val="24"/>
          <w:szCs w:val="24"/>
        </w:rPr>
        <w:t>针对城市的不同规划发展阶段和不同的规划与建设层次要求，进一步发展和完善</w:t>
      </w:r>
      <w:r>
        <w:rPr>
          <w:rFonts w:hint="eastAsia" w:ascii="宋体" w:hAnsi="宋体"/>
          <w:b/>
          <w:sz w:val="24"/>
          <w:szCs w:val="24"/>
        </w:rPr>
        <w:t>城市抗震防灾规划研究、编制和实施的新思路、新模式</w:t>
      </w:r>
      <w:r>
        <w:rPr>
          <w:rFonts w:hint="eastAsia" w:ascii="宋体" w:hAnsi="宋体"/>
          <w:sz w:val="24"/>
          <w:szCs w:val="24"/>
        </w:rPr>
        <w:t>；</w:t>
      </w:r>
    </w:p>
    <w:p>
      <w:pPr>
        <w:pStyle w:val="35"/>
        <w:jc w:val="center"/>
        <w:rPr>
          <w:b/>
          <w:szCs w:val="24"/>
        </w:rPr>
      </w:pPr>
      <w:r>
        <w:rPr>
          <w:szCs w:val="24"/>
        </w:rPr>
        <w:object>
          <v:shape id="_x0000_i1026" o:spt="75" type="#_x0000_t75" style="height:304.75pt;width:398.55pt;" o:ole="t" filled="f" o:preferrelative="t" stroked="f" coordsize="21600,21600">
            <v:path/>
            <v:fill on="f" focussize="0,0"/>
            <v:stroke on="f" joinstyle="miter"/>
            <v:imagedata r:id="rId18" o:title=""/>
            <o:lock v:ext="edit" aspectratio="t"/>
            <w10:wrap type="none"/>
            <w10:anchorlock/>
          </v:shape>
          <o:OLEObject Type="Embed" ProgID="Word.Picture.8" ShapeID="_x0000_i1026" DrawAspect="Content" ObjectID="_1468075726" r:id="rId17">
            <o:LockedField>false</o:LockedField>
          </o:OLEObject>
        </w:object>
      </w:r>
      <w:r>
        <w:rPr>
          <w:rFonts w:hint="eastAsia" w:ascii="Calibri" w:hAnsi="Calibri" w:eastAsia="宋体"/>
          <w:b/>
          <w:szCs w:val="24"/>
        </w:rPr>
        <w:t>图2.2</w:t>
      </w:r>
      <w:r>
        <w:rPr>
          <w:rFonts w:ascii="Calibri" w:hAnsi="Calibri" w:eastAsia="宋体"/>
          <w:b/>
          <w:szCs w:val="24"/>
        </w:rPr>
        <w:t xml:space="preserve"> </w:t>
      </w:r>
      <w:r>
        <w:rPr>
          <w:rFonts w:hint="eastAsia" w:ascii="Calibri" w:hAnsi="Calibri" w:eastAsia="宋体"/>
          <w:b/>
          <w:szCs w:val="24"/>
        </w:rPr>
        <w:t>基于城市防灾空间布局的抗震防灾规划技术框架</w:t>
      </w:r>
    </w:p>
    <w:p>
      <w:pPr>
        <w:spacing w:line="360" w:lineRule="auto"/>
        <w:ind w:firstLine="420"/>
        <w:rPr>
          <w:rFonts w:ascii="宋体" w:hAnsi="宋体"/>
          <w:bCs/>
          <w:sz w:val="24"/>
          <w:szCs w:val="24"/>
        </w:rPr>
      </w:pPr>
      <w:r>
        <w:rPr>
          <w:rFonts w:hint="eastAsia" w:ascii="宋体" w:hAnsi="宋体"/>
          <w:sz w:val="24"/>
          <w:szCs w:val="24"/>
        </w:rPr>
        <w:t>2、</w:t>
      </w:r>
      <w:r>
        <w:rPr>
          <w:rFonts w:hint="eastAsia" w:ascii="宋体" w:hAnsi="宋体"/>
          <w:bCs/>
          <w:sz w:val="24"/>
          <w:szCs w:val="24"/>
        </w:rPr>
        <w:t>从城市各类承载体的抗震能力保障和震时应急保障两个方面，</w:t>
      </w:r>
      <w:r>
        <w:rPr>
          <w:rFonts w:hint="eastAsia" w:ascii="宋体" w:hAnsi="宋体"/>
          <w:sz w:val="24"/>
          <w:szCs w:val="24"/>
        </w:rPr>
        <w:t>贯彻“</w:t>
      </w:r>
      <w:r>
        <w:rPr>
          <w:rFonts w:hint="eastAsia" w:ascii="宋体" w:hAnsi="宋体"/>
          <w:b/>
          <w:sz w:val="24"/>
          <w:szCs w:val="24"/>
        </w:rPr>
        <w:t>基于城市防灾空间布局的抗震防灾规划技术路线</w:t>
      </w:r>
      <w:r>
        <w:rPr>
          <w:rFonts w:hint="eastAsia" w:ascii="宋体" w:hAnsi="宋体"/>
          <w:sz w:val="24"/>
          <w:szCs w:val="24"/>
        </w:rPr>
        <w:t>”，</w:t>
      </w:r>
      <w:r>
        <w:rPr>
          <w:rFonts w:hint="eastAsia" w:ascii="宋体" w:hAnsi="宋体"/>
          <w:bCs/>
          <w:sz w:val="24"/>
          <w:szCs w:val="24"/>
        </w:rPr>
        <w:t>坚持工程抗震防御与应急救灾保障两层次抗震安全保障的规划编制技术思路</w:t>
      </w:r>
      <w:r>
        <w:rPr>
          <w:rFonts w:hint="eastAsia" w:ascii="宋体" w:hAnsi="宋体"/>
          <w:sz w:val="24"/>
          <w:szCs w:val="24"/>
        </w:rPr>
        <w:t>（编制思路见图2.2所示）</w:t>
      </w:r>
      <w:r>
        <w:rPr>
          <w:rFonts w:hint="eastAsia" w:ascii="宋体" w:hAnsi="宋体"/>
          <w:bCs/>
          <w:sz w:val="24"/>
          <w:szCs w:val="24"/>
        </w:rPr>
        <w:t>，</w:t>
      </w:r>
      <w:r>
        <w:rPr>
          <w:rFonts w:hint="eastAsia" w:ascii="宋体" w:hAnsi="宋体"/>
          <w:sz w:val="24"/>
          <w:szCs w:val="24"/>
        </w:rPr>
        <w:t>依据城市救灾的便捷实施和防止地震次生灾害的要求，结合城市总体规划，从空间形态上形成</w:t>
      </w:r>
      <w:r>
        <w:rPr>
          <w:rFonts w:hint="eastAsia" w:ascii="宋体" w:hAnsi="宋体"/>
          <w:b/>
          <w:sz w:val="24"/>
          <w:szCs w:val="24"/>
        </w:rPr>
        <w:t>组团式防灾保障型都市</w:t>
      </w:r>
      <w:r>
        <w:rPr>
          <w:rFonts w:hint="eastAsia" w:ascii="宋体" w:hAnsi="宋体"/>
          <w:sz w:val="24"/>
          <w:szCs w:val="24"/>
        </w:rPr>
        <w:t>的空间布局。</w:t>
      </w:r>
      <w:r>
        <w:rPr>
          <w:rFonts w:hint="eastAsia" w:ascii="宋体" w:hAnsi="宋体"/>
          <w:bCs/>
          <w:sz w:val="24"/>
          <w:szCs w:val="24"/>
        </w:rPr>
        <w:t>通过工程抗震规划和措施保障在较大和重大地震使工程设施的抗震安全，通过应急救灾保障规划和建设保障城市在重大和特大地震下的应急救灾能力及居民生活的基本安全保障，达到城市抗震防灾全面规划、统筹防御的根本目标。</w:t>
      </w:r>
    </w:p>
    <w:p>
      <w:pPr>
        <w:spacing w:line="360" w:lineRule="auto"/>
        <w:ind w:firstLine="420"/>
        <w:rPr>
          <w:rFonts w:ascii="宋体" w:hAnsi="宋体"/>
          <w:sz w:val="24"/>
          <w:szCs w:val="24"/>
        </w:rPr>
      </w:pPr>
      <w:r>
        <w:rPr>
          <w:rFonts w:hint="eastAsia" w:ascii="宋体" w:hAnsi="宋体"/>
          <w:sz w:val="24"/>
          <w:szCs w:val="24"/>
        </w:rPr>
        <w:t>3、认真贯彻“</w:t>
      </w:r>
      <w:r>
        <w:rPr>
          <w:rFonts w:hint="eastAsia" w:ascii="宋体" w:hAnsi="宋体"/>
          <w:b/>
          <w:sz w:val="24"/>
          <w:szCs w:val="24"/>
        </w:rPr>
        <w:t>以预防为主，防、抗、避、救相结合</w:t>
      </w:r>
      <w:r>
        <w:rPr>
          <w:rFonts w:hint="eastAsia" w:ascii="宋体" w:hAnsi="宋体"/>
          <w:sz w:val="24"/>
          <w:szCs w:val="24"/>
        </w:rPr>
        <w:t>”的方针，坚持“</w:t>
      </w:r>
      <w:r>
        <w:rPr>
          <w:rFonts w:hint="eastAsia" w:ascii="宋体" w:hAnsi="宋体"/>
          <w:b/>
          <w:sz w:val="24"/>
          <w:szCs w:val="24"/>
        </w:rPr>
        <w:t>分清层次、区别对待、有所侧重、突出重点、统筹安排</w:t>
      </w:r>
      <w:r>
        <w:rPr>
          <w:rFonts w:hint="eastAsia" w:ascii="宋体" w:hAnsi="宋体"/>
          <w:sz w:val="24"/>
          <w:szCs w:val="24"/>
        </w:rPr>
        <w:t>”的编制原则，立足于为城市工程建设服务的指导思想；</w:t>
      </w:r>
    </w:p>
    <w:p>
      <w:pPr>
        <w:spacing w:line="360" w:lineRule="auto"/>
        <w:ind w:firstLine="420"/>
        <w:rPr>
          <w:rFonts w:ascii="宋体" w:hAnsi="宋体"/>
          <w:sz w:val="24"/>
          <w:szCs w:val="24"/>
        </w:rPr>
      </w:pPr>
      <w:r>
        <w:rPr>
          <w:rFonts w:hint="eastAsia" w:ascii="宋体" w:hAnsi="宋体"/>
          <w:sz w:val="24"/>
          <w:szCs w:val="24"/>
        </w:rPr>
        <w:t>4、充分结合国内外有关防灾规划和土木工程、建筑规划、公共管理等相关学科的</w:t>
      </w:r>
      <w:r>
        <w:rPr>
          <w:rFonts w:hint="eastAsia" w:ascii="宋体" w:hAnsi="宋体"/>
          <w:b/>
          <w:sz w:val="24"/>
          <w:szCs w:val="24"/>
        </w:rPr>
        <w:t>成熟技术和最新科研成果</w:t>
      </w:r>
      <w:r>
        <w:rPr>
          <w:rFonts w:hint="eastAsia" w:ascii="宋体" w:hAnsi="宋体"/>
          <w:sz w:val="24"/>
          <w:szCs w:val="24"/>
        </w:rPr>
        <w:t>；</w:t>
      </w:r>
    </w:p>
    <w:p>
      <w:pPr>
        <w:spacing w:line="360" w:lineRule="auto"/>
        <w:ind w:firstLine="420"/>
        <w:rPr>
          <w:rFonts w:ascii="宋体" w:hAnsi="宋体"/>
          <w:sz w:val="24"/>
          <w:szCs w:val="24"/>
        </w:rPr>
      </w:pPr>
      <w:r>
        <w:rPr>
          <w:rFonts w:hint="eastAsia" w:ascii="宋体" w:hAnsi="宋体"/>
          <w:sz w:val="24"/>
          <w:szCs w:val="24"/>
        </w:rPr>
        <w:t>5、充分借鉴过去编制城市抗震防灾规划的成功经验，并</w:t>
      </w:r>
      <w:r>
        <w:rPr>
          <w:rFonts w:hint="eastAsia" w:ascii="宋体" w:hAnsi="宋体"/>
          <w:b/>
          <w:sz w:val="24"/>
          <w:szCs w:val="24"/>
        </w:rPr>
        <w:t>总结汲取2011年东日本9.0级大地震和2008年汶川地震中对城市抗震防灾规划暴露出的问题</w:t>
      </w:r>
      <w:r>
        <w:rPr>
          <w:rFonts w:hint="eastAsia" w:ascii="宋体" w:hAnsi="宋体"/>
          <w:sz w:val="24"/>
          <w:szCs w:val="24"/>
        </w:rPr>
        <w:t>，以编制出适应新时期需求的抗震防灾规划；</w:t>
      </w:r>
    </w:p>
    <w:p>
      <w:pPr>
        <w:spacing w:line="360" w:lineRule="auto"/>
        <w:ind w:firstLine="420"/>
        <w:rPr>
          <w:rFonts w:ascii="宋体" w:hAnsi="宋体"/>
          <w:sz w:val="24"/>
          <w:szCs w:val="24"/>
        </w:rPr>
      </w:pPr>
      <w:r>
        <w:rPr>
          <w:rFonts w:hint="eastAsia" w:ascii="宋体" w:hAnsi="宋体"/>
          <w:sz w:val="24"/>
          <w:szCs w:val="24"/>
        </w:rPr>
        <w:t>6、密切结合许昌市当地的灾害环境和场地环境，遵守许昌市总体规划，适应今后的发展要求，所制定方案将</w:t>
      </w:r>
      <w:r>
        <w:rPr>
          <w:rFonts w:hint="eastAsia" w:ascii="宋体" w:hAnsi="宋体"/>
          <w:b/>
          <w:sz w:val="24"/>
          <w:szCs w:val="24"/>
        </w:rPr>
        <w:t>符合许昌市当地城市建设的实际情况和具体特点</w:t>
      </w:r>
      <w:r>
        <w:rPr>
          <w:rFonts w:hint="eastAsia" w:ascii="宋体" w:hAnsi="宋体"/>
          <w:sz w:val="24"/>
          <w:szCs w:val="24"/>
        </w:rPr>
        <w:t>，对城市的发展具有一定的适应能力；</w:t>
      </w:r>
    </w:p>
    <w:p>
      <w:pPr>
        <w:spacing w:line="360" w:lineRule="auto"/>
        <w:ind w:firstLine="420"/>
        <w:rPr>
          <w:rFonts w:ascii="宋体" w:hAnsi="宋体"/>
          <w:sz w:val="24"/>
          <w:szCs w:val="24"/>
        </w:rPr>
      </w:pPr>
      <w:r>
        <w:rPr>
          <w:rFonts w:hint="eastAsia" w:ascii="宋体" w:hAnsi="宋体"/>
          <w:sz w:val="24"/>
          <w:szCs w:val="24"/>
        </w:rPr>
        <w:t>7、坚持“以人为本”的规划编制指导思想，体现对生命的重视和尊重，规划的制定出发点是人，落脚点是工程，通过不断地提高城市的综合抗震防灾能力，改善承灾体的抗震防灾性能，完善系统抗震能力，保证民众的生活安全质量；规划措施的制定，应体现民众的需求，始于民而服务于民；</w:t>
      </w:r>
    </w:p>
    <w:p>
      <w:pPr>
        <w:spacing w:line="360" w:lineRule="auto"/>
        <w:ind w:firstLine="420"/>
        <w:rPr>
          <w:rFonts w:ascii="宋体" w:hAnsi="宋体"/>
          <w:sz w:val="24"/>
          <w:szCs w:val="24"/>
        </w:rPr>
      </w:pPr>
      <w:r>
        <w:rPr>
          <w:rFonts w:hint="eastAsia" w:ascii="宋体" w:hAnsi="宋体"/>
          <w:sz w:val="24"/>
          <w:szCs w:val="24"/>
        </w:rPr>
        <w:t>8、许昌市抗震防灾规划的研究和编制工作涉及到规划、建设、房管、地震、地质、道路交通、市政等许多领域，在这些领域中，有关基础资料和信息、应急管理、防灾减灾等方面已经进行了大量的工作，进一步的研究必然要建立在这些领域各主管部门和技术依托单位的已有信息和成果充分利用的基础之上，进行资源整合，并针对城市建设和发展要求进行提升，为城市的发展与建设服务；</w:t>
      </w:r>
    </w:p>
    <w:p>
      <w:pPr>
        <w:spacing w:line="360" w:lineRule="auto"/>
        <w:ind w:firstLine="420"/>
        <w:rPr>
          <w:rFonts w:ascii="宋体" w:hAnsi="宋体"/>
          <w:sz w:val="24"/>
          <w:szCs w:val="24"/>
        </w:rPr>
      </w:pPr>
      <w:r>
        <w:rPr>
          <w:rFonts w:hint="eastAsia" w:ascii="宋体" w:hAnsi="宋体"/>
          <w:sz w:val="24"/>
          <w:szCs w:val="24"/>
        </w:rPr>
        <w:t>9、加强防灾规划内容的强制性和指导性</w:t>
      </w:r>
    </w:p>
    <w:p>
      <w:pPr>
        <w:spacing w:line="360" w:lineRule="auto"/>
        <w:ind w:firstLine="420"/>
        <w:rPr>
          <w:rFonts w:ascii="宋体" w:hAnsi="宋体"/>
          <w:sz w:val="24"/>
          <w:szCs w:val="24"/>
        </w:rPr>
      </w:pPr>
      <w:r>
        <w:rPr>
          <w:rFonts w:hint="eastAsia" w:ascii="宋体" w:hAnsi="宋体"/>
          <w:sz w:val="24"/>
          <w:szCs w:val="24"/>
        </w:rPr>
        <w:t xml:space="preserve">抗震防灾规划的内容体系应贯彻强制性和指导性相结合的原则，以增强规划的实用性和可操作性。《城市综合防灾规划管理规定》（建设部117号令）及《城市抗震防灾规划标准》（GB50413-2007）中都明确规定“城市抗震防灾规划中的抗震设防标准、建设用地评价与要求、抗震防灾措施应根据城市的防御目标、抗震设防烈度和国家现行标准确定，作为规划的强制性要求。” </w:t>
      </w:r>
    </w:p>
    <w:p>
      <w:pPr>
        <w:spacing w:line="360" w:lineRule="auto"/>
        <w:ind w:firstLine="480" w:firstLineChars="200"/>
        <w:rPr>
          <w:rFonts w:ascii="宋体" w:hAnsi="宋体"/>
          <w:sz w:val="24"/>
          <w:szCs w:val="24"/>
        </w:rPr>
      </w:pPr>
      <w:r>
        <w:rPr>
          <w:rFonts w:hint="eastAsia" w:ascii="宋体" w:hAnsi="宋体"/>
          <w:sz w:val="24"/>
          <w:szCs w:val="24"/>
        </w:rPr>
        <w:t>由于目前所掌握的有关许昌市的资料和信息不尽全面，因此在涉及到许昌市具体情况的表述上可能存在不尽严格的地方，有些可能还与实际情况不尽相符，这往往是难以避免的，在规划研究和编制过程中将进行不断的修正，但整个研究和编制方案所确定的编制模式、研究和编制思路以及技术路线是明确的、合理的。</w:t>
      </w:r>
    </w:p>
    <w:p>
      <w:pPr>
        <w:pStyle w:val="4"/>
      </w:pPr>
      <w:bookmarkStart w:id="42" w:name="_Toc290032664"/>
      <w:bookmarkStart w:id="43" w:name="_Toc417409886"/>
      <w:bookmarkStart w:id="44" w:name="_Toc503267563"/>
      <w:bookmarkStart w:id="45" w:name="_Toc417410098"/>
      <w:r>
        <w:rPr>
          <w:rFonts w:hint="eastAsia"/>
        </w:rPr>
        <w:t>2</w:t>
      </w:r>
      <w:r>
        <w:t xml:space="preserve">.2 </w:t>
      </w:r>
      <w:r>
        <w:rPr>
          <w:rFonts w:hint="eastAsia"/>
        </w:rPr>
        <w:t>规划编制总体原则</w:t>
      </w:r>
      <w:bookmarkEnd w:id="42"/>
      <w:bookmarkEnd w:id="43"/>
      <w:bookmarkEnd w:id="44"/>
      <w:bookmarkEnd w:id="45"/>
    </w:p>
    <w:p>
      <w:pPr>
        <w:spacing w:line="360" w:lineRule="auto"/>
        <w:ind w:firstLine="420"/>
        <w:rPr>
          <w:rFonts w:ascii="宋体" w:hAnsi="宋体"/>
          <w:b/>
          <w:sz w:val="24"/>
          <w:szCs w:val="24"/>
        </w:rPr>
      </w:pPr>
      <w:r>
        <w:rPr>
          <w:rFonts w:hint="eastAsia" w:ascii="宋体" w:hAnsi="宋体"/>
          <w:b/>
          <w:sz w:val="24"/>
          <w:szCs w:val="24"/>
        </w:rPr>
        <w:t>（1）编制目的</w:t>
      </w:r>
    </w:p>
    <w:p>
      <w:pPr>
        <w:spacing w:line="360" w:lineRule="auto"/>
        <w:ind w:firstLine="420"/>
        <w:rPr>
          <w:rFonts w:ascii="宋体" w:hAnsi="宋体"/>
          <w:sz w:val="24"/>
          <w:szCs w:val="24"/>
        </w:rPr>
      </w:pPr>
      <w:r>
        <w:rPr>
          <w:rFonts w:hint="eastAsia" w:ascii="宋体" w:hAnsi="宋体"/>
          <w:sz w:val="24"/>
          <w:szCs w:val="24"/>
        </w:rPr>
        <w:t>1）指导许昌市的抗震防灾工作，逐步提高城市的综合抗震能力，最大限度地减轻未来城市地震灾害，为构建安全保障型都市保驾护航；</w:t>
      </w:r>
    </w:p>
    <w:p>
      <w:pPr>
        <w:spacing w:line="360" w:lineRule="auto"/>
        <w:ind w:firstLine="420"/>
        <w:rPr>
          <w:rFonts w:ascii="宋体" w:hAnsi="宋体"/>
          <w:sz w:val="24"/>
          <w:szCs w:val="24"/>
        </w:rPr>
      </w:pPr>
      <w:r>
        <w:rPr>
          <w:rFonts w:hint="eastAsia" w:ascii="宋体" w:hAnsi="宋体"/>
          <w:sz w:val="24"/>
          <w:szCs w:val="24"/>
        </w:rPr>
        <w:t>2）依托许昌市总体规划，完善、落实城市防灾空间布局，增强城市综合抗震防灾能力；</w:t>
      </w:r>
    </w:p>
    <w:p>
      <w:pPr>
        <w:spacing w:line="360" w:lineRule="auto"/>
        <w:ind w:firstLine="420"/>
        <w:rPr>
          <w:rFonts w:ascii="宋体" w:hAnsi="宋体"/>
          <w:sz w:val="24"/>
          <w:szCs w:val="24"/>
        </w:rPr>
      </w:pPr>
      <w:r>
        <w:rPr>
          <w:rFonts w:hint="eastAsia" w:ascii="宋体" w:hAnsi="宋体"/>
          <w:sz w:val="24"/>
          <w:szCs w:val="24"/>
        </w:rPr>
        <w:t>3）摸清许昌市抗震防灾能力底数，合理安排城市抗震设防与加固改造，保障社会稳定、人民生命财产安全；</w:t>
      </w:r>
    </w:p>
    <w:p>
      <w:pPr>
        <w:spacing w:line="360" w:lineRule="auto"/>
        <w:ind w:firstLine="420"/>
        <w:rPr>
          <w:rFonts w:ascii="宋体" w:hAnsi="宋体"/>
          <w:sz w:val="24"/>
          <w:szCs w:val="24"/>
        </w:rPr>
      </w:pPr>
      <w:r>
        <w:rPr>
          <w:rFonts w:hint="eastAsia" w:ascii="宋体" w:hAnsi="宋体"/>
          <w:sz w:val="24"/>
          <w:szCs w:val="24"/>
        </w:rPr>
        <w:t>4）建构城市防灾基础设施和避震疏散体系，保障震后救灾工作的顺利开展，解决震后群众的生活安排，并有利于加快震后的恢复重建工作和经济建设的顺利进行。</w:t>
      </w:r>
    </w:p>
    <w:p>
      <w:pPr>
        <w:spacing w:line="360" w:lineRule="auto"/>
        <w:ind w:firstLine="420"/>
        <w:rPr>
          <w:rFonts w:ascii="宋体" w:hAnsi="宋体"/>
          <w:b/>
          <w:sz w:val="24"/>
          <w:szCs w:val="24"/>
        </w:rPr>
      </w:pPr>
      <w:r>
        <w:rPr>
          <w:rFonts w:hint="eastAsia" w:ascii="宋体" w:hAnsi="宋体"/>
          <w:b/>
          <w:sz w:val="24"/>
          <w:szCs w:val="24"/>
        </w:rPr>
        <w:t>（2）规划范围</w:t>
      </w:r>
    </w:p>
    <w:p>
      <w:pPr>
        <w:spacing w:line="360" w:lineRule="auto"/>
        <w:ind w:firstLine="420"/>
        <w:rPr>
          <w:rFonts w:ascii="宋体" w:hAnsi="宋体"/>
          <w:sz w:val="24"/>
          <w:szCs w:val="24"/>
        </w:rPr>
      </w:pPr>
      <w:r>
        <w:rPr>
          <w:rFonts w:hint="eastAsia" w:ascii="宋体" w:hAnsi="宋体"/>
          <w:sz w:val="24"/>
          <w:szCs w:val="24"/>
        </w:rPr>
        <w:t>按照招标文件要求，本次规划范围与《许昌市城市总体规划（2015～2030）》的城市中心城区规划范围一致，至2030年中心城区城市人口规模190万人、建设用地规模189平方公里。。</w:t>
      </w:r>
    </w:p>
    <w:p>
      <w:pPr>
        <w:jc w:val="center"/>
        <w:rPr>
          <w:sz w:val="24"/>
          <w:szCs w:val="24"/>
        </w:rPr>
      </w:pPr>
      <w:r>
        <w:drawing>
          <wp:inline distT="0" distB="0" distL="0" distR="0">
            <wp:extent cx="5274310" cy="3574415"/>
            <wp:effectExtent l="0" t="0" r="2540" b="6985"/>
            <wp:docPr id="151" name="图片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 name="图片 151"/>
                    <pic:cNvPicPr>
                      <a:picLocks noChangeAspect="1"/>
                    </pic:cNvPicPr>
                  </pic:nvPicPr>
                  <pic:blipFill>
                    <a:blip r:embed="rId19"/>
                    <a:stretch>
                      <a:fillRect/>
                    </a:stretch>
                  </pic:blipFill>
                  <pic:spPr>
                    <a:xfrm>
                      <a:off x="0" y="0"/>
                      <a:ext cx="5274310" cy="3574415"/>
                    </a:xfrm>
                    <a:prstGeom prst="rect">
                      <a:avLst/>
                    </a:prstGeom>
                  </pic:spPr>
                </pic:pic>
              </a:graphicData>
            </a:graphic>
          </wp:inline>
        </w:drawing>
      </w:r>
    </w:p>
    <w:p>
      <w:pPr>
        <w:jc w:val="center"/>
        <w:rPr>
          <w:b/>
          <w:sz w:val="24"/>
          <w:szCs w:val="24"/>
        </w:rPr>
      </w:pPr>
      <w:r>
        <w:rPr>
          <w:rFonts w:hint="eastAsia"/>
          <w:b/>
          <w:sz w:val="24"/>
          <w:szCs w:val="24"/>
        </w:rPr>
        <w:t>图2.3 许昌市总体规划——主城区土地利用规划图</w:t>
      </w:r>
    </w:p>
    <w:p>
      <w:pPr>
        <w:spacing w:line="360" w:lineRule="auto"/>
        <w:ind w:firstLine="420"/>
        <w:rPr>
          <w:rFonts w:ascii="宋体" w:hAnsi="宋体"/>
          <w:b/>
          <w:sz w:val="24"/>
          <w:szCs w:val="24"/>
        </w:rPr>
      </w:pPr>
      <w:r>
        <w:rPr>
          <w:rFonts w:hint="eastAsia" w:ascii="宋体" w:hAnsi="宋体"/>
          <w:b/>
          <w:sz w:val="24"/>
          <w:szCs w:val="24"/>
        </w:rPr>
        <w:t>（3）规划期限</w:t>
      </w:r>
    </w:p>
    <w:p>
      <w:pPr>
        <w:spacing w:line="360" w:lineRule="auto"/>
        <w:ind w:firstLine="420"/>
        <w:rPr>
          <w:rFonts w:ascii="宋体" w:hAnsi="宋体"/>
          <w:sz w:val="24"/>
          <w:szCs w:val="24"/>
        </w:rPr>
      </w:pPr>
      <w:r>
        <w:rPr>
          <w:rFonts w:hint="eastAsia" w:ascii="宋体" w:hAnsi="宋体"/>
          <w:sz w:val="24"/>
          <w:szCs w:val="24"/>
        </w:rPr>
        <w:t>规划期限为201</w:t>
      </w:r>
      <w:r>
        <w:rPr>
          <w:rFonts w:ascii="宋体" w:hAnsi="宋体"/>
          <w:sz w:val="24"/>
          <w:szCs w:val="24"/>
        </w:rPr>
        <w:t>8</w:t>
      </w:r>
      <w:r>
        <w:rPr>
          <w:rFonts w:hint="eastAsia" w:ascii="宋体" w:hAnsi="宋体"/>
          <w:sz w:val="24"/>
          <w:szCs w:val="24"/>
        </w:rPr>
        <w:t>-20</w:t>
      </w:r>
      <w:r>
        <w:rPr>
          <w:rFonts w:ascii="宋体" w:hAnsi="宋体"/>
          <w:sz w:val="24"/>
          <w:szCs w:val="24"/>
        </w:rPr>
        <w:t>3</w:t>
      </w:r>
      <w:r>
        <w:rPr>
          <w:rFonts w:hint="eastAsia" w:ascii="宋体" w:hAnsi="宋体"/>
          <w:sz w:val="24"/>
          <w:szCs w:val="24"/>
        </w:rPr>
        <w:t>0年。</w:t>
      </w:r>
    </w:p>
    <w:p>
      <w:pPr>
        <w:spacing w:line="360" w:lineRule="auto"/>
        <w:ind w:firstLine="420"/>
        <w:rPr>
          <w:rFonts w:ascii="宋体" w:hAnsi="宋体"/>
          <w:b/>
          <w:sz w:val="24"/>
          <w:szCs w:val="24"/>
        </w:rPr>
      </w:pPr>
      <w:r>
        <w:rPr>
          <w:rFonts w:hint="eastAsia" w:ascii="宋体" w:hAnsi="宋体"/>
          <w:b/>
          <w:sz w:val="24"/>
          <w:szCs w:val="24"/>
        </w:rPr>
        <w:t>（4）编制依据</w:t>
      </w:r>
    </w:p>
    <w:p>
      <w:pPr>
        <w:spacing w:line="360" w:lineRule="auto"/>
        <w:ind w:firstLine="420"/>
        <w:rPr>
          <w:rFonts w:ascii="宋体" w:hAnsi="宋体"/>
          <w:sz w:val="24"/>
          <w:szCs w:val="24"/>
        </w:rPr>
      </w:pPr>
      <w:r>
        <w:rPr>
          <w:rFonts w:hint="eastAsia" w:ascii="宋体" w:hAnsi="宋体"/>
          <w:sz w:val="24"/>
          <w:szCs w:val="24"/>
        </w:rPr>
        <w:t>1）《中华人民共和国城乡规划法》（2008年）；</w:t>
      </w:r>
    </w:p>
    <w:p>
      <w:pPr>
        <w:spacing w:line="360" w:lineRule="auto"/>
        <w:ind w:firstLine="420"/>
        <w:rPr>
          <w:rFonts w:ascii="宋体" w:hAnsi="宋体"/>
          <w:sz w:val="24"/>
          <w:szCs w:val="24"/>
        </w:rPr>
      </w:pPr>
      <w:r>
        <w:rPr>
          <w:rFonts w:hint="eastAsia" w:ascii="宋体" w:hAnsi="宋体"/>
          <w:sz w:val="24"/>
          <w:szCs w:val="24"/>
        </w:rPr>
        <w:t>2）《中华人民共和国防震减灾法》（2008年）；</w:t>
      </w:r>
    </w:p>
    <w:p>
      <w:pPr>
        <w:spacing w:line="360" w:lineRule="auto"/>
        <w:ind w:firstLine="420"/>
        <w:rPr>
          <w:rFonts w:ascii="宋体" w:hAnsi="宋体"/>
          <w:sz w:val="24"/>
          <w:szCs w:val="24"/>
        </w:rPr>
      </w:pPr>
      <w:r>
        <w:rPr>
          <w:rFonts w:hint="eastAsia" w:ascii="宋体" w:hAnsi="宋体"/>
          <w:sz w:val="24"/>
          <w:szCs w:val="24"/>
        </w:rPr>
        <w:t>3）《中华人民共和国突发事件应对法》（2007年）；</w:t>
      </w:r>
    </w:p>
    <w:p>
      <w:pPr>
        <w:spacing w:line="360" w:lineRule="auto"/>
        <w:ind w:firstLine="420"/>
        <w:rPr>
          <w:rFonts w:ascii="宋体" w:hAnsi="宋体"/>
          <w:sz w:val="24"/>
          <w:szCs w:val="24"/>
        </w:rPr>
      </w:pPr>
      <w:r>
        <w:rPr>
          <w:rFonts w:hint="eastAsia" w:ascii="宋体" w:hAnsi="宋体"/>
          <w:sz w:val="24"/>
          <w:szCs w:val="24"/>
        </w:rPr>
        <w:t>4）《河南省防震减灾条例》（2011）；</w:t>
      </w:r>
    </w:p>
    <w:p>
      <w:pPr>
        <w:spacing w:line="360" w:lineRule="auto"/>
        <w:ind w:firstLine="420"/>
        <w:rPr>
          <w:rFonts w:ascii="宋体" w:hAnsi="宋体"/>
          <w:sz w:val="24"/>
          <w:szCs w:val="24"/>
        </w:rPr>
      </w:pPr>
      <w:r>
        <w:rPr>
          <w:rFonts w:hint="eastAsia" w:ascii="宋体" w:hAnsi="宋体"/>
          <w:sz w:val="24"/>
          <w:szCs w:val="24"/>
        </w:rPr>
        <w:t>5）《城市抗震防灾规划管理规定》（建设部令第117号）；</w:t>
      </w:r>
    </w:p>
    <w:p>
      <w:pPr>
        <w:spacing w:line="360" w:lineRule="auto"/>
        <w:ind w:firstLine="420"/>
        <w:rPr>
          <w:rFonts w:ascii="宋体" w:hAnsi="宋体"/>
          <w:sz w:val="24"/>
          <w:szCs w:val="24"/>
        </w:rPr>
      </w:pPr>
      <w:r>
        <w:rPr>
          <w:rFonts w:hint="eastAsia" w:ascii="宋体" w:hAnsi="宋体"/>
          <w:sz w:val="24"/>
          <w:szCs w:val="24"/>
        </w:rPr>
        <w:t>6）《市政公用设施抗灾设防管理规定》（住房和城乡建设部令第1号）；</w:t>
      </w:r>
    </w:p>
    <w:p>
      <w:pPr>
        <w:spacing w:line="360" w:lineRule="auto"/>
        <w:ind w:firstLine="420"/>
        <w:rPr>
          <w:rFonts w:ascii="宋体" w:hAnsi="宋体"/>
          <w:sz w:val="24"/>
          <w:szCs w:val="24"/>
        </w:rPr>
      </w:pPr>
      <w:r>
        <w:rPr>
          <w:rFonts w:hint="eastAsia" w:ascii="宋体" w:hAnsi="宋体"/>
          <w:sz w:val="24"/>
          <w:szCs w:val="24"/>
        </w:rPr>
        <w:t>7）《房屋建筑工程抗震设防管理规定》（建设部令第148号）；</w:t>
      </w:r>
    </w:p>
    <w:p>
      <w:pPr>
        <w:spacing w:line="360" w:lineRule="auto"/>
        <w:ind w:firstLine="420"/>
        <w:rPr>
          <w:rFonts w:ascii="宋体" w:hAnsi="宋体"/>
          <w:sz w:val="24"/>
          <w:szCs w:val="24"/>
        </w:rPr>
      </w:pPr>
      <w:r>
        <w:rPr>
          <w:rFonts w:hint="eastAsia" w:ascii="宋体" w:hAnsi="宋体"/>
          <w:sz w:val="24"/>
          <w:szCs w:val="24"/>
        </w:rPr>
        <w:t>8）《超限高层建筑工程抗震设防管理规定》（建设部令第111号）；</w:t>
      </w:r>
    </w:p>
    <w:p>
      <w:pPr>
        <w:spacing w:line="360" w:lineRule="auto"/>
        <w:ind w:firstLine="420"/>
        <w:rPr>
          <w:rFonts w:ascii="宋体" w:hAnsi="宋体"/>
          <w:sz w:val="24"/>
          <w:szCs w:val="24"/>
        </w:rPr>
      </w:pPr>
      <w:r>
        <w:rPr>
          <w:rFonts w:hint="eastAsia" w:ascii="宋体" w:hAnsi="宋体"/>
          <w:sz w:val="24"/>
          <w:szCs w:val="24"/>
        </w:rPr>
        <w:t>9）《城市抗震防灾规划标准》（GB50413-2007）；</w:t>
      </w:r>
    </w:p>
    <w:p>
      <w:pPr>
        <w:spacing w:line="360" w:lineRule="auto"/>
        <w:ind w:firstLine="420"/>
        <w:rPr>
          <w:rFonts w:ascii="宋体" w:hAnsi="宋体"/>
          <w:sz w:val="24"/>
          <w:szCs w:val="24"/>
        </w:rPr>
      </w:pPr>
      <w:r>
        <w:rPr>
          <w:rFonts w:hint="eastAsia" w:ascii="宋体" w:hAnsi="宋体"/>
          <w:sz w:val="24"/>
          <w:szCs w:val="24"/>
        </w:rPr>
        <w:t>10）《建筑工程抗震设防分类标准》（GB50223-2008）；</w:t>
      </w:r>
    </w:p>
    <w:p>
      <w:pPr>
        <w:spacing w:line="360" w:lineRule="auto"/>
        <w:ind w:firstLine="420"/>
        <w:rPr>
          <w:rFonts w:ascii="宋体" w:hAnsi="宋体"/>
          <w:sz w:val="24"/>
          <w:szCs w:val="24"/>
        </w:rPr>
      </w:pPr>
      <w:r>
        <w:rPr>
          <w:rFonts w:hint="eastAsia" w:ascii="宋体" w:hAnsi="宋体"/>
          <w:sz w:val="24"/>
          <w:szCs w:val="24"/>
        </w:rPr>
        <w:t>11）《中国地震动参数区划图》（GB18306-2015）；</w:t>
      </w:r>
    </w:p>
    <w:p>
      <w:pPr>
        <w:spacing w:line="360" w:lineRule="auto"/>
        <w:ind w:firstLine="420"/>
        <w:rPr>
          <w:rFonts w:ascii="宋体" w:hAnsi="宋体"/>
          <w:sz w:val="24"/>
          <w:szCs w:val="24"/>
        </w:rPr>
      </w:pPr>
      <w:r>
        <w:rPr>
          <w:rFonts w:hint="eastAsia" w:ascii="宋体" w:hAnsi="宋体"/>
          <w:sz w:val="24"/>
          <w:szCs w:val="24"/>
        </w:rPr>
        <w:t>12）《建筑抗震设计规范》（GB50011-2010）；</w:t>
      </w:r>
    </w:p>
    <w:p>
      <w:pPr>
        <w:spacing w:line="360" w:lineRule="auto"/>
        <w:ind w:firstLine="420"/>
        <w:rPr>
          <w:rFonts w:ascii="宋体" w:hAnsi="宋体"/>
          <w:sz w:val="24"/>
          <w:szCs w:val="24"/>
        </w:rPr>
      </w:pPr>
      <w:r>
        <w:rPr>
          <w:rFonts w:hint="eastAsia" w:ascii="宋体" w:hAnsi="宋体"/>
          <w:sz w:val="24"/>
          <w:szCs w:val="24"/>
        </w:rPr>
        <w:t>13）《构筑物抗震设计规范》（GB50191-2012）；</w:t>
      </w:r>
    </w:p>
    <w:p>
      <w:pPr>
        <w:spacing w:line="360" w:lineRule="auto"/>
        <w:ind w:firstLine="420"/>
        <w:rPr>
          <w:rFonts w:ascii="宋体" w:hAnsi="宋体"/>
          <w:sz w:val="24"/>
          <w:szCs w:val="24"/>
        </w:rPr>
      </w:pPr>
      <w:r>
        <w:rPr>
          <w:rFonts w:hint="eastAsia" w:ascii="宋体" w:hAnsi="宋体"/>
          <w:sz w:val="24"/>
          <w:szCs w:val="24"/>
        </w:rPr>
        <w:t>14）《建筑抗震鉴定标准》（GB50023-2009）；</w:t>
      </w:r>
    </w:p>
    <w:p>
      <w:pPr>
        <w:spacing w:line="360" w:lineRule="auto"/>
        <w:ind w:firstLine="420"/>
        <w:rPr>
          <w:rFonts w:ascii="宋体" w:hAnsi="宋体"/>
          <w:sz w:val="24"/>
          <w:szCs w:val="24"/>
        </w:rPr>
      </w:pPr>
      <w:r>
        <w:rPr>
          <w:rFonts w:hint="eastAsia" w:ascii="宋体" w:hAnsi="宋体"/>
          <w:sz w:val="24"/>
          <w:szCs w:val="24"/>
        </w:rPr>
        <w:t>15）《室外给水排水和燃气热力工程抗震设计规范》（GB50032-2003）；</w:t>
      </w:r>
    </w:p>
    <w:p>
      <w:pPr>
        <w:spacing w:line="360" w:lineRule="auto"/>
        <w:ind w:firstLine="420"/>
        <w:rPr>
          <w:rFonts w:ascii="宋体" w:hAnsi="宋体"/>
          <w:sz w:val="24"/>
          <w:szCs w:val="24"/>
        </w:rPr>
      </w:pPr>
      <w:r>
        <w:rPr>
          <w:rFonts w:hint="eastAsia" w:ascii="宋体" w:hAnsi="宋体"/>
          <w:sz w:val="24"/>
          <w:szCs w:val="24"/>
        </w:rPr>
        <w:t>16）《地震应急避难场所场址及配套设施》（GB21734-2008）；</w:t>
      </w:r>
    </w:p>
    <w:p>
      <w:pPr>
        <w:spacing w:line="360" w:lineRule="auto"/>
        <w:ind w:firstLine="420"/>
        <w:rPr>
          <w:rFonts w:ascii="宋体" w:hAnsi="宋体"/>
          <w:sz w:val="24"/>
          <w:szCs w:val="24"/>
        </w:rPr>
      </w:pPr>
      <w:r>
        <w:rPr>
          <w:rFonts w:hint="eastAsia" w:ascii="宋体" w:hAnsi="宋体"/>
          <w:sz w:val="24"/>
          <w:szCs w:val="24"/>
        </w:rPr>
        <w:t>17）《防灾避难场所设计规范》（GB51143-2015）</w:t>
      </w:r>
    </w:p>
    <w:p>
      <w:pPr>
        <w:spacing w:line="360" w:lineRule="auto"/>
        <w:ind w:firstLine="420"/>
        <w:rPr>
          <w:rFonts w:ascii="宋体" w:hAnsi="宋体"/>
          <w:sz w:val="24"/>
          <w:szCs w:val="24"/>
        </w:rPr>
      </w:pPr>
      <w:r>
        <w:rPr>
          <w:rFonts w:hint="eastAsia" w:ascii="宋体" w:hAnsi="宋体"/>
          <w:sz w:val="24"/>
          <w:szCs w:val="24"/>
        </w:rPr>
        <w:t>18）《建筑抗震加固技术规程》(JGJ116-2009)；</w:t>
      </w:r>
    </w:p>
    <w:p>
      <w:pPr>
        <w:spacing w:line="360" w:lineRule="auto"/>
        <w:ind w:firstLine="420"/>
        <w:rPr>
          <w:rFonts w:ascii="宋体" w:hAnsi="宋体"/>
          <w:sz w:val="24"/>
          <w:szCs w:val="24"/>
        </w:rPr>
      </w:pPr>
      <w:r>
        <w:rPr>
          <w:rFonts w:hint="eastAsia" w:ascii="宋体" w:hAnsi="宋体"/>
          <w:sz w:val="24"/>
          <w:szCs w:val="24"/>
        </w:rPr>
        <w:t>19）《许昌市城市总体规划》（2015-2030）和各专项规划；</w:t>
      </w:r>
    </w:p>
    <w:p>
      <w:pPr>
        <w:spacing w:line="360" w:lineRule="auto"/>
        <w:ind w:firstLine="420"/>
        <w:rPr>
          <w:rFonts w:ascii="宋体" w:hAnsi="宋体"/>
          <w:sz w:val="24"/>
          <w:szCs w:val="24"/>
        </w:rPr>
      </w:pPr>
      <w:r>
        <w:rPr>
          <w:rFonts w:hint="eastAsia" w:ascii="宋体" w:hAnsi="宋体"/>
          <w:sz w:val="24"/>
          <w:szCs w:val="24"/>
        </w:rPr>
        <w:t>20）《南阳市地震应急预案》（2015）；</w:t>
      </w:r>
    </w:p>
    <w:p>
      <w:pPr>
        <w:spacing w:line="360" w:lineRule="auto"/>
        <w:ind w:firstLine="420"/>
        <w:rPr>
          <w:rFonts w:ascii="宋体" w:hAnsi="宋体"/>
          <w:sz w:val="24"/>
          <w:szCs w:val="24"/>
        </w:rPr>
      </w:pPr>
      <w:r>
        <w:rPr>
          <w:rFonts w:hint="eastAsia" w:ascii="宋体" w:hAnsi="宋体"/>
          <w:sz w:val="24"/>
          <w:szCs w:val="24"/>
        </w:rPr>
        <w:t>21）国家、住房与城乡建设部及河南省其他相关标准和规定。</w:t>
      </w:r>
    </w:p>
    <w:p>
      <w:pPr>
        <w:spacing w:line="360" w:lineRule="auto"/>
        <w:ind w:firstLine="420"/>
        <w:rPr>
          <w:rFonts w:ascii="宋体" w:hAnsi="宋体"/>
          <w:b/>
          <w:sz w:val="24"/>
          <w:szCs w:val="24"/>
        </w:rPr>
      </w:pPr>
      <w:r>
        <w:rPr>
          <w:rFonts w:hint="eastAsia" w:ascii="宋体" w:hAnsi="宋体"/>
          <w:b/>
          <w:sz w:val="24"/>
          <w:szCs w:val="24"/>
        </w:rPr>
        <w:t>（5）规划原则</w:t>
      </w:r>
    </w:p>
    <w:p>
      <w:pPr>
        <w:spacing w:line="360" w:lineRule="auto"/>
        <w:ind w:firstLine="420"/>
        <w:rPr>
          <w:rFonts w:ascii="宋体" w:hAnsi="宋体"/>
          <w:sz w:val="24"/>
          <w:szCs w:val="24"/>
        </w:rPr>
      </w:pPr>
      <w:r>
        <w:rPr>
          <w:rFonts w:hint="eastAsia" w:ascii="宋体" w:hAnsi="宋体"/>
          <w:sz w:val="24"/>
          <w:szCs w:val="24"/>
        </w:rPr>
        <w:t>1）认真贯彻“以预防为主，防、抗、避、救相结合”的原则。</w:t>
      </w:r>
    </w:p>
    <w:p>
      <w:pPr>
        <w:spacing w:line="360" w:lineRule="auto"/>
        <w:ind w:firstLine="420"/>
        <w:rPr>
          <w:rFonts w:ascii="宋体" w:hAnsi="宋体"/>
          <w:sz w:val="24"/>
          <w:szCs w:val="24"/>
        </w:rPr>
      </w:pPr>
      <w:r>
        <w:rPr>
          <w:rFonts w:hint="eastAsia" w:ascii="宋体" w:hAnsi="宋体"/>
          <w:sz w:val="24"/>
          <w:szCs w:val="24"/>
        </w:rPr>
        <w:t>2）坚持四个结合原则。有关法律法规和技术标准相结合；与过去编制城市抗震防灾规划的成功经验及汶川地震经验相结合；与适应当代城市迅速发展的防灾新要求、新思路相结合；与新技术、新方法的有机结合。</w:t>
      </w:r>
    </w:p>
    <w:p>
      <w:pPr>
        <w:spacing w:line="360" w:lineRule="auto"/>
        <w:ind w:firstLine="420"/>
        <w:rPr>
          <w:rFonts w:ascii="宋体" w:hAnsi="宋体"/>
          <w:sz w:val="24"/>
          <w:szCs w:val="24"/>
        </w:rPr>
      </w:pPr>
      <w:r>
        <w:rPr>
          <w:rFonts w:hint="eastAsia" w:ascii="宋体" w:hAnsi="宋体"/>
          <w:sz w:val="24"/>
          <w:szCs w:val="24"/>
        </w:rPr>
        <w:t>3）坚持与总体规划相互协调原则。与新编的总体规划为基础，密切结合城市建设与发展过程中的防灾要求，与总体规划衔接、协调，确保抗震防灾规划的可实施性和实用性，并具有前瞻性。</w:t>
      </w:r>
    </w:p>
    <w:p>
      <w:pPr>
        <w:spacing w:line="360" w:lineRule="auto"/>
        <w:ind w:firstLine="420"/>
        <w:rPr>
          <w:rFonts w:ascii="宋体" w:hAnsi="宋体"/>
          <w:sz w:val="24"/>
          <w:szCs w:val="24"/>
        </w:rPr>
      </w:pPr>
      <w:r>
        <w:rPr>
          <w:rFonts w:hint="eastAsia" w:ascii="宋体" w:hAnsi="宋体"/>
          <w:sz w:val="24"/>
          <w:szCs w:val="24"/>
        </w:rPr>
        <w:t>4）坚持以人为本原则。体现对生命的重视和尊重，规划的制定出发点是人，落脚点是工程，保障民众的抗震安全和提高城市综合抗震能力是规划的两个重要方面。规划要体现民众的需求，始于民而服务于民。</w:t>
      </w:r>
    </w:p>
    <w:p>
      <w:pPr>
        <w:spacing w:line="360" w:lineRule="auto"/>
        <w:ind w:firstLine="420"/>
        <w:rPr>
          <w:rFonts w:ascii="宋体" w:hAnsi="宋体"/>
          <w:sz w:val="24"/>
          <w:szCs w:val="24"/>
        </w:rPr>
      </w:pPr>
      <w:r>
        <w:rPr>
          <w:rFonts w:hint="eastAsia" w:ascii="宋体" w:hAnsi="宋体"/>
          <w:sz w:val="24"/>
          <w:szCs w:val="24"/>
        </w:rPr>
        <w:t>5）坚持平震结合，防抗结合的原则。密切结合部门的日常分工，从构建城市综合防灾体系入手，做好震前应急准备和震后抢险救灾规划，建立健全各级抗震救灾组织机构。</w:t>
      </w:r>
    </w:p>
    <w:p>
      <w:pPr>
        <w:spacing w:line="360" w:lineRule="auto"/>
        <w:ind w:firstLine="420"/>
        <w:rPr>
          <w:rFonts w:ascii="宋体" w:hAnsi="宋体"/>
          <w:sz w:val="24"/>
          <w:szCs w:val="24"/>
        </w:rPr>
      </w:pPr>
      <w:r>
        <w:rPr>
          <w:rFonts w:hint="eastAsia" w:ascii="宋体" w:hAnsi="宋体"/>
          <w:sz w:val="24"/>
          <w:szCs w:val="24"/>
        </w:rPr>
        <w:t>6）坚持从实际出发，切实可行的原则。充分发挥政府职能部门的作用，紧密结合许昌的实际情况，使规划编制做到即科学、经济、合理，有切实可行，便于实施。</w:t>
      </w:r>
    </w:p>
    <w:p>
      <w:pPr>
        <w:spacing w:line="360" w:lineRule="auto"/>
        <w:ind w:firstLine="420"/>
        <w:rPr>
          <w:rFonts w:ascii="宋体" w:hAnsi="宋体"/>
          <w:b/>
          <w:sz w:val="24"/>
          <w:szCs w:val="24"/>
        </w:rPr>
      </w:pPr>
      <w:r>
        <w:rPr>
          <w:rFonts w:hint="eastAsia" w:ascii="宋体" w:hAnsi="宋体"/>
          <w:b/>
          <w:sz w:val="24"/>
          <w:szCs w:val="24"/>
        </w:rPr>
        <w:t>（6）规划性质</w:t>
      </w:r>
    </w:p>
    <w:p>
      <w:pPr>
        <w:spacing w:line="360" w:lineRule="auto"/>
        <w:ind w:firstLine="420"/>
        <w:rPr>
          <w:rFonts w:ascii="宋体" w:hAnsi="宋体"/>
          <w:sz w:val="24"/>
          <w:szCs w:val="24"/>
        </w:rPr>
      </w:pPr>
      <w:r>
        <w:rPr>
          <w:rFonts w:hint="eastAsia" w:ascii="宋体" w:hAnsi="宋体"/>
          <w:sz w:val="24"/>
          <w:szCs w:val="24"/>
        </w:rPr>
        <w:t>1）与城市总体规划的关系</w:t>
      </w:r>
    </w:p>
    <w:p>
      <w:pPr>
        <w:spacing w:line="360" w:lineRule="auto"/>
        <w:ind w:firstLine="420"/>
        <w:rPr>
          <w:rFonts w:ascii="宋体" w:hAnsi="宋体"/>
          <w:sz w:val="24"/>
          <w:szCs w:val="24"/>
        </w:rPr>
      </w:pPr>
      <w:r>
        <w:rPr>
          <w:rFonts w:hint="eastAsia" w:ascii="宋体" w:hAnsi="宋体"/>
          <w:b/>
          <w:sz w:val="24"/>
          <w:szCs w:val="24"/>
        </w:rPr>
        <w:t>城市总体规划是城市发展的蓝图，处于统率的地位</w:t>
      </w:r>
      <w:r>
        <w:rPr>
          <w:rFonts w:hint="eastAsia" w:ascii="宋体" w:hAnsi="宋体"/>
          <w:sz w:val="24"/>
          <w:szCs w:val="24"/>
        </w:rPr>
        <w:t>，抗震防灾规划应在城市总体规划确定的城市性质、规模、建设和发展等方针原则下进行研究和编制，并应保持与城市其它各项专业规划相协调。</w:t>
      </w:r>
    </w:p>
    <w:p>
      <w:pPr>
        <w:spacing w:line="360" w:lineRule="auto"/>
        <w:ind w:firstLine="420"/>
        <w:rPr>
          <w:rFonts w:ascii="宋体" w:hAnsi="宋体"/>
          <w:sz w:val="24"/>
          <w:szCs w:val="24"/>
        </w:rPr>
      </w:pPr>
      <w:r>
        <w:rPr>
          <w:rFonts w:hint="eastAsia" w:ascii="宋体" w:hAnsi="宋体"/>
          <w:sz w:val="24"/>
          <w:szCs w:val="24"/>
        </w:rPr>
        <w:t>城市抗震防灾规划涉及到城市的方方面面，尤其与城市总体规划以及给排水、交通、消防、通讯、供电、供气、医疗卫生、旧城改造、绿地系统、仓储（物资供应及保障）等专业/项规划结合密切，但城市抗震防灾规划并不是要代替这些专业/项规划，而是在相互协调的原则上，重点提出这些专业系统规划的抗震防灾规划建设要求。</w:t>
      </w:r>
    </w:p>
    <w:p>
      <w:pPr>
        <w:spacing w:line="360" w:lineRule="auto"/>
        <w:ind w:firstLine="420"/>
        <w:rPr>
          <w:rFonts w:ascii="宋体" w:hAnsi="宋体"/>
          <w:sz w:val="24"/>
          <w:szCs w:val="24"/>
        </w:rPr>
      </w:pPr>
      <w:r>
        <w:rPr>
          <w:rFonts w:hint="eastAsia" w:ascii="宋体" w:hAnsi="宋体"/>
          <w:sz w:val="24"/>
          <w:szCs w:val="24"/>
        </w:rPr>
        <w:t>图2.4所示为城市总体规划与抗震防灾规划的关系。</w:t>
      </w:r>
    </w:p>
    <w:p>
      <w:pPr>
        <w:pStyle w:val="34"/>
        <w:rPr>
          <w:sz w:val="24"/>
          <w:szCs w:val="24"/>
        </w:rPr>
      </w:pPr>
      <w:r>
        <w:rPr>
          <w:sz w:val="24"/>
          <w:szCs w:val="24"/>
        </w:rPr>
        <w:object>
          <v:shape id="_x0000_i1027" o:spt="75" type="#_x0000_t75" style="height:252.7pt;width:294.75pt;" o:ole="t" filled="f" o:preferrelative="t" stroked="f" coordsize="21600,21600">
            <v:path/>
            <v:fill on="f" focussize="0,0"/>
            <v:stroke on="f" joinstyle="miter"/>
            <v:imagedata r:id="rId21" o:title=""/>
            <o:lock v:ext="edit" aspectratio="t"/>
            <w10:wrap type="none"/>
            <w10:anchorlock/>
          </v:shape>
          <o:OLEObject Type="Embed" ProgID="Visio.Drawing.11" ShapeID="_x0000_i1027" DrawAspect="Content" ObjectID="_1468075727" r:id="rId20">
            <o:LockedField>false</o:LockedField>
          </o:OLEObject>
        </w:object>
      </w:r>
    </w:p>
    <w:p>
      <w:pPr>
        <w:pStyle w:val="34"/>
        <w:rPr>
          <w:sz w:val="24"/>
          <w:szCs w:val="24"/>
        </w:rPr>
      </w:pPr>
      <w:r>
        <w:rPr>
          <w:rFonts w:hint="eastAsia"/>
          <w:sz w:val="24"/>
          <w:szCs w:val="24"/>
        </w:rPr>
        <w:t>图2.4 城市总体规划与抗震防灾规划的关系</w:t>
      </w:r>
    </w:p>
    <w:p>
      <w:pPr>
        <w:spacing w:line="360" w:lineRule="auto"/>
        <w:ind w:firstLine="420"/>
        <w:rPr>
          <w:rFonts w:ascii="宋体" w:hAnsi="宋体"/>
          <w:sz w:val="24"/>
          <w:szCs w:val="24"/>
        </w:rPr>
      </w:pPr>
      <w:r>
        <w:rPr>
          <w:rFonts w:hint="eastAsia" w:ascii="宋体" w:hAnsi="宋体"/>
          <w:sz w:val="24"/>
          <w:szCs w:val="24"/>
        </w:rPr>
        <w:t>2）与城市应急救灾的关系</w:t>
      </w:r>
    </w:p>
    <w:p>
      <w:pPr>
        <w:spacing w:line="360" w:lineRule="auto"/>
        <w:ind w:firstLine="420"/>
        <w:rPr>
          <w:rFonts w:ascii="宋体" w:hAnsi="宋体"/>
          <w:sz w:val="24"/>
          <w:szCs w:val="24"/>
        </w:rPr>
      </w:pPr>
      <w:r>
        <w:rPr>
          <w:rFonts w:hint="eastAsia" w:ascii="宋体" w:hAnsi="宋体"/>
          <w:sz w:val="24"/>
          <w:szCs w:val="24"/>
        </w:rPr>
        <w:t>城市抗震防灾规划与城市应急救灾实际上是常态建设和灾后应急的关系，因此在城市抗震防灾规划中重点要解决灾害发生前安全保障和灾害发生后应急救援所需要的应急基础设施和资源的规划与建设要求，从而促进城市应急救灾能力的提高。</w:t>
      </w:r>
    </w:p>
    <w:p>
      <w:pPr>
        <w:spacing w:line="360" w:lineRule="auto"/>
        <w:ind w:firstLine="420"/>
        <w:rPr>
          <w:rFonts w:ascii="宋体" w:hAnsi="宋体"/>
          <w:sz w:val="24"/>
          <w:szCs w:val="24"/>
        </w:rPr>
      </w:pPr>
      <w:r>
        <w:rPr>
          <w:rFonts w:hint="eastAsia" w:ascii="宋体" w:hAnsi="宋体"/>
          <w:sz w:val="24"/>
          <w:szCs w:val="24"/>
        </w:rPr>
        <w:t>3）规划性质</w:t>
      </w:r>
    </w:p>
    <w:p>
      <w:pPr>
        <w:spacing w:line="360" w:lineRule="auto"/>
        <w:ind w:firstLine="420"/>
        <w:rPr>
          <w:rFonts w:ascii="宋体" w:hAnsi="宋体"/>
          <w:sz w:val="24"/>
          <w:szCs w:val="24"/>
        </w:rPr>
      </w:pPr>
      <w:r>
        <w:rPr>
          <w:rFonts w:hint="eastAsia" w:ascii="宋体" w:hAnsi="宋体"/>
          <w:sz w:val="24"/>
          <w:szCs w:val="24"/>
        </w:rPr>
        <w:t>本规划是许昌市城市抗震防灾的指导性文件。因城市规划、建设与抗震防灾工作需要，在进行与城市抗震防灾有关的土地利用、建筑及基础设施建设与改造、避震疏散、次生灾害防御、灾后恢复重建等工作时，均应符合本规划的总体安排和要求。</w:t>
      </w:r>
    </w:p>
    <w:p>
      <w:pPr>
        <w:spacing w:line="360" w:lineRule="auto"/>
        <w:ind w:firstLine="420"/>
        <w:rPr>
          <w:rFonts w:ascii="宋体" w:hAnsi="宋体"/>
          <w:sz w:val="24"/>
          <w:szCs w:val="24"/>
        </w:rPr>
      </w:pPr>
      <w:r>
        <w:rPr>
          <w:rFonts w:hint="eastAsia" w:ascii="宋体" w:hAnsi="宋体"/>
          <w:sz w:val="24"/>
          <w:szCs w:val="24"/>
        </w:rPr>
        <w:t>凡在城市规划区内进行的各项建设活动，任何单位或个人均须遵守本规划，并服从城市抗震防灾管理等部门的管理、监督与协调。</w:t>
      </w:r>
    </w:p>
    <w:p>
      <w:pPr>
        <w:spacing w:line="360" w:lineRule="auto"/>
        <w:ind w:firstLine="420"/>
        <w:rPr>
          <w:rFonts w:ascii="宋体" w:hAnsi="宋体"/>
          <w:b/>
          <w:sz w:val="24"/>
          <w:szCs w:val="24"/>
        </w:rPr>
      </w:pPr>
      <w:r>
        <w:rPr>
          <w:rFonts w:hint="eastAsia" w:ascii="宋体" w:hAnsi="宋体"/>
          <w:b/>
          <w:sz w:val="24"/>
          <w:szCs w:val="24"/>
        </w:rPr>
        <w:t>（7）总体防御目标</w:t>
      </w:r>
    </w:p>
    <w:p>
      <w:pPr>
        <w:spacing w:line="360" w:lineRule="auto"/>
        <w:ind w:firstLine="420"/>
        <w:rPr>
          <w:rFonts w:ascii="宋体" w:hAnsi="宋体"/>
          <w:sz w:val="24"/>
          <w:szCs w:val="24"/>
        </w:rPr>
      </w:pPr>
      <w:r>
        <w:rPr>
          <w:rFonts w:hint="eastAsia" w:ascii="宋体" w:hAnsi="宋体"/>
          <w:sz w:val="24"/>
          <w:szCs w:val="24"/>
        </w:rPr>
        <w:t>按照招标要求，规划需达到以下总体防御目标：</w:t>
      </w:r>
    </w:p>
    <w:p>
      <w:pPr>
        <w:spacing w:line="360" w:lineRule="auto"/>
        <w:ind w:firstLine="420"/>
        <w:rPr>
          <w:rFonts w:ascii="宋体" w:hAnsi="宋体"/>
          <w:sz w:val="24"/>
          <w:szCs w:val="24"/>
        </w:rPr>
      </w:pPr>
      <w:r>
        <w:rPr>
          <w:rFonts w:hint="eastAsia" w:ascii="宋体" w:hAnsi="宋体"/>
          <w:sz w:val="24"/>
          <w:szCs w:val="24"/>
        </w:rPr>
        <w:t>1）当遭受多遇地震灾害时，城市功能一切正常；</w:t>
      </w:r>
    </w:p>
    <w:p>
      <w:pPr>
        <w:spacing w:line="360" w:lineRule="auto"/>
        <w:ind w:firstLine="420"/>
        <w:rPr>
          <w:rFonts w:ascii="宋体" w:hAnsi="宋体"/>
          <w:sz w:val="24"/>
          <w:szCs w:val="24"/>
        </w:rPr>
      </w:pPr>
      <w:r>
        <w:rPr>
          <w:rFonts w:hint="eastAsia" w:ascii="宋体" w:hAnsi="宋体"/>
          <w:sz w:val="24"/>
          <w:szCs w:val="24"/>
        </w:rPr>
        <w:t>2）当遭受相当于抗震设防烈度的地震时，城市一般功能及生命线系统基本正常，重要工矿企业能正常或者很快恢复生产；</w:t>
      </w:r>
    </w:p>
    <w:p>
      <w:pPr>
        <w:spacing w:line="360" w:lineRule="auto"/>
        <w:ind w:firstLine="420"/>
        <w:rPr>
          <w:rFonts w:ascii="宋体" w:hAnsi="宋体"/>
          <w:sz w:val="24"/>
          <w:szCs w:val="24"/>
        </w:rPr>
      </w:pPr>
      <w:r>
        <w:rPr>
          <w:rFonts w:hint="eastAsia" w:ascii="宋体" w:hAnsi="宋体"/>
          <w:sz w:val="24"/>
          <w:szCs w:val="24"/>
        </w:rPr>
        <w:t>3）当遭受罕遇地震时，城市功能不能瘫痪，要害系统和生命线系统不遭受严重破坏，不发生严重的次生灾害；</w:t>
      </w:r>
    </w:p>
    <w:p>
      <w:pPr>
        <w:spacing w:line="360" w:lineRule="auto"/>
        <w:ind w:firstLine="420"/>
        <w:rPr>
          <w:rFonts w:ascii="宋体" w:hAnsi="宋体"/>
          <w:b/>
          <w:sz w:val="24"/>
          <w:szCs w:val="24"/>
        </w:rPr>
      </w:pPr>
      <w:r>
        <w:rPr>
          <w:rFonts w:hint="eastAsia" w:ascii="宋体" w:hAnsi="宋体"/>
          <w:b/>
          <w:sz w:val="24"/>
          <w:szCs w:val="24"/>
        </w:rPr>
        <w:t>（8）超越设防水准地震的防御目标</w:t>
      </w:r>
    </w:p>
    <w:p>
      <w:pPr>
        <w:spacing w:line="360" w:lineRule="auto"/>
        <w:ind w:firstLine="420"/>
        <w:rPr>
          <w:rFonts w:ascii="宋体" w:hAnsi="宋体"/>
          <w:sz w:val="24"/>
          <w:szCs w:val="24"/>
        </w:rPr>
      </w:pPr>
      <w:r>
        <w:rPr>
          <w:rFonts w:hint="eastAsia" w:ascii="宋体" w:hAnsi="宋体"/>
          <w:sz w:val="24"/>
          <w:szCs w:val="24"/>
        </w:rPr>
        <w:t>按照《城市抗震防灾规划标准》的修订（初稿），对城市抗震防御目标有了更高的要求，“城市抗震防御目标及要求的确定应当满足重大和特大地震时重大应急抢险救援活动和大规模避震疏散的需要”。</w:t>
      </w:r>
    </w:p>
    <w:p>
      <w:pPr>
        <w:spacing w:line="360" w:lineRule="auto"/>
        <w:ind w:firstLine="420"/>
        <w:rPr>
          <w:rFonts w:ascii="宋体" w:hAnsi="宋体"/>
          <w:sz w:val="24"/>
          <w:szCs w:val="24"/>
        </w:rPr>
      </w:pPr>
      <w:r>
        <w:rPr>
          <w:rFonts w:hint="eastAsia" w:ascii="宋体" w:hAnsi="宋体"/>
          <w:sz w:val="24"/>
          <w:szCs w:val="24"/>
        </w:rPr>
        <w:t>考虑到许昌市城市较大，地位和作用十分重要，本规划在招标文件相关要求下，综合考虑标准修订的新要求，统筹制定了超越设防水准地震的防御目标，以保证城市的综合防灾和应急救灾能力。</w:t>
      </w:r>
    </w:p>
    <w:p>
      <w:pPr>
        <w:spacing w:line="360" w:lineRule="auto"/>
        <w:ind w:firstLine="420"/>
        <w:rPr>
          <w:rFonts w:ascii="宋体" w:hAnsi="宋体"/>
          <w:b/>
          <w:sz w:val="24"/>
          <w:szCs w:val="24"/>
        </w:rPr>
      </w:pPr>
      <w:r>
        <w:rPr>
          <w:rFonts w:hint="eastAsia" w:ascii="宋体" w:hAnsi="宋体"/>
          <w:b/>
          <w:sz w:val="24"/>
          <w:szCs w:val="24"/>
        </w:rPr>
        <w:t>1）当遭受超越设防标准以上的重大或特大地震影响时，区域重大协调救援、救灾物资运输活动和对外远程疏散可实施。</w:t>
      </w:r>
    </w:p>
    <w:p>
      <w:pPr>
        <w:spacing w:line="360" w:lineRule="auto"/>
        <w:ind w:firstLine="420"/>
        <w:rPr>
          <w:rFonts w:ascii="宋体" w:hAnsi="宋体"/>
          <w:sz w:val="24"/>
          <w:szCs w:val="24"/>
        </w:rPr>
      </w:pPr>
      <w:r>
        <w:rPr>
          <w:rFonts w:hint="eastAsia" w:ascii="宋体" w:hAnsi="宋体"/>
          <w:b/>
          <w:sz w:val="24"/>
          <w:szCs w:val="24"/>
        </w:rPr>
        <w:t>2）当遭受罕遇地震影响时，应急基础设施可有效维持运转，人员可有效疏散，城市防灾救灾基本功能正常或可快速恢复；</w:t>
      </w:r>
    </w:p>
    <w:p>
      <w:pPr>
        <w:spacing w:line="360" w:lineRule="auto"/>
        <w:ind w:firstLine="420"/>
        <w:rPr>
          <w:rFonts w:ascii="宋体" w:hAnsi="宋体"/>
          <w:b/>
          <w:sz w:val="24"/>
          <w:szCs w:val="24"/>
        </w:rPr>
      </w:pPr>
      <w:r>
        <w:rPr>
          <w:rFonts w:hint="eastAsia" w:ascii="宋体" w:hAnsi="宋体"/>
          <w:b/>
          <w:sz w:val="24"/>
          <w:szCs w:val="24"/>
        </w:rPr>
        <w:t>（9）编制模式</w:t>
      </w:r>
    </w:p>
    <w:p>
      <w:pPr>
        <w:spacing w:line="360" w:lineRule="auto"/>
        <w:ind w:firstLine="420"/>
        <w:rPr>
          <w:rFonts w:ascii="宋体" w:hAnsi="宋体"/>
          <w:sz w:val="24"/>
          <w:szCs w:val="24"/>
        </w:rPr>
      </w:pPr>
      <w:r>
        <w:rPr>
          <w:rFonts w:hint="eastAsia" w:ascii="宋体" w:hAnsi="宋体"/>
          <w:sz w:val="24"/>
          <w:szCs w:val="24"/>
        </w:rPr>
        <w:t>许昌市抗震设防烈度为</w:t>
      </w:r>
      <w:r>
        <w:rPr>
          <w:rFonts w:ascii="宋体" w:hAnsi="宋体"/>
          <w:sz w:val="24"/>
          <w:szCs w:val="24"/>
        </w:rPr>
        <w:t>7</w:t>
      </w:r>
      <w:r>
        <w:rPr>
          <w:rFonts w:hint="eastAsia" w:ascii="宋体" w:hAnsi="宋体"/>
          <w:sz w:val="24"/>
          <w:szCs w:val="24"/>
        </w:rPr>
        <w:t>度，设计地震加速度值为0.</w:t>
      </w:r>
      <w:r>
        <w:rPr>
          <w:rFonts w:ascii="宋体" w:hAnsi="宋体"/>
          <w:sz w:val="24"/>
          <w:szCs w:val="24"/>
        </w:rPr>
        <w:t>10</w:t>
      </w:r>
      <w:r>
        <w:rPr>
          <w:rFonts w:hint="eastAsia" w:ascii="宋体" w:hAnsi="宋体"/>
          <w:sz w:val="24"/>
          <w:szCs w:val="24"/>
        </w:rPr>
        <w:t>g。按照《城市抗震防灾规划管理规定》（建设部令117号）的规定，许昌市抗震防灾规划可按照</w:t>
      </w:r>
      <w:r>
        <w:rPr>
          <w:rFonts w:hint="eastAsia" w:ascii="宋体" w:hAnsi="宋体"/>
          <w:b/>
          <w:sz w:val="24"/>
          <w:szCs w:val="24"/>
        </w:rPr>
        <w:t>甲类模式</w:t>
      </w:r>
      <w:r>
        <w:rPr>
          <w:rFonts w:hint="eastAsia" w:ascii="宋体" w:hAnsi="宋体"/>
          <w:sz w:val="24"/>
          <w:szCs w:val="24"/>
        </w:rPr>
        <w:t>进行编制。</w:t>
      </w:r>
    </w:p>
    <w:p>
      <w:pPr>
        <w:spacing w:line="360" w:lineRule="auto"/>
        <w:ind w:firstLine="420"/>
        <w:rPr>
          <w:rFonts w:ascii="宋体" w:hAnsi="宋体"/>
          <w:b/>
          <w:sz w:val="24"/>
          <w:szCs w:val="24"/>
        </w:rPr>
      </w:pPr>
      <w:r>
        <w:rPr>
          <w:rFonts w:hint="eastAsia" w:ascii="宋体" w:hAnsi="宋体"/>
          <w:b/>
          <w:sz w:val="24"/>
          <w:szCs w:val="24"/>
        </w:rPr>
        <w:t>（10）规划深度</w:t>
      </w:r>
    </w:p>
    <w:p>
      <w:pPr>
        <w:spacing w:line="360" w:lineRule="auto"/>
        <w:ind w:firstLine="480"/>
        <w:rPr>
          <w:rFonts w:ascii="宋体" w:hAnsi="宋体"/>
          <w:b/>
          <w:sz w:val="24"/>
          <w:szCs w:val="24"/>
        </w:rPr>
      </w:pPr>
      <w:r>
        <w:rPr>
          <w:rFonts w:hint="eastAsia" w:ascii="宋体" w:hAnsi="宋体"/>
          <w:sz w:val="24"/>
          <w:szCs w:val="24"/>
        </w:rPr>
        <w:t>达到国家《城市抗震防灾规划标准》（GB50413-2007）的专业规划编制深度，结合《城市抗震防灾规划标准》（GB50413-2007）的修订，满足新标准的相关要求。</w:t>
      </w:r>
    </w:p>
    <w:p>
      <w:pPr>
        <w:spacing w:line="360" w:lineRule="auto"/>
        <w:rPr>
          <w:rFonts w:ascii="宋体" w:hAnsi="宋体"/>
          <w:b/>
        </w:rPr>
      </w:pPr>
    </w:p>
    <w:p>
      <w:pPr>
        <w:pStyle w:val="3"/>
      </w:pPr>
      <w:r>
        <w:br w:type="page"/>
      </w:r>
      <w:bookmarkStart w:id="46" w:name="_Toc417409887"/>
      <w:bookmarkStart w:id="47" w:name="_Toc503267564"/>
      <w:bookmarkStart w:id="48" w:name="_Toc417410099"/>
      <w:r>
        <w:rPr>
          <w:rFonts w:hint="eastAsia"/>
        </w:rPr>
        <w:t>3</w:t>
      </w:r>
      <w:r>
        <w:t xml:space="preserve"> </w:t>
      </w:r>
      <w:r>
        <w:rPr>
          <w:rFonts w:hint="eastAsia"/>
        </w:rPr>
        <w:t>技术路线</w:t>
      </w:r>
      <w:bookmarkEnd w:id="46"/>
      <w:bookmarkEnd w:id="47"/>
      <w:bookmarkEnd w:id="48"/>
    </w:p>
    <w:p>
      <w:pPr>
        <w:pStyle w:val="4"/>
      </w:pPr>
      <w:bookmarkStart w:id="49" w:name="_Toc290032666"/>
      <w:bookmarkStart w:id="50" w:name="_Toc417409888"/>
      <w:bookmarkStart w:id="51" w:name="_Toc503267565"/>
      <w:bookmarkStart w:id="52" w:name="_Toc417410100"/>
      <w:r>
        <w:rPr>
          <w:rFonts w:hint="eastAsia"/>
        </w:rPr>
        <w:t>3.1</w:t>
      </w:r>
      <w:r>
        <w:t xml:space="preserve"> </w:t>
      </w:r>
      <w:r>
        <w:rPr>
          <w:rFonts w:hint="eastAsia"/>
        </w:rPr>
        <w:t>前期基础工作</w:t>
      </w:r>
      <w:bookmarkEnd w:id="49"/>
      <w:bookmarkEnd w:id="50"/>
      <w:bookmarkEnd w:id="51"/>
      <w:bookmarkEnd w:id="52"/>
    </w:p>
    <w:p>
      <w:pPr>
        <w:ind w:firstLine="420"/>
        <w:rPr>
          <w:rFonts w:ascii="宋体" w:hAnsi="宋体"/>
          <w:sz w:val="24"/>
          <w:szCs w:val="24"/>
        </w:rPr>
      </w:pPr>
      <w:r>
        <w:rPr>
          <w:rFonts w:hint="eastAsia" w:ascii="宋体" w:hAnsi="宋体"/>
          <w:sz w:val="24"/>
          <w:szCs w:val="24"/>
        </w:rPr>
        <w:t>1、调查、研究国内外相关案例和发展趋势，总结经验和教训，为本次规划提供有益借鉴。</w:t>
      </w:r>
    </w:p>
    <w:p>
      <w:pPr>
        <w:ind w:firstLine="420"/>
        <w:rPr>
          <w:rFonts w:ascii="宋体" w:hAnsi="宋体"/>
          <w:sz w:val="24"/>
          <w:szCs w:val="24"/>
        </w:rPr>
      </w:pPr>
      <w:r>
        <w:rPr>
          <w:rFonts w:hint="eastAsia" w:ascii="宋体" w:hAnsi="宋体"/>
          <w:sz w:val="24"/>
          <w:szCs w:val="24"/>
        </w:rPr>
        <w:t>2、对许昌市城市抗震防灾背景、地震地质、地震活动性、历史活动性、抗震设防标准进行研究，以此为基础编制切实可行、起到实效的许昌市抗震防灾规划。</w:t>
      </w:r>
    </w:p>
    <w:p>
      <w:pPr>
        <w:ind w:firstLine="420"/>
        <w:rPr>
          <w:rFonts w:ascii="宋体" w:hAnsi="宋体"/>
          <w:sz w:val="24"/>
          <w:szCs w:val="24"/>
        </w:rPr>
      </w:pPr>
      <w:r>
        <w:rPr>
          <w:rFonts w:hint="eastAsia" w:ascii="宋体" w:hAnsi="宋体"/>
          <w:sz w:val="24"/>
          <w:szCs w:val="24"/>
        </w:rPr>
        <w:t>3、许昌市前期已经开展了城市抗震</w:t>
      </w:r>
      <w:r>
        <w:rPr>
          <w:rFonts w:ascii="宋体" w:hAnsi="宋体"/>
          <w:sz w:val="24"/>
          <w:szCs w:val="24"/>
        </w:rPr>
        <w:t>防灾的</w:t>
      </w:r>
      <w:r>
        <w:rPr>
          <w:rFonts w:hint="eastAsia" w:ascii="宋体" w:hAnsi="宋体"/>
          <w:sz w:val="24"/>
          <w:szCs w:val="24"/>
        </w:rPr>
        <w:t>相关</w:t>
      </w:r>
      <w:r>
        <w:rPr>
          <w:rFonts w:ascii="宋体" w:hAnsi="宋体"/>
          <w:sz w:val="24"/>
          <w:szCs w:val="24"/>
        </w:rPr>
        <w:t>基础</w:t>
      </w:r>
      <w:r>
        <w:rPr>
          <w:rFonts w:hint="eastAsia" w:ascii="宋体" w:hAnsi="宋体"/>
          <w:sz w:val="24"/>
          <w:szCs w:val="24"/>
        </w:rPr>
        <w:t>等工作，这些研究工作为本次抗震防灾规划的编制提供了良好的基础。</w:t>
      </w:r>
    </w:p>
    <w:p>
      <w:pPr>
        <w:pStyle w:val="32"/>
      </w:pPr>
      <w:bookmarkStart w:id="53" w:name="_MON_1206973519"/>
      <w:bookmarkEnd w:id="53"/>
      <w:bookmarkStart w:id="54" w:name="_MON_1206974665"/>
      <w:bookmarkEnd w:id="54"/>
      <w:bookmarkStart w:id="55" w:name="_MON_1206973445"/>
      <w:bookmarkEnd w:id="55"/>
      <w:bookmarkStart w:id="56" w:name="_MON_1206973505"/>
      <w:bookmarkEnd w:id="56"/>
      <w:r>
        <w:object>
          <v:shape id="_x0000_i1028" o:spt="75" type="#_x0000_t75" style="height:360.8pt;width:391.8pt;" o:ole="t" filled="f" o:preferrelative="t" stroked="f" coordsize="21600,21600">
            <v:path/>
            <v:fill on="f" focussize="0,0"/>
            <v:stroke on="f" joinstyle="miter"/>
            <v:imagedata r:id="rId23" o:title=""/>
            <o:lock v:ext="edit" aspectratio="t"/>
            <w10:wrap type="none"/>
            <w10:anchorlock/>
          </v:shape>
          <o:OLEObject Type="Embed" ProgID="Word.Picture.8" ShapeID="_x0000_i1028" DrawAspect="Content" ObjectID="_1468075728" r:id="rId22">
            <o:LockedField>false</o:LockedField>
          </o:OLEObject>
        </w:object>
      </w:r>
    </w:p>
    <w:p>
      <w:pPr>
        <w:pStyle w:val="32"/>
      </w:pPr>
      <w:r>
        <w:rPr>
          <w:rFonts w:hint="eastAsia"/>
        </w:rPr>
        <w:t>图3.1  城市抗震防灾规划编制总体技术路线</w:t>
      </w:r>
    </w:p>
    <w:p>
      <w:pPr>
        <w:pStyle w:val="4"/>
      </w:pPr>
      <w:bookmarkStart w:id="57" w:name="_Toc417410101"/>
      <w:bookmarkStart w:id="58" w:name="_Toc417409889"/>
      <w:bookmarkStart w:id="59" w:name="_Toc290032667"/>
      <w:bookmarkStart w:id="60" w:name="_Toc503267566"/>
      <w:r>
        <w:rPr>
          <w:rFonts w:hint="eastAsia"/>
        </w:rPr>
        <w:t>3.2</w:t>
      </w:r>
      <w:r>
        <w:t xml:space="preserve"> </w:t>
      </w:r>
      <w:r>
        <w:rPr>
          <w:rFonts w:hint="eastAsia"/>
        </w:rPr>
        <w:t>规划内容与技术路线</w:t>
      </w:r>
      <w:bookmarkEnd w:id="57"/>
      <w:bookmarkEnd w:id="58"/>
      <w:bookmarkEnd w:id="59"/>
      <w:bookmarkEnd w:id="60"/>
    </w:p>
    <w:p>
      <w:pPr>
        <w:spacing w:line="360" w:lineRule="auto"/>
        <w:ind w:firstLine="420"/>
        <w:rPr>
          <w:rFonts w:ascii="宋体" w:hAnsi="宋体"/>
          <w:b/>
          <w:sz w:val="24"/>
          <w:szCs w:val="24"/>
        </w:rPr>
      </w:pPr>
      <w:bookmarkStart w:id="61" w:name="_Toc208584577"/>
      <w:bookmarkStart w:id="62" w:name="_Toc39920741"/>
      <w:bookmarkStart w:id="63" w:name="_Toc39921495"/>
      <w:bookmarkStart w:id="64" w:name="_Toc39921545"/>
      <w:bookmarkStart w:id="65" w:name="_Toc39921595"/>
      <w:bookmarkStart w:id="66" w:name="_Toc39921645"/>
      <w:bookmarkStart w:id="67" w:name="_Toc42930732"/>
      <w:bookmarkStart w:id="68" w:name="_Toc43395292"/>
      <w:bookmarkStart w:id="69" w:name="_Toc39921695"/>
      <w:bookmarkStart w:id="70" w:name="_Toc42518957"/>
      <w:bookmarkStart w:id="71" w:name="_Toc39921745"/>
      <w:bookmarkStart w:id="72" w:name="_Toc42520611"/>
      <w:r>
        <w:rPr>
          <w:rFonts w:hint="eastAsia" w:ascii="宋体" w:hAnsi="宋体"/>
          <w:b/>
          <w:sz w:val="24"/>
          <w:szCs w:val="24"/>
        </w:rPr>
        <w:t>1、许昌市城市抗震防灾背景与能力分析</w:t>
      </w:r>
    </w:p>
    <w:p>
      <w:pPr>
        <w:spacing w:line="360" w:lineRule="auto"/>
        <w:ind w:firstLine="420"/>
        <w:rPr>
          <w:rFonts w:ascii="宋体" w:hAnsi="宋体"/>
          <w:sz w:val="24"/>
          <w:szCs w:val="24"/>
        </w:rPr>
      </w:pPr>
      <w:r>
        <w:rPr>
          <w:rFonts w:hint="eastAsia" w:ascii="宋体" w:hAnsi="宋体"/>
          <w:sz w:val="24"/>
          <w:szCs w:val="24"/>
        </w:rPr>
        <w:t>通过基础资料的收集与相关技术方法的运用，对许昌市</w:t>
      </w:r>
      <w:r>
        <w:rPr>
          <w:rFonts w:ascii="宋体" w:hAnsi="宋体"/>
          <w:sz w:val="24"/>
          <w:szCs w:val="24"/>
        </w:rPr>
        <w:t>地震的危害程度</w:t>
      </w:r>
      <w:r>
        <w:rPr>
          <w:rFonts w:hint="eastAsia" w:ascii="宋体" w:hAnsi="宋体"/>
          <w:sz w:val="24"/>
          <w:szCs w:val="24"/>
        </w:rPr>
        <w:t>进行</w:t>
      </w:r>
      <w:r>
        <w:rPr>
          <w:rFonts w:ascii="宋体" w:hAnsi="宋体"/>
          <w:sz w:val="24"/>
          <w:szCs w:val="24"/>
        </w:rPr>
        <w:t>估计</w:t>
      </w:r>
      <w:r>
        <w:rPr>
          <w:rFonts w:hint="eastAsia" w:ascii="宋体" w:hAnsi="宋体"/>
          <w:sz w:val="24"/>
          <w:szCs w:val="24"/>
        </w:rPr>
        <w:t>；通过调查城市的场地、建（构）筑物、基础设施、次生灾害源、避震疏散场地等相关承灾体的现状基础上，进行</w:t>
      </w:r>
      <w:r>
        <w:rPr>
          <w:rFonts w:ascii="宋体" w:hAnsi="宋体"/>
          <w:sz w:val="24"/>
          <w:szCs w:val="24"/>
        </w:rPr>
        <w:t>城市抗震防灾现状</w:t>
      </w:r>
      <w:r>
        <w:rPr>
          <w:rFonts w:hint="eastAsia" w:ascii="宋体" w:hAnsi="宋体"/>
          <w:sz w:val="24"/>
          <w:szCs w:val="24"/>
        </w:rPr>
        <w:t>、</w:t>
      </w:r>
      <w:r>
        <w:rPr>
          <w:rFonts w:ascii="宋体" w:hAnsi="宋体"/>
          <w:sz w:val="24"/>
          <w:szCs w:val="24"/>
        </w:rPr>
        <w:t>易损性分析和防灾能力评价，不同强度地震下的震害预测等。</w:t>
      </w:r>
    </w:p>
    <w:p>
      <w:pPr>
        <w:spacing w:line="360" w:lineRule="auto"/>
        <w:ind w:firstLine="420"/>
        <w:rPr>
          <w:rFonts w:ascii="宋体" w:hAnsi="宋体"/>
          <w:b/>
          <w:sz w:val="24"/>
          <w:szCs w:val="24"/>
        </w:rPr>
      </w:pPr>
      <w:r>
        <w:rPr>
          <w:rFonts w:hint="eastAsia" w:ascii="宋体" w:hAnsi="宋体"/>
          <w:b/>
          <w:sz w:val="24"/>
          <w:szCs w:val="24"/>
        </w:rPr>
        <w:t>2、城市总体抗震防灾要求</w:t>
      </w:r>
      <w:bookmarkEnd w:id="61"/>
    </w:p>
    <w:p>
      <w:pPr>
        <w:spacing w:line="360" w:lineRule="auto"/>
        <w:ind w:firstLine="420"/>
        <w:rPr>
          <w:rFonts w:ascii="宋体" w:hAnsi="宋体"/>
          <w:sz w:val="24"/>
          <w:szCs w:val="24"/>
        </w:rPr>
      </w:pPr>
      <w:r>
        <w:rPr>
          <w:rFonts w:hint="eastAsia" w:ascii="宋体" w:hAnsi="宋体"/>
          <w:b/>
          <w:sz w:val="24"/>
          <w:szCs w:val="24"/>
        </w:rPr>
        <w:t>编制要求：</w:t>
      </w:r>
      <w:r>
        <w:rPr>
          <w:rFonts w:ascii="宋体" w:hAnsi="宋体"/>
          <w:sz w:val="24"/>
          <w:szCs w:val="24"/>
        </w:rPr>
        <w:t>城市抗震防灾规划目标、抗震设防标准。</w:t>
      </w:r>
    </w:p>
    <w:p>
      <w:pPr>
        <w:spacing w:line="360" w:lineRule="auto"/>
        <w:ind w:firstLine="420"/>
        <w:rPr>
          <w:rFonts w:ascii="宋体" w:hAnsi="宋体"/>
          <w:b/>
          <w:sz w:val="24"/>
          <w:szCs w:val="24"/>
        </w:rPr>
      </w:pPr>
      <w:r>
        <w:rPr>
          <w:rFonts w:hint="eastAsia" w:ascii="宋体" w:hAnsi="宋体"/>
          <w:b/>
          <w:sz w:val="24"/>
          <w:szCs w:val="24"/>
        </w:rPr>
        <w:t>主要研究内容：</w:t>
      </w:r>
    </w:p>
    <w:p>
      <w:pPr>
        <w:spacing w:line="360" w:lineRule="auto"/>
        <w:ind w:firstLine="420"/>
        <w:rPr>
          <w:rFonts w:ascii="宋体" w:hAnsi="宋体"/>
          <w:sz w:val="24"/>
          <w:szCs w:val="24"/>
        </w:rPr>
      </w:pPr>
      <w:r>
        <w:rPr>
          <w:rFonts w:hint="eastAsia" w:ascii="宋体" w:hAnsi="宋体"/>
          <w:sz w:val="24"/>
          <w:szCs w:val="24"/>
        </w:rPr>
        <w:t>研究城市总体布局方面的防灾减灾种类、内容、策略、设防标准及防御目标等内容。</w:t>
      </w:r>
    </w:p>
    <w:p>
      <w:pPr>
        <w:spacing w:line="360" w:lineRule="auto"/>
        <w:ind w:firstLine="420"/>
        <w:rPr>
          <w:rFonts w:ascii="宋体" w:hAnsi="宋体"/>
          <w:sz w:val="24"/>
          <w:szCs w:val="24"/>
        </w:rPr>
      </w:pPr>
      <w:r>
        <w:rPr>
          <w:rFonts w:hint="eastAsia" w:ascii="宋体" w:hAnsi="宋体"/>
          <w:sz w:val="24"/>
          <w:szCs w:val="24"/>
        </w:rPr>
        <w:t>（1）城市抗震防灾体系及总体防灾要求和对策</w:t>
      </w:r>
    </w:p>
    <w:p>
      <w:pPr>
        <w:spacing w:line="360" w:lineRule="auto"/>
        <w:ind w:firstLine="420"/>
        <w:rPr>
          <w:rFonts w:ascii="宋体" w:hAnsi="宋体"/>
          <w:sz w:val="24"/>
          <w:szCs w:val="24"/>
        </w:rPr>
      </w:pPr>
      <w:r>
        <w:rPr>
          <w:rFonts w:hint="eastAsia" w:ascii="宋体" w:hAnsi="宋体"/>
          <w:sz w:val="24"/>
          <w:szCs w:val="24"/>
        </w:rPr>
        <w:t>（2）城市地震防御目标及设防标准</w:t>
      </w:r>
    </w:p>
    <w:p>
      <w:pPr>
        <w:spacing w:line="360" w:lineRule="auto"/>
        <w:ind w:firstLine="420"/>
        <w:rPr>
          <w:rFonts w:ascii="宋体" w:hAnsi="宋体"/>
          <w:sz w:val="24"/>
          <w:szCs w:val="24"/>
        </w:rPr>
      </w:pPr>
      <w:r>
        <w:rPr>
          <w:rFonts w:hint="eastAsia" w:ascii="宋体" w:hAnsi="宋体"/>
          <w:sz w:val="24"/>
          <w:szCs w:val="24"/>
        </w:rPr>
        <w:t>（3）城市近期抗震防灾建设目标与要求</w:t>
      </w:r>
    </w:p>
    <w:p>
      <w:pPr>
        <w:spacing w:line="360" w:lineRule="auto"/>
        <w:ind w:firstLine="420"/>
        <w:rPr>
          <w:rFonts w:ascii="宋体" w:hAnsi="宋体"/>
          <w:sz w:val="24"/>
          <w:szCs w:val="24"/>
        </w:rPr>
      </w:pPr>
      <w:r>
        <w:rPr>
          <w:rFonts w:hint="eastAsia" w:ascii="宋体" w:hAnsi="宋体"/>
          <w:sz w:val="24"/>
          <w:szCs w:val="24"/>
        </w:rPr>
        <w:t>（4）与区域的抗震防灾空间关系与布局</w:t>
      </w:r>
    </w:p>
    <w:p>
      <w:pPr>
        <w:spacing w:line="360" w:lineRule="auto"/>
        <w:ind w:firstLine="420"/>
        <w:rPr>
          <w:rFonts w:ascii="宋体" w:hAnsi="宋体"/>
          <w:sz w:val="24"/>
          <w:szCs w:val="24"/>
        </w:rPr>
      </w:pPr>
      <w:r>
        <w:rPr>
          <w:rFonts w:hint="eastAsia" w:ascii="宋体" w:hAnsi="宋体"/>
          <w:sz w:val="24"/>
          <w:szCs w:val="24"/>
        </w:rPr>
        <w:t>（5）城市抗震防灾空间布局及防灾要求：针对巨震、大震、中震的防御与救灾功能要求，研究救灾指挥分区、基础设施保障分区和疏散消防分区的三级分区，构建城市抗震防灾空间结构，并制定相关防灾要求。</w:t>
      </w:r>
    </w:p>
    <w:p>
      <w:pPr>
        <w:spacing w:line="360" w:lineRule="auto"/>
        <w:ind w:firstLine="420"/>
        <w:rPr>
          <w:rFonts w:ascii="宋体" w:hAnsi="宋体"/>
          <w:b/>
          <w:sz w:val="24"/>
          <w:szCs w:val="24"/>
        </w:rPr>
      </w:pPr>
      <w:r>
        <w:rPr>
          <w:rFonts w:hint="eastAsia" w:ascii="宋体" w:hAnsi="宋体"/>
          <w:b/>
          <w:sz w:val="24"/>
          <w:szCs w:val="24"/>
        </w:rPr>
        <w:t>3、建设用地评价与要求</w:t>
      </w:r>
    </w:p>
    <w:p>
      <w:pPr>
        <w:spacing w:line="360" w:lineRule="auto"/>
        <w:ind w:firstLine="420"/>
        <w:rPr>
          <w:rFonts w:ascii="宋体" w:hAnsi="宋体"/>
          <w:sz w:val="24"/>
          <w:szCs w:val="24"/>
        </w:rPr>
      </w:pPr>
      <w:r>
        <w:rPr>
          <w:rFonts w:hint="eastAsia" w:ascii="宋体" w:hAnsi="宋体"/>
          <w:b/>
          <w:sz w:val="24"/>
          <w:szCs w:val="24"/>
        </w:rPr>
        <w:t>编制要求：</w:t>
      </w:r>
      <w:r>
        <w:rPr>
          <w:rFonts w:hint="eastAsia" w:ascii="宋体" w:hAnsi="宋体"/>
          <w:sz w:val="24"/>
          <w:szCs w:val="24"/>
        </w:rPr>
        <w:t>（</w:t>
      </w:r>
      <w:r>
        <w:rPr>
          <w:rFonts w:ascii="宋体" w:hAnsi="宋体"/>
          <w:sz w:val="24"/>
          <w:szCs w:val="24"/>
        </w:rPr>
        <w:t>1</w:t>
      </w:r>
      <w:r>
        <w:rPr>
          <w:rFonts w:hint="eastAsia" w:ascii="宋体" w:hAnsi="宋体"/>
          <w:sz w:val="24"/>
          <w:szCs w:val="24"/>
        </w:rPr>
        <w:t>）</w:t>
      </w:r>
      <w:r>
        <w:rPr>
          <w:rFonts w:ascii="宋体" w:hAnsi="宋体"/>
          <w:sz w:val="24"/>
          <w:szCs w:val="24"/>
        </w:rPr>
        <w:t>城市抗震环境综合评价，包括发震断裂、地震场地破坏效应的评价等；</w:t>
      </w:r>
      <w:r>
        <w:rPr>
          <w:rFonts w:hint="eastAsia" w:ascii="宋体" w:hAnsi="宋体"/>
          <w:sz w:val="24"/>
          <w:szCs w:val="24"/>
        </w:rPr>
        <w:t>（</w:t>
      </w:r>
      <w:r>
        <w:rPr>
          <w:rFonts w:ascii="宋体" w:hAnsi="宋体"/>
          <w:sz w:val="24"/>
          <w:szCs w:val="24"/>
        </w:rPr>
        <w:t>2</w:t>
      </w:r>
      <w:r>
        <w:rPr>
          <w:rFonts w:hint="eastAsia" w:ascii="宋体" w:hAnsi="宋体"/>
          <w:sz w:val="24"/>
          <w:szCs w:val="24"/>
        </w:rPr>
        <w:t>）</w:t>
      </w:r>
      <w:r>
        <w:rPr>
          <w:rFonts w:ascii="宋体" w:hAnsi="宋体"/>
          <w:sz w:val="24"/>
          <w:szCs w:val="24"/>
        </w:rPr>
        <w:t>抗震设防区划，包括场地适宜性分区和危险地段、不利地段的确定，提出用地布局要求</w:t>
      </w:r>
      <w:r>
        <w:rPr>
          <w:rFonts w:hint="eastAsia" w:ascii="宋体" w:hAnsi="宋体"/>
          <w:sz w:val="24"/>
          <w:szCs w:val="24"/>
        </w:rPr>
        <w:t>.</w:t>
      </w:r>
    </w:p>
    <w:p>
      <w:pPr>
        <w:spacing w:line="360" w:lineRule="auto"/>
        <w:ind w:firstLine="420"/>
        <w:rPr>
          <w:rFonts w:ascii="宋体" w:hAnsi="宋体"/>
          <w:b/>
          <w:sz w:val="24"/>
          <w:szCs w:val="24"/>
        </w:rPr>
      </w:pPr>
      <w:r>
        <w:rPr>
          <w:rFonts w:hint="eastAsia" w:ascii="宋体" w:hAnsi="宋体"/>
          <w:b/>
          <w:sz w:val="24"/>
          <w:szCs w:val="24"/>
        </w:rPr>
        <w:t>主要研究内容：</w:t>
      </w:r>
    </w:p>
    <w:p>
      <w:pPr>
        <w:spacing w:line="360" w:lineRule="auto"/>
        <w:ind w:firstLine="420"/>
        <w:rPr>
          <w:rFonts w:ascii="宋体" w:hAnsi="宋体"/>
          <w:sz w:val="24"/>
          <w:szCs w:val="24"/>
        </w:rPr>
      </w:pPr>
      <w:r>
        <w:rPr>
          <w:rFonts w:hint="eastAsia" w:ascii="宋体" w:hAnsi="宋体"/>
          <w:sz w:val="24"/>
          <w:szCs w:val="24"/>
        </w:rPr>
        <w:t>研究用地布局规划，分析城市功能分区、土地利用性质、社会经济发展情况等因素，提出抗震防灾土地利用规划。在此基础上，形成城市土地利用抗震防灾适宜性规划，给出土地利用抗震防灾指标体系。</w:t>
      </w:r>
    </w:p>
    <w:p>
      <w:pPr>
        <w:spacing w:line="360" w:lineRule="auto"/>
        <w:ind w:firstLine="420"/>
        <w:rPr>
          <w:rFonts w:ascii="宋体" w:hAnsi="宋体"/>
          <w:sz w:val="24"/>
          <w:szCs w:val="24"/>
        </w:rPr>
      </w:pPr>
      <w:r>
        <w:rPr>
          <w:rFonts w:hint="eastAsia" w:ascii="宋体" w:hAnsi="宋体"/>
          <w:sz w:val="24"/>
          <w:szCs w:val="24"/>
        </w:rPr>
        <w:t>（1）现有地震地质、工程地质和场地环境等资料的收集、整理、补充和综合分析；</w:t>
      </w:r>
    </w:p>
    <w:p>
      <w:pPr>
        <w:spacing w:line="360" w:lineRule="auto"/>
        <w:ind w:firstLine="420"/>
        <w:rPr>
          <w:rFonts w:ascii="宋体" w:hAnsi="宋体"/>
          <w:sz w:val="24"/>
          <w:szCs w:val="24"/>
        </w:rPr>
      </w:pPr>
      <w:r>
        <w:rPr>
          <w:rFonts w:hint="eastAsia" w:ascii="宋体" w:hAnsi="宋体"/>
          <w:sz w:val="24"/>
          <w:szCs w:val="24"/>
        </w:rPr>
        <w:t>（2）形成许昌市地震地质环境和场地环境的初步评价报告，如需补充勘察，确定钻孔补充勘察方案，按一定程序审查确认后，进行补充勘察工作；</w:t>
      </w:r>
    </w:p>
    <w:p>
      <w:pPr>
        <w:spacing w:line="360" w:lineRule="auto"/>
        <w:ind w:firstLine="420"/>
        <w:rPr>
          <w:rFonts w:ascii="宋体" w:hAnsi="宋体"/>
          <w:sz w:val="24"/>
          <w:szCs w:val="24"/>
        </w:rPr>
      </w:pPr>
      <w:r>
        <w:rPr>
          <w:rFonts w:hint="eastAsia" w:ascii="宋体" w:hAnsi="宋体"/>
          <w:sz w:val="24"/>
          <w:szCs w:val="24"/>
        </w:rPr>
        <w:t>（3）进行城市用地抗震类型分区研究</w:t>
      </w:r>
    </w:p>
    <w:p>
      <w:pPr>
        <w:spacing w:line="360" w:lineRule="auto"/>
        <w:ind w:firstLine="420"/>
        <w:rPr>
          <w:rFonts w:ascii="宋体" w:hAnsi="宋体"/>
          <w:sz w:val="24"/>
          <w:szCs w:val="24"/>
        </w:rPr>
      </w:pPr>
      <w:r>
        <w:rPr>
          <w:rFonts w:hint="eastAsia" w:ascii="宋体" w:hAnsi="宋体"/>
          <w:sz w:val="24"/>
          <w:szCs w:val="24"/>
        </w:rPr>
        <w:t>重点针对研究区域内局部场地条件对未来震害和地震动参数可能产生的影响进行研究，并由此而给出城市用地抗震类型分区；</w:t>
      </w:r>
    </w:p>
    <w:p>
      <w:pPr>
        <w:spacing w:line="360" w:lineRule="auto"/>
        <w:ind w:firstLine="420"/>
        <w:rPr>
          <w:rFonts w:ascii="宋体" w:hAnsi="宋体"/>
          <w:sz w:val="24"/>
          <w:szCs w:val="24"/>
        </w:rPr>
      </w:pPr>
      <w:r>
        <w:rPr>
          <w:rFonts w:hint="eastAsia" w:ascii="宋体" w:hAnsi="宋体"/>
          <w:sz w:val="24"/>
          <w:szCs w:val="24"/>
        </w:rPr>
        <w:t>（4）城市场地破坏效应分析</w:t>
      </w:r>
    </w:p>
    <w:p>
      <w:pPr>
        <w:spacing w:line="360" w:lineRule="auto"/>
        <w:ind w:firstLine="420"/>
        <w:rPr>
          <w:rFonts w:ascii="宋体" w:hAnsi="宋体"/>
          <w:sz w:val="24"/>
          <w:szCs w:val="24"/>
        </w:rPr>
      </w:pPr>
      <w:r>
        <w:rPr>
          <w:rFonts w:hint="eastAsia" w:ascii="宋体" w:hAnsi="宋体"/>
          <w:sz w:val="24"/>
          <w:szCs w:val="24"/>
        </w:rPr>
        <w:t>根据许昌市特点，主要考虑砂土液化、滑坡、软土震陷、断裂的影响等进行城市场地破坏效应分区研究；</w:t>
      </w:r>
    </w:p>
    <w:p>
      <w:pPr>
        <w:spacing w:line="360" w:lineRule="auto"/>
        <w:ind w:firstLine="420"/>
        <w:rPr>
          <w:rFonts w:ascii="宋体" w:hAnsi="宋体"/>
          <w:sz w:val="24"/>
          <w:szCs w:val="24"/>
        </w:rPr>
      </w:pPr>
      <w:r>
        <w:rPr>
          <w:rFonts w:hint="eastAsia" w:ascii="宋体" w:hAnsi="宋体"/>
          <w:sz w:val="24"/>
          <w:szCs w:val="24"/>
        </w:rPr>
        <w:t>（5）城市用地有利、不利和危险地段划分</w:t>
      </w:r>
    </w:p>
    <w:p>
      <w:pPr>
        <w:spacing w:line="360" w:lineRule="auto"/>
        <w:ind w:firstLine="420"/>
        <w:rPr>
          <w:rFonts w:ascii="宋体" w:hAnsi="宋体"/>
          <w:sz w:val="24"/>
          <w:szCs w:val="24"/>
        </w:rPr>
      </w:pPr>
      <w:r>
        <w:rPr>
          <w:rFonts w:hint="eastAsia" w:ascii="宋体" w:hAnsi="宋体"/>
          <w:sz w:val="24"/>
          <w:szCs w:val="24"/>
        </w:rPr>
        <w:t>通过对许昌市地形地貌及场地环境的调查，结合场地破坏效应分区进行许昌市城市用地有利、不利和危险地段划分；</w:t>
      </w:r>
    </w:p>
    <w:p>
      <w:pPr>
        <w:spacing w:line="360" w:lineRule="auto"/>
        <w:ind w:firstLine="420"/>
        <w:rPr>
          <w:rFonts w:ascii="宋体" w:hAnsi="宋体"/>
          <w:sz w:val="24"/>
          <w:szCs w:val="24"/>
        </w:rPr>
      </w:pPr>
      <w:r>
        <w:rPr>
          <w:rFonts w:hint="eastAsia" w:ascii="宋体" w:hAnsi="宋体"/>
          <w:sz w:val="24"/>
          <w:szCs w:val="24"/>
        </w:rPr>
        <w:t>（6）城市用地抗震适宜性研究</w:t>
      </w:r>
    </w:p>
    <w:p>
      <w:pPr>
        <w:spacing w:line="360" w:lineRule="auto"/>
        <w:ind w:firstLine="420"/>
        <w:rPr>
          <w:rFonts w:ascii="宋体" w:hAnsi="宋体"/>
          <w:sz w:val="24"/>
          <w:szCs w:val="24"/>
        </w:rPr>
      </w:pPr>
      <w:r>
        <w:rPr>
          <w:rFonts w:hint="eastAsia" w:ascii="宋体" w:hAnsi="宋体"/>
          <w:sz w:val="24"/>
          <w:szCs w:val="24"/>
        </w:rPr>
        <w:t>考虑震灾（害）的地震、地质和场地环境效应，进行城市用地抗震适宜性研究，提出适宜修建、可修建、不宜修建分区以及各分区的城市建设的抗震防灾要求和对策，为城市开发的建设用地选择、方案制定提供依据。</w:t>
      </w:r>
    </w:p>
    <w:p>
      <w:pPr>
        <w:pStyle w:val="31"/>
        <w:rPr>
          <w:szCs w:val="24"/>
        </w:rPr>
      </w:pPr>
      <w:r>
        <w:rPr>
          <w:szCs w:val="24"/>
        </w:rPr>
        <mc:AlternateContent>
          <mc:Choice Requires="wpg">
            <w:drawing>
              <wp:inline distT="0" distB="0" distL="0" distR="0">
                <wp:extent cx="5469255" cy="2973705"/>
                <wp:effectExtent l="9525" t="7620" r="7620" b="9525"/>
                <wp:docPr id="118" name="组合 118"/>
                <wp:cNvGraphicFramePr/>
                <a:graphic xmlns:a="http://schemas.openxmlformats.org/drawingml/2006/main">
                  <a:graphicData uri="http://schemas.microsoft.com/office/word/2010/wordprocessingGroup">
                    <wpg:wgp>
                      <wpg:cNvGrpSpPr/>
                      <wpg:grpSpPr>
                        <a:xfrm>
                          <a:off x="0" y="0"/>
                          <a:ext cx="5469255" cy="2973705"/>
                          <a:chOff x="1983" y="3599"/>
                          <a:chExt cx="8613" cy="4683"/>
                        </a:xfrm>
                      </wpg:grpSpPr>
                      <wps:wsp>
                        <wps:cNvPr id="119" name="Text Box 36"/>
                        <wps:cNvSpPr txBox="1">
                          <a:spLocks noChangeArrowheads="1"/>
                        </wps:cNvSpPr>
                        <wps:spPr bwMode="auto">
                          <a:xfrm>
                            <a:off x="3171" y="3599"/>
                            <a:ext cx="4830" cy="627"/>
                          </a:xfrm>
                          <a:prstGeom prst="rect">
                            <a:avLst/>
                          </a:prstGeom>
                          <a:noFill/>
                          <a:ln w="9525">
                            <a:solidFill>
                              <a:srgbClr val="000000"/>
                            </a:solidFill>
                            <a:miter lim="800000"/>
                          </a:ln>
                        </wps:spPr>
                        <wps:txbx>
                          <w:txbxContent>
                            <w:p>
                              <w:r>
                                <w:rPr>
                                  <w:rFonts w:hint="eastAsia"/>
                                </w:rPr>
                                <w:t>收集相关基础和技术资料：地震地质资料、地形地貌、场地环境和工程勘察资料</w:t>
                              </w:r>
                            </w:p>
                          </w:txbxContent>
                        </wps:txbx>
                        <wps:bodyPr rot="0" vert="horz" wrap="square" lIns="32400" tIns="3600" rIns="32400" bIns="3600" anchor="t" anchorCtr="0" upright="1">
                          <a:noAutofit/>
                        </wps:bodyPr>
                      </wps:wsp>
                      <wps:wsp>
                        <wps:cNvPr id="120" name="Text Box 37"/>
                        <wps:cNvSpPr txBox="1">
                          <a:spLocks noChangeArrowheads="1"/>
                        </wps:cNvSpPr>
                        <wps:spPr bwMode="auto">
                          <a:xfrm>
                            <a:off x="9441" y="3755"/>
                            <a:ext cx="1155" cy="315"/>
                          </a:xfrm>
                          <a:prstGeom prst="rect">
                            <a:avLst/>
                          </a:prstGeom>
                          <a:noFill/>
                          <a:ln w="9525">
                            <a:solidFill>
                              <a:srgbClr val="000000"/>
                            </a:solidFill>
                            <a:miter lim="800000"/>
                          </a:ln>
                        </wps:spPr>
                        <wps:txbx>
                          <w:txbxContent>
                            <w:p>
                              <w:pPr>
                                <w:jc w:val="center"/>
                              </w:pPr>
                              <w:r>
                                <w:rPr>
                                  <w:rFonts w:hint="eastAsia"/>
                                </w:rPr>
                                <w:t>资料收集</w:t>
                              </w:r>
                            </w:p>
                          </w:txbxContent>
                        </wps:txbx>
                        <wps:bodyPr rot="0" vert="horz" wrap="square" lIns="7200" tIns="3600" rIns="7200" bIns="3600" anchor="t" anchorCtr="0" upright="1">
                          <a:noAutofit/>
                        </wps:bodyPr>
                      </wps:wsp>
                      <wps:wsp>
                        <wps:cNvPr id="121" name="Text Box 38"/>
                        <wps:cNvSpPr txBox="1">
                          <a:spLocks noChangeArrowheads="1"/>
                        </wps:cNvSpPr>
                        <wps:spPr bwMode="auto">
                          <a:xfrm>
                            <a:off x="9438" y="4535"/>
                            <a:ext cx="1155" cy="315"/>
                          </a:xfrm>
                          <a:prstGeom prst="rect">
                            <a:avLst/>
                          </a:prstGeom>
                          <a:noFill/>
                          <a:ln w="9525">
                            <a:solidFill>
                              <a:srgbClr val="000000"/>
                            </a:solidFill>
                            <a:miter lim="800000"/>
                          </a:ln>
                        </wps:spPr>
                        <wps:txbx>
                          <w:txbxContent>
                            <w:p>
                              <w:pPr>
                                <w:jc w:val="center"/>
                              </w:pPr>
                              <w:r>
                                <w:rPr>
                                  <w:rFonts w:hint="eastAsia"/>
                                </w:rPr>
                                <w:t>资料评定</w:t>
                              </w:r>
                            </w:p>
                          </w:txbxContent>
                        </wps:txbx>
                        <wps:bodyPr rot="0" vert="horz" wrap="square" lIns="7200" tIns="3600" rIns="7200" bIns="3600" anchor="t" anchorCtr="0" upright="1">
                          <a:noAutofit/>
                        </wps:bodyPr>
                      </wps:wsp>
                      <wps:wsp>
                        <wps:cNvPr id="122" name="Text Box 39"/>
                        <wps:cNvSpPr txBox="1">
                          <a:spLocks noChangeArrowheads="1"/>
                        </wps:cNvSpPr>
                        <wps:spPr bwMode="auto">
                          <a:xfrm>
                            <a:off x="2961" y="4538"/>
                            <a:ext cx="5355" cy="312"/>
                          </a:xfrm>
                          <a:prstGeom prst="rect">
                            <a:avLst/>
                          </a:prstGeom>
                          <a:noFill/>
                          <a:ln w="9525">
                            <a:solidFill>
                              <a:srgbClr val="000000"/>
                            </a:solidFill>
                            <a:miter lim="800000"/>
                          </a:ln>
                        </wps:spPr>
                        <wps:txbx>
                          <w:txbxContent>
                            <w:p>
                              <w:r>
                                <w:rPr>
                                  <w:rFonts w:hint="eastAsia"/>
                                </w:rPr>
                                <w:t>确认资料的可靠性和完整性，确定补充勘察测试的方案</w:t>
                              </w:r>
                            </w:p>
                          </w:txbxContent>
                        </wps:txbx>
                        <wps:bodyPr rot="0" vert="horz" wrap="square" lIns="7200" tIns="3600" rIns="7200" bIns="3600" anchor="t" anchorCtr="0" upright="1">
                          <a:noAutofit/>
                        </wps:bodyPr>
                      </wps:wsp>
                      <wps:wsp>
                        <wps:cNvPr id="123" name="Text Box 40"/>
                        <wps:cNvSpPr txBox="1">
                          <a:spLocks noChangeArrowheads="1"/>
                        </wps:cNvSpPr>
                        <wps:spPr bwMode="auto">
                          <a:xfrm>
                            <a:off x="1983" y="5162"/>
                            <a:ext cx="2940" cy="624"/>
                          </a:xfrm>
                          <a:prstGeom prst="rect">
                            <a:avLst/>
                          </a:prstGeom>
                          <a:noFill/>
                          <a:ln w="9525">
                            <a:solidFill>
                              <a:srgbClr val="000000"/>
                            </a:solidFill>
                            <a:miter lim="800000"/>
                          </a:ln>
                        </wps:spPr>
                        <wps:txbx>
                          <w:txbxContent>
                            <w:p>
                              <w:r>
                                <w:rPr>
                                  <w:rFonts w:hint="eastAsia"/>
                                </w:rPr>
                                <w:t>地震工程地质分区、场地分区，地震动参数确定</w:t>
                              </w:r>
                            </w:p>
                          </w:txbxContent>
                        </wps:txbx>
                        <wps:bodyPr rot="0" vert="horz" wrap="square" lIns="7200" tIns="3600" rIns="7200" bIns="3600" anchor="t" anchorCtr="0" upright="1">
                          <a:noAutofit/>
                        </wps:bodyPr>
                      </wps:wsp>
                      <wps:wsp>
                        <wps:cNvPr id="124" name="Text Box 41"/>
                        <wps:cNvSpPr txBox="1">
                          <a:spLocks noChangeArrowheads="1"/>
                        </wps:cNvSpPr>
                        <wps:spPr bwMode="auto">
                          <a:xfrm>
                            <a:off x="5586" y="5162"/>
                            <a:ext cx="3150" cy="624"/>
                          </a:xfrm>
                          <a:prstGeom prst="rect">
                            <a:avLst/>
                          </a:prstGeom>
                          <a:noFill/>
                          <a:ln w="9525">
                            <a:solidFill>
                              <a:srgbClr val="000000"/>
                            </a:solidFill>
                            <a:miter lim="800000"/>
                          </a:ln>
                        </wps:spPr>
                        <wps:txbx>
                          <w:txbxContent>
                            <w:p>
                              <w:r>
                                <w:rPr>
                                  <w:rFonts w:hint="eastAsia"/>
                                </w:rPr>
                                <w:t>场地破坏效应及不利地形影响研究</w:t>
                              </w:r>
                            </w:p>
                          </w:txbxContent>
                        </wps:txbx>
                        <wps:bodyPr rot="0" vert="horz" wrap="square" lIns="43200" tIns="3600" rIns="43200" bIns="3600" anchor="t" anchorCtr="0" upright="1">
                          <a:noAutofit/>
                        </wps:bodyPr>
                      </wps:wsp>
                      <wps:wsp>
                        <wps:cNvPr id="125" name="Text Box 42"/>
                        <wps:cNvSpPr txBox="1">
                          <a:spLocks noChangeArrowheads="1"/>
                        </wps:cNvSpPr>
                        <wps:spPr bwMode="auto">
                          <a:xfrm>
                            <a:off x="9438" y="5330"/>
                            <a:ext cx="1155" cy="315"/>
                          </a:xfrm>
                          <a:prstGeom prst="rect">
                            <a:avLst/>
                          </a:prstGeom>
                          <a:noFill/>
                          <a:ln w="9525">
                            <a:solidFill>
                              <a:srgbClr val="000000"/>
                            </a:solidFill>
                            <a:miter lim="800000"/>
                          </a:ln>
                        </wps:spPr>
                        <wps:txbx>
                          <w:txbxContent>
                            <w:p>
                              <w:pPr>
                                <w:jc w:val="center"/>
                              </w:pPr>
                              <w:r>
                                <w:rPr>
                                  <w:rFonts w:hint="eastAsia"/>
                                </w:rPr>
                                <w:t>基础分析</w:t>
                              </w:r>
                            </w:p>
                          </w:txbxContent>
                        </wps:txbx>
                        <wps:bodyPr rot="0" vert="horz" wrap="square" lIns="7200" tIns="3600" rIns="7200" bIns="3600" anchor="t" anchorCtr="0" upright="1">
                          <a:noAutofit/>
                        </wps:bodyPr>
                      </wps:wsp>
                      <wps:wsp>
                        <wps:cNvPr id="126" name="Text Box 43"/>
                        <wps:cNvSpPr txBox="1">
                          <a:spLocks noChangeArrowheads="1"/>
                        </wps:cNvSpPr>
                        <wps:spPr bwMode="auto">
                          <a:xfrm>
                            <a:off x="9438" y="6251"/>
                            <a:ext cx="1155" cy="315"/>
                          </a:xfrm>
                          <a:prstGeom prst="rect">
                            <a:avLst/>
                          </a:prstGeom>
                          <a:noFill/>
                          <a:ln w="9525">
                            <a:solidFill>
                              <a:srgbClr val="000000"/>
                            </a:solidFill>
                            <a:miter lim="800000"/>
                          </a:ln>
                        </wps:spPr>
                        <wps:txbx>
                          <w:txbxContent>
                            <w:p>
                              <w:pPr>
                                <w:jc w:val="center"/>
                              </w:pPr>
                              <w:r>
                                <w:rPr>
                                  <w:rFonts w:hint="eastAsia"/>
                                </w:rPr>
                                <w:t>主要成果</w:t>
                              </w:r>
                            </w:p>
                          </w:txbxContent>
                        </wps:txbx>
                        <wps:bodyPr rot="0" vert="horz" wrap="square" lIns="7200" tIns="3600" rIns="7200" bIns="3600" anchor="t" anchorCtr="0" upright="1">
                          <a:noAutofit/>
                        </wps:bodyPr>
                      </wps:wsp>
                      <wps:wsp>
                        <wps:cNvPr id="127" name="Text Box 44"/>
                        <wps:cNvSpPr txBox="1">
                          <a:spLocks noChangeArrowheads="1"/>
                        </wps:cNvSpPr>
                        <wps:spPr bwMode="auto">
                          <a:xfrm>
                            <a:off x="2016" y="6098"/>
                            <a:ext cx="2940" cy="624"/>
                          </a:xfrm>
                          <a:prstGeom prst="rect">
                            <a:avLst/>
                          </a:prstGeom>
                          <a:noFill/>
                          <a:ln w="9525">
                            <a:solidFill>
                              <a:srgbClr val="000000"/>
                            </a:solidFill>
                            <a:miter lim="800000"/>
                          </a:ln>
                        </wps:spPr>
                        <wps:txbx>
                          <w:txbxContent>
                            <w:p>
                              <w:r>
                                <w:rPr>
                                  <w:rFonts w:hint="eastAsia"/>
                                </w:rPr>
                                <w:t>城市用地抗震类型分区</w:t>
                              </w:r>
                            </w:p>
                          </w:txbxContent>
                        </wps:txbx>
                        <wps:bodyPr rot="0" vert="horz" wrap="square" lIns="7200" tIns="3600" rIns="7200" bIns="3600" anchor="t" anchorCtr="0" upright="1">
                          <a:noAutofit/>
                        </wps:bodyPr>
                      </wps:wsp>
                      <wps:wsp>
                        <wps:cNvPr id="128" name="Text Box 45"/>
                        <wps:cNvSpPr txBox="1">
                          <a:spLocks noChangeArrowheads="1"/>
                        </wps:cNvSpPr>
                        <wps:spPr bwMode="auto">
                          <a:xfrm>
                            <a:off x="5343" y="6098"/>
                            <a:ext cx="3780" cy="624"/>
                          </a:xfrm>
                          <a:prstGeom prst="rect">
                            <a:avLst/>
                          </a:prstGeom>
                          <a:noFill/>
                          <a:ln w="9525">
                            <a:solidFill>
                              <a:srgbClr val="000000"/>
                            </a:solidFill>
                            <a:miter lim="800000"/>
                          </a:ln>
                        </wps:spPr>
                        <wps:txbx>
                          <w:txbxContent>
                            <w:p>
                              <w:r>
                                <w:rPr>
                                  <w:rFonts w:hint="eastAsia"/>
                                </w:rPr>
                                <w:t>砂土液化分区图、软土震陷分区图、崩塌滑坡分布图、场地抗震性能分区图</w:t>
                              </w:r>
                            </w:p>
                          </w:txbxContent>
                        </wps:txbx>
                        <wps:bodyPr rot="0" vert="horz" wrap="square" lIns="7200" tIns="3600" rIns="7200" bIns="3600" anchor="t" anchorCtr="0" upright="1">
                          <a:noAutofit/>
                        </wps:bodyPr>
                      </wps:wsp>
                      <wps:wsp>
                        <wps:cNvPr id="129" name="Text Box 46"/>
                        <wps:cNvSpPr txBox="1">
                          <a:spLocks noChangeArrowheads="1"/>
                        </wps:cNvSpPr>
                        <wps:spPr bwMode="auto">
                          <a:xfrm>
                            <a:off x="3696" y="7346"/>
                            <a:ext cx="3360" cy="312"/>
                          </a:xfrm>
                          <a:prstGeom prst="rect">
                            <a:avLst/>
                          </a:prstGeom>
                          <a:noFill/>
                          <a:ln w="9525">
                            <a:solidFill>
                              <a:srgbClr val="000000"/>
                            </a:solidFill>
                            <a:miter lim="800000"/>
                          </a:ln>
                        </wps:spPr>
                        <wps:txbx>
                          <w:txbxContent>
                            <w:p>
                              <w:pPr>
                                <w:jc w:val="center"/>
                              </w:pPr>
                              <w:r>
                                <w:rPr>
                                  <w:rFonts w:hint="eastAsia"/>
                                </w:rPr>
                                <w:t>城市用地抗震适宜性评价</w:t>
                              </w:r>
                            </w:p>
                          </w:txbxContent>
                        </wps:txbx>
                        <wps:bodyPr rot="0" vert="horz" wrap="square" lIns="7200" tIns="3600" rIns="7200" bIns="3600" anchor="t" anchorCtr="0" upright="1">
                          <a:noAutofit/>
                        </wps:bodyPr>
                      </wps:wsp>
                      <wps:wsp>
                        <wps:cNvPr id="130" name="Text Box 47"/>
                        <wps:cNvSpPr txBox="1">
                          <a:spLocks noChangeArrowheads="1"/>
                        </wps:cNvSpPr>
                        <wps:spPr bwMode="auto">
                          <a:xfrm>
                            <a:off x="9438" y="7187"/>
                            <a:ext cx="1155" cy="315"/>
                          </a:xfrm>
                          <a:prstGeom prst="rect">
                            <a:avLst/>
                          </a:prstGeom>
                          <a:noFill/>
                          <a:ln w="9525">
                            <a:solidFill>
                              <a:srgbClr val="000000"/>
                            </a:solidFill>
                            <a:miter lim="800000"/>
                          </a:ln>
                        </wps:spPr>
                        <wps:txbx>
                          <w:txbxContent>
                            <w:p>
                              <w:pPr>
                                <w:jc w:val="center"/>
                              </w:pPr>
                              <w:r>
                                <w:rPr>
                                  <w:rFonts w:hint="eastAsia"/>
                                </w:rPr>
                                <w:t>对策研究</w:t>
                              </w:r>
                            </w:p>
                          </w:txbxContent>
                        </wps:txbx>
                        <wps:bodyPr rot="0" vert="horz" wrap="square" lIns="7200" tIns="3600" rIns="7200" bIns="3600" anchor="t" anchorCtr="0" upright="1">
                          <a:noAutofit/>
                        </wps:bodyPr>
                      </wps:wsp>
                      <wps:wsp>
                        <wps:cNvPr id="131" name="Text Box 48"/>
                        <wps:cNvSpPr txBox="1">
                          <a:spLocks noChangeArrowheads="1"/>
                        </wps:cNvSpPr>
                        <wps:spPr bwMode="auto">
                          <a:xfrm>
                            <a:off x="3591" y="7970"/>
                            <a:ext cx="3570" cy="312"/>
                          </a:xfrm>
                          <a:prstGeom prst="rect">
                            <a:avLst/>
                          </a:prstGeom>
                          <a:noFill/>
                          <a:ln w="9525">
                            <a:solidFill>
                              <a:srgbClr val="000000"/>
                            </a:solidFill>
                            <a:miter lim="800000"/>
                          </a:ln>
                        </wps:spPr>
                        <wps:txbx>
                          <w:txbxContent>
                            <w:p>
                              <w:pPr>
                                <w:jc w:val="center"/>
                              </w:pPr>
                              <w:r>
                                <w:rPr>
                                  <w:rFonts w:hint="eastAsia"/>
                                </w:rPr>
                                <w:t>城市用地适宜性建设要求和对策</w:t>
                              </w:r>
                            </w:p>
                          </w:txbxContent>
                        </wps:txbx>
                        <wps:bodyPr rot="0" vert="horz" wrap="square" lIns="7200" tIns="3600" rIns="7200" bIns="3600" anchor="t" anchorCtr="0" upright="1">
                          <a:noAutofit/>
                        </wps:bodyPr>
                      </wps:wsp>
                      <wps:wsp>
                        <wps:cNvPr id="132" name="Text Box 49"/>
                        <wps:cNvSpPr txBox="1">
                          <a:spLocks noChangeArrowheads="1"/>
                        </wps:cNvSpPr>
                        <wps:spPr bwMode="auto">
                          <a:xfrm>
                            <a:off x="9438" y="7967"/>
                            <a:ext cx="1155" cy="315"/>
                          </a:xfrm>
                          <a:prstGeom prst="rect">
                            <a:avLst/>
                          </a:prstGeom>
                          <a:noFill/>
                          <a:ln w="9525">
                            <a:solidFill>
                              <a:srgbClr val="000000"/>
                            </a:solidFill>
                            <a:miter lim="800000"/>
                          </a:ln>
                        </wps:spPr>
                        <wps:txbx>
                          <w:txbxContent>
                            <w:p>
                              <w:pPr>
                                <w:jc w:val="center"/>
                              </w:pPr>
                              <w:r>
                                <w:rPr>
                                  <w:rFonts w:hint="eastAsia"/>
                                </w:rPr>
                                <w:t>规划编制</w:t>
                              </w:r>
                            </w:p>
                          </w:txbxContent>
                        </wps:txbx>
                        <wps:bodyPr rot="0" vert="horz" wrap="square" lIns="7200" tIns="3600" rIns="7200" bIns="3600" anchor="t" anchorCtr="0" upright="1">
                          <a:noAutofit/>
                        </wps:bodyPr>
                      </wps:wsp>
                      <wps:wsp>
                        <wps:cNvPr id="133" name="Line 50"/>
                        <wps:cNvCnPr>
                          <a:cxnSpLocks noChangeShapeType="1"/>
                        </wps:cNvCnPr>
                        <wps:spPr bwMode="auto">
                          <a:xfrm>
                            <a:off x="5586" y="4226"/>
                            <a:ext cx="0" cy="312"/>
                          </a:xfrm>
                          <a:prstGeom prst="line">
                            <a:avLst/>
                          </a:prstGeom>
                          <a:noFill/>
                          <a:ln w="9525">
                            <a:solidFill>
                              <a:srgbClr val="000000"/>
                            </a:solidFill>
                            <a:round/>
                            <a:tailEnd type="stealth" w="med" len="med"/>
                          </a:ln>
                        </wps:spPr>
                        <wps:bodyPr/>
                      </wps:wsp>
                      <wps:wsp>
                        <wps:cNvPr id="134" name="Line 51"/>
                        <wps:cNvCnPr>
                          <a:cxnSpLocks noChangeShapeType="1"/>
                        </wps:cNvCnPr>
                        <wps:spPr bwMode="auto">
                          <a:xfrm>
                            <a:off x="3486" y="4850"/>
                            <a:ext cx="0" cy="312"/>
                          </a:xfrm>
                          <a:prstGeom prst="line">
                            <a:avLst/>
                          </a:prstGeom>
                          <a:noFill/>
                          <a:ln w="9525">
                            <a:solidFill>
                              <a:srgbClr val="000000"/>
                            </a:solidFill>
                            <a:round/>
                            <a:tailEnd type="stealth" w="med" len="med"/>
                          </a:ln>
                        </wps:spPr>
                        <wps:bodyPr/>
                      </wps:wsp>
                      <wps:wsp>
                        <wps:cNvPr id="135" name="Line 52"/>
                        <wps:cNvCnPr>
                          <a:cxnSpLocks noChangeShapeType="1"/>
                        </wps:cNvCnPr>
                        <wps:spPr bwMode="auto">
                          <a:xfrm>
                            <a:off x="3486" y="5786"/>
                            <a:ext cx="0" cy="312"/>
                          </a:xfrm>
                          <a:prstGeom prst="line">
                            <a:avLst/>
                          </a:prstGeom>
                          <a:noFill/>
                          <a:ln w="9525">
                            <a:solidFill>
                              <a:srgbClr val="000000"/>
                            </a:solidFill>
                            <a:round/>
                            <a:tailEnd type="stealth" w="med" len="med"/>
                          </a:ln>
                        </wps:spPr>
                        <wps:bodyPr/>
                      </wps:wsp>
                      <wps:wsp>
                        <wps:cNvPr id="136" name="Line 53"/>
                        <wps:cNvCnPr>
                          <a:cxnSpLocks noChangeShapeType="1"/>
                        </wps:cNvCnPr>
                        <wps:spPr bwMode="auto">
                          <a:xfrm>
                            <a:off x="7161" y="4850"/>
                            <a:ext cx="0" cy="312"/>
                          </a:xfrm>
                          <a:prstGeom prst="line">
                            <a:avLst/>
                          </a:prstGeom>
                          <a:noFill/>
                          <a:ln w="9525">
                            <a:solidFill>
                              <a:srgbClr val="000000"/>
                            </a:solidFill>
                            <a:round/>
                            <a:tailEnd type="stealth" w="med" len="med"/>
                          </a:ln>
                        </wps:spPr>
                        <wps:bodyPr/>
                      </wps:wsp>
                      <wps:wsp>
                        <wps:cNvPr id="137" name="Line 54"/>
                        <wps:cNvCnPr>
                          <a:cxnSpLocks noChangeShapeType="1"/>
                        </wps:cNvCnPr>
                        <wps:spPr bwMode="auto">
                          <a:xfrm>
                            <a:off x="5376" y="7658"/>
                            <a:ext cx="0" cy="312"/>
                          </a:xfrm>
                          <a:prstGeom prst="line">
                            <a:avLst/>
                          </a:prstGeom>
                          <a:noFill/>
                          <a:ln w="9525">
                            <a:solidFill>
                              <a:srgbClr val="000000"/>
                            </a:solidFill>
                            <a:round/>
                            <a:tailEnd type="stealth" w="med" len="med"/>
                          </a:ln>
                        </wps:spPr>
                        <wps:bodyPr/>
                      </wps:wsp>
                      <wps:wsp>
                        <wps:cNvPr id="138" name="Line 55"/>
                        <wps:cNvCnPr>
                          <a:cxnSpLocks noChangeShapeType="1"/>
                        </wps:cNvCnPr>
                        <wps:spPr bwMode="auto">
                          <a:xfrm>
                            <a:off x="5376" y="7034"/>
                            <a:ext cx="0" cy="312"/>
                          </a:xfrm>
                          <a:prstGeom prst="line">
                            <a:avLst/>
                          </a:prstGeom>
                          <a:noFill/>
                          <a:ln w="9525">
                            <a:solidFill>
                              <a:srgbClr val="000000"/>
                            </a:solidFill>
                            <a:round/>
                            <a:tailEnd type="stealth" w="med" len="med"/>
                          </a:ln>
                        </wps:spPr>
                        <wps:bodyPr/>
                      </wps:wsp>
                      <wps:wsp>
                        <wps:cNvPr id="139" name="Line 56"/>
                        <wps:cNvCnPr>
                          <a:cxnSpLocks noChangeShapeType="1"/>
                        </wps:cNvCnPr>
                        <wps:spPr bwMode="auto">
                          <a:xfrm>
                            <a:off x="7161" y="5786"/>
                            <a:ext cx="0" cy="312"/>
                          </a:xfrm>
                          <a:prstGeom prst="line">
                            <a:avLst/>
                          </a:prstGeom>
                          <a:noFill/>
                          <a:ln w="9525">
                            <a:solidFill>
                              <a:srgbClr val="000000"/>
                            </a:solidFill>
                            <a:round/>
                            <a:tailEnd type="stealth" w="med" len="med"/>
                          </a:ln>
                        </wps:spPr>
                        <wps:bodyPr/>
                      </wps:wsp>
                      <wps:wsp>
                        <wps:cNvPr id="140" name="Line 57"/>
                        <wps:cNvCnPr>
                          <a:cxnSpLocks noChangeShapeType="1"/>
                        </wps:cNvCnPr>
                        <wps:spPr bwMode="auto">
                          <a:xfrm>
                            <a:off x="3486" y="6722"/>
                            <a:ext cx="0" cy="312"/>
                          </a:xfrm>
                          <a:prstGeom prst="line">
                            <a:avLst/>
                          </a:prstGeom>
                          <a:noFill/>
                          <a:ln w="9525">
                            <a:solidFill>
                              <a:srgbClr val="000000"/>
                            </a:solidFill>
                            <a:round/>
                          </a:ln>
                        </wps:spPr>
                        <wps:bodyPr/>
                      </wps:wsp>
                      <wps:wsp>
                        <wps:cNvPr id="141" name="Line 58"/>
                        <wps:cNvCnPr>
                          <a:cxnSpLocks noChangeShapeType="1"/>
                        </wps:cNvCnPr>
                        <wps:spPr bwMode="auto">
                          <a:xfrm>
                            <a:off x="7161" y="6722"/>
                            <a:ext cx="0" cy="312"/>
                          </a:xfrm>
                          <a:prstGeom prst="line">
                            <a:avLst/>
                          </a:prstGeom>
                          <a:noFill/>
                          <a:ln w="9525">
                            <a:solidFill>
                              <a:srgbClr val="000000"/>
                            </a:solidFill>
                            <a:round/>
                          </a:ln>
                        </wps:spPr>
                        <wps:bodyPr/>
                      </wps:wsp>
                      <wps:wsp>
                        <wps:cNvPr id="142" name="Line 59"/>
                        <wps:cNvCnPr>
                          <a:cxnSpLocks noChangeShapeType="1"/>
                        </wps:cNvCnPr>
                        <wps:spPr bwMode="auto">
                          <a:xfrm>
                            <a:off x="3486" y="7034"/>
                            <a:ext cx="3675" cy="0"/>
                          </a:xfrm>
                          <a:prstGeom prst="line">
                            <a:avLst/>
                          </a:prstGeom>
                          <a:noFill/>
                          <a:ln w="9525">
                            <a:solidFill>
                              <a:srgbClr val="000000"/>
                            </a:solidFill>
                            <a:round/>
                          </a:ln>
                        </wps:spPr>
                        <wps:bodyPr/>
                      </wps:wsp>
                      <wps:wsp>
                        <wps:cNvPr id="143" name="Line 60"/>
                        <wps:cNvCnPr>
                          <a:cxnSpLocks noChangeShapeType="1"/>
                        </wps:cNvCnPr>
                        <wps:spPr bwMode="auto">
                          <a:xfrm>
                            <a:off x="9996" y="4070"/>
                            <a:ext cx="0" cy="468"/>
                          </a:xfrm>
                          <a:prstGeom prst="line">
                            <a:avLst/>
                          </a:prstGeom>
                          <a:noFill/>
                          <a:ln w="9525">
                            <a:solidFill>
                              <a:srgbClr val="000000"/>
                            </a:solidFill>
                            <a:round/>
                            <a:tailEnd type="stealth" w="med" len="med"/>
                          </a:ln>
                        </wps:spPr>
                        <wps:bodyPr/>
                      </wps:wsp>
                      <wps:wsp>
                        <wps:cNvPr id="144" name="Line 61"/>
                        <wps:cNvCnPr>
                          <a:cxnSpLocks noChangeShapeType="1"/>
                        </wps:cNvCnPr>
                        <wps:spPr bwMode="auto">
                          <a:xfrm>
                            <a:off x="9996" y="4850"/>
                            <a:ext cx="0" cy="468"/>
                          </a:xfrm>
                          <a:prstGeom prst="line">
                            <a:avLst/>
                          </a:prstGeom>
                          <a:noFill/>
                          <a:ln w="9525">
                            <a:solidFill>
                              <a:srgbClr val="000000"/>
                            </a:solidFill>
                            <a:round/>
                            <a:tailEnd type="stealth" w="med" len="med"/>
                          </a:ln>
                        </wps:spPr>
                        <wps:bodyPr/>
                      </wps:wsp>
                      <wps:wsp>
                        <wps:cNvPr id="145" name="Line 62"/>
                        <wps:cNvCnPr>
                          <a:cxnSpLocks noChangeShapeType="1"/>
                        </wps:cNvCnPr>
                        <wps:spPr bwMode="auto">
                          <a:xfrm>
                            <a:off x="9996" y="5630"/>
                            <a:ext cx="0" cy="624"/>
                          </a:xfrm>
                          <a:prstGeom prst="line">
                            <a:avLst/>
                          </a:prstGeom>
                          <a:noFill/>
                          <a:ln w="9525">
                            <a:solidFill>
                              <a:srgbClr val="000000"/>
                            </a:solidFill>
                            <a:round/>
                            <a:tailEnd type="stealth" w="med" len="med"/>
                          </a:ln>
                        </wps:spPr>
                        <wps:bodyPr/>
                      </wps:wsp>
                      <wps:wsp>
                        <wps:cNvPr id="146" name="Line 63"/>
                        <wps:cNvCnPr>
                          <a:cxnSpLocks noChangeShapeType="1"/>
                        </wps:cNvCnPr>
                        <wps:spPr bwMode="auto">
                          <a:xfrm>
                            <a:off x="9996" y="6566"/>
                            <a:ext cx="0" cy="624"/>
                          </a:xfrm>
                          <a:prstGeom prst="line">
                            <a:avLst/>
                          </a:prstGeom>
                          <a:noFill/>
                          <a:ln w="9525">
                            <a:solidFill>
                              <a:srgbClr val="000000"/>
                            </a:solidFill>
                            <a:round/>
                            <a:tailEnd type="stealth" w="med" len="med"/>
                          </a:ln>
                        </wps:spPr>
                        <wps:bodyPr/>
                      </wps:wsp>
                      <wps:wsp>
                        <wps:cNvPr id="147" name="Line 64"/>
                        <wps:cNvCnPr>
                          <a:cxnSpLocks noChangeShapeType="1"/>
                        </wps:cNvCnPr>
                        <wps:spPr bwMode="auto">
                          <a:xfrm>
                            <a:off x="9996" y="7502"/>
                            <a:ext cx="0" cy="468"/>
                          </a:xfrm>
                          <a:prstGeom prst="line">
                            <a:avLst/>
                          </a:prstGeom>
                          <a:noFill/>
                          <a:ln w="9525">
                            <a:solidFill>
                              <a:srgbClr val="000000"/>
                            </a:solidFill>
                            <a:round/>
                            <a:tailEnd type="stealth" w="med" len="med"/>
                          </a:ln>
                        </wps:spPr>
                        <wps:bodyPr/>
                      </wps:wsp>
                    </wpg:wgp>
                  </a:graphicData>
                </a:graphic>
              </wp:inline>
            </w:drawing>
          </mc:Choice>
          <mc:Fallback>
            <w:pict>
              <v:group id="_x0000_s1026" o:spid="_x0000_s1026" o:spt="203" style="height:234.15pt;width:430.65pt;" coordorigin="1983,3599" coordsize="8613,4683" o:gfxdata="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">
                <o:lock v:ext="edit" aspectratio="f"/>
                <v:shape id="Text Box 36" o:spid="_x0000_s1026" o:spt="202" type="#_x0000_t202" style="position:absolute;left:3171;top:3599;height:627;width:4830;" filled="f" stroked="t" coordsize="21600,21600" o:gfxdata="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xxQYS8AAAA&#10;3AAAAA8AAAAAAAAAAQAgAAAAIgAAAGRycy9kb3ducmV2LnhtbFBLAQIUABQAAAAIAIdO4kAzLwWe&#10;OwAAADkAAAAQAAAAAAAAAAEAIAAAAAsBAABkcnMvc2hhcGV4bWwueG1sUEsFBgAAAAAGAAYAWwEA&#10;ALUDAAAAAA==&#10;">
                  <v:fill on="f" focussize="0,0"/>
                  <v:stroke color="#000000" miterlimit="8" joinstyle="miter"/>
                  <v:imagedata o:title=""/>
                  <o:lock v:ext="edit" aspectratio="f"/>
                  <v:textbox inset="0.9mm,0.1mm,0.9mm,0.1mm">
                    <w:txbxContent>
                      <w:p>
                        <w:r>
                          <w:rPr>
                            <w:rFonts w:hint="eastAsia"/>
                          </w:rPr>
                          <w:t>收集相关基础和技术资料：地震地质资料、地形地貌、场地环境和工程勘察资料</w:t>
                        </w:r>
                      </w:p>
                    </w:txbxContent>
                  </v:textbox>
                </v:shape>
                <v:shape id="Text Box 37" o:spid="_x0000_s1026" o:spt="202" type="#_x0000_t202" style="position:absolute;left:9441;top:3755;height:315;width:1155;" filled="f" stroked="t" coordsize="21600,21600" o:gfxdata="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cmrL4b4A&#10;AADcAAAADwAAAAAAAAABACAAAAAiAAAAZHJzL2Rvd25yZXYueG1sUEsBAhQAFAAAAAgAh07iQDMv&#10;BZ47AAAAOQAAABAAAAAAAAAAAQAgAAAADQEAAGRycy9zaGFwZXhtbC54bWxQSwUGAAAAAAYABgBb&#10;AQAAtwMAAAAA&#10;">
                  <v:fill on="f" focussize="0,0"/>
                  <v:stroke color="#000000" miterlimit="8" joinstyle="miter"/>
                  <v:imagedata o:title=""/>
                  <o:lock v:ext="edit" aspectratio="f"/>
                  <v:textbox inset="0.2mm,0.1mm,0.2mm,0.1mm">
                    <w:txbxContent>
                      <w:p>
                        <w:pPr>
                          <w:jc w:val="center"/>
                        </w:pPr>
                        <w:r>
                          <w:rPr>
                            <w:rFonts w:hint="eastAsia"/>
                          </w:rPr>
                          <w:t>资料收集</w:t>
                        </w:r>
                      </w:p>
                    </w:txbxContent>
                  </v:textbox>
                </v:shape>
                <v:shape id="Text Box 38" o:spid="_x0000_s1026" o:spt="202" type="#_x0000_t202" style="position:absolute;left:9438;top:4535;height:315;width:1155;" filled="f" stroked="t" coordsize="21600,21600" o:gfxdata="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dJm56ugAAANwA&#10;AAAPAAAAAAAAAAEAIAAAACIAAABkcnMvZG93bnJldi54bWxQSwECFAAUAAAACACHTuJAMy8FnjsA&#10;AAA5AAAAEAAAAAAAAAABACAAAAAJAQAAZHJzL3NoYXBleG1sLnhtbFBLBQYAAAAABgAGAFsBAACz&#10;AwAAAAA=&#10;">
                  <v:fill on="f" focussize="0,0"/>
                  <v:stroke color="#000000" miterlimit="8" joinstyle="miter"/>
                  <v:imagedata o:title=""/>
                  <o:lock v:ext="edit" aspectratio="f"/>
                  <v:textbox inset="0.2mm,0.1mm,0.2mm,0.1mm">
                    <w:txbxContent>
                      <w:p>
                        <w:pPr>
                          <w:jc w:val="center"/>
                        </w:pPr>
                        <w:r>
                          <w:rPr>
                            <w:rFonts w:hint="eastAsia"/>
                          </w:rPr>
                          <w:t>资料评定</w:t>
                        </w:r>
                      </w:p>
                    </w:txbxContent>
                  </v:textbox>
                </v:shape>
                <v:shape id="Text Box 39" o:spid="_x0000_s1026" o:spt="202" type="#_x0000_t202" style="position:absolute;left:2961;top:4538;height:312;width:5355;" filled="f" stroked="t" coordsize="21600,21600" o:gfxdata="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7fTwDbsAAADc&#10;AAAADwAAAAAAAAABACAAAAAiAAAAZHJzL2Rvd25yZXYueG1sUEsBAhQAFAAAAAgAh07iQDMvBZ47&#10;AAAAOQAAABAAAAAAAAAAAQAgAAAACgEAAGRycy9zaGFwZXhtbC54bWxQSwUGAAAAAAYABgBbAQAA&#10;tAMAAAAA&#10;">
                  <v:fill on="f" focussize="0,0"/>
                  <v:stroke color="#000000" miterlimit="8" joinstyle="miter"/>
                  <v:imagedata o:title=""/>
                  <o:lock v:ext="edit" aspectratio="f"/>
                  <v:textbox inset="0.2mm,0.1mm,0.2mm,0.1mm">
                    <w:txbxContent>
                      <w:p>
                        <w:r>
                          <w:rPr>
                            <w:rFonts w:hint="eastAsia"/>
                          </w:rPr>
                          <w:t>确认资料的可靠性和完整性，确定补充勘察测试的方案</w:t>
                        </w:r>
                      </w:p>
                    </w:txbxContent>
                  </v:textbox>
                </v:shape>
                <v:shape id="Text Box 40" o:spid="_x0000_s1026" o:spt="202" type="#_x0000_t202" style="position:absolute;left:1983;top:5162;height:624;width:2940;" filled="f" stroked="t" coordsize="21600,21600" o:gfxdata="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CuFWWugAAANwA&#10;AAAPAAAAAAAAAAEAIAAAACIAAABkcnMvZG93bnJldi54bWxQSwECFAAUAAAACACHTuJAMy8FnjsA&#10;AAA5AAAAEAAAAAAAAAABACAAAAAJAQAAZHJzL3NoYXBleG1sLnhtbFBLBQYAAAAABgAGAFsBAACz&#10;AwAAAAA=&#10;">
                  <v:fill on="f" focussize="0,0"/>
                  <v:stroke color="#000000" miterlimit="8" joinstyle="miter"/>
                  <v:imagedata o:title=""/>
                  <o:lock v:ext="edit" aspectratio="f"/>
                  <v:textbox inset="0.2mm,0.1mm,0.2mm,0.1mm">
                    <w:txbxContent>
                      <w:p>
                        <w:r>
                          <w:rPr>
                            <w:rFonts w:hint="eastAsia"/>
                          </w:rPr>
                          <w:t>地震工程地质分区、场地分区，地震动参数确定</w:t>
                        </w:r>
                      </w:p>
                    </w:txbxContent>
                  </v:textbox>
                </v:shape>
                <v:shape id="Text Box 41" o:spid="_x0000_s1026" o:spt="202" type="#_x0000_t202" style="position:absolute;left:5586;top:5162;height:624;width:3150;" filled="f" stroked="t" coordsize="21600,21600" o:gfxdata="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QcLdvQAA&#10;ANwAAAAPAAAAAAAAAAEAIAAAACIAAABkcnMvZG93bnJldi54bWxQSwECFAAUAAAACACHTuJAMy8F&#10;njsAAAA5AAAAEAAAAAAAAAABACAAAAAMAQAAZHJzL3NoYXBleG1sLnhtbFBLBQYAAAAABgAGAFsB&#10;AAC2AwAAAAA=&#10;">
                  <v:fill on="f" focussize="0,0"/>
                  <v:stroke color="#000000" miterlimit="8" joinstyle="miter"/>
                  <v:imagedata o:title=""/>
                  <o:lock v:ext="edit" aspectratio="f"/>
                  <v:textbox inset="1.2mm,0.1mm,1.2mm,0.1mm">
                    <w:txbxContent>
                      <w:p>
                        <w:r>
                          <w:rPr>
                            <w:rFonts w:hint="eastAsia"/>
                          </w:rPr>
                          <w:t>场地破坏效应及不利地形影响研究</w:t>
                        </w:r>
                      </w:p>
                    </w:txbxContent>
                  </v:textbox>
                </v:shape>
                <v:shape id="Text Box 42" o:spid="_x0000_s1026" o:spt="202" type="#_x0000_t202" style="position:absolute;left:9438;top:5330;height:315;width:1155;" filled="f" stroked="t" coordsize="21600,21600" o:gfxdata="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IdaHm8AAAA&#10;3AAAAA8AAAAAAAAAAQAgAAAAIgAAAGRycy9kb3ducmV2LnhtbFBLAQIUABQAAAAIAIdO4kAzLwWe&#10;OwAAADkAAAAQAAAAAAAAAAEAIAAAAAsBAABkcnMvc2hhcGV4bWwueG1sUEsFBgAAAAAGAAYAWwEA&#10;ALUDAAAAAA==&#10;">
                  <v:fill on="f" focussize="0,0"/>
                  <v:stroke color="#000000" miterlimit="8" joinstyle="miter"/>
                  <v:imagedata o:title=""/>
                  <o:lock v:ext="edit" aspectratio="f"/>
                  <v:textbox inset="0.2mm,0.1mm,0.2mm,0.1mm">
                    <w:txbxContent>
                      <w:p>
                        <w:pPr>
                          <w:jc w:val="center"/>
                        </w:pPr>
                        <w:r>
                          <w:rPr>
                            <w:rFonts w:hint="eastAsia"/>
                          </w:rPr>
                          <w:t>基础分析</w:t>
                        </w:r>
                      </w:p>
                    </w:txbxContent>
                  </v:textbox>
                </v:shape>
                <v:shape id="Text Box 43" o:spid="_x0000_s1026" o:spt="202" type="#_x0000_t202" style="position:absolute;left:9438;top:6251;height:315;width:1155;" filled="f" stroked="t" coordsize="21600,21600" o:gfxdata="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ks/2DrsAAADc&#10;AAAADwAAAAAAAAABACAAAAAiAAAAZHJzL2Rvd25yZXYueG1sUEsBAhQAFAAAAAgAh07iQDMvBZ47&#10;AAAAOQAAABAAAAAAAAAAAQAgAAAACgEAAGRycy9zaGFwZXhtbC54bWxQSwUGAAAAAAYABgBbAQAA&#10;tAMAAAAA&#10;">
                  <v:fill on="f" focussize="0,0"/>
                  <v:stroke color="#000000" miterlimit="8" joinstyle="miter"/>
                  <v:imagedata o:title=""/>
                  <o:lock v:ext="edit" aspectratio="f"/>
                  <v:textbox inset="0.2mm,0.1mm,0.2mm,0.1mm">
                    <w:txbxContent>
                      <w:p>
                        <w:pPr>
                          <w:jc w:val="center"/>
                        </w:pPr>
                        <w:r>
                          <w:rPr>
                            <w:rFonts w:hint="eastAsia"/>
                          </w:rPr>
                          <w:t>主要成果</w:t>
                        </w:r>
                      </w:p>
                    </w:txbxContent>
                  </v:textbox>
                </v:shape>
                <v:shape id="Text Box 44" o:spid="_x0000_s1026" o:spt="202" type="#_x0000_t202" style="position:absolute;left:2016;top:6098;height:624;width:2940;" filled="f" stroked="t" coordsize="21600,21600" o:gfxdata="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2DU5W8AAAA&#10;3AAAAA8AAAAAAAAAAQAgAAAAIgAAAGRycy9kb3ducmV2LnhtbFBLAQIUABQAAAAIAIdO4kAzLwWe&#10;OwAAADkAAAAQAAAAAAAAAAEAIAAAAAsBAABkcnMvc2hhcGV4bWwueG1sUEsFBgAAAAAGAAYAWwEA&#10;ALUDAAAAAA==&#10;">
                  <v:fill on="f" focussize="0,0"/>
                  <v:stroke color="#000000" miterlimit="8" joinstyle="miter"/>
                  <v:imagedata o:title=""/>
                  <o:lock v:ext="edit" aspectratio="f"/>
                  <v:textbox inset="0.2mm,0.1mm,0.2mm,0.1mm">
                    <w:txbxContent>
                      <w:p>
                        <w:r>
                          <w:rPr>
                            <w:rFonts w:hint="eastAsia"/>
                          </w:rPr>
                          <w:t>城市用地抗震类型分区</w:t>
                        </w:r>
                      </w:p>
                    </w:txbxContent>
                  </v:textbox>
                </v:shape>
                <v:shape id="Text Box 45" o:spid="_x0000_s1026" o:spt="202" type="#_x0000_t202" style="position:absolute;left:5343;top:6098;height:624;width:3780;" filled="f" stroked="t" coordsize="21600,21600" o:gfxdata="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jBzH574A&#10;AADcAAAADwAAAAAAAAABACAAAAAiAAAAZHJzL2Rvd25yZXYueG1sUEsBAhQAFAAAAAgAh07iQDMv&#10;BZ47AAAAOQAAABAAAAAAAAAAAQAgAAAADQEAAGRycy9zaGFwZXhtbC54bWxQSwUGAAAAAAYABgBb&#10;AQAAtwMAAAAA&#10;">
                  <v:fill on="f" focussize="0,0"/>
                  <v:stroke color="#000000" miterlimit="8" joinstyle="miter"/>
                  <v:imagedata o:title=""/>
                  <o:lock v:ext="edit" aspectratio="f"/>
                  <v:textbox inset="0.2mm,0.1mm,0.2mm,0.1mm">
                    <w:txbxContent>
                      <w:p>
                        <w:r>
                          <w:rPr>
                            <w:rFonts w:hint="eastAsia"/>
                          </w:rPr>
                          <w:t>砂土液化分区图、软土震陷分区图、崩塌滑坡分布图、场地抗震性能分区图</w:t>
                        </w:r>
                      </w:p>
                    </w:txbxContent>
                  </v:textbox>
                </v:shape>
                <v:shape id="Text Box 46" o:spid="_x0000_s1026" o:spt="202" type="#_x0000_t202" style="position:absolute;left:3696;top:7346;height:312;width:3360;" filled="f" stroked="t" coordsize="21600,21600" o:gfxdata="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41BifLsAAADc&#10;AAAADwAAAAAAAAABACAAAAAiAAAAZHJzL2Rvd25yZXYueG1sUEsBAhQAFAAAAAgAh07iQDMvBZ47&#10;AAAAOQAAABAAAAAAAAAAAQAgAAAACgEAAGRycy9zaGFwZXhtbC54bWxQSwUGAAAAAAYABgBbAQAA&#10;tAMAAAAA&#10;">
                  <v:fill on="f" focussize="0,0"/>
                  <v:stroke color="#000000" miterlimit="8" joinstyle="miter"/>
                  <v:imagedata o:title=""/>
                  <o:lock v:ext="edit" aspectratio="f"/>
                  <v:textbox inset="0.2mm,0.1mm,0.2mm,0.1mm">
                    <w:txbxContent>
                      <w:p>
                        <w:pPr>
                          <w:jc w:val="center"/>
                        </w:pPr>
                        <w:r>
                          <w:rPr>
                            <w:rFonts w:hint="eastAsia"/>
                          </w:rPr>
                          <w:t>城市用地抗震适宜性评价</w:t>
                        </w:r>
                      </w:p>
                    </w:txbxContent>
                  </v:textbox>
                </v:shape>
                <v:shape id="Text Box 47" o:spid="_x0000_s1026" o:spt="202" type="#_x0000_t202" style="position:absolute;left:9438;top:7187;height:315;width:1155;" filled="f" stroked="t" coordsize="21600,21600" o:gfxdata="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97NdPL4A&#10;AADcAAAADwAAAAAAAAABACAAAAAiAAAAZHJzL2Rvd25yZXYueG1sUEsBAhQAFAAAAAgAh07iQDMv&#10;BZ47AAAAOQAAABAAAAAAAAAAAQAgAAAADQEAAGRycy9zaGFwZXhtbC54bWxQSwUGAAAAAAYABgBb&#10;AQAAtwMAAAAA&#10;">
                  <v:fill on="f" focussize="0,0"/>
                  <v:stroke color="#000000" miterlimit="8" joinstyle="miter"/>
                  <v:imagedata o:title=""/>
                  <o:lock v:ext="edit" aspectratio="f"/>
                  <v:textbox inset="0.2mm,0.1mm,0.2mm,0.1mm">
                    <w:txbxContent>
                      <w:p>
                        <w:pPr>
                          <w:jc w:val="center"/>
                        </w:pPr>
                        <w:r>
                          <w:rPr>
                            <w:rFonts w:hint="eastAsia"/>
                          </w:rPr>
                          <w:t>对策研究</w:t>
                        </w:r>
                      </w:p>
                    </w:txbxContent>
                  </v:textbox>
                </v:shape>
                <v:shape id="Text Box 48" o:spid="_x0000_s1026" o:spt="202" type="#_x0000_t202" style="position:absolute;left:3591;top:7970;height:312;width:3570;" filled="f" stroked="t" coordsize="21600,21600" o:gfxdata="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mP/4p7sAAADc&#10;AAAADwAAAAAAAAABACAAAAAiAAAAZHJzL2Rvd25yZXYueG1sUEsBAhQAFAAAAAgAh07iQDMvBZ47&#10;AAAAOQAAABAAAAAAAAAAAQAgAAAACgEAAGRycy9zaGFwZXhtbC54bWxQSwUGAAAAAAYABgBbAQAA&#10;tAMAAAAA&#10;">
                  <v:fill on="f" focussize="0,0"/>
                  <v:stroke color="#000000" miterlimit="8" joinstyle="miter"/>
                  <v:imagedata o:title=""/>
                  <o:lock v:ext="edit" aspectratio="f"/>
                  <v:textbox inset="0.2mm,0.1mm,0.2mm,0.1mm">
                    <w:txbxContent>
                      <w:p>
                        <w:pPr>
                          <w:jc w:val="center"/>
                        </w:pPr>
                        <w:r>
                          <w:rPr>
                            <w:rFonts w:hint="eastAsia"/>
                          </w:rPr>
                          <w:t>城市用地适宜性建设要求和对策</w:t>
                        </w:r>
                      </w:p>
                    </w:txbxContent>
                  </v:textbox>
                </v:shape>
                <v:shape id="Text Box 49" o:spid="_x0000_s1026" o:spt="202" type="#_x0000_t202" style="position:absolute;left:9438;top:7967;height:315;width:1155;" filled="f" stroked="t" coordsize="21600,21600" o:gfxdata="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oLWbQugAAANwA&#10;AAAPAAAAAAAAAAEAIAAAACIAAABkcnMvZG93bnJldi54bWxQSwECFAAUAAAACACHTuJAMy8FnjsA&#10;AAA5AAAAEAAAAAAAAAABACAAAAAJAQAAZHJzL3NoYXBleG1sLnhtbFBLBQYAAAAABgAGAFsBAACz&#10;AwAAAAA=&#10;">
                  <v:fill on="f" focussize="0,0"/>
                  <v:stroke color="#000000" miterlimit="8" joinstyle="miter"/>
                  <v:imagedata o:title=""/>
                  <o:lock v:ext="edit" aspectratio="f"/>
                  <v:textbox inset="0.2mm,0.1mm,0.2mm,0.1mm">
                    <w:txbxContent>
                      <w:p>
                        <w:pPr>
                          <w:jc w:val="center"/>
                        </w:pPr>
                        <w:r>
                          <w:rPr>
                            <w:rFonts w:hint="eastAsia"/>
                          </w:rPr>
                          <w:t>规划编制</w:t>
                        </w:r>
                      </w:p>
                    </w:txbxContent>
                  </v:textbox>
                </v:shape>
                <v:line id="Line 50" o:spid="_x0000_s1026" o:spt="20" style="position:absolute;left:5586;top:4226;height:312;width:0;" filled="f" stroked="t" coordsize="21600,21600" o:gfxdata="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2xdQZbsAAADc&#10;AAAADwAAAAAAAAABACAAAAAiAAAAZHJzL2Rvd25yZXYueG1sUEsBAhQAFAAAAAgAh07iQDMvBZ47&#10;AAAAOQAAABAAAAAAAAAAAQAgAAAACgEAAGRycy9zaGFwZXhtbC54bWxQSwUGAAAAAAYABgBbAQAA&#10;tAMAAAAA&#10;">
                  <v:fill on="f" focussize="0,0"/>
                  <v:stroke color="#000000" joinstyle="round" endarrow="classic"/>
                  <v:imagedata o:title=""/>
                  <o:lock v:ext="edit" aspectratio="f"/>
                </v:line>
                <v:line id="Line 51" o:spid="_x0000_s1026" o:spt="20" style="position:absolute;left:3486;top:4850;height:312;width:0;" filled="f" stroked="t" coordsize="21600,21600" o:gfxdata="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VP7IEbsAAADc&#10;AAAADwAAAAAAAAABACAAAAAiAAAAZHJzL2Rvd25yZXYueG1sUEsBAhQAFAAAAAgAh07iQDMvBZ47&#10;AAAAOQAAABAAAAAAAAAAAQAgAAAACgEAAGRycy9zaGFwZXhtbC54bWxQSwUGAAAAAAYABgBbAQAA&#10;tAMAAAAA&#10;">
                  <v:fill on="f" focussize="0,0"/>
                  <v:stroke color="#000000" joinstyle="round" endarrow="classic"/>
                  <v:imagedata o:title=""/>
                  <o:lock v:ext="edit" aspectratio="f"/>
                </v:line>
                <v:line id="Line 52" o:spid="_x0000_s1026" o:spt="20" style="position:absolute;left:3486;top:5786;height:312;width:0;" filled="f" stroked="t" coordsize="21600,21600" o:gfxdata="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O7JtirsAAADc&#10;AAAADwAAAAAAAAABACAAAAAiAAAAZHJzL2Rvd25yZXYueG1sUEsBAhQAFAAAAAgAh07iQDMvBZ47&#10;AAAAOQAAABAAAAAAAAAAAQAgAAAACgEAAGRycy9zaGFwZXhtbC54bWxQSwUGAAAAAAYABgBbAQAA&#10;tAMAAAAA&#10;">
                  <v:fill on="f" focussize="0,0"/>
                  <v:stroke color="#000000" joinstyle="round" endarrow="classic"/>
                  <v:imagedata o:title=""/>
                  <o:lock v:ext="edit" aspectratio="f"/>
                </v:line>
                <v:line id="Line 53" o:spid="_x0000_s1026" o:spt="20" style="position:absolute;left:7161;top:4850;height:312;width:0;" filled="f" stroked="t" coordsize="21600,21600" o:gfxdata="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y2Dz/bsAAADc&#10;AAAADwAAAAAAAAABACAAAAAiAAAAZHJzL2Rvd25yZXYueG1sUEsBAhQAFAAAAAgAh07iQDMvBZ47&#10;AAAAOQAAABAAAAAAAAAAAQAgAAAACgEAAGRycy9zaGFwZXhtbC54bWxQSwUGAAAAAAYABgBbAQAA&#10;tAMAAAAA&#10;">
                  <v:fill on="f" focussize="0,0"/>
                  <v:stroke color="#000000" joinstyle="round" endarrow="classic"/>
                  <v:imagedata o:title=""/>
                  <o:lock v:ext="edit" aspectratio="f"/>
                </v:line>
                <v:line id="Line 54" o:spid="_x0000_s1026" o:spt="20" style="position:absolute;left:5376;top:7658;height:312;width:0;" filled="f" stroked="t" coordsize="21600,21600" o:gfxdata="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pCxWZrsAAADc&#10;AAAADwAAAAAAAAABACAAAAAiAAAAZHJzL2Rvd25yZXYueG1sUEsBAhQAFAAAAAgAh07iQDMvBZ47&#10;AAAAOQAAABAAAAAAAAAAAQAgAAAACgEAAGRycy9zaGFwZXhtbC54bWxQSwUGAAAAAAYABgBbAQAA&#10;tAMAAAAA&#10;">
                  <v:fill on="f" focussize="0,0"/>
                  <v:stroke color="#000000" joinstyle="round" endarrow="classic"/>
                  <v:imagedata o:title=""/>
                  <o:lock v:ext="edit" aspectratio="f"/>
                </v:line>
                <v:line id="Line 55" o:spid="_x0000_s1026" o:spt="20" style="position:absolute;left:5376;top:7034;height:312;width:0;" filled="f" stroked="t" coordsize="21600,21600" o:gfxdata="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Vs8IUvQAA&#10;ANwAAAAPAAAAAAAAAAEAIAAAACIAAABkcnMvZG93bnJldi54bWxQSwECFAAUAAAACACHTuJAMy8F&#10;njsAAAA5AAAAEAAAAAAAAAABACAAAAAMAQAAZHJzL3NoYXBleG1sLnhtbFBLBQYAAAAABgAGAFsB&#10;AAC2AwAAAAA=&#10;">
                  <v:fill on="f" focussize="0,0"/>
                  <v:stroke color="#000000" joinstyle="round" endarrow="classic"/>
                  <v:imagedata o:title=""/>
                  <o:lock v:ext="edit" aspectratio="f"/>
                </v:line>
                <v:line id="Line 56" o:spid="_x0000_s1026" o:spt="20" style="position:absolute;left:7161;top:5786;height:312;width:0;" filled="f" stroked="t" coordsize="21600,21600" o:gfxdata="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Lr/Z4+5AAAA3AAA&#10;AA8AAAAAAAAAAQAgAAAAIgAAAGRycy9kb3ducmV2LnhtbFBLAQIUABQAAAAIAIdO4kAzLwWeOwAA&#10;ADkAAAAQAAAAAAAAAAEAIAAAAAgBAABkcnMvc2hhcGV4bWwueG1sUEsFBgAAAAAGAAYAWwEAALID&#10;AAAAAA==&#10;">
                  <v:fill on="f" focussize="0,0"/>
                  <v:stroke color="#000000" joinstyle="round" endarrow="classic"/>
                  <v:imagedata o:title=""/>
                  <o:lock v:ext="edit" aspectratio="f"/>
                </v:line>
                <v:line id="Line 57" o:spid="_x0000_s1026" o:spt="20" style="position:absolute;left:3486;top:6722;height:312;width:0;" filled="f" stroked="t" coordsize="21600,21600" o:gfxdata="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HKXIOe/&#10;AAAA3AAAAA8AAAAAAAAAAQAgAAAAIgAAAGRycy9kb3ducmV2LnhtbFBLAQIUABQAAAAIAIdO4kAz&#10;LwWeOwAAADkAAAAQAAAAAAAAAAEAIAAAAA4BAABkcnMvc2hhcGV4bWwueG1sUEsFBgAAAAAGAAYA&#10;WwEAALgDAAAAAA==&#10;">
                  <v:fill on="f" focussize="0,0"/>
                  <v:stroke color="#000000" joinstyle="round"/>
                  <v:imagedata o:title=""/>
                  <o:lock v:ext="edit" aspectratio="f"/>
                </v:line>
                <v:line id="Line 58" o:spid="_x0000_s1026" o:spt="20" style="position:absolute;left:7161;top:6722;height:312;width:0;" filled="f" stroked="t" coordsize="21600,21600" o:gfxdata="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HduFfLsAAADc&#10;AAAADwAAAAAAAAABACAAAAAiAAAAZHJzL2Rvd25yZXYueG1sUEsBAhQAFAAAAAgAh07iQDMvBZ47&#10;AAAAOQAAABAAAAAAAAAAAQAgAAAACgEAAGRycy9zaGFwZXhtbC54bWxQSwUGAAAAAAYABgBbAQAA&#10;tAMAAAAA&#10;">
                  <v:fill on="f" focussize="0,0"/>
                  <v:stroke color="#000000" joinstyle="round"/>
                  <v:imagedata o:title=""/>
                  <o:lock v:ext="edit" aspectratio="f"/>
                </v:line>
                <v:line id="Line 59" o:spid="_x0000_s1026" o:spt="20" style="position:absolute;left:3486;top:7034;height:0;width:3675;" filled="f" stroked="t" coordsize="21600,21600" o:gfxdata="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7QkbC7sAAADc&#10;AAAADwAAAAAAAAABACAAAAAiAAAAZHJzL2Rvd25yZXYueG1sUEsBAhQAFAAAAAgAh07iQDMvBZ47&#10;AAAAOQAAABAAAAAAAAAAAQAgAAAACgEAAGRycy9zaGFwZXhtbC54bWxQSwUGAAAAAAYABgBbAQAA&#10;tAMAAAAA&#10;">
                  <v:fill on="f" focussize="0,0"/>
                  <v:stroke color="#000000" joinstyle="round"/>
                  <v:imagedata o:title=""/>
                  <o:lock v:ext="edit" aspectratio="f"/>
                </v:line>
                <v:line id="Line 60" o:spid="_x0000_s1026" o:spt="20" style="position:absolute;left:9996;top:4070;height:468;width:0;" filled="f" stroked="t" coordsize="21600,21600" o:gfxdata="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gxEjGLsAAADc&#10;AAAADwAAAAAAAAABACAAAAAiAAAAZHJzL2Rvd25yZXYueG1sUEsBAhQAFAAAAAgAh07iQDMvBZ47&#10;AAAAOQAAABAAAAAAAAAAAQAgAAAACgEAAGRycy9zaGFwZXhtbC54bWxQSwUGAAAAAAYABgBbAQAA&#10;tAMAAAAA&#10;">
                  <v:fill on="f" focussize="0,0"/>
                  <v:stroke color="#000000" joinstyle="round" endarrow="classic"/>
                  <v:imagedata o:title=""/>
                  <o:lock v:ext="edit" aspectratio="f"/>
                </v:line>
                <v:line id="Line 61" o:spid="_x0000_s1026" o:spt="20" style="position:absolute;left:9996;top:4850;height:468;width:0;" filled="f" stroked="t" coordsize="21600,21600" o:gfxdata="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DPi7bLsAAADc&#10;AAAADwAAAAAAAAABACAAAAAiAAAAZHJzL2Rvd25yZXYueG1sUEsBAhQAFAAAAAgAh07iQDMvBZ47&#10;AAAAOQAAABAAAAAAAAAAAQAgAAAACgEAAGRycy9zaGFwZXhtbC54bWxQSwUGAAAAAAYABgBbAQAA&#10;tAMAAAAA&#10;">
                  <v:fill on="f" focussize="0,0"/>
                  <v:stroke color="#000000" joinstyle="round" endarrow="classic"/>
                  <v:imagedata o:title=""/>
                  <o:lock v:ext="edit" aspectratio="f"/>
                </v:line>
                <v:line id="Line 62" o:spid="_x0000_s1026" o:spt="20" style="position:absolute;left:9996;top:5630;height:624;width:0;" filled="f" stroked="t" coordsize="21600,21600" o:gfxdata="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Y7Qe97sAAADc&#10;AAAADwAAAAAAAAABACAAAAAiAAAAZHJzL2Rvd25yZXYueG1sUEsBAhQAFAAAAAgAh07iQDMvBZ47&#10;AAAAOQAAABAAAAAAAAAAAQAgAAAACgEAAGRycy9zaGFwZXhtbC54bWxQSwUGAAAAAAYABgBbAQAA&#10;tAMAAAAA&#10;">
                  <v:fill on="f" focussize="0,0"/>
                  <v:stroke color="#000000" joinstyle="round" endarrow="classic"/>
                  <v:imagedata o:title=""/>
                  <o:lock v:ext="edit" aspectratio="f"/>
                </v:line>
                <v:line id="Line 63" o:spid="_x0000_s1026" o:spt="20" style="position:absolute;left:9996;top:6566;height:624;width:0;" filled="f" stroked="t" coordsize="21600,21600" o:gfxdata="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k2aAgLsAAADc&#10;AAAADwAAAAAAAAABACAAAAAiAAAAZHJzL2Rvd25yZXYueG1sUEsBAhQAFAAAAAgAh07iQDMvBZ47&#10;AAAAOQAAABAAAAAAAAAAAQAgAAAACgEAAGRycy9zaGFwZXhtbC54bWxQSwUGAAAAAAYABgBbAQAA&#10;tAMAAAAA&#10;">
                  <v:fill on="f" focussize="0,0"/>
                  <v:stroke color="#000000" joinstyle="round" endarrow="classic"/>
                  <v:imagedata o:title=""/>
                  <o:lock v:ext="edit" aspectratio="f"/>
                </v:line>
                <v:line id="Line 64" o:spid="_x0000_s1026" o:spt="20" style="position:absolute;left:9996;top:7502;height:468;width:0;" filled="f" stroked="t" coordsize="21600,21600" o:gfxdata="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ColG7sAAADc&#10;AAAADwAAAAAAAAABACAAAAAiAAAAZHJzL2Rvd25yZXYueG1sUEsBAhQAFAAAAAgAh07iQDMvBZ47&#10;AAAAOQAAABAAAAAAAAAAAQAgAAAACgEAAGRycy9zaGFwZXhtbC54bWxQSwUGAAAAAAYABgBbAQAA&#10;tAMAAAAA&#10;">
                  <v:fill on="f" focussize="0,0"/>
                  <v:stroke color="#000000" joinstyle="round" endarrow="classic"/>
                  <v:imagedata o:title=""/>
                  <o:lock v:ext="edit" aspectratio="f"/>
                </v:line>
                <w10:wrap type="none"/>
                <w10:anchorlock/>
              </v:group>
            </w:pict>
          </mc:Fallback>
        </mc:AlternateContent>
      </w:r>
    </w:p>
    <w:p>
      <w:pPr>
        <w:pStyle w:val="30"/>
      </w:pPr>
      <w:r>
        <w:rPr>
          <w:rFonts w:hint="eastAsia"/>
        </w:rPr>
        <w:t>图3.2  场地分区和土地利用研究分析技术路线示意图</w:t>
      </w:r>
    </w:p>
    <w:p>
      <w:pPr>
        <w:spacing w:line="360" w:lineRule="auto"/>
        <w:ind w:firstLine="420"/>
        <w:rPr>
          <w:rFonts w:ascii="宋体" w:hAnsi="宋体"/>
          <w:b/>
          <w:sz w:val="24"/>
          <w:szCs w:val="24"/>
        </w:rPr>
      </w:pPr>
      <w:bookmarkStart w:id="73" w:name="_Toc208584579"/>
      <w:r>
        <w:rPr>
          <w:rFonts w:hint="eastAsia" w:ascii="宋体" w:hAnsi="宋体"/>
          <w:b/>
          <w:sz w:val="24"/>
          <w:szCs w:val="24"/>
        </w:rPr>
        <w:t>4、城市基础设施（生命线系统）防灾保障规划</w:t>
      </w:r>
      <w:bookmarkEnd w:id="73"/>
    </w:p>
    <w:p>
      <w:pPr>
        <w:spacing w:line="360" w:lineRule="auto"/>
        <w:ind w:firstLine="420"/>
        <w:rPr>
          <w:rFonts w:ascii="宋体" w:hAnsi="宋体"/>
          <w:sz w:val="24"/>
          <w:szCs w:val="24"/>
        </w:rPr>
      </w:pPr>
      <w:r>
        <w:rPr>
          <w:rFonts w:hint="eastAsia" w:ascii="宋体" w:hAnsi="宋体"/>
          <w:b/>
          <w:sz w:val="24"/>
          <w:szCs w:val="24"/>
        </w:rPr>
        <w:t>编制要求：</w:t>
      </w:r>
      <w:r>
        <w:rPr>
          <w:rFonts w:hint="eastAsia" w:ascii="宋体" w:hAnsi="宋体"/>
          <w:sz w:val="24"/>
          <w:szCs w:val="24"/>
        </w:rPr>
        <w:t>生命线工程是城市的基础是维持城市生产生活正常运转的重要系统。做好生命线工程抗震防灾规划，提高其抗震能力是确保震后抢险救灾工作顺利进行及人民生命财产安全的关键。</w:t>
      </w:r>
    </w:p>
    <w:p>
      <w:pPr>
        <w:spacing w:line="360" w:lineRule="auto"/>
        <w:ind w:firstLine="420"/>
        <w:rPr>
          <w:rFonts w:ascii="宋体" w:hAnsi="宋体"/>
          <w:b/>
          <w:sz w:val="24"/>
          <w:szCs w:val="24"/>
        </w:rPr>
      </w:pPr>
      <w:r>
        <w:rPr>
          <w:rFonts w:hint="eastAsia" w:ascii="宋体" w:hAnsi="宋体"/>
          <w:b/>
          <w:sz w:val="24"/>
          <w:szCs w:val="24"/>
        </w:rPr>
        <w:t>主要研究内容：</w:t>
      </w:r>
    </w:p>
    <w:p>
      <w:pPr>
        <w:spacing w:line="360" w:lineRule="auto"/>
        <w:ind w:firstLine="420"/>
        <w:rPr>
          <w:rFonts w:ascii="宋体" w:hAnsi="宋体"/>
          <w:sz w:val="24"/>
          <w:szCs w:val="24"/>
        </w:rPr>
      </w:pPr>
      <w:r>
        <w:rPr>
          <w:rFonts w:hint="eastAsia" w:ascii="宋体" w:hAnsi="宋体"/>
          <w:sz w:val="24"/>
          <w:szCs w:val="24"/>
        </w:rPr>
        <w:t>规划区的基础设施包括：供电、供水、供气、供暖交通等市政工程系统以及通讯、医疗、消防、物资供应及保障等单位的主要建筑物。分析各种灾害对基础设施影响，研究基础设施防灾能力和规划重点。</w:t>
      </w:r>
    </w:p>
    <w:p>
      <w:pPr>
        <w:spacing w:line="360" w:lineRule="auto"/>
        <w:ind w:firstLine="420"/>
        <w:rPr>
          <w:rFonts w:ascii="宋体" w:hAnsi="宋体"/>
          <w:sz w:val="24"/>
          <w:szCs w:val="24"/>
        </w:rPr>
      </w:pPr>
      <w:r>
        <w:rPr>
          <w:rFonts w:hint="eastAsia" w:ascii="宋体" w:hAnsi="宋体"/>
          <w:sz w:val="24"/>
          <w:szCs w:val="24"/>
        </w:rPr>
        <w:t>（1）基础设施抗震防灾保障分析，研究防灾基础设施的空间布局、防灾要求及相关技术指标；</w:t>
      </w:r>
    </w:p>
    <w:p>
      <w:pPr>
        <w:spacing w:line="360" w:lineRule="auto"/>
        <w:ind w:firstLine="420"/>
        <w:rPr>
          <w:rFonts w:ascii="宋体" w:hAnsi="宋体"/>
          <w:sz w:val="24"/>
          <w:szCs w:val="24"/>
        </w:rPr>
      </w:pPr>
      <w:r>
        <w:rPr>
          <w:rFonts w:hint="eastAsia" w:ascii="宋体" w:hAnsi="宋体"/>
          <w:sz w:val="24"/>
          <w:szCs w:val="24"/>
        </w:rPr>
        <w:t>（2）基础设施诸系统的抗震能力分析评价，抗震防灾薄弱环节分析及防灾关键节点分析，各子系统内部设施防灾等级划分及防灾要求；</w:t>
      </w:r>
    </w:p>
    <w:p>
      <w:pPr>
        <w:spacing w:line="360" w:lineRule="auto"/>
        <w:ind w:firstLine="420"/>
        <w:rPr>
          <w:rFonts w:ascii="宋体" w:hAnsi="宋体"/>
          <w:sz w:val="24"/>
          <w:szCs w:val="24"/>
        </w:rPr>
      </w:pPr>
      <w:r>
        <w:rPr>
          <w:rFonts w:hint="eastAsia" w:ascii="宋体" w:hAnsi="宋体"/>
          <w:sz w:val="24"/>
          <w:szCs w:val="24"/>
        </w:rPr>
        <w:t>（3）对基础设施各系统针对不适宜用地中和因避震疏散与安置等城市抗震防灾工作所需的布局和建设提出抗震改造对策与建设要求；</w:t>
      </w:r>
    </w:p>
    <w:p>
      <w:pPr>
        <w:spacing w:line="360" w:lineRule="auto"/>
        <w:ind w:firstLine="420"/>
        <w:rPr>
          <w:rFonts w:ascii="宋体" w:hAnsi="宋体"/>
          <w:sz w:val="24"/>
          <w:szCs w:val="24"/>
        </w:rPr>
      </w:pPr>
      <w:r>
        <w:rPr>
          <w:rFonts w:hint="eastAsia" w:ascii="宋体" w:hAnsi="宋体"/>
          <w:sz w:val="24"/>
          <w:szCs w:val="24"/>
        </w:rPr>
        <w:t>（4）对于易引起次生灾害的城市燃气等基础设施提出地震次生灾害的防御对策与要求。</w:t>
      </w:r>
    </w:p>
    <w:p>
      <w:pPr>
        <w:pStyle w:val="32"/>
        <w:rPr>
          <w:sz w:val="24"/>
          <w:szCs w:val="24"/>
        </w:rPr>
      </w:pPr>
      <w:bookmarkStart w:id="74" w:name="_MON_1245955547"/>
      <w:bookmarkEnd w:id="74"/>
      <w:bookmarkStart w:id="75" w:name="_MON_1302891030"/>
      <w:bookmarkEnd w:id="75"/>
      <w:bookmarkStart w:id="76" w:name="_MON_1338029915"/>
      <w:bookmarkEnd w:id="76"/>
      <w:r>
        <w:rPr>
          <w:sz w:val="24"/>
          <w:szCs w:val="24"/>
        </w:rPr>
        <w:object>
          <v:shape id="_x0000_i1029" o:spt="75" type="#_x0000_t75" style="height:234.45pt;width:432.7pt;" o:ole="t" filled="f" o:preferrelative="t" stroked="f" coordsize="21600,21600">
            <v:path/>
            <v:fill on="f" focussize="0,0"/>
            <v:stroke on="f" joinstyle="miter"/>
            <v:imagedata r:id="rId25" o:title=""/>
            <o:lock v:ext="edit" aspectratio="t"/>
            <w10:wrap type="none"/>
            <w10:anchorlock/>
          </v:shape>
          <o:OLEObject Type="Embed" ProgID="Word.Picture.8" ShapeID="_x0000_i1029" DrawAspect="Content" ObjectID="_1468075729" r:id="rId24">
            <o:LockedField>false</o:LockedField>
          </o:OLEObject>
        </w:object>
      </w:r>
      <w:r>
        <w:rPr>
          <w:rFonts w:hint="eastAsia"/>
          <w:sz w:val="24"/>
          <w:szCs w:val="24"/>
        </w:rPr>
        <w:t>图3.3  基础设施（生命线）系统技术分析路线示意图</w:t>
      </w:r>
    </w:p>
    <w:p>
      <w:pPr>
        <w:spacing w:line="360" w:lineRule="auto"/>
        <w:ind w:firstLine="420"/>
        <w:rPr>
          <w:rFonts w:ascii="宋体" w:hAnsi="宋体"/>
          <w:b/>
          <w:sz w:val="24"/>
          <w:szCs w:val="24"/>
        </w:rPr>
      </w:pPr>
      <w:bookmarkStart w:id="77" w:name="_Toc208584580"/>
      <w:r>
        <w:rPr>
          <w:rFonts w:hint="eastAsia" w:ascii="宋体" w:hAnsi="宋体"/>
          <w:b/>
          <w:sz w:val="24"/>
          <w:szCs w:val="24"/>
        </w:rPr>
        <w:t>5、城区建筑防灾规划</w:t>
      </w:r>
      <w:bookmarkEnd w:id="77"/>
    </w:p>
    <w:p>
      <w:pPr>
        <w:spacing w:line="360" w:lineRule="auto"/>
        <w:ind w:firstLine="420"/>
        <w:rPr>
          <w:rFonts w:ascii="宋体" w:hAnsi="宋体"/>
          <w:b/>
          <w:sz w:val="24"/>
          <w:szCs w:val="24"/>
        </w:rPr>
      </w:pPr>
      <w:r>
        <w:rPr>
          <w:rFonts w:hint="eastAsia" w:ascii="宋体" w:hAnsi="宋体"/>
          <w:b/>
          <w:sz w:val="24"/>
          <w:szCs w:val="24"/>
        </w:rPr>
        <w:t>编制要求：</w:t>
      </w:r>
      <w:r>
        <w:rPr>
          <w:rFonts w:hint="eastAsia" w:ascii="宋体" w:hAnsi="宋体"/>
          <w:sz w:val="24"/>
          <w:szCs w:val="24"/>
        </w:rPr>
        <w:t>做好建筑工程抗震规划。分析现状工程建设概况，提出建筑工程抗震设防要求，提出现有建筑物抗震加固规划和新建建筑抗震设防规划。对国务院公布的历史文化名城内的历史文化街区、国家重点风景名胜区提出重点区域抗震规划要求。</w:t>
      </w:r>
    </w:p>
    <w:p>
      <w:pPr>
        <w:spacing w:line="360" w:lineRule="auto"/>
        <w:ind w:firstLine="420"/>
        <w:rPr>
          <w:rFonts w:ascii="宋体" w:hAnsi="宋体"/>
          <w:b/>
          <w:sz w:val="24"/>
          <w:szCs w:val="24"/>
        </w:rPr>
      </w:pPr>
      <w:r>
        <w:rPr>
          <w:rFonts w:hint="eastAsia" w:ascii="宋体" w:hAnsi="宋体"/>
          <w:b/>
          <w:sz w:val="24"/>
          <w:szCs w:val="24"/>
        </w:rPr>
        <w:t>主要研究内容：</w:t>
      </w:r>
    </w:p>
    <w:p>
      <w:pPr>
        <w:spacing w:line="360" w:lineRule="auto"/>
        <w:ind w:firstLine="420"/>
        <w:rPr>
          <w:rFonts w:ascii="宋体" w:hAnsi="宋体"/>
          <w:sz w:val="24"/>
          <w:szCs w:val="24"/>
        </w:rPr>
      </w:pPr>
      <w:r>
        <w:rPr>
          <w:rFonts w:hint="eastAsia" w:ascii="宋体" w:hAnsi="宋体"/>
          <w:sz w:val="24"/>
          <w:szCs w:val="24"/>
        </w:rPr>
        <w:t>按《建筑工程抗震设防分类标准》及震后应急救灾的需求等对城区建筑进行分类及抗震能力评价，划分建筑高密度区、高危险区，评价在设防水准和罕遇水准两种情况下的震害结果，并提出相关改造要求。对新建建筑提出防灾要求，对建筑布局提出规划要求。</w:t>
      </w:r>
    </w:p>
    <w:p>
      <w:pPr>
        <w:spacing w:line="360" w:lineRule="atLeast"/>
        <w:ind w:firstLine="480" w:firstLineChars="200"/>
        <w:rPr>
          <w:sz w:val="24"/>
          <w:szCs w:val="24"/>
        </w:rPr>
      </w:pPr>
      <w:r>
        <w:rPr>
          <w:sz w:val="24"/>
          <w:szCs w:val="24"/>
        </w:rPr>
        <mc:AlternateContent>
          <mc:Choice Requires="wpg">
            <w:drawing>
              <wp:inline distT="0" distB="0" distL="0" distR="0">
                <wp:extent cx="4088130" cy="3467100"/>
                <wp:effectExtent l="9525" t="13335" r="7620" b="5715"/>
                <wp:docPr id="71" name="组合 71"/>
                <wp:cNvGraphicFramePr/>
                <a:graphic xmlns:a="http://schemas.openxmlformats.org/drawingml/2006/main">
                  <a:graphicData uri="http://schemas.microsoft.com/office/word/2010/wordprocessingGroup">
                    <wpg:wgp>
                      <wpg:cNvGrpSpPr/>
                      <wpg:grpSpPr>
                        <a:xfrm>
                          <a:off x="0" y="0"/>
                          <a:ext cx="4088130" cy="3467100"/>
                          <a:chOff x="2718" y="2666"/>
                          <a:chExt cx="6438" cy="5460"/>
                        </a:xfrm>
                      </wpg:grpSpPr>
                      <wps:wsp>
                        <wps:cNvPr id="75" name="Text Box 10"/>
                        <wps:cNvSpPr txBox="1">
                          <a:spLocks noChangeArrowheads="1"/>
                        </wps:cNvSpPr>
                        <wps:spPr bwMode="auto">
                          <a:xfrm>
                            <a:off x="3276" y="2666"/>
                            <a:ext cx="4830" cy="468"/>
                          </a:xfrm>
                          <a:prstGeom prst="rect">
                            <a:avLst/>
                          </a:prstGeom>
                          <a:noFill/>
                          <a:ln w="9525">
                            <a:solidFill>
                              <a:srgbClr val="000000"/>
                            </a:solidFill>
                            <a:miter lim="800000"/>
                          </a:ln>
                        </wps:spPr>
                        <wps:txbx>
                          <w:txbxContent>
                            <w:p>
                              <w:pPr>
                                <w:jc w:val="center"/>
                              </w:pPr>
                              <w:r>
                                <w:rPr>
                                  <w:rFonts w:hint="eastAsia"/>
                                </w:rPr>
                                <w:t>划分建筑物的类型，确定调查工作分区</w:t>
                              </w:r>
                            </w:p>
                          </w:txbxContent>
                        </wps:txbx>
                        <wps:bodyPr rot="0" vert="horz" wrap="square" lIns="91440" tIns="45720" rIns="91440" bIns="45720" anchor="t" anchorCtr="0" upright="1">
                          <a:noAutofit/>
                        </wps:bodyPr>
                      </wps:wsp>
                      <wps:wsp>
                        <wps:cNvPr id="94" name="Text Box 11"/>
                        <wps:cNvSpPr txBox="1">
                          <a:spLocks noChangeArrowheads="1"/>
                        </wps:cNvSpPr>
                        <wps:spPr bwMode="auto">
                          <a:xfrm>
                            <a:off x="4221" y="3446"/>
                            <a:ext cx="2835" cy="468"/>
                          </a:xfrm>
                          <a:prstGeom prst="rect">
                            <a:avLst/>
                          </a:prstGeom>
                          <a:noFill/>
                          <a:ln w="9525">
                            <a:solidFill>
                              <a:srgbClr val="000000"/>
                            </a:solidFill>
                            <a:miter lim="800000"/>
                          </a:ln>
                        </wps:spPr>
                        <wps:txbx>
                          <w:txbxContent>
                            <w:p>
                              <w:pPr>
                                <w:jc w:val="center"/>
                              </w:pPr>
                              <w:r>
                                <w:rPr>
                                  <w:rFonts w:hint="eastAsia"/>
                                </w:rPr>
                                <w:t>资料收集、现场调查补充</w:t>
                              </w:r>
                            </w:p>
                          </w:txbxContent>
                        </wps:txbx>
                        <wps:bodyPr rot="0" vert="horz" wrap="square" lIns="91440" tIns="45720" rIns="91440" bIns="45720" anchor="t" anchorCtr="0" upright="1">
                          <a:noAutofit/>
                        </wps:bodyPr>
                      </wps:wsp>
                      <wps:wsp>
                        <wps:cNvPr id="95" name="Text Box 12"/>
                        <wps:cNvSpPr txBox="1">
                          <a:spLocks noChangeArrowheads="1"/>
                        </wps:cNvSpPr>
                        <wps:spPr bwMode="auto">
                          <a:xfrm>
                            <a:off x="3066" y="4382"/>
                            <a:ext cx="1575" cy="468"/>
                          </a:xfrm>
                          <a:prstGeom prst="rect">
                            <a:avLst/>
                          </a:prstGeom>
                          <a:noFill/>
                          <a:ln w="9525">
                            <a:solidFill>
                              <a:srgbClr val="000000"/>
                            </a:solidFill>
                            <a:miter lim="800000"/>
                          </a:ln>
                        </wps:spPr>
                        <wps:txbx>
                          <w:txbxContent>
                            <w:p>
                              <w:pPr>
                                <w:jc w:val="center"/>
                              </w:pPr>
                              <w:r>
                                <w:rPr>
                                  <w:rFonts w:hint="eastAsia"/>
                                </w:rPr>
                                <w:t>重要建筑</w:t>
                              </w:r>
                            </w:p>
                          </w:txbxContent>
                        </wps:txbx>
                        <wps:bodyPr rot="0" vert="horz" wrap="square" lIns="91440" tIns="45720" rIns="91440" bIns="45720" anchor="t" anchorCtr="0" upright="1">
                          <a:noAutofit/>
                        </wps:bodyPr>
                      </wps:wsp>
                      <wps:wsp>
                        <wps:cNvPr id="96" name="Text Box 13"/>
                        <wps:cNvSpPr txBox="1">
                          <a:spLocks noChangeArrowheads="1"/>
                        </wps:cNvSpPr>
                        <wps:spPr bwMode="auto">
                          <a:xfrm>
                            <a:off x="5658" y="4382"/>
                            <a:ext cx="2940" cy="468"/>
                          </a:xfrm>
                          <a:prstGeom prst="rect">
                            <a:avLst/>
                          </a:prstGeom>
                          <a:noFill/>
                          <a:ln w="9525">
                            <a:solidFill>
                              <a:srgbClr val="000000"/>
                            </a:solidFill>
                            <a:miter lim="800000"/>
                          </a:ln>
                        </wps:spPr>
                        <wps:txbx>
                          <w:txbxContent>
                            <w:p>
                              <w:pPr>
                                <w:jc w:val="center"/>
                              </w:pPr>
                              <w:r>
                                <w:rPr>
                                  <w:rFonts w:hint="eastAsia"/>
                                </w:rPr>
                                <w:t>一般建筑、当地薄弱建筑</w:t>
                              </w:r>
                            </w:p>
                          </w:txbxContent>
                        </wps:txbx>
                        <wps:bodyPr rot="0" vert="horz" wrap="square" lIns="91440" tIns="45720" rIns="91440" bIns="45720" anchor="t" anchorCtr="0" upright="1">
                          <a:noAutofit/>
                        </wps:bodyPr>
                      </wps:wsp>
                      <wps:wsp>
                        <wps:cNvPr id="97" name="Text Box 14"/>
                        <wps:cNvSpPr txBox="1">
                          <a:spLocks noChangeArrowheads="1"/>
                        </wps:cNvSpPr>
                        <wps:spPr bwMode="auto">
                          <a:xfrm>
                            <a:off x="2958" y="5305"/>
                            <a:ext cx="1890" cy="780"/>
                          </a:xfrm>
                          <a:prstGeom prst="rect">
                            <a:avLst/>
                          </a:prstGeom>
                          <a:noFill/>
                          <a:ln w="9525">
                            <a:solidFill>
                              <a:srgbClr val="000000"/>
                            </a:solidFill>
                            <a:miter lim="800000"/>
                          </a:ln>
                        </wps:spPr>
                        <wps:txbx>
                          <w:txbxContent>
                            <w:p>
                              <w:pPr>
                                <w:jc w:val="center"/>
                              </w:pPr>
                              <w:r>
                                <w:rPr>
                                  <w:rFonts w:hint="eastAsia"/>
                                </w:rPr>
                                <w:t>单体抗震性能评价、抗震防灾要求</w:t>
                              </w:r>
                            </w:p>
                          </w:txbxContent>
                        </wps:txbx>
                        <wps:bodyPr rot="0" vert="horz" wrap="square" lIns="91440" tIns="45720" rIns="91440" bIns="45720" anchor="t" anchorCtr="0" upright="1">
                          <a:noAutofit/>
                        </wps:bodyPr>
                      </wps:wsp>
                      <wps:wsp>
                        <wps:cNvPr id="98" name="Text Box 15"/>
                        <wps:cNvSpPr txBox="1">
                          <a:spLocks noChangeArrowheads="1"/>
                        </wps:cNvSpPr>
                        <wps:spPr bwMode="auto">
                          <a:xfrm>
                            <a:off x="7161" y="5318"/>
                            <a:ext cx="1995" cy="780"/>
                          </a:xfrm>
                          <a:prstGeom prst="rect">
                            <a:avLst/>
                          </a:prstGeom>
                          <a:noFill/>
                          <a:ln w="9525">
                            <a:solidFill>
                              <a:srgbClr val="000000"/>
                            </a:solidFill>
                            <a:miter lim="800000"/>
                          </a:ln>
                        </wps:spPr>
                        <wps:txbx>
                          <w:txbxContent>
                            <w:p>
                              <w:pPr>
                                <w:jc w:val="center"/>
                              </w:pPr>
                              <w:r>
                                <w:rPr>
                                  <w:rFonts w:hint="eastAsia"/>
                                </w:rPr>
                                <w:t>城区抗震性能评价、薄弱环节评价</w:t>
                              </w:r>
                            </w:p>
                            <w:p>
                              <w:pPr>
                                <w:jc w:val="center"/>
                              </w:pPr>
                            </w:p>
                          </w:txbxContent>
                        </wps:txbx>
                        <wps:bodyPr rot="0" vert="horz" wrap="square" lIns="91440" tIns="45720" rIns="91440" bIns="45720" anchor="t" anchorCtr="0" upright="1">
                          <a:noAutofit/>
                        </wps:bodyPr>
                      </wps:wsp>
                      <wps:wsp>
                        <wps:cNvPr id="99" name="Text Box 16"/>
                        <wps:cNvSpPr txBox="1">
                          <a:spLocks noChangeArrowheads="1"/>
                        </wps:cNvSpPr>
                        <wps:spPr bwMode="auto">
                          <a:xfrm>
                            <a:off x="5271" y="5474"/>
                            <a:ext cx="1575" cy="468"/>
                          </a:xfrm>
                          <a:prstGeom prst="rect">
                            <a:avLst/>
                          </a:prstGeom>
                          <a:noFill/>
                          <a:ln w="9525">
                            <a:solidFill>
                              <a:srgbClr val="000000"/>
                            </a:solidFill>
                            <a:miter lim="800000"/>
                          </a:ln>
                        </wps:spPr>
                        <wps:txbx>
                          <w:txbxContent>
                            <w:p>
                              <w:pPr>
                                <w:jc w:val="center"/>
                              </w:pPr>
                              <w:r>
                                <w:rPr>
                                  <w:rFonts w:hint="eastAsia"/>
                                </w:rPr>
                                <w:t>薄弱房屋评价</w:t>
                              </w:r>
                            </w:p>
                          </w:txbxContent>
                        </wps:txbx>
                        <wps:bodyPr rot="0" vert="horz" wrap="square" lIns="91440" tIns="45720" rIns="91440" bIns="45720" anchor="t" anchorCtr="0" upright="1">
                          <a:noAutofit/>
                        </wps:bodyPr>
                      </wps:wsp>
                      <wps:wsp>
                        <wps:cNvPr id="100" name="Text Box 17"/>
                        <wps:cNvSpPr txBox="1">
                          <a:spLocks noChangeArrowheads="1"/>
                        </wps:cNvSpPr>
                        <wps:spPr bwMode="auto">
                          <a:xfrm>
                            <a:off x="2718" y="6566"/>
                            <a:ext cx="2940" cy="468"/>
                          </a:xfrm>
                          <a:prstGeom prst="rect">
                            <a:avLst/>
                          </a:prstGeom>
                          <a:noFill/>
                          <a:ln w="9525">
                            <a:solidFill>
                              <a:srgbClr val="000000"/>
                            </a:solidFill>
                            <a:miter lim="800000"/>
                          </a:ln>
                        </wps:spPr>
                        <wps:txbx>
                          <w:txbxContent>
                            <w:p>
                              <w:pPr>
                                <w:jc w:val="center"/>
                              </w:pPr>
                              <w:r>
                                <w:rPr>
                                  <w:rFonts w:hint="eastAsia"/>
                                </w:rPr>
                                <w:t>抗震设防对策、抗震加固措施</w:t>
                              </w:r>
                            </w:p>
                          </w:txbxContent>
                        </wps:txbx>
                        <wps:bodyPr rot="0" vert="horz" wrap="square" lIns="91440" tIns="45720" rIns="91440" bIns="45720" anchor="t" anchorCtr="0" upright="1">
                          <a:noAutofit/>
                        </wps:bodyPr>
                      </wps:wsp>
                      <wps:wsp>
                        <wps:cNvPr id="101" name="Text Box 18"/>
                        <wps:cNvSpPr txBox="1">
                          <a:spLocks noChangeArrowheads="1"/>
                        </wps:cNvSpPr>
                        <wps:spPr bwMode="auto">
                          <a:xfrm>
                            <a:off x="6288" y="6566"/>
                            <a:ext cx="2730" cy="468"/>
                          </a:xfrm>
                          <a:prstGeom prst="rect">
                            <a:avLst/>
                          </a:prstGeom>
                          <a:noFill/>
                          <a:ln w="9525">
                            <a:solidFill>
                              <a:srgbClr val="000000"/>
                            </a:solidFill>
                            <a:miter lim="800000"/>
                          </a:ln>
                        </wps:spPr>
                        <wps:txbx>
                          <w:txbxContent>
                            <w:p>
                              <w:pPr>
                                <w:jc w:val="center"/>
                              </w:pPr>
                              <w:r>
                                <w:rPr>
                                  <w:rFonts w:hint="eastAsia"/>
                                </w:rPr>
                                <w:t>经济损失、人员伤亡预测</w:t>
                              </w:r>
                            </w:p>
                          </w:txbxContent>
                        </wps:txbx>
                        <wps:bodyPr rot="0" vert="horz" wrap="square" lIns="91440" tIns="45720" rIns="91440" bIns="45720" anchor="t" anchorCtr="0" upright="1">
                          <a:noAutofit/>
                        </wps:bodyPr>
                      </wps:wsp>
                      <wps:wsp>
                        <wps:cNvPr id="102" name="Text Box 19"/>
                        <wps:cNvSpPr txBox="1">
                          <a:spLocks noChangeArrowheads="1"/>
                        </wps:cNvSpPr>
                        <wps:spPr bwMode="auto">
                          <a:xfrm>
                            <a:off x="4503" y="7658"/>
                            <a:ext cx="3570" cy="468"/>
                          </a:xfrm>
                          <a:prstGeom prst="rect">
                            <a:avLst/>
                          </a:prstGeom>
                          <a:noFill/>
                          <a:ln w="9525">
                            <a:solidFill>
                              <a:srgbClr val="000000"/>
                            </a:solidFill>
                            <a:miter lim="800000"/>
                          </a:ln>
                        </wps:spPr>
                        <wps:txbx>
                          <w:txbxContent>
                            <w:p>
                              <w:pPr>
                                <w:jc w:val="center"/>
                              </w:pPr>
                              <w:r>
                                <w:rPr>
                                  <w:rFonts w:hint="eastAsia"/>
                                </w:rPr>
                                <w:t>城区建筑抗震防灾要求和对策</w:t>
                              </w:r>
                            </w:p>
                          </w:txbxContent>
                        </wps:txbx>
                        <wps:bodyPr rot="0" vert="horz" wrap="square" lIns="91440" tIns="45720" rIns="91440" bIns="45720" anchor="t" anchorCtr="0" upright="1">
                          <a:noAutofit/>
                        </wps:bodyPr>
                      </wps:wsp>
                      <wps:wsp>
                        <wps:cNvPr id="103" name="Line 20"/>
                        <wps:cNvCnPr>
                          <a:cxnSpLocks noChangeShapeType="1"/>
                        </wps:cNvCnPr>
                        <wps:spPr bwMode="auto">
                          <a:xfrm>
                            <a:off x="5691" y="3134"/>
                            <a:ext cx="0" cy="312"/>
                          </a:xfrm>
                          <a:prstGeom prst="line">
                            <a:avLst/>
                          </a:prstGeom>
                          <a:noFill/>
                          <a:ln w="9525">
                            <a:solidFill>
                              <a:srgbClr val="000000"/>
                            </a:solidFill>
                            <a:round/>
                            <a:tailEnd type="stealth" w="med" len="med"/>
                          </a:ln>
                        </wps:spPr>
                        <wps:bodyPr/>
                      </wps:wsp>
                      <wps:wsp>
                        <wps:cNvPr id="104" name="Line 21"/>
                        <wps:cNvCnPr>
                          <a:cxnSpLocks noChangeShapeType="1"/>
                        </wps:cNvCnPr>
                        <wps:spPr bwMode="auto">
                          <a:xfrm>
                            <a:off x="5691" y="3914"/>
                            <a:ext cx="0" cy="156"/>
                          </a:xfrm>
                          <a:prstGeom prst="line">
                            <a:avLst/>
                          </a:prstGeom>
                          <a:noFill/>
                          <a:ln w="9525">
                            <a:solidFill>
                              <a:srgbClr val="000000"/>
                            </a:solidFill>
                            <a:round/>
                          </a:ln>
                        </wps:spPr>
                        <wps:bodyPr/>
                      </wps:wsp>
                      <wps:wsp>
                        <wps:cNvPr id="105" name="Line 22"/>
                        <wps:cNvCnPr>
                          <a:cxnSpLocks noChangeShapeType="1"/>
                        </wps:cNvCnPr>
                        <wps:spPr bwMode="auto">
                          <a:xfrm>
                            <a:off x="3906" y="4070"/>
                            <a:ext cx="3360" cy="0"/>
                          </a:xfrm>
                          <a:prstGeom prst="line">
                            <a:avLst/>
                          </a:prstGeom>
                          <a:noFill/>
                          <a:ln w="9525">
                            <a:solidFill>
                              <a:srgbClr val="000000"/>
                            </a:solidFill>
                            <a:round/>
                          </a:ln>
                        </wps:spPr>
                        <wps:bodyPr/>
                      </wps:wsp>
                      <wps:wsp>
                        <wps:cNvPr id="106" name="Line 23"/>
                        <wps:cNvCnPr>
                          <a:cxnSpLocks noChangeShapeType="1"/>
                        </wps:cNvCnPr>
                        <wps:spPr bwMode="auto">
                          <a:xfrm>
                            <a:off x="3906" y="4070"/>
                            <a:ext cx="0" cy="312"/>
                          </a:xfrm>
                          <a:prstGeom prst="line">
                            <a:avLst/>
                          </a:prstGeom>
                          <a:noFill/>
                          <a:ln w="9525">
                            <a:solidFill>
                              <a:srgbClr val="000000"/>
                            </a:solidFill>
                            <a:round/>
                            <a:tailEnd type="stealth" w="med" len="med"/>
                          </a:ln>
                        </wps:spPr>
                        <wps:bodyPr/>
                      </wps:wsp>
                      <wps:wsp>
                        <wps:cNvPr id="107" name="Line 24"/>
                        <wps:cNvCnPr>
                          <a:cxnSpLocks noChangeShapeType="1"/>
                        </wps:cNvCnPr>
                        <wps:spPr bwMode="auto">
                          <a:xfrm>
                            <a:off x="7266" y="4070"/>
                            <a:ext cx="0" cy="312"/>
                          </a:xfrm>
                          <a:prstGeom prst="line">
                            <a:avLst/>
                          </a:prstGeom>
                          <a:noFill/>
                          <a:ln w="9525">
                            <a:solidFill>
                              <a:srgbClr val="000000"/>
                            </a:solidFill>
                            <a:round/>
                            <a:tailEnd type="stealth" w="med" len="med"/>
                          </a:ln>
                        </wps:spPr>
                        <wps:bodyPr/>
                      </wps:wsp>
                      <wps:wsp>
                        <wps:cNvPr id="108" name="Line 25"/>
                        <wps:cNvCnPr>
                          <a:cxnSpLocks noChangeShapeType="1"/>
                        </wps:cNvCnPr>
                        <wps:spPr bwMode="auto">
                          <a:xfrm>
                            <a:off x="3906" y="4850"/>
                            <a:ext cx="0" cy="468"/>
                          </a:xfrm>
                          <a:prstGeom prst="line">
                            <a:avLst/>
                          </a:prstGeom>
                          <a:noFill/>
                          <a:ln w="9525">
                            <a:solidFill>
                              <a:srgbClr val="000000"/>
                            </a:solidFill>
                            <a:round/>
                            <a:tailEnd type="stealth" w="med" len="med"/>
                          </a:ln>
                        </wps:spPr>
                        <wps:bodyPr/>
                      </wps:wsp>
                      <wps:wsp>
                        <wps:cNvPr id="109" name="Line 26"/>
                        <wps:cNvCnPr>
                          <a:cxnSpLocks noChangeShapeType="1"/>
                        </wps:cNvCnPr>
                        <wps:spPr bwMode="auto">
                          <a:xfrm flipH="1">
                            <a:off x="6216" y="4850"/>
                            <a:ext cx="525" cy="624"/>
                          </a:xfrm>
                          <a:prstGeom prst="line">
                            <a:avLst/>
                          </a:prstGeom>
                          <a:noFill/>
                          <a:ln w="9525">
                            <a:solidFill>
                              <a:srgbClr val="000000"/>
                            </a:solidFill>
                            <a:round/>
                            <a:tailEnd type="stealth" w="med" len="med"/>
                          </a:ln>
                        </wps:spPr>
                        <wps:bodyPr/>
                      </wps:wsp>
                      <wps:wsp>
                        <wps:cNvPr id="110" name="Line 27"/>
                        <wps:cNvCnPr>
                          <a:cxnSpLocks noChangeShapeType="1"/>
                        </wps:cNvCnPr>
                        <wps:spPr bwMode="auto">
                          <a:xfrm>
                            <a:off x="7791" y="4850"/>
                            <a:ext cx="0" cy="468"/>
                          </a:xfrm>
                          <a:prstGeom prst="line">
                            <a:avLst/>
                          </a:prstGeom>
                          <a:noFill/>
                          <a:ln w="9525">
                            <a:solidFill>
                              <a:srgbClr val="000000"/>
                            </a:solidFill>
                            <a:round/>
                            <a:tailEnd type="stealth" w="med" len="med"/>
                          </a:ln>
                        </wps:spPr>
                        <wps:bodyPr/>
                      </wps:wsp>
                      <wps:wsp>
                        <wps:cNvPr id="111" name="Line 28"/>
                        <wps:cNvCnPr>
                          <a:cxnSpLocks noChangeShapeType="1"/>
                        </wps:cNvCnPr>
                        <wps:spPr bwMode="auto">
                          <a:xfrm>
                            <a:off x="3906" y="6098"/>
                            <a:ext cx="0" cy="468"/>
                          </a:xfrm>
                          <a:prstGeom prst="line">
                            <a:avLst/>
                          </a:prstGeom>
                          <a:noFill/>
                          <a:ln w="9525">
                            <a:solidFill>
                              <a:srgbClr val="000000"/>
                            </a:solidFill>
                            <a:round/>
                            <a:tailEnd type="stealth" w="med" len="med"/>
                          </a:ln>
                        </wps:spPr>
                        <wps:bodyPr/>
                      </wps:wsp>
                      <wps:wsp>
                        <wps:cNvPr id="112" name="Line 29"/>
                        <wps:cNvCnPr>
                          <a:cxnSpLocks noChangeShapeType="1"/>
                        </wps:cNvCnPr>
                        <wps:spPr bwMode="auto">
                          <a:xfrm>
                            <a:off x="8001" y="6098"/>
                            <a:ext cx="0" cy="468"/>
                          </a:xfrm>
                          <a:prstGeom prst="line">
                            <a:avLst/>
                          </a:prstGeom>
                          <a:noFill/>
                          <a:ln w="9525">
                            <a:solidFill>
                              <a:srgbClr val="000000"/>
                            </a:solidFill>
                            <a:round/>
                            <a:tailEnd type="stealth" w="med" len="med"/>
                          </a:ln>
                        </wps:spPr>
                        <wps:bodyPr/>
                      </wps:wsp>
                      <wps:wsp>
                        <wps:cNvPr id="113" name="Line 30"/>
                        <wps:cNvCnPr>
                          <a:cxnSpLocks noChangeShapeType="1"/>
                        </wps:cNvCnPr>
                        <wps:spPr bwMode="auto">
                          <a:xfrm flipH="1">
                            <a:off x="5166" y="5942"/>
                            <a:ext cx="525" cy="624"/>
                          </a:xfrm>
                          <a:prstGeom prst="line">
                            <a:avLst/>
                          </a:prstGeom>
                          <a:noFill/>
                          <a:ln w="9525">
                            <a:solidFill>
                              <a:srgbClr val="000000"/>
                            </a:solidFill>
                            <a:round/>
                            <a:tailEnd type="stealth" w="med" len="med"/>
                          </a:ln>
                        </wps:spPr>
                        <wps:bodyPr/>
                      </wps:wsp>
                      <wps:wsp>
                        <wps:cNvPr id="114" name="Line 31"/>
                        <wps:cNvCnPr>
                          <a:cxnSpLocks noChangeShapeType="1"/>
                        </wps:cNvCnPr>
                        <wps:spPr bwMode="auto">
                          <a:xfrm>
                            <a:off x="6216" y="7190"/>
                            <a:ext cx="0" cy="468"/>
                          </a:xfrm>
                          <a:prstGeom prst="line">
                            <a:avLst/>
                          </a:prstGeom>
                          <a:noFill/>
                          <a:ln w="9525">
                            <a:solidFill>
                              <a:srgbClr val="000000"/>
                            </a:solidFill>
                            <a:round/>
                            <a:tailEnd type="stealth" w="med" len="med"/>
                          </a:ln>
                        </wps:spPr>
                        <wps:bodyPr/>
                      </wps:wsp>
                      <wps:wsp>
                        <wps:cNvPr id="115" name="Line 32"/>
                        <wps:cNvCnPr>
                          <a:cxnSpLocks noChangeShapeType="1"/>
                        </wps:cNvCnPr>
                        <wps:spPr bwMode="auto">
                          <a:xfrm>
                            <a:off x="4326" y="7034"/>
                            <a:ext cx="0" cy="156"/>
                          </a:xfrm>
                          <a:prstGeom prst="line">
                            <a:avLst/>
                          </a:prstGeom>
                          <a:noFill/>
                          <a:ln w="9525">
                            <a:solidFill>
                              <a:srgbClr val="000000"/>
                            </a:solidFill>
                            <a:round/>
                          </a:ln>
                        </wps:spPr>
                        <wps:bodyPr/>
                      </wps:wsp>
                      <wps:wsp>
                        <wps:cNvPr id="116" name="Line 33"/>
                        <wps:cNvCnPr>
                          <a:cxnSpLocks noChangeShapeType="1"/>
                        </wps:cNvCnPr>
                        <wps:spPr bwMode="auto">
                          <a:xfrm>
                            <a:off x="4326" y="7190"/>
                            <a:ext cx="3360" cy="0"/>
                          </a:xfrm>
                          <a:prstGeom prst="line">
                            <a:avLst/>
                          </a:prstGeom>
                          <a:noFill/>
                          <a:ln w="9525">
                            <a:solidFill>
                              <a:srgbClr val="000000"/>
                            </a:solidFill>
                            <a:round/>
                          </a:ln>
                        </wps:spPr>
                        <wps:bodyPr/>
                      </wps:wsp>
                      <wps:wsp>
                        <wps:cNvPr id="117" name="Line 34"/>
                        <wps:cNvCnPr>
                          <a:cxnSpLocks noChangeShapeType="1"/>
                        </wps:cNvCnPr>
                        <wps:spPr bwMode="auto">
                          <a:xfrm>
                            <a:off x="7686" y="7034"/>
                            <a:ext cx="0" cy="156"/>
                          </a:xfrm>
                          <a:prstGeom prst="line">
                            <a:avLst/>
                          </a:prstGeom>
                          <a:noFill/>
                          <a:ln w="9525">
                            <a:solidFill>
                              <a:srgbClr val="000000"/>
                            </a:solidFill>
                            <a:round/>
                          </a:ln>
                        </wps:spPr>
                        <wps:bodyPr/>
                      </wps:wsp>
                    </wpg:wgp>
                  </a:graphicData>
                </a:graphic>
              </wp:inline>
            </w:drawing>
          </mc:Choice>
          <mc:Fallback>
            <w:pict>
              <v:group id="_x0000_s1026" o:spid="_x0000_s1026" o:spt="203" style="height:273pt;width:321.9pt;" coordorigin="2718,2666" coordsize="6438,5460" o:gfxdata="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">
                <o:lock v:ext="edit" aspectratio="f"/>
                <v:shape id="Text Box 10" o:spid="_x0000_s1026" o:spt="202" type="#_x0000_t202" style="position:absolute;left:3276;top:2666;height:468;width:4830;" filled="f" stroked="t" coordsize="21600,21600" o:gfxdata="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2K+sNvQAA&#10;ANsAAAAPAAAAAAAAAAEAIAAAACIAAABkcnMvZG93bnJldi54bWxQSwECFAAUAAAACACHTuJAMy8F&#10;njsAAAA5AAAAEAAAAAAAAAABACAAAAAMAQAAZHJzL3NoYXBleG1sLnhtbFBLBQYAAAAABgAGAFsB&#10;AAC2AwAAAAA=&#10;">
                  <v:fill on="f" focussize="0,0"/>
                  <v:stroke color="#000000" miterlimit="8" joinstyle="miter"/>
                  <v:imagedata o:title=""/>
                  <o:lock v:ext="edit" aspectratio="f"/>
                  <v:textbox>
                    <w:txbxContent>
                      <w:p>
                        <w:pPr>
                          <w:jc w:val="center"/>
                        </w:pPr>
                        <w:r>
                          <w:rPr>
                            <w:rFonts w:hint="eastAsia"/>
                          </w:rPr>
                          <w:t>划分建筑物的类型，确定调查工作分区</w:t>
                        </w:r>
                      </w:p>
                    </w:txbxContent>
                  </v:textbox>
                </v:shape>
                <v:shape id="Text Box 11" o:spid="_x0000_s1026" o:spt="202" type="#_x0000_t202" style="position:absolute;left:4221;top:3446;height:468;width:2835;" filled="f" stroked="t" coordsize="21600,21600" o:gfxdata="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6WuobL4A&#10;AADbAAAADwAAAAAAAAABACAAAAAiAAAAZHJzL2Rvd25yZXYueG1sUEsBAhQAFAAAAAgAh07iQDMv&#10;BZ47AAAAOQAAABAAAAAAAAAAAQAgAAAADQEAAGRycy9zaGFwZXhtbC54bWxQSwUGAAAAAAYABgBb&#10;AQAAtwMAAAAA&#10;">
                  <v:fill on="f" focussize="0,0"/>
                  <v:stroke color="#000000" miterlimit="8" joinstyle="miter"/>
                  <v:imagedata o:title=""/>
                  <o:lock v:ext="edit" aspectratio="f"/>
                  <v:textbox>
                    <w:txbxContent>
                      <w:p>
                        <w:pPr>
                          <w:jc w:val="center"/>
                        </w:pPr>
                        <w:r>
                          <w:rPr>
                            <w:rFonts w:hint="eastAsia"/>
                          </w:rPr>
                          <w:t>资料收集、现场调查补充</w:t>
                        </w:r>
                      </w:p>
                    </w:txbxContent>
                  </v:textbox>
                </v:shape>
                <v:shape id="Text Box 12" o:spid="_x0000_s1026" o:spt="202" type="#_x0000_t202" style="position:absolute;left:3066;top:4382;height:468;width:1575;" filled="f" stroked="t" coordsize="21600,21600" o:gfxdata="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hicN974A&#10;AADbAAAADwAAAAAAAAABACAAAAAiAAAAZHJzL2Rvd25yZXYueG1sUEsBAhQAFAAAAAgAh07iQDMv&#10;BZ47AAAAOQAAABAAAAAAAAAAAQAgAAAADQEAAGRycy9zaGFwZXhtbC54bWxQSwUGAAAAAAYABgBb&#10;AQAAtwMAAAAA&#10;">
                  <v:fill on="f" focussize="0,0"/>
                  <v:stroke color="#000000" miterlimit="8" joinstyle="miter"/>
                  <v:imagedata o:title=""/>
                  <o:lock v:ext="edit" aspectratio="f"/>
                  <v:textbox>
                    <w:txbxContent>
                      <w:p>
                        <w:pPr>
                          <w:jc w:val="center"/>
                        </w:pPr>
                        <w:r>
                          <w:rPr>
                            <w:rFonts w:hint="eastAsia"/>
                          </w:rPr>
                          <w:t>重要建筑</w:t>
                        </w:r>
                      </w:p>
                    </w:txbxContent>
                  </v:textbox>
                </v:shape>
                <v:shape id="Text Box 13" o:spid="_x0000_s1026" o:spt="202" type="#_x0000_t202" style="position:absolute;left:5658;top:4382;height:468;width:2940;" filled="f" stroked="t" coordsize="21600,21600" o:gfxdata="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Hb1k4C8AAAA&#10;2wAAAA8AAAAAAAAAAQAgAAAAIgAAAGRycy9kb3ducmV2LnhtbFBLAQIUABQAAAAIAIdO4kAzLwWe&#10;OwAAADkAAAAQAAAAAAAAAAEAIAAAAAsBAABkcnMvc2hhcGV4bWwueG1sUEsFBgAAAAAGAAYAWwEA&#10;ALUDAAAAAA==&#10;">
                  <v:fill on="f" focussize="0,0"/>
                  <v:stroke color="#000000" miterlimit="8" joinstyle="miter"/>
                  <v:imagedata o:title=""/>
                  <o:lock v:ext="edit" aspectratio="f"/>
                  <v:textbox>
                    <w:txbxContent>
                      <w:p>
                        <w:pPr>
                          <w:jc w:val="center"/>
                        </w:pPr>
                        <w:r>
                          <w:rPr>
                            <w:rFonts w:hint="eastAsia"/>
                          </w:rPr>
                          <w:t>一般建筑、当地薄弱建筑</w:t>
                        </w:r>
                      </w:p>
                    </w:txbxContent>
                  </v:textbox>
                </v:shape>
                <v:shape id="Text Box 14" o:spid="_x0000_s1026" o:spt="202" type="#_x0000_t202" style="position:absolute;left:2958;top:5305;height:780;width:1890;" filled="f" stroked="t" coordsize="21600,21600" o:gfxdata="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Gbk2G74A&#10;AADbAAAADwAAAAAAAAABACAAAAAiAAAAZHJzL2Rvd25yZXYueG1sUEsBAhQAFAAAAAgAh07iQDMv&#10;BZ47AAAAOQAAABAAAAAAAAAAAQAgAAAADQEAAGRycy9zaGFwZXhtbC54bWxQSwUGAAAAAAYABgBb&#10;AQAAtwMAAAAA&#10;">
                  <v:fill on="f" focussize="0,0"/>
                  <v:stroke color="#000000" miterlimit="8" joinstyle="miter"/>
                  <v:imagedata o:title=""/>
                  <o:lock v:ext="edit" aspectratio="f"/>
                  <v:textbox>
                    <w:txbxContent>
                      <w:p>
                        <w:pPr>
                          <w:jc w:val="center"/>
                        </w:pPr>
                        <w:r>
                          <w:rPr>
                            <w:rFonts w:hint="eastAsia"/>
                          </w:rPr>
                          <w:t>单体抗震性能评价、抗震防灾要求</w:t>
                        </w:r>
                      </w:p>
                    </w:txbxContent>
                  </v:textbox>
                </v:shape>
                <v:shape id="Text Box 15" o:spid="_x0000_s1026" o:spt="202" type="#_x0000_t202" style="position:absolute;left:7161;top:5318;height:780;width:1995;" filled="f" stroked="t" coordsize="21600,21600" o:gfxdata="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oJqJpvQAA&#10;ANsAAAAPAAAAAAAAAAEAIAAAACIAAABkcnMvZG93bnJldi54bWxQSwECFAAUAAAACACHTuJAMy8F&#10;njsAAAA5AAAAEAAAAAAAAAABACAAAAAMAQAAZHJzL3NoYXBleG1sLnhtbFBLBQYAAAAABgAGAFsB&#10;AAC2AwAAAAA=&#10;">
                  <v:fill on="f" focussize="0,0"/>
                  <v:stroke color="#000000" miterlimit="8" joinstyle="miter"/>
                  <v:imagedata o:title=""/>
                  <o:lock v:ext="edit" aspectratio="f"/>
                  <v:textbox>
                    <w:txbxContent>
                      <w:p>
                        <w:pPr>
                          <w:jc w:val="center"/>
                        </w:pPr>
                        <w:r>
                          <w:rPr>
                            <w:rFonts w:hint="eastAsia"/>
                          </w:rPr>
                          <w:t>城区抗震性能评价、薄弱环节评价</w:t>
                        </w:r>
                      </w:p>
                      <w:p>
                        <w:pPr>
                          <w:jc w:val="center"/>
                        </w:pPr>
                      </w:p>
                    </w:txbxContent>
                  </v:textbox>
                </v:shape>
                <v:shape id="Text Box 16" o:spid="_x0000_s1026" o:spt="202" type="#_x0000_t202" style="position:absolute;left:5271;top:5474;height:468;width:1575;" filled="f" stroked="t" coordsize="21600,21600" o:gfxdata="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HagfyvQAA&#10;ANsAAAAPAAAAAAAAAAEAIAAAACIAAABkcnMvZG93bnJldi54bWxQSwECFAAUAAAACACHTuJAMy8F&#10;njsAAAA5AAAAEAAAAAAAAAABACAAAAAMAQAAZHJzL3NoYXBleG1sLnhtbFBLBQYAAAAABgAGAFsB&#10;AAC2AwAAAAA=&#10;">
                  <v:fill on="f" focussize="0,0"/>
                  <v:stroke color="#000000" miterlimit="8" joinstyle="miter"/>
                  <v:imagedata o:title=""/>
                  <o:lock v:ext="edit" aspectratio="f"/>
                  <v:textbox>
                    <w:txbxContent>
                      <w:p>
                        <w:pPr>
                          <w:jc w:val="center"/>
                        </w:pPr>
                        <w:r>
                          <w:rPr>
                            <w:rFonts w:hint="eastAsia"/>
                          </w:rPr>
                          <w:t>薄弱房屋评价</w:t>
                        </w:r>
                      </w:p>
                    </w:txbxContent>
                  </v:textbox>
                </v:shape>
                <v:shape id="Text Box 17" o:spid="_x0000_s1026" o:spt="202" type="#_x0000_t202" style="position:absolute;left:2718;top:6566;height:468;width:2940;" filled="f" stroked="t" coordsize="21600,21600" o:gfxdata="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pB5hqL4A&#10;AADcAAAADwAAAAAAAAABACAAAAAiAAAAZHJzL2Rvd25yZXYueG1sUEsBAhQAFAAAAAgAh07iQDMv&#10;BZ47AAAAOQAAABAAAAAAAAAAAQAgAAAADQEAAGRycy9zaGFwZXhtbC54bWxQSwUGAAAAAAYABgBb&#10;AQAAtwMAAAAA&#10;">
                  <v:fill on="f" focussize="0,0"/>
                  <v:stroke color="#000000" miterlimit="8" joinstyle="miter"/>
                  <v:imagedata o:title=""/>
                  <o:lock v:ext="edit" aspectratio="f"/>
                  <v:textbox>
                    <w:txbxContent>
                      <w:p>
                        <w:pPr>
                          <w:jc w:val="center"/>
                        </w:pPr>
                        <w:r>
                          <w:rPr>
                            <w:rFonts w:hint="eastAsia"/>
                          </w:rPr>
                          <w:t>抗震设防对策、抗震加固措施</w:t>
                        </w:r>
                      </w:p>
                    </w:txbxContent>
                  </v:textbox>
                </v:shape>
                <v:shape id="Text Box 18" o:spid="_x0000_s1026" o:spt="202" type="#_x0000_t202" style="position:absolute;left:6288;top:6566;height:468;width:2730;" filled="f" stroked="t" coordsize="21600,21600" o:gfxdata="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MtSxDO/&#10;AAAA3AAAAA8AAAAAAAAAAQAgAAAAIgAAAGRycy9kb3ducmV2LnhtbFBLAQIUABQAAAAIAIdO4kAz&#10;LwWeOwAAADkAAAAQAAAAAAAAAAEAIAAAAA4BAABkcnMvc2hhcGV4bWwueG1sUEsFBgAAAAAGAAYA&#10;WwEAALgDAAAAAA==&#10;">
                  <v:fill on="f" focussize="0,0"/>
                  <v:stroke color="#000000" miterlimit="8" joinstyle="miter"/>
                  <v:imagedata o:title=""/>
                  <o:lock v:ext="edit" aspectratio="f"/>
                  <v:textbox>
                    <w:txbxContent>
                      <w:p>
                        <w:pPr>
                          <w:jc w:val="center"/>
                        </w:pPr>
                        <w:r>
                          <w:rPr>
                            <w:rFonts w:hint="eastAsia"/>
                          </w:rPr>
                          <w:t>经济损失、人员伤亡预测</w:t>
                        </w:r>
                      </w:p>
                    </w:txbxContent>
                  </v:textbox>
                </v:shape>
                <v:shape id="Text Box 19" o:spid="_x0000_s1026" o:spt="202" type="#_x0000_t202" style="position:absolute;left:4503;top:7658;height:468;width:3570;" filled="f" stroked="t" coordsize="21600,21600" o:gfxdata="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DuAWkS/&#10;AAAA3AAAAA8AAAAAAAAAAQAgAAAAIgAAAGRycy9kb3ducmV2LnhtbFBLAQIUABQAAAAIAIdO4kAz&#10;LwWeOwAAADkAAAAQAAAAAAAAAAEAIAAAAA4BAABkcnMvc2hhcGV4bWwueG1sUEsFBgAAAAAGAAYA&#10;WwEAALgDAAAAAA==&#10;">
                  <v:fill on="f" focussize="0,0"/>
                  <v:stroke color="#000000" miterlimit="8" joinstyle="miter"/>
                  <v:imagedata o:title=""/>
                  <o:lock v:ext="edit" aspectratio="f"/>
                  <v:textbox>
                    <w:txbxContent>
                      <w:p>
                        <w:pPr>
                          <w:jc w:val="center"/>
                        </w:pPr>
                        <w:r>
                          <w:rPr>
                            <w:rFonts w:hint="eastAsia"/>
                          </w:rPr>
                          <w:t>城区建筑抗震防灾要求和对策</w:t>
                        </w:r>
                      </w:p>
                    </w:txbxContent>
                  </v:textbox>
                </v:shape>
                <v:line id="Line 20" o:spid="_x0000_s1026" o:spt="20" style="position:absolute;left:5691;top:3134;height:312;width:0;" filled="f" stroked="t" coordsize="21600,21600" o:gfxdata="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FXua2LsAAADc&#10;AAAADwAAAAAAAAABACAAAAAiAAAAZHJzL2Rvd25yZXYueG1sUEsBAhQAFAAAAAgAh07iQDMvBZ47&#10;AAAAOQAAABAAAAAAAAAAAQAgAAAACgEAAGRycy9zaGFwZXhtbC54bWxQSwUGAAAAAAYABgBbAQAA&#10;tAMAAAAA&#10;">
                  <v:fill on="f" focussize="0,0"/>
                  <v:stroke color="#000000" joinstyle="round" endarrow="classic"/>
                  <v:imagedata o:title=""/>
                  <o:lock v:ext="edit" aspectratio="f"/>
                </v:line>
                <v:line id="Line 21" o:spid="_x0000_s1026" o:spt="20" style="position:absolute;left:5691;top:3914;height:156;width:0;" filled="f" stroked="t" coordsize="21600,21600" o:gfxdata="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bxp8kugAAANwA&#10;AAAPAAAAAAAAAAEAIAAAACIAAABkcnMvZG93bnJldi54bWxQSwECFAAUAAAACACHTuJAMy8FnjsA&#10;AAA5AAAAEAAAAAAAAAABACAAAAAJAQAAZHJzL3NoYXBleG1sLnhtbFBLBQYAAAAABgAGAFsBAACz&#10;AwAAAAA=&#10;">
                  <v:fill on="f" focussize="0,0"/>
                  <v:stroke color="#000000" joinstyle="round"/>
                  <v:imagedata o:title=""/>
                  <o:lock v:ext="edit" aspectratio="f"/>
                </v:line>
                <v:line id="Line 22" o:spid="_x0000_s1026" o:spt="20" style="position:absolute;left:3906;top:4070;height:0;width:3360;" filled="f" stroked="t" coordsize="21600,21600" o:gfxdata="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0ijq/ugAAANwA&#10;AAAPAAAAAAAAAAEAIAAAACIAAABkcnMvZG93bnJldi54bWxQSwECFAAUAAAACACHTuJAMy8FnjsA&#10;AAA5AAAAEAAAAAAAAAABACAAAAAJAQAAZHJzL3NoYXBleG1sLnhtbFBLBQYAAAAABgAGAFsBAACz&#10;AwAAAAA=&#10;">
                  <v:fill on="f" focussize="0,0"/>
                  <v:stroke color="#000000" joinstyle="round"/>
                  <v:imagedata o:title=""/>
                  <o:lock v:ext="edit" aspectratio="f"/>
                </v:line>
                <v:line id="Line 23" o:spid="_x0000_s1026" o:spt="20" style="position:absolute;left:3906;top:4070;height:312;width:0;" filled="f" stroked="t" coordsize="21600,21600" o:gfxdata="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AUMOUC5AAAA3AAA&#10;AA8AAAAAAAAAAQAgAAAAIgAAAGRycy9kb3ducmV2LnhtbFBLAQIUABQAAAAIAIdO4kAzLwWeOwAA&#10;ADkAAAAQAAAAAAAAAAEAIAAAAAgBAABkcnMvc2hhcGV4bWwueG1sUEsFBgAAAAAGAAYAWwEAALID&#10;AAAAAA==&#10;">
                  <v:fill on="f" focussize="0,0"/>
                  <v:stroke color="#000000" joinstyle="round" endarrow="classic"/>
                  <v:imagedata o:title=""/>
                  <o:lock v:ext="edit" aspectratio="f"/>
                </v:line>
                <v:line id="Line 24" o:spid="_x0000_s1026" o:spt="20" style="position:absolute;left:7266;top:4070;height:312;width:0;" filled="f" stroked="t" coordsize="21600,21600" o:gfxdata="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akCc27sAAADc&#10;AAAADwAAAAAAAAABACAAAAAiAAAAZHJzL2Rvd25yZXYueG1sUEsBAhQAFAAAAAgAh07iQDMvBZ47&#10;AAAAOQAAABAAAAAAAAAAAQAgAAAACgEAAGRycy9zaGFwZXhtbC54bWxQSwUGAAAAAAYABgBbAQAA&#10;tAMAAAAA&#10;">
                  <v:fill on="f" focussize="0,0"/>
                  <v:stroke color="#000000" joinstyle="round" endarrow="classic"/>
                  <v:imagedata o:title=""/>
                  <o:lock v:ext="edit" aspectratio="f"/>
                </v:line>
                <v:line id="Line 25" o:spid="_x0000_s1026" o:spt="20" style="position:absolute;left:3906;top:4850;height:468;width:0;" filled="f" stroked="t" coordsize="21600,21600" o:gfxdata="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vfCKm8AAAA&#10;3AAAAA8AAAAAAAAAAQAgAAAAIgAAAGRycy9kb3ducmV2LnhtbFBLAQIUABQAAAAIAIdO4kAzLwWe&#10;OwAAADkAAAAQAAAAAAAAAAEAIAAAAAsBAABkcnMvc2hhcGV4bWwueG1sUEsFBgAAAAAGAAYAWwEA&#10;ALUDAAAAAA==&#10;">
                  <v:fill on="f" focussize="0,0"/>
                  <v:stroke color="#000000" joinstyle="round" endarrow="classic"/>
                  <v:imagedata o:title=""/>
                  <o:lock v:ext="edit" aspectratio="f"/>
                </v:line>
                <v:line id="Line 26" o:spid="_x0000_s1026" o:spt="20" style="position:absolute;left:6216;top:4850;flip:x;height:624;width:525;" filled="f" stroked="t" coordsize="21600,21600" o:gfxdata="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Z+l6evQAA&#10;ANwAAAAPAAAAAAAAAAEAIAAAACIAAABkcnMvZG93bnJldi54bWxQSwECFAAUAAAACACHTuJAMy8F&#10;njsAAAA5AAAAEAAAAAAAAAABACAAAAAMAQAAZHJzL3NoYXBleG1sLnhtbFBLBQYAAAAABgAGAFsB&#10;AAC2AwAAAAA=&#10;">
                  <v:fill on="f" focussize="0,0"/>
                  <v:stroke color="#000000" joinstyle="round" endarrow="classic"/>
                  <v:imagedata o:title=""/>
                  <o:lock v:ext="edit" aspectratio="f"/>
                </v:line>
                <v:line id="Line 27" o:spid="_x0000_s1026" o:spt="20" style="position:absolute;left:7791;top:4850;height:468;width:0;" filled="f" stroked="t" coordsize="21600,21600" o:gfxdata="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BwknK8AAAA&#10;3AAAAA8AAAAAAAAAAQAgAAAAIgAAAGRycy9kb3ducmV2LnhtbFBLAQIUABQAAAAIAIdO4kAzLwWe&#10;OwAAADkAAAAQAAAAAAAAAAEAIAAAAAsBAABkcnMvc2hhcGV4bWwueG1sUEsFBgAAAAAGAAYAWwEA&#10;ALUDAAAAAA==&#10;">
                  <v:fill on="f" focussize="0,0"/>
                  <v:stroke color="#000000" joinstyle="round" endarrow="classic"/>
                  <v:imagedata o:title=""/>
                  <o:lock v:ext="edit" aspectratio="f"/>
                </v:line>
                <v:line id="Line 28" o:spid="_x0000_s1026" o:spt="20" style="position:absolute;left:3906;top:6098;height:468;width:0;" filled="f" stroked="t" coordsize="21600,21600" o:gfxdata="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A88N+m5AAAA3AAA&#10;AA8AAAAAAAAAAQAgAAAAIgAAAGRycy9kb3ducmV2LnhtbFBLAQIUABQAAAAIAIdO4kAzLwWeOwAA&#10;ADkAAAAQAAAAAAAAAAEAIAAAAAgBAABkcnMvc2hhcGV4bWwueG1sUEsFBgAAAAAGAAYAWwEAALID&#10;AAAAAA==&#10;">
                  <v:fill on="f" focussize="0,0"/>
                  <v:stroke color="#000000" joinstyle="round" endarrow="classic"/>
                  <v:imagedata o:title=""/>
                  <o:lock v:ext="edit" aspectratio="f"/>
                </v:line>
                <v:line id="Line 29" o:spid="_x0000_s1026" o:spt="20" style="position:absolute;left:8001;top:6098;height:468;width:0;" filled="f" stroked="t" coordsize="21600,21600" o:gfxdata="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D/7qmetwAAANwAAAAP&#10;AAAAAAAAAAEAIAAAACIAAABkcnMvZG93bnJldi54bWxQSwECFAAUAAAACACHTuJAMy8FnjsAAAA5&#10;AAAAEAAAAAAAAAABACAAAAAGAQAAZHJzL3NoYXBleG1sLnhtbFBLBQYAAAAABgAGAFsBAACwAwAA&#10;AAA=&#10;">
                  <v:fill on="f" focussize="0,0"/>
                  <v:stroke color="#000000" joinstyle="round" endarrow="classic"/>
                  <v:imagedata o:title=""/>
                  <o:lock v:ext="edit" aspectratio="f"/>
                </v:line>
                <v:line id="Line 30" o:spid="_x0000_s1026" o:spt="20" style="position:absolute;left:5166;top:5942;flip:x;height:624;width:525;" filled="f" stroked="t" coordsize="21600,21600" o:gfxdata="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vcv/qbsAAADc&#10;AAAADwAAAAAAAAABACAAAAAiAAAAZHJzL2Rvd25yZXYueG1sUEsBAhQAFAAAAAgAh07iQDMvBZ47&#10;AAAAOQAAABAAAAAAAAAAAQAgAAAACgEAAGRycy9zaGFwZXhtbC54bWxQSwUGAAAAAAYABgBbAQAA&#10;tAMAAAAA&#10;">
                  <v:fill on="f" focussize="0,0"/>
                  <v:stroke color="#000000" joinstyle="round" endarrow="classic"/>
                  <v:imagedata o:title=""/>
                  <o:lock v:ext="edit" aspectratio="f"/>
                </v:line>
                <v:line id="Line 31" o:spid="_x0000_s1026" o:spt="20" style="position:absolute;left:6216;top:7190;height:468;width:0;" filled="f" stroked="t" coordsize="21600,21600" o:gfxdata="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H0uUcbgAAADcAAAA&#10;DwAAAAAAAAABACAAAAAiAAAAZHJzL2Rvd25yZXYueG1sUEsBAhQAFAAAAAgAh07iQDMvBZ47AAAA&#10;OQAAABAAAAAAAAAAAQAgAAAABwEAAGRycy9zaGFwZXhtbC54bWxQSwUGAAAAAAYABgBbAQAAsQMA&#10;AAAA&#10;">
                  <v:fill on="f" focussize="0,0"/>
                  <v:stroke color="#000000" joinstyle="round" endarrow="classic"/>
                  <v:imagedata o:title=""/>
                  <o:lock v:ext="edit" aspectratio="f"/>
                </v:line>
                <v:line id="Line 32" o:spid="_x0000_s1026" o:spt="20" style="position:absolute;left:4326;top:7034;height:156;width:0;" filled="f" stroked="t" coordsize="21600,21600" o:gfxdata="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cVOsYrsAAADc&#10;AAAADwAAAAAAAAABACAAAAAiAAAAZHJzL2Rvd25yZXYueG1sUEsBAhQAFAAAAAgAh07iQDMvBZ47&#10;AAAAOQAAABAAAAAAAAAAAQAgAAAACgEAAGRycy9zaGFwZXhtbC54bWxQSwUGAAAAAAYABgBbAQAA&#10;tAMAAAAA&#10;">
                  <v:fill on="f" focussize="0,0"/>
                  <v:stroke color="#000000" joinstyle="round"/>
                  <v:imagedata o:title=""/>
                  <o:lock v:ext="edit" aspectratio="f"/>
                </v:line>
                <v:line id="Line 33" o:spid="_x0000_s1026" o:spt="20" style="position:absolute;left:4326;top:7190;height:0;width:3360;" filled="f" stroked="t" coordsize="21600,21600" o:gfxdata="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GBMhW8AAAA&#10;3AAAAA8AAAAAAAAAAQAgAAAAIgAAAGRycy9kb3ducmV2LnhtbFBLAQIUABQAAAAIAIdO4kAzLwWe&#10;OwAAADkAAAAQAAAAAAAAAAEAIAAAAAsBAABkcnMvc2hhcGV4bWwueG1sUEsFBgAAAAAGAAYAWwEA&#10;ALUDAAAAAA==&#10;">
                  <v:fill on="f" focussize="0,0"/>
                  <v:stroke color="#000000" joinstyle="round"/>
                  <v:imagedata o:title=""/>
                  <o:lock v:ext="edit" aspectratio="f"/>
                </v:line>
                <v:line id="Line 34" o:spid="_x0000_s1026" o:spt="20" style="position:absolute;left:7686;top:7034;height:156;width:0;" filled="f" stroked="t" coordsize="21600,21600" o:gfxdata="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7s2XjrsAAADc&#10;AAAADwAAAAAAAAABACAAAAAiAAAAZHJzL2Rvd25yZXYueG1sUEsBAhQAFAAAAAgAh07iQDMvBZ47&#10;AAAAOQAAABAAAAAAAAAAAQAgAAAACgEAAGRycy9zaGFwZXhtbC54bWxQSwUGAAAAAAYABgBbAQAA&#10;tAMAAAAA&#10;">
                  <v:fill on="f" focussize="0,0"/>
                  <v:stroke color="#000000" joinstyle="round"/>
                  <v:imagedata o:title=""/>
                  <o:lock v:ext="edit" aspectratio="f"/>
                </v:line>
                <w10:wrap type="none"/>
                <w10:anchorlock/>
              </v:group>
            </w:pict>
          </mc:Fallback>
        </mc:AlternateContent>
      </w:r>
    </w:p>
    <w:p>
      <w:pPr>
        <w:pStyle w:val="30"/>
      </w:pPr>
      <w:r>
        <w:rPr>
          <w:rFonts w:hint="eastAsia"/>
        </w:rPr>
        <w:t>图3.4  城区建筑抗震性能评价技术路线示意图</w:t>
      </w:r>
    </w:p>
    <w:p>
      <w:pPr>
        <w:numPr>
          <w:ilvl w:val="0"/>
          <w:numId w:val="3"/>
        </w:numPr>
        <w:spacing w:line="360" w:lineRule="auto"/>
        <w:rPr>
          <w:rFonts w:ascii="宋体" w:hAnsi="宋体"/>
          <w:sz w:val="24"/>
          <w:szCs w:val="24"/>
        </w:rPr>
      </w:pPr>
      <w:r>
        <w:rPr>
          <w:rFonts w:hint="eastAsia" w:ascii="宋体" w:hAnsi="宋体"/>
          <w:sz w:val="24"/>
          <w:szCs w:val="24"/>
        </w:rPr>
        <w:t>城市重要建筑物抗震防灾评价</w:t>
      </w:r>
    </w:p>
    <w:p>
      <w:pPr>
        <w:spacing w:line="360" w:lineRule="auto"/>
        <w:ind w:firstLine="420"/>
        <w:rPr>
          <w:rFonts w:ascii="宋体" w:hAnsi="宋体"/>
          <w:sz w:val="24"/>
          <w:szCs w:val="24"/>
        </w:rPr>
      </w:pPr>
      <w:r>
        <w:rPr>
          <w:rFonts w:hint="eastAsia" w:ascii="宋体" w:hAnsi="宋体"/>
          <w:sz w:val="24"/>
          <w:szCs w:val="24"/>
        </w:rPr>
        <w:t>根据建筑的重要性及其在抗震防灾中的作用，对城市应急指挥中心、医疗急救中心、广播电视中心、政府机关、关键部门指挥系统等重要建筑进行单体抗震性能评估；</w:t>
      </w:r>
    </w:p>
    <w:p>
      <w:pPr>
        <w:spacing w:line="360" w:lineRule="auto"/>
        <w:ind w:firstLine="420"/>
        <w:rPr>
          <w:rFonts w:ascii="宋体" w:hAnsi="宋体"/>
          <w:sz w:val="24"/>
          <w:szCs w:val="24"/>
        </w:rPr>
      </w:pPr>
      <w:r>
        <w:rPr>
          <w:rFonts w:hint="eastAsia" w:ascii="宋体" w:hAnsi="宋体"/>
          <w:sz w:val="24"/>
          <w:szCs w:val="24"/>
        </w:rPr>
        <w:t>（2）城市现有建筑工程的抗震加固规划与加固改造对策</w:t>
      </w:r>
    </w:p>
    <w:p>
      <w:pPr>
        <w:spacing w:line="360" w:lineRule="auto"/>
        <w:ind w:firstLine="420"/>
        <w:rPr>
          <w:rFonts w:ascii="宋体" w:hAnsi="宋体"/>
          <w:sz w:val="24"/>
          <w:szCs w:val="24"/>
        </w:rPr>
      </w:pPr>
      <w:r>
        <w:rPr>
          <w:rFonts w:hint="eastAsia" w:ascii="宋体" w:hAnsi="宋体"/>
          <w:sz w:val="24"/>
          <w:szCs w:val="24"/>
        </w:rPr>
        <w:t>立足于对城市现有建筑工程的总体情况把握，重点对城市建筑抗震薄弱环节进行调查与研究。对许昌市来说，针对早期建造的未进行抗震设防的抗震性能差的房屋及城市中集中分布的老旧民房等抗震薄弱区进行分析，结合城市的发展需要，提出其抗震加固改造的范围、要求和措施，按照“一次规划、分期实施、突出重点、先急后缓，实事求是、自下而上”的原则，制定抗震加固实施计划或规划；</w:t>
      </w:r>
    </w:p>
    <w:p>
      <w:pPr>
        <w:spacing w:line="360" w:lineRule="auto"/>
        <w:ind w:firstLine="420"/>
        <w:rPr>
          <w:rFonts w:ascii="宋体" w:hAnsi="宋体"/>
          <w:sz w:val="24"/>
          <w:szCs w:val="24"/>
        </w:rPr>
      </w:pPr>
      <w:r>
        <w:rPr>
          <w:rFonts w:hint="eastAsia" w:ascii="宋体" w:hAnsi="宋体"/>
          <w:sz w:val="24"/>
          <w:szCs w:val="24"/>
        </w:rPr>
        <w:t>（3）新建房屋的抗震设防要求与对策</w:t>
      </w:r>
    </w:p>
    <w:p>
      <w:pPr>
        <w:spacing w:line="360" w:lineRule="auto"/>
        <w:ind w:firstLine="420"/>
        <w:rPr>
          <w:rFonts w:ascii="宋体" w:hAnsi="宋体"/>
          <w:sz w:val="24"/>
          <w:szCs w:val="24"/>
        </w:rPr>
      </w:pPr>
      <w:r>
        <w:rPr>
          <w:rFonts w:hint="eastAsia" w:ascii="宋体" w:hAnsi="宋体"/>
          <w:sz w:val="24"/>
          <w:szCs w:val="24"/>
        </w:rPr>
        <w:t>对于新建工程，按照不同层次提出抗震设防要求和提高抗震能力的具体措施，从土地利用成果和建筑物抗震要求结合的角度体现各类工程的不同特点。对于现行规范标准中没有涉及到的但可能影响未来城市抗震能力的因素，提出合理有效的工程措施和要求。针对城市各类建筑的特点和抗震薄弱环节，提出可行的技术措施，制定可操作的实施方案。</w:t>
      </w:r>
    </w:p>
    <w:p>
      <w:pPr>
        <w:spacing w:line="360" w:lineRule="auto"/>
        <w:ind w:firstLine="420"/>
        <w:rPr>
          <w:rFonts w:ascii="宋体" w:hAnsi="宋体"/>
          <w:b/>
          <w:sz w:val="24"/>
          <w:szCs w:val="24"/>
        </w:rPr>
      </w:pPr>
      <w:r>
        <w:rPr>
          <w:rFonts w:ascii="宋体" w:hAnsi="宋体"/>
          <w:b/>
          <w:sz w:val="24"/>
          <w:szCs w:val="24"/>
        </w:rPr>
        <w:t>6、</w:t>
      </w:r>
      <w:r>
        <w:rPr>
          <w:rFonts w:hint="eastAsia" w:ascii="宋体" w:hAnsi="宋体"/>
          <w:b/>
          <w:sz w:val="24"/>
          <w:szCs w:val="24"/>
        </w:rPr>
        <w:t>历史保护建筑、城市风貌保护区抗震保护</w:t>
      </w:r>
    </w:p>
    <w:p>
      <w:pPr>
        <w:spacing w:line="360" w:lineRule="auto"/>
        <w:ind w:firstLine="420"/>
        <w:rPr>
          <w:rFonts w:ascii="宋体" w:hAnsi="宋体"/>
          <w:b/>
          <w:sz w:val="24"/>
          <w:szCs w:val="24"/>
        </w:rPr>
      </w:pPr>
      <w:r>
        <w:rPr>
          <w:rFonts w:hint="eastAsia" w:ascii="宋体" w:hAnsi="宋体"/>
          <w:b/>
          <w:sz w:val="24"/>
          <w:szCs w:val="24"/>
        </w:rPr>
        <w:t>主要研究内容：</w:t>
      </w:r>
      <w:r>
        <w:rPr>
          <w:rFonts w:hint="eastAsia" w:ascii="宋体" w:hAnsi="宋体"/>
          <w:sz w:val="24"/>
          <w:szCs w:val="24"/>
        </w:rPr>
        <w:t>（1）各类保护区、各类保护建筑等抗震保护要求；（2）城市风貌保护区抗震技术要求。</w:t>
      </w:r>
    </w:p>
    <w:p>
      <w:pPr>
        <w:spacing w:line="360" w:lineRule="auto"/>
        <w:ind w:firstLine="420"/>
        <w:rPr>
          <w:rFonts w:ascii="宋体" w:hAnsi="宋体"/>
          <w:sz w:val="24"/>
          <w:szCs w:val="24"/>
        </w:rPr>
      </w:pPr>
      <w:r>
        <w:rPr>
          <w:rFonts w:hint="eastAsia" w:ascii="宋体" w:hAnsi="宋体"/>
          <w:sz w:val="24"/>
          <w:szCs w:val="24"/>
        </w:rPr>
        <w:t>针对许昌市历史文化名城，进行历史街区和文物建筑的抗震保护规划编制，研究制定许昌市历史文化名城抗震加固保护层次规划，为许昌市历史文化古城的保护、整治提供抗震防灾的技术框架。同时，对国家重点风景名胜区、重要人防工程、优秀近现代建筑及规划确定的其他重点区域提出城市重点区域抗震规划要求。</w:t>
      </w:r>
    </w:p>
    <w:p>
      <w:pPr>
        <w:spacing w:line="360" w:lineRule="auto"/>
        <w:ind w:firstLine="420"/>
        <w:rPr>
          <w:rFonts w:ascii="宋体" w:hAnsi="宋体"/>
          <w:b/>
          <w:sz w:val="24"/>
          <w:szCs w:val="24"/>
        </w:rPr>
      </w:pPr>
      <w:bookmarkStart w:id="78" w:name="_Toc208584581"/>
      <w:r>
        <w:rPr>
          <w:rFonts w:hint="eastAsia" w:ascii="宋体" w:hAnsi="宋体"/>
          <w:b/>
          <w:sz w:val="24"/>
          <w:szCs w:val="24"/>
        </w:rPr>
        <w:t>7、次生灾害防御规划</w:t>
      </w:r>
      <w:bookmarkEnd w:id="78"/>
    </w:p>
    <w:p>
      <w:pPr>
        <w:spacing w:line="360" w:lineRule="auto"/>
        <w:ind w:firstLine="420"/>
        <w:rPr>
          <w:rFonts w:ascii="宋体" w:hAnsi="宋体"/>
          <w:b/>
          <w:sz w:val="24"/>
          <w:szCs w:val="24"/>
        </w:rPr>
      </w:pPr>
      <w:r>
        <w:rPr>
          <w:rFonts w:hint="eastAsia" w:ascii="宋体" w:hAnsi="宋体"/>
          <w:b/>
          <w:sz w:val="24"/>
          <w:szCs w:val="24"/>
        </w:rPr>
        <w:t>主要研究内容：</w:t>
      </w:r>
    </w:p>
    <w:p>
      <w:pPr>
        <w:spacing w:line="360" w:lineRule="auto"/>
        <w:ind w:firstLine="420"/>
        <w:rPr>
          <w:rFonts w:ascii="宋体" w:hAnsi="宋体"/>
          <w:sz w:val="24"/>
          <w:szCs w:val="24"/>
        </w:rPr>
      </w:pPr>
      <w:r>
        <w:rPr>
          <w:rFonts w:hint="eastAsia" w:ascii="宋体" w:hAnsi="宋体"/>
          <w:sz w:val="24"/>
          <w:szCs w:val="24"/>
        </w:rPr>
        <w:t>分析规划区重要的次生灾害分布和种类，评估它们的危害影响，划定危险区。对次生灾害的重要源点，提出危重次生灾害源的防治、搬迁改造等要求，结合城市的发展控制和减少致灾因素；制定各类次生灾害防御的对策和措施。制定城市消防系统防灾规划要求。</w:t>
      </w:r>
    </w:p>
    <w:p>
      <w:pPr>
        <w:spacing w:line="360" w:lineRule="auto"/>
        <w:ind w:firstLine="420"/>
        <w:rPr>
          <w:rFonts w:ascii="宋体" w:hAnsi="宋体"/>
          <w:sz w:val="24"/>
          <w:szCs w:val="24"/>
        </w:rPr>
      </w:pPr>
      <w:r>
        <w:rPr>
          <w:rFonts w:hint="eastAsia" w:ascii="宋体" w:hAnsi="宋体"/>
          <w:sz w:val="24"/>
          <w:szCs w:val="24"/>
        </w:rPr>
        <w:t>针对许昌市的特点，在灾害源调查的基础上，主要考虑次生火灾、水灾、爆炸、核威胁等，对这些源点在发生地震灾害的情况下可能产生各种次生灾害的危险性进行评定。</w:t>
      </w:r>
    </w:p>
    <w:p>
      <w:pPr>
        <w:spacing w:line="360" w:lineRule="auto"/>
        <w:ind w:firstLine="420"/>
        <w:rPr>
          <w:rFonts w:ascii="宋体" w:hAnsi="宋体"/>
          <w:sz w:val="24"/>
          <w:szCs w:val="24"/>
        </w:rPr>
      </w:pPr>
      <w:r>
        <w:rPr>
          <w:rFonts w:hint="eastAsia" w:ascii="宋体" w:hAnsi="宋体"/>
          <w:sz w:val="24"/>
          <w:szCs w:val="24"/>
        </w:rPr>
        <w:t>（1）重大危险源点及消防系统中重要建筑及防灾关键节点分析，等级划分及防灾要求；</w:t>
      </w:r>
    </w:p>
    <w:p>
      <w:pPr>
        <w:spacing w:line="360" w:lineRule="auto"/>
        <w:ind w:firstLine="420"/>
        <w:rPr>
          <w:rFonts w:ascii="宋体" w:hAnsi="宋体"/>
          <w:sz w:val="24"/>
          <w:szCs w:val="24"/>
        </w:rPr>
      </w:pPr>
      <w:r>
        <w:rPr>
          <w:rFonts w:hint="eastAsia" w:ascii="宋体" w:hAnsi="宋体"/>
          <w:sz w:val="24"/>
          <w:szCs w:val="24"/>
        </w:rPr>
        <w:t>（2）次生灾害防御及消防系统防灾薄弱环节分析；</w:t>
      </w:r>
    </w:p>
    <w:p>
      <w:pPr>
        <w:spacing w:line="360" w:lineRule="auto"/>
        <w:ind w:firstLine="420"/>
        <w:rPr>
          <w:rFonts w:ascii="宋体" w:hAnsi="宋体"/>
          <w:sz w:val="24"/>
          <w:szCs w:val="24"/>
        </w:rPr>
      </w:pPr>
      <w:r>
        <w:rPr>
          <w:rFonts w:hint="eastAsia" w:ascii="宋体" w:hAnsi="宋体"/>
          <w:sz w:val="24"/>
          <w:szCs w:val="24"/>
        </w:rPr>
        <w:t>（3）消防系统防灾保障规划分析：进行城市防灾三级分区中的消防规划分析，研究相应消防等级、消防重点、消防通道、消防设施配置技术指标和地震下的保障要求。</w:t>
      </w:r>
    </w:p>
    <w:p>
      <w:pPr>
        <w:spacing w:line="360" w:lineRule="auto"/>
        <w:ind w:firstLine="420"/>
        <w:rPr>
          <w:rFonts w:ascii="宋体" w:hAnsi="宋体"/>
          <w:sz w:val="24"/>
          <w:szCs w:val="24"/>
        </w:rPr>
      </w:pPr>
      <w:r>
        <w:rPr>
          <w:rFonts w:hint="eastAsia" w:ascii="宋体" w:hAnsi="宋体"/>
          <w:sz w:val="24"/>
          <w:szCs w:val="24"/>
        </w:rPr>
        <w:t>（4）对防洪工程的抗震要求及地震次生水灾防御措施和对策。</w:t>
      </w:r>
    </w:p>
    <w:p>
      <w:pPr>
        <w:pStyle w:val="32"/>
        <w:rPr>
          <w:sz w:val="24"/>
          <w:szCs w:val="24"/>
        </w:rPr>
      </w:pPr>
      <w:bookmarkStart w:id="79" w:name="_MON_1335614263"/>
      <w:bookmarkEnd w:id="79"/>
      <w:bookmarkStart w:id="80" w:name="_MON_1335614245"/>
      <w:bookmarkEnd w:id="80"/>
      <w:bookmarkStart w:id="81" w:name="_MON_1335614307"/>
      <w:bookmarkEnd w:id="81"/>
      <w:bookmarkStart w:id="82" w:name="_MON_1335614385"/>
      <w:bookmarkEnd w:id="82"/>
      <w:bookmarkStart w:id="83" w:name="_MON_1335614416"/>
      <w:bookmarkEnd w:id="83"/>
      <w:bookmarkStart w:id="84" w:name="_MON_1335614335"/>
      <w:bookmarkEnd w:id="84"/>
      <w:bookmarkStart w:id="85" w:name="_MON_1335614420"/>
      <w:bookmarkEnd w:id="85"/>
      <w:bookmarkStart w:id="86" w:name="_MON_1363777940"/>
      <w:bookmarkEnd w:id="86"/>
      <w:bookmarkStart w:id="87" w:name="_MON_1335614299"/>
      <w:bookmarkEnd w:id="87"/>
      <w:bookmarkStart w:id="88" w:name="_MON_1335613876"/>
      <w:bookmarkEnd w:id="88"/>
      <w:bookmarkStart w:id="89" w:name="_MON_1196837351"/>
      <w:bookmarkEnd w:id="89"/>
      <w:bookmarkStart w:id="90" w:name="_MON_1196837312"/>
      <w:bookmarkEnd w:id="90"/>
      <w:bookmarkStart w:id="91" w:name="_MON_1196838270"/>
      <w:bookmarkEnd w:id="91"/>
      <w:bookmarkStart w:id="92" w:name="_MON_1204433200"/>
      <w:bookmarkEnd w:id="92"/>
      <w:bookmarkStart w:id="93" w:name="_MON_1335614200"/>
      <w:bookmarkEnd w:id="93"/>
      <w:r>
        <w:rPr>
          <w:sz w:val="24"/>
          <w:szCs w:val="24"/>
        </w:rPr>
        <w:object>
          <v:shape id="_x0000_i1030" o:spt="75" type="#_x0000_t75" style="height:387.6pt;width:469.05pt;" o:ole="t" filled="f" o:preferrelative="t" stroked="f" coordsize="21600,21600">
            <v:path/>
            <v:fill on="f" focussize="0,0"/>
            <v:stroke on="f" joinstyle="miter"/>
            <v:imagedata r:id="rId27" o:title=""/>
            <o:lock v:ext="edit" aspectratio="t"/>
            <w10:wrap type="none"/>
            <w10:anchorlock/>
          </v:shape>
          <o:OLEObject Type="Embed" ProgID="Word.Picture.8" ShapeID="_x0000_i1030" DrawAspect="Content" ObjectID="_1468075730" r:id="rId26">
            <o:LockedField>false</o:LockedField>
          </o:OLEObject>
        </w:object>
      </w:r>
      <w:r>
        <w:rPr>
          <w:rFonts w:hint="eastAsia"/>
          <w:sz w:val="24"/>
          <w:szCs w:val="24"/>
        </w:rPr>
        <w:t>图3.5  次生灾害抗震防灾评价示意图</w:t>
      </w:r>
    </w:p>
    <w:p>
      <w:pPr>
        <w:spacing w:line="360" w:lineRule="auto"/>
        <w:ind w:firstLine="420"/>
        <w:rPr>
          <w:rFonts w:ascii="宋体" w:hAnsi="宋体"/>
          <w:b/>
          <w:sz w:val="24"/>
          <w:szCs w:val="24"/>
        </w:rPr>
      </w:pPr>
      <w:bookmarkStart w:id="94" w:name="_Toc208584582"/>
      <w:r>
        <w:rPr>
          <w:rFonts w:ascii="宋体" w:hAnsi="宋体"/>
          <w:b/>
          <w:sz w:val="24"/>
          <w:szCs w:val="24"/>
        </w:rPr>
        <w:t>8</w:t>
      </w:r>
      <w:r>
        <w:rPr>
          <w:rFonts w:hint="eastAsia" w:ascii="宋体" w:hAnsi="宋体"/>
          <w:b/>
          <w:sz w:val="24"/>
          <w:szCs w:val="24"/>
        </w:rPr>
        <w:t>、避震疏散规划</w:t>
      </w:r>
      <w:bookmarkEnd w:id="94"/>
    </w:p>
    <w:p>
      <w:pPr>
        <w:spacing w:line="360" w:lineRule="auto"/>
        <w:ind w:firstLine="420"/>
        <w:rPr>
          <w:rFonts w:ascii="宋体" w:hAnsi="宋体"/>
          <w:sz w:val="24"/>
          <w:szCs w:val="24"/>
        </w:rPr>
      </w:pPr>
      <w:r>
        <w:rPr>
          <w:rFonts w:hint="eastAsia" w:ascii="宋体" w:hAnsi="宋体"/>
          <w:b/>
          <w:sz w:val="24"/>
          <w:szCs w:val="24"/>
        </w:rPr>
        <w:t>编制要求：</w:t>
      </w:r>
      <w:r>
        <w:rPr>
          <w:rFonts w:hint="eastAsia" w:ascii="宋体" w:hAnsi="宋体"/>
          <w:sz w:val="24"/>
          <w:szCs w:val="24"/>
        </w:rPr>
        <w:t>充分利用已有的编制成果，在此基础上进行补充与优化，主要对避震疏散人口及分布进行分析，确定避震疏散场地、道路及标示。</w:t>
      </w:r>
    </w:p>
    <w:p>
      <w:pPr>
        <w:spacing w:line="360" w:lineRule="auto"/>
        <w:ind w:firstLine="420"/>
        <w:rPr>
          <w:rFonts w:ascii="宋体" w:hAnsi="宋体"/>
          <w:b/>
          <w:sz w:val="24"/>
          <w:szCs w:val="24"/>
        </w:rPr>
      </w:pPr>
      <w:r>
        <w:rPr>
          <w:rFonts w:hint="eastAsia" w:ascii="宋体" w:hAnsi="宋体"/>
          <w:b/>
          <w:sz w:val="24"/>
          <w:szCs w:val="24"/>
        </w:rPr>
        <w:t>主要研究内容：</w:t>
      </w:r>
    </w:p>
    <w:p>
      <w:pPr>
        <w:spacing w:line="360" w:lineRule="auto"/>
        <w:ind w:firstLine="420"/>
        <w:rPr>
          <w:rFonts w:ascii="宋体" w:hAnsi="宋体"/>
          <w:sz w:val="24"/>
          <w:szCs w:val="24"/>
        </w:rPr>
      </w:pPr>
      <w:r>
        <w:rPr>
          <w:rFonts w:hint="eastAsia" w:ascii="宋体" w:hAnsi="宋体"/>
          <w:sz w:val="24"/>
          <w:szCs w:val="24"/>
        </w:rPr>
        <w:t>计算可能受灾人员的数量、避灾疏散人口数量及在城区分布情况，调查和分析可利用场所。规划避震疏散场所（紧急、固定、中心避震疏散场所，防灾据点）与避震疏散道路，提出规划要求。避震疏散规划是减少人员伤亡的有效手段。主要将研究避震疏散的管理对策、避震疏散的人员和场地规划等。包括市、区、街道各级的避震通道、防灾据点和避震疏散场地，人员分布、疏散道路及疏散场地规划，防灾据点的建设（结合新建工程和抗震加固规划统筹安排）、标识等。其中疏散场地的建设与维护要指定相关的责任单位，由相应的产权单位进行维护。提供相应的规划设计图。疏散场地的规划应与城市绿地系统、人防工程系统相结合。</w:t>
      </w:r>
    </w:p>
    <w:p>
      <w:pPr>
        <w:spacing w:line="360" w:lineRule="auto"/>
        <w:ind w:firstLine="420"/>
        <w:rPr>
          <w:rFonts w:ascii="宋体" w:hAnsi="宋体"/>
          <w:sz w:val="24"/>
          <w:szCs w:val="24"/>
        </w:rPr>
      </w:pPr>
      <w:r>
        <w:rPr>
          <w:rFonts w:hint="eastAsia" w:ascii="宋体" w:hAnsi="宋体"/>
          <w:sz w:val="24"/>
          <w:szCs w:val="24"/>
        </w:rPr>
        <w:t>对防灾据点将进行抗灾可靠性分析，保证疏散据点的安全性。</w:t>
      </w:r>
    </w:p>
    <w:p>
      <w:pPr>
        <w:spacing w:line="360" w:lineRule="auto"/>
        <w:ind w:firstLine="420"/>
        <w:rPr>
          <w:rFonts w:ascii="宋体" w:hAnsi="宋体"/>
          <w:sz w:val="24"/>
          <w:szCs w:val="24"/>
        </w:rPr>
      </w:pPr>
      <w:r>
        <w:rPr>
          <w:rFonts w:hint="eastAsia" w:ascii="宋体" w:hAnsi="宋体"/>
          <w:sz w:val="24"/>
          <w:szCs w:val="24"/>
        </w:rPr>
        <w:t>主要要点为：</w:t>
      </w:r>
    </w:p>
    <w:p>
      <w:pPr>
        <w:spacing w:line="360" w:lineRule="auto"/>
        <w:ind w:firstLine="420"/>
        <w:rPr>
          <w:rFonts w:ascii="宋体" w:hAnsi="宋体"/>
          <w:sz w:val="24"/>
          <w:szCs w:val="24"/>
        </w:rPr>
      </w:pPr>
      <w:r>
        <w:rPr>
          <w:rFonts w:hint="eastAsia" w:ascii="宋体" w:hAnsi="宋体"/>
          <w:sz w:val="24"/>
          <w:szCs w:val="24"/>
        </w:rPr>
        <w:t>（1）需避震疏散人口数量评价，根据城区建筑抗震易损性评价结果，结合市民的昼夜活动规律和人口构成等影响因素，确定需要避震疏散的人数；</w:t>
      </w:r>
    </w:p>
    <w:p>
      <w:pPr>
        <w:spacing w:line="360" w:lineRule="auto"/>
        <w:ind w:firstLine="420"/>
        <w:rPr>
          <w:rFonts w:ascii="宋体" w:hAnsi="宋体"/>
          <w:sz w:val="24"/>
          <w:szCs w:val="24"/>
        </w:rPr>
      </w:pPr>
      <w:r>
        <w:rPr>
          <w:rFonts w:hint="eastAsia" w:ascii="宋体" w:hAnsi="宋体"/>
          <w:sz w:val="24"/>
          <w:szCs w:val="24"/>
        </w:rPr>
        <w:t>（2）需避震疏散场所面积及其分布分析，根据需要避震疏散人口的评价结果，按照《城市抗震防灾规划标准》对避震人员平均有效避难面积的要求，确定避震疏散场所的面积；根据城市人口在城市中的分布情况，结合需避震疏散人口的数量评价结果确定疏散场所的分布；</w:t>
      </w:r>
    </w:p>
    <w:p>
      <w:pPr>
        <w:spacing w:line="360" w:lineRule="auto"/>
        <w:ind w:firstLine="420"/>
        <w:rPr>
          <w:rFonts w:ascii="宋体" w:hAnsi="宋体"/>
          <w:sz w:val="24"/>
          <w:szCs w:val="24"/>
        </w:rPr>
      </w:pPr>
      <w:r>
        <w:rPr>
          <w:rFonts w:hint="eastAsia" w:ascii="宋体" w:hAnsi="宋体"/>
          <w:sz w:val="24"/>
          <w:szCs w:val="24"/>
        </w:rPr>
        <w:t>（3）避震疏散规划，包括避震场地的现状和规划安排，疏散道路的现状和规划安排等；</w:t>
      </w:r>
    </w:p>
    <w:p>
      <w:pPr>
        <w:spacing w:line="360" w:lineRule="auto"/>
        <w:ind w:firstLine="420"/>
        <w:rPr>
          <w:rFonts w:ascii="宋体" w:hAnsi="宋体"/>
          <w:sz w:val="24"/>
          <w:szCs w:val="24"/>
        </w:rPr>
      </w:pPr>
      <w:r>
        <w:rPr>
          <w:rFonts w:hint="eastAsia" w:ascii="宋体" w:hAnsi="宋体"/>
          <w:sz w:val="24"/>
          <w:szCs w:val="24"/>
        </w:rPr>
        <w:t>（4）避震疏散方案的研究和对策，当城市遭受不同程度的地震影响时，根据抗震空间布局的划分，提出疏散具体路线、疏散场所和管理区域等对策；</w:t>
      </w:r>
    </w:p>
    <w:p>
      <w:pPr>
        <w:spacing w:line="360" w:lineRule="auto"/>
        <w:ind w:firstLine="420"/>
        <w:rPr>
          <w:rFonts w:ascii="宋体" w:hAnsi="宋体"/>
          <w:sz w:val="24"/>
          <w:szCs w:val="24"/>
        </w:rPr>
      </w:pPr>
      <w:r>
        <w:rPr>
          <w:rFonts w:hint="eastAsia" w:ascii="宋体" w:hAnsi="宋体"/>
          <w:sz w:val="24"/>
          <w:szCs w:val="24"/>
        </w:rPr>
        <w:t>（5）结合许昌市未来发展和避震的基本要求，规划修建一定数量的防灾据点，防灾据点的建设要提高设防标准并采用新的防灾技术，可考虑与新建工程和抗震加固改造规划以及人防工程的建设结合起来，统筹安排；</w:t>
      </w:r>
    </w:p>
    <w:p>
      <w:pPr>
        <w:spacing w:line="360" w:lineRule="auto"/>
        <w:ind w:firstLine="420"/>
        <w:rPr>
          <w:rFonts w:ascii="宋体" w:hAnsi="宋体"/>
          <w:sz w:val="24"/>
          <w:szCs w:val="24"/>
        </w:rPr>
      </w:pPr>
      <w:r>
        <w:rPr>
          <w:rFonts w:hint="eastAsia" w:ascii="宋体" w:hAnsi="宋体"/>
          <w:sz w:val="24"/>
          <w:szCs w:val="24"/>
        </w:rPr>
        <w:t>（6）研究避震疏散系统的规划建设与维护管理对策。</w:t>
      </w:r>
    </w:p>
    <w:bookmarkEnd w:id="62"/>
    <w:bookmarkEnd w:id="63"/>
    <w:bookmarkEnd w:id="64"/>
    <w:bookmarkEnd w:id="65"/>
    <w:bookmarkEnd w:id="66"/>
    <w:bookmarkEnd w:id="67"/>
    <w:bookmarkEnd w:id="68"/>
    <w:bookmarkEnd w:id="69"/>
    <w:bookmarkEnd w:id="70"/>
    <w:bookmarkEnd w:id="71"/>
    <w:bookmarkEnd w:id="72"/>
    <w:p>
      <w:pPr>
        <w:spacing w:line="360" w:lineRule="auto"/>
        <w:ind w:firstLine="420"/>
        <w:rPr>
          <w:rFonts w:ascii="宋体" w:hAnsi="宋体"/>
          <w:b/>
          <w:sz w:val="24"/>
          <w:szCs w:val="24"/>
        </w:rPr>
      </w:pPr>
      <w:bookmarkStart w:id="95" w:name="_Toc208584583"/>
      <w:r>
        <w:rPr>
          <w:rFonts w:ascii="宋体" w:hAnsi="宋体"/>
          <w:b/>
          <w:sz w:val="24"/>
          <w:szCs w:val="24"/>
        </w:rPr>
        <w:t>9</w:t>
      </w:r>
      <w:r>
        <w:rPr>
          <w:rFonts w:hint="eastAsia" w:ascii="宋体" w:hAnsi="宋体"/>
          <w:b/>
          <w:sz w:val="24"/>
          <w:szCs w:val="24"/>
        </w:rPr>
        <w:t>、城市应急救灾规划</w:t>
      </w:r>
      <w:bookmarkEnd w:id="95"/>
    </w:p>
    <w:p>
      <w:pPr>
        <w:spacing w:line="360" w:lineRule="auto"/>
        <w:ind w:firstLine="420"/>
        <w:rPr>
          <w:rFonts w:ascii="宋体" w:hAnsi="宋体"/>
          <w:sz w:val="24"/>
          <w:szCs w:val="24"/>
        </w:rPr>
      </w:pPr>
      <w:r>
        <w:rPr>
          <w:rFonts w:hint="eastAsia" w:ascii="宋体" w:hAnsi="宋体"/>
          <w:b/>
          <w:sz w:val="24"/>
          <w:szCs w:val="24"/>
        </w:rPr>
        <w:t>主要研究内容：</w:t>
      </w:r>
      <w:r>
        <w:rPr>
          <w:rFonts w:hint="eastAsia" w:ascii="宋体" w:hAnsi="宋体"/>
          <w:sz w:val="24"/>
          <w:szCs w:val="24"/>
        </w:rPr>
        <w:t>应急方面，应确定地震应急预案的体系框架、职能部门、编制要点，地震监测台站的布置规划；救灾方面，为震后救灾工作顺利、合理的实施，需要在规划阶段制订好救灾物资应急对策、医疗应急救援对策、消防应急救援对策、震后灾民安置点布局等内容。</w:t>
      </w:r>
    </w:p>
    <w:p>
      <w:pPr>
        <w:spacing w:line="360" w:lineRule="auto"/>
        <w:ind w:firstLine="420"/>
        <w:rPr>
          <w:rFonts w:ascii="宋体" w:hAnsi="宋体"/>
          <w:b/>
          <w:sz w:val="24"/>
          <w:szCs w:val="24"/>
        </w:rPr>
      </w:pPr>
      <w:bookmarkStart w:id="96" w:name="_Toc208584584"/>
      <w:r>
        <w:rPr>
          <w:rFonts w:ascii="宋体" w:hAnsi="宋体"/>
          <w:b/>
          <w:sz w:val="24"/>
          <w:szCs w:val="24"/>
        </w:rPr>
        <w:t>10</w:t>
      </w:r>
      <w:r>
        <w:rPr>
          <w:rFonts w:hint="eastAsia" w:ascii="宋体" w:hAnsi="宋体"/>
          <w:b/>
          <w:sz w:val="24"/>
          <w:szCs w:val="24"/>
        </w:rPr>
        <w:t>、规划的实施和保障</w:t>
      </w:r>
      <w:bookmarkEnd w:id="96"/>
    </w:p>
    <w:p>
      <w:pPr>
        <w:spacing w:line="360" w:lineRule="auto"/>
        <w:ind w:firstLine="420"/>
        <w:rPr>
          <w:rFonts w:ascii="宋体" w:hAnsi="宋体"/>
          <w:b/>
          <w:sz w:val="24"/>
          <w:szCs w:val="24"/>
        </w:rPr>
      </w:pPr>
      <w:r>
        <w:rPr>
          <w:rFonts w:hint="eastAsia" w:ascii="宋体" w:hAnsi="宋体"/>
          <w:b/>
          <w:sz w:val="24"/>
          <w:szCs w:val="24"/>
        </w:rPr>
        <w:t>编制要求：</w:t>
      </w:r>
      <w:r>
        <w:rPr>
          <w:rFonts w:hint="eastAsia" w:ascii="宋体" w:hAnsi="宋体"/>
          <w:sz w:val="24"/>
          <w:szCs w:val="24"/>
        </w:rPr>
        <w:t>提出有针对性的、可操作性强的实施措施与建议。</w:t>
      </w:r>
    </w:p>
    <w:p>
      <w:pPr>
        <w:spacing w:line="360" w:lineRule="auto"/>
        <w:ind w:firstLine="420"/>
        <w:rPr>
          <w:rFonts w:ascii="宋体" w:hAnsi="宋体"/>
          <w:sz w:val="24"/>
          <w:szCs w:val="24"/>
        </w:rPr>
      </w:pPr>
      <w:r>
        <w:rPr>
          <w:rFonts w:hint="eastAsia" w:ascii="宋体" w:hAnsi="宋体"/>
          <w:b/>
          <w:sz w:val="24"/>
          <w:szCs w:val="24"/>
        </w:rPr>
        <w:t>主要内容：</w:t>
      </w:r>
      <w:r>
        <w:rPr>
          <w:rFonts w:hint="eastAsia" w:ascii="宋体" w:hAnsi="宋体"/>
          <w:sz w:val="24"/>
          <w:szCs w:val="24"/>
        </w:rPr>
        <w:t>研究城市的救灾体系，包括应急预案体系、组织管理体系、防灾政策保障体系、科技支撑体系等内容，提出有针对性的、可操作性强的实施措施与建议。</w:t>
      </w:r>
    </w:p>
    <w:p>
      <w:pPr>
        <w:pStyle w:val="4"/>
      </w:pPr>
      <w:bookmarkStart w:id="97" w:name="_Toc503267567"/>
      <w:bookmarkStart w:id="98" w:name="_Toc417410102"/>
      <w:bookmarkStart w:id="99" w:name="_Toc417409890"/>
      <w:r>
        <w:rPr>
          <w:rFonts w:hint="eastAsia"/>
        </w:rPr>
        <w:t>3</w:t>
      </w:r>
      <w:r>
        <w:t xml:space="preserve">.3 </w:t>
      </w:r>
      <w:r>
        <w:rPr>
          <w:rFonts w:hint="eastAsia"/>
        </w:rPr>
        <w:t>编制方法和技术路线的实用性、创新性和可行性</w:t>
      </w:r>
      <w:bookmarkEnd w:id="97"/>
      <w:bookmarkEnd w:id="98"/>
      <w:bookmarkEnd w:id="99"/>
    </w:p>
    <w:p>
      <w:pPr>
        <w:spacing w:line="360" w:lineRule="auto"/>
        <w:ind w:firstLine="420"/>
        <w:rPr>
          <w:rFonts w:ascii="宋体" w:hAnsi="宋体"/>
          <w:sz w:val="24"/>
          <w:szCs w:val="24"/>
        </w:rPr>
      </w:pPr>
      <w:r>
        <w:rPr>
          <w:rFonts w:hint="eastAsia" w:ascii="宋体" w:hAnsi="宋体"/>
          <w:sz w:val="24"/>
          <w:szCs w:val="24"/>
        </w:rPr>
        <w:t>本规划方案是在项目组长期从事城市防灾规划的基础上，根据许昌市抗震防灾的要求，综合国内外防灾规划先进经验而制定的，该方案的实用性、创新性和可行性密切结合在一起，主要表现在：</w:t>
      </w:r>
    </w:p>
    <w:p>
      <w:pPr>
        <w:spacing w:line="360" w:lineRule="auto"/>
        <w:ind w:firstLine="420"/>
        <w:rPr>
          <w:rFonts w:ascii="宋体" w:hAnsi="宋体"/>
          <w:sz w:val="24"/>
          <w:szCs w:val="24"/>
        </w:rPr>
      </w:pPr>
      <w:r>
        <w:rPr>
          <w:rFonts w:hint="eastAsia" w:ascii="宋体" w:hAnsi="宋体"/>
          <w:sz w:val="24"/>
          <w:szCs w:val="24"/>
        </w:rPr>
        <w:t>1、提出了城市防灾空间布局的规划观点与规划方法，全面构建城市防灾体系、规划体系和技术指标体系，这些创新理念正在秦皇岛、苏州、无锡、南通、徐州、合肥、海口、石家庄等城市抗震防灾规划中得到实现，并针对许昌市情况进行发展，为防灾规划的发展和实施提出了有创新和实用意义的规划方案。</w:t>
      </w:r>
    </w:p>
    <w:p>
      <w:pPr>
        <w:spacing w:line="360" w:lineRule="auto"/>
        <w:ind w:firstLine="420"/>
        <w:rPr>
          <w:rFonts w:ascii="宋体" w:hAnsi="宋体"/>
          <w:sz w:val="24"/>
          <w:szCs w:val="24"/>
        </w:rPr>
      </w:pPr>
      <w:r>
        <w:rPr>
          <w:rFonts w:hint="eastAsia" w:ascii="宋体" w:hAnsi="宋体"/>
          <w:sz w:val="24"/>
          <w:szCs w:val="24"/>
        </w:rPr>
        <w:t>2、提出了防灾基础设施的城市生命线系统防灾保障规划方案，不仅使得城市防灾减灾的基本功能得到保障，而且使得生命线系统的等级划分更加合理，保障了规划的有效实施。</w:t>
      </w:r>
    </w:p>
    <w:p>
      <w:pPr>
        <w:spacing w:line="360" w:lineRule="auto"/>
        <w:ind w:firstLine="420"/>
        <w:rPr>
          <w:rFonts w:ascii="宋体" w:hAnsi="宋体"/>
          <w:sz w:val="24"/>
          <w:szCs w:val="24"/>
        </w:rPr>
      </w:pPr>
      <w:r>
        <w:rPr>
          <w:rFonts w:hint="eastAsia" w:ascii="宋体" w:hAnsi="宋体"/>
          <w:sz w:val="24"/>
          <w:szCs w:val="24"/>
        </w:rPr>
        <w:t>3、突破了传统防灾规划只重视建成区的思想，真正实现了基于城市现状和发展并重的防灾规划研究和编制路线，解决了防灾规划根据城市的不同规划发展阶段以及城市规划建设的不同层次防灾要求和对策等关键问题。</w:t>
      </w:r>
    </w:p>
    <w:p>
      <w:pPr>
        <w:spacing w:line="360" w:lineRule="auto"/>
        <w:ind w:firstLine="420"/>
        <w:rPr>
          <w:rFonts w:ascii="宋体" w:hAnsi="宋体"/>
          <w:sz w:val="24"/>
          <w:szCs w:val="24"/>
        </w:rPr>
      </w:pPr>
      <w:r>
        <w:rPr>
          <w:rFonts w:hint="eastAsia" w:ascii="宋体" w:hAnsi="宋体"/>
          <w:sz w:val="24"/>
          <w:szCs w:val="24"/>
        </w:rPr>
        <w:t>4、根据城市总体规划的要求和城市建设对土地利用的实际需求，对传统的土地利用规划的研究进行扩展，提出进行土地利用工程防灾适宜性研究的方法和技术路线，将不同地段或分区对防灾性能的影响进行分析，并在此基础上研究城市防灾空间布局和防灾用地，使得土地利用时的场地选择更具有实用性。</w:t>
      </w:r>
    </w:p>
    <w:p>
      <w:pPr>
        <w:spacing w:line="360" w:lineRule="auto"/>
        <w:ind w:firstLine="420"/>
        <w:rPr>
          <w:rFonts w:ascii="宋体" w:hAnsi="宋体"/>
          <w:sz w:val="24"/>
          <w:szCs w:val="24"/>
        </w:rPr>
      </w:pPr>
      <w:r>
        <w:rPr>
          <w:rFonts w:hint="eastAsia" w:ascii="宋体" w:hAnsi="宋体"/>
          <w:sz w:val="24"/>
          <w:szCs w:val="24"/>
        </w:rPr>
        <w:t>5、依据城市防灾空间的避震疏散系统规划安排，可针对城市的不同灾害等级进行合理应对，并结合防灾资源的合理全面规划，为城市防灾救灾提供保障。</w:t>
      </w:r>
    </w:p>
    <w:p>
      <w:pPr>
        <w:spacing w:line="360" w:lineRule="auto"/>
        <w:ind w:firstLine="420"/>
        <w:rPr>
          <w:rFonts w:ascii="宋体" w:hAnsi="宋体"/>
          <w:sz w:val="24"/>
          <w:szCs w:val="24"/>
        </w:rPr>
      </w:pPr>
      <w:r>
        <w:rPr>
          <w:rFonts w:hint="eastAsia" w:ascii="宋体" w:hAnsi="宋体"/>
          <w:sz w:val="24"/>
          <w:szCs w:val="24"/>
        </w:rPr>
        <w:t>6、提出了针对巨震、大震、中震进行防灾规划的具体实施思路，突破了传统只针对中震进行规划，大震、巨震考虑尚嫌不足的窘境，使得城市对地震灾害防御进行了全面综合规划，切实保障了城市的防灾减灾能力。</w:t>
      </w:r>
    </w:p>
    <w:p>
      <w:pPr>
        <w:spacing w:line="360" w:lineRule="auto"/>
        <w:ind w:firstLine="420"/>
        <w:rPr>
          <w:rFonts w:ascii="宋体" w:hAnsi="宋体"/>
          <w:sz w:val="24"/>
          <w:szCs w:val="24"/>
        </w:rPr>
      </w:pPr>
      <w:r>
        <w:rPr>
          <w:rFonts w:hint="eastAsia" w:ascii="宋体" w:hAnsi="宋体"/>
          <w:sz w:val="24"/>
          <w:szCs w:val="24"/>
        </w:rPr>
        <w:t>7、本次抗震防灾规划技术方案充分吸取了汶川地震和东日本大地震的最新经验教训，注重地震次生灾害（如次生火灾、次生水灾、核泄漏）对策的研究。</w:t>
      </w:r>
    </w:p>
    <w:p>
      <w:pPr>
        <w:spacing w:line="360" w:lineRule="auto"/>
        <w:ind w:firstLine="420"/>
        <w:rPr>
          <w:rFonts w:ascii="宋体" w:hAnsi="宋体"/>
          <w:sz w:val="24"/>
          <w:szCs w:val="24"/>
        </w:rPr>
      </w:pPr>
      <w:r>
        <w:rPr>
          <w:rFonts w:hint="eastAsia" w:ascii="宋体" w:hAnsi="宋体"/>
          <w:sz w:val="24"/>
          <w:szCs w:val="24"/>
        </w:rPr>
        <w:t>8、项目组主要成员长期从事城市防灾规划研究和实践，具有丰富的防灾规划编制经验，为项目的顺利、高质量完成提供了可靠保障。</w:t>
      </w:r>
    </w:p>
    <w:p>
      <w:pPr>
        <w:pStyle w:val="3"/>
      </w:pPr>
      <w:r>
        <w:br w:type="page"/>
      </w:r>
      <w:bookmarkStart w:id="100" w:name="_Toc417409891"/>
      <w:bookmarkStart w:id="101" w:name="_Toc503267568"/>
      <w:bookmarkStart w:id="102" w:name="_Toc417410103"/>
      <w:r>
        <w:rPr>
          <w:rFonts w:hint="eastAsia"/>
        </w:rPr>
        <w:t>4</w:t>
      </w:r>
      <w:r>
        <w:t xml:space="preserve"> </w:t>
      </w:r>
      <w:r>
        <w:rPr>
          <w:rFonts w:hint="eastAsia"/>
        </w:rPr>
        <w:t>内容框架</w:t>
      </w:r>
      <w:bookmarkEnd w:id="100"/>
      <w:bookmarkEnd w:id="101"/>
      <w:bookmarkEnd w:id="102"/>
    </w:p>
    <w:p>
      <w:pPr>
        <w:pStyle w:val="4"/>
      </w:pPr>
      <w:bookmarkStart w:id="103" w:name="_Toc290032669"/>
      <w:bookmarkStart w:id="104" w:name="_Toc417409892"/>
      <w:bookmarkStart w:id="105" w:name="_Toc417410104"/>
      <w:bookmarkStart w:id="106" w:name="_Toc503267569"/>
      <w:r>
        <w:rPr>
          <w:rFonts w:hint="eastAsia"/>
        </w:rPr>
        <w:t>4</w:t>
      </w:r>
      <w:r>
        <w:t xml:space="preserve">.1 </w:t>
      </w:r>
      <w:r>
        <w:rPr>
          <w:rFonts w:hint="eastAsia"/>
        </w:rPr>
        <w:t>规划的主要内容框架</w:t>
      </w:r>
      <w:bookmarkEnd w:id="103"/>
      <w:bookmarkEnd w:id="104"/>
      <w:bookmarkEnd w:id="105"/>
      <w:bookmarkEnd w:id="106"/>
    </w:p>
    <w:p>
      <w:pPr>
        <w:spacing w:line="360" w:lineRule="auto"/>
        <w:ind w:firstLine="437"/>
        <w:rPr>
          <w:rFonts w:ascii="宋体" w:hAnsi="宋体"/>
          <w:sz w:val="24"/>
          <w:szCs w:val="24"/>
        </w:rPr>
      </w:pPr>
      <w:r>
        <w:rPr>
          <w:rFonts w:hint="eastAsia" w:ascii="宋体" w:hAnsi="宋体"/>
          <w:sz w:val="24"/>
          <w:szCs w:val="24"/>
        </w:rPr>
        <w:t>1、总则</w:t>
      </w:r>
    </w:p>
    <w:p>
      <w:pPr>
        <w:spacing w:line="360" w:lineRule="auto"/>
        <w:ind w:firstLine="437"/>
        <w:rPr>
          <w:rFonts w:ascii="宋体" w:hAnsi="宋体"/>
          <w:sz w:val="24"/>
          <w:szCs w:val="24"/>
        </w:rPr>
      </w:pPr>
      <w:r>
        <w:rPr>
          <w:rFonts w:hint="eastAsia" w:ascii="宋体" w:hAnsi="宋体"/>
          <w:sz w:val="24"/>
          <w:szCs w:val="24"/>
        </w:rPr>
        <w:t xml:space="preserve">编制规划的指导思想、编制原则、编制依据、防御目标，规划范围及适用期限，规划背景和规划过程，规划的批准和实施，术语解释。 </w:t>
      </w:r>
    </w:p>
    <w:p>
      <w:pPr>
        <w:spacing w:line="360" w:lineRule="auto"/>
        <w:ind w:firstLine="437"/>
        <w:rPr>
          <w:rFonts w:ascii="宋体" w:hAnsi="宋体"/>
          <w:sz w:val="24"/>
          <w:szCs w:val="24"/>
        </w:rPr>
      </w:pPr>
      <w:r>
        <w:rPr>
          <w:rFonts w:hint="eastAsia" w:ascii="宋体" w:hAnsi="宋体"/>
          <w:sz w:val="24"/>
          <w:szCs w:val="24"/>
        </w:rPr>
        <w:t>2、基本要求</w:t>
      </w:r>
    </w:p>
    <w:p>
      <w:pPr>
        <w:spacing w:line="360" w:lineRule="auto"/>
        <w:ind w:firstLine="437"/>
        <w:rPr>
          <w:rFonts w:ascii="宋体" w:hAnsi="宋体"/>
          <w:sz w:val="24"/>
          <w:szCs w:val="24"/>
        </w:rPr>
      </w:pPr>
      <w:r>
        <w:rPr>
          <w:rFonts w:hint="eastAsia" w:ascii="宋体" w:hAnsi="宋体"/>
          <w:sz w:val="24"/>
          <w:szCs w:val="24"/>
        </w:rPr>
        <w:t>包括城市总体抗震设防要求，设防水准，人口密度、房屋间距等规划总体防灾技术指标，其他城市抗震防灾基本要求。</w:t>
      </w:r>
    </w:p>
    <w:p>
      <w:pPr>
        <w:spacing w:line="360" w:lineRule="auto"/>
        <w:ind w:firstLine="437"/>
        <w:rPr>
          <w:rFonts w:ascii="宋体" w:hAnsi="宋体"/>
          <w:sz w:val="24"/>
          <w:szCs w:val="24"/>
        </w:rPr>
      </w:pPr>
      <w:r>
        <w:rPr>
          <w:rFonts w:hint="eastAsia" w:ascii="宋体" w:hAnsi="宋体"/>
          <w:sz w:val="24"/>
          <w:szCs w:val="24"/>
        </w:rPr>
        <w:t>3、城市抗震防灾空间布局</w:t>
      </w:r>
    </w:p>
    <w:p>
      <w:pPr>
        <w:spacing w:line="360" w:lineRule="auto"/>
        <w:ind w:firstLine="437"/>
        <w:rPr>
          <w:rFonts w:ascii="宋体" w:hAnsi="宋体"/>
          <w:sz w:val="24"/>
          <w:szCs w:val="24"/>
        </w:rPr>
      </w:pPr>
      <w:r>
        <w:rPr>
          <w:rFonts w:hint="eastAsia" w:ascii="宋体" w:hAnsi="宋体"/>
          <w:sz w:val="24"/>
          <w:szCs w:val="24"/>
        </w:rPr>
        <w:t>落实城市防灾空间布局。包括城市绿化隔离带、河流、快速路、消防站、街道、医疗卫生机构、避灾疏散场所的布局，城市防止地震次生火灾蔓延带设置等</w:t>
      </w:r>
    </w:p>
    <w:p>
      <w:pPr>
        <w:spacing w:line="360" w:lineRule="auto"/>
        <w:ind w:firstLine="437"/>
        <w:rPr>
          <w:rFonts w:ascii="宋体" w:hAnsi="宋体"/>
          <w:sz w:val="24"/>
          <w:szCs w:val="24"/>
        </w:rPr>
      </w:pPr>
      <w:r>
        <w:rPr>
          <w:rFonts w:hint="eastAsia" w:ascii="宋体" w:hAnsi="宋体"/>
          <w:sz w:val="24"/>
          <w:szCs w:val="24"/>
        </w:rPr>
        <w:t>成果图件主要有：</w:t>
      </w:r>
    </w:p>
    <w:p>
      <w:pPr>
        <w:spacing w:line="360" w:lineRule="auto"/>
        <w:ind w:firstLine="437"/>
        <w:rPr>
          <w:rFonts w:ascii="宋体" w:hAnsi="宋体"/>
          <w:sz w:val="24"/>
          <w:szCs w:val="24"/>
        </w:rPr>
      </w:pPr>
      <w:r>
        <w:rPr>
          <w:rFonts w:hint="eastAsia" w:ascii="宋体" w:hAnsi="宋体"/>
          <w:sz w:val="24"/>
          <w:szCs w:val="24"/>
        </w:rPr>
        <w:t>△城市抗震防灾空间结构</w:t>
      </w:r>
    </w:p>
    <w:p>
      <w:pPr>
        <w:spacing w:line="360" w:lineRule="auto"/>
        <w:ind w:firstLine="437"/>
        <w:rPr>
          <w:rFonts w:ascii="宋体" w:hAnsi="宋体"/>
          <w:sz w:val="24"/>
          <w:szCs w:val="24"/>
        </w:rPr>
      </w:pPr>
      <w:r>
        <w:rPr>
          <w:rFonts w:hint="eastAsia" w:ascii="宋体" w:hAnsi="宋体"/>
          <w:sz w:val="24"/>
          <w:szCs w:val="24"/>
        </w:rPr>
        <w:t>△城市抗震防灾空间分区</w:t>
      </w:r>
    </w:p>
    <w:p>
      <w:pPr>
        <w:spacing w:line="360" w:lineRule="auto"/>
        <w:ind w:firstLine="437"/>
        <w:rPr>
          <w:rFonts w:ascii="宋体" w:hAnsi="宋体"/>
          <w:sz w:val="24"/>
          <w:szCs w:val="24"/>
        </w:rPr>
      </w:pPr>
      <w:r>
        <w:rPr>
          <w:rFonts w:hint="eastAsia" w:ascii="宋体" w:hAnsi="宋体"/>
          <w:sz w:val="24"/>
          <w:szCs w:val="24"/>
        </w:rPr>
        <w:t>△城市抗震防灾支撑基础设施空间布局</w:t>
      </w:r>
    </w:p>
    <w:p>
      <w:pPr>
        <w:spacing w:line="360" w:lineRule="auto"/>
        <w:ind w:firstLine="437"/>
        <w:rPr>
          <w:rFonts w:ascii="宋体" w:hAnsi="宋体"/>
          <w:sz w:val="24"/>
          <w:szCs w:val="24"/>
        </w:rPr>
      </w:pPr>
      <w:r>
        <w:rPr>
          <w:rFonts w:hint="eastAsia" w:ascii="宋体" w:hAnsi="宋体"/>
          <w:sz w:val="24"/>
          <w:szCs w:val="24"/>
        </w:rPr>
        <w:t>4、城市用地防灾适宜性评价</w:t>
      </w:r>
    </w:p>
    <w:p>
      <w:pPr>
        <w:spacing w:line="360" w:lineRule="auto"/>
        <w:ind w:firstLine="437"/>
        <w:rPr>
          <w:rFonts w:ascii="宋体" w:hAnsi="宋体"/>
          <w:sz w:val="24"/>
          <w:szCs w:val="24"/>
        </w:rPr>
      </w:pPr>
      <w:r>
        <w:rPr>
          <w:rFonts w:hint="eastAsia" w:ascii="宋体" w:hAnsi="宋体"/>
          <w:sz w:val="24"/>
          <w:szCs w:val="24"/>
        </w:rPr>
        <w:t>对规划区内的场地环境进行地震工程地质调查和评价的基础上，提出土地利用抗震防灾有关规定，城市用地的适宜性要求和措施。</w:t>
      </w:r>
    </w:p>
    <w:p>
      <w:pPr>
        <w:spacing w:line="360" w:lineRule="auto"/>
        <w:ind w:firstLine="437"/>
        <w:rPr>
          <w:rFonts w:ascii="宋体" w:hAnsi="宋体"/>
          <w:sz w:val="24"/>
          <w:szCs w:val="24"/>
        </w:rPr>
      </w:pPr>
      <w:r>
        <w:rPr>
          <w:rFonts w:hint="eastAsia" w:ascii="宋体" w:hAnsi="宋体"/>
          <w:sz w:val="24"/>
          <w:szCs w:val="24"/>
        </w:rPr>
        <w:t>成果图件主要有：</w:t>
      </w:r>
    </w:p>
    <w:p>
      <w:pPr>
        <w:spacing w:line="360" w:lineRule="auto"/>
        <w:ind w:firstLine="437"/>
        <w:rPr>
          <w:rFonts w:ascii="宋体" w:hAnsi="宋体"/>
          <w:sz w:val="24"/>
          <w:szCs w:val="24"/>
        </w:rPr>
      </w:pPr>
      <w:r>
        <w:rPr>
          <w:rFonts w:hint="eastAsia" w:ascii="宋体" w:hAnsi="宋体"/>
          <w:sz w:val="24"/>
          <w:szCs w:val="24"/>
        </w:rPr>
        <w:t>△已经收集的和补充勘察的场地勘察资料分布图</w:t>
      </w:r>
    </w:p>
    <w:p>
      <w:pPr>
        <w:spacing w:line="360" w:lineRule="auto"/>
        <w:ind w:firstLine="437"/>
        <w:rPr>
          <w:rFonts w:ascii="宋体" w:hAnsi="宋体"/>
          <w:sz w:val="24"/>
          <w:szCs w:val="24"/>
        </w:rPr>
      </w:pPr>
      <w:r>
        <w:rPr>
          <w:rFonts w:hint="eastAsia" w:ascii="宋体" w:hAnsi="宋体"/>
          <w:sz w:val="24"/>
          <w:szCs w:val="24"/>
        </w:rPr>
        <w:t>△地震场地破坏效应分区图</w:t>
      </w:r>
    </w:p>
    <w:p>
      <w:pPr>
        <w:spacing w:line="360" w:lineRule="auto"/>
        <w:ind w:firstLine="437"/>
        <w:rPr>
          <w:rFonts w:ascii="宋体" w:hAnsi="宋体"/>
          <w:sz w:val="24"/>
          <w:szCs w:val="24"/>
        </w:rPr>
      </w:pPr>
      <w:r>
        <w:rPr>
          <w:rFonts w:hint="eastAsia" w:ascii="宋体" w:hAnsi="宋体"/>
          <w:sz w:val="24"/>
          <w:szCs w:val="24"/>
        </w:rPr>
        <w:t>△城市用地抗震类型分区</w:t>
      </w:r>
    </w:p>
    <w:p>
      <w:pPr>
        <w:spacing w:line="360" w:lineRule="auto"/>
        <w:ind w:firstLine="437"/>
        <w:rPr>
          <w:rFonts w:ascii="宋体" w:hAnsi="宋体"/>
          <w:sz w:val="24"/>
          <w:szCs w:val="24"/>
        </w:rPr>
      </w:pPr>
      <w:r>
        <w:rPr>
          <w:rFonts w:hint="eastAsia" w:ascii="宋体" w:hAnsi="宋体"/>
          <w:sz w:val="24"/>
          <w:szCs w:val="24"/>
        </w:rPr>
        <w:t>△城市用地防灾适宜性分区</w:t>
      </w:r>
    </w:p>
    <w:p>
      <w:pPr>
        <w:spacing w:line="360" w:lineRule="auto"/>
        <w:ind w:firstLine="437"/>
        <w:rPr>
          <w:rFonts w:ascii="宋体" w:hAnsi="宋体"/>
          <w:sz w:val="24"/>
          <w:szCs w:val="24"/>
        </w:rPr>
      </w:pPr>
      <w:r>
        <w:rPr>
          <w:rFonts w:hint="eastAsia" w:ascii="宋体" w:hAnsi="宋体"/>
          <w:sz w:val="24"/>
          <w:szCs w:val="24"/>
        </w:rPr>
        <w:t>5、新建工程抗震设防</w:t>
      </w:r>
    </w:p>
    <w:p>
      <w:pPr>
        <w:spacing w:line="360" w:lineRule="auto"/>
        <w:ind w:firstLine="437"/>
        <w:rPr>
          <w:rFonts w:ascii="宋体" w:hAnsi="宋体"/>
          <w:sz w:val="24"/>
          <w:szCs w:val="24"/>
        </w:rPr>
      </w:pPr>
      <w:r>
        <w:rPr>
          <w:rFonts w:hint="eastAsia" w:ascii="宋体" w:hAnsi="宋体"/>
          <w:sz w:val="24"/>
          <w:szCs w:val="24"/>
        </w:rPr>
        <w:t>城市新建工程的抗震设防要求、规划、设计、建设、施工、维护管理等抗震防灾要求。</w:t>
      </w:r>
    </w:p>
    <w:p>
      <w:pPr>
        <w:spacing w:line="360" w:lineRule="auto"/>
        <w:ind w:firstLine="437"/>
        <w:rPr>
          <w:rFonts w:ascii="宋体" w:hAnsi="宋体"/>
          <w:sz w:val="24"/>
          <w:szCs w:val="24"/>
        </w:rPr>
      </w:pPr>
      <w:r>
        <w:rPr>
          <w:rFonts w:hint="eastAsia" w:ascii="宋体" w:hAnsi="宋体"/>
          <w:sz w:val="24"/>
          <w:szCs w:val="24"/>
        </w:rPr>
        <w:t>6、城市基础设施</w:t>
      </w:r>
    </w:p>
    <w:p>
      <w:pPr>
        <w:spacing w:line="360" w:lineRule="auto"/>
        <w:ind w:firstLine="437"/>
        <w:rPr>
          <w:rFonts w:ascii="宋体" w:hAnsi="宋体"/>
          <w:sz w:val="24"/>
          <w:szCs w:val="24"/>
        </w:rPr>
      </w:pPr>
      <w:r>
        <w:rPr>
          <w:rFonts w:hint="eastAsia" w:ascii="宋体" w:hAnsi="宋体"/>
          <w:sz w:val="24"/>
          <w:szCs w:val="24"/>
        </w:rPr>
        <w:t>供电、供水、供气、交通及对抗震救灾起重要作用的指挥、通讯、医疗、消防、物资供应与保障等基础设施，分别进行现状分析、震害预测和损失分析、抗震薄弱环节分析，制定规划要求和抗震防灾措施。</w:t>
      </w:r>
    </w:p>
    <w:p>
      <w:pPr>
        <w:spacing w:line="360" w:lineRule="auto"/>
        <w:ind w:firstLine="437"/>
        <w:rPr>
          <w:rFonts w:ascii="宋体" w:hAnsi="宋体"/>
          <w:sz w:val="24"/>
          <w:szCs w:val="24"/>
        </w:rPr>
      </w:pPr>
      <w:r>
        <w:rPr>
          <w:rFonts w:hint="eastAsia" w:ascii="宋体" w:hAnsi="宋体"/>
          <w:sz w:val="24"/>
          <w:szCs w:val="24"/>
        </w:rPr>
        <w:t>成果图件主要有：</w:t>
      </w:r>
    </w:p>
    <w:p>
      <w:pPr>
        <w:spacing w:line="360" w:lineRule="auto"/>
        <w:ind w:firstLine="437"/>
        <w:rPr>
          <w:rFonts w:ascii="宋体" w:hAnsi="宋体"/>
          <w:sz w:val="24"/>
          <w:szCs w:val="24"/>
        </w:rPr>
      </w:pPr>
      <w:r>
        <w:rPr>
          <w:rFonts w:hint="eastAsia" w:ascii="宋体" w:hAnsi="宋体"/>
          <w:sz w:val="24"/>
          <w:szCs w:val="24"/>
        </w:rPr>
        <w:t>△城市基础设施各系统抗震性能评价及抗震防灾规划</w:t>
      </w:r>
    </w:p>
    <w:p>
      <w:pPr>
        <w:spacing w:line="360" w:lineRule="auto"/>
        <w:ind w:firstLine="437"/>
        <w:rPr>
          <w:rFonts w:ascii="宋体" w:hAnsi="宋体"/>
          <w:sz w:val="24"/>
          <w:szCs w:val="24"/>
        </w:rPr>
      </w:pPr>
      <w:r>
        <w:rPr>
          <w:rFonts w:hint="eastAsia" w:ascii="宋体" w:hAnsi="宋体"/>
          <w:sz w:val="24"/>
          <w:szCs w:val="24"/>
        </w:rPr>
        <w:t>7、既有建筑抗震加固与改造</w:t>
      </w:r>
    </w:p>
    <w:p>
      <w:pPr>
        <w:spacing w:line="360" w:lineRule="auto"/>
        <w:ind w:firstLine="437"/>
        <w:rPr>
          <w:rFonts w:ascii="宋体" w:hAnsi="宋体"/>
          <w:sz w:val="24"/>
          <w:szCs w:val="24"/>
        </w:rPr>
      </w:pPr>
      <w:r>
        <w:rPr>
          <w:rFonts w:hint="eastAsia" w:ascii="宋体" w:hAnsi="宋体"/>
          <w:sz w:val="24"/>
          <w:szCs w:val="24"/>
        </w:rPr>
        <w:t>既有建（构）筑物现状调查，易损性分析，抗震薄弱环节分析，抗震加固确定原则、标准，抗震加固要求，抗震加固计划和安排，抗震加固管理。</w:t>
      </w:r>
    </w:p>
    <w:p>
      <w:pPr>
        <w:spacing w:line="360" w:lineRule="auto"/>
        <w:ind w:firstLine="437"/>
        <w:rPr>
          <w:rFonts w:ascii="宋体" w:hAnsi="宋体"/>
          <w:sz w:val="24"/>
          <w:szCs w:val="24"/>
        </w:rPr>
      </w:pPr>
      <w:r>
        <w:rPr>
          <w:rFonts w:hint="eastAsia" w:ascii="宋体" w:hAnsi="宋体"/>
          <w:sz w:val="24"/>
          <w:szCs w:val="24"/>
        </w:rPr>
        <w:t>成果图件主要有：</w:t>
      </w:r>
    </w:p>
    <w:p>
      <w:pPr>
        <w:spacing w:line="360" w:lineRule="auto"/>
        <w:ind w:firstLine="437"/>
        <w:rPr>
          <w:rFonts w:ascii="宋体" w:hAnsi="宋体"/>
          <w:sz w:val="24"/>
          <w:szCs w:val="24"/>
        </w:rPr>
      </w:pPr>
      <w:r>
        <w:rPr>
          <w:rFonts w:hint="eastAsia" w:ascii="宋体" w:hAnsi="宋体"/>
          <w:sz w:val="24"/>
          <w:szCs w:val="24"/>
        </w:rPr>
        <w:t>△建（构）筑物抗震性能评价图</w:t>
      </w:r>
    </w:p>
    <w:p>
      <w:pPr>
        <w:spacing w:line="360" w:lineRule="auto"/>
        <w:ind w:firstLine="437"/>
        <w:rPr>
          <w:rFonts w:ascii="宋体" w:hAnsi="宋体"/>
          <w:sz w:val="24"/>
          <w:szCs w:val="24"/>
        </w:rPr>
      </w:pPr>
      <w:r>
        <w:rPr>
          <w:rFonts w:hint="eastAsia" w:ascii="宋体" w:hAnsi="宋体"/>
          <w:sz w:val="24"/>
          <w:szCs w:val="24"/>
        </w:rPr>
        <w:t>△既有建（构）筑物的抗震加固规划图</w:t>
      </w:r>
    </w:p>
    <w:p>
      <w:pPr>
        <w:spacing w:line="360" w:lineRule="auto"/>
        <w:ind w:firstLine="437"/>
        <w:rPr>
          <w:rFonts w:ascii="宋体" w:hAnsi="宋体"/>
          <w:sz w:val="24"/>
          <w:szCs w:val="24"/>
        </w:rPr>
      </w:pPr>
      <w:r>
        <w:rPr>
          <w:rFonts w:hint="eastAsia" w:ascii="宋体" w:hAnsi="宋体"/>
          <w:sz w:val="24"/>
          <w:szCs w:val="24"/>
        </w:rPr>
        <w:t>8、城区建设和改造</w:t>
      </w:r>
    </w:p>
    <w:p>
      <w:pPr>
        <w:spacing w:line="360" w:lineRule="auto"/>
        <w:ind w:firstLine="437"/>
        <w:rPr>
          <w:rFonts w:ascii="宋体" w:hAnsi="宋体"/>
          <w:sz w:val="24"/>
          <w:szCs w:val="24"/>
        </w:rPr>
      </w:pPr>
      <w:r>
        <w:rPr>
          <w:rFonts w:hint="eastAsia" w:ascii="宋体" w:hAnsi="宋体"/>
          <w:sz w:val="24"/>
          <w:szCs w:val="24"/>
        </w:rPr>
        <w:t>城区建设和改造的总体要求与对策，重点改造城区及改造要求，城区建设的抗震防灾要求，近期重点建设与改造城区及抗震防灾要求。</w:t>
      </w:r>
    </w:p>
    <w:p>
      <w:pPr>
        <w:spacing w:line="360" w:lineRule="auto"/>
        <w:ind w:firstLine="437"/>
        <w:rPr>
          <w:rFonts w:ascii="宋体" w:hAnsi="宋体"/>
          <w:sz w:val="24"/>
          <w:szCs w:val="24"/>
        </w:rPr>
      </w:pPr>
      <w:r>
        <w:rPr>
          <w:rFonts w:hint="eastAsia" w:ascii="宋体" w:hAnsi="宋体"/>
          <w:sz w:val="24"/>
          <w:szCs w:val="24"/>
        </w:rPr>
        <w:t>成果图件主要有：</w:t>
      </w:r>
    </w:p>
    <w:p>
      <w:pPr>
        <w:spacing w:line="360" w:lineRule="auto"/>
        <w:ind w:firstLine="437"/>
        <w:rPr>
          <w:rFonts w:ascii="宋体" w:hAnsi="宋体"/>
          <w:sz w:val="24"/>
          <w:szCs w:val="24"/>
        </w:rPr>
      </w:pPr>
      <w:r>
        <w:rPr>
          <w:rFonts w:hint="eastAsia" w:ascii="宋体" w:hAnsi="宋体"/>
          <w:sz w:val="24"/>
          <w:szCs w:val="24"/>
        </w:rPr>
        <w:t>△城区抗震性能分区评价图</w:t>
      </w:r>
    </w:p>
    <w:p>
      <w:pPr>
        <w:spacing w:line="360" w:lineRule="auto"/>
        <w:ind w:firstLine="437"/>
        <w:rPr>
          <w:rFonts w:ascii="宋体" w:hAnsi="宋体"/>
          <w:sz w:val="24"/>
          <w:szCs w:val="24"/>
        </w:rPr>
      </w:pPr>
      <w:r>
        <w:rPr>
          <w:rFonts w:hint="eastAsia" w:ascii="宋体" w:hAnsi="宋体"/>
          <w:sz w:val="24"/>
          <w:szCs w:val="24"/>
        </w:rPr>
        <w:t>△城区建设改造规划图</w:t>
      </w:r>
    </w:p>
    <w:p>
      <w:pPr>
        <w:spacing w:line="360" w:lineRule="auto"/>
        <w:ind w:firstLine="437"/>
        <w:rPr>
          <w:rFonts w:ascii="宋体" w:hAnsi="宋体"/>
          <w:sz w:val="24"/>
          <w:szCs w:val="24"/>
        </w:rPr>
      </w:pPr>
      <w:r>
        <w:rPr>
          <w:rFonts w:hint="eastAsia" w:ascii="宋体" w:hAnsi="宋体"/>
          <w:sz w:val="24"/>
          <w:szCs w:val="24"/>
        </w:rPr>
        <w:t>9、城市重点区域抗震规划</w:t>
      </w:r>
    </w:p>
    <w:p>
      <w:pPr>
        <w:spacing w:line="360" w:lineRule="auto"/>
        <w:ind w:firstLine="437"/>
        <w:rPr>
          <w:rFonts w:ascii="宋体" w:hAnsi="宋体"/>
          <w:sz w:val="24"/>
          <w:szCs w:val="24"/>
        </w:rPr>
      </w:pPr>
      <w:r>
        <w:rPr>
          <w:rFonts w:hint="eastAsia" w:ascii="宋体" w:hAnsi="宋体"/>
          <w:sz w:val="24"/>
          <w:szCs w:val="24"/>
        </w:rPr>
        <w:t>针对历史文化名城，进行历史街区和文物建筑的抗震保护规划编制，研究制定许昌市历史文化名城抗震加固保护层次规划，为历史文化古城的保护、整治提供抗震防灾的技术框架。同时，对国家重点风景名胜区、重要人防工程、优秀近现代建筑及规划确定的其他重点区域提出城市重点区域抗震规划要求。</w:t>
      </w:r>
    </w:p>
    <w:p>
      <w:pPr>
        <w:spacing w:line="360" w:lineRule="auto"/>
        <w:ind w:firstLine="437"/>
        <w:rPr>
          <w:rFonts w:ascii="宋体" w:hAnsi="宋体"/>
          <w:sz w:val="24"/>
          <w:szCs w:val="24"/>
        </w:rPr>
      </w:pPr>
      <w:r>
        <w:rPr>
          <w:rFonts w:hint="eastAsia" w:ascii="宋体" w:hAnsi="宋体"/>
          <w:sz w:val="24"/>
          <w:szCs w:val="24"/>
        </w:rPr>
        <w:t>成果图件主要有：</w:t>
      </w:r>
    </w:p>
    <w:p>
      <w:pPr>
        <w:spacing w:line="360" w:lineRule="auto"/>
        <w:ind w:firstLine="437"/>
        <w:rPr>
          <w:rFonts w:ascii="宋体" w:hAnsi="宋体"/>
          <w:sz w:val="24"/>
          <w:szCs w:val="24"/>
        </w:rPr>
      </w:pPr>
      <w:r>
        <w:rPr>
          <w:rFonts w:hint="eastAsia" w:ascii="宋体" w:hAnsi="宋体"/>
          <w:sz w:val="24"/>
          <w:szCs w:val="24"/>
        </w:rPr>
        <w:t>△历史文化名城抗震加固保护层次规划</w:t>
      </w:r>
    </w:p>
    <w:p>
      <w:pPr>
        <w:spacing w:line="360" w:lineRule="auto"/>
        <w:ind w:firstLine="437"/>
        <w:rPr>
          <w:rFonts w:ascii="宋体" w:hAnsi="宋体"/>
          <w:sz w:val="24"/>
          <w:szCs w:val="24"/>
        </w:rPr>
      </w:pPr>
      <w:r>
        <w:rPr>
          <w:rFonts w:hint="eastAsia" w:ascii="宋体" w:hAnsi="宋体"/>
          <w:sz w:val="24"/>
          <w:szCs w:val="24"/>
        </w:rPr>
        <w:t>△城市重点区域抗震保护层次规划</w:t>
      </w:r>
    </w:p>
    <w:p>
      <w:pPr>
        <w:spacing w:line="360" w:lineRule="auto"/>
        <w:ind w:firstLine="437"/>
        <w:rPr>
          <w:rFonts w:ascii="宋体" w:hAnsi="宋体"/>
          <w:sz w:val="24"/>
          <w:szCs w:val="24"/>
        </w:rPr>
      </w:pPr>
      <w:r>
        <w:rPr>
          <w:rFonts w:hint="eastAsia" w:ascii="宋体" w:hAnsi="宋体"/>
          <w:sz w:val="24"/>
          <w:szCs w:val="24"/>
        </w:rPr>
        <w:t>10、地震次生灾害防御</w:t>
      </w:r>
    </w:p>
    <w:p>
      <w:pPr>
        <w:spacing w:line="360" w:lineRule="auto"/>
        <w:ind w:firstLine="437"/>
        <w:rPr>
          <w:rFonts w:ascii="宋体" w:hAnsi="宋体"/>
          <w:sz w:val="24"/>
          <w:szCs w:val="24"/>
        </w:rPr>
      </w:pPr>
      <w:r>
        <w:rPr>
          <w:rFonts w:hint="eastAsia" w:ascii="宋体" w:hAnsi="宋体"/>
          <w:sz w:val="24"/>
          <w:szCs w:val="24"/>
        </w:rPr>
        <w:t>次生灾害源的建设和管理，次生灾害防御应急与队伍管理，防止、减轻次生灾害的规划措施等。</w:t>
      </w:r>
    </w:p>
    <w:p>
      <w:pPr>
        <w:spacing w:line="360" w:lineRule="auto"/>
        <w:ind w:firstLine="437"/>
        <w:rPr>
          <w:rFonts w:ascii="宋体" w:hAnsi="宋体"/>
          <w:sz w:val="24"/>
          <w:szCs w:val="24"/>
        </w:rPr>
      </w:pPr>
      <w:r>
        <w:rPr>
          <w:rFonts w:hint="eastAsia" w:ascii="宋体" w:hAnsi="宋体"/>
          <w:sz w:val="24"/>
          <w:szCs w:val="24"/>
        </w:rPr>
        <w:t>成果图件主要有：</w:t>
      </w:r>
    </w:p>
    <w:p>
      <w:pPr>
        <w:spacing w:line="360" w:lineRule="auto"/>
        <w:ind w:firstLine="437"/>
        <w:rPr>
          <w:rFonts w:ascii="宋体" w:hAnsi="宋体"/>
          <w:sz w:val="24"/>
          <w:szCs w:val="24"/>
        </w:rPr>
      </w:pPr>
      <w:r>
        <w:rPr>
          <w:rFonts w:hint="eastAsia" w:ascii="宋体" w:hAnsi="宋体"/>
          <w:sz w:val="24"/>
          <w:szCs w:val="24"/>
        </w:rPr>
        <w:t>△潜在次生灾害危险源点分布图</w:t>
      </w:r>
    </w:p>
    <w:p>
      <w:pPr>
        <w:spacing w:line="360" w:lineRule="auto"/>
        <w:ind w:firstLine="437"/>
        <w:rPr>
          <w:rFonts w:ascii="宋体" w:hAnsi="宋体"/>
          <w:sz w:val="24"/>
          <w:szCs w:val="24"/>
        </w:rPr>
      </w:pPr>
      <w:r>
        <w:rPr>
          <w:rFonts w:hint="eastAsia" w:ascii="宋体" w:hAnsi="宋体"/>
          <w:sz w:val="24"/>
          <w:szCs w:val="24"/>
        </w:rPr>
        <w:t>△次生灾害危险源点改造规划图</w:t>
      </w:r>
    </w:p>
    <w:p>
      <w:pPr>
        <w:spacing w:line="360" w:lineRule="auto"/>
        <w:ind w:firstLine="437"/>
        <w:rPr>
          <w:rFonts w:ascii="宋体" w:hAnsi="宋体"/>
          <w:sz w:val="24"/>
          <w:szCs w:val="24"/>
        </w:rPr>
      </w:pPr>
      <w:r>
        <w:rPr>
          <w:rFonts w:hint="eastAsia" w:ascii="宋体" w:hAnsi="宋体"/>
          <w:sz w:val="24"/>
          <w:szCs w:val="24"/>
        </w:rPr>
        <w:t>11、避震疏散</w:t>
      </w:r>
    </w:p>
    <w:p>
      <w:pPr>
        <w:spacing w:line="360" w:lineRule="auto"/>
        <w:ind w:firstLine="437"/>
        <w:rPr>
          <w:rFonts w:ascii="宋体" w:hAnsi="宋体"/>
          <w:sz w:val="24"/>
          <w:szCs w:val="24"/>
        </w:rPr>
      </w:pPr>
      <w:r>
        <w:rPr>
          <w:rFonts w:hint="eastAsia" w:ascii="宋体" w:hAnsi="宋体"/>
          <w:sz w:val="24"/>
          <w:szCs w:val="24"/>
        </w:rPr>
        <w:t>调查城市可用作避震疏散的用地面积、容量和附近的交通情况，研究在设防烈度地震和罕遇地震作用下的城市破坏影响和受灾人数，制定城市避震疏散总体要求，避震疏散场所、道路的抗震防灾要求，避震疏散场所的安排，避震疏散场所和道路的建设改造要求，避震疏散场所的管理和避震疏散宣传教育等。</w:t>
      </w:r>
    </w:p>
    <w:p>
      <w:pPr>
        <w:spacing w:line="360" w:lineRule="auto"/>
        <w:ind w:firstLine="437"/>
        <w:rPr>
          <w:rFonts w:ascii="宋体" w:hAnsi="宋体"/>
          <w:sz w:val="24"/>
          <w:szCs w:val="24"/>
        </w:rPr>
      </w:pPr>
      <w:r>
        <w:rPr>
          <w:rFonts w:hint="eastAsia" w:ascii="宋体" w:hAnsi="宋体"/>
          <w:sz w:val="24"/>
          <w:szCs w:val="24"/>
        </w:rPr>
        <w:t>成果图件主要有：</w:t>
      </w:r>
    </w:p>
    <w:p>
      <w:pPr>
        <w:spacing w:line="360" w:lineRule="auto"/>
        <w:ind w:firstLine="437"/>
        <w:rPr>
          <w:rFonts w:ascii="宋体" w:hAnsi="宋体"/>
          <w:sz w:val="24"/>
          <w:szCs w:val="24"/>
        </w:rPr>
      </w:pPr>
      <w:r>
        <w:rPr>
          <w:rFonts w:hint="eastAsia" w:ascii="宋体" w:hAnsi="宋体"/>
          <w:sz w:val="24"/>
          <w:szCs w:val="24"/>
        </w:rPr>
        <w:t>△避震疏散用地和避灾据点分布图</w:t>
      </w:r>
    </w:p>
    <w:p>
      <w:pPr>
        <w:spacing w:line="360" w:lineRule="auto"/>
        <w:ind w:firstLine="437"/>
        <w:rPr>
          <w:rFonts w:ascii="宋体" w:hAnsi="宋体"/>
          <w:sz w:val="24"/>
          <w:szCs w:val="24"/>
        </w:rPr>
      </w:pPr>
      <w:r>
        <w:rPr>
          <w:rFonts w:hint="eastAsia" w:ascii="宋体" w:hAnsi="宋体"/>
          <w:sz w:val="24"/>
          <w:szCs w:val="24"/>
        </w:rPr>
        <w:t>△避震疏散责任区划分图</w:t>
      </w:r>
    </w:p>
    <w:p>
      <w:pPr>
        <w:spacing w:line="360" w:lineRule="auto"/>
        <w:ind w:firstLine="437"/>
        <w:rPr>
          <w:rFonts w:ascii="宋体" w:hAnsi="宋体"/>
          <w:sz w:val="24"/>
          <w:szCs w:val="24"/>
        </w:rPr>
      </w:pPr>
      <w:r>
        <w:rPr>
          <w:rFonts w:hint="eastAsia" w:ascii="宋体" w:hAnsi="宋体"/>
          <w:sz w:val="24"/>
          <w:szCs w:val="24"/>
        </w:rPr>
        <w:t>12、地震应急和恢复重建</w:t>
      </w:r>
    </w:p>
    <w:p>
      <w:pPr>
        <w:spacing w:line="360" w:lineRule="auto"/>
        <w:ind w:firstLine="437"/>
        <w:rPr>
          <w:rFonts w:ascii="宋体" w:hAnsi="宋体"/>
          <w:sz w:val="24"/>
          <w:szCs w:val="24"/>
        </w:rPr>
      </w:pPr>
      <w:r>
        <w:rPr>
          <w:rFonts w:hint="eastAsia" w:ascii="宋体" w:hAnsi="宋体"/>
          <w:sz w:val="24"/>
          <w:szCs w:val="24"/>
        </w:rPr>
        <w:t>制定城市地震应急和恢复重建的原则和抗震防灾要求。</w:t>
      </w:r>
    </w:p>
    <w:p>
      <w:pPr>
        <w:spacing w:line="360" w:lineRule="auto"/>
        <w:ind w:firstLine="437"/>
        <w:rPr>
          <w:rFonts w:ascii="宋体" w:hAnsi="宋体"/>
          <w:sz w:val="24"/>
          <w:szCs w:val="24"/>
        </w:rPr>
      </w:pPr>
      <w:r>
        <w:rPr>
          <w:rFonts w:hint="eastAsia" w:ascii="宋体" w:hAnsi="宋体"/>
          <w:sz w:val="24"/>
          <w:szCs w:val="24"/>
        </w:rPr>
        <w:t>13、近期主要抗震防灾工作</w:t>
      </w:r>
    </w:p>
    <w:p>
      <w:pPr>
        <w:spacing w:line="360" w:lineRule="auto"/>
        <w:ind w:firstLine="437"/>
        <w:rPr>
          <w:rFonts w:ascii="宋体" w:hAnsi="宋体"/>
          <w:sz w:val="24"/>
          <w:szCs w:val="24"/>
        </w:rPr>
      </w:pPr>
      <w:r>
        <w:rPr>
          <w:rFonts w:hint="eastAsia" w:ascii="宋体" w:hAnsi="宋体"/>
          <w:sz w:val="24"/>
          <w:szCs w:val="24"/>
        </w:rPr>
        <w:t>城市近期的主要抗震工作及安排。</w:t>
      </w:r>
    </w:p>
    <w:p>
      <w:pPr>
        <w:spacing w:line="360" w:lineRule="auto"/>
        <w:ind w:firstLine="437"/>
        <w:rPr>
          <w:rFonts w:ascii="宋体" w:hAnsi="宋体"/>
          <w:sz w:val="24"/>
          <w:szCs w:val="24"/>
        </w:rPr>
      </w:pPr>
      <w:r>
        <w:rPr>
          <w:rFonts w:hint="eastAsia" w:ascii="宋体" w:hAnsi="宋体"/>
          <w:sz w:val="24"/>
          <w:szCs w:val="24"/>
        </w:rPr>
        <w:t>14、规划的实施和保障</w:t>
      </w:r>
    </w:p>
    <w:p>
      <w:pPr>
        <w:spacing w:line="360" w:lineRule="auto"/>
        <w:ind w:firstLine="437"/>
        <w:rPr>
          <w:rFonts w:ascii="宋体" w:hAnsi="宋体"/>
          <w:sz w:val="24"/>
          <w:szCs w:val="24"/>
        </w:rPr>
      </w:pPr>
      <w:r>
        <w:rPr>
          <w:rFonts w:hint="eastAsia" w:ascii="宋体" w:hAnsi="宋体"/>
          <w:sz w:val="24"/>
          <w:szCs w:val="24"/>
        </w:rPr>
        <w:t>城市抗震防灾机构、法规与制度建设、技术科研、队伍建设、宣传培训、经费投入保障等防灾规划实施和保障的要求和措施。</w:t>
      </w:r>
    </w:p>
    <w:p>
      <w:pPr>
        <w:spacing w:line="360" w:lineRule="auto"/>
        <w:ind w:firstLine="437"/>
        <w:rPr>
          <w:rFonts w:ascii="宋体" w:hAnsi="宋体"/>
          <w:sz w:val="24"/>
          <w:szCs w:val="24"/>
        </w:rPr>
      </w:pPr>
      <w:r>
        <w:rPr>
          <w:rFonts w:hint="eastAsia" w:ascii="宋体" w:hAnsi="宋体"/>
          <w:sz w:val="24"/>
          <w:szCs w:val="24"/>
        </w:rPr>
        <w:t>15、修订和解释</w:t>
      </w:r>
      <w:r>
        <w:rPr>
          <w:rFonts w:hint="eastAsia" w:ascii="宋体" w:hAnsi="宋体"/>
          <w:sz w:val="24"/>
          <w:szCs w:val="24"/>
        </w:rPr>
        <w:tab/>
      </w:r>
    </w:p>
    <w:p>
      <w:pPr>
        <w:spacing w:line="360" w:lineRule="auto"/>
        <w:ind w:firstLine="437"/>
        <w:rPr>
          <w:rFonts w:ascii="宋体" w:hAnsi="宋体"/>
          <w:sz w:val="24"/>
          <w:szCs w:val="24"/>
        </w:rPr>
      </w:pPr>
      <w:r>
        <w:rPr>
          <w:rFonts w:hint="eastAsia" w:ascii="宋体" w:hAnsi="宋体"/>
          <w:sz w:val="24"/>
          <w:szCs w:val="24"/>
        </w:rPr>
        <w:t>城市抗震防灾规划的修订和解释有关事项。</w:t>
      </w:r>
    </w:p>
    <w:p>
      <w:pPr>
        <w:pStyle w:val="4"/>
        <w:rPr>
          <w:sz w:val="24"/>
          <w:szCs w:val="24"/>
        </w:rPr>
      </w:pPr>
      <w:bookmarkStart w:id="107" w:name="_Toc261883451"/>
      <w:bookmarkStart w:id="108" w:name="_Toc123098240"/>
      <w:bookmarkStart w:id="109" w:name="_Toc417409893"/>
      <w:bookmarkStart w:id="110" w:name="_Toc290032670"/>
      <w:bookmarkStart w:id="111" w:name="_Toc417410105"/>
      <w:bookmarkStart w:id="112" w:name="_Toc503267570"/>
      <w:r>
        <w:rPr>
          <w:rFonts w:hint="eastAsia"/>
          <w:sz w:val="24"/>
          <w:szCs w:val="24"/>
        </w:rPr>
        <w:t>4</w:t>
      </w:r>
      <w:r>
        <w:rPr>
          <w:sz w:val="24"/>
          <w:szCs w:val="24"/>
        </w:rPr>
        <w:t xml:space="preserve">.2 </w:t>
      </w:r>
      <w:r>
        <w:rPr>
          <w:rFonts w:hint="eastAsia"/>
          <w:sz w:val="24"/>
          <w:szCs w:val="24"/>
        </w:rPr>
        <w:t>专题研究主要内容</w:t>
      </w:r>
      <w:bookmarkEnd w:id="107"/>
      <w:bookmarkEnd w:id="108"/>
      <w:bookmarkEnd w:id="109"/>
      <w:bookmarkEnd w:id="110"/>
      <w:bookmarkEnd w:id="111"/>
      <w:bookmarkEnd w:id="112"/>
    </w:p>
    <w:p>
      <w:pPr>
        <w:spacing w:line="360" w:lineRule="auto"/>
        <w:ind w:firstLine="420"/>
        <w:rPr>
          <w:rFonts w:ascii="宋体" w:hAnsi="宋体"/>
          <w:sz w:val="24"/>
          <w:szCs w:val="24"/>
        </w:rPr>
      </w:pPr>
      <w:r>
        <w:rPr>
          <w:rFonts w:hint="eastAsia" w:ascii="宋体" w:hAnsi="宋体"/>
          <w:sz w:val="24"/>
          <w:szCs w:val="24"/>
        </w:rPr>
        <w:t>许昌市抗震防灾规划共设置六个专题研究：</w:t>
      </w:r>
    </w:p>
    <w:p>
      <w:pPr>
        <w:spacing w:line="360" w:lineRule="auto"/>
        <w:ind w:firstLine="420"/>
        <w:rPr>
          <w:rFonts w:ascii="宋体" w:hAnsi="宋体"/>
          <w:sz w:val="24"/>
          <w:szCs w:val="24"/>
        </w:rPr>
      </w:pPr>
      <w:r>
        <w:rPr>
          <w:rFonts w:hint="eastAsia" w:ascii="宋体" w:hAnsi="宋体"/>
          <w:sz w:val="24"/>
          <w:szCs w:val="24"/>
        </w:rPr>
        <w:t>1、城市抗震防灾空间布局研究</w:t>
      </w:r>
    </w:p>
    <w:p>
      <w:pPr>
        <w:spacing w:line="360" w:lineRule="auto"/>
        <w:ind w:firstLine="420"/>
        <w:rPr>
          <w:rFonts w:ascii="宋体" w:hAnsi="宋体"/>
          <w:sz w:val="24"/>
          <w:szCs w:val="24"/>
        </w:rPr>
      </w:pPr>
      <w:r>
        <w:rPr>
          <w:rFonts w:hint="eastAsia" w:ascii="宋体" w:hAnsi="宋体"/>
          <w:sz w:val="24"/>
          <w:szCs w:val="24"/>
        </w:rPr>
        <w:t>包括城市总体规划中与防灾相关的用地布局分析；城市不同地区的灾害危害性区划；城市三级抗震防灾空间的布局，城市救灾出入口的布局、防止次生灾害蔓延隔离带的设置等。</w:t>
      </w:r>
    </w:p>
    <w:p>
      <w:pPr>
        <w:spacing w:line="360" w:lineRule="auto"/>
        <w:ind w:firstLine="420"/>
        <w:rPr>
          <w:rFonts w:ascii="宋体" w:hAnsi="宋体"/>
          <w:sz w:val="24"/>
          <w:szCs w:val="24"/>
        </w:rPr>
      </w:pPr>
      <w:r>
        <w:rPr>
          <w:rFonts w:hint="eastAsia" w:ascii="宋体" w:hAnsi="宋体"/>
          <w:sz w:val="24"/>
          <w:szCs w:val="24"/>
        </w:rPr>
        <w:t>2、城市用地抗震性能评价</w:t>
      </w:r>
    </w:p>
    <w:p>
      <w:pPr>
        <w:spacing w:line="360" w:lineRule="auto"/>
        <w:ind w:firstLine="420"/>
        <w:rPr>
          <w:rFonts w:ascii="宋体" w:hAnsi="宋体"/>
          <w:sz w:val="24"/>
          <w:szCs w:val="24"/>
        </w:rPr>
      </w:pPr>
      <w:r>
        <w:rPr>
          <w:rFonts w:hint="eastAsia" w:ascii="宋体" w:hAnsi="宋体"/>
          <w:sz w:val="24"/>
          <w:szCs w:val="24"/>
        </w:rPr>
        <w:t>负责城市抗震环境综合评价及城市用地抗震适宜性评价工作，主要包括：基础资料准备，地震地质环境和场地环境评价，城市用地抗震防灾类型分区，城市用地地震破坏及不利地形影响估计，工程抗震土地利用，划定潜在危险地段，城市用地抗震适宜性评价及分区。</w:t>
      </w:r>
    </w:p>
    <w:p>
      <w:pPr>
        <w:spacing w:line="360" w:lineRule="auto"/>
        <w:ind w:firstLine="420"/>
        <w:rPr>
          <w:rFonts w:ascii="宋体" w:hAnsi="宋体"/>
          <w:sz w:val="24"/>
          <w:szCs w:val="24"/>
        </w:rPr>
      </w:pPr>
      <w:r>
        <w:rPr>
          <w:rFonts w:hint="eastAsia" w:ascii="宋体" w:hAnsi="宋体"/>
          <w:sz w:val="24"/>
          <w:szCs w:val="24"/>
        </w:rPr>
        <w:t>3、城市基础设施抗震性能评价</w:t>
      </w:r>
    </w:p>
    <w:p>
      <w:pPr>
        <w:spacing w:line="360" w:lineRule="auto"/>
        <w:ind w:firstLine="420"/>
        <w:rPr>
          <w:rFonts w:ascii="宋体" w:hAnsi="宋体"/>
          <w:sz w:val="24"/>
          <w:szCs w:val="24"/>
        </w:rPr>
      </w:pPr>
      <w:r>
        <w:rPr>
          <w:rFonts w:hint="eastAsia" w:ascii="宋体" w:hAnsi="宋体"/>
          <w:sz w:val="24"/>
          <w:szCs w:val="24"/>
        </w:rPr>
        <w:t>城市基础设施系统包括：供电、交通、供水、燃气、消防、电信、医疗卫生、物资保障等。抗震性能评价内容包括：基础资料准备、重要建筑和关键设施、网络系统的抗震易损性评价、网络系统的功能保障抗震可靠性、抗震改造与建设的措施和对策。</w:t>
      </w:r>
    </w:p>
    <w:p>
      <w:pPr>
        <w:spacing w:line="360" w:lineRule="auto"/>
        <w:ind w:firstLine="420"/>
        <w:rPr>
          <w:rFonts w:ascii="宋体" w:hAnsi="宋体"/>
          <w:sz w:val="24"/>
          <w:szCs w:val="24"/>
        </w:rPr>
      </w:pPr>
      <w:r>
        <w:rPr>
          <w:rFonts w:hint="eastAsia" w:ascii="宋体" w:hAnsi="宋体"/>
          <w:sz w:val="24"/>
          <w:szCs w:val="24"/>
        </w:rPr>
        <w:t>4、城区建筑抗震性能评价</w:t>
      </w:r>
    </w:p>
    <w:p>
      <w:pPr>
        <w:spacing w:line="360" w:lineRule="auto"/>
        <w:ind w:firstLine="420"/>
        <w:rPr>
          <w:rFonts w:ascii="宋体" w:hAnsi="宋体"/>
          <w:sz w:val="24"/>
          <w:szCs w:val="24"/>
        </w:rPr>
      </w:pPr>
      <w:r>
        <w:rPr>
          <w:rFonts w:hint="eastAsia" w:ascii="宋体" w:hAnsi="宋体"/>
          <w:sz w:val="24"/>
          <w:szCs w:val="24"/>
        </w:rPr>
        <w:t>完成规划区城区建筑调查、抗震性能评价及防灾措施制定等工作。主要包括：基础资料调查准备、重要建筑物抗震防灾评价、分区（防灾分区、居委会）抗震能力评价、城市薄弱区、薄弱类型建筑的调查和评价、重要城区（高密集城区、CBD、重要工业区、商业区、文化遗产保护区等）基本情况调查及抗震能力评价、古建筑及文物抗震保护评价、经济技术开发区抗震防灾评价。</w:t>
      </w:r>
    </w:p>
    <w:p>
      <w:pPr>
        <w:spacing w:line="360" w:lineRule="auto"/>
        <w:ind w:firstLine="420"/>
        <w:rPr>
          <w:rFonts w:ascii="宋体" w:hAnsi="宋体"/>
          <w:sz w:val="24"/>
          <w:szCs w:val="24"/>
        </w:rPr>
      </w:pPr>
      <w:r>
        <w:rPr>
          <w:rFonts w:hint="eastAsia" w:ascii="宋体" w:hAnsi="宋体"/>
          <w:sz w:val="24"/>
          <w:szCs w:val="24"/>
        </w:rPr>
        <w:t>5、城市地震次生灾害评价</w:t>
      </w:r>
    </w:p>
    <w:p>
      <w:pPr>
        <w:spacing w:line="360" w:lineRule="auto"/>
        <w:ind w:firstLine="420"/>
        <w:rPr>
          <w:rFonts w:ascii="宋体" w:hAnsi="宋体"/>
          <w:sz w:val="24"/>
          <w:szCs w:val="24"/>
        </w:rPr>
      </w:pPr>
      <w:r>
        <w:rPr>
          <w:rFonts w:hint="eastAsia" w:ascii="宋体" w:hAnsi="宋体"/>
          <w:sz w:val="24"/>
          <w:szCs w:val="24"/>
        </w:rPr>
        <w:t>城市地震次生灾害评价内容包括：地震次生灾害危险源和危险区的调查分析、地震次生火灾危险性分区评价、消防救灾能力调查和评价、需要重点保障的区域和工程项目的调查和分析、地震引发的水灾、泥石流、滑坡、毒气泄漏扩散、放射性污染事故等潜在影响分析评价以及相应的灾害防御对策与措施。</w:t>
      </w:r>
    </w:p>
    <w:p>
      <w:pPr>
        <w:spacing w:line="360" w:lineRule="auto"/>
        <w:ind w:firstLine="420"/>
        <w:rPr>
          <w:rFonts w:ascii="宋体" w:hAnsi="宋体"/>
          <w:sz w:val="24"/>
          <w:szCs w:val="24"/>
        </w:rPr>
      </w:pPr>
      <w:r>
        <w:rPr>
          <w:rFonts w:hint="eastAsia" w:ascii="宋体" w:hAnsi="宋体"/>
          <w:sz w:val="24"/>
          <w:szCs w:val="24"/>
        </w:rPr>
        <w:t>6、城市避震疏散评价</w:t>
      </w:r>
    </w:p>
    <w:p>
      <w:pPr>
        <w:spacing w:line="360" w:lineRule="auto"/>
        <w:ind w:firstLine="420"/>
        <w:rPr>
          <w:rFonts w:ascii="宋体" w:hAnsi="宋体"/>
          <w:b/>
        </w:rPr>
      </w:pPr>
      <w:r>
        <w:rPr>
          <w:rFonts w:hint="eastAsia" w:ascii="宋体" w:hAnsi="宋体"/>
          <w:sz w:val="24"/>
          <w:szCs w:val="24"/>
        </w:rPr>
        <w:t>充分利用已有的编制成果，在此基础上进行补充与优化，需避震疏散人口数量和分布情况估计、可作避震疏散场所地点评估、避震疏散通道规划及评估、城区疏散通道及避震场所、城区救灾设施评价。</w:t>
      </w:r>
    </w:p>
    <w:p>
      <w:pPr>
        <w:pStyle w:val="3"/>
      </w:pPr>
      <w:bookmarkStart w:id="113" w:name="_Toc417409894"/>
      <w:bookmarkStart w:id="114" w:name="_Toc417410106"/>
      <w:bookmarkStart w:id="115" w:name="_Toc503267571"/>
      <w:r>
        <w:rPr>
          <w:rFonts w:hint="eastAsia"/>
        </w:rPr>
        <w:t>5</w:t>
      </w:r>
      <w:r>
        <w:t xml:space="preserve"> </w:t>
      </w:r>
      <w:r>
        <w:rPr>
          <w:rFonts w:hint="eastAsia"/>
        </w:rPr>
        <w:t>成果构成</w:t>
      </w:r>
      <w:bookmarkEnd w:id="113"/>
      <w:bookmarkEnd w:id="114"/>
      <w:r>
        <w:rPr>
          <w:rFonts w:hint="eastAsia"/>
        </w:rPr>
        <w:t>与验收</w:t>
      </w:r>
      <w:bookmarkEnd w:id="115"/>
    </w:p>
    <w:p>
      <w:pPr>
        <w:pStyle w:val="4"/>
        <w:rPr>
          <w:sz w:val="24"/>
          <w:szCs w:val="24"/>
        </w:rPr>
      </w:pPr>
      <w:bookmarkStart w:id="116" w:name="_Toc503267572"/>
      <w:r>
        <w:rPr>
          <w:rFonts w:hint="eastAsia"/>
          <w:sz w:val="24"/>
          <w:szCs w:val="24"/>
        </w:rPr>
        <w:t>5.1</w:t>
      </w:r>
      <w:r>
        <w:rPr>
          <w:sz w:val="24"/>
          <w:szCs w:val="24"/>
        </w:rPr>
        <w:t xml:space="preserve"> </w:t>
      </w:r>
      <w:r>
        <w:rPr>
          <w:rFonts w:hint="eastAsia"/>
          <w:sz w:val="24"/>
          <w:szCs w:val="24"/>
        </w:rPr>
        <w:t>规划成果构成</w:t>
      </w:r>
      <w:bookmarkEnd w:id="116"/>
    </w:p>
    <w:p>
      <w:pPr>
        <w:spacing w:line="360" w:lineRule="auto"/>
        <w:ind w:firstLine="420"/>
        <w:jc w:val="both"/>
        <w:rPr>
          <w:rFonts w:ascii="宋体" w:hAnsi="宋体"/>
          <w:sz w:val="24"/>
          <w:szCs w:val="24"/>
        </w:rPr>
      </w:pPr>
      <w:r>
        <w:rPr>
          <w:rFonts w:hint="eastAsia" w:ascii="宋体" w:hAnsi="宋体"/>
          <w:sz w:val="24"/>
          <w:szCs w:val="24"/>
        </w:rPr>
        <w:t>规划成果构成：规划文本、图册（PDF 格式）、说明书。</w:t>
      </w:r>
    </w:p>
    <w:p>
      <w:pPr>
        <w:spacing w:line="360" w:lineRule="auto"/>
        <w:ind w:firstLine="420"/>
        <w:jc w:val="both"/>
        <w:rPr>
          <w:rFonts w:ascii="宋体" w:hAnsi="宋体"/>
          <w:sz w:val="24"/>
          <w:szCs w:val="24"/>
        </w:rPr>
      </w:pPr>
      <w:r>
        <w:rPr>
          <w:rFonts w:hint="eastAsia" w:ascii="宋体" w:hAnsi="宋体"/>
          <w:sz w:val="24"/>
          <w:szCs w:val="24"/>
        </w:rPr>
        <w:t>规划成果构成：成果以标准A3 文本形式提供（15 套），所有文件电子版光盘2 张。以上全部规划均应制作计算机文件，文本文件采用MicrosoftWord 的DOC格式文件，图形文件采用AutoCAD.dwg格式文件，如有动画及渲染图等计算机文件，应考虑采用国内普及、通用的应用软件制作。</w:t>
      </w:r>
    </w:p>
    <w:p>
      <w:pPr>
        <w:spacing w:line="360" w:lineRule="auto"/>
        <w:ind w:firstLine="420"/>
        <w:rPr>
          <w:rFonts w:ascii="宋体" w:hAnsi="宋体"/>
          <w:sz w:val="24"/>
          <w:szCs w:val="24"/>
        </w:rPr>
      </w:pPr>
      <w:r>
        <w:rPr>
          <w:rFonts w:hint="eastAsia" w:ascii="宋体" w:hAnsi="宋体"/>
          <w:sz w:val="24"/>
          <w:szCs w:val="24"/>
        </w:rPr>
        <w:t xml:space="preserve">成果图件主要有： </w:t>
      </w:r>
    </w:p>
    <w:p>
      <w:pPr>
        <w:pStyle w:val="28"/>
        <w:numPr>
          <w:ilvl w:val="0"/>
          <w:numId w:val="4"/>
        </w:numPr>
        <w:spacing w:line="360" w:lineRule="auto"/>
        <w:rPr>
          <w:rFonts w:ascii="宋体" w:hAnsi="宋体"/>
          <w:lang w:eastAsia="zh-CN"/>
        </w:rPr>
      </w:pPr>
      <w:r>
        <w:rPr>
          <w:rFonts w:hint="eastAsia" w:ascii="宋体" w:hAnsi="宋体"/>
          <w:lang w:eastAsia="zh-CN"/>
        </w:rPr>
        <w:t xml:space="preserve">城市抗震防灾空间结构 </w:t>
      </w:r>
    </w:p>
    <w:p>
      <w:pPr>
        <w:pStyle w:val="28"/>
        <w:numPr>
          <w:ilvl w:val="0"/>
          <w:numId w:val="4"/>
        </w:numPr>
        <w:spacing w:line="360" w:lineRule="auto"/>
        <w:rPr>
          <w:rFonts w:ascii="宋体" w:hAnsi="宋体"/>
          <w:lang w:eastAsia="zh-CN"/>
        </w:rPr>
      </w:pPr>
      <w:r>
        <w:rPr>
          <w:rFonts w:hint="eastAsia" w:ascii="宋体" w:hAnsi="宋体"/>
          <w:lang w:eastAsia="zh-CN"/>
        </w:rPr>
        <w:t xml:space="preserve">城市抗震防灾空间分区 </w:t>
      </w:r>
    </w:p>
    <w:p>
      <w:pPr>
        <w:pStyle w:val="28"/>
        <w:numPr>
          <w:ilvl w:val="0"/>
          <w:numId w:val="4"/>
        </w:numPr>
        <w:spacing w:line="360" w:lineRule="auto"/>
        <w:rPr>
          <w:rFonts w:ascii="宋体" w:hAnsi="宋体"/>
          <w:lang w:eastAsia="zh-CN"/>
        </w:rPr>
      </w:pPr>
      <w:r>
        <w:rPr>
          <w:rFonts w:hint="eastAsia" w:ascii="宋体" w:hAnsi="宋体"/>
          <w:lang w:eastAsia="zh-CN"/>
        </w:rPr>
        <w:t xml:space="preserve">城市抗震防灾支撑基础设施空间布局 </w:t>
      </w:r>
    </w:p>
    <w:p>
      <w:pPr>
        <w:pStyle w:val="28"/>
        <w:numPr>
          <w:ilvl w:val="0"/>
          <w:numId w:val="4"/>
        </w:numPr>
        <w:spacing w:line="360" w:lineRule="auto"/>
        <w:rPr>
          <w:rFonts w:ascii="宋体" w:hAnsi="宋体"/>
          <w:lang w:eastAsia="zh-CN"/>
        </w:rPr>
      </w:pPr>
      <w:r>
        <w:rPr>
          <w:rFonts w:hint="eastAsia" w:ascii="宋体" w:hAnsi="宋体"/>
          <w:lang w:eastAsia="zh-CN"/>
        </w:rPr>
        <w:t xml:space="preserve">地震场地破坏效应分区图 </w:t>
      </w:r>
    </w:p>
    <w:p>
      <w:pPr>
        <w:pStyle w:val="28"/>
        <w:numPr>
          <w:ilvl w:val="0"/>
          <w:numId w:val="4"/>
        </w:numPr>
        <w:spacing w:line="360" w:lineRule="auto"/>
        <w:rPr>
          <w:rFonts w:ascii="宋体" w:hAnsi="宋体"/>
          <w:lang w:eastAsia="zh-CN"/>
        </w:rPr>
      </w:pPr>
      <w:r>
        <w:rPr>
          <w:rFonts w:hint="eastAsia" w:ascii="宋体" w:hAnsi="宋体"/>
          <w:lang w:eastAsia="zh-CN"/>
        </w:rPr>
        <w:t xml:space="preserve">城市用地抗震类型分区 </w:t>
      </w:r>
    </w:p>
    <w:p>
      <w:pPr>
        <w:pStyle w:val="28"/>
        <w:numPr>
          <w:ilvl w:val="0"/>
          <w:numId w:val="4"/>
        </w:numPr>
        <w:spacing w:line="360" w:lineRule="auto"/>
        <w:rPr>
          <w:rFonts w:ascii="宋体" w:hAnsi="宋体"/>
          <w:lang w:eastAsia="zh-CN"/>
        </w:rPr>
      </w:pPr>
      <w:r>
        <w:rPr>
          <w:rFonts w:hint="eastAsia" w:ascii="宋体" w:hAnsi="宋体"/>
          <w:lang w:eastAsia="zh-CN"/>
        </w:rPr>
        <w:t xml:space="preserve">城市用地防灾适宜性分区 </w:t>
      </w:r>
    </w:p>
    <w:p>
      <w:pPr>
        <w:pStyle w:val="28"/>
        <w:numPr>
          <w:ilvl w:val="0"/>
          <w:numId w:val="4"/>
        </w:numPr>
        <w:spacing w:line="360" w:lineRule="auto"/>
        <w:rPr>
          <w:rFonts w:ascii="宋体" w:hAnsi="宋体"/>
          <w:lang w:eastAsia="zh-CN"/>
        </w:rPr>
      </w:pPr>
      <w:r>
        <w:rPr>
          <w:rFonts w:hint="eastAsia" w:ascii="宋体" w:hAnsi="宋体"/>
          <w:lang w:eastAsia="zh-CN"/>
        </w:rPr>
        <w:t xml:space="preserve">城市基础设施各系统抗震性能评价及应急保障规划 </w:t>
      </w:r>
    </w:p>
    <w:p>
      <w:pPr>
        <w:pStyle w:val="28"/>
        <w:numPr>
          <w:ilvl w:val="0"/>
          <w:numId w:val="4"/>
        </w:numPr>
        <w:spacing w:line="360" w:lineRule="auto"/>
        <w:rPr>
          <w:rFonts w:ascii="宋体" w:hAnsi="宋体"/>
          <w:lang w:eastAsia="zh-CN"/>
        </w:rPr>
      </w:pPr>
      <w:r>
        <w:rPr>
          <w:rFonts w:hint="eastAsia" w:ascii="宋体" w:hAnsi="宋体"/>
          <w:lang w:eastAsia="zh-CN"/>
        </w:rPr>
        <w:t xml:space="preserve">建（构）筑物抗震性能评价图 </w:t>
      </w:r>
    </w:p>
    <w:p>
      <w:pPr>
        <w:pStyle w:val="28"/>
        <w:numPr>
          <w:ilvl w:val="0"/>
          <w:numId w:val="4"/>
        </w:numPr>
        <w:spacing w:line="360" w:lineRule="auto"/>
        <w:rPr>
          <w:rFonts w:ascii="宋体" w:hAnsi="宋体"/>
          <w:lang w:eastAsia="zh-CN"/>
        </w:rPr>
      </w:pPr>
      <w:r>
        <w:rPr>
          <w:rFonts w:hint="eastAsia" w:ascii="宋体" w:hAnsi="宋体"/>
          <w:lang w:eastAsia="zh-CN"/>
        </w:rPr>
        <w:t xml:space="preserve">既有建（构）筑物的抗震加固规划图 </w:t>
      </w:r>
    </w:p>
    <w:p>
      <w:pPr>
        <w:pStyle w:val="28"/>
        <w:numPr>
          <w:ilvl w:val="0"/>
          <w:numId w:val="4"/>
        </w:numPr>
        <w:spacing w:line="360" w:lineRule="auto"/>
        <w:rPr>
          <w:rFonts w:ascii="宋体" w:hAnsi="宋体"/>
          <w:lang w:eastAsia="zh-CN"/>
        </w:rPr>
      </w:pPr>
      <w:r>
        <w:rPr>
          <w:rFonts w:hint="eastAsia" w:ascii="宋体" w:hAnsi="宋体"/>
          <w:lang w:eastAsia="zh-CN"/>
        </w:rPr>
        <w:t xml:space="preserve">城区抗震性能分区评价图 </w:t>
      </w:r>
    </w:p>
    <w:p>
      <w:pPr>
        <w:pStyle w:val="28"/>
        <w:numPr>
          <w:ilvl w:val="0"/>
          <w:numId w:val="4"/>
        </w:numPr>
        <w:spacing w:line="360" w:lineRule="auto"/>
        <w:rPr>
          <w:rFonts w:ascii="宋体" w:hAnsi="宋体"/>
        </w:rPr>
      </w:pPr>
      <w:r>
        <w:rPr>
          <w:rFonts w:hint="eastAsia" w:ascii="宋体" w:hAnsi="宋体"/>
        </w:rPr>
        <w:t xml:space="preserve">城区防灾改造规划图 </w:t>
      </w:r>
    </w:p>
    <w:p>
      <w:pPr>
        <w:pStyle w:val="28"/>
        <w:numPr>
          <w:ilvl w:val="0"/>
          <w:numId w:val="4"/>
        </w:numPr>
        <w:spacing w:line="360" w:lineRule="auto"/>
        <w:rPr>
          <w:rFonts w:ascii="宋体" w:hAnsi="宋体"/>
          <w:lang w:eastAsia="zh-CN"/>
        </w:rPr>
      </w:pPr>
      <w:r>
        <w:rPr>
          <w:rFonts w:hint="eastAsia" w:ascii="宋体" w:hAnsi="宋体"/>
          <w:lang w:eastAsia="zh-CN"/>
        </w:rPr>
        <w:t xml:space="preserve">历史文化建筑抗震保护规划图 </w:t>
      </w:r>
    </w:p>
    <w:p>
      <w:pPr>
        <w:pStyle w:val="28"/>
        <w:numPr>
          <w:ilvl w:val="0"/>
          <w:numId w:val="4"/>
        </w:numPr>
        <w:spacing w:line="360" w:lineRule="auto"/>
        <w:rPr>
          <w:rFonts w:ascii="宋体" w:hAnsi="宋体"/>
          <w:lang w:eastAsia="zh-CN"/>
        </w:rPr>
      </w:pPr>
      <w:r>
        <w:rPr>
          <w:rFonts w:hint="eastAsia" w:ascii="宋体" w:hAnsi="宋体"/>
          <w:lang w:eastAsia="zh-CN"/>
        </w:rPr>
        <w:t xml:space="preserve">地震次生灾害危险源点分布图 </w:t>
      </w:r>
    </w:p>
    <w:p>
      <w:pPr>
        <w:pStyle w:val="28"/>
        <w:numPr>
          <w:ilvl w:val="0"/>
          <w:numId w:val="4"/>
        </w:numPr>
        <w:spacing w:line="360" w:lineRule="auto"/>
        <w:rPr>
          <w:rFonts w:ascii="宋体" w:hAnsi="宋体"/>
          <w:lang w:eastAsia="zh-CN"/>
        </w:rPr>
      </w:pPr>
      <w:r>
        <w:rPr>
          <w:rFonts w:hint="eastAsia" w:ascii="宋体" w:hAnsi="宋体"/>
          <w:lang w:eastAsia="zh-CN"/>
        </w:rPr>
        <w:t xml:space="preserve">次生灾害危险源点改造规划图 </w:t>
      </w:r>
    </w:p>
    <w:p>
      <w:pPr>
        <w:pStyle w:val="28"/>
        <w:numPr>
          <w:ilvl w:val="0"/>
          <w:numId w:val="4"/>
        </w:numPr>
        <w:spacing w:line="360" w:lineRule="auto"/>
        <w:rPr>
          <w:rFonts w:ascii="宋体" w:hAnsi="宋体"/>
        </w:rPr>
      </w:pPr>
      <w:r>
        <w:rPr>
          <w:rFonts w:hint="eastAsia" w:ascii="宋体" w:hAnsi="宋体"/>
        </w:rPr>
        <w:t xml:space="preserve">避震疏散场所布局图 </w:t>
      </w:r>
    </w:p>
    <w:p>
      <w:pPr>
        <w:pStyle w:val="28"/>
        <w:numPr>
          <w:ilvl w:val="0"/>
          <w:numId w:val="4"/>
        </w:numPr>
        <w:spacing w:line="360" w:lineRule="auto"/>
        <w:rPr>
          <w:rFonts w:ascii="宋体" w:hAnsi="宋体"/>
          <w:lang w:eastAsia="zh-CN"/>
        </w:rPr>
      </w:pPr>
      <w:r>
        <w:rPr>
          <w:rFonts w:hint="eastAsia" w:ascii="宋体" w:hAnsi="宋体"/>
          <w:lang w:eastAsia="zh-CN"/>
        </w:rPr>
        <w:t xml:space="preserve">避震疏散责任区划分图 </w:t>
      </w:r>
    </w:p>
    <w:p>
      <w:pPr>
        <w:pStyle w:val="28"/>
        <w:numPr>
          <w:ilvl w:val="0"/>
          <w:numId w:val="4"/>
        </w:numPr>
        <w:spacing w:line="360" w:lineRule="auto"/>
        <w:rPr>
          <w:rFonts w:ascii="宋体" w:hAnsi="宋体"/>
        </w:rPr>
      </w:pPr>
      <w:r>
        <w:rPr>
          <w:rFonts w:hint="eastAsia" w:ascii="宋体" w:hAnsi="宋体"/>
        </w:rPr>
        <w:t xml:space="preserve">避震疏散通道规划图 </w:t>
      </w:r>
    </w:p>
    <w:p>
      <w:pPr>
        <w:pStyle w:val="28"/>
        <w:numPr>
          <w:ilvl w:val="0"/>
          <w:numId w:val="4"/>
        </w:numPr>
        <w:spacing w:line="360" w:lineRule="auto"/>
        <w:rPr>
          <w:rFonts w:ascii="宋体" w:hAnsi="宋体"/>
        </w:rPr>
      </w:pPr>
      <w:r>
        <w:rPr>
          <w:rFonts w:hint="eastAsia" w:ascii="宋体" w:hAnsi="宋体"/>
        </w:rPr>
        <w:t>近期建设规划图</w:t>
      </w:r>
    </w:p>
    <w:p>
      <w:pPr>
        <w:pStyle w:val="4"/>
        <w:rPr>
          <w:sz w:val="24"/>
          <w:szCs w:val="24"/>
        </w:rPr>
      </w:pPr>
      <w:bookmarkStart w:id="117" w:name="_Toc503267573"/>
      <w:r>
        <w:rPr>
          <w:sz w:val="24"/>
          <w:szCs w:val="24"/>
        </w:rPr>
        <w:t>5.</w:t>
      </w:r>
      <w:r>
        <w:rPr>
          <w:rFonts w:hint="eastAsia"/>
          <w:sz w:val="24"/>
          <w:szCs w:val="24"/>
        </w:rPr>
        <w:t>2 成果验收方式：</w:t>
      </w:r>
      <w:bookmarkEnd w:id="117"/>
    </w:p>
    <w:p>
      <w:pPr>
        <w:spacing w:line="360" w:lineRule="auto"/>
        <w:jc w:val="both"/>
        <w:rPr>
          <w:rFonts w:ascii="宋体" w:hAnsi="宋体"/>
          <w:sz w:val="24"/>
          <w:szCs w:val="24"/>
        </w:rPr>
      </w:pPr>
      <w:r>
        <w:rPr>
          <w:rFonts w:hint="eastAsia" w:ascii="宋体" w:hAnsi="宋体"/>
          <w:sz w:val="24"/>
          <w:szCs w:val="24"/>
        </w:rPr>
        <w:t>（1）项目以最终成果通过由甲方组织的评审为完成标志。</w:t>
      </w:r>
    </w:p>
    <w:p>
      <w:pPr>
        <w:spacing w:line="360" w:lineRule="auto"/>
        <w:jc w:val="both"/>
        <w:rPr>
          <w:rFonts w:ascii="宋体" w:hAnsi="宋体"/>
          <w:sz w:val="24"/>
          <w:szCs w:val="24"/>
        </w:rPr>
      </w:pPr>
      <w:r>
        <w:rPr>
          <w:rFonts w:hint="eastAsia" w:ascii="宋体" w:hAnsi="宋体"/>
          <w:sz w:val="24"/>
          <w:szCs w:val="24"/>
        </w:rPr>
        <w:t>（2）项目的最终评审</w:t>
      </w:r>
    </w:p>
    <w:p>
      <w:pPr>
        <w:spacing w:line="360" w:lineRule="auto"/>
        <w:jc w:val="both"/>
        <w:rPr>
          <w:rFonts w:ascii="宋体" w:hAnsi="宋体"/>
          <w:sz w:val="24"/>
          <w:szCs w:val="24"/>
        </w:rPr>
      </w:pPr>
      <w:r>
        <w:rPr>
          <w:rFonts w:hint="eastAsia" w:ascii="宋体" w:hAnsi="宋体"/>
          <w:sz w:val="24"/>
          <w:szCs w:val="24"/>
        </w:rPr>
        <w:t>按照国家相关规定，对项目成果进行全面评审，评审项目的成果水平，是否满足双方拟签订的项目合同要求。</w:t>
      </w:r>
    </w:p>
    <w:p>
      <w:pPr>
        <w:spacing w:line="360" w:lineRule="auto"/>
        <w:jc w:val="both"/>
        <w:rPr>
          <w:rFonts w:ascii="宋体" w:hAnsi="宋体"/>
          <w:sz w:val="24"/>
          <w:szCs w:val="24"/>
        </w:rPr>
      </w:pPr>
      <w:r>
        <w:rPr>
          <w:rFonts w:hint="eastAsia" w:ascii="宋体" w:hAnsi="宋体"/>
          <w:sz w:val="24"/>
          <w:szCs w:val="24"/>
        </w:rPr>
        <w:t>（3）评审组织：河南省住房和城乡建设厅组织</w:t>
      </w:r>
    </w:p>
    <w:p>
      <w:pPr>
        <w:spacing w:line="360" w:lineRule="auto"/>
        <w:jc w:val="both"/>
        <w:rPr>
          <w:rFonts w:ascii="宋体" w:hAnsi="宋体"/>
          <w:sz w:val="24"/>
          <w:szCs w:val="24"/>
        </w:rPr>
      </w:pPr>
      <w:r>
        <w:rPr>
          <w:rFonts w:hint="eastAsia" w:ascii="宋体" w:hAnsi="宋体"/>
          <w:sz w:val="24"/>
          <w:szCs w:val="24"/>
        </w:rPr>
        <w:t>（4）评审级别：省级</w:t>
      </w:r>
    </w:p>
    <w:p>
      <w:pPr>
        <w:spacing w:line="360" w:lineRule="auto"/>
        <w:jc w:val="both"/>
        <w:rPr>
          <w:rFonts w:ascii="宋体" w:hAnsi="宋体"/>
          <w:sz w:val="24"/>
          <w:szCs w:val="24"/>
        </w:rPr>
      </w:pPr>
      <w:r>
        <w:rPr>
          <w:rFonts w:hint="eastAsia" w:ascii="宋体" w:hAnsi="宋体"/>
          <w:sz w:val="24"/>
          <w:szCs w:val="24"/>
        </w:rPr>
        <w:t>（5）评审方式：采用会议评审</w:t>
      </w:r>
    </w:p>
    <w:p>
      <w:pPr>
        <w:spacing w:line="360" w:lineRule="auto"/>
        <w:jc w:val="both"/>
        <w:rPr>
          <w:rFonts w:ascii="宋体" w:hAnsi="宋体"/>
          <w:sz w:val="24"/>
          <w:szCs w:val="24"/>
        </w:rPr>
      </w:pPr>
      <w:r>
        <w:rPr>
          <w:rFonts w:hint="eastAsia" w:ascii="宋体" w:hAnsi="宋体"/>
          <w:sz w:val="24"/>
          <w:szCs w:val="24"/>
        </w:rPr>
        <w:t>（6）评审时间：在项目的研究完成后，由双方共同商定。</w:t>
      </w:r>
    </w:p>
    <w:p>
      <w:pPr>
        <w:pStyle w:val="3"/>
      </w:pPr>
      <w:bookmarkStart w:id="118" w:name="_Toc503267574"/>
      <w:r>
        <w:rPr>
          <w:rFonts w:hint="eastAsia"/>
        </w:rPr>
        <w:t>6 规划编制进度计划与实施措施</w:t>
      </w:r>
      <w:bookmarkEnd w:id="118"/>
    </w:p>
    <w:bookmarkEnd w:id="12"/>
    <w:bookmarkEnd w:id="13"/>
    <w:bookmarkEnd w:id="14"/>
    <w:bookmarkEnd w:id="15"/>
    <w:bookmarkEnd w:id="16"/>
    <w:bookmarkEnd w:id="17"/>
    <w:bookmarkEnd w:id="18"/>
    <w:p>
      <w:pPr>
        <w:pStyle w:val="4"/>
        <w:rPr>
          <w:sz w:val="24"/>
          <w:szCs w:val="24"/>
        </w:rPr>
      </w:pPr>
      <w:bookmarkStart w:id="119" w:name="_Toc503267575"/>
      <w:r>
        <w:rPr>
          <w:rFonts w:hint="eastAsia"/>
          <w:sz w:val="24"/>
          <w:szCs w:val="24"/>
        </w:rPr>
        <w:t>6.1 规划编制进度计划</w:t>
      </w:r>
      <w:bookmarkEnd w:id="119"/>
    </w:p>
    <w:p>
      <w:pPr>
        <w:spacing w:line="360" w:lineRule="auto"/>
        <w:ind w:firstLine="420"/>
        <w:jc w:val="both"/>
        <w:rPr>
          <w:rFonts w:ascii="宋体" w:hAnsi="宋体"/>
          <w:sz w:val="24"/>
          <w:szCs w:val="24"/>
        </w:rPr>
      </w:pPr>
      <w:r>
        <w:rPr>
          <w:rFonts w:hint="eastAsia" w:ascii="宋体" w:hAnsi="宋体"/>
          <w:sz w:val="24"/>
          <w:szCs w:val="24"/>
        </w:rPr>
        <w:t xml:space="preserve">本次抗震防灾规划编制中将针对许昌市实际特点，在满足相关国家法律法规和技术标准的基础上，并按照招标文件中的相关要求进行。制定的基本工作流程如图6.1所示。各部分的技术路线在下面整体设想和策划中进行详述。 </w:t>
      </w:r>
    </w:p>
    <w:p>
      <w:pPr>
        <w:pStyle w:val="25"/>
      </w:pPr>
      <w:r>
        <w:rPr>
          <w:rFonts w:hint="eastAsia"/>
        </w:rPr>
        <w:object>
          <v:shape id="_x0000_i1031" o:spt="75" type="#_x0000_t75" style="height:372.65pt;width:306.5pt;" o:ole="t" filled="f" o:preferrelative="t" stroked="f" coordsize="21600,21600">
            <v:path/>
            <v:fill on="f" focussize="0,0"/>
            <v:stroke on="f" joinstyle="miter"/>
            <v:imagedata r:id="rId29" o:title=""/>
            <o:lock v:ext="edit" aspectratio="f"/>
            <w10:wrap type="none"/>
            <w10:anchorlock/>
          </v:shape>
          <o:OLEObject Type="Embed" ProgID="Visio.Drawing.11" ShapeID="_x0000_i1031" DrawAspect="Content" ObjectID="_1468075731" r:id="rId28">
            <o:LockedField>false</o:LockedField>
          </o:OLEObject>
        </w:object>
      </w:r>
    </w:p>
    <w:p>
      <w:pPr>
        <w:pStyle w:val="25"/>
        <w:ind w:firstLine="480"/>
        <w:jc w:val="center"/>
        <w:rPr>
          <w:sz w:val="24"/>
        </w:rPr>
      </w:pPr>
      <w:bookmarkStart w:id="120" w:name="_Toc18870"/>
      <w:bookmarkStart w:id="121" w:name="_Toc25679"/>
      <w:bookmarkStart w:id="122" w:name="_Toc2227"/>
      <w:bookmarkStart w:id="123" w:name="_Toc2668"/>
      <w:bookmarkStart w:id="124" w:name="_Toc6745"/>
      <w:bookmarkStart w:id="125" w:name="_Toc25903"/>
      <w:r>
        <w:rPr>
          <w:rFonts w:hint="eastAsia"/>
          <w:sz w:val="24"/>
        </w:rPr>
        <w:t>图6.1 项目基本工作流程</w:t>
      </w:r>
      <w:bookmarkEnd w:id="120"/>
      <w:bookmarkEnd w:id="121"/>
      <w:bookmarkEnd w:id="122"/>
      <w:bookmarkEnd w:id="123"/>
      <w:bookmarkEnd w:id="124"/>
      <w:bookmarkEnd w:id="125"/>
    </w:p>
    <w:p>
      <w:pPr>
        <w:pStyle w:val="25"/>
        <w:ind w:firstLine="482"/>
        <w:rPr>
          <w:rFonts w:asciiTheme="minorEastAsia" w:hAnsiTheme="minorEastAsia" w:eastAsiaTheme="minorEastAsia"/>
          <w:b/>
          <w:sz w:val="24"/>
          <w:szCs w:val="24"/>
        </w:rPr>
      </w:pPr>
      <w:bookmarkStart w:id="126" w:name="_Toc111"/>
      <w:bookmarkStart w:id="127" w:name="_Toc9195"/>
      <w:bookmarkStart w:id="128" w:name="_Toc15796"/>
      <w:bookmarkStart w:id="129" w:name="_Toc11092"/>
      <w:bookmarkStart w:id="130" w:name="_Toc7741"/>
      <w:bookmarkStart w:id="131" w:name="_Toc25434"/>
      <w:bookmarkStart w:id="132" w:name="_Toc29132"/>
      <w:r>
        <w:rPr>
          <w:rFonts w:hint="eastAsia" w:asciiTheme="minorEastAsia" w:hAnsiTheme="minorEastAsia" w:eastAsiaTheme="minorEastAsia"/>
          <w:b/>
          <w:sz w:val="24"/>
          <w:szCs w:val="24"/>
        </w:rPr>
        <w:t>规划编制工作计划</w:t>
      </w:r>
      <w:bookmarkEnd w:id="126"/>
      <w:bookmarkEnd w:id="127"/>
      <w:bookmarkEnd w:id="128"/>
      <w:bookmarkEnd w:id="129"/>
      <w:bookmarkEnd w:id="130"/>
      <w:bookmarkEnd w:id="131"/>
      <w:bookmarkEnd w:id="132"/>
    </w:p>
    <w:p>
      <w:pPr>
        <w:pStyle w:val="25"/>
        <w:ind w:firstLine="480"/>
        <w:rPr>
          <w:rFonts w:asciiTheme="minorEastAsia" w:hAnsiTheme="minorEastAsia" w:eastAsiaTheme="minorEastAsia"/>
          <w:sz w:val="24"/>
          <w:szCs w:val="24"/>
        </w:rPr>
      </w:pPr>
      <w:r>
        <w:rPr>
          <w:rFonts w:hint="eastAsia" w:asciiTheme="minorEastAsia" w:hAnsiTheme="minorEastAsia" w:eastAsiaTheme="minorEastAsia"/>
          <w:sz w:val="24"/>
          <w:szCs w:val="24"/>
        </w:rPr>
        <w:t xml:space="preserve">第1~2个月：开展基础资料收集、整理与分析，并提出补充勘察方案； </w:t>
      </w:r>
    </w:p>
    <w:p>
      <w:pPr>
        <w:pStyle w:val="25"/>
        <w:ind w:firstLine="480"/>
        <w:rPr>
          <w:rFonts w:asciiTheme="minorEastAsia" w:hAnsiTheme="minorEastAsia" w:eastAsiaTheme="minorEastAsia"/>
          <w:sz w:val="24"/>
          <w:szCs w:val="24"/>
        </w:rPr>
      </w:pPr>
      <w:r>
        <w:rPr>
          <w:rFonts w:hint="eastAsia" w:asciiTheme="minorEastAsia" w:hAnsiTheme="minorEastAsia" w:eastAsiaTheme="minorEastAsia"/>
          <w:sz w:val="24"/>
          <w:szCs w:val="24"/>
        </w:rPr>
        <w:t>2018年</w:t>
      </w:r>
      <w:r>
        <w:rPr>
          <w:rFonts w:asciiTheme="minorEastAsia" w:hAnsiTheme="minorEastAsia" w:eastAsiaTheme="minorEastAsia"/>
          <w:sz w:val="24"/>
          <w:szCs w:val="24"/>
        </w:rPr>
        <w:t>2</w:t>
      </w:r>
      <w:r>
        <w:rPr>
          <w:rFonts w:hint="eastAsia" w:asciiTheme="minorEastAsia" w:hAnsiTheme="minorEastAsia" w:eastAsiaTheme="minorEastAsia"/>
          <w:sz w:val="24"/>
          <w:szCs w:val="24"/>
        </w:rPr>
        <w:t xml:space="preserve">月前完成前期准备及现状调查； </w:t>
      </w:r>
    </w:p>
    <w:p>
      <w:pPr>
        <w:pStyle w:val="25"/>
        <w:ind w:firstLine="480"/>
        <w:rPr>
          <w:rFonts w:asciiTheme="minorEastAsia" w:hAnsiTheme="minorEastAsia" w:eastAsiaTheme="minorEastAsia"/>
          <w:sz w:val="24"/>
          <w:szCs w:val="24"/>
        </w:rPr>
      </w:pPr>
      <w:r>
        <w:rPr>
          <w:rFonts w:hint="eastAsia" w:asciiTheme="minorEastAsia" w:hAnsiTheme="minorEastAsia" w:eastAsiaTheme="minorEastAsia"/>
          <w:sz w:val="24"/>
          <w:szCs w:val="24"/>
        </w:rPr>
        <w:t>第</w:t>
      </w:r>
      <w:r>
        <w:rPr>
          <w:rFonts w:asciiTheme="minorEastAsia" w:hAnsiTheme="minorEastAsia" w:eastAsiaTheme="minorEastAsia"/>
          <w:sz w:val="24"/>
          <w:szCs w:val="24"/>
        </w:rPr>
        <w:t>2</w:t>
      </w:r>
      <w:r>
        <w:rPr>
          <w:rFonts w:hint="eastAsia" w:asciiTheme="minorEastAsia" w:hAnsiTheme="minorEastAsia" w:eastAsiaTheme="minorEastAsia"/>
          <w:sz w:val="24"/>
          <w:szCs w:val="24"/>
        </w:rPr>
        <w:t>~</w:t>
      </w:r>
      <w:r>
        <w:rPr>
          <w:rFonts w:asciiTheme="minorEastAsia" w:hAnsiTheme="minorEastAsia" w:eastAsiaTheme="minorEastAsia"/>
          <w:sz w:val="24"/>
          <w:szCs w:val="24"/>
        </w:rPr>
        <w:t>6</w:t>
      </w:r>
      <w:r>
        <w:rPr>
          <w:rFonts w:hint="eastAsia" w:asciiTheme="minorEastAsia" w:hAnsiTheme="minorEastAsia" w:eastAsiaTheme="minorEastAsia"/>
          <w:sz w:val="24"/>
          <w:szCs w:val="24"/>
        </w:rPr>
        <w:t xml:space="preserve">个月：根据基础资料的收集与分析，开展专题研究，同时形成规划总体框架，开展许昌市抗震防灾规划编制，形成规划初稿； </w:t>
      </w:r>
    </w:p>
    <w:p>
      <w:pPr>
        <w:pStyle w:val="25"/>
        <w:ind w:firstLine="480"/>
        <w:rPr>
          <w:rFonts w:asciiTheme="minorEastAsia" w:hAnsiTheme="minorEastAsia" w:eastAsiaTheme="minorEastAsia"/>
          <w:sz w:val="24"/>
          <w:szCs w:val="24"/>
        </w:rPr>
      </w:pPr>
      <w:r>
        <w:rPr>
          <w:rFonts w:hint="eastAsia" w:asciiTheme="minorEastAsia" w:hAnsiTheme="minorEastAsia" w:eastAsiaTheme="minorEastAsia"/>
          <w:sz w:val="24"/>
          <w:szCs w:val="24"/>
        </w:rPr>
        <w:t>2018年</w:t>
      </w:r>
      <w:r>
        <w:rPr>
          <w:rFonts w:asciiTheme="minorEastAsia" w:hAnsiTheme="minorEastAsia" w:eastAsiaTheme="minorEastAsia"/>
          <w:sz w:val="24"/>
          <w:szCs w:val="24"/>
        </w:rPr>
        <w:t>7</w:t>
      </w:r>
      <w:r>
        <w:rPr>
          <w:rFonts w:hint="eastAsia" w:asciiTheme="minorEastAsia" w:hAnsiTheme="minorEastAsia" w:eastAsiaTheme="minorEastAsia"/>
          <w:sz w:val="24"/>
          <w:szCs w:val="24"/>
        </w:rPr>
        <w:t xml:space="preserve">月前完成规划初稿； </w:t>
      </w:r>
    </w:p>
    <w:p>
      <w:pPr>
        <w:pStyle w:val="25"/>
        <w:ind w:firstLine="480"/>
        <w:rPr>
          <w:rFonts w:asciiTheme="minorEastAsia" w:hAnsiTheme="minorEastAsia" w:eastAsiaTheme="minorEastAsia"/>
          <w:sz w:val="24"/>
          <w:szCs w:val="24"/>
        </w:rPr>
      </w:pPr>
      <w:r>
        <w:rPr>
          <w:rFonts w:hint="eastAsia" w:asciiTheme="minorEastAsia" w:hAnsiTheme="minorEastAsia" w:eastAsiaTheme="minorEastAsia"/>
          <w:sz w:val="24"/>
          <w:szCs w:val="24"/>
        </w:rPr>
        <w:t>第4~</w:t>
      </w:r>
      <w:r>
        <w:rPr>
          <w:rFonts w:asciiTheme="minorEastAsia" w:hAnsiTheme="minorEastAsia" w:eastAsiaTheme="minorEastAsia"/>
          <w:sz w:val="24"/>
          <w:szCs w:val="24"/>
        </w:rPr>
        <w:t>10</w:t>
      </w:r>
      <w:r>
        <w:rPr>
          <w:rFonts w:hint="eastAsia" w:asciiTheme="minorEastAsia" w:hAnsiTheme="minorEastAsia" w:eastAsiaTheme="minorEastAsia"/>
          <w:sz w:val="24"/>
          <w:szCs w:val="24"/>
        </w:rPr>
        <w:t>个月：与采购人进行规划编制稿的沟通与修改完善形成规划编制征求意见稿；对规划编制征求意见稿进行全市范围内相关部门的意见征求，并修改完善形成规划编制论证稿；</w:t>
      </w:r>
    </w:p>
    <w:p>
      <w:pPr>
        <w:pStyle w:val="25"/>
        <w:ind w:firstLine="480"/>
        <w:rPr>
          <w:rFonts w:asciiTheme="minorEastAsia" w:hAnsiTheme="minorEastAsia" w:eastAsiaTheme="minorEastAsia"/>
          <w:sz w:val="24"/>
          <w:szCs w:val="24"/>
        </w:rPr>
      </w:pPr>
      <w:r>
        <w:rPr>
          <w:rFonts w:hint="eastAsia" w:cs="宋体" w:asciiTheme="minorEastAsia" w:hAnsiTheme="minorEastAsia" w:eastAsiaTheme="minorEastAsia"/>
          <w:sz w:val="24"/>
          <w:szCs w:val="24"/>
        </w:rPr>
        <w:t>2018年1</w:t>
      </w:r>
      <w:r>
        <w:rPr>
          <w:rFonts w:cs="宋体" w:asciiTheme="minorEastAsia" w:hAnsiTheme="minorEastAsia" w:eastAsiaTheme="minorEastAsia"/>
          <w:sz w:val="24"/>
          <w:szCs w:val="24"/>
        </w:rPr>
        <w:t>1</w:t>
      </w:r>
      <w:r>
        <w:rPr>
          <w:rFonts w:hint="eastAsia" w:cs="宋体" w:asciiTheme="minorEastAsia" w:hAnsiTheme="minorEastAsia" w:eastAsiaTheme="minorEastAsia"/>
          <w:sz w:val="24"/>
          <w:szCs w:val="24"/>
        </w:rPr>
        <w:t>月提交规划评审稿；</w:t>
      </w:r>
    </w:p>
    <w:p>
      <w:pPr>
        <w:pStyle w:val="25"/>
        <w:ind w:firstLine="480"/>
        <w:rPr>
          <w:rFonts w:asciiTheme="minorEastAsia" w:hAnsiTheme="minorEastAsia" w:eastAsiaTheme="minorEastAsia"/>
          <w:sz w:val="24"/>
          <w:szCs w:val="24"/>
        </w:rPr>
      </w:pPr>
      <w:r>
        <w:rPr>
          <w:rFonts w:hint="eastAsia" w:asciiTheme="minorEastAsia" w:hAnsiTheme="minorEastAsia" w:eastAsiaTheme="minorEastAsia"/>
          <w:sz w:val="24"/>
          <w:szCs w:val="24"/>
        </w:rPr>
        <w:t>第</w:t>
      </w:r>
      <w:r>
        <w:rPr>
          <w:rFonts w:asciiTheme="minorEastAsia" w:hAnsiTheme="minorEastAsia" w:eastAsiaTheme="minorEastAsia"/>
          <w:sz w:val="24"/>
          <w:szCs w:val="24"/>
        </w:rPr>
        <w:t>10-11</w:t>
      </w:r>
      <w:r>
        <w:rPr>
          <w:rFonts w:hint="eastAsia" w:asciiTheme="minorEastAsia" w:hAnsiTheme="minorEastAsia" w:eastAsiaTheme="minorEastAsia"/>
          <w:sz w:val="24"/>
          <w:szCs w:val="24"/>
        </w:rPr>
        <w:t>个月，完成规划论证，形成规划正式成果；</w:t>
      </w:r>
    </w:p>
    <w:p>
      <w:pPr>
        <w:pStyle w:val="25"/>
        <w:ind w:firstLine="480"/>
        <w:rPr>
          <w:rFonts w:asciiTheme="minorEastAsia" w:hAnsiTheme="minorEastAsia" w:eastAsiaTheme="minorEastAsia"/>
          <w:sz w:val="24"/>
          <w:szCs w:val="24"/>
        </w:rPr>
      </w:pPr>
      <w:r>
        <w:rPr>
          <w:rFonts w:hint="eastAsia" w:asciiTheme="minorEastAsia" w:hAnsiTheme="minorEastAsia" w:eastAsiaTheme="minorEastAsia"/>
          <w:sz w:val="24"/>
          <w:szCs w:val="24"/>
        </w:rPr>
        <w:t>第1</w:t>
      </w:r>
      <w:r>
        <w:rPr>
          <w:rFonts w:asciiTheme="minorEastAsia" w:hAnsiTheme="minorEastAsia" w:eastAsiaTheme="minorEastAsia"/>
          <w:sz w:val="24"/>
          <w:szCs w:val="24"/>
        </w:rPr>
        <w:t>2</w:t>
      </w:r>
      <w:r>
        <w:rPr>
          <w:rFonts w:hint="eastAsia" w:asciiTheme="minorEastAsia" w:hAnsiTheme="minorEastAsia" w:eastAsiaTheme="minorEastAsia"/>
          <w:sz w:val="24"/>
          <w:szCs w:val="24"/>
        </w:rPr>
        <w:t>个月，进行项目公示。公示、评审验收2个月。</w:t>
      </w:r>
    </w:p>
    <w:p>
      <w:pPr>
        <w:pStyle w:val="25"/>
        <w:ind w:firstLine="480"/>
        <w:rPr>
          <w:rFonts w:asciiTheme="minorEastAsia" w:hAnsiTheme="minorEastAsia" w:eastAsiaTheme="minorEastAsia"/>
          <w:sz w:val="24"/>
          <w:szCs w:val="24"/>
        </w:rPr>
      </w:pPr>
      <w:bookmarkStart w:id="133" w:name="_Toc12280"/>
      <w:bookmarkStart w:id="134" w:name="_Toc5579"/>
      <w:bookmarkStart w:id="135" w:name="_Toc10658"/>
      <w:bookmarkStart w:id="136" w:name="_Toc15562"/>
      <w:bookmarkStart w:id="137" w:name="_Toc22430"/>
      <w:bookmarkStart w:id="138" w:name="_Toc6429"/>
      <w:bookmarkStart w:id="139" w:name="_Toc16165"/>
      <w:r>
        <w:rPr>
          <w:rFonts w:hint="eastAsia" w:asciiTheme="minorEastAsia" w:hAnsiTheme="minorEastAsia" w:eastAsiaTheme="minorEastAsia"/>
          <w:sz w:val="24"/>
          <w:szCs w:val="24"/>
        </w:rPr>
        <w:t>2.2 进度安排</w:t>
      </w:r>
      <w:bookmarkEnd w:id="133"/>
      <w:bookmarkEnd w:id="134"/>
      <w:bookmarkEnd w:id="135"/>
      <w:bookmarkEnd w:id="136"/>
      <w:bookmarkEnd w:id="137"/>
      <w:bookmarkEnd w:id="138"/>
      <w:bookmarkEnd w:id="139"/>
    </w:p>
    <w:tbl>
      <w:tblPr>
        <w:tblStyle w:val="19"/>
        <w:tblW w:w="8905"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716"/>
        <w:gridCol w:w="595"/>
        <w:gridCol w:w="608"/>
        <w:gridCol w:w="527"/>
        <w:gridCol w:w="567"/>
        <w:gridCol w:w="514"/>
        <w:gridCol w:w="540"/>
        <w:gridCol w:w="83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4716" w:type="dxa"/>
            <w:vAlign w:val="center"/>
          </w:tcPr>
          <w:p>
            <w:pPr>
              <w:pStyle w:val="25"/>
              <w:widowControl w:val="0"/>
              <w:spacing w:line="240" w:lineRule="auto"/>
              <w:ind w:firstLine="0" w:firstLineChars="0"/>
              <w:jc w:val="center"/>
              <w:rPr>
                <w:rFonts w:eastAsia="Times New Roman"/>
                <w:b/>
                <w:sz w:val="24"/>
                <w:szCs w:val="24"/>
              </w:rPr>
            </w:pPr>
            <w:r>
              <w:rPr>
                <w:rFonts w:hint="eastAsia" w:eastAsia="Times New Roman"/>
                <w:b/>
                <w:sz w:val="24"/>
                <w:szCs w:val="24"/>
              </w:rPr>
              <w:t>工作内容</w:t>
            </w:r>
          </w:p>
        </w:tc>
        <w:tc>
          <w:tcPr>
            <w:tcW w:w="595" w:type="dxa"/>
            <w:vAlign w:val="center"/>
          </w:tcPr>
          <w:p>
            <w:pPr>
              <w:pStyle w:val="25"/>
              <w:widowControl w:val="0"/>
              <w:spacing w:line="240" w:lineRule="auto"/>
              <w:ind w:firstLine="0" w:firstLineChars="0"/>
              <w:jc w:val="left"/>
              <w:rPr>
                <w:rFonts w:eastAsia="Times New Roman"/>
                <w:b/>
                <w:sz w:val="24"/>
                <w:szCs w:val="24"/>
              </w:rPr>
            </w:pPr>
            <w:r>
              <w:rPr>
                <w:rFonts w:hint="eastAsia" w:eastAsia="Times New Roman"/>
                <w:b/>
                <w:sz w:val="24"/>
                <w:szCs w:val="24"/>
              </w:rPr>
              <w:t>1</w:t>
            </w:r>
          </w:p>
        </w:tc>
        <w:tc>
          <w:tcPr>
            <w:tcW w:w="608" w:type="dxa"/>
            <w:vAlign w:val="center"/>
          </w:tcPr>
          <w:p>
            <w:pPr>
              <w:pStyle w:val="25"/>
              <w:widowControl w:val="0"/>
              <w:spacing w:line="240" w:lineRule="auto"/>
              <w:ind w:firstLine="0" w:firstLineChars="0"/>
              <w:jc w:val="left"/>
              <w:rPr>
                <w:rFonts w:eastAsia="Times New Roman"/>
                <w:b/>
                <w:sz w:val="24"/>
                <w:szCs w:val="24"/>
              </w:rPr>
            </w:pPr>
            <w:r>
              <w:rPr>
                <w:rFonts w:hint="eastAsia" w:eastAsia="Times New Roman"/>
                <w:b/>
                <w:sz w:val="24"/>
                <w:szCs w:val="24"/>
              </w:rPr>
              <w:t>2</w:t>
            </w:r>
          </w:p>
        </w:tc>
        <w:tc>
          <w:tcPr>
            <w:tcW w:w="527" w:type="dxa"/>
            <w:vAlign w:val="center"/>
          </w:tcPr>
          <w:p>
            <w:pPr>
              <w:pStyle w:val="25"/>
              <w:widowControl w:val="0"/>
              <w:spacing w:line="240" w:lineRule="auto"/>
              <w:ind w:firstLine="0" w:firstLineChars="0"/>
              <w:jc w:val="left"/>
              <w:rPr>
                <w:rFonts w:eastAsia="Times New Roman"/>
                <w:b/>
                <w:sz w:val="24"/>
                <w:szCs w:val="24"/>
              </w:rPr>
            </w:pPr>
            <w:r>
              <w:rPr>
                <w:rFonts w:eastAsia="Times New Roman"/>
                <w:b/>
                <w:sz w:val="24"/>
                <w:szCs w:val="24"/>
              </w:rPr>
              <w:t>3</w:t>
            </w:r>
          </w:p>
        </w:tc>
        <w:tc>
          <w:tcPr>
            <w:tcW w:w="567" w:type="dxa"/>
            <w:vAlign w:val="center"/>
          </w:tcPr>
          <w:p>
            <w:pPr>
              <w:pStyle w:val="25"/>
              <w:widowControl w:val="0"/>
              <w:spacing w:line="240" w:lineRule="auto"/>
              <w:ind w:firstLine="0" w:firstLineChars="0"/>
              <w:jc w:val="left"/>
              <w:rPr>
                <w:rFonts w:eastAsia="Times New Roman"/>
                <w:b/>
                <w:sz w:val="24"/>
                <w:szCs w:val="24"/>
              </w:rPr>
            </w:pPr>
            <w:r>
              <w:rPr>
                <w:rFonts w:eastAsia="Times New Roman"/>
                <w:b/>
                <w:sz w:val="24"/>
                <w:szCs w:val="24"/>
              </w:rPr>
              <w:t>4</w:t>
            </w:r>
          </w:p>
        </w:tc>
        <w:tc>
          <w:tcPr>
            <w:tcW w:w="514" w:type="dxa"/>
            <w:vAlign w:val="center"/>
          </w:tcPr>
          <w:p>
            <w:pPr>
              <w:pStyle w:val="25"/>
              <w:widowControl w:val="0"/>
              <w:spacing w:line="240" w:lineRule="auto"/>
              <w:ind w:firstLine="0" w:firstLineChars="0"/>
              <w:jc w:val="left"/>
              <w:rPr>
                <w:rFonts w:eastAsia="Times New Roman"/>
                <w:b/>
                <w:sz w:val="24"/>
                <w:szCs w:val="24"/>
              </w:rPr>
            </w:pPr>
            <w:r>
              <w:rPr>
                <w:rFonts w:eastAsia="Times New Roman"/>
                <w:b/>
                <w:sz w:val="24"/>
                <w:szCs w:val="24"/>
              </w:rPr>
              <w:t>5</w:t>
            </w:r>
          </w:p>
        </w:tc>
        <w:tc>
          <w:tcPr>
            <w:tcW w:w="540" w:type="dxa"/>
            <w:vAlign w:val="center"/>
          </w:tcPr>
          <w:p>
            <w:pPr>
              <w:pStyle w:val="25"/>
              <w:widowControl w:val="0"/>
              <w:spacing w:line="240" w:lineRule="auto"/>
              <w:ind w:firstLine="0" w:firstLineChars="0"/>
              <w:jc w:val="left"/>
              <w:rPr>
                <w:rFonts w:eastAsia="Times New Roman"/>
                <w:b/>
                <w:sz w:val="24"/>
                <w:szCs w:val="24"/>
              </w:rPr>
            </w:pPr>
            <w:r>
              <w:rPr>
                <w:rFonts w:eastAsia="Times New Roman"/>
                <w:b/>
                <w:sz w:val="24"/>
                <w:szCs w:val="24"/>
              </w:rPr>
              <w:t>6</w:t>
            </w:r>
          </w:p>
        </w:tc>
        <w:tc>
          <w:tcPr>
            <w:tcW w:w="838" w:type="dxa"/>
            <w:vAlign w:val="center"/>
          </w:tcPr>
          <w:p>
            <w:pPr>
              <w:pStyle w:val="25"/>
              <w:widowControl w:val="0"/>
              <w:spacing w:line="240" w:lineRule="auto"/>
              <w:ind w:firstLine="0" w:firstLineChars="0"/>
              <w:jc w:val="left"/>
              <w:rPr>
                <w:rFonts w:eastAsia="Times New Roman"/>
                <w:b/>
                <w:sz w:val="24"/>
                <w:szCs w:val="24"/>
              </w:rPr>
            </w:pPr>
            <w:r>
              <w:rPr>
                <w:rFonts w:eastAsia="Times New Roman"/>
                <w:b/>
                <w:sz w:val="24"/>
                <w:szCs w:val="24"/>
              </w:rPr>
              <w:t>7-10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90" w:hRule="atLeast"/>
          <w:jc w:val="center"/>
        </w:trPr>
        <w:tc>
          <w:tcPr>
            <w:tcW w:w="4716" w:type="dxa"/>
          </w:tcPr>
          <w:p>
            <w:pPr>
              <w:pStyle w:val="25"/>
              <w:widowControl w:val="0"/>
              <w:ind w:firstLine="0" w:firstLineChars="0"/>
              <w:jc w:val="both"/>
              <w:rPr>
                <w:rFonts w:cs="宋体"/>
                <w:sz w:val="24"/>
                <w:szCs w:val="24"/>
              </w:rPr>
            </w:pPr>
            <w:r>
              <w:rPr>
                <w:rFonts w:hint="eastAsia" w:cs="宋体"/>
                <w:sz w:val="24"/>
                <w:szCs w:val="24"/>
              </w:rPr>
              <w:t>资料收集与现场评估</w:t>
            </w:r>
          </w:p>
        </w:tc>
        <w:tc>
          <w:tcPr>
            <w:tcW w:w="595" w:type="dxa"/>
          </w:tcPr>
          <w:p>
            <w:pPr>
              <w:pStyle w:val="25"/>
              <w:widowControl w:val="0"/>
              <w:ind w:firstLine="480"/>
              <w:jc w:val="both"/>
              <w:rPr>
                <w:rFonts w:eastAsia="Times New Roman"/>
                <w:b/>
                <w:sz w:val="24"/>
                <w:szCs w:val="24"/>
              </w:rPr>
            </w:pPr>
            <w:r>
              <w:rPr>
                <w:sz w:val="24"/>
                <w:szCs w:val="24"/>
              </w:rPr>
              <mc:AlternateContent>
                <mc:Choice Requires="wps">
                  <w:drawing>
                    <wp:anchor distT="0" distB="0" distL="114300" distR="114300" simplePos="0" relativeHeight="251603968" behindDoc="0" locked="0" layoutInCell="1" allowOverlap="1">
                      <wp:simplePos x="0" y="0"/>
                      <wp:positionH relativeFrom="column">
                        <wp:posOffset>-55880</wp:posOffset>
                      </wp:positionH>
                      <wp:positionV relativeFrom="paragraph">
                        <wp:posOffset>158115</wp:posOffset>
                      </wp:positionV>
                      <wp:extent cx="755015" cy="75565"/>
                      <wp:effectExtent l="0" t="0" r="26670" b="19685"/>
                      <wp:wrapNone/>
                      <wp:docPr id="2" name="矩形 2"/>
                      <wp:cNvGraphicFramePr/>
                      <a:graphic xmlns:a="http://schemas.openxmlformats.org/drawingml/2006/main">
                        <a:graphicData uri="http://schemas.microsoft.com/office/word/2010/wordprocessingShape">
                          <wps:wsp>
                            <wps:cNvSpPr/>
                            <wps:spPr>
                              <a:xfrm>
                                <a:off x="0" y="0"/>
                                <a:ext cx="754912" cy="75565"/>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4.4pt;margin-top:12.45pt;height:5.95pt;width:59.45pt;z-index:251603968;v-text-anchor:middle;mso-width-relative:page;mso-height-relative:page;" fillcolor="#5B9BD5 [3204]" filled="t" stroked="t" coordsize="21600,21600" o:gfxdata="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">
                      <v:fill on="t" focussize="0,0"/>
                      <v:stroke weight="1pt" color="#41719C [3204]" miterlimit="8" joinstyle="miter"/>
                      <v:imagedata o:title=""/>
                      <o:lock v:ext="edit" aspectratio="f"/>
                    </v:rect>
                  </w:pict>
                </mc:Fallback>
              </mc:AlternateContent>
            </w:r>
          </w:p>
        </w:tc>
        <w:tc>
          <w:tcPr>
            <w:tcW w:w="608" w:type="dxa"/>
          </w:tcPr>
          <w:p>
            <w:pPr>
              <w:pStyle w:val="25"/>
              <w:widowControl w:val="0"/>
              <w:ind w:firstLine="482"/>
              <w:jc w:val="both"/>
              <w:rPr>
                <w:rFonts w:eastAsia="Times New Roman"/>
                <w:b/>
                <w:sz w:val="24"/>
                <w:szCs w:val="24"/>
              </w:rPr>
            </w:pPr>
          </w:p>
        </w:tc>
        <w:tc>
          <w:tcPr>
            <w:tcW w:w="527" w:type="dxa"/>
          </w:tcPr>
          <w:p>
            <w:pPr>
              <w:pStyle w:val="25"/>
              <w:widowControl w:val="0"/>
              <w:ind w:firstLine="482"/>
              <w:jc w:val="both"/>
              <w:rPr>
                <w:rFonts w:eastAsia="Times New Roman"/>
                <w:b/>
                <w:sz w:val="24"/>
                <w:szCs w:val="24"/>
              </w:rPr>
            </w:pPr>
          </w:p>
        </w:tc>
        <w:tc>
          <w:tcPr>
            <w:tcW w:w="567" w:type="dxa"/>
          </w:tcPr>
          <w:p>
            <w:pPr>
              <w:pStyle w:val="25"/>
              <w:widowControl w:val="0"/>
              <w:ind w:firstLine="482"/>
              <w:jc w:val="both"/>
              <w:rPr>
                <w:rFonts w:eastAsia="Times New Roman"/>
                <w:b/>
                <w:sz w:val="24"/>
                <w:szCs w:val="24"/>
              </w:rPr>
            </w:pPr>
          </w:p>
        </w:tc>
        <w:tc>
          <w:tcPr>
            <w:tcW w:w="514" w:type="dxa"/>
          </w:tcPr>
          <w:p>
            <w:pPr>
              <w:pStyle w:val="25"/>
              <w:widowControl w:val="0"/>
              <w:ind w:firstLine="482"/>
              <w:jc w:val="both"/>
              <w:rPr>
                <w:rFonts w:eastAsia="Times New Roman"/>
                <w:b/>
                <w:sz w:val="24"/>
                <w:szCs w:val="24"/>
              </w:rPr>
            </w:pPr>
          </w:p>
        </w:tc>
        <w:tc>
          <w:tcPr>
            <w:tcW w:w="540" w:type="dxa"/>
          </w:tcPr>
          <w:p>
            <w:pPr>
              <w:pStyle w:val="25"/>
              <w:widowControl w:val="0"/>
              <w:ind w:firstLine="482"/>
              <w:jc w:val="both"/>
              <w:rPr>
                <w:rFonts w:eastAsia="Times New Roman"/>
                <w:b/>
                <w:sz w:val="24"/>
                <w:szCs w:val="24"/>
              </w:rPr>
            </w:pPr>
          </w:p>
        </w:tc>
        <w:tc>
          <w:tcPr>
            <w:tcW w:w="838" w:type="dxa"/>
          </w:tcPr>
          <w:p>
            <w:pPr>
              <w:pStyle w:val="25"/>
              <w:widowControl w:val="0"/>
              <w:ind w:firstLine="482"/>
              <w:jc w:val="both"/>
              <w:rPr>
                <w:rFonts w:eastAsia="Times New Roman"/>
                <w:b/>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4716" w:type="dxa"/>
          </w:tcPr>
          <w:p>
            <w:pPr>
              <w:pStyle w:val="25"/>
              <w:widowControl w:val="0"/>
              <w:ind w:firstLine="0" w:firstLineChars="0"/>
              <w:jc w:val="both"/>
              <w:rPr>
                <w:rFonts w:cs="宋体"/>
                <w:sz w:val="24"/>
                <w:szCs w:val="24"/>
              </w:rPr>
            </w:pPr>
            <w:r>
              <w:rPr>
                <w:rFonts w:hint="eastAsia" w:cs="宋体"/>
                <w:sz w:val="24"/>
                <w:szCs w:val="24"/>
              </w:rPr>
              <w:t>地震灾害风险评估</w:t>
            </w:r>
          </w:p>
        </w:tc>
        <w:tc>
          <w:tcPr>
            <w:tcW w:w="595" w:type="dxa"/>
          </w:tcPr>
          <w:p>
            <w:pPr>
              <w:pStyle w:val="25"/>
              <w:widowControl w:val="0"/>
              <w:ind w:firstLine="482"/>
              <w:jc w:val="both"/>
              <w:rPr>
                <w:rFonts w:eastAsia="Times New Roman"/>
                <w:b/>
                <w:sz w:val="24"/>
                <w:szCs w:val="24"/>
              </w:rPr>
            </w:pPr>
          </w:p>
        </w:tc>
        <w:tc>
          <w:tcPr>
            <w:tcW w:w="608" w:type="dxa"/>
          </w:tcPr>
          <w:p>
            <w:pPr>
              <w:pStyle w:val="25"/>
              <w:widowControl w:val="0"/>
              <w:ind w:firstLine="480"/>
              <w:jc w:val="both"/>
              <w:rPr>
                <w:rFonts w:eastAsia="Times New Roman"/>
                <w:b/>
                <w:sz w:val="24"/>
                <w:szCs w:val="24"/>
              </w:rPr>
            </w:pPr>
            <w:r>
              <w:rPr>
                <w:sz w:val="24"/>
                <w:szCs w:val="24"/>
              </w:rPr>
              <mc:AlternateContent>
                <mc:Choice Requires="wps">
                  <w:drawing>
                    <wp:anchor distT="0" distB="0" distL="114300" distR="114300" simplePos="0" relativeHeight="251613184" behindDoc="0" locked="0" layoutInCell="1" allowOverlap="1">
                      <wp:simplePos x="0" y="0"/>
                      <wp:positionH relativeFrom="column">
                        <wp:posOffset>-66040</wp:posOffset>
                      </wp:positionH>
                      <wp:positionV relativeFrom="paragraph">
                        <wp:posOffset>164465</wp:posOffset>
                      </wp:positionV>
                      <wp:extent cx="708660" cy="76200"/>
                      <wp:effectExtent l="6350" t="6350" r="8890" b="12700"/>
                      <wp:wrapNone/>
                      <wp:docPr id="7" name="矩形 7"/>
                      <wp:cNvGraphicFramePr/>
                      <a:graphic xmlns:a="http://schemas.openxmlformats.org/drawingml/2006/main">
                        <a:graphicData uri="http://schemas.microsoft.com/office/word/2010/wordprocessingShape">
                          <wps:wsp>
                            <wps:cNvSpPr/>
                            <wps:spPr>
                              <a:xfrm>
                                <a:off x="0" y="0"/>
                                <a:ext cx="708660" cy="76200"/>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5.2pt;margin-top:12.95pt;height:6pt;width:55.8pt;z-index:251613184;v-text-anchor:middle;mso-width-relative:page;mso-height-relative:page;" fillcolor="#5B9BD5 [3204]" filled="t" stroked="t" coordsize="21600,21600" o:gfxdata="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">
                      <v:fill on="t" focussize="0,0"/>
                      <v:stroke weight="1pt" color="#41719C [3204]" miterlimit="8" joinstyle="miter"/>
                      <v:imagedata o:title=""/>
                      <o:lock v:ext="edit" aspectratio="f"/>
                    </v:rect>
                  </w:pict>
                </mc:Fallback>
              </mc:AlternateContent>
            </w:r>
          </w:p>
        </w:tc>
        <w:tc>
          <w:tcPr>
            <w:tcW w:w="527" w:type="dxa"/>
          </w:tcPr>
          <w:p>
            <w:pPr>
              <w:pStyle w:val="25"/>
              <w:widowControl w:val="0"/>
              <w:ind w:firstLine="482"/>
              <w:jc w:val="both"/>
              <w:rPr>
                <w:rFonts w:eastAsia="Times New Roman"/>
                <w:b/>
                <w:sz w:val="24"/>
                <w:szCs w:val="24"/>
              </w:rPr>
            </w:pPr>
          </w:p>
        </w:tc>
        <w:tc>
          <w:tcPr>
            <w:tcW w:w="567" w:type="dxa"/>
          </w:tcPr>
          <w:p>
            <w:pPr>
              <w:pStyle w:val="25"/>
              <w:widowControl w:val="0"/>
              <w:ind w:firstLine="482"/>
              <w:jc w:val="both"/>
              <w:rPr>
                <w:rFonts w:eastAsia="Times New Roman"/>
                <w:b/>
                <w:sz w:val="24"/>
                <w:szCs w:val="24"/>
              </w:rPr>
            </w:pPr>
          </w:p>
        </w:tc>
        <w:tc>
          <w:tcPr>
            <w:tcW w:w="514" w:type="dxa"/>
          </w:tcPr>
          <w:p>
            <w:pPr>
              <w:pStyle w:val="25"/>
              <w:widowControl w:val="0"/>
              <w:ind w:firstLine="482"/>
              <w:jc w:val="both"/>
              <w:rPr>
                <w:rFonts w:eastAsia="Times New Roman"/>
                <w:b/>
                <w:sz w:val="24"/>
                <w:szCs w:val="24"/>
              </w:rPr>
            </w:pPr>
          </w:p>
        </w:tc>
        <w:tc>
          <w:tcPr>
            <w:tcW w:w="540" w:type="dxa"/>
          </w:tcPr>
          <w:p>
            <w:pPr>
              <w:pStyle w:val="25"/>
              <w:widowControl w:val="0"/>
              <w:ind w:firstLine="482"/>
              <w:jc w:val="both"/>
              <w:rPr>
                <w:rFonts w:eastAsia="Times New Roman"/>
                <w:b/>
                <w:sz w:val="24"/>
                <w:szCs w:val="24"/>
              </w:rPr>
            </w:pPr>
          </w:p>
        </w:tc>
        <w:tc>
          <w:tcPr>
            <w:tcW w:w="838" w:type="dxa"/>
          </w:tcPr>
          <w:p>
            <w:pPr>
              <w:pStyle w:val="25"/>
              <w:widowControl w:val="0"/>
              <w:ind w:firstLine="482"/>
              <w:jc w:val="both"/>
              <w:rPr>
                <w:rFonts w:eastAsia="Times New Roman"/>
                <w:b/>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4716" w:type="dxa"/>
          </w:tcPr>
          <w:p>
            <w:pPr>
              <w:pStyle w:val="25"/>
              <w:widowControl w:val="0"/>
              <w:ind w:firstLine="0" w:firstLineChars="0"/>
              <w:jc w:val="both"/>
              <w:rPr>
                <w:rFonts w:cs="宋体"/>
                <w:sz w:val="24"/>
                <w:szCs w:val="24"/>
              </w:rPr>
            </w:pPr>
            <w:r>
              <w:rPr>
                <w:rFonts w:hint="eastAsia" w:cs="宋体"/>
                <w:sz w:val="24"/>
                <w:szCs w:val="24"/>
              </w:rPr>
              <w:t>抗震防灾基本体系与风险管控基本对策</w:t>
            </w:r>
          </w:p>
        </w:tc>
        <w:tc>
          <w:tcPr>
            <w:tcW w:w="595" w:type="dxa"/>
          </w:tcPr>
          <w:p>
            <w:pPr>
              <w:pStyle w:val="25"/>
              <w:widowControl w:val="0"/>
              <w:ind w:firstLine="482"/>
              <w:jc w:val="both"/>
              <w:rPr>
                <w:rFonts w:eastAsia="Times New Roman"/>
                <w:b/>
                <w:sz w:val="24"/>
                <w:szCs w:val="24"/>
              </w:rPr>
            </w:pPr>
          </w:p>
        </w:tc>
        <w:tc>
          <w:tcPr>
            <w:tcW w:w="608" w:type="dxa"/>
          </w:tcPr>
          <w:p>
            <w:pPr>
              <w:pStyle w:val="25"/>
              <w:widowControl w:val="0"/>
              <w:ind w:firstLine="482"/>
              <w:jc w:val="both"/>
              <w:rPr>
                <w:rFonts w:eastAsia="Times New Roman"/>
                <w:b/>
                <w:sz w:val="24"/>
                <w:szCs w:val="24"/>
              </w:rPr>
            </w:pPr>
          </w:p>
        </w:tc>
        <w:tc>
          <w:tcPr>
            <w:tcW w:w="527" w:type="dxa"/>
          </w:tcPr>
          <w:p>
            <w:pPr>
              <w:pStyle w:val="25"/>
              <w:widowControl w:val="0"/>
              <w:ind w:firstLine="480"/>
              <w:jc w:val="both"/>
              <w:rPr>
                <w:rFonts w:eastAsia="Times New Roman"/>
                <w:b/>
                <w:sz w:val="24"/>
                <w:szCs w:val="24"/>
              </w:rPr>
            </w:pPr>
            <w:r>
              <w:rPr>
                <w:sz w:val="24"/>
                <w:szCs w:val="24"/>
              </w:rPr>
              <mc:AlternateContent>
                <mc:Choice Requires="wps">
                  <w:drawing>
                    <wp:anchor distT="0" distB="0" distL="114300" distR="114300" simplePos="0" relativeHeight="251622400" behindDoc="0" locked="0" layoutInCell="1" allowOverlap="1">
                      <wp:simplePos x="0" y="0"/>
                      <wp:positionH relativeFrom="column">
                        <wp:posOffset>-61595</wp:posOffset>
                      </wp:positionH>
                      <wp:positionV relativeFrom="paragraph">
                        <wp:posOffset>166370</wp:posOffset>
                      </wp:positionV>
                      <wp:extent cx="323215" cy="76200"/>
                      <wp:effectExtent l="6350" t="6350" r="13335" b="12700"/>
                      <wp:wrapNone/>
                      <wp:docPr id="10" name="矩形 10"/>
                      <wp:cNvGraphicFramePr/>
                      <a:graphic xmlns:a="http://schemas.openxmlformats.org/drawingml/2006/main">
                        <a:graphicData uri="http://schemas.microsoft.com/office/word/2010/wordprocessingShape">
                          <wps:wsp>
                            <wps:cNvSpPr/>
                            <wps:spPr>
                              <a:xfrm>
                                <a:off x="0" y="0"/>
                                <a:ext cx="323215" cy="76200"/>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4.85pt;margin-top:13.1pt;height:6pt;width:25.45pt;z-index:251622400;v-text-anchor:middle;mso-width-relative:page;mso-height-relative:page;" fillcolor="#5B9BD5 [3204]" filled="t" stroked="t" coordsize="21600,21600" o:gfxdata="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">
                      <v:fill on="t" focussize="0,0"/>
                      <v:stroke weight="1pt" color="#41719C [3204]" miterlimit="8" joinstyle="miter"/>
                      <v:imagedata o:title=""/>
                      <o:lock v:ext="edit" aspectratio="f"/>
                    </v:rect>
                  </w:pict>
                </mc:Fallback>
              </mc:AlternateContent>
            </w:r>
          </w:p>
        </w:tc>
        <w:tc>
          <w:tcPr>
            <w:tcW w:w="567" w:type="dxa"/>
          </w:tcPr>
          <w:p>
            <w:pPr>
              <w:pStyle w:val="25"/>
              <w:widowControl w:val="0"/>
              <w:ind w:firstLine="482"/>
              <w:jc w:val="both"/>
              <w:rPr>
                <w:rFonts w:eastAsia="Times New Roman"/>
                <w:b/>
                <w:sz w:val="24"/>
                <w:szCs w:val="24"/>
              </w:rPr>
            </w:pPr>
          </w:p>
        </w:tc>
        <w:tc>
          <w:tcPr>
            <w:tcW w:w="514" w:type="dxa"/>
          </w:tcPr>
          <w:p>
            <w:pPr>
              <w:pStyle w:val="25"/>
              <w:widowControl w:val="0"/>
              <w:ind w:firstLine="482"/>
              <w:jc w:val="both"/>
              <w:rPr>
                <w:rFonts w:eastAsia="Times New Roman"/>
                <w:b/>
                <w:sz w:val="24"/>
                <w:szCs w:val="24"/>
              </w:rPr>
            </w:pPr>
          </w:p>
        </w:tc>
        <w:tc>
          <w:tcPr>
            <w:tcW w:w="540" w:type="dxa"/>
          </w:tcPr>
          <w:p>
            <w:pPr>
              <w:pStyle w:val="25"/>
              <w:widowControl w:val="0"/>
              <w:ind w:firstLine="482"/>
              <w:jc w:val="both"/>
              <w:rPr>
                <w:rFonts w:eastAsia="Times New Roman"/>
                <w:b/>
                <w:sz w:val="24"/>
                <w:szCs w:val="24"/>
              </w:rPr>
            </w:pPr>
          </w:p>
        </w:tc>
        <w:tc>
          <w:tcPr>
            <w:tcW w:w="838" w:type="dxa"/>
          </w:tcPr>
          <w:p>
            <w:pPr>
              <w:pStyle w:val="25"/>
              <w:widowControl w:val="0"/>
              <w:ind w:firstLine="482"/>
              <w:jc w:val="both"/>
              <w:rPr>
                <w:rFonts w:eastAsia="Times New Roman"/>
                <w:b/>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4716" w:type="dxa"/>
          </w:tcPr>
          <w:p>
            <w:pPr>
              <w:pStyle w:val="25"/>
              <w:widowControl w:val="0"/>
              <w:ind w:firstLine="0" w:firstLineChars="0"/>
              <w:jc w:val="both"/>
              <w:rPr>
                <w:rFonts w:cs="宋体"/>
                <w:sz w:val="24"/>
                <w:szCs w:val="24"/>
              </w:rPr>
            </w:pPr>
            <w:r>
              <w:rPr>
                <w:rFonts w:hint="eastAsia" w:cs="宋体"/>
                <w:sz w:val="24"/>
                <w:szCs w:val="24"/>
              </w:rPr>
              <w:t>抗震防御目标与规划指标制定</w:t>
            </w:r>
          </w:p>
        </w:tc>
        <w:tc>
          <w:tcPr>
            <w:tcW w:w="595" w:type="dxa"/>
          </w:tcPr>
          <w:p>
            <w:pPr>
              <w:pStyle w:val="25"/>
              <w:widowControl w:val="0"/>
              <w:ind w:firstLine="480"/>
              <w:jc w:val="both"/>
              <w:rPr>
                <w:rFonts w:eastAsia="Times New Roman"/>
                <w:b/>
                <w:sz w:val="24"/>
                <w:szCs w:val="24"/>
              </w:rPr>
            </w:pPr>
            <w:r>
              <w:rPr>
                <w:sz w:val="24"/>
                <w:szCs w:val="24"/>
              </w:rPr>
              <mc:AlternateContent>
                <mc:Choice Requires="wps">
                  <w:drawing>
                    <wp:anchor distT="0" distB="0" distL="114300" distR="114300" simplePos="0" relativeHeight="251631616" behindDoc="0" locked="0" layoutInCell="1" allowOverlap="1">
                      <wp:simplePos x="0" y="0"/>
                      <wp:positionH relativeFrom="column">
                        <wp:posOffset>302260</wp:posOffset>
                      </wp:positionH>
                      <wp:positionV relativeFrom="paragraph">
                        <wp:posOffset>194945</wp:posOffset>
                      </wp:positionV>
                      <wp:extent cx="1073785" cy="76200"/>
                      <wp:effectExtent l="6350" t="6350" r="24765" b="12700"/>
                      <wp:wrapNone/>
                      <wp:docPr id="9" name="矩形 9"/>
                      <wp:cNvGraphicFramePr/>
                      <a:graphic xmlns:a="http://schemas.openxmlformats.org/drawingml/2006/main">
                        <a:graphicData uri="http://schemas.microsoft.com/office/word/2010/wordprocessingShape">
                          <wps:wsp>
                            <wps:cNvSpPr/>
                            <wps:spPr>
                              <a:xfrm>
                                <a:off x="0" y="0"/>
                                <a:ext cx="1073785" cy="76200"/>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23.8pt;margin-top:15.35pt;height:6pt;width:84.55pt;z-index:251631616;v-text-anchor:middle;mso-width-relative:page;mso-height-relative:page;" fillcolor="#5B9BD5 [3204]" filled="t" stroked="t" coordsize="21600,21600" o:gfxdata="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">
                      <v:fill on="t" focussize="0,0"/>
                      <v:stroke weight="1pt" color="#41719C [3204]" miterlimit="8" joinstyle="miter"/>
                      <v:imagedata o:title=""/>
                      <o:lock v:ext="edit" aspectratio="f"/>
                    </v:rect>
                  </w:pict>
                </mc:Fallback>
              </mc:AlternateContent>
            </w:r>
          </w:p>
        </w:tc>
        <w:tc>
          <w:tcPr>
            <w:tcW w:w="608" w:type="dxa"/>
          </w:tcPr>
          <w:p>
            <w:pPr>
              <w:pStyle w:val="25"/>
              <w:widowControl w:val="0"/>
              <w:ind w:firstLine="482"/>
              <w:jc w:val="both"/>
              <w:rPr>
                <w:rFonts w:eastAsia="Times New Roman"/>
                <w:b/>
                <w:sz w:val="24"/>
                <w:szCs w:val="24"/>
              </w:rPr>
            </w:pPr>
          </w:p>
        </w:tc>
        <w:tc>
          <w:tcPr>
            <w:tcW w:w="527" w:type="dxa"/>
          </w:tcPr>
          <w:p>
            <w:pPr>
              <w:pStyle w:val="25"/>
              <w:widowControl w:val="0"/>
              <w:ind w:firstLine="482"/>
              <w:jc w:val="both"/>
              <w:rPr>
                <w:rFonts w:eastAsia="Times New Roman"/>
                <w:b/>
                <w:sz w:val="24"/>
                <w:szCs w:val="24"/>
              </w:rPr>
            </w:pPr>
          </w:p>
        </w:tc>
        <w:tc>
          <w:tcPr>
            <w:tcW w:w="567" w:type="dxa"/>
          </w:tcPr>
          <w:p>
            <w:pPr>
              <w:pStyle w:val="25"/>
              <w:widowControl w:val="0"/>
              <w:ind w:firstLine="482"/>
              <w:jc w:val="both"/>
              <w:rPr>
                <w:rFonts w:eastAsia="Times New Roman"/>
                <w:b/>
                <w:sz w:val="24"/>
                <w:szCs w:val="24"/>
              </w:rPr>
            </w:pPr>
          </w:p>
        </w:tc>
        <w:tc>
          <w:tcPr>
            <w:tcW w:w="514" w:type="dxa"/>
          </w:tcPr>
          <w:p>
            <w:pPr>
              <w:pStyle w:val="25"/>
              <w:widowControl w:val="0"/>
              <w:ind w:firstLine="482"/>
              <w:jc w:val="both"/>
              <w:rPr>
                <w:rFonts w:eastAsia="Times New Roman"/>
                <w:b/>
                <w:sz w:val="24"/>
                <w:szCs w:val="24"/>
              </w:rPr>
            </w:pPr>
          </w:p>
        </w:tc>
        <w:tc>
          <w:tcPr>
            <w:tcW w:w="540" w:type="dxa"/>
          </w:tcPr>
          <w:p>
            <w:pPr>
              <w:pStyle w:val="25"/>
              <w:widowControl w:val="0"/>
              <w:ind w:firstLine="482"/>
              <w:jc w:val="both"/>
              <w:rPr>
                <w:rFonts w:eastAsia="Times New Roman"/>
                <w:b/>
                <w:sz w:val="24"/>
                <w:szCs w:val="24"/>
              </w:rPr>
            </w:pPr>
          </w:p>
        </w:tc>
        <w:tc>
          <w:tcPr>
            <w:tcW w:w="838" w:type="dxa"/>
          </w:tcPr>
          <w:p>
            <w:pPr>
              <w:pStyle w:val="25"/>
              <w:widowControl w:val="0"/>
              <w:ind w:firstLine="482"/>
              <w:jc w:val="both"/>
              <w:rPr>
                <w:rFonts w:eastAsia="Times New Roman"/>
                <w:b/>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4716" w:type="dxa"/>
          </w:tcPr>
          <w:p>
            <w:pPr>
              <w:pStyle w:val="25"/>
              <w:widowControl w:val="0"/>
              <w:ind w:firstLine="0" w:firstLineChars="0"/>
              <w:jc w:val="both"/>
              <w:rPr>
                <w:rFonts w:cs="宋体"/>
                <w:sz w:val="24"/>
                <w:szCs w:val="24"/>
              </w:rPr>
            </w:pPr>
            <w:r>
              <w:rPr>
                <w:rFonts w:hint="eastAsia" w:cs="宋体"/>
                <w:sz w:val="24"/>
                <w:szCs w:val="24"/>
              </w:rPr>
              <w:t>城市抗震防灾空间结构体系</w:t>
            </w:r>
          </w:p>
        </w:tc>
        <w:tc>
          <w:tcPr>
            <w:tcW w:w="595" w:type="dxa"/>
          </w:tcPr>
          <w:p>
            <w:pPr>
              <w:pStyle w:val="25"/>
              <w:widowControl w:val="0"/>
              <w:ind w:firstLine="482"/>
              <w:jc w:val="both"/>
              <w:rPr>
                <w:rFonts w:eastAsia="Times New Roman"/>
                <w:b/>
                <w:sz w:val="24"/>
                <w:szCs w:val="24"/>
              </w:rPr>
            </w:pPr>
          </w:p>
        </w:tc>
        <w:tc>
          <w:tcPr>
            <w:tcW w:w="608" w:type="dxa"/>
          </w:tcPr>
          <w:p>
            <w:pPr>
              <w:pStyle w:val="25"/>
              <w:widowControl w:val="0"/>
              <w:ind w:firstLine="482"/>
              <w:jc w:val="both"/>
              <w:rPr>
                <w:rFonts w:eastAsia="Times New Roman"/>
                <w:b/>
                <w:sz w:val="24"/>
                <w:szCs w:val="24"/>
              </w:rPr>
            </w:pPr>
          </w:p>
        </w:tc>
        <w:tc>
          <w:tcPr>
            <w:tcW w:w="527" w:type="dxa"/>
          </w:tcPr>
          <w:p>
            <w:pPr>
              <w:pStyle w:val="25"/>
              <w:widowControl w:val="0"/>
              <w:ind w:firstLine="480"/>
              <w:jc w:val="both"/>
              <w:rPr>
                <w:rFonts w:eastAsia="Times New Roman"/>
                <w:b/>
                <w:sz w:val="24"/>
                <w:szCs w:val="24"/>
              </w:rPr>
            </w:pPr>
            <w:r>
              <w:rPr>
                <w:sz w:val="24"/>
                <w:szCs w:val="24"/>
              </w:rPr>
              <mc:AlternateContent>
                <mc:Choice Requires="wps">
                  <w:drawing>
                    <wp:anchor distT="0" distB="0" distL="114300" distR="114300" simplePos="0" relativeHeight="251640832" behindDoc="0" locked="0" layoutInCell="1" allowOverlap="1">
                      <wp:simplePos x="0" y="0"/>
                      <wp:positionH relativeFrom="column">
                        <wp:posOffset>-66040</wp:posOffset>
                      </wp:positionH>
                      <wp:positionV relativeFrom="paragraph">
                        <wp:posOffset>183515</wp:posOffset>
                      </wp:positionV>
                      <wp:extent cx="323215" cy="76200"/>
                      <wp:effectExtent l="6350" t="6350" r="13335" b="12700"/>
                      <wp:wrapNone/>
                      <wp:docPr id="19" name="矩形 19"/>
                      <wp:cNvGraphicFramePr/>
                      <a:graphic xmlns:a="http://schemas.openxmlformats.org/drawingml/2006/main">
                        <a:graphicData uri="http://schemas.microsoft.com/office/word/2010/wordprocessingShape">
                          <wps:wsp>
                            <wps:cNvSpPr/>
                            <wps:spPr>
                              <a:xfrm>
                                <a:off x="0" y="0"/>
                                <a:ext cx="323215" cy="76200"/>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5.2pt;margin-top:14.45pt;height:6pt;width:25.45pt;z-index:251640832;v-text-anchor:middle;mso-width-relative:page;mso-height-relative:page;" fillcolor="#5B9BD5 [3204]" filled="t" stroked="t" coordsize="21600,21600" o:gfxdata="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">
                      <v:fill on="t" focussize="0,0"/>
                      <v:stroke weight="1pt" color="#41719C [3204]" miterlimit="8" joinstyle="miter"/>
                      <v:imagedata o:title=""/>
                      <o:lock v:ext="edit" aspectratio="f"/>
                    </v:rect>
                  </w:pict>
                </mc:Fallback>
              </mc:AlternateContent>
            </w:r>
          </w:p>
        </w:tc>
        <w:tc>
          <w:tcPr>
            <w:tcW w:w="567" w:type="dxa"/>
          </w:tcPr>
          <w:p>
            <w:pPr>
              <w:pStyle w:val="25"/>
              <w:widowControl w:val="0"/>
              <w:ind w:firstLine="482"/>
              <w:jc w:val="both"/>
              <w:rPr>
                <w:rFonts w:eastAsia="Times New Roman"/>
                <w:b/>
                <w:sz w:val="24"/>
                <w:szCs w:val="24"/>
              </w:rPr>
            </w:pPr>
          </w:p>
        </w:tc>
        <w:tc>
          <w:tcPr>
            <w:tcW w:w="514" w:type="dxa"/>
          </w:tcPr>
          <w:p>
            <w:pPr>
              <w:pStyle w:val="25"/>
              <w:widowControl w:val="0"/>
              <w:ind w:firstLine="482"/>
              <w:jc w:val="both"/>
              <w:rPr>
                <w:rFonts w:eastAsia="Times New Roman"/>
                <w:b/>
                <w:sz w:val="24"/>
                <w:szCs w:val="24"/>
              </w:rPr>
            </w:pPr>
          </w:p>
        </w:tc>
        <w:tc>
          <w:tcPr>
            <w:tcW w:w="540" w:type="dxa"/>
          </w:tcPr>
          <w:p>
            <w:pPr>
              <w:pStyle w:val="25"/>
              <w:widowControl w:val="0"/>
              <w:ind w:firstLine="482"/>
              <w:jc w:val="both"/>
              <w:rPr>
                <w:rFonts w:eastAsia="Times New Roman"/>
                <w:b/>
                <w:sz w:val="24"/>
                <w:szCs w:val="24"/>
              </w:rPr>
            </w:pPr>
          </w:p>
        </w:tc>
        <w:tc>
          <w:tcPr>
            <w:tcW w:w="838" w:type="dxa"/>
          </w:tcPr>
          <w:p>
            <w:pPr>
              <w:pStyle w:val="25"/>
              <w:widowControl w:val="0"/>
              <w:ind w:firstLine="482"/>
              <w:jc w:val="both"/>
              <w:rPr>
                <w:rFonts w:eastAsia="Times New Roman"/>
                <w:b/>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4716" w:type="dxa"/>
          </w:tcPr>
          <w:p>
            <w:pPr>
              <w:pStyle w:val="25"/>
              <w:widowControl w:val="0"/>
              <w:ind w:firstLine="0" w:firstLineChars="0"/>
              <w:jc w:val="both"/>
              <w:rPr>
                <w:rFonts w:cs="宋体"/>
                <w:sz w:val="24"/>
                <w:szCs w:val="24"/>
              </w:rPr>
            </w:pPr>
            <w:r>
              <w:rPr>
                <w:rFonts w:hint="eastAsia" w:cs="宋体"/>
                <w:sz w:val="24"/>
                <w:szCs w:val="24"/>
              </w:rPr>
              <w:t>城市防灾设施布局与抗震措施</w:t>
            </w:r>
          </w:p>
        </w:tc>
        <w:tc>
          <w:tcPr>
            <w:tcW w:w="595" w:type="dxa"/>
          </w:tcPr>
          <w:p>
            <w:pPr>
              <w:pStyle w:val="25"/>
              <w:widowControl w:val="0"/>
              <w:ind w:firstLine="482"/>
              <w:jc w:val="both"/>
              <w:rPr>
                <w:rFonts w:eastAsia="Times New Roman"/>
                <w:b/>
                <w:sz w:val="24"/>
                <w:szCs w:val="24"/>
              </w:rPr>
            </w:pPr>
          </w:p>
        </w:tc>
        <w:tc>
          <w:tcPr>
            <w:tcW w:w="608" w:type="dxa"/>
          </w:tcPr>
          <w:p>
            <w:pPr>
              <w:pStyle w:val="25"/>
              <w:widowControl w:val="0"/>
              <w:ind w:firstLine="482"/>
              <w:jc w:val="both"/>
              <w:rPr>
                <w:rFonts w:eastAsia="Times New Roman"/>
                <w:b/>
                <w:sz w:val="24"/>
                <w:szCs w:val="24"/>
              </w:rPr>
            </w:pPr>
          </w:p>
        </w:tc>
        <w:tc>
          <w:tcPr>
            <w:tcW w:w="527" w:type="dxa"/>
          </w:tcPr>
          <w:p>
            <w:pPr>
              <w:pStyle w:val="25"/>
              <w:widowControl w:val="0"/>
              <w:ind w:firstLine="480"/>
              <w:jc w:val="both"/>
              <w:rPr>
                <w:rFonts w:eastAsia="Times New Roman"/>
                <w:b/>
                <w:sz w:val="24"/>
                <w:szCs w:val="24"/>
              </w:rPr>
            </w:pPr>
            <w:r>
              <w:rPr>
                <w:sz w:val="24"/>
                <w:szCs w:val="24"/>
              </w:rPr>
              <mc:AlternateContent>
                <mc:Choice Requires="wps">
                  <w:drawing>
                    <wp:anchor distT="0" distB="0" distL="114300" distR="114300" simplePos="0" relativeHeight="251650048" behindDoc="0" locked="0" layoutInCell="1" allowOverlap="1">
                      <wp:simplePos x="0" y="0"/>
                      <wp:positionH relativeFrom="column">
                        <wp:posOffset>-62865</wp:posOffset>
                      </wp:positionH>
                      <wp:positionV relativeFrom="paragraph">
                        <wp:posOffset>159385</wp:posOffset>
                      </wp:positionV>
                      <wp:extent cx="687705" cy="76200"/>
                      <wp:effectExtent l="6350" t="6350" r="10795" b="12700"/>
                      <wp:wrapNone/>
                      <wp:docPr id="12" name="矩形 12"/>
                      <wp:cNvGraphicFramePr/>
                      <a:graphic xmlns:a="http://schemas.openxmlformats.org/drawingml/2006/main">
                        <a:graphicData uri="http://schemas.microsoft.com/office/word/2010/wordprocessingShape">
                          <wps:wsp>
                            <wps:cNvSpPr/>
                            <wps:spPr>
                              <a:xfrm>
                                <a:off x="0" y="0"/>
                                <a:ext cx="687705" cy="76200"/>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4.95pt;margin-top:12.55pt;height:6pt;width:54.15pt;z-index:251650048;v-text-anchor:middle;mso-width-relative:page;mso-height-relative:page;" fillcolor="#5B9BD5 [3204]" filled="t" stroked="t" coordsize="21600,21600" o:gfxdata="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">
                      <v:fill on="t" focussize="0,0"/>
                      <v:stroke weight="1pt" color="#41719C [3204]" miterlimit="8" joinstyle="miter"/>
                      <v:imagedata o:title=""/>
                      <o:lock v:ext="edit" aspectratio="f"/>
                    </v:rect>
                  </w:pict>
                </mc:Fallback>
              </mc:AlternateContent>
            </w:r>
          </w:p>
        </w:tc>
        <w:tc>
          <w:tcPr>
            <w:tcW w:w="567" w:type="dxa"/>
          </w:tcPr>
          <w:p>
            <w:pPr>
              <w:pStyle w:val="25"/>
              <w:widowControl w:val="0"/>
              <w:ind w:firstLine="482"/>
              <w:jc w:val="both"/>
              <w:rPr>
                <w:rFonts w:eastAsia="Times New Roman"/>
                <w:b/>
                <w:sz w:val="24"/>
                <w:szCs w:val="24"/>
              </w:rPr>
            </w:pPr>
          </w:p>
        </w:tc>
        <w:tc>
          <w:tcPr>
            <w:tcW w:w="514" w:type="dxa"/>
          </w:tcPr>
          <w:p>
            <w:pPr>
              <w:pStyle w:val="25"/>
              <w:widowControl w:val="0"/>
              <w:ind w:firstLine="482"/>
              <w:jc w:val="both"/>
              <w:rPr>
                <w:rFonts w:eastAsia="Times New Roman"/>
                <w:b/>
                <w:sz w:val="24"/>
                <w:szCs w:val="24"/>
              </w:rPr>
            </w:pPr>
          </w:p>
        </w:tc>
        <w:tc>
          <w:tcPr>
            <w:tcW w:w="540" w:type="dxa"/>
          </w:tcPr>
          <w:p>
            <w:pPr>
              <w:pStyle w:val="25"/>
              <w:widowControl w:val="0"/>
              <w:ind w:firstLine="482"/>
              <w:jc w:val="both"/>
              <w:rPr>
                <w:rFonts w:eastAsia="Times New Roman"/>
                <w:b/>
                <w:sz w:val="24"/>
                <w:szCs w:val="24"/>
              </w:rPr>
            </w:pPr>
          </w:p>
        </w:tc>
        <w:tc>
          <w:tcPr>
            <w:tcW w:w="838" w:type="dxa"/>
          </w:tcPr>
          <w:p>
            <w:pPr>
              <w:pStyle w:val="25"/>
              <w:widowControl w:val="0"/>
              <w:ind w:firstLine="482"/>
              <w:jc w:val="both"/>
              <w:rPr>
                <w:rFonts w:eastAsia="Times New Roman"/>
                <w:b/>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4716" w:type="dxa"/>
          </w:tcPr>
          <w:p>
            <w:pPr>
              <w:pStyle w:val="25"/>
              <w:widowControl w:val="0"/>
              <w:ind w:firstLine="0" w:firstLineChars="0"/>
              <w:jc w:val="both"/>
              <w:rPr>
                <w:rFonts w:cs="宋体"/>
                <w:sz w:val="24"/>
                <w:szCs w:val="24"/>
              </w:rPr>
            </w:pPr>
            <w:r>
              <w:rPr>
                <w:rFonts w:hint="eastAsia" w:cs="宋体"/>
                <w:sz w:val="24"/>
                <w:szCs w:val="24"/>
              </w:rPr>
              <w:t>重大地震次生灾害危险源防控对策与要求</w:t>
            </w:r>
          </w:p>
        </w:tc>
        <w:tc>
          <w:tcPr>
            <w:tcW w:w="595" w:type="dxa"/>
          </w:tcPr>
          <w:p>
            <w:pPr>
              <w:pStyle w:val="25"/>
              <w:widowControl w:val="0"/>
              <w:ind w:firstLine="482"/>
              <w:jc w:val="both"/>
              <w:rPr>
                <w:rFonts w:eastAsia="Times New Roman"/>
                <w:b/>
                <w:sz w:val="24"/>
                <w:szCs w:val="24"/>
              </w:rPr>
            </w:pPr>
          </w:p>
        </w:tc>
        <w:tc>
          <w:tcPr>
            <w:tcW w:w="608" w:type="dxa"/>
          </w:tcPr>
          <w:p>
            <w:pPr>
              <w:pStyle w:val="25"/>
              <w:widowControl w:val="0"/>
              <w:ind w:firstLine="482"/>
              <w:jc w:val="both"/>
              <w:rPr>
                <w:rFonts w:eastAsia="Times New Roman"/>
                <w:b/>
                <w:sz w:val="24"/>
                <w:szCs w:val="24"/>
              </w:rPr>
            </w:pPr>
          </w:p>
        </w:tc>
        <w:tc>
          <w:tcPr>
            <w:tcW w:w="527" w:type="dxa"/>
          </w:tcPr>
          <w:p>
            <w:pPr>
              <w:pStyle w:val="25"/>
              <w:widowControl w:val="0"/>
              <w:ind w:firstLine="480"/>
              <w:jc w:val="both"/>
              <w:rPr>
                <w:rFonts w:eastAsia="Times New Roman"/>
                <w:b/>
                <w:sz w:val="24"/>
                <w:szCs w:val="24"/>
              </w:rPr>
            </w:pPr>
            <w:r>
              <w:rPr>
                <w:sz w:val="24"/>
                <w:szCs w:val="24"/>
              </w:rPr>
              <mc:AlternateContent>
                <mc:Choice Requires="wps">
                  <w:drawing>
                    <wp:anchor distT="0" distB="0" distL="114300" distR="114300" simplePos="0" relativeHeight="251659264" behindDoc="0" locked="0" layoutInCell="1" allowOverlap="1">
                      <wp:simplePos x="0" y="0"/>
                      <wp:positionH relativeFrom="column">
                        <wp:posOffset>-59690</wp:posOffset>
                      </wp:positionH>
                      <wp:positionV relativeFrom="paragraph">
                        <wp:posOffset>171450</wp:posOffset>
                      </wp:positionV>
                      <wp:extent cx="687705" cy="76200"/>
                      <wp:effectExtent l="6350" t="6350" r="10795" b="12700"/>
                      <wp:wrapNone/>
                      <wp:docPr id="13" name="矩形 13"/>
                      <wp:cNvGraphicFramePr/>
                      <a:graphic xmlns:a="http://schemas.openxmlformats.org/drawingml/2006/main">
                        <a:graphicData uri="http://schemas.microsoft.com/office/word/2010/wordprocessingShape">
                          <wps:wsp>
                            <wps:cNvSpPr/>
                            <wps:spPr>
                              <a:xfrm>
                                <a:off x="0" y="0"/>
                                <a:ext cx="687705" cy="76200"/>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4.7pt;margin-top:13.5pt;height:6pt;width:54.15pt;z-index:251659264;v-text-anchor:middle;mso-width-relative:page;mso-height-relative:page;" fillcolor="#5B9BD5 [3204]" filled="t" stroked="t" coordsize="21600,21600" o:gfxdata="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">
                      <v:fill on="t" focussize="0,0"/>
                      <v:stroke weight="1pt" color="#41719C [3204]" miterlimit="8" joinstyle="miter"/>
                      <v:imagedata o:title=""/>
                      <o:lock v:ext="edit" aspectratio="f"/>
                    </v:rect>
                  </w:pict>
                </mc:Fallback>
              </mc:AlternateContent>
            </w:r>
          </w:p>
        </w:tc>
        <w:tc>
          <w:tcPr>
            <w:tcW w:w="567" w:type="dxa"/>
          </w:tcPr>
          <w:p>
            <w:pPr>
              <w:pStyle w:val="25"/>
              <w:widowControl w:val="0"/>
              <w:ind w:firstLine="482"/>
              <w:jc w:val="both"/>
              <w:rPr>
                <w:rFonts w:eastAsia="Times New Roman"/>
                <w:b/>
                <w:sz w:val="24"/>
                <w:szCs w:val="24"/>
              </w:rPr>
            </w:pPr>
          </w:p>
        </w:tc>
        <w:tc>
          <w:tcPr>
            <w:tcW w:w="514" w:type="dxa"/>
          </w:tcPr>
          <w:p>
            <w:pPr>
              <w:pStyle w:val="25"/>
              <w:widowControl w:val="0"/>
              <w:ind w:firstLine="482"/>
              <w:jc w:val="both"/>
              <w:rPr>
                <w:rFonts w:eastAsia="Times New Roman"/>
                <w:b/>
                <w:sz w:val="24"/>
                <w:szCs w:val="24"/>
              </w:rPr>
            </w:pPr>
          </w:p>
        </w:tc>
        <w:tc>
          <w:tcPr>
            <w:tcW w:w="540" w:type="dxa"/>
          </w:tcPr>
          <w:p>
            <w:pPr>
              <w:pStyle w:val="25"/>
              <w:widowControl w:val="0"/>
              <w:ind w:firstLine="482"/>
              <w:jc w:val="both"/>
              <w:rPr>
                <w:rFonts w:eastAsia="Times New Roman"/>
                <w:b/>
                <w:sz w:val="24"/>
                <w:szCs w:val="24"/>
              </w:rPr>
            </w:pPr>
          </w:p>
        </w:tc>
        <w:tc>
          <w:tcPr>
            <w:tcW w:w="838" w:type="dxa"/>
          </w:tcPr>
          <w:p>
            <w:pPr>
              <w:pStyle w:val="25"/>
              <w:widowControl w:val="0"/>
              <w:ind w:firstLine="482"/>
              <w:jc w:val="both"/>
              <w:rPr>
                <w:rFonts w:eastAsia="Times New Roman"/>
                <w:b/>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4716" w:type="dxa"/>
          </w:tcPr>
          <w:p>
            <w:pPr>
              <w:pStyle w:val="25"/>
              <w:widowControl w:val="0"/>
              <w:ind w:firstLine="0" w:firstLineChars="0"/>
              <w:jc w:val="both"/>
              <w:rPr>
                <w:rFonts w:cs="宋体"/>
                <w:sz w:val="24"/>
                <w:szCs w:val="24"/>
              </w:rPr>
            </w:pPr>
            <w:r>
              <w:rPr>
                <w:rFonts w:hint="eastAsia" w:cs="宋体"/>
                <w:sz w:val="24"/>
                <w:szCs w:val="24"/>
              </w:rPr>
              <w:t>城市避难场所布局与功能控制</w:t>
            </w:r>
          </w:p>
        </w:tc>
        <w:tc>
          <w:tcPr>
            <w:tcW w:w="595" w:type="dxa"/>
          </w:tcPr>
          <w:p>
            <w:pPr>
              <w:pStyle w:val="25"/>
              <w:widowControl w:val="0"/>
              <w:ind w:firstLine="482"/>
              <w:jc w:val="both"/>
              <w:rPr>
                <w:rFonts w:eastAsia="Times New Roman"/>
                <w:b/>
                <w:sz w:val="24"/>
                <w:szCs w:val="24"/>
              </w:rPr>
            </w:pPr>
          </w:p>
        </w:tc>
        <w:tc>
          <w:tcPr>
            <w:tcW w:w="608" w:type="dxa"/>
          </w:tcPr>
          <w:p>
            <w:pPr>
              <w:pStyle w:val="25"/>
              <w:widowControl w:val="0"/>
              <w:ind w:firstLine="482"/>
              <w:jc w:val="both"/>
              <w:rPr>
                <w:rFonts w:eastAsia="Times New Roman"/>
                <w:b/>
                <w:sz w:val="24"/>
                <w:szCs w:val="24"/>
              </w:rPr>
            </w:pPr>
          </w:p>
        </w:tc>
        <w:tc>
          <w:tcPr>
            <w:tcW w:w="527" w:type="dxa"/>
          </w:tcPr>
          <w:p>
            <w:pPr>
              <w:pStyle w:val="25"/>
              <w:widowControl w:val="0"/>
              <w:ind w:firstLine="480"/>
              <w:jc w:val="both"/>
              <w:rPr>
                <w:rFonts w:eastAsia="Times New Roman"/>
                <w:b/>
                <w:sz w:val="24"/>
                <w:szCs w:val="24"/>
              </w:rPr>
            </w:pPr>
            <w:r>
              <w:rPr>
                <w:sz w:val="24"/>
                <w:szCs w:val="24"/>
              </w:rPr>
              <mc:AlternateContent>
                <mc:Choice Requires="wps">
                  <w:drawing>
                    <wp:anchor distT="0" distB="0" distL="114300" distR="114300" simplePos="0" relativeHeight="251668480" behindDoc="0" locked="0" layoutInCell="1" allowOverlap="1">
                      <wp:simplePos x="0" y="0"/>
                      <wp:positionH relativeFrom="column">
                        <wp:posOffset>-59690</wp:posOffset>
                      </wp:positionH>
                      <wp:positionV relativeFrom="paragraph">
                        <wp:posOffset>151765</wp:posOffset>
                      </wp:positionV>
                      <wp:extent cx="687705" cy="76200"/>
                      <wp:effectExtent l="6350" t="6350" r="10795" b="12700"/>
                      <wp:wrapNone/>
                      <wp:docPr id="14" name="矩形 14"/>
                      <wp:cNvGraphicFramePr/>
                      <a:graphic xmlns:a="http://schemas.openxmlformats.org/drawingml/2006/main">
                        <a:graphicData uri="http://schemas.microsoft.com/office/word/2010/wordprocessingShape">
                          <wps:wsp>
                            <wps:cNvSpPr/>
                            <wps:spPr>
                              <a:xfrm>
                                <a:off x="0" y="0"/>
                                <a:ext cx="687705" cy="76200"/>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4.7pt;margin-top:11.95pt;height:6pt;width:54.15pt;z-index:251668480;v-text-anchor:middle;mso-width-relative:page;mso-height-relative:page;" fillcolor="#5B9BD5 [3204]" filled="t" stroked="t" coordsize="21600,21600" o:gfxdata="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">
                      <v:fill on="t" focussize="0,0"/>
                      <v:stroke weight="1pt" color="#41719C [3204]" miterlimit="8" joinstyle="miter"/>
                      <v:imagedata o:title=""/>
                      <o:lock v:ext="edit" aspectratio="f"/>
                    </v:rect>
                  </w:pict>
                </mc:Fallback>
              </mc:AlternateContent>
            </w:r>
          </w:p>
        </w:tc>
        <w:tc>
          <w:tcPr>
            <w:tcW w:w="567" w:type="dxa"/>
          </w:tcPr>
          <w:p>
            <w:pPr>
              <w:pStyle w:val="25"/>
              <w:widowControl w:val="0"/>
              <w:ind w:firstLine="482"/>
              <w:jc w:val="both"/>
              <w:rPr>
                <w:rFonts w:eastAsia="Times New Roman"/>
                <w:b/>
                <w:sz w:val="24"/>
                <w:szCs w:val="24"/>
              </w:rPr>
            </w:pPr>
          </w:p>
        </w:tc>
        <w:tc>
          <w:tcPr>
            <w:tcW w:w="514" w:type="dxa"/>
          </w:tcPr>
          <w:p>
            <w:pPr>
              <w:pStyle w:val="25"/>
              <w:widowControl w:val="0"/>
              <w:ind w:firstLine="482"/>
              <w:jc w:val="both"/>
              <w:rPr>
                <w:rFonts w:eastAsia="Times New Roman"/>
                <w:b/>
                <w:sz w:val="24"/>
                <w:szCs w:val="24"/>
              </w:rPr>
            </w:pPr>
          </w:p>
        </w:tc>
        <w:tc>
          <w:tcPr>
            <w:tcW w:w="540" w:type="dxa"/>
          </w:tcPr>
          <w:p>
            <w:pPr>
              <w:pStyle w:val="25"/>
              <w:widowControl w:val="0"/>
              <w:ind w:firstLine="482"/>
              <w:jc w:val="both"/>
              <w:rPr>
                <w:rFonts w:eastAsia="Times New Roman"/>
                <w:b/>
                <w:sz w:val="24"/>
                <w:szCs w:val="24"/>
              </w:rPr>
            </w:pPr>
          </w:p>
        </w:tc>
        <w:tc>
          <w:tcPr>
            <w:tcW w:w="838" w:type="dxa"/>
          </w:tcPr>
          <w:p>
            <w:pPr>
              <w:pStyle w:val="25"/>
              <w:widowControl w:val="0"/>
              <w:ind w:firstLine="482"/>
              <w:jc w:val="both"/>
              <w:rPr>
                <w:rFonts w:eastAsia="Times New Roman"/>
                <w:b/>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4716" w:type="dxa"/>
          </w:tcPr>
          <w:p>
            <w:pPr>
              <w:pStyle w:val="25"/>
              <w:widowControl w:val="0"/>
              <w:ind w:firstLine="0" w:firstLineChars="0"/>
              <w:jc w:val="both"/>
              <w:rPr>
                <w:rFonts w:cs="宋体"/>
                <w:sz w:val="24"/>
                <w:szCs w:val="24"/>
              </w:rPr>
            </w:pPr>
            <w:r>
              <w:rPr>
                <w:rFonts w:hint="eastAsia" w:cs="宋体"/>
                <w:sz w:val="24"/>
                <w:szCs w:val="24"/>
              </w:rPr>
              <w:t>工程抗震基本对策与管控要求</w:t>
            </w:r>
          </w:p>
        </w:tc>
        <w:tc>
          <w:tcPr>
            <w:tcW w:w="595" w:type="dxa"/>
          </w:tcPr>
          <w:p>
            <w:pPr>
              <w:pStyle w:val="25"/>
              <w:widowControl w:val="0"/>
              <w:ind w:firstLine="482"/>
              <w:jc w:val="both"/>
              <w:rPr>
                <w:rFonts w:eastAsia="Times New Roman"/>
                <w:b/>
                <w:sz w:val="24"/>
                <w:szCs w:val="24"/>
              </w:rPr>
            </w:pPr>
          </w:p>
        </w:tc>
        <w:tc>
          <w:tcPr>
            <w:tcW w:w="608" w:type="dxa"/>
          </w:tcPr>
          <w:p>
            <w:pPr>
              <w:pStyle w:val="25"/>
              <w:widowControl w:val="0"/>
              <w:ind w:firstLine="482"/>
              <w:jc w:val="both"/>
              <w:rPr>
                <w:rFonts w:eastAsia="Times New Roman"/>
                <w:b/>
                <w:sz w:val="24"/>
                <w:szCs w:val="24"/>
              </w:rPr>
            </w:pPr>
          </w:p>
        </w:tc>
        <w:tc>
          <w:tcPr>
            <w:tcW w:w="527" w:type="dxa"/>
          </w:tcPr>
          <w:p>
            <w:pPr>
              <w:pStyle w:val="25"/>
              <w:widowControl w:val="0"/>
              <w:ind w:firstLine="480"/>
              <w:jc w:val="both"/>
              <w:rPr>
                <w:rFonts w:eastAsia="Times New Roman"/>
                <w:b/>
                <w:sz w:val="24"/>
                <w:szCs w:val="24"/>
              </w:rPr>
            </w:pPr>
            <w:r>
              <w:rPr>
                <w:sz w:val="24"/>
                <w:szCs w:val="24"/>
              </w:rPr>
              <mc:AlternateContent>
                <mc:Choice Requires="wps">
                  <w:drawing>
                    <wp:anchor distT="0" distB="0" distL="114300" distR="114300" simplePos="0" relativeHeight="251677696" behindDoc="0" locked="0" layoutInCell="1" allowOverlap="1">
                      <wp:simplePos x="0" y="0"/>
                      <wp:positionH relativeFrom="column">
                        <wp:posOffset>-63500</wp:posOffset>
                      </wp:positionH>
                      <wp:positionV relativeFrom="paragraph">
                        <wp:posOffset>171450</wp:posOffset>
                      </wp:positionV>
                      <wp:extent cx="687705" cy="76200"/>
                      <wp:effectExtent l="6350" t="6350" r="10795" b="12700"/>
                      <wp:wrapNone/>
                      <wp:docPr id="15" name="矩形 15"/>
                      <wp:cNvGraphicFramePr/>
                      <a:graphic xmlns:a="http://schemas.openxmlformats.org/drawingml/2006/main">
                        <a:graphicData uri="http://schemas.microsoft.com/office/word/2010/wordprocessingShape">
                          <wps:wsp>
                            <wps:cNvSpPr/>
                            <wps:spPr>
                              <a:xfrm>
                                <a:off x="0" y="0"/>
                                <a:ext cx="687705" cy="76200"/>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5pt;margin-top:13.5pt;height:6pt;width:54.15pt;z-index:251677696;v-text-anchor:middle;mso-width-relative:page;mso-height-relative:page;" fillcolor="#5B9BD5 [3204]" filled="t" stroked="t" coordsize="21600,21600" o:gfxdata="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">
                      <v:fill on="t" focussize="0,0"/>
                      <v:stroke weight="1pt" color="#41719C [3204]" miterlimit="8" joinstyle="miter"/>
                      <v:imagedata o:title=""/>
                      <o:lock v:ext="edit" aspectratio="f"/>
                    </v:rect>
                  </w:pict>
                </mc:Fallback>
              </mc:AlternateContent>
            </w:r>
          </w:p>
        </w:tc>
        <w:tc>
          <w:tcPr>
            <w:tcW w:w="567" w:type="dxa"/>
          </w:tcPr>
          <w:p>
            <w:pPr>
              <w:pStyle w:val="25"/>
              <w:widowControl w:val="0"/>
              <w:ind w:firstLine="482"/>
              <w:jc w:val="both"/>
              <w:rPr>
                <w:rFonts w:eastAsia="Times New Roman"/>
                <w:b/>
                <w:sz w:val="24"/>
                <w:szCs w:val="24"/>
              </w:rPr>
            </w:pPr>
          </w:p>
        </w:tc>
        <w:tc>
          <w:tcPr>
            <w:tcW w:w="514" w:type="dxa"/>
          </w:tcPr>
          <w:p>
            <w:pPr>
              <w:pStyle w:val="25"/>
              <w:widowControl w:val="0"/>
              <w:ind w:firstLine="482"/>
              <w:jc w:val="both"/>
              <w:rPr>
                <w:rFonts w:eastAsia="Times New Roman"/>
                <w:b/>
                <w:sz w:val="24"/>
                <w:szCs w:val="24"/>
              </w:rPr>
            </w:pPr>
          </w:p>
        </w:tc>
        <w:tc>
          <w:tcPr>
            <w:tcW w:w="540" w:type="dxa"/>
          </w:tcPr>
          <w:p>
            <w:pPr>
              <w:pStyle w:val="25"/>
              <w:widowControl w:val="0"/>
              <w:ind w:firstLine="482"/>
              <w:jc w:val="both"/>
              <w:rPr>
                <w:rFonts w:eastAsia="Times New Roman"/>
                <w:b/>
                <w:sz w:val="24"/>
                <w:szCs w:val="24"/>
              </w:rPr>
            </w:pPr>
          </w:p>
        </w:tc>
        <w:tc>
          <w:tcPr>
            <w:tcW w:w="838" w:type="dxa"/>
          </w:tcPr>
          <w:p>
            <w:pPr>
              <w:pStyle w:val="25"/>
              <w:widowControl w:val="0"/>
              <w:ind w:firstLine="482"/>
              <w:jc w:val="both"/>
              <w:rPr>
                <w:rFonts w:eastAsia="Times New Roman"/>
                <w:b/>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4716" w:type="dxa"/>
          </w:tcPr>
          <w:p>
            <w:pPr>
              <w:pStyle w:val="25"/>
              <w:widowControl w:val="0"/>
              <w:ind w:firstLine="0" w:firstLineChars="0"/>
              <w:jc w:val="both"/>
              <w:rPr>
                <w:rFonts w:cs="宋体"/>
                <w:sz w:val="24"/>
                <w:szCs w:val="24"/>
              </w:rPr>
            </w:pPr>
            <w:r>
              <w:rPr>
                <w:rFonts w:hint="eastAsia" w:cs="宋体"/>
                <w:sz w:val="24"/>
                <w:szCs w:val="24"/>
              </w:rPr>
              <w:t>防灾行动与近期规划</w:t>
            </w:r>
          </w:p>
        </w:tc>
        <w:tc>
          <w:tcPr>
            <w:tcW w:w="595" w:type="dxa"/>
          </w:tcPr>
          <w:p>
            <w:pPr>
              <w:pStyle w:val="25"/>
              <w:widowControl w:val="0"/>
              <w:ind w:firstLine="482"/>
              <w:jc w:val="both"/>
              <w:rPr>
                <w:rFonts w:eastAsia="Times New Roman"/>
                <w:b/>
                <w:sz w:val="24"/>
                <w:szCs w:val="24"/>
              </w:rPr>
            </w:pPr>
          </w:p>
        </w:tc>
        <w:tc>
          <w:tcPr>
            <w:tcW w:w="608" w:type="dxa"/>
          </w:tcPr>
          <w:p>
            <w:pPr>
              <w:pStyle w:val="25"/>
              <w:widowControl w:val="0"/>
              <w:ind w:firstLine="482"/>
              <w:jc w:val="both"/>
              <w:rPr>
                <w:rFonts w:eastAsia="Times New Roman"/>
                <w:b/>
                <w:sz w:val="24"/>
                <w:szCs w:val="24"/>
              </w:rPr>
            </w:pPr>
          </w:p>
        </w:tc>
        <w:tc>
          <w:tcPr>
            <w:tcW w:w="527" w:type="dxa"/>
          </w:tcPr>
          <w:p>
            <w:pPr>
              <w:pStyle w:val="25"/>
              <w:widowControl w:val="0"/>
              <w:ind w:firstLine="482"/>
              <w:jc w:val="both"/>
              <w:rPr>
                <w:rFonts w:eastAsia="Times New Roman"/>
                <w:b/>
                <w:sz w:val="24"/>
                <w:szCs w:val="24"/>
              </w:rPr>
            </w:pPr>
          </w:p>
        </w:tc>
        <w:tc>
          <w:tcPr>
            <w:tcW w:w="567" w:type="dxa"/>
          </w:tcPr>
          <w:p>
            <w:pPr>
              <w:pStyle w:val="25"/>
              <w:widowControl w:val="0"/>
              <w:ind w:firstLine="480"/>
              <w:jc w:val="both"/>
              <w:rPr>
                <w:rFonts w:eastAsia="Times New Roman"/>
                <w:b/>
                <w:sz w:val="24"/>
                <w:szCs w:val="24"/>
              </w:rPr>
            </w:pPr>
            <w:r>
              <w:rPr>
                <w:sz w:val="24"/>
                <w:szCs w:val="24"/>
              </w:rPr>
              <mc:AlternateContent>
                <mc:Choice Requires="wps">
                  <w:drawing>
                    <wp:anchor distT="0" distB="0" distL="114300" distR="114300" simplePos="0" relativeHeight="251687936" behindDoc="0" locked="0" layoutInCell="1" allowOverlap="1">
                      <wp:simplePos x="0" y="0"/>
                      <wp:positionH relativeFrom="column">
                        <wp:posOffset>-68580</wp:posOffset>
                      </wp:positionH>
                      <wp:positionV relativeFrom="paragraph">
                        <wp:posOffset>168275</wp:posOffset>
                      </wp:positionV>
                      <wp:extent cx="397510" cy="76200"/>
                      <wp:effectExtent l="6350" t="6350" r="15240" b="12700"/>
                      <wp:wrapNone/>
                      <wp:docPr id="20" name="矩形 20"/>
                      <wp:cNvGraphicFramePr/>
                      <a:graphic xmlns:a="http://schemas.openxmlformats.org/drawingml/2006/main">
                        <a:graphicData uri="http://schemas.microsoft.com/office/word/2010/wordprocessingShape">
                          <wps:wsp>
                            <wps:cNvSpPr/>
                            <wps:spPr>
                              <a:xfrm>
                                <a:off x="0" y="0"/>
                                <a:ext cx="397510" cy="76200"/>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5.4pt;margin-top:13.25pt;height:6pt;width:31.3pt;z-index:251687936;v-text-anchor:middle;mso-width-relative:page;mso-height-relative:page;" fillcolor="#5B9BD5 [3204]" filled="t" stroked="t" coordsize="21600,21600" o:gfxdata="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">
                      <v:fill on="t" focussize="0,0"/>
                      <v:stroke weight="1pt" color="#41719C [3204]" miterlimit="8" joinstyle="miter"/>
                      <v:imagedata o:title=""/>
                      <o:lock v:ext="edit" aspectratio="f"/>
                    </v:rect>
                  </w:pict>
                </mc:Fallback>
              </mc:AlternateContent>
            </w:r>
          </w:p>
        </w:tc>
        <w:tc>
          <w:tcPr>
            <w:tcW w:w="514" w:type="dxa"/>
          </w:tcPr>
          <w:p>
            <w:pPr>
              <w:pStyle w:val="25"/>
              <w:widowControl w:val="0"/>
              <w:ind w:firstLine="482"/>
              <w:jc w:val="both"/>
              <w:rPr>
                <w:rFonts w:eastAsia="Times New Roman"/>
                <w:b/>
                <w:sz w:val="24"/>
                <w:szCs w:val="24"/>
              </w:rPr>
            </w:pPr>
          </w:p>
        </w:tc>
        <w:tc>
          <w:tcPr>
            <w:tcW w:w="540" w:type="dxa"/>
          </w:tcPr>
          <w:p>
            <w:pPr>
              <w:pStyle w:val="25"/>
              <w:widowControl w:val="0"/>
              <w:ind w:firstLine="482"/>
              <w:jc w:val="both"/>
              <w:rPr>
                <w:rFonts w:eastAsia="Times New Roman"/>
                <w:b/>
                <w:sz w:val="24"/>
                <w:szCs w:val="24"/>
              </w:rPr>
            </w:pPr>
          </w:p>
        </w:tc>
        <w:tc>
          <w:tcPr>
            <w:tcW w:w="838" w:type="dxa"/>
          </w:tcPr>
          <w:p>
            <w:pPr>
              <w:pStyle w:val="25"/>
              <w:widowControl w:val="0"/>
              <w:ind w:firstLine="482"/>
              <w:jc w:val="both"/>
              <w:rPr>
                <w:rFonts w:eastAsia="Times New Roman"/>
                <w:b/>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4716" w:type="dxa"/>
          </w:tcPr>
          <w:p>
            <w:pPr>
              <w:pStyle w:val="25"/>
              <w:widowControl w:val="0"/>
              <w:ind w:firstLine="0" w:firstLineChars="0"/>
              <w:jc w:val="both"/>
              <w:rPr>
                <w:rFonts w:cs="宋体"/>
                <w:sz w:val="24"/>
                <w:szCs w:val="24"/>
              </w:rPr>
            </w:pPr>
            <w:r>
              <w:rPr>
                <w:rFonts w:hint="eastAsia" w:cs="宋体"/>
                <w:sz w:val="24"/>
                <w:szCs w:val="24"/>
              </w:rPr>
              <w:t>图件制作</w:t>
            </w:r>
          </w:p>
        </w:tc>
        <w:tc>
          <w:tcPr>
            <w:tcW w:w="595" w:type="dxa"/>
          </w:tcPr>
          <w:p>
            <w:pPr>
              <w:pStyle w:val="25"/>
              <w:widowControl w:val="0"/>
              <w:ind w:firstLine="482"/>
              <w:jc w:val="both"/>
              <w:rPr>
                <w:rFonts w:eastAsia="Times New Roman"/>
                <w:b/>
                <w:sz w:val="24"/>
                <w:szCs w:val="24"/>
              </w:rPr>
            </w:pPr>
          </w:p>
        </w:tc>
        <w:tc>
          <w:tcPr>
            <w:tcW w:w="608" w:type="dxa"/>
          </w:tcPr>
          <w:p>
            <w:pPr>
              <w:pStyle w:val="25"/>
              <w:widowControl w:val="0"/>
              <w:ind w:firstLine="482"/>
              <w:jc w:val="both"/>
              <w:rPr>
                <w:rFonts w:eastAsia="Times New Roman"/>
                <w:b/>
                <w:sz w:val="24"/>
                <w:szCs w:val="24"/>
              </w:rPr>
            </w:pPr>
          </w:p>
        </w:tc>
        <w:tc>
          <w:tcPr>
            <w:tcW w:w="527" w:type="dxa"/>
          </w:tcPr>
          <w:p>
            <w:pPr>
              <w:pStyle w:val="25"/>
              <w:widowControl w:val="0"/>
              <w:ind w:firstLine="482"/>
              <w:jc w:val="both"/>
              <w:rPr>
                <w:rFonts w:eastAsia="Times New Roman"/>
                <w:b/>
                <w:sz w:val="24"/>
                <w:szCs w:val="24"/>
              </w:rPr>
            </w:pPr>
          </w:p>
        </w:tc>
        <w:tc>
          <w:tcPr>
            <w:tcW w:w="567" w:type="dxa"/>
          </w:tcPr>
          <w:p>
            <w:pPr>
              <w:pStyle w:val="25"/>
              <w:widowControl w:val="0"/>
              <w:ind w:firstLine="482"/>
              <w:jc w:val="both"/>
              <w:rPr>
                <w:rFonts w:eastAsia="Times New Roman"/>
                <w:b/>
                <w:sz w:val="24"/>
                <w:szCs w:val="24"/>
              </w:rPr>
            </w:pPr>
          </w:p>
        </w:tc>
        <w:tc>
          <w:tcPr>
            <w:tcW w:w="514" w:type="dxa"/>
          </w:tcPr>
          <w:p>
            <w:pPr>
              <w:pStyle w:val="25"/>
              <w:widowControl w:val="0"/>
              <w:ind w:firstLine="480"/>
              <w:jc w:val="both"/>
              <w:rPr>
                <w:rFonts w:eastAsia="Times New Roman"/>
                <w:b/>
                <w:sz w:val="24"/>
                <w:szCs w:val="24"/>
              </w:rPr>
            </w:pPr>
            <w:r>
              <w:rPr>
                <w:sz w:val="24"/>
                <w:szCs w:val="24"/>
              </w:rPr>
              <mc:AlternateContent>
                <mc:Choice Requires="wps">
                  <w:drawing>
                    <wp:anchor distT="0" distB="0" distL="114300" distR="114300" simplePos="0" relativeHeight="251699200" behindDoc="0" locked="0" layoutInCell="1" allowOverlap="1">
                      <wp:simplePos x="0" y="0"/>
                      <wp:positionH relativeFrom="column">
                        <wp:posOffset>-433070</wp:posOffset>
                      </wp:positionH>
                      <wp:positionV relativeFrom="paragraph">
                        <wp:posOffset>163195</wp:posOffset>
                      </wp:positionV>
                      <wp:extent cx="685800" cy="76200"/>
                      <wp:effectExtent l="6350" t="6350" r="12700" b="12700"/>
                      <wp:wrapNone/>
                      <wp:docPr id="21" name="矩形 21"/>
                      <wp:cNvGraphicFramePr/>
                      <a:graphic xmlns:a="http://schemas.openxmlformats.org/drawingml/2006/main">
                        <a:graphicData uri="http://schemas.microsoft.com/office/word/2010/wordprocessingShape">
                          <wps:wsp>
                            <wps:cNvSpPr/>
                            <wps:spPr>
                              <a:xfrm>
                                <a:off x="0" y="0"/>
                                <a:ext cx="685800" cy="76200"/>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34.1pt;margin-top:12.85pt;height:6pt;width:54pt;z-index:251699200;v-text-anchor:middle;mso-width-relative:page;mso-height-relative:page;" fillcolor="#5B9BD5 [3204]" filled="t" stroked="t" coordsize="21600,21600" o:gfxdata="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">
                      <v:fill on="t" focussize="0,0"/>
                      <v:stroke weight="1pt" color="#41719C [3204]" miterlimit="8" joinstyle="miter"/>
                      <v:imagedata o:title=""/>
                      <o:lock v:ext="edit" aspectratio="f"/>
                    </v:rect>
                  </w:pict>
                </mc:Fallback>
              </mc:AlternateContent>
            </w:r>
          </w:p>
        </w:tc>
        <w:tc>
          <w:tcPr>
            <w:tcW w:w="540" w:type="dxa"/>
          </w:tcPr>
          <w:p>
            <w:pPr>
              <w:pStyle w:val="25"/>
              <w:widowControl w:val="0"/>
              <w:ind w:firstLine="482"/>
              <w:jc w:val="both"/>
              <w:rPr>
                <w:rFonts w:eastAsia="Times New Roman"/>
                <w:b/>
                <w:sz w:val="24"/>
                <w:szCs w:val="24"/>
              </w:rPr>
            </w:pPr>
          </w:p>
        </w:tc>
        <w:tc>
          <w:tcPr>
            <w:tcW w:w="838" w:type="dxa"/>
          </w:tcPr>
          <w:p>
            <w:pPr>
              <w:pStyle w:val="25"/>
              <w:widowControl w:val="0"/>
              <w:ind w:firstLine="482"/>
              <w:jc w:val="both"/>
              <w:rPr>
                <w:rFonts w:eastAsia="Times New Roman"/>
                <w:b/>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4716" w:type="dxa"/>
          </w:tcPr>
          <w:p>
            <w:pPr>
              <w:pStyle w:val="25"/>
              <w:widowControl w:val="0"/>
              <w:ind w:firstLine="0" w:firstLineChars="0"/>
              <w:jc w:val="both"/>
              <w:rPr>
                <w:rFonts w:cs="宋体"/>
                <w:sz w:val="24"/>
                <w:szCs w:val="24"/>
              </w:rPr>
            </w:pPr>
            <w:r>
              <w:rPr>
                <w:rFonts w:hint="eastAsia" w:cs="宋体"/>
                <w:sz w:val="24"/>
                <w:szCs w:val="24"/>
              </w:rPr>
              <w:t>规划初稿、修改与论证</w:t>
            </w:r>
          </w:p>
        </w:tc>
        <w:tc>
          <w:tcPr>
            <w:tcW w:w="595" w:type="dxa"/>
          </w:tcPr>
          <w:p>
            <w:pPr>
              <w:pStyle w:val="25"/>
              <w:widowControl w:val="0"/>
              <w:ind w:firstLine="482"/>
              <w:jc w:val="both"/>
              <w:rPr>
                <w:rFonts w:eastAsia="Times New Roman"/>
                <w:b/>
                <w:sz w:val="24"/>
                <w:szCs w:val="24"/>
              </w:rPr>
            </w:pPr>
          </w:p>
        </w:tc>
        <w:tc>
          <w:tcPr>
            <w:tcW w:w="608" w:type="dxa"/>
          </w:tcPr>
          <w:p>
            <w:pPr>
              <w:pStyle w:val="25"/>
              <w:widowControl w:val="0"/>
              <w:ind w:firstLine="482"/>
              <w:jc w:val="both"/>
              <w:rPr>
                <w:rFonts w:eastAsia="Times New Roman"/>
                <w:b/>
                <w:sz w:val="24"/>
                <w:szCs w:val="24"/>
              </w:rPr>
            </w:pPr>
          </w:p>
        </w:tc>
        <w:tc>
          <w:tcPr>
            <w:tcW w:w="527" w:type="dxa"/>
          </w:tcPr>
          <w:p>
            <w:pPr>
              <w:pStyle w:val="25"/>
              <w:widowControl w:val="0"/>
              <w:ind w:firstLine="482"/>
              <w:jc w:val="both"/>
              <w:rPr>
                <w:rFonts w:eastAsia="Times New Roman"/>
                <w:b/>
                <w:sz w:val="24"/>
                <w:szCs w:val="24"/>
              </w:rPr>
            </w:pPr>
          </w:p>
        </w:tc>
        <w:tc>
          <w:tcPr>
            <w:tcW w:w="567" w:type="dxa"/>
          </w:tcPr>
          <w:p>
            <w:pPr>
              <w:pStyle w:val="25"/>
              <w:widowControl w:val="0"/>
              <w:ind w:firstLine="482"/>
              <w:jc w:val="both"/>
              <w:rPr>
                <w:rFonts w:eastAsia="Times New Roman"/>
                <w:b/>
                <w:sz w:val="24"/>
                <w:szCs w:val="24"/>
              </w:rPr>
            </w:pPr>
          </w:p>
        </w:tc>
        <w:tc>
          <w:tcPr>
            <w:tcW w:w="514" w:type="dxa"/>
          </w:tcPr>
          <w:p>
            <w:pPr>
              <w:pStyle w:val="25"/>
              <w:widowControl w:val="0"/>
              <w:ind w:firstLine="482"/>
              <w:jc w:val="both"/>
              <w:rPr>
                <w:rFonts w:eastAsia="Times New Roman"/>
                <w:b/>
                <w:sz w:val="24"/>
                <w:szCs w:val="24"/>
              </w:rPr>
            </w:pPr>
          </w:p>
        </w:tc>
        <w:tc>
          <w:tcPr>
            <w:tcW w:w="540" w:type="dxa"/>
          </w:tcPr>
          <w:p>
            <w:pPr>
              <w:pStyle w:val="25"/>
              <w:widowControl w:val="0"/>
              <w:ind w:firstLine="480"/>
              <w:jc w:val="both"/>
              <w:rPr>
                <w:rFonts w:eastAsia="Times New Roman"/>
                <w:b/>
                <w:sz w:val="24"/>
                <w:szCs w:val="24"/>
              </w:rPr>
            </w:pPr>
            <w:r>
              <w:rPr>
                <w:sz w:val="24"/>
                <w:szCs w:val="24"/>
              </w:rPr>
              <mc:AlternateContent>
                <mc:Choice Requires="wps">
                  <w:drawing>
                    <wp:anchor distT="0" distB="0" distL="114300" distR="114300" simplePos="0" relativeHeight="251710464" behindDoc="0" locked="0" layoutInCell="1" allowOverlap="1">
                      <wp:simplePos x="0" y="0"/>
                      <wp:positionH relativeFrom="column">
                        <wp:posOffset>-394970</wp:posOffset>
                      </wp:positionH>
                      <wp:positionV relativeFrom="paragraph">
                        <wp:posOffset>123825</wp:posOffset>
                      </wp:positionV>
                      <wp:extent cx="632460" cy="76200"/>
                      <wp:effectExtent l="6350" t="6350" r="8890" b="12700"/>
                      <wp:wrapNone/>
                      <wp:docPr id="17" name="矩形 17"/>
                      <wp:cNvGraphicFramePr/>
                      <a:graphic xmlns:a="http://schemas.openxmlformats.org/drawingml/2006/main">
                        <a:graphicData uri="http://schemas.microsoft.com/office/word/2010/wordprocessingShape">
                          <wps:wsp>
                            <wps:cNvSpPr/>
                            <wps:spPr>
                              <a:xfrm>
                                <a:off x="0" y="0"/>
                                <a:ext cx="632460" cy="76200"/>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31.1pt;margin-top:9.75pt;height:6pt;width:49.8pt;z-index:251710464;v-text-anchor:middle;mso-width-relative:page;mso-height-relative:page;" fillcolor="#5B9BD5 [3204]" filled="t" stroked="t" coordsize="21600,21600" o:gfxdata="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">
                      <v:fill on="t" focussize="0,0"/>
                      <v:stroke weight="1pt" color="#41719C [3204]" miterlimit="8" joinstyle="miter"/>
                      <v:imagedata o:title=""/>
                      <o:lock v:ext="edit" aspectratio="f"/>
                    </v:rect>
                  </w:pict>
                </mc:Fallback>
              </mc:AlternateContent>
            </w:r>
          </w:p>
        </w:tc>
        <w:tc>
          <w:tcPr>
            <w:tcW w:w="838" w:type="dxa"/>
          </w:tcPr>
          <w:p>
            <w:pPr>
              <w:pStyle w:val="25"/>
              <w:widowControl w:val="0"/>
              <w:ind w:firstLine="482"/>
              <w:jc w:val="both"/>
              <w:rPr>
                <w:rFonts w:eastAsia="Times New Roman"/>
                <w:b/>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4716" w:type="dxa"/>
          </w:tcPr>
          <w:p>
            <w:pPr>
              <w:pStyle w:val="25"/>
              <w:widowControl w:val="0"/>
              <w:ind w:firstLine="0" w:firstLineChars="0"/>
              <w:jc w:val="both"/>
              <w:rPr>
                <w:rFonts w:cs="宋体"/>
                <w:sz w:val="24"/>
                <w:szCs w:val="24"/>
              </w:rPr>
            </w:pPr>
            <w:r>
              <w:rPr>
                <w:rFonts w:hint="eastAsia" w:cs="宋体"/>
                <w:sz w:val="24"/>
                <w:szCs w:val="24"/>
              </w:rPr>
              <w:t>规划修改，提交最终成果</w:t>
            </w:r>
          </w:p>
        </w:tc>
        <w:tc>
          <w:tcPr>
            <w:tcW w:w="595" w:type="dxa"/>
          </w:tcPr>
          <w:p>
            <w:pPr>
              <w:pStyle w:val="25"/>
              <w:widowControl w:val="0"/>
              <w:ind w:firstLine="482"/>
              <w:jc w:val="both"/>
              <w:rPr>
                <w:rFonts w:eastAsia="Times New Roman"/>
                <w:b/>
                <w:sz w:val="24"/>
                <w:szCs w:val="24"/>
              </w:rPr>
            </w:pPr>
          </w:p>
        </w:tc>
        <w:tc>
          <w:tcPr>
            <w:tcW w:w="608" w:type="dxa"/>
          </w:tcPr>
          <w:p>
            <w:pPr>
              <w:pStyle w:val="25"/>
              <w:widowControl w:val="0"/>
              <w:ind w:firstLine="482"/>
              <w:jc w:val="both"/>
              <w:rPr>
                <w:rFonts w:eastAsia="Times New Roman"/>
                <w:b/>
                <w:sz w:val="24"/>
                <w:szCs w:val="24"/>
              </w:rPr>
            </w:pPr>
          </w:p>
        </w:tc>
        <w:tc>
          <w:tcPr>
            <w:tcW w:w="527" w:type="dxa"/>
          </w:tcPr>
          <w:p>
            <w:pPr>
              <w:pStyle w:val="25"/>
              <w:widowControl w:val="0"/>
              <w:ind w:firstLine="482"/>
              <w:jc w:val="both"/>
              <w:rPr>
                <w:rFonts w:eastAsia="Times New Roman"/>
                <w:b/>
                <w:sz w:val="24"/>
                <w:szCs w:val="24"/>
              </w:rPr>
            </w:pPr>
          </w:p>
        </w:tc>
        <w:tc>
          <w:tcPr>
            <w:tcW w:w="567" w:type="dxa"/>
          </w:tcPr>
          <w:p>
            <w:pPr>
              <w:pStyle w:val="25"/>
              <w:widowControl w:val="0"/>
              <w:ind w:firstLine="482"/>
              <w:jc w:val="both"/>
              <w:rPr>
                <w:rFonts w:eastAsia="Times New Roman"/>
                <w:b/>
                <w:sz w:val="24"/>
                <w:szCs w:val="24"/>
              </w:rPr>
            </w:pPr>
          </w:p>
        </w:tc>
        <w:tc>
          <w:tcPr>
            <w:tcW w:w="514" w:type="dxa"/>
          </w:tcPr>
          <w:p>
            <w:pPr>
              <w:pStyle w:val="25"/>
              <w:widowControl w:val="0"/>
              <w:ind w:firstLine="482"/>
              <w:jc w:val="both"/>
              <w:rPr>
                <w:rFonts w:eastAsia="Times New Roman"/>
                <w:b/>
                <w:sz w:val="24"/>
                <w:szCs w:val="24"/>
              </w:rPr>
            </w:pPr>
          </w:p>
        </w:tc>
        <w:tc>
          <w:tcPr>
            <w:tcW w:w="540" w:type="dxa"/>
          </w:tcPr>
          <w:p>
            <w:pPr>
              <w:pStyle w:val="25"/>
              <w:widowControl w:val="0"/>
              <w:ind w:firstLine="480"/>
              <w:jc w:val="both"/>
              <w:rPr>
                <w:rFonts w:eastAsia="Times New Roman"/>
                <w:b/>
                <w:sz w:val="24"/>
                <w:szCs w:val="24"/>
              </w:rPr>
            </w:pPr>
            <w:r>
              <w:rPr>
                <w:sz w:val="24"/>
                <w:szCs w:val="24"/>
              </w:rPr>
              <mc:AlternateContent>
                <mc:Choice Requires="wps">
                  <w:drawing>
                    <wp:anchor distT="0" distB="0" distL="114300" distR="114300" simplePos="0" relativeHeight="251718656" behindDoc="0" locked="0" layoutInCell="1" allowOverlap="1">
                      <wp:simplePos x="0" y="0"/>
                      <wp:positionH relativeFrom="column">
                        <wp:posOffset>-33020</wp:posOffset>
                      </wp:positionH>
                      <wp:positionV relativeFrom="paragraph">
                        <wp:posOffset>146050</wp:posOffset>
                      </wp:positionV>
                      <wp:extent cx="840105" cy="76200"/>
                      <wp:effectExtent l="0" t="0" r="17780" b="19050"/>
                      <wp:wrapNone/>
                      <wp:docPr id="18" name="矩形 18"/>
                      <wp:cNvGraphicFramePr/>
                      <a:graphic xmlns:a="http://schemas.openxmlformats.org/drawingml/2006/main">
                        <a:graphicData uri="http://schemas.microsoft.com/office/word/2010/wordprocessingShape">
                          <wps:wsp>
                            <wps:cNvSpPr/>
                            <wps:spPr>
                              <a:xfrm>
                                <a:off x="0" y="0"/>
                                <a:ext cx="839972" cy="76200"/>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2.6pt;margin-top:11.5pt;height:6pt;width:66.15pt;z-index:251718656;v-text-anchor:middle;mso-width-relative:page;mso-height-relative:page;" fillcolor="#5B9BD5 [3204]" filled="t" stroked="t" coordsize="21600,21600" o:gfxdata="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">
                      <v:fill on="t" focussize="0,0"/>
                      <v:stroke weight="1pt" color="#41719C [3204]" miterlimit="8" joinstyle="miter"/>
                      <v:imagedata o:title=""/>
                      <o:lock v:ext="edit" aspectratio="f"/>
                    </v:rect>
                  </w:pict>
                </mc:Fallback>
              </mc:AlternateContent>
            </w:r>
          </w:p>
        </w:tc>
        <w:tc>
          <w:tcPr>
            <w:tcW w:w="838" w:type="dxa"/>
          </w:tcPr>
          <w:p>
            <w:pPr>
              <w:pStyle w:val="25"/>
              <w:widowControl w:val="0"/>
              <w:ind w:firstLine="482"/>
              <w:jc w:val="both"/>
              <w:rPr>
                <w:rFonts w:eastAsia="Times New Roman"/>
                <w:b/>
                <w:sz w:val="24"/>
                <w:szCs w:val="24"/>
              </w:rPr>
            </w:pPr>
          </w:p>
        </w:tc>
      </w:tr>
    </w:tbl>
    <w:p>
      <w:pPr>
        <w:pStyle w:val="4"/>
        <w:rPr>
          <w:sz w:val="24"/>
          <w:szCs w:val="24"/>
        </w:rPr>
      </w:pPr>
      <w:bookmarkStart w:id="140" w:name="_Toc4916"/>
      <w:bookmarkStart w:id="141" w:name="_Toc21731"/>
      <w:bookmarkStart w:id="142" w:name="_Toc11152"/>
      <w:bookmarkStart w:id="143" w:name="_Toc16434"/>
      <w:bookmarkStart w:id="144" w:name="_Toc14799"/>
      <w:bookmarkStart w:id="145" w:name="_Toc15927"/>
      <w:bookmarkStart w:id="146" w:name="_Toc11462"/>
      <w:bookmarkStart w:id="147" w:name="_Toc503267576"/>
      <w:r>
        <w:rPr>
          <w:sz w:val="24"/>
          <w:szCs w:val="24"/>
        </w:rPr>
        <w:t xml:space="preserve">6.2 </w:t>
      </w:r>
      <w:r>
        <w:rPr>
          <w:rFonts w:hint="eastAsia"/>
          <w:sz w:val="24"/>
          <w:szCs w:val="24"/>
        </w:rPr>
        <w:t>实施措施</w:t>
      </w:r>
      <w:bookmarkEnd w:id="140"/>
      <w:bookmarkEnd w:id="141"/>
      <w:bookmarkEnd w:id="142"/>
      <w:bookmarkEnd w:id="143"/>
      <w:bookmarkEnd w:id="144"/>
      <w:bookmarkEnd w:id="145"/>
      <w:bookmarkEnd w:id="146"/>
      <w:bookmarkEnd w:id="147"/>
    </w:p>
    <w:p>
      <w:pPr>
        <w:pStyle w:val="25"/>
        <w:ind w:firstLine="480"/>
        <w:rPr>
          <w:rFonts w:asciiTheme="minorEastAsia" w:hAnsiTheme="minorEastAsia" w:eastAsiaTheme="minorEastAsia"/>
          <w:sz w:val="24"/>
          <w:szCs w:val="24"/>
        </w:rPr>
      </w:pPr>
      <w:r>
        <w:rPr>
          <w:rFonts w:hint="eastAsia" w:asciiTheme="minorEastAsia" w:hAnsiTheme="minorEastAsia" w:eastAsiaTheme="minorEastAsia"/>
          <w:sz w:val="24"/>
          <w:szCs w:val="24"/>
        </w:rPr>
        <w:t>城市抗震防灾规划是公益性项目，城市规划、建设、地震、财政、发改委、国土资源、房屋、电力、交通、道路、给排水、燃气、通信、医疗卫生、物资、消防、公安、热力、安全监督、石油化工、档案、水利、教育、文物保护、园林绿地、气象、地质等相关部门和单位应按照规划编制要求按时、无偿提供相关基础资料。</w:t>
      </w:r>
    </w:p>
    <w:p>
      <w:pPr>
        <w:pStyle w:val="25"/>
        <w:ind w:firstLine="480"/>
        <w:rPr>
          <w:rFonts w:asciiTheme="minorEastAsia" w:hAnsiTheme="minorEastAsia" w:eastAsiaTheme="minorEastAsia"/>
          <w:sz w:val="24"/>
          <w:szCs w:val="24"/>
        </w:rPr>
      </w:pPr>
      <w:r>
        <w:rPr>
          <w:rFonts w:hint="eastAsia" w:asciiTheme="minorEastAsia" w:hAnsiTheme="minorEastAsia" w:eastAsiaTheme="minorEastAsia"/>
          <w:sz w:val="24"/>
          <w:szCs w:val="24"/>
        </w:rPr>
        <w:t>建议在基础资料收集时，召开基础资料和规划编制协调会，促进规划编制工作，保证项目的保质、按期完成。</w:t>
      </w:r>
    </w:p>
    <w:p>
      <w:pPr>
        <w:pStyle w:val="3"/>
      </w:pPr>
      <w:bookmarkStart w:id="148" w:name="_Toc30427"/>
      <w:bookmarkStart w:id="149" w:name="_Toc26742"/>
      <w:bookmarkStart w:id="150" w:name="_Toc503267577"/>
      <w:bookmarkStart w:id="151" w:name="_Toc11411"/>
      <w:bookmarkStart w:id="152" w:name="_Toc14779"/>
      <w:r>
        <w:t xml:space="preserve">7 </w:t>
      </w:r>
      <w:r>
        <w:rPr>
          <w:rFonts w:hint="eastAsia"/>
        </w:rPr>
        <w:t>服务承诺及质量保证措施</w:t>
      </w:r>
      <w:bookmarkEnd w:id="148"/>
      <w:bookmarkEnd w:id="149"/>
      <w:bookmarkEnd w:id="150"/>
      <w:bookmarkEnd w:id="151"/>
      <w:bookmarkEnd w:id="152"/>
    </w:p>
    <w:p>
      <w:pPr>
        <w:pStyle w:val="4"/>
        <w:rPr>
          <w:sz w:val="24"/>
          <w:szCs w:val="24"/>
        </w:rPr>
      </w:pPr>
      <w:bookmarkStart w:id="153" w:name="_Toc22972"/>
      <w:bookmarkStart w:id="154" w:name="_Toc2276"/>
      <w:bookmarkStart w:id="155" w:name="_Toc22616"/>
      <w:bookmarkStart w:id="156" w:name="_Toc503267578"/>
      <w:r>
        <w:rPr>
          <w:sz w:val="24"/>
          <w:szCs w:val="24"/>
        </w:rPr>
        <w:t>7</w:t>
      </w:r>
      <w:r>
        <w:rPr>
          <w:rFonts w:hint="eastAsia"/>
          <w:sz w:val="24"/>
          <w:szCs w:val="24"/>
        </w:rPr>
        <w:t>.1 服务承诺</w:t>
      </w:r>
      <w:bookmarkEnd w:id="153"/>
      <w:bookmarkEnd w:id="154"/>
      <w:bookmarkEnd w:id="155"/>
      <w:bookmarkEnd w:id="156"/>
    </w:p>
    <w:p>
      <w:pPr>
        <w:pStyle w:val="25"/>
        <w:ind w:firstLine="480"/>
        <w:rPr>
          <w:rFonts w:asciiTheme="minorEastAsia" w:hAnsiTheme="minorEastAsia" w:eastAsiaTheme="minorEastAsia"/>
          <w:sz w:val="24"/>
          <w:szCs w:val="24"/>
        </w:rPr>
      </w:pPr>
      <w:r>
        <w:rPr>
          <w:rFonts w:hint="eastAsia" w:asciiTheme="minorEastAsia" w:hAnsiTheme="minorEastAsia" w:eastAsiaTheme="minorEastAsia"/>
          <w:sz w:val="24"/>
          <w:szCs w:val="24"/>
        </w:rPr>
        <w:t>（1）服务标准</w:t>
      </w:r>
    </w:p>
    <w:p>
      <w:pPr>
        <w:pStyle w:val="25"/>
        <w:ind w:firstLine="480"/>
        <w:rPr>
          <w:rFonts w:asciiTheme="minorEastAsia" w:hAnsiTheme="minorEastAsia" w:eastAsiaTheme="minorEastAsia"/>
          <w:sz w:val="24"/>
          <w:szCs w:val="24"/>
        </w:rPr>
      </w:pPr>
      <w:r>
        <w:rPr>
          <w:rFonts w:hint="eastAsia" w:asciiTheme="minorEastAsia" w:hAnsiTheme="minorEastAsia" w:eastAsiaTheme="minorEastAsia"/>
          <w:sz w:val="24"/>
          <w:szCs w:val="24"/>
        </w:rPr>
        <w:t>投标单位将按照“最新理念、最高标准、最好质量”来编制许昌市抗震防灾专项规划，规划的内容和深度满足《城市抗震防灾规划标准》（GB50413）中甲类模式的要求。</w:t>
      </w:r>
    </w:p>
    <w:p>
      <w:pPr>
        <w:pStyle w:val="25"/>
        <w:ind w:firstLine="480"/>
        <w:rPr>
          <w:rFonts w:asciiTheme="minorEastAsia" w:hAnsiTheme="minorEastAsia" w:eastAsiaTheme="minorEastAsia"/>
          <w:sz w:val="24"/>
          <w:szCs w:val="24"/>
        </w:rPr>
      </w:pPr>
      <w:r>
        <w:rPr>
          <w:rFonts w:hint="eastAsia" w:asciiTheme="minorEastAsia" w:hAnsiTheme="minorEastAsia" w:eastAsiaTheme="minorEastAsia"/>
          <w:sz w:val="24"/>
          <w:szCs w:val="24"/>
        </w:rPr>
        <w:t>（2）服务保障承诺及措施</w:t>
      </w:r>
    </w:p>
    <w:p>
      <w:pPr>
        <w:pStyle w:val="25"/>
        <w:ind w:firstLine="480"/>
        <w:rPr>
          <w:rFonts w:asciiTheme="minorEastAsia" w:hAnsiTheme="minorEastAsia" w:eastAsiaTheme="minorEastAsia"/>
          <w:sz w:val="24"/>
          <w:szCs w:val="24"/>
        </w:rPr>
      </w:pPr>
      <w:r>
        <w:rPr>
          <w:rFonts w:hint="eastAsia" w:asciiTheme="minorEastAsia" w:hAnsiTheme="minorEastAsia" w:eastAsiaTheme="minorEastAsia"/>
          <w:sz w:val="24"/>
          <w:szCs w:val="24"/>
        </w:rPr>
        <w:t>在招标文件及本项目约定的项目目标、内容、服务承诺、周期等条件下，除规定的不可抗拒条件发生、双方协商认可的修正及成交后双方签订的法律约定予以更改外，承诺达到下述服务要求：</w:t>
      </w:r>
    </w:p>
    <w:p>
      <w:pPr>
        <w:pStyle w:val="25"/>
        <w:ind w:firstLine="480"/>
        <w:rPr>
          <w:rFonts w:asciiTheme="minorEastAsia" w:hAnsiTheme="minorEastAsia" w:eastAsiaTheme="minorEastAsia"/>
          <w:sz w:val="24"/>
          <w:szCs w:val="24"/>
        </w:rPr>
      </w:pPr>
      <w:r>
        <w:rPr>
          <w:rFonts w:hint="eastAsia" w:asciiTheme="minorEastAsia" w:hAnsiTheme="minorEastAsia" w:eastAsiaTheme="minorEastAsia"/>
          <w:sz w:val="24"/>
          <w:szCs w:val="24"/>
        </w:rPr>
        <w:t>一旦被确定为中标人，在收到中标通知书后，按中标通知书中规定的日期、时间和地点，与招标人协商签订合同事宜；</w:t>
      </w:r>
    </w:p>
    <w:p>
      <w:pPr>
        <w:pStyle w:val="25"/>
        <w:ind w:firstLine="480"/>
        <w:rPr>
          <w:rFonts w:asciiTheme="minorEastAsia" w:hAnsiTheme="minorEastAsia" w:eastAsiaTheme="minorEastAsia"/>
          <w:sz w:val="24"/>
          <w:szCs w:val="24"/>
        </w:rPr>
      </w:pPr>
      <w:r>
        <w:rPr>
          <w:rFonts w:hint="eastAsia" w:asciiTheme="minorEastAsia" w:hAnsiTheme="minorEastAsia" w:eastAsiaTheme="minorEastAsia"/>
          <w:sz w:val="24"/>
          <w:szCs w:val="24"/>
        </w:rPr>
        <w:t>一旦被确定为中标单位，按相关要求签订合同后</w:t>
      </w:r>
    </w:p>
    <w:p>
      <w:pPr>
        <w:pStyle w:val="25"/>
        <w:ind w:firstLine="480"/>
        <w:rPr>
          <w:rFonts w:asciiTheme="minorEastAsia" w:hAnsiTheme="minorEastAsia" w:eastAsiaTheme="minorEastAsia"/>
          <w:sz w:val="24"/>
          <w:szCs w:val="24"/>
        </w:rPr>
      </w:pPr>
      <w:r>
        <w:rPr>
          <w:rFonts w:hint="eastAsia" w:asciiTheme="minorEastAsia" w:hAnsiTheme="minorEastAsia" w:eastAsiaTheme="minorEastAsia"/>
          <w:sz w:val="24"/>
          <w:szCs w:val="24"/>
        </w:rPr>
        <w:t>项目成果满足本招标文件承诺的项目目标、内容及质量要求；</w:t>
      </w:r>
    </w:p>
    <w:p>
      <w:pPr>
        <w:pStyle w:val="25"/>
        <w:ind w:firstLine="480"/>
        <w:rPr>
          <w:rFonts w:asciiTheme="minorEastAsia" w:hAnsiTheme="minorEastAsia" w:eastAsiaTheme="minorEastAsia"/>
          <w:sz w:val="24"/>
          <w:szCs w:val="24"/>
        </w:rPr>
      </w:pPr>
      <w:r>
        <w:rPr>
          <w:rFonts w:hint="eastAsia" w:asciiTheme="minorEastAsia" w:hAnsiTheme="minorEastAsia" w:eastAsiaTheme="minorEastAsia"/>
          <w:sz w:val="24"/>
          <w:szCs w:val="24"/>
        </w:rPr>
        <w:t>项目编制人员落实到位，按计划保证项目顺利实施和完成；</w:t>
      </w:r>
    </w:p>
    <w:p>
      <w:pPr>
        <w:pStyle w:val="25"/>
        <w:ind w:firstLine="480"/>
        <w:rPr>
          <w:rFonts w:asciiTheme="minorEastAsia" w:hAnsiTheme="minorEastAsia" w:eastAsiaTheme="minorEastAsia"/>
          <w:sz w:val="24"/>
          <w:szCs w:val="24"/>
        </w:rPr>
      </w:pPr>
      <w:r>
        <w:rPr>
          <w:rFonts w:hint="eastAsia" w:asciiTheme="minorEastAsia" w:hAnsiTheme="minorEastAsia" w:eastAsiaTheme="minorEastAsia"/>
          <w:sz w:val="24"/>
          <w:szCs w:val="24"/>
        </w:rPr>
        <w:t>项目成果符合国家相关标准的深度和内容，并且通过招标人组织的专家组评审和验收；</w:t>
      </w:r>
    </w:p>
    <w:p>
      <w:pPr>
        <w:pStyle w:val="25"/>
        <w:ind w:firstLine="480"/>
        <w:rPr>
          <w:rFonts w:asciiTheme="minorEastAsia" w:hAnsiTheme="minorEastAsia" w:eastAsiaTheme="minorEastAsia"/>
          <w:sz w:val="24"/>
          <w:szCs w:val="24"/>
        </w:rPr>
      </w:pPr>
      <w:r>
        <w:rPr>
          <w:rFonts w:hint="eastAsia" w:asciiTheme="minorEastAsia" w:hAnsiTheme="minorEastAsia" w:eastAsiaTheme="minorEastAsia"/>
          <w:sz w:val="24"/>
          <w:szCs w:val="24"/>
        </w:rPr>
        <w:t>建立与招标人的沟通机制，与招标人沟通交流畅通，在中标后在苏州市设立相应的工作联系点，指定专人负责日常沟通事宜，及时向招标人汇报工作进展及情况；</w:t>
      </w:r>
    </w:p>
    <w:p>
      <w:pPr>
        <w:pStyle w:val="25"/>
        <w:ind w:firstLine="480"/>
        <w:rPr>
          <w:rFonts w:asciiTheme="minorEastAsia" w:hAnsiTheme="minorEastAsia" w:eastAsiaTheme="minorEastAsia"/>
          <w:sz w:val="24"/>
          <w:szCs w:val="24"/>
        </w:rPr>
      </w:pPr>
      <w:r>
        <w:rPr>
          <w:rFonts w:hint="eastAsia" w:asciiTheme="minorEastAsia" w:hAnsiTheme="minorEastAsia" w:eastAsiaTheme="minorEastAsia"/>
          <w:sz w:val="24"/>
          <w:szCs w:val="24"/>
        </w:rPr>
        <w:t>配合招标人及时与有关部门沟通及协调；</w:t>
      </w:r>
    </w:p>
    <w:p>
      <w:pPr>
        <w:pStyle w:val="25"/>
        <w:ind w:firstLine="480"/>
        <w:rPr>
          <w:rFonts w:asciiTheme="minorEastAsia" w:hAnsiTheme="minorEastAsia" w:eastAsiaTheme="minorEastAsia"/>
          <w:sz w:val="24"/>
          <w:szCs w:val="24"/>
        </w:rPr>
      </w:pPr>
      <w:r>
        <w:rPr>
          <w:rFonts w:hint="eastAsia" w:asciiTheme="minorEastAsia" w:hAnsiTheme="minorEastAsia" w:eastAsiaTheme="minorEastAsia"/>
          <w:sz w:val="24"/>
          <w:szCs w:val="24"/>
        </w:rPr>
        <w:t>项目完成后提供1年后续咨询和技术支持等相关服务。</w:t>
      </w:r>
    </w:p>
    <w:p>
      <w:pPr>
        <w:pStyle w:val="25"/>
        <w:ind w:firstLine="480"/>
        <w:rPr>
          <w:rFonts w:asciiTheme="minorEastAsia" w:hAnsiTheme="minorEastAsia" w:eastAsiaTheme="minorEastAsia"/>
          <w:sz w:val="24"/>
          <w:szCs w:val="24"/>
        </w:rPr>
      </w:pPr>
      <w:r>
        <w:rPr>
          <w:rFonts w:hint="eastAsia" w:asciiTheme="minorEastAsia" w:hAnsiTheme="minorEastAsia" w:eastAsiaTheme="minorEastAsia"/>
          <w:sz w:val="24"/>
          <w:szCs w:val="24"/>
        </w:rPr>
        <w:t>（3）成果后续修订保障</w:t>
      </w:r>
    </w:p>
    <w:p>
      <w:pPr>
        <w:pStyle w:val="25"/>
        <w:ind w:firstLine="480"/>
        <w:rPr>
          <w:rFonts w:asciiTheme="minorEastAsia" w:hAnsiTheme="minorEastAsia" w:eastAsiaTheme="minorEastAsia"/>
          <w:sz w:val="24"/>
          <w:szCs w:val="24"/>
        </w:rPr>
      </w:pPr>
      <w:r>
        <w:rPr>
          <w:rFonts w:hint="eastAsia" w:asciiTheme="minorEastAsia" w:hAnsiTheme="minorEastAsia" w:eastAsiaTheme="minorEastAsia"/>
          <w:sz w:val="24"/>
          <w:szCs w:val="24"/>
        </w:rPr>
        <w:t>对于评审意见提出的补充研究内容如果属于合同要求之内的由项目承担人进行补充研究，修改、补充和再评审费用由项目承担人负责；属于合同要求之外的，由双方共同商定处理方式。有重大修改补充意见时，双方对实施和处理方式形成备忘录或拟签订项目合同的补充协议，并由双方进行实施。</w:t>
      </w:r>
    </w:p>
    <w:p>
      <w:pPr>
        <w:pStyle w:val="25"/>
        <w:ind w:firstLine="480"/>
        <w:rPr>
          <w:rFonts w:asciiTheme="minorEastAsia" w:hAnsiTheme="minorEastAsia" w:eastAsiaTheme="minorEastAsia"/>
          <w:sz w:val="24"/>
          <w:szCs w:val="24"/>
        </w:rPr>
      </w:pPr>
      <w:r>
        <w:rPr>
          <w:rFonts w:hint="eastAsia" w:asciiTheme="minorEastAsia" w:hAnsiTheme="minorEastAsia" w:eastAsiaTheme="minorEastAsia"/>
          <w:sz w:val="24"/>
          <w:szCs w:val="24"/>
        </w:rPr>
        <w:t>评审后，项目承担人根据评审意见和双方商定的实施和处理方式，需要进行修改补充的进行修改补充，需要进行补充研究的进行补充研究。</w:t>
      </w:r>
    </w:p>
    <w:p>
      <w:pPr>
        <w:pStyle w:val="4"/>
        <w:rPr>
          <w:sz w:val="24"/>
          <w:szCs w:val="24"/>
        </w:rPr>
      </w:pPr>
      <w:bookmarkStart w:id="157" w:name="_Toc9696"/>
      <w:bookmarkStart w:id="158" w:name="_Toc19914"/>
      <w:bookmarkStart w:id="159" w:name="_Toc10078"/>
      <w:bookmarkStart w:id="160" w:name="_Toc503267579"/>
      <w:r>
        <w:rPr>
          <w:sz w:val="24"/>
          <w:szCs w:val="24"/>
        </w:rPr>
        <w:t>7</w:t>
      </w:r>
      <w:r>
        <w:rPr>
          <w:rFonts w:hint="eastAsia"/>
          <w:sz w:val="24"/>
          <w:szCs w:val="24"/>
        </w:rPr>
        <w:t>.2 质量保证措施</w:t>
      </w:r>
      <w:bookmarkEnd w:id="157"/>
      <w:bookmarkEnd w:id="158"/>
      <w:bookmarkEnd w:id="159"/>
      <w:bookmarkEnd w:id="160"/>
    </w:p>
    <w:p>
      <w:pPr>
        <w:pStyle w:val="25"/>
        <w:ind w:firstLine="480"/>
        <w:rPr>
          <w:rFonts w:asciiTheme="minorEastAsia" w:hAnsiTheme="minorEastAsia" w:eastAsiaTheme="minorEastAsia"/>
          <w:sz w:val="24"/>
          <w:szCs w:val="24"/>
        </w:rPr>
      </w:pPr>
      <w:r>
        <w:rPr>
          <w:rFonts w:hint="eastAsia" w:asciiTheme="minorEastAsia" w:hAnsiTheme="minorEastAsia" w:eastAsiaTheme="minorEastAsia"/>
          <w:sz w:val="24"/>
          <w:szCs w:val="24"/>
        </w:rPr>
        <w:t>（1）技术支持</w:t>
      </w:r>
    </w:p>
    <w:p>
      <w:pPr>
        <w:pStyle w:val="25"/>
        <w:ind w:firstLine="480"/>
        <w:rPr>
          <w:rFonts w:asciiTheme="minorEastAsia" w:hAnsiTheme="minorEastAsia" w:eastAsiaTheme="minorEastAsia"/>
          <w:sz w:val="24"/>
          <w:szCs w:val="24"/>
        </w:rPr>
      </w:pPr>
      <w:r>
        <w:rPr>
          <w:rFonts w:hint="eastAsia" w:asciiTheme="minorEastAsia" w:hAnsiTheme="minorEastAsia" w:eastAsiaTheme="minorEastAsia"/>
          <w:sz w:val="24"/>
          <w:szCs w:val="24"/>
        </w:rPr>
        <w:t>北京工业大学为我国《城市抗震防灾规划标准》、《城市综合防灾规划标准》、《防灾避难场所设计规范》及多本防灾领域的国家标准主编单位，同时是国家《城市建设综合防灾“十一五”规划》、《城乡建设防灾减灾“十二五”规划》以及《城乡建设防灾减灾“十三五”规划》的编制单位，承担并完成了国内</w:t>
      </w:r>
      <w:r>
        <w:rPr>
          <w:rFonts w:asciiTheme="minorEastAsia" w:hAnsiTheme="minorEastAsia" w:eastAsiaTheme="minorEastAsia"/>
          <w:sz w:val="24"/>
          <w:szCs w:val="24"/>
        </w:rPr>
        <w:t>8</w:t>
      </w:r>
      <w:r>
        <w:rPr>
          <w:rFonts w:hint="eastAsia" w:asciiTheme="minorEastAsia" w:hAnsiTheme="minorEastAsia" w:eastAsiaTheme="minorEastAsia"/>
          <w:sz w:val="24"/>
          <w:szCs w:val="24"/>
        </w:rPr>
        <w:t>0多个城市的抗震防灾规划和应急避难场所布局规划项目。</w:t>
      </w:r>
    </w:p>
    <w:p>
      <w:pPr>
        <w:pStyle w:val="25"/>
        <w:ind w:firstLine="480"/>
        <w:rPr>
          <w:rFonts w:asciiTheme="minorEastAsia" w:hAnsiTheme="minorEastAsia" w:eastAsiaTheme="minorEastAsia"/>
          <w:sz w:val="24"/>
          <w:szCs w:val="24"/>
        </w:rPr>
      </w:pPr>
      <w:r>
        <w:rPr>
          <w:rFonts w:hint="eastAsia" w:asciiTheme="minorEastAsia" w:hAnsiTheme="minorEastAsia" w:eastAsiaTheme="minorEastAsia"/>
          <w:sz w:val="24"/>
          <w:szCs w:val="24"/>
        </w:rPr>
        <w:t>从人员配备看，项目组配置了强有力的专业技术人员，包括城乡规划、结构工程、防灾减灾工程及防护工程、交通工程、土木工程等多个专业。项目负责人及主要技术负责人员均由我国城市抗震防灾、城市规划领域著名专家担任，人员组成科学合理。</w:t>
      </w:r>
    </w:p>
    <w:p>
      <w:pPr>
        <w:pStyle w:val="25"/>
        <w:ind w:firstLine="480"/>
        <w:rPr>
          <w:rFonts w:asciiTheme="minorEastAsia" w:hAnsiTheme="minorEastAsia" w:eastAsiaTheme="minorEastAsia"/>
          <w:sz w:val="24"/>
          <w:szCs w:val="24"/>
        </w:rPr>
      </w:pPr>
      <w:r>
        <w:rPr>
          <w:rFonts w:hint="eastAsia" w:asciiTheme="minorEastAsia" w:hAnsiTheme="minorEastAsia" w:eastAsiaTheme="minorEastAsia"/>
          <w:sz w:val="24"/>
          <w:szCs w:val="24"/>
        </w:rPr>
        <w:t>此外，中国城市规划学会城市安全与防灾规划学术委员会、中国勘察设计协会抗震防灾分会、中国古迹遗址理事会文化遗产防灾减灾专业委员会、全国城市抗震防灾规划审查委员会都挂靠在北京工业大学，通过这些平台可以与国内从事城市抗震防灾减灾的专家建立起广泛的联系机制，从而可以为本项目的开展提供有力的技术支撑。</w:t>
      </w:r>
    </w:p>
    <w:p>
      <w:pPr>
        <w:pStyle w:val="25"/>
        <w:ind w:firstLine="480"/>
        <w:rPr>
          <w:rFonts w:asciiTheme="minorEastAsia" w:hAnsiTheme="minorEastAsia" w:eastAsiaTheme="minorEastAsia"/>
          <w:sz w:val="24"/>
          <w:szCs w:val="24"/>
        </w:rPr>
      </w:pPr>
      <w:r>
        <w:rPr>
          <w:rFonts w:hint="eastAsia" w:asciiTheme="minorEastAsia" w:hAnsiTheme="minorEastAsia" w:eastAsiaTheme="minorEastAsia"/>
          <w:sz w:val="24"/>
          <w:szCs w:val="24"/>
        </w:rPr>
        <w:t xml:space="preserve">项目开始后，我方将与甲方建立定期汇报制度和严格的时间表考核制度，对项目完成情况及时汇报，并严格按照合同情况进行阶段性成果提交。为使项目顺利完成我单位将做到以下保障： </w:t>
      </w:r>
    </w:p>
    <w:p>
      <w:pPr>
        <w:pStyle w:val="25"/>
        <w:ind w:firstLine="480"/>
        <w:rPr>
          <w:rFonts w:asciiTheme="minorEastAsia" w:hAnsiTheme="minorEastAsia" w:eastAsiaTheme="minorEastAsia"/>
          <w:sz w:val="24"/>
          <w:szCs w:val="24"/>
        </w:rPr>
      </w:pPr>
      <w:r>
        <w:rPr>
          <w:rFonts w:hint="eastAsia" w:asciiTheme="minorEastAsia" w:hAnsiTheme="minorEastAsia" w:eastAsiaTheme="minorEastAsia"/>
          <w:sz w:val="24"/>
          <w:szCs w:val="24"/>
        </w:rPr>
        <w:t>（2）组织保障：成立由单位领导作为负责人的项目领导小组，全面保障项目所需要的人力、设备等资源，保证规划的进度和质量，对计划进度的执行情况定期检查，根据检查情况采取相应的措施，以确保编制计划的顺利进行。</w:t>
      </w:r>
    </w:p>
    <w:p>
      <w:pPr>
        <w:pStyle w:val="25"/>
        <w:ind w:firstLine="480"/>
        <w:rPr>
          <w:rFonts w:asciiTheme="minorEastAsia" w:hAnsiTheme="minorEastAsia" w:eastAsiaTheme="minorEastAsia"/>
          <w:sz w:val="24"/>
          <w:szCs w:val="24"/>
        </w:rPr>
      </w:pPr>
      <w:r>
        <w:rPr>
          <w:rFonts w:hint="eastAsia" w:asciiTheme="minorEastAsia" w:hAnsiTheme="minorEastAsia" w:eastAsiaTheme="minorEastAsia"/>
          <w:sz w:val="24"/>
          <w:szCs w:val="24"/>
        </w:rPr>
        <w:t>（3）人员保障：本投标文件安排了具有城市抗震防灾规划丰富工作经验的专业人员组成的项目组，本单位承诺按照上述人员安排进行项目的组织、实施，保证项目参加人员的充分工作时间，特殊情况下需变更主要设计人员时将提前与甲方沟通并征得甲方同意，以确保编制工作的顺利进行。</w:t>
      </w:r>
    </w:p>
    <w:p>
      <w:pPr>
        <w:pStyle w:val="25"/>
        <w:ind w:firstLine="480"/>
        <w:rPr>
          <w:b/>
          <w:kern w:val="44"/>
          <w:sz w:val="36"/>
          <w:szCs w:val="36"/>
          <w:lang w:val="zh-CN"/>
        </w:rPr>
      </w:pPr>
      <w:r>
        <w:rPr>
          <w:rFonts w:hint="eastAsia" w:asciiTheme="minorEastAsia" w:hAnsiTheme="minorEastAsia" w:eastAsiaTheme="minorEastAsia"/>
          <w:sz w:val="24"/>
          <w:szCs w:val="24"/>
        </w:rPr>
        <w:t>（4）设备保障：设计人员均配备有高性能的计算机，配备有国内外先进的输入、输出设备。内部设置有局域网，百兆宽带到每个设计者的桌面。各专业、各业务部门相互配合实现信息化、无纸化，以加快设计进度，提高成果质量，本单位承诺相关设备、设施优先用于本项目。</w:t>
      </w:r>
    </w:p>
    <w:sectPr>
      <w:footerReference r:id="rId3" w:type="default"/>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mbria">
    <w:panose1 w:val="02040503050406030204"/>
    <w:charset w:val="00"/>
    <w:family w:val="roman"/>
    <w:pitch w:val="default"/>
    <w:sig w:usb0="E00002FF" w:usb1="400004FF" w:usb2="00000000" w:usb3="00000000" w:csb0="2000019F" w:csb1="00000000"/>
  </w:font>
  <w:font w:name="Calibri">
    <w:panose1 w:val="020F0502020204030204"/>
    <w:charset w:val="00"/>
    <w:family w:val="swiss"/>
    <w:pitch w:val="default"/>
    <w:sig w:usb0="E00002FF" w:usb1="4000ACFF" w:usb2="00000001" w:usb3="00000000" w:csb0="2000019F" w:csb1="00000000"/>
  </w:font>
  <w:font w:name="Arial">
    <w:panose1 w:val="020B0604020202020204"/>
    <w:charset w:val="00"/>
    <w:family w:val="swiss"/>
    <w:pitch w:val="default"/>
    <w:sig w:usb0="E0002EFF" w:usb1="C0007843" w:usb2="00000009" w:usb3="00000000" w:csb0="400001FF" w:csb1="FFFF0000"/>
  </w:font>
  <w:font w:name="Courier New">
    <w:panose1 w:val="02070309020205020404"/>
    <w:charset w:val="00"/>
    <w:family w:val="modern"/>
    <w:pitch w:val="default"/>
    <w:sig w:usb0="E0002EFF" w:usb1="C0007843" w:usb2="00000009" w:usb3="00000000" w:csb0="400001FF" w:csb1="FFFF0000"/>
  </w:font>
  <w:font w:name="仿宋_GB2312">
    <w:altName w:val="仿宋"/>
    <w:panose1 w:val="00000000000000000000"/>
    <w:charset w:val="86"/>
    <w:family w:val="modern"/>
    <w:pitch w:val="default"/>
    <w:sig w:usb0="00000000" w:usb1="00000000" w:usb2="00000010" w:usb3="00000000" w:csb0="00040000" w:csb1="00000000"/>
  </w:font>
  <w:font w:name="Calibri Light">
    <w:panose1 w:val="020F0302020204030204"/>
    <w:charset w:val="00"/>
    <w:family w:val="swiss"/>
    <w:pitch w:val="default"/>
    <w:sig w:usb0="A00002EF" w:usb1="4000207B" w:usb2="00000000" w:usb3="00000000" w:csb0="2000019F" w:csb1="00000000"/>
  </w:font>
  <w:font w:name="新宋体">
    <w:panose1 w:val="02010609030101010101"/>
    <w:charset w:val="86"/>
    <w:family w:val="modern"/>
    <w:pitch w:val="default"/>
    <w:sig w:usb0="00000003" w:usb1="288F0000" w:usb2="00000006" w:usb3="00000000" w:csb0="00040001" w:csb1="00000000"/>
  </w:font>
  <w:font w:name="华文行楷">
    <w:panose1 w:val="02010800040101010101"/>
    <w:charset w:val="86"/>
    <w:family w:val="auto"/>
    <w:pitch w:val="default"/>
    <w:sig w:usb0="00000001" w:usb1="080F0000" w:usb2="00000000" w:usb3="00000000" w:csb0="00040000" w:csb1="00000000"/>
  </w:font>
  <w:font w:name="仿宋">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pPr>
    <w:r>
      <mc:AlternateContent>
        <mc:Choice Requires="wps">
          <w:drawing>
            <wp:anchor distT="0" distB="0" distL="114300" distR="114300" simplePos="0" relativeHeight="251658240" behindDoc="0" locked="0" layoutInCell="1" allowOverlap="1">
              <wp:simplePos x="0" y="0"/>
              <wp:positionH relativeFrom="margin">
                <wp:align>center</wp:align>
              </wp:positionH>
              <wp:positionV relativeFrom="paragraph">
                <wp:posOffset>0</wp:posOffset>
              </wp:positionV>
              <wp:extent cx="1828800" cy="1828800"/>
              <wp:effectExtent l="0" t="0" r="0" b="0"/>
              <wp:wrapNone/>
              <wp:docPr id="3" name="文本框 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11"/>
                          </w:pPr>
                          <w:r>
                            <w:rPr>
                              <w:rFonts w:hint="eastAsia"/>
                            </w:rPr>
                            <w:fldChar w:fldCharType="begin"/>
                          </w:r>
                          <w:r>
                            <w:rPr>
                              <w:rFonts w:hint="eastAsia"/>
                            </w:rPr>
                            <w:instrText xml:space="preserve"> PAGE  \* MERGEFORMAT </w:instrText>
                          </w:r>
                          <w:r>
                            <w:rPr>
                              <w:rFonts w:hint="eastAsia"/>
                            </w:rPr>
                            <w:fldChar w:fldCharType="separate"/>
                          </w:r>
                          <w:r>
                            <w:t>24</w:t>
                          </w:r>
                          <w:r>
                            <w:rPr>
                              <w:rFonts w:hint="eastAsia"/>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824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s0lY7tAAAAAFAQAADwAAAAAAAAABACAAAAAiAAAA&#10;ZHJzL2Rvd25yZXYueG1sUEsBAhQAFAAAAAgAh07iQMuXNVEPAgAABwQAAA4AAAAAAAAAAQAgAAAA&#10;HwEAAGRycy9lMm9Eb2MueG1sUEsFBgAAAAAGAAYAWQEAAKAFAAAAAA==&#10;">
              <v:fill on="f" focussize="0,0"/>
              <v:stroke on="f" weight="0.5pt"/>
              <v:imagedata o:title=""/>
              <o:lock v:ext="edit" aspectratio="f"/>
              <v:textbox inset="0mm,0mm,0mm,0mm" style="mso-fit-shape-to-text:t;">
                <w:txbxContent>
                  <w:p>
                    <w:pPr>
                      <w:pStyle w:val="11"/>
                    </w:pPr>
                    <w:r>
                      <w:rPr>
                        <w:rFonts w:hint="eastAsia"/>
                      </w:rPr>
                      <w:fldChar w:fldCharType="begin"/>
                    </w:r>
                    <w:r>
                      <w:rPr>
                        <w:rFonts w:hint="eastAsia"/>
                      </w:rPr>
                      <w:instrText xml:space="preserve"> PAGE  \* MERGEFORMAT </w:instrText>
                    </w:r>
                    <w:r>
                      <w:rPr>
                        <w:rFonts w:hint="eastAsia"/>
                      </w:rPr>
                      <w:fldChar w:fldCharType="separate"/>
                    </w:r>
                    <w:r>
                      <w:t>24</w:t>
                    </w:r>
                    <w:r>
                      <w:rPr>
                        <w:rFonts w:hint="eastAsia"/>
                      </w:rPr>
                      <w:fldChar w:fldCharType="end"/>
                    </w:r>
                  </w:p>
                </w:txbxContent>
              </v:textbox>
            </v:shape>
          </w:pict>
        </mc:Fallback>
      </mc:AlternateContent>
    </w: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57D0E3A"/>
    <w:multiLevelType w:val="multilevel"/>
    <w:tmpl w:val="157D0E3A"/>
    <w:lvl w:ilvl="0" w:tentative="0">
      <w:start w:val="1"/>
      <w:numFmt w:val="lowerLetter"/>
      <w:lvlText w:val="%1)"/>
      <w:lvlJc w:val="left"/>
      <w:pPr>
        <w:ind w:left="900" w:hanging="420"/>
      </w:p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1">
    <w:nsid w:val="20BC1239"/>
    <w:multiLevelType w:val="multilevel"/>
    <w:tmpl w:val="20BC1239"/>
    <w:lvl w:ilvl="0" w:tentative="0">
      <w:start w:val="1"/>
      <w:numFmt w:val="decimal"/>
      <w:lvlText w:val="（%1）"/>
      <w:lvlJc w:val="left"/>
      <w:pPr>
        <w:ind w:left="1140" w:hanging="720"/>
      </w:pPr>
      <w:rPr>
        <w:rFonts w:hint="default"/>
      </w:r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2">
    <w:nsid w:val="60381BCD"/>
    <w:multiLevelType w:val="multilevel"/>
    <w:tmpl w:val="60381BCD"/>
    <w:lvl w:ilvl="0" w:tentative="0">
      <w:start w:val="1"/>
      <w:numFmt w:val="bullet"/>
      <w:lvlText w:val=""/>
      <w:lvlJc w:val="left"/>
      <w:pPr>
        <w:ind w:left="840" w:hanging="420"/>
      </w:pPr>
      <w:rPr>
        <w:rFonts w:hint="default" w:ascii="Wingdings" w:hAnsi="Wingdings"/>
      </w:rPr>
    </w:lvl>
    <w:lvl w:ilvl="1" w:tentative="0">
      <w:start w:val="1"/>
      <w:numFmt w:val="bullet"/>
      <w:lvlText w:val=""/>
      <w:lvlJc w:val="left"/>
      <w:pPr>
        <w:ind w:left="1260" w:hanging="420"/>
      </w:pPr>
      <w:rPr>
        <w:rFonts w:hint="default" w:ascii="Wingdings" w:hAnsi="Wingdings"/>
      </w:rPr>
    </w:lvl>
    <w:lvl w:ilvl="2" w:tentative="0">
      <w:start w:val="1"/>
      <w:numFmt w:val="bullet"/>
      <w:lvlText w:val=""/>
      <w:lvlJc w:val="left"/>
      <w:pPr>
        <w:ind w:left="1680" w:hanging="420"/>
      </w:pPr>
      <w:rPr>
        <w:rFonts w:hint="default" w:ascii="Wingdings" w:hAnsi="Wingdings"/>
      </w:rPr>
    </w:lvl>
    <w:lvl w:ilvl="3" w:tentative="0">
      <w:start w:val="1"/>
      <w:numFmt w:val="bullet"/>
      <w:lvlText w:val=""/>
      <w:lvlJc w:val="left"/>
      <w:pPr>
        <w:ind w:left="2100" w:hanging="420"/>
      </w:pPr>
      <w:rPr>
        <w:rFonts w:hint="default" w:ascii="Wingdings" w:hAnsi="Wingdings"/>
      </w:rPr>
    </w:lvl>
    <w:lvl w:ilvl="4" w:tentative="0">
      <w:start w:val="1"/>
      <w:numFmt w:val="bullet"/>
      <w:lvlText w:val=""/>
      <w:lvlJc w:val="left"/>
      <w:pPr>
        <w:ind w:left="2520" w:hanging="420"/>
      </w:pPr>
      <w:rPr>
        <w:rFonts w:hint="default" w:ascii="Wingdings" w:hAnsi="Wingdings"/>
      </w:rPr>
    </w:lvl>
    <w:lvl w:ilvl="5" w:tentative="0">
      <w:start w:val="1"/>
      <w:numFmt w:val="bullet"/>
      <w:lvlText w:val=""/>
      <w:lvlJc w:val="left"/>
      <w:pPr>
        <w:ind w:left="2940" w:hanging="420"/>
      </w:pPr>
      <w:rPr>
        <w:rFonts w:hint="default" w:ascii="Wingdings" w:hAnsi="Wingdings"/>
      </w:rPr>
    </w:lvl>
    <w:lvl w:ilvl="6" w:tentative="0">
      <w:start w:val="1"/>
      <w:numFmt w:val="bullet"/>
      <w:lvlText w:val=""/>
      <w:lvlJc w:val="left"/>
      <w:pPr>
        <w:ind w:left="3360" w:hanging="420"/>
      </w:pPr>
      <w:rPr>
        <w:rFonts w:hint="default" w:ascii="Wingdings" w:hAnsi="Wingdings"/>
      </w:rPr>
    </w:lvl>
    <w:lvl w:ilvl="7" w:tentative="0">
      <w:start w:val="1"/>
      <w:numFmt w:val="bullet"/>
      <w:lvlText w:val=""/>
      <w:lvlJc w:val="left"/>
      <w:pPr>
        <w:ind w:left="3780" w:hanging="420"/>
      </w:pPr>
      <w:rPr>
        <w:rFonts w:hint="default" w:ascii="Wingdings" w:hAnsi="Wingdings"/>
      </w:rPr>
    </w:lvl>
    <w:lvl w:ilvl="8" w:tentative="0">
      <w:start w:val="1"/>
      <w:numFmt w:val="bullet"/>
      <w:lvlText w:val=""/>
      <w:lvlJc w:val="left"/>
      <w:pPr>
        <w:ind w:left="4200" w:hanging="420"/>
      </w:pPr>
      <w:rPr>
        <w:rFonts w:hint="default" w:ascii="Wingdings" w:hAnsi="Wingdings"/>
      </w:rPr>
    </w:lvl>
  </w:abstractNum>
  <w:abstractNum w:abstractNumId="3">
    <w:nsid w:val="7AC36987"/>
    <w:multiLevelType w:val="multilevel"/>
    <w:tmpl w:val="7AC36987"/>
    <w:lvl w:ilvl="0" w:tentative="0">
      <w:start w:val="1"/>
      <w:numFmt w:val="lowerLetter"/>
      <w:lvlText w:val="%1)"/>
      <w:lvlJc w:val="left"/>
      <w:pPr>
        <w:ind w:left="900" w:hanging="420"/>
      </w:p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num w:numId="1">
    <w:abstractNumId w:val="3"/>
  </w:num>
  <w:num w:numId="2">
    <w:abstractNumId w:val="0"/>
  </w:num>
  <w:num w:numId="3">
    <w:abstractNumId w:val="1"/>
  </w:num>
  <w:num w:numId="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72A27"/>
    <w:rsid w:val="0003063A"/>
    <w:rsid w:val="000436FD"/>
    <w:rsid w:val="000A576D"/>
    <w:rsid w:val="000E5303"/>
    <w:rsid w:val="000F6C12"/>
    <w:rsid w:val="0010238F"/>
    <w:rsid w:val="0013566B"/>
    <w:rsid w:val="001508FC"/>
    <w:rsid w:val="00172A27"/>
    <w:rsid w:val="001F7EE8"/>
    <w:rsid w:val="00225965"/>
    <w:rsid w:val="00233B6E"/>
    <w:rsid w:val="00236D2C"/>
    <w:rsid w:val="00262A01"/>
    <w:rsid w:val="00266047"/>
    <w:rsid w:val="002B0134"/>
    <w:rsid w:val="002C5D10"/>
    <w:rsid w:val="002D3378"/>
    <w:rsid w:val="00366ABD"/>
    <w:rsid w:val="00374AB1"/>
    <w:rsid w:val="003913D6"/>
    <w:rsid w:val="003F1137"/>
    <w:rsid w:val="004B19EB"/>
    <w:rsid w:val="00530421"/>
    <w:rsid w:val="00565DCE"/>
    <w:rsid w:val="00614596"/>
    <w:rsid w:val="00626658"/>
    <w:rsid w:val="006E79A1"/>
    <w:rsid w:val="006F5E74"/>
    <w:rsid w:val="00702893"/>
    <w:rsid w:val="00715FEE"/>
    <w:rsid w:val="00767FB1"/>
    <w:rsid w:val="00834366"/>
    <w:rsid w:val="00876F11"/>
    <w:rsid w:val="008B07B2"/>
    <w:rsid w:val="008B6C92"/>
    <w:rsid w:val="009545A8"/>
    <w:rsid w:val="00963AE0"/>
    <w:rsid w:val="00966C18"/>
    <w:rsid w:val="00976181"/>
    <w:rsid w:val="009A2664"/>
    <w:rsid w:val="00A1078A"/>
    <w:rsid w:val="00A7059F"/>
    <w:rsid w:val="00A8050A"/>
    <w:rsid w:val="00AE4D0F"/>
    <w:rsid w:val="00AE7394"/>
    <w:rsid w:val="00B00856"/>
    <w:rsid w:val="00B7236C"/>
    <w:rsid w:val="00B87D26"/>
    <w:rsid w:val="00BA3A65"/>
    <w:rsid w:val="00BE5665"/>
    <w:rsid w:val="00BF6706"/>
    <w:rsid w:val="00C318FB"/>
    <w:rsid w:val="00C4055C"/>
    <w:rsid w:val="00CD176C"/>
    <w:rsid w:val="00D025EA"/>
    <w:rsid w:val="00D10901"/>
    <w:rsid w:val="00D41EB4"/>
    <w:rsid w:val="00D47776"/>
    <w:rsid w:val="00DC26FC"/>
    <w:rsid w:val="00E4596F"/>
    <w:rsid w:val="00E97904"/>
    <w:rsid w:val="00ED66AE"/>
    <w:rsid w:val="00F630BC"/>
    <w:rsid w:val="00FB2CCB"/>
    <w:rsid w:val="00FB3C54"/>
    <w:rsid w:val="0E9153B3"/>
    <w:rsid w:val="11AD28E2"/>
    <w:rsid w:val="151947DD"/>
    <w:rsid w:val="210D2F96"/>
    <w:rsid w:val="2F293A77"/>
    <w:rsid w:val="3ACF77CF"/>
    <w:rsid w:val="3E467C6E"/>
    <w:rsid w:val="44BB00A5"/>
    <w:rsid w:val="46026A5E"/>
    <w:rsid w:val="5B9F299B"/>
    <w:rsid w:val="60CB5D0E"/>
    <w:rsid w:val="61305661"/>
    <w:rsid w:val="65E219CC"/>
    <w:rsid w:val="6A81555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heme="minorHAnsi" w:hAnsiTheme="minorHAnsi" w:eastAsiaTheme="minorEastAsia" w:cstheme="minorBidi"/>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semiHidden="0" w:name="heading 3"/>
    <w:lsdException w:qFormat="1" w:uiPriority="0" w:semiHidden="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39" w:semiHidden="0" w:name="toc 1"/>
    <w:lsdException w:unhideWhenUsed="0" w:uiPriority="39" w:semiHidden="0" w:name="toc 2"/>
    <w:lsdException w:unhideWhenUsed="0" w:uiPriority="39"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10" w:semiHidden="0" w:name="Title"/>
    <w:lsdException w:unhideWhenUsed="0" w:uiPriority="0" w:semiHidden="0" w:name="Closing"/>
    <w:lsdException w:unhideWhenUsed="0" w:uiPriority="0" w:semiHidden="0" w:name="Signature"/>
    <w:lsdException w:uiPriority="1" w:name="Default Paragraph Font"/>
    <w:lsdException w:qFormat="1"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qFormat="1"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qFormat="1" w:unhideWhenUsed="0" w:uiPriority="99"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qFormat="1" w:unhideWhenUsed="0" w:uiPriority="99"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rPr>
      <w:rFonts w:ascii="Times New Roman" w:hAnsi="Times New Roman" w:eastAsia="宋体" w:cstheme="minorBidi"/>
      <w:kern w:val="2"/>
      <w:sz w:val="21"/>
      <w:szCs w:val="22"/>
      <w:lang w:val="en-US" w:eastAsia="zh-CN" w:bidi="ar-SA"/>
    </w:rPr>
  </w:style>
  <w:style w:type="paragraph" w:styleId="2">
    <w:name w:val="heading 1"/>
    <w:basedOn w:val="1"/>
    <w:next w:val="1"/>
    <w:qFormat/>
    <w:uiPriority w:val="0"/>
    <w:pPr>
      <w:keepNext/>
      <w:keepLines/>
      <w:spacing w:before="340" w:after="330" w:line="576" w:lineRule="auto"/>
      <w:outlineLvl w:val="0"/>
    </w:pPr>
    <w:rPr>
      <w:b/>
      <w:kern w:val="44"/>
      <w:sz w:val="44"/>
    </w:rPr>
  </w:style>
  <w:style w:type="paragraph" w:styleId="3">
    <w:name w:val="heading 2"/>
    <w:basedOn w:val="1"/>
    <w:next w:val="1"/>
    <w:unhideWhenUsed/>
    <w:qFormat/>
    <w:uiPriority w:val="0"/>
    <w:pPr>
      <w:keepNext/>
      <w:keepLines/>
      <w:spacing w:before="260" w:after="260" w:line="413" w:lineRule="auto"/>
      <w:outlineLvl w:val="1"/>
    </w:pPr>
    <w:rPr>
      <w:rFonts w:ascii="Arial" w:hAnsi="Arial" w:eastAsia="黑体"/>
      <w:b/>
      <w:sz w:val="32"/>
    </w:rPr>
  </w:style>
  <w:style w:type="paragraph" w:styleId="4">
    <w:name w:val="heading 3"/>
    <w:basedOn w:val="1"/>
    <w:next w:val="1"/>
    <w:link w:val="27"/>
    <w:unhideWhenUsed/>
    <w:qFormat/>
    <w:uiPriority w:val="0"/>
    <w:pPr>
      <w:keepNext/>
      <w:keepLines/>
      <w:spacing w:before="260" w:after="260" w:line="413" w:lineRule="auto"/>
      <w:outlineLvl w:val="2"/>
    </w:pPr>
    <w:rPr>
      <w:b/>
      <w:sz w:val="32"/>
    </w:rPr>
  </w:style>
  <w:style w:type="paragraph" w:styleId="5">
    <w:name w:val="heading 4"/>
    <w:basedOn w:val="1"/>
    <w:next w:val="1"/>
    <w:link w:val="21"/>
    <w:unhideWhenUsed/>
    <w:qFormat/>
    <w:uiPriority w:val="0"/>
    <w:pPr>
      <w:keepNext/>
      <w:keepLines/>
      <w:spacing w:before="280" w:after="290" w:line="372" w:lineRule="auto"/>
      <w:outlineLvl w:val="3"/>
    </w:pPr>
    <w:rPr>
      <w:rFonts w:ascii="Arial" w:hAnsi="Arial" w:eastAsia="黑体"/>
      <w:b/>
      <w:sz w:val="28"/>
    </w:rPr>
  </w:style>
  <w:style w:type="character" w:default="1" w:styleId="16">
    <w:name w:val="Default Paragraph Font"/>
    <w:semiHidden/>
    <w:unhideWhenUsed/>
    <w:uiPriority w:val="1"/>
  </w:style>
  <w:style w:type="table" w:default="1" w:styleId="18">
    <w:name w:val="Normal Table"/>
    <w:semiHidden/>
    <w:unhideWhenUsed/>
    <w:uiPriority w:val="99"/>
    <w:tblPr>
      <w:tblLayout w:type="fixed"/>
      <w:tblCellMar>
        <w:top w:w="0" w:type="dxa"/>
        <w:left w:w="108" w:type="dxa"/>
        <w:bottom w:w="0" w:type="dxa"/>
        <w:right w:w="108" w:type="dxa"/>
      </w:tblCellMar>
    </w:tblPr>
  </w:style>
  <w:style w:type="paragraph" w:styleId="6">
    <w:name w:val="Body Text First Indent"/>
    <w:basedOn w:val="7"/>
    <w:qFormat/>
    <w:uiPriority w:val="0"/>
    <w:pPr>
      <w:ind w:firstLine="420" w:firstLineChars="100"/>
    </w:pPr>
  </w:style>
  <w:style w:type="paragraph" w:styleId="7">
    <w:name w:val="Body Text"/>
    <w:basedOn w:val="1"/>
    <w:qFormat/>
    <w:uiPriority w:val="0"/>
    <w:pPr>
      <w:spacing w:after="120"/>
    </w:pPr>
  </w:style>
  <w:style w:type="paragraph" w:styleId="8">
    <w:name w:val="toc 3"/>
    <w:basedOn w:val="1"/>
    <w:next w:val="1"/>
    <w:uiPriority w:val="39"/>
    <w:pPr>
      <w:ind w:left="840" w:leftChars="400"/>
    </w:pPr>
  </w:style>
  <w:style w:type="paragraph" w:styleId="9">
    <w:name w:val="Plain Text"/>
    <w:basedOn w:val="1"/>
    <w:link w:val="38"/>
    <w:qFormat/>
    <w:uiPriority w:val="99"/>
    <w:pPr>
      <w:widowControl w:val="0"/>
      <w:adjustRightInd w:val="0"/>
      <w:spacing w:line="312" w:lineRule="atLeast"/>
      <w:jc w:val="both"/>
    </w:pPr>
    <w:rPr>
      <w:rFonts w:hint="eastAsia" w:ascii="宋体" w:hAnsi="Courier New" w:cs="Times New Roman"/>
      <w:kern w:val="0"/>
      <w:szCs w:val="20"/>
    </w:rPr>
  </w:style>
  <w:style w:type="paragraph" w:styleId="10">
    <w:name w:val="Balloon Text"/>
    <w:basedOn w:val="1"/>
    <w:link w:val="41"/>
    <w:uiPriority w:val="0"/>
    <w:rPr>
      <w:sz w:val="18"/>
      <w:szCs w:val="18"/>
    </w:rPr>
  </w:style>
  <w:style w:type="paragraph" w:styleId="11">
    <w:name w:val="footer"/>
    <w:basedOn w:val="1"/>
    <w:qFormat/>
    <w:uiPriority w:val="0"/>
    <w:pPr>
      <w:tabs>
        <w:tab w:val="center" w:pos="4153"/>
        <w:tab w:val="right" w:pos="8306"/>
      </w:tabs>
      <w:snapToGrid w:val="0"/>
    </w:pPr>
    <w:rPr>
      <w:sz w:val="18"/>
    </w:rPr>
  </w:style>
  <w:style w:type="paragraph" w:styleId="12">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jc w:val="both"/>
    </w:pPr>
    <w:rPr>
      <w:sz w:val="18"/>
    </w:rPr>
  </w:style>
  <w:style w:type="paragraph" w:styleId="13">
    <w:name w:val="toc 1"/>
    <w:basedOn w:val="1"/>
    <w:next w:val="1"/>
    <w:uiPriority w:val="39"/>
  </w:style>
  <w:style w:type="paragraph" w:styleId="14">
    <w:name w:val="toc 2"/>
    <w:basedOn w:val="1"/>
    <w:next w:val="1"/>
    <w:uiPriority w:val="39"/>
    <w:pPr>
      <w:ind w:left="420" w:leftChars="200"/>
    </w:pPr>
  </w:style>
  <w:style w:type="paragraph" w:styleId="15">
    <w:name w:val="Title"/>
    <w:basedOn w:val="1"/>
    <w:next w:val="1"/>
    <w:link w:val="29"/>
    <w:qFormat/>
    <w:uiPriority w:val="10"/>
    <w:pPr>
      <w:spacing w:before="240" w:after="60"/>
      <w:jc w:val="center"/>
      <w:outlineLvl w:val="0"/>
    </w:pPr>
    <w:rPr>
      <w:rFonts w:ascii="Calibri Light" w:hAnsi="Calibri Light" w:cs="Times New Roman"/>
      <w:b/>
      <w:bCs/>
      <w:kern w:val="0"/>
      <w:sz w:val="32"/>
      <w:szCs w:val="32"/>
      <w:lang w:eastAsia="en-US" w:bidi="en-US"/>
    </w:rPr>
  </w:style>
  <w:style w:type="character" w:styleId="17">
    <w:name w:val="Hyperlink"/>
    <w:basedOn w:val="16"/>
    <w:qFormat/>
    <w:uiPriority w:val="99"/>
    <w:rPr>
      <w:color w:val="0000FF"/>
      <w:u w:val="single"/>
    </w:rPr>
  </w:style>
  <w:style w:type="table" w:styleId="19">
    <w:name w:val="Table Grid"/>
    <w:basedOn w:val="18"/>
    <w:qFormat/>
    <w:uiPriority w:val="9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
  </w:style>
  <w:style w:type="paragraph" w:customStyle="1" w:styleId="20">
    <w:name w:val="样式2"/>
    <w:basedOn w:val="5"/>
    <w:next w:val="1"/>
    <w:qFormat/>
    <w:uiPriority w:val="0"/>
    <w:rPr>
      <w:rFonts w:asciiTheme="minorHAnsi" w:hAnsiTheme="minorHAnsi"/>
    </w:rPr>
  </w:style>
  <w:style w:type="character" w:customStyle="1" w:styleId="21">
    <w:name w:val="标题 4 Char"/>
    <w:link w:val="5"/>
    <w:qFormat/>
    <w:uiPriority w:val="0"/>
    <w:rPr>
      <w:rFonts w:ascii="Arial" w:hAnsi="Arial" w:eastAsia="黑体"/>
      <w:b/>
      <w:sz w:val="28"/>
    </w:rPr>
  </w:style>
  <w:style w:type="paragraph" w:customStyle="1" w:styleId="22">
    <w:name w:val="Default"/>
    <w:unhideWhenUsed/>
    <w:qFormat/>
    <w:uiPriority w:val="99"/>
    <w:pPr>
      <w:widowControl w:val="0"/>
      <w:autoSpaceDE w:val="0"/>
      <w:autoSpaceDN w:val="0"/>
      <w:adjustRightInd w:val="0"/>
    </w:pPr>
    <w:rPr>
      <w:rFonts w:hint="eastAsia" w:ascii="宋体" w:hAnsi="宋体" w:eastAsia="宋体" w:cstheme="minorBidi"/>
      <w:color w:val="000000"/>
      <w:sz w:val="24"/>
      <w:lang w:val="en-US" w:eastAsia="zh-CN" w:bidi="ar-SA"/>
    </w:rPr>
  </w:style>
  <w:style w:type="paragraph" w:customStyle="1" w:styleId="23">
    <w:name w:val="WPSOffice手动目录 1"/>
    <w:qFormat/>
    <w:uiPriority w:val="0"/>
    <w:rPr>
      <w:rFonts w:asciiTheme="minorHAnsi" w:hAnsiTheme="minorHAnsi" w:eastAsiaTheme="minorEastAsia" w:cstheme="minorBidi"/>
      <w:lang w:val="en-US" w:eastAsia="zh-CN" w:bidi="ar-SA"/>
    </w:rPr>
  </w:style>
  <w:style w:type="paragraph" w:customStyle="1" w:styleId="24">
    <w:name w:val="WPSOffice手动目录 2"/>
    <w:qFormat/>
    <w:uiPriority w:val="0"/>
    <w:pPr>
      <w:ind w:left="200" w:leftChars="200"/>
    </w:pPr>
    <w:rPr>
      <w:rFonts w:asciiTheme="minorHAnsi" w:hAnsiTheme="minorHAnsi" w:eastAsiaTheme="minorEastAsia" w:cstheme="minorBidi"/>
      <w:lang w:val="en-US" w:eastAsia="zh-CN" w:bidi="ar-SA"/>
    </w:rPr>
  </w:style>
  <w:style w:type="paragraph" w:customStyle="1" w:styleId="25">
    <w:name w:val="1  正文"/>
    <w:basedOn w:val="1"/>
    <w:qFormat/>
    <w:uiPriority w:val="0"/>
    <w:pPr>
      <w:snapToGrid w:val="0"/>
      <w:spacing w:line="520" w:lineRule="atLeast"/>
      <w:ind w:firstLine="560" w:firstLineChars="200"/>
    </w:pPr>
    <w:rPr>
      <w:rFonts w:ascii="仿宋_GB2312" w:hAnsi="宋体" w:eastAsia="仿宋_GB2312"/>
      <w:sz w:val="28"/>
      <w:szCs w:val="28"/>
    </w:rPr>
  </w:style>
  <w:style w:type="paragraph" w:customStyle="1" w:styleId="26">
    <w:name w:val="WPSOffice手动目录 3"/>
    <w:qFormat/>
    <w:uiPriority w:val="0"/>
    <w:pPr>
      <w:ind w:left="400" w:leftChars="400"/>
    </w:pPr>
    <w:rPr>
      <w:rFonts w:asciiTheme="minorHAnsi" w:hAnsiTheme="minorHAnsi" w:eastAsiaTheme="minorEastAsia" w:cstheme="minorBidi"/>
      <w:lang w:val="en-US" w:eastAsia="zh-CN" w:bidi="ar-SA"/>
    </w:rPr>
  </w:style>
  <w:style w:type="character" w:customStyle="1" w:styleId="27">
    <w:name w:val="标题 3 Char"/>
    <w:link w:val="4"/>
    <w:uiPriority w:val="0"/>
    <w:rPr>
      <w:b/>
      <w:sz w:val="32"/>
    </w:rPr>
  </w:style>
  <w:style w:type="paragraph" w:styleId="28">
    <w:name w:val="List Paragraph"/>
    <w:basedOn w:val="1"/>
    <w:qFormat/>
    <w:uiPriority w:val="34"/>
    <w:pPr>
      <w:ind w:left="720"/>
      <w:contextualSpacing/>
    </w:pPr>
    <w:rPr>
      <w:rFonts w:cs="Times New Roman"/>
      <w:kern w:val="0"/>
      <w:sz w:val="24"/>
      <w:szCs w:val="24"/>
      <w:lang w:eastAsia="en-US" w:bidi="en-US"/>
    </w:rPr>
  </w:style>
  <w:style w:type="character" w:customStyle="1" w:styleId="29">
    <w:name w:val="标题 Char"/>
    <w:basedOn w:val="16"/>
    <w:link w:val="15"/>
    <w:uiPriority w:val="10"/>
    <w:rPr>
      <w:rFonts w:ascii="Calibri Light" w:hAnsi="Calibri Light" w:eastAsia="宋体" w:cs="Times New Roman"/>
      <w:b/>
      <w:bCs/>
      <w:sz w:val="32"/>
      <w:szCs w:val="32"/>
      <w:lang w:eastAsia="en-US" w:bidi="en-US"/>
    </w:rPr>
  </w:style>
  <w:style w:type="paragraph" w:customStyle="1" w:styleId="30">
    <w:name w:val="82插图标题"/>
    <w:basedOn w:val="1"/>
    <w:next w:val="1"/>
    <w:uiPriority w:val="0"/>
    <w:pPr>
      <w:spacing w:before="120" w:after="120"/>
      <w:jc w:val="center"/>
    </w:pPr>
    <w:rPr>
      <w:rFonts w:cs="Times New Roman" w:asciiTheme="minorEastAsia" w:hAnsiTheme="minorEastAsia" w:eastAsiaTheme="minorEastAsia"/>
      <w:kern w:val="0"/>
      <w:sz w:val="24"/>
      <w:szCs w:val="24"/>
    </w:rPr>
  </w:style>
  <w:style w:type="paragraph" w:customStyle="1" w:styleId="31">
    <w:name w:val="条目标题"/>
    <w:basedOn w:val="1"/>
    <w:uiPriority w:val="0"/>
    <w:pPr>
      <w:widowControl w:val="0"/>
      <w:tabs>
        <w:tab w:val="left" w:pos="3780"/>
      </w:tabs>
      <w:spacing w:before="156" w:beforeLines="50" w:after="156" w:afterLines="50" w:line="360" w:lineRule="atLeast"/>
      <w:jc w:val="both"/>
    </w:pPr>
    <w:rPr>
      <w:rFonts w:cs="Times New Roman"/>
      <w:b/>
      <w:sz w:val="24"/>
      <w:szCs w:val="20"/>
    </w:rPr>
  </w:style>
  <w:style w:type="paragraph" w:customStyle="1" w:styleId="32">
    <w:name w:val="821插图所在行格式"/>
    <w:basedOn w:val="1"/>
    <w:link w:val="33"/>
    <w:uiPriority w:val="0"/>
    <w:pPr>
      <w:spacing w:before="240" w:after="120"/>
      <w:jc w:val="center"/>
    </w:pPr>
    <w:rPr>
      <w:rFonts w:cs="Times New Roman"/>
      <w:kern w:val="0"/>
      <w:sz w:val="22"/>
    </w:rPr>
  </w:style>
  <w:style w:type="character" w:customStyle="1" w:styleId="33">
    <w:name w:val="821插图所在行格式 Char"/>
    <w:link w:val="32"/>
    <w:uiPriority w:val="0"/>
    <w:rPr>
      <w:rFonts w:ascii="Times New Roman" w:hAnsi="Times New Roman" w:eastAsia="宋体" w:cs="Times New Roman"/>
      <w:sz w:val="22"/>
      <w:szCs w:val="22"/>
    </w:rPr>
  </w:style>
  <w:style w:type="paragraph" w:customStyle="1" w:styleId="34">
    <w:name w:val="图表样式-1"/>
    <w:basedOn w:val="6"/>
    <w:uiPriority w:val="0"/>
    <w:pPr>
      <w:widowControl w:val="0"/>
      <w:ind w:firstLine="210" w:firstLineChars="0"/>
      <w:jc w:val="center"/>
    </w:pPr>
    <w:rPr>
      <w:rFonts w:ascii="宋体" w:hAnsi="宋体" w:cs="宋体"/>
      <w:b/>
      <w:szCs w:val="21"/>
    </w:rPr>
  </w:style>
  <w:style w:type="paragraph" w:customStyle="1" w:styleId="35">
    <w:name w:val="报告说明段落"/>
    <w:basedOn w:val="1"/>
    <w:link w:val="36"/>
    <w:uiPriority w:val="0"/>
    <w:pPr>
      <w:widowControl w:val="0"/>
      <w:tabs>
        <w:tab w:val="left" w:pos="3780"/>
      </w:tabs>
      <w:spacing w:line="360" w:lineRule="atLeast"/>
      <w:ind w:firstLine="482"/>
      <w:jc w:val="both"/>
    </w:pPr>
    <w:rPr>
      <w:rFonts w:ascii="仿宋_GB2312" w:eastAsia="仿宋_GB2312" w:cs="Times New Roman"/>
      <w:sz w:val="24"/>
      <w:szCs w:val="20"/>
    </w:rPr>
  </w:style>
  <w:style w:type="character" w:customStyle="1" w:styleId="36">
    <w:name w:val="报告说明段落 Char"/>
    <w:link w:val="35"/>
    <w:uiPriority w:val="0"/>
    <w:rPr>
      <w:rFonts w:ascii="仿宋_GB2312" w:hAnsi="Times New Roman" w:eastAsia="仿宋_GB2312" w:cs="Times New Roman"/>
      <w:kern w:val="2"/>
      <w:sz w:val="24"/>
    </w:rPr>
  </w:style>
  <w:style w:type="paragraph" w:customStyle="1" w:styleId="37">
    <w:name w:val="1 报告段落-1"/>
    <w:basedOn w:val="1"/>
    <w:uiPriority w:val="0"/>
    <w:pPr>
      <w:widowControl w:val="0"/>
      <w:spacing w:line="440" w:lineRule="atLeast"/>
      <w:ind w:firstLine="480" w:firstLineChars="200"/>
      <w:jc w:val="both"/>
    </w:pPr>
    <w:rPr>
      <w:rFonts w:cs="Times New Roman"/>
      <w:color w:val="000000"/>
      <w:sz w:val="24"/>
      <w:szCs w:val="24"/>
    </w:rPr>
  </w:style>
  <w:style w:type="character" w:customStyle="1" w:styleId="38">
    <w:name w:val="纯文本 Char"/>
    <w:link w:val="9"/>
    <w:uiPriority w:val="99"/>
    <w:rPr>
      <w:rFonts w:ascii="宋体" w:hAnsi="Courier New" w:eastAsia="宋体" w:cs="Times New Roman"/>
      <w:sz w:val="21"/>
    </w:rPr>
  </w:style>
  <w:style w:type="character" w:customStyle="1" w:styleId="39">
    <w:name w:val="15"/>
    <w:basedOn w:val="16"/>
    <w:uiPriority w:val="0"/>
    <w:rPr>
      <w:rFonts w:hint="default" w:ascii="Times New Roman" w:hAnsi="Times New Roman" w:cs="Times New Roman"/>
      <w:b/>
      <w:bCs/>
      <w:u w:val="single"/>
    </w:rPr>
  </w:style>
  <w:style w:type="paragraph" w:customStyle="1" w:styleId="40">
    <w:name w:val="TOC Heading"/>
    <w:basedOn w:val="2"/>
    <w:next w:val="1"/>
    <w:unhideWhenUsed/>
    <w:qFormat/>
    <w:uiPriority w:val="39"/>
    <w:pPr>
      <w:spacing w:before="240" w:after="0" w:line="259" w:lineRule="auto"/>
      <w:outlineLvl w:val="9"/>
    </w:pPr>
    <w:rPr>
      <w:rFonts w:asciiTheme="majorHAnsi" w:hAnsiTheme="majorHAnsi" w:eastAsiaTheme="majorEastAsia" w:cstheme="majorBidi"/>
      <w:b w:val="0"/>
      <w:color w:val="2E75B6" w:themeColor="accent1" w:themeShade="BF"/>
      <w:kern w:val="0"/>
      <w:sz w:val="32"/>
      <w:szCs w:val="32"/>
    </w:rPr>
  </w:style>
  <w:style w:type="character" w:customStyle="1" w:styleId="41">
    <w:name w:val="批注框文本 Char"/>
    <w:basedOn w:val="16"/>
    <w:link w:val="10"/>
    <w:uiPriority w:val="0"/>
    <w:rPr>
      <w:rFonts w:ascii="Times New Roman" w:hAnsi="Times New Roman" w:eastAsia="宋体"/>
      <w:kern w:val="2"/>
      <w:sz w:val="18"/>
      <w:szCs w:val="18"/>
    </w:rPr>
  </w:style>
</w:styles>
</file>

<file path=word/_rels/document.xml.rels><?xml version="1.0" encoding="UTF-8" standalone="yes"?>
<Relationships xmlns="http://schemas.openxmlformats.org/package/2006/relationships"><Relationship Id="rId9" Type="http://schemas.openxmlformats.org/officeDocument/2006/relationships/image" Target="media/image5.png"/><Relationship Id="rId8" Type="http://schemas.openxmlformats.org/officeDocument/2006/relationships/image" Target="media/image4.png"/><Relationship Id="rId7" Type="http://schemas.openxmlformats.org/officeDocument/2006/relationships/image" Target="media/image3.png"/><Relationship Id="rId6" Type="http://schemas.openxmlformats.org/officeDocument/2006/relationships/image" Target="media/image2.png"/><Relationship Id="rId5" Type="http://schemas.openxmlformats.org/officeDocument/2006/relationships/image" Target="media/image1.png"/><Relationship Id="rId4" Type="http://schemas.openxmlformats.org/officeDocument/2006/relationships/theme" Target="theme/theme1.xml"/><Relationship Id="rId33" Type="http://schemas.openxmlformats.org/officeDocument/2006/relationships/fontTable" Target="fontTable.xml"/><Relationship Id="rId32" Type="http://schemas.openxmlformats.org/officeDocument/2006/relationships/customXml" Target="../customXml/item2.xml"/><Relationship Id="rId31" Type="http://schemas.openxmlformats.org/officeDocument/2006/relationships/numbering" Target="numbering.xml"/><Relationship Id="rId30" Type="http://schemas.openxmlformats.org/officeDocument/2006/relationships/customXml" Target="../customXml/item1.xml"/><Relationship Id="rId3" Type="http://schemas.openxmlformats.org/officeDocument/2006/relationships/footer" Target="footer1.xml"/><Relationship Id="rId29" Type="http://schemas.openxmlformats.org/officeDocument/2006/relationships/image" Target="media/image18.emf"/><Relationship Id="rId28" Type="http://schemas.openxmlformats.org/officeDocument/2006/relationships/oleObject" Target="embeddings/oleObject7.bin"/><Relationship Id="rId27" Type="http://schemas.openxmlformats.org/officeDocument/2006/relationships/image" Target="media/image17.emf"/><Relationship Id="rId26" Type="http://schemas.openxmlformats.org/officeDocument/2006/relationships/oleObject" Target="embeddings/oleObject6.bin"/><Relationship Id="rId25" Type="http://schemas.openxmlformats.org/officeDocument/2006/relationships/image" Target="media/image16.emf"/><Relationship Id="rId24" Type="http://schemas.openxmlformats.org/officeDocument/2006/relationships/oleObject" Target="embeddings/oleObject5.bin"/><Relationship Id="rId23" Type="http://schemas.openxmlformats.org/officeDocument/2006/relationships/image" Target="media/image15.emf"/><Relationship Id="rId22" Type="http://schemas.openxmlformats.org/officeDocument/2006/relationships/oleObject" Target="embeddings/oleObject4.bin"/><Relationship Id="rId21" Type="http://schemas.openxmlformats.org/officeDocument/2006/relationships/image" Target="media/image14.emf"/><Relationship Id="rId20" Type="http://schemas.openxmlformats.org/officeDocument/2006/relationships/oleObject" Target="embeddings/oleObject3.bin"/><Relationship Id="rId2" Type="http://schemas.openxmlformats.org/officeDocument/2006/relationships/settings" Target="settings.xml"/><Relationship Id="rId19" Type="http://schemas.openxmlformats.org/officeDocument/2006/relationships/image" Target="media/image13.png"/><Relationship Id="rId18" Type="http://schemas.openxmlformats.org/officeDocument/2006/relationships/image" Target="media/image12.emf"/><Relationship Id="rId17" Type="http://schemas.openxmlformats.org/officeDocument/2006/relationships/oleObject" Target="embeddings/oleObject2.bin"/><Relationship Id="rId16" Type="http://schemas.openxmlformats.org/officeDocument/2006/relationships/image" Target="media/image11.emf"/><Relationship Id="rId15" Type="http://schemas.openxmlformats.org/officeDocument/2006/relationships/oleObject" Target="embeddings/oleObject1.bin"/><Relationship Id="rId14" Type="http://schemas.openxmlformats.org/officeDocument/2006/relationships/image" Target="media/image10.png"/><Relationship Id="rId13" Type="http://schemas.openxmlformats.org/officeDocument/2006/relationships/image" Target="media/image9.png"/><Relationship Id="rId12" Type="http://schemas.openxmlformats.org/officeDocument/2006/relationships/image" Target="media/image8.png"/><Relationship Id="rId11" Type="http://schemas.openxmlformats.org/officeDocument/2006/relationships/image" Target="media/image7.png"/><Relationship Id="rId10" Type="http://schemas.openxmlformats.org/officeDocument/2006/relationships/image" Target="media/image6.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2315A3C3-92B2-4987-9A55-92EF69C3535D}">
  <ds:schemaRefs/>
</ds:datastoreItem>
</file>

<file path=docProps/app.xml><?xml version="1.0" encoding="utf-8"?>
<Properties xmlns="http://schemas.openxmlformats.org/officeDocument/2006/extended-properties" xmlns:vt="http://schemas.openxmlformats.org/officeDocument/2006/docPropsVTypes">
  <Template>Normal.dotm</Template>
  <Company>Hewlett-Packard Company</Company>
  <Pages>1</Pages>
  <Words>4584</Words>
  <Characters>26133</Characters>
  <Lines>217</Lines>
  <Paragraphs>61</Paragraphs>
  <TotalTime>0</TotalTime>
  <ScaleCrop>false</ScaleCrop>
  <LinksUpToDate>false</LinksUpToDate>
  <CharactersWithSpaces>30656</CharactersWithSpaces>
  <Application>WPS Office_10.1.0.7106_F1E327BC-269C-435d-A152-05C5408002CA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2017-12-30T02:36:00Z</dcterms:created>
  <dc:creator>擦肩不识</dc:creator>
  <cp:lastModifiedBy>webuser</cp:lastModifiedBy>
  <cp:lastPrinted>2018-01-11T02:55:00Z</cp:lastPrinted>
  <dcterms:modified xsi:type="dcterms:W3CDTF">2018-01-18T07:44:08Z</dcterms:modified>
  <cp:revision>39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2052-10.1.0.7106</vt:lpwstr>
  </property>
</Properties>
</file>