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eastAsia="华文中宋"/>
          <w:sz w:val="52"/>
          <w:szCs w:val="52"/>
        </w:rPr>
      </w:pPr>
      <w:bookmarkStart w:id="0" w:name="_Toc215282124"/>
      <w:r>
        <w:rPr>
          <w:rFonts w:hint="eastAsia" w:hAnsi="华文中宋" w:eastAsia="华文中宋"/>
          <w:sz w:val="52"/>
          <w:szCs w:val="52"/>
        </w:rPr>
        <w:t>建安区</w:t>
      </w:r>
      <w:r>
        <w:rPr>
          <w:rFonts w:hAnsi="华文中宋" w:eastAsia="华文中宋"/>
          <w:sz w:val="52"/>
          <w:szCs w:val="52"/>
        </w:rPr>
        <w:t>建设工程</w:t>
      </w:r>
    </w:p>
    <w:p>
      <w:pPr>
        <w:jc w:val="center"/>
        <w:rPr>
          <w:rFonts w:eastAsia="华文中宋"/>
          <w:sz w:val="56"/>
          <w:szCs w:val="56"/>
        </w:rPr>
      </w:pPr>
    </w:p>
    <w:p>
      <w:pPr>
        <w:jc w:val="center"/>
        <w:rPr>
          <w:rFonts w:hAnsi="华文中宋" w:eastAsia="华文中宋"/>
          <w:sz w:val="52"/>
          <w:szCs w:val="52"/>
        </w:rPr>
      </w:pPr>
    </w:p>
    <w:p>
      <w:pPr>
        <w:jc w:val="center"/>
        <w:rPr>
          <w:rFonts w:hAnsi="华文中宋" w:eastAsia="华文中宋"/>
          <w:sz w:val="52"/>
          <w:szCs w:val="52"/>
        </w:rPr>
      </w:pPr>
    </w:p>
    <w:p>
      <w:pPr>
        <w:jc w:val="center"/>
        <w:rPr>
          <w:rFonts w:hAnsi="华文中宋" w:eastAsia="华文中宋"/>
          <w:sz w:val="52"/>
          <w:szCs w:val="52"/>
        </w:rPr>
      </w:pPr>
    </w:p>
    <w:p>
      <w:pPr>
        <w:jc w:val="center"/>
        <w:rPr>
          <w:rFonts w:eastAsia="华文中宋"/>
          <w:sz w:val="52"/>
          <w:szCs w:val="52"/>
        </w:rPr>
      </w:pPr>
      <w:r>
        <w:rPr>
          <w:rFonts w:hAnsi="华文中宋" w:eastAsia="华文中宋"/>
          <w:sz w:val="52"/>
          <w:szCs w:val="52"/>
        </w:rPr>
        <w:t>招</w:t>
      </w:r>
    </w:p>
    <w:p>
      <w:pPr>
        <w:jc w:val="center"/>
        <w:rPr>
          <w:rFonts w:eastAsia="华文中宋"/>
          <w:sz w:val="52"/>
          <w:szCs w:val="52"/>
        </w:rPr>
      </w:pPr>
      <w:r>
        <w:rPr>
          <w:rFonts w:hAnsi="华文中宋" w:eastAsia="华文中宋"/>
          <w:sz w:val="52"/>
          <w:szCs w:val="52"/>
        </w:rPr>
        <w:t>标</w:t>
      </w:r>
    </w:p>
    <w:p>
      <w:pPr>
        <w:jc w:val="center"/>
        <w:rPr>
          <w:rFonts w:eastAsia="华文中宋"/>
          <w:sz w:val="52"/>
          <w:szCs w:val="52"/>
        </w:rPr>
      </w:pPr>
      <w:r>
        <w:rPr>
          <w:rFonts w:hAnsi="华文中宋" w:eastAsia="华文中宋"/>
          <w:sz w:val="52"/>
          <w:szCs w:val="52"/>
        </w:rPr>
        <w:t>文</w:t>
      </w:r>
    </w:p>
    <w:p>
      <w:pPr>
        <w:jc w:val="center"/>
        <w:rPr>
          <w:rFonts w:hAnsi="华文中宋" w:eastAsia="华文中宋"/>
          <w:sz w:val="52"/>
          <w:szCs w:val="52"/>
        </w:rPr>
      </w:pPr>
      <w:r>
        <w:rPr>
          <w:rFonts w:hAnsi="华文中宋" w:eastAsia="华文中宋"/>
          <w:sz w:val="52"/>
          <w:szCs w:val="52"/>
        </w:rPr>
        <w:t>件</w:t>
      </w:r>
    </w:p>
    <w:p>
      <w:pPr>
        <w:jc w:val="center"/>
        <w:rPr>
          <w:rFonts w:hAnsi="华文中宋" w:eastAsia="华文中宋"/>
          <w:sz w:val="32"/>
          <w:szCs w:val="32"/>
        </w:rPr>
      </w:pPr>
    </w:p>
    <w:p>
      <w:pPr>
        <w:tabs>
          <w:tab w:val="left" w:pos="1476"/>
        </w:tabs>
        <w:jc w:val="center"/>
        <w:rPr>
          <w:rFonts w:hAnsi="华文中宋" w:eastAsia="华文中宋"/>
          <w:sz w:val="32"/>
          <w:szCs w:val="32"/>
        </w:rPr>
      </w:pPr>
    </w:p>
    <w:p>
      <w:pPr>
        <w:jc w:val="center"/>
        <w:rPr>
          <w:rFonts w:hAnsi="华文中宋" w:eastAsia="华文中宋"/>
          <w:sz w:val="32"/>
          <w:szCs w:val="32"/>
        </w:rPr>
      </w:pPr>
    </w:p>
    <w:p>
      <w:pPr>
        <w:jc w:val="center"/>
        <w:rPr>
          <w:rFonts w:hAnsi="华文中宋" w:eastAsia="华文中宋"/>
          <w:sz w:val="32"/>
          <w:szCs w:val="32"/>
        </w:rPr>
      </w:pPr>
    </w:p>
    <w:p>
      <w:pPr>
        <w:jc w:val="left"/>
        <w:rPr>
          <w:rFonts w:hAnsi="华文中宋" w:eastAsia="华文中宋"/>
          <w:sz w:val="32"/>
          <w:szCs w:val="32"/>
        </w:rPr>
      </w:pPr>
      <w:r>
        <w:rPr>
          <w:rFonts w:hint="eastAsia" w:hAnsi="华文中宋" w:eastAsia="华文中宋"/>
          <w:sz w:val="32"/>
          <w:szCs w:val="32"/>
        </w:rPr>
        <w:t xml:space="preserve">        项目编号：建安建工公字〔2018〕9号</w:t>
      </w:r>
    </w:p>
    <w:p>
      <w:pPr>
        <w:ind w:firstLine="1280" w:firstLineChars="400"/>
        <w:jc w:val="left"/>
        <w:rPr>
          <w:rFonts w:hAnsi="华文中宋" w:eastAsia="华文中宋"/>
          <w:sz w:val="32"/>
          <w:szCs w:val="32"/>
        </w:rPr>
      </w:pPr>
      <w:r>
        <w:rPr>
          <w:rFonts w:hAnsi="华文中宋" w:eastAsia="华文中宋"/>
          <w:sz w:val="32"/>
          <w:szCs w:val="32"/>
        </w:rPr>
        <w:t>项目名称：</w:t>
      </w:r>
      <w:r>
        <w:rPr>
          <w:rFonts w:hint="eastAsia" w:hAnsi="华文中宋" w:eastAsia="华文中宋"/>
          <w:sz w:val="32"/>
          <w:szCs w:val="32"/>
        </w:rPr>
        <w:t xml:space="preserve">新元大道东段拓宽提质工程（建安区段）二次 </w:t>
      </w:r>
    </w:p>
    <w:p>
      <w:pPr>
        <w:jc w:val="left"/>
        <w:rPr>
          <w:rFonts w:hAnsi="华文中宋" w:eastAsia="华文中宋"/>
          <w:sz w:val="32"/>
          <w:szCs w:val="32"/>
        </w:rPr>
      </w:pPr>
      <w:r>
        <w:rPr>
          <w:rFonts w:hint="eastAsia" w:hAnsi="华文中宋" w:eastAsia="华文中宋"/>
          <w:sz w:val="32"/>
          <w:szCs w:val="32"/>
        </w:rPr>
        <w:t xml:space="preserve">        </w:t>
      </w:r>
      <w:r>
        <w:rPr>
          <w:rFonts w:hAnsi="华文中宋" w:eastAsia="华文中宋"/>
          <w:sz w:val="32"/>
          <w:szCs w:val="32"/>
        </w:rPr>
        <w:t>招</w:t>
      </w:r>
      <w:r>
        <w:rPr>
          <w:rFonts w:hint="eastAsia" w:hAnsi="华文中宋" w:eastAsia="华文中宋"/>
          <w:sz w:val="32"/>
          <w:szCs w:val="32"/>
        </w:rPr>
        <w:t xml:space="preserve"> </w:t>
      </w:r>
      <w:r>
        <w:rPr>
          <w:rFonts w:hAnsi="华文中宋" w:eastAsia="华文中宋"/>
          <w:sz w:val="32"/>
          <w:szCs w:val="32"/>
        </w:rPr>
        <w:t>标</w:t>
      </w:r>
      <w:r>
        <w:rPr>
          <w:rFonts w:hint="eastAsia" w:hAnsi="华文中宋" w:eastAsia="华文中宋"/>
          <w:sz w:val="32"/>
          <w:szCs w:val="32"/>
        </w:rPr>
        <w:t xml:space="preserve"> </w:t>
      </w:r>
      <w:r>
        <w:rPr>
          <w:rFonts w:hAnsi="华文中宋" w:eastAsia="华文中宋"/>
          <w:sz w:val="32"/>
          <w:szCs w:val="32"/>
        </w:rPr>
        <w:t>人：</w:t>
      </w:r>
      <w:r>
        <w:rPr>
          <w:rFonts w:hint="eastAsia" w:hAnsi="华文中宋" w:eastAsia="华文中宋"/>
          <w:sz w:val="32"/>
          <w:szCs w:val="32"/>
        </w:rPr>
        <w:t>许昌兴安城市投资开发有限公司</w:t>
      </w:r>
    </w:p>
    <w:p>
      <w:pPr>
        <w:jc w:val="left"/>
        <w:rPr>
          <w:rFonts w:eastAsia="华文中宋"/>
          <w:sz w:val="32"/>
          <w:szCs w:val="32"/>
        </w:rPr>
      </w:pPr>
      <w:r>
        <w:rPr>
          <w:rFonts w:hint="eastAsia" w:hAnsi="华文中宋" w:eastAsia="华文中宋"/>
          <w:sz w:val="32"/>
          <w:szCs w:val="32"/>
        </w:rPr>
        <w:t xml:space="preserve">        </w:t>
      </w:r>
      <w:r>
        <w:rPr>
          <w:rFonts w:hAnsi="华文中宋" w:eastAsia="华文中宋"/>
          <w:sz w:val="32"/>
          <w:szCs w:val="32"/>
        </w:rPr>
        <w:t>代理机构：</w:t>
      </w:r>
      <w:r>
        <w:rPr>
          <w:rFonts w:hint="eastAsia" w:hAnsi="华文中宋" w:eastAsia="华文中宋"/>
          <w:sz w:val="32"/>
          <w:szCs w:val="32"/>
        </w:rPr>
        <w:t>河南省地标工程管理有限公司</w:t>
      </w:r>
    </w:p>
    <w:p>
      <w:pPr>
        <w:jc w:val="center"/>
        <w:rPr>
          <w:sz w:val="16"/>
        </w:rPr>
      </w:pPr>
      <w:r>
        <w:rPr>
          <w:rFonts w:hint="eastAsia" w:eastAsia="华文中宋"/>
          <w:sz w:val="32"/>
          <w:szCs w:val="32"/>
        </w:rPr>
        <w:t xml:space="preserve">    二〇一八年二月</w:t>
      </w:r>
    </w:p>
    <w:p>
      <w:pPr>
        <w:autoSpaceDE w:val="0"/>
        <w:autoSpaceDN w:val="0"/>
        <w:adjustRightInd w:val="0"/>
        <w:rPr>
          <w:rFonts w:ascii="宋体" w:hAnsi="宋体" w:cs="宋体"/>
          <w:b/>
          <w:kern w:val="0"/>
          <w:sz w:val="32"/>
          <w:szCs w:val="32"/>
        </w:rPr>
      </w:pPr>
    </w:p>
    <w:p>
      <w:pPr>
        <w:autoSpaceDE w:val="0"/>
        <w:autoSpaceDN w:val="0"/>
        <w:adjustRightInd w:val="0"/>
        <w:jc w:val="center"/>
        <w:rPr>
          <w:rFonts w:ascii="宋体" w:hAnsi="宋体" w:cs="宋体"/>
          <w:b/>
          <w:kern w:val="0"/>
          <w:sz w:val="40"/>
          <w:szCs w:val="40"/>
        </w:rPr>
      </w:pPr>
      <w:r>
        <w:rPr>
          <w:rFonts w:hint="eastAsia" w:ascii="宋体" w:hAnsi="宋体" w:cs="宋体"/>
          <w:b/>
          <w:kern w:val="0"/>
          <w:sz w:val="40"/>
          <w:szCs w:val="40"/>
        </w:rPr>
        <w:t>目录</w:t>
      </w:r>
    </w:p>
    <w:p>
      <w:pPr>
        <w:numPr>
          <w:ilvl w:val="0"/>
          <w:numId w:val="1"/>
        </w:numPr>
        <w:autoSpaceDE w:val="0"/>
        <w:autoSpaceDN w:val="0"/>
        <w:adjustRightInd w:val="0"/>
        <w:rPr>
          <w:rFonts w:ascii="宋体" w:hAnsi="宋体" w:cs="宋体"/>
          <w:b/>
          <w:kern w:val="0"/>
          <w:sz w:val="28"/>
          <w:szCs w:val="28"/>
        </w:rPr>
      </w:pPr>
      <w:r>
        <w:rPr>
          <w:rFonts w:hint="eastAsia" w:ascii="宋体" w:hAnsi="宋体" w:cs="宋体"/>
          <w:b/>
          <w:kern w:val="0"/>
          <w:sz w:val="28"/>
          <w:szCs w:val="28"/>
        </w:rPr>
        <w:t>招标公告</w:t>
      </w:r>
    </w:p>
    <w:p>
      <w:pPr>
        <w:numPr>
          <w:ilvl w:val="0"/>
          <w:numId w:val="1"/>
        </w:numPr>
        <w:autoSpaceDE w:val="0"/>
        <w:autoSpaceDN w:val="0"/>
        <w:adjustRightInd w:val="0"/>
        <w:rPr>
          <w:rFonts w:ascii="宋体" w:hAnsi="宋体" w:cs="宋体"/>
          <w:b/>
          <w:kern w:val="0"/>
          <w:sz w:val="28"/>
          <w:szCs w:val="28"/>
        </w:rPr>
      </w:pPr>
      <w:r>
        <w:rPr>
          <w:rFonts w:hint="eastAsia" w:ascii="宋体" w:hAnsi="宋体" w:cs="宋体"/>
          <w:b/>
          <w:kern w:val="0"/>
          <w:sz w:val="28"/>
          <w:szCs w:val="28"/>
        </w:rPr>
        <w:t>投标人须知</w:t>
      </w:r>
    </w:p>
    <w:p>
      <w:pPr>
        <w:numPr>
          <w:ilvl w:val="0"/>
          <w:numId w:val="1"/>
        </w:numPr>
        <w:autoSpaceDE w:val="0"/>
        <w:autoSpaceDN w:val="0"/>
        <w:adjustRightInd w:val="0"/>
        <w:rPr>
          <w:rFonts w:ascii="宋体" w:hAnsi="宋体" w:cs="宋体"/>
          <w:b/>
          <w:kern w:val="0"/>
          <w:sz w:val="28"/>
          <w:szCs w:val="28"/>
        </w:rPr>
      </w:pPr>
      <w:r>
        <w:rPr>
          <w:rFonts w:hint="eastAsia" w:ascii="宋体" w:hAnsi="宋体" w:cs="宋体"/>
          <w:b/>
          <w:kern w:val="0"/>
          <w:sz w:val="28"/>
          <w:szCs w:val="28"/>
        </w:rPr>
        <w:t>评标办法</w:t>
      </w:r>
    </w:p>
    <w:p>
      <w:pPr>
        <w:autoSpaceDE w:val="0"/>
        <w:autoSpaceDN w:val="0"/>
        <w:adjustRightInd w:val="0"/>
        <w:rPr>
          <w:rFonts w:ascii="宋体" w:hAnsi="宋体" w:cs="宋体"/>
          <w:b/>
          <w:kern w:val="0"/>
          <w:sz w:val="28"/>
          <w:szCs w:val="28"/>
        </w:rPr>
      </w:pPr>
      <w:r>
        <w:rPr>
          <w:rFonts w:hint="eastAsia" w:ascii="宋体" w:hAnsi="宋体" w:cs="宋体"/>
          <w:b/>
          <w:kern w:val="0"/>
          <w:sz w:val="28"/>
          <w:szCs w:val="28"/>
        </w:rPr>
        <w:t>第四章 合同格式（仅供参考）</w:t>
      </w:r>
    </w:p>
    <w:p>
      <w:pPr>
        <w:autoSpaceDE w:val="0"/>
        <w:autoSpaceDN w:val="0"/>
        <w:adjustRightInd w:val="0"/>
        <w:rPr>
          <w:rFonts w:ascii="宋体" w:hAnsi="宋体" w:cs="宋体"/>
          <w:b/>
          <w:kern w:val="0"/>
          <w:sz w:val="32"/>
          <w:szCs w:val="32"/>
        </w:rPr>
      </w:pPr>
      <w:r>
        <w:rPr>
          <w:rFonts w:hint="eastAsia" w:ascii="宋体" w:hAnsi="宋体" w:cs="宋体"/>
          <w:b/>
          <w:kern w:val="0"/>
          <w:sz w:val="28"/>
          <w:szCs w:val="28"/>
        </w:rPr>
        <w:t>第五章 投标文件格式</w:t>
      </w:r>
    </w:p>
    <w:p>
      <w:pPr>
        <w:autoSpaceDE w:val="0"/>
        <w:autoSpaceDN w:val="0"/>
        <w:adjustRightInd w:val="0"/>
        <w:rPr>
          <w:rFonts w:ascii="宋体" w:hAnsi="宋体" w:cs="宋体"/>
          <w:b/>
          <w:kern w:val="0"/>
          <w:sz w:val="32"/>
          <w:szCs w:val="32"/>
        </w:rPr>
      </w:pPr>
    </w:p>
    <w:p>
      <w:pPr>
        <w:autoSpaceDE w:val="0"/>
        <w:autoSpaceDN w:val="0"/>
        <w:adjustRightInd w:val="0"/>
        <w:rPr>
          <w:rFonts w:ascii="宋体" w:hAnsi="宋体" w:cs="宋体"/>
          <w:b/>
          <w:kern w:val="0"/>
          <w:sz w:val="32"/>
          <w:szCs w:val="32"/>
        </w:rPr>
      </w:pPr>
    </w:p>
    <w:p>
      <w:pPr>
        <w:autoSpaceDE w:val="0"/>
        <w:autoSpaceDN w:val="0"/>
        <w:adjustRightInd w:val="0"/>
        <w:rPr>
          <w:rFonts w:ascii="宋体" w:hAnsi="宋体" w:cs="宋体"/>
          <w:b/>
          <w:kern w:val="0"/>
          <w:sz w:val="32"/>
          <w:szCs w:val="32"/>
        </w:rPr>
      </w:pPr>
    </w:p>
    <w:p>
      <w:pPr>
        <w:autoSpaceDE w:val="0"/>
        <w:autoSpaceDN w:val="0"/>
        <w:adjustRightInd w:val="0"/>
        <w:rPr>
          <w:rFonts w:ascii="宋体" w:hAnsi="宋体" w:cs="宋体"/>
          <w:b/>
          <w:kern w:val="0"/>
          <w:sz w:val="32"/>
          <w:szCs w:val="32"/>
        </w:rPr>
      </w:pPr>
    </w:p>
    <w:p>
      <w:pPr>
        <w:autoSpaceDE w:val="0"/>
        <w:autoSpaceDN w:val="0"/>
        <w:adjustRightInd w:val="0"/>
        <w:rPr>
          <w:rFonts w:ascii="宋体" w:hAnsi="宋体" w:cs="宋体"/>
          <w:b/>
          <w:kern w:val="0"/>
          <w:sz w:val="32"/>
          <w:szCs w:val="32"/>
        </w:rPr>
      </w:pPr>
    </w:p>
    <w:p>
      <w:pPr>
        <w:autoSpaceDE w:val="0"/>
        <w:autoSpaceDN w:val="0"/>
        <w:adjustRightInd w:val="0"/>
        <w:rPr>
          <w:rFonts w:ascii="宋体" w:hAnsi="宋体" w:cs="宋体"/>
          <w:b/>
          <w:kern w:val="0"/>
          <w:sz w:val="32"/>
          <w:szCs w:val="32"/>
        </w:rPr>
      </w:pPr>
    </w:p>
    <w:p>
      <w:pPr>
        <w:pStyle w:val="2"/>
        <w:ind w:firstLine="321"/>
        <w:rPr>
          <w:rFonts w:hAnsi="宋体" w:cs="宋体"/>
          <w:b/>
          <w:sz w:val="32"/>
          <w:szCs w:val="32"/>
        </w:rPr>
      </w:pPr>
    </w:p>
    <w:p>
      <w:pPr>
        <w:pStyle w:val="2"/>
        <w:ind w:firstLine="321"/>
        <w:rPr>
          <w:rFonts w:hAnsi="宋体" w:cs="宋体"/>
          <w:b/>
          <w:sz w:val="32"/>
          <w:szCs w:val="32"/>
        </w:rPr>
      </w:pPr>
    </w:p>
    <w:p>
      <w:pPr>
        <w:pStyle w:val="2"/>
        <w:ind w:firstLine="321"/>
        <w:rPr>
          <w:rFonts w:hAnsi="宋体" w:cs="宋体"/>
          <w:b/>
          <w:sz w:val="32"/>
          <w:szCs w:val="32"/>
        </w:rPr>
      </w:pPr>
    </w:p>
    <w:bookmarkEnd w:id="0"/>
    <w:p>
      <w:pPr>
        <w:autoSpaceDE w:val="0"/>
        <w:autoSpaceDN w:val="0"/>
        <w:adjustRightInd w:val="0"/>
        <w:spacing w:line="420" w:lineRule="exact"/>
        <w:jc w:val="center"/>
        <w:rPr>
          <w:rFonts w:ascii="宋体" w:hAnsi="宋体" w:cs="宋体"/>
          <w:b/>
          <w:kern w:val="0"/>
          <w:sz w:val="32"/>
          <w:szCs w:val="32"/>
        </w:rPr>
      </w:pPr>
      <w:bookmarkStart w:id="1" w:name="_Toc215282125"/>
    </w:p>
    <w:p>
      <w:pPr>
        <w:autoSpaceDE w:val="0"/>
        <w:autoSpaceDN w:val="0"/>
        <w:adjustRightInd w:val="0"/>
        <w:spacing w:line="420" w:lineRule="exact"/>
        <w:jc w:val="center"/>
        <w:rPr>
          <w:rFonts w:ascii="宋体" w:hAnsi="宋体" w:cs="宋体"/>
          <w:b/>
          <w:kern w:val="0"/>
          <w:sz w:val="32"/>
          <w:szCs w:val="32"/>
        </w:rPr>
      </w:pPr>
    </w:p>
    <w:p>
      <w:pPr>
        <w:autoSpaceDE w:val="0"/>
        <w:autoSpaceDN w:val="0"/>
        <w:adjustRightInd w:val="0"/>
        <w:spacing w:line="420" w:lineRule="exact"/>
        <w:jc w:val="center"/>
        <w:rPr>
          <w:rFonts w:ascii="宋体" w:hAnsi="宋体" w:cs="宋体"/>
          <w:b/>
          <w:kern w:val="0"/>
          <w:sz w:val="32"/>
          <w:szCs w:val="32"/>
        </w:rPr>
      </w:pPr>
    </w:p>
    <w:p>
      <w:pPr>
        <w:autoSpaceDE w:val="0"/>
        <w:autoSpaceDN w:val="0"/>
        <w:adjustRightInd w:val="0"/>
        <w:spacing w:line="420" w:lineRule="exact"/>
        <w:jc w:val="center"/>
        <w:rPr>
          <w:rFonts w:ascii="宋体" w:hAnsi="宋体" w:cs="宋体"/>
          <w:b/>
          <w:kern w:val="0"/>
          <w:sz w:val="32"/>
          <w:szCs w:val="32"/>
        </w:rPr>
      </w:pPr>
    </w:p>
    <w:p>
      <w:pPr>
        <w:autoSpaceDE w:val="0"/>
        <w:autoSpaceDN w:val="0"/>
        <w:adjustRightInd w:val="0"/>
        <w:spacing w:line="420" w:lineRule="exact"/>
        <w:jc w:val="center"/>
        <w:rPr>
          <w:rFonts w:ascii="宋体" w:hAnsi="宋体" w:cs="宋体"/>
          <w:b/>
          <w:kern w:val="0"/>
          <w:sz w:val="32"/>
          <w:szCs w:val="32"/>
        </w:rPr>
      </w:pPr>
    </w:p>
    <w:p>
      <w:pPr>
        <w:pStyle w:val="2"/>
        <w:ind w:firstLine="340"/>
      </w:pPr>
    </w:p>
    <w:p>
      <w:pPr>
        <w:autoSpaceDE w:val="0"/>
        <w:autoSpaceDN w:val="0"/>
        <w:adjustRightInd w:val="0"/>
        <w:spacing w:line="420" w:lineRule="exact"/>
        <w:rPr>
          <w:rFonts w:ascii="宋体"/>
          <w:kern w:val="0"/>
          <w:sz w:val="34"/>
        </w:rPr>
      </w:pPr>
    </w:p>
    <w:p>
      <w:pPr>
        <w:pStyle w:val="2"/>
        <w:ind w:firstLine="340"/>
      </w:pPr>
    </w:p>
    <w:p>
      <w:pPr>
        <w:autoSpaceDE w:val="0"/>
        <w:autoSpaceDN w:val="0"/>
        <w:adjustRightInd w:val="0"/>
        <w:spacing w:line="420" w:lineRule="exact"/>
        <w:jc w:val="center"/>
        <w:rPr>
          <w:rFonts w:ascii="宋体" w:hAnsi="宋体" w:cs="宋体"/>
          <w:b/>
          <w:kern w:val="0"/>
          <w:sz w:val="32"/>
          <w:szCs w:val="32"/>
        </w:rPr>
      </w:pPr>
      <w:r>
        <w:rPr>
          <w:rFonts w:hint="eastAsia" w:ascii="宋体" w:hAnsi="宋体" w:cs="宋体"/>
          <w:b/>
          <w:kern w:val="0"/>
          <w:sz w:val="32"/>
          <w:szCs w:val="32"/>
        </w:rPr>
        <w:t xml:space="preserve"> 第一章 招标公告</w:t>
      </w:r>
    </w:p>
    <w:p>
      <w:pPr>
        <w:autoSpaceDE w:val="0"/>
        <w:autoSpaceDN w:val="0"/>
        <w:adjustRightInd w:val="0"/>
        <w:spacing w:line="420" w:lineRule="exact"/>
        <w:ind w:firstLine="480" w:firstLineChars="200"/>
        <w:jc w:val="center"/>
        <w:outlineLvl w:val="0"/>
        <w:rPr>
          <w:rFonts w:ascii="宋体" w:hAnsi="宋体" w:cs="宋体"/>
          <w:kern w:val="0"/>
          <w:sz w:val="24"/>
          <w:szCs w:val="24"/>
        </w:rPr>
      </w:pPr>
      <w:r>
        <w:rPr>
          <w:rFonts w:hint="eastAsia" w:ascii="宋体" w:hAnsi="宋体" w:cs="宋体"/>
          <w:kern w:val="0"/>
          <w:sz w:val="24"/>
          <w:szCs w:val="24"/>
        </w:rPr>
        <w:t>建安建工公字〔2018〕9号</w:t>
      </w:r>
    </w:p>
    <w:p>
      <w:pPr>
        <w:autoSpaceDE w:val="0"/>
        <w:autoSpaceDN w:val="0"/>
        <w:adjustRightInd w:val="0"/>
        <w:spacing w:line="420" w:lineRule="exact"/>
        <w:ind w:firstLine="480" w:firstLineChars="200"/>
        <w:jc w:val="center"/>
        <w:outlineLvl w:val="0"/>
        <w:rPr>
          <w:rFonts w:ascii="宋体" w:hAnsi="宋体" w:cs="宋体"/>
          <w:kern w:val="0"/>
          <w:sz w:val="24"/>
          <w:szCs w:val="24"/>
        </w:rPr>
      </w:pPr>
      <w:r>
        <w:rPr>
          <w:rFonts w:hint="eastAsia" w:ascii="宋体" w:hAnsi="宋体" w:cs="宋体"/>
          <w:kern w:val="0"/>
          <w:sz w:val="24"/>
          <w:szCs w:val="24"/>
        </w:rPr>
        <w:t>许昌兴安城市投资开发有限公司</w:t>
      </w:r>
    </w:p>
    <w:p>
      <w:pPr>
        <w:autoSpaceDE w:val="0"/>
        <w:autoSpaceDN w:val="0"/>
        <w:adjustRightInd w:val="0"/>
        <w:spacing w:line="420" w:lineRule="exact"/>
        <w:ind w:firstLine="480" w:firstLineChars="200"/>
        <w:jc w:val="center"/>
        <w:outlineLvl w:val="0"/>
        <w:rPr>
          <w:rFonts w:ascii="宋体" w:hAnsi="宋体" w:cs="宋体"/>
          <w:bCs/>
          <w:sz w:val="24"/>
        </w:rPr>
      </w:pPr>
      <w:r>
        <w:rPr>
          <w:rFonts w:hint="eastAsia" w:ascii="宋体" w:hAnsi="宋体" w:cs="宋体"/>
          <w:bCs/>
          <w:sz w:val="24"/>
        </w:rPr>
        <w:t>新元大道东段拓宽提质工程（建安区段）二次</w:t>
      </w:r>
    </w:p>
    <w:p>
      <w:pPr>
        <w:autoSpaceDE w:val="0"/>
        <w:autoSpaceDN w:val="0"/>
        <w:adjustRightInd w:val="0"/>
        <w:spacing w:line="420" w:lineRule="exact"/>
        <w:ind w:firstLine="480" w:firstLineChars="200"/>
        <w:jc w:val="center"/>
        <w:outlineLvl w:val="0"/>
        <w:rPr>
          <w:rFonts w:ascii="宋体" w:hAnsi="宋体" w:cs="宋体"/>
          <w:kern w:val="0"/>
          <w:sz w:val="24"/>
          <w:szCs w:val="24"/>
        </w:rPr>
      </w:pPr>
      <w:r>
        <w:rPr>
          <w:rFonts w:ascii="宋体" w:hAnsi="宋体" w:cs="宋体"/>
          <w:kern w:val="0"/>
          <w:sz w:val="24"/>
          <w:szCs w:val="24"/>
        </w:rPr>
        <w:t>公开招标公告</w:t>
      </w:r>
    </w:p>
    <w:p>
      <w:pPr>
        <w:autoSpaceDE w:val="0"/>
        <w:autoSpaceDN w:val="0"/>
        <w:adjustRightInd w:val="0"/>
        <w:spacing w:line="420" w:lineRule="exact"/>
        <w:jc w:val="left"/>
        <w:outlineLvl w:val="0"/>
        <w:rPr>
          <w:rFonts w:ascii="宋体" w:hAnsi="宋体" w:cs="宋体"/>
          <w:kern w:val="0"/>
          <w:sz w:val="24"/>
          <w:szCs w:val="24"/>
        </w:rPr>
      </w:pPr>
      <w:r>
        <w:rPr>
          <w:rFonts w:hint="eastAsia" w:ascii="宋体" w:hAnsi="宋体" w:cs="宋体"/>
          <w:kern w:val="0"/>
          <w:sz w:val="24"/>
          <w:szCs w:val="24"/>
        </w:rPr>
        <w:t xml:space="preserve"> 一、</w:t>
      </w:r>
      <w:r>
        <w:rPr>
          <w:rFonts w:ascii="宋体" w:hAnsi="宋体" w:cs="宋体"/>
          <w:kern w:val="0"/>
          <w:sz w:val="24"/>
          <w:szCs w:val="24"/>
        </w:rPr>
        <w:t>项目概况</w:t>
      </w:r>
    </w:p>
    <w:p>
      <w:pPr>
        <w:numPr>
          <w:ilvl w:val="0"/>
          <w:numId w:val="2"/>
        </w:numPr>
        <w:autoSpaceDE w:val="0"/>
        <w:autoSpaceDN w:val="0"/>
        <w:adjustRightInd w:val="0"/>
        <w:spacing w:line="420" w:lineRule="exact"/>
        <w:ind w:firstLine="480" w:firstLineChars="200"/>
        <w:jc w:val="left"/>
        <w:outlineLvl w:val="0"/>
        <w:rPr>
          <w:rFonts w:ascii="宋体" w:hAnsi="宋体" w:cs="宋体"/>
          <w:kern w:val="0"/>
          <w:sz w:val="24"/>
          <w:szCs w:val="24"/>
        </w:rPr>
      </w:pPr>
      <w:r>
        <w:rPr>
          <w:rFonts w:ascii="宋体" w:hAnsi="宋体" w:cs="宋体"/>
          <w:kern w:val="0"/>
          <w:sz w:val="24"/>
          <w:szCs w:val="24"/>
        </w:rPr>
        <w:t>项目编号：</w:t>
      </w:r>
      <w:r>
        <w:rPr>
          <w:rFonts w:hint="eastAsia" w:ascii="宋体" w:hAnsi="宋体" w:cs="宋体"/>
          <w:kern w:val="0"/>
          <w:sz w:val="24"/>
          <w:szCs w:val="24"/>
        </w:rPr>
        <w:t>建安建工公字〔2018〕9号</w:t>
      </w:r>
      <w:r>
        <w:rPr>
          <w:rFonts w:ascii="宋体" w:hAnsi="宋体" w:cs="宋体"/>
          <w:kern w:val="0"/>
          <w:sz w:val="24"/>
          <w:szCs w:val="24"/>
        </w:rPr>
        <w:t>。</w:t>
      </w:r>
    </w:p>
    <w:p>
      <w:pPr>
        <w:autoSpaceDE w:val="0"/>
        <w:autoSpaceDN w:val="0"/>
        <w:adjustRightInd w:val="0"/>
        <w:spacing w:line="420" w:lineRule="exact"/>
        <w:ind w:firstLine="480" w:firstLineChars="200"/>
        <w:jc w:val="left"/>
        <w:outlineLvl w:val="0"/>
      </w:pPr>
      <w:r>
        <w:rPr>
          <w:rFonts w:hint="eastAsia" w:ascii="宋体" w:hAnsi="宋体" w:cs="宋体"/>
          <w:kern w:val="0"/>
          <w:sz w:val="24"/>
          <w:szCs w:val="24"/>
        </w:rPr>
        <w:t>2、</w:t>
      </w:r>
      <w:r>
        <w:rPr>
          <w:rFonts w:ascii="宋体" w:hAnsi="宋体" w:cs="宋体"/>
          <w:kern w:val="0"/>
          <w:sz w:val="24"/>
          <w:szCs w:val="24"/>
        </w:rPr>
        <w:t>项目名称：</w:t>
      </w:r>
      <w:r>
        <w:rPr>
          <w:rFonts w:hint="eastAsia" w:ascii="宋体" w:hAnsi="宋体" w:cs="宋体"/>
          <w:kern w:val="0"/>
          <w:sz w:val="24"/>
          <w:szCs w:val="24"/>
        </w:rPr>
        <w:t>新元大道东段拓宽提质工程（建安区段）二次。</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ascii="宋体" w:hAnsi="宋体" w:cs="宋体"/>
          <w:kern w:val="0"/>
          <w:sz w:val="24"/>
          <w:szCs w:val="24"/>
        </w:rPr>
        <w:t>3、招标单位：</w:t>
      </w:r>
      <w:r>
        <w:rPr>
          <w:rFonts w:hint="eastAsia" w:ascii="宋体" w:hAnsi="宋体" w:cs="宋体"/>
          <w:kern w:val="0"/>
          <w:sz w:val="24"/>
          <w:szCs w:val="24"/>
        </w:rPr>
        <w:t>许昌兴安城市投资开发有限公司。</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ascii="宋体" w:hAnsi="宋体" w:cs="宋体"/>
          <w:kern w:val="0"/>
          <w:sz w:val="24"/>
          <w:szCs w:val="24"/>
        </w:rPr>
        <w:t>4、项目简介：</w:t>
      </w:r>
      <w:r>
        <w:rPr>
          <w:rFonts w:hint="eastAsia" w:ascii="宋体" w:hAnsi="宋体" w:cs="宋体"/>
          <w:kern w:val="0"/>
          <w:sz w:val="24"/>
          <w:szCs w:val="24"/>
        </w:rPr>
        <w:t>该项目位于许昌市建安区，设计施工内容为新元大道东延（新107国道至鄢陵县界）段道路、排水工程，包含道路、排水、标志标线及附属设施。主要招标内容为设计、施工工程总承包。</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5、标段划分：一个标段。</w:t>
      </w:r>
    </w:p>
    <w:p>
      <w:pPr>
        <w:autoSpaceDE w:val="0"/>
        <w:autoSpaceDN w:val="0"/>
        <w:adjustRightInd w:val="0"/>
        <w:spacing w:line="420" w:lineRule="exact"/>
        <w:ind w:firstLine="480" w:firstLineChars="200"/>
        <w:jc w:val="left"/>
        <w:outlineLvl w:val="0"/>
      </w:pPr>
      <w:r>
        <w:rPr>
          <w:rFonts w:hint="eastAsia" w:ascii="宋体" w:hAnsi="宋体" w:cs="宋体"/>
          <w:kern w:val="0"/>
          <w:sz w:val="24"/>
          <w:szCs w:val="24"/>
        </w:rPr>
        <w:t>6</w:t>
      </w:r>
      <w:r>
        <w:rPr>
          <w:rFonts w:ascii="宋体" w:hAnsi="宋体" w:cs="宋体"/>
          <w:kern w:val="0"/>
          <w:sz w:val="24"/>
          <w:szCs w:val="24"/>
        </w:rPr>
        <w:t>、</w:t>
      </w:r>
      <w:r>
        <w:rPr>
          <w:rFonts w:hint="eastAsia" w:ascii="宋体" w:hAnsi="宋体" w:cs="宋体"/>
          <w:kern w:val="0"/>
          <w:sz w:val="24"/>
          <w:szCs w:val="24"/>
        </w:rPr>
        <w:t>投资概算</w:t>
      </w:r>
      <w:r>
        <w:rPr>
          <w:rFonts w:ascii="宋体" w:hAnsi="宋体" w:cs="宋体"/>
          <w:kern w:val="0"/>
          <w:sz w:val="24"/>
          <w:szCs w:val="24"/>
        </w:rPr>
        <w:t>：</w:t>
      </w:r>
      <w:r>
        <w:rPr>
          <w:rFonts w:hint="eastAsia" w:ascii="宋体" w:hAnsi="宋体" w:cs="宋体"/>
          <w:kern w:val="0"/>
          <w:sz w:val="24"/>
          <w:szCs w:val="24"/>
        </w:rPr>
        <w:t>600000000.00元</w:t>
      </w:r>
      <w:r>
        <w:rPr>
          <w:rFonts w:hint="eastAsia" w:hAnsi="宋体" w:cs="宋体"/>
          <w:kern w:val="0"/>
          <w:sz w:val="24"/>
          <w:szCs w:val="24"/>
        </w:rPr>
        <w:t>。</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7</w:t>
      </w:r>
      <w:r>
        <w:rPr>
          <w:rFonts w:ascii="宋体" w:hAnsi="宋体" w:cs="宋体"/>
          <w:kern w:val="0"/>
          <w:sz w:val="24"/>
          <w:szCs w:val="24"/>
        </w:rPr>
        <w:t>、计划工期：</w:t>
      </w:r>
      <w:r>
        <w:rPr>
          <w:rFonts w:hint="eastAsia" w:ascii="宋体" w:hAnsi="宋体" w:cs="宋体"/>
          <w:kern w:val="0"/>
          <w:sz w:val="24"/>
          <w:szCs w:val="24"/>
        </w:rPr>
        <w:t>180日历天。</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8、质量要求：达到国家建设工程质量验收的规范和标准(合格)。</w:t>
      </w:r>
    </w:p>
    <w:p>
      <w:pPr>
        <w:autoSpaceDE w:val="0"/>
        <w:autoSpaceDN w:val="0"/>
        <w:adjustRightInd w:val="0"/>
        <w:spacing w:line="420" w:lineRule="exact"/>
        <w:jc w:val="left"/>
        <w:outlineLvl w:val="0"/>
        <w:rPr>
          <w:rFonts w:ascii="宋体" w:hAnsi="宋体" w:cs="宋体"/>
          <w:kern w:val="0"/>
          <w:sz w:val="24"/>
          <w:szCs w:val="24"/>
        </w:rPr>
      </w:pPr>
      <w:r>
        <w:rPr>
          <w:rFonts w:ascii="宋体" w:hAnsi="宋体" w:cs="宋体"/>
          <w:kern w:val="0"/>
          <w:sz w:val="24"/>
          <w:szCs w:val="24"/>
        </w:rPr>
        <w:t>二、投标人资格要求</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1、须具备独立的法人资格；</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2、须具备建设行政主管部门颁发的市政公用工程施工总承包壹级及以上资质，且具备有效的安全生产许可证。；</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3、拟派项目经理须具备市政公用工程专业壹级建造师资格，并具备有效的安全生产考核合格证书，且未担任其他在施建设工程项目；</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4、自2015年以来在经营活动中没有重大违法记录（以检察机关出具的查询行贿犯罪档案结果告知函为准）；</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5、不接受失信被执行人的投标；</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6、本次招标实行资格后审。</w:t>
      </w:r>
    </w:p>
    <w:p>
      <w:pPr>
        <w:autoSpaceDE w:val="0"/>
        <w:autoSpaceDN w:val="0"/>
        <w:adjustRightInd w:val="0"/>
        <w:spacing w:line="420" w:lineRule="exact"/>
        <w:jc w:val="left"/>
        <w:outlineLvl w:val="0"/>
        <w:rPr>
          <w:rFonts w:ascii="宋体" w:hAnsi="宋体" w:cs="宋体"/>
          <w:kern w:val="0"/>
          <w:sz w:val="24"/>
          <w:szCs w:val="24"/>
        </w:rPr>
      </w:pPr>
      <w:r>
        <w:rPr>
          <w:rFonts w:ascii="宋体" w:hAnsi="宋体" w:cs="宋体"/>
          <w:kern w:val="0"/>
          <w:sz w:val="24"/>
          <w:szCs w:val="24"/>
        </w:rPr>
        <w:t>三、投标报名</w:t>
      </w:r>
      <w:r>
        <w:rPr>
          <w:rFonts w:hint="eastAsia" w:ascii="宋体" w:hAnsi="宋体" w:cs="宋体"/>
          <w:kern w:val="0"/>
          <w:sz w:val="24"/>
          <w:szCs w:val="24"/>
        </w:rPr>
        <w:t>时间及方式</w:t>
      </w:r>
    </w:p>
    <w:p>
      <w:pPr>
        <w:autoSpaceDE w:val="0"/>
        <w:autoSpaceDN w:val="0"/>
        <w:adjustRightInd w:val="0"/>
        <w:spacing w:line="420" w:lineRule="exact"/>
        <w:ind w:firstLine="480" w:firstLineChars="200"/>
        <w:jc w:val="left"/>
        <w:outlineLvl w:val="0"/>
        <w:rPr>
          <w:rFonts w:ascii="宋体" w:hAnsi="宋体"/>
          <w:color w:val="000000"/>
          <w:sz w:val="24"/>
        </w:rPr>
      </w:pPr>
      <w:r>
        <w:rPr>
          <w:rFonts w:ascii="宋体" w:hAnsi="宋体" w:cs="宋体"/>
          <w:kern w:val="0"/>
          <w:sz w:val="24"/>
          <w:szCs w:val="24"/>
        </w:rPr>
        <w:t>1、</w:t>
      </w:r>
      <w:r>
        <w:rPr>
          <w:rFonts w:hint="eastAsia" w:ascii="宋体" w:hAnsi="宋体"/>
          <w:color w:val="000000"/>
          <w:sz w:val="24"/>
        </w:rPr>
        <w:t>报名时间：凡有意参加投标者，请于2018年2月</w:t>
      </w:r>
      <w:r>
        <w:rPr>
          <w:rFonts w:hint="eastAsia" w:ascii="宋体" w:hAnsi="宋体"/>
          <w:color w:val="000000"/>
          <w:sz w:val="24"/>
          <w:lang w:val="en-US" w:eastAsia="zh-CN"/>
        </w:rPr>
        <w:t>8</w:t>
      </w:r>
      <w:r>
        <w:rPr>
          <w:rFonts w:hint="eastAsia" w:ascii="宋体" w:hAnsi="宋体"/>
          <w:color w:val="000000"/>
          <w:sz w:val="24"/>
        </w:rPr>
        <w:t>日至2018年2月1</w:t>
      </w:r>
      <w:r>
        <w:rPr>
          <w:rFonts w:hint="eastAsia" w:ascii="宋体" w:hAnsi="宋体"/>
          <w:color w:val="000000"/>
          <w:sz w:val="24"/>
          <w:lang w:val="en-US" w:eastAsia="zh-CN"/>
        </w:rPr>
        <w:t>3</w:t>
      </w:r>
      <w:r>
        <w:rPr>
          <w:rFonts w:hint="eastAsia" w:ascii="宋体" w:hAnsi="宋体"/>
          <w:color w:val="000000"/>
          <w:sz w:val="24"/>
        </w:rPr>
        <w:t>日参与报名。</w:t>
      </w:r>
    </w:p>
    <w:p>
      <w:pPr>
        <w:autoSpaceDE w:val="0"/>
        <w:autoSpaceDN w:val="0"/>
        <w:adjustRightInd w:val="0"/>
        <w:spacing w:line="420" w:lineRule="exact"/>
        <w:ind w:firstLine="480" w:firstLineChars="200"/>
        <w:jc w:val="left"/>
        <w:outlineLvl w:val="0"/>
        <w:rPr>
          <w:rFonts w:ascii="宋体" w:hAnsi="宋体"/>
          <w:color w:val="000000"/>
          <w:sz w:val="24"/>
        </w:rPr>
      </w:pPr>
      <w:r>
        <w:rPr>
          <w:rFonts w:hint="eastAsia" w:ascii="宋体" w:hAnsi="宋体"/>
          <w:color w:val="000000"/>
          <w:sz w:val="24"/>
        </w:rPr>
        <w:t>2、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hint="eastAsia" w:ascii="宋体" w:hAnsi="宋体"/>
          <w:color w:val="000000"/>
          <w:sz w:val="24"/>
        </w:rPr>
        <w:t>3、在投标截止时间前均可登录《全国公共资源交易平台（河南省·许昌市）》“投标人/供应商登录”入口（http://221.14.6.70:8088/ggzy/）自行下载招标文件等（详见“常见问题解答-交易系统操作手册”）。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420" w:lineRule="exact"/>
        <w:jc w:val="left"/>
        <w:outlineLvl w:val="0"/>
        <w:rPr>
          <w:rFonts w:hAnsi="宋体" w:cs="宋体"/>
          <w:sz w:val="24"/>
          <w:szCs w:val="24"/>
        </w:rPr>
      </w:pPr>
      <w:r>
        <w:rPr>
          <w:rFonts w:ascii="宋体" w:hAnsi="宋体" w:cs="宋体"/>
          <w:kern w:val="0"/>
          <w:sz w:val="24"/>
          <w:szCs w:val="24"/>
        </w:rPr>
        <w:t>四、</w:t>
      </w:r>
      <w:r>
        <w:rPr>
          <w:rFonts w:hint="eastAsia" w:hAnsi="宋体" w:cs="宋体"/>
          <w:sz w:val="24"/>
          <w:szCs w:val="24"/>
        </w:rPr>
        <w:t>招标文件的获取</w:t>
      </w:r>
    </w:p>
    <w:p>
      <w:pPr>
        <w:spacing w:line="420" w:lineRule="exact"/>
        <w:ind w:right="-105" w:rightChars="-50" w:firstLine="480" w:firstLineChars="200"/>
        <w:rPr>
          <w:rFonts w:hAnsi="宋体" w:cs="宋体"/>
          <w:sz w:val="24"/>
          <w:szCs w:val="24"/>
        </w:rPr>
      </w:pPr>
      <w:r>
        <w:rPr>
          <w:rFonts w:hint="eastAsia" w:hAnsi="宋体" w:cs="宋体"/>
          <w:sz w:val="24"/>
          <w:szCs w:val="24"/>
        </w:rPr>
        <w:t>1、招标文件的获取：投标人于投标文件递交截止时间前均可在</w:t>
      </w:r>
      <w:r>
        <w:rPr>
          <w:rFonts w:hint="eastAsia" w:ascii="宋体" w:hAnsi="宋体"/>
          <w:color w:val="000000"/>
          <w:sz w:val="24"/>
        </w:rPr>
        <w:t>《全国公共资源交易平台（河南省·许昌市）》</w:t>
      </w:r>
      <w:r>
        <w:rPr>
          <w:rFonts w:hint="eastAsia" w:hAnsi="宋体" w:cs="宋体"/>
          <w:sz w:val="24"/>
          <w:szCs w:val="24"/>
        </w:rPr>
        <w:t>自行下载。</w:t>
      </w:r>
    </w:p>
    <w:p>
      <w:pPr>
        <w:spacing w:line="420" w:lineRule="exact"/>
        <w:ind w:right="-105" w:rightChars="-50" w:firstLine="480" w:firstLineChars="200"/>
        <w:rPr>
          <w:rFonts w:ascii="宋体" w:hAnsi="宋体" w:cs="宋体"/>
          <w:kern w:val="0"/>
          <w:sz w:val="24"/>
          <w:szCs w:val="24"/>
        </w:rPr>
      </w:pPr>
      <w:r>
        <w:rPr>
          <w:rFonts w:hint="eastAsia" w:hAnsi="宋体" w:cs="宋体"/>
          <w:sz w:val="24"/>
          <w:szCs w:val="24"/>
        </w:rPr>
        <w:t>2、投标人在递交投标文件时向代理机构缴纳招标文件费用，本项目招标文件每套售价300元，售后不退。</w:t>
      </w:r>
    </w:p>
    <w:p>
      <w:pPr>
        <w:autoSpaceDE w:val="0"/>
        <w:autoSpaceDN w:val="0"/>
        <w:adjustRightInd w:val="0"/>
        <w:spacing w:line="420" w:lineRule="exact"/>
        <w:jc w:val="left"/>
        <w:outlineLvl w:val="0"/>
        <w:rPr>
          <w:rFonts w:ascii="宋体" w:hAnsi="宋体" w:cs="宋体"/>
          <w:kern w:val="0"/>
          <w:sz w:val="24"/>
          <w:szCs w:val="24"/>
        </w:rPr>
      </w:pPr>
      <w:r>
        <w:rPr>
          <w:rFonts w:ascii="宋体" w:hAnsi="宋体" w:cs="宋体"/>
          <w:kern w:val="0"/>
          <w:sz w:val="24"/>
          <w:szCs w:val="24"/>
        </w:rPr>
        <w:t>五、投标</w:t>
      </w:r>
      <w:r>
        <w:rPr>
          <w:rFonts w:hint="eastAsia" w:ascii="宋体" w:hAnsi="宋体" w:cs="宋体"/>
          <w:kern w:val="0"/>
          <w:sz w:val="24"/>
          <w:szCs w:val="24"/>
        </w:rPr>
        <w:t>文件的递交</w:t>
      </w:r>
    </w:p>
    <w:p>
      <w:pPr>
        <w:spacing w:line="420" w:lineRule="exact"/>
        <w:ind w:left="-105" w:leftChars="-50" w:right="-105" w:rightChars="-50" w:firstLine="480" w:firstLineChars="200"/>
        <w:rPr>
          <w:rFonts w:hAnsi="宋体" w:cs="宋体"/>
          <w:sz w:val="24"/>
          <w:szCs w:val="24"/>
        </w:rPr>
      </w:pPr>
      <w:r>
        <w:rPr>
          <w:rFonts w:hint="eastAsia" w:hAnsi="宋体" w:cs="宋体"/>
          <w:sz w:val="24"/>
          <w:szCs w:val="24"/>
        </w:rPr>
        <w:t>1、投标文件递交的截止时间为2018年3月1日</w:t>
      </w:r>
      <w:r>
        <w:rPr>
          <w:rFonts w:hint="eastAsia" w:hAnsi="宋体" w:cs="宋体"/>
          <w:sz w:val="24"/>
          <w:szCs w:val="24"/>
          <w:lang w:val="en-US" w:eastAsia="zh-CN"/>
        </w:rPr>
        <w:t>9</w:t>
      </w:r>
      <w:r>
        <w:rPr>
          <w:rFonts w:hint="eastAsia" w:hAnsi="宋体" w:cs="宋体"/>
          <w:sz w:val="24"/>
          <w:szCs w:val="24"/>
        </w:rPr>
        <w:t>时</w:t>
      </w:r>
      <w:r>
        <w:rPr>
          <w:rFonts w:hint="eastAsia" w:hAnsi="宋体" w:cs="宋体"/>
          <w:sz w:val="24"/>
          <w:szCs w:val="24"/>
          <w:lang w:val="en-US" w:eastAsia="zh-CN"/>
        </w:rPr>
        <w:t>3</w:t>
      </w:r>
      <w:r>
        <w:rPr>
          <w:rFonts w:hint="eastAsia" w:hAnsi="宋体" w:cs="宋体"/>
          <w:sz w:val="24"/>
          <w:szCs w:val="24"/>
        </w:rPr>
        <w:t>0分，地点为许昌市建安区新元大道兴业大厦4楼4167室。</w:t>
      </w:r>
    </w:p>
    <w:p>
      <w:pPr>
        <w:spacing w:line="420" w:lineRule="exact"/>
        <w:ind w:left="-105" w:leftChars="-50" w:right="-105" w:rightChars="-50" w:firstLine="480" w:firstLineChars="200"/>
        <w:rPr>
          <w:rFonts w:hAnsi="宋体" w:cs="宋体"/>
          <w:sz w:val="24"/>
          <w:szCs w:val="24"/>
        </w:rPr>
      </w:pPr>
      <w:r>
        <w:rPr>
          <w:rFonts w:hint="eastAsia" w:hAnsi="宋体" w:cs="宋体"/>
          <w:sz w:val="24"/>
          <w:szCs w:val="24"/>
        </w:rPr>
        <w:t>2、逾期送达的或者未送达指定地点的投标文件，招标人不予受理。</w:t>
      </w:r>
    </w:p>
    <w:p>
      <w:pPr>
        <w:spacing w:line="420" w:lineRule="exact"/>
        <w:ind w:left="-105" w:leftChars="-50" w:right="-105" w:rightChars="-50" w:firstLine="480" w:firstLineChars="200"/>
        <w:rPr>
          <w:rFonts w:ascii="宋体" w:hAnsi="宋体" w:cs="宋体"/>
          <w:kern w:val="0"/>
          <w:sz w:val="24"/>
          <w:szCs w:val="24"/>
        </w:rPr>
      </w:pPr>
      <w:r>
        <w:rPr>
          <w:rFonts w:hint="eastAsia" w:hAnsi="宋体" w:cs="宋体"/>
          <w:sz w:val="24"/>
          <w:szCs w:val="24"/>
        </w:rPr>
        <w:t>3、未通过全国公共资源交易平台（河南省·许昌市）下载招标文件的投标人，其投标文件不予受理。</w:t>
      </w:r>
    </w:p>
    <w:p>
      <w:pPr>
        <w:autoSpaceDE w:val="0"/>
        <w:autoSpaceDN w:val="0"/>
        <w:adjustRightInd w:val="0"/>
        <w:spacing w:line="420" w:lineRule="exact"/>
        <w:jc w:val="left"/>
        <w:outlineLvl w:val="0"/>
        <w:rPr>
          <w:rFonts w:ascii="宋体" w:hAnsi="宋体" w:cs="宋体"/>
          <w:kern w:val="0"/>
          <w:sz w:val="24"/>
          <w:szCs w:val="24"/>
        </w:rPr>
      </w:pPr>
      <w:r>
        <w:rPr>
          <w:rFonts w:ascii="宋体" w:hAnsi="宋体" w:cs="宋体"/>
          <w:kern w:val="0"/>
          <w:sz w:val="24"/>
          <w:szCs w:val="24"/>
        </w:rPr>
        <w:t>六、发布公告的媒介</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ascii="宋体" w:hAnsi="宋体" w:cs="宋体"/>
          <w:kern w:val="0"/>
          <w:sz w:val="24"/>
          <w:szCs w:val="24"/>
        </w:rPr>
        <w:t>本次招标公告在</w:t>
      </w:r>
      <w:r>
        <w:rPr>
          <w:rFonts w:hint="eastAsia" w:ascii="宋体" w:hAnsi="宋体" w:cs="宋体"/>
          <w:kern w:val="0"/>
          <w:sz w:val="24"/>
          <w:szCs w:val="24"/>
        </w:rPr>
        <w:t>《河南省电子招标投标公共服务平台》和</w:t>
      </w:r>
      <w:r>
        <w:rPr>
          <w:rFonts w:ascii="宋体" w:hAnsi="宋体" w:cs="宋体"/>
          <w:kern w:val="0"/>
          <w:sz w:val="24"/>
          <w:szCs w:val="24"/>
        </w:rPr>
        <w:t>《</w:t>
      </w:r>
      <w:r>
        <w:rPr>
          <w:rFonts w:hint="eastAsia" w:ascii="宋体" w:hAnsi="宋体" w:cs="宋体"/>
          <w:kern w:val="0"/>
          <w:sz w:val="24"/>
          <w:szCs w:val="24"/>
        </w:rPr>
        <w:t>全国公共资源交易平台（河南省·许昌市）</w:t>
      </w:r>
      <w:r>
        <w:rPr>
          <w:rFonts w:ascii="宋体" w:hAnsi="宋体" w:cs="宋体"/>
          <w:kern w:val="0"/>
          <w:sz w:val="24"/>
          <w:szCs w:val="24"/>
        </w:rPr>
        <w:t>》上同时发布。</w:t>
      </w:r>
    </w:p>
    <w:p>
      <w:pPr>
        <w:autoSpaceDE w:val="0"/>
        <w:autoSpaceDN w:val="0"/>
        <w:adjustRightInd w:val="0"/>
        <w:spacing w:line="380" w:lineRule="exact"/>
        <w:jc w:val="left"/>
        <w:outlineLvl w:val="0"/>
        <w:rPr>
          <w:rFonts w:ascii="宋体" w:hAnsi="宋体" w:cs="宋体"/>
          <w:kern w:val="0"/>
          <w:sz w:val="24"/>
          <w:szCs w:val="24"/>
        </w:rPr>
      </w:pPr>
      <w:r>
        <w:rPr>
          <w:rFonts w:ascii="宋体" w:hAnsi="宋体" w:cs="宋体"/>
          <w:kern w:val="0"/>
          <w:sz w:val="24"/>
          <w:szCs w:val="24"/>
        </w:rPr>
        <w:t>七、联系方式</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ascii="宋体" w:hAnsi="宋体" w:cs="宋体"/>
          <w:kern w:val="0"/>
          <w:sz w:val="24"/>
          <w:szCs w:val="24"/>
        </w:rPr>
        <w:t>招 标 人：</w:t>
      </w:r>
      <w:r>
        <w:rPr>
          <w:rFonts w:hint="eastAsia" w:ascii="宋体" w:hAnsi="宋体" w:cs="宋体"/>
          <w:kern w:val="0"/>
          <w:sz w:val="24"/>
          <w:szCs w:val="24"/>
        </w:rPr>
        <w:t>许昌兴安城市投资开发有限公司</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项目负责人</w:t>
      </w:r>
      <w:r>
        <w:rPr>
          <w:rFonts w:ascii="宋体" w:hAnsi="宋体" w:cs="宋体"/>
          <w:kern w:val="0"/>
          <w:sz w:val="24"/>
          <w:szCs w:val="24"/>
        </w:rPr>
        <w:t>：</w:t>
      </w:r>
      <w:r>
        <w:rPr>
          <w:rFonts w:hint="eastAsia" w:ascii="宋体" w:hAnsi="宋体" w:cs="宋体"/>
          <w:kern w:val="0"/>
          <w:sz w:val="24"/>
          <w:szCs w:val="24"/>
        </w:rPr>
        <w:t>杨会芳</w:t>
      </w:r>
    </w:p>
    <w:p>
      <w:pPr>
        <w:autoSpaceDE w:val="0"/>
        <w:autoSpaceDN w:val="0"/>
        <w:adjustRightInd w:val="0"/>
        <w:spacing w:line="380" w:lineRule="exact"/>
        <w:ind w:firstLine="480" w:firstLineChars="200"/>
        <w:jc w:val="left"/>
        <w:outlineLvl w:val="0"/>
        <w:rPr>
          <w:rFonts w:ascii="宋体" w:hAnsi="宋体" w:cs="宋体"/>
          <w:color w:val="FF0000"/>
          <w:kern w:val="0"/>
          <w:sz w:val="24"/>
          <w:szCs w:val="24"/>
        </w:rPr>
      </w:pPr>
      <w:r>
        <w:rPr>
          <w:rFonts w:ascii="宋体" w:hAnsi="宋体" w:cs="宋体"/>
          <w:kern w:val="0"/>
          <w:sz w:val="24"/>
          <w:szCs w:val="24"/>
        </w:rPr>
        <w:t>电    话：</w:t>
      </w:r>
      <w:r>
        <w:rPr>
          <w:rFonts w:hint="eastAsia" w:ascii="宋体" w:hAnsi="宋体" w:cs="宋体"/>
          <w:kern w:val="0"/>
          <w:sz w:val="24"/>
          <w:szCs w:val="24"/>
        </w:rPr>
        <w:t>13949880890</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ascii="宋体" w:hAnsi="宋体" w:cs="宋体"/>
          <w:kern w:val="0"/>
          <w:sz w:val="24"/>
          <w:szCs w:val="24"/>
        </w:rPr>
        <w:t>代理机构：</w:t>
      </w:r>
      <w:r>
        <w:rPr>
          <w:rFonts w:hint="eastAsia" w:ascii="宋体" w:hAnsi="宋体" w:cs="宋体"/>
          <w:kern w:val="0"/>
          <w:sz w:val="24"/>
          <w:szCs w:val="24"/>
        </w:rPr>
        <w:t>河南省地标工程管理有限公司</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项目负责人：宁波</w:t>
      </w:r>
    </w:p>
    <w:p>
      <w:pPr>
        <w:autoSpaceDE w:val="0"/>
        <w:autoSpaceDN w:val="0"/>
        <w:adjustRightInd w:val="0"/>
        <w:spacing w:line="380" w:lineRule="exact"/>
        <w:ind w:firstLine="480" w:firstLineChars="200"/>
        <w:jc w:val="left"/>
        <w:outlineLvl w:val="0"/>
        <w:rPr>
          <w:rFonts w:hAnsi="宋体" w:cs="宋体"/>
          <w:kern w:val="0"/>
          <w:sz w:val="24"/>
          <w:szCs w:val="24"/>
        </w:rPr>
      </w:pPr>
      <w:r>
        <w:rPr>
          <w:rFonts w:hint="eastAsia" w:ascii="宋体" w:hAnsi="宋体" w:cs="宋体"/>
          <w:kern w:val="0"/>
          <w:sz w:val="24"/>
          <w:szCs w:val="24"/>
        </w:rPr>
        <w:t>电    话：15617252001</w:t>
      </w:r>
    </w:p>
    <w:p>
      <w:pPr>
        <w:pStyle w:val="2"/>
        <w:ind w:firstLine="5280" w:firstLineChars="2200"/>
        <w:rPr>
          <w:rFonts w:hAnsi="宋体" w:cs="宋体"/>
          <w:sz w:val="24"/>
          <w:szCs w:val="24"/>
        </w:rPr>
      </w:pPr>
    </w:p>
    <w:p>
      <w:pPr>
        <w:pStyle w:val="2"/>
        <w:ind w:firstLine="5280" w:firstLineChars="2200"/>
        <w:rPr>
          <w:rFonts w:hAnsi="宋体" w:cs="宋体"/>
          <w:sz w:val="24"/>
          <w:szCs w:val="24"/>
        </w:rPr>
      </w:pPr>
    </w:p>
    <w:p>
      <w:pPr>
        <w:pStyle w:val="2"/>
        <w:ind w:firstLine="5280" w:firstLineChars="2200"/>
        <w:rPr>
          <w:rFonts w:hAnsi="宋体" w:cs="宋体"/>
          <w:sz w:val="24"/>
          <w:szCs w:val="24"/>
        </w:rPr>
      </w:pPr>
      <w:r>
        <w:rPr>
          <w:rFonts w:hint="eastAsia" w:hAnsi="宋体" w:cs="宋体"/>
          <w:sz w:val="24"/>
          <w:szCs w:val="24"/>
        </w:rPr>
        <w:t>许昌兴安城市投资开发有限公司</w:t>
      </w:r>
    </w:p>
    <w:p>
      <w:pPr>
        <w:pStyle w:val="2"/>
        <w:ind w:firstLine="6240" w:firstLineChars="2600"/>
        <w:rPr>
          <w:rFonts w:hAnsi="宋体" w:cs="宋体"/>
          <w:sz w:val="24"/>
          <w:szCs w:val="24"/>
        </w:rPr>
      </w:pPr>
      <w:r>
        <w:rPr>
          <w:rFonts w:hint="eastAsia" w:hAnsi="宋体" w:cs="宋体"/>
          <w:sz w:val="24"/>
          <w:szCs w:val="24"/>
        </w:rPr>
        <w:t>2018年2月</w:t>
      </w:r>
      <w:r>
        <w:rPr>
          <w:rFonts w:hint="eastAsia" w:hAnsi="宋体" w:cs="宋体"/>
          <w:sz w:val="24"/>
          <w:szCs w:val="24"/>
          <w:lang w:val="en-US" w:eastAsia="zh-CN"/>
        </w:rPr>
        <w:t>8</w:t>
      </w:r>
      <w:r>
        <w:rPr>
          <w:rFonts w:hint="eastAsia" w:hAnsi="宋体" w:cs="宋体"/>
          <w:sz w:val="24"/>
          <w:szCs w:val="24"/>
        </w:rPr>
        <w:t>日</w:t>
      </w:r>
    </w:p>
    <w:p>
      <w:pPr>
        <w:pStyle w:val="2"/>
        <w:ind w:firstLine="6240" w:firstLineChars="2600"/>
        <w:rPr>
          <w:rFonts w:hAnsi="宋体" w:cs="宋体"/>
          <w:sz w:val="24"/>
          <w:szCs w:val="24"/>
        </w:rPr>
      </w:pPr>
    </w:p>
    <w:p>
      <w:pPr>
        <w:pStyle w:val="2"/>
        <w:ind w:firstLine="6240" w:firstLineChars="2600"/>
        <w:rPr>
          <w:rFonts w:hAnsi="宋体" w:cs="宋体"/>
          <w:sz w:val="24"/>
          <w:szCs w:val="24"/>
        </w:rPr>
      </w:pPr>
    </w:p>
    <w:p>
      <w:pPr>
        <w:pStyle w:val="2"/>
        <w:ind w:firstLine="6240" w:firstLineChars="2600"/>
        <w:rPr>
          <w:rFonts w:hAnsi="宋体" w:cs="宋体"/>
          <w:sz w:val="24"/>
          <w:szCs w:val="24"/>
        </w:rPr>
      </w:pPr>
    </w:p>
    <w:p>
      <w:pPr>
        <w:pStyle w:val="2"/>
        <w:ind w:firstLine="6240" w:firstLineChars="2600"/>
        <w:rPr>
          <w:rFonts w:hAnsi="宋体" w:cs="宋体"/>
          <w:sz w:val="24"/>
          <w:szCs w:val="24"/>
        </w:rPr>
      </w:pPr>
    </w:p>
    <w:p>
      <w:pPr>
        <w:pStyle w:val="2"/>
        <w:ind w:firstLine="0" w:firstLineChars="0"/>
        <w:rPr>
          <w:rFonts w:hAnsi="宋体" w:cs="宋体"/>
          <w:b/>
          <w:sz w:val="32"/>
          <w:szCs w:val="32"/>
        </w:rPr>
      </w:pPr>
    </w:p>
    <w:p>
      <w:pPr>
        <w:pStyle w:val="2"/>
        <w:ind w:firstLine="0" w:firstLineChars="0"/>
        <w:rPr>
          <w:rFonts w:hAnsi="宋体" w:cs="宋体"/>
          <w:b/>
          <w:sz w:val="32"/>
          <w:szCs w:val="32"/>
        </w:rPr>
      </w:pPr>
    </w:p>
    <w:p>
      <w:pPr>
        <w:autoSpaceDE w:val="0"/>
        <w:autoSpaceDN w:val="0"/>
        <w:adjustRightInd w:val="0"/>
        <w:jc w:val="center"/>
        <w:rPr>
          <w:rFonts w:ascii="宋体" w:hAnsi="宋体" w:cs="宋体"/>
          <w:b/>
          <w:kern w:val="0"/>
          <w:sz w:val="32"/>
          <w:szCs w:val="32"/>
        </w:rPr>
      </w:pPr>
      <w:r>
        <w:rPr>
          <w:rFonts w:hint="eastAsia" w:ascii="宋体" w:hAnsi="宋体" w:cs="宋体"/>
          <w:b/>
          <w:kern w:val="0"/>
          <w:sz w:val="32"/>
          <w:szCs w:val="32"/>
        </w:rPr>
        <w:t>第二章 投标人须知</w:t>
      </w:r>
      <w:bookmarkEnd w:id="1"/>
    </w:p>
    <w:p>
      <w:pPr>
        <w:spacing w:line="340" w:lineRule="exact"/>
        <w:jc w:val="center"/>
        <w:rPr>
          <w:rFonts w:ascii="宋体" w:hAnsi="宋体" w:cs="宋体"/>
          <w:b/>
          <w:sz w:val="22"/>
          <w:szCs w:val="22"/>
        </w:rPr>
      </w:pPr>
      <w:bookmarkStart w:id="2" w:name="_Toc152045528"/>
      <w:bookmarkStart w:id="3" w:name="_Toc357269258"/>
      <w:bookmarkStart w:id="4" w:name="_Toc144974496"/>
      <w:bookmarkStart w:id="5" w:name="_Toc357267818"/>
      <w:bookmarkStart w:id="6" w:name="_Toc152042304"/>
      <w:bookmarkStart w:id="7" w:name="_Toc357267773"/>
      <w:bookmarkStart w:id="8" w:name="_Toc179632545"/>
      <w:bookmarkStart w:id="9" w:name="_Toc215282127"/>
      <w:r>
        <w:rPr>
          <w:rFonts w:hint="eastAsia" w:ascii="宋体" w:hAnsi="宋体" w:cs="宋体"/>
          <w:b/>
          <w:sz w:val="22"/>
          <w:szCs w:val="22"/>
        </w:rPr>
        <w:t>投标人须知前附表</w:t>
      </w:r>
      <w:bookmarkEnd w:id="2"/>
      <w:bookmarkEnd w:id="3"/>
      <w:bookmarkEnd w:id="4"/>
      <w:bookmarkEnd w:id="5"/>
      <w:bookmarkEnd w:id="6"/>
      <w:bookmarkEnd w:id="7"/>
      <w:bookmarkEnd w:id="8"/>
    </w:p>
    <w:tbl>
      <w:tblPr>
        <w:tblStyle w:val="50"/>
        <w:tblW w:w="10133" w:type="dxa"/>
        <w:jc w:val="center"/>
        <w:tblInd w:w="0" w:type="dxa"/>
        <w:tblLayout w:type="fixed"/>
        <w:tblCellMar>
          <w:top w:w="0" w:type="dxa"/>
          <w:left w:w="108" w:type="dxa"/>
          <w:bottom w:w="0" w:type="dxa"/>
          <w:right w:w="108" w:type="dxa"/>
        </w:tblCellMar>
      </w:tblPr>
      <w:tblGrid>
        <w:gridCol w:w="899"/>
        <w:gridCol w:w="3654"/>
        <w:gridCol w:w="5580"/>
      </w:tblGrid>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b/>
                <w:kern w:val="0"/>
                <w:sz w:val="22"/>
                <w:szCs w:val="22"/>
              </w:rPr>
            </w:pPr>
            <w:r>
              <w:rPr>
                <w:rFonts w:hint="eastAsia" w:ascii="宋体" w:hAnsi="宋体" w:cs="宋体"/>
                <w:b/>
                <w:kern w:val="0"/>
                <w:sz w:val="22"/>
                <w:szCs w:val="22"/>
              </w:rPr>
              <w:t>条款号</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b/>
                <w:kern w:val="0"/>
                <w:sz w:val="22"/>
                <w:szCs w:val="22"/>
              </w:rPr>
            </w:pPr>
            <w:r>
              <w:rPr>
                <w:rFonts w:hint="eastAsia" w:ascii="宋体" w:hAnsi="宋体" w:cs="宋体"/>
                <w:b/>
                <w:kern w:val="0"/>
                <w:sz w:val="22"/>
                <w:szCs w:val="22"/>
              </w:rPr>
              <w:t>条  款  名  称</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b/>
                <w:kern w:val="0"/>
                <w:sz w:val="22"/>
                <w:szCs w:val="22"/>
              </w:rPr>
            </w:pPr>
            <w:r>
              <w:rPr>
                <w:rFonts w:hint="eastAsia" w:ascii="宋体" w:hAnsi="宋体" w:cs="宋体"/>
                <w:b/>
                <w:kern w:val="0"/>
                <w:sz w:val="22"/>
                <w:szCs w:val="22"/>
              </w:rPr>
              <w:t>编  列  内  容</w:t>
            </w:r>
          </w:p>
        </w:tc>
      </w:tr>
      <w:tr>
        <w:tblPrEx>
          <w:tblLayout w:type="fixed"/>
          <w:tblCellMar>
            <w:top w:w="0" w:type="dxa"/>
            <w:left w:w="108" w:type="dxa"/>
            <w:bottom w:w="0" w:type="dxa"/>
            <w:right w:w="108" w:type="dxa"/>
          </w:tblCellMar>
        </w:tblPrEx>
        <w:trPr>
          <w:trHeight w:val="288"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1.1.1</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招   标   人</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kern w:val="0"/>
                <w:sz w:val="22"/>
                <w:szCs w:val="22"/>
              </w:rPr>
            </w:pPr>
            <w:r>
              <w:rPr>
                <w:rFonts w:hint="eastAsia" w:ascii="宋体" w:hAnsi="宋体" w:cs="宋体"/>
                <w:kern w:val="0"/>
                <w:sz w:val="22"/>
                <w:szCs w:val="22"/>
              </w:rPr>
              <w:t xml:space="preserve">许昌兴安城市投资开发有限公司 </w:t>
            </w:r>
          </w:p>
        </w:tc>
      </w:tr>
      <w:tr>
        <w:tblPrEx>
          <w:tblLayout w:type="fixed"/>
          <w:tblCellMar>
            <w:top w:w="0" w:type="dxa"/>
            <w:left w:w="108" w:type="dxa"/>
            <w:bottom w:w="0" w:type="dxa"/>
            <w:right w:w="108" w:type="dxa"/>
          </w:tblCellMar>
        </w:tblPrEx>
        <w:trPr>
          <w:trHeight w:val="3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1.1.2</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项 目 名 称</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新元大道东段拓宽提质工程（建安区段）二次</w:t>
            </w:r>
          </w:p>
        </w:tc>
      </w:tr>
      <w:tr>
        <w:tblPrEx>
          <w:tblLayout w:type="fixed"/>
          <w:tblCellMar>
            <w:top w:w="0" w:type="dxa"/>
            <w:left w:w="108" w:type="dxa"/>
            <w:bottom w:w="0" w:type="dxa"/>
            <w:right w:w="108" w:type="dxa"/>
          </w:tblCellMar>
        </w:tblPrEx>
        <w:trPr>
          <w:trHeight w:val="435"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1.1.3</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建 设 地 点</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许昌市建安区</w:t>
            </w:r>
          </w:p>
        </w:tc>
      </w:tr>
      <w:tr>
        <w:tblPrEx>
          <w:tblLayout w:type="fixed"/>
          <w:tblCellMar>
            <w:top w:w="0" w:type="dxa"/>
            <w:left w:w="108" w:type="dxa"/>
            <w:bottom w:w="0" w:type="dxa"/>
            <w:right w:w="108" w:type="dxa"/>
          </w:tblCellMar>
        </w:tblPrEx>
        <w:trPr>
          <w:trHeight w:val="42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1.2.1</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资 金 来 源</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kern w:val="0"/>
                <w:sz w:val="22"/>
                <w:szCs w:val="22"/>
              </w:rPr>
            </w:pPr>
            <w:r>
              <w:rPr>
                <w:rFonts w:hint="eastAsia" w:ascii="宋体" w:hAnsi="宋体" w:cs="宋体"/>
                <w:kern w:val="0"/>
                <w:sz w:val="22"/>
                <w:szCs w:val="22"/>
              </w:rPr>
              <w:t xml:space="preserve">财政投资 </w:t>
            </w:r>
          </w:p>
        </w:tc>
      </w:tr>
      <w:tr>
        <w:tblPrEx>
          <w:tblLayout w:type="fixed"/>
          <w:tblCellMar>
            <w:top w:w="0" w:type="dxa"/>
            <w:left w:w="108" w:type="dxa"/>
            <w:bottom w:w="0" w:type="dxa"/>
            <w:right w:w="108" w:type="dxa"/>
          </w:tblCellMar>
        </w:tblPrEx>
        <w:trPr>
          <w:trHeight w:val="42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1.2.2</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资金落实情况</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已落实</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1.2.3</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批 准 文 号</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建安发改审批[2017]46号</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1.3.1</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招 标 范 围</w:t>
            </w:r>
          </w:p>
        </w:tc>
        <w:tc>
          <w:tcPr>
            <w:tcW w:w="5580" w:type="dxa"/>
            <w:tcBorders>
              <w:top w:val="single" w:color="auto" w:sz="4" w:space="0"/>
              <w:left w:val="single" w:color="auto" w:sz="4" w:space="0"/>
              <w:bottom w:val="single" w:color="auto" w:sz="4" w:space="0"/>
              <w:right w:val="single" w:color="auto" w:sz="4" w:space="0"/>
            </w:tcBorders>
          </w:tcPr>
          <w:p>
            <w:pPr>
              <w:widowControl/>
              <w:spacing w:line="340" w:lineRule="exact"/>
              <w:jc w:val="left"/>
              <w:rPr>
                <w:rFonts w:ascii="宋体" w:hAnsi="宋体" w:cs="宋体"/>
                <w:sz w:val="22"/>
                <w:szCs w:val="22"/>
              </w:rPr>
            </w:pPr>
            <w:r>
              <w:rPr>
                <w:rFonts w:hint="eastAsia" w:ascii="宋体" w:hAnsi="宋体" w:cs="宋体"/>
                <w:sz w:val="22"/>
                <w:szCs w:val="22"/>
              </w:rPr>
              <w:t>招标文件、设计方案所含范围、答疑纪要（如有）。</w:t>
            </w:r>
          </w:p>
        </w:tc>
      </w:tr>
      <w:tr>
        <w:tblPrEx>
          <w:tblLayout w:type="fixed"/>
          <w:tblCellMar>
            <w:top w:w="0" w:type="dxa"/>
            <w:left w:w="108" w:type="dxa"/>
            <w:bottom w:w="0" w:type="dxa"/>
            <w:right w:w="108" w:type="dxa"/>
          </w:tblCellMar>
        </w:tblPrEx>
        <w:trPr>
          <w:trHeight w:val="511"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1.3.2</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计 划 工 期</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kern w:val="0"/>
                <w:sz w:val="22"/>
                <w:szCs w:val="22"/>
              </w:rPr>
              <w:t>180日历天</w:t>
            </w:r>
          </w:p>
        </w:tc>
      </w:tr>
      <w:tr>
        <w:tblPrEx>
          <w:tblLayout w:type="fixed"/>
          <w:tblCellMar>
            <w:top w:w="0" w:type="dxa"/>
            <w:left w:w="108" w:type="dxa"/>
            <w:bottom w:w="0" w:type="dxa"/>
            <w:right w:w="108" w:type="dxa"/>
          </w:tblCellMar>
        </w:tblPrEx>
        <w:trPr>
          <w:trHeight w:val="48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1.3.3</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质 量 要 求</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kern w:val="0"/>
                <w:sz w:val="22"/>
                <w:szCs w:val="22"/>
              </w:rPr>
            </w:pPr>
            <w:r>
              <w:rPr>
                <w:rFonts w:hint="eastAsia" w:ascii="宋体" w:hAnsi="宋体" w:cs="宋体"/>
                <w:kern w:val="0"/>
                <w:sz w:val="22"/>
                <w:szCs w:val="22"/>
              </w:rPr>
              <w:t>达到国家建设工程质量验收的规范和标准（合格）。</w:t>
            </w:r>
          </w:p>
        </w:tc>
      </w:tr>
      <w:tr>
        <w:tblPrEx>
          <w:tblLayout w:type="fixed"/>
          <w:tblCellMar>
            <w:top w:w="0" w:type="dxa"/>
            <w:left w:w="108" w:type="dxa"/>
            <w:bottom w:w="0" w:type="dxa"/>
            <w:right w:w="108" w:type="dxa"/>
          </w:tblCellMar>
        </w:tblPrEx>
        <w:trPr>
          <w:trHeight w:val="316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40" w:lineRule="exact"/>
              <w:jc w:val="center"/>
              <w:rPr>
                <w:rFonts w:ascii="宋体" w:hAnsi="宋体" w:cs="宋体"/>
                <w:kern w:val="0"/>
                <w:sz w:val="22"/>
                <w:szCs w:val="22"/>
              </w:rPr>
            </w:pPr>
            <w:r>
              <w:rPr>
                <w:rFonts w:hAnsi="宋体" w:cs="TimesNewRomanPSMT"/>
                <w:color w:val="000000"/>
                <w:sz w:val="24"/>
              </w:rPr>
              <w:t>1.4.1</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投标人资质条件</w:t>
            </w:r>
          </w:p>
        </w:tc>
        <w:tc>
          <w:tcPr>
            <w:tcW w:w="5580" w:type="dxa"/>
            <w:tcBorders>
              <w:top w:val="single" w:color="auto" w:sz="4" w:space="0"/>
              <w:left w:val="single" w:color="auto" w:sz="4" w:space="0"/>
              <w:bottom w:val="single" w:color="auto" w:sz="4" w:space="0"/>
              <w:right w:val="single" w:color="auto" w:sz="4" w:space="0"/>
            </w:tcBorders>
          </w:tcPr>
          <w:p>
            <w:pPr>
              <w:spacing w:line="340" w:lineRule="exact"/>
              <w:rPr>
                <w:kern w:val="0"/>
                <w:sz w:val="22"/>
                <w:szCs w:val="22"/>
              </w:rPr>
            </w:pPr>
            <w:r>
              <w:rPr>
                <w:rFonts w:hint="eastAsia"/>
                <w:kern w:val="0"/>
                <w:sz w:val="22"/>
                <w:szCs w:val="22"/>
              </w:rPr>
              <w:t xml:space="preserve">1、须具备独立的法人资格； </w:t>
            </w:r>
          </w:p>
          <w:p>
            <w:pPr>
              <w:spacing w:line="340" w:lineRule="exact"/>
              <w:rPr>
                <w:kern w:val="0"/>
                <w:sz w:val="22"/>
                <w:szCs w:val="22"/>
              </w:rPr>
            </w:pPr>
            <w:r>
              <w:rPr>
                <w:rFonts w:hint="eastAsia"/>
                <w:kern w:val="0"/>
                <w:sz w:val="22"/>
                <w:szCs w:val="22"/>
              </w:rPr>
              <w:t>2、须具备建设行政主管部门颁发的市政公用工程施工总承包壹级及以上资质，且具备有效的安全生产许可证；</w:t>
            </w:r>
          </w:p>
          <w:p>
            <w:pPr>
              <w:spacing w:line="340" w:lineRule="exact"/>
              <w:rPr>
                <w:kern w:val="0"/>
                <w:sz w:val="22"/>
                <w:szCs w:val="22"/>
              </w:rPr>
            </w:pPr>
            <w:r>
              <w:rPr>
                <w:rFonts w:hint="eastAsia"/>
                <w:kern w:val="0"/>
                <w:sz w:val="22"/>
                <w:szCs w:val="22"/>
              </w:rPr>
              <w:t>3、拟派项目经理须具备市政公用工程专业壹级建造师资格，并具备有效的安全生产考核合格证书，且未担任其他在施建设工程项目；</w:t>
            </w:r>
          </w:p>
          <w:p>
            <w:pPr>
              <w:spacing w:line="340" w:lineRule="exact"/>
              <w:rPr>
                <w:kern w:val="0"/>
                <w:sz w:val="22"/>
                <w:szCs w:val="22"/>
              </w:rPr>
            </w:pPr>
            <w:r>
              <w:rPr>
                <w:rFonts w:hint="eastAsia"/>
                <w:kern w:val="0"/>
                <w:sz w:val="22"/>
                <w:szCs w:val="22"/>
              </w:rPr>
              <w:t>4、自2015年以来在经营活动中没有重大违法记录（以检察机关出具的查询行贿犯罪档案结果告知函为准）；</w:t>
            </w:r>
          </w:p>
          <w:p>
            <w:pPr>
              <w:spacing w:line="340" w:lineRule="exact"/>
              <w:rPr>
                <w:kern w:val="0"/>
                <w:sz w:val="22"/>
                <w:szCs w:val="22"/>
              </w:rPr>
            </w:pPr>
            <w:r>
              <w:rPr>
                <w:rFonts w:hint="eastAsia"/>
                <w:kern w:val="0"/>
                <w:sz w:val="22"/>
                <w:szCs w:val="22"/>
              </w:rPr>
              <w:t>5、不接受失信被执行人的投标；</w:t>
            </w:r>
          </w:p>
          <w:p>
            <w:pPr>
              <w:spacing w:line="340" w:lineRule="exact"/>
              <w:rPr>
                <w:kern w:val="0"/>
                <w:sz w:val="22"/>
                <w:szCs w:val="22"/>
              </w:rPr>
            </w:pPr>
            <w:r>
              <w:rPr>
                <w:rFonts w:hint="eastAsia"/>
                <w:kern w:val="0"/>
                <w:sz w:val="22"/>
                <w:szCs w:val="22"/>
              </w:rPr>
              <w:t>6、本次招标实行资格后审。</w:t>
            </w:r>
          </w:p>
        </w:tc>
      </w:tr>
      <w:tr>
        <w:tblPrEx>
          <w:tblLayout w:type="fixed"/>
          <w:tblCellMar>
            <w:top w:w="0" w:type="dxa"/>
            <w:left w:w="108" w:type="dxa"/>
            <w:bottom w:w="0" w:type="dxa"/>
            <w:right w:w="108" w:type="dxa"/>
          </w:tblCellMar>
        </w:tblPrEx>
        <w:trPr>
          <w:trHeight w:val="150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1.4.2</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招标文件的获取</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kern w:val="0"/>
                <w:sz w:val="22"/>
                <w:szCs w:val="22"/>
              </w:rPr>
            </w:pPr>
            <w:r>
              <w:rPr>
                <w:rFonts w:hint="eastAsia"/>
                <w:kern w:val="0"/>
                <w:sz w:val="22"/>
                <w:szCs w:val="22"/>
              </w:rPr>
              <w:t>1、投标人于投标文件递交截止时间前均可在【全国公共资源交易平台（河南省·许昌市）】自行下载。</w:t>
            </w:r>
          </w:p>
          <w:p>
            <w:pPr>
              <w:spacing w:line="340" w:lineRule="exact"/>
              <w:rPr>
                <w:kern w:val="0"/>
                <w:sz w:val="22"/>
                <w:szCs w:val="22"/>
              </w:rPr>
            </w:pPr>
            <w:r>
              <w:rPr>
                <w:rFonts w:hint="eastAsia"/>
                <w:kern w:val="0"/>
                <w:sz w:val="22"/>
                <w:szCs w:val="22"/>
              </w:rPr>
              <w:t>2、投标人在递交投标文件时向代理机构缴纳招标文件费用，本项目招标文件每套售价300元，售后不退。</w:t>
            </w:r>
          </w:p>
        </w:tc>
      </w:tr>
      <w:tr>
        <w:tblPrEx>
          <w:tblLayout w:type="fixed"/>
          <w:tblCellMar>
            <w:top w:w="0" w:type="dxa"/>
            <w:left w:w="108" w:type="dxa"/>
            <w:bottom w:w="0" w:type="dxa"/>
            <w:right w:w="108" w:type="dxa"/>
          </w:tblCellMar>
        </w:tblPrEx>
        <w:trPr>
          <w:trHeight w:val="85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1.5</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投标人提出问题的截止时间</w:t>
            </w:r>
          </w:p>
        </w:tc>
        <w:tc>
          <w:tcPr>
            <w:tcW w:w="5580"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kern w:val="0"/>
                <w:sz w:val="22"/>
                <w:szCs w:val="22"/>
                <w:highlight w:val="yellow"/>
              </w:rPr>
            </w:pPr>
            <w:r>
              <w:rPr>
                <w:rFonts w:hint="eastAsia" w:ascii="宋体" w:hAnsi="宋体" w:cs="宋体"/>
                <w:kern w:val="0"/>
                <w:sz w:val="22"/>
                <w:szCs w:val="22"/>
              </w:rPr>
              <w:t>对招标文件有异议的，应在投标截止时间</w:t>
            </w:r>
            <w:r>
              <w:rPr>
                <w:rFonts w:hint="eastAsia" w:ascii="宋体" w:hAnsi="宋体" w:cs="宋体"/>
                <w:kern w:val="0"/>
                <w:sz w:val="22"/>
                <w:szCs w:val="22"/>
                <w:u w:val="single"/>
              </w:rPr>
              <w:t>10</w:t>
            </w:r>
            <w:r>
              <w:rPr>
                <w:rFonts w:hint="eastAsia" w:ascii="宋体" w:hAnsi="宋体" w:cs="宋体"/>
                <w:kern w:val="0"/>
                <w:sz w:val="22"/>
                <w:szCs w:val="22"/>
              </w:rPr>
              <w:t>日前将疑问通过</w:t>
            </w:r>
            <w:r>
              <w:rPr>
                <w:rFonts w:hint="eastAsia"/>
                <w:kern w:val="0"/>
                <w:sz w:val="22"/>
                <w:szCs w:val="22"/>
              </w:rPr>
              <w:t>全国公共资源交易平台（河南省·许昌市）</w:t>
            </w:r>
            <w:r>
              <w:rPr>
                <w:rFonts w:hint="eastAsia" w:ascii="宋体" w:hAnsi="宋体" w:cs="宋体"/>
                <w:kern w:val="0"/>
                <w:sz w:val="22"/>
                <w:szCs w:val="22"/>
              </w:rPr>
              <w:t>提交，招标人将通过</w:t>
            </w:r>
            <w:r>
              <w:rPr>
                <w:rFonts w:hint="eastAsia"/>
                <w:kern w:val="0"/>
                <w:sz w:val="22"/>
                <w:szCs w:val="22"/>
              </w:rPr>
              <w:t>全国公共资源交易平台（河南省·许昌市）</w:t>
            </w:r>
            <w:r>
              <w:rPr>
                <w:rFonts w:hint="eastAsia" w:ascii="宋体" w:hAnsi="宋体" w:cs="宋体"/>
                <w:kern w:val="0"/>
                <w:sz w:val="22"/>
                <w:szCs w:val="22"/>
              </w:rPr>
              <w:t>告知各投标人。</w:t>
            </w:r>
          </w:p>
        </w:tc>
      </w:tr>
      <w:tr>
        <w:tblPrEx>
          <w:tblLayout w:type="fixed"/>
          <w:tblCellMar>
            <w:top w:w="0" w:type="dxa"/>
            <w:left w:w="108" w:type="dxa"/>
            <w:bottom w:w="0" w:type="dxa"/>
            <w:right w:w="108" w:type="dxa"/>
          </w:tblCellMar>
        </w:tblPrEx>
        <w:trPr>
          <w:trHeight w:val="495"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1.6</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分     包</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不允许</w:t>
            </w:r>
          </w:p>
        </w:tc>
      </w:tr>
      <w:tr>
        <w:tblPrEx>
          <w:tblLayout w:type="fixed"/>
          <w:tblCellMar>
            <w:top w:w="0" w:type="dxa"/>
            <w:left w:w="108" w:type="dxa"/>
            <w:bottom w:w="0" w:type="dxa"/>
            <w:right w:w="108" w:type="dxa"/>
          </w:tblCellMar>
        </w:tblPrEx>
        <w:trPr>
          <w:trHeight w:val="575"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1.7</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偏     离</w:t>
            </w:r>
          </w:p>
        </w:tc>
        <w:tc>
          <w:tcPr>
            <w:tcW w:w="5580" w:type="dxa"/>
            <w:tcBorders>
              <w:top w:val="single" w:color="auto" w:sz="4" w:space="0"/>
              <w:left w:val="single" w:color="auto" w:sz="4" w:space="0"/>
              <w:bottom w:val="single" w:color="auto" w:sz="4" w:space="0"/>
              <w:right w:val="single" w:color="auto" w:sz="4" w:space="0"/>
            </w:tcBorders>
            <w:vAlign w:val="center"/>
          </w:tcPr>
          <w:p>
            <w:pPr>
              <w:pStyle w:val="19"/>
              <w:spacing w:line="340" w:lineRule="exact"/>
              <w:rPr>
                <w:rFonts w:hAnsi="宋体" w:cs="宋体"/>
                <w:kern w:val="0"/>
                <w:sz w:val="22"/>
                <w:szCs w:val="22"/>
              </w:rPr>
            </w:pPr>
            <w:r>
              <w:rPr>
                <w:rFonts w:hint="eastAsia" w:hAnsi="宋体" w:cs="宋体"/>
                <w:kern w:val="0"/>
                <w:sz w:val="22"/>
                <w:szCs w:val="22"/>
              </w:rPr>
              <w:t>不允许</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2.1</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构成招标文件的其他材料</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经备案的答疑纪要、招标文件的补充和修改文件（如有）。</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2.2.1</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招标人澄清招标文件的截止时间</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投标截止时间10日前</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2.2.2</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投  标  截  止  时  间</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2018年3月1日</w:t>
            </w:r>
            <w:r>
              <w:rPr>
                <w:rFonts w:hint="eastAsia" w:ascii="宋体" w:hAnsi="宋体" w:cs="宋体"/>
                <w:kern w:val="0"/>
                <w:sz w:val="22"/>
                <w:szCs w:val="22"/>
                <w:lang w:val="en-US" w:eastAsia="zh-CN"/>
              </w:rPr>
              <w:t>9</w:t>
            </w:r>
            <w:r>
              <w:rPr>
                <w:rFonts w:hint="eastAsia" w:ascii="宋体" w:hAnsi="宋体" w:cs="宋体"/>
                <w:kern w:val="0"/>
                <w:sz w:val="22"/>
                <w:szCs w:val="22"/>
              </w:rPr>
              <w:t>时</w:t>
            </w:r>
            <w:r>
              <w:rPr>
                <w:rFonts w:hint="eastAsia" w:ascii="宋体" w:hAnsi="宋体" w:cs="宋体"/>
                <w:kern w:val="0"/>
                <w:sz w:val="22"/>
                <w:szCs w:val="22"/>
                <w:lang w:val="en-US" w:eastAsia="zh-CN"/>
              </w:rPr>
              <w:t>3</w:t>
            </w:r>
            <w:r>
              <w:rPr>
                <w:rFonts w:hint="eastAsia" w:ascii="宋体" w:hAnsi="宋体" w:cs="宋体"/>
                <w:kern w:val="0"/>
                <w:sz w:val="22"/>
                <w:szCs w:val="22"/>
              </w:rPr>
              <w:t>0分</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2.2.3</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投标人确认收到招标文件澄清的时间</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投标人在收到相应澄清文件2日内</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2.3.2</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投标人确认收到招标文件修改的时间</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投标人在收到相应修改文件2日内</w:t>
            </w:r>
          </w:p>
        </w:tc>
      </w:tr>
      <w:tr>
        <w:tblPrEx>
          <w:tblLayout w:type="fixed"/>
          <w:tblCellMar>
            <w:top w:w="0" w:type="dxa"/>
            <w:left w:w="108" w:type="dxa"/>
            <w:bottom w:w="0" w:type="dxa"/>
            <w:right w:w="108" w:type="dxa"/>
          </w:tblCellMar>
        </w:tblPrEx>
        <w:trPr>
          <w:trHeight w:val="41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3.1</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构成投标文件的其他材料</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3.2</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投  标  有  效  期</w:t>
            </w:r>
          </w:p>
        </w:tc>
        <w:tc>
          <w:tcPr>
            <w:tcW w:w="5580" w:type="dxa"/>
            <w:tcBorders>
              <w:top w:val="single" w:color="auto" w:sz="4" w:space="0"/>
              <w:left w:val="single" w:color="auto" w:sz="4" w:space="0"/>
              <w:bottom w:val="single" w:color="auto" w:sz="4" w:space="0"/>
              <w:right w:val="single" w:color="auto" w:sz="4" w:space="0"/>
            </w:tcBorders>
          </w:tcPr>
          <w:p>
            <w:pPr>
              <w:spacing w:line="340" w:lineRule="exact"/>
              <w:jc w:val="left"/>
              <w:rPr>
                <w:rFonts w:ascii="宋体" w:hAnsi="宋体" w:cs="宋体"/>
                <w:kern w:val="0"/>
                <w:sz w:val="22"/>
                <w:szCs w:val="22"/>
              </w:rPr>
            </w:pPr>
            <w:r>
              <w:rPr>
                <w:rFonts w:hint="eastAsia" w:ascii="宋体" w:hAnsi="宋体" w:cs="宋体"/>
                <w:kern w:val="0"/>
                <w:sz w:val="22"/>
                <w:szCs w:val="22"/>
              </w:rPr>
              <w:t>在投标文件递交截止日期结束后60天内</w:t>
            </w:r>
          </w:p>
        </w:tc>
      </w:tr>
      <w:tr>
        <w:tblPrEx>
          <w:tblLayout w:type="fixed"/>
          <w:tblCellMar>
            <w:top w:w="0" w:type="dxa"/>
            <w:left w:w="108" w:type="dxa"/>
            <w:bottom w:w="0" w:type="dxa"/>
            <w:right w:w="108" w:type="dxa"/>
          </w:tblCellMar>
        </w:tblPrEx>
        <w:trPr>
          <w:trHeight w:val="714" w:hRule="atLeast"/>
          <w:jc w:val="center"/>
        </w:trPr>
        <w:tc>
          <w:tcPr>
            <w:tcW w:w="899" w:type="dxa"/>
            <w:tcBorders>
              <w:top w:val="single" w:color="auto" w:sz="4" w:space="0"/>
              <w:left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3.3</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投标保证金须知</w:t>
            </w:r>
          </w:p>
        </w:tc>
        <w:tc>
          <w:tcPr>
            <w:tcW w:w="5580" w:type="dxa"/>
            <w:tcBorders>
              <w:top w:val="single" w:color="auto" w:sz="4" w:space="0"/>
              <w:left w:val="single" w:color="auto" w:sz="4" w:space="0"/>
              <w:right w:val="single" w:color="auto" w:sz="4" w:space="0"/>
            </w:tcBorders>
            <w:vAlign w:val="center"/>
          </w:tcPr>
          <w:p>
            <w:pPr>
              <w:autoSpaceDE w:val="0"/>
              <w:autoSpaceDN w:val="0"/>
              <w:adjustRightInd w:val="0"/>
              <w:spacing w:line="276" w:lineRule="auto"/>
              <w:rPr>
                <w:rFonts w:ascii="宋体" w:hAnsi="宋体" w:cs="宋体"/>
                <w:kern w:val="0"/>
                <w:sz w:val="22"/>
                <w:szCs w:val="22"/>
              </w:rPr>
            </w:pPr>
            <w:r>
              <w:rPr>
                <w:rFonts w:hint="eastAsia" w:ascii="宋体" w:hAnsi="宋体" w:cs="宋体"/>
                <w:kern w:val="0"/>
                <w:sz w:val="22"/>
                <w:szCs w:val="22"/>
              </w:rPr>
              <w:t>见附件一</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3.4</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是否允许递交投标备选方案</w:t>
            </w:r>
          </w:p>
        </w:tc>
        <w:tc>
          <w:tcPr>
            <w:tcW w:w="5580"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kern w:val="0"/>
                <w:sz w:val="22"/>
                <w:szCs w:val="22"/>
              </w:rPr>
            </w:pPr>
            <w:r>
              <w:rPr>
                <w:rFonts w:hint="eastAsia" w:ascii="宋体" w:hAnsi="宋体" w:cs="宋体"/>
                <w:kern w:val="0"/>
                <w:sz w:val="22"/>
                <w:szCs w:val="22"/>
              </w:rPr>
              <w:t>不允许</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3.5</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签字或盖章要求</w:t>
            </w:r>
          </w:p>
        </w:tc>
        <w:tc>
          <w:tcPr>
            <w:tcW w:w="5580"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kern w:val="0"/>
                <w:sz w:val="22"/>
                <w:szCs w:val="22"/>
              </w:rPr>
            </w:pPr>
            <w:r>
              <w:rPr>
                <w:rFonts w:hint="eastAsia" w:ascii="宋体" w:hAnsi="宋体" w:cs="宋体"/>
                <w:kern w:val="0"/>
                <w:sz w:val="22"/>
                <w:szCs w:val="22"/>
              </w:rPr>
              <w:t>投标文件封面、投标函及投标函附录均应加盖企业印章，并经法定代表人或其委托代理人签字。</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3.6</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投 标 文 件 份 数</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 xml:space="preserve">正本一份，副本十份； </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3.7</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装  订  要  求</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40" w:firstLineChars="200"/>
              <w:rPr>
                <w:rFonts w:ascii="宋体" w:hAnsi="宋体" w:cs="宋体"/>
                <w:kern w:val="0"/>
                <w:sz w:val="22"/>
                <w:szCs w:val="22"/>
              </w:rPr>
            </w:pPr>
            <w:r>
              <w:rPr>
                <w:rFonts w:hint="eastAsia" w:ascii="宋体" w:hAnsi="宋体" w:cs="宋体"/>
                <w:kern w:val="0"/>
                <w:sz w:val="22"/>
                <w:szCs w:val="22"/>
              </w:rPr>
              <w:t>按照总则第3.1项规定的投标文件组成内容，投标文件应按以下要求装订：</w:t>
            </w:r>
          </w:p>
          <w:p>
            <w:pPr>
              <w:spacing w:line="340" w:lineRule="exact"/>
              <w:ind w:firstLine="440" w:firstLineChars="200"/>
              <w:rPr>
                <w:rFonts w:ascii="宋体" w:hAnsi="宋体" w:cs="宋体"/>
                <w:kern w:val="0"/>
                <w:sz w:val="22"/>
                <w:szCs w:val="22"/>
              </w:rPr>
            </w:pPr>
            <w:r>
              <w:rPr>
                <w:rFonts w:hint="eastAsia" w:ascii="宋体" w:hAnsi="宋体" w:cs="宋体"/>
                <w:kern w:val="0"/>
                <w:sz w:val="22"/>
                <w:szCs w:val="22"/>
              </w:rPr>
              <w:t>共分一种标书综合标。</w:t>
            </w:r>
          </w:p>
          <w:p>
            <w:pPr>
              <w:spacing w:line="340" w:lineRule="exact"/>
              <w:ind w:firstLine="440" w:firstLineChars="200"/>
              <w:rPr>
                <w:rFonts w:ascii="宋体" w:hAnsi="宋体" w:cs="宋体"/>
                <w:kern w:val="0"/>
                <w:sz w:val="22"/>
                <w:szCs w:val="22"/>
                <w:highlight w:val="red"/>
              </w:rPr>
            </w:pPr>
            <w:r>
              <w:rPr>
                <w:rFonts w:hint="eastAsia" w:ascii="宋体" w:hAnsi="宋体" w:cs="宋体"/>
                <w:kern w:val="0"/>
                <w:sz w:val="22"/>
                <w:szCs w:val="22"/>
              </w:rPr>
              <w:t>标书均采用胶装方式装订，装订应牢固、不易拆散和换页，不得采用活页装订。</w:t>
            </w:r>
          </w:p>
        </w:tc>
      </w:tr>
      <w:tr>
        <w:tblPrEx>
          <w:tblLayout w:type="fixed"/>
          <w:tblCellMar>
            <w:top w:w="0" w:type="dxa"/>
            <w:left w:w="108" w:type="dxa"/>
            <w:bottom w:w="0" w:type="dxa"/>
            <w:right w:w="108" w:type="dxa"/>
          </w:tblCellMar>
        </w:tblPrEx>
        <w:trPr>
          <w:trHeight w:val="107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4.1</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封 套 上 写 明</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项目编号：</w:t>
            </w:r>
          </w:p>
          <w:p>
            <w:pPr>
              <w:spacing w:line="340" w:lineRule="exact"/>
              <w:rPr>
                <w:rFonts w:ascii="宋体" w:hAnsi="宋体" w:cs="宋体"/>
                <w:kern w:val="0"/>
                <w:sz w:val="22"/>
                <w:szCs w:val="22"/>
              </w:rPr>
            </w:pPr>
            <w:r>
              <w:rPr>
                <w:rFonts w:hint="eastAsia" w:ascii="宋体" w:hAnsi="宋体" w:cs="宋体"/>
                <w:kern w:val="0"/>
                <w:sz w:val="22"/>
                <w:szCs w:val="22"/>
              </w:rPr>
              <w:t>投标人名称：　</w:t>
            </w:r>
          </w:p>
          <w:p>
            <w:pPr>
              <w:spacing w:line="340" w:lineRule="exact"/>
              <w:rPr>
                <w:rFonts w:ascii="宋体" w:hAnsi="宋体" w:cs="宋体"/>
                <w:kern w:val="0"/>
                <w:sz w:val="22"/>
                <w:szCs w:val="22"/>
              </w:rPr>
            </w:pPr>
            <w:r>
              <w:rPr>
                <w:rFonts w:hint="eastAsia" w:ascii="宋体" w:hAnsi="宋体" w:cs="宋体"/>
                <w:kern w:val="0"/>
                <w:sz w:val="22"/>
                <w:szCs w:val="22"/>
              </w:rPr>
              <w:t>（工程名称）投标文件</w:t>
            </w:r>
          </w:p>
          <w:p>
            <w:pPr>
              <w:spacing w:line="340" w:lineRule="exact"/>
              <w:rPr>
                <w:rFonts w:ascii="宋体" w:hAnsi="宋体" w:cs="宋体"/>
                <w:kern w:val="0"/>
                <w:sz w:val="24"/>
                <w:u w:val="single"/>
              </w:rPr>
            </w:pPr>
            <w:r>
              <w:rPr>
                <w:rFonts w:hint="eastAsia" w:ascii="宋体" w:hAnsi="宋体" w:cs="宋体"/>
                <w:kern w:val="0"/>
                <w:sz w:val="22"/>
                <w:szCs w:val="22"/>
              </w:rPr>
              <w:t xml:space="preserve">      在2018年3月1日</w:t>
            </w:r>
            <w:r>
              <w:rPr>
                <w:rFonts w:hint="eastAsia" w:ascii="宋体" w:hAnsi="宋体" w:cs="宋体"/>
                <w:kern w:val="0"/>
                <w:sz w:val="22"/>
                <w:szCs w:val="22"/>
                <w:lang w:val="en-US" w:eastAsia="zh-CN"/>
              </w:rPr>
              <w:t>9</w:t>
            </w:r>
            <w:r>
              <w:rPr>
                <w:rFonts w:hint="eastAsia" w:ascii="宋体" w:hAnsi="宋体" w:cs="宋体"/>
                <w:kern w:val="0"/>
                <w:sz w:val="22"/>
                <w:szCs w:val="22"/>
              </w:rPr>
              <w:t>时</w:t>
            </w:r>
            <w:r>
              <w:rPr>
                <w:rFonts w:hint="eastAsia" w:ascii="宋体" w:hAnsi="宋体" w:cs="宋体"/>
                <w:kern w:val="0"/>
                <w:sz w:val="22"/>
                <w:szCs w:val="22"/>
                <w:lang w:val="en-US" w:eastAsia="zh-CN"/>
              </w:rPr>
              <w:t>3</w:t>
            </w:r>
            <w:r>
              <w:rPr>
                <w:rFonts w:hint="eastAsia" w:ascii="宋体" w:hAnsi="宋体" w:cs="宋体"/>
                <w:kern w:val="0"/>
                <w:sz w:val="22"/>
                <w:szCs w:val="22"/>
              </w:rPr>
              <w:t>0分前不得开启。</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4.2</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是否退还投标文件</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ind w:firstLine="990" w:firstLineChars="450"/>
              <w:rPr>
                <w:rFonts w:ascii="宋体" w:hAnsi="宋体" w:cs="宋体"/>
                <w:kern w:val="0"/>
                <w:sz w:val="22"/>
                <w:szCs w:val="22"/>
              </w:rPr>
            </w:pPr>
            <w:r>
              <w:rPr>
                <w:rFonts w:hint="eastAsia" w:ascii="宋体" w:hAnsi="宋体" w:cs="宋体"/>
                <w:kern w:val="0"/>
                <w:sz w:val="22"/>
                <w:szCs w:val="22"/>
              </w:rPr>
              <w:t>否</w:t>
            </w:r>
          </w:p>
        </w:tc>
      </w:tr>
      <w:tr>
        <w:tblPrEx>
          <w:tblLayout w:type="fixed"/>
          <w:tblCellMar>
            <w:top w:w="0" w:type="dxa"/>
            <w:left w:w="108" w:type="dxa"/>
            <w:bottom w:w="0" w:type="dxa"/>
            <w:right w:w="108" w:type="dxa"/>
          </w:tblCellMar>
        </w:tblPrEx>
        <w:trPr>
          <w:trHeight w:val="656"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5.1</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开标时间和地点</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开标时间：2018年3月1日</w:t>
            </w:r>
            <w:r>
              <w:rPr>
                <w:rFonts w:hint="eastAsia" w:ascii="宋体" w:hAnsi="宋体" w:cs="宋体"/>
                <w:kern w:val="0"/>
                <w:sz w:val="22"/>
                <w:szCs w:val="22"/>
                <w:lang w:val="en-US" w:eastAsia="zh-CN"/>
              </w:rPr>
              <w:t>9</w:t>
            </w:r>
            <w:r>
              <w:rPr>
                <w:rFonts w:hint="eastAsia" w:ascii="宋体" w:hAnsi="宋体" w:cs="宋体"/>
                <w:kern w:val="0"/>
                <w:sz w:val="22"/>
                <w:szCs w:val="22"/>
              </w:rPr>
              <w:t>时</w:t>
            </w:r>
            <w:r>
              <w:rPr>
                <w:rFonts w:hint="eastAsia" w:ascii="宋体" w:hAnsi="宋体" w:cs="宋体"/>
                <w:kern w:val="0"/>
                <w:sz w:val="22"/>
                <w:szCs w:val="22"/>
                <w:lang w:val="en-US" w:eastAsia="zh-CN"/>
              </w:rPr>
              <w:t>3</w:t>
            </w:r>
            <w:r>
              <w:rPr>
                <w:rFonts w:hint="eastAsia" w:ascii="宋体" w:hAnsi="宋体" w:cs="宋体"/>
                <w:kern w:val="0"/>
                <w:sz w:val="22"/>
                <w:szCs w:val="22"/>
              </w:rPr>
              <w:t>0分</w:t>
            </w:r>
          </w:p>
          <w:p>
            <w:pPr>
              <w:spacing w:line="340" w:lineRule="exact"/>
              <w:rPr>
                <w:rFonts w:ascii="宋体" w:hAnsi="宋体" w:cs="宋体"/>
                <w:kern w:val="0"/>
                <w:sz w:val="22"/>
                <w:szCs w:val="22"/>
              </w:rPr>
            </w:pPr>
            <w:r>
              <w:rPr>
                <w:rFonts w:hint="eastAsia" w:ascii="宋体" w:hAnsi="宋体" w:cs="宋体"/>
                <w:kern w:val="0"/>
                <w:sz w:val="22"/>
                <w:szCs w:val="22"/>
              </w:rPr>
              <w:t>开标地点：新元大道兴业大厦4楼4167室</w:t>
            </w:r>
          </w:p>
        </w:tc>
      </w:tr>
      <w:tr>
        <w:tblPrEx>
          <w:tblLayout w:type="fixed"/>
          <w:tblCellMar>
            <w:top w:w="0" w:type="dxa"/>
            <w:left w:w="108" w:type="dxa"/>
            <w:bottom w:w="0" w:type="dxa"/>
            <w:right w:w="108" w:type="dxa"/>
          </w:tblCellMar>
        </w:tblPrEx>
        <w:trPr>
          <w:trHeight w:val="381"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5.2</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开  标  程  序</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密封情况检查：由投标人代表检查其投标文件是否密封完好。</w:t>
            </w:r>
          </w:p>
          <w:p>
            <w:pPr>
              <w:spacing w:line="340" w:lineRule="exact"/>
              <w:rPr>
                <w:rFonts w:ascii="宋体" w:hAnsi="宋体" w:cs="宋体"/>
                <w:kern w:val="0"/>
                <w:sz w:val="22"/>
                <w:szCs w:val="22"/>
              </w:rPr>
            </w:pPr>
            <w:r>
              <w:rPr>
                <w:rFonts w:hint="eastAsia" w:ascii="宋体" w:hAnsi="宋体" w:cs="宋体"/>
                <w:kern w:val="0"/>
                <w:sz w:val="22"/>
                <w:szCs w:val="22"/>
              </w:rPr>
              <w:t>开标顺序：按送达投标文件的逆顺序开标。</w:t>
            </w:r>
          </w:p>
        </w:tc>
      </w:tr>
      <w:tr>
        <w:tblPrEx>
          <w:tblLayout w:type="fixed"/>
          <w:tblCellMar>
            <w:top w:w="0" w:type="dxa"/>
            <w:left w:w="108" w:type="dxa"/>
            <w:bottom w:w="0" w:type="dxa"/>
            <w:right w:w="108" w:type="dxa"/>
          </w:tblCellMar>
        </w:tblPrEx>
        <w:trPr>
          <w:trHeight w:val="424" w:hRule="atLeast"/>
          <w:jc w:val="center"/>
        </w:trPr>
        <w:tc>
          <w:tcPr>
            <w:tcW w:w="899" w:type="dxa"/>
            <w:tcBorders>
              <w:top w:val="single" w:color="auto" w:sz="4" w:space="0"/>
              <w:left w:val="single" w:color="auto" w:sz="4" w:space="0"/>
              <w:bottom w:val="nil"/>
              <w:right w:val="single" w:color="auto" w:sz="4" w:space="0"/>
            </w:tcBorders>
            <w:vAlign w:val="center"/>
          </w:tcPr>
          <w:p>
            <w:pPr>
              <w:spacing w:line="340" w:lineRule="exact"/>
              <w:jc w:val="center"/>
              <w:rPr>
                <w:rFonts w:ascii="宋体" w:hAnsi="宋体" w:cs="宋体"/>
                <w:b/>
                <w:kern w:val="0"/>
                <w:sz w:val="22"/>
                <w:szCs w:val="22"/>
              </w:rPr>
            </w:pPr>
            <w:r>
              <w:rPr>
                <w:rFonts w:hint="eastAsia" w:ascii="宋体" w:hAnsi="宋体" w:cs="宋体"/>
                <w:kern w:val="0"/>
                <w:sz w:val="22"/>
                <w:szCs w:val="22"/>
              </w:rPr>
              <w:t>6</w:t>
            </w:r>
          </w:p>
        </w:tc>
        <w:tc>
          <w:tcPr>
            <w:tcW w:w="3654" w:type="dxa"/>
            <w:tcBorders>
              <w:top w:val="single" w:color="auto" w:sz="4" w:space="0"/>
              <w:left w:val="single" w:color="auto" w:sz="4" w:space="0"/>
              <w:bottom w:val="nil"/>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评标委员会的组建</w:t>
            </w:r>
          </w:p>
        </w:tc>
        <w:tc>
          <w:tcPr>
            <w:tcW w:w="5580" w:type="dxa"/>
            <w:tcBorders>
              <w:top w:val="single" w:color="auto" w:sz="4" w:space="0"/>
              <w:left w:val="single" w:color="auto" w:sz="4" w:space="0"/>
              <w:bottom w:val="nil"/>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评标委员会构成：</w:t>
            </w:r>
            <w:r>
              <w:rPr>
                <w:rFonts w:hint="eastAsia" w:ascii="宋体" w:hAnsi="宋体" w:cs="宋体"/>
                <w:kern w:val="0"/>
                <w:sz w:val="22"/>
                <w:szCs w:val="22"/>
                <w:u w:val="single"/>
              </w:rPr>
              <w:t xml:space="preserve"> 9</w:t>
            </w:r>
            <w:r>
              <w:rPr>
                <w:rFonts w:hint="eastAsia" w:ascii="宋体" w:hAnsi="宋体" w:cs="宋体"/>
                <w:kern w:val="0"/>
                <w:sz w:val="22"/>
                <w:szCs w:val="22"/>
              </w:rPr>
              <w:t>人，其中招标人代表</w:t>
            </w:r>
            <w:r>
              <w:rPr>
                <w:rFonts w:hint="eastAsia" w:ascii="宋体" w:hAnsi="宋体" w:cs="宋体"/>
                <w:kern w:val="0"/>
                <w:sz w:val="22"/>
                <w:szCs w:val="22"/>
                <w:u w:val="single"/>
              </w:rPr>
              <w:t xml:space="preserve"> 2 </w:t>
            </w:r>
            <w:r>
              <w:rPr>
                <w:rFonts w:hint="eastAsia" w:ascii="宋体" w:hAnsi="宋体" w:cs="宋体"/>
                <w:kern w:val="0"/>
                <w:sz w:val="22"/>
                <w:szCs w:val="22"/>
              </w:rPr>
              <w:t>人，专家</w:t>
            </w:r>
            <w:r>
              <w:rPr>
                <w:rFonts w:hint="eastAsia" w:ascii="宋体" w:hAnsi="宋体" w:cs="宋体"/>
                <w:kern w:val="0"/>
                <w:sz w:val="22"/>
                <w:szCs w:val="22"/>
                <w:u w:val="single"/>
              </w:rPr>
              <w:t xml:space="preserve">7 </w:t>
            </w:r>
            <w:r>
              <w:rPr>
                <w:rFonts w:hint="eastAsia" w:ascii="宋体" w:hAnsi="宋体" w:cs="宋体"/>
                <w:kern w:val="0"/>
                <w:sz w:val="22"/>
                <w:szCs w:val="22"/>
              </w:rPr>
              <w:t>人。</w:t>
            </w:r>
          </w:p>
          <w:p>
            <w:pPr>
              <w:spacing w:line="340" w:lineRule="exact"/>
              <w:rPr>
                <w:sz w:val="24"/>
              </w:rPr>
            </w:pPr>
            <w:r>
              <w:rPr>
                <w:rFonts w:hint="eastAsia" w:ascii="宋体" w:hAnsi="宋体" w:cs="宋体"/>
                <w:kern w:val="0"/>
                <w:sz w:val="22"/>
                <w:szCs w:val="22"/>
              </w:rPr>
              <w:t>评标专家确定方式：从河南省综合评标专家库中随机抽取。</w:t>
            </w:r>
          </w:p>
        </w:tc>
      </w:tr>
      <w:tr>
        <w:tblPrEx>
          <w:tblLayout w:type="fixed"/>
          <w:tblCellMar>
            <w:top w:w="0" w:type="dxa"/>
            <w:left w:w="108" w:type="dxa"/>
            <w:bottom w:w="0" w:type="dxa"/>
            <w:right w:w="108" w:type="dxa"/>
          </w:tblCellMar>
        </w:tblPrEx>
        <w:trPr>
          <w:trHeight w:val="347" w:hRule="atLeast"/>
          <w:jc w:val="center"/>
        </w:trPr>
        <w:tc>
          <w:tcPr>
            <w:tcW w:w="899" w:type="dxa"/>
            <w:tcBorders>
              <w:top w:val="single" w:color="auto" w:sz="4" w:space="0"/>
              <w:left w:val="single" w:color="auto" w:sz="4" w:space="0"/>
              <w:bottom w:val="single" w:color="auto" w:sz="2"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7.1</w:t>
            </w:r>
          </w:p>
        </w:tc>
        <w:tc>
          <w:tcPr>
            <w:tcW w:w="3654" w:type="dxa"/>
            <w:tcBorders>
              <w:top w:val="single" w:color="auto" w:sz="4" w:space="0"/>
              <w:left w:val="single" w:color="auto" w:sz="4" w:space="0"/>
              <w:bottom w:val="single" w:color="auto" w:sz="2"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是否授权评标委员会确定中标人</w:t>
            </w:r>
          </w:p>
        </w:tc>
        <w:tc>
          <w:tcPr>
            <w:tcW w:w="5580" w:type="dxa"/>
            <w:tcBorders>
              <w:top w:val="single" w:color="auto" w:sz="4" w:space="0"/>
              <w:left w:val="single" w:color="auto" w:sz="4" w:space="0"/>
              <w:bottom w:val="single" w:color="auto" w:sz="2"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否，推荐的中标候选人数：1-3名</w:t>
            </w:r>
          </w:p>
        </w:tc>
      </w:tr>
      <w:tr>
        <w:tblPrEx>
          <w:tblLayout w:type="fixed"/>
          <w:tblCellMar>
            <w:top w:w="0" w:type="dxa"/>
            <w:left w:w="108" w:type="dxa"/>
            <w:bottom w:w="0" w:type="dxa"/>
            <w:right w:w="108" w:type="dxa"/>
          </w:tblCellMar>
        </w:tblPrEx>
        <w:trPr>
          <w:jc w:val="center"/>
        </w:trPr>
        <w:tc>
          <w:tcPr>
            <w:tcW w:w="10133" w:type="dxa"/>
            <w:gridSpan w:val="3"/>
            <w:tcBorders>
              <w:top w:val="single" w:color="auto" w:sz="2" w:space="0"/>
              <w:left w:val="single" w:color="auto" w:sz="2" w:space="0"/>
              <w:bottom w:val="single" w:color="auto" w:sz="2" w:space="0"/>
              <w:right w:val="single" w:color="auto" w:sz="2" w:space="0"/>
            </w:tcBorders>
            <w:vAlign w:val="center"/>
          </w:tcPr>
          <w:p>
            <w:pPr>
              <w:spacing w:line="340" w:lineRule="exact"/>
              <w:ind w:firstLine="330" w:firstLineChars="150"/>
              <w:rPr>
                <w:rFonts w:ascii="宋体" w:hAnsi="宋体" w:cs="宋体"/>
                <w:sz w:val="22"/>
                <w:szCs w:val="22"/>
              </w:rPr>
            </w:pPr>
            <w:r>
              <w:rPr>
                <w:rFonts w:hint="eastAsia" w:ascii="宋体" w:hAnsi="宋体" w:cs="宋体"/>
                <w:kern w:val="0"/>
                <w:sz w:val="22"/>
                <w:szCs w:val="22"/>
              </w:rPr>
              <w:t xml:space="preserve">  需要补充的其他内容</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8.1</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b/>
                <w:kern w:val="0"/>
                <w:sz w:val="22"/>
                <w:szCs w:val="22"/>
              </w:rPr>
            </w:pPr>
            <w:r>
              <w:rPr>
                <w:rFonts w:hint="eastAsia" w:ascii="宋体" w:hAnsi="宋体" w:cs="宋体"/>
                <w:b/>
                <w:szCs w:val="21"/>
              </w:rPr>
              <w:t>招标控制费率</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b/>
                <w:kern w:val="0"/>
                <w:sz w:val="22"/>
                <w:szCs w:val="22"/>
                <w:highlight w:val="yellow"/>
              </w:rPr>
            </w:pPr>
            <w:r>
              <w:rPr>
                <w:rFonts w:hint="eastAsia" w:ascii="宋体" w:hAnsi="宋体" w:cs="宋体"/>
                <w:b/>
                <w:szCs w:val="21"/>
              </w:rPr>
              <w:t>以后期经政府财政主管部门评审的初步设计概算中对应本工程承建范围内的工程费用为基数，招标控制费率为98.00%，各投标人的投标费率不得高于招标人的招标控制费率，否则按废标处理。</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8.2</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实施方案是否采用“暗标”评审方式</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highlight w:val="yellow"/>
              </w:rPr>
            </w:pPr>
            <w:r>
              <w:rPr>
                <w:rFonts w:hint="eastAsia" w:ascii="宋体" w:hAnsi="宋体" w:cs="宋体"/>
                <w:kern w:val="0"/>
                <w:sz w:val="22"/>
                <w:szCs w:val="22"/>
              </w:rPr>
              <w:t xml:space="preserve">  不采用</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8.3</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投标人代表出席开标会</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 xml:space="preserve">    按照本须知第5.1款的规定，招标人邀请所有投标人的法定代表人（或其委托代理人）和项目经理参加开标会，并在招标人按开标程序进行点名时，向招标人提交法定代表人身份证（或法定代表人授权委托书）和项目经理身份证，以证明其出席，否则，其投标文件按废标处理。</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8.4</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中  标  公  示</w:t>
            </w:r>
          </w:p>
        </w:tc>
        <w:tc>
          <w:tcPr>
            <w:tcW w:w="5580"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340" w:lineRule="exact"/>
              <w:rPr>
                <w:rFonts w:ascii="宋体" w:hAnsi="宋体" w:cs="宋体"/>
                <w:kern w:val="0"/>
                <w:sz w:val="22"/>
                <w:szCs w:val="22"/>
              </w:rPr>
            </w:pPr>
            <w:r>
              <w:rPr>
                <w:rFonts w:hint="eastAsia" w:ascii="宋体" w:hAnsi="宋体" w:cs="宋体"/>
                <w:kern w:val="0"/>
                <w:sz w:val="22"/>
                <w:szCs w:val="22"/>
              </w:rPr>
              <w:t>在中标通知书发出前，招标人将中标候选人的情况在《河南省电子招标投标公共服务平台》和《全国公共资源交易平台（河南省·许昌市）》予以公示，公示期不少于3个工作日。</w:t>
            </w:r>
          </w:p>
          <w:p>
            <w:pPr>
              <w:numPr>
                <w:ilvl w:val="0"/>
                <w:numId w:val="3"/>
              </w:numPr>
              <w:spacing w:line="340" w:lineRule="exact"/>
              <w:rPr>
                <w:rFonts w:ascii="宋体" w:hAnsi="宋体" w:cs="宋体"/>
                <w:kern w:val="0"/>
                <w:sz w:val="22"/>
                <w:szCs w:val="22"/>
              </w:rPr>
            </w:pPr>
            <w:r>
              <w:rPr>
                <w:rFonts w:hint="eastAsia" w:ascii="宋体" w:hAnsi="宋体" w:cs="宋体"/>
                <w:kern w:val="0"/>
                <w:sz w:val="22"/>
                <w:szCs w:val="22"/>
              </w:rPr>
              <w:t>在评标结果公示期内招标人或代理公司对中标候选人行贿犯罪情况进行查询。若中标候选人第一名存在行贿犯罪记录，按照招标委员会提供的评标报告按序推荐中标候选人，若均存在行贿犯罪记录，则招标人重新招标。</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8.5</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知  识  产  权</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 xml:space="preserve">    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8.6</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同  义  词  语</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 xml:space="preserve">    构成招标文件组成部分的“通用合同条款”、“专用合同条款”、“实施方案准和要求”和“工程量清单（如有）”等章节中出现的措辞“发包人”和“承包人”，在招标投标阶段应当分别按“招标人”和“投标人”进行理解。</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8.7</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解    释    权</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构成本招标文件的各个组成文件应互为解释，互为说明；</w:t>
            </w:r>
          </w:p>
          <w:p>
            <w:pPr>
              <w:spacing w:line="340" w:lineRule="exact"/>
              <w:rPr>
                <w:rFonts w:ascii="宋体" w:hAnsi="宋体" w:cs="宋体"/>
                <w:kern w:val="0"/>
                <w:sz w:val="22"/>
                <w:szCs w:val="22"/>
              </w:rPr>
            </w:pPr>
            <w:r>
              <w:rPr>
                <w:rFonts w:hint="eastAsia" w:ascii="宋体" w:hAnsi="宋体" w:cs="宋体"/>
                <w:kern w:val="0"/>
                <w:sz w:val="22"/>
                <w:szCs w:val="22"/>
              </w:rPr>
              <w:t>1、如有不明确或不一致，构成合同文件组成内容，以合同文件约定内容为准，且以专用合同条款约定的合同文件优先顺序解释；</w:t>
            </w:r>
          </w:p>
          <w:p>
            <w:pPr>
              <w:spacing w:line="340" w:lineRule="exact"/>
              <w:rPr>
                <w:rFonts w:ascii="宋体" w:hAnsi="宋体" w:cs="宋体"/>
                <w:kern w:val="0"/>
                <w:sz w:val="22"/>
                <w:szCs w:val="22"/>
              </w:rPr>
            </w:pPr>
            <w:r>
              <w:rPr>
                <w:rFonts w:hint="eastAsia" w:ascii="宋体" w:hAnsi="宋体" w:cs="宋体"/>
                <w:kern w:val="0"/>
                <w:sz w:val="22"/>
                <w:szCs w:val="22"/>
              </w:rPr>
              <w:t>2、除招标文件中有特别规定外，仅适用于招标投标阶段的规定，按招标公告（投标邀请书）、投标人须知、评标办法、投标文件格式的先后顺序解释；</w:t>
            </w:r>
          </w:p>
          <w:p>
            <w:pPr>
              <w:spacing w:line="340" w:lineRule="exact"/>
              <w:rPr>
                <w:rFonts w:ascii="宋体" w:hAnsi="宋体" w:cs="宋体"/>
                <w:kern w:val="0"/>
                <w:sz w:val="22"/>
                <w:szCs w:val="22"/>
              </w:rPr>
            </w:pPr>
            <w:r>
              <w:rPr>
                <w:rFonts w:hint="eastAsia" w:ascii="宋体" w:hAnsi="宋体" w:cs="宋体"/>
                <w:kern w:val="0"/>
                <w:sz w:val="22"/>
                <w:szCs w:val="22"/>
              </w:rPr>
              <w:t>3、同一组成文件中就同一事项的规定或约定不一致的，以编排顺序在后者为准；</w:t>
            </w:r>
          </w:p>
          <w:p>
            <w:pPr>
              <w:spacing w:line="340" w:lineRule="exact"/>
              <w:rPr>
                <w:rFonts w:ascii="宋体" w:hAnsi="宋体" w:cs="宋体"/>
                <w:kern w:val="0"/>
                <w:sz w:val="22"/>
                <w:szCs w:val="22"/>
              </w:rPr>
            </w:pPr>
            <w:r>
              <w:rPr>
                <w:rFonts w:hint="eastAsia" w:ascii="宋体" w:hAnsi="宋体" w:cs="宋体"/>
                <w:kern w:val="0"/>
                <w:sz w:val="22"/>
                <w:szCs w:val="22"/>
              </w:rPr>
              <w:t>4、同一组成文件不同版本之间有不一致的，以形成时间在后者为准。</w:t>
            </w:r>
          </w:p>
          <w:p>
            <w:pPr>
              <w:spacing w:line="340" w:lineRule="exact"/>
              <w:rPr>
                <w:rFonts w:ascii="宋体" w:hAnsi="宋体" w:cs="宋体"/>
                <w:kern w:val="0"/>
                <w:sz w:val="22"/>
                <w:szCs w:val="22"/>
              </w:rPr>
            </w:pPr>
            <w:r>
              <w:rPr>
                <w:rFonts w:hint="eastAsia" w:ascii="宋体" w:hAnsi="宋体" w:cs="宋体"/>
                <w:kern w:val="0"/>
                <w:sz w:val="22"/>
                <w:szCs w:val="22"/>
              </w:rPr>
              <w:t>按本款前述规定仍不能形成结论的，由招标人负责解释。</w:t>
            </w:r>
          </w:p>
        </w:tc>
      </w:tr>
      <w:tr>
        <w:tblPrEx>
          <w:tblLayout w:type="fixed"/>
          <w:tblCellMar>
            <w:top w:w="0" w:type="dxa"/>
            <w:left w:w="108" w:type="dxa"/>
            <w:bottom w:w="0" w:type="dxa"/>
            <w:right w:w="108" w:type="dxa"/>
          </w:tblCellMar>
        </w:tblPrEx>
        <w:trPr>
          <w:jc w:val="center"/>
        </w:trPr>
        <w:tc>
          <w:tcPr>
            <w:tcW w:w="10133"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 xml:space="preserve">   招标人补充的其他内容</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9.1</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签         到</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开标时各投标人的法定代表人（或委托代理人）和项目经理（持有效的授权委托书或身份证明原件）参加开标会并签到，如未参加所投标书为无效标书。各投标单位参加会议人数不得多于2人。</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9.2</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投标文件的拒收</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1、投标截止时间后送达的。</w:t>
            </w:r>
          </w:p>
          <w:p>
            <w:pPr>
              <w:spacing w:line="340" w:lineRule="exact"/>
              <w:rPr>
                <w:rFonts w:ascii="宋体" w:hAnsi="宋体" w:cs="宋体"/>
                <w:kern w:val="0"/>
                <w:sz w:val="22"/>
                <w:szCs w:val="22"/>
              </w:rPr>
            </w:pPr>
            <w:r>
              <w:rPr>
                <w:rFonts w:hint="eastAsia" w:ascii="宋体" w:hAnsi="宋体" w:cs="宋体"/>
                <w:kern w:val="0"/>
                <w:sz w:val="22"/>
                <w:szCs w:val="22"/>
              </w:rPr>
              <w:t>2、未按招标文件要求提交投标保证金的。</w:t>
            </w:r>
          </w:p>
          <w:p>
            <w:pPr>
              <w:spacing w:line="340" w:lineRule="exact"/>
              <w:rPr>
                <w:rFonts w:ascii="宋体" w:hAnsi="宋体" w:cs="宋体"/>
                <w:kern w:val="0"/>
                <w:sz w:val="22"/>
                <w:szCs w:val="22"/>
              </w:rPr>
            </w:pPr>
            <w:r>
              <w:rPr>
                <w:rFonts w:hint="eastAsia" w:ascii="宋体" w:hAnsi="宋体" w:cs="宋体"/>
                <w:kern w:val="0"/>
                <w:sz w:val="22"/>
                <w:szCs w:val="22"/>
              </w:rPr>
              <w:t>3、未按招标文件要求密封的。</w:t>
            </w:r>
          </w:p>
          <w:p>
            <w:pPr>
              <w:spacing w:line="340" w:lineRule="exact"/>
              <w:rPr>
                <w:rFonts w:ascii="宋体" w:hAnsi="宋体" w:cs="宋体"/>
                <w:kern w:val="0"/>
                <w:sz w:val="22"/>
                <w:szCs w:val="22"/>
              </w:rPr>
            </w:pPr>
            <w:r>
              <w:rPr>
                <w:rFonts w:hint="eastAsia" w:ascii="宋体" w:hAnsi="宋体" w:cs="宋体"/>
                <w:kern w:val="0"/>
                <w:sz w:val="22"/>
                <w:szCs w:val="22"/>
              </w:rPr>
              <w:t>4、开标时授权委托人未持有效授权委托书或未携带本人身份证到开标、现场并签到的。</w:t>
            </w:r>
          </w:p>
          <w:p>
            <w:pPr>
              <w:spacing w:line="340" w:lineRule="exact"/>
              <w:rPr>
                <w:rFonts w:ascii="宋体" w:hAnsi="宋体" w:cs="宋体"/>
                <w:kern w:val="0"/>
                <w:sz w:val="22"/>
                <w:szCs w:val="22"/>
              </w:rPr>
            </w:pPr>
            <w:r>
              <w:rPr>
                <w:rFonts w:hint="eastAsia" w:ascii="宋体" w:hAnsi="宋体" w:cs="宋体"/>
                <w:kern w:val="0"/>
                <w:sz w:val="22"/>
                <w:szCs w:val="22"/>
              </w:rPr>
              <w:t>5、未按照规定支付招标文件费用的。</w:t>
            </w:r>
          </w:p>
          <w:p>
            <w:pPr>
              <w:spacing w:line="340" w:lineRule="exact"/>
              <w:rPr>
                <w:rFonts w:ascii="宋体" w:hAnsi="宋体" w:cs="宋体"/>
                <w:kern w:val="0"/>
                <w:sz w:val="22"/>
                <w:szCs w:val="22"/>
              </w:rPr>
            </w:pPr>
            <w:r>
              <w:rPr>
                <w:rFonts w:hint="eastAsia" w:ascii="宋体" w:hAnsi="宋体" w:cs="宋体"/>
                <w:kern w:val="0"/>
                <w:sz w:val="22"/>
                <w:szCs w:val="22"/>
              </w:rPr>
              <w:t>6、未通过全国公共资源交易平台（河南省·许昌市）上下载招标文件的，视为自动放弃投标。</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9.3</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信用保证金</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b/>
                <w:bCs/>
                <w:kern w:val="0"/>
                <w:sz w:val="22"/>
                <w:szCs w:val="22"/>
              </w:rPr>
              <w:t>投标人在开标会议3日前以本单位在中国邮政储蓄银行许昌县镜水路支行设立账户，并在开标会议3日前存入人民币一亿五千万元信用保证金并签订履约承诺书。开标时提供银行出具的存款证明原件和开标前3日内开具的本账户余额对账单及设立本账户设立起账户流水记录。（此款仅作为评标办法中得分条件不作为废标条件）</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9.4</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标后履约</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按照《招投标法规定》必须到行政主管部门办理相关手续，同时由项目单位进行监管。</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10</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相关费用</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b/>
                <w:bCs/>
                <w:kern w:val="0"/>
                <w:sz w:val="22"/>
                <w:szCs w:val="22"/>
              </w:rPr>
              <w:t>本项目招标代理费由中标人支付，收费标准参照国家计委印发的计价格（2002）1980号文件规定。</w:t>
            </w:r>
          </w:p>
        </w:tc>
      </w:tr>
      <w:tr>
        <w:tblPrEx>
          <w:tblLayout w:type="fixed"/>
          <w:tblCellMar>
            <w:top w:w="0" w:type="dxa"/>
            <w:left w:w="108" w:type="dxa"/>
            <w:bottom w:w="0" w:type="dxa"/>
            <w:right w:w="108" w:type="dxa"/>
          </w:tblCellMar>
        </w:tblPrEx>
        <w:trPr>
          <w:jc w:val="center"/>
        </w:trPr>
        <w:tc>
          <w:tcPr>
            <w:tcW w:w="10133"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 xml:space="preserve">    特别提示</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ind w:left="450"/>
              <w:rPr>
                <w:rFonts w:ascii="宋体" w:hAnsi="宋体" w:cs="宋体"/>
                <w:kern w:val="0"/>
                <w:sz w:val="22"/>
                <w:szCs w:val="22"/>
              </w:rPr>
            </w:pPr>
          </w:p>
        </w:tc>
        <w:tc>
          <w:tcPr>
            <w:tcW w:w="923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outlineLvl w:val="0"/>
              <w:rPr>
                <w:rFonts w:hAnsi="宋体" w:cs="仿宋_GB2312"/>
                <w:sz w:val="24"/>
              </w:rPr>
            </w:pPr>
            <w:r>
              <w:rPr>
                <w:rFonts w:hint="eastAsia" w:hAnsi="宋体" w:cs="仿宋_GB2312"/>
                <w:sz w:val="24"/>
              </w:rPr>
              <w:t>1、潜在投标人如对招标文件有异议，请在规定时间内在</w:t>
            </w:r>
            <w:r>
              <w:rPr>
                <w:rFonts w:hint="eastAsia" w:ascii="宋体" w:hAnsi="宋体" w:cs="宋体"/>
                <w:kern w:val="0"/>
                <w:sz w:val="24"/>
              </w:rPr>
              <w:t>全国公共资源交易平台（河南省·许昌市）</w:t>
            </w:r>
            <w:r>
              <w:rPr>
                <w:rFonts w:hint="eastAsia" w:hAnsi="宋体" w:cs="仿宋_GB2312"/>
                <w:sz w:val="24"/>
              </w:rPr>
              <w:t>上提出，以其他方式递交的异议不予接受。</w:t>
            </w:r>
          </w:p>
          <w:p>
            <w:pPr>
              <w:autoSpaceDE w:val="0"/>
              <w:autoSpaceDN w:val="0"/>
              <w:adjustRightInd w:val="0"/>
              <w:snapToGrid w:val="0"/>
              <w:spacing w:line="276" w:lineRule="auto"/>
              <w:jc w:val="left"/>
              <w:outlineLvl w:val="0"/>
              <w:rPr>
                <w:rFonts w:ascii="宋体" w:hAnsi="宋体" w:cs="宋体"/>
                <w:kern w:val="0"/>
                <w:sz w:val="22"/>
                <w:szCs w:val="22"/>
              </w:rPr>
            </w:pPr>
            <w:r>
              <w:rPr>
                <w:rFonts w:hint="eastAsia" w:hAnsi="宋体" w:cs="仿宋_GB2312"/>
                <w:sz w:val="24"/>
              </w:rPr>
              <w:t>2、投标人在投标截止时间前应随时关注</w:t>
            </w:r>
            <w:r>
              <w:rPr>
                <w:rFonts w:hint="eastAsia" w:ascii="宋体" w:hAnsi="宋体" w:cs="宋体"/>
                <w:kern w:val="0"/>
                <w:sz w:val="24"/>
              </w:rPr>
              <w:t>全国公共资源交易平台（河南省·许昌市）</w:t>
            </w:r>
            <w:r>
              <w:rPr>
                <w:rFonts w:hint="eastAsia" w:hAnsi="宋体" w:cs="仿宋_GB2312"/>
                <w:sz w:val="24"/>
              </w:rPr>
              <w:t>发出的有关本工程的答疑、修改等相关内容。</w:t>
            </w:r>
          </w:p>
        </w:tc>
      </w:tr>
      <w:bookmarkEnd w:id="9"/>
    </w:tbl>
    <w:p>
      <w:pPr>
        <w:pStyle w:val="106"/>
        <w:widowControl/>
        <w:spacing w:line="400" w:lineRule="exact"/>
        <w:outlineLvl w:val="0"/>
        <w:rPr>
          <w:rFonts w:hAnsi="宋体" w:cs="宋体"/>
          <w:b/>
          <w:bCs/>
          <w:color w:val="auto"/>
          <w:sz w:val="28"/>
        </w:rPr>
      </w:pPr>
    </w:p>
    <w:p>
      <w:pPr>
        <w:pStyle w:val="106"/>
        <w:widowControl/>
        <w:spacing w:line="400" w:lineRule="exact"/>
        <w:outlineLvl w:val="0"/>
        <w:rPr>
          <w:rFonts w:hAnsi="宋体" w:cs="宋体"/>
          <w:b/>
          <w:bCs/>
          <w:color w:val="auto"/>
          <w:sz w:val="28"/>
        </w:rPr>
      </w:pPr>
    </w:p>
    <w:p>
      <w:pPr>
        <w:pStyle w:val="106"/>
        <w:widowControl/>
        <w:spacing w:line="400" w:lineRule="exact"/>
        <w:outlineLvl w:val="0"/>
        <w:rPr>
          <w:rFonts w:hAnsi="宋体" w:cs="宋体"/>
          <w:b/>
          <w:bCs/>
          <w:color w:val="auto"/>
          <w:sz w:val="28"/>
        </w:rPr>
      </w:pPr>
    </w:p>
    <w:p>
      <w:pPr>
        <w:pStyle w:val="106"/>
        <w:widowControl/>
        <w:spacing w:line="400" w:lineRule="exact"/>
        <w:outlineLvl w:val="0"/>
        <w:rPr>
          <w:rFonts w:hAnsi="宋体" w:cs="宋体"/>
          <w:b/>
          <w:bCs/>
          <w:color w:val="auto"/>
          <w:sz w:val="28"/>
        </w:rPr>
      </w:pPr>
    </w:p>
    <w:p>
      <w:pPr>
        <w:pStyle w:val="106"/>
        <w:widowControl/>
        <w:spacing w:line="400" w:lineRule="exact"/>
        <w:outlineLvl w:val="0"/>
        <w:rPr>
          <w:rFonts w:hAnsi="宋体" w:cs="宋体"/>
          <w:b/>
          <w:bCs/>
          <w:color w:val="auto"/>
          <w:sz w:val="28"/>
        </w:rPr>
      </w:pPr>
    </w:p>
    <w:p>
      <w:pPr>
        <w:pStyle w:val="106"/>
        <w:widowControl/>
        <w:spacing w:line="400" w:lineRule="exact"/>
        <w:outlineLvl w:val="0"/>
        <w:rPr>
          <w:rFonts w:hAnsi="宋体" w:cs="宋体"/>
          <w:b/>
          <w:bCs/>
          <w:color w:val="auto"/>
          <w:sz w:val="28"/>
        </w:rPr>
      </w:pPr>
    </w:p>
    <w:p>
      <w:pPr>
        <w:pStyle w:val="106"/>
        <w:widowControl/>
        <w:spacing w:line="400" w:lineRule="exact"/>
        <w:outlineLvl w:val="0"/>
        <w:rPr>
          <w:rFonts w:hAnsi="宋体" w:cs="宋体"/>
          <w:b/>
          <w:bCs/>
          <w:color w:val="auto"/>
          <w:sz w:val="28"/>
        </w:rPr>
      </w:pPr>
    </w:p>
    <w:p>
      <w:pPr>
        <w:pStyle w:val="106"/>
        <w:widowControl/>
        <w:spacing w:line="400" w:lineRule="exact"/>
        <w:outlineLvl w:val="0"/>
        <w:rPr>
          <w:rFonts w:hAnsi="宋体" w:cs="宋体"/>
          <w:b/>
          <w:bCs/>
          <w:color w:val="auto"/>
          <w:sz w:val="28"/>
        </w:rPr>
      </w:pPr>
    </w:p>
    <w:p>
      <w:pPr>
        <w:pStyle w:val="106"/>
        <w:widowControl/>
        <w:spacing w:line="400" w:lineRule="exact"/>
        <w:outlineLvl w:val="0"/>
        <w:rPr>
          <w:rFonts w:hAnsi="宋体" w:cs="宋体"/>
          <w:b/>
          <w:bCs/>
          <w:color w:val="auto"/>
          <w:sz w:val="28"/>
        </w:rPr>
      </w:pPr>
    </w:p>
    <w:p>
      <w:pPr>
        <w:pStyle w:val="106"/>
        <w:widowControl/>
        <w:spacing w:line="400" w:lineRule="exact"/>
        <w:outlineLvl w:val="0"/>
        <w:rPr>
          <w:rFonts w:hAnsi="宋体" w:cs="宋体"/>
          <w:b/>
          <w:bCs/>
          <w:color w:val="auto"/>
          <w:sz w:val="28"/>
        </w:rPr>
      </w:pPr>
    </w:p>
    <w:p>
      <w:pPr>
        <w:pStyle w:val="106"/>
        <w:widowControl/>
        <w:spacing w:line="400" w:lineRule="exact"/>
        <w:outlineLvl w:val="0"/>
        <w:rPr>
          <w:rFonts w:hAnsi="宋体" w:cs="宋体"/>
          <w:b/>
          <w:bCs/>
          <w:color w:val="auto"/>
          <w:sz w:val="28"/>
        </w:rPr>
      </w:pPr>
    </w:p>
    <w:p>
      <w:pPr>
        <w:pStyle w:val="106"/>
        <w:widowControl/>
        <w:spacing w:line="400" w:lineRule="exact"/>
        <w:outlineLvl w:val="0"/>
        <w:rPr>
          <w:rFonts w:hAnsi="宋体" w:cs="宋体"/>
          <w:b/>
          <w:bCs/>
          <w:color w:val="auto"/>
          <w:sz w:val="28"/>
        </w:rPr>
      </w:pPr>
    </w:p>
    <w:p>
      <w:pPr>
        <w:pStyle w:val="106"/>
        <w:widowControl/>
        <w:spacing w:line="400" w:lineRule="exact"/>
        <w:outlineLvl w:val="0"/>
        <w:rPr>
          <w:rFonts w:hAnsi="宋体" w:cs="宋体"/>
          <w:b/>
          <w:bCs/>
          <w:color w:val="auto"/>
          <w:sz w:val="28"/>
        </w:rPr>
      </w:pPr>
    </w:p>
    <w:p>
      <w:pPr>
        <w:pStyle w:val="106"/>
        <w:widowControl/>
        <w:spacing w:line="400" w:lineRule="exact"/>
        <w:outlineLvl w:val="0"/>
        <w:rPr>
          <w:rFonts w:hAnsi="宋体" w:cs="宋体"/>
          <w:b/>
          <w:bCs/>
          <w:color w:val="auto"/>
          <w:sz w:val="28"/>
        </w:rPr>
      </w:pPr>
    </w:p>
    <w:p>
      <w:pPr>
        <w:pStyle w:val="106"/>
        <w:widowControl/>
        <w:spacing w:line="400" w:lineRule="exact"/>
        <w:outlineLvl w:val="0"/>
        <w:rPr>
          <w:rFonts w:hAnsi="宋体" w:cs="宋体"/>
          <w:b/>
          <w:bCs/>
          <w:color w:val="auto"/>
          <w:sz w:val="28"/>
        </w:rPr>
      </w:pPr>
    </w:p>
    <w:p>
      <w:pPr>
        <w:pStyle w:val="106"/>
        <w:widowControl/>
        <w:spacing w:line="400" w:lineRule="exact"/>
        <w:outlineLvl w:val="0"/>
        <w:rPr>
          <w:rFonts w:hAnsi="宋体" w:cs="宋体"/>
          <w:color w:val="auto"/>
          <w:sz w:val="32"/>
          <w:szCs w:val="21"/>
        </w:rPr>
      </w:pPr>
      <w:r>
        <w:rPr>
          <w:rFonts w:hint="eastAsia" w:hAnsi="宋体" w:cs="宋体"/>
          <w:b/>
          <w:bCs/>
          <w:color w:val="auto"/>
          <w:sz w:val="28"/>
        </w:rPr>
        <w:t>1.</w:t>
      </w:r>
      <w:r>
        <w:rPr>
          <w:rFonts w:hint="eastAsia" w:hAnsi="宋体" w:cs="宋体"/>
          <w:color w:val="auto"/>
          <w:sz w:val="32"/>
          <w:szCs w:val="21"/>
        </w:rPr>
        <w:t>总则</w:t>
      </w:r>
    </w:p>
    <w:p>
      <w:pPr>
        <w:autoSpaceDE w:val="0"/>
        <w:autoSpaceDN w:val="0"/>
        <w:adjustRightInd w:val="0"/>
        <w:spacing w:line="380" w:lineRule="exact"/>
        <w:jc w:val="left"/>
        <w:outlineLvl w:val="0"/>
        <w:rPr>
          <w:rFonts w:ascii="宋体" w:hAnsi="宋体" w:cs="宋体"/>
          <w:bCs/>
          <w:kern w:val="0"/>
          <w:sz w:val="24"/>
          <w:szCs w:val="24"/>
        </w:rPr>
      </w:pPr>
      <w:r>
        <w:rPr>
          <w:rFonts w:hint="eastAsia" w:ascii="宋体" w:hAnsi="宋体" w:cs="宋体"/>
          <w:b/>
          <w:kern w:val="0"/>
          <w:sz w:val="24"/>
          <w:szCs w:val="24"/>
        </w:rPr>
        <w:t>1.1</w:t>
      </w:r>
      <w:r>
        <w:rPr>
          <w:rFonts w:hint="eastAsia" w:ascii="宋体" w:hAnsi="宋体" w:cs="宋体"/>
          <w:bCs/>
          <w:kern w:val="0"/>
          <w:sz w:val="24"/>
          <w:szCs w:val="24"/>
        </w:rPr>
        <w:t>项目概况</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1.1.1 根据《中华人民共和国招标投标法》等有关法律、法规和规章的规定，本招标项目已具备招标条件，现对本项目施工进行招标。</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1.1.2 本招标项目招标人：见投标人须知前附表。</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1.1.3 本招标项目招标代理机构：见投标人须知前附表。</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1.1.4 本招标项目名称：见投标人须知前附表。</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1.1.5 本招标项目建设地点：见投标人须知前附表。</w:t>
      </w:r>
    </w:p>
    <w:p>
      <w:pPr>
        <w:autoSpaceDE w:val="0"/>
        <w:autoSpaceDN w:val="0"/>
        <w:adjustRightInd w:val="0"/>
        <w:spacing w:line="380" w:lineRule="exact"/>
        <w:jc w:val="left"/>
        <w:outlineLvl w:val="0"/>
        <w:rPr>
          <w:rFonts w:ascii="宋体" w:hAnsi="宋体" w:cs="宋体"/>
          <w:b/>
          <w:kern w:val="0"/>
          <w:sz w:val="24"/>
          <w:szCs w:val="24"/>
        </w:rPr>
      </w:pPr>
      <w:r>
        <w:rPr>
          <w:rFonts w:hint="eastAsia" w:ascii="宋体" w:hAnsi="宋体" w:cs="宋体"/>
          <w:b/>
          <w:kern w:val="0"/>
          <w:sz w:val="24"/>
          <w:szCs w:val="24"/>
        </w:rPr>
        <w:t xml:space="preserve">1.2 </w:t>
      </w:r>
      <w:r>
        <w:rPr>
          <w:rFonts w:hint="eastAsia" w:ascii="宋体" w:hAnsi="宋体" w:cs="宋体"/>
          <w:bCs/>
          <w:kern w:val="0"/>
          <w:sz w:val="24"/>
          <w:szCs w:val="24"/>
        </w:rPr>
        <w:t>资金来源和落实情况</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1.2.1 本招标项目的资金来源及出资比例：见投标人须知前附表。</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1.2.2 本招标项目的资金落实情况：见投标人须知前附表。</w:t>
      </w:r>
    </w:p>
    <w:p>
      <w:pPr>
        <w:autoSpaceDE w:val="0"/>
        <w:autoSpaceDN w:val="0"/>
        <w:adjustRightInd w:val="0"/>
        <w:spacing w:line="380" w:lineRule="exact"/>
        <w:jc w:val="left"/>
        <w:outlineLvl w:val="0"/>
        <w:rPr>
          <w:rFonts w:ascii="宋体" w:hAnsi="宋体" w:cs="宋体"/>
          <w:kern w:val="0"/>
          <w:sz w:val="24"/>
          <w:szCs w:val="24"/>
        </w:rPr>
      </w:pPr>
      <w:r>
        <w:rPr>
          <w:rFonts w:hint="eastAsia" w:ascii="宋体" w:hAnsi="宋体" w:cs="宋体"/>
          <w:b/>
          <w:kern w:val="0"/>
          <w:sz w:val="24"/>
          <w:szCs w:val="24"/>
        </w:rPr>
        <w:t>1.3</w:t>
      </w:r>
      <w:r>
        <w:rPr>
          <w:rFonts w:hint="eastAsia" w:ascii="宋体" w:hAnsi="宋体" w:cs="宋体"/>
          <w:bCs/>
          <w:kern w:val="0"/>
          <w:sz w:val="24"/>
          <w:szCs w:val="24"/>
        </w:rPr>
        <w:t>招标范围、计划工期、质量要求</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1.3.1 本次招标范围：见投标人须知前附表。</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1.3.2 本招标项目的计划工期：见投标人须知前附表。</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1.3.3 本招标项目的质量要求：见投标人须知前附表。</w:t>
      </w:r>
    </w:p>
    <w:p>
      <w:pPr>
        <w:autoSpaceDE w:val="0"/>
        <w:autoSpaceDN w:val="0"/>
        <w:adjustRightInd w:val="0"/>
        <w:spacing w:line="380" w:lineRule="exact"/>
        <w:jc w:val="left"/>
        <w:outlineLvl w:val="0"/>
        <w:rPr>
          <w:rFonts w:ascii="宋体" w:hAnsi="宋体" w:cs="宋体"/>
          <w:b/>
          <w:kern w:val="0"/>
          <w:sz w:val="24"/>
          <w:szCs w:val="24"/>
        </w:rPr>
      </w:pPr>
      <w:r>
        <w:rPr>
          <w:rFonts w:hint="eastAsia" w:ascii="宋体" w:hAnsi="宋体" w:cs="宋体"/>
          <w:b/>
          <w:kern w:val="0"/>
          <w:sz w:val="24"/>
          <w:szCs w:val="24"/>
        </w:rPr>
        <w:t xml:space="preserve">1.4 </w:t>
      </w:r>
      <w:r>
        <w:rPr>
          <w:rFonts w:hint="eastAsia" w:ascii="宋体" w:hAnsi="宋体" w:cs="宋体"/>
          <w:bCs/>
          <w:kern w:val="0"/>
          <w:sz w:val="24"/>
          <w:szCs w:val="24"/>
        </w:rPr>
        <w:t>投标人资格要求</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1.4.1 投标人不得存在下列情形之一：</w:t>
      </w:r>
    </w:p>
    <w:p>
      <w:pPr>
        <w:autoSpaceDE w:val="0"/>
        <w:autoSpaceDN w:val="0"/>
        <w:adjustRightInd w:val="0"/>
        <w:spacing w:line="380" w:lineRule="exact"/>
        <w:ind w:firstLine="360" w:firstLineChars="150"/>
        <w:jc w:val="left"/>
        <w:outlineLvl w:val="0"/>
        <w:rPr>
          <w:rFonts w:ascii="宋体" w:hAnsi="宋体" w:cs="宋体"/>
          <w:kern w:val="0"/>
          <w:sz w:val="24"/>
          <w:szCs w:val="24"/>
        </w:rPr>
      </w:pPr>
      <w:r>
        <w:rPr>
          <w:rFonts w:hint="eastAsia" w:ascii="宋体" w:hAnsi="宋体" w:cs="宋体"/>
          <w:kern w:val="0"/>
          <w:sz w:val="24"/>
          <w:szCs w:val="24"/>
        </w:rPr>
        <w:t>（1）为招标人不具有独立法人资格的附属机构（单位）；</w:t>
      </w:r>
    </w:p>
    <w:p>
      <w:pPr>
        <w:autoSpaceDE w:val="0"/>
        <w:autoSpaceDN w:val="0"/>
        <w:adjustRightInd w:val="0"/>
        <w:spacing w:line="380" w:lineRule="exact"/>
        <w:ind w:firstLine="360" w:firstLineChars="150"/>
        <w:jc w:val="left"/>
        <w:outlineLvl w:val="0"/>
        <w:rPr>
          <w:rFonts w:ascii="宋体" w:hAnsi="宋体" w:cs="宋体"/>
          <w:kern w:val="0"/>
          <w:sz w:val="24"/>
          <w:szCs w:val="24"/>
        </w:rPr>
      </w:pPr>
      <w:r>
        <w:rPr>
          <w:rFonts w:hint="eastAsia" w:ascii="宋体" w:hAnsi="宋体" w:cs="宋体"/>
          <w:kern w:val="0"/>
          <w:sz w:val="24"/>
          <w:szCs w:val="24"/>
        </w:rPr>
        <w:t>（2）为本招标项目前期准备提供设计或咨询服务的；</w:t>
      </w:r>
    </w:p>
    <w:p>
      <w:pPr>
        <w:autoSpaceDE w:val="0"/>
        <w:autoSpaceDN w:val="0"/>
        <w:adjustRightInd w:val="0"/>
        <w:spacing w:line="380" w:lineRule="exact"/>
        <w:ind w:firstLine="360" w:firstLineChars="150"/>
        <w:jc w:val="left"/>
        <w:outlineLvl w:val="0"/>
        <w:rPr>
          <w:rFonts w:ascii="宋体" w:hAnsi="宋体" w:cs="宋体"/>
          <w:kern w:val="0"/>
          <w:sz w:val="24"/>
          <w:szCs w:val="24"/>
        </w:rPr>
      </w:pPr>
      <w:r>
        <w:rPr>
          <w:rFonts w:hint="eastAsia" w:ascii="宋体" w:hAnsi="宋体" w:cs="宋体"/>
          <w:kern w:val="0"/>
          <w:sz w:val="24"/>
          <w:szCs w:val="24"/>
        </w:rPr>
        <w:t>（3）为本招标项目的监理人；</w:t>
      </w:r>
    </w:p>
    <w:p>
      <w:pPr>
        <w:autoSpaceDE w:val="0"/>
        <w:autoSpaceDN w:val="0"/>
        <w:adjustRightInd w:val="0"/>
        <w:spacing w:line="380" w:lineRule="exact"/>
        <w:ind w:firstLine="360" w:firstLineChars="150"/>
        <w:jc w:val="left"/>
        <w:outlineLvl w:val="0"/>
        <w:rPr>
          <w:rFonts w:ascii="宋体" w:hAnsi="宋体" w:cs="宋体"/>
          <w:kern w:val="0"/>
          <w:sz w:val="24"/>
          <w:szCs w:val="24"/>
        </w:rPr>
      </w:pPr>
      <w:r>
        <w:rPr>
          <w:rFonts w:hint="eastAsia" w:ascii="宋体" w:hAnsi="宋体" w:cs="宋体"/>
          <w:kern w:val="0"/>
          <w:sz w:val="24"/>
          <w:szCs w:val="24"/>
        </w:rPr>
        <w:t>（4）为本招标项目的代建人；</w:t>
      </w:r>
    </w:p>
    <w:p>
      <w:pPr>
        <w:autoSpaceDE w:val="0"/>
        <w:autoSpaceDN w:val="0"/>
        <w:adjustRightInd w:val="0"/>
        <w:spacing w:line="380" w:lineRule="exact"/>
        <w:ind w:firstLine="360" w:firstLineChars="150"/>
        <w:jc w:val="left"/>
        <w:outlineLvl w:val="0"/>
        <w:rPr>
          <w:rFonts w:ascii="宋体" w:hAnsi="宋体" w:cs="宋体"/>
          <w:kern w:val="0"/>
          <w:sz w:val="24"/>
          <w:szCs w:val="24"/>
        </w:rPr>
      </w:pPr>
      <w:r>
        <w:rPr>
          <w:rFonts w:hint="eastAsia" w:ascii="宋体" w:hAnsi="宋体" w:cs="宋体"/>
          <w:kern w:val="0"/>
          <w:sz w:val="24"/>
          <w:szCs w:val="24"/>
        </w:rPr>
        <w:t>（5）为本招标项目提供招标代理服务的；</w:t>
      </w:r>
    </w:p>
    <w:p>
      <w:pPr>
        <w:autoSpaceDE w:val="0"/>
        <w:autoSpaceDN w:val="0"/>
        <w:adjustRightInd w:val="0"/>
        <w:spacing w:line="380" w:lineRule="exact"/>
        <w:ind w:firstLine="360" w:firstLineChars="150"/>
        <w:jc w:val="left"/>
        <w:outlineLvl w:val="0"/>
        <w:rPr>
          <w:rFonts w:ascii="宋体" w:hAnsi="宋体" w:cs="宋体"/>
          <w:kern w:val="0"/>
          <w:sz w:val="24"/>
          <w:szCs w:val="24"/>
        </w:rPr>
      </w:pPr>
      <w:r>
        <w:rPr>
          <w:rFonts w:hint="eastAsia" w:ascii="宋体" w:hAnsi="宋体" w:cs="宋体"/>
          <w:kern w:val="0"/>
          <w:sz w:val="24"/>
          <w:szCs w:val="24"/>
        </w:rPr>
        <w:t>（6）与本招标项目的监理人或代建人或招标代理机构同为一个法定代表人的；</w:t>
      </w:r>
    </w:p>
    <w:p>
      <w:pPr>
        <w:autoSpaceDE w:val="0"/>
        <w:autoSpaceDN w:val="0"/>
        <w:adjustRightInd w:val="0"/>
        <w:spacing w:line="380" w:lineRule="exact"/>
        <w:ind w:firstLine="360" w:firstLineChars="150"/>
        <w:jc w:val="left"/>
        <w:outlineLvl w:val="0"/>
        <w:rPr>
          <w:rFonts w:ascii="宋体" w:hAnsi="宋体" w:cs="宋体"/>
          <w:kern w:val="0"/>
          <w:sz w:val="24"/>
          <w:szCs w:val="24"/>
        </w:rPr>
      </w:pPr>
      <w:r>
        <w:rPr>
          <w:rFonts w:hint="eastAsia" w:ascii="宋体" w:hAnsi="宋体" w:cs="宋体"/>
          <w:kern w:val="0"/>
          <w:sz w:val="24"/>
          <w:szCs w:val="24"/>
        </w:rPr>
        <w:t>（7）与本招标项目的监理人或代建人或招标代理机构相互控股或参股的；</w:t>
      </w:r>
    </w:p>
    <w:p>
      <w:pPr>
        <w:autoSpaceDE w:val="0"/>
        <w:autoSpaceDN w:val="0"/>
        <w:adjustRightInd w:val="0"/>
        <w:spacing w:line="380" w:lineRule="exact"/>
        <w:ind w:firstLine="360" w:firstLineChars="150"/>
        <w:jc w:val="left"/>
        <w:outlineLvl w:val="0"/>
        <w:rPr>
          <w:rFonts w:ascii="宋体" w:hAnsi="宋体" w:cs="宋体"/>
          <w:kern w:val="0"/>
          <w:sz w:val="24"/>
          <w:szCs w:val="24"/>
        </w:rPr>
      </w:pPr>
      <w:r>
        <w:rPr>
          <w:rFonts w:hint="eastAsia" w:ascii="宋体" w:hAnsi="宋体" w:cs="宋体"/>
          <w:kern w:val="0"/>
          <w:sz w:val="24"/>
          <w:szCs w:val="24"/>
        </w:rPr>
        <w:t>（8）与本招标项目的监理人或代建人或招标代理机构相互任职或工作的；</w:t>
      </w:r>
    </w:p>
    <w:p>
      <w:pPr>
        <w:autoSpaceDE w:val="0"/>
        <w:autoSpaceDN w:val="0"/>
        <w:adjustRightInd w:val="0"/>
        <w:spacing w:line="380" w:lineRule="exact"/>
        <w:ind w:firstLine="360" w:firstLineChars="150"/>
        <w:jc w:val="left"/>
        <w:outlineLvl w:val="0"/>
        <w:rPr>
          <w:rFonts w:ascii="宋体" w:hAnsi="宋体" w:cs="宋体"/>
          <w:kern w:val="0"/>
          <w:sz w:val="24"/>
          <w:szCs w:val="24"/>
        </w:rPr>
      </w:pPr>
      <w:r>
        <w:rPr>
          <w:rFonts w:hint="eastAsia" w:ascii="宋体" w:hAnsi="宋体" w:cs="宋体"/>
          <w:kern w:val="0"/>
          <w:sz w:val="24"/>
          <w:szCs w:val="24"/>
        </w:rPr>
        <w:t>（9）被责令停业的；</w:t>
      </w:r>
    </w:p>
    <w:p>
      <w:pPr>
        <w:autoSpaceDE w:val="0"/>
        <w:autoSpaceDN w:val="0"/>
        <w:adjustRightInd w:val="0"/>
        <w:spacing w:line="380" w:lineRule="exact"/>
        <w:ind w:firstLine="360" w:firstLineChars="150"/>
        <w:jc w:val="left"/>
        <w:outlineLvl w:val="0"/>
        <w:rPr>
          <w:rFonts w:ascii="宋体" w:hAnsi="宋体" w:cs="宋体"/>
          <w:kern w:val="0"/>
          <w:sz w:val="24"/>
          <w:szCs w:val="24"/>
        </w:rPr>
      </w:pPr>
      <w:r>
        <w:rPr>
          <w:rFonts w:hint="eastAsia" w:ascii="宋体" w:hAnsi="宋体" w:cs="宋体"/>
          <w:kern w:val="0"/>
          <w:sz w:val="24"/>
          <w:szCs w:val="24"/>
        </w:rPr>
        <w:t>（10）被暂停或取消投标资格的；</w:t>
      </w:r>
    </w:p>
    <w:p>
      <w:pPr>
        <w:autoSpaceDE w:val="0"/>
        <w:autoSpaceDN w:val="0"/>
        <w:adjustRightInd w:val="0"/>
        <w:spacing w:line="380" w:lineRule="exact"/>
        <w:ind w:firstLine="360" w:firstLineChars="150"/>
        <w:jc w:val="left"/>
        <w:outlineLvl w:val="0"/>
        <w:rPr>
          <w:rFonts w:ascii="宋体" w:hAnsi="宋体" w:cs="宋体"/>
          <w:kern w:val="0"/>
          <w:sz w:val="24"/>
          <w:szCs w:val="24"/>
        </w:rPr>
      </w:pPr>
      <w:r>
        <w:rPr>
          <w:rFonts w:hint="eastAsia" w:ascii="宋体" w:hAnsi="宋体" w:cs="宋体"/>
          <w:kern w:val="0"/>
          <w:sz w:val="24"/>
          <w:szCs w:val="24"/>
        </w:rPr>
        <w:t>（11）财产被接管或冻结的；</w:t>
      </w:r>
    </w:p>
    <w:p>
      <w:pPr>
        <w:autoSpaceDE w:val="0"/>
        <w:autoSpaceDN w:val="0"/>
        <w:adjustRightInd w:val="0"/>
        <w:spacing w:line="380" w:lineRule="exact"/>
        <w:ind w:firstLine="360" w:firstLineChars="150"/>
        <w:jc w:val="left"/>
        <w:outlineLvl w:val="0"/>
        <w:rPr>
          <w:rFonts w:ascii="宋体" w:hAnsi="宋体" w:cs="宋体"/>
          <w:kern w:val="0"/>
          <w:sz w:val="24"/>
          <w:szCs w:val="24"/>
        </w:rPr>
      </w:pPr>
      <w:r>
        <w:rPr>
          <w:rFonts w:hint="eastAsia" w:ascii="宋体" w:hAnsi="宋体" w:cs="宋体"/>
          <w:kern w:val="0"/>
          <w:sz w:val="24"/>
          <w:szCs w:val="24"/>
        </w:rPr>
        <w:t>（12）在最近三年内有骗取中标或严重违约或重大工程质量问题的；</w:t>
      </w:r>
    </w:p>
    <w:p>
      <w:pPr>
        <w:autoSpaceDE w:val="0"/>
        <w:autoSpaceDN w:val="0"/>
        <w:adjustRightInd w:val="0"/>
        <w:spacing w:line="380" w:lineRule="exact"/>
        <w:ind w:firstLine="360" w:firstLineChars="150"/>
        <w:jc w:val="left"/>
        <w:outlineLvl w:val="0"/>
        <w:rPr>
          <w:rFonts w:ascii="宋体" w:hAnsi="宋体" w:cs="宋体"/>
          <w:kern w:val="0"/>
          <w:sz w:val="24"/>
          <w:szCs w:val="24"/>
        </w:rPr>
      </w:pPr>
      <w:r>
        <w:rPr>
          <w:rFonts w:hint="eastAsia" w:ascii="宋体" w:hAnsi="宋体" w:cs="宋体"/>
          <w:kern w:val="0"/>
          <w:sz w:val="24"/>
          <w:szCs w:val="24"/>
        </w:rPr>
        <w:t>（13）经评标委员会认定会对承担本项目造成重大影响的正在诉讼的案件；</w:t>
      </w:r>
    </w:p>
    <w:p>
      <w:pPr>
        <w:autoSpaceDE w:val="0"/>
        <w:autoSpaceDN w:val="0"/>
        <w:adjustRightInd w:val="0"/>
        <w:spacing w:line="380" w:lineRule="exact"/>
        <w:ind w:firstLine="360" w:firstLineChars="150"/>
        <w:jc w:val="left"/>
        <w:outlineLvl w:val="0"/>
        <w:rPr>
          <w:rFonts w:ascii="宋体" w:hAnsi="宋体" w:cs="宋体"/>
          <w:kern w:val="0"/>
          <w:sz w:val="24"/>
          <w:szCs w:val="24"/>
        </w:rPr>
      </w:pPr>
      <w:r>
        <w:rPr>
          <w:rFonts w:hint="eastAsia" w:ascii="宋体" w:hAnsi="宋体" w:cs="宋体"/>
          <w:kern w:val="0"/>
          <w:sz w:val="24"/>
          <w:szCs w:val="24"/>
        </w:rPr>
        <w:t>（14）为投资参股本项目的法人单位。</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1.5</w:t>
      </w:r>
      <w:r>
        <w:rPr>
          <w:rFonts w:hint="eastAsia" w:ascii="宋体" w:hAnsi="宋体" w:cs="宋体"/>
          <w:kern w:val="0"/>
          <w:sz w:val="24"/>
        </w:rPr>
        <w:t xml:space="preserve"> 费用承担</w:t>
      </w:r>
    </w:p>
    <w:p>
      <w:pPr>
        <w:widowControl/>
        <w:autoSpaceDE w:val="0"/>
        <w:autoSpaceDN w:val="0"/>
        <w:adjustRightInd w:val="0"/>
        <w:spacing w:line="400" w:lineRule="exact"/>
        <w:ind w:firstLine="480" w:firstLineChars="200"/>
        <w:jc w:val="left"/>
        <w:rPr>
          <w:rFonts w:ascii="宋体" w:hAnsi="宋体" w:cs="宋体"/>
          <w:b/>
          <w:kern w:val="0"/>
          <w:sz w:val="24"/>
        </w:rPr>
      </w:pPr>
      <w:r>
        <w:rPr>
          <w:rFonts w:hint="eastAsia" w:ascii="宋体" w:hAnsi="宋体" w:cs="宋体"/>
          <w:kern w:val="0"/>
          <w:sz w:val="24"/>
        </w:rPr>
        <w:t>投标人准备和参加投标活动发生的费用自理。</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1.6</w:t>
      </w:r>
      <w:r>
        <w:rPr>
          <w:rFonts w:hint="eastAsia" w:ascii="宋体" w:hAnsi="宋体" w:cs="宋体"/>
          <w:kern w:val="0"/>
          <w:sz w:val="24"/>
        </w:rPr>
        <w:t xml:space="preserve"> 保密</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参与招标投标活动的各方应对招标文件和投标文件中的商业和技术等秘密保密，违者应对由此造成的后果承担法律责任。</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1.7</w:t>
      </w:r>
      <w:r>
        <w:rPr>
          <w:rFonts w:hint="eastAsia" w:ascii="宋体" w:hAnsi="宋体" w:cs="宋体"/>
          <w:kern w:val="0"/>
          <w:sz w:val="24"/>
        </w:rPr>
        <w:t xml:space="preserve"> 语言文字</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除专用术语外，与招标投标有关的语言均使用中文。必要时专用术语应附有中文注释。</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1.8</w:t>
      </w:r>
      <w:r>
        <w:rPr>
          <w:rFonts w:hint="eastAsia" w:ascii="宋体" w:hAnsi="宋体" w:cs="宋体"/>
          <w:kern w:val="0"/>
          <w:sz w:val="24"/>
        </w:rPr>
        <w:t xml:space="preserve"> 计量单位</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所有计量均采用中华人民共和国法定计量单位。</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1.9</w:t>
      </w:r>
      <w:r>
        <w:rPr>
          <w:rFonts w:hint="eastAsia" w:ascii="宋体" w:hAnsi="宋体" w:cs="宋体"/>
          <w:kern w:val="0"/>
          <w:sz w:val="24"/>
        </w:rPr>
        <w:t xml:space="preserve"> 踏勘现场</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1.9.1 投标人须知前附表规定不组织踏勘现场的，由投标人自行规定时间、地点组织踏勘项目现场。</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1.9.2 投标人踏勘现场发生的费用自理。</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1.9.3 除招标人的原因外，投标人自行负责在踏勘现场中所发生的人员伤亡和财产损失。</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1.9.4 招标人在踏勘现场中介绍的工程场地和相关的周边环境情况，供投标人在编制投标文件时参考，招标人不对投标人据此作出的判断和决策负责。</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1.10</w:t>
      </w:r>
      <w:r>
        <w:rPr>
          <w:rFonts w:hint="eastAsia" w:ascii="宋体" w:hAnsi="宋体" w:cs="宋体"/>
          <w:kern w:val="0"/>
          <w:sz w:val="24"/>
        </w:rPr>
        <w:t xml:space="preserve"> 投标预备会（无）</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1.11</w:t>
      </w:r>
      <w:r>
        <w:rPr>
          <w:rFonts w:hint="eastAsia" w:ascii="宋体" w:hAnsi="宋体" w:cs="宋体"/>
          <w:kern w:val="0"/>
          <w:sz w:val="24"/>
        </w:rPr>
        <w:t xml:space="preserve"> 分包（不允许）</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1.12</w:t>
      </w:r>
      <w:r>
        <w:rPr>
          <w:rFonts w:hint="eastAsia" w:ascii="宋体" w:hAnsi="宋体" w:cs="宋体"/>
          <w:kern w:val="0"/>
          <w:sz w:val="24"/>
        </w:rPr>
        <w:t xml:space="preserve"> 偏离（不允许）</w:t>
      </w:r>
    </w:p>
    <w:p>
      <w:pPr>
        <w:pStyle w:val="106"/>
        <w:widowControl/>
        <w:spacing w:line="400" w:lineRule="exact"/>
        <w:outlineLvl w:val="0"/>
        <w:rPr>
          <w:rFonts w:hAnsi="宋体" w:cs="宋体"/>
          <w:color w:val="auto"/>
          <w:sz w:val="28"/>
        </w:rPr>
      </w:pPr>
      <w:r>
        <w:rPr>
          <w:rFonts w:hint="eastAsia" w:hAnsi="宋体" w:cs="宋体"/>
          <w:b/>
          <w:color w:val="auto"/>
          <w:sz w:val="28"/>
        </w:rPr>
        <w:t>2.</w:t>
      </w:r>
      <w:r>
        <w:rPr>
          <w:rFonts w:hint="eastAsia" w:hAnsi="宋体" w:cs="宋体"/>
          <w:color w:val="auto"/>
          <w:sz w:val="32"/>
          <w:szCs w:val="32"/>
        </w:rPr>
        <w:t>招标文件</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2.1</w:t>
      </w:r>
      <w:r>
        <w:rPr>
          <w:rFonts w:hint="eastAsia" w:ascii="宋体" w:hAnsi="宋体" w:cs="宋体"/>
          <w:kern w:val="0"/>
          <w:sz w:val="24"/>
        </w:rPr>
        <w:t xml:space="preserve"> 招标文件的组成</w:t>
      </w:r>
    </w:p>
    <w:p>
      <w:pPr>
        <w:widowControl/>
        <w:tabs>
          <w:tab w:val="left" w:pos="1260"/>
        </w:tabs>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本招标文件包括：</w:t>
      </w:r>
    </w:p>
    <w:p>
      <w:pPr>
        <w:widowControl/>
        <w:tabs>
          <w:tab w:val="left" w:pos="1260"/>
        </w:tabs>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（1）招标公告</w:t>
      </w:r>
    </w:p>
    <w:p>
      <w:pPr>
        <w:pStyle w:val="111"/>
        <w:snapToGrid w:val="0"/>
        <w:spacing w:line="400" w:lineRule="exact"/>
        <w:ind w:firstLine="480" w:firstLineChars="200"/>
        <w:jc w:val="left"/>
        <w:rPr>
          <w:rFonts w:ascii="宋体" w:hAnsi="宋体" w:cs="宋体"/>
          <w:sz w:val="24"/>
        </w:rPr>
      </w:pPr>
      <w:r>
        <w:rPr>
          <w:rFonts w:hint="eastAsia" w:ascii="宋体" w:hAnsi="宋体" w:cs="宋体"/>
          <w:sz w:val="24"/>
        </w:rPr>
        <w:t>（2）投标人须知；</w:t>
      </w:r>
    </w:p>
    <w:p>
      <w:pPr>
        <w:pStyle w:val="111"/>
        <w:snapToGrid w:val="0"/>
        <w:spacing w:line="400" w:lineRule="exact"/>
        <w:ind w:firstLine="480" w:firstLineChars="200"/>
        <w:jc w:val="left"/>
        <w:rPr>
          <w:rFonts w:ascii="宋体" w:hAnsi="宋体" w:cs="宋体"/>
          <w:sz w:val="24"/>
        </w:rPr>
      </w:pPr>
      <w:r>
        <w:rPr>
          <w:rFonts w:hint="eastAsia" w:ascii="宋体" w:hAnsi="宋体" w:cs="宋体"/>
          <w:sz w:val="24"/>
        </w:rPr>
        <w:t>（3）评标办法；</w:t>
      </w:r>
    </w:p>
    <w:p>
      <w:pPr>
        <w:pStyle w:val="111"/>
        <w:snapToGrid w:val="0"/>
        <w:spacing w:line="400" w:lineRule="exact"/>
        <w:ind w:firstLine="480" w:firstLineChars="200"/>
        <w:jc w:val="left"/>
        <w:rPr>
          <w:rFonts w:ascii="宋体" w:hAnsi="宋体" w:cs="宋体"/>
          <w:sz w:val="24"/>
        </w:rPr>
      </w:pPr>
      <w:r>
        <w:rPr>
          <w:rFonts w:hint="eastAsia" w:ascii="宋体" w:hAnsi="宋体" w:cs="宋体"/>
          <w:sz w:val="24"/>
        </w:rPr>
        <w:t>（4）合同格式（仅供参考）；</w:t>
      </w:r>
    </w:p>
    <w:p>
      <w:pPr>
        <w:pStyle w:val="111"/>
        <w:snapToGrid w:val="0"/>
        <w:spacing w:line="400" w:lineRule="exact"/>
        <w:ind w:firstLine="480" w:firstLineChars="200"/>
        <w:jc w:val="left"/>
        <w:rPr>
          <w:rFonts w:ascii="宋体" w:hAnsi="宋体" w:cs="宋体"/>
          <w:sz w:val="24"/>
        </w:rPr>
      </w:pPr>
      <w:r>
        <w:rPr>
          <w:rFonts w:hint="eastAsia" w:ascii="宋体" w:hAnsi="宋体" w:cs="宋体"/>
          <w:sz w:val="24"/>
        </w:rPr>
        <w:t>（5）投标文件格式。</w:t>
      </w:r>
    </w:p>
    <w:p>
      <w:pPr>
        <w:tabs>
          <w:tab w:val="left" w:pos="1260"/>
        </w:tabs>
        <w:autoSpaceDE w:val="0"/>
        <w:autoSpaceDN w:val="0"/>
        <w:adjustRightInd w:val="0"/>
        <w:spacing w:line="420" w:lineRule="exact"/>
        <w:ind w:firstLine="480" w:firstLineChars="200"/>
        <w:jc w:val="left"/>
        <w:rPr>
          <w:rFonts w:ascii="宋体" w:hAnsi="宋体" w:cs="宋体"/>
          <w:kern w:val="0"/>
          <w:sz w:val="24"/>
        </w:rPr>
      </w:pPr>
      <w:r>
        <w:rPr>
          <w:rFonts w:hint="eastAsia" w:ascii="宋体" w:hAnsi="宋体" w:cs="宋体"/>
          <w:kern w:val="0"/>
          <w:sz w:val="24"/>
        </w:rPr>
        <w:t>根据本章第2.2 款和第2.3 款对招标文件所作的澄清、修改，构成招标文件的组成部分。</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2.2</w:t>
      </w:r>
      <w:r>
        <w:rPr>
          <w:rFonts w:hint="eastAsia" w:ascii="宋体" w:hAnsi="宋体" w:cs="宋体"/>
          <w:kern w:val="0"/>
          <w:sz w:val="24"/>
        </w:rPr>
        <w:t xml:space="preserve"> 招标文件的澄清</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2.2.1 投标人应仔细阅读和检查招标文件的全部内容。如发现缺页或附件不全，应及时向招标人提出，以便补齐。如有疑问，应在投标人须知前附表规定的时间前要求招标人对招标文件予以澄清。如未提出异议，视为全面接受招标文件的实质性条款。</w:t>
      </w:r>
    </w:p>
    <w:p>
      <w:pPr>
        <w:autoSpaceDE w:val="0"/>
        <w:autoSpaceDN w:val="0"/>
        <w:adjustRightInd w:val="0"/>
        <w:spacing w:line="450" w:lineRule="exact"/>
        <w:jc w:val="left"/>
        <w:rPr>
          <w:rFonts w:ascii="宋体" w:hAnsi="宋体" w:cs="宋体"/>
          <w:kern w:val="0"/>
          <w:sz w:val="24"/>
        </w:rPr>
      </w:pPr>
      <w:r>
        <w:rPr>
          <w:rFonts w:hint="eastAsia" w:ascii="宋体" w:hAnsi="宋体" w:cs="宋体"/>
          <w:kern w:val="0"/>
          <w:sz w:val="24"/>
        </w:rPr>
        <w:t xml:space="preserve">    2.2.2 </w:t>
      </w:r>
      <w:r>
        <w:rPr>
          <w:rFonts w:hint="eastAsia" w:ascii="新宋体" w:hAnsi="新宋体" w:eastAsia="新宋体" w:cs="仿宋_GB2312"/>
          <w:sz w:val="24"/>
        </w:rPr>
        <w:t>招标文件的澄清将在投标人须知前附表规定的投标截止时间</w:t>
      </w:r>
      <w:r>
        <w:rPr>
          <w:rFonts w:ascii="新宋体" w:hAnsi="新宋体" w:eastAsia="新宋体" w:cs="TimesNewRomanPSMT"/>
          <w:sz w:val="24"/>
        </w:rPr>
        <w:t>1</w:t>
      </w:r>
      <w:r>
        <w:rPr>
          <w:rFonts w:hint="eastAsia" w:ascii="新宋体" w:hAnsi="新宋体" w:eastAsia="新宋体" w:cs="TimesNewRomanPSMT"/>
          <w:sz w:val="24"/>
        </w:rPr>
        <w:t>0</w:t>
      </w:r>
      <w:r>
        <w:rPr>
          <w:rFonts w:hint="eastAsia" w:ascii="新宋体" w:hAnsi="新宋体" w:eastAsia="新宋体" w:cs="仿宋_GB2312"/>
          <w:sz w:val="24"/>
        </w:rPr>
        <w:t>天前通过全国公共资源交易平台（河南省·许昌市）发出，但不指明澄清问题的来源。如果澄清发出的时间距投标截止时间不足</w:t>
      </w:r>
      <w:r>
        <w:rPr>
          <w:rFonts w:ascii="新宋体" w:hAnsi="新宋体" w:eastAsia="新宋体" w:cs="TimesNewRomanPSMT"/>
          <w:sz w:val="24"/>
        </w:rPr>
        <w:t>1</w:t>
      </w:r>
      <w:r>
        <w:rPr>
          <w:rFonts w:hint="eastAsia" w:ascii="新宋体" w:hAnsi="新宋体" w:eastAsia="新宋体" w:cs="TimesNewRomanPSMT"/>
          <w:sz w:val="24"/>
        </w:rPr>
        <w:t>0</w:t>
      </w:r>
      <w:r>
        <w:rPr>
          <w:rFonts w:hint="eastAsia" w:ascii="新宋体" w:hAnsi="新宋体" w:eastAsia="新宋体" w:cs="仿宋_GB2312"/>
          <w:sz w:val="24"/>
        </w:rPr>
        <w:t>天，相应延长投标截止时间。</w:t>
      </w:r>
    </w:p>
    <w:p>
      <w:pPr>
        <w:autoSpaceDE w:val="0"/>
        <w:autoSpaceDN w:val="0"/>
        <w:adjustRightInd w:val="0"/>
        <w:spacing w:line="450" w:lineRule="exact"/>
        <w:jc w:val="left"/>
        <w:rPr>
          <w:rFonts w:ascii="宋体" w:hAnsi="宋体" w:cs="仿宋_GB2312"/>
          <w:sz w:val="24"/>
        </w:rPr>
      </w:pPr>
      <w:r>
        <w:rPr>
          <w:rFonts w:hint="eastAsia" w:ascii="宋体" w:hAnsi="宋体" w:cs="宋体"/>
          <w:kern w:val="0"/>
          <w:sz w:val="24"/>
        </w:rPr>
        <w:t xml:space="preserve">    2.2.3 所有澄清、答疑全部以全国公共资源交易平台（河南省·许昌市）发出的为准，不再接受书面形式的递交。</w:t>
      </w:r>
    </w:p>
    <w:p>
      <w:pPr>
        <w:widowControl/>
        <w:autoSpaceDE w:val="0"/>
        <w:autoSpaceDN w:val="0"/>
        <w:adjustRightInd w:val="0"/>
        <w:spacing w:line="400" w:lineRule="exact"/>
        <w:jc w:val="left"/>
        <w:rPr>
          <w:rFonts w:ascii="宋体" w:hAnsi="宋体" w:cs="宋体"/>
          <w:kern w:val="0"/>
          <w:sz w:val="24"/>
        </w:rPr>
      </w:pPr>
      <w:r>
        <w:rPr>
          <w:rFonts w:hint="eastAsia" w:ascii="宋体" w:hAnsi="宋体" w:cs="宋体"/>
          <w:b/>
          <w:kern w:val="0"/>
          <w:sz w:val="24"/>
        </w:rPr>
        <w:t xml:space="preserve">2.3 </w:t>
      </w:r>
      <w:r>
        <w:rPr>
          <w:rFonts w:hint="eastAsia" w:ascii="宋体" w:hAnsi="宋体" w:cs="宋体"/>
          <w:kern w:val="0"/>
          <w:sz w:val="24"/>
        </w:rPr>
        <w:t>招标文件的修改</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2.3.1 在投标截止时间10天前，招标人可以修改招标文件，如果修改招标文件的时间距投标截止时间不足10天，相应延长投标截止时间。</w:t>
      </w:r>
    </w:p>
    <w:p>
      <w:pPr>
        <w:autoSpaceDE w:val="0"/>
        <w:autoSpaceDN w:val="0"/>
        <w:spacing w:line="420" w:lineRule="exact"/>
        <w:ind w:firstLine="480" w:firstLineChars="200"/>
        <w:jc w:val="left"/>
        <w:outlineLvl w:val="0"/>
        <w:rPr>
          <w:rFonts w:hAnsi="宋体" w:cs="宋体"/>
          <w:sz w:val="24"/>
        </w:rPr>
      </w:pPr>
      <w:r>
        <w:rPr>
          <w:rFonts w:hint="eastAsia" w:ascii="宋体"/>
          <w:kern w:val="0"/>
          <w:sz w:val="24"/>
          <w:szCs w:val="24"/>
        </w:rPr>
        <w:t>2</w:t>
      </w:r>
      <w:r>
        <w:rPr>
          <w:rFonts w:hint="eastAsia" w:ascii="宋体" w:hAnsi="宋体" w:cs="宋体"/>
          <w:kern w:val="0"/>
          <w:sz w:val="24"/>
          <w:szCs w:val="24"/>
        </w:rPr>
        <w:t>.3.2</w:t>
      </w:r>
      <w:r>
        <w:rPr>
          <w:rFonts w:hint="eastAsia" w:hAnsi="宋体" w:cs="宋体"/>
          <w:sz w:val="24"/>
        </w:rPr>
        <w:t>当招标文件、补充通知、答疑纪要，内容相互矛盾时，以最后发出的通知或纪要为准。</w:t>
      </w:r>
    </w:p>
    <w:p>
      <w:pPr>
        <w:widowControl/>
        <w:autoSpaceDE w:val="0"/>
        <w:autoSpaceDN w:val="0"/>
        <w:adjustRightInd w:val="0"/>
        <w:spacing w:line="400" w:lineRule="exact"/>
        <w:jc w:val="left"/>
        <w:rPr>
          <w:b/>
          <w:bCs/>
          <w:sz w:val="28"/>
        </w:rPr>
      </w:pPr>
      <w:r>
        <w:rPr>
          <w:rFonts w:hint="eastAsia"/>
          <w:b/>
          <w:sz w:val="28"/>
        </w:rPr>
        <w:t>3.</w:t>
      </w:r>
      <w:r>
        <w:rPr>
          <w:rFonts w:hint="eastAsia"/>
          <w:sz w:val="32"/>
          <w:szCs w:val="32"/>
        </w:rPr>
        <w:t>投标文件</w:t>
      </w:r>
    </w:p>
    <w:p>
      <w:pPr>
        <w:autoSpaceDE w:val="0"/>
        <w:autoSpaceDN w:val="0"/>
        <w:spacing w:line="420" w:lineRule="exact"/>
        <w:jc w:val="left"/>
        <w:outlineLvl w:val="0"/>
        <w:rPr>
          <w:rFonts w:hAnsi="宋体" w:cs="宋体"/>
          <w:sz w:val="24"/>
        </w:rPr>
      </w:pPr>
      <w:r>
        <w:rPr>
          <w:rFonts w:hint="eastAsia" w:ascii="宋体" w:hAnsi="宋体" w:cs="宋体"/>
          <w:b/>
          <w:kern w:val="0"/>
          <w:sz w:val="24"/>
        </w:rPr>
        <w:t>3.1</w:t>
      </w:r>
      <w:r>
        <w:rPr>
          <w:rFonts w:hint="eastAsia" w:hAnsi="宋体" w:cs="宋体"/>
          <w:sz w:val="24"/>
        </w:rPr>
        <w:t>投标文件组成：</w:t>
      </w:r>
    </w:p>
    <w:p>
      <w:pPr>
        <w:numPr>
          <w:ilvl w:val="0"/>
          <w:numId w:val="4"/>
        </w:num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投标函及投标函附录；</w:t>
      </w:r>
    </w:p>
    <w:p>
      <w:p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（2）法定代表人身份证明；</w:t>
      </w:r>
    </w:p>
    <w:p>
      <w:p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（3）授权委托书；</w:t>
      </w:r>
    </w:p>
    <w:p>
      <w:p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（4）联合体协议书；</w:t>
      </w:r>
    </w:p>
    <w:p>
      <w:p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（5）联合体牵头人授权委托书；</w:t>
      </w:r>
    </w:p>
    <w:p>
      <w:p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（6）投标保证金及信用保证金；</w:t>
      </w:r>
    </w:p>
    <w:p>
      <w:p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（7）施工组织设计；</w:t>
      </w:r>
    </w:p>
    <w:p>
      <w:p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（8）项目管理机构；</w:t>
      </w:r>
    </w:p>
    <w:p>
      <w:p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（9）资格审查资料；</w:t>
      </w:r>
    </w:p>
    <w:p>
      <w:p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（10）其他材料。</w:t>
      </w:r>
    </w:p>
    <w:p>
      <w:pPr>
        <w:autoSpaceDE w:val="0"/>
        <w:autoSpaceDN w:val="0"/>
        <w:adjustRightInd w:val="0"/>
        <w:spacing w:line="420" w:lineRule="exact"/>
        <w:jc w:val="left"/>
        <w:rPr>
          <w:rFonts w:ascii="宋体" w:hAnsi="宋体" w:cs="宋体"/>
          <w:bCs/>
          <w:kern w:val="0"/>
          <w:sz w:val="24"/>
        </w:rPr>
      </w:pPr>
      <w:r>
        <w:rPr>
          <w:rFonts w:hint="eastAsia" w:ascii="宋体" w:hAnsi="宋体" w:cs="宋体"/>
          <w:b/>
          <w:kern w:val="0"/>
          <w:sz w:val="24"/>
        </w:rPr>
        <w:t>3.2</w:t>
      </w:r>
      <w:r>
        <w:rPr>
          <w:rFonts w:hint="eastAsia" w:hAnsi="宋体" w:cs="宋体"/>
          <w:bCs/>
          <w:sz w:val="24"/>
        </w:rPr>
        <w:t>投标有效期</w:t>
      </w:r>
    </w:p>
    <w:p>
      <w:pPr>
        <w:spacing w:line="380" w:lineRule="exact"/>
        <w:ind w:firstLine="480" w:firstLineChars="200"/>
        <w:rPr>
          <w:rFonts w:ascii="宋体" w:hAnsi="宋体" w:cs="宋体"/>
          <w:sz w:val="24"/>
        </w:rPr>
      </w:pPr>
      <w:r>
        <w:rPr>
          <w:rFonts w:hint="eastAsia" w:ascii="宋体" w:hAnsi="宋体" w:cs="宋体"/>
          <w:sz w:val="24"/>
        </w:rPr>
        <w:t>3.2.1 在投标人须知前附表规定的投标有效期内，投标人不得要求撤销或修改其投标文件。</w:t>
      </w:r>
    </w:p>
    <w:p>
      <w:pPr>
        <w:spacing w:line="420" w:lineRule="exact"/>
        <w:ind w:firstLine="480" w:firstLineChars="200"/>
        <w:rPr>
          <w:rFonts w:ascii="宋体" w:hAnsi="宋体" w:cs="宋体"/>
          <w:sz w:val="24"/>
        </w:rPr>
      </w:pPr>
      <w:r>
        <w:rPr>
          <w:rFonts w:hint="eastAsia" w:ascii="宋体" w:hAnsi="宋体" w:cs="宋体"/>
          <w:sz w:val="24"/>
        </w:rPr>
        <w:t>3.2.2 出现特殊情况需要延长投标有效期的，招标人在</w:t>
      </w:r>
      <w:r>
        <w:rPr>
          <w:rFonts w:hint="eastAsia" w:ascii="宋体" w:hAnsi="宋体" w:cs="宋体"/>
          <w:kern w:val="0"/>
          <w:sz w:val="24"/>
        </w:rPr>
        <w:t>全国公共资源交易平台（河南省·许昌市）发出</w:t>
      </w:r>
      <w:r>
        <w:rPr>
          <w:rFonts w:hint="eastAsia" w:ascii="宋体" w:hAnsi="宋体" w:cs="宋体"/>
          <w:sz w:val="24"/>
        </w:rPr>
        <w:t>延长投标有效期的通知。投标人同意延长的，应相应延长其投标保证金的有效期，但不得要求或被允许修改或撤销其投标文件；投标人拒绝延长的，其投标失效，但投标人有权收回其投标保证金。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20" w:lineRule="exact"/>
        <w:jc w:val="left"/>
        <w:outlineLvl w:val="0"/>
        <w:rPr>
          <w:rFonts w:ascii="宋体" w:hAnsi="宋体" w:cs="宋体"/>
          <w:bCs/>
          <w:kern w:val="0"/>
          <w:sz w:val="24"/>
        </w:rPr>
      </w:pPr>
      <w:r>
        <w:rPr>
          <w:rFonts w:hint="eastAsia" w:ascii="宋体" w:hAnsi="宋体" w:cs="宋体"/>
          <w:b/>
          <w:kern w:val="0"/>
          <w:sz w:val="24"/>
        </w:rPr>
        <w:t>3.3</w:t>
      </w:r>
      <w:r>
        <w:rPr>
          <w:rFonts w:hint="eastAsia" w:hAnsi="宋体" w:cs="宋体"/>
          <w:bCs/>
          <w:sz w:val="24"/>
        </w:rPr>
        <w:t>投标保证金</w:t>
      </w:r>
    </w:p>
    <w:p>
      <w:pPr>
        <w:pStyle w:val="24"/>
        <w:spacing w:line="420" w:lineRule="exact"/>
        <w:ind w:firstLine="480" w:firstLineChars="200"/>
        <w:rPr>
          <w:rFonts w:hAnsi="宋体" w:cs="宋体"/>
          <w:sz w:val="24"/>
        </w:rPr>
      </w:pPr>
      <w:r>
        <w:rPr>
          <w:rFonts w:hint="eastAsia" w:hAnsi="宋体" w:cs="宋体"/>
          <w:sz w:val="24"/>
        </w:rPr>
        <w:t>3.3.1投标人应按投标人须知前附表后规定缴纳投标保证金。</w:t>
      </w:r>
    </w:p>
    <w:p>
      <w:pPr>
        <w:pStyle w:val="24"/>
        <w:spacing w:line="420" w:lineRule="exact"/>
        <w:ind w:firstLine="480" w:firstLineChars="200"/>
        <w:rPr>
          <w:rFonts w:hAnsi="宋体" w:cs="宋体"/>
          <w:sz w:val="24"/>
        </w:rPr>
      </w:pPr>
      <w:r>
        <w:rPr>
          <w:rFonts w:hint="eastAsia" w:hAnsi="宋体" w:cs="宋体"/>
          <w:sz w:val="24"/>
        </w:rPr>
        <w:t>3.3.2投标人有下列情形之一的，不予退还投标保证金：</w:t>
      </w:r>
    </w:p>
    <w:p>
      <w:pPr>
        <w:pStyle w:val="24"/>
        <w:spacing w:line="420" w:lineRule="exact"/>
        <w:rPr>
          <w:rFonts w:hAnsi="宋体" w:cs="宋体"/>
          <w:sz w:val="24"/>
        </w:rPr>
      </w:pPr>
      <w:r>
        <w:rPr>
          <w:rFonts w:hint="eastAsia" w:hAnsi="宋体" w:cs="宋体"/>
          <w:sz w:val="24"/>
        </w:rPr>
        <w:t xml:space="preserve">　　（一）在招标文件要求提交投标文件的截止时间后至投标文件有效期满前撤回投标的； </w:t>
      </w:r>
    </w:p>
    <w:p>
      <w:pPr>
        <w:pStyle w:val="24"/>
        <w:spacing w:line="420" w:lineRule="exact"/>
        <w:rPr>
          <w:rFonts w:hAnsi="宋体" w:cs="宋体"/>
          <w:sz w:val="24"/>
        </w:rPr>
      </w:pPr>
      <w:r>
        <w:rPr>
          <w:rFonts w:hint="eastAsia" w:hAnsi="宋体" w:cs="宋体"/>
          <w:sz w:val="24"/>
        </w:rPr>
        <w:t xml:space="preserve">    （二）中标通知书发出后，中标人无故放弃中标项目或无正当理由在规定时间内不与招标人签订合同或未按招标文件规定提交履约保证金的； </w:t>
      </w:r>
    </w:p>
    <w:p>
      <w:pPr>
        <w:pStyle w:val="24"/>
        <w:spacing w:line="420" w:lineRule="exact"/>
        <w:rPr>
          <w:rFonts w:hAnsi="宋体" w:cs="宋体"/>
          <w:sz w:val="24"/>
        </w:rPr>
      </w:pPr>
      <w:r>
        <w:rPr>
          <w:rFonts w:hint="eastAsia" w:hAnsi="宋体" w:cs="宋体"/>
          <w:sz w:val="24"/>
        </w:rPr>
        <w:t xml:space="preserve">    （三）将中标项目转让给他人，或者在投标文件中未说明，且未经招标人同意，将中标项目分包给他人的； </w:t>
      </w:r>
    </w:p>
    <w:p>
      <w:pPr>
        <w:pStyle w:val="24"/>
        <w:spacing w:line="420" w:lineRule="exact"/>
        <w:rPr>
          <w:rFonts w:hAnsi="宋体" w:cs="宋体"/>
          <w:sz w:val="24"/>
        </w:rPr>
      </w:pPr>
      <w:r>
        <w:rPr>
          <w:rFonts w:hint="eastAsia" w:hAnsi="宋体" w:cs="宋体"/>
          <w:sz w:val="24"/>
        </w:rPr>
        <w:t xml:space="preserve">    （四）投标人在招投标活动中弄虚作假、围标串标，骗取中标并经招投标行政监督部门调查核实的； </w:t>
      </w:r>
    </w:p>
    <w:p>
      <w:pPr>
        <w:pStyle w:val="24"/>
        <w:spacing w:line="420" w:lineRule="exact"/>
        <w:rPr>
          <w:rFonts w:hAnsi="宋体" w:cs="宋体"/>
          <w:sz w:val="24"/>
        </w:rPr>
      </w:pPr>
      <w:r>
        <w:rPr>
          <w:rFonts w:hint="eastAsia" w:hAnsi="宋体" w:cs="宋体"/>
          <w:sz w:val="24"/>
        </w:rPr>
        <w:t xml:space="preserve">    （五）拒绝履行合同义务的；</w:t>
      </w:r>
    </w:p>
    <w:p>
      <w:pPr>
        <w:pStyle w:val="24"/>
        <w:spacing w:line="420" w:lineRule="exact"/>
        <w:rPr>
          <w:rFonts w:hAnsi="宋体" w:cs="宋体"/>
          <w:sz w:val="24"/>
        </w:rPr>
      </w:pPr>
      <w:r>
        <w:rPr>
          <w:rFonts w:hint="eastAsia" w:hAnsi="宋体" w:cs="宋体"/>
          <w:sz w:val="24"/>
        </w:rPr>
        <w:t xml:space="preserve">    （六）相关法律、法规规定不予退还的其它情形。</w:t>
      </w:r>
    </w:p>
    <w:p>
      <w:pPr>
        <w:pStyle w:val="24"/>
        <w:spacing w:line="420" w:lineRule="exact"/>
        <w:rPr>
          <w:rFonts w:hAnsi="宋体" w:cs="宋体"/>
          <w:sz w:val="24"/>
        </w:rPr>
      </w:pPr>
      <w:r>
        <w:rPr>
          <w:rFonts w:hint="eastAsia" w:hAnsi="宋体" w:cs="宋体"/>
          <w:sz w:val="24"/>
        </w:rPr>
        <w:t xml:space="preserve">   3.3.3未中标企业的投标保证金在中标通知书发出后五个工作日内自动退还至投标人原提交账户。</w:t>
      </w:r>
    </w:p>
    <w:p>
      <w:pPr>
        <w:pStyle w:val="24"/>
        <w:spacing w:line="420" w:lineRule="exact"/>
        <w:rPr>
          <w:rFonts w:hAnsi="宋体" w:cs="宋体"/>
          <w:sz w:val="24"/>
        </w:rPr>
      </w:pPr>
      <w:r>
        <w:rPr>
          <w:rFonts w:hint="eastAsia" w:hAnsi="宋体" w:cs="宋体"/>
          <w:sz w:val="24"/>
        </w:rPr>
        <w:t xml:space="preserve">   3.3.4中标企业的投标保证金在签订合同后持保证金退还申请表（单位加盖行政公章）、合同原件办理投标保证金退还手续。办理后五个工作日内中心将投标保证金自动退还至中标企业原提交账户。</w:t>
      </w:r>
    </w:p>
    <w:p>
      <w:pPr>
        <w:widowControl/>
        <w:autoSpaceDE w:val="0"/>
        <w:autoSpaceDN w:val="0"/>
        <w:adjustRightInd w:val="0"/>
        <w:spacing w:line="420" w:lineRule="exact"/>
        <w:jc w:val="left"/>
        <w:rPr>
          <w:rFonts w:hAnsi="宋体" w:cs="宋体"/>
          <w:bCs/>
          <w:sz w:val="24"/>
        </w:rPr>
      </w:pPr>
      <w:r>
        <w:rPr>
          <w:rFonts w:hint="eastAsia" w:ascii="宋体" w:hAnsi="宋体" w:cs="宋体"/>
          <w:b/>
          <w:kern w:val="0"/>
          <w:sz w:val="24"/>
        </w:rPr>
        <w:t>3.4</w:t>
      </w:r>
      <w:r>
        <w:rPr>
          <w:rFonts w:hint="eastAsia" w:hAnsi="宋体" w:cs="宋体"/>
          <w:bCs/>
          <w:sz w:val="24"/>
        </w:rPr>
        <w:t>备选投标方案（不允许）</w:t>
      </w:r>
    </w:p>
    <w:p>
      <w:pPr>
        <w:widowControl/>
        <w:autoSpaceDE w:val="0"/>
        <w:autoSpaceDN w:val="0"/>
        <w:adjustRightInd w:val="0"/>
        <w:spacing w:line="400" w:lineRule="exact"/>
        <w:jc w:val="left"/>
        <w:outlineLvl w:val="0"/>
        <w:rPr>
          <w:rFonts w:ascii="宋体" w:hAnsi="宋体" w:cs="宋体"/>
          <w:bCs/>
          <w:kern w:val="0"/>
          <w:sz w:val="24"/>
        </w:rPr>
      </w:pPr>
      <w:r>
        <w:rPr>
          <w:rFonts w:hint="eastAsia" w:ascii="宋体" w:hAnsi="宋体" w:cs="宋体"/>
          <w:b/>
          <w:kern w:val="0"/>
          <w:sz w:val="24"/>
        </w:rPr>
        <w:t>3.5</w:t>
      </w:r>
      <w:r>
        <w:rPr>
          <w:rFonts w:hint="eastAsia" w:hAnsi="宋体" w:cs="宋体"/>
          <w:bCs/>
          <w:sz w:val="24"/>
        </w:rPr>
        <w:t xml:space="preserve"> 投标文件的编制</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bCs/>
          <w:kern w:val="0"/>
          <w:sz w:val="24"/>
        </w:rPr>
        <w:t>3.5.1 投标文件应按“</w:t>
      </w:r>
      <w:r>
        <w:rPr>
          <w:rFonts w:hint="eastAsia" w:ascii="宋体" w:hAnsi="宋体" w:cs="宋体"/>
          <w:kern w:val="0"/>
          <w:sz w:val="24"/>
        </w:rPr>
        <w:t>投标文件格式”进行编写，如有必要，可以增加附页，作为投标文件的组成部分。其中，投标函附录在满足招标文件实质性要求的基础上，可以提出比招标文件要求更有利于招标人的承诺。</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3.5.2 投标文件应当对招标文件有关工期、质量要求、实施方案准和要求、招标范围等实质性内容作出响应。</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3.5.3 投标文件应用不褪色的材料书写或打印，并由投标人的法定代表人或其委托代理人签字并盖单位章。委托代理人签字的，投标文件应附法定代表人签署的授权委托书。投标文件应尽量避免涂改、行间插字或删除。如果出现上述情况，改动之处应加盖单位章并由投标人的法定代表人或其授权的代理人签字确认。签字与盖章的具体要求见投标人须知前附表。</w:t>
      </w:r>
    </w:p>
    <w:p>
      <w:pPr>
        <w:autoSpaceDE w:val="0"/>
        <w:autoSpaceDN w:val="0"/>
        <w:adjustRightInd w:val="0"/>
        <w:spacing w:line="400" w:lineRule="exact"/>
        <w:ind w:firstLine="480" w:firstLineChars="200"/>
        <w:jc w:val="left"/>
        <w:rPr>
          <w:rFonts w:ascii="宋体" w:hAnsi="宋体" w:cs="宋体"/>
          <w:b/>
          <w:kern w:val="0"/>
          <w:sz w:val="24"/>
        </w:rPr>
      </w:pPr>
      <w:r>
        <w:rPr>
          <w:rFonts w:ascii="宋体" w:hAnsi="宋体" w:cs="宋体"/>
          <w:kern w:val="0"/>
          <w:sz w:val="24"/>
        </w:rPr>
        <w:t>3.</w:t>
      </w:r>
      <w:r>
        <w:rPr>
          <w:rFonts w:hint="eastAsia" w:ascii="宋体" w:hAnsi="宋体" w:cs="宋体"/>
          <w:kern w:val="0"/>
          <w:sz w:val="24"/>
        </w:rPr>
        <w:t>5</w:t>
      </w:r>
      <w:r>
        <w:rPr>
          <w:rFonts w:ascii="宋体" w:hAnsi="宋体" w:cs="宋体"/>
          <w:kern w:val="0"/>
          <w:sz w:val="24"/>
        </w:rPr>
        <w:t>.4</w:t>
      </w:r>
      <w:r>
        <w:rPr>
          <w:rFonts w:hint="eastAsia" w:ascii="宋体" w:hAnsi="宋体" w:cs="宋体"/>
          <w:kern w:val="0"/>
          <w:sz w:val="24"/>
        </w:rPr>
        <w:t xml:space="preserve"> 投标文件的份数见投标人须知前附表，在正本和副本的封面上应清楚地标明“正本”、“副本”字样。当副本和正本不一致时，以正本为准（副本可为正本复印件）。当正本中大小写不一致时，以大写为准。</w:t>
      </w:r>
    </w:p>
    <w:p>
      <w:pPr>
        <w:spacing w:line="400" w:lineRule="exact"/>
        <w:ind w:firstLine="480" w:firstLineChars="200"/>
        <w:rPr>
          <w:rFonts w:ascii="宋体" w:hAnsi="宋体" w:cs="宋体"/>
          <w:sz w:val="24"/>
        </w:rPr>
      </w:pPr>
      <w:r>
        <w:rPr>
          <w:rFonts w:hint="eastAsia" w:ascii="宋体" w:hAnsi="宋体" w:cs="宋体"/>
          <w:sz w:val="24"/>
        </w:rPr>
        <w:t>3.5.5投标文件的正本与副本应分别装订成册，并编制目录，具体装订要求见投标人须知前附表规定。</w:t>
      </w:r>
    </w:p>
    <w:p>
      <w:pPr>
        <w:pStyle w:val="106"/>
        <w:widowControl/>
        <w:spacing w:line="400" w:lineRule="exact"/>
        <w:outlineLvl w:val="0"/>
        <w:rPr>
          <w:rFonts w:hAnsi="宋体" w:cs="宋体"/>
          <w:color w:val="auto"/>
          <w:sz w:val="28"/>
        </w:rPr>
      </w:pPr>
      <w:r>
        <w:rPr>
          <w:rFonts w:hint="eastAsia" w:hAnsi="宋体" w:cs="宋体"/>
          <w:b/>
          <w:color w:val="auto"/>
          <w:sz w:val="28"/>
        </w:rPr>
        <w:t>4.</w:t>
      </w:r>
      <w:r>
        <w:rPr>
          <w:rFonts w:hint="eastAsia" w:hAnsi="宋体" w:cs="宋体"/>
          <w:color w:val="auto"/>
          <w:sz w:val="28"/>
        </w:rPr>
        <w:t xml:space="preserve"> 投标</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4.1</w:t>
      </w:r>
      <w:r>
        <w:rPr>
          <w:rFonts w:hint="eastAsia" w:ascii="宋体" w:hAnsi="宋体" w:cs="宋体"/>
          <w:kern w:val="0"/>
          <w:sz w:val="24"/>
        </w:rPr>
        <w:t xml:space="preserve"> 投标文件的密封和标记</w:t>
      </w:r>
    </w:p>
    <w:p>
      <w:pPr>
        <w:autoSpaceDE w:val="0"/>
        <w:autoSpaceDN w:val="0"/>
        <w:adjustRightInd w:val="0"/>
        <w:spacing w:line="400" w:lineRule="exact"/>
        <w:ind w:firstLine="480" w:firstLineChars="200"/>
        <w:jc w:val="left"/>
        <w:rPr>
          <w:rFonts w:ascii="宋体" w:hAnsi="宋体" w:cs="宋体"/>
          <w:sz w:val="24"/>
        </w:rPr>
      </w:pPr>
      <w:r>
        <w:rPr>
          <w:rFonts w:hint="eastAsia" w:ascii="宋体" w:hAnsi="宋体" w:cs="宋体"/>
          <w:sz w:val="24"/>
        </w:rPr>
        <w:t>4.1.1各单位投标文件应密封并标明文件类别，并加盖单位公章。</w:t>
      </w:r>
    </w:p>
    <w:p>
      <w:pPr>
        <w:autoSpaceDE w:val="0"/>
        <w:autoSpaceDN w:val="0"/>
        <w:adjustRightInd w:val="0"/>
        <w:spacing w:line="400" w:lineRule="exact"/>
        <w:ind w:firstLine="480" w:firstLineChars="200"/>
        <w:jc w:val="left"/>
        <w:rPr>
          <w:rFonts w:ascii="宋体" w:hAnsi="宋体" w:cs="宋体"/>
          <w:sz w:val="24"/>
        </w:rPr>
      </w:pPr>
      <w:r>
        <w:rPr>
          <w:rFonts w:hint="eastAsia" w:ascii="宋体" w:hAnsi="宋体" w:cs="宋体"/>
          <w:sz w:val="24"/>
        </w:rPr>
        <w:t>4.1.2投标文件的外封套上应写明的其他内容见投标人须知前附表。</w:t>
      </w:r>
    </w:p>
    <w:p>
      <w:pPr>
        <w:widowControl/>
        <w:autoSpaceDE w:val="0"/>
        <w:autoSpaceDN w:val="0"/>
        <w:adjustRightInd w:val="0"/>
        <w:spacing w:line="400" w:lineRule="exact"/>
        <w:ind w:firstLine="480"/>
        <w:jc w:val="left"/>
        <w:outlineLvl w:val="0"/>
        <w:rPr>
          <w:rFonts w:ascii="宋体" w:hAnsi="宋体" w:cs="宋体"/>
          <w:sz w:val="24"/>
        </w:rPr>
      </w:pPr>
      <w:r>
        <w:rPr>
          <w:rFonts w:hint="eastAsia" w:ascii="宋体" w:hAnsi="宋体" w:cs="宋体"/>
          <w:sz w:val="24"/>
        </w:rPr>
        <w:t>4.1.3未按本章第4.1.1项和第4.1.2项要求密封和加写标记的投标文件，招标人不予受理。</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4.2</w:t>
      </w:r>
      <w:r>
        <w:rPr>
          <w:rFonts w:hint="eastAsia" w:ascii="宋体" w:hAnsi="宋体" w:cs="宋体"/>
          <w:kern w:val="0"/>
          <w:sz w:val="24"/>
        </w:rPr>
        <w:t xml:space="preserve"> 投标文件的递交</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4.2.1 投标人应在投标人须知前附表第2.2.2 项规定的投标截止时间前递交投标文件。</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4.2.2 投标人递交投标文件的地点：见投标人须知前附表。</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4.2.3 除投标人须知前附表另有规定外，投标人所递交的投标文件不予退还。</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4.2.4 逾期送达的或者未送达指定地点的投标文件，招标人不予受理。</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4.3</w:t>
      </w:r>
      <w:r>
        <w:rPr>
          <w:rFonts w:hint="eastAsia" w:ascii="宋体" w:hAnsi="宋体" w:cs="宋体"/>
          <w:kern w:val="0"/>
          <w:sz w:val="24"/>
        </w:rPr>
        <w:t xml:space="preserve"> 投标文件的修改与撤回</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4.3.1 在投标人须知前附表第2.2.2 项规定的投标截止时间前，投标人可以修改或撤回已递交的投标文件，但应以书面形式通知招标人。</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4.3.2 投标人修改或撤回已递交投标文件的书面通知应按照投标人须知前附表要求签字或盖章。招标人收到书面通知后，向投标人出具签收凭证。</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 xml:space="preserve">4.3.3 修改的内容为投标文件的组成部分。修改的投标文件应按照本章第3条、第4条规定进行编制、密封、标记和递交，并标明“修改”字样。      </w:t>
      </w:r>
    </w:p>
    <w:p>
      <w:pPr>
        <w:pStyle w:val="106"/>
        <w:widowControl/>
        <w:spacing w:line="400" w:lineRule="exact"/>
        <w:outlineLvl w:val="0"/>
        <w:rPr>
          <w:rFonts w:hAnsi="宋体" w:cs="宋体"/>
          <w:color w:val="auto"/>
          <w:sz w:val="28"/>
        </w:rPr>
      </w:pPr>
      <w:r>
        <w:rPr>
          <w:rFonts w:hint="eastAsia" w:hAnsi="宋体" w:cs="宋体"/>
          <w:b/>
          <w:color w:val="auto"/>
          <w:sz w:val="28"/>
        </w:rPr>
        <w:t>5.</w:t>
      </w:r>
      <w:r>
        <w:rPr>
          <w:rFonts w:hint="eastAsia" w:hAnsi="宋体" w:cs="宋体"/>
          <w:color w:val="auto"/>
          <w:sz w:val="28"/>
        </w:rPr>
        <w:t xml:space="preserve"> 开标</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5.1</w:t>
      </w:r>
      <w:r>
        <w:rPr>
          <w:rFonts w:hint="eastAsia" w:ascii="宋体" w:hAnsi="宋体" w:cs="宋体"/>
          <w:kern w:val="0"/>
          <w:sz w:val="24"/>
        </w:rPr>
        <w:t xml:space="preserve"> 开标时间和地点</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5.1.1 招标人在投标人须知前附表第2.2.2 项规定的投标截止时间（开标时间）和投标人须知前附表规定的地点公开开标。</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5.1.2 参加开标会议的人员违反开标纪律经招标人代表批评后仍不改正的所投标书无效。</w:t>
      </w:r>
    </w:p>
    <w:p>
      <w:pPr>
        <w:widowControl/>
        <w:autoSpaceDE w:val="0"/>
        <w:autoSpaceDN w:val="0"/>
        <w:adjustRightInd w:val="0"/>
        <w:spacing w:line="400" w:lineRule="exact"/>
        <w:jc w:val="left"/>
        <w:outlineLvl w:val="0"/>
        <w:rPr>
          <w:rFonts w:ascii="宋体" w:hAnsi="宋体" w:cs="宋体"/>
          <w:color w:val="FF0000"/>
          <w:kern w:val="0"/>
          <w:sz w:val="24"/>
        </w:rPr>
      </w:pPr>
      <w:r>
        <w:rPr>
          <w:rFonts w:hint="eastAsia" w:ascii="宋体" w:hAnsi="宋体" w:cs="宋体"/>
          <w:b/>
          <w:kern w:val="0"/>
          <w:sz w:val="24"/>
        </w:rPr>
        <w:t>5.2</w:t>
      </w:r>
      <w:r>
        <w:rPr>
          <w:rFonts w:hint="eastAsia" w:ascii="宋体" w:hAnsi="宋体" w:cs="宋体"/>
          <w:kern w:val="0"/>
          <w:sz w:val="24"/>
        </w:rPr>
        <w:t xml:space="preserve"> 开标程序</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主持人按下列程序进行开标：</w:t>
      </w:r>
    </w:p>
    <w:p>
      <w:pPr>
        <w:widowControl/>
        <w:autoSpaceDE w:val="0"/>
        <w:autoSpaceDN w:val="0"/>
        <w:adjustRightInd w:val="0"/>
        <w:spacing w:line="400" w:lineRule="exact"/>
        <w:ind w:firstLine="410" w:firstLineChars="171"/>
        <w:jc w:val="left"/>
        <w:rPr>
          <w:rFonts w:ascii="宋体" w:hAnsi="宋体" w:cs="宋体"/>
          <w:kern w:val="0"/>
          <w:sz w:val="24"/>
        </w:rPr>
      </w:pPr>
      <w:r>
        <w:rPr>
          <w:rFonts w:hint="eastAsia" w:ascii="宋体" w:hAnsi="宋体" w:cs="宋体"/>
          <w:kern w:val="0"/>
          <w:sz w:val="24"/>
        </w:rPr>
        <w:t>（1）宣布开标纪律；</w:t>
      </w:r>
    </w:p>
    <w:p>
      <w:pPr>
        <w:widowControl/>
        <w:autoSpaceDE w:val="0"/>
        <w:autoSpaceDN w:val="0"/>
        <w:adjustRightInd w:val="0"/>
        <w:spacing w:line="400" w:lineRule="exact"/>
        <w:ind w:firstLine="360" w:firstLineChars="150"/>
        <w:jc w:val="left"/>
        <w:rPr>
          <w:rFonts w:ascii="宋体" w:hAnsi="宋体" w:cs="宋体"/>
          <w:kern w:val="0"/>
          <w:sz w:val="24"/>
        </w:rPr>
      </w:pPr>
      <w:r>
        <w:rPr>
          <w:rFonts w:hint="eastAsia" w:ascii="宋体" w:hAnsi="宋体" w:cs="宋体"/>
          <w:kern w:val="0"/>
          <w:sz w:val="24"/>
        </w:rPr>
        <w:t>（2）公布在投标截止时间前递交投标文件的投标人名称，并点名确认投标人是否派人到场；</w:t>
      </w:r>
    </w:p>
    <w:p>
      <w:pPr>
        <w:widowControl/>
        <w:autoSpaceDE w:val="0"/>
        <w:autoSpaceDN w:val="0"/>
        <w:adjustRightInd w:val="0"/>
        <w:spacing w:line="400" w:lineRule="exact"/>
        <w:ind w:firstLine="410" w:firstLineChars="171"/>
        <w:jc w:val="left"/>
        <w:rPr>
          <w:rFonts w:ascii="宋体" w:hAnsi="宋体" w:cs="宋体"/>
          <w:kern w:val="0"/>
          <w:sz w:val="24"/>
        </w:rPr>
      </w:pPr>
      <w:r>
        <w:rPr>
          <w:rFonts w:hint="eastAsia" w:ascii="宋体" w:hAnsi="宋体" w:cs="宋体"/>
          <w:kern w:val="0"/>
          <w:sz w:val="24"/>
        </w:rPr>
        <w:t>（3）宣读经备案的招标文件的补充和修改文件的份数；</w:t>
      </w:r>
    </w:p>
    <w:p>
      <w:pPr>
        <w:widowControl/>
        <w:autoSpaceDE w:val="0"/>
        <w:autoSpaceDN w:val="0"/>
        <w:adjustRightInd w:val="0"/>
        <w:spacing w:line="400" w:lineRule="exact"/>
        <w:ind w:firstLine="410" w:firstLineChars="171"/>
        <w:jc w:val="left"/>
        <w:rPr>
          <w:rFonts w:ascii="宋体" w:hAnsi="宋体" w:cs="宋体"/>
          <w:kern w:val="0"/>
          <w:sz w:val="24"/>
        </w:rPr>
      </w:pPr>
      <w:r>
        <w:rPr>
          <w:rFonts w:hint="eastAsia" w:ascii="宋体" w:hAnsi="宋体" w:cs="宋体"/>
          <w:kern w:val="0"/>
          <w:sz w:val="24"/>
        </w:rPr>
        <w:t>（4）宣布开标人、唱标人、记录人、监标人等有关人员姓名；</w:t>
      </w:r>
    </w:p>
    <w:p>
      <w:pPr>
        <w:widowControl/>
        <w:autoSpaceDE w:val="0"/>
        <w:autoSpaceDN w:val="0"/>
        <w:adjustRightInd w:val="0"/>
        <w:spacing w:line="400" w:lineRule="exact"/>
        <w:ind w:firstLine="410" w:firstLineChars="171"/>
        <w:jc w:val="left"/>
        <w:rPr>
          <w:rFonts w:ascii="宋体" w:hAnsi="宋体" w:cs="宋体"/>
          <w:kern w:val="0"/>
          <w:sz w:val="24"/>
        </w:rPr>
      </w:pPr>
      <w:r>
        <w:rPr>
          <w:rFonts w:hint="eastAsia" w:ascii="宋体" w:hAnsi="宋体" w:cs="宋体"/>
          <w:kern w:val="0"/>
          <w:sz w:val="24"/>
        </w:rPr>
        <w:t>（5）按照投标人须知前附表规定检查投标文件的密封情况；</w:t>
      </w:r>
    </w:p>
    <w:p>
      <w:pPr>
        <w:widowControl/>
        <w:autoSpaceDE w:val="0"/>
        <w:autoSpaceDN w:val="0"/>
        <w:adjustRightInd w:val="0"/>
        <w:spacing w:line="400" w:lineRule="exact"/>
        <w:ind w:firstLine="410" w:firstLineChars="171"/>
        <w:jc w:val="left"/>
        <w:rPr>
          <w:rFonts w:ascii="宋体" w:hAnsi="宋体" w:cs="宋体"/>
          <w:kern w:val="0"/>
          <w:sz w:val="24"/>
        </w:rPr>
      </w:pPr>
      <w:r>
        <w:rPr>
          <w:rFonts w:hint="eastAsia" w:ascii="宋体" w:hAnsi="宋体" w:cs="宋体"/>
          <w:kern w:val="0"/>
          <w:sz w:val="24"/>
        </w:rPr>
        <w:t>（6）按照投标人须知前附表的规定确定并宣布投标文件开标顺序；</w:t>
      </w:r>
    </w:p>
    <w:p>
      <w:pPr>
        <w:widowControl/>
        <w:autoSpaceDE w:val="0"/>
        <w:autoSpaceDN w:val="0"/>
        <w:adjustRightInd w:val="0"/>
        <w:spacing w:line="400" w:lineRule="exact"/>
        <w:ind w:firstLine="410" w:firstLineChars="171"/>
        <w:jc w:val="left"/>
        <w:rPr>
          <w:rFonts w:ascii="宋体" w:hAnsi="宋体" w:cs="宋体"/>
          <w:kern w:val="0"/>
          <w:sz w:val="24"/>
        </w:rPr>
      </w:pPr>
      <w:r>
        <w:rPr>
          <w:rFonts w:hint="eastAsia" w:ascii="宋体" w:hAnsi="宋体" w:cs="宋体"/>
          <w:kern w:val="0"/>
          <w:sz w:val="24"/>
        </w:rPr>
        <w:t>（7）按照宣布的开标顺序当众开标，公布投标人名称、标段名称、投标保证金的递交情况、投标报价、质量目标、工期及其他内容，并记录在案；</w:t>
      </w:r>
    </w:p>
    <w:p>
      <w:pPr>
        <w:widowControl/>
        <w:autoSpaceDE w:val="0"/>
        <w:autoSpaceDN w:val="0"/>
        <w:adjustRightInd w:val="0"/>
        <w:spacing w:line="400" w:lineRule="exact"/>
        <w:ind w:firstLine="410" w:firstLineChars="171"/>
        <w:jc w:val="left"/>
        <w:rPr>
          <w:rFonts w:ascii="宋体" w:hAnsi="宋体" w:cs="宋体"/>
          <w:kern w:val="0"/>
          <w:sz w:val="24"/>
        </w:rPr>
      </w:pPr>
      <w:r>
        <w:rPr>
          <w:rFonts w:hint="eastAsia" w:ascii="宋体" w:hAnsi="宋体" w:cs="宋体"/>
          <w:kern w:val="0"/>
          <w:sz w:val="24"/>
        </w:rPr>
        <w:t>（8）投标人代表、招标人代表、监标人、记录人等有关人员在开标记录上签字确认；</w:t>
      </w:r>
    </w:p>
    <w:p>
      <w:pPr>
        <w:widowControl/>
        <w:autoSpaceDE w:val="0"/>
        <w:autoSpaceDN w:val="0"/>
        <w:adjustRightInd w:val="0"/>
        <w:spacing w:line="400" w:lineRule="exact"/>
        <w:ind w:firstLine="410" w:firstLineChars="171"/>
        <w:jc w:val="left"/>
        <w:rPr>
          <w:rFonts w:ascii="宋体" w:hAnsi="宋体" w:cs="宋体"/>
          <w:kern w:val="0"/>
          <w:sz w:val="24"/>
        </w:rPr>
      </w:pPr>
      <w:r>
        <w:rPr>
          <w:rFonts w:hint="eastAsia" w:ascii="宋体" w:hAnsi="宋体" w:cs="宋体"/>
          <w:kern w:val="0"/>
          <w:sz w:val="24"/>
        </w:rPr>
        <w:t>（9）开标结束。</w:t>
      </w:r>
    </w:p>
    <w:p>
      <w:pPr>
        <w:pStyle w:val="106"/>
        <w:widowControl/>
        <w:spacing w:line="400" w:lineRule="exact"/>
        <w:jc w:val="both"/>
        <w:outlineLvl w:val="0"/>
        <w:rPr>
          <w:rFonts w:hAnsi="宋体" w:cs="宋体"/>
          <w:color w:val="auto"/>
          <w:sz w:val="28"/>
        </w:rPr>
      </w:pPr>
      <w:r>
        <w:rPr>
          <w:rFonts w:hint="eastAsia" w:hAnsi="宋体" w:cs="宋体"/>
          <w:b/>
          <w:color w:val="auto"/>
          <w:sz w:val="28"/>
        </w:rPr>
        <w:t>6.</w:t>
      </w:r>
      <w:r>
        <w:rPr>
          <w:rFonts w:hint="eastAsia" w:hAnsi="宋体" w:cs="宋体"/>
          <w:color w:val="auto"/>
          <w:sz w:val="28"/>
        </w:rPr>
        <w:t xml:space="preserve"> 评标</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6.1</w:t>
      </w:r>
      <w:r>
        <w:rPr>
          <w:rFonts w:hint="eastAsia" w:ascii="宋体" w:hAnsi="宋体" w:cs="宋体"/>
          <w:kern w:val="0"/>
          <w:sz w:val="24"/>
        </w:rPr>
        <w:t xml:space="preserve"> 评标委员会</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6.1.1 评标由招标人依法组建的评标委员会负责。评标委员会成员人数以及技术、经济等方面专家的确定方式见投标人须知前附表。</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6.1.2 评标委员会成员有下列情形之一的，应当回避：</w:t>
      </w:r>
    </w:p>
    <w:p>
      <w:pPr>
        <w:widowControl/>
        <w:autoSpaceDE w:val="0"/>
        <w:autoSpaceDN w:val="0"/>
        <w:adjustRightInd w:val="0"/>
        <w:spacing w:line="400" w:lineRule="exact"/>
        <w:ind w:firstLine="410" w:firstLineChars="171"/>
        <w:jc w:val="left"/>
        <w:rPr>
          <w:rFonts w:ascii="宋体" w:hAnsi="宋体" w:cs="宋体"/>
          <w:kern w:val="0"/>
          <w:sz w:val="24"/>
        </w:rPr>
      </w:pPr>
      <w:r>
        <w:rPr>
          <w:rFonts w:hint="eastAsia" w:ascii="宋体" w:hAnsi="宋体" w:cs="宋体"/>
          <w:kern w:val="0"/>
          <w:sz w:val="24"/>
        </w:rPr>
        <w:t>（1）招标人或投标人的主要负责人的近亲属；</w:t>
      </w:r>
    </w:p>
    <w:p>
      <w:pPr>
        <w:widowControl/>
        <w:autoSpaceDE w:val="0"/>
        <w:autoSpaceDN w:val="0"/>
        <w:adjustRightInd w:val="0"/>
        <w:spacing w:line="400" w:lineRule="exact"/>
        <w:ind w:firstLine="410" w:firstLineChars="171"/>
        <w:jc w:val="left"/>
        <w:rPr>
          <w:rFonts w:ascii="宋体" w:hAnsi="宋体" w:cs="宋体"/>
          <w:kern w:val="0"/>
          <w:sz w:val="24"/>
        </w:rPr>
      </w:pPr>
      <w:r>
        <w:rPr>
          <w:rFonts w:hint="eastAsia" w:ascii="宋体" w:hAnsi="宋体" w:cs="宋体"/>
          <w:kern w:val="0"/>
          <w:sz w:val="24"/>
        </w:rPr>
        <w:t>（2）项目主管部门或者行政监督部门的人员；</w:t>
      </w:r>
    </w:p>
    <w:p>
      <w:pPr>
        <w:widowControl/>
        <w:autoSpaceDE w:val="0"/>
        <w:autoSpaceDN w:val="0"/>
        <w:adjustRightInd w:val="0"/>
        <w:spacing w:line="400" w:lineRule="exact"/>
        <w:ind w:firstLine="410" w:firstLineChars="171"/>
        <w:jc w:val="left"/>
        <w:rPr>
          <w:rFonts w:ascii="宋体" w:hAnsi="宋体" w:cs="宋体"/>
          <w:kern w:val="0"/>
          <w:sz w:val="24"/>
        </w:rPr>
      </w:pPr>
      <w:r>
        <w:rPr>
          <w:rFonts w:hint="eastAsia" w:ascii="宋体" w:hAnsi="宋体" w:cs="宋体"/>
          <w:kern w:val="0"/>
          <w:sz w:val="24"/>
        </w:rPr>
        <w:t>（3）与投标人有经济利益关系，可能影响对投标公正评审的；</w:t>
      </w:r>
    </w:p>
    <w:p>
      <w:pPr>
        <w:widowControl/>
        <w:autoSpaceDE w:val="0"/>
        <w:autoSpaceDN w:val="0"/>
        <w:adjustRightInd w:val="0"/>
        <w:spacing w:line="400" w:lineRule="exact"/>
        <w:ind w:firstLine="360" w:firstLineChars="150"/>
        <w:jc w:val="left"/>
        <w:rPr>
          <w:rFonts w:ascii="宋体" w:hAnsi="宋体" w:cs="宋体"/>
          <w:kern w:val="0"/>
          <w:sz w:val="24"/>
        </w:rPr>
      </w:pPr>
      <w:r>
        <w:rPr>
          <w:rFonts w:hint="eastAsia" w:ascii="宋体" w:hAnsi="宋体" w:cs="宋体"/>
          <w:kern w:val="0"/>
          <w:sz w:val="24"/>
        </w:rPr>
        <w:t>（4）曾因在招标、评标以及其他与招标投标有关活动中从事违法行为而受过行政处罚或刑事处罚的。</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6.2</w:t>
      </w:r>
      <w:r>
        <w:rPr>
          <w:rFonts w:hint="eastAsia" w:ascii="宋体" w:hAnsi="宋体" w:cs="宋体"/>
          <w:kern w:val="0"/>
          <w:sz w:val="24"/>
        </w:rPr>
        <w:t xml:space="preserve"> 评标原则</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评标活动遵循公平、公正、科学和择优的原则。</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6.3</w:t>
      </w:r>
      <w:r>
        <w:rPr>
          <w:rFonts w:hint="eastAsia" w:ascii="宋体" w:hAnsi="宋体" w:cs="宋体"/>
          <w:kern w:val="0"/>
          <w:sz w:val="24"/>
        </w:rPr>
        <w:t xml:space="preserve"> 评标</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评标委员会按照第三章“评标办法”规定的方法、评审因素、标准和程序对投标文件进行评审。第三章“评标办法”没有规定的方法、评审因素和标准，不作为评标依据。</w:t>
      </w:r>
    </w:p>
    <w:p>
      <w:pPr>
        <w:pStyle w:val="106"/>
        <w:widowControl/>
        <w:spacing w:line="400" w:lineRule="exact"/>
        <w:jc w:val="both"/>
        <w:outlineLvl w:val="0"/>
        <w:rPr>
          <w:rFonts w:hAnsi="宋体" w:cs="宋体"/>
          <w:color w:val="auto"/>
          <w:sz w:val="28"/>
        </w:rPr>
      </w:pPr>
      <w:r>
        <w:rPr>
          <w:rFonts w:hint="eastAsia" w:hAnsi="宋体" w:cs="宋体"/>
          <w:b/>
          <w:color w:val="auto"/>
          <w:sz w:val="28"/>
        </w:rPr>
        <w:t>7.</w:t>
      </w:r>
      <w:r>
        <w:rPr>
          <w:rFonts w:hint="eastAsia" w:hAnsi="宋体" w:cs="宋体"/>
          <w:color w:val="auto"/>
          <w:sz w:val="28"/>
        </w:rPr>
        <w:t xml:space="preserve"> 合同授予</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7.1</w:t>
      </w:r>
      <w:r>
        <w:rPr>
          <w:rFonts w:hint="eastAsia" w:ascii="宋体" w:hAnsi="宋体" w:cs="宋体"/>
          <w:kern w:val="0"/>
          <w:sz w:val="24"/>
        </w:rPr>
        <w:t xml:space="preserve"> 定标方式</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招标人依据评标委员会推荐的中标候选人确定中标人，评标委员会推荐中标候选人的人数见投标人须知前附表。</w:t>
      </w:r>
    </w:p>
    <w:p>
      <w:pPr>
        <w:widowControl/>
        <w:autoSpaceDE w:val="0"/>
        <w:autoSpaceDN w:val="0"/>
        <w:adjustRightInd w:val="0"/>
        <w:spacing w:line="400" w:lineRule="exact"/>
        <w:ind w:firstLine="480" w:firstLineChars="200"/>
        <w:jc w:val="left"/>
        <w:outlineLvl w:val="0"/>
        <w:rPr>
          <w:rFonts w:ascii="新宋体" w:hAnsi="新宋体" w:eastAsia="新宋体"/>
          <w:sz w:val="24"/>
        </w:rPr>
      </w:pPr>
      <w:r>
        <w:rPr>
          <w:rFonts w:hint="eastAsia" w:ascii="新宋体" w:hAnsi="新宋体" w:eastAsia="新宋体"/>
          <w:sz w:val="24"/>
        </w:rPr>
        <w:t>招标人根据评标委员会提出的书面评标报告和推荐的中标候选人确定中标人。招标人也可以授权评标委员会直接确定中标人，或者在招标文件中规定排名第一的中标候选人为中标人，并明确排名第一的中标候选人不能作为中标人的情形和相关处理规则。</w:t>
      </w:r>
    </w:p>
    <w:p>
      <w:pPr>
        <w:widowControl/>
        <w:autoSpaceDE w:val="0"/>
        <w:autoSpaceDN w:val="0"/>
        <w:adjustRightInd w:val="0"/>
        <w:spacing w:line="400" w:lineRule="exact"/>
        <w:ind w:firstLine="480" w:firstLineChars="200"/>
        <w:jc w:val="left"/>
        <w:outlineLvl w:val="0"/>
        <w:rPr>
          <w:rFonts w:ascii="新宋体" w:hAnsi="新宋体" w:eastAsia="新宋体"/>
          <w:sz w:val="24"/>
        </w:rPr>
      </w:pPr>
      <w:r>
        <w:rPr>
          <w:rFonts w:hint="eastAsia" w:ascii="新宋体" w:hAnsi="新宋体" w:eastAsia="新宋体"/>
          <w:sz w:val="24"/>
        </w:rPr>
        <w:t>依法必须进行招标的项目，招标人根据评标委员会提出的书面评标报告和推荐的中标候选人自行确定中标人的，应当在向有关行政监督部门提交的招标投标情况书面报告中，说明其确定中标人的理由。</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7.2</w:t>
      </w:r>
      <w:r>
        <w:rPr>
          <w:rFonts w:hint="eastAsia" w:ascii="宋体" w:hAnsi="宋体" w:cs="宋体"/>
          <w:kern w:val="0"/>
          <w:sz w:val="24"/>
        </w:rPr>
        <w:t xml:space="preserve"> 中标通知</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在本章第3.3 款规定的投标有效期内，招标人以书面形式向中标人发出中标通知书，同时将中标结果通知未中标的投标人。</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7.3</w:t>
      </w:r>
      <w:r>
        <w:rPr>
          <w:rFonts w:hint="eastAsia" w:ascii="宋体" w:hAnsi="宋体" w:cs="宋体"/>
          <w:kern w:val="0"/>
          <w:sz w:val="24"/>
        </w:rPr>
        <w:t xml:space="preserve"> 签订合同</w:t>
      </w:r>
    </w:p>
    <w:p>
      <w:pPr>
        <w:widowControl/>
        <w:autoSpaceDE w:val="0"/>
        <w:autoSpaceDN w:val="0"/>
        <w:adjustRightInd w:val="0"/>
        <w:spacing w:line="360" w:lineRule="exact"/>
        <w:ind w:firstLine="480" w:firstLineChars="200"/>
        <w:jc w:val="left"/>
        <w:rPr>
          <w:rFonts w:ascii="宋体" w:hAnsi="宋体" w:cs="宋体"/>
          <w:kern w:val="0"/>
          <w:sz w:val="24"/>
        </w:rPr>
      </w:pPr>
      <w:r>
        <w:rPr>
          <w:rFonts w:hint="eastAsia" w:ascii="宋体" w:hAnsi="宋体" w:cs="宋体"/>
          <w:kern w:val="0"/>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widowControl/>
        <w:autoSpaceDE w:val="0"/>
        <w:autoSpaceDN w:val="0"/>
        <w:adjustRightInd w:val="0"/>
        <w:spacing w:line="360" w:lineRule="exact"/>
        <w:ind w:firstLine="480" w:firstLineChars="200"/>
        <w:jc w:val="left"/>
        <w:rPr>
          <w:rFonts w:ascii="宋体" w:hAnsi="宋体" w:cs="宋体"/>
          <w:kern w:val="0"/>
          <w:sz w:val="24"/>
        </w:rPr>
      </w:pPr>
      <w:r>
        <w:rPr>
          <w:rFonts w:hint="eastAsia" w:ascii="宋体" w:hAnsi="宋体" w:cs="宋体"/>
          <w:kern w:val="0"/>
          <w:sz w:val="24"/>
        </w:rPr>
        <w:t>7.3.2 发出中标通知书后，招标人无正当理由拒签合同的，招标人向中标人退还投标保证金；给中标人造成损失的，还应当赔偿损失。</w:t>
      </w:r>
    </w:p>
    <w:p>
      <w:pPr>
        <w:pStyle w:val="106"/>
        <w:widowControl/>
        <w:spacing w:line="360" w:lineRule="exact"/>
        <w:jc w:val="both"/>
        <w:outlineLvl w:val="0"/>
        <w:rPr>
          <w:rFonts w:hAnsi="宋体" w:cs="宋体"/>
          <w:color w:val="auto"/>
          <w:sz w:val="28"/>
        </w:rPr>
      </w:pPr>
      <w:r>
        <w:rPr>
          <w:rFonts w:hint="eastAsia" w:hAnsi="宋体" w:cs="宋体"/>
          <w:b/>
          <w:color w:val="auto"/>
          <w:sz w:val="28"/>
        </w:rPr>
        <w:t>8.</w:t>
      </w:r>
      <w:r>
        <w:rPr>
          <w:rFonts w:hint="eastAsia" w:hAnsi="宋体" w:cs="宋体"/>
          <w:color w:val="auto"/>
          <w:sz w:val="28"/>
        </w:rPr>
        <w:t xml:space="preserve"> 重新招标和不再招标</w:t>
      </w:r>
    </w:p>
    <w:p>
      <w:pPr>
        <w:widowControl/>
        <w:autoSpaceDE w:val="0"/>
        <w:autoSpaceDN w:val="0"/>
        <w:adjustRightInd w:val="0"/>
        <w:spacing w:line="360" w:lineRule="exact"/>
        <w:jc w:val="left"/>
        <w:outlineLvl w:val="0"/>
        <w:rPr>
          <w:rFonts w:ascii="宋体" w:hAnsi="宋体" w:cs="宋体"/>
          <w:kern w:val="0"/>
          <w:sz w:val="24"/>
        </w:rPr>
      </w:pPr>
      <w:r>
        <w:rPr>
          <w:rFonts w:hint="eastAsia" w:ascii="宋体" w:hAnsi="宋体" w:cs="宋体"/>
          <w:b/>
          <w:kern w:val="0"/>
          <w:sz w:val="24"/>
        </w:rPr>
        <w:t>8.1</w:t>
      </w:r>
      <w:r>
        <w:rPr>
          <w:rFonts w:hint="eastAsia" w:ascii="宋体" w:hAnsi="宋体" w:cs="宋体"/>
          <w:kern w:val="0"/>
          <w:sz w:val="24"/>
        </w:rPr>
        <w:t xml:space="preserve"> 重新招标</w:t>
      </w:r>
    </w:p>
    <w:p>
      <w:pPr>
        <w:widowControl/>
        <w:autoSpaceDE w:val="0"/>
        <w:autoSpaceDN w:val="0"/>
        <w:adjustRightInd w:val="0"/>
        <w:spacing w:line="360" w:lineRule="exact"/>
        <w:ind w:firstLine="480" w:firstLineChars="200"/>
        <w:jc w:val="left"/>
        <w:rPr>
          <w:rFonts w:ascii="宋体" w:hAnsi="宋体" w:cs="宋体"/>
          <w:kern w:val="0"/>
          <w:sz w:val="24"/>
        </w:rPr>
      </w:pPr>
      <w:r>
        <w:rPr>
          <w:rFonts w:hint="eastAsia" w:ascii="宋体" w:hAnsi="宋体" w:cs="宋体"/>
          <w:kern w:val="0"/>
          <w:sz w:val="24"/>
        </w:rPr>
        <w:t>有下列情形之一的，招标人将重新招标：</w:t>
      </w:r>
    </w:p>
    <w:p>
      <w:pPr>
        <w:widowControl/>
        <w:autoSpaceDE w:val="0"/>
        <w:autoSpaceDN w:val="0"/>
        <w:adjustRightInd w:val="0"/>
        <w:spacing w:line="360" w:lineRule="exact"/>
        <w:ind w:firstLine="480" w:firstLineChars="200"/>
        <w:jc w:val="left"/>
        <w:rPr>
          <w:rFonts w:ascii="宋体" w:hAnsi="宋体" w:cs="宋体"/>
          <w:kern w:val="0"/>
          <w:sz w:val="24"/>
        </w:rPr>
      </w:pPr>
      <w:r>
        <w:rPr>
          <w:rFonts w:hint="eastAsia" w:ascii="宋体" w:hAnsi="宋体" w:cs="宋体"/>
          <w:kern w:val="0"/>
          <w:sz w:val="24"/>
        </w:rPr>
        <w:t>（1）投标截止时间止，投标人少于3个的；</w:t>
      </w:r>
    </w:p>
    <w:p>
      <w:pPr>
        <w:widowControl/>
        <w:autoSpaceDE w:val="0"/>
        <w:autoSpaceDN w:val="0"/>
        <w:adjustRightInd w:val="0"/>
        <w:spacing w:line="360" w:lineRule="exact"/>
        <w:ind w:firstLine="480" w:firstLineChars="200"/>
        <w:jc w:val="left"/>
        <w:rPr>
          <w:rFonts w:ascii="宋体" w:hAnsi="宋体" w:cs="宋体"/>
          <w:kern w:val="0"/>
          <w:sz w:val="24"/>
        </w:rPr>
      </w:pPr>
      <w:r>
        <w:rPr>
          <w:rFonts w:hint="eastAsia" w:ascii="宋体" w:hAnsi="宋体" w:cs="宋体"/>
          <w:kern w:val="0"/>
          <w:sz w:val="24"/>
        </w:rPr>
        <w:t>（2）经评标委员会评审后否决所有投标的。</w:t>
      </w:r>
    </w:p>
    <w:p>
      <w:pPr>
        <w:widowControl/>
        <w:autoSpaceDE w:val="0"/>
        <w:autoSpaceDN w:val="0"/>
        <w:adjustRightInd w:val="0"/>
        <w:spacing w:line="360" w:lineRule="exact"/>
        <w:ind w:firstLine="480" w:firstLineChars="200"/>
        <w:jc w:val="left"/>
        <w:rPr>
          <w:rFonts w:ascii="宋体" w:hAnsi="宋体" w:cs="宋体"/>
          <w:kern w:val="0"/>
          <w:sz w:val="24"/>
        </w:rPr>
      </w:pPr>
      <w:r>
        <w:rPr>
          <w:rFonts w:hint="eastAsia" w:ascii="宋体" w:hAnsi="宋体" w:cs="宋体"/>
          <w:kern w:val="0"/>
          <w:sz w:val="24"/>
        </w:rPr>
        <w:t>（3）排名第一的中标候选人放弃中标、因不可抗力不能履行合同、不按照招标文件要求提交履约保证金，或者被查实存在影响中标结果的违法行为等情形，不符合中标条件的，招标人可以按照评标委员会提出的中标候选人名单依次确定其他候选人为中标人，也可以重新招标。</w:t>
      </w:r>
    </w:p>
    <w:p>
      <w:pPr>
        <w:widowControl/>
        <w:autoSpaceDE w:val="0"/>
        <w:autoSpaceDN w:val="0"/>
        <w:adjustRightInd w:val="0"/>
        <w:spacing w:line="360" w:lineRule="exact"/>
        <w:jc w:val="left"/>
        <w:outlineLvl w:val="0"/>
        <w:rPr>
          <w:rFonts w:ascii="宋体" w:hAnsi="宋体" w:cs="宋体"/>
          <w:kern w:val="0"/>
          <w:sz w:val="24"/>
        </w:rPr>
      </w:pPr>
      <w:r>
        <w:rPr>
          <w:rFonts w:hint="eastAsia" w:ascii="宋体" w:hAnsi="宋体" w:cs="宋体"/>
          <w:b/>
          <w:kern w:val="0"/>
          <w:sz w:val="24"/>
        </w:rPr>
        <w:t>8.2</w:t>
      </w:r>
      <w:r>
        <w:rPr>
          <w:rFonts w:hint="eastAsia" w:ascii="宋体" w:hAnsi="宋体" w:cs="宋体"/>
          <w:kern w:val="0"/>
          <w:sz w:val="24"/>
        </w:rPr>
        <w:t xml:space="preserve"> 不再招标</w:t>
      </w:r>
    </w:p>
    <w:p>
      <w:pPr>
        <w:widowControl/>
        <w:autoSpaceDE w:val="0"/>
        <w:autoSpaceDN w:val="0"/>
        <w:adjustRightInd w:val="0"/>
        <w:spacing w:line="360" w:lineRule="exact"/>
        <w:ind w:firstLine="480" w:firstLineChars="200"/>
        <w:jc w:val="left"/>
        <w:rPr>
          <w:rFonts w:ascii="宋体" w:hAnsi="宋体" w:cs="宋体"/>
          <w:kern w:val="0"/>
          <w:sz w:val="24"/>
        </w:rPr>
      </w:pPr>
      <w:r>
        <w:rPr>
          <w:rFonts w:hint="eastAsia" w:ascii="宋体" w:hAnsi="宋体" w:cs="宋体"/>
          <w:kern w:val="0"/>
          <w:sz w:val="24"/>
        </w:rPr>
        <w:t>重新招标后投标人仍少于3个或者所有投标被否决的，属于必须审批或核准的工程建设项目，经原审批或核准部门批准后不再进行招标。</w:t>
      </w:r>
    </w:p>
    <w:p>
      <w:pPr>
        <w:pStyle w:val="106"/>
        <w:widowControl/>
        <w:spacing w:line="360" w:lineRule="exact"/>
        <w:jc w:val="both"/>
        <w:outlineLvl w:val="0"/>
        <w:rPr>
          <w:rFonts w:hAnsi="宋体" w:cs="宋体"/>
          <w:color w:val="auto"/>
          <w:sz w:val="28"/>
        </w:rPr>
      </w:pPr>
      <w:r>
        <w:rPr>
          <w:rFonts w:hint="eastAsia" w:hAnsi="宋体" w:cs="宋体"/>
          <w:b/>
          <w:color w:val="auto"/>
          <w:sz w:val="28"/>
        </w:rPr>
        <w:t>9.</w:t>
      </w:r>
      <w:r>
        <w:rPr>
          <w:rFonts w:hint="eastAsia" w:hAnsi="宋体" w:cs="宋体"/>
          <w:color w:val="auto"/>
          <w:sz w:val="28"/>
        </w:rPr>
        <w:t xml:space="preserve"> 纪律和监督</w:t>
      </w:r>
    </w:p>
    <w:p>
      <w:pPr>
        <w:widowControl/>
        <w:autoSpaceDE w:val="0"/>
        <w:autoSpaceDN w:val="0"/>
        <w:adjustRightInd w:val="0"/>
        <w:spacing w:line="360" w:lineRule="exact"/>
        <w:jc w:val="left"/>
        <w:outlineLvl w:val="0"/>
        <w:rPr>
          <w:rFonts w:ascii="宋体" w:hAnsi="宋体" w:cs="宋体"/>
          <w:kern w:val="0"/>
          <w:sz w:val="24"/>
        </w:rPr>
      </w:pPr>
      <w:r>
        <w:rPr>
          <w:rFonts w:hint="eastAsia" w:ascii="宋体" w:hAnsi="宋体" w:cs="宋体"/>
          <w:b/>
          <w:kern w:val="0"/>
          <w:sz w:val="24"/>
        </w:rPr>
        <w:t>9.1</w:t>
      </w:r>
      <w:r>
        <w:rPr>
          <w:rFonts w:hint="eastAsia" w:ascii="宋体" w:hAnsi="宋体" w:cs="宋体"/>
          <w:kern w:val="0"/>
          <w:sz w:val="24"/>
        </w:rPr>
        <w:t xml:space="preserve"> 对招标人的纪律要求</w:t>
      </w:r>
    </w:p>
    <w:p>
      <w:pPr>
        <w:widowControl/>
        <w:autoSpaceDE w:val="0"/>
        <w:autoSpaceDN w:val="0"/>
        <w:adjustRightInd w:val="0"/>
        <w:spacing w:line="360" w:lineRule="exact"/>
        <w:ind w:firstLine="480" w:firstLineChars="200"/>
        <w:jc w:val="left"/>
        <w:rPr>
          <w:rFonts w:ascii="宋体" w:hAnsi="宋体" w:cs="宋体"/>
          <w:kern w:val="0"/>
          <w:sz w:val="24"/>
        </w:rPr>
      </w:pPr>
      <w:r>
        <w:rPr>
          <w:rFonts w:hint="eastAsia" w:ascii="宋体" w:hAnsi="宋体" w:cs="宋体"/>
          <w:kern w:val="0"/>
          <w:sz w:val="24"/>
        </w:rPr>
        <w:t>招标人不得泄漏招标投标活动中应当保密的情况和资料，不得与投标人串通损害国家利益、社会公共利益或者他人合法权益。</w:t>
      </w:r>
    </w:p>
    <w:p>
      <w:pPr>
        <w:widowControl/>
        <w:autoSpaceDE w:val="0"/>
        <w:autoSpaceDN w:val="0"/>
        <w:adjustRightInd w:val="0"/>
        <w:spacing w:line="360" w:lineRule="exact"/>
        <w:jc w:val="left"/>
        <w:outlineLvl w:val="0"/>
        <w:rPr>
          <w:rFonts w:ascii="宋体" w:hAnsi="宋体" w:cs="宋体"/>
          <w:kern w:val="0"/>
          <w:sz w:val="24"/>
        </w:rPr>
      </w:pPr>
      <w:r>
        <w:rPr>
          <w:rFonts w:hint="eastAsia" w:ascii="宋体" w:hAnsi="宋体" w:cs="宋体"/>
          <w:b/>
          <w:kern w:val="0"/>
          <w:sz w:val="24"/>
        </w:rPr>
        <w:t>9.2</w:t>
      </w:r>
      <w:r>
        <w:rPr>
          <w:rFonts w:hint="eastAsia" w:ascii="宋体" w:hAnsi="宋体" w:cs="宋体"/>
          <w:kern w:val="0"/>
          <w:sz w:val="24"/>
        </w:rPr>
        <w:t xml:space="preserve"> 对投标人的纪律要求</w:t>
      </w:r>
    </w:p>
    <w:p>
      <w:pPr>
        <w:widowControl/>
        <w:autoSpaceDE w:val="0"/>
        <w:autoSpaceDN w:val="0"/>
        <w:adjustRightInd w:val="0"/>
        <w:spacing w:line="360" w:lineRule="exact"/>
        <w:ind w:firstLine="480" w:firstLineChars="200"/>
        <w:jc w:val="left"/>
        <w:rPr>
          <w:rFonts w:ascii="宋体" w:hAnsi="宋体" w:cs="宋体"/>
          <w:kern w:val="0"/>
          <w:sz w:val="24"/>
        </w:rPr>
      </w:pPr>
      <w:r>
        <w:rPr>
          <w:rFonts w:hint="eastAsia" w:ascii="宋体" w:hAnsi="宋体" w:cs="宋体"/>
          <w:kern w:val="0"/>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widowControl/>
        <w:autoSpaceDE w:val="0"/>
        <w:autoSpaceDN w:val="0"/>
        <w:adjustRightInd w:val="0"/>
        <w:spacing w:line="360" w:lineRule="exact"/>
        <w:jc w:val="left"/>
        <w:outlineLvl w:val="0"/>
        <w:rPr>
          <w:rFonts w:ascii="宋体" w:hAnsi="宋体" w:cs="宋体"/>
          <w:kern w:val="0"/>
          <w:sz w:val="24"/>
        </w:rPr>
      </w:pPr>
      <w:r>
        <w:rPr>
          <w:rFonts w:hint="eastAsia" w:ascii="宋体" w:hAnsi="宋体" w:cs="宋体"/>
          <w:b/>
          <w:kern w:val="0"/>
          <w:sz w:val="24"/>
        </w:rPr>
        <w:t>9.3</w:t>
      </w:r>
      <w:r>
        <w:rPr>
          <w:rFonts w:hint="eastAsia" w:ascii="宋体" w:hAnsi="宋体" w:cs="宋体"/>
          <w:kern w:val="0"/>
          <w:sz w:val="24"/>
        </w:rPr>
        <w:t xml:space="preserve"> 对评标委员会成员的纪律要求</w:t>
      </w:r>
    </w:p>
    <w:p>
      <w:pPr>
        <w:widowControl/>
        <w:autoSpaceDE w:val="0"/>
        <w:autoSpaceDN w:val="0"/>
        <w:adjustRightInd w:val="0"/>
        <w:spacing w:line="360" w:lineRule="exact"/>
        <w:ind w:firstLine="480" w:firstLineChars="200"/>
        <w:jc w:val="left"/>
        <w:rPr>
          <w:rFonts w:ascii="宋体" w:hAnsi="宋体" w:cs="宋体"/>
          <w:kern w:val="0"/>
          <w:sz w:val="24"/>
        </w:rPr>
      </w:pPr>
      <w:r>
        <w:rPr>
          <w:rFonts w:hint="eastAsia" w:ascii="宋体" w:hAnsi="宋体" w:cs="宋体"/>
          <w:kern w:val="0"/>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二章“评标办法”没有规定的评审因素和标准进行评标。</w:t>
      </w:r>
    </w:p>
    <w:p>
      <w:pPr>
        <w:widowControl/>
        <w:autoSpaceDE w:val="0"/>
        <w:autoSpaceDN w:val="0"/>
        <w:adjustRightInd w:val="0"/>
        <w:spacing w:line="360" w:lineRule="exact"/>
        <w:jc w:val="left"/>
        <w:outlineLvl w:val="0"/>
        <w:rPr>
          <w:rFonts w:ascii="宋体" w:hAnsi="宋体" w:cs="宋体"/>
          <w:kern w:val="0"/>
          <w:sz w:val="24"/>
        </w:rPr>
      </w:pPr>
      <w:r>
        <w:rPr>
          <w:rFonts w:hint="eastAsia" w:ascii="宋体" w:hAnsi="宋体" w:cs="宋体"/>
          <w:b/>
          <w:kern w:val="0"/>
          <w:sz w:val="24"/>
        </w:rPr>
        <w:t>9.4</w:t>
      </w:r>
      <w:r>
        <w:rPr>
          <w:rFonts w:hint="eastAsia" w:ascii="宋体" w:hAnsi="宋体" w:cs="宋体"/>
          <w:kern w:val="0"/>
          <w:sz w:val="24"/>
        </w:rPr>
        <w:t xml:space="preserve"> 对与评标活动有关的工作人员的纪律要求</w:t>
      </w:r>
    </w:p>
    <w:p>
      <w:pPr>
        <w:widowControl/>
        <w:autoSpaceDE w:val="0"/>
        <w:autoSpaceDN w:val="0"/>
        <w:adjustRightInd w:val="0"/>
        <w:spacing w:line="360" w:lineRule="exact"/>
        <w:ind w:firstLine="480" w:firstLineChars="200"/>
        <w:jc w:val="left"/>
        <w:rPr>
          <w:rFonts w:ascii="宋体" w:hAnsi="宋体" w:cs="宋体"/>
          <w:kern w:val="0"/>
          <w:sz w:val="24"/>
        </w:rPr>
      </w:pPr>
      <w:r>
        <w:rPr>
          <w:rFonts w:hint="eastAsia" w:ascii="宋体" w:hAnsi="宋体" w:cs="宋体"/>
          <w:kern w:val="0"/>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widowControl/>
        <w:autoSpaceDE w:val="0"/>
        <w:autoSpaceDN w:val="0"/>
        <w:adjustRightInd w:val="0"/>
        <w:spacing w:line="360" w:lineRule="exact"/>
        <w:jc w:val="left"/>
        <w:outlineLvl w:val="0"/>
        <w:rPr>
          <w:rFonts w:ascii="宋体" w:hAnsi="宋体" w:cs="宋体"/>
          <w:kern w:val="0"/>
          <w:sz w:val="24"/>
        </w:rPr>
      </w:pPr>
      <w:r>
        <w:rPr>
          <w:rFonts w:hint="eastAsia" w:ascii="宋体" w:hAnsi="宋体" w:cs="宋体"/>
          <w:b/>
          <w:kern w:val="0"/>
          <w:sz w:val="24"/>
        </w:rPr>
        <w:t xml:space="preserve">9.5 </w:t>
      </w:r>
      <w:r>
        <w:rPr>
          <w:rFonts w:hint="eastAsia" w:ascii="宋体" w:hAnsi="宋体" w:cs="宋体"/>
          <w:kern w:val="0"/>
          <w:sz w:val="24"/>
        </w:rPr>
        <w:t>投诉</w:t>
      </w:r>
    </w:p>
    <w:p>
      <w:pPr>
        <w:widowControl/>
        <w:autoSpaceDE w:val="0"/>
        <w:autoSpaceDN w:val="0"/>
        <w:adjustRightInd w:val="0"/>
        <w:spacing w:line="360" w:lineRule="exact"/>
        <w:ind w:firstLine="480" w:firstLineChars="200"/>
        <w:jc w:val="left"/>
        <w:rPr>
          <w:rFonts w:ascii="宋体" w:hAnsi="宋体" w:cs="宋体"/>
          <w:kern w:val="0"/>
          <w:sz w:val="24"/>
        </w:rPr>
      </w:pPr>
      <w:r>
        <w:rPr>
          <w:rFonts w:hint="eastAsia" w:ascii="宋体" w:hAnsi="宋体" w:cs="宋体"/>
          <w:kern w:val="0"/>
          <w:sz w:val="24"/>
        </w:rPr>
        <w:t>投标人和其他利害关系人认为本次招标活动违反法律、法规和规章规定的，有权向有关行政监督部门投诉。</w:t>
      </w:r>
    </w:p>
    <w:p>
      <w:pPr>
        <w:pStyle w:val="106"/>
        <w:widowControl/>
        <w:spacing w:line="360" w:lineRule="exact"/>
        <w:jc w:val="both"/>
        <w:outlineLvl w:val="0"/>
        <w:rPr>
          <w:rFonts w:hAnsi="宋体" w:cs="宋体"/>
          <w:color w:val="auto"/>
        </w:rPr>
      </w:pPr>
      <w:r>
        <w:rPr>
          <w:rFonts w:hint="eastAsia" w:hAnsi="宋体" w:cs="宋体"/>
          <w:b/>
          <w:color w:val="auto"/>
        </w:rPr>
        <w:t>10.</w:t>
      </w:r>
      <w:r>
        <w:rPr>
          <w:rFonts w:hint="eastAsia" w:hAnsi="宋体" w:cs="宋体"/>
          <w:color w:val="auto"/>
        </w:rPr>
        <w:t xml:space="preserve"> 需要补充的其他内容</w:t>
      </w:r>
    </w:p>
    <w:p>
      <w:pPr>
        <w:spacing w:line="360" w:lineRule="exact"/>
        <w:ind w:right="-384" w:rightChars="-183"/>
        <w:rPr>
          <w:rFonts w:ascii="宋体" w:hAnsi="宋体" w:cs="宋体"/>
          <w:kern w:val="0"/>
          <w:sz w:val="24"/>
          <w:szCs w:val="22"/>
        </w:rPr>
      </w:pPr>
      <w:r>
        <w:rPr>
          <w:rFonts w:hint="eastAsia" w:ascii="宋体" w:hAnsi="宋体" w:cs="宋体"/>
          <w:kern w:val="0"/>
          <w:sz w:val="24"/>
          <w:szCs w:val="22"/>
        </w:rPr>
        <w:t xml:space="preserve"> 需要补充的其他内容：见投标人须知前附表。</w:t>
      </w:r>
    </w:p>
    <w:p>
      <w:pPr>
        <w:pStyle w:val="2"/>
        <w:ind w:firstLine="34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snapToGrid w:val="0"/>
        <w:spacing w:line="420" w:lineRule="exact"/>
        <w:ind w:firstLine="2168" w:firstLineChars="600"/>
        <w:rPr>
          <w:rFonts w:ascii="新宋体" w:hAnsi="新宋体" w:eastAsia="新宋体" w:cs="新宋体"/>
          <w:sz w:val="24"/>
        </w:rPr>
      </w:pPr>
      <w:r>
        <w:rPr>
          <w:rFonts w:hint="eastAsia" w:ascii="新宋体" w:hAnsi="新宋体" w:eastAsia="新宋体" w:cs="新宋体"/>
          <w:b/>
          <w:bCs/>
          <w:sz w:val="36"/>
          <w:szCs w:val="36"/>
        </w:rPr>
        <w:t>第三章 评标办法（综合评估法）</w:t>
      </w:r>
    </w:p>
    <w:p>
      <w:pPr>
        <w:snapToGrid w:val="0"/>
        <w:spacing w:line="420" w:lineRule="exact"/>
        <w:rPr>
          <w:rFonts w:ascii="华文中宋" w:hAnsi="华文中宋" w:eastAsia="华文中宋"/>
          <w:b/>
          <w:bCs/>
          <w:sz w:val="32"/>
          <w:szCs w:val="32"/>
        </w:rPr>
      </w:pPr>
    </w:p>
    <w:tbl>
      <w:tblPr>
        <w:tblStyle w:val="50"/>
        <w:tblW w:w="9498"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134"/>
        <w:gridCol w:w="1264"/>
        <w:gridCol w:w="368"/>
        <w:gridCol w:w="60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844" w:type="dxa"/>
            <w:gridSpan w:val="2"/>
            <w:tcBorders>
              <w:top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条款号</w:t>
            </w: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评审因素</w:t>
            </w:r>
          </w:p>
        </w:tc>
        <w:tc>
          <w:tcPr>
            <w:tcW w:w="6022" w:type="dxa"/>
            <w:tcBorders>
              <w:top w:val="single" w:color="auto" w:sz="4" w:space="0"/>
              <w:left w:val="single" w:color="auto" w:sz="4" w:space="0"/>
              <w:bottom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restart"/>
            <w:tcBorders>
              <w:top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2.1.1</w:t>
            </w:r>
          </w:p>
        </w:tc>
        <w:tc>
          <w:tcPr>
            <w:tcW w:w="1134" w:type="dxa"/>
            <w:vMerge w:val="restart"/>
            <w:tcBorders>
              <w:top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形式评审标准</w:t>
            </w: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投标人名称</w:t>
            </w:r>
          </w:p>
        </w:tc>
        <w:tc>
          <w:tcPr>
            <w:tcW w:w="6022" w:type="dxa"/>
            <w:tcBorders>
              <w:top w:val="single" w:color="auto" w:sz="4" w:space="0"/>
              <w:left w:val="single" w:color="auto" w:sz="4" w:space="0"/>
              <w:bottom w:val="single" w:color="auto" w:sz="4" w:space="0"/>
            </w:tcBorders>
            <w:vAlign w:val="center"/>
          </w:tcPr>
          <w:p>
            <w:pPr>
              <w:adjustRightInd w:val="0"/>
              <w:jc w:val="left"/>
              <w:textAlignment w:val="baseline"/>
              <w:rPr>
                <w:rFonts w:ascii="宋体" w:hAnsi="宋体" w:cs="宋体"/>
                <w:szCs w:val="21"/>
              </w:rPr>
            </w:pPr>
            <w:r>
              <w:rPr>
                <w:rFonts w:hint="eastAsia" w:ascii="宋体" w:hAnsi="宋体" w:cs="宋体"/>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top w:val="nil"/>
              <w:bottom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top w:val="nil"/>
              <w:bottom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投标函及投标函附录签字盖章</w:t>
            </w:r>
          </w:p>
        </w:tc>
        <w:tc>
          <w:tcPr>
            <w:tcW w:w="6022" w:type="dxa"/>
            <w:tcBorders>
              <w:top w:val="single" w:color="auto" w:sz="4" w:space="0"/>
              <w:left w:val="single" w:color="auto" w:sz="4" w:space="0"/>
              <w:bottom w:val="single" w:color="auto" w:sz="4" w:space="0"/>
            </w:tcBorders>
            <w:vAlign w:val="center"/>
          </w:tcPr>
          <w:p>
            <w:pPr>
              <w:adjustRightInd w:val="0"/>
              <w:jc w:val="left"/>
              <w:textAlignment w:val="baseline"/>
              <w:rPr>
                <w:rFonts w:ascii="宋体" w:hAnsi="宋体" w:cs="宋体"/>
                <w:szCs w:val="21"/>
              </w:rPr>
            </w:pPr>
            <w:r>
              <w:rPr>
                <w:rFonts w:hint="eastAsia" w:ascii="宋体" w:hAnsi="宋体" w:cs="宋体"/>
                <w:szCs w:val="21"/>
              </w:rPr>
              <w:t>由法定代表人或其委托代理人签字或盖章并加盖单位公章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top w:val="nil"/>
              <w:bottom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top w:val="nil"/>
              <w:bottom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投标文件格式</w:t>
            </w:r>
          </w:p>
        </w:tc>
        <w:tc>
          <w:tcPr>
            <w:tcW w:w="6022" w:type="dxa"/>
            <w:tcBorders>
              <w:top w:val="single" w:color="auto" w:sz="4" w:space="0"/>
              <w:left w:val="single" w:color="auto" w:sz="4" w:space="0"/>
              <w:bottom w:val="single" w:color="auto" w:sz="4" w:space="0"/>
            </w:tcBorders>
            <w:vAlign w:val="center"/>
          </w:tcPr>
          <w:p>
            <w:pPr>
              <w:adjustRightInd w:val="0"/>
              <w:jc w:val="left"/>
              <w:textAlignment w:val="baseline"/>
              <w:rPr>
                <w:rFonts w:ascii="宋体" w:hAnsi="宋体" w:cs="宋体"/>
                <w:szCs w:val="21"/>
              </w:rPr>
            </w:pPr>
            <w:r>
              <w:rPr>
                <w:rFonts w:hint="eastAsia" w:ascii="宋体" w:hAnsi="宋体" w:cs="宋体"/>
                <w:szCs w:val="21"/>
              </w:rPr>
              <w:t>符合第五章“投标文件格式”的要求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top w:val="nil"/>
              <w:bottom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top w:val="nil"/>
              <w:bottom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报价唯一</w:t>
            </w:r>
          </w:p>
        </w:tc>
        <w:tc>
          <w:tcPr>
            <w:tcW w:w="6022" w:type="dxa"/>
            <w:tcBorders>
              <w:top w:val="single" w:color="auto" w:sz="4" w:space="0"/>
              <w:left w:val="single" w:color="auto" w:sz="4" w:space="0"/>
              <w:bottom w:val="single" w:color="auto" w:sz="4" w:space="0"/>
            </w:tcBorders>
            <w:vAlign w:val="center"/>
          </w:tcPr>
          <w:p>
            <w:pPr>
              <w:adjustRightInd w:val="0"/>
              <w:jc w:val="left"/>
              <w:textAlignment w:val="baseline"/>
              <w:rPr>
                <w:rFonts w:ascii="宋体" w:hAnsi="宋体" w:cs="宋体"/>
                <w:szCs w:val="21"/>
              </w:rPr>
            </w:pPr>
            <w:r>
              <w:rPr>
                <w:rFonts w:hint="eastAsia" w:ascii="宋体" w:hAnsi="宋体" w:cs="宋体"/>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restart"/>
            <w:tcBorders>
              <w:top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2.1.2</w:t>
            </w:r>
          </w:p>
        </w:tc>
        <w:tc>
          <w:tcPr>
            <w:tcW w:w="1134" w:type="dxa"/>
            <w:vMerge w:val="restart"/>
            <w:tcBorders>
              <w:top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资格评审标准</w:t>
            </w:r>
          </w:p>
        </w:tc>
        <w:tc>
          <w:tcPr>
            <w:tcW w:w="1632" w:type="dxa"/>
            <w:gridSpan w:val="2"/>
            <w:tcBorders>
              <w:top w:val="single" w:color="auto" w:sz="4" w:space="0"/>
              <w:left w:val="single" w:color="auto" w:sz="4" w:space="0"/>
              <w:bottom w:val="single" w:color="auto" w:sz="4" w:space="0"/>
              <w:right w:val="single" w:color="auto" w:sz="4" w:space="0"/>
            </w:tcBorders>
            <w:vAlign w:val="center"/>
          </w:tcPr>
          <w:p>
            <w:pPr>
              <w:pStyle w:val="106"/>
              <w:ind w:firstLine="420"/>
              <w:jc w:val="center"/>
              <w:rPr>
                <w:rFonts w:hAnsi="宋体"/>
                <w:sz w:val="21"/>
                <w:szCs w:val="21"/>
              </w:rPr>
            </w:pPr>
            <w:r>
              <w:rPr>
                <w:rFonts w:hint="eastAsia" w:hAnsi="宋体"/>
                <w:sz w:val="21"/>
                <w:szCs w:val="21"/>
              </w:rPr>
              <w:t>营业执照</w:t>
            </w:r>
          </w:p>
        </w:tc>
        <w:tc>
          <w:tcPr>
            <w:tcW w:w="6022" w:type="dxa"/>
            <w:tcBorders>
              <w:top w:val="single" w:color="auto" w:sz="4" w:space="0"/>
              <w:left w:val="single" w:color="auto" w:sz="4" w:space="0"/>
              <w:bottom w:val="single" w:color="auto" w:sz="4" w:space="0"/>
            </w:tcBorders>
            <w:vAlign w:val="center"/>
          </w:tcPr>
          <w:p>
            <w:pPr>
              <w:rPr>
                <w:rFonts w:ascii="宋体" w:hAnsi="宋体" w:cs="宋体"/>
                <w:szCs w:val="21"/>
              </w:rPr>
            </w:pPr>
            <w:r>
              <w:rPr>
                <w:rFonts w:hint="eastAsia" w:ascii="宋体" w:hAnsi="宋体" w:cs="宋体"/>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pStyle w:val="106"/>
              <w:ind w:firstLine="420"/>
              <w:jc w:val="center"/>
              <w:rPr>
                <w:rFonts w:hAnsi="宋体"/>
                <w:sz w:val="21"/>
                <w:szCs w:val="21"/>
              </w:rPr>
            </w:pPr>
            <w:r>
              <w:rPr>
                <w:rFonts w:hint="eastAsia" w:hAnsi="宋体"/>
                <w:sz w:val="21"/>
                <w:szCs w:val="21"/>
              </w:rPr>
              <w:t>资质等级</w:t>
            </w:r>
          </w:p>
        </w:tc>
        <w:tc>
          <w:tcPr>
            <w:tcW w:w="6022" w:type="dxa"/>
            <w:tcBorders>
              <w:top w:val="single" w:color="auto" w:sz="4" w:space="0"/>
              <w:left w:val="single" w:color="auto" w:sz="4" w:space="0"/>
              <w:bottom w:val="single" w:color="auto" w:sz="4" w:space="0"/>
            </w:tcBorders>
            <w:vAlign w:val="center"/>
          </w:tcPr>
          <w:p>
            <w:pPr>
              <w:rPr>
                <w:rFonts w:ascii="宋体" w:hAnsi="宋体" w:cs="宋体"/>
                <w:szCs w:val="21"/>
              </w:rPr>
            </w:pPr>
            <w:r>
              <w:rPr>
                <w:rFonts w:hint="eastAsia" w:ascii="宋体" w:hAnsi="宋体" w:cs="宋体"/>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pStyle w:val="106"/>
              <w:ind w:firstLine="420"/>
              <w:jc w:val="center"/>
              <w:rPr>
                <w:rFonts w:hAnsi="宋体"/>
                <w:sz w:val="21"/>
                <w:szCs w:val="21"/>
              </w:rPr>
            </w:pPr>
            <w:r>
              <w:rPr>
                <w:rFonts w:hint="eastAsia" w:hAnsi="宋体"/>
                <w:sz w:val="21"/>
                <w:szCs w:val="21"/>
              </w:rPr>
              <w:t>安全生产许可证</w:t>
            </w:r>
          </w:p>
        </w:tc>
        <w:tc>
          <w:tcPr>
            <w:tcW w:w="6022" w:type="dxa"/>
            <w:tcBorders>
              <w:top w:val="single" w:color="auto" w:sz="4" w:space="0"/>
              <w:left w:val="single" w:color="auto" w:sz="4" w:space="0"/>
              <w:bottom w:val="single" w:color="auto" w:sz="4" w:space="0"/>
            </w:tcBorders>
            <w:vAlign w:val="center"/>
          </w:tcPr>
          <w:p>
            <w:pPr>
              <w:rPr>
                <w:rFonts w:ascii="宋体" w:hAnsi="宋体" w:cs="宋体"/>
                <w:szCs w:val="21"/>
              </w:rPr>
            </w:pPr>
            <w:r>
              <w:rPr>
                <w:rFonts w:hint="eastAsia" w:ascii="宋体" w:hAnsi="宋体" w:cs="宋体"/>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pStyle w:val="106"/>
              <w:ind w:firstLine="420"/>
              <w:jc w:val="center"/>
              <w:rPr>
                <w:rFonts w:hAnsi="宋体"/>
                <w:sz w:val="21"/>
                <w:szCs w:val="21"/>
              </w:rPr>
            </w:pPr>
            <w:r>
              <w:rPr>
                <w:rFonts w:hint="eastAsia" w:hAnsi="宋体"/>
                <w:sz w:val="21"/>
                <w:szCs w:val="21"/>
              </w:rPr>
              <w:t>项目经理</w:t>
            </w:r>
          </w:p>
        </w:tc>
        <w:tc>
          <w:tcPr>
            <w:tcW w:w="6022" w:type="dxa"/>
            <w:tcBorders>
              <w:top w:val="single" w:color="auto" w:sz="4" w:space="0"/>
              <w:left w:val="single" w:color="auto" w:sz="4" w:space="0"/>
              <w:bottom w:val="single" w:color="auto" w:sz="4" w:space="0"/>
            </w:tcBorders>
            <w:vAlign w:val="center"/>
          </w:tcPr>
          <w:p>
            <w:pPr>
              <w:rPr>
                <w:rFonts w:ascii="宋体" w:hAnsi="宋体" w:cs="宋体"/>
                <w:szCs w:val="21"/>
              </w:rPr>
            </w:pPr>
            <w:r>
              <w:rPr>
                <w:rFonts w:hint="eastAsia" w:ascii="宋体" w:hAnsi="宋体" w:cs="宋体"/>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pStyle w:val="106"/>
              <w:ind w:firstLine="420"/>
              <w:jc w:val="center"/>
              <w:rPr>
                <w:rFonts w:hAnsi="宋体"/>
                <w:sz w:val="21"/>
                <w:szCs w:val="21"/>
              </w:rPr>
            </w:pPr>
            <w:r>
              <w:rPr>
                <w:rFonts w:hint="eastAsia" w:hAnsi="宋体"/>
                <w:sz w:val="21"/>
                <w:szCs w:val="21"/>
              </w:rPr>
              <w:t>业绩要求</w:t>
            </w:r>
          </w:p>
        </w:tc>
        <w:tc>
          <w:tcPr>
            <w:tcW w:w="6022" w:type="dxa"/>
            <w:tcBorders>
              <w:top w:val="single" w:color="auto" w:sz="4" w:space="0"/>
              <w:left w:val="single" w:color="auto" w:sz="4" w:space="0"/>
              <w:bottom w:val="single" w:color="auto" w:sz="4" w:space="0"/>
            </w:tcBorders>
            <w:vAlign w:val="center"/>
          </w:tcPr>
          <w:p>
            <w:pPr>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pStyle w:val="106"/>
              <w:ind w:firstLine="420"/>
              <w:jc w:val="center"/>
              <w:rPr>
                <w:rFonts w:hAnsi="宋体"/>
                <w:sz w:val="21"/>
                <w:szCs w:val="21"/>
              </w:rPr>
            </w:pPr>
            <w:r>
              <w:rPr>
                <w:rFonts w:hint="eastAsia" w:hAnsi="宋体"/>
                <w:sz w:val="21"/>
                <w:szCs w:val="21"/>
              </w:rPr>
              <w:t>信誉要求</w:t>
            </w:r>
          </w:p>
        </w:tc>
        <w:tc>
          <w:tcPr>
            <w:tcW w:w="6022" w:type="dxa"/>
            <w:tcBorders>
              <w:top w:val="single" w:color="auto" w:sz="4" w:space="0"/>
              <w:left w:val="single" w:color="auto" w:sz="4" w:space="0"/>
              <w:bottom w:val="single" w:color="auto" w:sz="4" w:space="0"/>
            </w:tcBorders>
            <w:vAlign w:val="center"/>
          </w:tcPr>
          <w:p>
            <w:pPr>
              <w:rPr>
                <w:rFonts w:ascii="宋体" w:hAnsi="宋体" w:cs="宋体"/>
                <w:szCs w:val="21"/>
              </w:rPr>
            </w:pPr>
            <w:r>
              <w:rPr>
                <w:rFonts w:hint="eastAsia" w:ascii="宋体" w:hAnsi="宋体" w:cs="宋体"/>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pStyle w:val="106"/>
              <w:ind w:firstLine="420"/>
              <w:jc w:val="center"/>
              <w:rPr>
                <w:rFonts w:hAnsi="宋体"/>
                <w:sz w:val="21"/>
                <w:szCs w:val="21"/>
              </w:rPr>
            </w:pPr>
            <w:r>
              <w:rPr>
                <w:rFonts w:hint="eastAsia" w:hAnsi="宋体"/>
                <w:sz w:val="21"/>
                <w:szCs w:val="21"/>
              </w:rPr>
              <w:t>财务要求</w:t>
            </w:r>
          </w:p>
        </w:tc>
        <w:tc>
          <w:tcPr>
            <w:tcW w:w="6022" w:type="dxa"/>
            <w:tcBorders>
              <w:top w:val="single" w:color="auto" w:sz="4" w:space="0"/>
              <w:left w:val="single" w:color="auto" w:sz="4" w:space="0"/>
              <w:bottom w:val="single" w:color="auto" w:sz="4" w:space="0"/>
            </w:tcBorders>
            <w:vAlign w:val="center"/>
          </w:tcPr>
          <w:p>
            <w:pPr>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bottom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bottom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pStyle w:val="106"/>
              <w:ind w:firstLine="420"/>
              <w:jc w:val="center"/>
              <w:rPr>
                <w:rFonts w:hAnsi="宋体"/>
                <w:sz w:val="21"/>
                <w:szCs w:val="21"/>
              </w:rPr>
            </w:pPr>
            <w:r>
              <w:rPr>
                <w:rFonts w:hint="eastAsia" w:hAnsi="宋体"/>
                <w:sz w:val="21"/>
                <w:szCs w:val="21"/>
              </w:rPr>
              <w:t>其他</w:t>
            </w:r>
          </w:p>
        </w:tc>
        <w:tc>
          <w:tcPr>
            <w:tcW w:w="6022" w:type="dxa"/>
            <w:tcBorders>
              <w:top w:val="single" w:color="auto" w:sz="4" w:space="0"/>
              <w:left w:val="single" w:color="auto" w:sz="4" w:space="0"/>
              <w:bottom w:val="single" w:color="auto" w:sz="4" w:space="0"/>
            </w:tcBorders>
            <w:vAlign w:val="center"/>
          </w:tcPr>
          <w:p>
            <w:pPr>
              <w:rPr>
                <w:rFonts w:ascii="宋体" w:hAnsi="宋体" w:cs="宋体"/>
                <w:szCs w:val="21"/>
              </w:rPr>
            </w:pPr>
            <w:r>
              <w:rPr>
                <w:rFonts w:hint="eastAsia" w:ascii="宋体" w:hAnsi="宋体" w:cs="宋体"/>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restart"/>
            <w:tcBorders>
              <w:top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2.1.3</w:t>
            </w:r>
          </w:p>
        </w:tc>
        <w:tc>
          <w:tcPr>
            <w:tcW w:w="1134" w:type="dxa"/>
            <w:vMerge w:val="restart"/>
            <w:tcBorders>
              <w:top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响应性评审标准</w:t>
            </w: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投标范围</w:t>
            </w:r>
          </w:p>
        </w:tc>
        <w:tc>
          <w:tcPr>
            <w:tcW w:w="6022" w:type="dxa"/>
            <w:tcBorders>
              <w:top w:val="single" w:color="auto" w:sz="4" w:space="0"/>
              <w:left w:val="single" w:color="auto" w:sz="4" w:space="0"/>
              <w:bottom w:val="single" w:color="auto" w:sz="4" w:space="0"/>
            </w:tcBorders>
            <w:vAlign w:val="center"/>
          </w:tcPr>
          <w:p>
            <w:pPr>
              <w:adjustRightInd w:val="0"/>
              <w:jc w:val="left"/>
              <w:textAlignment w:val="baseline"/>
              <w:rPr>
                <w:rFonts w:ascii="宋体" w:hAnsi="宋体" w:cs="宋体"/>
                <w:szCs w:val="21"/>
              </w:rPr>
            </w:pPr>
            <w:r>
              <w:rPr>
                <w:rFonts w:hint="eastAsia" w:ascii="宋体" w:hAnsi="宋体" w:cs="宋体"/>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工期</w:t>
            </w:r>
          </w:p>
        </w:tc>
        <w:tc>
          <w:tcPr>
            <w:tcW w:w="6022" w:type="dxa"/>
            <w:tcBorders>
              <w:top w:val="single" w:color="auto" w:sz="4" w:space="0"/>
              <w:left w:val="single" w:color="auto" w:sz="4" w:space="0"/>
              <w:bottom w:val="single" w:color="auto" w:sz="4" w:space="0"/>
            </w:tcBorders>
            <w:vAlign w:val="center"/>
          </w:tcPr>
          <w:p>
            <w:pPr>
              <w:adjustRightInd w:val="0"/>
              <w:jc w:val="left"/>
              <w:textAlignment w:val="baseline"/>
              <w:rPr>
                <w:rFonts w:ascii="宋体" w:hAnsi="宋体" w:cs="宋体"/>
                <w:szCs w:val="21"/>
              </w:rPr>
            </w:pPr>
            <w:r>
              <w:rPr>
                <w:rFonts w:hint="eastAsia" w:ascii="宋体" w:hAnsi="宋体" w:cs="宋体"/>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工程质量</w:t>
            </w:r>
          </w:p>
        </w:tc>
        <w:tc>
          <w:tcPr>
            <w:tcW w:w="6022" w:type="dxa"/>
            <w:tcBorders>
              <w:top w:val="single" w:color="auto" w:sz="4" w:space="0"/>
              <w:left w:val="single" w:color="auto" w:sz="4" w:space="0"/>
              <w:bottom w:val="single" w:color="auto" w:sz="4" w:space="0"/>
            </w:tcBorders>
            <w:vAlign w:val="center"/>
          </w:tcPr>
          <w:p>
            <w:pPr>
              <w:adjustRightInd w:val="0"/>
              <w:jc w:val="left"/>
              <w:textAlignment w:val="baseline"/>
              <w:rPr>
                <w:rFonts w:ascii="宋体" w:hAnsi="宋体" w:cs="宋体"/>
                <w:szCs w:val="21"/>
              </w:rPr>
            </w:pPr>
            <w:r>
              <w:rPr>
                <w:rFonts w:hint="eastAsia" w:ascii="宋体" w:hAnsi="宋体" w:cs="宋体"/>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投标有效期</w:t>
            </w:r>
          </w:p>
        </w:tc>
        <w:tc>
          <w:tcPr>
            <w:tcW w:w="6022" w:type="dxa"/>
            <w:tcBorders>
              <w:top w:val="single" w:color="auto" w:sz="4" w:space="0"/>
              <w:left w:val="single" w:color="auto" w:sz="4" w:space="0"/>
              <w:bottom w:val="single" w:color="auto" w:sz="4" w:space="0"/>
            </w:tcBorders>
            <w:vAlign w:val="center"/>
          </w:tcPr>
          <w:p>
            <w:pPr>
              <w:adjustRightInd w:val="0"/>
              <w:jc w:val="left"/>
              <w:textAlignment w:val="baseline"/>
              <w:rPr>
                <w:rFonts w:ascii="宋体" w:hAnsi="宋体" w:cs="宋体"/>
                <w:szCs w:val="21"/>
              </w:rPr>
            </w:pPr>
            <w:r>
              <w:rPr>
                <w:rFonts w:hint="eastAsia" w:ascii="宋体" w:hAnsi="宋体" w:cs="宋体"/>
                <w:szCs w:val="21"/>
              </w:rPr>
              <w:t>符合第二章“投标人须知”第3.2项规定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投标保证金</w:t>
            </w:r>
          </w:p>
        </w:tc>
        <w:tc>
          <w:tcPr>
            <w:tcW w:w="6022" w:type="dxa"/>
            <w:tcBorders>
              <w:top w:val="single" w:color="auto" w:sz="4" w:space="0"/>
              <w:left w:val="single" w:color="auto" w:sz="4" w:space="0"/>
              <w:bottom w:val="single" w:color="auto" w:sz="4" w:space="0"/>
            </w:tcBorders>
            <w:vAlign w:val="center"/>
          </w:tcPr>
          <w:p>
            <w:pPr>
              <w:adjustRightInd w:val="0"/>
              <w:jc w:val="left"/>
              <w:textAlignment w:val="baseline"/>
              <w:rPr>
                <w:rFonts w:ascii="宋体" w:hAnsi="宋体" w:cs="宋体"/>
                <w:szCs w:val="21"/>
              </w:rPr>
            </w:pPr>
            <w:r>
              <w:rPr>
                <w:rFonts w:hint="eastAsia" w:ascii="宋体" w:hAnsi="宋体" w:cs="宋体"/>
                <w:szCs w:val="21"/>
              </w:rPr>
              <w:t>符合附件1要求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权利义务</w:t>
            </w:r>
          </w:p>
        </w:tc>
        <w:tc>
          <w:tcPr>
            <w:tcW w:w="6022" w:type="dxa"/>
            <w:tcBorders>
              <w:top w:val="single" w:color="auto" w:sz="4" w:space="0"/>
              <w:left w:val="single" w:color="auto" w:sz="4" w:space="0"/>
              <w:bottom w:val="single" w:color="auto" w:sz="4" w:space="0"/>
            </w:tcBorders>
            <w:vAlign w:val="center"/>
          </w:tcPr>
          <w:p>
            <w:pPr>
              <w:adjustRightInd w:val="0"/>
              <w:jc w:val="left"/>
              <w:textAlignment w:val="baseline"/>
              <w:rPr>
                <w:rFonts w:ascii="宋体" w:hAnsi="宋体" w:cs="宋体"/>
                <w:szCs w:val="21"/>
              </w:rPr>
            </w:pPr>
            <w:r>
              <w:rPr>
                <w:rFonts w:hint="eastAsia" w:ascii="宋体" w:hAnsi="宋体" w:cs="宋体"/>
                <w:szCs w:val="21"/>
              </w:rPr>
              <w:t>符合第四章“合同条款及格式”规定的权利义务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投标报价</w:t>
            </w:r>
          </w:p>
        </w:tc>
        <w:tc>
          <w:tcPr>
            <w:tcW w:w="6022" w:type="dxa"/>
            <w:tcBorders>
              <w:top w:val="single" w:color="auto" w:sz="4" w:space="0"/>
              <w:left w:val="single" w:color="auto" w:sz="4" w:space="0"/>
              <w:bottom w:val="single" w:color="auto" w:sz="4" w:space="0"/>
            </w:tcBorders>
            <w:vAlign w:val="center"/>
          </w:tcPr>
          <w:p>
            <w:pPr>
              <w:rPr>
                <w:rFonts w:ascii="宋体" w:hAnsi="宋体" w:cs="宋体"/>
                <w:szCs w:val="21"/>
              </w:rPr>
            </w:pPr>
            <w:r>
              <w:rPr>
                <w:rFonts w:hint="eastAsia" w:ascii="宋体" w:hAnsi="宋体" w:cs="宋体"/>
                <w:szCs w:val="21"/>
              </w:rPr>
              <w:t>低于（含等于）招标控制费率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bottom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bottom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bCs/>
                <w:szCs w:val="21"/>
              </w:rPr>
              <w:t>技术标准和要求</w:t>
            </w:r>
          </w:p>
        </w:tc>
        <w:tc>
          <w:tcPr>
            <w:tcW w:w="6022" w:type="dxa"/>
            <w:tcBorders>
              <w:top w:val="single" w:color="auto" w:sz="4" w:space="0"/>
              <w:left w:val="single" w:color="auto" w:sz="4" w:space="0"/>
              <w:bottom w:val="single" w:color="auto" w:sz="4" w:space="0"/>
            </w:tcBorders>
            <w:vAlign w:val="center"/>
          </w:tcPr>
          <w:p>
            <w:pPr>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844" w:type="dxa"/>
            <w:gridSpan w:val="2"/>
            <w:tcBorders>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条款号</w:t>
            </w: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条款内容</w:t>
            </w:r>
          </w:p>
        </w:tc>
        <w:tc>
          <w:tcPr>
            <w:tcW w:w="6022" w:type="dxa"/>
            <w:tcBorders>
              <w:top w:val="single" w:color="auto" w:sz="4" w:space="0"/>
              <w:left w:val="single" w:color="auto" w:sz="4" w:space="0"/>
              <w:bottom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844" w:type="dxa"/>
            <w:gridSpan w:val="2"/>
            <w:tcBorders>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2.2.1</w:t>
            </w: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分值构成</w:t>
            </w:r>
          </w:p>
          <w:p>
            <w:pPr>
              <w:adjustRightInd w:val="0"/>
              <w:jc w:val="center"/>
              <w:textAlignment w:val="baseline"/>
              <w:rPr>
                <w:rFonts w:ascii="宋体" w:hAnsi="宋体" w:cs="宋体"/>
                <w:szCs w:val="21"/>
              </w:rPr>
            </w:pPr>
            <w:r>
              <w:rPr>
                <w:rFonts w:hint="eastAsia" w:ascii="宋体" w:hAnsi="宋体" w:cs="宋体"/>
                <w:szCs w:val="21"/>
              </w:rPr>
              <w:t>（总分100分）</w:t>
            </w:r>
          </w:p>
        </w:tc>
        <w:tc>
          <w:tcPr>
            <w:tcW w:w="6022" w:type="dxa"/>
            <w:tcBorders>
              <w:top w:val="single" w:color="auto" w:sz="4" w:space="0"/>
              <w:left w:val="single" w:color="auto" w:sz="4" w:space="0"/>
              <w:bottom w:val="single" w:color="auto" w:sz="4" w:space="0"/>
            </w:tcBorders>
            <w:vAlign w:val="center"/>
          </w:tcPr>
          <w:p>
            <w:pPr>
              <w:adjustRightInd w:val="0"/>
              <w:spacing w:line="400" w:lineRule="exact"/>
              <w:textAlignment w:val="baseline"/>
              <w:rPr>
                <w:rFonts w:ascii="宋体" w:hAnsi="宋体" w:cs="宋体"/>
                <w:szCs w:val="21"/>
              </w:rPr>
            </w:pPr>
            <w:r>
              <w:rPr>
                <w:rFonts w:hint="eastAsia" w:ascii="宋体" w:hAnsi="宋体" w:cs="宋体"/>
                <w:szCs w:val="21"/>
              </w:rPr>
              <w:t>施工组织设计：20分</w:t>
            </w:r>
          </w:p>
          <w:p>
            <w:pPr>
              <w:adjustRightInd w:val="0"/>
              <w:spacing w:line="400" w:lineRule="exact"/>
              <w:textAlignment w:val="baseline"/>
              <w:rPr>
                <w:rFonts w:ascii="宋体" w:hAnsi="宋体" w:cs="宋体"/>
                <w:szCs w:val="21"/>
              </w:rPr>
            </w:pPr>
            <w:r>
              <w:rPr>
                <w:rFonts w:hint="eastAsia" w:ascii="宋体" w:hAnsi="宋体" w:cs="宋体"/>
                <w:szCs w:val="21"/>
              </w:rPr>
              <w:t>企业综合实力：40分</w:t>
            </w:r>
          </w:p>
          <w:p>
            <w:pPr>
              <w:adjustRightInd w:val="0"/>
              <w:spacing w:line="400" w:lineRule="exact"/>
              <w:textAlignment w:val="baseline"/>
              <w:rPr>
                <w:rFonts w:ascii="宋体" w:hAnsi="宋体" w:cs="宋体"/>
                <w:szCs w:val="21"/>
              </w:rPr>
            </w:pPr>
            <w:r>
              <w:rPr>
                <w:rFonts w:hint="eastAsia" w:ascii="宋体" w:hAnsi="宋体" w:cs="宋体"/>
                <w:szCs w:val="21"/>
              </w:rPr>
              <w:t>投标报价：40分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844" w:type="dxa"/>
            <w:gridSpan w:val="2"/>
            <w:tcBorders>
              <w:top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2.2.2</w:t>
            </w: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评标基准价</w:t>
            </w:r>
          </w:p>
          <w:p>
            <w:pPr>
              <w:adjustRightInd w:val="0"/>
              <w:jc w:val="center"/>
              <w:textAlignment w:val="baseline"/>
              <w:rPr>
                <w:rFonts w:ascii="宋体" w:hAnsi="宋体" w:cs="宋体"/>
                <w:b/>
                <w:szCs w:val="21"/>
              </w:rPr>
            </w:pPr>
            <w:r>
              <w:rPr>
                <w:rFonts w:hint="eastAsia" w:ascii="宋体" w:hAnsi="宋体" w:cs="宋体"/>
                <w:szCs w:val="21"/>
              </w:rPr>
              <w:t>计算方法</w:t>
            </w:r>
          </w:p>
        </w:tc>
        <w:tc>
          <w:tcPr>
            <w:tcW w:w="6022" w:type="dxa"/>
            <w:tcBorders>
              <w:top w:val="single" w:color="auto" w:sz="4" w:space="0"/>
              <w:left w:val="single" w:color="auto" w:sz="4" w:space="0"/>
              <w:bottom w:val="single" w:color="auto" w:sz="4" w:space="0"/>
            </w:tcBorders>
            <w:vAlign w:val="center"/>
          </w:tcPr>
          <w:p>
            <w:pPr>
              <w:adjustRightInd w:val="0"/>
              <w:spacing w:line="400" w:lineRule="exact"/>
              <w:textAlignment w:val="baseline"/>
              <w:rPr>
                <w:rFonts w:ascii="宋体" w:hAnsi="宋体" w:cs="宋体"/>
                <w:szCs w:val="21"/>
              </w:rPr>
            </w:pPr>
            <w:r>
              <w:rPr>
                <w:rFonts w:hint="eastAsia" w:ascii="宋体" w:hAnsi="宋体" w:cs="宋体"/>
                <w:szCs w:val="21"/>
              </w:rPr>
              <w:t>有效投标报价为通过初步评审的投标人报价。</w:t>
            </w:r>
          </w:p>
          <w:p>
            <w:pPr>
              <w:spacing w:line="400" w:lineRule="exact"/>
              <w:rPr>
                <w:rFonts w:ascii="宋体" w:hAnsi="宋体" w:cs="宋体"/>
                <w:szCs w:val="21"/>
              </w:rPr>
            </w:pPr>
            <w:r>
              <w:rPr>
                <w:rFonts w:hint="eastAsia" w:ascii="宋体" w:hAnsi="宋体" w:cs="宋体"/>
                <w:szCs w:val="21"/>
              </w:rPr>
              <w:t>有效投标报价的投标人家数为N。</w:t>
            </w:r>
          </w:p>
          <w:p>
            <w:pPr>
              <w:spacing w:line="400" w:lineRule="exact"/>
              <w:ind w:firstLine="420" w:firstLineChars="200"/>
              <w:rPr>
                <w:rFonts w:ascii="宋体" w:hAnsi="宋体" w:cs="宋体"/>
                <w:szCs w:val="21"/>
              </w:rPr>
            </w:pPr>
            <w:r>
              <w:rPr>
                <w:rFonts w:hint="eastAsia" w:ascii="宋体" w:hAnsi="宋体" w:cs="宋体"/>
                <w:szCs w:val="21"/>
              </w:rPr>
              <w:t>当3≤N≤7时，各有效投标报价的算术平均值S减去2个百分点后的M（公式：M=S-2%）为评标基准价；</w:t>
            </w:r>
          </w:p>
          <w:p>
            <w:pPr>
              <w:spacing w:line="400" w:lineRule="exact"/>
              <w:ind w:firstLine="420" w:firstLineChars="200"/>
              <w:rPr>
                <w:rFonts w:ascii="宋体" w:hAnsi="宋体" w:cs="宋体"/>
                <w:szCs w:val="21"/>
              </w:rPr>
            </w:pPr>
            <w:r>
              <w:rPr>
                <w:rFonts w:hint="eastAsia" w:ascii="宋体" w:hAnsi="宋体" w:cs="宋体"/>
                <w:szCs w:val="21"/>
              </w:rPr>
              <w:t>当7&lt;N≤13时，去掉1个最高报价和1个最低报价后，对剩余有效投标报价进行算术平均，其算术平均值S减去2个百分点后的M（公式：M=S-2%）为评标基准价；</w:t>
            </w:r>
          </w:p>
          <w:p>
            <w:pPr>
              <w:spacing w:line="400" w:lineRule="exact"/>
              <w:ind w:firstLine="420" w:firstLineChars="200"/>
              <w:rPr>
                <w:rFonts w:ascii="宋体" w:hAnsi="宋体" w:cs="宋体"/>
                <w:szCs w:val="21"/>
              </w:rPr>
            </w:pPr>
            <w:r>
              <w:rPr>
                <w:rFonts w:hint="eastAsia" w:ascii="宋体" w:hAnsi="宋体" w:cs="宋体"/>
                <w:szCs w:val="21"/>
              </w:rPr>
              <w:t>当13&lt;N≤20时，去掉2个最高报价和2个最低报价后，对剩余有效投标报价进行算术平均，其算术平均值S减去2个百分点后的M（公式：M=S-2%）为评标基准价；</w:t>
            </w:r>
          </w:p>
          <w:p>
            <w:pPr>
              <w:spacing w:line="400" w:lineRule="exact"/>
              <w:ind w:firstLine="420" w:firstLineChars="200"/>
              <w:rPr>
                <w:rFonts w:ascii="宋体" w:hAnsi="宋体" w:cs="宋体"/>
                <w:szCs w:val="21"/>
              </w:rPr>
            </w:pPr>
            <w:r>
              <w:rPr>
                <w:rFonts w:hint="eastAsia" w:ascii="宋体" w:hAnsi="宋体" w:cs="宋体"/>
                <w:szCs w:val="21"/>
              </w:rPr>
              <w:t>当N＞20时，去掉3个最高报价和3个最低报价后，对剩余有效投标报价进行算术平均，其算术平均值S减去2个百分点后的M（公式：M=S-2%）为评标基准价。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844" w:type="dxa"/>
            <w:gridSpan w:val="2"/>
            <w:tcBorders>
              <w:top w:val="nil"/>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条款号</w:t>
            </w: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评分因素</w:t>
            </w:r>
          </w:p>
        </w:tc>
        <w:tc>
          <w:tcPr>
            <w:tcW w:w="6022" w:type="dxa"/>
            <w:tcBorders>
              <w:top w:val="single" w:color="auto" w:sz="4" w:space="0"/>
              <w:left w:val="single" w:color="auto" w:sz="4" w:space="0"/>
              <w:bottom w:val="single" w:color="auto" w:sz="4" w:space="0"/>
            </w:tcBorders>
            <w:vAlign w:val="center"/>
          </w:tcPr>
          <w:p>
            <w:pPr>
              <w:adjustRightInd w:val="0"/>
              <w:spacing w:line="400" w:lineRule="exact"/>
              <w:jc w:val="center"/>
              <w:textAlignment w:val="baseline"/>
              <w:rPr>
                <w:rFonts w:ascii="宋体" w:hAnsi="宋体" w:cs="宋体"/>
                <w:szCs w:val="21"/>
              </w:rPr>
            </w:pPr>
            <w:r>
              <w:rPr>
                <w:rFonts w:hint="eastAsia" w:ascii="宋体" w:hAnsi="宋体" w:cs="宋体"/>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710" w:type="dxa"/>
            <w:vMerge w:val="restart"/>
            <w:tcBorders>
              <w:top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2.2.4（1）</w:t>
            </w:r>
          </w:p>
        </w:tc>
        <w:tc>
          <w:tcPr>
            <w:tcW w:w="1134" w:type="dxa"/>
            <w:vMerge w:val="restart"/>
            <w:tcBorders>
              <w:top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rPr>
              <w:t>施</w:t>
            </w:r>
            <w:r>
              <w:rPr>
                <w:rFonts w:hint="eastAsia" w:ascii="宋体" w:hAnsi="宋体" w:cs="宋体"/>
                <w:szCs w:val="21"/>
              </w:rPr>
              <w:t>工组织设计评分标准</w:t>
            </w:r>
          </w:p>
          <w:p>
            <w:pPr>
              <w:adjustRightInd w:val="0"/>
              <w:jc w:val="center"/>
              <w:textAlignment w:val="baseline"/>
              <w:rPr>
                <w:rFonts w:ascii="宋体" w:hAnsi="宋体" w:cs="宋体"/>
                <w:szCs w:val="21"/>
              </w:rPr>
            </w:pPr>
            <w:r>
              <w:rPr>
                <w:rFonts w:hint="eastAsia" w:ascii="宋体" w:hAnsi="宋体" w:cs="宋体"/>
                <w:szCs w:val="21"/>
              </w:rPr>
              <w:t>20分</w:t>
            </w:r>
          </w:p>
          <w:p>
            <w:pPr>
              <w:pStyle w:val="3"/>
              <w:ind w:left="63" w:right="63" w:firstLine="340"/>
            </w:pPr>
            <w:r>
              <w:rPr>
                <w:rFonts w:hint="eastAsia" w:hAnsi="宋体" w:cs="宋体"/>
                <w:kern w:val="2"/>
                <w:sz w:val="21"/>
                <w:szCs w:val="21"/>
              </w:rPr>
              <w:t>（打分保留1位小数）</w:t>
            </w:r>
          </w:p>
        </w:tc>
        <w:tc>
          <w:tcPr>
            <w:tcW w:w="1632" w:type="dxa"/>
            <w:gridSpan w:val="2"/>
            <w:tcBorders>
              <w:top w:val="single" w:color="auto" w:sz="4" w:space="0"/>
              <w:left w:val="single" w:color="auto" w:sz="4" w:space="0"/>
              <w:bottom w:val="single" w:color="auto" w:sz="4" w:space="0"/>
              <w:right w:val="single" w:color="auto" w:sz="4" w:space="0"/>
            </w:tcBorders>
            <w:vAlign w:val="center"/>
          </w:tcPr>
          <w:p>
            <w:pPr>
              <w:numPr>
                <w:ilvl w:val="0"/>
                <w:numId w:val="5"/>
              </w:numPr>
              <w:adjustRightInd w:val="0"/>
              <w:spacing w:line="400" w:lineRule="exact"/>
              <w:jc w:val="center"/>
              <w:textAlignment w:val="baseline"/>
              <w:rPr>
                <w:rFonts w:ascii="宋体" w:hAnsi="宋体" w:cs="宋体"/>
                <w:szCs w:val="21"/>
              </w:rPr>
            </w:pPr>
            <w:r>
              <w:rPr>
                <w:rFonts w:hint="eastAsia" w:ascii="宋体" w:hAnsi="宋体" w:cs="宋体"/>
                <w:szCs w:val="21"/>
              </w:rPr>
              <w:t>主要施工方案和技术措施</w:t>
            </w:r>
          </w:p>
          <w:p>
            <w:pPr>
              <w:adjustRightInd w:val="0"/>
              <w:spacing w:line="400" w:lineRule="exact"/>
              <w:jc w:val="center"/>
              <w:textAlignment w:val="baseline"/>
              <w:rPr>
                <w:rFonts w:ascii="宋体" w:hAnsi="宋体" w:cs="宋体"/>
                <w:szCs w:val="21"/>
              </w:rPr>
            </w:pPr>
            <w:r>
              <w:rPr>
                <w:rFonts w:hint="eastAsia" w:ascii="宋体" w:hAnsi="宋体" w:cs="宋体"/>
                <w:szCs w:val="21"/>
              </w:rPr>
              <w:t>（6分）</w:t>
            </w:r>
          </w:p>
        </w:tc>
        <w:tc>
          <w:tcPr>
            <w:tcW w:w="6022" w:type="dxa"/>
            <w:tcBorders>
              <w:top w:val="single" w:color="auto" w:sz="4" w:space="0"/>
              <w:left w:val="single" w:color="auto" w:sz="4" w:space="0"/>
              <w:bottom w:val="single" w:color="auto" w:sz="4" w:space="0"/>
            </w:tcBorders>
            <w:vAlign w:val="center"/>
          </w:tcPr>
          <w:p>
            <w:pPr>
              <w:adjustRightInd w:val="0"/>
              <w:spacing w:line="400" w:lineRule="exact"/>
              <w:jc w:val="left"/>
              <w:textAlignment w:val="baseline"/>
              <w:rPr>
                <w:rFonts w:ascii="宋体" w:hAnsi="宋体" w:cs="宋体"/>
              </w:rPr>
            </w:pPr>
            <w:r>
              <w:rPr>
                <w:rFonts w:hint="eastAsia" w:ascii="宋体" w:hAnsi="宋体" w:cs="宋体"/>
              </w:rPr>
              <w:t>方案先进、针对性强、合理；各分项工程方案完整 5.1 -6.0分</w:t>
            </w:r>
          </w:p>
          <w:p>
            <w:pPr>
              <w:adjustRightInd w:val="0"/>
              <w:spacing w:line="400" w:lineRule="exact"/>
              <w:ind w:left="4830" w:hanging="4830" w:hangingChars="2300"/>
              <w:jc w:val="left"/>
              <w:textAlignment w:val="baseline"/>
              <w:rPr>
                <w:rFonts w:ascii="宋体" w:hAnsi="宋体" w:cs="宋体"/>
              </w:rPr>
            </w:pPr>
            <w:r>
              <w:rPr>
                <w:rFonts w:hint="eastAsia" w:ascii="宋体" w:hAnsi="宋体" w:cs="宋体"/>
              </w:rPr>
              <w:t>方案较先进、合理，但针对性不强；各分项工程方案较完整</w:t>
            </w:r>
          </w:p>
          <w:p>
            <w:pPr>
              <w:adjustRightInd w:val="0"/>
              <w:spacing w:line="400" w:lineRule="exact"/>
              <w:ind w:firstLine="4830" w:firstLineChars="2300"/>
              <w:textAlignment w:val="baseline"/>
              <w:rPr>
                <w:rFonts w:ascii="宋体" w:hAnsi="宋体" w:cs="宋体"/>
              </w:rPr>
            </w:pPr>
            <w:r>
              <w:rPr>
                <w:rFonts w:hint="eastAsia" w:ascii="宋体" w:hAnsi="宋体" w:cs="宋体"/>
              </w:rPr>
              <w:t>4.1-5.0分</w:t>
            </w:r>
          </w:p>
          <w:p>
            <w:pPr>
              <w:adjustRightInd w:val="0"/>
              <w:spacing w:line="400" w:lineRule="exact"/>
              <w:ind w:left="4830" w:hanging="4830" w:hangingChars="2300"/>
              <w:jc w:val="left"/>
              <w:textAlignment w:val="baseline"/>
              <w:rPr>
                <w:rFonts w:ascii="宋体" w:hAnsi="宋体" w:cs="宋体"/>
              </w:rPr>
            </w:pPr>
            <w:r>
              <w:rPr>
                <w:rFonts w:hint="eastAsia" w:ascii="宋体" w:hAnsi="宋体" w:cs="宋体"/>
              </w:rPr>
              <w:t>方案欠合理，针对性不强；各分项工程方案不完整  3.0-4.0分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5" w:hRule="atLeast"/>
        </w:trPr>
        <w:tc>
          <w:tcPr>
            <w:tcW w:w="710" w:type="dxa"/>
            <w:vMerge w:val="continue"/>
            <w:tcBorders>
              <w:top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top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Cs w:val="21"/>
              </w:rPr>
            </w:pPr>
            <w:r>
              <w:rPr>
                <w:rFonts w:hint="eastAsia" w:ascii="宋体" w:hAnsi="宋体" w:cs="宋体"/>
                <w:szCs w:val="21"/>
              </w:rPr>
              <w:t>2、工程施工重点、难点分析及对策（4分）</w:t>
            </w:r>
          </w:p>
        </w:tc>
        <w:tc>
          <w:tcPr>
            <w:tcW w:w="6022" w:type="dxa"/>
            <w:tcBorders>
              <w:top w:val="single" w:color="auto" w:sz="4" w:space="0"/>
              <w:left w:val="single" w:color="auto" w:sz="4" w:space="0"/>
              <w:bottom w:val="single" w:color="auto" w:sz="4" w:space="0"/>
            </w:tcBorders>
            <w:vAlign w:val="center"/>
          </w:tcPr>
          <w:p>
            <w:pPr>
              <w:adjustRightInd w:val="0"/>
              <w:spacing w:line="400" w:lineRule="exact"/>
              <w:jc w:val="left"/>
              <w:textAlignment w:val="baseline"/>
              <w:rPr>
                <w:rFonts w:ascii="宋体" w:hAnsi="宋体" w:cs="宋体"/>
                <w:szCs w:val="21"/>
              </w:rPr>
            </w:pPr>
            <w:r>
              <w:rPr>
                <w:rFonts w:hint="eastAsia" w:ascii="宋体" w:hAnsi="宋体" w:cs="宋体"/>
                <w:szCs w:val="21"/>
              </w:rPr>
              <w:t>结合工程实际，分析准确、到位及对策有效        3.1-4.0分</w:t>
            </w:r>
          </w:p>
          <w:p>
            <w:pPr>
              <w:adjustRightInd w:val="0"/>
              <w:spacing w:line="400" w:lineRule="exact"/>
              <w:jc w:val="left"/>
              <w:textAlignment w:val="baseline"/>
              <w:rPr>
                <w:rFonts w:ascii="宋体" w:hAnsi="宋体" w:cs="宋体"/>
                <w:szCs w:val="21"/>
              </w:rPr>
            </w:pPr>
            <w:r>
              <w:rPr>
                <w:rFonts w:hint="eastAsia" w:ascii="宋体" w:hAnsi="宋体" w:cs="宋体"/>
                <w:szCs w:val="21"/>
              </w:rPr>
              <w:t>结合工程实际及准确性一般，对策较合理          2.6-3.0分</w:t>
            </w:r>
          </w:p>
          <w:p>
            <w:pPr>
              <w:pStyle w:val="3"/>
              <w:ind w:right="-113" w:rightChars="-54"/>
              <w:rPr>
                <w:rFonts w:hAnsi="宋体" w:cs="宋体"/>
              </w:rPr>
            </w:pPr>
            <w:r>
              <w:rPr>
                <w:rFonts w:hint="eastAsia" w:hAnsi="宋体" w:cs="宋体"/>
                <w:kern w:val="2"/>
                <w:sz w:val="21"/>
                <w:szCs w:val="21"/>
              </w:rPr>
              <w:t>结合工程实际及准确性不强，对策不合理          2.0-2.5分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710" w:type="dxa"/>
            <w:vMerge w:val="continue"/>
            <w:tcBorders>
              <w:top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top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Cs w:val="21"/>
              </w:rPr>
            </w:pPr>
            <w:r>
              <w:rPr>
                <w:rFonts w:hint="eastAsia" w:ascii="宋体" w:hAnsi="宋体" w:cs="宋体"/>
                <w:szCs w:val="21"/>
              </w:rPr>
              <w:t>3、质量管理体系与措施（2分）</w:t>
            </w:r>
          </w:p>
        </w:tc>
        <w:tc>
          <w:tcPr>
            <w:tcW w:w="6022" w:type="dxa"/>
            <w:tcBorders>
              <w:top w:val="single" w:color="auto" w:sz="4" w:space="0"/>
              <w:left w:val="single" w:color="auto" w:sz="4" w:space="0"/>
              <w:bottom w:val="single" w:color="auto" w:sz="4" w:space="0"/>
            </w:tcBorders>
            <w:vAlign w:val="center"/>
          </w:tcPr>
          <w:p>
            <w:pPr>
              <w:adjustRightInd w:val="0"/>
              <w:spacing w:line="400" w:lineRule="exact"/>
              <w:jc w:val="left"/>
              <w:textAlignment w:val="baseline"/>
              <w:rPr>
                <w:rFonts w:ascii="宋体" w:hAnsi="宋体" w:cs="宋体"/>
                <w:szCs w:val="21"/>
              </w:rPr>
            </w:pPr>
            <w:r>
              <w:rPr>
                <w:rFonts w:hint="eastAsia" w:ascii="宋体" w:hAnsi="宋体" w:cs="宋体"/>
                <w:szCs w:val="21"/>
              </w:rPr>
              <w:t>保证体系完整、措施有力                        1.6-2.0分</w:t>
            </w:r>
          </w:p>
          <w:p>
            <w:pPr>
              <w:adjustRightInd w:val="0"/>
              <w:spacing w:line="400" w:lineRule="exact"/>
              <w:jc w:val="left"/>
              <w:textAlignment w:val="baseline"/>
              <w:rPr>
                <w:rFonts w:ascii="宋体" w:hAnsi="宋体" w:cs="宋体"/>
                <w:szCs w:val="21"/>
              </w:rPr>
            </w:pPr>
            <w:r>
              <w:rPr>
                <w:rFonts w:hint="eastAsia" w:ascii="宋体" w:hAnsi="宋体" w:cs="宋体"/>
                <w:szCs w:val="21"/>
              </w:rPr>
              <w:t>保证体系及措施较为完整                        1.0-1.5分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3" w:hRule="atLeast"/>
        </w:trPr>
        <w:tc>
          <w:tcPr>
            <w:tcW w:w="710" w:type="dxa"/>
            <w:vMerge w:val="continue"/>
            <w:tcBorders>
              <w:top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top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Cs w:val="21"/>
              </w:rPr>
            </w:pPr>
            <w:r>
              <w:rPr>
                <w:rFonts w:hint="eastAsia" w:ascii="宋体" w:hAnsi="宋体" w:cs="宋体"/>
                <w:szCs w:val="21"/>
              </w:rPr>
              <w:t>4、确保工期的技术组织措施（1分)</w:t>
            </w:r>
          </w:p>
        </w:tc>
        <w:tc>
          <w:tcPr>
            <w:tcW w:w="6022" w:type="dxa"/>
            <w:tcBorders>
              <w:top w:val="single" w:color="auto" w:sz="4" w:space="0"/>
              <w:left w:val="single" w:color="auto" w:sz="4" w:space="0"/>
              <w:bottom w:val="single" w:color="auto" w:sz="4" w:space="0"/>
            </w:tcBorders>
            <w:vAlign w:val="center"/>
          </w:tcPr>
          <w:p>
            <w:pPr>
              <w:adjustRightInd w:val="0"/>
              <w:spacing w:line="400" w:lineRule="exact"/>
              <w:jc w:val="left"/>
              <w:textAlignment w:val="baseline"/>
              <w:rPr>
                <w:rFonts w:ascii="宋体" w:hAnsi="宋体" w:cs="宋体"/>
                <w:szCs w:val="21"/>
              </w:rPr>
            </w:pPr>
            <w:r>
              <w:rPr>
                <w:rFonts w:hint="eastAsia" w:ascii="宋体" w:hAnsi="宋体" w:cs="宋体"/>
                <w:szCs w:val="21"/>
              </w:rPr>
              <w:t>优良（方案科学、合理、安全，考虑周全，措施到位，针对性强，完全能够满足招标工程的施工需求）              0.8-1.0分</w:t>
            </w:r>
          </w:p>
          <w:p>
            <w:pPr>
              <w:adjustRightInd w:val="0"/>
              <w:spacing w:line="400" w:lineRule="exact"/>
              <w:jc w:val="left"/>
              <w:textAlignment w:val="baseline"/>
              <w:rPr>
                <w:rFonts w:ascii="宋体" w:hAnsi="宋体" w:cs="宋体"/>
                <w:szCs w:val="21"/>
              </w:rPr>
            </w:pPr>
            <w:r>
              <w:rPr>
                <w:rFonts w:hint="eastAsia" w:ascii="宋体" w:hAnsi="宋体" w:cs="宋体"/>
                <w:szCs w:val="21"/>
              </w:rPr>
              <w:t>一般（方案基本科学、合理、安全，考虑比较周全，措施基本到位，针对性较强，可以满足招标工程的施工要求，但有个别细节需要进一步完善或提高）                        0.5-0.7分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3" w:hRule="atLeast"/>
        </w:trPr>
        <w:tc>
          <w:tcPr>
            <w:tcW w:w="710" w:type="dxa"/>
            <w:vMerge w:val="continue"/>
            <w:tcBorders>
              <w:top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top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Cs w:val="21"/>
              </w:rPr>
            </w:pPr>
            <w:r>
              <w:rPr>
                <w:rFonts w:hint="eastAsia" w:ascii="宋体" w:hAnsi="宋体" w:cs="宋体"/>
                <w:szCs w:val="21"/>
              </w:rPr>
              <w:t>5、安全、文明、环保管理体系与措施（1分）</w:t>
            </w:r>
          </w:p>
        </w:tc>
        <w:tc>
          <w:tcPr>
            <w:tcW w:w="6022" w:type="dxa"/>
            <w:tcBorders>
              <w:top w:val="single" w:color="auto" w:sz="4" w:space="0"/>
              <w:left w:val="single" w:color="auto" w:sz="4" w:space="0"/>
              <w:bottom w:val="single" w:color="auto" w:sz="4" w:space="0"/>
            </w:tcBorders>
            <w:vAlign w:val="center"/>
          </w:tcPr>
          <w:p>
            <w:pPr>
              <w:adjustRightInd w:val="0"/>
              <w:spacing w:line="400" w:lineRule="exact"/>
              <w:jc w:val="left"/>
              <w:textAlignment w:val="baseline"/>
              <w:rPr>
                <w:rFonts w:ascii="宋体" w:hAnsi="宋体" w:cs="宋体"/>
                <w:szCs w:val="21"/>
              </w:rPr>
            </w:pPr>
            <w:r>
              <w:rPr>
                <w:rFonts w:hint="eastAsia" w:ascii="宋体" w:hAnsi="宋体" w:cs="宋体"/>
                <w:szCs w:val="21"/>
              </w:rPr>
              <w:t>措施有针对性、合理、可实施性强                0.8-1.0分</w:t>
            </w:r>
          </w:p>
          <w:p>
            <w:pPr>
              <w:adjustRightInd w:val="0"/>
              <w:spacing w:line="400" w:lineRule="exact"/>
              <w:jc w:val="left"/>
              <w:textAlignment w:val="baseline"/>
              <w:rPr>
                <w:rFonts w:ascii="宋体" w:hAnsi="宋体" w:cs="宋体"/>
                <w:szCs w:val="21"/>
              </w:rPr>
            </w:pPr>
            <w:r>
              <w:rPr>
                <w:rFonts w:hint="eastAsia" w:ascii="宋体" w:hAnsi="宋体" w:cs="宋体"/>
                <w:szCs w:val="21"/>
              </w:rPr>
              <w:t>措施较有针对性、合理，基本可实施              0.5-0.7分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10" w:type="dxa"/>
            <w:vMerge w:val="continue"/>
            <w:tcBorders>
              <w:top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top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right w:val="single" w:color="auto" w:sz="4" w:space="0"/>
            </w:tcBorders>
            <w:vAlign w:val="center"/>
          </w:tcPr>
          <w:p>
            <w:pPr>
              <w:adjustRightInd w:val="0"/>
              <w:spacing w:line="400" w:lineRule="exact"/>
              <w:jc w:val="center"/>
              <w:textAlignment w:val="baseline"/>
              <w:rPr>
                <w:rFonts w:ascii="宋体" w:hAnsi="宋体" w:cs="宋体"/>
                <w:szCs w:val="21"/>
              </w:rPr>
            </w:pPr>
            <w:r>
              <w:rPr>
                <w:rFonts w:hint="eastAsia" w:ascii="宋体" w:hAnsi="宋体" w:cs="宋体"/>
                <w:szCs w:val="21"/>
              </w:rPr>
              <w:t>6、组织机构及管理人员、资源配备计划（1分）</w:t>
            </w:r>
          </w:p>
        </w:tc>
        <w:tc>
          <w:tcPr>
            <w:tcW w:w="6022" w:type="dxa"/>
            <w:tcBorders>
              <w:top w:val="single" w:color="auto" w:sz="4" w:space="0"/>
              <w:left w:val="single" w:color="auto" w:sz="4" w:space="0"/>
            </w:tcBorders>
            <w:vAlign w:val="center"/>
          </w:tcPr>
          <w:p>
            <w:pPr>
              <w:adjustRightInd w:val="0"/>
              <w:spacing w:line="400" w:lineRule="exact"/>
              <w:jc w:val="left"/>
              <w:textAlignment w:val="baseline"/>
              <w:rPr>
                <w:rFonts w:ascii="宋体" w:hAnsi="宋体" w:cs="宋体"/>
                <w:szCs w:val="21"/>
              </w:rPr>
            </w:pPr>
            <w:r>
              <w:rPr>
                <w:rFonts w:hint="eastAsia" w:ascii="宋体" w:hAnsi="宋体" w:cs="宋体"/>
                <w:szCs w:val="21"/>
              </w:rPr>
              <w:t xml:space="preserve">组织机构模式完全满足工程施工需要，各部门责任、任务明确；劳动力配备计划及主要施工机械配备计划合理、可行0.8-1.0分                                                                                           </w:t>
            </w:r>
          </w:p>
          <w:p>
            <w:pPr>
              <w:adjustRightInd w:val="0"/>
              <w:spacing w:line="400" w:lineRule="exact"/>
              <w:jc w:val="left"/>
              <w:textAlignment w:val="baseline"/>
            </w:pPr>
            <w:r>
              <w:rPr>
                <w:rFonts w:hint="eastAsia" w:ascii="宋体" w:hAnsi="宋体" w:cs="宋体"/>
                <w:szCs w:val="21"/>
              </w:rPr>
              <w:t>组织机构模式基本满足工程施工需要，各部门责任、任务明确；劳动力配备计划及主要施工机械配备计划基本合理、可行                                                                                                                                     0.5-0.7分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right w:val="single" w:color="auto" w:sz="4" w:space="0"/>
            </w:tcBorders>
            <w:vAlign w:val="center"/>
          </w:tcPr>
          <w:p>
            <w:pPr>
              <w:adjustRightInd w:val="0"/>
              <w:spacing w:line="400" w:lineRule="exact"/>
              <w:jc w:val="center"/>
              <w:textAlignment w:val="baseline"/>
              <w:rPr>
                <w:rFonts w:ascii="宋体" w:hAnsi="宋体" w:cs="宋体"/>
                <w:szCs w:val="21"/>
              </w:rPr>
            </w:pPr>
            <w:r>
              <w:rPr>
                <w:rFonts w:hint="eastAsia" w:ascii="宋体" w:hAnsi="宋体" w:cs="宋体"/>
                <w:szCs w:val="21"/>
              </w:rPr>
              <w:t>7、冬雨季施工、施工排水措施（1分）</w:t>
            </w:r>
          </w:p>
        </w:tc>
        <w:tc>
          <w:tcPr>
            <w:tcW w:w="6022" w:type="dxa"/>
            <w:tcBorders>
              <w:top w:val="single" w:color="auto" w:sz="4" w:space="0"/>
              <w:left w:val="single" w:color="auto" w:sz="4" w:space="0"/>
            </w:tcBorders>
            <w:vAlign w:val="center"/>
          </w:tcPr>
          <w:p>
            <w:pPr>
              <w:adjustRightInd w:val="0"/>
              <w:spacing w:line="400" w:lineRule="exact"/>
              <w:jc w:val="left"/>
              <w:textAlignment w:val="baseline"/>
              <w:rPr>
                <w:rFonts w:ascii="宋体" w:hAnsi="宋体" w:cs="宋体"/>
                <w:szCs w:val="21"/>
              </w:rPr>
            </w:pPr>
            <w:r>
              <w:rPr>
                <w:rFonts w:hint="eastAsia" w:ascii="宋体" w:hAnsi="宋体" w:cs="宋体"/>
                <w:szCs w:val="21"/>
              </w:rPr>
              <w:t>措施有针对性、合理、可实施性强                0.8-1.0分</w:t>
            </w:r>
          </w:p>
          <w:p>
            <w:pPr>
              <w:adjustRightInd w:val="0"/>
              <w:spacing w:line="400" w:lineRule="exact"/>
              <w:jc w:val="left"/>
              <w:textAlignment w:val="baseline"/>
              <w:rPr>
                <w:rFonts w:ascii="宋体" w:hAnsi="宋体" w:cs="宋体"/>
                <w:szCs w:val="21"/>
              </w:rPr>
            </w:pPr>
            <w:r>
              <w:rPr>
                <w:rFonts w:hint="eastAsia" w:ascii="宋体" w:hAnsi="宋体" w:cs="宋体"/>
                <w:szCs w:val="21"/>
              </w:rPr>
              <w:t>措施较一般、针对性和实施性一般                0.5-0.7分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right w:val="single" w:color="auto" w:sz="4" w:space="0"/>
            </w:tcBorders>
            <w:vAlign w:val="center"/>
          </w:tcPr>
          <w:p>
            <w:pPr>
              <w:adjustRightInd w:val="0"/>
              <w:spacing w:line="400" w:lineRule="exact"/>
              <w:jc w:val="center"/>
              <w:textAlignment w:val="baseline"/>
              <w:rPr>
                <w:rFonts w:ascii="宋体" w:hAnsi="宋体" w:cs="宋体"/>
                <w:szCs w:val="21"/>
              </w:rPr>
            </w:pPr>
            <w:r>
              <w:rPr>
                <w:rFonts w:hint="eastAsia" w:ascii="宋体" w:hAnsi="宋体" w:cs="宋体"/>
                <w:szCs w:val="21"/>
              </w:rPr>
              <w:t>8、紧急情况的处理措施、应急预案及风险控制（1分）</w:t>
            </w:r>
          </w:p>
        </w:tc>
        <w:tc>
          <w:tcPr>
            <w:tcW w:w="6022" w:type="dxa"/>
            <w:tcBorders>
              <w:top w:val="single" w:color="auto" w:sz="4" w:space="0"/>
              <w:left w:val="single" w:color="auto" w:sz="4" w:space="0"/>
              <w:bottom w:val="single" w:color="auto" w:sz="4" w:space="0"/>
            </w:tcBorders>
            <w:vAlign w:val="center"/>
          </w:tcPr>
          <w:p>
            <w:pPr>
              <w:adjustRightInd w:val="0"/>
              <w:spacing w:line="400" w:lineRule="exact"/>
              <w:jc w:val="left"/>
              <w:textAlignment w:val="baseline"/>
              <w:rPr>
                <w:rFonts w:ascii="宋体" w:hAnsi="宋体" w:cs="宋体"/>
                <w:szCs w:val="21"/>
              </w:rPr>
            </w:pPr>
            <w:r>
              <w:rPr>
                <w:rFonts w:hint="eastAsia" w:ascii="宋体" w:hAnsi="宋体" w:cs="宋体"/>
                <w:szCs w:val="21"/>
              </w:rPr>
              <w:t>紧急情况处理措施考虑周全、到位，针对性强      0.8-1.0分</w:t>
            </w:r>
          </w:p>
          <w:p>
            <w:pPr>
              <w:adjustRightInd w:val="0"/>
              <w:spacing w:line="400" w:lineRule="exact"/>
              <w:jc w:val="left"/>
              <w:textAlignment w:val="baseline"/>
              <w:rPr>
                <w:rFonts w:ascii="宋体" w:hAnsi="宋体" w:cs="宋体"/>
                <w:szCs w:val="21"/>
              </w:rPr>
            </w:pPr>
            <w:r>
              <w:rPr>
                <w:rFonts w:hint="eastAsia" w:ascii="宋体" w:hAnsi="宋体" w:cs="宋体"/>
                <w:szCs w:val="21"/>
              </w:rPr>
              <w:t>紧急情况处理措施考虑比较周全、基本到位，针对性较强</w:t>
            </w:r>
          </w:p>
          <w:p>
            <w:pPr>
              <w:adjustRightInd w:val="0"/>
              <w:spacing w:line="400" w:lineRule="exact"/>
              <w:ind w:firstLine="4830" w:firstLineChars="2300"/>
              <w:jc w:val="left"/>
              <w:textAlignment w:val="baseline"/>
              <w:rPr>
                <w:rFonts w:ascii="宋体" w:hAnsi="宋体" w:cs="宋体"/>
                <w:szCs w:val="21"/>
              </w:rPr>
            </w:pPr>
            <w:r>
              <w:rPr>
                <w:rFonts w:hint="eastAsia" w:ascii="宋体" w:hAnsi="宋体" w:cs="宋体"/>
                <w:szCs w:val="21"/>
              </w:rPr>
              <w:t>0.5-0.7分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right w:val="single" w:color="auto" w:sz="4" w:space="0"/>
            </w:tcBorders>
            <w:vAlign w:val="center"/>
          </w:tcPr>
          <w:p>
            <w:pPr>
              <w:adjustRightInd w:val="0"/>
              <w:spacing w:line="400" w:lineRule="exact"/>
              <w:jc w:val="center"/>
              <w:textAlignment w:val="baseline"/>
              <w:rPr>
                <w:rFonts w:ascii="宋体" w:hAnsi="宋体" w:cs="宋体"/>
                <w:szCs w:val="21"/>
              </w:rPr>
            </w:pPr>
            <w:r>
              <w:rPr>
                <w:rFonts w:hint="eastAsia" w:ascii="宋体" w:hAnsi="宋体" w:cs="宋体"/>
                <w:szCs w:val="21"/>
              </w:rPr>
              <w:t>9、合理化建议</w:t>
            </w:r>
          </w:p>
          <w:p>
            <w:pPr>
              <w:adjustRightInd w:val="0"/>
              <w:spacing w:line="400" w:lineRule="exact"/>
              <w:jc w:val="center"/>
              <w:textAlignment w:val="baseline"/>
              <w:rPr>
                <w:rFonts w:ascii="宋体" w:hAnsi="宋体" w:cs="宋体"/>
                <w:szCs w:val="21"/>
              </w:rPr>
            </w:pPr>
            <w:r>
              <w:rPr>
                <w:rFonts w:hint="eastAsia" w:ascii="宋体" w:hAnsi="宋体" w:cs="宋体"/>
                <w:szCs w:val="21"/>
              </w:rPr>
              <w:t>（1分）</w:t>
            </w:r>
          </w:p>
        </w:tc>
        <w:tc>
          <w:tcPr>
            <w:tcW w:w="6022" w:type="dxa"/>
            <w:tcBorders>
              <w:top w:val="single" w:color="auto" w:sz="4" w:space="0"/>
              <w:left w:val="single" w:color="auto" w:sz="4" w:space="0"/>
            </w:tcBorders>
            <w:vAlign w:val="center"/>
          </w:tcPr>
          <w:p>
            <w:pPr>
              <w:adjustRightInd w:val="0"/>
              <w:spacing w:line="400" w:lineRule="exact"/>
              <w:jc w:val="left"/>
              <w:textAlignment w:val="baseline"/>
              <w:rPr>
                <w:rFonts w:ascii="宋体" w:hAnsi="宋体" w:cs="宋体"/>
                <w:szCs w:val="21"/>
              </w:rPr>
            </w:pPr>
            <w:r>
              <w:rPr>
                <w:rFonts w:hint="eastAsia" w:ascii="宋体" w:hAnsi="宋体" w:cs="宋体"/>
                <w:szCs w:val="21"/>
              </w:rPr>
              <w:t>新技术的应用及在缩短工期、降低工程费用、提高工程质量等方面具有可操作性、合理化建议切实可行           0.8-1.0分</w:t>
            </w:r>
          </w:p>
          <w:p>
            <w:pPr>
              <w:pStyle w:val="3"/>
              <w:ind w:right="63"/>
            </w:pPr>
            <w:r>
              <w:rPr>
                <w:rFonts w:hint="eastAsia" w:hAnsi="宋体" w:cs="宋体"/>
                <w:kern w:val="2"/>
                <w:sz w:val="21"/>
                <w:szCs w:val="21"/>
              </w:rPr>
              <w:t>新技术的应用及在缩短工期、降低工程费用、提高工程质量等方面可操作性一般、合理化建议基本可行         0.5-0.7分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right w:val="single" w:color="auto" w:sz="4" w:space="0"/>
            </w:tcBorders>
            <w:vAlign w:val="center"/>
          </w:tcPr>
          <w:p>
            <w:pPr>
              <w:adjustRightInd w:val="0"/>
              <w:spacing w:line="400" w:lineRule="exact"/>
              <w:jc w:val="center"/>
              <w:textAlignment w:val="baseline"/>
              <w:rPr>
                <w:rFonts w:ascii="宋体" w:hAnsi="宋体" w:cs="宋体"/>
                <w:szCs w:val="21"/>
              </w:rPr>
            </w:pPr>
            <w:r>
              <w:rPr>
                <w:rFonts w:hint="eastAsia" w:ascii="宋体" w:hAnsi="宋体" w:cs="宋体"/>
                <w:szCs w:val="21"/>
              </w:rPr>
              <w:t>10、创新技术</w:t>
            </w:r>
          </w:p>
          <w:p>
            <w:pPr>
              <w:adjustRightInd w:val="0"/>
              <w:spacing w:line="400" w:lineRule="exact"/>
              <w:jc w:val="center"/>
              <w:textAlignment w:val="baseline"/>
              <w:rPr>
                <w:rFonts w:ascii="宋体" w:hAnsi="宋体" w:cs="宋体"/>
                <w:szCs w:val="21"/>
              </w:rPr>
            </w:pPr>
            <w:r>
              <w:rPr>
                <w:rFonts w:hint="eastAsia" w:ascii="宋体" w:hAnsi="宋体" w:cs="宋体"/>
                <w:szCs w:val="21"/>
              </w:rPr>
              <w:t>（1分）</w:t>
            </w:r>
          </w:p>
        </w:tc>
        <w:tc>
          <w:tcPr>
            <w:tcW w:w="6022" w:type="dxa"/>
            <w:tcBorders>
              <w:top w:val="single" w:color="auto" w:sz="4" w:space="0"/>
              <w:left w:val="single" w:color="auto" w:sz="4" w:space="0"/>
              <w:bottom w:val="single" w:color="auto" w:sz="4" w:space="0"/>
            </w:tcBorders>
            <w:vAlign w:val="center"/>
          </w:tcPr>
          <w:p>
            <w:pPr>
              <w:adjustRightInd w:val="0"/>
              <w:spacing w:line="400" w:lineRule="exact"/>
              <w:jc w:val="left"/>
              <w:textAlignment w:val="baseline"/>
              <w:rPr>
                <w:rFonts w:ascii="宋体" w:hAnsi="宋体" w:cs="宋体"/>
                <w:szCs w:val="21"/>
              </w:rPr>
            </w:pPr>
            <w:r>
              <w:rPr>
                <w:rFonts w:hint="eastAsia" w:ascii="宋体" w:hAnsi="宋体" w:cs="宋体"/>
                <w:szCs w:val="21"/>
              </w:rPr>
              <w:t>在节能减排、绿色施工、工艺创新方面针对本工程有具体的措施或企业自有创新                     0.8-1.0分</w:t>
            </w:r>
          </w:p>
          <w:p>
            <w:pPr>
              <w:pStyle w:val="3"/>
              <w:ind w:left="4620" w:right="63" w:hanging="4620" w:hangingChars="2200"/>
              <w:jc w:val="left"/>
              <w:rPr>
                <w:rFonts w:hAnsi="宋体" w:cs="宋体"/>
                <w:kern w:val="2"/>
                <w:sz w:val="21"/>
                <w:szCs w:val="21"/>
              </w:rPr>
            </w:pPr>
            <w:r>
              <w:rPr>
                <w:rFonts w:hint="eastAsia" w:hAnsi="宋体" w:cs="宋体"/>
                <w:kern w:val="2"/>
                <w:sz w:val="21"/>
                <w:szCs w:val="21"/>
              </w:rPr>
              <w:t>在节能减排、绿色施工、工艺创新方面针对本工程的措施一般                          0.5-0.7分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5"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Cs w:val="21"/>
              </w:rPr>
            </w:pPr>
            <w:r>
              <w:rPr>
                <w:rFonts w:hint="eastAsia" w:ascii="宋体" w:hAnsi="宋体" w:cs="宋体"/>
                <w:szCs w:val="21"/>
              </w:rPr>
              <w:t>11、扬尘治理措施（1分）</w:t>
            </w:r>
          </w:p>
        </w:tc>
        <w:tc>
          <w:tcPr>
            <w:tcW w:w="6022" w:type="dxa"/>
            <w:tcBorders>
              <w:top w:val="single" w:color="auto" w:sz="4" w:space="0"/>
              <w:left w:val="single" w:color="auto" w:sz="4" w:space="0"/>
              <w:bottom w:val="single" w:color="auto" w:sz="4" w:space="0"/>
            </w:tcBorders>
            <w:vAlign w:val="center"/>
          </w:tcPr>
          <w:p>
            <w:pPr>
              <w:adjustRightInd w:val="0"/>
              <w:spacing w:line="400" w:lineRule="exact"/>
              <w:jc w:val="left"/>
              <w:textAlignment w:val="baseline"/>
              <w:rPr>
                <w:rFonts w:ascii="宋体" w:hAnsi="宋体" w:cs="宋体"/>
                <w:szCs w:val="21"/>
              </w:rPr>
            </w:pPr>
            <w:r>
              <w:rPr>
                <w:rFonts w:hint="eastAsia" w:ascii="宋体" w:hAnsi="宋体" w:cs="宋体"/>
                <w:szCs w:val="21"/>
              </w:rPr>
              <w:t xml:space="preserve">措施有针对性、合理、可实施性强                </w:t>
            </w:r>
            <w:r>
              <w:rPr>
                <w:rFonts w:hint="eastAsia" w:ascii="宋体" w:hAnsi="宋体" w:cs="宋体"/>
              </w:rPr>
              <w:t>0.8-1.0分</w:t>
            </w:r>
          </w:p>
          <w:p>
            <w:pPr>
              <w:adjustRightInd w:val="0"/>
              <w:spacing w:line="400" w:lineRule="exact"/>
              <w:jc w:val="left"/>
              <w:textAlignment w:val="baseline"/>
              <w:rPr>
                <w:rFonts w:ascii="宋体" w:hAnsi="宋体" w:cs="宋体"/>
                <w:szCs w:val="21"/>
              </w:rPr>
            </w:pPr>
            <w:r>
              <w:rPr>
                <w:rFonts w:hint="eastAsia" w:ascii="宋体" w:hAnsi="宋体" w:cs="宋体"/>
                <w:szCs w:val="21"/>
              </w:rPr>
              <w:t xml:space="preserve">措施较合理、针对性和实施性一般                </w:t>
            </w:r>
            <w:r>
              <w:rPr>
                <w:rFonts w:hint="eastAsia" w:ascii="宋体" w:hAnsi="宋体" w:cs="宋体"/>
              </w:rPr>
              <w:t>0.5-0.7分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10" w:type="dxa"/>
            <w:vMerge w:val="continue"/>
            <w:tcBorders>
              <w:bottom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bottom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7654" w:type="dxa"/>
            <w:gridSpan w:val="3"/>
            <w:tcBorders>
              <w:top w:val="single" w:color="auto" w:sz="4" w:space="0"/>
              <w:left w:val="single" w:color="auto" w:sz="4" w:space="0"/>
              <w:bottom w:val="single" w:color="auto" w:sz="4" w:space="0"/>
            </w:tcBorders>
            <w:vAlign w:val="center"/>
          </w:tcPr>
          <w:p>
            <w:pPr>
              <w:adjustRightInd w:val="0"/>
              <w:spacing w:line="400" w:lineRule="exact"/>
              <w:textAlignment w:val="baseline"/>
              <w:rPr>
                <w:rFonts w:ascii="宋体" w:hAnsi="宋体" w:cs="宋体"/>
                <w:szCs w:val="21"/>
              </w:rPr>
            </w:pPr>
            <w:r>
              <w:rPr>
                <w:rFonts w:hint="eastAsia" w:ascii="宋体" w:hAnsi="宋体" w:cs="宋体"/>
                <w:szCs w:val="21"/>
              </w:rPr>
              <w:t>注：1.评委依据施工组织设计编制的内容是否齐全、适用、符合规范等在各分项区间进行打分；</w:t>
            </w:r>
          </w:p>
          <w:p>
            <w:pPr>
              <w:adjustRightInd w:val="0"/>
              <w:spacing w:line="400" w:lineRule="exact"/>
              <w:textAlignment w:val="baseline"/>
              <w:rPr>
                <w:rFonts w:ascii="宋体" w:hAnsi="宋体" w:cs="宋体"/>
                <w:szCs w:val="21"/>
              </w:rPr>
            </w:pPr>
            <w:r>
              <w:rPr>
                <w:rFonts w:hint="eastAsia" w:ascii="宋体" w:hAnsi="宋体" w:cs="宋体"/>
                <w:szCs w:val="21"/>
              </w:rPr>
              <w:t>2.以上各分项若有缺项，该分项为0分，不缺项的，不低于最低分。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3" w:hRule="atLeast"/>
        </w:trPr>
        <w:tc>
          <w:tcPr>
            <w:tcW w:w="710" w:type="dxa"/>
            <w:vMerge w:val="restart"/>
            <w:tcBorders>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2.2.4（2）</w:t>
            </w:r>
          </w:p>
        </w:tc>
        <w:tc>
          <w:tcPr>
            <w:tcW w:w="1134" w:type="dxa"/>
            <w:vMerge w:val="restart"/>
            <w:tcBorders>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企业综合实力</w:t>
            </w:r>
          </w:p>
          <w:p>
            <w:pPr>
              <w:adjustRightInd w:val="0"/>
              <w:jc w:val="center"/>
              <w:textAlignment w:val="baseline"/>
              <w:rPr>
                <w:rFonts w:ascii="宋体" w:hAnsi="宋体" w:cs="宋体"/>
                <w:szCs w:val="21"/>
              </w:rPr>
            </w:pPr>
            <w:r>
              <w:rPr>
                <w:rFonts w:hint="eastAsia" w:ascii="宋体" w:hAnsi="宋体" w:cs="宋体"/>
                <w:szCs w:val="21"/>
              </w:rPr>
              <w:t>40分</w:t>
            </w:r>
          </w:p>
          <w:p>
            <w:pPr>
              <w:adjustRightInd w:val="0"/>
              <w:jc w:val="center"/>
              <w:textAlignment w:val="baseline"/>
              <w:rPr>
                <w:rFonts w:ascii="宋体" w:hAnsi="宋体" w:cs="宋体"/>
                <w:szCs w:val="21"/>
              </w:rPr>
            </w:pPr>
            <w:r>
              <w:rPr>
                <w:rFonts w:hint="eastAsia" w:ascii="宋体" w:hAnsi="宋体" w:cs="宋体"/>
                <w:szCs w:val="21"/>
              </w:rPr>
              <w:t>（打分保留1位小数）</w:t>
            </w: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bCs/>
                <w:szCs w:val="21"/>
              </w:rPr>
            </w:pPr>
            <w:r>
              <w:rPr>
                <w:rFonts w:hint="eastAsia" w:ascii="宋体" w:hAnsi="宋体" w:cs="宋体"/>
                <w:bCs/>
                <w:szCs w:val="21"/>
              </w:rPr>
              <w:t>项目班子配备</w:t>
            </w:r>
          </w:p>
          <w:p>
            <w:pPr>
              <w:adjustRightInd w:val="0"/>
              <w:spacing w:line="400" w:lineRule="exact"/>
              <w:jc w:val="center"/>
              <w:textAlignment w:val="baseline"/>
              <w:rPr>
                <w:rFonts w:ascii="宋体" w:hAnsi="宋体" w:cs="宋体"/>
                <w:szCs w:val="21"/>
              </w:rPr>
            </w:pPr>
            <w:r>
              <w:rPr>
                <w:rFonts w:hint="eastAsia" w:ascii="宋体" w:hAnsi="宋体" w:cs="宋体"/>
                <w:bCs/>
                <w:szCs w:val="21"/>
              </w:rPr>
              <w:t>（0-3分）</w:t>
            </w:r>
          </w:p>
        </w:tc>
        <w:tc>
          <w:tcPr>
            <w:tcW w:w="6390" w:type="dxa"/>
            <w:gridSpan w:val="2"/>
            <w:tcBorders>
              <w:top w:val="single" w:color="auto" w:sz="4" w:space="0"/>
              <w:left w:val="single" w:color="auto" w:sz="4" w:space="0"/>
              <w:bottom w:val="single" w:color="auto" w:sz="4" w:space="0"/>
            </w:tcBorders>
            <w:vAlign w:val="center"/>
          </w:tcPr>
          <w:p>
            <w:pPr>
              <w:adjustRightInd w:val="0"/>
              <w:spacing w:line="400" w:lineRule="exact"/>
              <w:textAlignment w:val="baseline"/>
              <w:rPr>
                <w:rFonts w:ascii="宋体" w:hAnsi="宋体" w:cs="宋体"/>
                <w:bCs/>
                <w:szCs w:val="21"/>
              </w:rPr>
            </w:pPr>
            <w:r>
              <w:rPr>
                <w:rFonts w:hint="eastAsia" w:ascii="宋体" w:hAnsi="宋体" w:cs="宋体"/>
                <w:bCs/>
                <w:szCs w:val="21"/>
              </w:rPr>
              <w:t>1. 技术负责人具有高级职称者得1分</w:t>
            </w:r>
          </w:p>
          <w:p>
            <w:pPr>
              <w:adjustRightInd w:val="0"/>
              <w:spacing w:line="400" w:lineRule="exact"/>
              <w:textAlignment w:val="baseline"/>
              <w:rPr>
                <w:rFonts w:ascii="宋体" w:hAnsi="宋体" w:cs="宋体"/>
                <w:bCs/>
                <w:szCs w:val="21"/>
              </w:rPr>
            </w:pPr>
            <w:r>
              <w:rPr>
                <w:rFonts w:hint="eastAsia" w:ascii="宋体" w:hAnsi="宋体" w:cs="宋体"/>
                <w:bCs/>
                <w:szCs w:val="21"/>
              </w:rPr>
              <w:t>2. 施工员、质量员、安全员、材料员、试验员、测量员、造价人员（注册造价工程师）齐全者得2分，缺任何1项，本项得0分（以证书原件的为准）。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1"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Cs w:val="21"/>
              </w:rPr>
            </w:pPr>
            <w:r>
              <w:rPr>
                <w:rFonts w:hint="eastAsia" w:ascii="宋体" w:hAnsi="宋体" w:cs="宋体"/>
                <w:szCs w:val="21"/>
              </w:rPr>
              <w:t>信用保证金（20分）</w:t>
            </w:r>
          </w:p>
        </w:tc>
        <w:tc>
          <w:tcPr>
            <w:tcW w:w="6390" w:type="dxa"/>
            <w:gridSpan w:val="2"/>
            <w:tcBorders>
              <w:top w:val="single" w:color="auto" w:sz="4" w:space="0"/>
              <w:left w:val="single" w:color="auto" w:sz="4" w:space="0"/>
              <w:bottom w:val="single" w:color="auto" w:sz="4" w:space="0"/>
            </w:tcBorders>
            <w:shd w:val="clear" w:color="auto" w:fill="auto"/>
            <w:vAlign w:val="center"/>
          </w:tcPr>
          <w:p>
            <w:pPr>
              <w:pStyle w:val="3"/>
              <w:ind w:left="63" w:right="63"/>
              <w:jc w:val="left"/>
              <w:rPr>
                <w:rFonts w:hAnsi="宋体" w:cs="宋体"/>
                <w:b/>
                <w:kern w:val="2"/>
                <w:sz w:val="21"/>
                <w:szCs w:val="21"/>
              </w:rPr>
            </w:pPr>
            <w:r>
              <w:rPr>
                <w:rFonts w:hint="eastAsia" w:hAnsi="宋体" w:cs="宋体"/>
                <w:b/>
                <w:kern w:val="2"/>
                <w:sz w:val="21"/>
                <w:szCs w:val="21"/>
              </w:rPr>
              <w:t>按投标人须知前附表描述提供银行出具的存款证明原件和开标前3日内开具的本账户余额对账单及设立本账户设立起账户流水记录得20分，否则不得分。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8"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bCs/>
                <w:szCs w:val="21"/>
              </w:rPr>
            </w:pPr>
            <w:r>
              <w:rPr>
                <w:rFonts w:hint="eastAsia" w:ascii="宋体" w:hAnsi="宋体" w:cs="宋体"/>
                <w:bCs/>
                <w:szCs w:val="21"/>
              </w:rPr>
              <w:t>项目经理业绩及信用</w:t>
            </w:r>
          </w:p>
          <w:p>
            <w:pPr>
              <w:adjustRightInd w:val="0"/>
              <w:spacing w:line="400" w:lineRule="exact"/>
              <w:jc w:val="center"/>
              <w:textAlignment w:val="baseline"/>
              <w:rPr>
                <w:rFonts w:ascii="宋体" w:hAnsi="宋体" w:cs="宋体"/>
                <w:szCs w:val="21"/>
              </w:rPr>
            </w:pPr>
            <w:r>
              <w:rPr>
                <w:rFonts w:hint="eastAsia" w:ascii="宋体" w:hAnsi="宋体" w:cs="宋体"/>
                <w:bCs/>
                <w:szCs w:val="21"/>
              </w:rPr>
              <w:t>（0-2分）</w:t>
            </w:r>
          </w:p>
        </w:tc>
        <w:tc>
          <w:tcPr>
            <w:tcW w:w="6390" w:type="dxa"/>
            <w:gridSpan w:val="2"/>
            <w:tcBorders>
              <w:top w:val="single" w:color="auto" w:sz="4" w:space="0"/>
              <w:left w:val="single" w:color="auto" w:sz="4" w:space="0"/>
              <w:bottom w:val="single" w:color="auto" w:sz="4" w:space="0"/>
            </w:tcBorders>
            <w:shd w:val="clear" w:color="auto" w:fill="auto"/>
            <w:vAlign w:val="center"/>
          </w:tcPr>
          <w:p>
            <w:pPr>
              <w:snapToGrid w:val="0"/>
              <w:spacing w:line="420" w:lineRule="exact"/>
              <w:rPr>
                <w:rFonts w:ascii="宋体" w:hAnsi="宋体" w:cs="宋体"/>
                <w:szCs w:val="21"/>
              </w:rPr>
            </w:pPr>
            <w:r>
              <w:rPr>
                <w:rFonts w:hint="eastAsia" w:ascii="宋体" w:hAnsi="宋体" w:cs="宋体"/>
                <w:szCs w:val="21"/>
              </w:rPr>
              <w:t xml:space="preserve">1. 2015年1月1日以来拟派建造师承建过单项合同造价3000万元以上市政工程者得1分（须提供合同和中标通知书（或合同和竣工验收证明）材料，若上述资料不显示项目经理姓名，还须同时提供相关证明文件）；                                        </w:t>
            </w:r>
          </w:p>
          <w:p>
            <w:pPr>
              <w:snapToGrid w:val="0"/>
              <w:spacing w:line="420" w:lineRule="exact"/>
              <w:rPr>
                <w:rFonts w:ascii="宋体" w:hAnsi="宋体" w:cs="宋体"/>
                <w:szCs w:val="21"/>
              </w:rPr>
            </w:pPr>
            <w:r>
              <w:rPr>
                <w:rFonts w:hint="eastAsia" w:ascii="宋体" w:hAnsi="宋体" w:cs="宋体"/>
                <w:szCs w:val="21"/>
              </w:rPr>
              <w:t>2. 2015年1月1日以来拟派建造师获得省级及以上优秀项目经理称号者得1分。</w:t>
            </w:r>
          </w:p>
          <w:p>
            <w:pPr>
              <w:pStyle w:val="3"/>
              <w:ind w:left="63" w:right="63" w:firstLine="341"/>
              <w:jc w:val="left"/>
              <w:rPr>
                <w:rFonts w:hAnsi="宋体" w:cs="宋体"/>
                <w:b/>
                <w:szCs w:val="21"/>
              </w:rPr>
            </w:pPr>
            <w:r>
              <w:rPr>
                <w:rFonts w:hint="eastAsia" w:hAnsi="宋体" w:cs="宋体"/>
                <w:b/>
                <w:kern w:val="2"/>
                <w:sz w:val="21"/>
                <w:szCs w:val="21"/>
              </w:rPr>
              <w:t>投标文件中附复印件，评标时现场核验合同和中标通知书（或合同和竣工验收证明），无原件或者投标文件中复印件与原件不一致的均不得分。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69"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bCs/>
                <w:szCs w:val="21"/>
              </w:rPr>
            </w:pPr>
            <w:r>
              <w:rPr>
                <w:rFonts w:hint="eastAsia" w:ascii="宋体" w:hAnsi="宋体" w:cs="宋体"/>
                <w:bCs/>
                <w:szCs w:val="21"/>
              </w:rPr>
              <w:t>企业综合信用</w:t>
            </w:r>
          </w:p>
          <w:p>
            <w:pPr>
              <w:adjustRightInd w:val="0"/>
              <w:spacing w:line="400" w:lineRule="exact"/>
              <w:jc w:val="center"/>
              <w:textAlignment w:val="baseline"/>
              <w:rPr>
                <w:rFonts w:ascii="宋体" w:hAnsi="宋体" w:cs="宋体"/>
                <w:szCs w:val="21"/>
              </w:rPr>
            </w:pPr>
            <w:r>
              <w:rPr>
                <w:rFonts w:hint="eastAsia" w:ascii="宋体" w:hAnsi="宋体" w:cs="宋体"/>
                <w:bCs/>
                <w:szCs w:val="21"/>
              </w:rPr>
              <w:t>（0-13分）</w:t>
            </w:r>
          </w:p>
        </w:tc>
        <w:tc>
          <w:tcPr>
            <w:tcW w:w="6390" w:type="dxa"/>
            <w:gridSpan w:val="2"/>
            <w:tcBorders>
              <w:top w:val="single" w:color="auto" w:sz="4" w:space="0"/>
              <w:left w:val="single" w:color="auto" w:sz="4" w:space="0"/>
              <w:bottom w:val="single" w:color="auto" w:sz="4" w:space="0"/>
            </w:tcBorders>
            <w:shd w:val="clear" w:color="auto" w:fill="auto"/>
            <w:vAlign w:val="center"/>
          </w:tcPr>
          <w:p>
            <w:pPr>
              <w:adjustRightInd w:val="0"/>
              <w:spacing w:line="400" w:lineRule="exact"/>
              <w:textAlignment w:val="baseline"/>
              <w:rPr>
                <w:rFonts w:ascii="宋体" w:hAnsi="宋体" w:cs="宋体"/>
                <w:szCs w:val="21"/>
              </w:rPr>
            </w:pPr>
            <w:r>
              <w:rPr>
                <w:rFonts w:hint="eastAsia" w:ascii="宋体" w:hAnsi="宋体" w:cs="宋体"/>
                <w:szCs w:val="21"/>
              </w:rPr>
              <w:t>1. 2015年1月1 日以来企业有单项工程金额5亿元及以上类似市政工程施工经历者得5分。提供合同和中标通知书（或合同和竣工验收证书）。</w:t>
            </w:r>
          </w:p>
          <w:p>
            <w:pPr>
              <w:adjustRightInd w:val="0"/>
              <w:spacing w:line="400" w:lineRule="exact"/>
              <w:textAlignment w:val="baseline"/>
              <w:rPr>
                <w:rFonts w:ascii="宋体" w:hAnsi="宋体" w:cs="宋体"/>
                <w:szCs w:val="21"/>
              </w:rPr>
            </w:pPr>
            <w:r>
              <w:rPr>
                <w:rFonts w:hint="eastAsia" w:ascii="宋体" w:hAnsi="宋体" w:cs="宋体"/>
                <w:szCs w:val="21"/>
              </w:rPr>
              <w:t>2. 2015年1月1日以来任一年度当中企业同时荣获省级以上（含省级）市政公用工程施工质量管理先进企业称号和省级以上（含省级）市政公用工程施工安全管理先进企业称号以及省级以上（含省级）市政公用工程优秀施工企业称号者得5分，三项证书缺一不得分；（以建设行政主管部门或相关行业协会颁发的证书原件和奖励文件原件为准）。</w:t>
            </w:r>
          </w:p>
          <w:p>
            <w:pPr>
              <w:pStyle w:val="3"/>
              <w:ind w:left="63" w:right="63"/>
              <w:jc w:val="left"/>
              <w:rPr>
                <w:rFonts w:hAnsi="宋体" w:cs="宋体"/>
                <w:kern w:val="2"/>
                <w:sz w:val="21"/>
                <w:szCs w:val="21"/>
              </w:rPr>
            </w:pPr>
            <w:r>
              <w:rPr>
                <w:rFonts w:hint="eastAsia" w:hAnsi="宋体" w:cs="宋体"/>
                <w:kern w:val="2"/>
                <w:sz w:val="21"/>
                <w:szCs w:val="21"/>
              </w:rPr>
              <w:t>3. 2015年1月1日以来企业荣获中国工程建设贯彻实施建筑施工安全标准示范单位称号的得3分（以建设行政主管部门或相关行业协会颁发的证书原件和奖励文件原件为准）。</w:t>
            </w:r>
          </w:p>
          <w:p>
            <w:pPr>
              <w:pStyle w:val="3"/>
              <w:ind w:left="63" w:right="63" w:firstLine="341"/>
              <w:jc w:val="left"/>
              <w:rPr>
                <w:rFonts w:hAnsi="宋体" w:cs="宋体"/>
                <w:b/>
                <w:szCs w:val="21"/>
              </w:rPr>
            </w:pPr>
            <w:r>
              <w:rPr>
                <w:rFonts w:hint="eastAsia" w:hAnsi="宋体" w:cs="宋体"/>
                <w:b/>
                <w:kern w:val="2"/>
                <w:sz w:val="21"/>
                <w:szCs w:val="21"/>
              </w:rPr>
              <w:t>投标文件中附复印件，评标时现场核验材料原件，无原件或者投标文件中复印件与原件不一致的均不得分。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1"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Cs w:val="21"/>
              </w:rPr>
            </w:pPr>
            <w:r>
              <w:rPr>
                <w:rFonts w:hint="eastAsia" w:ascii="宋体" w:hAnsi="宋体" w:cs="宋体"/>
                <w:szCs w:val="21"/>
              </w:rPr>
              <w:t>服务承诺（0-2分）</w:t>
            </w:r>
          </w:p>
        </w:tc>
        <w:tc>
          <w:tcPr>
            <w:tcW w:w="6390" w:type="dxa"/>
            <w:gridSpan w:val="2"/>
            <w:tcBorders>
              <w:top w:val="single" w:color="auto" w:sz="4" w:space="0"/>
              <w:left w:val="single" w:color="auto" w:sz="4" w:space="0"/>
              <w:bottom w:val="single" w:color="auto" w:sz="4" w:space="0"/>
            </w:tcBorders>
            <w:shd w:val="clear" w:color="auto" w:fill="auto"/>
            <w:vAlign w:val="center"/>
          </w:tcPr>
          <w:p>
            <w:pPr>
              <w:snapToGrid w:val="0"/>
              <w:spacing w:line="420" w:lineRule="exact"/>
              <w:rPr>
                <w:rFonts w:ascii="宋体" w:hAnsi="宋体" w:cs="宋体"/>
                <w:szCs w:val="21"/>
              </w:rPr>
            </w:pPr>
            <w:r>
              <w:rPr>
                <w:rFonts w:hint="eastAsia" w:ascii="宋体" w:hAnsi="宋体" w:cs="宋体"/>
                <w:szCs w:val="21"/>
              </w:rPr>
              <w:t>投标人针对招标项目的特点和要求，结合自身条件和潜力为招标人排忧解难，由评委根据标书的具体内容酌情打分（0-2分）。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textAlignment w:val="baseline"/>
              <w:rPr>
                <w:rFonts w:ascii="宋体" w:hAnsi="宋体" w:cs="宋体"/>
                <w:szCs w:val="21"/>
              </w:rPr>
            </w:pPr>
            <w:r>
              <w:rPr>
                <w:rFonts w:hint="eastAsia" w:ascii="宋体" w:hAnsi="宋体" w:cs="宋体"/>
                <w:szCs w:val="21"/>
              </w:rPr>
              <w:t>2.2.4（3）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textAlignment w:val="baseline"/>
              <w:rPr>
                <w:rFonts w:ascii="宋体" w:hAnsi="宋体" w:cs="宋体"/>
                <w:szCs w:val="21"/>
              </w:rPr>
            </w:pPr>
            <w:r>
              <w:rPr>
                <w:rFonts w:hint="eastAsia" w:ascii="宋体" w:hAnsi="宋体" w:cs="宋体"/>
                <w:szCs w:val="21"/>
              </w:rPr>
              <w:t>投标报价评分标准</w:t>
            </w:r>
          </w:p>
          <w:p>
            <w:pPr>
              <w:adjustRightInd w:val="0"/>
              <w:jc w:val="center"/>
              <w:textAlignment w:val="baseline"/>
              <w:rPr>
                <w:rFonts w:ascii="宋体" w:hAnsi="宋体" w:cs="宋体"/>
                <w:szCs w:val="21"/>
              </w:rPr>
            </w:pPr>
            <w:r>
              <w:rPr>
                <w:rFonts w:hint="eastAsia" w:ascii="宋体" w:hAnsi="宋体" w:cs="宋体"/>
                <w:szCs w:val="21"/>
              </w:rPr>
              <w:t>40分</w:t>
            </w:r>
          </w:p>
          <w:p>
            <w:pPr>
              <w:adjustRightInd w:val="0"/>
              <w:jc w:val="center"/>
              <w:textAlignment w:val="baseline"/>
              <w:rPr>
                <w:rFonts w:ascii="宋体" w:hAnsi="宋体" w:cs="宋体"/>
                <w:szCs w:val="21"/>
              </w:rPr>
            </w:pPr>
            <w:r>
              <w:rPr>
                <w:rFonts w:hint="eastAsia" w:ascii="宋体" w:hAnsi="宋体" w:cs="宋体"/>
                <w:szCs w:val="21"/>
              </w:rPr>
              <w:t>（保留至小数点后2位）</w:t>
            </w:r>
          </w:p>
        </w:tc>
        <w:tc>
          <w:tcPr>
            <w:tcW w:w="765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400" w:lineRule="exact"/>
              <w:textAlignment w:val="baseline"/>
              <w:rPr>
                <w:rFonts w:ascii="宋体" w:hAnsi="宋体" w:cs="宋体"/>
                <w:szCs w:val="21"/>
              </w:rPr>
            </w:pPr>
            <w:r>
              <w:rPr>
                <w:rFonts w:hint="eastAsia" w:ascii="宋体" w:hAnsi="宋体" w:cs="宋体"/>
                <w:szCs w:val="21"/>
              </w:rPr>
              <w:t>偏差值（K）</w:t>
            </w:r>
            <w:r>
              <w:rPr>
                <w:rFonts w:hint="eastAsia" w:ascii="宋体" w:hAnsi="宋体" w:cs="宋体"/>
                <w:b/>
                <w:bCs/>
                <w:szCs w:val="21"/>
              </w:rPr>
              <w:t>=|</w:t>
            </w:r>
            <w:r>
              <w:rPr>
                <w:rFonts w:hint="eastAsia" w:ascii="宋体" w:hAnsi="宋体" w:cs="宋体"/>
                <w:szCs w:val="21"/>
              </w:rPr>
              <w:t>有效投标人报价 - 评标基准价</w:t>
            </w:r>
            <w:r>
              <w:rPr>
                <w:rFonts w:hint="eastAsia" w:ascii="宋体" w:hAnsi="宋体" w:cs="宋体"/>
                <w:b/>
                <w:bCs/>
                <w:szCs w:val="21"/>
              </w:rPr>
              <w:t xml:space="preserve">|  </w:t>
            </w:r>
          </w:p>
          <w:p>
            <w:pPr>
              <w:adjustRightInd w:val="0"/>
              <w:spacing w:line="400" w:lineRule="exact"/>
              <w:textAlignment w:val="baseline"/>
              <w:rPr>
                <w:rFonts w:ascii="宋体" w:hAnsi="宋体" w:cs="宋体"/>
                <w:szCs w:val="21"/>
              </w:rPr>
            </w:pPr>
            <w:r>
              <w:rPr>
                <w:rFonts w:hint="eastAsia" w:ascii="宋体" w:hAnsi="宋体" w:cs="宋体"/>
                <w:szCs w:val="21"/>
              </w:rPr>
              <w:t>有效投标报价与评标基准价相比，相同的得满分40分，有效投标报价比评标基准价每高或每低1%扣2分，最多扣10分。</w:t>
            </w:r>
          </w:p>
          <w:p>
            <w:pPr>
              <w:adjustRightInd w:val="0"/>
              <w:spacing w:line="400" w:lineRule="exact"/>
              <w:textAlignment w:val="baseline"/>
              <w:rPr>
                <w:rFonts w:ascii="宋体" w:hAnsi="宋体" w:cs="宋体"/>
                <w:szCs w:val="21"/>
              </w:rPr>
            </w:pPr>
            <w:r>
              <w:rPr>
                <w:rFonts w:hint="eastAsia" w:ascii="宋体" w:hAnsi="宋体" w:cs="宋体"/>
                <w:szCs w:val="21"/>
              </w:rPr>
              <w:t>报价得分公式为A=40-K*100*2</w:t>
            </w:r>
          </w:p>
        </w:tc>
      </w:tr>
    </w:tbl>
    <w:p>
      <w:pPr>
        <w:pStyle w:val="102"/>
        <w:outlineLvl w:val="0"/>
        <w:rPr>
          <w:rFonts w:ascii="宋体" w:hAnsi="宋体" w:eastAsia="宋体"/>
        </w:rPr>
      </w:pPr>
      <w:bookmarkStart w:id="10" w:name="_Toc353270366"/>
      <w:bookmarkStart w:id="11" w:name="_Toc144974567"/>
      <w:bookmarkStart w:id="12" w:name="_Toc10712"/>
      <w:bookmarkStart w:id="13" w:name="_Toc152042377"/>
      <w:bookmarkStart w:id="14" w:name="_Toc152045600"/>
      <w:r>
        <w:rPr>
          <w:rFonts w:hint="eastAsia" w:ascii="宋体" w:hAnsi="宋体" w:eastAsia="宋体"/>
        </w:rPr>
        <w:t>1. 评标方法</w:t>
      </w:r>
      <w:bookmarkEnd w:id="10"/>
      <w:bookmarkEnd w:id="11"/>
      <w:bookmarkEnd w:id="12"/>
      <w:bookmarkEnd w:id="13"/>
      <w:bookmarkEnd w:id="14"/>
    </w:p>
    <w:p>
      <w:pPr>
        <w:spacing w:line="400" w:lineRule="exact"/>
        <w:ind w:firstLine="420" w:firstLineChars="200"/>
        <w:rPr>
          <w:rFonts w:ascii="宋体" w:hAnsi="宋体" w:cs="宋体"/>
        </w:rPr>
      </w:pPr>
      <w:r>
        <w:rPr>
          <w:rFonts w:hint="eastAsia" w:ascii="宋体" w:hAnsi="宋体" w:cs="宋体"/>
        </w:rPr>
        <w:t>本次评标采用综合评估法。评标委员会对满足招标文件实质性要求的投标文件，按照本章第2.2款规定的评分标准进行打分，并按综合得分由高到低顺序推荐中标候选人，或根据招标人授权直接确定中标人，但投标报价低于其成本的除外。综合得分相等时，以投标报价低的优先；投标报价也相等的，由招标人自行确定。</w:t>
      </w:r>
    </w:p>
    <w:p>
      <w:pPr>
        <w:pStyle w:val="102"/>
        <w:outlineLvl w:val="0"/>
        <w:rPr>
          <w:rFonts w:ascii="宋体" w:hAnsi="宋体" w:eastAsia="宋体"/>
        </w:rPr>
      </w:pPr>
      <w:bookmarkStart w:id="15" w:name="_Toc144974568"/>
      <w:bookmarkStart w:id="16" w:name="_Toc353270367"/>
      <w:bookmarkStart w:id="17" w:name="_Toc152045601"/>
      <w:bookmarkStart w:id="18" w:name="_Toc152042378"/>
      <w:bookmarkStart w:id="19" w:name="_Toc31155"/>
      <w:r>
        <w:rPr>
          <w:rFonts w:hint="eastAsia" w:ascii="宋体" w:hAnsi="宋体" w:eastAsia="宋体"/>
        </w:rPr>
        <w:t>2. 评审标准</w:t>
      </w:r>
      <w:bookmarkEnd w:id="15"/>
      <w:bookmarkEnd w:id="16"/>
      <w:bookmarkEnd w:id="17"/>
      <w:bookmarkEnd w:id="18"/>
      <w:bookmarkEnd w:id="19"/>
    </w:p>
    <w:p>
      <w:pPr>
        <w:pStyle w:val="6"/>
        <w:spacing w:before="0" w:after="0" w:line="400" w:lineRule="exact"/>
        <w:rPr>
          <w:rFonts w:ascii="宋体" w:hAnsi="宋体" w:cs="宋体"/>
          <w:b w:val="0"/>
          <w:sz w:val="24"/>
          <w:szCs w:val="24"/>
        </w:rPr>
      </w:pPr>
      <w:bookmarkStart w:id="20" w:name="_Toc456354351"/>
      <w:bookmarkStart w:id="21" w:name="_Toc144974569"/>
      <w:bookmarkStart w:id="22" w:name="_Toc152045602"/>
      <w:bookmarkStart w:id="23" w:name="_Toc384733828"/>
      <w:bookmarkStart w:id="24" w:name="_Toc152042379"/>
      <w:bookmarkStart w:id="25" w:name="_Toc30698"/>
      <w:bookmarkStart w:id="26" w:name="_Toc467683049"/>
      <w:bookmarkStart w:id="27" w:name="_Toc353270368"/>
      <w:r>
        <w:rPr>
          <w:rFonts w:hint="eastAsia" w:ascii="宋体" w:hAnsi="宋体" w:cs="宋体"/>
          <w:b w:val="0"/>
          <w:sz w:val="24"/>
          <w:szCs w:val="24"/>
        </w:rPr>
        <w:t>2.1 初步评审标准</w:t>
      </w:r>
      <w:bookmarkEnd w:id="20"/>
      <w:bookmarkEnd w:id="21"/>
      <w:bookmarkEnd w:id="22"/>
      <w:bookmarkEnd w:id="23"/>
      <w:bookmarkEnd w:id="24"/>
      <w:bookmarkEnd w:id="25"/>
      <w:bookmarkEnd w:id="26"/>
      <w:bookmarkEnd w:id="27"/>
    </w:p>
    <w:p>
      <w:pPr>
        <w:spacing w:line="400" w:lineRule="exact"/>
        <w:ind w:firstLine="420" w:firstLineChars="200"/>
        <w:rPr>
          <w:rFonts w:ascii="宋体" w:hAnsi="宋体" w:cs="宋体"/>
        </w:rPr>
      </w:pPr>
      <w:r>
        <w:rPr>
          <w:rFonts w:hint="eastAsia" w:ascii="宋体" w:hAnsi="宋体" w:cs="宋体"/>
        </w:rPr>
        <w:t>2.1.1 形式评审标准：见评标办法前附表；</w:t>
      </w:r>
    </w:p>
    <w:p>
      <w:pPr>
        <w:spacing w:line="400" w:lineRule="exact"/>
        <w:ind w:firstLine="420" w:firstLineChars="200"/>
        <w:rPr>
          <w:rFonts w:ascii="宋体" w:hAnsi="宋体" w:cs="宋体"/>
        </w:rPr>
      </w:pPr>
      <w:r>
        <w:rPr>
          <w:rFonts w:hint="eastAsia" w:ascii="宋体" w:hAnsi="宋体" w:cs="宋体"/>
        </w:rPr>
        <w:t>2.1.2 资格评审标准：见评标办法前附表；</w:t>
      </w:r>
    </w:p>
    <w:p>
      <w:pPr>
        <w:spacing w:line="400" w:lineRule="exact"/>
        <w:ind w:firstLine="420" w:firstLineChars="200"/>
        <w:rPr>
          <w:rFonts w:ascii="宋体" w:hAnsi="宋体" w:cs="宋体"/>
        </w:rPr>
      </w:pPr>
      <w:r>
        <w:rPr>
          <w:rFonts w:hint="eastAsia" w:ascii="宋体" w:hAnsi="宋体" w:cs="宋体"/>
        </w:rPr>
        <w:t>2.1.3 响应性评审标准：见评标办法前附表。</w:t>
      </w:r>
    </w:p>
    <w:p>
      <w:pPr>
        <w:pStyle w:val="6"/>
        <w:spacing w:before="0" w:after="0" w:line="400" w:lineRule="exact"/>
        <w:rPr>
          <w:rFonts w:ascii="宋体" w:hAnsi="宋体" w:cs="宋体"/>
          <w:b w:val="0"/>
          <w:sz w:val="24"/>
          <w:szCs w:val="24"/>
        </w:rPr>
      </w:pPr>
      <w:bookmarkStart w:id="28" w:name="_Toc152042380"/>
      <w:bookmarkStart w:id="29" w:name="_Toc144974570"/>
      <w:bookmarkStart w:id="30" w:name="_Toc467683050"/>
      <w:bookmarkStart w:id="31" w:name="_Toc12126"/>
      <w:bookmarkStart w:id="32" w:name="_Toc456354352"/>
      <w:bookmarkStart w:id="33" w:name="_Toc152045603"/>
      <w:bookmarkStart w:id="34" w:name="_Toc384733829"/>
      <w:bookmarkStart w:id="35" w:name="_Toc353270369"/>
      <w:r>
        <w:rPr>
          <w:rFonts w:hint="eastAsia" w:ascii="宋体" w:hAnsi="宋体" w:cs="宋体"/>
          <w:b w:val="0"/>
          <w:sz w:val="24"/>
          <w:szCs w:val="24"/>
        </w:rPr>
        <w:t>2.2 分值构成与评分标准</w:t>
      </w:r>
      <w:bookmarkEnd w:id="28"/>
      <w:bookmarkEnd w:id="29"/>
      <w:bookmarkEnd w:id="30"/>
      <w:bookmarkEnd w:id="31"/>
      <w:bookmarkEnd w:id="32"/>
      <w:bookmarkEnd w:id="33"/>
      <w:bookmarkEnd w:id="34"/>
      <w:bookmarkEnd w:id="35"/>
    </w:p>
    <w:p>
      <w:pPr>
        <w:spacing w:line="400" w:lineRule="exact"/>
        <w:ind w:firstLine="420" w:firstLineChars="200"/>
        <w:rPr>
          <w:rFonts w:ascii="宋体" w:hAnsi="宋体" w:cs="宋体"/>
        </w:rPr>
      </w:pPr>
      <w:r>
        <w:rPr>
          <w:rFonts w:hint="eastAsia" w:ascii="宋体" w:hAnsi="宋体" w:cs="宋体"/>
        </w:rPr>
        <w:t>2.2.1 分值构成</w:t>
      </w:r>
    </w:p>
    <w:p>
      <w:pPr>
        <w:spacing w:line="400" w:lineRule="exact"/>
        <w:ind w:firstLine="718" w:firstLineChars="342"/>
        <w:rPr>
          <w:rFonts w:ascii="宋体" w:hAnsi="宋体" w:cs="宋体"/>
        </w:rPr>
      </w:pPr>
      <w:r>
        <w:rPr>
          <w:rFonts w:hint="eastAsia" w:ascii="宋体" w:hAnsi="宋体" w:cs="宋体"/>
        </w:rPr>
        <w:t>（1）施工组织设计：见评标办法前附表；</w:t>
      </w:r>
    </w:p>
    <w:p>
      <w:pPr>
        <w:spacing w:line="400" w:lineRule="exact"/>
        <w:ind w:firstLine="718" w:firstLineChars="342"/>
        <w:rPr>
          <w:rFonts w:ascii="宋体" w:hAnsi="宋体" w:cs="宋体"/>
        </w:rPr>
      </w:pPr>
      <w:r>
        <w:rPr>
          <w:rFonts w:hint="eastAsia" w:ascii="宋体" w:hAnsi="宋体" w:cs="宋体"/>
        </w:rPr>
        <w:t>（2）企业综合实力：见评标办法前附表；</w:t>
      </w:r>
    </w:p>
    <w:p>
      <w:pPr>
        <w:spacing w:line="400" w:lineRule="exact"/>
        <w:ind w:firstLine="718" w:firstLineChars="342"/>
        <w:rPr>
          <w:rFonts w:ascii="宋体" w:hAnsi="宋体" w:cs="宋体"/>
        </w:rPr>
      </w:pPr>
      <w:r>
        <w:rPr>
          <w:rFonts w:hint="eastAsia" w:ascii="宋体" w:hAnsi="宋体" w:cs="宋体"/>
        </w:rPr>
        <w:t>（3）投标报价：见评标办法前附表。</w:t>
      </w:r>
    </w:p>
    <w:p>
      <w:pPr>
        <w:spacing w:line="400" w:lineRule="exact"/>
        <w:ind w:firstLine="420" w:firstLineChars="200"/>
        <w:rPr>
          <w:rFonts w:ascii="宋体" w:hAnsi="宋体" w:cs="宋体"/>
        </w:rPr>
      </w:pPr>
      <w:r>
        <w:rPr>
          <w:rFonts w:hint="eastAsia" w:ascii="宋体" w:hAnsi="宋体" w:cs="宋体"/>
        </w:rPr>
        <w:t>2.2.2 评标基准价计算</w:t>
      </w:r>
    </w:p>
    <w:p>
      <w:pPr>
        <w:spacing w:line="400" w:lineRule="exact"/>
        <w:ind w:firstLine="840" w:firstLineChars="400"/>
        <w:rPr>
          <w:rFonts w:ascii="宋体" w:hAnsi="宋体" w:cs="宋体"/>
        </w:rPr>
      </w:pPr>
      <w:r>
        <w:rPr>
          <w:rFonts w:hint="eastAsia" w:ascii="宋体" w:hAnsi="宋体" w:cs="宋体"/>
        </w:rPr>
        <w:t>评标基准价计算方法：见评标办法前附表。</w:t>
      </w:r>
    </w:p>
    <w:p>
      <w:pPr>
        <w:spacing w:line="400" w:lineRule="exact"/>
        <w:ind w:firstLine="420" w:firstLineChars="200"/>
        <w:rPr>
          <w:rFonts w:ascii="宋体" w:hAnsi="宋体" w:cs="宋体"/>
        </w:rPr>
      </w:pPr>
      <w:r>
        <w:rPr>
          <w:rFonts w:hint="eastAsia" w:ascii="宋体" w:hAnsi="宋体" w:cs="宋体"/>
        </w:rPr>
        <w:t>2.2.3 投标报价的偏差值计算</w:t>
      </w:r>
    </w:p>
    <w:p>
      <w:pPr>
        <w:spacing w:line="400" w:lineRule="exact"/>
        <w:ind w:firstLine="840" w:firstLineChars="400"/>
        <w:rPr>
          <w:rFonts w:ascii="宋体" w:hAnsi="宋体" w:cs="宋体"/>
        </w:rPr>
      </w:pPr>
      <w:r>
        <w:rPr>
          <w:rFonts w:hint="eastAsia" w:ascii="宋体" w:hAnsi="宋体" w:cs="宋体"/>
        </w:rPr>
        <w:t>投标报价的偏差值计算公式：见评标办法前附表。</w:t>
      </w:r>
    </w:p>
    <w:p>
      <w:pPr>
        <w:spacing w:line="400" w:lineRule="exact"/>
        <w:ind w:firstLine="420" w:firstLineChars="200"/>
        <w:rPr>
          <w:rFonts w:ascii="宋体" w:hAnsi="宋体" w:cs="宋体"/>
        </w:rPr>
      </w:pPr>
      <w:r>
        <w:rPr>
          <w:rFonts w:hint="eastAsia" w:ascii="宋体" w:hAnsi="宋体" w:cs="宋体"/>
        </w:rPr>
        <w:t>2.2.4 评分标准</w:t>
      </w:r>
    </w:p>
    <w:p>
      <w:pPr>
        <w:spacing w:line="400" w:lineRule="exact"/>
        <w:ind w:firstLine="718" w:firstLineChars="342"/>
        <w:rPr>
          <w:rFonts w:ascii="宋体" w:hAnsi="宋体" w:cs="宋体"/>
        </w:rPr>
      </w:pPr>
      <w:r>
        <w:rPr>
          <w:rFonts w:hint="eastAsia" w:ascii="宋体" w:hAnsi="宋体" w:cs="宋体"/>
        </w:rPr>
        <w:t>（1）施工组织设计评分标准：见评标办法前附表；</w:t>
      </w:r>
    </w:p>
    <w:p>
      <w:pPr>
        <w:spacing w:line="400" w:lineRule="exact"/>
        <w:ind w:firstLine="718" w:firstLineChars="342"/>
        <w:rPr>
          <w:rFonts w:ascii="宋体" w:hAnsi="宋体" w:cs="宋体"/>
        </w:rPr>
      </w:pPr>
      <w:r>
        <w:rPr>
          <w:rFonts w:hint="eastAsia" w:ascii="宋体" w:hAnsi="宋体" w:cs="宋体"/>
        </w:rPr>
        <w:t>（2）企业综合实力评分标准：见评标办法前附表；</w:t>
      </w:r>
    </w:p>
    <w:p>
      <w:pPr>
        <w:spacing w:line="400" w:lineRule="exact"/>
        <w:ind w:firstLine="718" w:firstLineChars="342"/>
        <w:rPr>
          <w:rFonts w:ascii="宋体" w:hAnsi="宋体" w:cs="宋体"/>
        </w:rPr>
      </w:pPr>
      <w:r>
        <w:rPr>
          <w:rFonts w:hint="eastAsia" w:ascii="宋体" w:hAnsi="宋体" w:cs="宋体"/>
        </w:rPr>
        <w:t>（3）投标报价评分标准：见评标办法前附表。</w:t>
      </w:r>
    </w:p>
    <w:p>
      <w:pPr>
        <w:pStyle w:val="102"/>
        <w:outlineLvl w:val="0"/>
        <w:rPr>
          <w:rFonts w:ascii="宋体" w:hAnsi="宋体" w:eastAsia="宋体"/>
        </w:rPr>
      </w:pPr>
      <w:bookmarkStart w:id="36" w:name="_Toc353270370"/>
      <w:bookmarkStart w:id="37" w:name="_Toc144974571"/>
      <w:bookmarkStart w:id="38" w:name="_Toc152045604"/>
      <w:bookmarkStart w:id="39" w:name="_Toc16490"/>
      <w:bookmarkStart w:id="40" w:name="_Toc152042381"/>
      <w:r>
        <w:rPr>
          <w:rFonts w:hint="eastAsia" w:ascii="宋体" w:hAnsi="宋体" w:eastAsia="宋体"/>
        </w:rPr>
        <w:t>3.评标程序</w:t>
      </w:r>
      <w:bookmarkEnd w:id="36"/>
      <w:bookmarkEnd w:id="37"/>
      <w:bookmarkEnd w:id="38"/>
      <w:bookmarkEnd w:id="39"/>
      <w:bookmarkEnd w:id="40"/>
    </w:p>
    <w:p>
      <w:pPr>
        <w:pStyle w:val="6"/>
        <w:spacing w:before="0" w:after="0" w:line="400" w:lineRule="exact"/>
        <w:rPr>
          <w:rFonts w:ascii="宋体" w:hAnsi="宋体" w:cs="宋体"/>
          <w:b w:val="0"/>
          <w:sz w:val="24"/>
          <w:szCs w:val="24"/>
        </w:rPr>
      </w:pPr>
      <w:bookmarkStart w:id="41" w:name="_Toc15868"/>
      <w:bookmarkStart w:id="42" w:name="_Toc384733831"/>
      <w:bookmarkStart w:id="43" w:name="_Toc456354354"/>
      <w:bookmarkStart w:id="44" w:name="_Toc152045605"/>
      <w:bookmarkStart w:id="45" w:name="_Toc144974572"/>
      <w:bookmarkStart w:id="46" w:name="_Toc353270371"/>
      <w:bookmarkStart w:id="47" w:name="_Toc467683052"/>
      <w:bookmarkStart w:id="48" w:name="_Toc152042382"/>
      <w:r>
        <w:rPr>
          <w:rFonts w:hint="eastAsia" w:ascii="宋体" w:hAnsi="宋体" w:cs="宋体"/>
          <w:b w:val="0"/>
          <w:sz w:val="24"/>
          <w:szCs w:val="24"/>
        </w:rPr>
        <w:t>3.1 初步评审</w:t>
      </w:r>
      <w:bookmarkEnd w:id="41"/>
      <w:bookmarkEnd w:id="42"/>
      <w:bookmarkEnd w:id="43"/>
      <w:bookmarkEnd w:id="44"/>
      <w:bookmarkEnd w:id="45"/>
      <w:bookmarkEnd w:id="46"/>
      <w:bookmarkEnd w:id="47"/>
      <w:bookmarkEnd w:id="48"/>
    </w:p>
    <w:p>
      <w:pPr>
        <w:spacing w:line="400" w:lineRule="exact"/>
        <w:ind w:firstLine="420" w:firstLineChars="200"/>
        <w:rPr>
          <w:rFonts w:ascii="宋体" w:hAnsi="宋体" w:cs="宋体"/>
        </w:rPr>
      </w:pPr>
      <w:r>
        <w:rPr>
          <w:rFonts w:hint="eastAsia" w:ascii="宋体" w:hAnsi="宋体" w:cs="宋体"/>
        </w:rPr>
        <w:t>3.1.1评标委员会依据本章第2.1款规定的标准对投标文件进行初步评审。有一项不符合评审标准的，评标委员会应当否决其投标。</w:t>
      </w:r>
    </w:p>
    <w:p>
      <w:pPr>
        <w:spacing w:line="400" w:lineRule="exact"/>
        <w:ind w:firstLine="718" w:firstLineChars="342"/>
        <w:rPr>
          <w:rFonts w:ascii="宋体" w:hAnsi="宋体" w:cs="宋体"/>
        </w:rPr>
      </w:pPr>
      <w:r>
        <w:rPr>
          <w:rFonts w:hint="eastAsia" w:ascii="宋体" w:hAnsi="宋体" w:cs="宋体"/>
        </w:rPr>
        <w:t>3.1.2 投标人有以下情形之一的，其投标作废标处理：</w:t>
      </w:r>
    </w:p>
    <w:p>
      <w:pPr>
        <w:spacing w:line="400" w:lineRule="exact"/>
        <w:ind w:firstLine="718" w:firstLineChars="342"/>
        <w:rPr>
          <w:rFonts w:ascii="宋体" w:hAnsi="宋体" w:cs="宋体"/>
        </w:rPr>
      </w:pPr>
      <w:r>
        <w:rPr>
          <w:rFonts w:hint="eastAsia" w:ascii="宋体" w:hAnsi="宋体" w:cs="宋体"/>
        </w:rPr>
        <w:t>(l）第二章“投标人须知总则”第1.4.1 项规定的任何一种情形的；</w:t>
      </w:r>
    </w:p>
    <w:p>
      <w:pPr>
        <w:spacing w:line="400" w:lineRule="exact"/>
        <w:ind w:firstLine="718" w:firstLineChars="342"/>
        <w:rPr>
          <w:rFonts w:ascii="宋体" w:hAnsi="宋体" w:cs="宋体"/>
        </w:rPr>
      </w:pPr>
      <w:r>
        <w:rPr>
          <w:rFonts w:hint="eastAsia" w:ascii="宋体" w:hAnsi="宋体" w:cs="宋体"/>
        </w:rPr>
        <w:t>(2）串通投标或弄虚作假或有其他违法行为的；</w:t>
      </w:r>
    </w:p>
    <w:p>
      <w:pPr>
        <w:spacing w:line="400" w:lineRule="exact"/>
        <w:ind w:firstLine="718" w:firstLineChars="342"/>
        <w:rPr>
          <w:rFonts w:ascii="宋体" w:hAnsi="宋体" w:cs="宋体"/>
        </w:rPr>
      </w:pPr>
      <w:r>
        <w:rPr>
          <w:rFonts w:hint="eastAsia" w:ascii="宋体" w:hAnsi="宋体" w:cs="宋体"/>
        </w:rPr>
        <w:t>(3）不按评标委员会要求澄清、说明或补正的。</w:t>
      </w:r>
    </w:p>
    <w:p>
      <w:pPr>
        <w:spacing w:line="400" w:lineRule="exact"/>
        <w:ind w:firstLine="420" w:firstLineChars="200"/>
        <w:rPr>
          <w:rFonts w:ascii="宋体" w:hAnsi="宋体" w:cs="宋体"/>
        </w:rPr>
      </w:pPr>
      <w:r>
        <w:rPr>
          <w:rFonts w:hint="eastAsia" w:ascii="宋体" w:hAnsi="宋体" w:cs="宋体"/>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宋体" w:hAnsi="宋体" w:cs="宋体"/>
        </w:rPr>
      </w:pPr>
      <w:bookmarkStart w:id="49" w:name="_Toc152042383"/>
      <w:r>
        <w:rPr>
          <w:rFonts w:hint="eastAsia" w:ascii="宋体" w:hAnsi="宋体" w:cs="宋体"/>
        </w:rPr>
        <w:t>（1）投标文件中的大写金额与小写金额不一致的，以大写金额为准；</w:t>
      </w:r>
      <w:bookmarkEnd w:id="49"/>
    </w:p>
    <w:p>
      <w:pPr>
        <w:spacing w:line="400" w:lineRule="exact"/>
        <w:ind w:firstLine="718" w:firstLineChars="342"/>
        <w:rPr>
          <w:rFonts w:ascii="宋体" w:hAnsi="宋体" w:cs="宋体"/>
        </w:rPr>
      </w:pPr>
      <w:r>
        <w:rPr>
          <w:rFonts w:hint="eastAsia" w:ascii="宋体" w:hAnsi="宋体" w:cs="宋体"/>
        </w:rPr>
        <w:t>（2）总价金额与依据单价计算出的结果不一致的，以单价金额为准修正总价，但单价金额小数点有明显错误的除外。</w:t>
      </w:r>
    </w:p>
    <w:p>
      <w:pPr>
        <w:pStyle w:val="6"/>
        <w:spacing w:before="0" w:after="0" w:line="400" w:lineRule="exact"/>
        <w:rPr>
          <w:rFonts w:ascii="宋体" w:hAnsi="宋体" w:cs="宋体"/>
          <w:b w:val="0"/>
          <w:sz w:val="24"/>
          <w:szCs w:val="24"/>
        </w:rPr>
      </w:pPr>
      <w:bookmarkStart w:id="50" w:name="_Toc152042384"/>
      <w:bookmarkStart w:id="51" w:name="_Toc144974573"/>
      <w:bookmarkStart w:id="52" w:name="_Toc467683053"/>
      <w:bookmarkStart w:id="53" w:name="_Toc456354355"/>
      <w:bookmarkStart w:id="54" w:name="_Toc353270372"/>
      <w:bookmarkStart w:id="55" w:name="_Toc152045606"/>
      <w:bookmarkStart w:id="56" w:name="_Toc384733832"/>
      <w:bookmarkStart w:id="57" w:name="_Toc28247"/>
      <w:r>
        <w:rPr>
          <w:rFonts w:hint="eastAsia" w:ascii="宋体" w:hAnsi="宋体" w:cs="宋体"/>
          <w:b w:val="0"/>
          <w:sz w:val="24"/>
          <w:szCs w:val="24"/>
        </w:rPr>
        <w:t>3.2 详细评审</w:t>
      </w:r>
      <w:bookmarkEnd w:id="50"/>
      <w:bookmarkEnd w:id="51"/>
      <w:bookmarkEnd w:id="52"/>
      <w:bookmarkEnd w:id="53"/>
      <w:bookmarkEnd w:id="54"/>
      <w:bookmarkEnd w:id="55"/>
      <w:bookmarkEnd w:id="56"/>
      <w:bookmarkEnd w:id="57"/>
    </w:p>
    <w:p>
      <w:pPr>
        <w:spacing w:line="400" w:lineRule="exact"/>
        <w:ind w:firstLine="420" w:firstLineChars="200"/>
        <w:rPr>
          <w:rFonts w:ascii="宋体" w:hAnsi="宋体" w:cs="宋体"/>
        </w:rPr>
      </w:pPr>
      <w:r>
        <w:rPr>
          <w:rFonts w:hint="eastAsia" w:ascii="宋体" w:hAnsi="宋体" w:cs="宋体"/>
        </w:rPr>
        <w:t>3.2.1 评标委员会按本章第2.2款规定的量化因素和分值进行打分，并计算出综合评估得分。</w:t>
      </w:r>
    </w:p>
    <w:p>
      <w:pPr>
        <w:spacing w:line="400" w:lineRule="exact"/>
        <w:ind w:firstLine="718" w:firstLineChars="342"/>
        <w:rPr>
          <w:rFonts w:ascii="宋体" w:hAnsi="宋体" w:cs="宋体"/>
        </w:rPr>
      </w:pPr>
      <w:r>
        <w:rPr>
          <w:rFonts w:hint="eastAsia" w:ascii="宋体" w:hAnsi="宋体" w:cs="宋体"/>
        </w:rPr>
        <w:t>（1）按本章第2.2.4（1）目规定的评审因素和分值对施工组织设计计算出得分A；</w:t>
      </w:r>
    </w:p>
    <w:p>
      <w:pPr>
        <w:spacing w:line="400" w:lineRule="exact"/>
        <w:ind w:firstLine="718" w:firstLineChars="342"/>
        <w:rPr>
          <w:rFonts w:ascii="宋体" w:hAnsi="宋体" w:cs="宋体"/>
        </w:rPr>
      </w:pPr>
      <w:r>
        <w:rPr>
          <w:rFonts w:hint="eastAsia" w:ascii="宋体" w:hAnsi="宋体" w:cs="宋体"/>
        </w:rPr>
        <w:t>（2）按本章第2.2.4（2）目规定的评审因素和分值对企业综合实力计算出得分B；</w:t>
      </w:r>
    </w:p>
    <w:p>
      <w:pPr>
        <w:spacing w:line="400" w:lineRule="exact"/>
        <w:ind w:firstLine="718" w:firstLineChars="342"/>
        <w:rPr>
          <w:rFonts w:ascii="宋体" w:hAnsi="宋体" w:cs="宋体"/>
        </w:rPr>
      </w:pPr>
      <w:r>
        <w:rPr>
          <w:rFonts w:hint="eastAsia" w:ascii="宋体" w:hAnsi="宋体" w:cs="宋体"/>
        </w:rPr>
        <w:t>（3）按本章第2.2.4（3）目规定的评审因素和分值对投标报价计算出得分C。</w:t>
      </w:r>
    </w:p>
    <w:p>
      <w:pPr>
        <w:spacing w:line="400" w:lineRule="exact"/>
        <w:ind w:firstLine="420" w:firstLineChars="200"/>
        <w:rPr>
          <w:rFonts w:ascii="宋体" w:hAnsi="宋体" w:cs="宋体"/>
        </w:rPr>
      </w:pPr>
      <w:r>
        <w:rPr>
          <w:rFonts w:hint="eastAsia" w:ascii="宋体" w:hAnsi="宋体" w:cs="宋体"/>
        </w:rPr>
        <w:t>3.2.2 评分分值计算保留小数点后两位，小数点后第三位“四舍五入”。</w:t>
      </w:r>
    </w:p>
    <w:p>
      <w:pPr>
        <w:spacing w:line="400" w:lineRule="exact"/>
        <w:ind w:firstLine="420" w:firstLineChars="200"/>
        <w:rPr>
          <w:rFonts w:ascii="宋体" w:hAnsi="宋体" w:cs="宋体"/>
        </w:rPr>
      </w:pPr>
      <w:r>
        <w:rPr>
          <w:rFonts w:hint="eastAsia" w:ascii="宋体" w:hAnsi="宋体" w:cs="宋体"/>
        </w:rPr>
        <w:t>3.2.3 投标人得分=A+B+C。</w:t>
      </w:r>
    </w:p>
    <w:p>
      <w:pPr>
        <w:spacing w:line="380" w:lineRule="exact"/>
        <w:ind w:firstLine="420" w:firstLineChars="200"/>
        <w:rPr>
          <w:rFonts w:ascii="宋体" w:hAnsi="宋体" w:cs="宋体"/>
        </w:rPr>
      </w:pPr>
      <w:r>
        <w:rPr>
          <w:rFonts w:hint="eastAsia" w:ascii="宋体" w:hAnsi="宋体" w:cs="宋体"/>
        </w:rPr>
        <w:t>3.2.4投标人综合得分=以各评标委员会成员打分的算术平均值为准，作为该投标人的综合得分。</w:t>
      </w:r>
    </w:p>
    <w:p>
      <w:pPr>
        <w:spacing w:line="380" w:lineRule="exact"/>
        <w:ind w:firstLine="420" w:firstLineChars="200"/>
        <w:rPr>
          <w:rFonts w:ascii="宋体" w:hAnsi="宋体" w:cs="宋体"/>
        </w:rPr>
      </w:pPr>
      <w:r>
        <w:rPr>
          <w:rFonts w:hint="eastAsia" w:ascii="宋体" w:hAnsi="宋体" w:cs="宋体"/>
        </w:rPr>
        <w:t>3.2.5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否决其投标。</w:t>
      </w:r>
    </w:p>
    <w:p>
      <w:pPr>
        <w:spacing w:line="380" w:lineRule="exact"/>
        <w:ind w:firstLine="420" w:firstLineChars="200"/>
        <w:rPr>
          <w:rFonts w:ascii="宋体" w:hAnsi="宋体" w:cs="宋体"/>
        </w:rPr>
      </w:pPr>
      <w:r>
        <w:rPr>
          <w:rFonts w:hint="eastAsia" w:ascii="宋体" w:hAnsi="宋体" w:cs="宋体"/>
        </w:rPr>
        <w:t>3.2.6记名投票</w:t>
      </w:r>
    </w:p>
    <w:p>
      <w:pPr>
        <w:spacing w:line="400" w:lineRule="exact"/>
        <w:ind w:firstLine="420" w:firstLineChars="200"/>
        <w:rPr>
          <w:rFonts w:ascii="宋体" w:hAnsi="宋体" w:cs="宋体"/>
        </w:rPr>
      </w:pPr>
      <w:r>
        <w:rPr>
          <w:rFonts w:hint="eastAsia" w:ascii="宋体" w:hAnsi="宋体" w:cs="宋体"/>
        </w:rPr>
        <w:t>在任何评标环节中，需评标委员会就某项定性的评审结论做出表决的，由评标委员会全体成员按照少数服从多数的原则，以记名投票方式表决。</w:t>
      </w:r>
    </w:p>
    <w:p>
      <w:pPr>
        <w:pStyle w:val="6"/>
        <w:spacing w:before="0" w:after="0" w:line="400" w:lineRule="exact"/>
        <w:rPr>
          <w:rFonts w:ascii="宋体" w:hAnsi="宋体" w:cs="宋体"/>
          <w:b w:val="0"/>
          <w:sz w:val="24"/>
          <w:szCs w:val="24"/>
        </w:rPr>
      </w:pPr>
      <w:bookmarkStart w:id="58" w:name="_Toc144974575"/>
      <w:bookmarkStart w:id="59" w:name="_Toc353270373"/>
      <w:bookmarkStart w:id="60" w:name="_Toc456354356"/>
      <w:bookmarkStart w:id="61" w:name="_Toc384733833"/>
      <w:bookmarkStart w:id="62" w:name="_Toc152045607"/>
      <w:bookmarkStart w:id="63" w:name="_Toc467683054"/>
      <w:bookmarkStart w:id="64" w:name="_Toc152042385"/>
      <w:bookmarkStart w:id="65" w:name="_Toc28803"/>
      <w:r>
        <w:rPr>
          <w:rFonts w:hint="eastAsia" w:ascii="宋体" w:hAnsi="宋体" w:cs="宋体"/>
          <w:b w:val="0"/>
          <w:sz w:val="24"/>
          <w:szCs w:val="24"/>
        </w:rPr>
        <w:t>3.3 投标文件的澄清</w:t>
      </w:r>
      <w:bookmarkEnd w:id="58"/>
      <w:r>
        <w:rPr>
          <w:rFonts w:hint="eastAsia" w:ascii="宋体" w:hAnsi="宋体" w:cs="宋体"/>
          <w:b w:val="0"/>
          <w:sz w:val="24"/>
          <w:szCs w:val="24"/>
        </w:rPr>
        <w:t>和补正</w:t>
      </w:r>
      <w:bookmarkEnd w:id="59"/>
      <w:bookmarkEnd w:id="60"/>
      <w:bookmarkEnd w:id="61"/>
      <w:bookmarkEnd w:id="62"/>
      <w:bookmarkEnd w:id="63"/>
      <w:bookmarkEnd w:id="64"/>
      <w:bookmarkEnd w:id="65"/>
    </w:p>
    <w:p>
      <w:pPr>
        <w:spacing w:line="400" w:lineRule="exact"/>
        <w:ind w:firstLine="420" w:firstLineChars="200"/>
        <w:rPr>
          <w:rFonts w:ascii="宋体" w:hAnsi="宋体" w:cs="宋体"/>
        </w:rPr>
      </w:pPr>
      <w:r>
        <w:rPr>
          <w:rFonts w:hint="eastAsia" w:ascii="宋体" w:hAnsi="宋体" w:cs="宋体"/>
        </w:rPr>
        <w:t>3.3.1在评标过程中，评标委员会可以书面形式要求投标人对所提交投标文件中不明确的内容进行书面澄清或说明，或者对细微偏差进行补正。评标委员会不接受投标人主动提出的澄清、说明或补正。</w:t>
      </w:r>
    </w:p>
    <w:p>
      <w:pPr>
        <w:spacing w:line="400" w:lineRule="exact"/>
        <w:ind w:firstLine="420" w:firstLineChars="200"/>
        <w:rPr>
          <w:rFonts w:ascii="宋体" w:hAnsi="宋体" w:cs="宋体"/>
        </w:rPr>
      </w:pPr>
      <w:r>
        <w:rPr>
          <w:rFonts w:hint="eastAsia" w:ascii="宋体" w:hAnsi="宋体" w:cs="宋体"/>
        </w:rPr>
        <w:t>3.3.2 澄清、说明和补正不得改变投标文件的实质性内容（算术性错误修正的除外）。投标人的书面澄清、说明和补正属于投标文件的组成部分。</w:t>
      </w:r>
    </w:p>
    <w:p>
      <w:pPr>
        <w:spacing w:line="400" w:lineRule="exact"/>
        <w:ind w:firstLine="420" w:firstLineChars="200"/>
        <w:rPr>
          <w:rFonts w:ascii="宋体" w:hAnsi="宋体" w:cs="宋体"/>
        </w:rPr>
      </w:pPr>
      <w:r>
        <w:rPr>
          <w:rFonts w:hint="eastAsia" w:ascii="宋体" w:hAnsi="宋体" w:cs="宋体"/>
        </w:rPr>
        <w:t>3.3.3 评标委员会对投标人提交的澄清、说明或补正有疑问的，可以要求投标人进一步澄清、说明或补正，直至满足评标委员会的要求。</w:t>
      </w:r>
    </w:p>
    <w:p>
      <w:pPr>
        <w:pStyle w:val="6"/>
        <w:spacing w:before="0" w:after="0" w:line="400" w:lineRule="exact"/>
        <w:rPr>
          <w:rFonts w:ascii="宋体" w:hAnsi="宋体" w:cs="宋体"/>
          <w:b w:val="0"/>
          <w:sz w:val="24"/>
          <w:szCs w:val="24"/>
        </w:rPr>
      </w:pPr>
      <w:bookmarkStart w:id="66" w:name="_Toc384733834"/>
      <w:bookmarkStart w:id="67" w:name="_Toc353270374"/>
      <w:bookmarkStart w:id="68" w:name="_Toc467683055"/>
      <w:bookmarkStart w:id="69" w:name="_Toc17654"/>
      <w:bookmarkStart w:id="70" w:name="_Toc456354357"/>
      <w:bookmarkStart w:id="71" w:name="_Toc152042386"/>
      <w:bookmarkStart w:id="72" w:name="_Toc152045608"/>
      <w:bookmarkStart w:id="73" w:name="_Toc144974576"/>
      <w:r>
        <w:rPr>
          <w:rFonts w:hint="eastAsia" w:ascii="宋体" w:hAnsi="宋体" w:cs="宋体"/>
          <w:b w:val="0"/>
          <w:sz w:val="24"/>
          <w:szCs w:val="24"/>
        </w:rPr>
        <w:t>3.4 评标结果</w:t>
      </w:r>
      <w:bookmarkEnd w:id="66"/>
      <w:bookmarkEnd w:id="67"/>
      <w:bookmarkEnd w:id="68"/>
      <w:bookmarkEnd w:id="69"/>
      <w:bookmarkEnd w:id="70"/>
      <w:bookmarkEnd w:id="71"/>
      <w:bookmarkEnd w:id="72"/>
      <w:bookmarkEnd w:id="73"/>
    </w:p>
    <w:p>
      <w:pPr>
        <w:spacing w:line="400" w:lineRule="exact"/>
        <w:ind w:firstLine="420" w:firstLineChars="200"/>
        <w:rPr>
          <w:rFonts w:ascii="宋体" w:hAnsi="宋体" w:cs="宋体"/>
        </w:rPr>
      </w:pPr>
      <w:r>
        <w:rPr>
          <w:rFonts w:hint="eastAsia" w:ascii="宋体" w:hAnsi="宋体" w:cs="宋体"/>
        </w:rPr>
        <w:t>3.4.1除第二章“投标人须知”前附表授权直接确定中标人外，评标委员会按照得分由高到低的顺序推荐1-3名为中标候选人。</w:t>
      </w:r>
    </w:p>
    <w:p>
      <w:pPr>
        <w:spacing w:line="400" w:lineRule="exact"/>
        <w:ind w:firstLine="420" w:firstLineChars="200"/>
        <w:rPr>
          <w:rFonts w:ascii="宋体" w:hAnsi="宋体" w:cs="宋体"/>
        </w:rPr>
      </w:pPr>
      <w:r>
        <w:rPr>
          <w:rFonts w:hint="eastAsia" w:ascii="宋体" w:hAnsi="宋体" w:cs="宋体"/>
        </w:rPr>
        <w:t>3.4.2 评标委员会完成评标后，应当向招标人提交书面评标报告。</w:t>
      </w:r>
    </w:p>
    <w:p>
      <w:pPr>
        <w:snapToGrid w:val="0"/>
        <w:spacing w:line="420" w:lineRule="exact"/>
        <w:rPr>
          <w:rFonts w:ascii="华文中宋" w:hAnsi="华文中宋" w:eastAsia="华文中宋"/>
          <w:b/>
          <w:bCs/>
          <w:sz w:val="32"/>
          <w:szCs w:val="32"/>
        </w:rPr>
      </w:pPr>
    </w:p>
    <w:p>
      <w:pPr>
        <w:spacing w:line="480" w:lineRule="exact"/>
        <w:jc w:val="left"/>
        <w:rPr>
          <w:rFonts w:ascii="华文中宋" w:hAnsi="华文中宋" w:eastAsia="华文中宋"/>
          <w:b/>
          <w:bCs/>
          <w:sz w:val="32"/>
          <w:szCs w:val="32"/>
        </w:rPr>
      </w:pPr>
    </w:p>
    <w:p>
      <w:pPr>
        <w:spacing w:line="480" w:lineRule="exact"/>
        <w:jc w:val="left"/>
        <w:rPr>
          <w:rFonts w:ascii="华文中宋" w:hAnsi="华文中宋" w:eastAsia="华文中宋"/>
          <w:b/>
          <w:bCs/>
          <w:sz w:val="32"/>
          <w:szCs w:val="32"/>
        </w:rPr>
      </w:pPr>
    </w:p>
    <w:p>
      <w:pPr>
        <w:spacing w:line="480" w:lineRule="exact"/>
        <w:jc w:val="left"/>
        <w:rPr>
          <w:rFonts w:ascii="华文中宋" w:hAnsi="华文中宋" w:eastAsia="华文中宋"/>
          <w:b/>
          <w:bCs/>
          <w:sz w:val="32"/>
          <w:szCs w:val="32"/>
        </w:rPr>
      </w:pPr>
    </w:p>
    <w:p>
      <w:pPr>
        <w:spacing w:line="480" w:lineRule="exact"/>
        <w:jc w:val="left"/>
        <w:rPr>
          <w:rFonts w:ascii="华文中宋" w:hAnsi="华文中宋" w:eastAsia="华文中宋"/>
          <w:b/>
          <w:bCs/>
          <w:sz w:val="32"/>
          <w:szCs w:val="32"/>
        </w:rPr>
      </w:pPr>
    </w:p>
    <w:p>
      <w:pPr>
        <w:spacing w:line="480" w:lineRule="exact"/>
        <w:jc w:val="left"/>
        <w:rPr>
          <w:rFonts w:ascii="华文中宋" w:hAnsi="华文中宋" w:eastAsia="华文中宋"/>
          <w:b/>
          <w:bCs/>
          <w:sz w:val="32"/>
          <w:szCs w:val="32"/>
        </w:rPr>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spacing w:line="480" w:lineRule="exact"/>
        <w:jc w:val="left"/>
        <w:rPr>
          <w:rFonts w:ascii="华文中宋" w:hAnsi="华文中宋" w:eastAsia="华文中宋"/>
          <w:b/>
          <w:bCs/>
          <w:sz w:val="32"/>
          <w:szCs w:val="32"/>
        </w:rPr>
      </w:pPr>
      <w:r>
        <w:rPr>
          <w:rFonts w:hint="eastAsia" w:ascii="华文中宋" w:hAnsi="华文中宋" w:eastAsia="华文中宋"/>
          <w:b/>
          <w:bCs/>
          <w:sz w:val="32"/>
          <w:szCs w:val="32"/>
        </w:rPr>
        <w:t>附表一：投标保证金</w:t>
      </w:r>
    </w:p>
    <w:p>
      <w:pPr>
        <w:jc w:val="center"/>
        <w:rPr>
          <w:rFonts w:ascii="新宋体" w:hAnsi="新宋体" w:eastAsia="新宋体"/>
          <w:b/>
          <w:color w:val="FF0000"/>
          <w:sz w:val="36"/>
          <w:szCs w:val="36"/>
        </w:rPr>
      </w:pPr>
      <w:r>
        <w:rPr>
          <w:rFonts w:hint="eastAsia" w:ascii="新宋体" w:hAnsi="新宋体" w:eastAsia="新宋体"/>
          <w:b/>
          <w:sz w:val="36"/>
          <w:szCs w:val="36"/>
        </w:rPr>
        <w:t>投标保证金交纳须知</w:t>
      </w:r>
    </w:p>
    <w:tbl>
      <w:tblPr>
        <w:tblStyle w:val="50"/>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Ansi="宋体" w:cs="宋体"/>
                <w:bCs/>
                <w:sz w:val="24"/>
              </w:rPr>
            </w:pPr>
            <w:r>
              <w:rPr>
                <w:rFonts w:hint="eastAsia" w:hAnsi="宋体" w:cs="宋体"/>
                <w:bCs/>
                <w:sz w:val="24"/>
              </w:rPr>
              <w:t>建安建工公字〔</w:t>
            </w:r>
            <w:r>
              <w:rPr>
                <w:rFonts w:hAnsi="宋体" w:cs="宋体"/>
                <w:bCs/>
                <w:sz w:val="24"/>
              </w:rPr>
              <w:t>201</w:t>
            </w:r>
            <w:r>
              <w:rPr>
                <w:rFonts w:hint="eastAsia" w:hAnsi="宋体" w:cs="宋体"/>
                <w:bCs/>
                <w:sz w:val="24"/>
              </w:rPr>
              <w:t>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Ansi="宋体" w:cs="宋体"/>
                <w:sz w:val="24"/>
              </w:rPr>
            </w:pPr>
            <w:r>
              <w:rPr>
                <w:rFonts w:hint="eastAsia" w:hAnsi="宋体" w:cs="宋体"/>
                <w:sz w:val="24"/>
              </w:rPr>
              <w:t>新元大道东段拓宽提质工程（建安区段）二次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标段名称</w:t>
            </w:r>
          </w:p>
        </w:tc>
        <w:tc>
          <w:tcPr>
            <w:tcW w:w="7950" w:type="dxa"/>
            <w:tcBorders>
              <w:top w:val="single" w:color="auto" w:sz="4" w:space="0"/>
              <w:left w:val="single" w:color="auto" w:sz="4" w:space="0"/>
              <w:bottom w:val="single" w:color="auto" w:sz="4" w:space="0"/>
              <w:right w:val="single" w:color="auto" w:sz="4" w:space="0"/>
            </w:tcBorders>
          </w:tcPr>
          <w:p>
            <w:pPr>
              <w:spacing w:line="500" w:lineRule="exact"/>
              <w:jc w:val="center"/>
              <w:rPr>
                <w:rFonts w:hAnsi="宋体" w:cs="宋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投标保证金</w:t>
            </w:r>
          </w:p>
          <w:p>
            <w:pPr>
              <w:spacing w:line="500" w:lineRule="exact"/>
              <w:jc w:val="center"/>
              <w:rPr>
                <w:rFonts w:hAnsi="宋体" w:cs="宋体"/>
                <w:sz w:val="24"/>
              </w:rPr>
            </w:pPr>
            <w:r>
              <w:rPr>
                <w:rFonts w:hint="eastAsia" w:hAnsi="宋体"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Ansi="宋体" w:cs="宋体"/>
                <w:sz w:val="24"/>
              </w:rPr>
            </w:pPr>
            <w:r>
              <w:rPr>
                <w:rFonts w:hint="eastAsia" w:hAnsi="宋体" w:cs="宋体"/>
                <w:b/>
                <w:bCs/>
                <w:sz w:val="24"/>
              </w:rPr>
              <w:t>金额：人民币贰佰万元整（¥2000000.00）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Ansi="宋体"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Ansi="宋体" w:cs="宋体"/>
                <w:sz w:val="24"/>
              </w:rPr>
            </w:pPr>
            <w:r>
              <w:rPr>
                <w:rFonts w:hint="eastAsia" w:hAnsi="宋体" w:cs="宋体"/>
                <w:sz w:val="24"/>
              </w:rPr>
              <w:t>截止时间：北京时间</w:t>
            </w:r>
            <w:r>
              <w:rPr>
                <w:rFonts w:hAnsi="宋体" w:cs="宋体"/>
                <w:sz w:val="24"/>
              </w:rPr>
              <w:t>2018</w:t>
            </w:r>
            <w:r>
              <w:rPr>
                <w:rFonts w:hint="eastAsia" w:hAnsi="宋体" w:cs="宋体"/>
                <w:sz w:val="24"/>
              </w:rPr>
              <w:t>年3月1日</w:t>
            </w:r>
            <w:r>
              <w:rPr>
                <w:rFonts w:hint="eastAsia" w:hAnsi="宋体" w:cs="宋体"/>
                <w:sz w:val="24"/>
                <w:lang w:val="en-US" w:eastAsia="zh-CN"/>
              </w:rPr>
              <w:t>9</w:t>
            </w:r>
            <w:r>
              <w:rPr>
                <w:rFonts w:hAnsi="宋体" w:cs="宋体"/>
                <w:sz w:val="24"/>
              </w:rPr>
              <w:t>:</w:t>
            </w:r>
            <w:r>
              <w:rPr>
                <w:rFonts w:hint="eastAsia" w:hAnsi="宋体" w:cs="宋体"/>
                <w:sz w:val="24"/>
                <w:lang w:val="en-US" w:eastAsia="zh-CN"/>
              </w:rPr>
              <w:t>3</w:t>
            </w:r>
            <w:bookmarkStart w:id="692" w:name="_GoBack"/>
            <w:bookmarkEnd w:id="692"/>
            <w:r>
              <w:rPr>
                <w:rFonts w:hAnsi="宋体" w:cs="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Ansi="宋体"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Ansi="宋体" w:cs="宋体"/>
                <w:sz w:val="24"/>
              </w:rPr>
            </w:pPr>
            <w:r>
              <w:rPr>
                <w:rFonts w:hAnsi="宋体" w:cs="宋体"/>
                <w:sz w:val="24"/>
              </w:rPr>
              <w:t>1</w:t>
            </w:r>
            <w:r>
              <w:rPr>
                <w:rFonts w:hint="eastAsia" w:hAnsi="宋体" w:cs="宋体"/>
                <w:sz w:val="24"/>
              </w:rPr>
              <w:t>、投标保证金的递交方式：银行转帐、银行电汇（均需从投标人的基本账户汇出），不接受以现金方式缴纳的投标保证金。凡以现金方式缴纳投标保证金而影响其投标结果的，由投标人自行负责。</w:t>
            </w:r>
          </w:p>
          <w:p>
            <w:pPr>
              <w:spacing w:line="360" w:lineRule="exact"/>
              <w:ind w:firstLine="480" w:firstLineChars="200"/>
              <w:rPr>
                <w:rFonts w:hAnsi="宋体" w:cs="宋体"/>
                <w:sz w:val="24"/>
              </w:rPr>
            </w:pPr>
            <w:r>
              <w:rPr>
                <w:rFonts w:hint="eastAsia" w:hAnsi="宋体"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hAnsi="宋体" w:cs="宋体"/>
                <w:sz w:val="24"/>
              </w:rPr>
            </w:pPr>
            <w:r>
              <w:rPr>
                <w:rFonts w:hAnsi="宋体" w:cs="宋体"/>
                <w:sz w:val="24"/>
              </w:rPr>
              <w:t>2</w:t>
            </w:r>
            <w:r>
              <w:rPr>
                <w:rFonts w:hint="eastAsia" w:hAnsi="宋体" w:cs="宋体"/>
                <w:sz w:val="24"/>
              </w:rPr>
              <w:t>、投标保证金缴纳方式：</w:t>
            </w:r>
          </w:p>
          <w:p>
            <w:pPr>
              <w:spacing w:line="360" w:lineRule="exact"/>
              <w:ind w:firstLine="480" w:firstLineChars="200"/>
              <w:rPr>
                <w:rFonts w:hAnsi="宋体" w:cs="宋体"/>
                <w:sz w:val="24"/>
              </w:rPr>
            </w:pPr>
            <w:r>
              <w:rPr>
                <w:rFonts w:hAnsi="宋体" w:cs="宋体"/>
                <w:sz w:val="24"/>
              </w:rPr>
              <w:t>2.1</w:t>
            </w:r>
            <w:r>
              <w:rPr>
                <w:rFonts w:hint="eastAsia" w:hAnsi="宋体" w:cs="宋体"/>
                <w:sz w:val="24"/>
              </w:rPr>
              <w:t>投标人网上报名后，登录</w:t>
            </w:r>
            <w:r>
              <w:fldChar w:fldCharType="begin"/>
            </w:r>
            <w:r>
              <w:instrText xml:space="preserve"> HYPERLINK "http://221.14.6.70:8088/ggzy" </w:instrText>
            </w:r>
            <w:r>
              <w:fldChar w:fldCharType="separate"/>
            </w:r>
            <w:r>
              <w:rPr>
                <w:rStyle w:val="48"/>
                <w:rFonts w:hAnsi="宋体" w:cs="宋体"/>
                <w:sz w:val="24"/>
              </w:rPr>
              <w:t>http://221.14.6.70:8088/ggzy</w:t>
            </w:r>
            <w:r>
              <w:rPr>
                <w:rStyle w:val="48"/>
                <w:rFonts w:hAnsi="宋体" w:cs="宋体"/>
                <w:sz w:val="24"/>
              </w:rPr>
              <w:fldChar w:fldCharType="end"/>
            </w:r>
            <w:r>
              <w:rPr>
                <w:rFonts w:hint="eastAsia" w:hAnsi="宋体"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hAnsi="宋体" w:cs="宋体"/>
                <w:sz w:val="24"/>
              </w:rPr>
            </w:pPr>
            <w:r>
              <w:rPr>
                <w:rFonts w:hAnsi="宋体" w:cs="宋体"/>
                <w:sz w:val="24"/>
              </w:rPr>
              <w:t>2.2</w:t>
            </w:r>
            <w:r>
              <w:rPr>
                <w:rFonts w:hint="eastAsia" w:hAnsi="宋体" w:cs="宋体"/>
                <w:sz w:val="24"/>
              </w:rPr>
              <w:t>成功缴纳后重新登录前述系统，依次点击“会员向导”→“参与投标”→“保证金绑定”→“绑定”进行投标保证金绑定。</w:t>
            </w:r>
          </w:p>
          <w:p>
            <w:pPr>
              <w:spacing w:line="360" w:lineRule="exact"/>
              <w:ind w:firstLine="480" w:firstLineChars="200"/>
              <w:rPr>
                <w:rFonts w:hAnsi="宋体" w:cs="宋体"/>
                <w:sz w:val="24"/>
              </w:rPr>
            </w:pPr>
            <w:r>
              <w:rPr>
                <w:rFonts w:hAnsi="宋体" w:cs="宋体"/>
                <w:sz w:val="24"/>
              </w:rPr>
              <w:t xml:space="preserve">2.3 </w:t>
            </w:r>
            <w:r>
              <w:rPr>
                <w:rFonts w:hint="eastAsia" w:hAnsi="宋体" w:cs="宋体"/>
                <w:sz w:val="24"/>
              </w:rPr>
              <w:t>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hAnsi="宋体" w:cs="宋体"/>
                <w:sz w:val="24"/>
              </w:rPr>
            </w:pPr>
            <w:r>
              <w:rPr>
                <w:rFonts w:hAnsi="宋体" w:cs="宋体"/>
                <w:sz w:val="24"/>
              </w:rPr>
              <w:t xml:space="preserve">2.4 </w:t>
            </w:r>
            <w:r>
              <w:rPr>
                <w:rFonts w:hint="eastAsia" w:hAnsi="宋体" w:cs="宋体"/>
                <w:sz w:val="24"/>
              </w:rPr>
              <w:t>每个投标人每个项目每个标段只有唯一缴纳账号，切勿重复缴纳或错误缴纳。</w:t>
            </w:r>
          </w:p>
          <w:p>
            <w:pPr>
              <w:spacing w:line="360" w:lineRule="exact"/>
              <w:ind w:firstLine="480" w:firstLineChars="200"/>
              <w:rPr>
                <w:rFonts w:hAnsi="宋体" w:cs="宋体"/>
                <w:sz w:val="24"/>
              </w:rPr>
            </w:pPr>
            <w:r>
              <w:rPr>
                <w:rFonts w:hAnsi="宋体" w:cs="宋体"/>
                <w:sz w:val="24"/>
              </w:rPr>
              <w:t>3</w:t>
            </w:r>
            <w:r>
              <w:rPr>
                <w:rFonts w:hint="eastAsia" w:hAnsi="宋体" w:cs="宋体"/>
                <w:sz w:val="24"/>
              </w:rPr>
              <w:t>、未按上述规定操作引起的无效投标，由投标人自行负责。</w:t>
            </w:r>
          </w:p>
          <w:p>
            <w:pPr>
              <w:spacing w:line="360" w:lineRule="exact"/>
              <w:ind w:firstLine="480" w:firstLineChars="200"/>
              <w:rPr>
                <w:rFonts w:hAnsi="宋体" w:cs="宋体"/>
                <w:sz w:val="24"/>
              </w:rPr>
            </w:pPr>
            <w:r>
              <w:rPr>
                <w:rFonts w:hAnsi="宋体" w:cs="宋体"/>
                <w:sz w:val="24"/>
              </w:rPr>
              <w:t>4</w:t>
            </w:r>
            <w:r>
              <w:rPr>
                <w:rFonts w:hint="eastAsia" w:hAnsi="宋体" w:cs="宋体"/>
                <w:sz w:val="24"/>
              </w:rPr>
              <w:t>、汇款凭证无须备注项目编号和项目名称。</w:t>
            </w:r>
          </w:p>
          <w:p>
            <w:pPr>
              <w:spacing w:line="360" w:lineRule="exact"/>
              <w:ind w:firstLine="480" w:firstLineChars="200"/>
              <w:rPr>
                <w:rFonts w:hAnsi="宋体" w:cs="宋体"/>
                <w:sz w:val="24"/>
              </w:rPr>
            </w:pPr>
            <w:r>
              <w:rPr>
                <w:rFonts w:hAnsi="宋体" w:cs="宋体"/>
                <w:sz w:val="24"/>
              </w:rPr>
              <w:t>5</w:t>
            </w:r>
            <w:r>
              <w:rPr>
                <w:rFonts w:hint="eastAsia" w:hAnsi="宋体" w:cs="宋体"/>
                <w:sz w:val="24"/>
              </w:rPr>
              <w:t>、出现以下情形造成的投标保证金无效，由投标人自行负责。</w:t>
            </w:r>
          </w:p>
          <w:p>
            <w:pPr>
              <w:spacing w:line="360" w:lineRule="exact"/>
              <w:ind w:firstLine="480" w:firstLineChars="200"/>
              <w:rPr>
                <w:rFonts w:hAnsi="宋体" w:cs="宋体"/>
                <w:sz w:val="24"/>
              </w:rPr>
            </w:pPr>
            <w:r>
              <w:rPr>
                <w:rFonts w:hAnsi="宋体" w:cs="宋体"/>
                <w:sz w:val="24"/>
              </w:rPr>
              <w:t>(1)</w:t>
            </w:r>
            <w:r>
              <w:rPr>
                <w:rFonts w:hint="eastAsia" w:hAnsi="宋体" w:cs="宋体"/>
                <w:sz w:val="24"/>
              </w:rPr>
              <w:t>投标保证金未从投标人的基本账户转出；</w:t>
            </w:r>
          </w:p>
          <w:p>
            <w:pPr>
              <w:spacing w:line="360" w:lineRule="exact"/>
              <w:ind w:firstLine="480" w:firstLineChars="200"/>
              <w:rPr>
                <w:rFonts w:hAnsi="宋体" w:cs="宋体"/>
                <w:sz w:val="24"/>
              </w:rPr>
            </w:pPr>
            <w:r>
              <w:rPr>
                <w:rFonts w:hAnsi="宋体" w:cs="宋体"/>
                <w:sz w:val="24"/>
              </w:rPr>
              <w:t>(2)</w:t>
            </w:r>
            <w:r>
              <w:rPr>
                <w:rFonts w:hint="eastAsia" w:hAnsi="宋体" w:cs="宋体"/>
                <w:sz w:val="24"/>
              </w:rPr>
              <w:t>投标保证金未按照招标文件划分的标段依次转账。</w:t>
            </w:r>
          </w:p>
          <w:p>
            <w:pPr>
              <w:spacing w:line="360" w:lineRule="exact"/>
              <w:ind w:firstLine="480" w:firstLineChars="200"/>
              <w:rPr>
                <w:rFonts w:hAnsi="宋体" w:cs="宋体"/>
                <w:sz w:val="24"/>
              </w:rPr>
            </w:pPr>
            <w:r>
              <w:rPr>
                <w:rFonts w:hAnsi="宋体" w:cs="宋体"/>
                <w:sz w:val="24"/>
              </w:rPr>
              <w:t>6</w:t>
            </w:r>
            <w:r>
              <w:rPr>
                <w:rFonts w:hint="eastAsia" w:hAnsi="宋体" w:cs="宋体"/>
                <w:sz w:val="24"/>
              </w:rPr>
              <w:t>、《保证金缴纳绑定操作指南》获取方法：</w:t>
            </w:r>
          </w:p>
          <w:p>
            <w:pPr>
              <w:spacing w:line="360" w:lineRule="exact"/>
              <w:ind w:firstLine="480" w:firstLineChars="200"/>
              <w:rPr>
                <w:rFonts w:hAnsi="宋体" w:cs="宋体"/>
                <w:sz w:val="24"/>
              </w:rPr>
            </w:pPr>
            <w:r>
              <w:rPr>
                <w:rFonts w:hint="eastAsia" w:hAnsi="宋体" w:cs="宋体"/>
                <w:sz w:val="24"/>
              </w:rPr>
              <w:t>登录</w:t>
            </w:r>
            <w:r>
              <w:rPr>
                <w:rFonts w:hint="eastAsia" w:hAnsi="宋体" w:cs="宋体"/>
                <w:bCs/>
                <w:sz w:val="24"/>
              </w:rPr>
              <w:t>全国公共资源交易平台（河南省</w:t>
            </w:r>
            <w:r>
              <w:rPr>
                <w:rFonts w:hint="eastAsia" w:ascii="MS Mincho" w:hAnsi="MS Mincho" w:eastAsia="MS Mincho" w:cs="MS Mincho"/>
                <w:bCs/>
                <w:sz w:val="24"/>
              </w:rPr>
              <w:t>▪</w:t>
            </w:r>
            <w:r>
              <w:rPr>
                <w:rFonts w:hint="eastAsia" w:hAnsi="宋体" w:cs="宋体"/>
                <w:bCs/>
                <w:sz w:val="24"/>
              </w:rPr>
              <w:t>许昌市）</w:t>
            </w:r>
            <w:r>
              <w:rPr>
                <w:rFonts w:hint="eastAsia" w:hAnsi="宋体" w:cs="宋体"/>
                <w:sz w:val="24"/>
              </w:rPr>
              <w:t>系统</w:t>
            </w:r>
            <w:r>
              <w:rPr>
                <w:rFonts w:hAnsi="宋体" w:cs="宋体"/>
                <w:sz w:val="24"/>
              </w:rPr>
              <w:t>-</w:t>
            </w:r>
            <w:r>
              <w:rPr>
                <w:rFonts w:hint="eastAsia" w:hAnsi="宋体" w:cs="宋体"/>
                <w:sz w:val="24"/>
              </w:rPr>
              <w:t>组件下载</w:t>
            </w:r>
            <w:r>
              <w:rPr>
                <w:rFonts w:hAnsi="宋体" w:cs="宋体"/>
                <w:sz w:val="24"/>
              </w:rPr>
              <w:t>-</w:t>
            </w:r>
            <w:r>
              <w:rPr>
                <w:rFonts w:hint="eastAsia" w:hAnsi="宋体" w:cs="宋体"/>
                <w:sz w:val="24"/>
              </w:rPr>
              <w:t>《保证金缴纳绑定操作指南》</w:t>
            </w:r>
          </w:p>
          <w:p>
            <w:pPr>
              <w:adjustRightInd w:val="0"/>
              <w:spacing w:line="360" w:lineRule="exact"/>
              <w:ind w:firstLine="470" w:firstLineChars="196"/>
              <w:rPr>
                <w:rFonts w:hAnsi="宋体" w:cs="宋体"/>
                <w:sz w:val="24"/>
              </w:rPr>
            </w:pPr>
            <w:r>
              <w:rPr>
                <w:rFonts w:hAnsi="宋体" w:cs="宋体"/>
                <w:bCs/>
                <w:sz w:val="24"/>
              </w:rPr>
              <w:t>7</w:t>
            </w:r>
            <w:r>
              <w:rPr>
                <w:rFonts w:hint="eastAsia" w:hAnsi="宋体" w:cs="宋体"/>
                <w:bCs/>
                <w:sz w:val="24"/>
              </w:rPr>
              <w:t>、自</w:t>
            </w:r>
            <w:r>
              <w:rPr>
                <w:rFonts w:hAnsi="宋体" w:cs="宋体"/>
                <w:bCs/>
                <w:sz w:val="24"/>
              </w:rPr>
              <w:t>2017</w:t>
            </w:r>
            <w:r>
              <w:rPr>
                <w:rFonts w:hint="eastAsia" w:hAnsi="宋体" w:cs="宋体"/>
                <w:bCs/>
                <w:sz w:val="24"/>
              </w:rPr>
              <w:t>年</w:t>
            </w:r>
            <w:r>
              <w:rPr>
                <w:rFonts w:hAnsi="宋体" w:cs="宋体"/>
                <w:bCs/>
                <w:sz w:val="24"/>
              </w:rPr>
              <w:t>10</w:t>
            </w:r>
            <w:r>
              <w:rPr>
                <w:rFonts w:hint="eastAsia" w:hAnsi="宋体" w:cs="宋体"/>
                <w:bCs/>
                <w:sz w:val="24"/>
              </w:rPr>
              <w:t>月</w:t>
            </w:r>
            <w:r>
              <w:rPr>
                <w:rFonts w:hAnsi="宋体" w:cs="宋体"/>
                <w:bCs/>
                <w:sz w:val="24"/>
              </w:rPr>
              <w:t>16</w:t>
            </w:r>
            <w:r>
              <w:rPr>
                <w:rFonts w:hint="eastAsia" w:hAnsi="宋体" w:cs="宋体"/>
                <w:bCs/>
                <w:sz w:val="24"/>
              </w:rPr>
              <w:t>日起，凡投标人投标保证金交纳至同一标段相同子账号的，保证金暂不予退还，并依照《许昌市公共资源交易当事人不良行为管理暂行办法》（许公管委〔</w:t>
            </w:r>
            <w:r>
              <w:rPr>
                <w:rFonts w:hAnsi="宋体" w:cs="宋体"/>
                <w:bCs/>
                <w:sz w:val="24"/>
              </w:rPr>
              <w:t>2017</w:t>
            </w:r>
            <w:r>
              <w:rPr>
                <w:rFonts w:hint="eastAsia" w:hAnsi="宋体" w:cs="宋体"/>
                <w:bCs/>
                <w:sz w:val="24"/>
              </w:rPr>
              <w:t>〕</w:t>
            </w:r>
            <w:r>
              <w:rPr>
                <w:rFonts w:hAnsi="宋体" w:cs="宋体"/>
                <w:bCs/>
                <w:sz w:val="24"/>
              </w:rPr>
              <w:t>1</w:t>
            </w:r>
            <w:r>
              <w:rPr>
                <w:rFonts w:hint="eastAsia" w:hAnsi="宋体" w:cs="宋体"/>
                <w:bCs/>
                <w:sz w:val="24"/>
              </w:rPr>
              <w:t>号）规定，进行调查、认定、记录、并予以公示公告。对是否涉嫌串通投标，经调查核实后，记录不良行为，移交有关部门进行查处，不予退还的保证金上缴国库。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hAnsi="宋体" w:cs="宋体"/>
                <w:bCs/>
                <w:sz w:val="24"/>
              </w:rPr>
            </w:pPr>
            <w:r>
              <w:rPr>
                <w:rFonts w:hAnsi="宋体" w:cs="宋体"/>
                <w:bCs/>
                <w:sz w:val="24"/>
              </w:rPr>
              <w:t>1</w:t>
            </w:r>
            <w:r>
              <w:rPr>
                <w:rFonts w:hint="eastAsia" w:hAnsi="宋体" w:cs="宋体"/>
                <w:bCs/>
                <w:sz w:val="24"/>
              </w:rPr>
              <w:t>、因投标人的原因无法及时退还投标（竞买）保证金、滞留三年以上的，投标（竞买）保证金上缴财政。</w:t>
            </w:r>
          </w:p>
          <w:p>
            <w:pPr>
              <w:adjustRightInd w:val="0"/>
              <w:spacing w:line="360" w:lineRule="exact"/>
              <w:ind w:firstLine="470" w:firstLineChars="196"/>
              <w:rPr>
                <w:rFonts w:hAnsi="宋体" w:cs="宋体"/>
                <w:bCs/>
                <w:sz w:val="24"/>
              </w:rPr>
            </w:pPr>
            <w:r>
              <w:rPr>
                <w:rFonts w:hAnsi="宋体" w:cs="宋体"/>
                <w:bCs/>
                <w:sz w:val="24"/>
              </w:rPr>
              <w:t>2</w:t>
            </w:r>
            <w:r>
              <w:rPr>
                <w:rFonts w:hint="eastAsia" w:hAnsi="宋体" w:cs="宋体"/>
                <w:bCs/>
                <w:sz w:val="24"/>
              </w:rPr>
              <w:t>、自文件发布之日起，投标人需进行基本户备案（建设工程项目），已备案的基本户开户银行、账户发生变化的，须重新办理备案手续。备案后方可提交投标（竞买）保证金。</w:t>
            </w:r>
          </w:p>
          <w:p>
            <w:pPr>
              <w:adjustRightInd w:val="0"/>
              <w:spacing w:line="360" w:lineRule="exact"/>
              <w:ind w:firstLine="470" w:firstLineChars="196"/>
              <w:rPr>
                <w:rFonts w:hAnsi="宋体" w:cs="宋体"/>
                <w:bCs/>
                <w:sz w:val="24"/>
              </w:rPr>
            </w:pPr>
            <w:r>
              <w:rPr>
                <w:rFonts w:hAnsi="宋体" w:cs="宋体"/>
                <w:bCs/>
                <w:sz w:val="24"/>
              </w:rPr>
              <w:t>3</w:t>
            </w:r>
            <w:r>
              <w:rPr>
                <w:rFonts w:hint="eastAsia" w:hAnsi="宋体" w:cs="宋体"/>
                <w:bCs/>
                <w:sz w:val="24"/>
              </w:rPr>
              <w:t>、基本户备案流程：工程建设项目的投标人登录注册网址：</w:t>
            </w:r>
            <w:r>
              <w:rPr>
                <w:rFonts w:hAnsi="宋体" w:cs="宋体"/>
                <w:bCs/>
                <w:sz w:val="24"/>
              </w:rPr>
              <w:t>http://221.14.6.70:8088/ggzy/</w:t>
            </w:r>
            <w:r>
              <w:rPr>
                <w:rFonts w:hint="eastAsia" w:hAnsi="宋体" w:cs="宋体"/>
                <w:bCs/>
                <w:sz w:val="24"/>
              </w:rPr>
              <w:t>，进行系统用户注册，在注册流程中“银行账户”环节，增加“账户类别</w:t>
            </w:r>
            <w:r>
              <w:rPr>
                <w:rFonts w:hAnsi="宋体" w:cs="宋体"/>
                <w:bCs/>
                <w:sz w:val="24"/>
              </w:rPr>
              <w:t>-</w:t>
            </w:r>
            <w:r>
              <w:rPr>
                <w:rFonts w:hint="eastAsia" w:hAnsi="宋体" w:cs="宋体"/>
                <w:bCs/>
                <w:sz w:val="24"/>
              </w:rPr>
              <w:t>基本账户”，填写投标人基本账户信息，扫描上传基本户开户许可证（两者信息必须相符），保存备案信息，提交并绑定</w:t>
            </w:r>
            <w:r>
              <w:rPr>
                <w:rFonts w:hAnsi="宋体" w:cs="宋体"/>
                <w:bCs/>
                <w:sz w:val="24"/>
              </w:rPr>
              <w:t>CA</w:t>
            </w:r>
            <w:r>
              <w:rPr>
                <w:rFonts w:hint="eastAsia" w:hAnsi="宋体" w:cs="宋体"/>
                <w:bCs/>
                <w:sz w:val="24"/>
              </w:rPr>
              <w:t>后可缴纳、绑定投标保证金。</w:t>
            </w:r>
          </w:p>
          <w:p>
            <w:pPr>
              <w:adjustRightInd w:val="0"/>
              <w:spacing w:line="360" w:lineRule="exact"/>
              <w:ind w:firstLine="470" w:firstLineChars="196"/>
              <w:rPr>
                <w:rFonts w:hAnsi="宋体" w:cs="宋体"/>
                <w:bCs/>
                <w:sz w:val="24"/>
              </w:rPr>
            </w:pPr>
            <w:r>
              <w:rPr>
                <w:rFonts w:hAnsi="宋体" w:cs="宋体"/>
                <w:bCs/>
                <w:sz w:val="24"/>
              </w:rPr>
              <w:t>4</w:t>
            </w:r>
            <w:r>
              <w:rPr>
                <w:rFonts w:hint="eastAsia" w:hAnsi="宋体" w:cs="宋体"/>
                <w:bCs/>
                <w:sz w:val="24"/>
              </w:rPr>
              <w:t>、特殊情况处理</w:t>
            </w:r>
          </w:p>
          <w:p>
            <w:pPr>
              <w:adjustRightInd w:val="0"/>
              <w:spacing w:line="360" w:lineRule="exact"/>
              <w:ind w:firstLine="470" w:firstLineChars="196"/>
              <w:rPr>
                <w:rFonts w:hAnsi="宋体" w:cs="仿宋_GB2312"/>
                <w:sz w:val="24"/>
              </w:rPr>
            </w:pPr>
            <w:r>
              <w:rPr>
                <w:rFonts w:hint="eastAsia" w:hAnsi="宋体" w:cs="宋体"/>
                <w:bCs/>
                <w:sz w:val="24"/>
              </w:rPr>
              <w:t>投标人投标过程中因账户开户银行、银行账号发生变化，不能按照来款途径原路返还投标保证金的，投标人须提供原账户开户银行相关证明及新开账户开户许可证，到许昌市建安区公共资源交易中心四楼财务部办理退款手续（</w:t>
            </w:r>
            <w:r>
              <w:rPr>
                <w:rFonts w:hAnsi="宋体" w:cs="宋体"/>
                <w:bCs/>
                <w:sz w:val="24"/>
              </w:rPr>
              <w:t>0374-511</w:t>
            </w:r>
            <w:r>
              <w:rPr>
                <w:rFonts w:hint="eastAsia" w:hAnsi="宋体" w:cs="宋体"/>
                <w:bCs/>
                <w:sz w:val="24"/>
              </w:rPr>
              <w:t>3098）。</w:t>
            </w:r>
          </w:p>
        </w:tc>
      </w:tr>
    </w:tbl>
    <w:p>
      <w:pPr>
        <w:ind w:firstLine="2880" w:firstLineChars="800"/>
        <w:rPr>
          <w:rFonts w:hAnsi="宋体"/>
          <w:sz w:val="36"/>
          <w:szCs w:val="36"/>
        </w:rPr>
      </w:pPr>
    </w:p>
    <w:p>
      <w:pPr>
        <w:ind w:firstLine="2880" w:firstLineChars="800"/>
        <w:rPr>
          <w:rFonts w:hAnsi="宋体"/>
          <w:sz w:val="36"/>
          <w:szCs w:val="36"/>
        </w:rPr>
      </w:pPr>
    </w:p>
    <w:p>
      <w:pPr>
        <w:widowControl/>
        <w:jc w:val="left"/>
        <w:rPr>
          <w:rFonts w:hAnsi="宋体"/>
          <w:sz w:val="36"/>
          <w:szCs w:val="36"/>
        </w:rPr>
      </w:pPr>
      <w:r>
        <w:rPr>
          <w:rFonts w:hAnsi="宋体"/>
          <w:sz w:val="36"/>
          <w:szCs w:val="36"/>
        </w:rPr>
        <w:br w:type="page"/>
      </w:r>
    </w:p>
    <w:p>
      <w:pPr>
        <w:ind w:firstLine="2880" w:firstLineChars="800"/>
        <w:rPr>
          <w:rFonts w:hAnsi="宋体"/>
          <w:sz w:val="36"/>
          <w:szCs w:val="36"/>
        </w:rPr>
      </w:pPr>
      <w:r>
        <w:rPr>
          <w:rFonts w:hint="eastAsia" w:hAnsi="宋体"/>
          <w:sz w:val="36"/>
          <w:szCs w:val="36"/>
        </w:rPr>
        <w:t>投</w:t>
      </w:r>
      <w:r>
        <w:rPr>
          <w:rFonts w:hint="eastAsia" w:hAnsi="宋体" w:cs="宋体"/>
          <w:sz w:val="36"/>
          <w:szCs w:val="36"/>
        </w:rPr>
        <w:t>标</w:t>
      </w:r>
      <w:r>
        <w:rPr>
          <w:rFonts w:hint="eastAsia" w:hAnsi="宋体"/>
          <w:sz w:val="36"/>
          <w:szCs w:val="36"/>
        </w:rPr>
        <w:t>保</w:t>
      </w:r>
      <w:r>
        <w:rPr>
          <w:rFonts w:hint="eastAsia" w:hAnsi="宋体" w:cs="宋体"/>
          <w:sz w:val="36"/>
          <w:szCs w:val="36"/>
        </w:rPr>
        <w:t>证</w:t>
      </w:r>
      <w:r>
        <w:rPr>
          <w:rFonts w:hint="eastAsia" w:hAnsi="宋体"/>
          <w:sz w:val="36"/>
          <w:szCs w:val="36"/>
        </w:rPr>
        <w:t>金退</w:t>
      </w:r>
      <w:r>
        <w:rPr>
          <w:rFonts w:hint="eastAsia" w:hAnsi="宋体" w:cs="宋体"/>
          <w:sz w:val="36"/>
          <w:szCs w:val="36"/>
        </w:rPr>
        <w:t>还</w:t>
      </w:r>
      <w:r>
        <w:rPr>
          <w:rFonts w:hint="eastAsia" w:hAnsi="宋体"/>
          <w:sz w:val="36"/>
          <w:szCs w:val="36"/>
        </w:rPr>
        <w:t>申</w:t>
      </w:r>
      <w:r>
        <w:rPr>
          <w:rFonts w:hint="eastAsia" w:hAnsi="宋体" w:cs="宋体"/>
          <w:sz w:val="36"/>
          <w:szCs w:val="36"/>
        </w:rPr>
        <w:t>请</w:t>
      </w:r>
      <w:r>
        <w:rPr>
          <w:rFonts w:hint="eastAsia" w:hAnsi="宋体"/>
          <w:sz w:val="36"/>
          <w:szCs w:val="36"/>
        </w:rPr>
        <w:t>表</w:t>
      </w:r>
    </w:p>
    <w:tbl>
      <w:tblPr>
        <w:tblStyle w:val="50"/>
        <w:tblW w:w="98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rPr>
            </w:pPr>
            <w:r>
              <w:rPr>
                <w:rFonts w:hint="eastAsia" w:ascii="新宋体" w:hAnsi="新宋体" w:eastAsia="新宋体"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华文中宋"/>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华文中宋"/>
                <w:sz w:val="24"/>
              </w:rPr>
            </w:pPr>
            <w:r>
              <w:rPr>
                <w:rFonts w:hint="eastAsia" w:ascii="新宋体" w:hAnsi="新宋体" w:eastAsia="新宋体"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华文中宋"/>
                <w:sz w:val="24"/>
              </w:rPr>
            </w:pPr>
            <w:r>
              <w:rPr>
                <w:rFonts w:hint="eastAsia" w:ascii="新宋体" w:hAnsi="新宋体" w:eastAsia="新宋体" w:cs="新宋体"/>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rPr>
            </w:pPr>
            <w:r>
              <w:rPr>
                <w:rFonts w:hint="eastAsia" w:ascii="新宋体" w:hAnsi="新宋体" w:eastAsia="新宋体"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eastAsia="华文中宋"/>
                <w:sz w:val="24"/>
              </w:rPr>
            </w:pPr>
            <w:r>
              <w:rPr>
                <w:rFonts w:hint="eastAsia" w:ascii="新宋体" w:hAnsi="新宋体" w:eastAsia="新宋体"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eastAsia="华文中宋"/>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华文中宋"/>
                <w:sz w:val="24"/>
              </w:rPr>
            </w:pPr>
            <w:r>
              <w:rPr>
                <w:rFonts w:hint="eastAsia" w:ascii="新宋体" w:hAnsi="新宋体" w:eastAsia="新宋体"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eastAsia="华文中宋"/>
                <w:sz w:val="24"/>
              </w:rPr>
            </w:pPr>
            <w:r>
              <w:rPr>
                <w:rFonts w:hint="eastAsia" w:ascii="新宋体" w:hAnsi="新宋体" w:eastAsia="新宋体"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eastAsia="华文中宋"/>
                <w:sz w:val="24"/>
              </w:rPr>
            </w:pPr>
            <w:r>
              <w:rPr>
                <w:rFonts w:hint="eastAsia" w:ascii="新宋体" w:hAnsi="新宋体" w:eastAsia="新宋体" w:cs="新宋体"/>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rPr>
            </w:pPr>
            <w:r>
              <w:rPr>
                <w:rFonts w:hint="eastAsia" w:ascii="新宋体" w:hAnsi="新宋体" w:eastAsia="新宋体"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7"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新宋体" w:hAnsi="新宋体" w:eastAsia="新宋体" w:cs="新宋体"/>
                <w:sz w:val="24"/>
              </w:rPr>
            </w:pPr>
          </w:p>
          <w:p>
            <w:pPr>
              <w:ind w:right="480" w:firstLine="5880" w:firstLineChars="2450"/>
              <w:rPr>
                <w:rFonts w:ascii="新宋体" w:hAnsi="新宋体" w:eastAsia="新宋体" w:cs="新宋体"/>
                <w:sz w:val="24"/>
              </w:rPr>
            </w:pPr>
          </w:p>
          <w:p>
            <w:pPr>
              <w:ind w:right="480" w:firstLine="5880" w:firstLineChars="2450"/>
              <w:rPr>
                <w:rFonts w:ascii="新宋体" w:hAnsi="新宋体" w:eastAsia="新宋体" w:cs="新宋体"/>
                <w:sz w:val="24"/>
              </w:rPr>
            </w:pPr>
          </w:p>
          <w:p>
            <w:pPr>
              <w:ind w:right="480" w:firstLine="5880" w:firstLineChars="2450"/>
              <w:rPr>
                <w:rFonts w:ascii="华文中宋" w:hAnsi="华文中宋" w:eastAsia="华文中宋"/>
                <w:sz w:val="24"/>
              </w:rPr>
            </w:pPr>
            <w:r>
              <w:rPr>
                <w:rFonts w:hint="eastAsia" w:ascii="新宋体" w:hAnsi="新宋体" w:eastAsia="新宋体" w:cs="新宋体"/>
                <w:sz w:val="24"/>
              </w:rPr>
              <w:t>年月日</w:t>
            </w:r>
          </w:p>
        </w:tc>
      </w:tr>
    </w:tbl>
    <w:p>
      <w:pPr>
        <w:jc w:val="left"/>
        <w:rPr>
          <w:rFonts w:ascii="华文中宋" w:hAnsi="华文中宋" w:eastAsia="华文中宋"/>
          <w:b/>
          <w:bCs/>
          <w:sz w:val="32"/>
          <w:szCs w:val="32"/>
        </w:rPr>
      </w:pPr>
    </w:p>
    <w:p>
      <w:pPr>
        <w:pStyle w:val="2"/>
        <w:ind w:firstLine="340"/>
      </w:pP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jc w:val="center"/>
        <w:rPr>
          <w:rFonts w:ascii="华文中宋" w:hAnsi="华文中宋" w:eastAsia="华文中宋"/>
          <w:b/>
          <w:bCs/>
          <w:sz w:val="32"/>
          <w:szCs w:val="32"/>
        </w:rPr>
      </w:pPr>
      <w:r>
        <w:rPr>
          <w:rFonts w:hint="eastAsia" w:ascii="华文中宋" w:hAnsi="华文中宋" w:eastAsia="华文中宋"/>
          <w:b/>
          <w:bCs/>
          <w:sz w:val="32"/>
          <w:szCs w:val="32"/>
        </w:rPr>
        <w:t>第四章合同条款</w:t>
      </w:r>
    </w:p>
    <w:p>
      <w:pPr>
        <w:pStyle w:val="5"/>
        <w:jc w:val="center"/>
      </w:pPr>
      <w:bookmarkStart w:id="74" w:name="_Toc300835031"/>
      <w:r>
        <w:rPr>
          <w:rFonts w:hint="eastAsia"/>
        </w:rPr>
        <w:t>第一节  通用合同条款</w:t>
      </w:r>
      <w:bookmarkEnd w:id="74"/>
    </w:p>
    <w:p>
      <w:pPr>
        <w:pStyle w:val="6"/>
      </w:pPr>
      <w:bookmarkStart w:id="75" w:name="_Toc247514035"/>
      <w:bookmarkStart w:id="76" w:name="_Toc247527636"/>
      <w:bookmarkStart w:id="77" w:name="_Toc184635098"/>
      <w:bookmarkStart w:id="78" w:name="_Toc300835032"/>
      <w:r>
        <w:rPr>
          <w:rFonts w:hint="eastAsia"/>
        </w:rPr>
        <w:t>1. 一般约定</w:t>
      </w:r>
      <w:bookmarkEnd w:id="75"/>
      <w:bookmarkEnd w:id="76"/>
      <w:bookmarkEnd w:id="77"/>
      <w:bookmarkEnd w:id="78"/>
    </w:p>
    <w:p>
      <w:pPr>
        <w:pStyle w:val="6"/>
      </w:pPr>
      <w:bookmarkStart w:id="79" w:name="_Toc300835033"/>
      <w:bookmarkStart w:id="80" w:name="_Toc247527637"/>
      <w:bookmarkStart w:id="81" w:name="_Toc247514036"/>
      <w:r>
        <w:rPr>
          <w:rFonts w:hint="eastAsia"/>
        </w:rPr>
        <w:t>1.1 词语定义</w:t>
      </w:r>
      <w:bookmarkEnd w:id="79"/>
      <w:bookmarkEnd w:id="80"/>
      <w:bookmarkEnd w:id="81"/>
    </w:p>
    <w:p>
      <w:pPr>
        <w:spacing w:line="360" w:lineRule="auto"/>
        <w:ind w:firstLine="420" w:firstLineChars="200"/>
        <w:rPr>
          <w:rFonts w:ascii="宋体" w:hAnsi="宋体"/>
          <w:szCs w:val="21"/>
        </w:rPr>
      </w:pPr>
      <w:r>
        <w:rPr>
          <w:rFonts w:hint="eastAsia" w:ascii="宋体" w:hAnsi="宋体"/>
          <w:szCs w:val="21"/>
        </w:rPr>
        <w:t>通用合同条款、专用合同条款中的下列词语应具有本款所赋予的含义。</w:t>
      </w:r>
    </w:p>
    <w:p>
      <w:pPr>
        <w:ind w:firstLine="411" w:firstLineChars="196"/>
      </w:pPr>
      <w:r>
        <w:rPr>
          <w:rFonts w:hint="eastAsia"/>
        </w:rPr>
        <w:t>1.1.1 合同</w:t>
      </w:r>
    </w:p>
    <w:p>
      <w:pPr>
        <w:spacing w:line="360" w:lineRule="auto"/>
        <w:ind w:firstLine="630" w:firstLineChars="300"/>
        <w:rPr>
          <w:rFonts w:ascii="宋体" w:hAnsi="宋体"/>
          <w:szCs w:val="21"/>
        </w:rPr>
      </w:pPr>
      <w:r>
        <w:rPr>
          <w:rFonts w:hint="eastAsia"/>
        </w:rPr>
        <w:t>1.1.1.1</w:t>
      </w:r>
      <w:r>
        <w:rPr>
          <w:rFonts w:hint="eastAsia" w:ascii="宋体" w:hAnsi="宋体"/>
          <w:szCs w:val="21"/>
        </w:rPr>
        <w:t xml:space="preserve"> 合同文件（或称合同）：指合同协议书、中标通知书、投标函及投标函附录、专用合同条款、通用合同条款、发包人要求、价格清单、承包人建议书，以及其他构成合同组成部分的文件。</w:t>
      </w:r>
    </w:p>
    <w:p>
      <w:pPr>
        <w:spacing w:line="360" w:lineRule="auto"/>
        <w:ind w:firstLine="630" w:firstLineChars="300"/>
        <w:rPr>
          <w:rFonts w:ascii="宋体" w:hAnsi="宋体"/>
          <w:szCs w:val="21"/>
        </w:rPr>
      </w:pPr>
      <w:r>
        <w:rPr>
          <w:rFonts w:hint="eastAsia"/>
        </w:rPr>
        <w:t>1.1.1.2</w:t>
      </w:r>
      <w:r>
        <w:rPr>
          <w:rFonts w:hint="eastAsia" w:ascii="宋体" w:hAnsi="宋体"/>
          <w:szCs w:val="21"/>
        </w:rPr>
        <w:t xml:space="preserve"> 合同协议书：指第</w:t>
      </w:r>
      <w:r>
        <w:rPr>
          <w:rFonts w:hint="eastAsia"/>
        </w:rPr>
        <w:t>1.5</w:t>
      </w:r>
      <w:r>
        <w:rPr>
          <w:rFonts w:hint="eastAsia" w:ascii="宋体" w:hAnsi="宋体"/>
          <w:szCs w:val="21"/>
        </w:rPr>
        <w:t xml:space="preserve"> 款所指的合同协议书。</w:t>
      </w:r>
    </w:p>
    <w:p>
      <w:pPr>
        <w:spacing w:line="360" w:lineRule="auto"/>
        <w:ind w:firstLine="630" w:firstLineChars="300"/>
        <w:rPr>
          <w:rFonts w:ascii="宋体" w:hAnsi="宋体"/>
          <w:szCs w:val="21"/>
        </w:rPr>
      </w:pPr>
      <w:r>
        <w:rPr>
          <w:rFonts w:hint="eastAsia"/>
        </w:rPr>
        <w:t>1.1.1.3</w:t>
      </w:r>
      <w:r>
        <w:rPr>
          <w:rFonts w:hint="eastAsia" w:ascii="宋体" w:hAnsi="宋体"/>
          <w:szCs w:val="21"/>
        </w:rPr>
        <w:t xml:space="preserve"> 中标通知书：指发包人通知承包人中标的函件。中标通知书随附的澄清、说明、补正事项纪要等，是中标通知书的组成部分。</w:t>
      </w:r>
    </w:p>
    <w:p>
      <w:pPr>
        <w:spacing w:line="360" w:lineRule="auto"/>
        <w:ind w:firstLine="630" w:firstLineChars="300"/>
        <w:rPr>
          <w:rFonts w:ascii="宋体" w:hAnsi="宋体"/>
          <w:szCs w:val="21"/>
        </w:rPr>
      </w:pPr>
      <w:r>
        <w:rPr>
          <w:rFonts w:hint="eastAsia"/>
        </w:rPr>
        <w:t>1.1.1.4</w:t>
      </w:r>
      <w:r>
        <w:rPr>
          <w:rFonts w:hint="eastAsia" w:ascii="宋体" w:hAnsi="宋体"/>
          <w:szCs w:val="21"/>
        </w:rPr>
        <w:t xml:space="preserve"> 投标函：指构成合同文件组成部分的由承包人填写并签署的投标函。</w:t>
      </w:r>
    </w:p>
    <w:p>
      <w:pPr>
        <w:spacing w:line="360" w:lineRule="auto"/>
        <w:ind w:firstLine="630" w:firstLineChars="300"/>
        <w:rPr>
          <w:rFonts w:ascii="宋体" w:hAnsi="宋体"/>
          <w:szCs w:val="21"/>
        </w:rPr>
      </w:pPr>
      <w:r>
        <w:rPr>
          <w:rFonts w:hint="eastAsia"/>
        </w:rPr>
        <w:t>1.1.1.5</w:t>
      </w:r>
      <w:r>
        <w:rPr>
          <w:rFonts w:hint="eastAsia" w:ascii="宋体" w:hAnsi="宋体"/>
          <w:szCs w:val="21"/>
        </w:rPr>
        <w:t xml:space="preserve"> 投标函附录：指附在投标函后构成合同文件的投标函附录。</w:t>
      </w:r>
    </w:p>
    <w:p>
      <w:pPr>
        <w:spacing w:line="360" w:lineRule="auto"/>
        <w:ind w:firstLine="630" w:firstLineChars="300"/>
        <w:rPr>
          <w:rFonts w:ascii="宋体" w:hAnsi="宋体"/>
          <w:szCs w:val="21"/>
        </w:rPr>
      </w:pPr>
      <w:r>
        <w:rPr>
          <w:rFonts w:hint="eastAsia"/>
        </w:rPr>
        <w:t>1.1.1.6</w:t>
      </w:r>
      <w:r>
        <w:rPr>
          <w:rFonts w:hint="eastAsia" w:ascii="宋体" w:hAnsi="宋体"/>
          <w:szCs w:val="21"/>
        </w:rPr>
        <w:t xml:space="preserve"> 发包人要求：指构成合同文件组成部分的名为发包人要求的文件，包括招标项目的目的、范围、设计与其他技术标准和要求，</w:t>
      </w:r>
      <w:r>
        <w:rPr>
          <w:rStyle w:val="49"/>
          <w:rFonts w:hint="eastAsia"/>
        </w:rPr>
        <w:t>以及</w:t>
      </w:r>
      <w:r>
        <w:rPr>
          <w:rFonts w:hint="eastAsia" w:ascii="宋体" w:hAnsi="宋体"/>
          <w:szCs w:val="21"/>
        </w:rPr>
        <w:t>合同双方当事人约定对其所作的修改或补充。</w:t>
      </w:r>
    </w:p>
    <w:p>
      <w:pPr>
        <w:spacing w:line="360" w:lineRule="auto"/>
        <w:ind w:firstLine="630" w:firstLineChars="300"/>
        <w:rPr>
          <w:rFonts w:ascii="宋体" w:hAnsi="宋体"/>
          <w:szCs w:val="21"/>
        </w:rPr>
      </w:pPr>
      <w:r>
        <w:rPr>
          <w:rFonts w:hint="eastAsia"/>
        </w:rPr>
        <w:t>1.1.1.7</w:t>
      </w:r>
      <w:r>
        <w:rPr>
          <w:rFonts w:hint="eastAsia" w:ascii="宋体" w:hAnsi="宋体"/>
          <w:szCs w:val="21"/>
        </w:rPr>
        <w:t xml:space="preserve"> 价格清单：指构成合同文件组成部分的由承包人按规定的格式和要求填写并标明价格的清单。</w:t>
      </w:r>
    </w:p>
    <w:p>
      <w:pPr>
        <w:spacing w:line="360" w:lineRule="auto"/>
        <w:ind w:firstLine="630" w:firstLineChars="300"/>
        <w:rPr>
          <w:rFonts w:ascii="宋体" w:hAnsi="宋体"/>
          <w:szCs w:val="21"/>
        </w:rPr>
      </w:pPr>
      <w:r>
        <w:rPr>
          <w:rFonts w:hint="eastAsia"/>
        </w:rPr>
        <w:t>1.1.1.8</w:t>
      </w:r>
      <w:r>
        <w:rPr>
          <w:rFonts w:hint="eastAsia" w:ascii="宋体" w:hAnsi="宋体"/>
          <w:szCs w:val="21"/>
        </w:rPr>
        <w:t>承包人建议书：指构成合同文件组成部分的名为承包人建议书的文件。承包人建议书由承包人随投标函一起提交。承包人建议书应包括承包人的设计图纸及相应说明等设计文件。</w:t>
      </w:r>
    </w:p>
    <w:p>
      <w:pPr>
        <w:spacing w:line="360" w:lineRule="auto"/>
        <w:ind w:firstLine="630" w:firstLineChars="300"/>
        <w:rPr>
          <w:rFonts w:ascii="宋体" w:hAnsi="宋体"/>
          <w:szCs w:val="21"/>
        </w:rPr>
      </w:pPr>
      <w:r>
        <w:rPr>
          <w:rFonts w:hint="eastAsia"/>
        </w:rPr>
        <w:t>1.1.1.9</w:t>
      </w:r>
      <w:r>
        <w:rPr>
          <w:rFonts w:hint="eastAsia" w:ascii="宋体" w:hAnsi="宋体"/>
          <w:szCs w:val="21"/>
        </w:rPr>
        <w:t xml:space="preserve"> 其他合同文件：指经合同双方当事人确认构成合同文件的其他文件。</w:t>
      </w:r>
    </w:p>
    <w:p>
      <w:pPr>
        <w:ind w:firstLine="411" w:firstLineChars="196"/>
      </w:pPr>
      <w:r>
        <w:rPr>
          <w:rFonts w:hint="eastAsia"/>
        </w:rPr>
        <w:t>1.1.2 合同当事人和人员</w:t>
      </w:r>
    </w:p>
    <w:p>
      <w:pPr>
        <w:spacing w:line="360" w:lineRule="auto"/>
        <w:ind w:firstLine="630" w:firstLineChars="300"/>
        <w:rPr>
          <w:rFonts w:ascii="宋体" w:hAnsi="宋体"/>
          <w:szCs w:val="21"/>
        </w:rPr>
      </w:pPr>
      <w:r>
        <w:rPr>
          <w:rFonts w:hint="eastAsia"/>
        </w:rPr>
        <w:t>1.1.2.1</w:t>
      </w:r>
      <w:r>
        <w:rPr>
          <w:rFonts w:hint="eastAsia" w:ascii="宋体" w:hAnsi="宋体"/>
          <w:szCs w:val="21"/>
        </w:rPr>
        <w:t xml:space="preserve"> 合同当事人：指发包人和（或）承包人。</w:t>
      </w:r>
    </w:p>
    <w:p>
      <w:pPr>
        <w:spacing w:line="360" w:lineRule="auto"/>
        <w:ind w:firstLine="630" w:firstLineChars="300"/>
        <w:rPr>
          <w:rFonts w:ascii="宋体" w:hAnsi="宋体"/>
          <w:szCs w:val="21"/>
        </w:rPr>
      </w:pPr>
      <w:r>
        <w:rPr>
          <w:rFonts w:hint="eastAsia"/>
        </w:rPr>
        <w:t>1.1.2.2</w:t>
      </w:r>
      <w:r>
        <w:rPr>
          <w:rFonts w:hint="eastAsia" w:ascii="宋体" w:hAnsi="宋体"/>
          <w:szCs w:val="21"/>
        </w:rPr>
        <w:t xml:space="preserve"> 发包人：指专用合同条款中指明并与承包人在合同协议书中签字的当事人。</w:t>
      </w:r>
    </w:p>
    <w:p>
      <w:pPr>
        <w:spacing w:line="360" w:lineRule="auto"/>
        <w:ind w:firstLine="630" w:firstLineChars="300"/>
        <w:rPr>
          <w:rFonts w:ascii="宋体" w:hAnsi="宋体"/>
          <w:szCs w:val="21"/>
        </w:rPr>
      </w:pPr>
      <w:r>
        <w:rPr>
          <w:rFonts w:hint="eastAsia"/>
        </w:rPr>
        <w:t>1.1.2.3</w:t>
      </w:r>
      <w:r>
        <w:rPr>
          <w:rFonts w:hint="eastAsia" w:ascii="宋体" w:hAnsi="宋体"/>
          <w:szCs w:val="21"/>
        </w:rPr>
        <w:t xml:space="preserve"> 承包人：指与发包人签订合同协议书的当事人。</w:t>
      </w:r>
    </w:p>
    <w:p>
      <w:pPr>
        <w:spacing w:line="360" w:lineRule="auto"/>
        <w:ind w:firstLine="630" w:firstLineChars="300"/>
        <w:rPr>
          <w:rFonts w:ascii="宋体" w:hAnsi="宋体"/>
          <w:szCs w:val="21"/>
        </w:rPr>
      </w:pPr>
      <w:r>
        <w:rPr>
          <w:rFonts w:hint="eastAsia"/>
        </w:rPr>
        <w:t>1.1.2.4</w:t>
      </w:r>
      <w:r>
        <w:rPr>
          <w:rFonts w:hint="eastAsia" w:ascii="宋体" w:hAnsi="宋体"/>
          <w:szCs w:val="21"/>
        </w:rPr>
        <w:t xml:space="preserve"> 承包人项目经理：指承包人指定代表承包人履行义务的负责人。</w:t>
      </w:r>
    </w:p>
    <w:p>
      <w:pPr>
        <w:spacing w:line="360" w:lineRule="auto"/>
        <w:ind w:firstLine="630" w:firstLineChars="300"/>
        <w:rPr>
          <w:rFonts w:ascii="宋体" w:hAnsi="宋体"/>
          <w:szCs w:val="21"/>
        </w:rPr>
      </w:pPr>
      <w:r>
        <w:rPr>
          <w:rFonts w:hint="eastAsia"/>
        </w:rPr>
        <w:t>1.1.2.5</w:t>
      </w:r>
      <w:r>
        <w:rPr>
          <w:rFonts w:hint="eastAsia" w:ascii="宋体" w:hAnsi="宋体"/>
          <w:szCs w:val="21"/>
        </w:rPr>
        <w:t xml:space="preserve"> 设计负责人：指承包人指定负责组织指导协调设计工作并具有相应资格的人员。</w:t>
      </w:r>
    </w:p>
    <w:p>
      <w:pPr>
        <w:spacing w:line="360" w:lineRule="auto"/>
        <w:ind w:firstLine="630" w:firstLineChars="300"/>
        <w:rPr>
          <w:rFonts w:ascii="宋体" w:hAnsi="宋体"/>
          <w:szCs w:val="21"/>
        </w:rPr>
      </w:pPr>
      <w:r>
        <w:rPr>
          <w:rFonts w:hint="eastAsia"/>
        </w:rPr>
        <w:t>1.1.2.6</w:t>
      </w:r>
      <w:r>
        <w:rPr>
          <w:rFonts w:hint="eastAsia" w:ascii="宋体" w:hAnsi="宋体"/>
          <w:szCs w:val="21"/>
        </w:rPr>
        <w:t xml:space="preserve"> 施工负责人：指承包人指定负责组织指导协调施工工作并具有相应资格的人员。</w:t>
      </w:r>
    </w:p>
    <w:p>
      <w:pPr>
        <w:spacing w:line="360" w:lineRule="auto"/>
        <w:ind w:firstLine="630" w:firstLineChars="300"/>
        <w:rPr>
          <w:rFonts w:ascii="宋体" w:hAnsi="宋体"/>
          <w:szCs w:val="21"/>
        </w:rPr>
      </w:pPr>
      <w:r>
        <w:rPr>
          <w:rFonts w:hint="eastAsia"/>
        </w:rPr>
        <w:t>1.1.2.7</w:t>
      </w:r>
      <w:r>
        <w:rPr>
          <w:rFonts w:hint="eastAsia" w:ascii="宋体" w:hAnsi="宋体"/>
          <w:szCs w:val="21"/>
        </w:rPr>
        <w:t xml:space="preserve"> 采购负责人：指承包人指定负责组织指导协调采购工作的人员。</w:t>
      </w:r>
    </w:p>
    <w:p>
      <w:pPr>
        <w:spacing w:line="360" w:lineRule="auto"/>
        <w:ind w:firstLine="630" w:firstLineChars="300"/>
        <w:rPr>
          <w:rFonts w:ascii="宋体" w:hAnsi="宋体"/>
          <w:szCs w:val="21"/>
        </w:rPr>
      </w:pPr>
      <w:r>
        <w:rPr>
          <w:rFonts w:hint="eastAsia"/>
        </w:rPr>
        <w:t>1.1.2.8</w:t>
      </w:r>
      <w:r>
        <w:rPr>
          <w:rFonts w:hint="eastAsia" w:ascii="宋体" w:hAnsi="宋体"/>
          <w:szCs w:val="21"/>
        </w:rPr>
        <w:t xml:space="preserve"> 分包人：指从承包人处分包合同中某一部分工作，并与其签订分包合同的分包人。</w:t>
      </w:r>
    </w:p>
    <w:p>
      <w:pPr>
        <w:spacing w:line="360" w:lineRule="auto"/>
        <w:ind w:firstLine="630" w:firstLineChars="300"/>
        <w:rPr>
          <w:rFonts w:ascii="宋体" w:hAnsi="宋体"/>
          <w:szCs w:val="21"/>
        </w:rPr>
      </w:pPr>
      <w:r>
        <w:rPr>
          <w:rFonts w:hint="eastAsia"/>
        </w:rPr>
        <w:t>1.1.2.9</w:t>
      </w:r>
      <w:r>
        <w:rPr>
          <w:rFonts w:hint="eastAsia" w:ascii="宋体" w:hAnsi="宋体"/>
          <w:szCs w:val="21"/>
        </w:rPr>
        <w:t xml:space="preserve"> 监理人：指在专用合同条款中指明的，受发包人委托对合同履行实施管理的法人或其他组织。属于国家强制监理的，监理人应当具有相应的监理资质。</w:t>
      </w:r>
    </w:p>
    <w:p>
      <w:pPr>
        <w:spacing w:line="360" w:lineRule="auto"/>
        <w:ind w:firstLine="630" w:firstLineChars="300"/>
        <w:rPr>
          <w:rFonts w:ascii="宋体" w:hAnsi="宋体"/>
          <w:szCs w:val="21"/>
        </w:rPr>
      </w:pPr>
      <w:r>
        <w:rPr>
          <w:rFonts w:hint="eastAsia"/>
        </w:rPr>
        <w:t xml:space="preserve">1.1.2.7 </w:t>
      </w:r>
      <w:r>
        <w:rPr>
          <w:rFonts w:hint="eastAsia" w:ascii="宋体" w:hAnsi="宋体"/>
          <w:szCs w:val="21"/>
        </w:rPr>
        <w:t>总监理工程师：指由监理人委派对合同履行实施管理的全权负责人。</w:t>
      </w:r>
    </w:p>
    <w:p>
      <w:pPr>
        <w:ind w:firstLine="411" w:firstLineChars="196"/>
      </w:pPr>
      <w:r>
        <w:rPr>
          <w:rFonts w:hint="eastAsia"/>
        </w:rPr>
        <w:t>1.1.3 工程和设备</w:t>
      </w:r>
    </w:p>
    <w:p>
      <w:pPr>
        <w:spacing w:line="360" w:lineRule="auto"/>
        <w:ind w:firstLine="630" w:firstLineChars="300"/>
        <w:rPr>
          <w:rFonts w:ascii="宋体" w:hAnsi="宋体"/>
          <w:szCs w:val="21"/>
        </w:rPr>
      </w:pPr>
      <w:r>
        <w:rPr>
          <w:rFonts w:hint="eastAsia"/>
        </w:rPr>
        <w:t>1.1.3.1</w:t>
      </w:r>
      <w:r>
        <w:rPr>
          <w:rFonts w:hint="eastAsia" w:ascii="宋体" w:hAnsi="宋体"/>
          <w:szCs w:val="21"/>
        </w:rPr>
        <w:t xml:space="preserve"> 工程：指永久工程和（或）临时工程。</w:t>
      </w:r>
    </w:p>
    <w:p>
      <w:pPr>
        <w:spacing w:line="360" w:lineRule="auto"/>
        <w:ind w:firstLine="630" w:firstLineChars="300"/>
        <w:rPr>
          <w:rFonts w:ascii="宋体" w:hAnsi="宋体"/>
          <w:szCs w:val="21"/>
        </w:rPr>
      </w:pPr>
      <w:r>
        <w:rPr>
          <w:rFonts w:hint="eastAsia"/>
        </w:rPr>
        <w:t>1.1.3.2</w:t>
      </w:r>
      <w:r>
        <w:rPr>
          <w:rFonts w:hint="eastAsia" w:ascii="宋体" w:hAnsi="宋体"/>
          <w:szCs w:val="21"/>
        </w:rPr>
        <w:t xml:space="preserve"> 永久工程：指按合同约定建造并移交给发包人的工程，包括工程设备。</w:t>
      </w:r>
    </w:p>
    <w:p>
      <w:pPr>
        <w:spacing w:line="360" w:lineRule="auto"/>
        <w:ind w:firstLine="630" w:firstLineChars="300"/>
        <w:rPr>
          <w:rFonts w:ascii="宋体" w:hAnsi="宋体"/>
          <w:szCs w:val="21"/>
        </w:rPr>
      </w:pPr>
      <w:r>
        <w:rPr>
          <w:rFonts w:hint="eastAsia"/>
        </w:rPr>
        <w:t>1.1.3.3</w:t>
      </w:r>
      <w:r>
        <w:rPr>
          <w:rFonts w:hint="eastAsia" w:ascii="宋体" w:hAnsi="宋体"/>
          <w:szCs w:val="21"/>
        </w:rPr>
        <w:t xml:space="preserve"> 临时工程：指为完成合同约定的永久工程所修建的各类临时性工程，不包括施工设备。</w:t>
      </w:r>
    </w:p>
    <w:p>
      <w:pPr>
        <w:spacing w:line="360" w:lineRule="auto"/>
        <w:ind w:firstLine="630" w:firstLineChars="300"/>
        <w:rPr>
          <w:rFonts w:ascii="宋体" w:hAnsi="宋体"/>
          <w:szCs w:val="21"/>
        </w:rPr>
      </w:pPr>
      <w:r>
        <w:rPr>
          <w:rFonts w:hint="eastAsia"/>
        </w:rPr>
        <w:t xml:space="preserve">1.1.3.4 </w:t>
      </w:r>
      <w:r>
        <w:rPr>
          <w:rFonts w:hint="eastAsia" w:ascii="宋体" w:hAnsi="宋体"/>
          <w:szCs w:val="21"/>
        </w:rPr>
        <w:t>区段工程：指专用合同条款中指明特定范围的能单独接收并使用的永久工程。</w:t>
      </w:r>
    </w:p>
    <w:p>
      <w:pPr>
        <w:spacing w:line="360" w:lineRule="auto"/>
        <w:ind w:firstLine="630" w:firstLineChars="300"/>
        <w:rPr>
          <w:rFonts w:ascii="宋体" w:hAnsi="宋体"/>
          <w:szCs w:val="21"/>
        </w:rPr>
      </w:pPr>
      <w:r>
        <w:rPr>
          <w:rFonts w:hint="eastAsia"/>
        </w:rPr>
        <w:t>1.1.3.5</w:t>
      </w:r>
      <w:r>
        <w:rPr>
          <w:rFonts w:hint="eastAsia" w:ascii="宋体" w:hAnsi="宋体"/>
          <w:szCs w:val="21"/>
        </w:rPr>
        <w:t xml:space="preserve"> 工程设备：指构成或计划构成永久工程的机电设备、仪器装置、运载工具及其他类似的设备和装置。</w:t>
      </w:r>
    </w:p>
    <w:p>
      <w:pPr>
        <w:spacing w:line="360" w:lineRule="auto"/>
        <w:ind w:firstLine="630" w:firstLineChars="300"/>
        <w:rPr>
          <w:rFonts w:ascii="宋体" w:hAnsi="宋体"/>
          <w:szCs w:val="21"/>
        </w:rPr>
      </w:pPr>
      <w:r>
        <w:rPr>
          <w:rFonts w:hint="eastAsia"/>
        </w:rPr>
        <w:t>1.1.3.6</w:t>
      </w:r>
      <w:r>
        <w:rPr>
          <w:rFonts w:hint="eastAsia" w:ascii="宋体" w:hAnsi="宋体"/>
          <w:szCs w:val="21"/>
        </w:rPr>
        <w:t xml:space="preserve"> 施工设备：指为完成合同约定的各项工作所需的设备、器具和其他物品，不包括临时工程和材料。</w:t>
      </w:r>
    </w:p>
    <w:p>
      <w:pPr>
        <w:spacing w:line="360" w:lineRule="auto"/>
        <w:ind w:firstLine="630" w:firstLineChars="300"/>
        <w:rPr>
          <w:rFonts w:ascii="宋体" w:hAnsi="宋体"/>
          <w:szCs w:val="21"/>
        </w:rPr>
      </w:pPr>
      <w:r>
        <w:rPr>
          <w:rFonts w:hint="eastAsia"/>
        </w:rPr>
        <w:t xml:space="preserve">1.1.3.7 </w:t>
      </w:r>
      <w:r>
        <w:rPr>
          <w:rFonts w:hint="eastAsia" w:ascii="宋体" w:hAnsi="宋体"/>
          <w:szCs w:val="21"/>
        </w:rPr>
        <w:t>临时设施：指为完成合同约定的各项工作所服务的临时性生产和生活设施。</w:t>
      </w:r>
    </w:p>
    <w:p>
      <w:pPr>
        <w:spacing w:line="360" w:lineRule="auto"/>
        <w:ind w:firstLine="630" w:firstLineChars="300"/>
        <w:rPr>
          <w:rFonts w:ascii="宋体" w:hAnsi="宋体"/>
          <w:szCs w:val="21"/>
        </w:rPr>
      </w:pPr>
      <w:r>
        <w:rPr>
          <w:rFonts w:hint="eastAsia"/>
        </w:rPr>
        <w:t>1.1.3.8</w:t>
      </w:r>
      <w:r>
        <w:rPr>
          <w:rFonts w:hint="eastAsia" w:ascii="宋体" w:hAnsi="宋体"/>
          <w:szCs w:val="21"/>
        </w:rPr>
        <w:t xml:space="preserve"> 承包人设备：指承包人为工程实施提供的施工设备。</w:t>
      </w:r>
    </w:p>
    <w:p>
      <w:pPr>
        <w:spacing w:line="360" w:lineRule="auto"/>
        <w:ind w:firstLine="630" w:firstLineChars="300"/>
        <w:rPr>
          <w:rFonts w:ascii="宋体" w:hAnsi="宋体"/>
          <w:szCs w:val="21"/>
        </w:rPr>
      </w:pPr>
      <w:r>
        <w:rPr>
          <w:rFonts w:hint="eastAsia"/>
        </w:rPr>
        <w:t>1.1.3.9</w:t>
      </w:r>
      <w:r>
        <w:rPr>
          <w:rFonts w:hint="eastAsia" w:ascii="宋体" w:hAnsi="宋体"/>
          <w:szCs w:val="21"/>
        </w:rPr>
        <w:t xml:space="preserve"> 施工场地（或称工地、现场）：指用于合同工程施工的场所，以及在合同中指定作为施工场地组成部分的其他场所，包括永久占地和临时占地。</w:t>
      </w:r>
    </w:p>
    <w:p>
      <w:pPr>
        <w:spacing w:line="360" w:lineRule="auto"/>
        <w:ind w:firstLine="630" w:firstLineChars="300"/>
        <w:rPr>
          <w:rFonts w:ascii="宋体" w:hAnsi="宋体"/>
          <w:szCs w:val="21"/>
        </w:rPr>
      </w:pPr>
      <w:r>
        <w:rPr>
          <w:rFonts w:hint="eastAsia"/>
        </w:rPr>
        <w:t>1.1.3.10</w:t>
      </w:r>
      <w:r>
        <w:rPr>
          <w:rFonts w:hint="eastAsia" w:ascii="宋体" w:hAnsi="宋体"/>
          <w:szCs w:val="21"/>
        </w:rPr>
        <w:t xml:space="preserve"> 永久占地：指专用合同条款中指明为实施合同工程需永久占用的土地。</w:t>
      </w:r>
    </w:p>
    <w:p>
      <w:pPr>
        <w:spacing w:line="360" w:lineRule="auto"/>
        <w:ind w:firstLine="630" w:firstLineChars="300"/>
        <w:rPr>
          <w:rFonts w:ascii="宋体" w:hAnsi="宋体"/>
          <w:szCs w:val="21"/>
        </w:rPr>
      </w:pPr>
      <w:r>
        <w:rPr>
          <w:rFonts w:hint="eastAsia"/>
        </w:rPr>
        <w:t>1.1.3.11</w:t>
      </w:r>
      <w:r>
        <w:rPr>
          <w:rFonts w:hint="eastAsia" w:ascii="宋体" w:hAnsi="宋体"/>
          <w:szCs w:val="21"/>
        </w:rPr>
        <w:t xml:space="preserve"> 临时占地：指专用合同条款中指明为实施合同工程需临时占用的土地。</w:t>
      </w:r>
    </w:p>
    <w:p>
      <w:pPr>
        <w:ind w:firstLine="411" w:firstLineChars="196"/>
        <w:rPr>
          <w:b/>
        </w:rPr>
      </w:pPr>
      <w:r>
        <w:rPr>
          <w:rFonts w:hint="eastAsia"/>
        </w:rPr>
        <w:t>1.1.4 日期、检验和竣工</w:t>
      </w:r>
    </w:p>
    <w:p>
      <w:pPr>
        <w:spacing w:line="360" w:lineRule="auto"/>
        <w:ind w:firstLine="630" w:firstLineChars="300"/>
        <w:rPr>
          <w:rFonts w:ascii="宋体" w:hAnsi="宋体"/>
          <w:szCs w:val="21"/>
        </w:rPr>
      </w:pPr>
      <w:r>
        <w:rPr>
          <w:rFonts w:hint="eastAsia"/>
        </w:rPr>
        <w:t>1.1.4.1</w:t>
      </w:r>
      <w:r>
        <w:rPr>
          <w:rFonts w:hint="eastAsia" w:ascii="宋体" w:hAnsi="宋体"/>
          <w:szCs w:val="21"/>
        </w:rPr>
        <w:t xml:space="preserve"> 开始工作通知：指监理人按第11.1 款通知承包人开始工作的函件。</w:t>
      </w:r>
    </w:p>
    <w:p>
      <w:pPr>
        <w:spacing w:line="360" w:lineRule="auto"/>
        <w:ind w:firstLine="630" w:firstLineChars="300"/>
        <w:rPr>
          <w:rFonts w:ascii="宋体" w:hAnsi="宋体"/>
          <w:szCs w:val="21"/>
        </w:rPr>
      </w:pPr>
      <w:r>
        <w:rPr>
          <w:rFonts w:hint="eastAsia"/>
        </w:rPr>
        <w:t xml:space="preserve">1.1.4.2 </w:t>
      </w:r>
      <w:r>
        <w:rPr>
          <w:rFonts w:hint="eastAsia" w:ascii="宋体" w:hAnsi="宋体"/>
          <w:szCs w:val="21"/>
        </w:rPr>
        <w:t>开始工作日期：指监理人按第11.1款发出的开始工作通知中写明的开始工作日期。</w:t>
      </w:r>
    </w:p>
    <w:p>
      <w:pPr>
        <w:spacing w:line="360" w:lineRule="auto"/>
        <w:ind w:firstLine="630" w:firstLineChars="300"/>
        <w:rPr>
          <w:rFonts w:ascii="宋体" w:hAnsi="宋体"/>
          <w:szCs w:val="21"/>
        </w:rPr>
      </w:pPr>
      <w:r>
        <w:rPr>
          <w:rFonts w:hint="eastAsia"/>
        </w:rPr>
        <w:t>1.1.4.3</w:t>
      </w:r>
      <w:r>
        <w:rPr>
          <w:rFonts w:hint="eastAsia" w:ascii="宋体" w:hAnsi="宋体"/>
          <w:szCs w:val="21"/>
        </w:rPr>
        <w:t xml:space="preserve"> 工期：指承包人在投标函中承诺的完成合同工作所需的期限，包括按第11.3款、第11.4款和第11.6款约定所作的变更。</w:t>
      </w:r>
    </w:p>
    <w:p>
      <w:pPr>
        <w:spacing w:line="360" w:lineRule="auto"/>
        <w:ind w:firstLine="630" w:firstLineChars="300"/>
        <w:rPr>
          <w:rFonts w:ascii="宋体" w:hAnsi="宋体"/>
          <w:szCs w:val="21"/>
        </w:rPr>
      </w:pPr>
      <w:r>
        <w:rPr>
          <w:rFonts w:hint="eastAsia"/>
        </w:rPr>
        <w:t>1.1.4.4</w:t>
      </w:r>
      <w:r>
        <w:rPr>
          <w:rFonts w:hint="eastAsia" w:ascii="宋体" w:hAnsi="宋体"/>
          <w:szCs w:val="21"/>
        </w:rPr>
        <w:t xml:space="preserve"> 竣工日期：指第1.1.4.3目约定工期届满时的日期。实际竣工日期以工程接收证书中写明的日期为准。</w:t>
      </w:r>
    </w:p>
    <w:p>
      <w:pPr>
        <w:spacing w:line="360" w:lineRule="auto"/>
        <w:ind w:firstLine="630" w:firstLineChars="300"/>
        <w:rPr>
          <w:rFonts w:ascii="宋体" w:hAnsi="宋体"/>
          <w:szCs w:val="21"/>
        </w:rPr>
      </w:pPr>
      <w:r>
        <w:rPr>
          <w:rFonts w:hint="eastAsia"/>
        </w:rPr>
        <w:t>1.1.4.5</w:t>
      </w:r>
      <w:r>
        <w:rPr>
          <w:rFonts w:hint="eastAsia" w:ascii="宋体" w:hAnsi="宋体"/>
          <w:szCs w:val="21"/>
        </w:rPr>
        <w:t xml:space="preserve"> 缺陷责任期：指履行第19.2款约定的缺陷责任的期限，具体期限在发包人要求中明确的包括根据第19.3 款约定所作的延长。</w:t>
      </w:r>
    </w:p>
    <w:p>
      <w:pPr>
        <w:spacing w:line="360" w:lineRule="auto"/>
        <w:ind w:firstLine="630" w:firstLineChars="300"/>
        <w:rPr>
          <w:rFonts w:ascii="宋体" w:hAnsi="宋体"/>
          <w:szCs w:val="21"/>
        </w:rPr>
      </w:pPr>
      <w:r>
        <w:rPr>
          <w:rFonts w:hint="eastAsia"/>
        </w:rPr>
        <w:t>1.1.4.6</w:t>
      </w:r>
      <w:r>
        <w:rPr>
          <w:rFonts w:hint="eastAsia" w:ascii="宋体" w:hAnsi="宋体"/>
          <w:szCs w:val="21"/>
        </w:rPr>
        <w:t xml:space="preserve"> 基准日期：指投标截止之日前28天的日期。</w:t>
      </w:r>
    </w:p>
    <w:p>
      <w:pPr>
        <w:spacing w:line="360" w:lineRule="auto"/>
        <w:ind w:firstLine="630" w:firstLineChars="300"/>
        <w:rPr>
          <w:rFonts w:ascii="宋体" w:hAnsi="宋体"/>
          <w:szCs w:val="21"/>
        </w:rPr>
      </w:pPr>
      <w:r>
        <w:rPr>
          <w:rFonts w:hint="eastAsia"/>
        </w:rPr>
        <w:t>1.1.4.7</w:t>
      </w:r>
      <w:r>
        <w:rPr>
          <w:rFonts w:hint="eastAsia" w:ascii="宋体" w:hAnsi="宋体"/>
          <w:szCs w:val="21"/>
        </w:rPr>
        <w:t xml:space="preserve"> 天：除特别指明外，指日历天。合同中按天计算时间的，开始当天不计入，从次日开始计算。期限最后一天的截止时间为当天24:00。</w:t>
      </w:r>
    </w:p>
    <w:p>
      <w:pPr>
        <w:spacing w:line="360" w:lineRule="auto"/>
        <w:ind w:firstLine="630" w:firstLineChars="300"/>
        <w:rPr>
          <w:rFonts w:ascii="宋体" w:hAnsi="宋体"/>
          <w:szCs w:val="21"/>
        </w:rPr>
      </w:pPr>
      <w:r>
        <w:rPr>
          <w:rFonts w:hint="eastAsia"/>
        </w:rPr>
        <w:t>1.1.4.8</w:t>
      </w:r>
      <w:r>
        <w:rPr>
          <w:rFonts w:hint="eastAsia" w:ascii="宋体" w:hAnsi="宋体"/>
          <w:szCs w:val="21"/>
        </w:rPr>
        <w:t xml:space="preserve"> 竣工试验：是指在工程竣工验收前，根据第18.1款要求进行的试验。</w:t>
      </w:r>
    </w:p>
    <w:p>
      <w:pPr>
        <w:spacing w:line="360" w:lineRule="auto"/>
        <w:ind w:firstLine="630" w:firstLineChars="300"/>
        <w:rPr>
          <w:rFonts w:ascii="宋体" w:hAnsi="宋体"/>
          <w:szCs w:val="21"/>
        </w:rPr>
      </w:pPr>
      <w:r>
        <w:rPr>
          <w:rFonts w:hint="eastAsia"/>
        </w:rPr>
        <w:t>1.1.4.9</w:t>
      </w:r>
      <w:r>
        <w:rPr>
          <w:rFonts w:hint="eastAsia" w:ascii="宋体" w:hAnsi="宋体"/>
          <w:szCs w:val="21"/>
        </w:rPr>
        <w:t xml:space="preserve"> 竣工验收：是指承包人完成了全部合同工作后，发包人按合同要求进行的验收。</w:t>
      </w:r>
    </w:p>
    <w:p>
      <w:pPr>
        <w:spacing w:line="360" w:lineRule="auto"/>
        <w:ind w:firstLine="630" w:firstLineChars="300"/>
        <w:rPr>
          <w:rFonts w:ascii="宋体" w:hAnsi="宋体"/>
          <w:szCs w:val="21"/>
        </w:rPr>
      </w:pPr>
      <w:r>
        <w:rPr>
          <w:rFonts w:hint="eastAsia"/>
        </w:rPr>
        <w:t>1.1.4.10</w:t>
      </w:r>
      <w:r>
        <w:rPr>
          <w:rFonts w:hint="eastAsia" w:ascii="宋体" w:hAnsi="宋体"/>
          <w:szCs w:val="21"/>
        </w:rPr>
        <w:t xml:space="preserve"> 竣工后试验：是指在工程竣工验收后，根据第18.9款约定进行的试验。</w:t>
      </w:r>
    </w:p>
    <w:p>
      <w:pPr>
        <w:spacing w:line="360" w:lineRule="auto"/>
        <w:ind w:firstLine="630" w:firstLineChars="300"/>
        <w:rPr>
          <w:rFonts w:ascii="宋体" w:hAnsi="宋体"/>
          <w:szCs w:val="21"/>
        </w:rPr>
      </w:pPr>
      <w:r>
        <w:rPr>
          <w:rFonts w:hint="eastAsia"/>
        </w:rPr>
        <w:t>1.1.4.11</w:t>
      </w:r>
      <w:r>
        <w:rPr>
          <w:rFonts w:hint="eastAsia" w:ascii="宋体" w:hAnsi="宋体"/>
          <w:szCs w:val="21"/>
        </w:rPr>
        <w:t>国家验收：是指政府有关部门根据法律、规范、规程和政策要求，针对发包人全面组织实施的整个工程正式交付投运前的验收。</w:t>
      </w:r>
    </w:p>
    <w:p>
      <w:pPr>
        <w:ind w:firstLine="411" w:firstLineChars="196"/>
      </w:pPr>
      <w:r>
        <w:rPr>
          <w:rFonts w:hint="eastAsia"/>
        </w:rPr>
        <w:t>1.1.5 合同价格和费用</w:t>
      </w:r>
    </w:p>
    <w:p>
      <w:pPr>
        <w:spacing w:line="360" w:lineRule="auto"/>
        <w:ind w:firstLine="630" w:firstLineChars="300"/>
        <w:rPr>
          <w:rFonts w:ascii="宋体" w:hAnsi="宋体"/>
          <w:szCs w:val="21"/>
        </w:rPr>
      </w:pPr>
      <w:r>
        <w:rPr>
          <w:rFonts w:hint="eastAsia"/>
        </w:rPr>
        <w:t>1.1.5.1</w:t>
      </w:r>
      <w:r>
        <w:rPr>
          <w:rFonts w:hint="eastAsia" w:ascii="宋体" w:hAnsi="宋体"/>
          <w:szCs w:val="21"/>
        </w:rPr>
        <w:t xml:space="preserve"> 签约合同价：指中标通知书明确的并在签定合同时于合同协议书中写明的，包括了暂列金额、暂估价的合同总金额。</w:t>
      </w:r>
    </w:p>
    <w:p>
      <w:pPr>
        <w:spacing w:line="360" w:lineRule="auto"/>
        <w:ind w:firstLine="630" w:firstLineChars="300"/>
        <w:rPr>
          <w:rFonts w:ascii="宋体" w:hAnsi="宋体"/>
          <w:szCs w:val="21"/>
        </w:rPr>
      </w:pPr>
      <w:r>
        <w:rPr>
          <w:rFonts w:hint="eastAsia"/>
        </w:rPr>
        <w:t>1.1.5.2</w:t>
      </w:r>
      <w:r>
        <w:rPr>
          <w:rFonts w:hint="eastAsia" w:ascii="宋体" w:hAnsi="宋体"/>
          <w:szCs w:val="21"/>
        </w:rPr>
        <w:t xml:space="preserve"> 合同价格：指承包人按合同约定完成了包括缺陷责任期内的全部承包工作后，发包人应付给承包人的金额，包括在履行合同过程中按合同约定进行的变更和调整。</w:t>
      </w:r>
    </w:p>
    <w:p>
      <w:pPr>
        <w:spacing w:line="360" w:lineRule="auto"/>
        <w:ind w:firstLine="630" w:firstLineChars="300"/>
        <w:rPr>
          <w:rFonts w:ascii="宋体" w:hAnsi="宋体"/>
          <w:szCs w:val="21"/>
        </w:rPr>
      </w:pPr>
      <w:r>
        <w:rPr>
          <w:rFonts w:hint="eastAsia"/>
        </w:rPr>
        <w:t>1.1.5.3</w:t>
      </w:r>
      <w:r>
        <w:rPr>
          <w:rFonts w:hint="eastAsia" w:ascii="宋体" w:hAnsi="宋体"/>
          <w:szCs w:val="21"/>
        </w:rPr>
        <w:t xml:space="preserve"> 费用：指为履行合同所发生的或将要发生的所有合理开支，包括管理费和应分摊的其他费用，但不包括利润。</w:t>
      </w:r>
    </w:p>
    <w:p>
      <w:pPr>
        <w:spacing w:line="360" w:lineRule="auto"/>
        <w:ind w:firstLine="630" w:firstLineChars="300"/>
        <w:rPr>
          <w:rFonts w:ascii="宋体" w:hAnsi="宋体"/>
          <w:szCs w:val="21"/>
        </w:rPr>
      </w:pPr>
      <w:r>
        <w:rPr>
          <w:rFonts w:hint="eastAsia"/>
        </w:rPr>
        <w:t>1.1.5.4</w:t>
      </w:r>
      <w:r>
        <w:rPr>
          <w:rFonts w:hint="eastAsia" w:ascii="宋体" w:hAnsi="宋体"/>
          <w:szCs w:val="21"/>
        </w:rPr>
        <w:t xml:space="preserve"> 暂列金额：指招标文件中给定的，用于在签订协议书时尚未确定或不可预见变更的设计、施工及其所需材料、工程设备、服务等的金额，包括以计日工方式支付的金额。</w:t>
      </w:r>
    </w:p>
    <w:p>
      <w:pPr>
        <w:spacing w:line="360" w:lineRule="auto"/>
        <w:ind w:firstLine="630" w:firstLineChars="300"/>
        <w:rPr>
          <w:rFonts w:ascii="宋体" w:hAnsi="宋体"/>
          <w:szCs w:val="21"/>
        </w:rPr>
      </w:pPr>
      <w:r>
        <w:rPr>
          <w:rFonts w:hint="eastAsia"/>
        </w:rPr>
        <w:t>1.1.5.5</w:t>
      </w:r>
      <w:r>
        <w:rPr>
          <w:rFonts w:hint="eastAsia" w:ascii="宋体" w:hAnsi="宋体"/>
          <w:szCs w:val="21"/>
        </w:rPr>
        <w:t xml:space="preserve"> 暂估价：指招标文件中给定的，用于支付必然发生但暂时不能确定价格的专业服务、材料、设备专业工程的金额。</w:t>
      </w:r>
    </w:p>
    <w:p>
      <w:pPr>
        <w:spacing w:line="360" w:lineRule="auto"/>
        <w:ind w:firstLine="630" w:firstLineChars="300"/>
        <w:rPr>
          <w:rFonts w:ascii="宋体" w:hAnsi="宋体"/>
          <w:szCs w:val="21"/>
        </w:rPr>
      </w:pPr>
      <w:r>
        <w:rPr>
          <w:rFonts w:hint="eastAsia"/>
        </w:rPr>
        <w:t xml:space="preserve">1.1.5.6 </w:t>
      </w:r>
      <w:r>
        <w:rPr>
          <w:rFonts w:hint="eastAsia" w:ascii="宋体" w:hAnsi="宋体"/>
          <w:szCs w:val="21"/>
        </w:rPr>
        <w:t>计日工：指对零星工作采取的一种计价方式，按合同中的计日工子目及其单价计价付款。</w:t>
      </w:r>
    </w:p>
    <w:p>
      <w:pPr>
        <w:spacing w:line="360" w:lineRule="auto"/>
        <w:ind w:firstLine="630" w:firstLineChars="300"/>
        <w:rPr>
          <w:rFonts w:ascii="宋体" w:hAnsi="宋体"/>
          <w:szCs w:val="21"/>
        </w:rPr>
      </w:pPr>
      <w:r>
        <w:rPr>
          <w:rFonts w:hint="eastAsia"/>
        </w:rPr>
        <w:t>1.1.5.7</w:t>
      </w:r>
      <w:r>
        <w:rPr>
          <w:rFonts w:hint="eastAsia" w:ascii="宋体" w:hAnsi="宋体"/>
          <w:szCs w:val="21"/>
        </w:rPr>
        <w:t xml:space="preserve"> 质量保证金：指按第17.4.1项约定用于保证在缺陷责任期内履行缺陷修复义务的金额。</w:t>
      </w:r>
    </w:p>
    <w:p>
      <w:pPr>
        <w:ind w:firstLine="411" w:firstLineChars="196"/>
      </w:pPr>
      <w:r>
        <w:rPr>
          <w:rFonts w:hint="eastAsia"/>
        </w:rPr>
        <w:t>1.1.6 其他</w:t>
      </w:r>
    </w:p>
    <w:p>
      <w:pPr>
        <w:spacing w:line="360" w:lineRule="auto"/>
        <w:ind w:firstLine="630" w:firstLineChars="300"/>
      </w:pPr>
      <w:r>
        <w:rPr>
          <w:rFonts w:hint="eastAsia"/>
        </w:rPr>
        <w:t>1.1.6.1 书面形式：指合同文件、信函、电报、传真、数据电文、电子邮件、会议纪要等可以有形地表现所载内容的形式。</w:t>
      </w:r>
    </w:p>
    <w:p>
      <w:pPr>
        <w:spacing w:line="360" w:lineRule="auto"/>
        <w:ind w:firstLine="630" w:firstLineChars="300"/>
      </w:pPr>
      <w:r>
        <w:rPr>
          <w:rFonts w:hint="eastAsia"/>
        </w:rPr>
        <w:t>1.1.6.2 承包人文件：指由承包人根据合同应提交的所有图纸、手册、模型、计算书、软件和其他文件。</w:t>
      </w:r>
    </w:p>
    <w:p>
      <w:pPr>
        <w:spacing w:line="360" w:lineRule="auto"/>
        <w:ind w:firstLine="630" w:firstLineChars="300"/>
        <w:rPr>
          <w:rFonts w:ascii="宋体" w:hAnsi="宋体"/>
          <w:szCs w:val="21"/>
        </w:rPr>
      </w:pPr>
      <w:r>
        <w:rPr>
          <w:rFonts w:hint="eastAsia"/>
        </w:rPr>
        <w:t>1.1.6.3 变</w:t>
      </w:r>
      <w:r>
        <w:rPr>
          <w:rFonts w:hint="eastAsia" w:ascii="宋体" w:hAnsi="宋体"/>
          <w:szCs w:val="21"/>
        </w:rPr>
        <w:t>更是指根据第</w:t>
      </w:r>
      <w:r>
        <w:rPr>
          <w:rFonts w:hint="eastAsia"/>
        </w:rPr>
        <w:t>15</w:t>
      </w:r>
      <w:r>
        <w:rPr>
          <w:rFonts w:hint="eastAsia" w:ascii="宋体" w:hAnsi="宋体"/>
          <w:szCs w:val="21"/>
        </w:rPr>
        <w:t>条的约定，经指示或批准对发包人要求或工程所做的改变。</w:t>
      </w:r>
    </w:p>
    <w:p>
      <w:pPr>
        <w:pStyle w:val="6"/>
      </w:pPr>
      <w:bookmarkStart w:id="82" w:name="_Toc247527638"/>
      <w:bookmarkStart w:id="83" w:name="_Toc300835034"/>
      <w:bookmarkStart w:id="84" w:name="_Toc247514037"/>
      <w:r>
        <w:rPr>
          <w:rFonts w:hint="eastAsia"/>
        </w:rPr>
        <w:t>1.2 语言文字</w:t>
      </w:r>
      <w:bookmarkEnd w:id="82"/>
      <w:bookmarkEnd w:id="83"/>
      <w:bookmarkEnd w:id="84"/>
    </w:p>
    <w:p>
      <w:pPr>
        <w:spacing w:line="360" w:lineRule="auto"/>
        <w:ind w:firstLine="420" w:firstLineChars="200"/>
        <w:rPr>
          <w:rFonts w:ascii="宋体" w:hAnsi="宋体"/>
          <w:szCs w:val="21"/>
        </w:rPr>
      </w:pPr>
      <w:r>
        <w:rPr>
          <w:rFonts w:hint="eastAsia" w:ascii="宋体" w:hAnsi="宋体"/>
          <w:szCs w:val="21"/>
        </w:rPr>
        <w:t>合同使用的语言文字为中文。专用术语使用外文的，应附有中文注释。</w:t>
      </w:r>
    </w:p>
    <w:p>
      <w:pPr>
        <w:pStyle w:val="6"/>
      </w:pPr>
      <w:bookmarkStart w:id="85" w:name="_Toc247514038"/>
      <w:bookmarkStart w:id="86" w:name="_Toc247527639"/>
      <w:bookmarkStart w:id="87" w:name="_Toc300835035"/>
      <w:r>
        <w:rPr>
          <w:rFonts w:hint="eastAsia"/>
        </w:rPr>
        <w:t>1.3 法律</w:t>
      </w:r>
      <w:bookmarkEnd w:id="85"/>
      <w:bookmarkEnd w:id="86"/>
      <w:bookmarkEnd w:id="87"/>
    </w:p>
    <w:p>
      <w:pPr>
        <w:spacing w:line="360" w:lineRule="auto"/>
        <w:ind w:firstLine="420" w:firstLineChars="200"/>
        <w:rPr>
          <w:rFonts w:ascii="宋体" w:hAnsi="宋体"/>
          <w:szCs w:val="21"/>
        </w:rPr>
      </w:pPr>
      <w:r>
        <w:rPr>
          <w:rFonts w:hint="eastAsia" w:ascii="宋体" w:hAnsi="宋体"/>
          <w:szCs w:val="21"/>
        </w:rPr>
        <w:t>适用于合同的法律包括中华人民共和国法律、行政法规、部门规章，以及工程所在地的地方法规、自治条例、单行条例和地方政府规章。</w:t>
      </w:r>
    </w:p>
    <w:p>
      <w:pPr>
        <w:pStyle w:val="6"/>
      </w:pPr>
      <w:bookmarkStart w:id="88" w:name="_Toc247514039"/>
      <w:bookmarkStart w:id="89" w:name="_Toc300835036"/>
      <w:bookmarkStart w:id="90" w:name="_Toc247527640"/>
      <w:r>
        <w:rPr>
          <w:rFonts w:hint="eastAsia"/>
        </w:rPr>
        <w:t>1.4 合同文件的优先顺序</w:t>
      </w:r>
      <w:bookmarkEnd w:id="88"/>
      <w:bookmarkEnd w:id="89"/>
      <w:bookmarkEnd w:id="90"/>
    </w:p>
    <w:p>
      <w:pPr>
        <w:spacing w:line="360" w:lineRule="auto"/>
        <w:ind w:firstLine="420" w:firstLineChars="200"/>
        <w:rPr>
          <w:rFonts w:ascii="宋体" w:hAnsi="宋体"/>
          <w:szCs w:val="21"/>
        </w:rPr>
      </w:pPr>
      <w:r>
        <w:rPr>
          <w:rFonts w:hint="eastAsia" w:ascii="宋体" w:hAnsi="宋体"/>
          <w:szCs w:val="21"/>
        </w:rPr>
        <w:t>组成合同的各项文件应互相解释，互为说明。除专用合同条款另有约定外，解释合同文件的优先顺序如下：</w:t>
      </w:r>
    </w:p>
    <w:p>
      <w:pPr>
        <w:spacing w:line="360" w:lineRule="auto"/>
        <w:ind w:firstLine="420"/>
      </w:pPr>
      <w:r>
        <w:rPr>
          <w:rFonts w:hint="eastAsia"/>
        </w:rPr>
        <w:t>（1）合同协议书；</w:t>
      </w:r>
    </w:p>
    <w:p>
      <w:pPr>
        <w:spacing w:line="360" w:lineRule="auto"/>
        <w:ind w:firstLine="420"/>
      </w:pPr>
      <w:r>
        <w:rPr>
          <w:rFonts w:hint="eastAsia"/>
        </w:rPr>
        <w:t>（2）中标通知书；</w:t>
      </w:r>
    </w:p>
    <w:p>
      <w:pPr>
        <w:spacing w:line="360" w:lineRule="auto"/>
        <w:ind w:firstLine="420"/>
      </w:pPr>
      <w:r>
        <w:rPr>
          <w:rFonts w:hint="eastAsia"/>
        </w:rPr>
        <w:t>（3）投标函及投标函附录；</w:t>
      </w:r>
    </w:p>
    <w:p>
      <w:pPr>
        <w:spacing w:line="360" w:lineRule="auto"/>
        <w:ind w:firstLine="420"/>
      </w:pPr>
      <w:r>
        <w:rPr>
          <w:rFonts w:hint="eastAsia"/>
        </w:rPr>
        <w:t>（4）专用合同条款；</w:t>
      </w:r>
    </w:p>
    <w:p>
      <w:pPr>
        <w:spacing w:line="360" w:lineRule="auto"/>
        <w:ind w:firstLine="420"/>
      </w:pPr>
      <w:r>
        <w:rPr>
          <w:rFonts w:hint="eastAsia"/>
        </w:rPr>
        <w:t>（5）通用合同条款；</w:t>
      </w:r>
    </w:p>
    <w:p>
      <w:pPr>
        <w:spacing w:line="360" w:lineRule="auto"/>
        <w:ind w:firstLine="420"/>
      </w:pPr>
      <w:r>
        <w:rPr>
          <w:rFonts w:hint="eastAsia"/>
        </w:rPr>
        <w:t>（6）发包人要求；</w:t>
      </w:r>
    </w:p>
    <w:p>
      <w:pPr>
        <w:spacing w:line="360" w:lineRule="auto"/>
        <w:ind w:firstLine="420"/>
      </w:pPr>
      <w:r>
        <w:rPr>
          <w:rFonts w:hint="eastAsia"/>
        </w:rPr>
        <w:t xml:space="preserve">（7）承包人建议书； </w:t>
      </w:r>
    </w:p>
    <w:p>
      <w:pPr>
        <w:spacing w:line="360" w:lineRule="auto"/>
        <w:ind w:firstLine="420"/>
      </w:pPr>
      <w:r>
        <w:rPr>
          <w:rFonts w:hint="eastAsia"/>
        </w:rPr>
        <w:t>（8）价格清单；</w:t>
      </w:r>
    </w:p>
    <w:p>
      <w:pPr>
        <w:spacing w:line="360" w:lineRule="auto"/>
        <w:ind w:firstLine="420"/>
        <w:rPr>
          <w:rFonts w:ascii="宋体" w:hAnsi="宋体"/>
          <w:szCs w:val="21"/>
        </w:rPr>
      </w:pPr>
      <w:r>
        <w:rPr>
          <w:rFonts w:hint="eastAsia"/>
        </w:rPr>
        <w:t>（9）其他合同</w:t>
      </w:r>
      <w:r>
        <w:rPr>
          <w:rFonts w:hint="eastAsia" w:ascii="宋体" w:hAnsi="宋体"/>
          <w:szCs w:val="21"/>
        </w:rPr>
        <w:t>文件。</w:t>
      </w:r>
    </w:p>
    <w:p>
      <w:pPr>
        <w:pStyle w:val="6"/>
      </w:pPr>
      <w:bookmarkStart w:id="91" w:name="_Toc300835037"/>
      <w:bookmarkStart w:id="92" w:name="_Toc247527641"/>
      <w:bookmarkStart w:id="93" w:name="_Toc247514040"/>
      <w:r>
        <w:rPr>
          <w:rFonts w:hint="eastAsia"/>
        </w:rPr>
        <w:t>1.5 合同协议书</w:t>
      </w:r>
      <w:bookmarkEnd w:id="91"/>
      <w:bookmarkEnd w:id="92"/>
      <w:bookmarkEnd w:id="93"/>
    </w:p>
    <w:p>
      <w:pPr>
        <w:spacing w:line="360" w:lineRule="auto"/>
        <w:ind w:firstLine="420" w:firstLineChars="200"/>
        <w:rPr>
          <w:rFonts w:ascii="宋体" w:hAnsi="宋体"/>
          <w:szCs w:val="21"/>
        </w:rPr>
      </w:pPr>
      <w:r>
        <w:rPr>
          <w:rFonts w:hint="eastAsia" w:ascii="宋体" w:hAnsi="宋体"/>
          <w:szCs w:val="21"/>
        </w:rPr>
        <w:t>承包人按中标通知书规定的时间与发包人签订合同协议书。除法律另有规定或合同另有约定外，发包人和承包人的法定代表人或其委托代理人在合同协议书上签字并盖单位章后，合同生效。</w:t>
      </w:r>
    </w:p>
    <w:p>
      <w:pPr>
        <w:pStyle w:val="6"/>
      </w:pPr>
      <w:bookmarkStart w:id="94" w:name="_Toc247514041"/>
      <w:bookmarkStart w:id="95" w:name="_Toc247527642"/>
      <w:bookmarkStart w:id="96" w:name="_Toc300835038"/>
      <w:r>
        <w:rPr>
          <w:rFonts w:hint="eastAsia"/>
        </w:rPr>
        <w:t>1.6 文件的提供和</w:t>
      </w:r>
      <w:bookmarkEnd w:id="94"/>
      <w:bookmarkEnd w:id="95"/>
      <w:r>
        <w:rPr>
          <w:rFonts w:hint="eastAsia"/>
        </w:rPr>
        <w:t>照管</w:t>
      </w:r>
      <w:bookmarkEnd w:id="96"/>
    </w:p>
    <w:p>
      <w:pPr>
        <w:spacing w:line="360" w:lineRule="auto"/>
        <w:rPr>
          <w:rFonts w:ascii="宋体" w:hAnsi="宋体"/>
          <w:szCs w:val="21"/>
        </w:rPr>
      </w:pPr>
      <w:r>
        <w:rPr>
          <w:rFonts w:hint="eastAsia"/>
        </w:rPr>
        <w:t xml:space="preserve">1.6.1 </w:t>
      </w:r>
      <w:r>
        <w:rPr>
          <w:rFonts w:hint="eastAsia" w:ascii="宋体" w:hAnsi="宋体"/>
          <w:szCs w:val="21"/>
        </w:rPr>
        <w:t>承包人文件的提供</w:t>
      </w:r>
    </w:p>
    <w:p>
      <w:pPr>
        <w:spacing w:line="360" w:lineRule="auto"/>
        <w:ind w:firstLine="420" w:firstLineChars="200"/>
        <w:rPr>
          <w:rFonts w:ascii="宋体" w:hAnsi="宋体"/>
          <w:szCs w:val="21"/>
        </w:rPr>
      </w:pPr>
      <w:r>
        <w:rPr>
          <w:rFonts w:hint="eastAsia" w:ascii="宋体" w:hAnsi="宋体"/>
          <w:szCs w:val="21"/>
        </w:rPr>
        <w:t>除专用合同条款另有约定外，承包人应在合理的期限内按照合同约定的数量向监理人提供承包人文件。合同约定承包人文件应批准的，监理人应当在合同约定的期限内批复。承包人的设计文件的提供和审查按第</w:t>
      </w:r>
      <w:r>
        <w:rPr>
          <w:rFonts w:hint="eastAsia"/>
        </w:rPr>
        <w:t>5.3</w:t>
      </w:r>
      <w:r>
        <w:rPr>
          <w:rFonts w:hint="eastAsia" w:ascii="宋体" w:hAnsi="宋体"/>
          <w:szCs w:val="21"/>
        </w:rPr>
        <w:t>款和第</w:t>
      </w:r>
      <w:r>
        <w:rPr>
          <w:rFonts w:hint="eastAsia"/>
        </w:rPr>
        <w:t>5.5</w:t>
      </w:r>
      <w:r>
        <w:rPr>
          <w:rFonts w:hint="eastAsia" w:ascii="宋体" w:hAnsi="宋体"/>
          <w:szCs w:val="21"/>
        </w:rPr>
        <w:t>款的约定执行。</w:t>
      </w:r>
    </w:p>
    <w:p>
      <w:pPr>
        <w:spacing w:line="360" w:lineRule="auto"/>
        <w:ind w:firstLine="420" w:firstLineChars="200"/>
        <w:rPr>
          <w:rFonts w:ascii="宋体" w:hAnsi="宋体"/>
          <w:szCs w:val="21"/>
        </w:rPr>
      </w:pPr>
      <w:r>
        <w:rPr>
          <w:rFonts w:hint="eastAsia"/>
        </w:rPr>
        <w:t xml:space="preserve">1.6.2 </w:t>
      </w:r>
      <w:r>
        <w:rPr>
          <w:rFonts w:hint="eastAsia" w:ascii="宋体" w:hAnsi="宋体"/>
          <w:szCs w:val="21"/>
        </w:rPr>
        <w:t>发包人提供的文件</w:t>
      </w:r>
    </w:p>
    <w:p>
      <w:pPr>
        <w:spacing w:line="360" w:lineRule="auto"/>
        <w:ind w:firstLine="420" w:firstLineChars="200"/>
        <w:rPr>
          <w:rFonts w:ascii="宋体" w:hAnsi="宋体"/>
          <w:szCs w:val="21"/>
        </w:rPr>
      </w:pPr>
      <w:r>
        <w:rPr>
          <w:rFonts w:hint="eastAsia" w:ascii="宋体" w:hAnsi="宋体"/>
          <w:szCs w:val="21"/>
        </w:rPr>
        <w:t>按专用合同条款约定由发包人提供的文件，包括前期工作相关文件、环境保护、气象水文、地质条件等，发包人应按约定的数量和期限交给承包人。由于发包人未按时提供文件造成工期延误的，按第</w:t>
      </w:r>
      <w:r>
        <w:rPr>
          <w:rFonts w:hint="eastAsia"/>
        </w:rPr>
        <w:t>11.3</w:t>
      </w:r>
      <w:r>
        <w:rPr>
          <w:rFonts w:hint="eastAsia" w:ascii="宋体" w:hAnsi="宋体"/>
          <w:szCs w:val="21"/>
        </w:rPr>
        <w:t>款约定执行。</w:t>
      </w:r>
    </w:p>
    <w:p>
      <w:pPr>
        <w:spacing w:line="360" w:lineRule="auto"/>
        <w:ind w:firstLine="420" w:firstLineChars="200"/>
        <w:rPr>
          <w:rFonts w:ascii="宋体" w:hAnsi="宋体"/>
          <w:szCs w:val="21"/>
        </w:rPr>
      </w:pPr>
      <w:r>
        <w:rPr>
          <w:rFonts w:hint="eastAsia"/>
        </w:rPr>
        <w:t xml:space="preserve">1.6.3 </w:t>
      </w:r>
      <w:r>
        <w:rPr>
          <w:rFonts w:hint="eastAsia" w:ascii="宋体" w:hAnsi="宋体"/>
          <w:szCs w:val="21"/>
        </w:rPr>
        <w:t>文件错误的通知</w:t>
      </w:r>
    </w:p>
    <w:p>
      <w:pPr>
        <w:spacing w:line="360" w:lineRule="auto"/>
        <w:ind w:firstLine="420" w:firstLineChars="200"/>
        <w:rPr>
          <w:rFonts w:ascii="宋体" w:hAnsi="宋体"/>
          <w:szCs w:val="21"/>
        </w:rPr>
      </w:pPr>
      <w:r>
        <w:rPr>
          <w:rFonts w:hint="eastAsia" w:ascii="宋体" w:hAnsi="宋体"/>
          <w:szCs w:val="21"/>
        </w:rPr>
        <w:t>任何一方发现了文件中存在的明显错误或疏忽，应及时通知另一方。</w:t>
      </w:r>
    </w:p>
    <w:p>
      <w:pPr>
        <w:spacing w:line="360" w:lineRule="auto"/>
        <w:ind w:firstLine="420" w:firstLineChars="200"/>
        <w:rPr>
          <w:rFonts w:ascii="宋体" w:hAnsi="宋体"/>
          <w:szCs w:val="21"/>
        </w:rPr>
      </w:pPr>
      <w:r>
        <w:rPr>
          <w:rFonts w:hint="eastAsia"/>
        </w:rPr>
        <w:t xml:space="preserve">1.6.4 </w:t>
      </w:r>
      <w:r>
        <w:rPr>
          <w:rFonts w:hint="eastAsia" w:ascii="宋体" w:hAnsi="宋体"/>
          <w:szCs w:val="21"/>
        </w:rPr>
        <w:t>文件的照管</w:t>
      </w:r>
    </w:p>
    <w:p>
      <w:pPr>
        <w:spacing w:line="360" w:lineRule="auto"/>
        <w:ind w:firstLine="420" w:firstLineChars="200"/>
      </w:pPr>
      <w:r>
        <w:rPr>
          <w:rFonts w:hint="eastAsia" w:ascii="宋体" w:hAnsi="宋体"/>
          <w:szCs w:val="21"/>
        </w:rPr>
        <w:t>承包人应在现场保留一份合同、发包人要求中列出的所有文件、承包人文件、变更以及其它根据合同收发的往来信函。发包人有权在任何合理的时间查阅和使用上述所有文件。</w:t>
      </w:r>
      <w:bookmarkStart w:id="97" w:name="_Toc247514042"/>
      <w:bookmarkStart w:id="98" w:name="_Toc247527643"/>
    </w:p>
    <w:p>
      <w:pPr>
        <w:pStyle w:val="6"/>
      </w:pPr>
      <w:bookmarkStart w:id="99" w:name="_Toc300835039"/>
      <w:r>
        <w:rPr>
          <w:rFonts w:hint="eastAsia"/>
        </w:rPr>
        <w:t>1.7 联络</w:t>
      </w:r>
      <w:bookmarkEnd w:id="97"/>
      <w:bookmarkEnd w:id="98"/>
      <w:bookmarkEnd w:id="99"/>
    </w:p>
    <w:p>
      <w:pPr>
        <w:spacing w:line="360" w:lineRule="auto"/>
        <w:ind w:firstLine="420" w:firstLineChars="200"/>
        <w:rPr>
          <w:rFonts w:ascii="宋体" w:hAnsi="宋体"/>
          <w:szCs w:val="21"/>
        </w:rPr>
      </w:pPr>
      <w:r>
        <w:rPr>
          <w:rFonts w:hint="eastAsia"/>
        </w:rPr>
        <w:t>1.7.1</w:t>
      </w:r>
      <w:r>
        <w:rPr>
          <w:rFonts w:hint="eastAsia" w:ascii="宋体" w:hAnsi="宋体"/>
          <w:szCs w:val="21"/>
        </w:rPr>
        <w:t xml:space="preserve"> 与合同有关的通知、批准、证明、证书、指示、要求、请求、同意、意见、确定和决定等，均应采用书面形式。</w:t>
      </w:r>
    </w:p>
    <w:p>
      <w:pPr>
        <w:spacing w:line="360" w:lineRule="auto"/>
        <w:ind w:firstLine="420" w:firstLineChars="200"/>
        <w:rPr>
          <w:rFonts w:ascii="宋体" w:hAnsi="宋体"/>
          <w:szCs w:val="21"/>
        </w:rPr>
      </w:pPr>
      <w:r>
        <w:rPr>
          <w:rFonts w:hint="eastAsia"/>
        </w:rPr>
        <w:t>1.7.2</w:t>
      </w:r>
      <w:r>
        <w:rPr>
          <w:rFonts w:hint="eastAsia" w:ascii="宋体" w:hAnsi="宋体"/>
          <w:szCs w:val="21"/>
        </w:rPr>
        <w:t xml:space="preserve"> 第</w:t>
      </w:r>
      <w:r>
        <w:rPr>
          <w:rFonts w:hint="eastAsia"/>
        </w:rPr>
        <w:t xml:space="preserve">1.7.1 </w:t>
      </w:r>
      <w:r>
        <w:rPr>
          <w:rFonts w:hint="eastAsia" w:ascii="宋体" w:hAnsi="宋体"/>
          <w:szCs w:val="21"/>
        </w:rPr>
        <w:t>项中的通知、批准、证明、证书、指示、要求、请求、同意、意见、确定和决定等来往函件，均应在合同约定的期限内送达指定的地点和指定的接收人，并办理签收手续。</w:t>
      </w:r>
    </w:p>
    <w:p>
      <w:pPr>
        <w:pStyle w:val="6"/>
      </w:pPr>
      <w:bookmarkStart w:id="100" w:name="_Toc247527644"/>
      <w:bookmarkStart w:id="101" w:name="_Toc300835040"/>
      <w:bookmarkStart w:id="102" w:name="_Toc247514043"/>
      <w:r>
        <w:rPr>
          <w:rFonts w:hint="eastAsia"/>
        </w:rPr>
        <w:t>1.8 转让</w:t>
      </w:r>
      <w:bookmarkEnd w:id="100"/>
      <w:bookmarkEnd w:id="101"/>
      <w:bookmarkEnd w:id="102"/>
    </w:p>
    <w:p>
      <w:pPr>
        <w:spacing w:line="360" w:lineRule="auto"/>
        <w:ind w:firstLine="420" w:firstLineChars="200"/>
        <w:rPr>
          <w:rFonts w:ascii="宋体" w:hAnsi="宋体"/>
          <w:szCs w:val="21"/>
        </w:rPr>
      </w:pPr>
      <w:r>
        <w:rPr>
          <w:rFonts w:hint="eastAsia" w:ascii="宋体" w:hAnsi="宋体"/>
          <w:szCs w:val="21"/>
        </w:rPr>
        <w:t>除合同另有约定外，未经承包人同意，发包人不得将合同权利全部或部分转让给第三人，也不得全部或部分转让合同义务。承包人不得将合同权利和义务全部转让给第三人，也不得将合同的义务全部或部分转让给第三人，法律另有规定的除外。</w:t>
      </w:r>
    </w:p>
    <w:p>
      <w:pPr>
        <w:pStyle w:val="6"/>
      </w:pPr>
      <w:bookmarkStart w:id="103" w:name="_Toc247527645"/>
      <w:bookmarkStart w:id="104" w:name="_Toc300835041"/>
      <w:bookmarkStart w:id="105" w:name="_Toc247514044"/>
      <w:r>
        <w:rPr>
          <w:rFonts w:hint="eastAsia"/>
        </w:rPr>
        <w:t>1.9 严禁贿赂</w:t>
      </w:r>
      <w:bookmarkEnd w:id="103"/>
      <w:bookmarkEnd w:id="104"/>
      <w:bookmarkEnd w:id="105"/>
    </w:p>
    <w:p>
      <w:pPr>
        <w:spacing w:line="360" w:lineRule="auto"/>
        <w:ind w:firstLine="420" w:firstLineChars="200"/>
        <w:rPr>
          <w:rFonts w:ascii="宋体" w:hAnsi="宋体"/>
          <w:szCs w:val="21"/>
        </w:rPr>
      </w:pPr>
      <w:r>
        <w:rPr>
          <w:rFonts w:hint="eastAsia" w:ascii="宋体" w:hAnsi="宋体"/>
          <w:szCs w:val="21"/>
        </w:rPr>
        <w:t>合同双方当事人不得以贿赂或变相贿赂的方式，谋取不当利益或损害对方权益。因贿赂造成对方损失的，行为人应赔偿损失，并承担相应的法律责任。</w:t>
      </w:r>
    </w:p>
    <w:p>
      <w:pPr>
        <w:pStyle w:val="6"/>
      </w:pPr>
      <w:bookmarkStart w:id="106" w:name="_Toc300835042"/>
      <w:bookmarkStart w:id="107" w:name="_Toc247527646"/>
      <w:bookmarkStart w:id="108" w:name="_Toc247514045"/>
      <w:r>
        <w:rPr>
          <w:rFonts w:hint="eastAsia"/>
        </w:rPr>
        <w:t>1.10 化石、文物</w:t>
      </w:r>
      <w:bookmarkEnd w:id="106"/>
      <w:bookmarkEnd w:id="107"/>
      <w:bookmarkEnd w:id="108"/>
    </w:p>
    <w:p>
      <w:pPr>
        <w:spacing w:line="360" w:lineRule="auto"/>
        <w:ind w:firstLine="420" w:firstLineChars="200"/>
        <w:rPr>
          <w:rFonts w:ascii="宋体" w:hAnsi="宋体"/>
          <w:szCs w:val="21"/>
        </w:rPr>
      </w:pPr>
      <w:r>
        <w:rPr>
          <w:rFonts w:hint="eastAsia"/>
        </w:rPr>
        <w:t xml:space="preserve">1.10.1 </w:t>
      </w:r>
      <w:r>
        <w:rPr>
          <w:rFonts w:hint="eastAsia" w:ascii="宋体" w:hAnsi="宋体"/>
          <w:szCs w:val="21"/>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和发包人。发包人、监理人和承包人应按文物行政部门要求采取妥善保护措施，由此导致费用增加和（或）工期延误由发包人承担。</w:t>
      </w:r>
    </w:p>
    <w:p>
      <w:pPr>
        <w:spacing w:line="360" w:lineRule="auto"/>
        <w:ind w:firstLine="420" w:firstLineChars="200"/>
        <w:rPr>
          <w:rFonts w:ascii="宋体" w:hAnsi="宋体"/>
          <w:szCs w:val="21"/>
        </w:rPr>
      </w:pPr>
      <w:r>
        <w:rPr>
          <w:rFonts w:hint="eastAsia"/>
        </w:rPr>
        <w:t xml:space="preserve">1.10.2 </w:t>
      </w:r>
      <w:r>
        <w:rPr>
          <w:rFonts w:hint="eastAsia" w:ascii="宋体" w:hAnsi="宋体"/>
          <w:szCs w:val="21"/>
        </w:rPr>
        <w:t>承包人发现文物后不及时报告或隐瞒不报，致使文物丢失或损坏的，应赔偿损失，并承担相应的法律责任。</w:t>
      </w:r>
    </w:p>
    <w:p>
      <w:pPr>
        <w:pStyle w:val="6"/>
      </w:pPr>
      <w:bookmarkStart w:id="109" w:name="_Toc247514046"/>
      <w:bookmarkStart w:id="110" w:name="_Toc247527647"/>
      <w:bookmarkStart w:id="111" w:name="_Toc300835043"/>
      <w:r>
        <w:rPr>
          <w:rFonts w:hint="eastAsia"/>
        </w:rPr>
        <w:t xml:space="preserve">1.11 </w:t>
      </w:r>
      <w:bookmarkEnd w:id="109"/>
      <w:bookmarkEnd w:id="110"/>
      <w:r>
        <w:rPr>
          <w:rFonts w:hint="eastAsia"/>
        </w:rPr>
        <w:t>知识产权</w:t>
      </w:r>
      <w:bookmarkEnd w:id="111"/>
    </w:p>
    <w:p>
      <w:pPr>
        <w:spacing w:line="360" w:lineRule="auto"/>
        <w:ind w:firstLine="420" w:firstLineChars="200"/>
        <w:rPr>
          <w:rFonts w:ascii="宋体" w:hAnsi="宋体"/>
          <w:szCs w:val="21"/>
        </w:rPr>
      </w:pPr>
      <w:r>
        <w:rPr>
          <w:rFonts w:hint="eastAsia"/>
        </w:rPr>
        <w:t>1.11.1除专用合同条款另有约定外，</w:t>
      </w:r>
      <w:r>
        <w:rPr>
          <w:rFonts w:hint="eastAsia" w:ascii="宋体" w:hAnsi="宋体"/>
          <w:szCs w:val="21"/>
        </w:rPr>
        <w:t>承包人完成的设计工作成果和建造完成的建筑物，除署名权以外的著作权以及建筑物形象使用收益等其他知识产权均归发包人享有。</w:t>
      </w:r>
    </w:p>
    <w:p>
      <w:pPr>
        <w:spacing w:line="360" w:lineRule="auto"/>
        <w:ind w:firstLine="420" w:firstLineChars="200"/>
        <w:rPr>
          <w:rFonts w:ascii="宋体" w:hAnsi="宋体"/>
          <w:szCs w:val="21"/>
        </w:rPr>
      </w:pPr>
      <w:r>
        <w:rPr>
          <w:rFonts w:hint="eastAsia"/>
        </w:rPr>
        <w:t xml:space="preserve">1.11.2 </w:t>
      </w:r>
      <w:r>
        <w:rPr>
          <w:rFonts w:hint="eastAsia" w:ascii="宋体" w:hAnsi="宋体"/>
          <w:szCs w:val="21"/>
        </w:rPr>
        <w:t>承包人在进行设计，以及使用任何材料、承包人设备、工程设备或采用施工工艺时，因侵犯专利权或其他知识产权所引起的责任，由承包人承担。</w:t>
      </w:r>
    </w:p>
    <w:p>
      <w:pPr>
        <w:spacing w:line="360" w:lineRule="auto"/>
        <w:ind w:firstLine="420" w:firstLineChars="200"/>
      </w:pPr>
      <w:r>
        <w:rPr>
          <w:rFonts w:hint="eastAsia"/>
        </w:rPr>
        <w:t xml:space="preserve">1.11.3 </w:t>
      </w:r>
      <w:r>
        <w:rPr>
          <w:rFonts w:hint="eastAsia" w:ascii="宋体" w:hAnsi="宋体"/>
          <w:szCs w:val="21"/>
        </w:rPr>
        <w:t>承包人在投标文件中采用专利技术的，专利技术的使用费包含在投标报价内。</w:t>
      </w:r>
      <w:bookmarkStart w:id="112" w:name="_Toc247527648"/>
      <w:bookmarkStart w:id="113" w:name="_Toc247514047"/>
    </w:p>
    <w:p>
      <w:pPr>
        <w:pStyle w:val="6"/>
      </w:pPr>
      <w:bookmarkStart w:id="114" w:name="_Toc300835044"/>
      <w:r>
        <w:rPr>
          <w:rFonts w:hint="eastAsia"/>
        </w:rPr>
        <w:t>1.12 文件及信息的保密</w:t>
      </w:r>
      <w:bookmarkEnd w:id="112"/>
      <w:bookmarkEnd w:id="113"/>
      <w:bookmarkEnd w:id="114"/>
    </w:p>
    <w:p>
      <w:pPr>
        <w:spacing w:line="360" w:lineRule="auto"/>
        <w:ind w:firstLine="420" w:firstLineChars="200"/>
        <w:rPr>
          <w:rFonts w:ascii="宋体" w:hAnsi="宋体"/>
          <w:szCs w:val="21"/>
        </w:rPr>
      </w:pPr>
      <w:r>
        <w:rPr>
          <w:rFonts w:hint="eastAsia" w:ascii="宋体" w:hAnsi="宋体"/>
          <w:szCs w:val="21"/>
        </w:rPr>
        <w:t>未经对方同意，任何一方当事人不得将有关文件、技术秘密、需要保密的资料和信息泄露给他人或公开发表与引用。</w:t>
      </w:r>
    </w:p>
    <w:p>
      <w:pPr>
        <w:pStyle w:val="6"/>
      </w:pPr>
      <w:bookmarkStart w:id="115" w:name="_Toc247527649"/>
      <w:bookmarkStart w:id="116" w:name="_Toc265955390"/>
      <w:bookmarkStart w:id="117" w:name="_Toc247514048"/>
      <w:bookmarkStart w:id="118" w:name="_Toc300835045"/>
      <w:r>
        <w:rPr>
          <w:rFonts w:hint="eastAsia"/>
        </w:rPr>
        <w:t>1.13 发包人要求中的错误</w:t>
      </w:r>
      <w:bookmarkEnd w:id="115"/>
      <w:bookmarkEnd w:id="116"/>
      <w:bookmarkEnd w:id="117"/>
      <w:r>
        <w:rPr>
          <w:rFonts w:hint="eastAsia"/>
        </w:rPr>
        <w:t>（A）</w:t>
      </w:r>
      <w:bookmarkEnd w:id="118"/>
    </w:p>
    <w:p>
      <w:pPr>
        <w:spacing w:line="360" w:lineRule="auto"/>
        <w:ind w:firstLine="420"/>
      </w:pPr>
      <w:r>
        <w:rPr>
          <w:rFonts w:hint="eastAsia"/>
        </w:rPr>
        <w:t>1.13.1</w:t>
      </w:r>
      <w:r>
        <w:rPr>
          <w:rFonts w:hint="eastAsia" w:ascii="宋体" w:hAnsi="宋体"/>
          <w:szCs w:val="21"/>
        </w:rPr>
        <w:t>承包人应认真阅读、复核发包人要求，</w:t>
      </w:r>
      <w:r>
        <w:rPr>
          <w:rFonts w:hint="eastAsia"/>
        </w:rPr>
        <w:t>发现错误的，应及时书面通知发包人。</w:t>
      </w:r>
    </w:p>
    <w:p>
      <w:pPr>
        <w:spacing w:line="360" w:lineRule="auto"/>
        <w:ind w:firstLine="420"/>
        <w:rPr>
          <w:rFonts w:ascii="宋体" w:hAnsi="宋体"/>
          <w:szCs w:val="21"/>
        </w:rPr>
      </w:pPr>
      <w:r>
        <w:rPr>
          <w:rFonts w:hint="eastAsia"/>
        </w:rPr>
        <w:t>1.13.2</w:t>
      </w:r>
      <w:r>
        <w:rPr>
          <w:rFonts w:hint="eastAsia" w:ascii="宋体" w:hAnsi="宋体"/>
          <w:szCs w:val="21"/>
        </w:rPr>
        <w:t>发包人要求中的错误导致承包人增加费用和(或)工期延误的，发包人应承担由此增加的费用和（或）工期延误，并向承包人支付合理利润。</w:t>
      </w:r>
    </w:p>
    <w:p>
      <w:pPr>
        <w:pStyle w:val="6"/>
      </w:pPr>
      <w:bookmarkStart w:id="119" w:name="_Toc300835046"/>
      <w:r>
        <w:rPr>
          <w:rFonts w:hint="eastAsia"/>
        </w:rPr>
        <w:t>1.13 发包人要求中的错误（B）</w:t>
      </w:r>
      <w:bookmarkEnd w:id="119"/>
    </w:p>
    <w:p>
      <w:pPr>
        <w:spacing w:line="360" w:lineRule="auto"/>
        <w:ind w:firstLine="420"/>
        <w:rPr>
          <w:rFonts w:ascii="宋体" w:hAnsi="宋体"/>
          <w:szCs w:val="21"/>
        </w:rPr>
      </w:pPr>
      <w:r>
        <w:rPr>
          <w:rFonts w:hint="eastAsia"/>
        </w:rPr>
        <w:t xml:space="preserve">1.13.1 </w:t>
      </w:r>
      <w:r>
        <w:rPr>
          <w:rFonts w:hint="eastAsia" w:ascii="宋体" w:hAnsi="宋体"/>
          <w:szCs w:val="21"/>
        </w:rPr>
        <w:t>承包人应认真阅读、复核发包人要求，</w:t>
      </w:r>
      <w:r>
        <w:rPr>
          <w:rFonts w:hint="eastAsia"/>
        </w:rPr>
        <w:t>发现</w:t>
      </w:r>
      <w:r>
        <w:rPr>
          <w:rFonts w:hint="eastAsia" w:ascii="宋体" w:hAnsi="宋体"/>
          <w:szCs w:val="21"/>
        </w:rPr>
        <w:t>错误的，应及时书面通知发包人。发包人作相应修改的，按照第15条约定处理。对确实存在的错误，发包人坚持不作修改的，应承担由此导致承包人增加的费用和(或)延误的工期。</w:t>
      </w:r>
    </w:p>
    <w:p>
      <w:pPr>
        <w:spacing w:line="360" w:lineRule="auto"/>
        <w:ind w:firstLine="420"/>
        <w:rPr>
          <w:rFonts w:ascii="宋体" w:hAnsi="宋体"/>
          <w:szCs w:val="21"/>
        </w:rPr>
      </w:pPr>
      <w:r>
        <w:rPr>
          <w:rFonts w:hint="eastAsia"/>
        </w:rPr>
        <w:t>1.13.2 承包人未发现发包人要求中存在错误的，</w:t>
      </w:r>
      <w:r>
        <w:rPr>
          <w:rFonts w:hint="eastAsia" w:ascii="宋体" w:hAnsi="宋体"/>
          <w:szCs w:val="21"/>
        </w:rPr>
        <w:t>承包人自行承担由此导致的费用增加和(或) 工期延误，</w:t>
      </w:r>
      <w:r>
        <w:rPr>
          <w:rFonts w:hint="eastAsia"/>
        </w:rPr>
        <w:t>但专用合同条款另有约定的除外。</w:t>
      </w:r>
    </w:p>
    <w:p>
      <w:pPr>
        <w:spacing w:line="360" w:lineRule="auto"/>
        <w:ind w:firstLine="420"/>
        <w:rPr>
          <w:rFonts w:ascii="宋体" w:hAnsi="宋体"/>
          <w:szCs w:val="21"/>
        </w:rPr>
      </w:pPr>
      <w:r>
        <w:rPr>
          <w:rFonts w:hint="eastAsia"/>
        </w:rPr>
        <w:t xml:space="preserve">1.13.3 </w:t>
      </w:r>
      <w:r>
        <w:rPr>
          <w:rFonts w:hint="eastAsia" w:ascii="宋体" w:hAnsi="宋体"/>
          <w:szCs w:val="21"/>
        </w:rPr>
        <w:t>无论承包人发现与否，在任何情况下，发包人要求中的下列错误导致承包人增加的费用和(或)延误的工期，由发包人承担，并向承包人支付合理利润。</w:t>
      </w:r>
    </w:p>
    <w:p>
      <w:pPr>
        <w:spacing w:line="360" w:lineRule="auto"/>
        <w:ind w:firstLine="420"/>
      </w:pPr>
      <w:r>
        <w:rPr>
          <w:rFonts w:hint="eastAsia"/>
        </w:rPr>
        <w:t>（1）发包人要求中引用的原始数据和资料；</w:t>
      </w:r>
    </w:p>
    <w:p>
      <w:pPr>
        <w:spacing w:line="360" w:lineRule="auto"/>
        <w:ind w:firstLine="420"/>
      </w:pPr>
      <w:r>
        <w:rPr>
          <w:rFonts w:hint="eastAsia"/>
        </w:rPr>
        <w:t>（2）对工程或其任何部分的功能要求；</w:t>
      </w:r>
    </w:p>
    <w:p>
      <w:pPr>
        <w:spacing w:line="360" w:lineRule="auto"/>
        <w:ind w:firstLine="420"/>
      </w:pPr>
      <w:r>
        <w:rPr>
          <w:rFonts w:hint="eastAsia"/>
        </w:rPr>
        <w:t>（3）对工程的工艺安排或要求；</w:t>
      </w:r>
    </w:p>
    <w:p>
      <w:pPr>
        <w:spacing w:line="360" w:lineRule="auto"/>
        <w:ind w:firstLine="420"/>
      </w:pPr>
      <w:r>
        <w:rPr>
          <w:rFonts w:hint="eastAsia"/>
        </w:rPr>
        <w:t>（4）试验和检验标准；</w:t>
      </w:r>
    </w:p>
    <w:p>
      <w:pPr>
        <w:spacing w:line="360" w:lineRule="auto"/>
        <w:ind w:firstLine="420"/>
      </w:pPr>
      <w:r>
        <w:rPr>
          <w:rFonts w:hint="eastAsia"/>
        </w:rPr>
        <w:t>（5）除合同另有约定外，承包人无法核实的数据和资料。</w:t>
      </w:r>
    </w:p>
    <w:p>
      <w:pPr>
        <w:pStyle w:val="6"/>
      </w:pPr>
      <w:bookmarkStart w:id="120" w:name="_Toc300835047"/>
      <w:r>
        <w:rPr>
          <w:rFonts w:hint="eastAsia"/>
        </w:rPr>
        <w:t>1.14 发包人要求违法</w:t>
      </w:r>
      <w:bookmarkEnd w:id="120"/>
    </w:p>
    <w:p>
      <w:pPr>
        <w:spacing w:line="360" w:lineRule="auto"/>
        <w:ind w:firstLine="420"/>
        <w:rPr>
          <w:rFonts w:ascii="宋体" w:hAnsi="宋体"/>
          <w:szCs w:val="21"/>
        </w:rPr>
      </w:pPr>
      <w:r>
        <w:rPr>
          <w:rFonts w:hint="eastAsia" w:ascii="宋体" w:hAnsi="宋体"/>
          <w:szCs w:val="21"/>
        </w:rPr>
        <w:t>发包人要求违反法律规定的，</w:t>
      </w:r>
      <w:r>
        <w:rPr>
          <w:rFonts w:hint="eastAsia"/>
        </w:rPr>
        <w:t>承包人发现后应书面通知发包人，并要求其改正。发包人收到通知书后不予改正或不予答复的，承包人有权拒绝履行合同义务，直至解除合同。发包人应</w:t>
      </w:r>
      <w:r>
        <w:rPr>
          <w:rFonts w:hint="eastAsia" w:ascii="宋体" w:hAnsi="宋体"/>
          <w:szCs w:val="21"/>
        </w:rPr>
        <w:t>承担由此引起的承包人全部损失。</w:t>
      </w:r>
    </w:p>
    <w:p>
      <w:pPr>
        <w:pStyle w:val="5"/>
      </w:pPr>
      <w:bookmarkStart w:id="121" w:name="_Toc247514049"/>
      <w:bookmarkStart w:id="122" w:name="_Toc300835048"/>
      <w:bookmarkStart w:id="123" w:name="_Toc247527650"/>
      <w:bookmarkStart w:id="124" w:name="_Toc184635099"/>
      <w:r>
        <w:rPr>
          <w:rFonts w:hint="eastAsia"/>
        </w:rPr>
        <w:t>2．发包人义务</w:t>
      </w:r>
      <w:bookmarkEnd w:id="121"/>
      <w:bookmarkEnd w:id="122"/>
      <w:bookmarkEnd w:id="123"/>
      <w:bookmarkEnd w:id="124"/>
    </w:p>
    <w:p>
      <w:pPr>
        <w:pStyle w:val="6"/>
      </w:pPr>
      <w:bookmarkStart w:id="125" w:name="_Toc247527651"/>
      <w:bookmarkStart w:id="126" w:name="_Toc247514050"/>
      <w:bookmarkStart w:id="127" w:name="_Toc300835049"/>
      <w:r>
        <w:rPr>
          <w:rFonts w:hint="eastAsia"/>
        </w:rPr>
        <w:t>2.1 遵守法律</w:t>
      </w:r>
      <w:bookmarkEnd w:id="125"/>
      <w:bookmarkEnd w:id="126"/>
      <w:bookmarkEnd w:id="127"/>
    </w:p>
    <w:p>
      <w:pPr>
        <w:spacing w:line="360" w:lineRule="auto"/>
        <w:ind w:firstLine="420" w:firstLineChars="200"/>
      </w:pPr>
      <w:r>
        <w:rPr>
          <w:rFonts w:hint="eastAsia" w:ascii="宋体" w:hAnsi="宋体"/>
          <w:szCs w:val="21"/>
        </w:rPr>
        <w:t>发包人在履行合同过程中应遵守法律，并保证承包人免于承担因发包人违反法律而引起的任何责任。</w:t>
      </w:r>
    </w:p>
    <w:p>
      <w:pPr>
        <w:pStyle w:val="6"/>
      </w:pPr>
      <w:bookmarkStart w:id="128" w:name="_Toc300835050"/>
      <w:bookmarkStart w:id="129" w:name="_Toc247514051"/>
      <w:bookmarkStart w:id="130" w:name="_Toc247527652"/>
      <w:r>
        <w:rPr>
          <w:rFonts w:hint="eastAsia"/>
        </w:rPr>
        <w:t>2.2 发出承包人开始工作通知</w:t>
      </w:r>
      <w:bookmarkEnd w:id="128"/>
      <w:bookmarkEnd w:id="129"/>
      <w:bookmarkEnd w:id="130"/>
    </w:p>
    <w:p>
      <w:pPr>
        <w:spacing w:line="360" w:lineRule="auto"/>
        <w:ind w:firstLine="420" w:firstLineChars="200"/>
        <w:rPr>
          <w:rFonts w:ascii="宋体" w:hAnsi="宋体"/>
          <w:szCs w:val="21"/>
        </w:rPr>
      </w:pPr>
      <w:r>
        <w:rPr>
          <w:rFonts w:hint="eastAsia" w:ascii="宋体" w:hAnsi="宋体"/>
          <w:szCs w:val="21"/>
        </w:rPr>
        <w:t>发包人应委托监理人按第11.1 款的约定向承包人发出开始工作通知。</w:t>
      </w:r>
    </w:p>
    <w:p>
      <w:pPr>
        <w:pStyle w:val="6"/>
      </w:pPr>
      <w:bookmarkStart w:id="131" w:name="_Toc247514052"/>
      <w:bookmarkStart w:id="132" w:name="_Toc300835051"/>
      <w:bookmarkStart w:id="133" w:name="_Toc247527653"/>
      <w:r>
        <w:rPr>
          <w:rFonts w:hint="eastAsia"/>
        </w:rPr>
        <w:t>2.3 提供施工场地</w:t>
      </w:r>
      <w:bookmarkEnd w:id="131"/>
      <w:bookmarkEnd w:id="132"/>
      <w:bookmarkEnd w:id="133"/>
    </w:p>
    <w:p>
      <w:pPr>
        <w:spacing w:line="360" w:lineRule="auto"/>
        <w:ind w:firstLine="420" w:firstLineChars="200"/>
        <w:rPr>
          <w:rFonts w:ascii="宋体" w:hAnsi="宋体"/>
          <w:szCs w:val="21"/>
        </w:rPr>
      </w:pPr>
      <w:r>
        <w:rPr>
          <w:rFonts w:hint="eastAsia" w:ascii="宋体" w:hAnsi="宋体"/>
          <w:szCs w:val="21"/>
        </w:rPr>
        <w:t>发包人应按专用合同条款约定向承包人提供施工场地及进场施工条件，并明确与承包人的交接界面。</w:t>
      </w:r>
    </w:p>
    <w:p>
      <w:pPr>
        <w:pStyle w:val="6"/>
      </w:pPr>
      <w:bookmarkStart w:id="134" w:name="_Toc247514053"/>
      <w:bookmarkStart w:id="135" w:name="_Toc247527654"/>
      <w:bookmarkStart w:id="136" w:name="_Toc300835052"/>
      <w:r>
        <w:rPr>
          <w:rFonts w:hint="eastAsia"/>
        </w:rPr>
        <w:t>2.4 办理证件和批件</w:t>
      </w:r>
      <w:bookmarkEnd w:id="134"/>
      <w:bookmarkEnd w:id="135"/>
      <w:bookmarkEnd w:id="136"/>
    </w:p>
    <w:p>
      <w:pPr>
        <w:spacing w:line="360" w:lineRule="auto"/>
        <w:ind w:firstLine="420" w:firstLineChars="200"/>
        <w:rPr>
          <w:rFonts w:ascii="宋体" w:hAnsi="宋体"/>
          <w:szCs w:val="21"/>
        </w:rPr>
      </w:pPr>
      <w:r>
        <w:rPr>
          <w:rFonts w:hint="eastAsia" w:ascii="宋体" w:hAnsi="宋体"/>
          <w:szCs w:val="21"/>
        </w:rPr>
        <w:t>法律规定和（或）合同约定由发包人负责办理的工程建设项目必须履行的各类审批、核准或备案手续，发包人应按时办理。</w:t>
      </w:r>
    </w:p>
    <w:p>
      <w:pPr>
        <w:spacing w:line="360" w:lineRule="auto"/>
        <w:ind w:firstLine="420" w:firstLineChars="200"/>
        <w:rPr>
          <w:rFonts w:ascii="宋体" w:hAnsi="宋体"/>
          <w:szCs w:val="21"/>
        </w:rPr>
      </w:pPr>
      <w:r>
        <w:rPr>
          <w:rFonts w:hint="eastAsia" w:ascii="宋体" w:hAnsi="宋体"/>
          <w:szCs w:val="21"/>
        </w:rPr>
        <w:t>法律规定和（或）合同约定由承包人负责的有关设计、施工证件和批件，发包人应给予必要的协助。</w:t>
      </w:r>
    </w:p>
    <w:p>
      <w:pPr>
        <w:pStyle w:val="6"/>
      </w:pPr>
      <w:bookmarkStart w:id="137" w:name="_Toc247514054"/>
      <w:bookmarkStart w:id="138" w:name="_Toc247527655"/>
      <w:bookmarkStart w:id="139" w:name="_Toc300835053"/>
      <w:r>
        <w:rPr>
          <w:rFonts w:hint="eastAsia"/>
        </w:rPr>
        <w:t>2.5</w:t>
      </w:r>
      <w:bookmarkEnd w:id="137"/>
      <w:bookmarkEnd w:id="138"/>
      <w:bookmarkStart w:id="140" w:name="_Toc247514055"/>
      <w:bookmarkStart w:id="141" w:name="_Toc247527656"/>
      <w:r>
        <w:rPr>
          <w:rFonts w:hint="eastAsia"/>
        </w:rPr>
        <w:t xml:space="preserve"> 支付合同价款</w:t>
      </w:r>
      <w:bookmarkEnd w:id="139"/>
      <w:bookmarkEnd w:id="140"/>
      <w:bookmarkEnd w:id="141"/>
    </w:p>
    <w:p>
      <w:pPr>
        <w:spacing w:line="360" w:lineRule="auto"/>
        <w:ind w:firstLine="420" w:firstLineChars="200"/>
        <w:rPr>
          <w:rFonts w:ascii="宋体" w:hAnsi="宋体"/>
          <w:szCs w:val="21"/>
        </w:rPr>
      </w:pPr>
      <w:r>
        <w:rPr>
          <w:rFonts w:hint="eastAsia" w:ascii="宋体" w:hAnsi="宋体"/>
          <w:szCs w:val="21"/>
        </w:rPr>
        <w:t>发包人应按合同约定向承包人及时支付合同价款。专用合同条款对发包人工程款支付担保有约定的，从其约定。</w:t>
      </w:r>
    </w:p>
    <w:p>
      <w:pPr>
        <w:pStyle w:val="6"/>
      </w:pPr>
      <w:bookmarkStart w:id="142" w:name="_Toc247514056"/>
      <w:bookmarkStart w:id="143" w:name="_Toc247527657"/>
      <w:bookmarkStart w:id="144" w:name="_Toc300835054"/>
      <w:r>
        <w:rPr>
          <w:rFonts w:hint="eastAsia"/>
        </w:rPr>
        <w:t>2.6 组织竣工验收</w:t>
      </w:r>
      <w:bookmarkEnd w:id="142"/>
      <w:bookmarkEnd w:id="143"/>
      <w:bookmarkEnd w:id="144"/>
    </w:p>
    <w:p>
      <w:pPr>
        <w:spacing w:line="360" w:lineRule="auto"/>
        <w:ind w:firstLine="420" w:firstLineChars="200"/>
        <w:rPr>
          <w:rFonts w:ascii="宋体" w:hAnsi="宋体"/>
          <w:szCs w:val="21"/>
        </w:rPr>
      </w:pPr>
      <w:r>
        <w:rPr>
          <w:rFonts w:hint="eastAsia" w:ascii="宋体" w:hAnsi="宋体"/>
          <w:szCs w:val="21"/>
        </w:rPr>
        <w:t>发包人应按合同约定及时组织竣工验收。</w:t>
      </w:r>
    </w:p>
    <w:p>
      <w:pPr>
        <w:pStyle w:val="6"/>
      </w:pPr>
      <w:bookmarkStart w:id="145" w:name="_Toc300835055"/>
      <w:bookmarkStart w:id="146" w:name="_Toc247514057"/>
      <w:bookmarkStart w:id="147" w:name="_Toc247527658"/>
      <w:r>
        <w:rPr>
          <w:rFonts w:hint="eastAsia"/>
        </w:rPr>
        <w:t>2.7 其他义务</w:t>
      </w:r>
      <w:bookmarkEnd w:id="145"/>
      <w:bookmarkEnd w:id="146"/>
      <w:bookmarkEnd w:id="147"/>
    </w:p>
    <w:p>
      <w:pPr>
        <w:spacing w:line="360" w:lineRule="auto"/>
        <w:ind w:firstLine="420" w:firstLineChars="200"/>
        <w:rPr>
          <w:rFonts w:ascii="宋体" w:hAnsi="宋体"/>
          <w:szCs w:val="21"/>
        </w:rPr>
      </w:pPr>
      <w:r>
        <w:rPr>
          <w:rFonts w:hint="eastAsia" w:ascii="宋体" w:hAnsi="宋体"/>
          <w:szCs w:val="21"/>
        </w:rPr>
        <w:t>发包人应履行合同约定的其他义务。</w:t>
      </w:r>
    </w:p>
    <w:p>
      <w:pPr>
        <w:pStyle w:val="5"/>
      </w:pPr>
      <w:bookmarkStart w:id="148" w:name="_Toc184635100"/>
      <w:bookmarkStart w:id="149" w:name="_Toc247527659"/>
      <w:bookmarkStart w:id="150" w:name="_Toc247514058"/>
      <w:bookmarkStart w:id="151" w:name="_Toc300835056"/>
      <w:r>
        <w:rPr>
          <w:rFonts w:hint="eastAsia"/>
        </w:rPr>
        <w:t>3. 监理人</w:t>
      </w:r>
      <w:bookmarkEnd w:id="148"/>
      <w:bookmarkEnd w:id="149"/>
      <w:bookmarkEnd w:id="150"/>
      <w:bookmarkEnd w:id="151"/>
    </w:p>
    <w:p>
      <w:pPr>
        <w:pStyle w:val="6"/>
      </w:pPr>
      <w:bookmarkStart w:id="152" w:name="_Toc247527660"/>
      <w:bookmarkStart w:id="153" w:name="_Toc247514059"/>
      <w:bookmarkStart w:id="154" w:name="_Toc300835057"/>
      <w:r>
        <w:rPr>
          <w:rFonts w:hint="eastAsia"/>
        </w:rPr>
        <w:t>3.1 监理人的职责和权力</w:t>
      </w:r>
      <w:bookmarkEnd w:id="152"/>
      <w:bookmarkEnd w:id="153"/>
      <w:bookmarkEnd w:id="154"/>
    </w:p>
    <w:p>
      <w:pPr>
        <w:spacing w:line="360" w:lineRule="auto"/>
        <w:ind w:firstLine="420" w:firstLineChars="200"/>
        <w:rPr>
          <w:rFonts w:ascii="宋体" w:hAnsi="宋体"/>
          <w:szCs w:val="21"/>
        </w:rPr>
      </w:pPr>
      <w:r>
        <w:rPr>
          <w:rFonts w:hint="eastAsia"/>
        </w:rPr>
        <w:t xml:space="preserve">3.1.1 </w:t>
      </w:r>
      <w:r>
        <w:rPr>
          <w:rFonts w:hint="eastAsia" w:ascii="宋体" w:hAnsi="宋体"/>
          <w:szCs w:val="21"/>
        </w:rPr>
        <w:t>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pPr>
        <w:spacing w:line="360" w:lineRule="auto"/>
        <w:ind w:firstLine="420" w:firstLineChars="200"/>
        <w:rPr>
          <w:rFonts w:ascii="宋体" w:hAnsi="宋体"/>
          <w:szCs w:val="21"/>
        </w:rPr>
      </w:pPr>
      <w:r>
        <w:rPr>
          <w:rFonts w:hint="eastAsia"/>
        </w:rPr>
        <w:t xml:space="preserve">3.1.2 </w:t>
      </w:r>
      <w:r>
        <w:rPr>
          <w:rFonts w:hint="eastAsia" w:ascii="宋体" w:hAnsi="宋体"/>
          <w:szCs w:val="21"/>
        </w:rPr>
        <w:t>合同约定应由承包人承担的义务和责任，不因监理人对承包人文件的审查或批准，对工程、材料和工程设备的检查和检验，以及为实施监理作出的指示等职务行为而减轻或解除。</w:t>
      </w:r>
    </w:p>
    <w:p>
      <w:pPr>
        <w:pStyle w:val="6"/>
      </w:pPr>
      <w:bookmarkStart w:id="155" w:name="_Toc247527661"/>
      <w:bookmarkStart w:id="156" w:name="_Toc247514060"/>
      <w:bookmarkStart w:id="157" w:name="_Toc300835058"/>
      <w:r>
        <w:rPr>
          <w:rFonts w:hint="eastAsia"/>
        </w:rPr>
        <w:t>3.2 总监理工程师</w:t>
      </w:r>
      <w:bookmarkEnd w:id="155"/>
      <w:bookmarkEnd w:id="156"/>
      <w:bookmarkEnd w:id="157"/>
    </w:p>
    <w:p>
      <w:pPr>
        <w:spacing w:line="360" w:lineRule="auto"/>
        <w:ind w:firstLine="420" w:firstLineChars="200"/>
        <w:rPr>
          <w:rFonts w:ascii="宋体" w:hAnsi="宋体"/>
          <w:szCs w:val="21"/>
        </w:rPr>
      </w:pPr>
      <w:r>
        <w:rPr>
          <w:rFonts w:hint="eastAsia" w:ascii="宋体" w:hAnsi="宋体"/>
          <w:szCs w:val="21"/>
        </w:rPr>
        <w:t>发包人应在发出开始工作通知前将总监理工程师的任命通知承包人。总监理工程师更换时，应提前14 天通知承包人。总监理工程师超过</w:t>
      </w:r>
      <w:r>
        <w:rPr>
          <w:rFonts w:hint="eastAsia"/>
        </w:rPr>
        <w:t>２</w:t>
      </w:r>
      <w:r>
        <w:rPr>
          <w:rFonts w:hint="eastAsia" w:ascii="宋体" w:hAnsi="宋体"/>
          <w:szCs w:val="21"/>
        </w:rPr>
        <w:t>天不能履行职责的，应委派代表代行其职责，并通知承包人。</w:t>
      </w:r>
    </w:p>
    <w:p>
      <w:pPr>
        <w:pStyle w:val="6"/>
      </w:pPr>
      <w:bookmarkStart w:id="158" w:name="_Toc247527662"/>
      <w:bookmarkStart w:id="159" w:name="_Toc247514061"/>
      <w:bookmarkStart w:id="160" w:name="_Toc300835059"/>
      <w:r>
        <w:rPr>
          <w:rFonts w:hint="eastAsia"/>
        </w:rPr>
        <w:t>3.3 监理人员</w:t>
      </w:r>
      <w:bookmarkEnd w:id="158"/>
      <w:bookmarkEnd w:id="159"/>
      <w:bookmarkEnd w:id="160"/>
    </w:p>
    <w:p>
      <w:pPr>
        <w:spacing w:line="360" w:lineRule="auto"/>
        <w:ind w:firstLine="420" w:firstLineChars="200"/>
        <w:rPr>
          <w:rFonts w:ascii="宋体" w:hAnsi="宋体"/>
          <w:szCs w:val="21"/>
        </w:rPr>
      </w:pPr>
      <w:r>
        <w:rPr>
          <w:rFonts w:hint="eastAsia"/>
        </w:rPr>
        <w:t>3.3.1</w:t>
      </w:r>
      <w:r>
        <w:rPr>
          <w:rFonts w:hint="eastAsia" w:ascii="宋体" w:hAnsi="宋体"/>
          <w:szCs w:val="21"/>
        </w:rPr>
        <w:t xml:space="preserve">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pPr>
        <w:spacing w:line="360" w:lineRule="auto"/>
        <w:ind w:firstLine="420" w:firstLineChars="200"/>
        <w:rPr>
          <w:rFonts w:ascii="宋体" w:hAnsi="宋体"/>
          <w:szCs w:val="21"/>
        </w:rPr>
      </w:pPr>
      <w:r>
        <w:rPr>
          <w:rFonts w:hint="eastAsia"/>
        </w:rPr>
        <w:t xml:space="preserve">3.3.2 </w:t>
      </w:r>
      <w:r>
        <w:rPr>
          <w:rFonts w:hint="eastAsia" w:ascii="宋体" w:hAnsi="宋体"/>
          <w:szCs w:val="21"/>
        </w:rPr>
        <w:t>总监理工程师授权的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pPr>
        <w:spacing w:line="360" w:lineRule="auto"/>
        <w:ind w:firstLine="420" w:firstLineChars="200"/>
        <w:rPr>
          <w:rFonts w:ascii="宋体" w:hAnsi="宋体"/>
          <w:szCs w:val="21"/>
        </w:rPr>
      </w:pPr>
      <w:r>
        <w:rPr>
          <w:rFonts w:hint="eastAsia"/>
        </w:rPr>
        <w:t>3.3.3</w:t>
      </w:r>
      <w:r>
        <w:rPr>
          <w:rFonts w:hint="eastAsia" w:ascii="宋体" w:hAnsi="宋体"/>
          <w:szCs w:val="21"/>
        </w:rPr>
        <w:t xml:space="preserve"> 承包人对总监理工程师授权的监理人员发出的指示有疑问的，可在该指示发出的48小时内向总监理工程师提出书面异议，总监理工程师应在</w:t>
      </w:r>
      <w:r>
        <w:rPr>
          <w:rFonts w:hint="eastAsia"/>
        </w:rPr>
        <w:t>48</w:t>
      </w:r>
      <w:r>
        <w:rPr>
          <w:rFonts w:hint="eastAsia" w:ascii="宋体" w:hAnsi="宋体"/>
          <w:szCs w:val="21"/>
        </w:rPr>
        <w:t>小时内对该指示予以确认、更改或撤销。</w:t>
      </w:r>
    </w:p>
    <w:p>
      <w:pPr>
        <w:spacing w:line="360" w:lineRule="auto"/>
        <w:ind w:firstLine="420" w:firstLineChars="200"/>
        <w:rPr>
          <w:rFonts w:ascii="宋体" w:hAnsi="宋体"/>
          <w:szCs w:val="21"/>
        </w:rPr>
      </w:pPr>
      <w:r>
        <w:rPr>
          <w:rFonts w:hint="eastAsia"/>
        </w:rPr>
        <w:t>3.3.4</w:t>
      </w:r>
      <w:r>
        <w:rPr>
          <w:rFonts w:hint="eastAsia" w:ascii="宋体" w:hAnsi="宋体"/>
          <w:szCs w:val="21"/>
        </w:rPr>
        <w:t xml:space="preserve"> 除专用合同条款另有约定外，总监理工程师不应将第</w:t>
      </w:r>
      <w:r>
        <w:rPr>
          <w:rFonts w:hint="eastAsia"/>
        </w:rPr>
        <w:t xml:space="preserve">3.5 </w:t>
      </w:r>
      <w:r>
        <w:rPr>
          <w:rFonts w:hint="eastAsia" w:ascii="宋体" w:hAnsi="宋体"/>
          <w:szCs w:val="21"/>
        </w:rPr>
        <w:t>款约定应由总监理工程师作出确定的权力授权或委托给其他监理人员。</w:t>
      </w:r>
    </w:p>
    <w:p>
      <w:pPr>
        <w:pStyle w:val="6"/>
      </w:pPr>
      <w:bookmarkStart w:id="161" w:name="_Toc247514062"/>
      <w:bookmarkStart w:id="162" w:name="_Toc247527663"/>
      <w:bookmarkStart w:id="163" w:name="_Toc300835060"/>
      <w:r>
        <w:rPr>
          <w:rFonts w:hint="eastAsia"/>
        </w:rPr>
        <w:t>3.4 监理人的指示</w:t>
      </w:r>
      <w:bookmarkEnd w:id="161"/>
      <w:bookmarkEnd w:id="162"/>
      <w:bookmarkEnd w:id="163"/>
    </w:p>
    <w:p>
      <w:pPr>
        <w:spacing w:line="360" w:lineRule="auto"/>
        <w:ind w:firstLine="420" w:firstLineChars="200"/>
        <w:rPr>
          <w:rFonts w:ascii="宋体" w:hAnsi="宋体"/>
          <w:szCs w:val="21"/>
        </w:rPr>
      </w:pPr>
      <w:r>
        <w:rPr>
          <w:rFonts w:hint="eastAsia"/>
        </w:rPr>
        <w:t xml:space="preserve">3.4.1 </w:t>
      </w:r>
      <w:r>
        <w:rPr>
          <w:rFonts w:hint="eastAsia" w:ascii="宋体" w:hAnsi="宋体"/>
          <w:szCs w:val="21"/>
        </w:rPr>
        <w:t>监理人应按第</w:t>
      </w:r>
      <w:r>
        <w:rPr>
          <w:rFonts w:hint="eastAsia"/>
        </w:rPr>
        <w:t xml:space="preserve">3.1 </w:t>
      </w:r>
      <w:r>
        <w:rPr>
          <w:rFonts w:hint="eastAsia" w:ascii="宋体" w:hAnsi="宋体"/>
          <w:szCs w:val="21"/>
        </w:rPr>
        <w:t>款的约定向承包人发出指示，监理人的指示应盖有监理人授权的项目管理机构章，并由总监理工程师或总监理工程师约定授权的监理人员签字。</w:t>
      </w:r>
    </w:p>
    <w:p>
      <w:pPr>
        <w:spacing w:line="360" w:lineRule="auto"/>
        <w:ind w:firstLine="420" w:firstLineChars="200"/>
        <w:rPr>
          <w:rFonts w:ascii="宋体" w:hAnsi="宋体"/>
          <w:szCs w:val="21"/>
        </w:rPr>
      </w:pPr>
      <w:r>
        <w:rPr>
          <w:rFonts w:hint="eastAsia"/>
        </w:rPr>
        <w:t xml:space="preserve">3.4.2 </w:t>
      </w:r>
      <w:r>
        <w:rPr>
          <w:rFonts w:hint="eastAsia" w:ascii="宋体" w:hAnsi="宋体"/>
          <w:szCs w:val="21"/>
        </w:rPr>
        <w:t>承包人收到监理人作出的指示后应遵照执行。指示构成变更的，应按第</w:t>
      </w:r>
      <w:r>
        <w:rPr>
          <w:rFonts w:hint="eastAsia"/>
        </w:rPr>
        <w:t>15</w:t>
      </w:r>
      <w:r>
        <w:rPr>
          <w:rFonts w:hint="eastAsia" w:ascii="宋体" w:hAnsi="宋体"/>
          <w:szCs w:val="21"/>
        </w:rPr>
        <w:t>条执行。</w:t>
      </w:r>
    </w:p>
    <w:p>
      <w:pPr>
        <w:spacing w:line="360" w:lineRule="auto"/>
        <w:ind w:firstLine="420" w:firstLineChars="200"/>
        <w:rPr>
          <w:rFonts w:ascii="宋体" w:hAnsi="宋体"/>
          <w:szCs w:val="21"/>
        </w:rPr>
      </w:pPr>
      <w:r>
        <w:rPr>
          <w:rFonts w:hint="eastAsia"/>
        </w:rPr>
        <w:t xml:space="preserve">3.4.3 </w:t>
      </w:r>
      <w:r>
        <w:rPr>
          <w:rFonts w:hint="eastAsia" w:ascii="宋体" w:hAnsi="宋体"/>
          <w:szCs w:val="21"/>
        </w:rPr>
        <w:t>在紧急情况下，总监理工程师或其授权的监理人员可以当场签发临时书面指示，承包人应遵照执行。监理应在临时书面指示发出后24小时内发出书面确认函，监理人在</w:t>
      </w:r>
      <w:r>
        <w:rPr>
          <w:rFonts w:hint="eastAsia"/>
        </w:rPr>
        <w:t>24</w:t>
      </w:r>
      <w:r>
        <w:rPr>
          <w:rFonts w:hint="eastAsia" w:ascii="宋体" w:hAnsi="宋体"/>
          <w:szCs w:val="21"/>
        </w:rPr>
        <w:t>小时内未发出书面确认函的，该临时书面指示应被视为监理人的正式指示。</w:t>
      </w:r>
    </w:p>
    <w:p>
      <w:pPr>
        <w:spacing w:line="360" w:lineRule="auto"/>
        <w:ind w:firstLine="420" w:firstLineChars="200"/>
        <w:rPr>
          <w:rFonts w:ascii="宋体" w:hAnsi="宋体"/>
          <w:szCs w:val="21"/>
        </w:rPr>
      </w:pPr>
      <w:r>
        <w:rPr>
          <w:rFonts w:hint="eastAsia"/>
        </w:rPr>
        <w:t xml:space="preserve">3.4.4 </w:t>
      </w:r>
      <w:r>
        <w:rPr>
          <w:rFonts w:hint="eastAsia" w:ascii="宋体" w:hAnsi="宋体"/>
          <w:szCs w:val="21"/>
        </w:rPr>
        <w:t>除合同另有约定外，承包人只从总监理工程师或</w:t>
      </w:r>
      <w:r>
        <w:rPr>
          <w:rFonts w:hint="eastAsia"/>
        </w:rPr>
        <w:t>按第3.3.1项被</w:t>
      </w:r>
      <w:r>
        <w:rPr>
          <w:rFonts w:hint="eastAsia" w:ascii="宋体" w:hAnsi="宋体"/>
          <w:szCs w:val="21"/>
        </w:rPr>
        <w:t>授权的监理人员处取得指示。</w:t>
      </w:r>
    </w:p>
    <w:p>
      <w:pPr>
        <w:spacing w:line="360" w:lineRule="auto"/>
        <w:ind w:firstLine="420"/>
        <w:rPr>
          <w:rFonts w:ascii="宋体" w:hAnsi="宋体"/>
          <w:szCs w:val="21"/>
        </w:rPr>
      </w:pPr>
      <w:r>
        <w:rPr>
          <w:rFonts w:hint="eastAsia"/>
        </w:rPr>
        <w:t xml:space="preserve">3.4.5 </w:t>
      </w:r>
      <w:r>
        <w:rPr>
          <w:rFonts w:hint="eastAsia" w:ascii="宋体" w:hAnsi="宋体"/>
          <w:szCs w:val="21"/>
        </w:rPr>
        <w:t>由于监理人未能按合同约定发出指示、指示延误或指示错误而导致承包人费用增加和（或）工期延误的，发包人应承担由此增加的费用和（或）工期延误，并向承包人支付合理利润。</w:t>
      </w:r>
    </w:p>
    <w:p>
      <w:pPr>
        <w:pStyle w:val="6"/>
      </w:pPr>
      <w:bookmarkStart w:id="164" w:name="_Toc247514063"/>
      <w:bookmarkStart w:id="165" w:name="_Toc247527664"/>
      <w:bookmarkStart w:id="166" w:name="_Toc300835061"/>
      <w:r>
        <w:rPr>
          <w:rFonts w:hint="eastAsia"/>
        </w:rPr>
        <w:t>3.5 商定或确定</w:t>
      </w:r>
      <w:bookmarkEnd w:id="164"/>
      <w:bookmarkEnd w:id="165"/>
      <w:bookmarkEnd w:id="166"/>
    </w:p>
    <w:p>
      <w:pPr>
        <w:spacing w:line="360" w:lineRule="auto"/>
        <w:ind w:firstLine="420" w:firstLineChars="200"/>
        <w:rPr>
          <w:rFonts w:ascii="宋体" w:hAnsi="宋体"/>
          <w:szCs w:val="21"/>
        </w:rPr>
      </w:pPr>
      <w:r>
        <w:rPr>
          <w:rFonts w:hint="eastAsia"/>
        </w:rPr>
        <w:t xml:space="preserve">3.5.1 </w:t>
      </w:r>
      <w:r>
        <w:rPr>
          <w:rFonts w:hint="eastAsia" w:ascii="宋体" w:hAnsi="宋体"/>
          <w:szCs w:val="21"/>
        </w:rPr>
        <w:t>合同约定总监理工程师应按照本款对任何事项进行商定或确定时，总监理工程师应与合同当事人协商，尽量达成一致。不能达成一致的，总监理工程师应认真研究后审慎确定。</w:t>
      </w:r>
    </w:p>
    <w:p>
      <w:pPr>
        <w:spacing w:line="360" w:lineRule="auto"/>
        <w:ind w:firstLine="420" w:firstLineChars="200"/>
        <w:rPr>
          <w:rFonts w:ascii="宋体" w:hAnsi="宋体"/>
          <w:szCs w:val="21"/>
        </w:rPr>
      </w:pPr>
      <w:r>
        <w:rPr>
          <w:rFonts w:hint="eastAsia"/>
        </w:rPr>
        <w:t xml:space="preserve">3.5.2 </w:t>
      </w:r>
      <w:r>
        <w:rPr>
          <w:rFonts w:hint="eastAsia" w:ascii="宋体" w:hAnsi="宋体"/>
          <w:szCs w:val="21"/>
        </w:rPr>
        <w:t>总监理工程师应将商定或确定的事项通知合同当事人，并附详细依据。对总监理工程师的确定有异议的，构成争议，按照第24 条的约定处理。在争议解决前，双方应暂按总监理工程师的确定执行，按照第24 条的约定对总监理工程师的确定作出修改的，按修改后的结果执行，由此导致承包人增加的费用和（或）延误的工期由发包人承担。</w:t>
      </w:r>
    </w:p>
    <w:p>
      <w:pPr>
        <w:pStyle w:val="5"/>
      </w:pPr>
      <w:bookmarkStart w:id="167" w:name="_Toc247514064"/>
      <w:bookmarkStart w:id="168" w:name="_Toc300835062"/>
      <w:bookmarkStart w:id="169" w:name="_Toc184635101"/>
      <w:bookmarkStart w:id="170" w:name="_Toc247527665"/>
      <w:r>
        <w:rPr>
          <w:rFonts w:hint="eastAsia"/>
        </w:rPr>
        <w:t>4. 承包人</w:t>
      </w:r>
      <w:bookmarkEnd w:id="167"/>
      <w:bookmarkEnd w:id="168"/>
      <w:bookmarkEnd w:id="169"/>
      <w:bookmarkEnd w:id="170"/>
    </w:p>
    <w:p>
      <w:pPr>
        <w:pStyle w:val="6"/>
      </w:pPr>
      <w:bookmarkStart w:id="171" w:name="_Toc247514065"/>
      <w:bookmarkStart w:id="172" w:name="_Toc300835063"/>
      <w:bookmarkStart w:id="173" w:name="_Toc247527666"/>
      <w:r>
        <w:rPr>
          <w:rFonts w:hint="eastAsia"/>
        </w:rPr>
        <w:t>4.1 承包人的一般义务</w:t>
      </w:r>
      <w:bookmarkEnd w:id="171"/>
      <w:bookmarkEnd w:id="172"/>
      <w:bookmarkEnd w:id="173"/>
    </w:p>
    <w:p>
      <w:pPr>
        <w:spacing w:line="360" w:lineRule="auto"/>
        <w:ind w:firstLine="420" w:firstLineChars="200"/>
        <w:rPr>
          <w:rFonts w:ascii="宋体" w:hAnsi="宋体"/>
          <w:szCs w:val="21"/>
        </w:rPr>
      </w:pPr>
      <w:r>
        <w:rPr>
          <w:rFonts w:hint="eastAsia"/>
        </w:rPr>
        <w:t xml:space="preserve">4.1.1 </w:t>
      </w:r>
      <w:r>
        <w:rPr>
          <w:rFonts w:hint="eastAsia" w:ascii="宋体" w:hAnsi="宋体"/>
          <w:szCs w:val="21"/>
        </w:rPr>
        <w:t>遵守法律</w:t>
      </w:r>
    </w:p>
    <w:p>
      <w:pPr>
        <w:spacing w:line="360" w:lineRule="auto"/>
        <w:ind w:firstLine="420" w:firstLineChars="200"/>
        <w:rPr>
          <w:rFonts w:ascii="宋体" w:hAnsi="宋体"/>
          <w:szCs w:val="21"/>
        </w:rPr>
      </w:pPr>
      <w:r>
        <w:rPr>
          <w:rFonts w:hint="eastAsia" w:ascii="宋体" w:hAnsi="宋体"/>
          <w:szCs w:val="21"/>
        </w:rPr>
        <w:t>承包人在履行合同过程中应遵守法律，并保证发包人免于承担因承包人违反法律而引起的任何责任。</w:t>
      </w:r>
    </w:p>
    <w:p>
      <w:pPr>
        <w:spacing w:line="360" w:lineRule="auto"/>
        <w:ind w:firstLine="420" w:firstLineChars="200"/>
        <w:rPr>
          <w:rFonts w:ascii="宋体" w:hAnsi="宋体"/>
          <w:szCs w:val="21"/>
        </w:rPr>
      </w:pPr>
      <w:r>
        <w:rPr>
          <w:rFonts w:hint="eastAsia"/>
        </w:rPr>
        <w:t xml:space="preserve">4.1.2 </w:t>
      </w:r>
      <w:r>
        <w:rPr>
          <w:rFonts w:hint="eastAsia" w:ascii="宋体" w:hAnsi="宋体"/>
          <w:szCs w:val="21"/>
        </w:rPr>
        <w:t>依法纳税</w:t>
      </w:r>
    </w:p>
    <w:p>
      <w:pPr>
        <w:spacing w:line="360" w:lineRule="auto"/>
        <w:ind w:firstLine="420" w:firstLineChars="200"/>
        <w:rPr>
          <w:rFonts w:ascii="宋体" w:hAnsi="宋体"/>
          <w:szCs w:val="21"/>
        </w:rPr>
      </w:pPr>
      <w:r>
        <w:rPr>
          <w:rFonts w:hint="eastAsia" w:ascii="宋体" w:hAnsi="宋体"/>
          <w:szCs w:val="21"/>
        </w:rPr>
        <w:t>承包人应按有关法律规定纳税，应缴纳的税金包括在合同价格内。</w:t>
      </w:r>
    </w:p>
    <w:p>
      <w:pPr>
        <w:spacing w:line="360" w:lineRule="auto"/>
        <w:ind w:firstLine="420" w:firstLineChars="200"/>
        <w:rPr>
          <w:rFonts w:ascii="宋体" w:hAnsi="宋体"/>
          <w:szCs w:val="21"/>
        </w:rPr>
      </w:pPr>
      <w:r>
        <w:rPr>
          <w:rFonts w:hint="eastAsia"/>
        </w:rPr>
        <w:t xml:space="preserve">4.1.3 </w:t>
      </w:r>
      <w:r>
        <w:rPr>
          <w:rFonts w:hint="eastAsia" w:ascii="宋体" w:hAnsi="宋体"/>
          <w:szCs w:val="21"/>
        </w:rPr>
        <w:t>完成各项承包工作</w:t>
      </w:r>
    </w:p>
    <w:p>
      <w:pPr>
        <w:spacing w:line="360" w:lineRule="auto"/>
        <w:ind w:firstLine="420" w:firstLineChars="200"/>
        <w:rPr>
          <w:rFonts w:ascii="宋体" w:hAnsi="宋体"/>
          <w:szCs w:val="21"/>
        </w:rPr>
      </w:pPr>
      <w:r>
        <w:rPr>
          <w:rFonts w:hint="eastAsia" w:ascii="宋体" w:hAnsi="宋体"/>
          <w:szCs w:val="21"/>
        </w:rPr>
        <w:t>承包人应按合同约定以及监理人根据第3.4款作出的指示，完成合同约定的全部工作，并对工作中的任何缺陷进行整改、完善和修补，使其满足合同约定的目的。除专用合同条款另有约定外，承包人应提供合同约定的工程设备和承包人文件，以及为完成合同工作所需的劳务、材料、施工设备和其他物品，并按合同约定负责临时设施的设计、施工、运行、维护、管理和拆除。</w:t>
      </w:r>
    </w:p>
    <w:p>
      <w:pPr>
        <w:spacing w:line="360" w:lineRule="auto"/>
        <w:ind w:firstLine="420" w:firstLineChars="200"/>
        <w:rPr>
          <w:rFonts w:ascii="宋体" w:hAnsi="宋体"/>
          <w:szCs w:val="21"/>
        </w:rPr>
      </w:pPr>
      <w:r>
        <w:rPr>
          <w:rFonts w:hint="eastAsia"/>
        </w:rPr>
        <w:t>4.1.4</w:t>
      </w:r>
      <w:r>
        <w:rPr>
          <w:rFonts w:hint="eastAsia" w:ascii="宋体" w:hAnsi="宋体"/>
          <w:szCs w:val="21"/>
        </w:rPr>
        <w:t xml:space="preserve"> 对设计、施工作业和施工方法，以及工程的完备性负责</w:t>
      </w:r>
    </w:p>
    <w:p>
      <w:pPr>
        <w:spacing w:line="360" w:lineRule="auto"/>
        <w:ind w:firstLine="420" w:firstLineChars="200"/>
        <w:rPr>
          <w:rFonts w:ascii="宋体" w:hAnsi="宋体"/>
          <w:szCs w:val="21"/>
        </w:rPr>
      </w:pPr>
      <w:r>
        <w:rPr>
          <w:rFonts w:hint="eastAsia" w:ascii="宋体" w:hAnsi="宋体"/>
          <w:szCs w:val="21"/>
        </w:rPr>
        <w:t>承包人应按合同约定的工作内容和进度要求，编制设计、施工的组织和实施计划，并对所有设计、施工作业和施工方法，以及全部工程的完备性和安全可靠性负责。</w:t>
      </w:r>
    </w:p>
    <w:p>
      <w:pPr>
        <w:spacing w:line="360" w:lineRule="auto"/>
        <w:ind w:firstLine="420" w:firstLineChars="200"/>
        <w:rPr>
          <w:rFonts w:ascii="宋体" w:hAnsi="宋体"/>
          <w:szCs w:val="21"/>
        </w:rPr>
      </w:pPr>
      <w:r>
        <w:rPr>
          <w:rFonts w:hint="eastAsia"/>
        </w:rPr>
        <w:t>4.1.5</w:t>
      </w:r>
      <w:r>
        <w:rPr>
          <w:rFonts w:hint="eastAsia" w:ascii="宋体" w:hAnsi="宋体"/>
          <w:szCs w:val="21"/>
        </w:rPr>
        <w:t xml:space="preserve"> 保证工程施工和人员的安全</w:t>
      </w:r>
    </w:p>
    <w:p>
      <w:pPr>
        <w:spacing w:line="360" w:lineRule="auto"/>
        <w:ind w:firstLine="420" w:firstLineChars="200"/>
        <w:rPr>
          <w:rFonts w:ascii="宋体" w:hAnsi="宋体"/>
          <w:szCs w:val="21"/>
        </w:rPr>
      </w:pPr>
      <w:r>
        <w:rPr>
          <w:rFonts w:hint="eastAsia" w:ascii="宋体" w:hAnsi="宋体"/>
          <w:szCs w:val="21"/>
        </w:rPr>
        <w:t>承包人应按第</w:t>
      </w:r>
      <w:r>
        <w:rPr>
          <w:rFonts w:hint="eastAsia"/>
        </w:rPr>
        <w:t xml:space="preserve">10.2 </w:t>
      </w:r>
      <w:r>
        <w:rPr>
          <w:rFonts w:hint="eastAsia" w:ascii="宋体" w:hAnsi="宋体"/>
          <w:szCs w:val="21"/>
        </w:rPr>
        <w:t>款约定采取施工安全措施，确保工程及其人员、材料、设备和设施的安全，防止因工程施工造成的人身伤害和财产损失。</w:t>
      </w:r>
    </w:p>
    <w:p>
      <w:pPr>
        <w:spacing w:line="360" w:lineRule="auto"/>
        <w:ind w:firstLine="420" w:firstLineChars="200"/>
        <w:rPr>
          <w:rFonts w:ascii="宋体" w:hAnsi="宋体"/>
          <w:szCs w:val="21"/>
        </w:rPr>
      </w:pPr>
      <w:r>
        <w:rPr>
          <w:rFonts w:hint="eastAsia"/>
        </w:rPr>
        <w:t xml:space="preserve">4.1.6 </w:t>
      </w:r>
      <w:r>
        <w:rPr>
          <w:rFonts w:hint="eastAsia" w:ascii="宋体" w:hAnsi="宋体"/>
          <w:szCs w:val="21"/>
        </w:rPr>
        <w:t>负责施工场地及其周边环境与生态的保护工作</w:t>
      </w:r>
    </w:p>
    <w:p>
      <w:pPr>
        <w:spacing w:line="360" w:lineRule="auto"/>
        <w:ind w:firstLine="420" w:firstLineChars="200"/>
        <w:rPr>
          <w:rFonts w:ascii="宋体" w:hAnsi="宋体"/>
          <w:szCs w:val="21"/>
        </w:rPr>
      </w:pPr>
      <w:r>
        <w:rPr>
          <w:rFonts w:hint="eastAsia" w:ascii="宋体" w:hAnsi="宋体"/>
          <w:szCs w:val="21"/>
        </w:rPr>
        <w:t>承包人应按照第</w:t>
      </w:r>
      <w:r>
        <w:rPr>
          <w:rFonts w:hint="eastAsia"/>
        </w:rPr>
        <w:t xml:space="preserve">10.4 </w:t>
      </w:r>
      <w:r>
        <w:rPr>
          <w:rFonts w:hint="eastAsia" w:ascii="宋体" w:hAnsi="宋体"/>
          <w:szCs w:val="21"/>
        </w:rPr>
        <w:t>款约定负责施工场地及其周边环境与生态的保护工作。</w:t>
      </w:r>
    </w:p>
    <w:p>
      <w:pPr>
        <w:spacing w:line="360" w:lineRule="auto"/>
        <w:ind w:firstLine="420" w:firstLineChars="200"/>
        <w:rPr>
          <w:rFonts w:ascii="宋体" w:hAnsi="宋体"/>
          <w:szCs w:val="21"/>
        </w:rPr>
      </w:pPr>
      <w:r>
        <w:rPr>
          <w:rFonts w:hint="eastAsia"/>
        </w:rPr>
        <w:t xml:space="preserve">4.1.7 </w:t>
      </w:r>
      <w:r>
        <w:rPr>
          <w:rFonts w:hint="eastAsia" w:ascii="宋体" w:hAnsi="宋体"/>
          <w:szCs w:val="21"/>
        </w:rPr>
        <w:t>避免施工对公众与他人的利益造成损害</w:t>
      </w:r>
    </w:p>
    <w:p>
      <w:pPr>
        <w:spacing w:line="360" w:lineRule="auto"/>
        <w:ind w:firstLine="420" w:firstLineChars="200"/>
        <w:rPr>
          <w:rFonts w:ascii="宋体" w:hAnsi="宋体"/>
          <w:szCs w:val="21"/>
        </w:rPr>
      </w:pPr>
      <w:r>
        <w:rPr>
          <w:rFonts w:hint="eastAsia" w:ascii="宋体" w:hAnsi="宋体"/>
          <w:szCs w:val="21"/>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60" w:lineRule="auto"/>
        <w:ind w:firstLine="420" w:firstLineChars="200"/>
        <w:rPr>
          <w:rFonts w:ascii="宋体" w:hAnsi="宋体"/>
          <w:szCs w:val="21"/>
        </w:rPr>
      </w:pPr>
      <w:r>
        <w:rPr>
          <w:rFonts w:hint="eastAsia"/>
        </w:rPr>
        <w:t xml:space="preserve">4.1.8 </w:t>
      </w:r>
      <w:r>
        <w:rPr>
          <w:rFonts w:hint="eastAsia" w:ascii="宋体" w:hAnsi="宋体"/>
          <w:szCs w:val="21"/>
        </w:rPr>
        <w:t>为他人提供方便</w:t>
      </w:r>
    </w:p>
    <w:p>
      <w:pPr>
        <w:spacing w:line="360" w:lineRule="auto"/>
        <w:ind w:firstLine="420" w:firstLineChars="200"/>
        <w:rPr>
          <w:rFonts w:ascii="宋体" w:hAnsi="宋体"/>
          <w:szCs w:val="21"/>
        </w:rPr>
      </w:pPr>
      <w:r>
        <w:rPr>
          <w:rFonts w:hint="eastAsia" w:ascii="宋体" w:hAnsi="宋体"/>
          <w:szCs w:val="21"/>
        </w:rPr>
        <w:t>承包人应按监理人的指示为他人在施工场地或附近实施与工程有关的其他各项工作提供可能的条件。除合同另有约定外，提供有关条件的内容和可能发生的费用，由监理人按第3.5 款商定或确定。</w:t>
      </w:r>
    </w:p>
    <w:p>
      <w:pPr>
        <w:spacing w:line="360" w:lineRule="auto"/>
        <w:ind w:firstLine="420" w:firstLineChars="200"/>
        <w:rPr>
          <w:rFonts w:ascii="宋体" w:hAnsi="宋体"/>
          <w:szCs w:val="21"/>
        </w:rPr>
      </w:pPr>
      <w:r>
        <w:rPr>
          <w:rFonts w:hint="eastAsia"/>
        </w:rPr>
        <w:t xml:space="preserve">4.1.9 </w:t>
      </w:r>
      <w:r>
        <w:rPr>
          <w:rFonts w:hint="eastAsia" w:ascii="宋体" w:hAnsi="宋体"/>
          <w:szCs w:val="21"/>
        </w:rPr>
        <w:t>工程的维护和照管</w:t>
      </w:r>
    </w:p>
    <w:p>
      <w:pPr>
        <w:spacing w:line="360" w:lineRule="auto"/>
        <w:ind w:firstLine="420" w:firstLineChars="200"/>
        <w:rPr>
          <w:rFonts w:ascii="宋体" w:hAnsi="宋体"/>
          <w:szCs w:val="21"/>
        </w:rPr>
      </w:pPr>
      <w:r>
        <w:rPr>
          <w:rFonts w:hint="eastAsia" w:ascii="宋体" w:hAnsi="宋体"/>
          <w:szCs w:val="21"/>
        </w:rPr>
        <w:t>工程接收证书颁发前，承包人应负责照管和维护工程。工程接收证书颁发时尚有部分未竣工工程的，承包人还应负责该未竣工工程的照管和维护工作，直至竣工后移交给发包人。</w:t>
      </w:r>
    </w:p>
    <w:p>
      <w:pPr>
        <w:spacing w:line="360" w:lineRule="auto"/>
        <w:ind w:firstLine="420" w:firstLineChars="200"/>
        <w:rPr>
          <w:rFonts w:ascii="宋体" w:hAnsi="宋体"/>
          <w:szCs w:val="21"/>
        </w:rPr>
      </w:pPr>
      <w:r>
        <w:rPr>
          <w:rFonts w:hint="eastAsia"/>
        </w:rPr>
        <w:t xml:space="preserve">4.1.10 </w:t>
      </w:r>
      <w:r>
        <w:rPr>
          <w:rFonts w:hint="eastAsia" w:ascii="宋体" w:hAnsi="宋体"/>
          <w:szCs w:val="21"/>
        </w:rPr>
        <w:t>其他义务</w:t>
      </w:r>
    </w:p>
    <w:p>
      <w:pPr>
        <w:spacing w:line="360" w:lineRule="auto"/>
        <w:ind w:firstLine="420" w:firstLineChars="200"/>
        <w:rPr>
          <w:rFonts w:ascii="宋体" w:hAnsi="宋体"/>
          <w:szCs w:val="21"/>
        </w:rPr>
      </w:pPr>
      <w:r>
        <w:rPr>
          <w:rFonts w:hint="eastAsia" w:ascii="宋体" w:hAnsi="宋体"/>
          <w:szCs w:val="21"/>
        </w:rPr>
        <w:t>承包人应履行合同约定的其他义务。</w:t>
      </w:r>
    </w:p>
    <w:p>
      <w:pPr>
        <w:pStyle w:val="6"/>
      </w:pPr>
      <w:bookmarkStart w:id="174" w:name="_Toc247514066"/>
      <w:bookmarkStart w:id="175" w:name="_Toc300835064"/>
      <w:bookmarkStart w:id="176" w:name="_Toc247527667"/>
      <w:r>
        <w:rPr>
          <w:rFonts w:hint="eastAsia"/>
        </w:rPr>
        <w:t>4.2 履约担保</w:t>
      </w:r>
      <w:bookmarkEnd w:id="174"/>
      <w:bookmarkEnd w:id="175"/>
      <w:bookmarkEnd w:id="176"/>
    </w:p>
    <w:p>
      <w:pPr>
        <w:spacing w:line="360" w:lineRule="auto"/>
        <w:ind w:firstLine="420" w:firstLineChars="200"/>
        <w:rPr>
          <w:rFonts w:ascii="宋体" w:hAnsi="宋体"/>
          <w:szCs w:val="21"/>
        </w:rPr>
      </w:pPr>
      <w:r>
        <w:rPr>
          <w:rFonts w:hint="eastAsia"/>
        </w:rPr>
        <w:t xml:space="preserve">4.2.1 </w:t>
      </w:r>
      <w:r>
        <w:rPr>
          <w:rFonts w:hint="eastAsia" w:ascii="宋体" w:hAnsi="宋体"/>
          <w:szCs w:val="21"/>
        </w:rPr>
        <w:t>承包人应保证其履约担保在发包人颁发工程接收证书前一直有效。发包人应在工程接收证书颁发后28 天内将履约担保退还给承包人。需进行竣工后试验的，承包人应保证其履约担保在竣工后试验通过前一直有效，发包人应在通过竣工验收后7天内将履约担保退还给承包人。</w:t>
      </w:r>
    </w:p>
    <w:p>
      <w:pPr>
        <w:spacing w:line="360" w:lineRule="auto"/>
        <w:ind w:firstLine="420" w:firstLineChars="200"/>
        <w:rPr>
          <w:rFonts w:ascii="宋体" w:hAnsi="宋体"/>
          <w:szCs w:val="21"/>
        </w:rPr>
      </w:pPr>
      <w:r>
        <w:rPr>
          <w:rFonts w:hint="eastAsia"/>
        </w:rPr>
        <w:t xml:space="preserve">4.2.2 </w:t>
      </w:r>
      <w:r>
        <w:rPr>
          <w:rFonts w:hint="eastAsia" w:ascii="宋体" w:hAnsi="宋体"/>
          <w:szCs w:val="21"/>
        </w:rPr>
        <w:t>如工程延期，承包人有义务继续提供履约担保。由于发包人原因导致延期的，继续提供履约担保所需的费用由发包人承担；由于承包人原因导致延期的，继续提供履约担保所需费用由承包人承担。</w:t>
      </w:r>
    </w:p>
    <w:p>
      <w:pPr>
        <w:pStyle w:val="6"/>
      </w:pPr>
      <w:bookmarkStart w:id="177" w:name="_Toc247527668"/>
      <w:bookmarkStart w:id="178" w:name="_Toc247514067"/>
      <w:bookmarkStart w:id="179" w:name="_Toc300835065"/>
      <w:r>
        <w:rPr>
          <w:rFonts w:hint="eastAsia"/>
        </w:rPr>
        <w:t>4.3 分包</w:t>
      </w:r>
      <w:bookmarkEnd w:id="177"/>
      <w:bookmarkEnd w:id="178"/>
      <w:r>
        <w:rPr>
          <w:rFonts w:hint="eastAsia"/>
        </w:rPr>
        <w:t>和不得转包</w:t>
      </w:r>
      <w:bookmarkEnd w:id="179"/>
    </w:p>
    <w:p>
      <w:pPr>
        <w:spacing w:line="360" w:lineRule="auto"/>
        <w:ind w:firstLine="420" w:firstLineChars="200"/>
        <w:rPr>
          <w:rFonts w:ascii="宋体" w:hAnsi="宋体"/>
          <w:szCs w:val="21"/>
        </w:rPr>
      </w:pPr>
      <w:r>
        <w:rPr>
          <w:rFonts w:hint="eastAsia"/>
        </w:rPr>
        <w:t>4.3.1</w:t>
      </w:r>
      <w:r>
        <w:rPr>
          <w:rFonts w:hint="eastAsia" w:ascii="宋体" w:hAnsi="宋体"/>
          <w:szCs w:val="21"/>
        </w:rPr>
        <w:t xml:space="preserve"> 承包人不得将其承包的全部工程转包给第三人，也不得将其承包的全部工程肢解后以分包的名义分别转包给第三人。</w:t>
      </w:r>
    </w:p>
    <w:p>
      <w:pPr>
        <w:spacing w:line="360" w:lineRule="auto"/>
        <w:ind w:firstLine="420" w:firstLineChars="200"/>
        <w:rPr>
          <w:rFonts w:ascii="宋体" w:hAnsi="宋体"/>
          <w:szCs w:val="21"/>
        </w:rPr>
      </w:pPr>
      <w:r>
        <w:rPr>
          <w:rFonts w:hint="eastAsia"/>
        </w:rPr>
        <w:t xml:space="preserve">4.3.2 </w:t>
      </w:r>
      <w:r>
        <w:rPr>
          <w:rFonts w:hint="eastAsia" w:ascii="宋体" w:hAnsi="宋体"/>
          <w:szCs w:val="21"/>
        </w:rPr>
        <w:t>承包人不得将设计和施工的主体、关键性工作分包给第三人。除专用合同条款另有约定外，未经发包人同意，承包人也不得将非主体、非关键性工作分包给第三人。</w:t>
      </w:r>
    </w:p>
    <w:p>
      <w:pPr>
        <w:spacing w:line="360" w:lineRule="auto"/>
        <w:ind w:firstLine="420" w:firstLineChars="200"/>
        <w:rPr>
          <w:rFonts w:ascii="宋体" w:hAnsi="宋体"/>
          <w:szCs w:val="21"/>
        </w:rPr>
      </w:pPr>
      <w:r>
        <w:rPr>
          <w:rFonts w:hint="eastAsia"/>
        </w:rPr>
        <w:t xml:space="preserve">4.3.3 </w:t>
      </w:r>
      <w:r>
        <w:rPr>
          <w:rFonts w:hint="eastAsia" w:ascii="宋体" w:hAnsi="宋体"/>
          <w:szCs w:val="21"/>
        </w:rPr>
        <w:t>分包人的资格能力应与其分包工作的标准和规模相适应。</w:t>
      </w:r>
    </w:p>
    <w:p>
      <w:pPr>
        <w:spacing w:line="360" w:lineRule="auto"/>
        <w:ind w:firstLine="420" w:firstLineChars="200"/>
        <w:rPr>
          <w:rFonts w:ascii="宋体" w:hAnsi="宋体"/>
          <w:szCs w:val="21"/>
        </w:rPr>
      </w:pPr>
      <w:r>
        <w:rPr>
          <w:rFonts w:hint="eastAsia"/>
        </w:rPr>
        <w:t>4.3.4</w:t>
      </w:r>
      <w:r>
        <w:rPr>
          <w:rFonts w:hint="eastAsia" w:ascii="宋体" w:hAnsi="宋体"/>
          <w:szCs w:val="21"/>
        </w:rPr>
        <w:t xml:space="preserve"> 发包人同意承包人分包工作的，承包人应向发包人和监理人提交分包合同副本。</w:t>
      </w:r>
    </w:p>
    <w:p>
      <w:pPr>
        <w:pStyle w:val="6"/>
      </w:pPr>
      <w:bookmarkStart w:id="180" w:name="_Toc247527669"/>
      <w:bookmarkStart w:id="181" w:name="_Toc247514068"/>
      <w:bookmarkStart w:id="182" w:name="_Toc300835066"/>
      <w:r>
        <w:rPr>
          <w:rFonts w:hint="eastAsia"/>
        </w:rPr>
        <w:t>4.4 联合体</w:t>
      </w:r>
      <w:bookmarkEnd w:id="180"/>
      <w:bookmarkEnd w:id="181"/>
      <w:bookmarkEnd w:id="182"/>
    </w:p>
    <w:p>
      <w:pPr>
        <w:spacing w:line="360" w:lineRule="auto"/>
        <w:ind w:firstLine="420" w:firstLineChars="200"/>
        <w:rPr>
          <w:rFonts w:ascii="宋体" w:hAnsi="宋体"/>
          <w:szCs w:val="21"/>
        </w:rPr>
      </w:pPr>
      <w:r>
        <w:rPr>
          <w:rFonts w:hint="eastAsia"/>
        </w:rPr>
        <w:t xml:space="preserve">4.4.1 </w:t>
      </w:r>
      <w:r>
        <w:rPr>
          <w:rFonts w:hint="eastAsia" w:ascii="宋体" w:hAnsi="宋体"/>
          <w:szCs w:val="21"/>
        </w:rPr>
        <w:t>联合体各方应共同与发包人签订合同。联合体各方应为履行合同承担连带责任。</w:t>
      </w:r>
    </w:p>
    <w:p>
      <w:pPr>
        <w:spacing w:line="360" w:lineRule="auto"/>
        <w:ind w:firstLine="420" w:firstLineChars="200"/>
        <w:rPr>
          <w:rFonts w:ascii="宋体" w:hAnsi="宋体"/>
          <w:szCs w:val="21"/>
        </w:rPr>
      </w:pPr>
      <w:r>
        <w:rPr>
          <w:rFonts w:hint="eastAsia"/>
        </w:rPr>
        <w:t>4.4.2</w:t>
      </w:r>
      <w:r>
        <w:rPr>
          <w:rFonts w:hint="eastAsia" w:ascii="宋体" w:hAnsi="宋体"/>
          <w:szCs w:val="21"/>
        </w:rPr>
        <w:t xml:space="preserve"> 联合体协议经发包人确认后作为合同附件。在履行合同过程中，未经发包人同意，不得修改联合体协议。</w:t>
      </w:r>
    </w:p>
    <w:p>
      <w:pPr>
        <w:spacing w:line="360" w:lineRule="auto"/>
        <w:ind w:firstLine="420" w:firstLineChars="200"/>
        <w:rPr>
          <w:rFonts w:ascii="宋体" w:hAnsi="宋体"/>
          <w:szCs w:val="21"/>
        </w:rPr>
      </w:pPr>
      <w:r>
        <w:rPr>
          <w:rFonts w:hint="eastAsia"/>
        </w:rPr>
        <w:t xml:space="preserve">4.4.3 </w:t>
      </w:r>
      <w:r>
        <w:rPr>
          <w:rFonts w:hint="eastAsia" w:ascii="宋体" w:hAnsi="宋体"/>
          <w:szCs w:val="21"/>
        </w:rPr>
        <w:t>联合体牵头人或联合体授权的代表负责与发包人和监理人联系，并接受指示，负责组织联合体各成员全面履行合同。</w:t>
      </w:r>
    </w:p>
    <w:p>
      <w:pPr>
        <w:pStyle w:val="6"/>
      </w:pPr>
      <w:bookmarkStart w:id="183" w:name="_Toc247514069"/>
      <w:bookmarkStart w:id="184" w:name="_Toc247527670"/>
      <w:bookmarkStart w:id="185" w:name="_Toc300835067"/>
      <w:r>
        <w:rPr>
          <w:rFonts w:hint="eastAsia"/>
        </w:rPr>
        <w:t>4.5 承包人项目经理</w:t>
      </w:r>
      <w:bookmarkEnd w:id="183"/>
      <w:bookmarkEnd w:id="184"/>
      <w:bookmarkEnd w:id="185"/>
    </w:p>
    <w:p>
      <w:pPr>
        <w:spacing w:line="360" w:lineRule="auto"/>
        <w:ind w:firstLine="420" w:firstLineChars="200"/>
        <w:rPr>
          <w:rFonts w:ascii="宋体" w:hAnsi="宋体"/>
          <w:szCs w:val="21"/>
        </w:rPr>
      </w:pPr>
      <w:r>
        <w:rPr>
          <w:rFonts w:hint="eastAsia"/>
        </w:rPr>
        <w:t>4.5.1</w:t>
      </w:r>
      <w:r>
        <w:rPr>
          <w:rFonts w:hint="eastAsia" w:ascii="宋体" w:hAnsi="宋体"/>
          <w:szCs w:val="21"/>
        </w:rPr>
        <w:t xml:space="preserve"> 承包人应按合同协议书的约定指派项目经理，并在约定的期限内到职。承包人更换项目经理应事先征得发包人同意，并应在更换14天前将拟更换的项目经理的姓名和详细资料提交发包人和监理人。承包人项目经理2天内不能履行职责的，应事先征得监理人同意，并委派代表代行其职责。</w:t>
      </w:r>
    </w:p>
    <w:p>
      <w:pPr>
        <w:spacing w:line="360" w:lineRule="auto"/>
        <w:ind w:firstLine="420" w:firstLineChars="200"/>
        <w:rPr>
          <w:rFonts w:ascii="宋体" w:hAnsi="宋体"/>
          <w:szCs w:val="21"/>
        </w:rPr>
      </w:pPr>
      <w:r>
        <w:rPr>
          <w:rFonts w:hint="eastAsia"/>
        </w:rPr>
        <w:t>4.5.2</w:t>
      </w:r>
      <w:r>
        <w:rPr>
          <w:rFonts w:hint="eastAsia" w:ascii="宋体" w:hAnsi="宋体"/>
          <w:szCs w:val="21"/>
        </w:rPr>
        <w:t xml:space="preserve"> 承包人项目经理应按合同约定以及监理人按第3.4 款作出的指示，负责组织合同工作的实施。在情况紧急且无法与监理人取得联系时，可采取保证工程和人员生命财产安全的紧急措施，并在采取措施后24小时内向监理人提交书面报告。</w:t>
      </w:r>
    </w:p>
    <w:p>
      <w:pPr>
        <w:spacing w:line="360" w:lineRule="auto"/>
        <w:ind w:firstLine="420" w:firstLineChars="200"/>
        <w:rPr>
          <w:rFonts w:ascii="宋体" w:hAnsi="宋体"/>
          <w:szCs w:val="21"/>
        </w:rPr>
      </w:pPr>
      <w:r>
        <w:rPr>
          <w:rFonts w:hint="eastAsia"/>
        </w:rPr>
        <w:t>4.5.3</w:t>
      </w:r>
      <w:r>
        <w:rPr>
          <w:rFonts w:hint="eastAsia" w:ascii="宋体" w:hAnsi="宋体"/>
          <w:szCs w:val="21"/>
        </w:rPr>
        <w:t xml:space="preserve"> 承包人为履行合同发出的一切函件均应盖有承包人单位章或由承包人项目经理签字。</w:t>
      </w:r>
    </w:p>
    <w:p>
      <w:pPr>
        <w:spacing w:line="360" w:lineRule="auto"/>
        <w:ind w:firstLine="420" w:firstLineChars="200"/>
        <w:rPr>
          <w:rFonts w:ascii="宋体" w:hAnsi="宋体"/>
          <w:szCs w:val="21"/>
        </w:rPr>
      </w:pPr>
      <w:r>
        <w:rPr>
          <w:rFonts w:hint="eastAsia"/>
        </w:rPr>
        <w:t>4.5.4</w:t>
      </w:r>
      <w:r>
        <w:rPr>
          <w:rFonts w:hint="eastAsia" w:ascii="宋体" w:hAnsi="宋体"/>
          <w:szCs w:val="21"/>
        </w:rPr>
        <w:t xml:space="preserve"> 承包人项目经理可以授权其下属人员履行其某项职责，但事先应将这些人员的姓名和授权范围书面通知发包人和监理人。</w:t>
      </w:r>
    </w:p>
    <w:p>
      <w:pPr>
        <w:pStyle w:val="6"/>
      </w:pPr>
      <w:bookmarkStart w:id="186" w:name="_Toc300835068"/>
      <w:bookmarkStart w:id="187" w:name="_Toc247514070"/>
      <w:bookmarkStart w:id="188" w:name="_Toc247527671"/>
      <w:r>
        <w:rPr>
          <w:rFonts w:hint="eastAsia"/>
        </w:rPr>
        <w:t>4.6 承包人人员的管理</w:t>
      </w:r>
      <w:bookmarkEnd w:id="186"/>
      <w:bookmarkEnd w:id="187"/>
      <w:bookmarkEnd w:id="188"/>
    </w:p>
    <w:p>
      <w:pPr>
        <w:spacing w:line="360" w:lineRule="auto"/>
        <w:ind w:firstLine="420" w:firstLineChars="200"/>
        <w:rPr>
          <w:rFonts w:ascii="宋体" w:hAnsi="宋体"/>
          <w:szCs w:val="21"/>
        </w:rPr>
      </w:pPr>
      <w:r>
        <w:rPr>
          <w:rFonts w:hint="eastAsia"/>
        </w:rPr>
        <w:t>4.6.1</w:t>
      </w:r>
      <w:r>
        <w:rPr>
          <w:rFonts w:hint="eastAsia" w:ascii="宋体" w:hAnsi="宋体"/>
          <w:szCs w:val="21"/>
        </w:rPr>
        <w:t xml:space="preserve"> 承包人应在接到开始工作通知之日起28天内，向监理人提交承包人的项目管理机构以及人员安排的报告，其内容应包括项目管理机构的设置、各主要岗位的技术和管理人员名单及其资格，以及设计人员和各工种技术工人的安排状况。承包人安排的主要管理人员和技术人员应相对稳定，更换主要管理人员和技术人员的，应取得监理人的同意,并向监理人提交继任人员的资格、管理经验等资料。项目经理的更换，应按照本章第4.5款规定执行。</w:t>
      </w:r>
    </w:p>
    <w:p>
      <w:pPr>
        <w:spacing w:line="360" w:lineRule="auto"/>
        <w:ind w:firstLine="420" w:firstLineChars="200"/>
        <w:rPr>
          <w:rFonts w:ascii="宋体" w:hAnsi="宋体"/>
          <w:szCs w:val="21"/>
        </w:rPr>
      </w:pPr>
      <w:r>
        <w:rPr>
          <w:rFonts w:hint="eastAsia"/>
        </w:rPr>
        <w:t xml:space="preserve">4.6.2 </w:t>
      </w:r>
      <w:r>
        <w:rPr>
          <w:rFonts w:hint="eastAsia" w:ascii="宋体" w:hAnsi="宋体"/>
          <w:szCs w:val="21"/>
        </w:rPr>
        <w:t>承包人安排的主要管理人员包括项目经理、设计负责人、施工负责人、采购负责人以及专职质量、安全生产管理人员等；技术人员包括设计师、建筑师、土木工程师、设备工程师、建造师等。</w:t>
      </w:r>
    </w:p>
    <w:p>
      <w:pPr>
        <w:spacing w:line="360" w:lineRule="auto"/>
        <w:ind w:firstLine="420" w:firstLineChars="200"/>
        <w:rPr>
          <w:rFonts w:ascii="宋体" w:hAnsi="宋体"/>
          <w:szCs w:val="21"/>
        </w:rPr>
      </w:pPr>
      <w:r>
        <w:rPr>
          <w:rFonts w:hint="eastAsia"/>
        </w:rPr>
        <w:t xml:space="preserve">4.6.3 </w:t>
      </w:r>
      <w:r>
        <w:rPr>
          <w:rFonts w:hint="eastAsia" w:ascii="宋体" w:hAnsi="宋体"/>
          <w:szCs w:val="21"/>
        </w:rPr>
        <w:t>承包人的设计人员应由具有国家规定和发包人要求中约定的资格，并具有从事设计所必需的经验与能力。</w:t>
      </w:r>
    </w:p>
    <w:p>
      <w:pPr>
        <w:spacing w:line="360" w:lineRule="auto"/>
        <w:ind w:firstLine="420" w:firstLineChars="200"/>
        <w:rPr>
          <w:rFonts w:ascii="宋体" w:hAnsi="宋体"/>
          <w:szCs w:val="21"/>
        </w:rPr>
      </w:pPr>
      <w:r>
        <w:rPr>
          <w:rFonts w:hint="eastAsia" w:ascii="宋体" w:hAnsi="宋体"/>
          <w:szCs w:val="21"/>
        </w:rPr>
        <w:t>承包人应保证其设计人员（包括分包人的设计人员）在合同期限内的任何时候，都能按时参加发包人或其委托的监理人组织的工作会议。</w:t>
      </w:r>
    </w:p>
    <w:p>
      <w:pPr>
        <w:spacing w:line="360" w:lineRule="auto"/>
        <w:ind w:firstLine="420" w:firstLineChars="200"/>
        <w:rPr>
          <w:rFonts w:ascii="宋体" w:hAnsi="宋体"/>
          <w:szCs w:val="21"/>
        </w:rPr>
      </w:pPr>
      <w:r>
        <w:rPr>
          <w:rFonts w:hint="eastAsia"/>
        </w:rPr>
        <w:t xml:space="preserve">4.6.4 </w:t>
      </w:r>
      <w:r>
        <w:rPr>
          <w:rFonts w:hint="eastAsia" w:ascii="宋体" w:hAnsi="宋体"/>
          <w:szCs w:val="21"/>
        </w:rPr>
        <w:t>国家规定应当持证上岗的工作人员均应持有相应的资格证明，监理人有权随时检查。监理人认为有必要时，可进行现场考核。</w:t>
      </w:r>
    </w:p>
    <w:p>
      <w:pPr>
        <w:spacing w:line="360" w:lineRule="auto"/>
        <w:ind w:firstLine="420" w:firstLineChars="200"/>
        <w:rPr>
          <w:rFonts w:ascii="宋体" w:hAnsi="宋体"/>
          <w:szCs w:val="21"/>
        </w:rPr>
      </w:pPr>
      <w:r>
        <w:rPr>
          <w:rFonts w:hint="eastAsia"/>
        </w:rPr>
        <w:t>4.6.5</w:t>
      </w:r>
      <w:r>
        <w:rPr>
          <w:rFonts w:hint="eastAsia" w:ascii="宋体" w:hAnsi="宋体"/>
          <w:szCs w:val="21"/>
        </w:rPr>
        <w:t xml:space="preserve"> 除专用合同条款另有约定外，承包人的主要施工管理人员离开施工现场连续超过3天的，应事先征得监理人同意。承包人擅自更换项目经理或主要施工管理人员，或前述人员未经监理人许可擅自离开施工现场连续超过3天的，应按照专用合同条款约定承担违约责任。</w:t>
      </w:r>
    </w:p>
    <w:p>
      <w:pPr>
        <w:spacing w:line="360" w:lineRule="auto"/>
        <w:ind w:firstLine="420" w:firstLineChars="200"/>
        <w:rPr>
          <w:rFonts w:ascii="宋体" w:hAnsi="宋体"/>
          <w:szCs w:val="21"/>
        </w:rPr>
      </w:pPr>
    </w:p>
    <w:p>
      <w:pPr>
        <w:pStyle w:val="6"/>
      </w:pPr>
      <w:bookmarkStart w:id="189" w:name="_Toc300835069"/>
      <w:bookmarkStart w:id="190" w:name="_Toc247514071"/>
      <w:bookmarkStart w:id="191" w:name="_Toc247527672"/>
      <w:r>
        <w:rPr>
          <w:rFonts w:hint="eastAsia"/>
        </w:rPr>
        <w:t>4.7 撤换承包人项目经理和其他人员</w:t>
      </w:r>
      <w:bookmarkEnd w:id="189"/>
      <w:bookmarkEnd w:id="190"/>
      <w:bookmarkEnd w:id="191"/>
    </w:p>
    <w:p>
      <w:pPr>
        <w:spacing w:line="360" w:lineRule="auto"/>
        <w:ind w:firstLine="420" w:firstLineChars="200"/>
        <w:rPr>
          <w:rFonts w:ascii="宋体" w:hAnsi="宋体"/>
          <w:szCs w:val="21"/>
        </w:rPr>
      </w:pPr>
      <w:r>
        <w:rPr>
          <w:rFonts w:hint="eastAsia" w:ascii="宋体" w:hAnsi="宋体"/>
          <w:szCs w:val="21"/>
        </w:rPr>
        <w:t>承包人应对其项目经理和其他人员进行有效管理。监理人要求撤换不能胜任本职工作、行为不端或玩忽职守的承包人项目经理和其他人员的，承包人应予以撤换。</w:t>
      </w:r>
    </w:p>
    <w:p>
      <w:pPr>
        <w:pStyle w:val="6"/>
      </w:pPr>
      <w:bookmarkStart w:id="192" w:name="_Toc247527673"/>
      <w:bookmarkStart w:id="193" w:name="_Toc300835070"/>
      <w:bookmarkStart w:id="194" w:name="_Toc247514072"/>
      <w:r>
        <w:rPr>
          <w:rFonts w:hint="eastAsia"/>
        </w:rPr>
        <w:t>4.8 保障承包人人员的合法权益</w:t>
      </w:r>
      <w:bookmarkEnd w:id="192"/>
      <w:bookmarkEnd w:id="193"/>
      <w:bookmarkEnd w:id="194"/>
    </w:p>
    <w:p>
      <w:pPr>
        <w:spacing w:line="360" w:lineRule="auto"/>
        <w:ind w:firstLine="420" w:firstLineChars="200"/>
        <w:rPr>
          <w:rFonts w:ascii="宋体" w:hAnsi="宋体"/>
          <w:szCs w:val="21"/>
        </w:rPr>
      </w:pPr>
      <w:r>
        <w:rPr>
          <w:rFonts w:hint="eastAsia"/>
        </w:rPr>
        <w:t>4.8.1</w:t>
      </w:r>
      <w:r>
        <w:rPr>
          <w:rFonts w:hint="eastAsia" w:ascii="宋体" w:hAnsi="宋体"/>
          <w:szCs w:val="21"/>
        </w:rPr>
        <w:t xml:space="preserve"> 承包人应与其雇佣的人员签订劳动合同，并按时发放工资。</w:t>
      </w:r>
    </w:p>
    <w:p>
      <w:pPr>
        <w:spacing w:line="360" w:lineRule="auto"/>
        <w:ind w:firstLine="420" w:firstLineChars="200"/>
        <w:rPr>
          <w:rFonts w:ascii="宋体" w:hAnsi="宋体"/>
          <w:szCs w:val="21"/>
        </w:rPr>
      </w:pPr>
      <w:r>
        <w:rPr>
          <w:rFonts w:hint="eastAsia"/>
        </w:rPr>
        <w:t>4.8.2</w:t>
      </w:r>
      <w:r>
        <w:rPr>
          <w:rFonts w:hint="eastAsia" w:ascii="宋体" w:hAnsi="宋体"/>
          <w:szCs w:val="21"/>
        </w:rPr>
        <w:t xml:space="preserve"> 承包人应按劳动法的规定安排工作时间，保证其雇佣人员享有休息和休假的权利。因设计、施工的特殊需要占用休假日或延长工作时间的，应不超过法律规定的限度，并按法律规定给予补休或付酬。</w:t>
      </w:r>
    </w:p>
    <w:p>
      <w:pPr>
        <w:spacing w:line="360" w:lineRule="auto"/>
        <w:ind w:firstLine="420" w:firstLineChars="200"/>
        <w:rPr>
          <w:rFonts w:ascii="宋体" w:hAnsi="宋体"/>
          <w:szCs w:val="21"/>
        </w:rPr>
      </w:pPr>
      <w:r>
        <w:rPr>
          <w:rFonts w:hint="eastAsia"/>
        </w:rPr>
        <w:t>4.8.3</w:t>
      </w:r>
      <w:r>
        <w:rPr>
          <w:rFonts w:hint="eastAsia" w:ascii="宋体" w:hAnsi="宋体"/>
          <w:szCs w:val="21"/>
        </w:rPr>
        <w:t xml:space="preserve"> 承包人应为其雇佣人员提供必要的食宿条件，以及符合环境保护和卫生要求的生活环境，在远离城镇的施工场地，还应配备必要的伤病防治和急救的医务人员与医疗设施。</w:t>
      </w:r>
    </w:p>
    <w:p>
      <w:pPr>
        <w:spacing w:line="360" w:lineRule="auto"/>
        <w:ind w:firstLine="420" w:firstLineChars="200"/>
        <w:rPr>
          <w:rFonts w:ascii="宋体" w:hAnsi="宋体"/>
          <w:szCs w:val="21"/>
        </w:rPr>
      </w:pPr>
      <w:r>
        <w:rPr>
          <w:rFonts w:hint="eastAsia"/>
        </w:rPr>
        <w:t>4.8.4</w:t>
      </w:r>
      <w:r>
        <w:rPr>
          <w:rFonts w:hint="eastAsia" w:ascii="宋体" w:hAnsi="宋体"/>
          <w:szCs w:val="21"/>
        </w:rPr>
        <w:t xml:space="preserve">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spacing w:line="360" w:lineRule="auto"/>
        <w:ind w:firstLine="420" w:firstLineChars="200"/>
        <w:rPr>
          <w:rFonts w:ascii="宋体" w:hAnsi="宋体"/>
          <w:szCs w:val="21"/>
        </w:rPr>
      </w:pPr>
      <w:r>
        <w:rPr>
          <w:rFonts w:hint="eastAsia"/>
        </w:rPr>
        <w:t>4.8.5</w:t>
      </w:r>
      <w:r>
        <w:rPr>
          <w:rFonts w:hint="eastAsia" w:ascii="宋体" w:hAnsi="宋体"/>
          <w:szCs w:val="21"/>
        </w:rPr>
        <w:t xml:space="preserve"> 承包人应按有关法律规定和合同约定，为其雇佣人员办理保险。</w:t>
      </w:r>
    </w:p>
    <w:p>
      <w:pPr>
        <w:spacing w:line="360" w:lineRule="auto"/>
        <w:ind w:firstLine="420" w:firstLineChars="200"/>
        <w:rPr>
          <w:rFonts w:ascii="宋体" w:hAnsi="宋体"/>
          <w:szCs w:val="21"/>
        </w:rPr>
      </w:pPr>
      <w:r>
        <w:rPr>
          <w:rFonts w:hint="eastAsia"/>
        </w:rPr>
        <w:t>4.8.6</w:t>
      </w:r>
      <w:r>
        <w:rPr>
          <w:rFonts w:hint="eastAsia" w:ascii="宋体" w:hAnsi="宋体"/>
          <w:szCs w:val="21"/>
        </w:rPr>
        <w:t xml:space="preserve"> 承包人应负责处理其雇佣人员因工伤亡事故的善后事宜。</w:t>
      </w:r>
    </w:p>
    <w:p>
      <w:pPr>
        <w:pStyle w:val="6"/>
      </w:pPr>
      <w:bookmarkStart w:id="195" w:name="_Toc247514073"/>
      <w:bookmarkStart w:id="196" w:name="_Toc300835071"/>
      <w:bookmarkStart w:id="197" w:name="_Toc247527674"/>
      <w:r>
        <w:rPr>
          <w:rFonts w:hint="eastAsia"/>
        </w:rPr>
        <w:t>4.9 工程价款应专款专用</w:t>
      </w:r>
      <w:bookmarkEnd w:id="195"/>
      <w:bookmarkEnd w:id="196"/>
      <w:bookmarkEnd w:id="197"/>
    </w:p>
    <w:p>
      <w:pPr>
        <w:spacing w:line="360" w:lineRule="auto"/>
        <w:ind w:firstLine="420" w:firstLineChars="200"/>
        <w:rPr>
          <w:rFonts w:ascii="宋体" w:hAnsi="宋体"/>
          <w:szCs w:val="21"/>
        </w:rPr>
      </w:pPr>
      <w:r>
        <w:rPr>
          <w:rFonts w:hint="eastAsia" w:ascii="宋体" w:hAnsi="宋体"/>
          <w:szCs w:val="21"/>
        </w:rPr>
        <w:t>发包人按合同约定支付给承包人的各项价款应专用于合同工作。</w:t>
      </w:r>
    </w:p>
    <w:p>
      <w:pPr>
        <w:pStyle w:val="6"/>
      </w:pPr>
      <w:bookmarkStart w:id="198" w:name="_Toc247527675"/>
      <w:bookmarkStart w:id="199" w:name="_Toc247514074"/>
      <w:bookmarkStart w:id="200" w:name="_Toc300835072"/>
      <w:r>
        <w:rPr>
          <w:rFonts w:hint="eastAsia"/>
        </w:rPr>
        <w:t>4.10 承包人现场查勘</w:t>
      </w:r>
      <w:bookmarkEnd w:id="198"/>
      <w:bookmarkEnd w:id="199"/>
      <w:bookmarkEnd w:id="200"/>
    </w:p>
    <w:p>
      <w:pPr>
        <w:spacing w:line="360" w:lineRule="auto"/>
        <w:ind w:firstLine="420" w:firstLineChars="200"/>
        <w:rPr>
          <w:rFonts w:ascii="宋体" w:hAnsi="宋体"/>
          <w:szCs w:val="21"/>
        </w:rPr>
      </w:pPr>
      <w:r>
        <w:rPr>
          <w:rFonts w:hint="eastAsia"/>
        </w:rPr>
        <w:t xml:space="preserve">4.10.1 </w:t>
      </w:r>
      <w:r>
        <w:rPr>
          <w:rFonts w:hint="eastAsia" w:ascii="宋体" w:hAnsi="宋体"/>
          <w:szCs w:val="21"/>
        </w:rPr>
        <w:t>发包人应向承包人提供施工场地及毗邻区域内的供水、排水、供电、供气、供热、通信、广播电视等地下管线资料、气象和水文观测资料，相邻建筑物和构筑物、地下工程的有关资料，以及其他与建设工程有关的原始资料，并承担原始资料错误造成的全部责任，但承包人应对其阅读上述有关资料后所作出的解释和推断负责。</w:t>
      </w:r>
    </w:p>
    <w:p>
      <w:pPr>
        <w:spacing w:line="360" w:lineRule="auto"/>
        <w:ind w:firstLine="420" w:firstLineChars="200"/>
        <w:rPr>
          <w:rFonts w:ascii="宋体" w:hAnsi="宋体"/>
          <w:szCs w:val="21"/>
        </w:rPr>
      </w:pPr>
      <w:r>
        <w:rPr>
          <w:rFonts w:hint="eastAsia"/>
        </w:rPr>
        <w:t>4.10.2</w:t>
      </w:r>
      <w:r>
        <w:rPr>
          <w:rFonts w:hint="eastAsia" w:ascii="宋体" w:hAnsi="宋体"/>
          <w:szCs w:val="21"/>
        </w:rPr>
        <w:t xml:space="preserve"> 承包人应对施工场地和周围环境进行查勘，并收集除发包人提供外为完成合同工作有关的当地资料。在全部合同工作中，视为承包人已充分估计了应承担的责任和风险。</w:t>
      </w:r>
    </w:p>
    <w:p>
      <w:pPr>
        <w:pStyle w:val="6"/>
      </w:pPr>
      <w:bookmarkStart w:id="201" w:name="_Toc247527676"/>
      <w:bookmarkStart w:id="202" w:name="_Toc247514075"/>
      <w:bookmarkStart w:id="203" w:name="_Toc300835073"/>
      <w:r>
        <w:rPr>
          <w:rFonts w:hint="eastAsia"/>
        </w:rPr>
        <w:t xml:space="preserve">4.11 </w:t>
      </w:r>
      <w:bookmarkEnd w:id="201"/>
      <w:bookmarkEnd w:id="202"/>
      <w:r>
        <w:rPr>
          <w:rFonts w:hint="eastAsia"/>
        </w:rPr>
        <w:t>不可预见物质条件（A）</w:t>
      </w:r>
      <w:bookmarkEnd w:id="203"/>
    </w:p>
    <w:p>
      <w:pPr>
        <w:spacing w:line="360" w:lineRule="auto"/>
        <w:ind w:firstLine="420" w:firstLineChars="200"/>
        <w:rPr>
          <w:rFonts w:ascii="宋体" w:hAnsi="宋体"/>
          <w:szCs w:val="21"/>
        </w:rPr>
      </w:pPr>
      <w:r>
        <w:rPr>
          <w:rFonts w:hint="eastAsia"/>
        </w:rPr>
        <w:t>4.11.1</w:t>
      </w:r>
      <w:r>
        <w:rPr>
          <w:rFonts w:hint="eastAsia" w:ascii="宋体" w:hAnsi="宋体"/>
          <w:szCs w:val="21"/>
        </w:rPr>
        <w:t xml:space="preserve"> 不可预见物质条件，除专用合同条款另有约定外，是指承包人在施工场地遇到的不可预见的自然物质条件、非自然的物质障碍和污染物，包括地下和水文条件，但不包括气候条件。</w:t>
      </w:r>
    </w:p>
    <w:p>
      <w:pPr>
        <w:spacing w:line="360" w:lineRule="auto"/>
        <w:ind w:firstLine="420" w:firstLineChars="200"/>
        <w:rPr>
          <w:rFonts w:ascii="宋体" w:hAnsi="宋体"/>
          <w:szCs w:val="21"/>
        </w:rPr>
      </w:pPr>
      <w:r>
        <w:rPr>
          <w:rFonts w:hint="eastAsia"/>
        </w:rPr>
        <w:t>4.11.2</w:t>
      </w:r>
      <w:r>
        <w:rPr>
          <w:rFonts w:hint="eastAsia" w:ascii="宋体" w:hAnsi="宋体"/>
          <w:szCs w:val="21"/>
        </w:rPr>
        <w:t xml:space="preserve"> 承包人遇到不可预见物质条件时，应采取适应不利物质条件的合理措施继续设计和（或）施工，并及时通知监理人，通知应载明不利物质条件的内容以及承包人认为不可预见的理由。监理人应当及时发出指示，指示构成变更的，按第15条约定执行。监理人没有发出指示的，承包人因采取合理措施而增加的费用和（或）工期延误，由发包人承担。</w:t>
      </w:r>
    </w:p>
    <w:p>
      <w:pPr>
        <w:pStyle w:val="6"/>
      </w:pPr>
      <w:bookmarkStart w:id="204" w:name="_Toc247705004"/>
      <w:bookmarkStart w:id="205" w:name="_Toc265955416"/>
      <w:bookmarkStart w:id="206" w:name="_Toc300835074"/>
      <w:r>
        <w:rPr>
          <w:rFonts w:hint="eastAsia"/>
        </w:rPr>
        <w:t>4.11 不可预见的困难和费用</w:t>
      </w:r>
      <w:bookmarkEnd w:id="204"/>
      <w:bookmarkEnd w:id="205"/>
      <w:r>
        <w:rPr>
          <w:rFonts w:hint="eastAsia"/>
        </w:rPr>
        <w:t>（B）</w:t>
      </w:r>
      <w:bookmarkEnd w:id="206"/>
    </w:p>
    <w:p>
      <w:pPr>
        <w:spacing w:line="360" w:lineRule="auto"/>
        <w:ind w:firstLine="420" w:firstLineChars="200"/>
        <w:rPr>
          <w:rFonts w:ascii="宋体" w:hAnsi="宋体"/>
          <w:szCs w:val="21"/>
        </w:rPr>
      </w:pPr>
      <w:r>
        <w:rPr>
          <w:rFonts w:hint="eastAsia" w:ascii="宋体" w:hAnsi="宋体"/>
          <w:szCs w:val="21"/>
        </w:rPr>
        <w:t>除合同另有约定外，承包人应视为已取得工程有关风险、意外事件和其他情况的全部必要资料，并预见工程所有困难和费用。承包人遇到不可预见的困难和费用时，合同价格不予调整。</w:t>
      </w:r>
    </w:p>
    <w:p>
      <w:pPr>
        <w:pStyle w:val="6"/>
      </w:pPr>
      <w:bookmarkStart w:id="207" w:name="_Toc247514076"/>
      <w:bookmarkStart w:id="208" w:name="_Toc247527677"/>
      <w:bookmarkStart w:id="209" w:name="_Toc300835075"/>
      <w:r>
        <w:rPr>
          <w:rFonts w:hint="eastAsia"/>
        </w:rPr>
        <w:t>4.12 进度计划</w:t>
      </w:r>
      <w:bookmarkEnd w:id="207"/>
      <w:bookmarkEnd w:id="208"/>
      <w:bookmarkEnd w:id="209"/>
    </w:p>
    <w:p>
      <w:pPr>
        <w:spacing w:line="360" w:lineRule="auto"/>
        <w:ind w:firstLine="420" w:firstLineChars="200"/>
        <w:rPr>
          <w:rFonts w:ascii="宋体" w:hAnsi="宋体"/>
          <w:szCs w:val="21"/>
        </w:rPr>
      </w:pPr>
      <w:r>
        <w:rPr>
          <w:rFonts w:hint="eastAsia"/>
        </w:rPr>
        <w:t>4.12.1</w:t>
      </w:r>
      <w:r>
        <w:rPr>
          <w:rFonts w:hint="eastAsia" w:ascii="宋体" w:hAnsi="宋体"/>
          <w:szCs w:val="21"/>
        </w:rPr>
        <w:t xml:space="preserve"> 合同进度计划</w:t>
      </w:r>
    </w:p>
    <w:p>
      <w:pPr>
        <w:spacing w:line="360" w:lineRule="auto"/>
        <w:ind w:firstLine="420" w:firstLineChars="200"/>
        <w:rPr>
          <w:rFonts w:ascii="宋体" w:hAnsi="宋体"/>
          <w:szCs w:val="21"/>
        </w:rPr>
      </w:pPr>
      <w:r>
        <w:rPr>
          <w:rFonts w:hint="eastAsia" w:ascii="宋体" w:hAnsi="宋体"/>
          <w:szCs w:val="21"/>
        </w:rPr>
        <w:t>承包人应按合同约定的内容和期限，编制详细的进度计划，包括设计、承包人文件提交、采购、制造、检验、运达现场、施工、安装、试验的各个阶段的预期时间以及设计和施工组织方案说明等报送监理人。监理人应在专用合同条款约定的期限内批复或提出修改意见，否则该进度计划视为已得到批准。经监理人批准的进度计划称合同进度计划，是控制合同工程进度的依据。承包人还应根据合同进度计划，编制更为详细的分阶段或分项进度计划，报监理人批准。</w:t>
      </w:r>
    </w:p>
    <w:p>
      <w:pPr>
        <w:spacing w:line="360" w:lineRule="auto"/>
        <w:ind w:firstLine="420" w:firstLineChars="200"/>
      </w:pPr>
      <w:r>
        <w:rPr>
          <w:rFonts w:hint="eastAsia"/>
        </w:rPr>
        <w:t>4.12.2 合同进度计划的修订</w:t>
      </w:r>
    </w:p>
    <w:p>
      <w:pPr>
        <w:spacing w:line="360" w:lineRule="auto"/>
        <w:ind w:firstLine="420" w:firstLineChars="200"/>
        <w:rPr>
          <w:rFonts w:ascii="宋体" w:hAnsi="宋体"/>
          <w:szCs w:val="21"/>
        </w:rPr>
      </w:pPr>
      <w:r>
        <w:rPr>
          <w:rFonts w:hint="eastAsia" w:ascii="宋体" w:hAnsi="宋体"/>
          <w:szCs w:val="21"/>
        </w:rPr>
        <w:t>不论何种原因造成工程的实际进度与第4.12.1项的合同进度计划不符时，承包人可以在专用合同条款约定的期限内向监理人提交修订合同进度计划的申请报告，并附有关措施和相关资料，报监理人批准；监理人也可以直接向承包人作出修订合同进度计划的指示，承包人应按该指示修订合同进度计划，报监理人批准。监理人应在专用合同条款约定的期限内批复。监理人在批复前应获得发包人同意。</w:t>
      </w:r>
    </w:p>
    <w:p>
      <w:pPr>
        <w:pStyle w:val="6"/>
      </w:pPr>
      <w:bookmarkStart w:id="210" w:name="_Toc300835076"/>
      <w:r>
        <w:rPr>
          <w:rFonts w:hint="eastAsia"/>
        </w:rPr>
        <w:t>4.13 质量保证</w:t>
      </w:r>
      <w:bookmarkEnd w:id="210"/>
    </w:p>
    <w:p>
      <w:pPr>
        <w:spacing w:line="360" w:lineRule="auto"/>
        <w:ind w:firstLine="420" w:firstLineChars="200"/>
        <w:rPr>
          <w:rFonts w:ascii="宋体" w:hAnsi="宋体"/>
          <w:szCs w:val="21"/>
        </w:rPr>
      </w:pPr>
      <w:r>
        <w:rPr>
          <w:rFonts w:hint="eastAsia"/>
        </w:rPr>
        <w:t xml:space="preserve">4.13.1 </w:t>
      </w:r>
      <w:r>
        <w:rPr>
          <w:rFonts w:hint="eastAsia" w:ascii="宋体" w:hAnsi="宋体"/>
          <w:szCs w:val="21"/>
        </w:rPr>
        <w:t>为保证工程质量，承包人应按照合同要求建立质量保证体系。监理人有权对承包人的质量保证体系进行审查。</w:t>
      </w:r>
    </w:p>
    <w:p>
      <w:pPr>
        <w:spacing w:line="360" w:lineRule="auto"/>
        <w:ind w:firstLine="420" w:firstLineChars="200"/>
        <w:rPr>
          <w:rFonts w:ascii="宋体" w:hAnsi="宋体"/>
          <w:szCs w:val="21"/>
        </w:rPr>
      </w:pPr>
      <w:r>
        <w:rPr>
          <w:rFonts w:hint="eastAsia"/>
        </w:rPr>
        <w:t xml:space="preserve">4.13.2 </w:t>
      </w:r>
      <w:r>
        <w:rPr>
          <w:rFonts w:hint="eastAsia" w:ascii="宋体" w:hAnsi="宋体"/>
          <w:szCs w:val="21"/>
        </w:rPr>
        <w:t>承包人应在各设计和实施阶段开始前，向监理人提交其具体的质量保证细则和工作程序。</w:t>
      </w:r>
    </w:p>
    <w:p>
      <w:pPr>
        <w:spacing w:line="360" w:lineRule="auto"/>
        <w:ind w:firstLine="420" w:firstLineChars="200"/>
        <w:rPr>
          <w:rFonts w:ascii="宋体" w:hAnsi="宋体"/>
          <w:szCs w:val="21"/>
        </w:rPr>
      </w:pPr>
      <w:r>
        <w:rPr>
          <w:rFonts w:hint="eastAsia"/>
        </w:rPr>
        <w:t xml:space="preserve">4.13.3 </w:t>
      </w:r>
      <w:r>
        <w:rPr>
          <w:rFonts w:hint="eastAsia" w:ascii="宋体" w:hAnsi="宋体"/>
          <w:szCs w:val="21"/>
        </w:rPr>
        <w:t>遵守质量保证体系，不应免除合同约定的承包人的义务和责任。</w:t>
      </w:r>
    </w:p>
    <w:p>
      <w:pPr>
        <w:pStyle w:val="5"/>
        <w:tabs>
          <w:tab w:val="left" w:pos="7116"/>
        </w:tabs>
      </w:pPr>
      <w:bookmarkStart w:id="211" w:name="_Toc300835077"/>
      <w:bookmarkStart w:id="212" w:name="_Toc247527678"/>
      <w:bookmarkStart w:id="213" w:name="_Toc247514077"/>
      <w:r>
        <w:rPr>
          <w:rFonts w:hint="eastAsia"/>
        </w:rPr>
        <w:t>5. 设计</w:t>
      </w:r>
      <w:bookmarkEnd w:id="211"/>
      <w:bookmarkEnd w:id="212"/>
      <w:bookmarkEnd w:id="213"/>
    </w:p>
    <w:p>
      <w:pPr>
        <w:pStyle w:val="6"/>
      </w:pPr>
      <w:bookmarkStart w:id="214" w:name="_Toc259350427"/>
      <w:bookmarkStart w:id="215" w:name="_Toc257880849"/>
      <w:bookmarkStart w:id="216" w:name="_Toc264373498"/>
      <w:bookmarkStart w:id="217" w:name="_Toc258440543"/>
      <w:bookmarkStart w:id="218" w:name="_Toc300835078"/>
      <w:bookmarkStart w:id="219" w:name="_Toc259552511"/>
      <w:bookmarkStart w:id="220" w:name="_Toc247514078"/>
      <w:bookmarkStart w:id="221" w:name="_Toc468936969"/>
      <w:bookmarkStart w:id="222" w:name="_Toc487072795"/>
      <w:bookmarkStart w:id="223" w:name="_Toc247527679"/>
      <w:bookmarkStart w:id="224" w:name="_Toc297347661"/>
      <w:r>
        <w:rPr>
          <w:rFonts w:hint="eastAsia"/>
        </w:rPr>
        <w:t>5.1 承包人的设计义务</w:t>
      </w:r>
      <w:bookmarkEnd w:id="214"/>
      <w:bookmarkEnd w:id="215"/>
      <w:bookmarkEnd w:id="216"/>
      <w:bookmarkEnd w:id="217"/>
      <w:bookmarkEnd w:id="218"/>
      <w:bookmarkEnd w:id="219"/>
    </w:p>
    <w:p>
      <w:pPr>
        <w:spacing w:line="360" w:lineRule="auto"/>
        <w:ind w:firstLine="420" w:firstLineChars="200"/>
        <w:rPr>
          <w:rFonts w:ascii="宋体" w:hAnsi="宋体"/>
          <w:szCs w:val="21"/>
        </w:rPr>
      </w:pPr>
      <w:bookmarkStart w:id="225" w:name="_Toc258440544"/>
      <w:bookmarkStart w:id="226" w:name="_Toc264373499"/>
      <w:bookmarkStart w:id="227" w:name="_Toc259552512"/>
      <w:bookmarkStart w:id="228" w:name="_Toc259350428"/>
      <w:r>
        <w:rPr>
          <w:rFonts w:hint="eastAsia"/>
        </w:rPr>
        <w:t>5.1.1</w:t>
      </w:r>
      <w:r>
        <w:rPr>
          <w:rFonts w:hint="eastAsia" w:ascii="宋体" w:hAnsi="宋体"/>
          <w:szCs w:val="21"/>
        </w:rPr>
        <w:t xml:space="preserve"> 设计义务</w:t>
      </w:r>
      <w:bookmarkEnd w:id="225"/>
      <w:bookmarkEnd w:id="226"/>
      <w:bookmarkEnd w:id="227"/>
      <w:bookmarkEnd w:id="228"/>
      <w:r>
        <w:rPr>
          <w:rFonts w:hint="eastAsia" w:ascii="宋体" w:hAnsi="宋体"/>
          <w:szCs w:val="21"/>
        </w:rPr>
        <w:t>的一般要求</w:t>
      </w:r>
    </w:p>
    <w:p>
      <w:pPr>
        <w:spacing w:line="360" w:lineRule="auto"/>
        <w:ind w:firstLine="420" w:firstLineChars="200"/>
        <w:rPr>
          <w:rFonts w:ascii="宋体" w:hAnsi="宋体"/>
          <w:szCs w:val="21"/>
        </w:rPr>
      </w:pPr>
      <w:r>
        <w:rPr>
          <w:rFonts w:hint="eastAsia" w:ascii="宋体" w:hAnsi="宋体"/>
          <w:szCs w:val="21"/>
        </w:rPr>
        <w:t>承包人应按照法律规定，以及国家、行业和地方的规范和标准完成设计工作，并符合发包人要求。</w:t>
      </w:r>
    </w:p>
    <w:p>
      <w:pPr>
        <w:spacing w:line="360" w:lineRule="auto"/>
        <w:ind w:firstLine="420" w:firstLineChars="200"/>
        <w:rPr>
          <w:rFonts w:ascii="宋体" w:hAnsi="宋体"/>
          <w:szCs w:val="21"/>
        </w:rPr>
      </w:pPr>
      <w:r>
        <w:rPr>
          <w:rFonts w:hint="eastAsia"/>
        </w:rPr>
        <w:t>5.1.2</w:t>
      </w:r>
      <w:r>
        <w:rPr>
          <w:rFonts w:hint="eastAsia" w:ascii="宋体" w:hAnsi="宋体"/>
          <w:szCs w:val="21"/>
        </w:rPr>
        <w:t xml:space="preserve"> 法律和标准的变化</w:t>
      </w:r>
    </w:p>
    <w:p>
      <w:pPr>
        <w:spacing w:line="360" w:lineRule="auto"/>
        <w:ind w:firstLine="420" w:firstLineChars="200"/>
        <w:rPr>
          <w:rFonts w:ascii="宋体" w:hAnsi="宋体"/>
          <w:szCs w:val="21"/>
        </w:rPr>
      </w:pPr>
      <w:r>
        <w:rPr>
          <w:rFonts w:hint="eastAsia" w:ascii="宋体" w:hAnsi="宋体"/>
          <w:szCs w:val="21"/>
        </w:rPr>
        <w:t>除合同另有约定外，承包人完成设计工作所应遵守的法律规定，以及国家、行业和地方的规范和标准，均应视为在基准日适用的版本。基准日之后，前述版本发生重大变化，或者有新的法律，以及国家、行业和地方的规范和标准实施的，承包人应向发包人或发包人委托的监理人提出遵守新规定的建议。发包人或其委托的监理人应在收到建议后7天内发出是否遵守新规定的指示。发包人或其委托的监理人指示遵守新规定的，按照第</w:t>
      </w:r>
      <w:r>
        <w:rPr>
          <w:rFonts w:hint="eastAsia"/>
        </w:rPr>
        <w:t>15</w:t>
      </w:r>
      <w:r>
        <w:rPr>
          <w:rFonts w:hint="eastAsia" w:ascii="宋体" w:hAnsi="宋体"/>
          <w:szCs w:val="21"/>
        </w:rPr>
        <w:t>条或第</w:t>
      </w:r>
      <w:r>
        <w:rPr>
          <w:rFonts w:hint="eastAsia"/>
        </w:rPr>
        <w:t>16.2</w:t>
      </w:r>
      <w:r>
        <w:rPr>
          <w:rFonts w:hint="eastAsia" w:ascii="宋体" w:hAnsi="宋体"/>
          <w:szCs w:val="21"/>
        </w:rPr>
        <w:t>款约定执行。</w:t>
      </w:r>
    </w:p>
    <w:p>
      <w:pPr>
        <w:pStyle w:val="6"/>
      </w:pPr>
      <w:bookmarkStart w:id="229" w:name="_Toc257880851"/>
      <w:bookmarkStart w:id="230" w:name="_Toc258440550"/>
      <w:bookmarkStart w:id="231" w:name="_Toc264373505"/>
      <w:bookmarkStart w:id="232" w:name="_Toc300835079"/>
      <w:bookmarkStart w:id="233" w:name="_Toc259350434"/>
      <w:bookmarkStart w:id="234" w:name="_Toc259552518"/>
      <w:r>
        <w:rPr>
          <w:rFonts w:hint="eastAsia"/>
        </w:rPr>
        <w:t xml:space="preserve">5.2 </w:t>
      </w:r>
      <w:bookmarkEnd w:id="229"/>
      <w:r>
        <w:rPr>
          <w:rFonts w:hint="eastAsia"/>
        </w:rPr>
        <w:t>承包人设计进度计划</w:t>
      </w:r>
      <w:bookmarkEnd w:id="230"/>
      <w:bookmarkEnd w:id="231"/>
      <w:bookmarkEnd w:id="232"/>
      <w:bookmarkEnd w:id="233"/>
      <w:bookmarkEnd w:id="234"/>
    </w:p>
    <w:p>
      <w:pPr>
        <w:spacing w:line="360" w:lineRule="auto"/>
        <w:ind w:firstLine="420" w:firstLineChars="200"/>
        <w:rPr>
          <w:rFonts w:ascii="宋体" w:hAnsi="宋体"/>
          <w:szCs w:val="21"/>
        </w:rPr>
      </w:pPr>
      <w:r>
        <w:rPr>
          <w:rFonts w:hint="eastAsia" w:ascii="宋体" w:hAnsi="宋体"/>
          <w:szCs w:val="21"/>
        </w:rPr>
        <w:t>承包人</w:t>
      </w:r>
      <w:r>
        <w:rPr>
          <w:rFonts w:ascii="宋体" w:hAnsi="宋体"/>
          <w:szCs w:val="21"/>
        </w:rPr>
        <w:t>应</w:t>
      </w:r>
      <w:r>
        <w:rPr>
          <w:rFonts w:hint="eastAsia" w:ascii="宋体" w:hAnsi="宋体"/>
          <w:szCs w:val="21"/>
        </w:rPr>
        <w:t>按照发包人要求，在合同进度计划中专门列出</w:t>
      </w:r>
      <w:r>
        <w:rPr>
          <w:rFonts w:ascii="宋体" w:hAnsi="宋体"/>
          <w:szCs w:val="21"/>
        </w:rPr>
        <w:t>设计</w:t>
      </w:r>
      <w:r>
        <w:rPr>
          <w:rFonts w:hint="eastAsia" w:ascii="宋体" w:hAnsi="宋体"/>
          <w:szCs w:val="21"/>
        </w:rPr>
        <w:t>进度</w:t>
      </w:r>
      <w:r>
        <w:rPr>
          <w:rFonts w:ascii="宋体" w:hAnsi="宋体"/>
          <w:szCs w:val="21"/>
        </w:rPr>
        <w:t>计划，</w:t>
      </w:r>
      <w:r>
        <w:rPr>
          <w:rFonts w:hint="eastAsia" w:ascii="宋体" w:hAnsi="宋体"/>
          <w:szCs w:val="21"/>
        </w:rPr>
        <w:t>报发包人</w:t>
      </w:r>
      <w:r>
        <w:rPr>
          <w:rFonts w:ascii="宋体" w:hAnsi="宋体"/>
          <w:szCs w:val="21"/>
        </w:rPr>
        <w:t>批准后</w:t>
      </w:r>
      <w:r>
        <w:rPr>
          <w:rFonts w:hint="eastAsia" w:ascii="宋体" w:hAnsi="宋体"/>
          <w:szCs w:val="21"/>
        </w:rPr>
        <w:t>执行。承包人需按照经批准后的计划开展设计工作。</w:t>
      </w:r>
    </w:p>
    <w:p>
      <w:pPr>
        <w:spacing w:line="360" w:lineRule="auto"/>
        <w:ind w:firstLine="420" w:firstLineChars="200"/>
        <w:rPr>
          <w:rFonts w:ascii="宋体" w:hAnsi="宋体"/>
          <w:szCs w:val="21"/>
        </w:rPr>
      </w:pPr>
      <w:bookmarkStart w:id="235" w:name="_Toc247593033"/>
      <w:r>
        <w:rPr>
          <w:rFonts w:hint="eastAsia" w:ascii="宋体" w:hAnsi="宋体"/>
          <w:szCs w:val="21"/>
        </w:rPr>
        <w:t>因承包人原因影响设计进度的，按</w:t>
      </w:r>
      <w:r>
        <w:rPr>
          <w:rFonts w:hint="eastAsia"/>
        </w:rPr>
        <w:t>第11.5</w:t>
      </w:r>
      <w:r>
        <w:rPr>
          <w:rFonts w:hint="eastAsia" w:ascii="宋体" w:hAnsi="宋体"/>
          <w:szCs w:val="21"/>
        </w:rPr>
        <w:t>款</w:t>
      </w:r>
      <w:bookmarkEnd w:id="235"/>
      <w:r>
        <w:rPr>
          <w:rFonts w:hint="eastAsia" w:ascii="宋体" w:hAnsi="宋体"/>
          <w:szCs w:val="21"/>
        </w:rPr>
        <w:t>的约定执行。因发包人原因影响设计进度的，按第</w:t>
      </w:r>
      <w:r>
        <w:rPr>
          <w:rFonts w:hint="eastAsia"/>
        </w:rPr>
        <w:t>15</w:t>
      </w:r>
      <w:r>
        <w:rPr>
          <w:rFonts w:hint="eastAsia" w:ascii="宋体" w:hAnsi="宋体"/>
          <w:szCs w:val="21"/>
        </w:rPr>
        <w:t>条变更处理。</w:t>
      </w:r>
    </w:p>
    <w:p>
      <w:pPr>
        <w:spacing w:line="360" w:lineRule="auto"/>
        <w:ind w:firstLine="420" w:firstLineChars="200"/>
        <w:rPr>
          <w:rFonts w:ascii="宋体" w:hAnsi="宋体"/>
          <w:szCs w:val="21"/>
        </w:rPr>
      </w:pPr>
      <w:r>
        <w:rPr>
          <w:rFonts w:hint="eastAsia" w:ascii="宋体" w:hAnsi="宋体"/>
          <w:szCs w:val="21"/>
        </w:rPr>
        <w:t>发包人或其委托的监理人有权要求承包人根据</w:t>
      </w:r>
      <w:r>
        <w:rPr>
          <w:rFonts w:hint="eastAsia"/>
        </w:rPr>
        <w:t>第11.5</w:t>
      </w:r>
      <w:r>
        <w:rPr>
          <w:rFonts w:hint="eastAsia" w:ascii="宋体" w:hAnsi="宋体"/>
          <w:szCs w:val="21"/>
        </w:rPr>
        <w:t>款提交修正的进度计划、增加投入资源并加快设计进度。</w:t>
      </w:r>
    </w:p>
    <w:p>
      <w:pPr>
        <w:pStyle w:val="6"/>
      </w:pPr>
      <w:bookmarkStart w:id="236" w:name="_Toc300835080"/>
      <w:bookmarkStart w:id="237" w:name="_Toc264373507"/>
      <w:bookmarkStart w:id="238" w:name="_Toc258440555"/>
      <w:bookmarkStart w:id="239" w:name="_Toc259350439"/>
      <w:bookmarkStart w:id="240" w:name="_Toc257880852"/>
      <w:bookmarkStart w:id="241" w:name="_Toc259552523"/>
      <w:r>
        <w:rPr>
          <w:rFonts w:hint="eastAsia"/>
        </w:rPr>
        <w:t>5.3 设计审查</w:t>
      </w:r>
      <w:bookmarkEnd w:id="236"/>
      <w:bookmarkEnd w:id="237"/>
      <w:bookmarkEnd w:id="238"/>
      <w:bookmarkEnd w:id="239"/>
      <w:bookmarkEnd w:id="240"/>
      <w:bookmarkEnd w:id="241"/>
    </w:p>
    <w:p>
      <w:pPr>
        <w:spacing w:line="360" w:lineRule="auto"/>
        <w:ind w:firstLine="420" w:firstLineChars="200"/>
        <w:rPr>
          <w:rFonts w:ascii="宋体" w:hAnsi="宋体"/>
          <w:szCs w:val="21"/>
        </w:rPr>
      </w:pPr>
      <w:r>
        <w:rPr>
          <w:rFonts w:hint="eastAsia"/>
        </w:rPr>
        <w:t xml:space="preserve">5.3.1 </w:t>
      </w:r>
      <w:r>
        <w:rPr>
          <w:rFonts w:hint="eastAsia" w:ascii="宋体" w:hAnsi="宋体"/>
          <w:szCs w:val="21"/>
        </w:rPr>
        <w:t>承包人的设计文件应报发包人审查同意。审查的范围和内容在发包人要求中约定。</w:t>
      </w:r>
    </w:p>
    <w:p>
      <w:pPr>
        <w:spacing w:line="360" w:lineRule="auto"/>
        <w:ind w:firstLine="420" w:firstLineChars="200"/>
        <w:rPr>
          <w:rFonts w:ascii="宋体" w:hAnsi="宋体"/>
          <w:szCs w:val="21"/>
        </w:rPr>
      </w:pPr>
      <w:r>
        <w:rPr>
          <w:rFonts w:hint="eastAsia" w:ascii="宋体" w:hAnsi="宋体"/>
          <w:szCs w:val="21"/>
        </w:rPr>
        <w:t>除合同另有约定外，自监理人收到承包人的设计文件以及承包人的通知之日起，发包人对承包人的设计文件审查期不超过21天。承包人的设计文件对于合同约定有偏离的，应在通知中说明。承包人需要修改已提交的承包人文件的，应立即通知监理人，并向监理人提交修改后的承包人的设计文件，审查期重新起算。</w:t>
      </w:r>
    </w:p>
    <w:p>
      <w:pPr>
        <w:spacing w:line="360" w:lineRule="auto"/>
        <w:ind w:firstLine="420" w:firstLineChars="200"/>
        <w:rPr>
          <w:rFonts w:ascii="宋体" w:hAnsi="宋体"/>
          <w:szCs w:val="21"/>
        </w:rPr>
      </w:pPr>
      <w:r>
        <w:rPr>
          <w:rFonts w:hint="eastAsia" w:ascii="宋体" w:hAnsi="宋体"/>
          <w:szCs w:val="21"/>
        </w:rPr>
        <w:t>发包人不同意设计文件的，应通过监理人以书面形式通知承包人，并说明不符合合同要求的具体内容。承包人应根据监理人的书面说明，对承包人文件进行修改后重新报送发包人审查，审查期重新起算。</w:t>
      </w:r>
    </w:p>
    <w:p>
      <w:pPr>
        <w:spacing w:line="360" w:lineRule="auto"/>
        <w:ind w:firstLine="420" w:firstLineChars="200"/>
        <w:rPr>
          <w:rFonts w:ascii="宋体" w:hAnsi="宋体"/>
          <w:szCs w:val="21"/>
        </w:rPr>
      </w:pPr>
      <w:r>
        <w:rPr>
          <w:rFonts w:hint="eastAsia" w:ascii="宋体" w:hAnsi="宋体"/>
          <w:szCs w:val="21"/>
        </w:rPr>
        <w:t>合同约定的审查期满，发包人没有做出审查结论也没有提出异议的，视为承包人的设计文件已获发包人同意。</w:t>
      </w:r>
    </w:p>
    <w:p>
      <w:pPr>
        <w:spacing w:line="360" w:lineRule="auto"/>
        <w:ind w:firstLine="420" w:firstLineChars="200"/>
        <w:rPr>
          <w:rFonts w:ascii="宋体" w:hAnsi="宋体"/>
          <w:szCs w:val="21"/>
        </w:rPr>
      </w:pPr>
      <w:r>
        <w:rPr>
          <w:rFonts w:hint="eastAsia"/>
        </w:rPr>
        <w:t xml:space="preserve">5.3.2 </w:t>
      </w:r>
      <w:r>
        <w:rPr>
          <w:rFonts w:hint="eastAsia" w:ascii="宋体" w:hAnsi="宋体"/>
          <w:szCs w:val="21"/>
        </w:rPr>
        <w:t>承包人的设计文件不需要政府有关部门审查或批准的，承包人应当严格按照经发包人审查同意的设计文件设计和实施工程。</w:t>
      </w:r>
    </w:p>
    <w:p>
      <w:pPr>
        <w:spacing w:line="360" w:lineRule="auto"/>
        <w:ind w:firstLine="420" w:firstLineChars="200"/>
        <w:rPr>
          <w:rFonts w:ascii="宋体" w:hAnsi="宋体"/>
          <w:szCs w:val="21"/>
        </w:rPr>
      </w:pPr>
      <w:r>
        <w:rPr>
          <w:rFonts w:hint="eastAsia"/>
        </w:rPr>
        <w:t xml:space="preserve">5.3.3 </w:t>
      </w:r>
      <w:r>
        <w:rPr>
          <w:rStyle w:val="49"/>
          <w:rFonts w:hint="eastAsia"/>
          <w:vanish/>
        </w:rPr>
        <w:t>（</w:t>
      </w:r>
      <w:r>
        <w:rPr>
          <w:rFonts w:hint="eastAsia" w:ascii="宋体" w:hAnsi="宋体"/>
          <w:szCs w:val="21"/>
        </w:rPr>
        <w:t>设计文件需政府有关部门审查或批准的，发包人应在审查同意承包人的设计文件后7天内，向政府有关部门报送设计文件，承包人应予以协助。</w:t>
      </w:r>
    </w:p>
    <w:p>
      <w:pPr>
        <w:spacing w:line="360" w:lineRule="auto"/>
        <w:ind w:firstLine="420" w:firstLineChars="200"/>
        <w:rPr>
          <w:rFonts w:ascii="宋体" w:hAnsi="宋体"/>
          <w:szCs w:val="21"/>
        </w:rPr>
      </w:pPr>
      <w:r>
        <w:rPr>
          <w:rFonts w:hint="eastAsia" w:ascii="宋体" w:hAnsi="宋体"/>
          <w:szCs w:val="21"/>
        </w:rPr>
        <w:t>对于政府有关部门的审查意见，不需要修改发包人要求的，承包人需按该审查意见修改承包人的设计文件；需要修改发包人要求的，发包人应重新提出发包人要求，承包人应根据新提出的发包人要求修改承包人文件。上述情形还应适用第15条、第</w:t>
      </w:r>
      <w:r>
        <w:rPr>
          <w:rFonts w:hint="eastAsia"/>
        </w:rPr>
        <w:t>1.13</w:t>
      </w:r>
      <w:r>
        <w:rPr>
          <w:rFonts w:hint="eastAsia" w:ascii="宋体" w:hAnsi="宋体"/>
          <w:szCs w:val="21"/>
        </w:rPr>
        <w:t>款的有关约定。</w:t>
      </w:r>
    </w:p>
    <w:p>
      <w:pPr>
        <w:spacing w:line="360" w:lineRule="auto"/>
        <w:ind w:firstLine="420" w:firstLineChars="200"/>
        <w:rPr>
          <w:sz w:val="24"/>
        </w:rPr>
      </w:pPr>
      <w:r>
        <w:rPr>
          <w:rFonts w:hint="eastAsia" w:ascii="宋体" w:hAnsi="宋体"/>
          <w:szCs w:val="21"/>
        </w:rPr>
        <w:t>政府有关部门审查批准的，承包人应当严格按照批准后的承包人的设计文件设计和实施工程。</w:t>
      </w:r>
    </w:p>
    <w:p>
      <w:pPr>
        <w:pStyle w:val="6"/>
      </w:pPr>
      <w:bookmarkStart w:id="242" w:name="_Toc300835081"/>
      <w:r>
        <w:rPr>
          <w:rFonts w:hint="eastAsia"/>
        </w:rPr>
        <w:t>5.4 培训</w:t>
      </w:r>
      <w:bookmarkEnd w:id="242"/>
    </w:p>
    <w:p>
      <w:pPr>
        <w:spacing w:line="360" w:lineRule="auto"/>
        <w:ind w:firstLine="420" w:firstLineChars="200"/>
        <w:rPr>
          <w:rFonts w:ascii="宋体" w:hAnsi="宋体"/>
          <w:szCs w:val="21"/>
        </w:rPr>
      </w:pPr>
      <w:r>
        <w:rPr>
          <w:rFonts w:hint="eastAsia" w:ascii="宋体" w:hAnsi="宋体"/>
          <w:szCs w:val="21"/>
        </w:rPr>
        <w:t>承包人应按照发包人要求，对发包人的人员进行工程操作和维修方面的培训。合同约定接收之前进行培训的，应在第</w:t>
      </w:r>
      <w:r>
        <w:rPr>
          <w:rFonts w:hint="eastAsia"/>
        </w:rPr>
        <w:t>18.3</w:t>
      </w:r>
      <w:r>
        <w:rPr>
          <w:rFonts w:hint="eastAsia" w:ascii="宋体" w:hAnsi="宋体"/>
          <w:szCs w:val="21"/>
        </w:rPr>
        <w:t>款约定的竣工验收前完成培训。</w:t>
      </w:r>
    </w:p>
    <w:bookmarkEnd w:id="220"/>
    <w:bookmarkEnd w:id="221"/>
    <w:bookmarkEnd w:id="222"/>
    <w:bookmarkEnd w:id="223"/>
    <w:bookmarkEnd w:id="224"/>
    <w:p>
      <w:pPr>
        <w:pStyle w:val="6"/>
      </w:pPr>
      <w:bookmarkStart w:id="243" w:name="_Toc300835082"/>
      <w:bookmarkStart w:id="244" w:name="_Toc297347663"/>
      <w:bookmarkStart w:id="245" w:name="_Toc468936971"/>
      <w:bookmarkStart w:id="246" w:name="_Toc247527681"/>
      <w:bookmarkStart w:id="247" w:name="_Toc247514080"/>
      <w:bookmarkStart w:id="248" w:name="_Toc487072797"/>
      <w:r>
        <w:t>5</w:t>
      </w:r>
      <w:r>
        <w:rPr>
          <w:rFonts w:hint="eastAsia"/>
        </w:rPr>
        <w:t>.5 竣工文件</w:t>
      </w:r>
      <w:bookmarkEnd w:id="243"/>
    </w:p>
    <w:p>
      <w:pPr>
        <w:spacing w:line="360" w:lineRule="auto"/>
        <w:ind w:firstLine="420" w:firstLineChars="200"/>
        <w:rPr>
          <w:rFonts w:ascii="宋体"/>
        </w:rPr>
      </w:pPr>
      <w:r>
        <w:rPr>
          <w:rFonts w:hint="eastAsia"/>
        </w:rPr>
        <w:t xml:space="preserve">5.5.1 </w:t>
      </w:r>
      <w:r>
        <w:rPr>
          <w:rFonts w:hint="eastAsia" w:ascii="宋体"/>
        </w:rPr>
        <w:t>承包人应编制并及时更新反映工程实施结果的竣工记录，如实记载竣工工程的确切位置、尺寸和已实施工作的详细说明。竣工记录应保存在施工场地，并在竣工试验开始前，按照专用合同条款约定的份数提交给监理人。</w:t>
      </w:r>
    </w:p>
    <w:p>
      <w:pPr>
        <w:spacing w:line="360" w:lineRule="auto"/>
        <w:ind w:firstLine="420" w:firstLineChars="200"/>
        <w:rPr>
          <w:rFonts w:ascii="宋体"/>
        </w:rPr>
      </w:pPr>
      <w:r>
        <w:rPr>
          <w:rFonts w:hint="eastAsia"/>
        </w:rPr>
        <w:t xml:space="preserve">5.5.2 </w:t>
      </w:r>
      <w:r>
        <w:rPr>
          <w:rFonts w:hint="eastAsia" w:ascii="宋体"/>
        </w:rPr>
        <w:t>在颁发工程接收证书之前，承包人应按照发包人要求的份数和形式向监理人提交相应竣工图纸，并取得监理人对尺寸、参照系统及其他有关细节的认可。监理人应按照第5.3款的约定进行审查。</w:t>
      </w:r>
    </w:p>
    <w:p>
      <w:pPr>
        <w:spacing w:line="360" w:lineRule="auto"/>
        <w:ind w:firstLine="420" w:firstLineChars="200"/>
        <w:rPr>
          <w:rFonts w:ascii="宋体"/>
        </w:rPr>
      </w:pPr>
      <w:r>
        <w:rPr>
          <w:rFonts w:hint="eastAsia"/>
        </w:rPr>
        <w:t>5.5.3</w:t>
      </w:r>
      <w:r>
        <w:rPr>
          <w:rFonts w:hint="eastAsia" w:ascii="宋体"/>
        </w:rPr>
        <w:t xml:space="preserve"> 在监理人收到上述文件前，不应认为工程已根据第18.3款和第18.5款约定完成验收。</w:t>
      </w:r>
    </w:p>
    <w:p>
      <w:pPr>
        <w:pStyle w:val="6"/>
      </w:pPr>
      <w:bookmarkStart w:id="249" w:name="_Toc300835083"/>
      <w:r>
        <w:t>5</w:t>
      </w:r>
      <w:r>
        <w:rPr>
          <w:rFonts w:hint="eastAsia"/>
        </w:rPr>
        <w:t>.6 操作和维修手册</w:t>
      </w:r>
      <w:bookmarkEnd w:id="249"/>
    </w:p>
    <w:p>
      <w:pPr>
        <w:spacing w:line="360" w:lineRule="auto"/>
        <w:ind w:firstLine="420" w:firstLineChars="200"/>
        <w:rPr>
          <w:rFonts w:ascii="宋体"/>
        </w:rPr>
      </w:pPr>
      <w:r>
        <w:rPr>
          <w:rFonts w:hint="eastAsia"/>
        </w:rPr>
        <w:t xml:space="preserve">5.6.1 </w:t>
      </w:r>
      <w:r>
        <w:rPr>
          <w:rFonts w:hint="eastAsia" w:ascii="宋体"/>
        </w:rPr>
        <w:t>在竣工试验开始前，承包人应向监理人提交暂行的操作和维修手册，该手册应足够详细，以便发包人能够对生产设备进行操作、维修、拆卸、重新安装、调整及修理。</w:t>
      </w:r>
    </w:p>
    <w:p>
      <w:pPr>
        <w:spacing w:line="360" w:lineRule="auto"/>
        <w:ind w:firstLine="420" w:firstLineChars="200"/>
        <w:rPr>
          <w:rFonts w:ascii="宋体"/>
        </w:rPr>
      </w:pPr>
      <w:r>
        <w:rPr>
          <w:rFonts w:hint="eastAsia"/>
        </w:rPr>
        <w:t xml:space="preserve">5.6.2 </w:t>
      </w:r>
      <w:r>
        <w:rPr>
          <w:rFonts w:hint="eastAsia" w:ascii="宋体"/>
        </w:rPr>
        <w:t>承包人应提交足够详细的最终操作和维修手册，以及在发包人要求中明确的相关操作和维修手册。在监理人收到上述文件前，不应认为工程已根据第</w:t>
      </w:r>
      <w:r>
        <w:rPr>
          <w:rFonts w:hint="eastAsia"/>
        </w:rPr>
        <w:t>18.3</w:t>
      </w:r>
      <w:r>
        <w:rPr>
          <w:rFonts w:hint="eastAsia" w:ascii="宋体"/>
        </w:rPr>
        <w:t>款和第</w:t>
      </w:r>
      <w:r>
        <w:rPr>
          <w:rFonts w:hint="eastAsia"/>
        </w:rPr>
        <w:t>18.5</w:t>
      </w:r>
      <w:r>
        <w:rPr>
          <w:rFonts w:hint="eastAsia" w:ascii="宋体"/>
        </w:rPr>
        <w:t>款约定完成验收。</w:t>
      </w:r>
    </w:p>
    <w:bookmarkEnd w:id="244"/>
    <w:bookmarkEnd w:id="245"/>
    <w:bookmarkEnd w:id="246"/>
    <w:bookmarkEnd w:id="247"/>
    <w:bookmarkEnd w:id="248"/>
    <w:p>
      <w:pPr>
        <w:pStyle w:val="6"/>
      </w:pPr>
      <w:bookmarkStart w:id="250" w:name="_Toc247527686"/>
      <w:bookmarkStart w:id="251" w:name="_Toc247514085"/>
      <w:bookmarkStart w:id="252" w:name="_Toc300835084"/>
      <w:r>
        <w:t>5</w:t>
      </w:r>
      <w:r>
        <w:rPr>
          <w:rFonts w:hint="eastAsia"/>
        </w:rPr>
        <w:t>.7 承包人文件错误</w:t>
      </w:r>
      <w:bookmarkEnd w:id="250"/>
      <w:bookmarkEnd w:id="251"/>
      <w:bookmarkEnd w:id="252"/>
    </w:p>
    <w:p>
      <w:pPr>
        <w:spacing w:line="360" w:lineRule="auto"/>
        <w:ind w:firstLine="420" w:firstLineChars="200"/>
        <w:rPr>
          <w:rFonts w:ascii="宋体"/>
        </w:rPr>
      </w:pPr>
      <w:r>
        <w:rPr>
          <w:rFonts w:hint="eastAsia" w:ascii="宋体"/>
        </w:rPr>
        <w:t>承包人文件存在错误、遗漏、含混、矛盾、不充分之处或其他缺陷，无论承包人是否根据本款获得了批准，承包人均应自费对前述问题带来的缺陷和工程问题进行改正。</w:t>
      </w:r>
      <w:r>
        <w:rPr>
          <w:rFonts w:hint="eastAsia" w:ascii="宋体" w:hAnsi="宋体"/>
          <w:szCs w:val="21"/>
        </w:rPr>
        <w:t>第</w:t>
      </w:r>
      <w:r>
        <w:rPr>
          <w:rFonts w:hint="eastAsia"/>
        </w:rPr>
        <w:t>1.13</w:t>
      </w:r>
      <w:r>
        <w:rPr>
          <w:rFonts w:hint="eastAsia" w:ascii="宋体" w:hAnsi="宋体"/>
          <w:szCs w:val="21"/>
        </w:rPr>
        <w:t>款发包人要求的错误导致承包人文件错误</w:t>
      </w:r>
      <w:r>
        <w:rPr>
          <w:rFonts w:hint="eastAsia" w:ascii="宋体"/>
        </w:rPr>
        <w:t>、遗漏、含混、矛盾、不充分或其他缺陷的</w:t>
      </w:r>
      <w:r>
        <w:rPr>
          <w:rFonts w:hint="eastAsia" w:ascii="宋体" w:hAnsi="宋体"/>
          <w:szCs w:val="21"/>
        </w:rPr>
        <w:t>除外。</w:t>
      </w:r>
    </w:p>
    <w:p>
      <w:pPr>
        <w:pStyle w:val="5"/>
      </w:pPr>
      <w:bookmarkStart w:id="253" w:name="_Toc184635102"/>
      <w:bookmarkStart w:id="254" w:name="_Toc247514086"/>
      <w:bookmarkStart w:id="255" w:name="_Toc300835085"/>
      <w:bookmarkStart w:id="256" w:name="_Toc247527687"/>
      <w:r>
        <w:rPr>
          <w:rFonts w:hint="eastAsia"/>
        </w:rPr>
        <w:t>6. 材料和工程设备</w:t>
      </w:r>
      <w:bookmarkEnd w:id="253"/>
      <w:bookmarkEnd w:id="254"/>
      <w:bookmarkEnd w:id="255"/>
      <w:bookmarkEnd w:id="256"/>
    </w:p>
    <w:p>
      <w:pPr>
        <w:pStyle w:val="6"/>
      </w:pPr>
      <w:bookmarkStart w:id="257" w:name="_Toc247514087"/>
      <w:bookmarkStart w:id="258" w:name="_Toc247527688"/>
      <w:bookmarkStart w:id="259" w:name="_Toc300835086"/>
      <w:r>
        <w:rPr>
          <w:rFonts w:hint="eastAsia"/>
        </w:rPr>
        <w:t>6.1 承包人提供的材料和工程设备</w:t>
      </w:r>
      <w:bookmarkEnd w:id="257"/>
      <w:bookmarkEnd w:id="258"/>
      <w:bookmarkEnd w:id="259"/>
    </w:p>
    <w:p>
      <w:pPr>
        <w:spacing w:line="360" w:lineRule="auto"/>
        <w:ind w:firstLine="420" w:firstLineChars="200"/>
        <w:rPr>
          <w:rFonts w:ascii="宋体" w:hAnsi="宋体"/>
          <w:szCs w:val="21"/>
        </w:rPr>
      </w:pPr>
      <w:r>
        <w:rPr>
          <w:rFonts w:hint="eastAsia"/>
        </w:rPr>
        <w:t>6.1.1</w:t>
      </w:r>
      <w:r>
        <w:rPr>
          <w:rFonts w:hint="eastAsia" w:ascii="宋体" w:hAnsi="宋体"/>
          <w:szCs w:val="21"/>
        </w:rPr>
        <w:t xml:space="preserve"> 除专用合同条款另有约定外，承包人提供的材料和工程设备均由承包人负责采购、运输和保管。承包人应对其采购的材料和工程设备负责。</w:t>
      </w:r>
    </w:p>
    <w:p>
      <w:pPr>
        <w:spacing w:line="360" w:lineRule="auto"/>
        <w:ind w:firstLine="420" w:firstLineChars="200"/>
        <w:rPr>
          <w:rFonts w:ascii="宋体" w:hAnsi="宋体"/>
          <w:szCs w:val="21"/>
        </w:rPr>
      </w:pPr>
      <w:r>
        <w:rPr>
          <w:rFonts w:hint="eastAsia"/>
        </w:rPr>
        <w:t>6.1.2</w:t>
      </w:r>
      <w:r>
        <w:rPr>
          <w:rFonts w:hint="eastAsia" w:ascii="宋体" w:hAnsi="宋体"/>
          <w:szCs w:val="21"/>
        </w:rPr>
        <w:t xml:space="preserve"> 承包人应按专用合同条款的约定，将各项材料和工程设备的供货人及品种、技术要求、规格、数量和供货时间等报送监理人批准。承包人应向监理人提交其负责提供的材料和工程设备的质量证明文件，并满足合同约定的质量标准。</w:t>
      </w:r>
    </w:p>
    <w:p>
      <w:pPr>
        <w:spacing w:line="360" w:lineRule="auto"/>
        <w:ind w:firstLine="420" w:firstLineChars="200"/>
        <w:rPr>
          <w:rFonts w:ascii="宋体" w:hAnsi="宋体"/>
          <w:szCs w:val="21"/>
        </w:rPr>
      </w:pPr>
      <w:r>
        <w:rPr>
          <w:rFonts w:hint="eastAsia"/>
        </w:rPr>
        <w:t xml:space="preserve">6.1.3 </w:t>
      </w:r>
      <w:r>
        <w:rPr>
          <w:rFonts w:hint="eastAsia" w:ascii="宋体" w:hAnsi="宋体"/>
          <w:szCs w:val="21"/>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pStyle w:val="6"/>
      </w:pPr>
      <w:bookmarkStart w:id="260" w:name="_Toc247527689"/>
      <w:bookmarkStart w:id="261" w:name="_Toc247514088"/>
      <w:bookmarkStart w:id="262" w:name="_Toc300835087"/>
      <w:r>
        <w:rPr>
          <w:rFonts w:hint="eastAsia"/>
        </w:rPr>
        <w:t>6.2 发包人提供的材料和工程设备</w:t>
      </w:r>
      <w:bookmarkEnd w:id="260"/>
      <w:bookmarkEnd w:id="261"/>
      <w:r>
        <w:rPr>
          <w:rFonts w:hint="eastAsia"/>
        </w:rPr>
        <w:t>（A）</w:t>
      </w:r>
      <w:bookmarkEnd w:id="262"/>
    </w:p>
    <w:p>
      <w:pPr>
        <w:spacing w:line="360" w:lineRule="auto"/>
        <w:ind w:firstLine="420" w:firstLineChars="200"/>
        <w:rPr>
          <w:rFonts w:ascii="宋体" w:hAnsi="宋体"/>
          <w:szCs w:val="21"/>
        </w:rPr>
      </w:pPr>
      <w:r>
        <w:rPr>
          <w:rFonts w:hint="eastAsia"/>
        </w:rPr>
        <w:t xml:space="preserve">6.2.1 </w:t>
      </w:r>
      <w:r>
        <w:rPr>
          <w:rFonts w:hint="eastAsia" w:ascii="宋体" w:hAnsi="宋体"/>
          <w:szCs w:val="21"/>
        </w:rPr>
        <w:t>专用合同条款约定发包人提供部分材料和工程设备的，应写明材料和工程设备的名称、规格、数量、价格、交货方式、交货地点等。</w:t>
      </w:r>
    </w:p>
    <w:p>
      <w:pPr>
        <w:spacing w:line="360" w:lineRule="auto"/>
        <w:ind w:firstLine="420" w:firstLineChars="200"/>
        <w:rPr>
          <w:rFonts w:ascii="宋体" w:hAnsi="宋体"/>
          <w:szCs w:val="21"/>
        </w:rPr>
      </w:pPr>
      <w:r>
        <w:rPr>
          <w:rFonts w:hint="eastAsia"/>
        </w:rPr>
        <w:t>6.2.2</w:t>
      </w:r>
      <w:r>
        <w:rPr>
          <w:rFonts w:hint="eastAsia" w:ascii="宋体" w:hAnsi="宋体"/>
          <w:szCs w:val="21"/>
        </w:rPr>
        <w:t xml:space="preserve"> 承包人应根据合同进度计划的安排，向监理人报送要求发包人交货的日期计划。发包人应按照监理人与合同双方当事人商定的交货日期，向承包人提交材料和工程设备。</w:t>
      </w:r>
    </w:p>
    <w:p>
      <w:pPr>
        <w:spacing w:line="360" w:lineRule="auto"/>
        <w:ind w:firstLine="420" w:firstLineChars="200"/>
      </w:pPr>
      <w:r>
        <w:rPr>
          <w:rFonts w:hint="eastAsia"/>
        </w:rPr>
        <w:t>6.2.3</w:t>
      </w:r>
      <w:r>
        <w:rPr>
          <w:rFonts w:hint="eastAsia" w:ascii="宋体" w:hAnsi="宋体"/>
          <w:szCs w:val="21"/>
        </w:rPr>
        <w:t xml:space="preserve"> 发包人应在材料和工程设备到货7 天前通知承包人，承包人应会同监理人在约定的时间内，赴交货地点共同进行验收。除专用合同条款另有约定外，发包人提供的材料和工程设备验收后，由承包人负责接</w:t>
      </w:r>
      <w:r>
        <w:rPr>
          <w:rFonts w:hint="eastAsia"/>
        </w:rPr>
        <w:t>收、运输和保管。</w:t>
      </w:r>
    </w:p>
    <w:p>
      <w:pPr>
        <w:spacing w:line="360" w:lineRule="auto"/>
        <w:ind w:firstLine="420" w:firstLineChars="200"/>
        <w:rPr>
          <w:rFonts w:ascii="宋体" w:hAnsi="宋体"/>
          <w:szCs w:val="21"/>
        </w:rPr>
      </w:pPr>
      <w:r>
        <w:rPr>
          <w:rFonts w:hint="eastAsia"/>
        </w:rPr>
        <w:t>6.2.4</w:t>
      </w:r>
      <w:r>
        <w:rPr>
          <w:rFonts w:hint="eastAsia" w:ascii="宋体" w:hAnsi="宋体"/>
          <w:szCs w:val="21"/>
        </w:rPr>
        <w:t xml:space="preserve"> 发包人要求向承包人提前交货的，承包人不得拒绝，但发包人应承担承包人由此增加的费用。</w:t>
      </w:r>
    </w:p>
    <w:p>
      <w:pPr>
        <w:spacing w:line="360" w:lineRule="auto"/>
        <w:ind w:firstLine="420" w:firstLineChars="200"/>
        <w:rPr>
          <w:rFonts w:ascii="宋体" w:hAnsi="宋体"/>
          <w:szCs w:val="21"/>
        </w:rPr>
      </w:pPr>
      <w:r>
        <w:rPr>
          <w:rFonts w:hint="eastAsia"/>
        </w:rPr>
        <w:t>6.2.5</w:t>
      </w:r>
      <w:r>
        <w:rPr>
          <w:rFonts w:hint="eastAsia" w:ascii="宋体" w:hAnsi="宋体"/>
          <w:szCs w:val="21"/>
        </w:rPr>
        <w:t xml:space="preserve"> 承包人要求更改交货日期或地点的，应事先报请监理人批准。由于承包人要求更改交货时间或地点所增加的费用和（或）工期延误由承包人承担。</w:t>
      </w:r>
    </w:p>
    <w:p>
      <w:pPr>
        <w:spacing w:line="360" w:lineRule="auto"/>
        <w:ind w:firstLine="420" w:firstLineChars="200"/>
        <w:rPr>
          <w:rFonts w:ascii="宋体" w:hAnsi="宋体"/>
          <w:szCs w:val="21"/>
        </w:rPr>
      </w:pPr>
      <w:r>
        <w:rPr>
          <w:rFonts w:hint="eastAsia"/>
        </w:rPr>
        <w:t>6.2.6</w:t>
      </w:r>
      <w:r>
        <w:rPr>
          <w:rFonts w:hint="eastAsia" w:ascii="宋体" w:hAnsi="宋体"/>
          <w:szCs w:val="21"/>
        </w:rPr>
        <w:t xml:space="preserve"> 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6"/>
      </w:pPr>
      <w:bookmarkStart w:id="263" w:name="_Toc300835088"/>
      <w:r>
        <w:rPr>
          <w:rFonts w:hint="eastAsia"/>
        </w:rPr>
        <w:t>6.2 发包人提供的材料和工程设备（B）</w:t>
      </w:r>
      <w:bookmarkEnd w:id="263"/>
    </w:p>
    <w:p>
      <w:pPr>
        <w:spacing w:line="360" w:lineRule="auto"/>
        <w:ind w:firstLine="420" w:firstLineChars="200"/>
        <w:rPr>
          <w:rFonts w:ascii="宋体" w:hAnsi="宋体"/>
          <w:szCs w:val="21"/>
        </w:rPr>
      </w:pPr>
      <w:r>
        <w:rPr>
          <w:rFonts w:hint="eastAsia" w:ascii="宋体" w:hAnsi="宋体"/>
          <w:szCs w:val="21"/>
        </w:rPr>
        <w:t>发包人不提供材料和工程设备。</w:t>
      </w:r>
    </w:p>
    <w:p>
      <w:pPr>
        <w:pStyle w:val="6"/>
      </w:pPr>
      <w:bookmarkStart w:id="264" w:name="_Toc247527690"/>
      <w:bookmarkStart w:id="265" w:name="_Toc247514089"/>
      <w:bookmarkStart w:id="266" w:name="_Toc300835089"/>
      <w:r>
        <w:rPr>
          <w:rFonts w:hint="eastAsia"/>
        </w:rPr>
        <w:t>6.3 专用于工程的</w:t>
      </w:r>
      <w:bookmarkEnd w:id="264"/>
      <w:bookmarkEnd w:id="265"/>
      <w:r>
        <w:rPr>
          <w:rFonts w:hint="eastAsia"/>
        </w:rPr>
        <w:t>材料和工程设备</w:t>
      </w:r>
      <w:bookmarkEnd w:id="266"/>
    </w:p>
    <w:p>
      <w:pPr>
        <w:spacing w:line="360" w:lineRule="auto"/>
        <w:ind w:firstLine="420" w:firstLineChars="200"/>
        <w:rPr>
          <w:rFonts w:ascii="宋体" w:hAnsi="宋体"/>
          <w:szCs w:val="21"/>
        </w:rPr>
      </w:pPr>
      <w:r>
        <w:rPr>
          <w:rFonts w:hint="eastAsia"/>
        </w:rPr>
        <w:t>6.3.1</w:t>
      </w:r>
      <w:r>
        <w:rPr>
          <w:rFonts w:hint="eastAsia" w:ascii="宋体" w:hAnsi="宋体"/>
          <w:szCs w:val="21"/>
        </w:rPr>
        <w:t xml:space="preserve"> 运入施工场地的材料、工程设备，包括备品备件、安装专用工器具与随机资料，必须专用于合同约定范围内的工程，未经监理人同意，承包人不得运出施工场地或挪作他用。</w:t>
      </w:r>
    </w:p>
    <w:p>
      <w:pPr>
        <w:spacing w:line="360" w:lineRule="auto"/>
        <w:ind w:firstLine="420" w:firstLineChars="200"/>
        <w:rPr>
          <w:rFonts w:ascii="宋体" w:hAnsi="宋体"/>
          <w:szCs w:val="21"/>
        </w:rPr>
      </w:pPr>
      <w:r>
        <w:rPr>
          <w:rFonts w:hint="eastAsia"/>
        </w:rPr>
        <w:t>6.3.2</w:t>
      </w:r>
      <w:r>
        <w:rPr>
          <w:rFonts w:hint="eastAsia" w:ascii="宋体" w:hAnsi="宋体"/>
          <w:szCs w:val="21"/>
        </w:rPr>
        <w:t xml:space="preserve">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6"/>
      </w:pPr>
      <w:bookmarkStart w:id="267" w:name="_Toc300835090"/>
      <w:bookmarkStart w:id="268" w:name="_Toc247527691"/>
      <w:bookmarkStart w:id="269" w:name="_Toc247514090"/>
      <w:r>
        <w:rPr>
          <w:rFonts w:hint="eastAsia"/>
        </w:rPr>
        <w:t>6.4 实施方法</w:t>
      </w:r>
      <w:bookmarkEnd w:id="267"/>
    </w:p>
    <w:p>
      <w:pPr>
        <w:spacing w:line="360" w:lineRule="auto"/>
        <w:ind w:firstLine="420" w:firstLineChars="200"/>
        <w:rPr>
          <w:rFonts w:ascii="宋体" w:hAnsi="宋体"/>
          <w:szCs w:val="21"/>
        </w:rPr>
      </w:pPr>
      <w:r>
        <w:rPr>
          <w:rFonts w:hint="eastAsia" w:ascii="宋体" w:hAnsi="宋体"/>
          <w:szCs w:val="21"/>
        </w:rPr>
        <w:t>承包人对材料的加工、工程设备的采购、制造、安装应当按照法律规定、合同约定以及行业习惯来实施。</w:t>
      </w:r>
    </w:p>
    <w:p>
      <w:pPr>
        <w:pStyle w:val="6"/>
      </w:pPr>
      <w:bookmarkStart w:id="270" w:name="_Toc300835091"/>
      <w:r>
        <w:rPr>
          <w:rFonts w:hint="eastAsia"/>
        </w:rPr>
        <w:t>6.5 禁止使用不合格的材料和工程设备</w:t>
      </w:r>
      <w:bookmarkEnd w:id="268"/>
      <w:bookmarkEnd w:id="269"/>
      <w:bookmarkEnd w:id="270"/>
    </w:p>
    <w:p>
      <w:pPr>
        <w:spacing w:line="360" w:lineRule="auto"/>
        <w:ind w:firstLine="420" w:firstLineChars="200"/>
        <w:rPr>
          <w:rFonts w:ascii="宋体" w:hAnsi="宋体"/>
          <w:szCs w:val="21"/>
        </w:rPr>
      </w:pPr>
      <w:r>
        <w:rPr>
          <w:rFonts w:hint="eastAsia"/>
        </w:rPr>
        <w:t>6.5.1</w:t>
      </w:r>
      <w:r>
        <w:rPr>
          <w:rFonts w:hint="eastAsia" w:ascii="宋体" w:hAnsi="宋体"/>
          <w:szCs w:val="21"/>
        </w:rPr>
        <w:t xml:space="preserve"> 监理人有权拒绝承包人提供的不合格材料或工程设备，并要求承包人立即进行更换。监理人应在更换后再次进行检查和检验，由此增加的费用和（或）工期延误由承包人承担。</w:t>
      </w:r>
    </w:p>
    <w:p>
      <w:pPr>
        <w:spacing w:line="360" w:lineRule="auto"/>
        <w:ind w:firstLine="420" w:firstLineChars="200"/>
        <w:rPr>
          <w:rFonts w:ascii="宋体" w:hAnsi="宋体"/>
          <w:szCs w:val="21"/>
        </w:rPr>
      </w:pPr>
      <w:r>
        <w:rPr>
          <w:rFonts w:hint="eastAsia"/>
        </w:rPr>
        <w:t>6.5.2</w:t>
      </w:r>
      <w:r>
        <w:rPr>
          <w:rFonts w:hint="eastAsia" w:ascii="宋体" w:hAnsi="宋体"/>
          <w:szCs w:val="21"/>
        </w:rPr>
        <w:t xml:space="preserve"> 监理人发现承包人使用了不合格的材料和工程设备，应即时发出指示要求承包人立即改正，并禁止在工程中继续使用不合格的材料和工程设备。</w:t>
      </w:r>
    </w:p>
    <w:p>
      <w:pPr>
        <w:spacing w:line="360" w:lineRule="auto"/>
        <w:ind w:firstLine="420" w:firstLineChars="200"/>
        <w:rPr>
          <w:rFonts w:ascii="宋体" w:hAnsi="宋体"/>
          <w:szCs w:val="21"/>
        </w:rPr>
      </w:pPr>
      <w:r>
        <w:rPr>
          <w:rFonts w:hint="eastAsia"/>
        </w:rPr>
        <w:t>6.5.3</w:t>
      </w:r>
      <w:r>
        <w:rPr>
          <w:rFonts w:hint="eastAsia" w:ascii="宋体" w:hAnsi="宋体"/>
          <w:szCs w:val="21"/>
        </w:rPr>
        <w:t xml:space="preserve"> 发包人提供的材料或工程设备不符合合同要求的，承包人有权拒绝，并可要求发包人更换，由此增加的费用和（或）工期延误由发包人承担。</w:t>
      </w:r>
    </w:p>
    <w:p>
      <w:pPr>
        <w:pStyle w:val="5"/>
      </w:pPr>
      <w:bookmarkStart w:id="271" w:name="_Toc184635103"/>
      <w:bookmarkStart w:id="272" w:name="_Toc300835092"/>
      <w:bookmarkStart w:id="273" w:name="_Toc247527692"/>
      <w:bookmarkStart w:id="274" w:name="_Toc247514091"/>
      <w:r>
        <w:rPr>
          <w:rFonts w:hint="eastAsia"/>
        </w:rPr>
        <w:t>7. 施工设备和临时设施</w:t>
      </w:r>
      <w:bookmarkEnd w:id="271"/>
      <w:bookmarkEnd w:id="272"/>
      <w:bookmarkEnd w:id="273"/>
      <w:bookmarkEnd w:id="274"/>
    </w:p>
    <w:p>
      <w:pPr>
        <w:pStyle w:val="6"/>
      </w:pPr>
      <w:bookmarkStart w:id="275" w:name="_Toc247527693"/>
      <w:bookmarkStart w:id="276" w:name="_Toc247514092"/>
      <w:bookmarkStart w:id="277" w:name="_Toc300835093"/>
      <w:r>
        <w:rPr>
          <w:rFonts w:hint="eastAsia"/>
        </w:rPr>
        <w:t>7.1 承包人提供的施工设备和临时设施</w:t>
      </w:r>
      <w:bookmarkEnd w:id="275"/>
      <w:bookmarkEnd w:id="276"/>
      <w:bookmarkEnd w:id="277"/>
    </w:p>
    <w:p>
      <w:pPr>
        <w:spacing w:line="360" w:lineRule="auto"/>
        <w:ind w:firstLine="420" w:firstLineChars="200"/>
        <w:rPr>
          <w:rFonts w:ascii="宋体" w:hAnsi="宋体"/>
          <w:szCs w:val="21"/>
        </w:rPr>
      </w:pPr>
      <w:r>
        <w:rPr>
          <w:rFonts w:hint="eastAsia"/>
        </w:rPr>
        <w:t>7.1.1</w:t>
      </w:r>
      <w:r>
        <w:rPr>
          <w:rFonts w:hint="eastAsia" w:ascii="宋体" w:hAnsi="宋体"/>
          <w:szCs w:val="21"/>
        </w:rPr>
        <w:t xml:space="preserve"> 承包人应按合同进度计划的要求，及时配置施工设备和修建临时设施。进入施工场地的承包人设备需经监理人核查后才能投入使用。承包人更换合同约定的承包人设备的，应报监理人批准。</w:t>
      </w:r>
    </w:p>
    <w:p>
      <w:pPr>
        <w:spacing w:line="360" w:lineRule="auto"/>
        <w:ind w:firstLine="420" w:firstLineChars="200"/>
        <w:rPr>
          <w:rFonts w:ascii="宋体" w:hAnsi="宋体"/>
          <w:szCs w:val="21"/>
        </w:rPr>
      </w:pPr>
      <w:r>
        <w:rPr>
          <w:rFonts w:hint="eastAsia"/>
        </w:rPr>
        <w:t>7.1.2</w:t>
      </w:r>
      <w:r>
        <w:rPr>
          <w:rFonts w:hint="eastAsia" w:ascii="宋体" w:hAnsi="宋体"/>
          <w:szCs w:val="21"/>
        </w:rPr>
        <w:t xml:space="preserve"> 除专用合同条款另有约定外，承包人应自行承担修建临时设施的费用。需要临时占地的，应由发包人办理申请手续并承担相应费用。</w:t>
      </w:r>
    </w:p>
    <w:p>
      <w:pPr>
        <w:pStyle w:val="6"/>
      </w:pPr>
      <w:bookmarkStart w:id="278" w:name="_Toc247527694"/>
      <w:bookmarkStart w:id="279" w:name="_Toc247514093"/>
      <w:bookmarkStart w:id="280" w:name="_Toc300835094"/>
      <w:r>
        <w:rPr>
          <w:rFonts w:hint="eastAsia"/>
        </w:rPr>
        <w:t>7.2 发包人提供的施工设备和临时设施</w:t>
      </w:r>
      <w:bookmarkEnd w:id="278"/>
      <w:bookmarkEnd w:id="279"/>
      <w:r>
        <w:rPr>
          <w:rFonts w:hint="eastAsia"/>
        </w:rPr>
        <w:t>（A）</w:t>
      </w:r>
      <w:bookmarkEnd w:id="280"/>
    </w:p>
    <w:p>
      <w:pPr>
        <w:spacing w:line="360" w:lineRule="auto"/>
        <w:ind w:firstLine="420" w:firstLineChars="200"/>
        <w:rPr>
          <w:rFonts w:ascii="宋体" w:hAnsi="宋体"/>
          <w:szCs w:val="21"/>
        </w:rPr>
      </w:pPr>
      <w:r>
        <w:rPr>
          <w:rFonts w:hint="eastAsia" w:ascii="宋体" w:hAnsi="宋体"/>
          <w:szCs w:val="21"/>
        </w:rPr>
        <w:t>发包人提供的施工设备或临时设施在专用合同条款中约定。</w:t>
      </w:r>
    </w:p>
    <w:p>
      <w:pPr>
        <w:pStyle w:val="6"/>
      </w:pPr>
      <w:bookmarkStart w:id="281" w:name="_Toc300835095"/>
      <w:r>
        <w:rPr>
          <w:rFonts w:hint="eastAsia"/>
        </w:rPr>
        <w:t>7.2 发包人提供的施工设备和临时设施（B）</w:t>
      </w:r>
      <w:bookmarkEnd w:id="281"/>
    </w:p>
    <w:p>
      <w:pPr>
        <w:spacing w:line="360" w:lineRule="auto"/>
        <w:ind w:firstLine="420" w:firstLineChars="200"/>
        <w:rPr>
          <w:rFonts w:ascii="宋体" w:hAnsi="宋体"/>
          <w:szCs w:val="21"/>
        </w:rPr>
      </w:pPr>
      <w:r>
        <w:rPr>
          <w:rFonts w:hint="eastAsia" w:ascii="宋体" w:hAnsi="宋体"/>
          <w:szCs w:val="21"/>
        </w:rPr>
        <w:t>发包人不提供施工设备或临时设施。</w:t>
      </w:r>
    </w:p>
    <w:p>
      <w:pPr>
        <w:pStyle w:val="6"/>
      </w:pPr>
      <w:bookmarkStart w:id="282" w:name="_Toc247527695"/>
      <w:bookmarkStart w:id="283" w:name="_Toc300835096"/>
      <w:bookmarkStart w:id="284" w:name="_Toc247514094"/>
      <w:r>
        <w:rPr>
          <w:rFonts w:hint="eastAsia"/>
        </w:rPr>
        <w:t>7.3 要求承包人增加或更换施工设备</w:t>
      </w:r>
      <w:bookmarkEnd w:id="282"/>
      <w:bookmarkEnd w:id="283"/>
      <w:bookmarkEnd w:id="284"/>
    </w:p>
    <w:p>
      <w:pPr>
        <w:spacing w:line="360" w:lineRule="auto"/>
        <w:ind w:firstLine="420" w:firstLineChars="200"/>
        <w:rPr>
          <w:rFonts w:ascii="宋体" w:hAnsi="宋体"/>
          <w:szCs w:val="21"/>
        </w:rPr>
      </w:pPr>
      <w:r>
        <w:rPr>
          <w:rFonts w:hint="eastAsia" w:ascii="宋体" w:hAnsi="宋体"/>
          <w:szCs w:val="21"/>
        </w:rPr>
        <w:t>承包人使用的施工设备不能满足合同进度计划和（或）质量标准时，监理人有权要求承包人增加或更换施工设备，承包人应及时增加或更换，由此增加的费用和（或）工期延误由承包人承担。</w:t>
      </w:r>
    </w:p>
    <w:p>
      <w:pPr>
        <w:pStyle w:val="6"/>
      </w:pPr>
      <w:bookmarkStart w:id="285" w:name="_Toc300835097"/>
      <w:bookmarkStart w:id="286" w:name="_Toc247514095"/>
      <w:bookmarkStart w:id="287" w:name="_Toc247527696"/>
      <w:r>
        <w:rPr>
          <w:rFonts w:hint="eastAsia"/>
        </w:rPr>
        <w:t>7.4 施工设备和临时设施专用于合同工程</w:t>
      </w:r>
      <w:bookmarkEnd w:id="285"/>
      <w:bookmarkEnd w:id="286"/>
      <w:bookmarkEnd w:id="287"/>
    </w:p>
    <w:p>
      <w:pPr>
        <w:spacing w:line="360" w:lineRule="auto"/>
        <w:ind w:firstLine="420" w:firstLineChars="200"/>
        <w:rPr>
          <w:rFonts w:ascii="宋体" w:hAnsi="宋体"/>
          <w:szCs w:val="21"/>
        </w:rPr>
      </w:pPr>
      <w:r>
        <w:rPr>
          <w:rFonts w:hint="eastAsia"/>
        </w:rPr>
        <w:t>7.4.1</w:t>
      </w:r>
      <w:r>
        <w:rPr>
          <w:rFonts w:hint="eastAsia" w:ascii="宋体" w:hAnsi="宋体"/>
          <w:szCs w:val="21"/>
        </w:rPr>
        <w:t xml:space="preserve"> 除合同另有约定外，运入施工场地的所有施工设备以及在施工场地建设的临时设施应专用于合同工程。未经监理人同意，不得将上述施工设备和临时设施中的任何部分运出施工场地或挪作他用。</w:t>
      </w:r>
    </w:p>
    <w:p>
      <w:pPr>
        <w:spacing w:line="360" w:lineRule="auto"/>
        <w:ind w:firstLine="420" w:firstLineChars="200"/>
        <w:rPr>
          <w:rFonts w:ascii="宋体" w:hAnsi="宋体"/>
          <w:szCs w:val="21"/>
        </w:rPr>
      </w:pPr>
      <w:r>
        <w:rPr>
          <w:rFonts w:hint="eastAsia"/>
        </w:rPr>
        <w:t>7.4.2</w:t>
      </w:r>
      <w:r>
        <w:rPr>
          <w:rFonts w:hint="eastAsia" w:ascii="宋体" w:hAnsi="宋体"/>
          <w:szCs w:val="21"/>
        </w:rPr>
        <w:t xml:space="preserve"> 经监理人同意，承包人可根据合同进度计划撤走闲置的施工设备。</w:t>
      </w:r>
    </w:p>
    <w:p>
      <w:pPr>
        <w:pStyle w:val="5"/>
      </w:pPr>
      <w:bookmarkStart w:id="288" w:name="_Toc247527697"/>
      <w:bookmarkStart w:id="289" w:name="_Toc184635104"/>
      <w:bookmarkStart w:id="290" w:name="_Toc247514096"/>
      <w:bookmarkStart w:id="291" w:name="_Toc300835098"/>
      <w:r>
        <w:rPr>
          <w:rFonts w:hint="eastAsia"/>
        </w:rPr>
        <w:t>8. 交通运输</w:t>
      </w:r>
      <w:bookmarkEnd w:id="288"/>
      <w:bookmarkEnd w:id="289"/>
      <w:bookmarkEnd w:id="290"/>
      <w:bookmarkEnd w:id="291"/>
    </w:p>
    <w:p>
      <w:pPr>
        <w:pStyle w:val="6"/>
      </w:pPr>
      <w:bookmarkStart w:id="292" w:name="_Toc247527698"/>
      <w:bookmarkStart w:id="293" w:name="_Toc247514097"/>
      <w:bookmarkStart w:id="294" w:name="_Toc300835099"/>
      <w:r>
        <w:rPr>
          <w:rFonts w:hint="eastAsia"/>
        </w:rPr>
        <w:t>8.1 道路通行权和场外设施</w:t>
      </w:r>
      <w:bookmarkEnd w:id="292"/>
      <w:bookmarkEnd w:id="293"/>
      <w:r>
        <w:rPr>
          <w:rFonts w:hint="eastAsia"/>
        </w:rPr>
        <w:t>（A）</w:t>
      </w:r>
      <w:bookmarkEnd w:id="294"/>
    </w:p>
    <w:p>
      <w:pPr>
        <w:spacing w:line="360" w:lineRule="auto"/>
        <w:ind w:firstLine="420" w:firstLineChars="200"/>
        <w:rPr>
          <w:rFonts w:ascii="宋体" w:hAnsi="宋体"/>
          <w:szCs w:val="21"/>
        </w:rPr>
      </w:pPr>
      <w:r>
        <w:rPr>
          <w:rFonts w:hint="eastAsia" w:ascii="宋体" w:hAnsi="宋体"/>
          <w:szCs w:val="21"/>
        </w:rPr>
        <w:t>发包人应根据工程的施工需要，负责办理取得出入施工场地的专用和临时道路的通行权，以及取得为工程建设所需修建场外设施的权利，并承担有关费用。承包人应协助发包人办理上述手续。</w:t>
      </w:r>
    </w:p>
    <w:p>
      <w:pPr>
        <w:pStyle w:val="6"/>
      </w:pPr>
      <w:bookmarkStart w:id="295" w:name="_Toc300835100"/>
      <w:r>
        <w:rPr>
          <w:rFonts w:hint="eastAsia"/>
        </w:rPr>
        <w:t>8.1 道路通行权和场外设施（B）</w:t>
      </w:r>
      <w:bookmarkEnd w:id="295"/>
    </w:p>
    <w:p>
      <w:pPr>
        <w:spacing w:line="360" w:lineRule="auto"/>
        <w:ind w:firstLine="420" w:firstLineChars="200"/>
        <w:rPr>
          <w:rFonts w:ascii="宋体" w:hAnsi="宋体"/>
          <w:szCs w:val="21"/>
        </w:rPr>
      </w:pPr>
      <w:r>
        <w:rPr>
          <w:rFonts w:hint="eastAsia" w:ascii="宋体" w:hAnsi="宋体"/>
          <w:szCs w:val="21"/>
        </w:rPr>
        <w:t>承包人应根据工程的施工需要，负责办理取得出入施工场地的专用和临时道路的通行权，以及取得为工程建设所需修建场外设施的权利，并承担有关费用。发包人应协助承包人办理上述手续。</w:t>
      </w:r>
    </w:p>
    <w:p>
      <w:pPr>
        <w:spacing w:line="360" w:lineRule="auto"/>
        <w:ind w:firstLine="420" w:firstLineChars="200"/>
        <w:rPr>
          <w:rFonts w:ascii="宋体" w:hAnsi="宋体"/>
          <w:szCs w:val="21"/>
        </w:rPr>
      </w:pPr>
    </w:p>
    <w:p>
      <w:pPr>
        <w:pStyle w:val="6"/>
      </w:pPr>
      <w:bookmarkStart w:id="296" w:name="_Toc247527699"/>
      <w:bookmarkStart w:id="297" w:name="_Toc300835101"/>
      <w:bookmarkStart w:id="298" w:name="_Toc247514098"/>
      <w:r>
        <w:rPr>
          <w:rFonts w:hint="eastAsia"/>
        </w:rPr>
        <w:t>8.2 场内施工道路</w:t>
      </w:r>
      <w:bookmarkEnd w:id="296"/>
      <w:bookmarkEnd w:id="297"/>
      <w:bookmarkEnd w:id="298"/>
    </w:p>
    <w:p>
      <w:pPr>
        <w:spacing w:line="360" w:lineRule="auto"/>
        <w:ind w:firstLine="420" w:firstLineChars="200"/>
        <w:rPr>
          <w:rFonts w:ascii="宋体" w:hAnsi="宋体"/>
          <w:szCs w:val="21"/>
        </w:rPr>
      </w:pPr>
      <w:r>
        <w:rPr>
          <w:rFonts w:hint="eastAsia"/>
        </w:rPr>
        <w:t>8.2.1</w:t>
      </w:r>
      <w:r>
        <w:rPr>
          <w:rFonts w:hint="eastAsia" w:ascii="宋体" w:hAnsi="宋体"/>
          <w:szCs w:val="21"/>
        </w:rPr>
        <w:t xml:space="preserve"> 除专用合同条款另有约定外，承包人应负责修建、维修、养护和管理施工所需的临时道路和交通设施，包括维修、养护和管理发包人提供的道路和交通设施，并承担相应费用。</w:t>
      </w:r>
    </w:p>
    <w:p>
      <w:pPr>
        <w:spacing w:line="360" w:lineRule="auto"/>
        <w:ind w:firstLine="420" w:firstLineChars="200"/>
        <w:rPr>
          <w:rFonts w:ascii="宋体" w:hAnsi="宋体"/>
          <w:szCs w:val="21"/>
        </w:rPr>
      </w:pPr>
      <w:r>
        <w:rPr>
          <w:rFonts w:hint="eastAsia"/>
        </w:rPr>
        <w:t>8.2.2</w:t>
      </w:r>
      <w:r>
        <w:rPr>
          <w:rFonts w:hint="eastAsia" w:ascii="宋体" w:hAnsi="宋体"/>
          <w:szCs w:val="21"/>
        </w:rPr>
        <w:t xml:space="preserve"> 除专用合同条款另有约定外，承包人修建的临时道路和交通设施应免费提供发包人和监理人为实现合同目的使用。</w:t>
      </w:r>
    </w:p>
    <w:p>
      <w:pPr>
        <w:pStyle w:val="6"/>
      </w:pPr>
      <w:bookmarkStart w:id="299" w:name="_Toc247514099"/>
      <w:bookmarkStart w:id="300" w:name="_Toc247527700"/>
      <w:bookmarkStart w:id="301" w:name="_Toc300835102"/>
      <w:r>
        <w:rPr>
          <w:rFonts w:hint="eastAsia"/>
        </w:rPr>
        <w:t>8.3 场外交通</w:t>
      </w:r>
      <w:bookmarkEnd w:id="299"/>
      <w:bookmarkEnd w:id="300"/>
      <w:bookmarkEnd w:id="301"/>
    </w:p>
    <w:p>
      <w:pPr>
        <w:spacing w:line="360" w:lineRule="auto"/>
        <w:ind w:firstLine="420" w:firstLineChars="200"/>
        <w:rPr>
          <w:rFonts w:ascii="宋体" w:hAnsi="宋体"/>
          <w:szCs w:val="21"/>
        </w:rPr>
      </w:pPr>
      <w:r>
        <w:rPr>
          <w:rFonts w:hint="eastAsia"/>
        </w:rPr>
        <w:t>8.3.1</w:t>
      </w:r>
      <w:r>
        <w:rPr>
          <w:rFonts w:hint="eastAsia" w:ascii="宋体" w:hAnsi="宋体"/>
          <w:szCs w:val="21"/>
        </w:rPr>
        <w:t xml:space="preserve"> 承包人车辆外出行驶所需的场外公共道路的通行费、养路费和税款等由承包人承担。</w:t>
      </w:r>
    </w:p>
    <w:p>
      <w:pPr>
        <w:spacing w:line="360" w:lineRule="auto"/>
        <w:ind w:firstLine="420" w:firstLineChars="200"/>
        <w:rPr>
          <w:rFonts w:ascii="宋体" w:hAnsi="宋体"/>
          <w:szCs w:val="21"/>
        </w:rPr>
      </w:pPr>
      <w:r>
        <w:rPr>
          <w:rFonts w:hint="eastAsia"/>
        </w:rPr>
        <w:t>8.3.2</w:t>
      </w:r>
      <w:r>
        <w:rPr>
          <w:rFonts w:hint="eastAsia" w:ascii="宋体" w:hAnsi="宋体"/>
          <w:szCs w:val="21"/>
        </w:rPr>
        <w:t xml:space="preserve"> 承包人应遵守有关交通法规，严格按照道路和桥梁的限制荷重安全行驶，并服从交通管理部门的检查和监督。</w:t>
      </w:r>
    </w:p>
    <w:p>
      <w:pPr>
        <w:pStyle w:val="6"/>
      </w:pPr>
      <w:bookmarkStart w:id="302" w:name="_Toc247527701"/>
      <w:bookmarkStart w:id="303" w:name="_Toc300835103"/>
      <w:bookmarkStart w:id="304" w:name="_Toc247514100"/>
      <w:r>
        <w:rPr>
          <w:rFonts w:hint="eastAsia"/>
        </w:rPr>
        <w:t>8.4 超大件和超重件的运输</w:t>
      </w:r>
      <w:bookmarkEnd w:id="302"/>
      <w:bookmarkEnd w:id="303"/>
      <w:bookmarkEnd w:id="304"/>
    </w:p>
    <w:p>
      <w:pPr>
        <w:spacing w:line="360" w:lineRule="auto"/>
        <w:ind w:firstLine="420" w:firstLineChars="200"/>
        <w:rPr>
          <w:rFonts w:ascii="宋体" w:hAnsi="宋体"/>
          <w:szCs w:val="21"/>
        </w:rPr>
      </w:pPr>
      <w:r>
        <w:rPr>
          <w:rFonts w:hint="eastAsia" w:ascii="宋体" w:hAnsi="宋体"/>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6"/>
      </w:pPr>
      <w:bookmarkStart w:id="305" w:name="_Toc247514101"/>
      <w:bookmarkStart w:id="306" w:name="_Toc247527702"/>
      <w:bookmarkStart w:id="307" w:name="_Toc300835104"/>
      <w:r>
        <w:rPr>
          <w:rFonts w:hint="eastAsia"/>
        </w:rPr>
        <w:t>8.5 道路和桥梁的损坏责任</w:t>
      </w:r>
      <w:bookmarkEnd w:id="305"/>
      <w:bookmarkEnd w:id="306"/>
      <w:bookmarkEnd w:id="307"/>
    </w:p>
    <w:p>
      <w:pPr>
        <w:spacing w:line="360" w:lineRule="auto"/>
        <w:ind w:firstLine="420" w:firstLineChars="200"/>
        <w:rPr>
          <w:rFonts w:ascii="宋体" w:hAnsi="宋体"/>
          <w:szCs w:val="21"/>
        </w:rPr>
      </w:pPr>
      <w:r>
        <w:rPr>
          <w:rFonts w:hint="eastAsia" w:ascii="宋体" w:hAnsi="宋体"/>
          <w:szCs w:val="21"/>
        </w:rPr>
        <w:t>因承包人运输造成施工场地内外公共道路和桥梁损坏的，由承包人承担修复损坏的全部费用和可能引起的赔偿。</w:t>
      </w:r>
    </w:p>
    <w:p>
      <w:pPr>
        <w:pStyle w:val="6"/>
      </w:pPr>
      <w:bookmarkStart w:id="308" w:name="_Toc247527703"/>
      <w:bookmarkStart w:id="309" w:name="_Toc247514102"/>
      <w:bookmarkStart w:id="310" w:name="_Toc300835105"/>
      <w:r>
        <w:rPr>
          <w:rFonts w:hint="eastAsia"/>
        </w:rPr>
        <w:t>8.6 水路和航空运输</w:t>
      </w:r>
      <w:bookmarkEnd w:id="308"/>
      <w:bookmarkEnd w:id="309"/>
      <w:bookmarkEnd w:id="310"/>
    </w:p>
    <w:p>
      <w:pPr>
        <w:spacing w:line="360" w:lineRule="auto"/>
        <w:ind w:firstLine="420" w:firstLineChars="200"/>
        <w:rPr>
          <w:rFonts w:ascii="宋体" w:hAnsi="宋体"/>
          <w:szCs w:val="21"/>
        </w:rPr>
      </w:pPr>
      <w:r>
        <w:rPr>
          <w:rFonts w:hint="eastAsia" w:ascii="宋体" w:hAnsi="宋体"/>
          <w:szCs w:val="21"/>
        </w:rPr>
        <w:t>本条上述各款的内容适用于水路运输和航空运输，其中“道路”一词的涵义包括河道、航线、船闸、机场、码头、堤防以及水路或航空运输中其他相似结构物；“车辆”一词的涵义包括船舶和飞机等。</w:t>
      </w:r>
    </w:p>
    <w:p>
      <w:pPr>
        <w:pStyle w:val="5"/>
      </w:pPr>
      <w:bookmarkStart w:id="311" w:name="_Toc300835106"/>
      <w:bookmarkStart w:id="312" w:name="_Toc247514103"/>
      <w:bookmarkStart w:id="313" w:name="_Toc247527704"/>
      <w:bookmarkStart w:id="314" w:name="_Toc184635105"/>
      <w:r>
        <w:rPr>
          <w:rFonts w:hint="eastAsia"/>
        </w:rPr>
        <w:t>9. 测量放线</w:t>
      </w:r>
      <w:bookmarkEnd w:id="311"/>
      <w:bookmarkEnd w:id="312"/>
      <w:bookmarkEnd w:id="313"/>
      <w:bookmarkEnd w:id="314"/>
    </w:p>
    <w:p>
      <w:pPr>
        <w:pStyle w:val="6"/>
      </w:pPr>
      <w:bookmarkStart w:id="315" w:name="_Toc247514104"/>
      <w:bookmarkStart w:id="316" w:name="_Toc247527705"/>
      <w:bookmarkStart w:id="317" w:name="_Toc300835107"/>
      <w:r>
        <w:rPr>
          <w:rFonts w:hint="eastAsia"/>
        </w:rPr>
        <w:t>9.1 施工控制网</w:t>
      </w:r>
      <w:bookmarkEnd w:id="315"/>
      <w:bookmarkEnd w:id="316"/>
      <w:bookmarkEnd w:id="317"/>
    </w:p>
    <w:p>
      <w:pPr>
        <w:spacing w:line="360" w:lineRule="auto"/>
        <w:ind w:firstLine="420" w:firstLineChars="200"/>
        <w:rPr>
          <w:rFonts w:ascii="宋体" w:hAnsi="宋体"/>
          <w:szCs w:val="21"/>
        </w:rPr>
      </w:pPr>
      <w:r>
        <w:rPr>
          <w:rFonts w:hint="eastAsia"/>
        </w:rPr>
        <w:t xml:space="preserve">9.1.1 </w:t>
      </w:r>
      <w:r>
        <w:rPr>
          <w:rFonts w:hint="eastAsia" w:ascii="宋体" w:hAnsi="宋体"/>
          <w:szCs w:val="21"/>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批准。</w:t>
      </w:r>
    </w:p>
    <w:p>
      <w:pPr>
        <w:spacing w:line="360" w:lineRule="auto"/>
        <w:ind w:firstLine="420" w:firstLineChars="200"/>
        <w:rPr>
          <w:rFonts w:ascii="宋体" w:hAnsi="宋体"/>
          <w:szCs w:val="21"/>
        </w:rPr>
      </w:pPr>
      <w:r>
        <w:rPr>
          <w:rFonts w:hint="eastAsia"/>
        </w:rPr>
        <w:t>9.1.2</w:t>
      </w:r>
      <w:r>
        <w:rPr>
          <w:rFonts w:hint="eastAsia" w:ascii="宋体" w:hAnsi="宋体"/>
          <w:szCs w:val="21"/>
        </w:rPr>
        <w:t xml:space="preserve"> 承包人应负责管理施工控制网点。施工控制网点丢失或损坏的，承包人应及时修复。承包人应承担施工控制网点的管理与修复费用，并在工程竣工后将施工控制网点移交发包人。</w:t>
      </w:r>
    </w:p>
    <w:p>
      <w:pPr>
        <w:pStyle w:val="6"/>
      </w:pPr>
      <w:bookmarkStart w:id="318" w:name="_Toc247527706"/>
      <w:bookmarkStart w:id="319" w:name="_Toc247514105"/>
      <w:bookmarkStart w:id="320" w:name="_Toc300835108"/>
      <w:r>
        <w:rPr>
          <w:rFonts w:hint="eastAsia"/>
        </w:rPr>
        <w:t>9.2 施工测量</w:t>
      </w:r>
      <w:bookmarkEnd w:id="318"/>
      <w:bookmarkEnd w:id="319"/>
      <w:bookmarkEnd w:id="320"/>
    </w:p>
    <w:p>
      <w:pPr>
        <w:spacing w:line="360" w:lineRule="auto"/>
        <w:ind w:firstLine="420" w:firstLineChars="200"/>
        <w:rPr>
          <w:rFonts w:ascii="宋体" w:hAnsi="宋体"/>
          <w:szCs w:val="21"/>
        </w:rPr>
      </w:pPr>
      <w:r>
        <w:rPr>
          <w:rFonts w:hint="eastAsia"/>
        </w:rPr>
        <w:t xml:space="preserve">9.2.1 </w:t>
      </w:r>
      <w:r>
        <w:rPr>
          <w:rFonts w:hint="eastAsia" w:ascii="宋体" w:hAnsi="宋体"/>
          <w:szCs w:val="21"/>
        </w:rPr>
        <w:t>承包人应负责施工过程中的全部施工测量放线工作，并配置合格的人员、仪器、设备和其他物品。</w:t>
      </w:r>
    </w:p>
    <w:p>
      <w:pPr>
        <w:spacing w:line="360" w:lineRule="auto"/>
        <w:ind w:firstLine="420" w:firstLineChars="200"/>
        <w:rPr>
          <w:rFonts w:ascii="宋体" w:hAnsi="宋体"/>
          <w:szCs w:val="21"/>
        </w:rPr>
      </w:pPr>
      <w:r>
        <w:rPr>
          <w:rFonts w:hint="eastAsia"/>
        </w:rPr>
        <w:t xml:space="preserve">9.2.2 </w:t>
      </w:r>
      <w:r>
        <w:rPr>
          <w:rFonts w:hint="eastAsia" w:ascii="宋体" w:hAnsi="宋体"/>
          <w:szCs w:val="21"/>
        </w:rPr>
        <w:t>监理人可以指示承包人进行抽样复测，当复测中发现错误或出现超过合同约定的误差时，承包人应按监理人指示进行修正或补测，并承担相应的复测费用。</w:t>
      </w:r>
    </w:p>
    <w:p>
      <w:pPr>
        <w:pStyle w:val="6"/>
      </w:pPr>
      <w:bookmarkStart w:id="321" w:name="_Toc247514106"/>
      <w:bookmarkStart w:id="322" w:name="_Toc300835109"/>
      <w:bookmarkStart w:id="323" w:name="_Toc247527707"/>
      <w:r>
        <w:rPr>
          <w:rFonts w:hint="eastAsia"/>
        </w:rPr>
        <w:t>9.3 基准资料错误的责任</w:t>
      </w:r>
      <w:bookmarkEnd w:id="321"/>
      <w:bookmarkEnd w:id="322"/>
      <w:bookmarkEnd w:id="323"/>
    </w:p>
    <w:p>
      <w:pPr>
        <w:spacing w:line="360" w:lineRule="auto"/>
        <w:ind w:firstLine="420" w:firstLineChars="200"/>
        <w:rPr>
          <w:rFonts w:ascii="宋体" w:hAnsi="宋体"/>
          <w:szCs w:val="21"/>
        </w:rPr>
      </w:pPr>
      <w:r>
        <w:rPr>
          <w:rFonts w:hint="eastAsia" w:ascii="宋体" w:hAnsi="宋体"/>
          <w:szCs w:val="21"/>
        </w:rPr>
        <w:t>发包人应对其提供的测量基准点、基准线和水准点及其书面资料的真实性、准确性和完整性负责，对其提供上述基准资料错误导致承包人损失的，发包人应当承担由此增加的费用和（或）工期延误，并向承包人支付合理利润。承包人应在设计或施工中对上述资料的准确性进行核实，发现存在明显错误或疏忽的，应及时通知监理人。</w:t>
      </w:r>
    </w:p>
    <w:p>
      <w:pPr>
        <w:pStyle w:val="6"/>
      </w:pPr>
      <w:bookmarkStart w:id="324" w:name="_Toc247527708"/>
      <w:bookmarkStart w:id="325" w:name="_Toc300835110"/>
      <w:bookmarkStart w:id="326" w:name="_Toc247514107"/>
      <w:r>
        <w:rPr>
          <w:rFonts w:hint="eastAsia"/>
        </w:rPr>
        <w:t>9.4 监理人使用施工控制网</w:t>
      </w:r>
      <w:bookmarkEnd w:id="324"/>
      <w:bookmarkEnd w:id="325"/>
      <w:bookmarkEnd w:id="326"/>
    </w:p>
    <w:p>
      <w:pPr>
        <w:spacing w:line="360" w:lineRule="auto"/>
        <w:ind w:firstLine="420" w:firstLineChars="200"/>
        <w:rPr>
          <w:rFonts w:ascii="宋体" w:hAnsi="宋体"/>
          <w:szCs w:val="21"/>
        </w:rPr>
      </w:pPr>
      <w:r>
        <w:rPr>
          <w:rFonts w:hint="eastAsia" w:ascii="宋体" w:hAnsi="宋体"/>
          <w:szCs w:val="21"/>
        </w:rPr>
        <w:t>监理人需要使用施工控制网的，承包人应提供必要的协助，发包人不再为此支付费用。</w:t>
      </w:r>
    </w:p>
    <w:p>
      <w:pPr>
        <w:pStyle w:val="5"/>
      </w:pPr>
      <w:bookmarkStart w:id="327" w:name="_Toc184635106"/>
      <w:bookmarkStart w:id="328" w:name="_Toc247527709"/>
      <w:bookmarkStart w:id="329" w:name="_Toc300835111"/>
      <w:bookmarkStart w:id="330" w:name="_Toc247514108"/>
      <w:r>
        <w:rPr>
          <w:rFonts w:hint="eastAsia"/>
        </w:rPr>
        <w:t>10. 安全、治安保卫和环境保护</w:t>
      </w:r>
      <w:bookmarkEnd w:id="327"/>
      <w:bookmarkEnd w:id="328"/>
      <w:bookmarkEnd w:id="329"/>
      <w:bookmarkEnd w:id="330"/>
    </w:p>
    <w:p>
      <w:pPr>
        <w:pStyle w:val="6"/>
      </w:pPr>
      <w:bookmarkStart w:id="331" w:name="_Toc247527710"/>
      <w:bookmarkStart w:id="332" w:name="_Toc300835112"/>
      <w:bookmarkStart w:id="333" w:name="_Toc247514109"/>
      <w:r>
        <w:rPr>
          <w:rFonts w:hint="eastAsia"/>
        </w:rPr>
        <w:t>10.1 发包人的安全责任</w:t>
      </w:r>
      <w:bookmarkEnd w:id="331"/>
      <w:bookmarkEnd w:id="332"/>
      <w:bookmarkEnd w:id="333"/>
    </w:p>
    <w:p>
      <w:pPr>
        <w:spacing w:line="360" w:lineRule="auto"/>
        <w:ind w:firstLine="420" w:firstLineChars="200"/>
        <w:rPr>
          <w:rFonts w:ascii="宋体" w:hAnsi="宋体"/>
          <w:szCs w:val="21"/>
        </w:rPr>
      </w:pPr>
      <w:r>
        <w:rPr>
          <w:rFonts w:hint="eastAsia"/>
        </w:rPr>
        <w:t>10.1.1</w:t>
      </w:r>
      <w:r>
        <w:rPr>
          <w:rFonts w:hint="eastAsia" w:ascii="宋体" w:hAnsi="宋体"/>
          <w:szCs w:val="21"/>
        </w:rPr>
        <w:t xml:space="preserve"> 发包人应按合同约定履行安全职责，授权监理人按合同约定的安全工作内容监督、检查承包人安全工作的实施，组织承包人和有关单位进行安全检查。</w:t>
      </w:r>
    </w:p>
    <w:p>
      <w:pPr>
        <w:spacing w:line="360" w:lineRule="auto"/>
        <w:ind w:firstLine="420" w:firstLineChars="200"/>
        <w:rPr>
          <w:rFonts w:ascii="宋体" w:hAnsi="宋体"/>
          <w:szCs w:val="21"/>
        </w:rPr>
      </w:pPr>
      <w:r>
        <w:rPr>
          <w:rFonts w:hint="eastAsia"/>
        </w:rPr>
        <w:t>10.1.2</w:t>
      </w:r>
      <w:r>
        <w:rPr>
          <w:rFonts w:hint="eastAsia" w:ascii="宋体" w:hAnsi="宋体"/>
          <w:szCs w:val="21"/>
        </w:rPr>
        <w:t xml:space="preserve"> 发包人应对其现场机构雇佣的全部人员的工伤事故承担责任，但由于承包人原因造成发包人人员工伤的，应由承包人承担责任。</w:t>
      </w:r>
    </w:p>
    <w:p>
      <w:pPr>
        <w:spacing w:line="360" w:lineRule="auto"/>
        <w:ind w:firstLine="420" w:firstLineChars="200"/>
        <w:rPr>
          <w:rFonts w:ascii="宋体" w:hAnsi="宋体"/>
          <w:szCs w:val="21"/>
        </w:rPr>
      </w:pPr>
      <w:r>
        <w:rPr>
          <w:rFonts w:hint="eastAsia"/>
        </w:rPr>
        <w:t>10.1.3</w:t>
      </w:r>
      <w:r>
        <w:rPr>
          <w:rFonts w:hint="eastAsia" w:ascii="宋体" w:hAnsi="宋体"/>
          <w:szCs w:val="21"/>
        </w:rPr>
        <w:t xml:space="preserve"> 发包人应负责赔偿以下各种情况造成的第三者人身伤亡和财产损失：</w:t>
      </w:r>
    </w:p>
    <w:p>
      <w:pPr>
        <w:spacing w:line="360" w:lineRule="auto"/>
        <w:ind w:firstLine="420" w:firstLineChars="200"/>
      </w:pPr>
      <w:r>
        <w:rPr>
          <w:rFonts w:hint="eastAsia"/>
        </w:rPr>
        <w:t>（1）工程或工程的任何部分对土地的占用所造成的第三者财产损失；</w:t>
      </w:r>
    </w:p>
    <w:p>
      <w:pPr>
        <w:spacing w:line="360" w:lineRule="auto"/>
        <w:ind w:firstLine="420" w:firstLineChars="200"/>
        <w:rPr>
          <w:rFonts w:ascii="宋体" w:hAnsi="宋体"/>
          <w:szCs w:val="21"/>
        </w:rPr>
      </w:pPr>
      <w:r>
        <w:rPr>
          <w:rFonts w:hint="eastAsia"/>
        </w:rPr>
        <w:t>（2）由于发包人原</w:t>
      </w:r>
      <w:r>
        <w:rPr>
          <w:rFonts w:hint="eastAsia" w:ascii="宋体" w:hAnsi="宋体"/>
          <w:szCs w:val="21"/>
        </w:rPr>
        <w:t>因在施工场地及其毗邻地带、履行合同工作中造成的第三者人身伤亡和财产损失。</w:t>
      </w:r>
    </w:p>
    <w:p>
      <w:pPr>
        <w:pStyle w:val="6"/>
      </w:pPr>
      <w:bookmarkStart w:id="334" w:name="_Toc300835113"/>
      <w:bookmarkStart w:id="335" w:name="_Toc247514110"/>
      <w:bookmarkStart w:id="336" w:name="_Toc247527711"/>
      <w:r>
        <w:rPr>
          <w:rFonts w:hint="eastAsia"/>
        </w:rPr>
        <w:t>10.2 承包人的安全责任</w:t>
      </w:r>
      <w:bookmarkEnd w:id="334"/>
      <w:bookmarkEnd w:id="335"/>
      <w:bookmarkEnd w:id="336"/>
    </w:p>
    <w:p>
      <w:pPr>
        <w:spacing w:line="360" w:lineRule="auto"/>
        <w:ind w:firstLine="420" w:firstLineChars="200"/>
        <w:rPr>
          <w:rFonts w:ascii="宋体" w:hAnsi="宋体"/>
          <w:szCs w:val="21"/>
        </w:rPr>
      </w:pPr>
      <w:r>
        <w:rPr>
          <w:rFonts w:hint="eastAsia"/>
        </w:rPr>
        <w:t>10.2.1</w:t>
      </w:r>
      <w:r>
        <w:rPr>
          <w:rFonts w:hint="eastAsia" w:ascii="宋体" w:hAnsi="宋体"/>
          <w:szCs w:val="21"/>
        </w:rPr>
        <w:t xml:space="preserve"> 承包人应按合同约定履行安全职责，执行监理人有关安全工作的指示，并在专用合同条款约定的期限内，按合同约定的安全工作内容，编制安全措施计划报送监理人批准。</w:t>
      </w:r>
    </w:p>
    <w:p>
      <w:pPr>
        <w:spacing w:line="360" w:lineRule="auto"/>
        <w:ind w:firstLine="420" w:firstLineChars="200"/>
        <w:rPr>
          <w:rFonts w:ascii="宋体" w:hAnsi="宋体"/>
          <w:szCs w:val="21"/>
        </w:rPr>
      </w:pPr>
      <w:r>
        <w:rPr>
          <w:rFonts w:hint="eastAsia"/>
        </w:rPr>
        <w:t>10.2.2</w:t>
      </w:r>
      <w:r>
        <w:rPr>
          <w:rFonts w:hint="eastAsia" w:ascii="宋体" w:hAnsi="宋体"/>
          <w:szCs w:val="21"/>
        </w:rPr>
        <w:t xml:space="preserve"> 承包人按照合同约定需要进行勘察的，应严格执行操作规程，采取措施保证各类管线、设施和周边建筑物、构筑物的安全。</w:t>
      </w:r>
    </w:p>
    <w:p>
      <w:pPr>
        <w:spacing w:line="360" w:lineRule="auto"/>
        <w:ind w:firstLine="420" w:firstLineChars="200"/>
        <w:rPr>
          <w:rFonts w:ascii="宋体" w:hAnsi="宋体"/>
          <w:szCs w:val="21"/>
        </w:rPr>
      </w:pPr>
      <w:r>
        <w:rPr>
          <w:rFonts w:hint="eastAsia"/>
        </w:rPr>
        <w:t>10.2.3</w:t>
      </w:r>
      <w:r>
        <w:rPr>
          <w:rFonts w:hint="eastAsia" w:ascii="宋体" w:hAnsi="宋体"/>
          <w:szCs w:val="21"/>
        </w:rPr>
        <w:t xml:space="preserve"> 承包人应当按照法律、法规和工程建设强制性标准进行设计，在设计文件中注明涉及施工安全的重点部位和环节，提出保障施工作业人员和预防安全事故的措施建议，防止因设计不合理导致生产安全事故的发生。</w:t>
      </w:r>
    </w:p>
    <w:p>
      <w:pPr>
        <w:spacing w:line="360" w:lineRule="auto"/>
        <w:ind w:firstLine="420" w:firstLineChars="200"/>
        <w:rPr>
          <w:rFonts w:ascii="宋体" w:hAnsi="宋体"/>
          <w:szCs w:val="21"/>
        </w:rPr>
      </w:pPr>
      <w:r>
        <w:rPr>
          <w:rFonts w:hint="eastAsia"/>
        </w:rPr>
        <w:t>10.2.4</w:t>
      </w:r>
      <w:r>
        <w:rPr>
          <w:rFonts w:hint="eastAsia" w:ascii="宋体" w:hAnsi="宋体"/>
          <w:szCs w:val="21"/>
        </w:rPr>
        <w:t xml:space="preserve"> 承包人应加强施工作业安全管理，特别应加强易燃、易爆材料、火工器材、有毒与腐蚀性材料和其他危险品的管理，以及对爆破作业和地下工程施工等危险作业的管理。</w:t>
      </w:r>
    </w:p>
    <w:p>
      <w:pPr>
        <w:spacing w:line="360" w:lineRule="auto"/>
        <w:ind w:firstLine="420" w:firstLineChars="200"/>
        <w:rPr>
          <w:rFonts w:ascii="宋体" w:hAnsi="宋体"/>
          <w:szCs w:val="21"/>
        </w:rPr>
      </w:pPr>
      <w:r>
        <w:rPr>
          <w:rFonts w:hint="eastAsia"/>
        </w:rPr>
        <w:t>10.2.5</w:t>
      </w:r>
      <w:r>
        <w:rPr>
          <w:rFonts w:hint="eastAsia" w:ascii="宋体" w:hAnsi="宋体"/>
          <w:szCs w:val="21"/>
        </w:rPr>
        <w:t xml:space="preserve"> 承包人应严格按照国家安全标准制定施工安全操作规程，配备必要的安全生产和劳动保护设施，加强对承包人人员的安全教育，并发放安全工作手册和劳动保护用具。</w:t>
      </w:r>
    </w:p>
    <w:p>
      <w:pPr>
        <w:spacing w:line="360" w:lineRule="auto"/>
        <w:ind w:firstLine="420" w:firstLineChars="200"/>
        <w:rPr>
          <w:rFonts w:ascii="宋体" w:hAnsi="宋体"/>
          <w:szCs w:val="21"/>
        </w:rPr>
      </w:pPr>
      <w:r>
        <w:rPr>
          <w:rFonts w:hint="eastAsia"/>
        </w:rPr>
        <w:t>10.2.6</w:t>
      </w:r>
      <w:r>
        <w:rPr>
          <w:rFonts w:hint="eastAsia" w:ascii="宋体" w:hAnsi="宋体"/>
          <w:szCs w:val="21"/>
        </w:rPr>
        <w:t xml:space="preserve"> 承包人应按监理人的指示制定应对灾害的紧急预案，报送监理人批准。承包人还应按预案做好安全检查，配置必要的救助物资和器材，切实保护好有关人员的人身和财产安全。</w:t>
      </w:r>
    </w:p>
    <w:p>
      <w:pPr>
        <w:spacing w:line="360" w:lineRule="auto"/>
        <w:ind w:firstLine="420" w:firstLineChars="200"/>
        <w:rPr>
          <w:rFonts w:ascii="宋体" w:hAnsi="宋体"/>
          <w:szCs w:val="21"/>
        </w:rPr>
      </w:pPr>
      <w:r>
        <w:rPr>
          <w:rFonts w:hint="eastAsia"/>
        </w:rPr>
        <w:t>10.2.7</w:t>
      </w:r>
      <w:r>
        <w:rPr>
          <w:rFonts w:hint="eastAsia" w:ascii="宋体" w:hAnsi="宋体"/>
          <w:szCs w:val="21"/>
        </w:rPr>
        <w:t xml:space="preserve"> 合同约定的安全作业环境及安全施工措施所需费用应遵守有关规定，并包括在相关工作的合同价格中。因采取合同未约定的安全作业环境及安全施工措施增加的费用，由监理人按第3.5 款商定或确定。</w:t>
      </w:r>
    </w:p>
    <w:p>
      <w:pPr>
        <w:spacing w:line="360" w:lineRule="auto"/>
        <w:ind w:firstLine="420" w:firstLineChars="200"/>
        <w:rPr>
          <w:rFonts w:ascii="宋体" w:hAnsi="宋体"/>
          <w:szCs w:val="21"/>
        </w:rPr>
      </w:pPr>
      <w:r>
        <w:rPr>
          <w:rFonts w:hint="eastAsia"/>
        </w:rPr>
        <w:t>10.2.8</w:t>
      </w:r>
      <w:r>
        <w:rPr>
          <w:rFonts w:hint="eastAsia" w:ascii="宋体" w:hAnsi="宋体"/>
          <w:szCs w:val="21"/>
        </w:rPr>
        <w:t xml:space="preserve"> 承包人应对其履行合同所雇佣的全部人员，包括分包人人员的工伤事故承担责任，但由于发包人原因造成承包人人员工伤事故的，应由发包人承担责任。</w:t>
      </w:r>
    </w:p>
    <w:p>
      <w:pPr>
        <w:spacing w:line="360" w:lineRule="auto"/>
        <w:ind w:firstLine="420" w:firstLineChars="200"/>
        <w:rPr>
          <w:rFonts w:ascii="宋体" w:hAnsi="宋体"/>
          <w:szCs w:val="21"/>
        </w:rPr>
      </w:pPr>
      <w:r>
        <w:rPr>
          <w:rFonts w:hint="eastAsia"/>
        </w:rPr>
        <w:t>10.2.9</w:t>
      </w:r>
      <w:r>
        <w:rPr>
          <w:rFonts w:hint="eastAsia" w:ascii="宋体" w:hAnsi="宋体"/>
          <w:szCs w:val="21"/>
        </w:rPr>
        <w:t xml:space="preserve"> 由于承包人原因在施工场地内及其毗邻地带造成的第三者人员伤亡和财产损失，由承包人负责赔偿。</w:t>
      </w:r>
    </w:p>
    <w:p>
      <w:pPr>
        <w:pStyle w:val="6"/>
      </w:pPr>
      <w:bookmarkStart w:id="337" w:name="_Toc300835114"/>
      <w:bookmarkStart w:id="338" w:name="_Toc247527712"/>
      <w:bookmarkStart w:id="339" w:name="_Toc247514111"/>
      <w:r>
        <w:rPr>
          <w:rFonts w:hint="eastAsia"/>
        </w:rPr>
        <w:t>10.3 治安保卫</w:t>
      </w:r>
      <w:bookmarkEnd w:id="337"/>
      <w:bookmarkEnd w:id="338"/>
      <w:bookmarkEnd w:id="339"/>
    </w:p>
    <w:p>
      <w:pPr>
        <w:spacing w:line="360" w:lineRule="auto"/>
        <w:ind w:firstLine="420" w:firstLineChars="200"/>
        <w:rPr>
          <w:rFonts w:ascii="宋体" w:hAnsi="宋体"/>
          <w:szCs w:val="21"/>
        </w:rPr>
      </w:pPr>
      <w:r>
        <w:rPr>
          <w:rFonts w:hint="eastAsia"/>
        </w:rPr>
        <w:t>10.3.1</w:t>
      </w:r>
      <w:r>
        <w:rPr>
          <w:rFonts w:hint="eastAsia" w:ascii="宋体" w:hAnsi="宋体"/>
          <w:szCs w:val="21"/>
        </w:rPr>
        <w:t xml:space="preserve"> 除合同另有约定外，承包人应与当地公安部门协商，在现场建立治安管理机构或联防组织，统一管理施工场地的治安保卫事项，履行合同工程的治安保卫职责。</w:t>
      </w:r>
    </w:p>
    <w:p>
      <w:pPr>
        <w:spacing w:line="360" w:lineRule="auto"/>
        <w:ind w:firstLine="420" w:firstLineChars="200"/>
        <w:rPr>
          <w:rFonts w:ascii="宋体" w:hAnsi="宋体"/>
          <w:szCs w:val="21"/>
        </w:rPr>
      </w:pPr>
      <w:r>
        <w:rPr>
          <w:rFonts w:hint="eastAsia"/>
        </w:rPr>
        <w:t>10.3.2</w:t>
      </w:r>
      <w:r>
        <w:rPr>
          <w:rFonts w:hint="eastAsia" w:ascii="宋体" w:hAnsi="宋体"/>
          <w:szCs w:val="21"/>
        </w:rPr>
        <w:t xml:space="preserve"> 发包人和承包人除应协助现场治安管理机构或联防组织维护施工场地的社会治安外，还应做好包括生活区在内的各自管辖区的治安保卫工作。</w:t>
      </w:r>
    </w:p>
    <w:p>
      <w:pPr>
        <w:spacing w:line="360" w:lineRule="auto"/>
        <w:ind w:firstLine="420" w:firstLineChars="200"/>
        <w:rPr>
          <w:rFonts w:ascii="宋体" w:hAnsi="宋体"/>
          <w:szCs w:val="21"/>
        </w:rPr>
      </w:pPr>
      <w:r>
        <w:rPr>
          <w:rFonts w:hint="eastAsia"/>
        </w:rPr>
        <w:t>10.3.3</w:t>
      </w:r>
      <w:r>
        <w:rPr>
          <w:rFonts w:hint="eastAsia" w:ascii="宋体" w:hAnsi="宋体"/>
          <w:szCs w:val="21"/>
        </w:rPr>
        <w:t xml:space="preserve"> 除合同另有约定外，承包人应编制施工场地治安管理计划，并制定应对突发治安事件的紧急预案，报监理人批准。自承包人进入施工现场，至发包人接收工程的期间，施工现场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6"/>
      </w:pPr>
      <w:bookmarkStart w:id="340" w:name="_Toc247527713"/>
      <w:bookmarkStart w:id="341" w:name="_Toc247514112"/>
      <w:bookmarkStart w:id="342" w:name="_Toc300835115"/>
      <w:r>
        <w:rPr>
          <w:rFonts w:hint="eastAsia"/>
        </w:rPr>
        <w:t>10.4 环境保护</w:t>
      </w:r>
      <w:bookmarkEnd w:id="340"/>
      <w:bookmarkEnd w:id="341"/>
      <w:bookmarkEnd w:id="342"/>
    </w:p>
    <w:p>
      <w:pPr>
        <w:spacing w:line="360" w:lineRule="auto"/>
        <w:ind w:firstLine="420" w:firstLineChars="200"/>
        <w:rPr>
          <w:rFonts w:ascii="宋体" w:hAnsi="宋体"/>
          <w:szCs w:val="21"/>
        </w:rPr>
      </w:pPr>
      <w:r>
        <w:rPr>
          <w:rFonts w:hint="eastAsia"/>
        </w:rPr>
        <w:t>10.4.1</w:t>
      </w:r>
      <w:r>
        <w:rPr>
          <w:rFonts w:hint="eastAsia" w:ascii="宋体" w:hAnsi="宋体"/>
          <w:szCs w:val="21"/>
        </w:rPr>
        <w:t xml:space="preserve"> 承包人在履行合同过程中，应遵守有关环境保护的法律，履行合同约定的环境保护义务，并对违反法律和合同约定义务所造成的环境破坏、人身伤害和财产损失负责。</w:t>
      </w:r>
    </w:p>
    <w:p>
      <w:pPr>
        <w:spacing w:line="360" w:lineRule="auto"/>
        <w:ind w:firstLine="420" w:firstLineChars="200"/>
        <w:rPr>
          <w:rFonts w:ascii="宋体" w:hAnsi="宋体"/>
          <w:szCs w:val="21"/>
        </w:rPr>
      </w:pPr>
      <w:r>
        <w:rPr>
          <w:rFonts w:hint="eastAsia"/>
        </w:rPr>
        <w:t>10.4.2</w:t>
      </w:r>
      <w:r>
        <w:rPr>
          <w:rFonts w:hint="eastAsia" w:ascii="宋体" w:hAnsi="宋体"/>
          <w:szCs w:val="21"/>
        </w:rPr>
        <w:t xml:space="preserve"> 承包人应按合同约定的环保工作内容，编制环保措施计划，报送监理人批准。</w:t>
      </w:r>
    </w:p>
    <w:p>
      <w:pPr>
        <w:spacing w:line="360" w:lineRule="auto"/>
        <w:ind w:firstLine="420" w:firstLineChars="200"/>
        <w:rPr>
          <w:rFonts w:ascii="宋体" w:hAnsi="宋体"/>
          <w:szCs w:val="21"/>
        </w:rPr>
      </w:pPr>
      <w:r>
        <w:rPr>
          <w:rFonts w:hint="eastAsia"/>
        </w:rPr>
        <w:t xml:space="preserve">10.4.3 </w:t>
      </w:r>
      <w:r>
        <w:rPr>
          <w:rFonts w:hint="eastAsia" w:ascii="宋体" w:hAnsi="宋体"/>
          <w:szCs w:val="21"/>
        </w:rPr>
        <w:t>承包人应确保施工过程中产生的气体排放物、</w:t>
      </w:r>
      <w:r>
        <w:rPr>
          <w:rFonts w:hint="eastAsia"/>
        </w:rPr>
        <w:t>粉尘、噪声、</w:t>
      </w:r>
      <w:r>
        <w:rPr>
          <w:rFonts w:hint="eastAsia" w:ascii="宋体" w:hAnsi="宋体"/>
          <w:szCs w:val="21"/>
        </w:rPr>
        <w:t>地面排水及排污等，符合法律规定和发包人要求。</w:t>
      </w:r>
    </w:p>
    <w:p>
      <w:pPr>
        <w:pStyle w:val="6"/>
      </w:pPr>
      <w:bookmarkStart w:id="343" w:name="_Toc247527714"/>
      <w:bookmarkStart w:id="344" w:name="_Toc247514113"/>
      <w:bookmarkStart w:id="345" w:name="_Toc300835116"/>
      <w:r>
        <w:rPr>
          <w:rFonts w:hint="eastAsia"/>
        </w:rPr>
        <w:t>10.5 事故处理</w:t>
      </w:r>
      <w:bookmarkEnd w:id="343"/>
      <w:bookmarkEnd w:id="344"/>
      <w:bookmarkEnd w:id="345"/>
    </w:p>
    <w:p>
      <w:pPr>
        <w:spacing w:line="360" w:lineRule="auto"/>
        <w:ind w:firstLine="420" w:firstLineChars="200"/>
        <w:rPr>
          <w:rFonts w:ascii="宋体" w:hAnsi="宋体"/>
          <w:szCs w:val="21"/>
        </w:rPr>
      </w:pPr>
      <w:r>
        <w:rPr>
          <w:rFonts w:hint="eastAsia" w:ascii="宋体" w:hAnsi="宋体"/>
          <w:szCs w:val="21"/>
        </w:rPr>
        <w:t>合同履行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5"/>
      </w:pPr>
      <w:bookmarkStart w:id="346" w:name="_Toc184635108"/>
      <w:bookmarkStart w:id="347" w:name="_Toc247514114"/>
      <w:bookmarkStart w:id="348" w:name="_Toc247527715"/>
      <w:bookmarkStart w:id="349" w:name="_Toc300835117"/>
      <w:r>
        <w:rPr>
          <w:rFonts w:hint="eastAsia"/>
        </w:rPr>
        <w:t>11. 开始工作和竣工</w:t>
      </w:r>
      <w:bookmarkEnd w:id="346"/>
      <w:bookmarkEnd w:id="347"/>
      <w:bookmarkEnd w:id="348"/>
      <w:bookmarkEnd w:id="349"/>
    </w:p>
    <w:p>
      <w:pPr>
        <w:pStyle w:val="6"/>
      </w:pPr>
      <w:bookmarkStart w:id="350" w:name="_Toc300835118"/>
      <w:bookmarkStart w:id="351" w:name="_Toc247527716"/>
      <w:bookmarkStart w:id="352" w:name="_Toc247514115"/>
      <w:r>
        <w:rPr>
          <w:rFonts w:hint="eastAsia"/>
        </w:rPr>
        <w:t>11.1 开始工作</w:t>
      </w:r>
      <w:bookmarkEnd w:id="350"/>
      <w:bookmarkEnd w:id="351"/>
      <w:bookmarkEnd w:id="352"/>
    </w:p>
    <w:p>
      <w:pPr>
        <w:spacing w:line="360" w:lineRule="auto"/>
        <w:ind w:firstLine="420" w:firstLineChars="200"/>
        <w:rPr>
          <w:rFonts w:ascii="宋体" w:hAnsi="宋体"/>
          <w:szCs w:val="21"/>
        </w:rPr>
      </w:pPr>
      <w:r>
        <w:rPr>
          <w:rFonts w:hint="eastAsia" w:ascii="宋体" w:hAnsi="宋体"/>
          <w:szCs w:val="21"/>
        </w:rPr>
        <w:t>符合专用合同条款约定的开始工作的条件的，监理人应提前7天向承包人发出开始工作通知。监理人在发出开始工作通知前应获得发包人同意。工期自开始工作通知中载明的开始工作日期起计算。除专用合同条款另有约定外，因发包人原因造成监理人未能在合同签订之日起90天内发出开始工作通知的，承包人有权提出价格调整要求，或者解除合同。发包人应当承担由此增加的费用和（或）工期延误，并向承包人支付合理利润。</w:t>
      </w:r>
    </w:p>
    <w:p>
      <w:pPr>
        <w:pStyle w:val="6"/>
      </w:pPr>
      <w:bookmarkStart w:id="353" w:name="_Toc247527717"/>
      <w:bookmarkStart w:id="354" w:name="_Toc300835119"/>
      <w:bookmarkStart w:id="355" w:name="_Toc247514116"/>
      <w:r>
        <w:rPr>
          <w:rFonts w:hint="eastAsia"/>
        </w:rPr>
        <w:t>11.2 竣工</w:t>
      </w:r>
      <w:bookmarkEnd w:id="353"/>
      <w:bookmarkEnd w:id="354"/>
      <w:bookmarkEnd w:id="355"/>
    </w:p>
    <w:p>
      <w:pPr>
        <w:spacing w:line="360" w:lineRule="auto"/>
        <w:ind w:firstLine="420" w:firstLineChars="200"/>
        <w:rPr>
          <w:rFonts w:ascii="宋体" w:hAnsi="宋体"/>
          <w:szCs w:val="21"/>
        </w:rPr>
      </w:pPr>
      <w:r>
        <w:rPr>
          <w:rFonts w:hint="eastAsia" w:ascii="宋体" w:hAnsi="宋体"/>
          <w:szCs w:val="21"/>
        </w:rPr>
        <w:t>承包人应在第</w:t>
      </w:r>
      <w:r>
        <w:rPr>
          <w:rFonts w:hint="eastAsia"/>
        </w:rPr>
        <w:t xml:space="preserve">1.1.4.3 </w:t>
      </w:r>
      <w:r>
        <w:rPr>
          <w:rFonts w:hint="eastAsia" w:ascii="宋体" w:hAnsi="宋体"/>
          <w:szCs w:val="21"/>
        </w:rPr>
        <w:t>目约定的期限内完成合同工作。实际竣工日</w:t>
      </w:r>
      <w:r>
        <w:rPr>
          <w:rFonts w:hint="eastAsia"/>
        </w:rPr>
        <w:t>期按第18.3</w:t>
      </w:r>
      <w:r>
        <w:rPr>
          <w:rFonts w:hint="eastAsia" w:ascii="宋体" w:hAnsi="宋体"/>
          <w:szCs w:val="21"/>
        </w:rPr>
        <w:t>款约定确定，并在工程接收证书中载明。</w:t>
      </w:r>
    </w:p>
    <w:p>
      <w:pPr>
        <w:pStyle w:val="6"/>
      </w:pPr>
      <w:bookmarkStart w:id="356" w:name="_Toc300835120"/>
      <w:bookmarkStart w:id="357" w:name="_Toc247527718"/>
      <w:bookmarkStart w:id="358" w:name="_Toc247514117"/>
      <w:r>
        <w:rPr>
          <w:rFonts w:hint="eastAsia"/>
        </w:rPr>
        <w:t>11.3 发包人引起的工期延误</w:t>
      </w:r>
      <w:bookmarkEnd w:id="356"/>
      <w:bookmarkEnd w:id="357"/>
      <w:bookmarkEnd w:id="358"/>
    </w:p>
    <w:p>
      <w:pPr>
        <w:spacing w:line="360" w:lineRule="auto"/>
        <w:ind w:firstLine="420" w:firstLineChars="200"/>
        <w:rPr>
          <w:rFonts w:ascii="宋体" w:hAnsi="宋体"/>
          <w:szCs w:val="21"/>
        </w:rPr>
      </w:pPr>
      <w:r>
        <w:rPr>
          <w:rFonts w:hint="eastAsia" w:ascii="宋体" w:hAnsi="宋体"/>
          <w:szCs w:val="21"/>
        </w:rPr>
        <w:t>在履行合同过程中，由于发包人的下列原因造成工期延误的，承包人有权要求发包人延长工期和（或）增加费用，并支付合理利润。需要修订合同进度计划的，按照</w:t>
      </w:r>
      <w:r>
        <w:rPr>
          <w:rFonts w:hint="eastAsia"/>
        </w:rPr>
        <w:t>第4.12.2项</w:t>
      </w:r>
      <w:r>
        <w:rPr>
          <w:rFonts w:hint="eastAsia" w:ascii="宋体" w:hAnsi="宋体"/>
          <w:szCs w:val="21"/>
        </w:rPr>
        <w:t>的约定执行。</w:t>
      </w:r>
    </w:p>
    <w:p>
      <w:pPr>
        <w:spacing w:line="360" w:lineRule="auto"/>
        <w:ind w:firstLine="420" w:firstLineChars="200"/>
      </w:pPr>
      <w:r>
        <w:rPr>
          <w:rFonts w:hint="eastAsia"/>
        </w:rPr>
        <w:t>（l）变更；</w:t>
      </w:r>
    </w:p>
    <w:p>
      <w:pPr>
        <w:spacing w:line="360" w:lineRule="auto"/>
        <w:ind w:firstLine="420" w:firstLineChars="200"/>
      </w:pPr>
      <w:r>
        <w:rPr>
          <w:rFonts w:hint="eastAsia"/>
        </w:rPr>
        <w:t>（2）未能按照合同要求的期限对承包人文件进行审查；</w:t>
      </w:r>
    </w:p>
    <w:p>
      <w:pPr>
        <w:spacing w:line="360" w:lineRule="auto"/>
        <w:ind w:firstLine="420" w:firstLineChars="200"/>
      </w:pPr>
      <w:r>
        <w:rPr>
          <w:rFonts w:hint="eastAsia"/>
        </w:rPr>
        <w:t xml:space="preserve">（3）因发包人原因导致的暂停施工； </w:t>
      </w:r>
    </w:p>
    <w:p>
      <w:pPr>
        <w:spacing w:line="360" w:lineRule="auto"/>
        <w:ind w:firstLine="420" w:firstLineChars="200"/>
      </w:pPr>
      <w:r>
        <w:rPr>
          <w:rFonts w:hint="eastAsia"/>
        </w:rPr>
        <w:t>（4) 未按合同约定及时支付预付款、进度款；</w:t>
      </w:r>
    </w:p>
    <w:p>
      <w:pPr>
        <w:spacing w:line="360" w:lineRule="auto"/>
        <w:ind w:firstLine="420" w:firstLineChars="200"/>
      </w:pPr>
      <w:r>
        <w:rPr>
          <w:rFonts w:hint="eastAsia"/>
        </w:rPr>
        <w:t>（5) 发包人按第9.3款提供的基准资料错误；</w:t>
      </w:r>
    </w:p>
    <w:p>
      <w:pPr>
        <w:spacing w:line="360" w:lineRule="auto"/>
        <w:ind w:firstLine="420" w:firstLineChars="200"/>
      </w:pPr>
      <w:r>
        <w:rPr>
          <w:rFonts w:hint="eastAsia"/>
        </w:rPr>
        <w:t>（6）发包人按第6.2款迟延提供材料、工程设备或变更交货地点的；</w:t>
      </w:r>
    </w:p>
    <w:p>
      <w:pPr>
        <w:spacing w:line="360" w:lineRule="auto"/>
        <w:ind w:firstLine="420" w:firstLineChars="200"/>
      </w:pPr>
      <w:r>
        <w:rPr>
          <w:rFonts w:hint="eastAsia"/>
        </w:rPr>
        <w:t>（7）发包人未及时按照“发包人要求”履行相关义务；</w:t>
      </w:r>
    </w:p>
    <w:p>
      <w:pPr>
        <w:spacing w:line="360" w:lineRule="auto"/>
        <w:ind w:firstLine="420" w:firstLineChars="200"/>
        <w:rPr>
          <w:rFonts w:ascii="宋体" w:hAnsi="宋体"/>
          <w:szCs w:val="21"/>
        </w:rPr>
      </w:pPr>
      <w:r>
        <w:rPr>
          <w:rFonts w:hint="eastAsia"/>
        </w:rPr>
        <w:t>（8）发包人造成</w:t>
      </w:r>
      <w:r>
        <w:rPr>
          <w:rFonts w:hint="eastAsia" w:ascii="宋体" w:hAnsi="宋体"/>
          <w:szCs w:val="21"/>
        </w:rPr>
        <w:t>工期延误的其他原因。</w:t>
      </w:r>
    </w:p>
    <w:p>
      <w:pPr>
        <w:pStyle w:val="6"/>
      </w:pPr>
      <w:bookmarkStart w:id="359" w:name="_Toc300835121"/>
      <w:bookmarkStart w:id="360" w:name="_Toc247514118"/>
      <w:bookmarkStart w:id="361" w:name="_Toc247527719"/>
      <w:r>
        <w:rPr>
          <w:rFonts w:hint="eastAsia"/>
        </w:rPr>
        <w:t>11.4 异常恶劣的气候条件</w:t>
      </w:r>
      <w:bookmarkEnd w:id="359"/>
      <w:bookmarkEnd w:id="360"/>
      <w:bookmarkEnd w:id="361"/>
    </w:p>
    <w:p>
      <w:pPr>
        <w:spacing w:line="360" w:lineRule="auto"/>
        <w:ind w:firstLine="420" w:firstLineChars="200"/>
        <w:rPr>
          <w:rFonts w:ascii="宋体" w:hAnsi="宋体"/>
          <w:szCs w:val="21"/>
        </w:rPr>
      </w:pPr>
      <w:r>
        <w:rPr>
          <w:rFonts w:hint="eastAsia" w:ascii="宋体" w:hAnsi="宋体"/>
          <w:szCs w:val="21"/>
        </w:rPr>
        <w:t>由于出现专用合同条款规定的异常恶劣气候的条件导致工期延误的，承包人有权要求发包人延长工期和（或）增加费用。</w:t>
      </w:r>
    </w:p>
    <w:p>
      <w:pPr>
        <w:pStyle w:val="6"/>
      </w:pPr>
      <w:bookmarkStart w:id="362" w:name="_Toc247514119"/>
      <w:bookmarkStart w:id="363" w:name="_Toc300835122"/>
      <w:bookmarkStart w:id="364" w:name="_Toc247527720"/>
      <w:r>
        <w:rPr>
          <w:rFonts w:hint="eastAsia"/>
        </w:rPr>
        <w:t>11.5 承包人引起的工期延误</w:t>
      </w:r>
      <w:bookmarkEnd w:id="362"/>
      <w:bookmarkEnd w:id="363"/>
      <w:bookmarkEnd w:id="364"/>
    </w:p>
    <w:p>
      <w:pPr>
        <w:spacing w:line="360" w:lineRule="auto"/>
        <w:ind w:firstLine="420" w:firstLineChars="200"/>
        <w:rPr>
          <w:rFonts w:ascii="宋体" w:hAnsi="宋体"/>
          <w:szCs w:val="21"/>
        </w:rPr>
      </w:pPr>
      <w:r>
        <w:rPr>
          <w:rFonts w:hint="eastAsia" w:ascii="宋体" w:hAnsi="宋体"/>
          <w:szCs w:val="21"/>
        </w:rPr>
        <w:t>由于承包人原因，未能按合同进度计划完成工作，或监理人认为承包人工作进度不能满足合同工期要求的，承包人应采取措施加快进度，并承担加快进度所增加的费用。由于承包人原因造成工期延误，承包人应支付逾期竣工违约金。逾期竣工违约金的计算方法和最高限额在专用合同条款中约定。承包人支付逾期竣工违约金，不免除承包人完成工作及修补缺陷的义务。</w:t>
      </w:r>
    </w:p>
    <w:p>
      <w:pPr>
        <w:pStyle w:val="6"/>
      </w:pPr>
      <w:bookmarkStart w:id="365" w:name="_Toc247527721"/>
      <w:bookmarkStart w:id="366" w:name="_Toc300835123"/>
      <w:bookmarkStart w:id="367" w:name="_Toc247514120"/>
      <w:r>
        <w:rPr>
          <w:rFonts w:hint="eastAsia"/>
        </w:rPr>
        <w:t>11.6 工期提前</w:t>
      </w:r>
      <w:bookmarkEnd w:id="365"/>
      <w:bookmarkEnd w:id="366"/>
      <w:bookmarkEnd w:id="367"/>
    </w:p>
    <w:p>
      <w:pPr>
        <w:spacing w:line="360" w:lineRule="auto"/>
        <w:ind w:firstLine="420" w:firstLineChars="200"/>
        <w:rPr>
          <w:rFonts w:ascii="宋体" w:hAnsi="宋体"/>
          <w:szCs w:val="21"/>
        </w:rPr>
      </w:pPr>
      <w:r>
        <w:rPr>
          <w:rFonts w:hint="eastAsia" w:ascii="宋体" w:hAnsi="宋体"/>
          <w:szCs w:val="21"/>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pPr>
        <w:pStyle w:val="6"/>
      </w:pPr>
      <w:bookmarkStart w:id="368" w:name="_Toc300835124"/>
      <w:r>
        <w:rPr>
          <w:rFonts w:hint="eastAsia"/>
        </w:rPr>
        <w:t>11.7 行政审批迟延</w:t>
      </w:r>
      <w:bookmarkEnd w:id="368"/>
    </w:p>
    <w:p>
      <w:pPr>
        <w:spacing w:line="360" w:lineRule="auto"/>
        <w:ind w:firstLine="420" w:firstLineChars="200"/>
        <w:rPr>
          <w:rFonts w:ascii="宋体" w:hAnsi="宋体"/>
          <w:szCs w:val="21"/>
        </w:rPr>
      </w:pPr>
      <w:r>
        <w:rPr>
          <w:rFonts w:hint="eastAsia" w:ascii="宋体" w:hAnsi="宋体"/>
          <w:szCs w:val="21"/>
        </w:rPr>
        <w:t>合同约定范围内的工作需国家有关部门审批的，发包人和（或）承包人应按照合同约定的职责分工完成行政审批报送。因国家有关部门审批迟延造成费用增加和（或）工期延误的，由发包人承担。</w:t>
      </w:r>
    </w:p>
    <w:p>
      <w:pPr>
        <w:pStyle w:val="5"/>
      </w:pPr>
      <w:bookmarkStart w:id="369" w:name="_Toc247527722"/>
      <w:bookmarkStart w:id="370" w:name="_Toc247514121"/>
      <w:bookmarkStart w:id="371" w:name="_Toc184635109"/>
      <w:bookmarkStart w:id="372" w:name="_Toc300835125"/>
      <w:r>
        <w:rPr>
          <w:rFonts w:hint="eastAsia"/>
        </w:rPr>
        <w:t>12. 暂停工作</w:t>
      </w:r>
      <w:bookmarkEnd w:id="369"/>
      <w:bookmarkEnd w:id="370"/>
      <w:bookmarkEnd w:id="371"/>
      <w:bookmarkEnd w:id="372"/>
    </w:p>
    <w:p>
      <w:pPr>
        <w:pStyle w:val="6"/>
      </w:pPr>
      <w:bookmarkStart w:id="373" w:name="_Toc300835126"/>
      <w:bookmarkStart w:id="374" w:name="_Toc247514127"/>
      <w:bookmarkStart w:id="375" w:name="_Toc184635110"/>
      <w:bookmarkStart w:id="376" w:name="_Toc247527728"/>
      <w:r>
        <w:rPr>
          <w:rFonts w:hint="eastAsia"/>
        </w:rPr>
        <w:t>12.1 由发包人暂停工作</w:t>
      </w:r>
      <w:bookmarkEnd w:id="373"/>
    </w:p>
    <w:p>
      <w:pPr>
        <w:spacing w:line="360" w:lineRule="auto"/>
        <w:ind w:firstLine="420" w:firstLineChars="200"/>
        <w:rPr>
          <w:rFonts w:ascii="宋体" w:hAnsi="宋体"/>
          <w:szCs w:val="21"/>
        </w:rPr>
      </w:pPr>
      <w:r>
        <w:rPr>
          <w:rFonts w:hint="eastAsia"/>
        </w:rPr>
        <w:t>12.1.1 发包人</w:t>
      </w:r>
      <w:r>
        <w:rPr>
          <w:rFonts w:hint="eastAsia" w:ascii="宋体" w:hAnsi="宋体"/>
          <w:szCs w:val="21"/>
        </w:rPr>
        <w:t>认为必要时，可通过监理人向承包人发出暂停工作的指示，承包人应按监理人指示暂停工作。由于发包人原因引起的暂停工作造成工期延误的，承包人有权要求发包人延长工期和（或）增加费用，并支付合理利润。</w:t>
      </w:r>
    </w:p>
    <w:p>
      <w:pPr>
        <w:spacing w:line="360" w:lineRule="auto"/>
        <w:ind w:firstLine="420" w:firstLineChars="200"/>
        <w:rPr>
          <w:rFonts w:ascii="宋体" w:hAnsi="宋体"/>
          <w:szCs w:val="21"/>
        </w:rPr>
      </w:pPr>
      <w:r>
        <w:rPr>
          <w:rFonts w:hint="eastAsia"/>
        </w:rPr>
        <w:t>12.1.2 由于承包人</w:t>
      </w:r>
      <w:r>
        <w:rPr>
          <w:rFonts w:hint="eastAsia" w:ascii="宋体" w:hAnsi="宋体"/>
          <w:szCs w:val="21"/>
        </w:rPr>
        <w:t>下列原因造成发包人暂停工作的，由此造成费用的增加和（或）工期延误由承包人承担：</w:t>
      </w:r>
    </w:p>
    <w:p>
      <w:pPr>
        <w:spacing w:line="360" w:lineRule="auto"/>
        <w:ind w:firstLine="420" w:firstLineChars="200"/>
      </w:pPr>
      <w:r>
        <w:rPr>
          <w:rFonts w:hint="eastAsia"/>
        </w:rPr>
        <w:t>（1）承包人违约；</w:t>
      </w:r>
    </w:p>
    <w:p>
      <w:pPr>
        <w:spacing w:line="360" w:lineRule="auto"/>
        <w:ind w:firstLine="420" w:firstLineChars="200"/>
      </w:pPr>
      <w:r>
        <w:rPr>
          <w:rFonts w:hint="eastAsia"/>
        </w:rPr>
        <w:t>（2）承包人擅自暂停工作；</w:t>
      </w:r>
    </w:p>
    <w:p>
      <w:pPr>
        <w:spacing w:line="360" w:lineRule="auto"/>
        <w:ind w:firstLine="420" w:firstLineChars="200"/>
      </w:pPr>
      <w:r>
        <w:rPr>
          <w:rFonts w:hint="eastAsia"/>
        </w:rPr>
        <w:t>（3）合同约</w:t>
      </w:r>
      <w:r>
        <w:rPr>
          <w:rFonts w:hint="eastAsia"/>
          <w:szCs w:val="21"/>
        </w:rPr>
        <w:t>定由承包人承担责任的其他暂停工作。</w:t>
      </w:r>
    </w:p>
    <w:p>
      <w:pPr>
        <w:pStyle w:val="6"/>
      </w:pPr>
      <w:bookmarkStart w:id="377" w:name="_Toc300835127"/>
      <w:r>
        <w:rPr>
          <w:rFonts w:hint="eastAsia"/>
        </w:rPr>
        <w:t>12.2 由承包人暂停工作</w:t>
      </w:r>
      <w:bookmarkEnd w:id="377"/>
    </w:p>
    <w:p>
      <w:pPr>
        <w:spacing w:line="360" w:lineRule="auto"/>
        <w:ind w:firstLine="420" w:firstLineChars="200"/>
        <w:rPr>
          <w:rFonts w:ascii="宋体" w:hAnsi="宋体"/>
          <w:szCs w:val="21"/>
        </w:rPr>
      </w:pPr>
      <w:r>
        <w:rPr>
          <w:rFonts w:hint="eastAsia"/>
        </w:rPr>
        <w:t xml:space="preserve">12.2.1 </w:t>
      </w:r>
      <w:r>
        <w:rPr>
          <w:rFonts w:hint="eastAsia" w:ascii="宋体" w:hAnsi="宋体"/>
          <w:szCs w:val="21"/>
        </w:rPr>
        <w:t>合同履行过程中发生下列情形之一的，承包人可向发包人发出通知，要求发包人采取有效措施予以纠正。发包人收到承包人通知后的28天内仍不履行合同义务，承包人有权暂停施工，并通知监理人，发包人应承担由此增加的费用和（或）工期延误责任，并支付承包人合理利润。</w:t>
      </w:r>
    </w:p>
    <w:p>
      <w:pPr>
        <w:spacing w:line="360" w:lineRule="auto"/>
        <w:ind w:firstLine="420" w:firstLineChars="200"/>
      </w:pPr>
      <w:r>
        <w:rPr>
          <w:rFonts w:hint="eastAsia"/>
        </w:rPr>
        <w:t>（1）发包人未能按合同约定支付价款，或拖延、拒绝批准付款申请和支付证书，导致付款延误的；</w:t>
      </w:r>
    </w:p>
    <w:p>
      <w:pPr>
        <w:spacing w:line="360" w:lineRule="auto"/>
        <w:ind w:firstLine="420" w:firstLineChars="200"/>
      </w:pPr>
      <w:r>
        <w:rPr>
          <w:rFonts w:hint="eastAsia"/>
        </w:rPr>
        <w:t>（2）监理人无正当理由没有在约定期限内发出复工指示，导致承包人无法复工的；</w:t>
      </w:r>
    </w:p>
    <w:p>
      <w:pPr>
        <w:spacing w:line="360" w:lineRule="auto"/>
        <w:ind w:firstLine="420" w:firstLineChars="200"/>
      </w:pPr>
      <w:r>
        <w:rPr>
          <w:rFonts w:hint="eastAsia"/>
        </w:rPr>
        <w:t>（3）发包人无法继续履行或明确表示不履行或实质上已停止履行合同的；</w:t>
      </w:r>
    </w:p>
    <w:p>
      <w:pPr>
        <w:spacing w:line="360" w:lineRule="auto"/>
        <w:ind w:firstLine="420" w:firstLineChars="200"/>
        <w:rPr>
          <w:rFonts w:ascii="宋体" w:hAnsi="宋体"/>
          <w:szCs w:val="21"/>
        </w:rPr>
      </w:pPr>
      <w:r>
        <w:rPr>
          <w:rFonts w:hint="eastAsia"/>
        </w:rPr>
        <w:t>（4）发包人</w:t>
      </w:r>
      <w:r>
        <w:rPr>
          <w:rFonts w:hint="eastAsia" w:ascii="宋体" w:hAnsi="宋体"/>
          <w:szCs w:val="21"/>
        </w:rPr>
        <w:t>不履行合同约定其他义务的。</w:t>
      </w:r>
    </w:p>
    <w:p>
      <w:pPr>
        <w:spacing w:line="360" w:lineRule="auto"/>
        <w:ind w:firstLine="420" w:firstLineChars="200"/>
        <w:rPr>
          <w:rFonts w:ascii="宋体" w:hAnsi="宋体"/>
          <w:szCs w:val="21"/>
        </w:rPr>
      </w:pPr>
      <w:r>
        <w:rPr>
          <w:rFonts w:hint="eastAsia"/>
        </w:rPr>
        <w:t xml:space="preserve">12.2.2 </w:t>
      </w:r>
      <w:r>
        <w:rPr>
          <w:rFonts w:hint="eastAsia" w:ascii="宋体" w:hAnsi="宋体"/>
          <w:szCs w:val="21"/>
        </w:rPr>
        <w:t>由于发包人的原因发生暂停施工的紧急情况，且监理人未及时下达暂停工作指示的，承包人可先暂停施工，并及时向监理人提出暂停工作的书面请求。监理人应在收到书面请求后的24小时内予以答复，逾期未答复的，视为同意承包人的暂停工作请求。</w:t>
      </w:r>
    </w:p>
    <w:p>
      <w:pPr>
        <w:pStyle w:val="6"/>
      </w:pPr>
      <w:bookmarkStart w:id="378" w:name="_Toc300835128"/>
      <w:r>
        <w:rPr>
          <w:rFonts w:hint="eastAsia"/>
        </w:rPr>
        <w:t>12.3 暂停工作后的照管</w:t>
      </w:r>
      <w:bookmarkEnd w:id="378"/>
    </w:p>
    <w:p>
      <w:pPr>
        <w:spacing w:line="360" w:lineRule="auto"/>
        <w:ind w:firstLine="420" w:firstLineChars="200"/>
        <w:rPr>
          <w:rFonts w:ascii="宋体" w:hAnsi="宋体"/>
          <w:szCs w:val="21"/>
        </w:rPr>
      </w:pPr>
      <w:r>
        <w:rPr>
          <w:rFonts w:hint="eastAsia" w:ascii="宋体" w:hAnsi="宋体"/>
          <w:szCs w:val="21"/>
        </w:rPr>
        <w:t>不论由于何种原因引起暂停工作的，暂停工作期间，承包人应负责妥善保护工程并提供安全保障，由此增加的费用由责任方承担。</w:t>
      </w:r>
    </w:p>
    <w:p>
      <w:pPr>
        <w:pStyle w:val="6"/>
      </w:pPr>
      <w:bookmarkStart w:id="379" w:name="_Toc300835129"/>
      <w:r>
        <w:rPr>
          <w:rFonts w:hint="eastAsia"/>
        </w:rPr>
        <w:t>12.4 暂停工作后的复工</w:t>
      </w:r>
      <w:bookmarkEnd w:id="379"/>
    </w:p>
    <w:p>
      <w:pPr>
        <w:spacing w:line="360" w:lineRule="auto"/>
        <w:ind w:firstLine="420" w:firstLineChars="200"/>
        <w:rPr>
          <w:rFonts w:ascii="宋体" w:hAnsi="宋体"/>
          <w:szCs w:val="21"/>
        </w:rPr>
      </w:pPr>
      <w:r>
        <w:rPr>
          <w:rFonts w:hint="eastAsia"/>
        </w:rPr>
        <w:t>12.4.1</w:t>
      </w:r>
      <w:r>
        <w:rPr>
          <w:rFonts w:hint="eastAsia" w:ascii="宋体" w:hAnsi="宋体"/>
          <w:szCs w:val="21"/>
        </w:rPr>
        <w:t>暂停工作后，监理人应与发包人和承包人协商，采取有效措施积极消除暂停工作的影响。当工程具备复工条件时，监理人应立即向承包人发出复工通知。承包人收到复工通知后，应在监理人指定的期限内复工。</w:t>
      </w:r>
    </w:p>
    <w:p>
      <w:pPr>
        <w:spacing w:line="360" w:lineRule="auto"/>
        <w:ind w:firstLine="420" w:firstLineChars="200"/>
        <w:rPr>
          <w:rFonts w:ascii="宋体" w:hAnsi="宋体"/>
          <w:szCs w:val="21"/>
        </w:rPr>
      </w:pPr>
      <w:r>
        <w:rPr>
          <w:rFonts w:hint="eastAsia"/>
        </w:rPr>
        <w:t>12.4.2</w:t>
      </w:r>
      <w:r>
        <w:rPr>
          <w:rFonts w:hint="eastAsia" w:ascii="宋体" w:hAnsi="宋体"/>
          <w:szCs w:val="21"/>
        </w:rPr>
        <w:t>承包人无故拖延和拒绝复工的，由此增加的费用和工期延误由承包人承担；因发包人原因无法按时复工的，承包人有权要求发包人延长工期和（或）增加费用，并支付合理利润。</w:t>
      </w:r>
    </w:p>
    <w:p>
      <w:pPr>
        <w:pStyle w:val="6"/>
      </w:pPr>
      <w:bookmarkStart w:id="380" w:name="_Toc300835130"/>
      <w:r>
        <w:rPr>
          <w:rFonts w:hint="eastAsia"/>
        </w:rPr>
        <w:t>12.5 暂停工作56天以上</w:t>
      </w:r>
      <w:bookmarkEnd w:id="380"/>
    </w:p>
    <w:p>
      <w:pPr>
        <w:spacing w:line="360" w:lineRule="auto"/>
        <w:ind w:firstLine="420" w:firstLineChars="200"/>
        <w:rPr>
          <w:rFonts w:ascii="宋体" w:hAnsi="宋体"/>
          <w:szCs w:val="21"/>
        </w:rPr>
      </w:pPr>
      <w:r>
        <w:rPr>
          <w:rFonts w:hint="eastAsia"/>
        </w:rPr>
        <w:t>12.5.1</w:t>
      </w:r>
      <w:r>
        <w:rPr>
          <w:rFonts w:hint="eastAsia" w:ascii="宋体" w:hAnsi="宋体"/>
          <w:szCs w:val="21"/>
        </w:rPr>
        <w:t>监理人发出暂停工作指示后56 天内未向承包人发出复工通知的，除该项暂停由于承包人违约造成之外，承包人可向监理人提交书面通知，要求监理人在收到书面通知后28天内准许已暂停工作的全部或部分继续工作。如监理人逾期不予批准，则承包人可以通知监理人，将工程受影响的部分按第</w:t>
      </w:r>
      <w:r>
        <w:rPr>
          <w:rFonts w:ascii="宋体" w:hAnsi="宋体"/>
          <w:szCs w:val="21"/>
        </w:rPr>
        <w:t>15</w:t>
      </w:r>
      <w:r>
        <w:rPr>
          <w:rFonts w:hint="eastAsia" w:ascii="宋体" w:hAnsi="宋体"/>
          <w:szCs w:val="21"/>
        </w:rPr>
        <w:t>条的约定作为可取消工作的变更处理。暂停工作影响到整个工程的，视为发包人违约，应按第</w:t>
      </w:r>
      <w:r>
        <w:rPr>
          <w:rFonts w:hint="eastAsia"/>
        </w:rPr>
        <w:t>12.2.1项</w:t>
      </w:r>
      <w:r>
        <w:rPr>
          <w:rFonts w:hint="eastAsia" w:ascii="宋体" w:hAnsi="宋体"/>
          <w:szCs w:val="21"/>
        </w:rPr>
        <w:t>的约定执行，同时承包人有权解除合同。</w:t>
      </w:r>
    </w:p>
    <w:p>
      <w:pPr>
        <w:spacing w:line="360" w:lineRule="auto"/>
        <w:ind w:firstLine="420" w:firstLineChars="200"/>
      </w:pPr>
      <w:r>
        <w:rPr>
          <w:rFonts w:hint="eastAsia"/>
        </w:rPr>
        <w:t>12.5.2由于</w:t>
      </w:r>
      <w:r>
        <w:rPr>
          <w:rFonts w:hint="eastAsia" w:ascii="宋体" w:hAnsi="宋体"/>
          <w:szCs w:val="21"/>
        </w:rPr>
        <w:t>承包人原因引起暂停工作的，如承包人在收到监理人暂停工作指示后56 天内不采取有效的复工措施，造成工期延误的，视为承包人违约，应按第</w:t>
      </w:r>
      <w:r>
        <w:rPr>
          <w:rFonts w:hint="eastAsia"/>
        </w:rPr>
        <w:t xml:space="preserve">12.1.2 </w:t>
      </w:r>
      <w:r>
        <w:rPr>
          <w:rFonts w:hint="eastAsia" w:ascii="宋体" w:hAnsi="宋体"/>
          <w:szCs w:val="21"/>
        </w:rPr>
        <w:t>项的约定执行。</w:t>
      </w:r>
    </w:p>
    <w:p>
      <w:pPr>
        <w:pStyle w:val="5"/>
      </w:pPr>
      <w:bookmarkStart w:id="381" w:name="_Toc300835131"/>
      <w:r>
        <w:rPr>
          <w:rFonts w:hint="eastAsia"/>
        </w:rPr>
        <w:t>13. 工程质量</w:t>
      </w:r>
      <w:bookmarkEnd w:id="374"/>
      <w:bookmarkEnd w:id="375"/>
      <w:bookmarkEnd w:id="376"/>
      <w:bookmarkEnd w:id="381"/>
    </w:p>
    <w:p>
      <w:pPr>
        <w:pStyle w:val="6"/>
      </w:pPr>
      <w:bookmarkStart w:id="382" w:name="_Toc300835132"/>
      <w:bookmarkStart w:id="383" w:name="_Toc247514128"/>
      <w:bookmarkStart w:id="384" w:name="_Toc247527729"/>
      <w:r>
        <w:rPr>
          <w:rFonts w:hint="eastAsia"/>
        </w:rPr>
        <w:t>13.1 工程质量要求</w:t>
      </w:r>
      <w:bookmarkEnd w:id="382"/>
      <w:bookmarkEnd w:id="383"/>
      <w:bookmarkEnd w:id="384"/>
    </w:p>
    <w:p>
      <w:pPr>
        <w:spacing w:line="360" w:lineRule="auto"/>
        <w:ind w:firstLine="420" w:firstLineChars="200"/>
        <w:rPr>
          <w:rFonts w:ascii="宋体" w:hAnsi="宋体"/>
          <w:szCs w:val="21"/>
        </w:rPr>
      </w:pPr>
      <w:r>
        <w:rPr>
          <w:rFonts w:hint="eastAsia"/>
        </w:rPr>
        <w:t xml:space="preserve">13.1.1 </w:t>
      </w:r>
      <w:r>
        <w:rPr>
          <w:rFonts w:hint="eastAsia" w:ascii="宋体" w:hAnsi="宋体"/>
          <w:szCs w:val="21"/>
        </w:rPr>
        <w:t>工程质量验收按法律规定和合同约定的验收标准执行。</w:t>
      </w:r>
    </w:p>
    <w:p>
      <w:pPr>
        <w:spacing w:line="360" w:lineRule="auto"/>
        <w:ind w:firstLine="420" w:firstLineChars="200"/>
        <w:rPr>
          <w:rFonts w:ascii="宋体" w:hAnsi="宋体"/>
          <w:szCs w:val="21"/>
        </w:rPr>
      </w:pPr>
      <w:r>
        <w:rPr>
          <w:rFonts w:hint="eastAsia"/>
        </w:rPr>
        <w:t xml:space="preserve">13.1.2 </w:t>
      </w:r>
      <w:r>
        <w:rPr>
          <w:rFonts w:hint="eastAsia" w:ascii="宋体" w:hAnsi="宋体"/>
          <w:szCs w:val="21"/>
        </w:rPr>
        <w:t>因承包人原因造成工程质量不符合法律的规定和合同约定的，监理人有权要求承包人返工直至符合合同要求为止，由此造成的费用增加和（或）工期延误由承包人承担。</w:t>
      </w:r>
    </w:p>
    <w:p>
      <w:pPr>
        <w:spacing w:line="360" w:lineRule="auto"/>
        <w:ind w:firstLine="420" w:firstLineChars="200"/>
        <w:rPr>
          <w:rFonts w:ascii="宋体" w:hAnsi="宋体"/>
          <w:szCs w:val="21"/>
        </w:rPr>
      </w:pPr>
      <w:r>
        <w:rPr>
          <w:rFonts w:hint="eastAsia"/>
        </w:rPr>
        <w:t>13.1.3</w:t>
      </w:r>
      <w:r>
        <w:rPr>
          <w:rFonts w:hint="eastAsia" w:ascii="宋体" w:hAnsi="宋体"/>
          <w:szCs w:val="21"/>
        </w:rPr>
        <w:t xml:space="preserve"> 因发包人原因造成工程质量达不到合同约定验收标准的，发包人应承担由于承包人返工造成的费用增加和（或）工期延误，并支付承包人合理利润。</w:t>
      </w:r>
    </w:p>
    <w:p>
      <w:pPr>
        <w:pStyle w:val="6"/>
      </w:pPr>
      <w:bookmarkStart w:id="385" w:name="_Toc300835133"/>
      <w:bookmarkStart w:id="386" w:name="_Toc247527731"/>
      <w:bookmarkStart w:id="387" w:name="_Toc247514130"/>
      <w:r>
        <w:rPr>
          <w:rFonts w:hint="eastAsia"/>
        </w:rPr>
        <w:t>13.2 承包人的质量检查</w:t>
      </w:r>
      <w:bookmarkEnd w:id="385"/>
      <w:bookmarkEnd w:id="386"/>
      <w:bookmarkEnd w:id="387"/>
    </w:p>
    <w:p>
      <w:pPr>
        <w:spacing w:line="360" w:lineRule="auto"/>
        <w:ind w:firstLine="420" w:firstLineChars="200"/>
        <w:rPr>
          <w:rFonts w:ascii="宋体" w:hAnsi="宋体"/>
          <w:szCs w:val="21"/>
        </w:rPr>
      </w:pPr>
      <w:r>
        <w:rPr>
          <w:rFonts w:hint="eastAsia" w:ascii="宋体" w:hAnsi="宋体"/>
          <w:szCs w:val="21"/>
        </w:rPr>
        <w:t>承包人应按合同约定对设计、材料、工程设备以及全部工程内容及其施工工艺进行全过程的质量检查和检验，并作详细记录，编制工程质量报表，报送监理人审查。</w:t>
      </w:r>
    </w:p>
    <w:p>
      <w:pPr>
        <w:pStyle w:val="6"/>
      </w:pPr>
      <w:bookmarkStart w:id="388" w:name="_Toc247527732"/>
      <w:bookmarkStart w:id="389" w:name="_Toc247514131"/>
      <w:bookmarkStart w:id="390" w:name="_Toc300835134"/>
      <w:r>
        <w:rPr>
          <w:rFonts w:hint="eastAsia"/>
        </w:rPr>
        <w:t>13.3 监理人的质量检查</w:t>
      </w:r>
      <w:bookmarkEnd w:id="388"/>
      <w:bookmarkEnd w:id="389"/>
      <w:bookmarkEnd w:id="390"/>
    </w:p>
    <w:p>
      <w:pPr>
        <w:spacing w:line="360" w:lineRule="auto"/>
        <w:ind w:firstLine="420" w:firstLineChars="200"/>
        <w:rPr>
          <w:rFonts w:ascii="宋体" w:hAnsi="宋体"/>
          <w:szCs w:val="21"/>
        </w:rPr>
      </w:pPr>
      <w:r>
        <w:rPr>
          <w:rFonts w:hint="eastAsia" w:ascii="宋体" w:hAnsi="宋体"/>
          <w:szCs w:val="21"/>
        </w:rPr>
        <w:t>监理人有权对全部工程内容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6"/>
      </w:pPr>
      <w:bookmarkStart w:id="391" w:name="_Toc247514132"/>
      <w:bookmarkStart w:id="392" w:name="_Toc300835135"/>
      <w:bookmarkStart w:id="393" w:name="_Toc247527733"/>
      <w:r>
        <w:rPr>
          <w:rFonts w:hint="eastAsia"/>
        </w:rPr>
        <w:t>13.4 工程隐蔽部位覆盖前的检查</w:t>
      </w:r>
      <w:bookmarkEnd w:id="391"/>
      <w:bookmarkEnd w:id="392"/>
      <w:bookmarkEnd w:id="393"/>
    </w:p>
    <w:p>
      <w:pPr>
        <w:spacing w:line="360" w:lineRule="auto"/>
        <w:ind w:firstLine="420" w:firstLineChars="200"/>
        <w:rPr>
          <w:rFonts w:ascii="宋体" w:hAnsi="宋体"/>
          <w:szCs w:val="21"/>
        </w:rPr>
      </w:pPr>
      <w:r>
        <w:rPr>
          <w:rFonts w:hint="eastAsia"/>
        </w:rPr>
        <w:t>13.4.1</w:t>
      </w:r>
      <w:r>
        <w:rPr>
          <w:rFonts w:hint="eastAsia" w:ascii="宋体" w:hAnsi="宋体"/>
          <w:szCs w:val="21"/>
        </w:rPr>
        <w:t xml:space="preserve"> 通知监理人检查</w:t>
      </w:r>
    </w:p>
    <w:p>
      <w:pPr>
        <w:spacing w:line="360" w:lineRule="auto"/>
        <w:ind w:firstLine="420" w:firstLineChars="200"/>
        <w:rPr>
          <w:rFonts w:ascii="宋体" w:hAnsi="宋体"/>
          <w:szCs w:val="21"/>
        </w:rPr>
      </w:pPr>
      <w:r>
        <w:rPr>
          <w:rFonts w:hint="eastAsia" w:ascii="宋体" w:hAnsi="宋体"/>
          <w:szCs w:val="21"/>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spacing w:line="360" w:lineRule="auto"/>
        <w:ind w:firstLine="420" w:firstLineChars="200"/>
        <w:rPr>
          <w:rFonts w:ascii="宋体" w:hAnsi="宋体"/>
          <w:szCs w:val="21"/>
        </w:rPr>
      </w:pPr>
      <w:r>
        <w:rPr>
          <w:rFonts w:hint="eastAsia"/>
        </w:rPr>
        <w:t>13.4.2</w:t>
      </w:r>
      <w:r>
        <w:rPr>
          <w:rFonts w:hint="eastAsia" w:ascii="宋体" w:hAnsi="宋体"/>
          <w:szCs w:val="21"/>
        </w:rPr>
        <w:t xml:space="preserve"> 监理人未到场检查</w:t>
      </w:r>
    </w:p>
    <w:p>
      <w:pPr>
        <w:spacing w:line="360" w:lineRule="auto"/>
        <w:ind w:firstLine="420" w:firstLineChars="200"/>
        <w:rPr>
          <w:rFonts w:ascii="宋体" w:hAnsi="宋体"/>
          <w:szCs w:val="21"/>
        </w:rPr>
      </w:pPr>
      <w:r>
        <w:rPr>
          <w:rFonts w:hint="eastAsia" w:ascii="宋体" w:hAnsi="宋体"/>
          <w:szCs w:val="21"/>
        </w:rPr>
        <w:t>监理人未按第</w:t>
      </w:r>
      <w:r>
        <w:rPr>
          <w:rFonts w:hint="eastAsia"/>
        </w:rPr>
        <w:t xml:space="preserve">13.4.l </w:t>
      </w:r>
      <w:r>
        <w:rPr>
          <w:rFonts w:hint="eastAsia" w:ascii="宋体" w:hAnsi="宋体"/>
          <w:szCs w:val="21"/>
        </w:rPr>
        <w:t>项约定的时间进行检查的，除监理人另有指示外，承包人可自行完成覆盖工作，并作相应记录报送监理人，监理人应签字确认。监理人事后对检查记录有疑问的，可按第</w:t>
      </w:r>
      <w:r>
        <w:rPr>
          <w:rFonts w:hint="eastAsia"/>
        </w:rPr>
        <w:t>13.4.3</w:t>
      </w:r>
      <w:r>
        <w:rPr>
          <w:rFonts w:hint="eastAsia" w:ascii="宋体" w:hAnsi="宋体"/>
          <w:szCs w:val="21"/>
        </w:rPr>
        <w:t xml:space="preserve"> 项的约定重新检查。</w:t>
      </w:r>
    </w:p>
    <w:p>
      <w:pPr>
        <w:spacing w:line="360" w:lineRule="auto"/>
        <w:ind w:firstLine="420" w:firstLineChars="200"/>
        <w:rPr>
          <w:rFonts w:ascii="宋体" w:hAnsi="宋体"/>
          <w:szCs w:val="21"/>
        </w:rPr>
      </w:pPr>
      <w:r>
        <w:rPr>
          <w:rFonts w:hint="eastAsia"/>
        </w:rPr>
        <w:t xml:space="preserve">13.4.3 </w:t>
      </w:r>
      <w:r>
        <w:rPr>
          <w:rFonts w:hint="eastAsia" w:ascii="宋体" w:hAnsi="宋体"/>
          <w:szCs w:val="21"/>
        </w:rPr>
        <w:t>监理人重新检查</w:t>
      </w:r>
    </w:p>
    <w:p>
      <w:pPr>
        <w:spacing w:line="360" w:lineRule="auto"/>
        <w:ind w:firstLine="420" w:firstLineChars="200"/>
        <w:rPr>
          <w:rFonts w:ascii="宋体" w:hAnsi="宋体"/>
          <w:szCs w:val="21"/>
        </w:rPr>
      </w:pPr>
      <w:r>
        <w:rPr>
          <w:rFonts w:hint="eastAsia" w:ascii="宋体" w:hAnsi="宋体"/>
          <w:szCs w:val="21"/>
        </w:rPr>
        <w:t>承包人按第</w:t>
      </w:r>
      <w:r>
        <w:rPr>
          <w:rFonts w:hint="eastAsia"/>
        </w:rPr>
        <w:t>13.4.1</w:t>
      </w:r>
      <w:r>
        <w:rPr>
          <w:rFonts w:hint="eastAsia" w:ascii="宋体" w:hAnsi="宋体"/>
          <w:szCs w:val="21"/>
        </w:rPr>
        <w:t xml:space="preserve"> 项或第</w:t>
      </w:r>
      <w:r>
        <w:rPr>
          <w:rFonts w:hint="eastAsia"/>
        </w:rPr>
        <w:t xml:space="preserve">13.4.2 </w:t>
      </w:r>
      <w:r>
        <w:rPr>
          <w:rFonts w:hint="eastAsia" w:ascii="宋体" w:hAnsi="宋体"/>
          <w:szCs w:val="21"/>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line="360" w:lineRule="auto"/>
        <w:ind w:firstLine="420" w:firstLineChars="200"/>
        <w:rPr>
          <w:rFonts w:ascii="宋体" w:hAnsi="宋体"/>
          <w:szCs w:val="21"/>
        </w:rPr>
      </w:pPr>
      <w:r>
        <w:rPr>
          <w:rFonts w:hint="eastAsia"/>
        </w:rPr>
        <w:t xml:space="preserve">13.4.4 </w:t>
      </w:r>
      <w:r>
        <w:rPr>
          <w:rFonts w:hint="eastAsia" w:ascii="宋体" w:hAnsi="宋体"/>
          <w:szCs w:val="21"/>
        </w:rPr>
        <w:t>承包人私自覆盖</w:t>
      </w:r>
    </w:p>
    <w:p>
      <w:pPr>
        <w:spacing w:line="360" w:lineRule="auto"/>
        <w:ind w:firstLine="420" w:firstLineChars="200"/>
        <w:rPr>
          <w:rFonts w:ascii="宋体" w:hAnsi="宋体"/>
          <w:szCs w:val="21"/>
        </w:rPr>
      </w:pPr>
      <w:r>
        <w:rPr>
          <w:rFonts w:hint="eastAsia" w:ascii="宋体" w:hAnsi="宋体"/>
          <w:szCs w:val="21"/>
        </w:rPr>
        <w:t>承包人未通知监理人到场检查，私自将工程隐蔽部位覆盖的，监理人有权指示承包人钻孔探测或揭开检查，由此增加的费用和（或）工期延误由承包人承担。</w:t>
      </w:r>
    </w:p>
    <w:p>
      <w:pPr>
        <w:pStyle w:val="6"/>
      </w:pPr>
      <w:bookmarkStart w:id="394" w:name="_Toc300835136"/>
      <w:bookmarkStart w:id="395" w:name="_Toc247514133"/>
      <w:bookmarkStart w:id="396" w:name="_Toc247527734"/>
      <w:r>
        <w:rPr>
          <w:rFonts w:hint="eastAsia"/>
        </w:rPr>
        <w:t>13.5 清除不合格工程</w:t>
      </w:r>
      <w:bookmarkEnd w:id="394"/>
      <w:bookmarkEnd w:id="395"/>
      <w:bookmarkEnd w:id="396"/>
    </w:p>
    <w:p>
      <w:pPr>
        <w:spacing w:line="360" w:lineRule="auto"/>
        <w:ind w:firstLine="420" w:firstLineChars="200"/>
        <w:rPr>
          <w:rFonts w:ascii="宋体" w:hAnsi="宋体"/>
          <w:szCs w:val="21"/>
        </w:rPr>
      </w:pPr>
      <w:r>
        <w:rPr>
          <w:rFonts w:hint="eastAsia"/>
        </w:rPr>
        <w:t>13.5.1</w:t>
      </w:r>
      <w:r>
        <w:rPr>
          <w:rFonts w:hint="eastAsia" w:ascii="宋体" w:hAnsi="宋体"/>
          <w:szCs w:val="21"/>
        </w:rPr>
        <w:t xml:space="preserve"> 因承包人设计失误，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spacing w:line="360" w:lineRule="auto"/>
        <w:ind w:firstLine="420" w:firstLineChars="200"/>
        <w:rPr>
          <w:rFonts w:ascii="宋体" w:hAnsi="宋体"/>
          <w:szCs w:val="21"/>
        </w:rPr>
      </w:pPr>
      <w:r>
        <w:rPr>
          <w:rFonts w:hint="eastAsia"/>
        </w:rPr>
        <w:t xml:space="preserve">13.5.2 </w:t>
      </w:r>
      <w:r>
        <w:rPr>
          <w:rFonts w:hint="eastAsia" w:ascii="宋体" w:hAnsi="宋体"/>
          <w:szCs w:val="21"/>
        </w:rPr>
        <w:t>由于发包人提供的材料或工程设备不合格造成的工程不合格，需要承包人采取措施补救的，发包人应承担由此增加的费用和（或）工期延误，并支付承包人合理利润。</w:t>
      </w:r>
    </w:p>
    <w:p>
      <w:pPr>
        <w:pStyle w:val="5"/>
      </w:pPr>
      <w:bookmarkStart w:id="397" w:name="_Toc300835137"/>
      <w:bookmarkStart w:id="398" w:name="_Toc184635111"/>
      <w:bookmarkStart w:id="399" w:name="_Toc247527735"/>
      <w:bookmarkStart w:id="400" w:name="_Toc247514134"/>
      <w:r>
        <w:rPr>
          <w:rFonts w:hint="eastAsia"/>
        </w:rPr>
        <w:t>14. 试验和检验</w:t>
      </w:r>
      <w:bookmarkEnd w:id="397"/>
      <w:bookmarkEnd w:id="398"/>
      <w:bookmarkEnd w:id="399"/>
      <w:bookmarkEnd w:id="400"/>
    </w:p>
    <w:p>
      <w:pPr>
        <w:pStyle w:val="6"/>
      </w:pPr>
      <w:bookmarkStart w:id="401" w:name="_Toc247527736"/>
      <w:bookmarkStart w:id="402" w:name="_Toc300835138"/>
      <w:bookmarkStart w:id="403" w:name="_Toc247514135"/>
      <w:r>
        <w:rPr>
          <w:rFonts w:hint="eastAsia"/>
        </w:rPr>
        <w:t>14.1 材料、工程设备和工程的试验和检验</w:t>
      </w:r>
      <w:bookmarkEnd w:id="401"/>
      <w:bookmarkEnd w:id="402"/>
      <w:bookmarkEnd w:id="403"/>
    </w:p>
    <w:p>
      <w:pPr>
        <w:spacing w:line="360" w:lineRule="auto"/>
        <w:ind w:firstLine="420" w:firstLineChars="200"/>
        <w:rPr>
          <w:rFonts w:ascii="宋体" w:hAnsi="宋体"/>
          <w:szCs w:val="21"/>
        </w:rPr>
      </w:pPr>
      <w:r>
        <w:rPr>
          <w:rFonts w:hint="eastAsia"/>
        </w:rPr>
        <w:t>14.1.1</w:t>
      </w:r>
      <w:r>
        <w:rPr>
          <w:rFonts w:hint="eastAsia" w:ascii="宋体" w:hAnsi="宋体"/>
          <w:szCs w:val="21"/>
        </w:rPr>
        <w:t xml:space="preserve"> 本款适用于竣工试验之前的试验和检验。</w:t>
      </w:r>
    </w:p>
    <w:p>
      <w:pPr>
        <w:spacing w:line="360" w:lineRule="auto"/>
        <w:ind w:firstLine="420" w:firstLineChars="200"/>
        <w:rPr>
          <w:rFonts w:ascii="宋体" w:hAnsi="宋体"/>
          <w:szCs w:val="21"/>
        </w:rPr>
      </w:pPr>
      <w:r>
        <w:rPr>
          <w:rFonts w:hint="eastAsia"/>
        </w:rPr>
        <w:t xml:space="preserve">14.1.2 </w:t>
      </w:r>
      <w:r>
        <w:rPr>
          <w:rFonts w:hint="eastAsia" w:ascii="宋体" w:hAnsi="宋体"/>
          <w:szCs w:val="21"/>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ind w:firstLine="420" w:firstLineChars="200"/>
        <w:rPr>
          <w:rFonts w:ascii="宋体" w:hAnsi="宋体"/>
          <w:szCs w:val="21"/>
        </w:rPr>
      </w:pPr>
      <w:r>
        <w:rPr>
          <w:rFonts w:hint="eastAsia"/>
        </w:rPr>
        <w:t>14.1.3</w:t>
      </w:r>
      <w:r>
        <w:rPr>
          <w:rFonts w:hint="eastAsia" w:ascii="宋体" w:hAnsi="宋体"/>
          <w:szCs w:val="21"/>
        </w:rPr>
        <w:t xml:space="preserve"> 监理人未按合同约定派员参加试验和检验的，除监理人另有指示外，承包人可自行试验和检验，并应立即将试验和检验结果报送监理人，监理人应签字确认。</w:t>
      </w:r>
    </w:p>
    <w:p>
      <w:pPr>
        <w:spacing w:line="360" w:lineRule="auto"/>
        <w:ind w:firstLine="420" w:firstLineChars="200"/>
        <w:rPr>
          <w:rFonts w:ascii="宋体" w:hAnsi="宋体"/>
          <w:szCs w:val="21"/>
        </w:rPr>
      </w:pPr>
      <w:r>
        <w:rPr>
          <w:rFonts w:hint="eastAsia"/>
        </w:rPr>
        <w:t>14.1.4</w:t>
      </w:r>
      <w:r>
        <w:rPr>
          <w:rFonts w:hint="eastAsia" w:ascii="宋体" w:hAnsi="宋体"/>
          <w:szCs w:val="21"/>
        </w:rPr>
        <w:t xml:space="preserve">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6"/>
      </w:pPr>
      <w:bookmarkStart w:id="404" w:name="_Toc247514136"/>
      <w:bookmarkStart w:id="405" w:name="_Toc247527737"/>
      <w:bookmarkStart w:id="406" w:name="_Toc300835139"/>
      <w:r>
        <w:rPr>
          <w:rFonts w:hint="eastAsia"/>
        </w:rPr>
        <w:t>14.2 现场材料试验</w:t>
      </w:r>
      <w:bookmarkEnd w:id="404"/>
      <w:bookmarkEnd w:id="405"/>
      <w:bookmarkEnd w:id="406"/>
    </w:p>
    <w:p>
      <w:pPr>
        <w:spacing w:line="360" w:lineRule="auto"/>
        <w:ind w:firstLine="420" w:firstLineChars="200"/>
        <w:rPr>
          <w:rFonts w:ascii="宋体" w:hAnsi="宋体"/>
          <w:szCs w:val="21"/>
        </w:rPr>
      </w:pPr>
      <w:r>
        <w:rPr>
          <w:rFonts w:hint="eastAsia" w:ascii="宋体" w:hAnsi="宋体"/>
          <w:szCs w:val="21"/>
        </w:rPr>
        <w:t>14.2.1 承包人根据合同约定或监理人指示进行的现场材料试验，应由承包人提供试验场所、试验人员、试验设备器材以及其他必要的试验条件。</w:t>
      </w:r>
    </w:p>
    <w:p>
      <w:pPr>
        <w:spacing w:line="360" w:lineRule="auto"/>
        <w:ind w:firstLine="420" w:firstLineChars="200"/>
        <w:rPr>
          <w:rFonts w:ascii="宋体" w:hAnsi="宋体"/>
          <w:szCs w:val="21"/>
        </w:rPr>
      </w:pPr>
      <w:r>
        <w:rPr>
          <w:rFonts w:hint="eastAsia" w:ascii="宋体" w:hAnsi="宋体"/>
          <w:szCs w:val="21"/>
        </w:rPr>
        <w:t>14.2.2 监理人在必要时可以使用承包人的试验场所、试验设备器材以及其他试验条件，进行以工程质量检查为目的的复核性材料试验，承包人应予以协助。</w:t>
      </w:r>
    </w:p>
    <w:p>
      <w:pPr>
        <w:pStyle w:val="6"/>
      </w:pPr>
      <w:bookmarkStart w:id="407" w:name="_Toc247527738"/>
      <w:bookmarkStart w:id="408" w:name="_Toc300835140"/>
      <w:bookmarkStart w:id="409" w:name="_Toc247514137"/>
      <w:r>
        <w:rPr>
          <w:rFonts w:hint="eastAsia"/>
        </w:rPr>
        <w:t>14.3 现场工艺试验</w:t>
      </w:r>
      <w:bookmarkEnd w:id="407"/>
      <w:bookmarkEnd w:id="408"/>
      <w:bookmarkEnd w:id="409"/>
    </w:p>
    <w:p>
      <w:pPr>
        <w:spacing w:line="360" w:lineRule="auto"/>
        <w:ind w:firstLine="420" w:firstLineChars="200"/>
        <w:rPr>
          <w:rFonts w:ascii="宋体" w:hAnsi="宋体"/>
          <w:szCs w:val="21"/>
        </w:rPr>
      </w:pPr>
      <w:r>
        <w:rPr>
          <w:rFonts w:hint="eastAsia" w:ascii="宋体" w:hAnsi="宋体"/>
          <w:szCs w:val="21"/>
        </w:rPr>
        <w:t>承包人应按合同约定或监理人指示进行现场工艺试验。对大型的现场工艺试验，监理人认为必要时，应由承包人根据监理人提出的工艺试验要求，编制工艺试验措施计划，报送监理人批准。</w:t>
      </w:r>
    </w:p>
    <w:p>
      <w:pPr>
        <w:pStyle w:val="5"/>
      </w:pPr>
      <w:bookmarkStart w:id="410" w:name="_Toc247514138"/>
      <w:bookmarkStart w:id="411" w:name="_Toc300835141"/>
      <w:bookmarkStart w:id="412" w:name="_Toc247527739"/>
      <w:bookmarkStart w:id="413" w:name="_Toc184635112"/>
      <w:r>
        <w:rPr>
          <w:rFonts w:hint="eastAsia"/>
        </w:rPr>
        <w:t>15. 变更</w:t>
      </w:r>
      <w:bookmarkEnd w:id="410"/>
      <w:bookmarkEnd w:id="411"/>
      <w:bookmarkEnd w:id="412"/>
      <w:bookmarkEnd w:id="413"/>
      <w:bookmarkStart w:id="414" w:name="_Toc247527740"/>
      <w:bookmarkStart w:id="415" w:name="_Toc247514139"/>
    </w:p>
    <w:p>
      <w:pPr>
        <w:pStyle w:val="6"/>
      </w:pPr>
      <w:bookmarkStart w:id="416" w:name="_Toc300835142"/>
      <w:r>
        <w:rPr>
          <w:rFonts w:hint="eastAsia"/>
        </w:rPr>
        <w:t>15.1 变更权</w:t>
      </w:r>
      <w:bookmarkEnd w:id="414"/>
      <w:bookmarkEnd w:id="415"/>
      <w:bookmarkEnd w:id="416"/>
    </w:p>
    <w:p>
      <w:pPr>
        <w:spacing w:line="360" w:lineRule="auto"/>
        <w:ind w:firstLine="420" w:firstLineChars="200"/>
        <w:rPr>
          <w:rFonts w:ascii="宋体" w:hAnsi="宋体"/>
          <w:szCs w:val="21"/>
        </w:rPr>
      </w:pPr>
      <w:r>
        <w:rPr>
          <w:rFonts w:hint="eastAsia" w:ascii="宋体" w:hAnsi="宋体"/>
          <w:szCs w:val="21"/>
        </w:rPr>
        <w:t>在履行合同过程中，经发包人同意，监理人可按第</w:t>
      </w:r>
      <w:r>
        <w:rPr>
          <w:rFonts w:hint="eastAsia"/>
        </w:rPr>
        <w:t xml:space="preserve">15.3 </w:t>
      </w:r>
      <w:r>
        <w:rPr>
          <w:rFonts w:hint="eastAsia" w:ascii="宋体" w:hAnsi="宋体"/>
          <w:szCs w:val="21"/>
        </w:rPr>
        <w:t>款约定的变更程序向承包人作出有关发包人要求改变的变更指示，承包人应遵照执行。变更应在相应内容实施前提出，否则发包人应承担承包人损失。没有监理人的变更指示，承包人不得擅自变更。</w:t>
      </w:r>
    </w:p>
    <w:p>
      <w:pPr>
        <w:pStyle w:val="6"/>
      </w:pPr>
      <w:bookmarkStart w:id="417" w:name="_Toc247514140"/>
      <w:bookmarkStart w:id="418" w:name="_Toc300835143"/>
      <w:bookmarkStart w:id="419" w:name="_Toc247527741"/>
      <w:r>
        <w:rPr>
          <w:rFonts w:hint="eastAsia"/>
        </w:rPr>
        <w:t>15.2 承包人的合理化建议</w:t>
      </w:r>
      <w:bookmarkEnd w:id="417"/>
      <w:bookmarkEnd w:id="418"/>
      <w:bookmarkEnd w:id="419"/>
    </w:p>
    <w:p>
      <w:pPr>
        <w:spacing w:line="360" w:lineRule="auto"/>
        <w:ind w:firstLine="420" w:firstLineChars="200"/>
        <w:rPr>
          <w:rFonts w:ascii="宋体" w:hAnsi="宋体"/>
          <w:szCs w:val="21"/>
        </w:rPr>
      </w:pPr>
      <w:r>
        <w:rPr>
          <w:rFonts w:hint="eastAsia"/>
        </w:rPr>
        <w:t>15.2.1</w:t>
      </w:r>
      <w:r>
        <w:rPr>
          <w:rFonts w:hint="eastAsia" w:ascii="宋体" w:hAnsi="宋体"/>
          <w:szCs w:val="21"/>
        </w:rPr>
        <w:t xml:space="preserve"> 在履行合同过程中，承包人对发包人要求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hint="eastAsia"/>
        </w:rPr>
        <w:t>15.3</w:t>
      </w:r>
      <w:r>
        <w:rPr>
          <w:rFonts w:hint="eastAsia" w:ascii="宋体" w:hAnsi="宋体"/>
          <w:szCs w:val="21"/>
        </w:rPr>
        <w:t>款约定向承包人发出变更指示。</w:t>
      </w:r>
    </w:p>
    <w:p>
      <w:pPr>
        <w:spacing w:line="360" w:lineRule="auto"/>
        <w:ind w:firstLine="420" w:firstLineChars="200"/>
        <w:rPr>
          <w:rFonts w:ascii="宋体" w:hAnsi="宋体"/>
          <w:szCs w:val="21"/>
        </w:rPr>
      </w:pPr>
      <w:r>
        <w:rPr>
          <w:rFonts w:hint="eastAsia"/>
        </w:rPr>
        <w:t>15.2.2</w:t>
      </w:r>
      <w:r>
        <w:rPr>
          <w:rFonts w:hint="eastAsia" w:ascii="宋体" w:hAnsi="宋体"/>
          <w:szCs w:val="21"/>
        </w:rPr>
        <w:t xml:space="preserve"> 承包人提出的合理化建议降低了合同价格、缩短了工期或者提高了工程经济效益的，发包人可按国家有关规定在专用合同条款中约定给予奖励。</w:t>
      </w:r>
    </w:p>
    <w:p>
      <w:pPr>
        <w:pStyle w:val="6"/>
      </w:pPr>
      <w:bookmarkStart w:id="420" w:name="_Toc247527742"/>
      <w:bookmarkStart w:id="421" w:name="_Toc300835144"/>
      <w:bookmarkStart w:id="422" w:name="_Toc247514141"/>
      <w:r>
        <w:rPr>
          <w:rFonts w:hint="eastAsia"/>
        </w:rPr>
        <w:t>15.3 变更程序</w:t>
      </w:r>
      <w:bookmarkEnd w:id="420"/>
      <w:bookmarkEnd w:id="421"/>
      <w:bookmarkEnd w:id="422"/>
    </w:p>
    <w:p>
      <w:pPr>
        <w:spacing w:line="360" w:lineRule="auto"/>
        <w:ind w:firstLine="420" w:firstLineChars="200"/>
        <w:rPr>
          <w:rFonts w:ascii="宋体" w:hAnsi="宋体"/>
          <w:szCs w:val="21"/>
        </w:rPr>
      </w:pPr>
      <w:r>
        <w:rPr>
          <w:rFonts w:hint="eastAsia"/>
        </w:rPr>
        <w:t xml:space="preserve">15.3.1 </w:t>
      </w:r>
      <w:r>
        <w:rPr>
          <w:rFonts w:hint="eastAsia" w:ascii="宋体" w:hAnsi="宋体"/>
          <w:szCs w:val="21"/>
        </w:rPr>
        <w:t>变更的提出</w:t>
      </w:r>
    </w:p>
    <w:p>
      <w:pPr>
        <w:spacing w:line="360" w:lineRule="auto"/>
        <w:ind w:firstLine="420" w:firstLineChars="200"/>
      </w:pPr>
      <w:r>
        <w:rPr>
          <w:rFonts w:hint="eastAsia"/>
        </w:rPr>
        <w:t>（1）在合同履行过程中，监理人可向承包人发出变更意向书。变更意向书应说明变更的具体内容和发包人对变更的时间要求，并附必要的相关资料。变更意向书应要求承包人提交包括拟实施变更工作的设计和计划、措施和竣工时间等内容的实施方案。发包人同意承包人根据变更意向书要求提交的变更实施方案的，由监理人按第15.3.3 项约定发出变更指示。</w:t>
      </w:r>
    </w:p>
    <w:p>
      <w:pPr>
        <w:spacing w:line="360" w:lineRule="auto"/>
        <w:ind w:firstLine="420" w:firstLineChars="200"/>
      </w:pPr>
      <w:r>
        <w:rPr>
          <w:rFonts w:hint="eastAsia"/>
        </w:rPr>
        <w:t>（2）承包人收到监理人按合同约定发出的文件，经检查认为其中存在对发包人要求变更情形的，可向监理人提出书面变更建议。变更建议应阐明要求变更的依据，以及实施该变更工作对合同价款和工期的影响，并附必要的图纸和说明。监理人收到承包人书面建议后，应与发包人共同研究，确认存在变更的，应在收到承包人书面建议后的14 天内作出变更指示。经研究后不同意作为变更的，应由监理人书面答复承包人。</w:t>
      </w:r>
    </w:p>
    <w:p>
      <w:pPr>
        <w:spacing w:line="360" w:lineRule="auto"/>
        <w:ind w:firstLine="420" w:firstLineChars="200"/>
        <w:rPr>
          <w:rFonts w:ascii="宋体" w:hAnsi="宋体"/>
          <w:szCs w:val="21"/>
        </w:rPr>
      </w:pPr>
      <w:r>
        <w:rPr>
          <w:rFonts w:hint="eastAsia"/>
        </w:rPr>
        <w:t>（3）承包人</w:t>
      </w:r>
      <w:r>
        <w:rPr>
          <w:rFonts w:hint="eastAsia" w:ascii="宋体" w:hAnsi="宋体"/>
          <w:szCs w:val="21"/>
        </w:rPr>
        <w:t>收到监理人的变更意向书后认为难以实施此项变更的，应立即通知监理人，说明原因并附详细依据。监理人与承包人和发包人协商后确定撤销、改变或不改变原变更意向书。</w:t>
      </w:r>
    </w:p>
    <w:p>
      <w:pPr>
        <w:spacing w:line="360" w:lineRule="auto"/>
        <w:ind w:firstLine="420" w:firstLineChars="200"/>
        <w:rPr>
          <w:rFonts w:ascii="宋体" w:hAnsi="宋体"/>
          <w:szCs w:val="21"/>
        </w:rPr>
      </w:pPr>
      <w:r>
        <w:rPr>
          <w:rFonts w:hint="eastAsia"/>
        </w:rPr>
        <w:t>15.3.2</w:t>
      </w:r>
      <w:r>
        <w:rPr>
          <w:rFonts w:hint="eastAsia" w:ascii="宋体" w:hAnsi="宋体"/>
          <w:szCs w:val="21"/>
        </w:rPr>
        <w:t xml:space="preserve"> 变更估价</w:t>
      </w:r>
    </w:p>
    <w:p>
      <w:pPr>
        <w:spacing w:line="360" w:lineRule="auto"/>
        <w:ind w:firstLine="420" w:firstLineChars="200"/>
        <w:rPr>
          <w:rFonts w:ascii="宋体" w:hAnsi="宋体"/>
          <w:szCs w:val="21"/>
        </w:rPr>
      </w:pPr>
      <w:r>
        <w:rPr>
          <w:rFonts w:hint="eastAsia" w:ascii="宋体" w:hAnsi="宋体"/>
          <w:szCs w:val="21"/>
        </w:rPr>
        <w:t>监理人应按照</w:t>
      </w:r>
      <w:r>
        <w:rPr>
          <w:rFonts w:hint="eastAsia"/>
        </w:rPr>
        <w:t>第3.5 款</w:t>
      </w:r>
      <w:r>
        <w:rPr>
          <w:rFonts w:hint="eastAsia" w:ascii="宋体" w:hAnsi="宋体"/>
          <w:szCs w:val="21"/>
        </w:rPr>
        <w:t>商定或确定变更价格。变更价格应包括合理的利润，并应考虑承包人根据第</w:t>
      </w:r>
      <w:r>
        <w:rPr>
          <w:rFonts w:hint="eastAsia"/>
        </w:rPr>
        <w:t>15.2</w:t>
      </w:r>
      <w:r>
        <w:rPr>
          <w:rFonts w:hint="eastAsia" w:ascii="宋体" w:hAnsi="宋体"/>
          <w:szCs w:val="21"/>
        </w:rPr>
        <w:t>款提出的合理化建议。</w:t>
      </w:r>
    </w:p>
    <w:p>
      <w:pPr>
        <w:spacing w:line="360" w:lineRule="auto"/>
        <w:ind w:firstLine="420" w:firstLineChars="200"/>
        <w:rPr>
          <w:rFonts w:ascii="宋体" w:hAnsi="宋体"/>
          <w:szCs w:val="21"/>
        </w:rPr>
      </w:pPr>
      <w:r>
        <w:rPr>
          <w:rFonts w:hint="eastAsia"/>
        </w:rPr>
        <w:t xml:space="preserve">15.3.3 </w:t>
      </w:r>
      <w:r>
        <w:rPr>
          <w:rFonts w:hint="eastAsia" w:ascii="宋体" w:hAnsi="宋体"/>
          <w:szCs w:val="21"/>
        </w:rPr>
        <w:t>变更指示</w:t>
      </w:r>
    </w:p>
    <w:p>
      <w:pPr>
        <w:spacing w:line="360" w:lineRule="auto"/>
        <w:ind w:firstLine="420" w:firstLineChars="200"/>
      </w:pPr>
      <w:r>
        <w:rPr>
          <w:rFonts w:hint="eastAsia"/>
        </w:rPr>
        <w:t>（1）变更指示只能由监理人发出。</w:t>
      </w:r>
    </w:p>
    <w:p>
      <w:pPr>
        <w:spacing w:line="360" w:lineRule="auto"/>
        <w:ind w:firstLine="420" w:firstLineChars="200"/>
        <w:rPr>
          <w:rFonts w:ascii="宋体" w:hAnsi="宋体"/>
          <w:szCs w:val="21"/>
        </w:rPr>
      </w:pPr>
      <w:r>
        <w:rPr>
          <w:rFonts w:hint="eastAsia"/>
        </w:rPr>
        <w:t>（2）变更指示应说明变更的目的、范围、变更内容以及变更的工程量及其进度和技术要求，并附有关图纸和文件</w:t>
      </w:r>
      <w:r>
        <w:rPr>
          <w:rFonts w:hint="eastAsia" w:ascii="宋体" w:hAnsi="宋体"/>
          <w:szCs w:val="21"/>
        </w:rPr>
        <w:t>。承包人收到变更指示后，应按变更指示进行变更工作。</w:t>
      </w:r>
    </w:p>
    <w:p>
      <w:pPr>
        <w:pStyle w:val="6"/>
      </w:pPr>
      <w:bookmarkStart w:id="423" w:name="_Toc247514142"/>
      <w:bookmarkStart w:id="424" w:name="_Toc300835145"/>
      <w:bookmarkStart w:id="425" w:name="_Toc247527743"/>
      <w:r>
        <w:rPr>
          <w:rFonts w:hint="eastAsia"/>
        </w:rPr>
        <w:t>15.4 暂列金额</w:t>
      </w:r>
      <w:bookmarkEnd w:id="423"/>
      <w:bookmarkEnd w:id="424"/>
      <w:bookmarkEnd w:id="425"/>
    </w:p>
    <w:p>
      <w:pPr>
        <w:spacing w:line="360" w:lineRule="auto"/>
        <w:ind w:firstLine="420" w:firstLineChars="200"/>
        <w:rPr>
          <w:rFonts w:ascii="宋体" w:hAnsi="宋体"/>
          <w:szCs w:val="21"/>
        </w:rPr>
      </w:pPr>
      <w:r>
        <w:rPr>
          <w:rFonts w:hint="eastAsia" w:ascii="宋体" w:hAnsi="宋体"/>
          <w:szCs w:val="21"/>
        </w:rPr>
        <w:t>经发包人同意，承包人可使用暂列金额，但应按照</w:t>
      </w:r>
      <w:r>
        <w:rPr>
          <w:rFonts w:hint="eastAsia"/>
        </w:rPr>
        <w:t>第15.6</w:t>
      </w:r>
      <w:r>
        <w:rPr>
          <w:rFonts w:hint="eastAsia" w:ascii="宋体" w:hAnsi="宋体"/>
          <w:szCs w:val="21"/>
        </w:rPr>
        <w:t>款规定的程序进行，并对合同价格进行相应调整。</w:t>
      </w:r>
    </w:p>
    <w:p>
      <w:pPr>
        <w:pStyle w:val="7"/>
        <w:rPr>
          <w:b w:val="0"/>
        </w:rPr>
      </w:pPr>
      <w:r>
        <w:rPr>
          <w:rFonts w:hint="eastAsia" w:ascii="Times New Roman" w:hAnsi="Times New Roman"/>
          <w:b w:val="0"/>
          <w:sz w:val="32"/>
          <w:szCs w:val="32"/>
        </w:rPr>
        <w:t>15.5</w:t>
      </w:r>
      <w:r>
        <w:rPr>
          <w:rFonts w:hint="eastAsia"/>
          <w:b w:val="0"/>
        </w:rPr>
        <w:t xml:space="preserve"> 计日工（A）</w:t>
      </w:r>
    </w:p>
    <w:p>
      <w:pPr>
        <w:spacing w:line="360" w:lineRule="auto"/>
        <w:ind w:firstLine="420" w:firstLineChars="200"/>
        <w:rPr>
          <w:rFonts w:ascii="宋体" w:hAnsi="宋体"/>
          <w:szCs w:val="21"/>
        </w:rPr>
      </w:pPr>
      <w:r>
        <w:rPr>
          <w:rFonts w:hint="eastAsia"/>
        </w:rPr>
        <w:t>15.5.1</w:t>
      </w:r>
      <w:r>
        <w:rPr>
          <w:rFonts w:hint="eastAsia" w:ascii="宋体" w:hAnsi="宋体"/>
          <w:szCs w:val="21"/>
        </w:rPr>
        <w:t xml:space="preserve"> 发包人认为有必要时，由监理人通知承包人以计日工方式实施变更的零星工作。其价款按列入合同中的计日工计价子目及其单价进行计算。</w:t>
      </w:r>
    </w:p>
    <w:p>
      <w:pPr>
        <w:spacing w:line="360" w:lineRule="auto"/>
        <w:ind w:firstLine="420" w:firstLineChars="200"/>
        <w:rPr>
          <w:rFonts w:ascii="宋体" w:hAnsi="宋体"/>
          <w:szCs w:val="21"/>
        </w:rPr>
      </w:pPr>
      <w:r>
        <w:rPr>
          <w:rFonts w:hint="eastAsia"/>
        </w:rPr>
        <w:t xml:space="preserve">15.5.2 </w:t>
      </w:r>
      <w:r>
        <w:rPr>
          <w:rFonts w:hint="eastAsia" w:ascii="宋体" w:hAnsi="宋体"/>
          <w:szCs w:val="21"/>
        </w:rPr>
        <w:t>采用计日工计价的任何一项变更工作，应从暂列金额中支付，承包人应在该项变更的实施过程中，每天提交以下报表和有关凭证报送监理人批准：</w:t>
      </w:r>
    </w:p>
    <w:p>
      <w:pPr>
        <w:spacing w:line="360" w:lineRule="auto"/>
        <w:ind w:firstLine="420" w:firstLineChars="200"/>
      </w:pPr>
      <w:r>
        <w:rPr>
          <w:rFonts w:hint="eastAsia"/>
        </w:rPr>
        <w:t>（1）工作名称、内容和数量；</w:t>
      </w:r>
    </w:p>
    <w:p>
      <w:pPr>
        <w:spacing w:line="360" w:lineRule="auto"/>
        <w:ind w:firstLine="420" w:firstLineChars="200"/>
      </w:pPr>
      <w:r>
        <w:rPr>
          <w:rFonts w:hint="eastAsia"/>
        </w:rPr>
        <w:t>（2）投入该工作所有人员的姓名、专业/工种、级别和耗用工时；</w:t>
      </w:r>
    </w:p>
    <w:p>
      <w:pPr>
        <w:spacing w:line="360" w:lineRule="auto"/>
        <w:ind w:firstLine="420" w:firstLineChars="200"/>
      </w:pPr>
      <w:r>
        <w:rPr>
          <w:rFonts w:hint="eastAsia"/>
        </w:rPr>
        <w:t>（3）投入该工作的材料类别和数量；</w:t>
      </w:r>
    </w:p>
    <w:p>
      <w:pPr>
        <w:spacing w:line="360" w:lineRule="auto"/>
        <w:ind w:firstLine="420" w:firstLineChars="200"/>
      </w:pPr>
      <w:r>
        <w:rPr>
          <w:rFonts w:hint="eastAsia"/>
        </w:rPr>
        <w:t>（4）投入该工作的施工设备型号、台数和耗用台时；</w:t>
      </w:r>
    </w:p>
    <w:p>
      <w:pPr>
        <w:spacing w:line="360" w:lineRule="auto"/>
        <w:ind w:firstLine="420" w:firstLineChars="200"/>
        <w:rPr>
          <w:rFonts w:ascii="宋体" w:hAnsi="宋体"/>
          <w:szCs w:val="21"/>
        </w:rPr>
      </w:pPr>
      <w:r>
        <w:rPr>
          <w:rFonts w:hint="eastAsia"/>
        </w:rPr>
        <w:t>（5）监理人要</w:t>
      </w:r>
      <w:r>
        <w:rPr>
          <w:rFonts w:hint="eastAsia" w:ascii="宋体" w:hAnsi="宋体"/>
          <w:szCs w:val="21"/>
        </w:rPr>
        <w:t>求提交的其他资料和凭证。</w:t>
      </w:r>
    </w:p>
    <w:p>
      <w:pPr>
        <w:spacing w:line="360" w:lineRule="auto"/>
        <w:ind w:firstLine="420" w:firstLineChars="200"/>
        <w:rPr>
          <w:rFonts w:ascii="宋体" w:hAnsi="宋体"/>
          <w:szCs w:val="21"/>
        </w:rPr>
      </w:pPr>
      <w:r>
        <w:rPr>
          <w:rFonts w:hint="eastAsia"/>
        </w:rPr>
        <w:t>15.5.3</w:t>
      </w:r>
      <w:r>
        <w:rPr>
          <w:rFonts w:hint="eastAsia" w:ascii="宋体" w:hAnsi="宋体"/>
          <w:szCs w:val="21"/>
        </w:rPr>
        <w:t xml:space="preserve"> 计日工由承包人汇总后</w:t>
      </w:r>
      <w:r>
        <w:rPr>
          <w:rFonts w:hint="eastAsia"/>
        </w:rPr>
        <w:t>，按第17.3.3 项的</w:t>
      </w:r>
      <w:r>
        <w:rPr>
          <w:rFonts w:hint="eastAsia" w:ascii="宋体" w:hAnsi="宋体"/>
          <w:szCs w:val="21"/>
        </w:rPr>
        <w:t>约定列入进度付款申请单，由监理人复核并经发包人同意后列入进度付款。</w:t>
      </w:r>
    </w:p>
    <w:p>
      <w:pPr>
        <w:pStyle w:val="7"/>
        <w:rPr>
          <w:b w:val="0"/>
        </w:rPr>
      </w:pPr>
      <w:r>
        <w:rPr>
          <w:rFonts w:hint="eastAsia" w:ascii="Times New Roman" w:hAnsi="Times New Roman"/>
          <w:b w:val="0"/>
          <w:sz w:val="32"/>
          <w:szCs w:val="32"/>
        </w:rPr>
        <w:t>15.5</w:t>
      </w:r>
      <w:r>
        <w:rPr>
          <w:rFonts w:hint="eastAsia"/>
          <w:b w:val="0"/>
        </w:rPr>
        <w:t xml:space="preserve"> 计日工（B）</w:t>
      </w:r>
    </w:p>
    <w:p>
      <w:pPr>
        <w:spacing w:line="360" w:lineRule="auto"/>
        <w:ind w:firstLine="420" w:firstLineChars="200"/>
        <w:rPr>
          <w:rFonts w:ascii="宋体" w:hAnsi="宋体"/>
          <w:szCs w:val="21"/>
        </w:rPr>
      </w:pPr>
      <w:r>
        <w:rPr>
          <w:rFonts w:hint="eastAsia" w:ascii="宋体" w:hAnsi="宋体"/>
          <w:szCs w:val="21"/>
        </w:rPr>
        <w:t>签约合同价包括计日工的，按合同约定进行支付。</w:t>
      </w:r>
    </w:p>
    <w:p>
      <w:pPr>
        <w:pStyle w:val="7"/>
        <w:rPr>
          <w:b w:val="0"/>
        </w:rPr>
      </w:pPr>
      <w:r>
        <w:rPr>
          <w:rFonts w:hint="eastAsia" w:ascii="Times New Roman" w:hAnsi="Times New Roman"/>
          <w:b w:val="0"/>
          <w:sz w:val="32"/>
          <w:szCs w:val="32"/>
        </w:rPr>
        <w:t>15.6</w:t>
      </w:r>
      <w:r>
        <w:rPr>
          <w:rFonts w:hint="eastAsia"/>
          <w:b w:val="0"/>
        </w:rPr>
        <w:t xml:space="preserve"> 暂估价（A）</w:t>
      </w:r>
    </w:p>
    <w:p>
      <w:pPr>
        <w:spacing w:line="360" w:lineRule="auto"/>
        <w:ind w:firstLine="420" w:firstLineChars="200"/>
      </w:pPr>
      <w:r>
        <w:rPr>
          <w:rFonts w:hint="eastAsia"/>
        </w:rPr>
        <w:t xml:space="preserve">15.6.1 </w:t>
      </w:r>
      <w:r>
        <w:rPr>
          <w:rFonts w:hint="eastAsia" w:ascii="宋体" w:hAnsi="宋体"/>
          <w:szCs w:val="21"/>
        </w:rPr>
        <w:t>发包人在价格清单中给定暂估价的专业服务、材料、工程设备和专业工程属于依法必须招标的范围并达到规定的规模标准的，由发包人和承包人以招标的方式选择供应商或分包人。发包人和承包人的权利义务关系在专用合同条款中约定。中标金额与价格清单中所列的暂估价的金额差以及相应的税金等其他</w:t>
      </w:r>
      <w:r>
        <w:rPr>
          <w:rFonts w:hint="eastAsia"/>
        </w:rPr>
        <w:t>费用列入合同价格。</w:t>
      </w:r>
    </w:p>
    <w:p>
      <w:pPr>
        <w:spacing w:line="360" w:lineRule="auto"/>
        <w:ind w:firstLine="420" w:firstLineChars="200"/>
        <w:rPr>
          <w:rFonts w:ascii="宋体" w:hAnsi="宋体"/>
          <w:szCs w:val="21"/>
        </w:rPr>
      </w:pPr>
      <w:r>
        <w:rPr>
          <w:rFonts w:hint="eastAsia"/>
        </w:rPr>
        <w:t>15.6.2</w:t>
      </w:r>
      <w:r>
        <w:rPr>
          <w:rFonts w:hint="eastAsia" w:ascii="宋体" w:hAnsi="宋体"/>
          <w:szCs w:val="21"/>
        </w:rPr>
        <w:t xml:space="preserve"> 发包人在价格清单中给定暂估价的专业服务、材料和工程设备不属于依法必须招标的范围或未达到规定的规模标准的，应由承</w:t>
      </w:r>
      <w:r>
        <w:rPr>
          <w:rFonts w:hint="eastAsia"/>
        </w:rPr>
        <w:t>包人按第6.1 款的约</w:t>
      </w:r>
      <w:r>
        <w:rPr>
          <w:rFonts w:hint="eastAsia" w:ascii="宋体" w:hAnsi="宋体"/>
          <w:szCs w:val="21"/>
        </w:rPr>
        <w:t>定提供。经监理人确认的专业服务、材料、工程设备的价格与价格清单中所列的暂估价的金额差以及相应的税金等其他费用列入合同价格。</w:t>
      </w:r>
    </w:p>
    <w:p>
      <w:pPr>
        <w:spacing w:line="360" w:lineRule="auto"/>
        <w:ind w:firstLine="420" w:firstLineChars="200"/>
        <w:rPr>
          <w:rFonts w:ascii="宋体" w:hAnsi="宋体"/>
          <w:szCs w:val="21"/>
        </w:rPr>
      </w:pPr>
      <w:r>
        <w:rPr>
          <w:rFonts w:hint="eastAsia"/>
        </w:rPr>
        <w:t xml:space="preserve">15.6.3 </w:t>
      </w:r>
      <w:r>
        <w:rPr>
          <w:rFonts w:hint="eastAsia" w:ascii="宋体" w:hAnsi="宋体"/>
          <w:szCs w:val="21"/>
        </w:rPr>
        <w:t>发包人在价格清单中给定暂估价的专业工程不属于依法必须招标的范围或未达到规定的规模标准的，由监理人按照</w:t>
      </w:r>
      <w:r>
        <w:rPr>
          <w:rFonts w:hint="eastAsia"/>
        </w:rPr>
        <w:t>第15.3.2项进行</w:t>
      </w:r>
      <w:r>
        <w:rPr>
          <w:rFonts w:hint="eastAsia" w:ascii="宋体" w:hAnsi="宋体"/>
          <w:szCs w:val="21"/>
        </w:rPr>
        <w:t>估价，但专用合同条款另有约定的除外。经估价的专业工程与价格清单中所列的暂估价的金额差以及相应的税金等其他费用列入合同价格。</w:t>
      </w:r>
    </w:p>
    <w:p>
      <w:pPr>
        <w:pStyle w:val="7"/>
        <w:rPr>
          <w:b w:val="0"/>
        </w:rPr>
      </w:pPr>
      <w:r>
        <w:rPr>
          <w:rFonts w:hint="eastAsia" w:ascii="Times New Roman" w:hAnsi="Times New Roman"/>
          <w:b w:val="0"/>
          <w:sz w:val="32"/>
          <w:szCs w:val="32"/>
        </w:rPr>
        <w:t>15.6</w:t>
      </w:r>
      <w:r>
        <w:rPr>
          <w:rFonts w:hint="eastAsia"/>
          <w:b w:val="0"/>
        </w:rPr>
        <w:t xml:space="preserve"> 暂估价（B）</w:t>
      </w:r>
    </w:p>
    <w:p>
      <w:pPr>
        <w:spacing w:line="360" w:lineRule="auto"/>
        <w:ind w:firstLine="420" w:firstLineChars="200"/>
        <w:rPr>
          <w:rFonts w:ascii="宋体" w:hAnsi="宋体"/>
          <w:szCs w:val="21"/>
        </w:rPr>
      </w:pPr>
      <w:r>
        <w:rPr>
          <w:rFonts w:hint="eastAsia" w:ascii="宋体" w:hAnsi="宋体"/>
          <w:szCs w:val="21"/>
        </w:rPr>
        <w:t>签约合同价包括暂估价的，按合同约定进行支付。</w:t>
      </w:r>
    </w:p>
    <w:p>
      <w:pPr>
        <w:pStyle w:val="5"/>
      </w:pPr>
      <w:bookmarkStart w:id="426" w:name="_Toc300835146"/>
      <w:bookmarkStart w:id="427" w:name="_Toc247527744"/>
      <w:bookmarkStart w:id="428" w:name="_Toc184635113"/>
      <w:bookmarkStart w:id="429" w:name="_Toc247514143"/>
      <w:r>
        <w:rPr>
          <w:rFonts w:hint="eastAsia"/>
        </w:rPr>
        <w:t>16. 价格调整</w:t>
      </w:r>
      <w:bookmarkEnd w:id="426"/>
      <w:bookmarkEnd w:id="427"/>
      <w:bookmarkEnd w:id="428"/>
      <w:bookmarkEnd w:id="429"/>
    </w:p>
    <w:p>
      <w:pPr>
        <w:pStyle w:val="6"/>
      </w:pPr>
      <w:bookmarkStart w:id="430" w:name="_Toc247527745"/>
      <w:bookmarkStart w:id="431" w:name="_Toc247514144"/>
      <w:bookmarkStart w:id="432" w:name="_Toc300835147"/>
      <w:r>
        <w:rPr>
          <w:rFonts w:hint="eastAsia"/>
        </w:rPr>
        <w:t>16.1 物价波动引起的调整</w:t>
      </w:r>
      <w:bookmarkEnd w:id="430"/>
      <w:bookmarkEnd w:id="431"/>
      <w:r>
        <w:rPr>
          <w:rFonts w:hint="eastAsia"/>
        </w:rPr>
        <w:t>（Ａ）</w:t>
      </w:r>
      <w:bookmarkEnd w:id="432"/>
    </w:p>
    <w:p>
      <w:pPr>
        <w:spacing w:line="360" w:lineRule="auto"/>
        <w:ind w:firstLine="420" w:firstLineChars="200"/>
        <w:rPr>
          <w:rFonts w:ascii="宋体" w:hAnsi="宋体"/>
          <w:szCs w:val="21"/>
        </w:rPr>
      </w:pPr>
      <w:r>
        <w:rPr>
          <w:rFonts w:hint="eastAsia" w:ascii="宋体" w:hAnsi="宋体"/>
          <w:szCs w:val="21"/>
        </w:rPr>
        <w:t>除专用合同条款另有约定外，因物价波动引起的价格调整按照本款约定处理。</w:t>
      </w:r>
    </w:p>
    <w:p>
      <w:pPr>
        <w:spacing w:line="360" w:lineRule="auto"/>
        <w:ind w:firstLine="420" w:firstLineChars="200"/>
        <w:rPr>
          <w:rFonts w:ascii="宋体" w:hAnsi="宋体"/>
          <w:szCs w:val="21"/>
        </w:rPr>
      </w:pPr>
      <w:r>
        <w:rPr>
          <w:rFonts w:hint="eastAsia"/>
        </w:rPr>
        <w:t>16.1.1</w:t>
      </w:r>
      <w:r>
        <w:rPr>
          <w:rFonts w:hint="eastAsia" w:ascii="宋体" w:hAnsi="宋体"/>
          <w:szCs w:val="21"/>
        </w:rPr>
        <w:t xml:space="preserve"> 采用价格指数调整价格差额（适用于投标函附录约定了价格指数和权重的）</w:t>
      </w:r>
    </w:p>
    <w:p>
      <w:pPr>
        <w:spacing w:line="360" w:lineRule="auto"/>
        <w:ind w:firstLine="420" w:firstLineChars="200"/>
        <w:rPr>
          <w:rFonts w:ascii="宋体" w:hAnsi="宋体"/>
          <w:szCs w:val="21"/>
        </w:rPr>
      </w:pPr>
      <w:r>
        <w:rPr>
          <w:rFonts w:hint="eastAsia"/>
        </w:rPr>
        <w:t>16.1.1.1</w:t>
      </w:r>
      <w:r>
        <w:rPr>
          <w:rFonts w:hint="eastAsia" w:ascii="宋体" w:hAnsi="宋体"/>
          <w:szCs w:val="21"/>
        </w:rPr>
        <w:t xml:space="preserve"> 价格调整公式</w:t>
      </w:r>
    </w:p>
    <w:p>
      <w:pPr>
        <w:spacing w:line="360" w:lineRule="auto"/>
        <w:ind w:firstLine="420" w:firstLineChars="200"/>
        <w:rPr>
          <w:rFonts w:ascii="宋体" w:hAnsi="宋体"/>
          <w:szCs w:val="21"/>
        </w:rPr>
      </w:pPr>
      <w:r>
        <w:rPr>
          <w:rFonts w:hint="eastAsia" w:ascii="宋体" w:hAnsi="宋体"/>
          <w:szCs w:val="21"/>
        </w:rPr>
        <w:t>因人工、材料和设备等价格波动影响合同价格时，根据投标函附录中的价格指数和权重表约定的数据，按以下公式计算差额并调整合同价格。</w:t>
      </w:r>
    </w:p>
    <w:p>
      <w:pPr>
        <w:spacing w:line="220" w:lineRule="exact"/>
        <w:ind w:firstLine="2205" w:firstLineChars="1050"/>
        <w:rPr>
          <w:rFonts w:ascii="宋体" w:hAnsi="宋体"/>
          <w:szCs w:val="21"/>
        </w:rPr>
      </w:pPr>
      <w:r>
        <w:rPr>
          <w:rFonts w:hint="eastAsia" w:ascii="宋体" w:hAnsi="宋体"/>
          <w:szCs w:val="21"/>
        </w:rPr>
        <w:t>F</w:t>
      </w:r>
      <w:r>
        <w:rPr>
          <w:rFonts w:hint="eastAsia" w:ascii="宋体" w:hAnsi="宋体"/>
          <w:sz w:val="28"/>
          <w:szCs w:val="28"/>
          <w:vertAlign w:val="subscript"/>
        </w:rPr>
        <w:t>t1</w:t>
      </w:r>
      <w:r>
        <w:rPr>
          <w:rFonts w:hint="eastAsia" w:ascii="宋体" w:hAnsi="宋体"/>
          <w:szCs w:val="21"/>
        </w:rPr>
        <w:t xml:space="preserve"> F</w:t>
      </w:r>
      <w:r>
        <w:rPr>
          <w:rFonts w:hint="eastAsia" w:ascii="宋体" w:hAnsi="宋体"/>
          <w:sz w:val="28"/>
          <w:szCs w:val="28"/>
          <w:vertAlign w:val="subscript"/>
        </w:rPr>
        <w:t>t2</w:t>
      </w:r>
      <w:r>
        <w:rPr>
          <w:rFonts w:hint="eastAsia" w:ascii="宋体" w:hAnsi="宋体"/>
          <w:szCs w:val="21"/>
        </w:rPr>
        <w:t>F</w:t>
      </w:r>
      <w:r>
        <w:rPr>
          <w:rFonts w:hint="eastAsia" w:ascii="宋体" w:hAnsi="宋体"/>
          <w:sz w:val="28"/>
          <w:szCs w:val="28"/>
          <w:vertAlign w:val="subscript"/>
        </w:rPr>
        <w:t>t3</w:t>
      </w:r>
      <w:r>
        <w:rPr>
          <w:rFonts w:hint="eastAsia" w:ascii="宋体" w:hAnsi="宋体"/>
          <w:szCs w:val="21"/>
        </w:rPr>
        <w:t>F</w:t>
      </w:r>
      <w:r>
        <w:rPr>
          <w:rFonts w:hint="eastAsia" w:ascii="宋体" w:hAnsi="宋体"/>
          <w:sz w:val="28"/>
          <w:szCs w:val="28"/>
          <w:vertAlign w:val="subscript"/>
        </w:rPr>
        <w:t>tn</w:t>
      </w:r>
    </w:p>
    <w:p>
      <w:pPr>
        <w:spacing w:line="220" w:lineRule="exact"/>
        <w:ind w:left="420" w:leftChars="200" w:firstLine="105" w:firstLineChars="50"/>
        <w:rPr>
          <w:rFonts w:ascii="宋体" w:hAnsi="宋体"/>
          <w:szCs w:val="21"/>
        </w:rPr>
      </w:pPr>
      <w:r>
        <w:rPr>
          <w:rFonts w:hint="eastAsia" w:ascii="宋体" w:hAnsi="宋体"/>
          <w:szCs w:val="21"/>
        </w:rPr>
        <w:t>△P=P</w:t>
      </w:r>
      <w:r>
        <w:rPr>
          <w:rFonts w:hint="eastAsia" w:ascii="宋体" w:hAnsi="宋体"/>
          <w:szCs w:val="21"/>
          <w:vertAlign w:val="subscript"/>
        </w:rPr>
        <w:t>O</w:t>
      </w:r>
      <w:r>
        <w:rPr>
          <w:rFonts w:hint="eastAsia" w:ascii="宋体" w:hAnsi="宋体"/>
          <w:szCs w:val="21"/>
        </w:rPr>
        <w:t>［A+｛B</w:t>
      </w:r>
      <w:r>
        <w:rPr>
          <w:rFonts w:hint="eastAsia" w:ascii="宋体" w:hAnsi="宋体"/>
          <w:szCs w:val="21"/>
          <w:vertAlign w:val="subscript"/>
        </w:rPr>
        <w:t>1</w:t>
      </w:r>
      <w:r>
        <w:rPr>
          <w:rFonts w:hint="eastAsia" w:ascii="宋体" w:hAnsi="宋体"/>
          <w:szCs w:val="21"/>
        </w:rPr>
        <w:t>×—＋B</w:t>
      </w:r>
      <w:r>
        <w:rPr>
          <w:rFonts w:hint="eastAsia" w:ascii="宋体" w:hAnsi="宋体"/>
          <w:szCs w:val="21"/>
          <w:vertAlign w:val="subscript"/>
        </w:rPr>
        <w:t>2</w:t>
      </w:r>
      <w:r>
        <w:rPr>
          <w:rFonts w:hint="eastAsia" w:ascii="宋体" w:hAnsi="宋体"/>
          <w:szCs w:val="21"/>
        </w:rPr>
        <w:t>×—＋B</w:t>
      </w:r>
      <w:r>
        <w:rPr>
          <w:rFonts w:hint="eastAsia" w:ascii="宋体" w:hAnsi="宋体"/>
          <w:szCs w:val="21"/>
          <w:vertAlign w:val="subscript"/>
        </w:rPr>
        <w:t>3</w:t>
      </w:r>
      <w:r>
        <w:rPr>
          <w:rFonts w:hint="eastAsia" w:ascii="宋体" w:hAnsi="宋体"/>
          <w:szCs w:val="21"/>
        </w:rPr>
        <w:t>×—＋…＋B</w:t>
      </w:r>
      <w:r>
        <w:rPr>
          <w:rFonts w:hint="eastAsia" w:ascii="宋体" w:hAnsi="宋体"/>
          <w:szCs w:val="21"/>
          <w:vertAlign w:val="subscript"/>
        </w:rPr>
        <w:t>n</w:t>
      </w:r>
      <w:r>
        <w:rPr>
          <w:rFonts w:hint="eastAsia" w:ascii="宋体" w:hAnsi="宋体"/>
          <w:szCs w:val="21"/>
        </w:rPr>
        <w:t>×—｝－1</w:t>
      </w:r>
      <w:r>
        <w:rPr>
          <w:rFonts w:ascii="宋体" w:hAnsi="宋体"/>
          <w:szCs w:val="21"/>
        </w:rPr>
        <w:t>］</w:t>
      </w:r>
    </w:p>
    <w:p>
      <w:pPr>
        <w:spacing w:line="220" w:lineRule="exact"/>
        <w:ind w:left="420" w:leftChars="200" w:firstLine="1785" w:firstLineChars="850"/>
        <w:rPr>
          <w:rFonts w:ascii="宋体" w:hAnsi="宋体"/>
          <w:szCs w:val="21"/>
        </w:rPr>
      </w:pPr>
      <w:r>
        <w:rPr>
          <w:rFonts w:hint="eastAsia" w:ascii="宋体" w:hAnsi="宋体"/>
          <w:szCs w:val="21"/>
        </w:rPr>
        <w:t>F</w:t>
      </w:r>
      <w:r>
        <w:rPr>
          <w:rFonts w:hint="eastAsia" w:ascii="宋体" w:hAnsi="宋体"/>
          <w:sz w:val="28"/>
          <w:szCs w:val="28"/>
          <w:vertAlign w:val="subscript"/>
        </w:rPr>
        <w:t xml:space="preserve">01        </w:t>
      </w:r>
      <w:r>
        <w:rPr>
          <w:rFonts w:hint="eastAsia" w:ascii="宋体" w:hAnsi="宋体"/>
          <w:szCs w:val="21"/>
        </w:rPr>
        <w:t>F</w:t>
      </w:r>
      <w:r>
        <w:rPr>
          <w:rFonts w:hint="eastAsia" w:ascii="宋体" w:hAnsi="宋体"/>
          <w:sz w:val="28"/>
          <w:szCs w:val="28"/>
          <w:vertAlign w:val="subscript"/>
        </w:rPr>
        <w:t xml:space="preserve">02       </w:t>
      </w:r>
      <w:r>
        <w:rPr>
          <w:rFonts w:hint="eastAsia" w:ascii="宋体" w:hAnsi="宋体"/>
          <w:szCs w:val="21"/>
        </w:rPr>
        <w:t>F</w:t>
      </w:r>
      <w:r>
        <w:rPr>
          <w:rFonts w:hint="eastAsia" w:ascii="宋体" w:hAnsi="宋体"/>
          <w:sz w:val="28"/>
          <w:szCs w:val="28"/>
          <w:vertAlign w:val="subscript"/>
        </w:rPr>
        <w:t xml:space="preserve">03              </w:t>
      </w:r>
      <w:r>
        <w:rPr>
          <w:rFonts w:hint="eastAsia" w:ascii="宋体" w:hAnsi="宋体"/>
          <w:szCs w:val="21"/>
        </w:rPr>
        <w:t>F</w:t>
      </w:r>
      <w:r>
        <w:rPr>
          <w:rFonts w:hint="eastAsia" w:ascii="宋体" w:hAnsi="宋体"/>
          <w:sz w:val="28"/>
          <w:szCs w:val="28"/>
          <w:vertAlign w:val="subscript"/>
        </w:rPr>
        <w:t>04</w:t>
      </w:r>
    </w:p>
    <w:p>
      <w:pPr>
        <w:spacing w:line="360" w:lineRule="auto"/>
        <w:ind w:firstLine="420" w:firstLineChars="200"/>
        <w:rPr>
          <w:rFonts w:ascii="宋体" w:hAnsi="宋体"/>
          <w:szCs w:val="21"/>
        </w:rPr>
      </w:pPr>
      <w:r>
        <w:rPr>
          <w:rFonts w:hint="eastAsia" w:ascii="宋体" w:hAnsi="宋体"/>
          <w:szCs w:val="21"/>
        </w:rPr>
        <w:t>式中：△P---需调整的价格差额；</w:t>
      </w:r>
    </w:p>
    <w:p>
      <w:pPr>
        <w:spacing w:line="360" w:lineRule="auto"/>
        <w:ind w:firstLine="420" w:firstLineChars="200"/>
        <w:rPr>
          <w:rFonts w:ascii="宋体" w:hAnsi="宋体"/>
          <w:szCs w:val="21"/>
        </w:rPr>
      </w:pPr>
      <w:r>
        <w:rPr>
          <w:rFonts w:hint="eastAsia" w:ascii="宋体" w:hAnsi="宋体"/>
          <w:szCs w:val="21"/>
        </w:rPr>
        <w:t>P</w:t>
      </w:r>
      <w:r>
        <w:rPr>
          <w:rFonts w:hint="eastAsia" w:ascii="宋体" w:hAnsi="宋体"/>
          <w:szCs w:val="21"/>
          <w:vertAlign w:val="subscript"/>
        </w:rPr>
        <w:t>O</w:t>
      </w:r>
      <w:r>
        <w:rPr>
          <w:rFonts w:hint="eastAsia" w:ascii="宋体" w:hAnsi="宋体"/>
          <w:szCs w:val="21"/>
        </w:rPr>
        <w:t>---第</w:t>
      </w:r>
      <w:r>
        <w:rPr>
          <w:rFonts w:hint="eastAsia"/>
        </w:rPr>
        <w:t xml:space="preserve">17.3.4 </w:t>
      </w:r>
      <w:r>
        <w:rPr>
          <w:rFonts w:hint="eastAsia" w:ascii="宋体" w:hAnsi="宋体"/>
          <w:szCs w:val="21"/>
        </w:rPr>
        <w:t>项、第</w:t>
      </w:r>
      <w:r>
        <w:rPr>
          <w:rFonts w:hint="eastAsia"/>
        </w:rPr>
        <w:t xml:space="preserve">17.5.2 </w:t>
      </w:r>
      <w:r>
        <w:rPr>
          <w:rFonts w:hint="eastAsia" w:ascii="宋体" w:hAnsi="宋体"/>
          <w:szCs w:val="21"/>
        </w:rPr>
        <w:t>项和第</w:t>
      </w:r>
      <w:r>
        <w:rPr>
          <w:rFonts w:hint="eastAsia"/>
        </w:rPr>
        <w:t xml:space="preserve">17.6.2 </w:t>
      </w:r>
      <w:r>
        <w:rPr>
          <w:rFonts w:hint="eastAsia" w:ascii="宋体" w:hAnsi="宋体"/>
          <w:szCs w:val="21"/>
        </w:rPr>
        <w:t>项约定的付款证书中承包人应得到的已完成工作量的金额。此项金额应不包括价格调整、不计质量保证金的扣留和支付、预付款的支付和扣回。第</w:t>
      </w:r>
      <w:r>
        <w:rPr>
          <w:rFonts w:hint="eastAsia"/>
        </w:rPr>
        <w:t>15</w:t>
      </w:r>
      <w:r>
        <w:rPr>
          <w:rFonts w:hint="eastAsia" w:ascii="宋体" w:hAnsi="宋体"/>
          <w:szCs w:val="21"/>
        </w:rPr>
        <w:t>条约定的变更及其他金额已按当期价格计价的，也不计在内；</w:t>
      </w:r>
    </w:p>
    <w:p>
      <w:pPr>
        <w:ind w:firstLine="420" w:firstLineChars="200"/>
      </w:pPr>
      <w:r>
        <w:rPr>
          <w:rFonts w:hint="eastAsia" w:ascii="宋体" w:hAnsi="宋体"/>
          <w:szCs w:val="21"/>
        </w:rPr>
        <w:t>A ---</w:t>
      </w:r>
      <w:r>
        <w:rPr>
          <w:rFonts w:hint="eastAsia"/>
        </w:rPr>
        <w:t xml:space="preserve">定值权重（即不调部分的权重）； </w:t>
      </w:r>
    </w:p>
    <w:p>
      <w:pPr>
        <w:ind w:firstLine="420" w:firstLineChars="200"/>
        <w:rPr>
          <w:rFonts w:ascii="宋体" w:hAnsi="宋体"/>
          <w:szCs w:val="21"/>
        </w:rPr>
      </w:pPr>
      <w:r>
        <w:rPr>
          <w:rFonts w:hint="eastAsia" w:ascii="宋体" w:hAnsi="宋体"/>
          <w:szCs w:val="21"/>
        </w:rPr>
        <w:t>B</w:t>
      </w:r>
      <w:r>
        <w:rPr>
          <w:rFonts w:hint="eastAsia" w:ascii="宋体" w:hAnsi="宋体"/>
          <w:sz w:val="28"/>
          <w:szCs w:val="28"/>
          <w:vertAlign w:val="subscript"/>
        </w:rPr>
        <w:t>1</w:t>
      </w:r>
      <w:r>
        <w:rPr>
          <w:rFonts w:hint="eastAsia" w:ascii="宋体" w:hAnsi="宋体"/>
          <w:szCs w:val="21"/>
        </w:rPr>
        <w:t>；B</w:t>
      </w:r>
      <w:r>
        <w:rPr>
          <w:rFonts w:hint="eastAsia" w:ascii="宋体" w:hAnsi="宋体"/>
          <w:sz w:val="28"/>
          <w:szCs w:val="28"/>
          <w:vertAlign w:val="subscript"/>
        </w:rPr>
        <w:t>2</w:t>
      </w:r>
      <w:r>
        <w:rPr>
          <w:rFonts w:hint="eastAsia" w:ascii="宋体" w:hAnsi="宋体"/>
          <w:szCs w:val="21"/>
        </w:rPr>
        <w:t>；B</w:t>
      </w:r>
      <w:r>
        <w:rPr>
          <w:rFonts w:hint="eastAsia" w:ascii="宋体" w:hAnsi="宋体"/>
          <w:sz w:val="28"/>
          <w:szCs w:val="28"/>
          <w:vertAlign w:val="subscript"/>
        </w:rPr>
        <w:t>3</w:t>
      </w:r>
      <w:r>
        <w:rPr>
          <w:rFonts w:hint="eastAsia" w:ascii="宋体" w:hAnsi="宋体"/>
          <w:szCs w:val="21"/>
        </w:rPr>
        <w:t>；……B</w:t>
      </w:r>
      <w:r>
        <w:rPr>
          <w:rFonts w:hint="eastAsia" w:ascii="宋体" w:hAnsi="宋体"/>
          <w:sz w:val="28"/>
          <w:szCs w:val="28"/>
          <w:vertAlign w:val="subscript"/>
        </w:rPr>
        <w:t>n</w:t>
      </w:r>
      <w:r>
        <w:rPr>
          <w:rFonts w:hint="eastAsia" w:ascii="宋体" w:hAnsi="宋体"/>
          <w:szCs w:val="21"/>
        </w:rPr>
        <w:t>---各可调因子的变值权重（即可调部分的权重）为各可调因子在投标函投标总报价中所占的比例；</w:t>
      </w:r>
    </w:p>
    <w:p>
      <w:pPr>
        <w:ind w:firstLine="420" w:firstLineChars="200"/>
        <w:rPr>
          <w:rFonts w:ascii="宋体" w:hAnsi="宋体"/>
          <w:szCs w:val="21"/>
        </w:rPr>
      </w:pPr>
      <w:r>
        <w:rPr>
          <w:rFonts w:hint="eastAsia" w:ascii="宋体" w:hAnsi="宋体"/>
          <w:szCs w:val="21"/>
        </w:rPr>
        <w:t>F</w:t>
      </w:r>
      <w:r>
        <w:rPr>
          <w:rFonts w:hint="eastAsia" w:ascii="宋体" w:hAnsi="宋体"/>
          <w:sz w:val="28"/>
          <w:szCs w:val="28"/>
          <w:vertAlign w:val="subscript"/>
        </w:rPr>
        <w:t>t1</w:t>
      </w:r>
      <w:r>
        <w:rPr>
          <w:rFonts w:hint="eastAsia" w:ascii="宋体" w:hAnsi="宋体"/>
          <w:szCs w:val="21"/>
        </w:rPr>
        <w:t>；F</w:t>
      </w:r>
      <w:r>
        <w:rPr>
          <w:rFonts w:hint="eastAsia" w:ascii="宋体" w:hAnsi="宋体"/>
          <w:sz w:val="28"/>
          <w:szCs w:val="28"/>
          <w:vertAlign w:val="subscript"/>
        </w:rPr>
        <w:t>t2</w:t>
      </w:r>
      <w:r>
        <w:rPr>
          <w:rFonts w:hint="eastAsia" w:ascii="宋体" w:hAnsi="宋体"/>
          <w:szCs w:val="21"/>
        </w:rPr>
        <w:t>；F</w:t>
      </w:r>
      <w:r>
        <w:rPr>
          <w:rFonts w:hint="eastAsia" w:ascii="宋体" w:hAnsi="宋体"/>
          <w:sz w:val="28"/>
          <w:szCs w:val="28"/>
          <w:vertAlign w:val="subscript"/>
        </w:rPr>
        <w:t>t3</w:t>
      </w:r>
      <w:r>
        <w:rPr>
          <w:rFonts w:hint="eastAsia" w:ascii="宋体" w:hAnsi="宋体"/>
          <w:szCs w:val="21"/>
        </w:rPr>
        <w:t>；……F</w:t>
      </w:r>
      <w:r>
        <w:rPr>
          <w:rFonts w:hint="eastAsia" w:ascii="宋体" w:hAnsi="宋体"/>
          <w:sz w:val="28"/>
          <w:szCs w:val="28"/>
          <w:vertAlign w:val="subscript"/>
        </w:rPr>
        <w:t>tn</w:t>
      </w:r>
      <w:r>
        <w:rPr>
          <w:rFonts w:hint="eastAsia" w:ascii="宋体" w:hAnsi="宋体"/>
          <w:szCs w:val="21"/>
        </w:rPr>
        <w:t>---各可调因子的当期价格指数，指</w:t>
      </w:r>
      <w:r>
        <w:rPr>
          <w:rFonts w:hint="eastAsia"/>
        </w:rPr>
        <w:t>第17.3.3 项、第17.5.2 项</w:t>
      </w:r>
      <w:r>
        <w:rPr>
          <w:rFonts w:hint="eastAsia" w:ascii="宋体" w:hAnsi="宋体"/>
          <w:szCs w:val="21"/>
        </w:rPr>
        <w:t>和第</w:t>
      </w:r>
      <w:r>
        <w:rPr>
          <w:rFonts w:hint="eastAsia"/>
        </w:rPr>
        <w:t xml:space="preserve">17.6.2 </w:t>
      </w:r>
      <w:r>
        <w:rPr>
          <w:rFonts w:hint="eastAsia" w:ascii="宋体" w:hAnsi="宋体"/>
          <w:szCs w:val="21"/>
        </w:rPr>
        <w:t>项约定的付款证书相关周期最后一天的前42天的各可调因子的价格指数；</w:t>
      </w:r>
    </w:p>
    <w:p>
      <w:pPr>
        <w:ind w:firstLine="420" w:firstLineChars="200"/>
      </w:pPr>
      <w:r>
        <w:rPr>
          <w:rFonts w:hint="eastAsia" w:ascii="宋体" w:hAnsi="宋体"/>
          <w:szCs w:val="21"/>
        </w:rPr>
        <w:t>F</w:t>
      </w:r>
      <w:r>
        <w:rPr>
          <w:rFonts w:hint="eastAsia" w:ascii="宋体" w:hAnsi="宋体"/>
          <w:sz w:val="28"/>
          <w:szCs w:val="28"/>
          <w:vertAlign w:val="subscript"/>
        </w:rPr>
        <w:t>01</w:t>
      </w:r>
      <w:r>
        <w:rPr>
          <w:rFonts w:hint="eastAsia"/>
        </w:rPr>
        <w:t>；</w:t>
      </w:r>
      <w:r>
        <w:rPr>
          <w:rFonts w:hint="eastAsia" w:ascii="宋体" w:hAnsi="宋体"/>
          <w:szCs w:val="21"/>
        </w:rPr>
        <w:t>F</w:t>
      </w:r>
      <w:r>
        <w:rPr>
          <w:rFonts w:hint="eastAsia" w:ascii="宋体" w:hAnsi="宋体"/>
          <w:sz w:val="28"/>
          <w:szCs w:val="28"/>
          <w:vertAlign w:val="subscript"/>
        </w:rPr>
        <w:t>02</w:t>
      </w:r>
      <w:r>
        <w:rPr>
          <w:rFonts w:hint="eastAsia"/>
        </w:rPr>
        <w:t>；</w:t>
      </w:r>
      <w:r>
        <w:rPr>
          <w:rFonts w:hint="eastAsia" w:ascii="宋体" w:hAnsi="宋体"/>
          <w:szCs w:val="21"/>
        </w:rPr>
        <w:t>F</w:t>
      </w:r>
      <w:r>
        <w:rPr>
          <w:rFonts w:hint="eastAsia" w:ascii="宋体" w:hAnsi="宋体"/>
          <w:sz w:val="28"/>
          <w:szCs w:val="28"/>
          <w:vertAlign w:val="subscript"/>
        </w:rPr>
        <w:t>03</w:t>
      </w:r>
      <w:r>
        <w:rPr>
          <w:rFonts w:hint="eastAsia"/>
        </w:rPr>
        <w:t>；……</w:t>
      </w:r>
      <w:r>
        <w:rPr>
          <w:rFonts w:hint="eastAsia" w:ascii="宋体" w:hAnsi="宋体"/>
          <w:szCs w:val="21"/>
        </w:rPr>
        <w:t>F</w:t>
      </w:r>
      <w:r>
        <w:rPr>
          <w:rFonts w:hint="eastAsia" w:ascii="宋体" w:hAnsi="宋体"/>
          <w:sz w:val="28"/>
          <w:szCs w:val="28"/>
          <w:vertAlign w:val="subscript"/>
        </w:rPr>
        <w:t>0n</w:t>
      </w:r>
      <w:r>
        <w:rPr>
          <w:rFonts w:hint="eastAsia"/>
        </w:rPr>
        <w:t>---各可调因子的基本价格指数，指基准日期的各可调因子的价格指数。</w:t>
      </w:r>
    </w:p>
    <w:p>
      <w:pPr>
        <w:spacing w:line="360" w:lineRule="auto"/>
        <w:ind w:firstLine="420" w:firstLineChars="200"/>
        <w:rPr>
          <w:rFonts w:ascii="宋体" w:hAnsi="宋体"/>
          <w:szCs w:val="21"/>
        </w:rPr>
      </w:pPr>
      <w:r>
        <w:rPr>
          <w:rFonts w:hint="eastAsia" w:ascii="宋体" w:hAnsi="宋体"/>
          <w:szCs w:val="21"/>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pPr>
        <w:spacing w:line="360" w:lineRule="auto"/>
        <w:ind w:firstLine="420" w:firstLineChars="200"/>
        <w:rPr>
          <w:rFonts w:ascii="宋体" w:hAnsi="宋体"/>
          <w:szCs w:val="21"/>
        </w:rPr>
      </w:pPr>
      <w:r>
        <w:rPr>
          <w:rFonts w:hint="eastAsia"/>
        </w:rPr>
        <w:t>16.1.1.2</w:t>
      </w:r>
      <w:r>
        <w:rPr>
          <w:rFonts w:hint="eastAsia" w:ascii="宋体" w:hAnsi="宋体"/>
          <w:szCs w:val="21"/>
        </w:rPr>
        <w:t xml:space="preserve"> 暂时确定调整差额</w:t>
      </w:r>
    </w:p>
    <w:p>
      <w:pPr>
        <w:spacing w:line="360" w:lineRule="auto"/>
        <w:ind w:firstLine="420" w:firstLineChars="200"/>
        <w:rPr>
          <w:rFonts w:ascii="宋体" w:hAnsi="宋体"/>
          <w:szCs w:val="21"/>
        </w:rPr>
      </w:pPr>
      <w:r>
        <w:rPr>
          <w:rFonts w:hint="eastAsia" w:ascii="宋体" w:hAnsi="宋体"/>
          <w:szCs w:val="21"/>
        </w:rPr>
        <w:t>在计算调整差额时得不到当期价格指数的，可暂用上一次价格指数计算，并在以后的付款中再按实际价格指数进行调整。</w:t>
      </w:r>
    </w:p>
    <w:p>
      <w:pPr>
        <w:spacing w:line="360" w:lineRule="auto"/>
        <w:ind w:firstLine="420" w:firstLineChars="200"/>
        <w:rPr>
          <w:rFonts w:ascii="宋体" w:hAnsi="宋体"/>
          <w:szCs w:val="21"/>
        </w:rPr>
      </w:pPr>
      <w:r>
        <w:rPr>
          <w:rFonts w:hint="eastAsia" w:ascii="宋体" w:hAnsi="宋体"/>
          <w:szCs w:val="21"/>
        </w:rPr>
        <w:t>1</w:t>
      </w:r>
      <w:r>
        <w:rPr>
          <w:rFonts w:hint="eastAsia"/>
        </w:rPr>
        <w:t>6.1.1.3</w:t>
      </w:r>
      <w:r>
        <w:rPr>
          <w:rFonts w:hint="eastAsia" w:ascii="宋体" w:hAnsi="宋体"/>
          <w:szCs w:val="21"/>
        </w:rPr>
        <w:t xml:space="preserve"> 权重的调整</w:t>
      </w:r>
    </w:p>
    <w:p>
      <w:pPr>
        <w:ind w:firstLine="420" w:firstLineChars="200"/>
        <w:rPr>
          <w:rFonts w:ascii="宋体" w:hAnsi="宋体"/>
          <w:szCs w:val="21"/>
        </w:rPr>
      </w:pPr>
      <w:r>
        <w:rPr>
          <w:rFonts w:hint="eastAsia" w:ascii="宋体" w:hAnsi="宋体"/>
          <w:szCs w:val="21"/>
        </w:rPr>
        <w:t>按第15.1 款约定的变更导致原定合同中的权重不合理的，由监理人与承包人和发包人协商后进行调整。</w:t>
      </w:r>
    </w:p>
    <w:p>
      <w:pPr>
        <w:spacing w:line="360" w:lineRule="auto"/>
        <w:ind w:firstLine="420" w:firstLineChars="200"/>
        <w:rPr>
          <w:rFonts w:ascii="宋体" w:hAnsi="宋体"/>
          <w:szCs w:val="21"/>
        </w:rPr>
      </w:pPr>
      <w:r>
        <w:rPr>
          <w:rFonts w:hint="eastAsia"/>
        </w:rPr>
        <w:t>16.1.1.4</w:t>
      </w:r>
      <w:r>
        <w:rPr>
          <w:rFonts w:hint="eastAsia" w:ascii="宋体" w:hAnsi="宋体"/>
          <w:szCs w:val="21"/>
        </w:rPr>
        <w:t xml:space="preserve"> 承包人引起的工期延误后的价格调整</w:t>
      </w:r>
    </w:p>
    <w:p>
      <w:pPr>
        <w:spacing w:line="360" w:lineRule="auto"/>
        <w:ind w:firstLine="420" w:firstLineChars="200"/>
        <w:rPr>
          <w:rFonts w:ascii="宋体" w:hAnsi="宋体"/>
          <w:szCs w:val="21"/>
        </w:rPr>
      </w:pPr>
      <w:r>
        <w:rPr>
          <w:rFonts w:hint="eastAsia" w:ascii="宋体" w:hAnsi="宋体"/>
          <w:szCs w:val="21"/>
        </w:rPr>
        <w:t>由于承包人原因未在约定的工期内竣工的，则对原约定竣工日期后继续施工的工程，在使用第</w:t>
      </w:r>
      <w:r>
        <w:rPr>
          <w:rFonts w:hint="eastAsia"/>
        </w:rPr>
        <w:t>16.1.1. 1</w:t>
      </w:r>
      <w:r>
        <w:rPr>
          <w:rFonts w:hint="eastAsia" w:ascii="宋体" w:hAnsi="宋体"/>
          <w:szCs w:val="21"/>
        </w:rPr>
        <w:t>目价格调整公式时，应采用原约定竣工日期与实际竣工日期的两个价格指数中较低的一个作为当期价格指数。</w:t>
      </w:r>
    </w:p>
    <w:p>
      <w:pPr>
        <w:spacing w:line="360" w:lineRule="auto"/>
        <w:ind w:firstLine="420" w:firstLineChars="200"/>
        <w:rPr>
          <w:rFonts w:ascii="宋体" w:hAnsi="宋体"/>
          <w:szCs w:val="21"/>
        </w:rPr>
      </w:pPr>
      <w:r>
        <w:rPr>
          <w:rFonts w:hint="eastAsia"/>
        </w:rPr>
        <w:t>16.1.1.5</w:t>
      </w:r>
      <w:r>
        <w:rPr>
          <w:rFonts w:hint="eastAsia" w:ascii="宋体" w:hAnsi="宋体"/>
          <w:szCs w:val="21"/>
        </w:rPr>
        <w:t xml:space="preserve"> 发包人引起的工期延误后的价格调整</w:t>
      </w:r>
    </w:p>
    <w:p>
      <w:pPr>
        <w:spacing w:line="360" w:lineRule="auto"/>
        <w:ind w:firstLine="420" w:firstLineChars="200"/>
        <w:rPr>
          <w:rFonts w:ascii="宋体" w:hAnsi="宋体"/>
          <w:szCs w:val="21"/>
        </w:rPr>
      </w:pPr>
      <w:r>
        <w:rPr>
          <w:rFonts w:hint="eastAsia" w:ascii="宋体" w:hAnsi="宋体"/>
          <w:szCs w:val="21"/>
        </w:rPr>
        <w:t>由于发包人原因未在约定的工期内竣工的，则对原约定竣工日期后继续施工的工程，在使用第</w:t>
      </w:r>
      <w:r>
        <w:rPr>
          <w:rFonts w:hint="eastAsia"/>
        </w:rPr>
        <w:t>16.1.1.1</w:t>
      </w:r>
      <w:r>
        <w:rPr>
          <w:rFonts w:hint="eastAsia" w:ascii="宋体" w:hAnsi="宋体"/>
          <w:szCs w:val="21"/>
        </w:rPr>
        <w:t>目价格调整公式时，应采用原约定竣工日期与实际竣工日期的两个价格指数中较高的一个作为当期价格指数。</w:t>
      </w:r>
    </w:p>
    <w:p>
      <w:pPr>
        <w:spacing w:line="360" w:lineRule="auto"/>
        <w:ind w:firstLine="420" w:firstLineChars="200"/>
        <w:rPr>
          <w:rFonts w:ascii="宋体" w:hAnsi="宋体"/>
          <w:szCs w:val="21"/>
        </w:rPr>
      </w:pPr>
      <w:r>
        <w:rPr>
          <w:rFonts w:hint="eastAsia"/>
        </w:rPr>
        <w:t>16.1.1</w:t>
      </w:r>
      <w:r>
        <w:rPr>
          <w:rFonts w:hint="eastAsia" w:ascii="宋体" w:hAnsi="宋体"/>
          <w:szCs w:val="21"/>
        </w:rPr>
        <w:t xml:space="preserve"> 采用造价信息调整价格差额（适用于投标函附录没有约定价格指数和权重的）</w:t>
      </w:r>
    </w:p>
    <w:p>
      <w:pPr>
        <w:spacing w:line="360" w:lineRule="auto"/>
        <w:ind w:firstLine="420" w:firstLineChars="200"/>
        <w:rPr>
          <w:rFonts w:ascii="宋体" w:hAnsi="宋体"/>
          <w:szCs w:val="21"/>
        </w:rPr>
      </w:pPr>
      <w:r>
        <w:rPr>
          <w:rFonts w:hint="eastAsia" w:ascii="宋体" w:hAnsi="宋体"/>
          <w:szCs w:val="21"/>
        </w:rPr>
        <w:t>合同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合同价格差额的依据。</w:t>
      </w:r>
    </w:p>
    <w:p>
      <w:pPr>
        <w:pStyle w:val="6"/>
      </w:pPr>
      <w:bookmarkStart w:id="433" w:name="_Toc265955482"/>
      <w:bookmarkStart w:id="434" w:name="_Toc300835148"/>
      <w:r>
        <w:rPr>
          <w:rFonts w:hint="eastAsia"/>
        </w:rPr>
        <w:t>16.1 物价波动引起的调整</w:t>
      </w:r>
      <w:bookmarkEnd w:id="433"/>
      <w:r>
        <w:rPr>
          <w:rFonts w:hint="eastAsia"/>
        </w:rPr>
        <w:t>（B）</w:t>
      </w:r>
      <w:bookmarkEnd w:id="434"/>
    </w:p>
    <w:p>
      <w:pPr>
        <w:spacing w:line="360" w:lineRule="auto"/>
        <w:ind w:firstLine="420" w:firstLineChars="200"/>
        <w:rPr>
          <w:rFonts w:ascii="宋体" w:hAnsi="宋体"/>
          <w:szCs w:val="21"/>
        </w:rPr>
      </w:pPr>
      <w:r>
        <w:rPr>
          <w:rFonts w:hint="eastAsia" w:ascii="宋体" w:hAnsi="宋体"/>
          <w:szCs w:val="21"/>
        </w:rPr>
        <w:t>除法律规定或专用合同条款另有约定外，合同价格不因物价波动进行调整。</w:t>
      </w:r>
    </w:p>
    <w:p>
      <w:pPr>
        <w:pStyle w:val="6"/>
      </w:pPr>
      <w:bookmarkStart w:id="435" w:name="_Toc247514145"/>
      <w:bookmarkStart w:id="436" w:name="_Toc247527746"/>
      <w:bookmarkStart w:id="437" w:name="_Toc300835149"/>
      <w:r>
        <w:rPr>
          <w:rFonts w:hint="eastAsia"/>
        </w:rPr>
        <w:t>16.2 法律变化引起的调整</w:t>
      </w:r>
      <w:bookmarkEnd w:id="435"/>
      <w:bookmarkEnd w:id="436"/>
      <w:bookmarkEnd w:id="437"/>
    </w:p>
    <w:p>
      <w:pPr>
        <w:spacing w:line="360" w:lineRule="auto"/>
        <w:ind w:firstLine="420" w:firstLineChars="200"/>
        <w:rPr>
          <w:rFonts w:ascii="宋体" w:hAnsi="宋体"/>
          <w:szCs w:val="21"/>
        </w:rPr>
      </w:pPr>
      <w:r>
        <w:rPr>
          <w:rFonts w:hint="eastAsia" w:ascii="宋体" w:hAnsi="宋体"/>
          <w:szCs w:val="21"/>
        </w:rPr>
        <w:t>在基准日后，因法律变化导致承包人在合同履行中所需费用发生除第16.1 款约定以外的增减时，监理人应根据法律、国家或省、自治区、直辖市有关部门的规定，按第3.5 款商定或确定需调整的合同价格。</w:t>
      </w:r>
    </w:p>
    <w:p>
      <w:pPr>
        <w:pStyle w:val="5"/>
      </w:pPr>
      <w:bookmarkStart w:id="438" w:name="_Toc184635114"/>
      <w:bookmarkStart w:id="439" w:name="_Toc247527747"/>
      <w:bookmarkStart w:id="440" w:name="_Toc300835150"/>
      <w:bookmarkStart w:id="441" w:name="_Toc247514146"/>
      <w:r>
        <w:rPr>
          <w:rFonts w:hint="eastAsia"/>
        </w:rPr>
        <w:t>17. 合同价格与支付</w:t>
      </w:r>
      <w:bookmarkEnd w:id="438"/>
      <w:bookmarkEnd w:id="439"/>
      <w:bookmarkEnd w:id="440"/>
      <w:bookmarkEnd w:id="441"/>
    </w:p>
    <w:p>
      <w:pPr>
        <w:pStyle w:val="6"/>
      </w:pPr>
      <w:bookmarkStart w:id="442" w:name="_Toc247514147"/>
      <w:bookmarkStart w:id="443" w:name="_Toc247527748"/>
      <w:bookmarkStart w:id="444" w:name="_Toc300835151"/>
      <w:r>
        <w:rPr>
          <w:rFonts w:hint="eastAsia"/>
        </w:rPr>
        <w:t>17.1 合同价格</w:t>
      </w:r>
      <w:bookmarkEnd w:id="442"/>
      <w:bookmarkEnd w:id="443"/>
      <w:bookmarkEnd w:id="444"/>
    </w:p>
    <w:p>
      <w:pPr>
        <w:spacing w:line="360" w:lineRule="auto"/>
        <w:ind w:firstLine="420" w:firstLineChars="200"/>
        <w:rPr>
          <w:rFonts w:ascii="宋体"/>
        </w:rPr>
      </w:pPr>
      <w:r>
        <w:rPr>
          <w:rFonts w:hint="eastAsia" w:ascii="宋体"/>
        </w:rPr>
        <w:t>除专用合同条款另有约定外，</w:t>
      </w:r>
    </w:p>
    <w:p>
      <w:pPr>
        <w:spacing w:line="360" w:lineRule="auto"/>
        <w:ind w:firstLine="420" w:firstLineChars="200"/>
      </w:pPr>
      <w:r>
        <w:rPr>
          <w:rFonts w:hint="eastAsia"/>
        </w:rPr>
        <w:t>（1）合同价格包括签约合同价以及按照合同约定进行的调整；</w:t>
      </w:r>
    </w:p>
    <w:p>
      <w:pPr>
        <w:spacing w:line="360" w:lineRule="auto"/>
        <w:ind w:firstLine="420" w:firstLineChars="200"/>
      </w:pPr>
      <w:r>
        <w:rPr>
          <w:rFonts w:hint="eastAsia"/>
        </w:rPr>
        <w:t>（2）合同价格包括承包人依据法律规定或合同约定应支付的规费和税金；</w:t>
      </w:r>
    </w:p>
    <w:p>
      <w:pPr>
        <w:spacing w:line="360" w:lineRule="auto"/>
        <w:ind w:firstLine="420" w:firstLineChars="200"/>
        <w:rPr>
          <w:rFonts w:ascii="宋体" w:hAnsi="宋体"/>
          <w:szCs w:val="21"/>
        </w:rPr>
      </w:pPr>
      <w:r>
        <w:rPr>
          <w:rFonts w:hint="eastAsia"/>
        </w:rPr>
        <w:t>（3）价格清单列出的任何数量仅为估算的工作量，不得将其视为要求承包人实施的工程的实际或准确的工作量。在价格</w:t>
      </w:r>
      <w:r>
        <w:rPr>
          <w:rFonts w:hint="eastAsia" w:ascii="宋体" w:hAnsi="宋体"/>
          <w:szCs w:val="21"/>
        </w:rPr>
        <w:t>清单中列出的任何工作量和价格数据应仅限用于变更和支付的参考资料，而不能用于其他目的。</w:t>
      </w:r>
    </w:p>
    <w:p>
      <w:pPr>
        <w:spacing w:line="360" w:lineRule="auto"/>
        <w:ind w:firstLine="420" w:firstLineChars="200"/>
        <w:rPr>
          <w:rFonts w:ascii="宋体" w:hAnsi="宋体"/>
          <w:szCs w:val="21"/>
        </w:rPr>
      </w:pPr>
      <w:r>
        <w:rPr>
          <w:rFonts w:hint="eastAsia" w:ascii="宋体" w:hAnsi="宋体"/>
          <w:szCs w:val="21"/>
        </w:rPr>
        <w:t>合同约定工程的某部分按照实际完成的工程量进行支付的，应按照专用合同条款的约定进行计量和估价，并据此调整合同价格。</w:t>
      </w:r>
    </w:p>
    <w:p>
      <w:pPr>
        <w:pStyle w:val="6"/>
      </w:pPr>
      <w:bookmarkStart w:id="445" w:name="_Toc300835152"/>
      <w:bookmarkStart w:id="446" w:name="_Toc247527749"/>
      <w:bookmarkStart w:id="447" w:name="_Toc247514148"/>
      <w:r>
        <w:rPr>
          <w:rFonts w:hint="eastAsia"/>
        </w:rPr>
        <w:t>17.2 预付款</w:t>
      </w:r>
      <w:bookmarkEnd w:id="445"/>
      <w:bookmarkEnd w:id="446"/>
      <w:bookmarkEnd w:id="447"/>
    </w:p>
    <w:p>
      <w:pPr>
        <w:spacing w:line="360" w:lineRule="auto"/>
        <w:ind w:firstLine="420" w:firstLineChars="200"/>
        <w:rPr>
          <w:rFonts w:ascii="宋体" w:hAnsi="宋体"/>
          <w:szCs w:val="21"/>
        </w:rPr>
      </w:pPr>
      <w:r>
        <w:rPr>
          <w:rFonts w:hint="eastAsia"/>
        </w:rPr>
        <w:t>17.2.1</w:t>
      </w:r>
      <w:r>
        <w:rPr>
          <w:rFonts w:hint="eastAsia" w:ascii="宋体" w:hAnsi="宋体"/>
          <w:szCs w:val="21"/>
        </w:rPr>
        <w:t xml:space="preserve"> 预付款</w:t>
      </w:r>
    </w:p>
    <w:p>
      <w:pPr>
        <w:spacing w:line="360" w:lineRule="auto"/>
        <w:ind w:firstLine="420" w:firstLineChars="200"/>
        <w:rPr>
          <w:rFonts w:ascii="宋体" w:hAnsi="宋体"/>
          <w:szCs w:val="21"/>
        </w:rPr>
      </w:pPr>
      <w:r>
        <w:rPr>
          <w:rFonts w:hint="eastAsia" w:ascii="宋体" w:hAnsi="宋体"/>
          <w:szCs w:val="21"/>
        </w:rPr>
        <w:t>预付款用于承包人为合同工程的设计和工程实施购置材料、工程设备、施工设备、修建临时设施以及组织施工队伍进场等。预付款的额度和支付在专用合同条款中约定。预付款必须专用于合同工作。</w:t>
      </w:r>
    </w:p>
    <w:p>
      <w:pPr>
        <w:spacing w:line="360" w:lineRule="auto"/>
        <w:ind w:firstLine="420" w:firstLineChars="200"/>
        <w:rPr>
          <w:rFonts w:ascii="宋体" w:hAnsi="宋体"/>
          <w:szCs w:val="21"/>
        </w:rPr>
      </w:pPr>
      <w:r>
        <w:rPr>
          <w:rFonts w:hint="eastAsia"/>
        </w:rPr>
        <w:t>17.2.2</w:t>
      </w:r>
      <w:r>
        <w:rPr>
          <w:rFonts w:hint="eastAsia" w:ascii="宋体" w:hAnsi="宋体"/>
          <w:szCs w:val="21"/>
        </w:rPr>
        <w:t xml:space="preserve"> 预付款保函</w:t>
      </w:r>
    </w:p>
    <w:p>
      <w:pPr>
        <w:spacing w:line="360" w:lineRule="auto"/>
        <w:ind w:firstLine="420" w:firstLineChars="200"/>
      </w:pPr>
      <w:r>
        <w:rPr>
          <w:rFonts w:hint="eastAsia" w:ascii="宋体" w:hAnsi="宋体"/>
          <w:szCs w:val="21"/>
        </w:rPr>
        <w:t>除专用合同条款另有约定外，承包人应在收到预付款的同时向发包人提交预付款保函，预付款保函的担保</w:t>
      </w:r>
      <w:r>
        <w:rPr>
          <w:rFonts w:hint="eastAsia"/>
        </w:rPr>
        <w:t>金额应与预付款金额相同。保函的担保金额可根据预付款扣回的金额相应递减。</w:t>
      </w:r>
    </w:p>
    <w:p>
      <w:pPr>
        <w:spacing w:line="360" w:lineRule="auto"/>
        <w:ind w:firstLine="420" w:firstLineChars="200"/>
        <w:rPr>
          <w:rFonts w:ascii="宋体" w:hAnsi="宋体"/>
          <w:szCs w:val="21"/>
        </w:rPr>
      </w:pPr>
      <w:r>
        <w:rPr>
          <w:rFonts w:hint="eastAsia"/>
        </w:rPr>
        <w:t>17.2.3</w:t>
      </w:r>
      <w:r>
        <w:rPr>
          <w:rFonts w:hint="eastAsia" w:ascii="宋体" w:hAnsi="宋体"/>
          <w:szCs w:val="21"/>
        </w:rPr>
        <w:t xml:space="preserve"> 预付款的扣回与还清</w:t>
      </w:r>
    </w:p>
    <w:p>
      <w:pPr>
        <w:spacing w:line="360" w:lineRule="auto"/>
        <w:ind w:firstLine="420" w:firstLineChars="200"/>
        <w:rPr>
          <w:rFonts w:ascii="宋体" w:hAnsi="宋体"/>
          <w:szCs w:val="21"/>
        </w:rPr>
      </w:pPr>
      <w:r>
        <w:rPr>
          <w:rFonts w:hint="eastAsia" w:ascii="宋体" w:hAnsi="宋体"/>
          <w:szCs w:val="21"/>
        </w:rPr>
        <w:t>预付款在进度付款中扣回，扣回办法在专用合同条款中约定。在颁发工程接收证书前，由于不可抗力或其他原因解除合同时，预付款尚未扣清的，尚未扣清的预付款余额应作为承包人的到期应付款。</w:t>
      </w:r>
    </w:p>
    <w:p>
      <w:pPr>
        <w:pStyle w:val="6"/>
      </w:pPr>
      <w:bookmarkStart w:id="448" w:name="_Toc247514149"/>
      <w:bookmarkStart w:id="449" w:name="_Toc300835153"/>
      <w:bookmarkStart w:id="450" w:name="_Toc247527750"/>
      <w:r>
        <w:rPr>
          <w:rFonts w:hint="eastAsia"/>
        </w:rPr>
        <w:t>17.3 工程进度付款</w:t>
      </w:r>
      <w:bookmarkEnd w:id="448"/>
      <w:bookmarkEnd w:id="449"/>
      <w:bookmarkEnd w:id="450"/>
    </w:p>
    <w:p>
      <w:pPr>
        <w:spacing w:line="360" w:lineRule="auto"/>
        <w:ind w:firstLine="420" w:firstLineChars="200"/>
        <w:rPr>
          <w:rFonts w:ascii="宋体" w:hAnsi="宋体"/>
          <w:szCs w:val="21"/>
        </w:rPr>
      </w:pPr>
      <w:r>
        <w:rPr>
          <w:rFonts w:hint="eastAsia"/>
        </w:rPr>
        <w:t>17.3.1</w:t>
      </w:r>
      <w:r>
        <w:rPr>
          <w:rFonts w:hint="eastAsia" w:ascii="宋体" w:hAnsi="宋体"/>
          <w:szCs w:val="21"/>
        </w:rPr>
        <w:t xml:space="preserve"> 付款时间</w:t>
      </w:r>
    </w:p>
    <w:p>
      <w:pPr>
        <w:spacing w:line="360" w:lineRule="auto"/>
        <w:ind w:firstLine="420" w:firstLineChars="200"/>
        <w:rPr>
          <w:rFonts w:ascii="宋体" w:hAnsi="宋体"/>
          <w:szCs w:val="21"/>
        </w:rPr>
      </w:pPr>
      <w:r>
        <w:rPr>
          <w:rFonts w:hint="eastAsia" w:ascii="宋体" w:hAnsi="宋体"/>
          <w:szCs w:val="21"/>
        </w:rPr>
        <w:t>除专用合同条款另有约定外，工程进度付款按月支付。</w:t>
      </w:r>
    </w:p>
    <w:p>
      <w:pPr>
        <w:tabs>
          <w:tab w:val="left" w:pos="5670"/>
        </w:tabs>
        <w:spacing w:line="360" w:lineRule="auto"/>
        <w:ind w:firstLine="420" w:firstLineChars="200"/>
        <w:rPr>
          <w:rFonts w:ascii="宋体" w:hAnsi="宋体"/>
          <w:szCs w:val="21"/>
        </w:rPr>
      </w:pPr>
      <w:r>
        <w:rPr>
          <w:rFonts w:hint="eastAsia"/>
        </w:rPr>
        <w:t>17.3.2</w:t>
      </w:r>
      <w:r>
        <w:rPr>
          <w:rFonts w:hint="eastAsia" w:ascii="宋体" w:hAnsi="宋体"/>
          <w:szCs w:val="21"/>
        </w:rPr>
        <w:t xml:space="preserve"> 支付分解表</w:t>
      </w:r>
    </w:p>
    <w:p>
      <w:pPr>
        <w:tabs>
          <w:tab w:val="left" w:pos="5670"/>
        </w:tabs>
        <w:spacing w:line="360" w:lineRule="auto"/>
        <w:ind w:firstLine="420" w:firstLineChars="200"/>
        <w:rPr>
          <w:rFonts w:ascii="宋体" w:hAnsi="宋体"/>
          <w:szCs w:val="21"/>
        </w:rPr>
      </w:pPr>
      <w:r>
        <w:rPr>
          <w:rFonts w:hint="eastAsia" w:ascii="宋体" w:hAnsi="宋体"/>
          <w:szCs w:val="21"/>
        </w:rPr>
        <w:t>除专用合同条款另有约定外，承包人应根据价格清单的价格构成、费用性质、计划发生时间和相应工作量等因素，按照以下分类和分解原则，结合第</w:t>
      </w:r>
      <w:r>
        <w:rPr>
          <w:rFonts w:hint="eastAsia"/>
        </w:rPr>
        <w:t>4.12.1</w:t>
      </w:r>
      <w:r>
        <w:rPr>
          <w:rFonts w:hint="eastAsia" w:ascii="宋体" w:hAnsi="宋体"/>
          <w:szCs w:val="21"/>
        </w:rPr>
        <w:t>项约定的合同进度计划，汇总形成月度支付分解报告。</w:t>
      </w:r>
    </w:p>
    <w:p>
      <w:pPr>
        <w:spacing w:line="360" w:lineRule="auto"/>
        <w:ind w:firstLine="420" w:firstLineChars="200"/>
      </w:pPr>
      <w:r>
        <w:rPr>
          <w:rFonts w:hint="eastAsia"/>
        </w:rPr>
        <w:t xml:space="preserve">（1）勘察设计费。按照提供勘察设计阶段性成果文件的时间、对应的工作量进行分解。 </w:t>
      </w:r>
    </w:p>
    <w:p>
      <w:pPr>
        <w:spacing w:line="360" w:lineRule="auto"/>
        <w:ind w:firstLine="420" w:firstLineChars="200"/>
      </w:pPr>
      <w:r>
        <w:rPr>
          <w:rFonts w:hint="eastAsia"/>
        </w:rPr>
        <w:t>（2）材料和工程设备费。分别按订立采购合同、进场验收合格、安装就位、工程竣工等阶段和专用条款约定的比例进行分解。</w:t>
      </w:r>
    </w:p>
    <w:p>
      <w:pPr>
        <w:spacing w:line="360" w:lineRule="auto"/>
        <w:ind w:firstLine="420" w:firstLineChars="200"/>
      </w:pPr>
      <w:r>
        <w:rPr>
          <w:rFonts w:hint="eastAsia"/>
        </w:rPr>
        <w:t>（3）技术服务培训费。按照价格清单中的单价，结合第4.12.1项约定的合同进度计划对应的工作量进行分解。</w:t>
      </w:r>
    </w:p>
    <w:p>
      <w:pPr>
        <w:spacing w:line="360" w:lineRule="auto"/>
        <w:ind w:firstLine="420" w:firstLineChars="200"/>
        <w:rPr>
          <w:rFonts w:ascii="宋体" w:hAnsi="宋体"/>
          <w:szCs w:val="21"/>
        </w:rPr>
      </w:pPr>
      <w:r>
        <w:rPr>
          <w:rFonts w:hint="eastAsia"/>
        </w:rPr>
        <w:t>（4）其他工</w:t>
      </w:r>
      <w:r>
        <w:rPr>
          <w:rFonts w:hint="eastAsia" w:ascii="宋体" w:hAnsi="宋体"/>
          <w:szCs w:val="21"/>
        </w:rPr>
        <w:t>程价款。除第</w:t>
      </w:r>
      <w:r>
        <w:rPr>
          <w:rFonts w:hint="eastAsia"/>
        </w:rPr>
        <w:t>17.1</w:t>
      </w:r>
      <w:r>
        <w:rPr>
          <w:rFonts w:hint="eastAsia" w:ascii="宋体" w:hAnsi="宋体"/>
          <w:szCs w:val="21"/>
        </w:rPr>
        <w:t>款约定按已完成工程量计量支付的工程价款外，按照价格清单中的价格，结合第</w:t>
      </w:r>
      <w:r>
        <w:rPr>
          <w:rFonts w:hint="eastAsia"/>
        </w:rPr>
        <w:t>4.12.1</w:t>
      </w:r>
      <w:r>
        <w:rPr>
          <w:rFonts w:hint="eastAsia" w:ascii="宋体" w:hAnsi="宋体"/>
          <w:szCs w:val="21"/>
        </w:rPr>
        <w:t>项约定的合同进度计划拟完成的工程量或者比例进行分解。</w:t>
      </w:r>
    </w:p>
    <w:p>
      <w:pPr>
        <w:tabs>
          <w:tab w:val="left" w:pos="5670"/>
        </w:tabs>
        <w:spacing w:line="360" w:lineRule="auto"/>
        <w:ind w:firstLine="420" w:firstLineChars="200"/>
        <w:rPr>
          <w:rFonts w:ascii="宋体" w:hAnsi="宋体"/>
          <w:szCs w:val="21"/>
        </w:rPr>
      </w:pPr>
      <w:r>
        <w:rPr>
          <w:rFonts w:hint="eastAsia" w:ascii="宋体" w:hAnsi="宋体"/>
          <w:szCs w:val="21"/>
        </w:rPr>
        <w:t>承包人应当在收到经监理人批复的合同进度计划后7天内，将支付分解报告以及形成支付分解报告的支持性资料报监理人审批，监理人应当在收到承包人报送的支付分解报告后7天内给予批复或提出修改意见，经监理人批准的支付分解报告为有合同约束力的支付分解表。合同进度计划进行了修订的，应相应修改支付分解表，并按本目规定报监理人批复。</w:t>
      </w:r>
    </w:p>
    <w:p>
      <w:pPr>
        <w:tabs>
          <w:tab w:val="left" w:pos="5670"/>
        </w:tabs>
        <w:spacing w:line="360" w:lineRule="auto"/>
        <w:ind w:firstLine="420" w:firstLineChars="200"/>
        <w:rPr>
          <w:rFonts w:ascii="宋体" w:hAnsi="宋体"/>
          <w:szCs w:val="21"/>
        </w:rPr>
      </w:pPr>
      <w:r>
        <w:rPr>
          <w:rFonts w:hint="eastAsia"/>
        </w:rPr>
        <w:t xml:space="preserve">17.3.3 </w:t>
      </w:r>
      <w:r>
        <w:rPr>
          <w:rFonts w:hint="eastAsia" w:ascii="宋体" w:hAnsi="宋体"/>
          <w:szCs w:val="21"/>
        </w:rPr>
        <w:t>进度付款申请单</w:t>
      </w:r>
    </w:p>
    <w:p>
      <w:pPr>
        <w:spacing w:line="360" w:lineRule="auto"/>
        <w:ind w:firstLine="420" w:firstLineChars="200"/>
        <w:rPr>
          <w:rFonts w:ascii="宋体" w:hAnsi="宋体"/>
          <w:szCs w:val="21"/>
        </w:rPr>
      </w:pPr>
      <w:r>
        <w:rPr>
          <w:rFonts w:hint="eastAsia" w:ascii="宋体" w:hAnsi="宋体"/>
          <w:szCs w:val="21"/>
        </w:rPr>
        <w:t>承包人应在每笔进度款支付前，按监理人批准的格式和专用合同条款约定的份数，向监理人提交进度付款申请单，并附相应的支持性证明文件。除合同另有约定外，进度付款申请单应包括下列内容：</w:t>
      </w:r>
    </w:p>
    <w:p>
      <w:pPr>
        <w:spacing w:line="360" w:lineRule="auto"/>
        <w:ind w:firstLine="420" w:firstLineChars="200"/>
      </w:pPr>
      <w:r>
        <w:rPr>
          <w:rFonts w:hint="eastAsia"/>
        </w:rPr>
        <w:t>（1）当期应支付金额总额，以及截至当期期末累计应支付金额总额、已支付的进度付款金额总额；</w:t>
      </w:r>
    </w:p>
    <w:p>
      <w:pPr>
        <w:spacing w:line="360" w:lineRule="auto"/>
        <w:ind w:firstLine="420" w:firstLineChars="200"/>
      </w:pPr>
      <w:r>
        <w:rPr>
          <w:rFonts w:hint="eastAsia"/>
        </w:rPr>
        <w:t>（2）当期根据支付分解表应支付金额，以及截至当期期末累计应支付金额；</w:t>
      </w:r>
    </w:p>
    <w:p>
      <w:pPr>
        <w:spacing w:line="360" w:lineRule="auto"/>
        <w:ind w:firstLine="420" w:firstLineChars="200"/>
      </w:pPr>
      <w:r>
        <w:rPr>
          <w:rFonts w:hint="eastAsia"/>
        </w:rPr>
        <w:t>（3）当期根据第17.1款约定计量的已实施工程应支付金额，以及截至当期期末累计应支付金额；</w:t>
      </w:r>
    </w:p>
    <w:p>
      <w:pPr>
        <w:spacing w:line="360" w:lineRule="auto"/>
        <w:ind w:firstLine="420" w:firstLineChars="200"/>
      </w:pPr>
      <w:r>
        <w:rPr>
          <w:rFonts w:hint="eastAsia"/>
        </w:rPr>
        <w:t>（4）当期根据第15条应增加和扣减的变更金额，以及截至当期期末累计变更金额；</w:t>
      </w:r>
    </w:p>
    <w:p>
      <w:pPr>
        <w:spacing w:line="360" w:lineRule="auto"/>
        <w:ind w:firstLine="420" w:firstLineChars="200"/>
      </w:pPr>
      <w:r>
        <w:rPr>
          <w:rFonts w:hint="eastAsia"/>
        </w:rPr>
        <w:t>（5）当期根据第23 条应增加和扣减的索赔金额，以及截至当期期末累计索赔金额；</w:t>
      </w:r>
    </w:p>
    <w:p>
      <w:pPr>
        <w:spacing w:line="360" w:lineRule="auto"/>
        <w:ind w:firstLine="420" w:firstLineChars="200"/>
      </w:pPr>
      <w:r>
        <w:rPr>
          <w:rFonts w:hint="eastAsia"/>
        </w:rPr>
        <w:t>（6）当期根据第17.2 款约定应支付的预付款和扣减的返还预付款金额，以及截至当期期末累计返还预付款金额；</w:t>
      </w:r>
    </w:p>
    <w:p>
      <w:pPr>
        <w:spacing w:line="360" w:lineRule="auto"/>
        <w:ind w:firstLine="420" w:firstLineChars="200"/>
      </w:pPr>
      <w:r>
        <w:rPr>
          <w:rFonts w:hint="eastAsia"/>
        </w:rPr>
        <w:t>（7）当期根据第17.4.1 项约定应扣减的质量保证金金额，以及截至当期期末累计扣减的质量保证金金额；</w:t>
      </w:r>
    </w:p>
    <w:p>
      <w:pPr>
        <w:spacing w:line="360" w:lineRule="auto"/>
        <w:ind w:firstLine="420" w:firstLineChars="200"/>
        <w:rPr>
          <w:rFonts w:ascii="宋体" w:hAnsi="宋体"/>
          <w:szCs w:val="21"/>
        </w:rPr>
      </w:pPr>
      <w:r>
        <w:rPr>
          <w:rFonts w:hint="eastAsia"/>
        </w:rPr>
        <w:t>（8）当期根</w:t>
      </w:r>
      <w:r>
        <w:rPr>
          <w:rFonts w:hint="eastAsia" w:ascii="宋体" w:hAnsi="宋体"/>
          <w:szCs w:val="21"/>
        </w:rPr>
        <w:t>据合同应增加和扣减的其他金额，以及截至当期期末累计增加和扣减的金额。</w:t>
      </w:r>
    </w:p>
    <w:p>
      <w:pPr>
        <w:spacing w:line="360" w:lineRule="auto"/>
        <w:ind w:firstLine="420" w:firstLineChars="200"/>
        <w:rPr>
          <w:rFonts w:ascii="宋体" w:hAnsi="宋体"/>
          <w:szCs w:val="21"/>
        </w:rPr>
      </w:pPr>
      <w:r>
        <w:rPr>
          <w:rFonts w:hint="eastAsia"/>
        </w:rPr>
        <w:t>17.3.4</w:t>
      </w:r>
      <w:r>
        <w:rPr>
          <w:rFonts w:hint="eastAsia" w:ascii="宋体" w:hAnsi="宋体"/>
          <w:szCs w:val="21"/>
        </w:rPr>
        <w:t xml:space="preserve"> 进度付款证书和支付时间</w:t>
      </w:r>
    </w:p>
    <w:p>
      <w:pPr>
        <w:spacing w:line="360" w:lineRule="auto"/>
        <w:ind w:firstLine="420" w:firstLineChars="200"/>
      </w:pPr>
      <w:r>
        <w:rPr>
          <w:rFonts w:hint="eastAsia"/>
        </w:rPr>
        <w:t>（1）监理人在收到承包人进度付款申请单以及相应的支持性证明文件后的14天内完成审核，提出发包人到期应支付给承包人的金额以及相应的支持性材料，经发包人审批同意后，由监理人向承包人出具经发包人签认的进度付款证书。监理人未能在前述时间完成审核的，视为监理人同意承包人进度付款申请。监理人有权核减承包人未能按照合同要求履行任何工作或义务的相应金额。</w:t>
      </w:r>
    </w:p>
    <w:p>
      <w:pPr>
        <w:spacing w:line="360" w:lineRule="auto"/>
        <w:ind w:firstLine="420" w:firstLineChars="200"/>
      </w:pPr>
      <w:r>
        <w:rPr>
          <w:rFonts w:hint="eastAsia"/>
        </w:rPr>
        <w:t>（2）发包人最迟应在监理人收到进度付款申请单后的28 天内，将进度应付款支付给承包人。发包人未能在前述时间内完成审批或不予答复的，视为发包人同意进度付款申请。发包人不按期支付的，按专用合同条款的约定支付逾期付款违约金。</w:t>
      </w:r>
    </w:p>
    <w:p>
      <w:pPr>
        <w:spacing w:line="360" w:lineRule="auto"/>
        <w:ind w:firstLine="420" w:firstLineChars="200"/>
      </w:pPr>
      <w:r>
        <w:rPr>
          <w:rFonts w:hint="eastAsia"/>
        </w:rPr>
        <w:t>（3）监理人出具进度付款证书，不应视为监理人已同意、批准或接受了承包人完成的该部分工作。</w:t>
      </w:r>
    </w:p>
    <w:p>
      <w:pPr>
        <w:spacing w:line="360" w:lineRule="auto"/>
        <w:ind w:firstLine="420" w:firstLineChars="200"/>
        <w:rPr>
          <w:rFonts w:ascii="宋体" w:hAnsi="宋体"/>
          <w:szCs w:val="21"/>
        </w:rPr>
      </w:pPr>
      <w:r>
        <w:rPr>
          <w:rFonts w:hint="eastAsia"/>
        </w:rPr>
        <w:t>（4）进度付款</w:t>
      </w:r>
      <w:r>
        <w:rPr>
          <w:rFonts w:hint="eastAsia" w:ascii="宋体" w:hAnsi="宋体"/>
          <w:szCs w:val="21"/>
        </w:rPr>
        <w:t>涉及政府投资资金的，按照国库集中支付等国家相关规定和专用合同条款的约定执行。</w:t>
      </w:r>
    </w:p>
    <w:p>
      <w:pPr>
        <w:spacing w:line="360" w:lineRule="auto"/>
        <w:ind w:firstLine="420" w:firstLineChars="200"/>
        <w:rPr>
          <w:rFonts w:ascii="宋体" w:hAnsi="宋体"/>
          <w:szCs w:val="21"/>
        </w:rPr>
      </w:pPr>
      <w:r>
        <w:rPr>
          <w:rFonts w:hint="eastAsia"/>
        </w:rPr>
        <w:t>17.3.5</w:t>
      </w:r>
      <w:r>
        <w:rPr>
          <w:rFonts w:hint="eastAsia" w:ascii="宋体" w:hAnsi="宋体"/>
          <w:szCs w:val="21"/>
        </w:rPr>
        <w:t xml:space="preserve"> 工程进度付款的修正</w:t>
      </w:r>
    </w:p>
    <w:p>
      <w:pPr>
        <w:spacing w:line="360" w:lineRule="auto"/>
        <w:ind w:firstLine="420" w:firstLineChars="200"/>
        <w:rPr>
          <w:rFonts w:ascii="宋体" w:hAnsi="宋体"/>
          <w:szCs w:val="21"/>
        </w:rPr>
      </w:pPr>
      <w:r>
        <w:rPr>
          <w:rFonts w:hint="eastAsia" w:ascii="宋体" w:hAnsi="宋体"/>
          <w:szCs w:val="21"/>
        </w:rPr>
        <w:t>在对以往历次已签发的进度付款证书进行汇总和复核中发现错、漏或重复的，监理人有权予以修正，承包人也有权提出修正申请。经监理人、承包人复核同意的修正，应在本次进度付款中支付或扣除。</w:t>
      </w:r>
    </w:p>
    <w:p>
      <w:pPr>
        <w:pStyle w:val="6"/>
      </w:pPr>
      <w:bookmarkStart w:id="451" w:name="_Toc247514150"/>
      <w:bookmarkStart w:id="452" w:name="_Toc247527751"/>
      <w:bookmarkStart w:id="453" w:name="_Toc300835154"/>
      <w:r>
        <w:rPr>
          <w:rFonts w:hint="eastAsia"/>
        </w:rPr>
        <w:t>17.4 质量保证金</w:t>
      </w:r>
      <w:bookmarkEnd w:id="451"/>
      <w:bookmarkEnd w:id="452"/>
      <w:bookmarkEnd w:id="453"/>
    </w:p>
    <w:p>
      <w:pPr>
        <w:spacing w:line="360" w:lineRule="auto"/>
        <w:ind w:firstLine="420" w:firstLineChars="200"/>
        <w:rPr>
          <w:rFonts w:ascii="宋体" w:hAnsi="宋体"/>
          <w:szCs w:val="21"/>
        </w:rPr>
      </w:pPr>
      <w:r>
        <w:rPr>
          <w:rFonts w:hint="eastAsia"/>
        </w:rPr>
        <w:t>17.4.1</w:t>
      </w:r>
      <w:r>
        <w:rPr>
          <w:rFonts w:hint="eastAsia" w:ascii="宋体" w:hAnsi="宋体"/>
          <w:szCs w:val="21"/>
        </w:rPr>
        <w:t xml:space="preserve"> 监理人应从发包人的每笔进度付款中，按专用合同条款的约定扣留质量保证金，直至扣留的质量保证金总额达到专用合同条款约定的金额或比例为止。质量保证金的计算额度不包括预付款的支付、扣回以及价格调整的金额。</w:t>
      </w:r>
    </w:p>
    <w:p>
      <w:pPr>
        <w:spacing w:line="360" w:lineRule="auto"/>
        <w:ind w:firstLine="420" w:firstLineChars="200"/>
        <w:rPr>
          <w:rFonts w:ascii="宋体" w:hAnsi="宋体"/>
          <w:szCs w:val="21"/>
        </w:rPr>
      </w:pPr>
      <w:r>
        <w:rPr>
          <w:rFonts w:hint="eastAsia"/>
        </w:rPr>
        <w:t>17.4.2</w:t>
      </w:r>
      <w:r>
        <w:rPr>
          <w:rFonts w:hint="eastAsia" w:ascii="宋体" w:hAnsi="宋体"/>
          <w:szCs w:val="21"/>
        </w:rPr>
        <w:t xml:space="preserve"> 在第</w:t>
      </w:r>
      <w:r>
        <w:rPr>
          <w:rFonts w:hint="eastAsia"/>
        </w:rPr>
        <w:t>1.1.4.5</w:t>
      </w:r>
      <w:r>
        <w:rPr>
          <w:rFonts w:hint="eastAsia" w:ascii="宋体" w:hAnsi="宋体"/>
          <w:szCs w:val="21"/>
        </w:rPr>
        <w:t xml:space="preserve"> 目约定的缺陷责任期满时，承包人向发包人申请到期应返还承包人剩余的质量保证金，发包人应在14天内会同承包人按照合同约定的内容核实承包人是否完成缺陷责任。如无异议，发包人应当在核实后将剩余质量保证金返还承包人。</w:t>
      </w:r>
    </w:p>
    <w:p>
      <w:pPr>
        <w:spacing w:line="360" w:lineRule="auto"/>
        <w:ind w:firstLine="420" w:firstLineChars="200"/>
        <w:rPr>
          <w:rFonts w:ascii="宋体" w:hAnsi="宋体"/>
          <w:szCs w:val="21"/>
        </w:rPr>
      </w:pPr>
      <w:r>
        <w:rPr>
          <w:rFonts w:hint="eastAsia"/>
        </w:rPr>
        <w:t>17.4.3</w:t>
      </w:r>
      <w:r>
        <w:rPr>
          <w:rFonts w:hint="eastAsia" w:ascii="宋体" w:hAnsi="宋体"/>
          <w:szCs w:val="21"/>
        </w:rPr>
        <w:t xml:space="preserve"> 在第</w:t>
      </w:r>
      <w:r>
        <w:rPr>
          <w:rFonts w:hint="eastAsia"/>
        </w:rPr>
        <w:t>1.1.4.5</w:t>
      </w:r>
      <w:r>
        <w:rPr>
          <w:rFonts w:hint="eastAsia" w:ascii="宋体" w:hAnsi="宋体"/>
          <w:szCs w:val="21"/>
        </w:rPr>
        <w:t xml:space="preserve"> 目约定的缺陷责任期满时，承包人没有完成缺陷责任的，发包人有权扣留与未履行责任剩余工作所需金额相应的质量保证金余额，并有权根据第19.3 款约定要求延长缺陷责任期，直至完成剩余工作为止。</w:t>
      </w:r>
    </w:p>
    <w:p>
      <w:pPr>
        <w:pStyle w:val="6"/>
      </w:pPr>
      <w:bookmarkStart w:id="454" w:name="_Toc247514151"/>
      <w:bookmarkStart w:id="455" w:name="_Toc300835155"/>
      <w:bookmarkStart w:id="456" w:name="_Toc247527752"/>
      <w:r>
        <w:rPr>
          <w:rFonts w:hint="eastAsia"/>
        </w:rPr>
        <w:t>17.5 竣工结算</w:t>
      </w:r>
      <w:bookmarkEnd w:id="454"/>
      <w:bookmarkEnd w:id="455"/>
      <w:bookmarkEnd w:id="456"/>
    </w:p>
    <w:p>
      <w:pPr>
        <w:spacing w:line="360" w:lineRule="auto"/>
        <w:ind w:firstLine="420" w:firstLineChars="200"/>
        <w:rPr>
          <w:rFonts w:ascii="宋体" w:hAnsi="宋体"/>
          <w:szCs w:val="21"/>
        </w:rPr>
      </w:pPr>
      <w:r>
        <w:rPr>
          <w:rFonts w:hint="eastAsia"/>
        </w:rPr>
        <w:t>17.5.1</w:t>
      </w:r>
      <w:r>
        <w:rPr>
          <w:rFonts w:hint="eastAsia" w:ascii="宋体" w:hAnsi="宋体"/>
          <w:szCs w:val="21"/>
        </w:rPr>
        <w:t xml:space="preserve"> 竣工付款申请单</w:t>
      </w:r>
    </w:p>
    <w:p>
      <w:pPr>
        <w:spacing w:line="360" w:lineRule="auto"/>
        <w:ind w:firstLine="420" w:firstLineChars="200"/>
      </w:pPr>
      <w:r>
        <w:rPr>
          <w:rFonts w:hint="eastAsia"/>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pPr>
        <w:spacing w:line="360" w:lineRule="auto"/>
        <w:ind w:firstLine="420" w:firstLineChars="200"/>
        <w:rPr>
          <w:rFonts w:ascii="宋体" w:hAnsi="宋体"/>
          <w:szCs w:val="21"/>
        </w:rPr>
      </w:pPr>
      <w:r>
        <w:rPr>
          <w:rFonts w:hint="eastAsia"/>
        </w:rPr>
        <w:t>（2）监理人对竣工付款申请单有异议的，有权要求承包人进行修正和提供补充资料。经监理人和承包人协商后，由承包人向</w:t>
      </w:r>
      <w:r>
        <w:rPr>
          <w:rFonts w:hint="eastAsia" w:ascii="宋体" w:hAnsi="宋体"/>
          <w:szCs w:val="21"/>
        </w:rPr>
        <w:t>监理人提交修正后的竣工付款申请单。</w:t>
      </w:r>
    </w:p>
    <w:p>
      <w:pPr>
        <w:spacing w:line="360" w:lineRule="auto"/>
        <w:ind w:firstLine="420" w:firstLineChars="200"/>
        <w:rPr>
          <w:rFonts w:ascii="宋体" w:hAnsi="宋体"/>
          <w:szCs w:val="21"/>
        </w:rPr>
      </w:pPr>
      <w:r>
        <w:rPr>
          <w:rFonts w:hint="eastAsia"/>
        </w:rPr>
        <w:t>17.5.2</w:t>
      </w:r>
      <w:r>
        <w:rPr>
          <w:rFonts w:hint="eastAsia" w:ascii="宋体" w:hAnsi="宋体"/>
          <w:szCs w:val="21"/>
        </w:rPr>
        <w:t xml:space="preserve"> 竣工付款证书及支付时间</w:t>
      </w:r>
    </w:p>
    <w:p>
      <w:pPr>
        <w:spacing w:line="360" w:lineRule="auto"/>
        <w:ind w:firstLine="420" w:firstLineChars="200"/>
      </w:pPr>
      <w:r>
        <w:rPr>
          <w:rFonts w:hint="eastAsia"/>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pPr>
        <w:spacing w:line="360" w:lineRule="auto"/>
        <w:ind w:firstLine="420" w:firstLineChars="200"/>
      </w:pPr>
      <w:r>
        <w:rPr>
          <w:rFonts w:hint="eastAsia"/>
        </w:rPr>
        <w:t>（2）发包人应在监理人出具竣工付款证书后的14 天内，将应支付款支付给承包人。发包人不按期支付的，按第17.3.4（2）目的约定，将逾期付款违约金支付给承包人。</w:t>
      </w:r>
    </w:p>
    <w:p>
      <w:pPr>
        <w:spacing w:line="360" w:lineRule="auto"/>
        <w:ind w:firstLine="420" w:firstLineChars="200"/>
      </w:pPr>
      <w:r>
        <w:rPr>
          <w:rFonts w:hint="eastAsia"/>
        </w:rPr>
        <w:t>（3）承包人对发包人签认的竣工付款证书有异议的，发包人可出具竣工付款申请单中承包人已同意部分的临时付款证书。存在争议的部分，按第24条的约定执行。</w:t>
      </w:r>
    </w:p>
    <w:p>
      <w:pPr>
        <w:spacing w:line="360" w:lineRule="auto"/>
        <w:ind w:firstLine="420" w:firstLineChars="200"/>
        <w:rPr>
          <w:rFonts w:ascii="宋体" w:hAnsi="宋体"/>
          <w:szCs w:val="21"/>
        </w:rPr>
      </w:pPr>
      <w:r>
        <w:rPr>
          <w:rFonts w:hint="eastAsia"/>
        </w:rPr>
        <w:t>（4）竣工付</w:t>
      </w:r>
      <w:r>
        <w:rPr>
          <w:rFonts w:hint="eastAsia" w:ascii="宋体" w:hAnsi="宋体"/>
          <w:szCs w:val="21"/>
        </w:rPr>
        <w:t>款涉及政府投资资金的，按第</w:t>
      </w:r>
      <w:r>
        <w:rPr>
          <w:rFonts w:hint="eastAsia"/>
        </w:rPr>
        <w:t>17.3.4（4）</w:t>
      </w:r>
      <w:r>
        <w:rPr>
          <w:rFonts w:hint="eastAsia" w:ascii="宋体" w:hAnsi="宋体"/>
          <w:szCs w:val="21"/>
        </w:rPr>
        <w:t>目的约定执行。</w:t>
      </w:r>
    </w:p>
    <w:p>
      <w:pPr>
        <w:pStyle w:val="6"/>
      </w:pPr>
      <w:bookmarkStart w:id="457" w:name="_Toc300835156"/>
      <w:bookmarkStart w:id="458" w:name="_Toc247527753"/>
      <w:bookmarkStart w:id="459" w:name="_Toc247514152"/>
      <w:r>
        <w:rPr>
          <w:rFonts w:hint="eastAsia"/>
        </w:rPr>
        <w:t>17.6 最终结清</w:t>
      </w:r>
      <w:bookmarkEnd w:id="457"/>
      <w:bookmarkEnd w:id="458"/>
      <w:bookmarkEnd w:id="459"/>
    </w:p>
    <w:p>
      <w:pPr>
        <w:spacing w:line="360" w:lineRule="auto"/>
        <w:ind w:firstLine="420" w:firstLineChars="200"/>
        <w:rPr>
          <w:rFonts w:ascii="宋体" w:hAnsi="宋体"/>
          <w:szCs w:val="21"/>
        </w:rPr>
      </w:pPr>
      <w:r>
        <w:rPr>
          <w:rFonts w:hint="eastAsia"/>
        </w:rPr>
        <w:t>17.6.1</w:t>
      </w:r>
      <w:r>
        <w:rPr>
          <w:rFonts w:hint="eastAsia" w:ascii="宋体" w:hAnsi="宋体"/>
          <w:szCs w:val="21"/>
        </w:rPr>
        <w:t xml:space="preserve"> 最终结清申请单</w:t>
      </w:r>
    </w:p>
    <w:p>
      <w:pPr>
        <w:spacing w:line="360" w:lineRule="auto"/>
        <w:ind w:firstLine="420" w:firstLineChars="200"/>
      </w:pPr>
      <w:r>
        <w:rPr>
          <w:rFonts w:hint="eastAsia"/>
        </w:rPr>
        <w:t>（1）缺陷责任期终止证书签发后，承包人可按专用合同条款约定的份数和期限向监理人提交最终结清申请单，并提供相关证明材料。</w:t>
      </w:r>
    </w:p>
    <w:p>
      <w:pPr>
        <w:spacing w:line="360" w:lineRule="auto"/>
        <w:ind w:firstLine="420" w:firstLineChars="200"/>
        <w:rPr>
          <w:rFonts w:ascii="宋体" w:hAnsi="宋体"/>
          <w:szCs w:val="21"/>
        </w:rPr>
      </w:pPr>
      <w:r>
        <w:rPr>
          <w:rFonts w:hint="eastAsia"/>
        </w:rPr>
        <w:t>（2）发包人对最终结清申请单内容有异议的，有权要求承包人进行修正和提供补充资料，由承包人向监理人提交修正后的</w:t>
      </w:r>
      <w:r>
        <w:rPr>
          <w:rFonts w:hint="eastAsia" w:ascii="宋体" w:hAnsi="宋体"/>
          <w:szCs w:val="21"/>
        </w:rPr>
        <w:t>最终结清申请单。</w:t>
      </w:r>
    </w:p>
    <w:p>
      <w:pPr>
        <w:spacing w:line="360" w:lineRule="auto"/>
        <w:ind w:firstLine="420" w:firstLineChars="200"/>
        <w:rPr>
          <w:rFonts w:ascii="宋体" w:hAnsi="宋体"/>
          <w:szCs w:val="21"/>
        </w:rPr>
      </w:pPr>
      <w:r>
        <w:rPr>
          <w:rFonts w:hint="eastAsia"/>
        </w:rPr>
        <w:t>17.6.2</w:t>
      </w:r>
      <w:r>
        <w:rPr>
          <w:rFonts w:hint="eastAsia" w:ascii="宋体" w:hAnsi="宋体"/>
          <w:szCs w:val="21"/>
        </w:rPr>
        <w:t xml:space="preserve"> 最终结清证书和支付时间</w:t>
      </w:r>
    </w:p>
    <w:p>
      <w:pPr>
        <w:spacing w:line="360" w:lineRule="auto"/>
        <w:ind w:firstLine="420" w:firstLineChars="200"/>
      </w:pPr>
      <w:r>
        <w:rPr>
          <w:rFonts w:hint="eastAsia"/>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spacing w:line="360" w:lineRule="auto"/>
        <w:ind w:firstLine="420" w:firstLineChars="200"/>
      </w:pPr>
      <w:r>
        <w:rPr>
          <w:rFonts w:hint="eastAsia"/>
        </w:rPr>
        <w:t>（2）发包人应在监理人出具最终结清证书后的14 天内，将应支付款支付给承包人。</w:t>
      </w:r>
    </w:p>
    <w:p>
      <w:pPr>
        <w:spacing w:line="360" w:lineRule="auto"/>
        <w:ind w:firstLine="420" w:firstLineChars="200"/>
      </w:pPr>
      <w:r>
        <w:rPr>
          <w:rFonts w:hint="eastAsia"/>
        </w:rPr>
        <w:t>发包人不按期支付的，按第17.3.4（2）目的约定，将逾期付款违约金支付给承包人。</w:t>
      </w:r>
    </w:p>
    <w:p>
      <w:pPr>
        <w:spacing w:line="360" w:lineRule="auto"/>
        <w:ind w:firstLine="420" w:firstLineChars="200"/>
      </w:pPr>
      <w:r>
        <w:rPr>
          <w:rFonts w:hint="eastAsia"/>
        </w:rPr>
        <w:t>（3）承包人对发包人签认的最终结清证书有异议的，按第24条的约定执行。</w:t>
      </w:r>
    </w:p>
    <w:p>
      <w:pPr>
        <w:spacing w:line="360" w:lineRule="auto"/>
        <w:ind w:firstLine="420" w:firstLineChars="200"/>
        <w:rPr>
          <w:rFonts w:ascii="宋体" w:hAnsi="宋体"/>
          <w:szCs w:val="21"/>
        </w:rPr>
      </w:pPr>
      <w:r>
        <w:rPr>
          <w:rFonts w:hint="eastAsia"/>
        </w:rPr>
        <w:t>（4）最终结清</w:t>
      </w:r>
      <w:r>
        <w:rPr>
          <w:rFonts w:hint="eastAsia" w:ascii="宋体" w:hAnsi="宋体"/>
          <w:szCs w:val="21"/>
        </w:rPr>
        <w:t>付款涉及政府投资资金的，</w:t>
      </w:r>
      <w:r>
        <w:rPr>
          <w:rFonts w:hint="eastAsia"/>
        </w:rPr>
        <w:t>按第17.3.4（4）目的</w:t>
      </w:r>
      <w:r>
        <w:rPr>
          <w:rFonts w:hint="eastAsia" w:ascii="宋体" w:hAnsi="宋体"/>
          <w:szCs w:val="21"/>
        </w:rPr>
        <w:t>约定执行。</w:t>
      </w:r>
    </w:p>
    <w:p>
      <w:pPr>
        <w:pStyle w:val="5"/>
      </w:pPr>
      <w:bookmarkStart w:id="460" w:name="_Toc300835157"/>
      <w:bookmarkStart w:id="461" w:name="_Toc184635115"/>
      <w:bookmarkStart w:id="462" w:name="_Toc247527754"/>
      <w:bookmarkStart w:id="463" w:name="_Toc247514153"/>
      <w:r>
        <w:rPr>
          <w:rFonts w:hint="eastAsia"/>
        </w:rPr>
        <w:t>18. 竣工试验和竣工验收</w:t>
      </w:r>
      <w:bookmarkEnd w:id="460"/>
      <w:bookmarkEnd w:id="461"/>
      <w:bookmarkEnd w:id="462"/>
      <w:bookmarkEnd w:id="463"/>
    </w:p>
    <w:p>
      <w:pPr>
        <w:pStyle w:val="6"/>
      </w:pPr>
      <w:bookmarkStart w:id="464" w:name="_Toc300835158"/>
      <w:bookmarkStart w:id="465" w:name="_Toc247527755"/>
      <w:bookmarkStart w:id="466" w:name="_Toc247514154"/>
      <w:r>
        <w:rPr>
          <w:rFonts w:hint="eastAsia"/>
        </w:rPr>
        <w:t>18.1 竣工试验</w:t>
      </w:r>
      <w:bookmarkEnd w:id="464"/>
    </w:p>
    <w:p>
      <w:pPr>
        <w:spacing w:line="360" w:lineRule="auto"/>
        <w:ind w:firstLine="420" w:firstLineChars="200"/>
      </w:pPr>
      <w:r>
        <w:rPr>
          <w:rFonts w:hint="eastAsia"/>
        </w:rPr>
        <w:t>18.1.1</w:t>
      </w:r>
      <w:r>
        <w:rPr>
          <w:rFonts w:hint="eastAsia" w:ascii="宋体" w:hAnsi="宋体"/>
          <w:szCs w:val="21"/>
        </w:rPr>
        <w:t>承包人按照</w:t>
      </w:r>
      <w:r>
        <w:rPr>
          <w:rFonts w:hint="eastAsia"/>
        </w:rPr>
        <w:t>第5.5款和第5.6款提交文件后，进行竣工试验。</w:t>
      </w:r>
    </w:p>
    <w:p>
      <w:pPr>
        <w:spacing w:line="360" w:lineRule="auto"/>
        <w:ind w:firstLine="420" w:firstLineChars="200"/>
        <w:rPr>
          <w:rFonts w:ascii="宋体" w:hAnsi="宋体"/>
          <w:szCs w:val="21"/>
        </w:rPr>
      </w:pPr>
      <w:r>
        <w:rPr>
          <w:rFonts w:hint="eastAsia"/>
        </w:rPr>
        <w:t>18.1.2承包人应提前21天将可以开始进</w:t>
      </w:r>
      <w:r>
        <w:rPr>
          <w:rFonts w:hint="eastAsia" w:ascii="宋体" w:hAnsi="宋体"/>
          <w:szCs w:val="21"/>
        </w:rPr>
        <w:t>行竣工试验的日期通知监理人，监理人应在该日期后14天内，确定竣工试验具体时间。除专用合同条款中另有约定外，竣工试验应按下述顺序进行：</w:t>
      </w:r>
    </w:p>
    <w:p>
      <w:pPr>
        <w:spacing w:line="360" w:lineRule="auto"/>
        <w:ind w:firstLine="420" w:firstLineChars="200"/>
      </w:pPr>
      <w:r>
        <w:rPr>
          <w:rFonts w:hint="eastAsia"/>
        </w:rPr>
        <w:t>（1）第一阶段，承包人进行适当的检查和功能性试验，保证每一项工程设备都满足合同要求，并能安全地进入下一阶段试验</w:t>
      </w:r>
      <w:r>
        <w:t>;</w:t>
      </w:r>
    </w:p>
    <w:p>
      <w:pPr>
        <w:spacing w:line="360" w:lineRule="auto"/>
        <w:ind w:firstLine="420" w:firstLineChars="200"/>
      </w:pPr>
      <w:r>
        <w:rPr>
          <w:rFonts w:hint="eastAsia"/>
        </w:rPr>
        <w:t>（2）第二阶段，承包人进行试验，保证工程或区段工程满足合同要求，在所有可利用的操作条件下安全运行；</w:t>
      </w:r>
    </w:p>
    <w:p>
      <w:pPr>
        <w:spacing w:line="360" w:lineRule="auto"/>
        <w:ind w:firstLine="420" w:firstLineChars="200"/>
      </w:pPr>
      <w:r>
        <w:rPr>
          <w:rFonts w:hint="eastAsia"/>
        </w:rPr>
        <w:t>（3）第三阶段</w:t>
      </w:r>
      <w:r>
        <w:rPr>
          <w:rFonts w:hint="eastAsia" w:ascii="宋体" w:hAnsi="宋体"/>
          <w:szCs w:val="21"/>
        </w:rPr>
        <w:t>，当工</w:t>
      </w:r>
      <w:r>
        <w:rPr>
          <w:rFonts w:hint="eastAsia"/>
        </w:rPr>
        <w:t>程能安全运行时，承包人应通知监理人，可以进行其他竣工试验，包括各种性能测试，以证明工程符合发包人要求中列明的性能保证指标。</w:t>
      </w:r>
    </w:p>
    <w:p>
      <w:pPr>
        <w:spacing w:line="360" w:lineRule="auto"/>
        <w:ind w:firstLine="420" w:firstLineChars="200"/>
      </w:pPr>
      <w:r>
        <w:rPr>
          <w:rFonts w:hint="eastAsia"/>
        </w:rPr>
        <w:t>18.1.3 承包人应按合同约定进行工程及工程设备试运行。试运行所需人员、设备、材料、燃料、电力、消耗品、工具等必要的条件以及试运行费用等由专用合同条款规定。</w:t>
      </w:r>
    </w:p>
    <w:p>
      <w:pPr>
        <w:spacing w:line="360" w:lineRule="auto"/>
        <w:ind w:firstLine="420" w:firstLineChars="200"/>
        <w:rPr>
          <w:rFonts w:ascii="宋体"/>
        </w:rPr>
      </w:pPr>
      <w:r>
        <w:rPr>
          <w:rFonts w:hint="eastAsia"/>
        </w:rPr>
        <w:t>18.1.4</w:t>
      </w:r>
      <w:r>
        <w:rPr>
          <w:rFonts w:hint="eastAsia" w:ascii="宋体" w:hAnsi="宋体"/>
          <w:szCs w:val="21"/>
        </w:rPr>
        <w:t xml:space="preserve"> 某项竣工试验未能通过的，承包人应按照监理人的指示限期改正，并承担合同约定的相应责任。</w:t>
      </w:r>
    </w:p>
    <w:bookmarkEnd w:id="465"/>
    <w:bookmarkEnd w:id="466"/>
    <w:p>
      <w:pPr>
        <w:pStyle w:val="6"/>
      </w:pPr>
      <w:bookmarkStart w:id="467" w:name="_Toc247514159"/>
      <w:bookmarkStart w:id="468" w:name="_Toc247527760"/>
      <w:bookmarkStart w:id="469" w:name="_Toc300835159"/>
      <w:r>
        <w:rPr>
          <w:rFonts w:hint="eastAsia"/>
        </w:rPr>
        <w:t>18.2 竣工验收申请报告</w:t>
      </w:r>
      <w:bookmarkEnd w:id="467"/>
      <w:bookmarkEnd w:id="468"/>
      <w:bookmarkEnd w:id="469"/>
    </w:p>
    <w:p>
      <w:pPr>
        <w:spacing w:line="360" w:lineRule="auto"/>
        <w:ind w:firstLine="420" w:firstLineChars="200"/>
      </w:pPr>
      <w:r>
        <w:rPr>
          <w:rFonts w:hint="eastAsia"/>
        </w:rPr>
        <w:t>当工程具备以下条件时，承包人即可向监理人报送竣工验收申请报告：</w:t>
      </w:r>
    </w:p>
    <w:p>
      <w:pPr>
        <w:spacing w:line="360" w:lineRule="auto"/>
        <w:ind w:firstLine="420" w:firstLineChars="200"/>
      </w:pPr>
      <w:r>
        <w:rPr>
          <w:rFonts w:hint="eastAsia"/>
        </w:rPr>
        <w:t>（1）除监理人同意列入缺陷责任期内完成的尾工（甩项）工程和缺陷修补工作外，合同范围内的全部区段工程以及有关工作，包括合同要求的试验和竣工试验均已完成，并符合合同要求；</w:t>
      </w:r>
    </w:p>
    <w:p>
      <w:pPr>
        <w:spacing w:line="360" w:lineRule="auto"/>
        <w:ind w:firstLine="420" w:firstLineChars="200"/>
      </w:pPr>
      <w:r>
        <w:rPr>
          <w:rFonts w:hint="eastAsia"/>
        </w:rPr>
        <w:t>（2）已按合同约定的内容和份数备齐了符合要求的竣工文件；</w:t>
      </w:r>
    </w:p>
    <w:p>
      <w:pPr>
        <w:spacing w:line="360" w:lineRule="auto"/>
        <w:ind w:firstLine="420" w:firstLineChars="200"/>
      </w:pPr>
      <w:r>
        <w:rPr>
          <w:rFonts w:hint="eastAsia"/>
        </w:rPr>
        <w:t>（3）已按监理人的要求编制了在缺陷责任期内完成的尾工（甩项）工程和缺陷修补工作清单以及相应施工计划；</w:t>
      </w:r>
    </w:p>
    <w:p>
      <w:pPr>
        <w:spacing w:line="360" w:lineRule="auto"/>
        <w:ind w:firstLine="420" w:firstLineChars="200"/>
      </w:pPr>
      <w:r>
        <w:rPr>
          <w:rFonts w:hint="eastAsia"/>
        </w:rPr>
        <w:t>（4）监理人要求在竣工验收前应完成的其他工作；</w:t>
      </w:r>
    </w:p>
    <w:p>
      <w:pPr>
        <w:spacing w:line="360" w:lineRule="auto"/>
        <w:ind w:firstLine="420" w:firstLineChars="200"/>
      </w:pPr>
      <w:r>
        <w:rPr>
          <w:rFonts w:hint="eastAsia"/>
        </w:rPr>
        <w:t>（5）监理人要求提交的竣工验收资料清单。</w:t>
      </w:r>
    </w:p>
    <w:p>
      <w:pPr>
        <w:pStyle w:val="6"/>
      </w:pPr>
      <w:bookmarkStart w:id="470" w:name="_Toc247514160"/>
      <w:bookmarkStart w:id="471" w:name="_Toc247527761"/>
      <w:bookmarkStart w:id="472" w:name="_Toc300835160"/>
      <w:r>
        <w:rPr>
          <w:rFonts w:hint="eastAsia"/>
        </w:rPr>
        <w:t>18.3 竣工验收</w:t>
      </w:r>
      <w:bookmarkEnd w:id="470"/>
      <w:bookmarkEnd w:id="471"/>
      <w:bookmarkEnd w:id="472"/>
    </w:p>
    <w:p>
      <w:pPr>
        <w:spacing w:line="360" w:lineRule="auto"/>
        <w:ind w:firstLine="420" w:firstLineChars="200"/>
        <w:rPr>
          <w:rFonts w:ascii="宋体" w:hAnsi="宋体"/>
          <w:szCs w:val="21"/>
        </w:rPr>
      </w:pPr>
      <w:r>
        <w:rPr>
          <w:rFonts w:hint="eastAsia" w:ascii="宋体" w:hAnsi="宋体"/>
          <w:szCs w:val="21"/>
        </w:rPr>
        <w:t>监理人收到承包人按第</w:t>
      </w:r>
      <w:r>
        <w:rPr>
          <w:rFonts w:hint="eastAsia"/>
        </w:rPr>
        <w:t>18.2</w:t>
      </w:r>
      <w:r>
        <w:rPr>
          <w:rFonts w:hint="eastAsia" w:ascii="宋体" w:hAnsi="宋体"/>
          <w:szCs w:val="21"/>
        </w:rPr>
        <w:t xml:space="preserve"> 款约定提交的竣工验收申请报告后，应审查申请报告的各项内容，并按以下不同情况进行处理。</w:t>
      </w:r>
    </w:p>
    <w:p>
      <w:pPr>
        <w:spacing w:line="360" w:lineRule="auto"/>
        <w:ind w:firstLine="420" w:firstLineChars="200"/>
        <w:rPr>
          <w:rFonts w:ascii="宋体" w:hAnsi="宋体"/>
          <w:szCs w:val="21"/>
        </w:rPr>
      </w:pPr>
      <w:r>
        <w:rPr>
          <w:rFonts w:hint="eastAsia"/>
        </w:rPr>
        <w:t>18.3.1</w:t>
      </w:r>
      <w:r>
        <w:rPr>
          <w:rFonts w:hint="eastAsia" w:ascii="宋体" w:hAnsi="宋体"/>
          <w:szCs w:val="21"/>
        </w:rPr>
        <w:t xml:space="preserve">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监理人收到竣工验收申请报告后28天内不予答复的，视为同意承包人的竣工验收申请，并应在收到该竣工验收申请报告后28天内提请发包人进行竣工验收。</w:t>
      </w:r>
    </w:p>
    <w:p>
      <w:pPr>
        <w:spacing w:line="360" w:lineRule="auto"/>
        <w:ind w:firstLine="420" w:firstLineChars="200"/>
        <w:rPr>
          <w:rFonts w:ascii="宋体" w:hAnsi="宋体"/>
          <w:szCs w:val="21"/>
        </w:rPr>
      </w:pPr>
      <w:r>
        <w:rPr>
          <w:rFonts w:hint="eastAsia"/>
        </w:rPr>
        <w:t xml:space="preserve">18.3.2 </w:t>
      </w:r>
      <w:r>
        <w:rPr>
          <w:rFonts w:hint="eastAsia" w:ascii="宋体" w:hAnsi="宋体"/>
          <w:szCs w:val="21"/>
        </w:rPr>
        <w:t>监理人同意承包人提交的竣工验收申请报告的，应在收到该竣工验收申请报告后的28天内提请发包人进行工程验收。</w:t>
      </w:r>
    </w:p>
    <w:p>
      <w:pPr>
        <w:spacing w:line="360" w:lineRule="auto"/>
        <w:ind w:firstLine="420" w:firstLineChars="200"/>
        <w:rPr>
          <w:rFonts w:ascii="宋体" w:hAnsi="宋体"/>
          <w:szCs w:val="21"/>
        </w:rPr>
      </w:pPr>
      <w:r>
        <w:rPr>
          <w:rFonts w:hint="eastAsia"/>
        </w:rPr>
        <w:t>18.3.3</w:t>
      </w:r>
      <w:r>
        <w:rPr>
          <w:rFonts w:hint="eastAsia" w:ascii="宋体" w:hAnsi="宋体"/>
          <w:szCs w:val="21"/>
        </w:rPr>
        <w:t xml:space="preserve"> 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spacing w:line="360" w:lineRule="auto"/>
        <w:ind w:firstLine="420" w:firstLineChars="200"/>
        <w:rPr>
          <w:rFonts w:ascii="宋体" w:hAnsi="宋体"/>
          <w:szCs w:val="21"/>
        </w:rPr>
      </w:pPr>
      <w:r>
        <w:rPr>
          <w:rFonts w:hint="eastAsia"/>
        </w:rPr>
        <w:t>18.3.4</w:t>
      </w:r>
      <w:r>
        <w:rPr>
          <w:rFonts w:hint="eastAsia" w:ascii="宋体" w:hAnsi="宋体"/>
          <w:szCs w:val="21"/>
        </w:rPr>
        <w:t xml:space="preserve">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w:t>
      </w:r>
      <w:r>
        <w:rPr>
          <w:rFonts w:hint="eastAsia"/>
        </w:rPr>
        <w:t>告，按第18.3.1 项、第18.3.2 项和第18.3.3 项的约定</w:t>
      </w:r>
      <w:r>
        <w:rPr>
          <w:rFonts w:hint="eastAsia" w:ascii="宋体" w:hAnsi="宋体"/>
          <w:szCs w:val="21"/>
        </w:rPr>
        <w:t>进行。</w:t>
      </w:r>
    </w:p>
    <w:p>
      <w:pPr>
        <w:spacing w:line="360" w:lineRule="auto"/>
        <w:ind w:firstLine="420" w:firstLineChars="200"/>
        <w:rPr>
          <w:rFonts w:ascii="宋体" w:hAnsi="宋体"/>
          <w:szCs w:val="21"/>
        </w:rPr>
      </w:pPr>
      <w:r>
        <w:rPr>
          <w:rFonts w:hint="eastAsia"/>
        </w:rPr>
        <w:t>18.3.5</w:t>
      </w:r>
      <w:r>
        <w:rPr>
          <w:rFonts w:hint="eastAsia" w:ascii="宋体" w:hAnsi="宋体"/>
          <w:szCs w:val="21"/>
        </w:rPr>
        <w:t xml:space="preserve"> 除专用合同条款另有约定外，经验收合格工程的实际竣工日期，以提交竣工验收申请报告的日期为准，并在工程接收证书中写明。</w:t>
      </w:r>
    </w:p>
    <w:p>
      <w:pPr>
        <w:spacing w:line="360" w:lineRule="auto"/>
        <w:ind w:firstLine="420" w:firstLineChars="200"/>
        <w:rPr>
          <w:rFonts w:ascii="宋体" w:hAnsi="宋体"/>
          <w:szCs w:val="21"/>
        </w:rPr>
      </w:pPr>
      <w:r>
        <w:rPr>
          <w:rFonts w:hint="eastAsia"/>
        </w:rPr>
        <w:t>18.3.6</w:t>
      </w:r>
      <w:r>
        <w:rPr>
          <w:rFonts w:hint="eastAsia" w:ascii="宋体" w:hAnsi="宋体"/>
          <w:szCs w:val="21"/>
        </w:rPr>
        <w:t xml:space="preserve"> 发包人在收到承包人竣工验收申请报告56 天后未进行验收的，视为验收合格，实际竣工日期以提交竣工验收申请报告的日期为准，但发包人由于不可抗力不能进行验收的除外。</w:t>
      </w:r>
    </w:p>
    <w:p>
      <w:pPr>
        <w:pStyle w:val="6"/>
      </w:pPr>
      <w:bookmarkStart w:id="473" w:name="_Toc300835161"/>
      <w:r>
        <w:rPr>
          <w:rFonts w:hint="eastAsia"/>
        </w:rPr>
        <w:t>18.4 国家验收</w:t>
      </w:r>
      <w:bookmarkEnd w:id="473"/>
    </w:p>
    <w:p>
      <w:pPr>
        <w:spacing w:line="360" w:lineRule="auto"/>
        <w:ind w:firstLine="420" w:firstLineChars="200"/>
        <w:rPr>
          <w:rFonts w:ascii="宋体" w:hAnsi="宋体"/>
          <w:szCs w:val="21"/>
        </w:rPr>
      </w:pPr>
      <w:r>
        <w:rPr>
          <w:rFonts w:hint="eastAsia" w:ascii="宋体" w:hAnsi="宋体"/>
          <w:szCs w:val="21"/>
        </w:rPr>
        <w:t>需要进行国家验收的，竣工验收是国家验收的一部分。竣工验收所采用的各项验收和评定标准应符合国家验收标准。发包人和承包人为竣工验收提供的各项竣工验收资料应符合国家验收的要求。</w:t>
      </w:r>
    </w:p>
    <w:p>
      <w:pPr>
        <w:pStyle w:val="6"/>
      </w:pPr>
      <w:bookmarkStart w:id="474" w:name="_Toc247527762"/>
      <w:bookmarkStart w:id="475" w:name="_Toc300835162"/>
      <w:bookmarkStart w:id="476" w:name="_Toc247514161"/>
      <w:r>
        <w:rPr>
          <w:rFonts w:hint="eastAsia"/>
        </w:rPr>
        <w:t>18.5 区段工程验收</w:t>
      </w:r>
      <w:bookmarkEnd w:id="474"/>
      <w:bookmarkEnd w:id="475"/>
      <w:bookmarkEnd w:id="476"/>
    </w:p>
    <w:p>
      <w:pPr>
        <w:spacing w:line="360" w:lineRule="auto"/>
        <w:ind w:firstLine="420" w:firstLineChars="200"/>
        <w:rPr>
          <w:rFonts w:ascii="宋体" w:hAnsi="宋体"/>
          <w:szCs w:val="21"/>
        </w:rPr>
      </w:pPr>
      <w:r>
        <w:rPr>
          <w:rFonts w:hint="eastAsia"/>
        </w:rPr>
        <w:t xml:space="preserve">18.5.1 </w:t>
      </w:r>
      <w:r>
        <w:rPr>
          <w:rFonts w:hint="eastAsia" w:ascii="宋体" w:hAnsi="宋体"/>
          <w:szCs w:val="21"/>
        </w:rPr>
        <w:t>发包人根据合同进度计划安排，在全部工程竣工前需要使用已经竣工的区段工程时，或承包人提出经发包人同意时，可进行区段工程验收。验收的程序可参照第</w:t>
      </w:r>
      <w:r>
        <w:rPr>
          <w:rFonts w:hint="eastAsia"/>
        </w:rPr>
        <w:t>18.2</w:t>
      </w:r>
      <w:r>
        <w:rPr>
          <w:rFonts w:hint="eastAsia" w:ascii="宋体" w:hAnsi="宋体"/>
          <w:szCs w:val="21"/>
        </w:rPr>
        <w:t>款与第</w:t>
      </w:r>
      <w:r>
        <w:rPr>
          <w:rFonts w:hint="eastAsia"/>
        </w:rPr>
        <w:t xml:space="preserve">18.3 </w:t>
      </w:r>
      <w:r>
        <w:rPr>
          <w:rFonts w:hint="eastAsia" w:ascii="宋体" w:hAnsi="宋体"/>
          <w:szCs w:val="21"/>
        </w:rPr>
        <w:t>款的约定进行。验收合格后，由监理人向承包人出具经发包人签认的区段工程验收证书。已签发区段工程接收证书的区段工程由发包人负责照管。区段工程的验收成果和结论作为全部工程竣工验收申请报告的附件。</w:t>
      </w:r>
    </w:p>
    <w:p>
      <w:pPr>
        <w:spacing w:line="360" w:lineRule="auto"/>
        <w:ind w:firstLine="420" w:firstLineChars="200"/>
        <w:rPr>
          <w:rFonts w:ascii="宋体" w:hAnsi="宋体"/>
          <w:szCs w:val="21"/>
        </w:rPr>
      </w:pPr>
      <w:r>
        <w:rPr>
          <w:rFonts w:hint="eastAsia"/>
        </w:rPr>
        <w:t xml:space="preserve">18.5.2 </w:t>
      </w:r>
      <w:r>
        <w:rPr>
          <w:rFonts w:hint="eastAsia" w:ascii="宋体" w:hAnsi="宋体"/>
          <w:szCs w:val="21"/>
        </w:rPr>
        <w:t>发包人在全部工程竣工前，使用已接收的区段工程导致承包人费用增加的，发包人应承担由此增加的费用和（或）工期延误，并支付承包人合理利润。</w:t>
      </w:r>
    </w:p>
    <w:p>
      <w:pPr>
        <w:pStyle w:val="6"/>
      </w:pPr>
      <w:bookmarkStart w:id="477" w:name="_Toc247514162"/>
      <w:bookmarkStart w:id="478" w:name="_Toc247527763"/>
      <w:bookmarkStart w:id="479" w:name="_Toc300835163"/>
      <w:r>
        <w:rPr>
          <w:rFonts w:hint="eastAsia"/>
        </w:rPr>
        <w:t>18.6 施工期运行</w:t>
      </w:r>
      <w:bookmarkEnd w:id="477"/>
      <w:bookmarkEnd w:id="478"/>
      <w:bookmarkEnd w:id="479"/>
    </w:p>
    <w:p>
      <w:pPr>
        <w:spacing w:line="360" w:lineRule="auto"/>
        <w:ind w:firstLine="420" w:firstLineChars="200"/>
      </w:pPr>
      <w:r>
        <w:rPr>
          <w:rFonts w:hint="eastAsia"/>
        </w:rPr>
        <w:t>18.6.1</w:t>
      </w:r>
      <w:r>
        <w:rPr>
          <w:rFonts w:hint="eastAsia" w:ascii="宋体" w:hAnsi="宋体"/>
          <w:szCs w:val="21"/>
        </w:rPr>
        <w:t xml:space="preserve"> 施工期运行是指合同工程尚未全部竣工，其中某项或某几项区段工程或工程设备安装已竣工，根据专用合同条款约定，需要投入施工期运行的，经发</w:t>
      </w:r>
      <w:r>
        <w:rPr>
          <w:rFonts w:hint="eastAsia"/>
        </w:rPr>
        <w:t>包人按第18.5 款的约定验收合格，证明能确保安全后，才能在施工期投入运行。</w:t>
      </w:r>
    </w:p>
    <w:p>
      <w:pPr>
        <w:spacing w:line="360" w:lineRule="auto"/>
        <w:ind w:firstLine="420" w:firstLineChars="200"/>
        <w:rPr>
          <w:rFonts w:ascii="宋体" w:hAnsi="宋体"/>
          <w:szCs w:val="21"/>
        </w:rPr>
      </w:pPr>
      <w:r>
        <w:rPr>
          <w:rFonts w:hint="eastAsia"/>
        </w:rPr>
        <w:t xml:space="preserve">18.6.2 </w:t>
      </w:r>
      <w:r>
        <w:rPr>
          <w:rFonts w:hint="eastAsia" w:ascii="宋体" w:hAnsi="宋体"/>
          <w:szCs w:val="21"/>
        </w:rPr>
        <w:t>在施工期运行中发现工程或工程设备损坏或存在缺陷</w:t>
      </w:r>
      <w:r>
        <w:rPr>
          <w:rFonts w:hint="eastAsia"/>
        </w:rPr>
        <w:t>的，由承包人按第19.2 款约定</w:t>
      </w:r>
      <w:r>
        <w:rPr>
          <w:rFonts w:hint="eastAsia" w:ascii="宋体" w:hAnsi="宋体"/>
          <w:szCs w:val="21"/>
        </w:rPr>
        <w:t>进行修复。</w:t>
      </w:r>
    </w:p>
    <w:p>
      <w:pPr>
        <w:pStyle w:val="6"/>
      </w:pPr>
      <w:bookmarkStart w:id="480" w:name="_Toc247514163"/>
      <w:bookmarkStart w:id="481" w:name="_Toc300835164"/>
      <w:bookmarkStart w:id="482" w:name="_Toc247527764"/>
      <w:r>
        <w:rPr>
          <w:rFonts w:hint="eastAsia"/>
        </w:rPr>
        <w:t>18.7 竣工清场</w:t>
      </w:r>
      <w:bookmarkEnd w:id="480"/>
      <w:bookmarkEnd w:id="481"/>
      <w:bookmarkEnd w:id="482"/>
    </w:p>
    <w:p>
      <w:pPr>
        <w:spacing w:line="360" w:lineRule="auto"/>
        <w:ind w:firstLine="420" w:firstLineChars="200"/>
        <w:rPr>
          <w:rFonts w:ascii="宋体" w:hAnsi="宋体"/>
          <w:szCs w:val="21"/>
        </w:rPr>
      </w:pPr>
      <w:r>
        <w:rPr>
          <w:rFonts w:hint="eastAsia"/>
        </w:rPr>
        <w:t>18.7.1</w:t>
      </w:r>
      <w:r>
        <w:rPr>
          <w:rFonts w:hint="eastAsia" w:ascii="宋体" w:hAnsi="宋体"/>
          <w:szCs w:val="21"/>
        </w:rPr>
        <w:t xml:space="preserve"> 除合同另有约定外，工程接收证书颁发后，承包人应按以下要求对施工场地进行清理，直至监理人检验合格为止。竣工清场费用由承包人承担。</w:t>
      </w:r>
    </w:p>
    <w:p>
      <w:pPr>
        <w:spacing w:line="360" w:lineRule="auto"/>
        <w:ind w:firstLine="420" w:firstLineChars="200"/>
      </w:pPr>
      <w:r>
        <w:rPr>
          <w:rFonts w:hint="eastAsia"/>
        </w:rPr>
        <w:t>（1</w:t>
      </w:r>
      <w:r>
        <w:t>）</w:t>
      </w:r>
      <w:r>
        <w:rPr>
          <w:rFonts w:hint="eastAsia"/>
        </w:rPr>
        <w:t>施工场地内残留的垃圾已全部清除出场；</w:t>
      </w:r>
    </w:p>
    <w:p>
      <w:pPr>
        <w:spacing w:line="360" w:lineRule="auto"/>
        <w:ind w:firstLine="420" w:firstLineChars="200"/>
      </w:pPr>
      <w:r>
        <w:rPr>
          <w:rFonts w:hint="eastAsia"/>
        </w:rPr>
        <w:t>（2）临时工程已拆除，场地已按合同要求进行清理、平整或复原；</w:t>
      </w:r>
    </w:p>
    <w:p>
      <w:pPr>
        <w:spacing w:line="360" w:lineRule="auto"/>
        <w:ind w:firstLine="420" w:firstLineChars="200"/>
      </w:pPr>
      <w:r>
        <w:rPr>
          <w:rFonts w:hint="eastAsia"/>
        </w:rPr>
        <w:t>（3）按合同约定应撤离的承包人设备和剩余的材料，包括废弃的施工设备和材料，已按计划撤离施工场地；</w:t>
      </w:r>
    </w:p>
    <w:p>
      <w:pPr>
        <w:spacing w:line="360" w:lineRule="auto"/>
        <w:ind w:firstLine="420" w:firstLineChars="200"/>
      </w:pPr>
      <w:r>
        <w:rPr>
          <w:rFonts w:hint="eastAsia"/>
        </w:rPr>
        <w:t>（4）工程建筑物周边及其附近道路、河道的施工堆积物，已按监理人指示全部清理；</w:t>
      </w:r>
    </w:p>
    <w:p>
      <w:pPr>
        <w:spacing w:line="360" w:lineRule="auto"/>
        <w:ind w:firstLine="420" w:firstLineChars="200"/>
      </w:pPr>
      <w:r>
        <w:rPr>
          <w:rFonts w:hint="eastAsia"/>
        </w:rPr>
        <w:t>（5）监理人指示的其</w:t>
      </w:r>
      <w:r>
        <w:rPr>
          <w:rFonts w:hint="eastAsia" w:ascii="宋体" w:hAnsi="宋体"/>
          <w:szCs w:val="21"/>
        </w:rPr>
        <w:t>他场地清理工作已全部完成。</w:t>
      </w:r>
    </w:p>
    <w:p>
      <w:pPr>
        <w:spacing w:line="360" w:lineRule="auto"/>
        <w:ind w:firstLine="420" w:firstLineChars="200"/>
        <w:rPr>
          <w:rFonts w:ascii="宋体" w:hAnsi="宋体"/>
          <w:szCs w:val="21"/>
        </w:rPr>
      </w:pPr>
      <w:r>
        <w:rPr>
          <w:rFonts w:hint="eastAsia"/>
        </w:rPr>
        <w:t>18.7.2</w:t>
      </w:r>
      <w:r>
        <w:rPr>
          <w:rFonts w:hint="eastAsia" w:ascii="宋体" w:hAnsi="宋体"/>
          <w:szCs w:val="21"/>
        </w:rPr>
        <w:t xml:space="preserve"> 承包人未按监理人的要求恢复临时占地，或者场地清理未达到合同约定的，发包人有权委托其他人恢复或清理，所发生的金额从拟支付给承包人的款项中扣除。</w:t>
      </w:r>
    </w:p>
    <w:p>
      <w:pPr>
        <w:pStyle w:val="6"/>
      </w:pPr>
      <w:bookmarkStart w:id="483" w:name="_Toc247527765"/>
      <w:bookmarkStart w:id="484" w:name="_Toc247514164"/>
      <w:bookmarkStart w:id="485" w:name="_Toc300835165"/>
      <w:r>
        <w:rPr>
          <w:rFonts w:hint="eastAsia"/>
        </w:rPr>
        <w:t>18.8 施工队伍的撤离</w:t>
      </w:r>
      <w:bookmarkEnd w:id="483"/>
      <w:bookmarkEnd w:id="484"/>
      <w:bookmarkEnd w:id="485"/>
    </w:p>
    <w:p>
      <w:pPr>
        <w:spacing w:line="360" w:lineRule="auto"/>
        <w:ind w:firstLine="420" w:firstLineChars="200"/>
        <w:rPr>
          <w:rFonts w:ascii="宋体" w:hAnsi="宋体"/>
          <w:szCs w:val="21"/>
        </w:rPr>
      </w:pPr>
      <w:r>
        <w:rPr>
          <w:rFonts w:hint="eastAsia" w:ascii="宋体" w:hAnsi="宋体"/>
          <w:szCs w:val="21"/>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pStyle w:val="6"/>
      </w:pPr>
      <w:bookmarkStart w:id="486" w:name="_Toc300835166"/>
      <w:r>
        <w:rPr>
          <w:rFonts w:hint="eastAsia"/>
        </w:rPr>
        <w:t>18.9 竣工后试验（A）</w:t>
      </w:r>
      <w:bookmarkEnd w:id="486"/>
    </w:p>
    <w:p>
      <w:pPr>
        <w:spacing w:line="360" w:lineRule="auto"/>
        <w:ind w:firstLine="420" w:firstLineChars="200"/>
      </w:pPr>
      <w:r>
        <w:rPr>
          <w:rFonts w:hint="eastAsia"/>
        </w:rPr>
        <w:t>除专用合同条款另有约定外，发包人应：</w:t>
      </w:r>
    </w:p>
    <w:p>
      <w:pPr>
        <w:spacing w:line="360" w:lineRule="auto"/>
        <w:ind w:firstLine="420" w:firstLineChars="200"/>
      </w:pPr>
      <w:r>
        <w:rPr>
          <w:rFonts w:hint="eastAsia"/>
        </w:rPr>
        <w:t>（1）为竣工后试验提供必要的电力、设备、燃料、仪器、劳力、材料，以及具有适当资质和经验的工作人员；</w:t>
      </w:r>
    </w:p>
    <w:p>
      <w:pPr>
        <w:spacing w:line="360" w:lineRule="auto"/>
        <w:ind w:firstLine="420" w:firstLineChars="200"/>
      </w:pPr>
      <w:r>
        <w:rPr>
          <w:rFonts w:hint="eastAsia"/>
        </w:rPr>
        <w:t>（2）根据承包商按照第5.6款提供的手册，以及承包人给予的指导进行竣工后试验。</w:t>
      </w:r>
    </w:p>
    <w:p>
      <w:pPr>
        <w:spacing w:line="360" w:lineRule="auto"/>
        <w:ind w:firstLine="420" w:firstLineChars="200"/>
      </w:pPr>
      <w:r>
        <w:rPr>
          <w:rFonts w:hint="eastAsia"/>
        </w:rPr>
        <w:t>发包人应提前21天将竣工后试验的日期通</w:t>
      </w:r>
      <w:r>
        <w:rPr>
          <w:rFonts w:hint="eastAsia" w:ascii="宋体" w:hAnsi="宋体"/>
          <w:szCs w:val="21"/>
        </w:rPr>
        <w:t>知承包人。如果承包人未能在该日期出席竣工后试验，发包人可自行进行，承包人应对检</w:t>
      </w:r>
      <w:r>
        <w:rPr>
          <w:rFonts w:hint="eastAsia"/>
        </w:rPr>
        <w:t>验数据予以认可。</w:t>
      </w:r>
    </w:p>
    <w:p>
      <w:pPr>
        <w:spacing w:line="360" w:lineRule="auto"/>
        <w:ind w:firstLine="420" w:firstLineChars="200"/>
      </w:pPr>
      <w:r>
        <w:rPr>
          <w:rFonts w:hint="eastAsia"/>
        </w:rPr>
        <w:t>因承包人原因造成某项竣工后试验未能通过的，承包人应按照合同的约定进行赔偿，或者承包人提出修复建议，按照发包人指示的合理期限内改正，并承担合同约定的相应责任。</w:t>
      </w:r>
    </w:p>
    <w:p>
      <w:pPr>
        <w:pStyle w:val="6"/>
      </w:pPr>
      <w:bookmarkStart w:id="487" w:name="_Toc300835167"/>
      <w:r>
        <w:rPr>
          <w:rFonts w:hint="eastAsia"/>
        </w:rPr>
        <w:t>18.9 竣工后试验（B）</w:t>
      </w:r>
      <w:bookmarkEnd w:id="487"/>
    </w:p>
    <w:p>
      <w:pPr>
        <w:spacing w:line="360" w:lineRule="auto"/>
        <w:ind w:firstLine="420" w:firstLineChars="200"/>
        <w:rPr>
          <w:rFonts w:ascii="宋体" w:hAnsi="宋体"/>
          <w:szCs w:val="21"/>
        </w:rPr>
      </w:pPr>
      <w:r>
        <w:rPr>
          <w:rFonts w:hint="eastAsia" w:ascii="宋体" w:hAnsi="宋体"/>
          <w:szCs w:val="21"/>
        </w:rPr>
        <w:t>除专用合同条款另有约定外：</w:t>
      </w:r>
    </w:p>
    <w:p>
      <w:pPr>
        <w:spacing w:line="360" w:lineRule="auto"/>
        <w:ind w:firstLine="420" w:firstLineChars="200"/>
      </w:pPr>
      <w:r>
        <w:rPr>
          <w:rFonts w:hint="eastAsia"/>
        </w:rPr>
        <w:t>（1）发包人为竣工后试验提供必要的电力、材料、燃料、发包人人员和工程设备；</w:t>
      </w:r>
    </w:p>
    <w:p>
      <w:pPr>
        <w:spacing w:line="360" w:lineRule="auto"/>
        <w:ind w:firstLine="420" w:firstLineChars="200"/>
      </w:pPr>
      <w:r>
        <w:rPr>
          <w:rFonts w:hint="eastAsia"/>
        </w:rPr>
        <w:t>（2）承包人应提供竣工后试验所需要的所有其他设备、仪器，以及有资格和经验的工作人员；</w:t>
      </w:r>
    </w:p>
    <w:p>
      <w:pPr>
        <w:spacing w:line="360" w:lineRule="auto"/>
        <w:ind w:firstLine="420" w:firstLineChars="200"/>
      </w:pPr>
      <w:r>
        <w:rPr>
          <w:rFonts w:hint="eastAsia"/>
        </w:rPr>
        <w:t>（3）承包人应在发包人在场的情况下，进行竣工后试验。发包人应提前21天将竣工后试验的日期通知承包人。因承包人原因造成某项竣工后试验未能通过的，承包人应按照合同的约定进行赔偿，或者承包人提出修复建议，按照发包人指示的合理期限内改正，并承担合同约定的相应责任。</w:t>
      </w:r>
    </w:p>
    <w:p>
      <w:pPr>
        <w:pStyle w:val="5"/>
      </w:pPr>
      <w:bookmarkStart w:id="488" w:name="_Toc184635116"/>
      <w:bookmarkStart w:id="489" w:name="_Toc300835168"/>
      <w:bookmarkStart w:id="490" w:name="_Toc247527766"/>
      <w:bookmarkStart w:id="491" w:name="_Toc247514165"/>
      <w:r>
        <w:rPr>
          <w:rFonts w:hint="eastAsia"/>
        </w:rPr>
        <w:t>19. 缺陷责任与保修责任</w:t>
      </w:r>
      <w:bookmarkEnd w:id="488"/>
      <w:bookmarkEnd w:id="489"/>
      <w:bookmarkEnd w:id="490"/>
      <w:bookmarkEnd w:id="491"/>
    </w:p>
    <w:p>
      <w:pPr>
        <w:pStyle w:val="6"/>
      </w:pPr>
      <w:bookmarkStart w:id="492" w:name="_Toc247514166"/>
      <w:bookmarkStart w:id="493" w:name="_Toc300835169"/>
      <w:bookmarkStart w:id="494" w:name="_Toc247527767"/>
      <w:r>
        <w:rPr>
          <w:rFonts w:hint="eastAsia"/>
        </w:rPr>
        <w:t>19.1 缺陷责任期的起算时间</w:t>
      </w:r>
      <w:bookmarkEnd w:id="492"/>
      <w:bookmarkEnd w:id="493"/>
      <w:bookmarkEnd w:id="494"/>
    </w:p>
    <w:p>
      <w:pPr>
        <w:spacing w:line="360" w:lineRule="auto"/>
        <w:ind w:firstLine="420" w:firstLineChars="200"/>
        <w:rPr>
          <w:rFonts w:ascii="宋体" w:hAnsi="宋体"/>
          <w:szCs w:val="21"/>
        </w:rPr>
      </w:pPr>
      <w:r>
        <w:rPr>
          <w:rFonts w:hint="eastAsia" w:ascii="宋体" w:hAnsi="宋体"/>
          <w:szCs w:val="21"/>
        </w:rPr>
        <w:t>缺陷责任期自实际竣工日期起计算。在全部工程竣工验收前，已经发包人提前验收的区段工程或进入施工期运行的工程，其缺陷责任期的起算日期相应提前到相应工程竣工日。</w:t>
      </w:r>
    </w:p>
    <w:p>
      <w:pPr>
        <w:pStyle w:val="6"/>
      </w:pPr>
      <w:bookmarkStart w:id="495" w:name="_Toc300835170"/>
      <w:bookmarkStart w:id="496" w:name="_Toc247527768"/>
      <w:bookmarkStart w:id="497" w:name="_Toc247514167"/>
      <w:r>
        <w:rPr>
          <w:rFonts w:hint="eastAsia"/>
        </w:rPr>
        <w:t>19.2 缺陷责任</w:t>
      </w:r>
      <w:bookmarkEnd w:id="495"/>
      <w:bookmarkEnd w:id="496"/>
      <w:bookmarkEnd w:id="497"/>
    </w:p>
    <w:p>
      <w:pPr>
        <w:spacing w:line="360" w:lineRule="auto"/>
        <w:ind w:firstLine="420" w:firstLineChars="200"/>
        <w:rPr>
          <w:rFonts w:ascii="宋体" w:hAnsi="宋体"/>
          <w:szCs w:val="21"/>
        </w:rPr>
      </w:pPr>
      <w:r>
        <w:rPr>
          <w:rFonts w:hint="eastAsia"/>
        </w:rPr>
        <w:t>19.2.1</w:t>
      </w:r>
      <w:r>
        <w:rPr>
          <w:rFonts w:hint="eastAsia" w:ascii="宋体" w:hAnsi="宋体"/>
          <w:szCs w:val="21"/>
        </w:rPr>
        <w:t xml:space="preserve"> 承包人应在缺陷责任期内对已交付使用的工程承担缺陷责任。</w:t>
      </w:r>
    </w:p>
    <w:p>
      <w:pPr>
        <w:spacing w:line="360" w:lineRule="auto"/>
        <w:ind w:firstLine="420" w:firstLineChars="200"/>
        <w:rPr>
          <w:rFonts w:ascii="宋体" w:hAnsi="宋体"/>
          <w:szCs w:val="21"/>
        </w:rPr>
      </w:pPr>
      <w:r>
        <w:rPr>
          <w:rFonts w:hint="eastAsia"/>
        </w:rPr>
        <w:t>19.2.2</w:t>
      </w:r>
      <w:r>
        <w:rPr>
          <w:rFonts w:hint="eastAsia" w:ascii="宋体" w:hAnsi="宋体"/>
          <w:szCs w:val="21"/>
        </w:rPr>
        <w:t xml:space="preserve"> 缺陷责任期内，发包人对已接收使用的工程负责日常维护工作。发包人在使用过程中，发现已接收的工程存在新的缺陷或已修复的缺陷部位或部件又遭损坏的，承包人应负责修复，直至检验合格为止。</w:t>
      </w:r>
    </w:p>
    <w:p>
      <w:pPr>
        <w:spacing w:line="360" w:lineRule="auto"/>
        <w:ind w:firstLine="420" w:firstLineChars="200"/>
        <w:rPr>
          <w:rFonts w:ascii="宋体" w:hAnsi="宋体"/>
          <w:szCs w:val="21"/>
        </w:rPr>
      </w:pPr>
      <w:r>
        <w:rPr>
          <w:rFonts w:hint="eastAsia"/>
        </w:rPr>
        <w:t xml:space="preserve">19.2.3 </w:t>
      </w:r>
      <w:r>
        <w:rPr>
          <w:rFonts w:hint="eastAsia" w:ascii="宋体" w:hAnsi="宋体"/>
          <w:szCs w:val="21"/>
        </w:rPr>
        <w:t>监理人和承包人应共同查清缺陷和（或）损坏的原因。经查明属承包人原因造成的，应由承包人承担修复和查验的费用。经查验属发包人原因造成的，发包人应承担修复和查验的费用，并支付承包人合理利润。</w:t>
      </w:r>
    </w:p>
    <w:p>
      <w:pPr>
        <w:spacing w:line="360" w:lineRule="auto"/>
        <w:ind w:firstLine="420" w:firstLineChars="200"/>
        <w:rPr>
          <w:rFonts w:ascii="宋体" w:hAnsi="宋体"/>
          <w:szCs w:val="21"/>
        </w:rPr>
      </w:pPr>
      <w:r>
        <w:rPr>
          <w:rFonts w:hint="eastAsia"/>
        </w:rPr>
        <w:t>19.2.4</w:t>
      </w:r>
      <w:r>
        <w:rPr>
          <w:rFonts w:hint="eastAsia" w:ascii="宋体" w:hAnsi="宋体"/>
          <w:szCs w:val="21"/>
        </w:rPr>
        <w:t xml:space="preserve"> 承包人不能在合理时间内修复缺陷的，发包人可自行修复或委托其他人修复，所需费用和利润的承担，按第</w:t>
      </w:r>
      <w:r>
        <w:rPr>
          <w:rFonts w:hint="eastAsia"/>
        </w:rPr>
        <w:t xml:space="preserve">19.2.3 </w:t>
      </w:r>
      <w:r>
        <w:rPr>
          <w:rFonts w:hint="eastAsia" w:ascii="宋体" w:hAnsi="宋体"/>
          <w:szCs w:val="21"/>
        </w:rPr>
        <w:t>项约定执行。</w:t>
      </w:r>
    </w:p>
    <w:p>
      <w:pPr>
        <w:pStyle w:val="6"/>
      </w:pPr>
      <w:bookmarkStart w:id="498" w:name="_Toc247514168"/>
      <w:bookmarkStart w:id="499" w:name="_Toc300835171"/>
      <w:bookmarkStart w:id="500" w:name="_Toc247527769"/>
      <w:r>
        <w:rPr>
          <w:rFonts w:hint="eastAsia"/>
        </w:rPr>
        <w:t>19.3 缺陷责任期的延长</w:t>
      </w:r>
      <w:bookmarkEnd w:id="498"/>
      <w:bookmarkEnd w:id="499"/>
      <w:bookmarkEnd w:id="500"/>
    </w:p>
    <w:p>
      <w:pPr>
        <w:spacing w:line="360" w:lineRule="auto"/>
        <w:ind w:firstLine="420" w:firstLineChars="200"/>
        <w:rPr>
          <w:rFonts w:ascii="宋体" w:hAnsi="宋体"/>
          <w:szCs w:val="21"/>
        </w:rPr>
      </w:pPr>
      <w:r>
        <w:rPr>
          <w:rFonts w:hint="eastAsia" w:ascii="宋体" w:hAnsi="宋体"/>
          <w:szCs w:val="21"/>
        </w:rPr>
        <w:t>由于承包人原因造成某项缺陷或损坏使某项工程或工程设备不能按原定目标使用而需要再次检查、检验和修复的，发包人有权要求承包人相应延长缺陷责任期，但缺陷责任期最长不超过2年。</w:t>
      </w:r>
    </w:p>
    <w:p>
      <w:pPr>
        <w:pStyle w:val="6"/>
      </w:pPr>
      <w:bookmarkStart w:id="501" w:name="_Toc247514169"/>
      <w:bookmarkStart w:id="502" w:name="_Toc247527770"/>
      <w:bookmarkStart w:id="503" w:name="_Toc300835172"/>
      <w:r>
        <w:rPr>
          <w:rFonts w:hint="eastAsia"/>
        </w:rPr>
        <w:t>19.4 进一步试验和试运行</w:t>
      </w:r>
      <w:bookmarkEnd w:id="501"/>
      <w:bookmarkEnd w:id="502"/>
      <w:bookmarkEnd w:id="503"/>
    </w:p>
    <w:p>
      <w:pPr>
        <w:spacing w:line="360" w:lineRule="auto"/>
        <w:ind w:firstLine="420" w:firstLineChars="200"/>
        <w:rPr>
          <w:rFonts w:ascii="宋体" w:hAnsi="宋体"/>
          <w:szCs w:val="21"/>
        </w:rPr>
      </w:pPr>
      <w:r>
        <w:rPr>
          <w:rFonts w:hint="eastAsia" w:ascii="宋体" w:hAnsi="宋体"/>
          <w:szCs w:val="21"/>
        </w:rPr>
        <w:t>任何一项缺陷或损坏修复后，经检查证明其影响了工程或工程设备的使用性能，承包人应重新进行合同约定的试验和试运行，试验和试运行的全部费用应由责任方承担。</w:t>
      </w:r>
    </w:p>
    <w:p>
      <w:pPr>
        <w:pStyle w:val="6"/>
      </w:pPr>
      <w:bookmarkStart w:id="504" w:name="_Toc247527771"/>
      <w:bookmarkStart w:id="505" w:name="_Toc300835173"/>
      <w:bookmarkStart w:id="506" w:name="_Toc247514170"/>
      <w:r>
        <w:rPr>
          <w:rFonts w:hint="eastAsia"/>
        </w:rPr>
        <w:t>19.5 承包人的进入权</w:t>
      </w:r>
      <w:bookmarkEnd w:id="504"/>
      <w:bookmarkEnd w:id="505"/>
      <w:bookmarkEnd w:id="506"/>
    </w:p>
    <w:p>
      <w:pPr>
        <w:spacing w:line="360" w:lineRule="auto"/>
        <w:ind w:firstLine="420" w:firstLineChars="200"/>
        <w:rPr>
          <w:rFonts w:ascii="宋体" w:hAnsi="宋体"/>
          <w:szCs w:val="21"/>
        </w:rPr>
      </w:pPr>
      <w:r>
        <w:rPr>
          <w:rFonts w:hint="eastAsia" w:ascii="宋体" w:hAnsi="宋体"/>
          <w:szCs w:val="21"/>
        </w:rPr>
        <w:t>缺陷责任期内承包人为缺陷修复工作需要，有权进入工程现场，但应遵守发包人的保安和保密规定。</w:t>
      </w:r>
    </w:p>
    <w:p>
      <w:pPr>
        <w:pStyle w:val="6"/>
      </w:pPr>
      <w:bookmarkStart w:id="507" w:name="_Toc247514171"/>
      <w:bookmarkStart w:id="508" w:name="_Toc247527772"/>
      <w:bookmarkStart w:id="509" w:name="_Toc300835174"/>
      <w:r>
        <w:rPr>
          <w:rFonts w:hint="eastAsia"/>
        </w:rPr>
        <w:t>19.6 缺陷责任期终止证书</w:t>
      </w:r>
      <w:bookmarkEnd w:id="507"/>
      <w:bookmarkEnd w:id="508"/>
      <w:bookmarkEnd w:id="509"/>
    </w:p>
    <w:p>
      <w:pPr>
        <w:spacing w:line="360" w:lineRule="auto"/>
        <w:ind w:firstLine="420" w:firstLineChars="200"/>
        <w:rPr>
          <w:rFonts w:ascii="宋体" w:hAnsi="宋体"/>
          <w:szCs w:val="21"/>
        </w:rPr>
      </w:pPr>
      <w:r>
        <w:rPr>
          <w:rFonts w:hint="eastAsia" w:ascii="宋体" w:hAnsi="宋体"/>
          <w:szCs w:val="21"/>
        </w:rPr>
        <w:t>在第</w:t>
      </w:r>
      <w:r>
        <w:rPr>
          <w:rFonts w:hint="eastAsia"/>
        </w:rPr>
        <w:t>1.1.4.5</w:t>
      </w:r>
      <w:r>
        <w:rPr>
          <w:rFonts w:hint="eastAsia" w:ascii="宋体" w:hAnsi="宋体"/>
          <w:szCs w:val="21"/>
        </w:rPr>
        <w:t>目约定的缺陷责任期，包括根据</w:t>
      </w:r>
      <w:r>
        <w:rPr>
          <w:rFonts w:hint="eastAsia"/>
        </w:rPr>
        <w:t>第19.3款延长的期限终止后14天内，由</w:t>
      </w:r>
      <w:r>
        <w:rPr>
          <w:rFonts w:hint="eastAsia" w:ascii="宋体" w:hAnsi="宋体"/>
          <w:szCs w:val="21"/>
        </w:rPr>
        <w:t>监理人向承包人出具经发包人签认的缺陷责任期终止证书，并退还剩余的质量保证金。</w:t>
      </w:r>
    </w:p>
    <w:p>
      <w:pPr>
        <w:pStyle w:val="6"/>
      </w:pPr>
      <w:bookmarkStart w:id="510" w:name="_Toc247514172"/>
      <w:bookmarkStart w:id="511" w:name="_Toc247527773"/>
      <w:bookmarkStart w:id="512" w:name="_Toc300835175"/>
      <w:r>
        <w:rPr>
          <w:rFonts w:hint="eastAsia"/>
        </w:rPr>
        <w:t>19.7 保修责任</w:t>
      </w:r>
      <w:bookmarkEnd w:id="510"/>
      <w:bookmarkEnd w:id="511"/>
      <w:bookmarkEnd w:id="512"/>
    </w:p>
    <w:p>
      <w:pPr>
        <w:spacing w:line="360" w:lineRule="auto"/>
        <w:ind w:firstLine="420" w:firstLineChars="200"/>
        <w:rPr>
          <w:rFonts w:ascii="宋体" w:hAnsi="宋体"/>
          <w:szCs w:val="21"/>
        </w:rPr>
      </w:pPr>
      <w:r>
        <w:rPr>
          <w:rFonts w:hint="eastAsia" w:ascii="宋体" w:hAnsi="宋体"/>
          <w:szCs w:val="21"/>
        </w:rPr>
        <w:t>合同当事人根据有关法律规定，在专用合同条款中约定工程质量保修范围、期限和责任。保修期自实际竣工日期起计算。在全部工程竣工验收前，已经发包人提前验收的区段工程，其保修期的起算日期相应提前。</w:t>
      </w:r>
    </w:p>
    <w:p>
      <w:pPr>
        <w:pStyle w:val="5"/>
      </w:pPr>
      <w:bookmarkStart w:id="513" w:name="_Toc300835176"/>
      <w:bookmarkStart w:id="514" w:name="_Toc184635117"/>
      <w:bookmarkStart w:id="515" w:name="_Toc247514173"/>
      <w:bookmarkStart w:id="516" w:name="_Toc247527774"/>
      <w:r>
        <w:rPr>
          <w:rFonts w:hint="eastAsia"/>
        </w:rPr>
        <w:t>20. 保险</w:t>
      </w:r>
      <w:bookmarkEnd w:id="513"/>
      <w:bookmarkEnd w:id="514"/>
      <w:bookmarkEnd w:id="515"/>
      <w:bookmarkEnd w:id="516"/>
    </w:p>
    <w:p>
      <w:pPr>
        <w:pStyle w:val="6"/>
      </w:pPr>
      <w:bookmarkStart w:id="517" w:name="_Toc247527775"/>
      <w:bookmarkStart w:id="518" w:name="_Toc247514174"/>
      <w:bookmarkStart w:id="519" w:name="_Toc300835177"/>
      <w:r>
        <w:rPr>
          <w:rFonts w:hint="eastAsia"/>
        </w:rPr>
        <w:t>20.1 设计和工程保险</w:t>
      </w:r>
      <w:bookmarkEnd w:id="517"/>
      <w:bookmarkEnd w:id="518"/>
      <w:bookmarkEnd w:id="519"/>
    </w:p>
    <w:p>
      <w:pPr>
        <w:spacing w:line="360" w:lineRule="auto"/>
        <w:ind w:firstLine="420" w:firstLineChars="200"/>
        <w:rPr>
          <w:rFonts w:ascii="宋体" w:hAnsi="宋体"/>
          <w:szCs w:val="21"/>
        </w:rPr>
      </w:pPr>
      <w:r>
        <w:rPr>
          <w:rFonts w:hint="eastAsia"/>
        </w:rPr>
        <w:t>20.1.1 承包人按照专用合同条款的约定向双方同意的保险人投保建设工程设计责任险、建筑工程一切险或安装工程一切险等保险。具体的投保险种、保险范围、保险金额、保险费率、保险期限等有关内容应当在专用合同条款中明确约定。</w:t>
      </w:r>
    </w:p>
    <w:p>
      <w:pPr>
        <w:spacing w:line="360" w:lineRule="auto"/>
        <w:ind w:firstLine="420" w:firstLineChars="200"/>
        <w:rPr>
          <w:rFonts w:ascii="宋体" w:hAnsi="宋体"/>
          <w:szCs w:val="21"/>
        </w:rPr>
      </w:pPr>
      <w:r>
        <w:rPr>
          <w:rFonts w:hint="eastAsia"/>
        </w:rPr>
        <w:t xml:space="preserve">20.1.2 </w:t>
      </w:r>
      <w:r>
        <w:rPr>
          <w:rFonts w:hint="eastAsia" w:ascii="宋体" w:hAnsi="宋体"/>
          <w:szCs w:val="21"/>
        </w:rPr>
        <w:t>在缺陷责任期终止证书颁发前，承包人应按照专用合同条款的约定投保第三者责任险。</w:t>
      </w:r>
    </w:p>
    <w:p>
      <w:pPr>
        <w:pStyle w:val="6"/>
      </w:pPr>
      <w:bookmarkStart w:id="520" w:name="_Toc247527776"/>
      <w:bookmarkStart w:id="521" w:name="_Toc300835178"/>
      <w:bookmarkStart w:id="522" w:name="_Toc247514175"/>
      <w:r>
        <w:rPr>
          <w:rFonts w:hint="eastAsia"/>
        </w:rPr>
        <w:t>20.2 工伤保险</w:t>
      </w:r>
      <w:bookmarkEnd w:id="520"/>
      <w:bookmarkEnd w:id="521"/>
      <w:bookmarkEnd w:id="522"/>
    </w:p>
    <w:p>
      <w:pPr>
        <w:spacing w:line="360" w:lineRule="auto"/>
        <w:ind w:firstLine="420" w:firstLineChars="200"/>
        <w:rPr>
          <w:rFonts w:ascii="宋体" w:hAnsi="宋体"/>
          <w:szCs w:val="21"/>
        </w:rPr>
      </w:pPr>
      <w:r>
        <w:rPr>
          <w:rFonts w:hint="eastAsia"/>
        </w:rPr>
        <w:t>20.2.1</w:t>
      </w:r>
      <w:r>
        <w:rPr>
          <w:rFonts w:hint="eastAsia" w:ascii="宋体" w:hAnsi="宋体"/>
          <w:szCs w:val="21"/>
        </w:rPr>
        <w:t xml:space="preserve"> 承包人员工伤保险</w:t>
      </w:r>
    </w:p>
    <w:p>
      <w:pPr>
        <w:spacing w:line="360" w:lineRule="auto"/>
        <w:ind w:firstLine="420" w:firstLineChars="200"/>
        <w:rPr>
          <w:rFonts w:ascii="宋体" w:hAnsi="宋体"/>
          <w:szCs w:val="21"/>
        </w:rPr>
      </w:pPr>
      <w:r>
        <w:rPr>
          <w:rFonts w:hint="eastAsia" w:ascii="宋体" w:hAnsi="宋体"/>
          <w:szCs w:val="21"/>
        </w:rPr>
        <w:t>承包人应依照有关法律规定，为其履行合同所雇佣的全部人员投保工伤保险，缴纳工伤保险费，并要求其分包人也投保此项保险。</w:t>
      </w:r>
    </w:p>
    <w:p>
      <w:pPr>
        <w:spacing w:line="360" w:lineRule="auto"/>
        <w:ind w:firstLine="420" w:firstLineChars="200"/>
        <w:rPr>
          <w:rFonts w:ascii="宋体" w:hAnsi="宋体"/>
          <w:szCs w:val="21"/>
        </w:rPr>
      </w:pPr>
      <w:r>
        <w:rPr>
          <w:rFonts w:hint="eastAsia"/>
        </w:rPr>
        <w:t>20.2.2</w:t>
      </w:r>
      <w:r>
        <w:rPr>
          <w:rFonts w:hint="eastAsia" w:ascii="宋体" w:hAnsi="宋体"/>
          <w:szCs w:val="21"/>
        </w:rPr>
        <w:t xml:space="preserve"> 发包人员工伤保险</w:t>
      </w:r>
    </w:p>
    <w:p>
      <w:pPr>
        <w:spacing w:line="360" w:lineRule="auto"/>
        <w:ind w:firstLine="420" w:firstLineChars="200"/>
        <w:rPr>
          <w:rFonts w:ascii="宋体" w:hAnsi="宋体"/>
          <w:szCs w:val="21"/>
        </w:rPr>
      </w:pPr>
      <w:r>
        <w:rPr>
          <w:rFonts w:hint="eastAsia" w:ascii="宋体" w:hAnsi="宋体"/>
          <w:szCs w:val="21"/>
        </w:rPr>
        <w:t>发包人应依照有关法律规定，为其现场机构雇佣的全部人员投保工伤保险，缴纳工伤保险费，并要求其监理人也进行此项保险。</w:t>
      </w:r>
    </w:p>
    <w:p>
      <w:pPr>
        <w:pStyle w:val="6"/>
      </w:pPr>
      <w:bookmarkStart w:id="523" w:name="_Toc247514176"/>
      <w:bookmarkStart w:id="524" w:name="_Toc247527777"/>
      <w:bookmarkStart w:id="525" w:name="_Toc300835179"/>
      <w:r>
        <w:rPr>
          <w:rFonts w:hint="eastAsia"/>
        </w:rPr>
        <w:t>20.3 人身意外伤害险</w:t>
      </w:r>
      <w:bookmarkEnd w:id="523"/>
      <w:bookmarkEnd w:id="524"/>
      <w:bookmarkEnd w:id="525"/>
    </w:p>
    <w:p>
      <w:pPr>
        <w:spacing w:line="360" w:lineRule="auto"/>
        <w:ind w:firstLine="420" w:firstLineChars="200"/>
        <w:rPr>
          <w:rFonts w:ascii="宋体" w:hAnsi="宋体"/>
          <w:szCs w:val="21"/>
        </w:rPr>
      </w:pPr>
      <w:r>
        <w:rPr>
          <w:rFonts w:hint="eastAsia"/>
        </w:rPr>
        <w:t>20.3.1</w:t>
      </w:r>
      <w:r>
        <w:rPr>
          <w:rFonts w:hint="eastAsia" w:ascii="宋体" w:hAnsi="宋体"/>
          <w:szCs w:val="21"/>
        </w:rPr>
        <w:t xml:space="preserve"> 发包人应在整个施工期间为其现场机构雇用的全部人员，投保人身意外伤害险，缴纳保险费，并要求其监理人也进行此项保险。</w:t>
      </w:r>
    </w:p>
    <w:p>
      <w:pPr>
        <w:spacing w:line="360" w:lineRule="auto"/>
        <w:ind w:firstLine="420" w:firstLineChars="200"/>
        <w:rPr>
          <w:rFonts w:ascii="宋体" w:hAnsi="宋体"/>
          <w:szCs w:val="21"/>
        </w:rPr>
      </w:pPr>
      <w:r>
        <w:rPr>
          <w:rFonts w:hint="eastAsia"/>
        </w:rPr>
        <w:t>20.3.2</w:t>
      </w:r>
      <w:r>
        <w:rPr>
          <w:rFonts w:hint="eastAsia" w:ascii="宋体" w:hAnsi="宋体"/>
          <w:szCs w:val="21"/>
        </w:rPr>
        <w:t xml:space="preserve"> 承包人应在整个施工期间为其现场机构雇用的全部人员，投保人身意外伤害险，缴纳保险费，并要求其分包人也进行此项保险。</w:t>
      </w:r>
      <w:bookmarkStart w:id="526" w:name="_Toc247527778"/>
      <w:bookmarkEnd w:id="526"/>
      <w:bookmarkStart w:id="527" w:name="_Toc247514177"/>
      <w:bookmarkEnd w:id="527"/>
    </w:p>
    <w:p>
      <w:pPr>
        <w:pStyle w:val="6"/>
      </w:pPr>
      <w:bookmarkStart w:id="528" w:name="_Toc247527779"/>
      <w:bookmarkStart w:id="529" w:name="_Toc300835180"/>
      <w:bookmarkStart w:id="530" w:name="_Toc247514178"/>
      <w:r>
        <w:rPr>
          <w:rFonts w:hint="eastAsia"/>
        </w:rPr>
        <w:t>20.4 其他保险</w:t>
      </w:r>
      <w:bookmarkEnd w:id="528"/>
      <w:bookmarkEnd w:id="529"/>
      <w:bookmarkEnd w:id="530"/>
    </w:p>
    <w:p>
      <w:pPr>
        <w:spacing w:line="360" w:lineRule="auto"/>
        <w:ind w:firstLine="420" w:firstLineChars="200"/>
        <w:rPr>
          <w:rFonts w:ascii="宋体" w:hAnsi="宋体"/>
          <w:szCs w:val="21"/>
        </w:rPr>
      </w:pPr>
      <w:r>
        <w:rPr>
          <w:rFonts w:hint="eastAsia" w:ascii="宋体" w:hAnsi="宋体"/>
          <w:szCs w:val="21"/>
        </w:rPr>
        <w:t>除专用合同条款另有约定外，承包人应为其施工设备、进场的材料和工程设备等办理保险。</w:t>
      </w:r>
    </w:p>
    <w:p>
      <w:pPr>
        <w:pStyle w:val="6"/>
      </w:pPr>
      <w:bookmarkStart w:id="531" w:name="_Toc300835181"/>
      <w:bookmarkStart w:id="532" w:name="_Toc247527780"/>
      <w:bookmarkStart w:id="533" w:name="_Toc247514179"/>
      <w:r>
        <w:rPr>
          <w:rFonts w:hint="eastAsia"/>
        </w:rPr>
        <w:t>20.5 对各项保险的一般要求</w:t>
      </w:r>
      <w:bookmarkEnd w:id="531"/>
      <w:bookmarkEnd w:id="532"/>
      <w:bookmarkEnd w:id="533"/>
    </w:p>
    <w:p>
      <w:pPr>
        <w:spacing w:line="360" w:lineRule="auto"/>
        <w:ind w:firstLine="420" w:firstLineChars="200"/>
        <w:rPr>
          <w:rFonts w:ascii="宋体" w:hAnsi="宋体"/>
          <w:szCs w:val="21"/>
        </w:rPr>
      </w:pPr>
      <w:r>
        <w:rPr>
          <w:rFonts w:hint="eastAsia"/>
        </w:rPr>
        <w:t>20.5.1</w:t>
      </w:r>
      <w:r>
        <w:rPr>
          <w:rFonts w:hint="eastAsia" w:ascii="宋体" w:hAnsi="宋体"/>
          <w:szCs w:val="21"/>
        </w:rPr>
        <w:t xml:space="preserve"> 保险凭证</w:t>
      </w:r>
    </w:p>
    <w:p>
      <w:pPr>
        <w:spacing w:line="360" w:lineRule="auto"/>
        <w:ind w:firstLine="420" w:firstLineChars="200"/>
        <w:rPr>
          <w:rFonts w:ascii="宋体" w:hAnsi="宋体"/>
          <w:szCs w:val="21"/>
        </w:rPr>
      </w:pPr>
      <w:r>
        <w:rPr>
          <w:rFonts w:hint="eastAsia" w:ascii="宋体" w:hAnsi="宋体"/>
          <w:szCs w:val="21"/>
        </w:rPr>
        <w:t>承包人应在专用合同条款约定的期限内向发包人提交各项保险生效的证据和保险单副本，保险单必须与专用合同条款约定的条件保持一致。</w:t>
      </w:r>
    </w:p>
    <w:p>
      <w:pPr>
        <w:spacing w:line="360" w:lineRule="auto"/>
        <w:ind w:firstLine="420" w:firstLineChars="200"/>
        <w:rPr>
          <w:rFonts w:ascii="宋体" w:hAnsi="宋体"/>
          <w:szCs w:val="21"/>
        </w:rPr>
      </w:pPr>
      <w:r>
        <w:rPr>
          <w:rFonts w:hint="eastAsia"/>
        </w:rPr>
        <w:t>20.5.2</w:t>
      </w:r>
      <w:r>
        <w:rPr>
          <w:rFonts w:hint="eastAsia" w:ascii="宋体" w:hAnsi="宋体"/>
          <w:szCs w:val="21"/>
        </w:rPr>
        <w:t xml:space="preserve"> 保险合同条款的变动</w:t>
      </w:r>
    </w:p>
    <w:p>
      <w:pPr>
        <w:spacing w:line="360" w:lineRule="auto"/>
        <w:ind w:firstLine="420" w:firstLineChars="200"/>
        <w:rPr>
          <w:rFonts w:ascii="宋体" w:hAnsi="宋体"/>
          <w:szCs w:val="21"/>
        </w:rPr>
      </w:pPr>
      <w:r>
        <w:rPr>
          <w:rFonts w:hint="eastAsia" w:ascii="宋体" w:hAnsi="宋体"/>
          <w:szCs w:val="21"/>
        </w:rPr>
        <w:t>承包人需要变动保险合同条款时，应事先征得发包人同意，并通知监理人。保险人作出变动的，承包人应在收到保险人通知后立即通知发包人和监理人。</w:t>
      </w:r>
    </w:p>
    <w:p>
      <w:pPr>
        <w:spacing w:line="360" w:lineRule="auto"/>
        <w:ind w:firstLine="420" w:firstLineChars="200"/>
        <w:rPr>
          <w:rFonts w:ascii="宋体" w:hAnsi="宋体"/>
          <w:szCs w:val="21"/>
        </w:rPr>
      </w:pPr>
      <w:r>
        <w:rPr>
          <w:rFonts w:hint="eastAsia"/>
        </w:rPr>
        <w:t>20.5.3</w:t>
      </w:r>
      <w:r>
        <w:rPr>
          <w:rFonts w:hint="eastAsia" w:ascii="宋体" w:hAnsi="宋体"/>
          <w:szCs w:val="21"/>
        </w:rPr>
        <w:t xml:space="preserve"> 持续保险</w:t>
      </w:r>
    </w:p>
    <w:p>
      <w:pPr>
        <w:spacing w:line="360" w:lineRule="auto"/>
        <w:ind w:firstLine="420" w:firstLineChars="200"/>
        <w:rPr>
          <w:rFonts w:ascii="宋体" w:hAnsi="宋体"/>
          <w:szCs w:val="21"/>
        </w:rPr>
      </w:pPr>
      <w:r>
        <w:rPr>
          <w:rFonts w:hint="eastAsia" w:ascii="宋体" w:hAnsi="宋体"/>
          <w:szCs w:val="21"/>
        </w:rPr>
        <w:t>承包人应与保险人保持联系，使保险人能够随时了解工程实施中的变动，并确保按保险合同条款要求持续保险。</w:t>
      </w:r>
    </w:p>
    <w:p>
      <w:pPr>
        <w:spacing w:line="360" w:lineRule="auto"/>
        <w:ind w:firstLine="420" w:firstLineChars="200"/>
        <w:rPr>
          <w:rFonts w:ascii="宋体" w:hAnsi="宋体"/>
          <w:szCs w:val="21"/>
        </w:rPr>
      </w:pPr>
      <w:r>
        <w:rPr>
          <w:rFonts w:hint="eastAsia"/>
        </w:rPr>
        <w:t>20.5.4</w:t>
      </w:r>
      <w:r>
        <w:rPr>
          <w:rFonts w:hint="eastAsia" w:ascii="宋体" w:hAnsi="宋体"/>
          <w:szCs w:val="21"/>
        </w:rPr>
        <w:t xml:space="preserve"> 保险金不足的补偿</w:t>
      </w:r>
    </w:p>
    <w:p>
      <w:pPr>
        <w:spacing w:line="360" w:lineRule="auto"/>
        <w:ind w:firstLine="420" w:firstLineChars="200"/>
        <w:rPr>
          <w:rFonts w:ascii="宋体" w:hAnsi="宋体"/>
          <w:szCs w:val="21"/>
        </w:rPr>
      </w:pPr>
      <w:r>
        <w:rPr>
          <w:rFonts w:hint="eastAsia" w:ascii="宋体" w:hAnsi="宋体"/>
          <w:szCs w:val="21"/>
        </w:rPr>
        <w:t>保险金不足以补偿损失的，应由承包人和（或）发包人按合同约定负责补偿。</w:t>
      </w:r>
    </w:p>
    <w:p>
      <w:pPr>
        <w:spacing w:line="360" w:lineRule="auto"/>
        <w:ind w:firstLine="420" w:firstLineChars="200"/>
        <w:rPr>
          <w:rFonts w:ascii="宋体" w:hAnsi="宋体"/>
          <w:szCs w:val="21"/>
        </w:rPr>
      </w:pPr>
      <w:r>
        <w:rPr>
          <w:rFonts w:hint="eastAsia"/>
        </w:rPr>
        <w:t>20.5.5</w:t>
      </w:r>
      <w:r>
        <w:rPr>
          <w:rFonts w:hint="eastAsia" w:ascii="宋体" w:hAnsi="宋体"/>
          <w:szCs w:val="21"/>
        </w:rPr>
        <w:t xml:space="preserve"> 未按约定投保的补救</w:t>
      </w:r>
    </w:p>
    <w:p>
      <w:pPr>
        <w:spacing w:line="360" w:lineRule="auto"/>
        <w:ind w:firstLine="420" w:firstLineChars="200"/>
        <w:rPr>
          <w:rFonts w:ascii="宋体" w:hAnsi="宋体"/>
          <w:szCs w:val="21"/>
        </w:rPr>
      </w:pPr>
      <w:r>
        <w:rPr>
          <w:rFonts w:hint="eastAsia"/>
        </w:rPr>
        <w:t>（1）</w:t>
      </w:r>
      <w:r>
        <w:rPr>
          <w:rFonts w:hint="eastAsia" w:ascii="宋体" w:hAnsi="宋体"/>
          <w:szCs w:val="21"/>
        </w:rPr>
        <w:t>由于负有投保义务的一方当事人未按合同约定办理保险，或未能使保险持续有效的，另一方当事人可代为办理，所需费用由对方当事人承担。</w:t>
      </w:r>
    </w:p>
    <w:p>
      <w:pPr>
        <w:spacing w:line="360" w:lineRule="auto"/>
        <w:ind w:firstLine="420" w:firstLineChars="200"/>
        <w:rPr>
          <w:rFonts w:ascii="宋体" w:hAnsi="宋体"/>
          <w:szCs w:val="21"/>
        </w:rPr>
      </w:pPr>
      <w:r>
        <w:rPr>
          <w:rFonts w:hint="eastAsia"/>
        </w:rPr>
        <w:t>（2）</w:t>
      </w:r>
      <w:r>
        <w:rPr>
          <w:rFonts w:hint="eastAsia" w:ascii="宋体" w:hAnsi="宋体"/>
          <w:szCs w:val="21"/>
        </w:rPr>
        <w:t>由于负有投保义务的一方当事人未按合同约定办理某项保险，导致受益人未能得到保险人的赔偿，原应从该项保险得到的保险金应由负有投保义务的一方当事人支付。</w:t>
      </w:r>
    </w:p>
    <w:p>
      <w:pPr>
        <w:spacing w:line="360" w:lineRule="auto"/>
        <w:ind w:firstLine="420" w:firstLineChars="200"/>
        <w:rPr>
          <w:rFonts w:ascii="宋体" w:hAnsi="宋体"/>
          <w:szCs w:val="21"/>
        </w:rPr>
      </w:pPr>
      <w:r>
        <w:rPr>
          <w:rFonts w:hint="eastAsia"/>
        </w:rPr>
        <w:t>20.5.6</w:t>
      </w:r>
      <w:r>
        <w:rPr>
          <w:rFonts w:hint="eastAsia" w:ascii="宋体" w:hAnsi="宋体"/>
          <w:szCs w:val="21"/>
        </w:rPr>
        <w:t xml:space="preserve"> 报告义务</w:t>
      </w:r>
    </w:p>
    <w:p>
      <w:pPr>
        <w:spacing w:line="360" w:lineRule="auto"/>
        <w:ind w:firstLine="420" w:firstLineChars="200"/>
        <w:rPr>
          <w:rFonts w:ascii="宋体" w:hAnsi="宋体"/>
          <w:szCs w:val="21"/>
        </w:rPr>
      </w:pPr>
      <w:r>
        <w:rPr>
          <w:rFonts w:hint="eastAsia" w:ascii="宋体" w:hAnsi="宋体"/>
          <w:szCs w:val="21"/>
        </w:rPr>
        <w:t>当保险事故发生时，投保人应按照保险单规定的条件和期限及时向保险人报告。</w:t>
      </w:r>
    </w:p>
    <w:p>
      <w:pPr>
        <w:pStyle w:val="5"/>
      </w:pPr>
      <w:bookmarkStart w:id="534" w:name="_Toc300835182"/>
      <w:bookmarkStart w:id="535" w:name="_Toc247514180"/>
      <w:bookmarkStart w:id="536" w:name="_Toc247527781"/>
      <w:bookmarkStart w:id="537" w:name="_Toc184635118"/>
      <w:r>
        <w:rPr>
          <w:rFonts w:hint="eastAsia"/>
        </w:rPr>
        <w:t>21. 不可抗力</w:t>
      </w:r>
      <w:bookmarkEnd w:id="534"/>
      <w:bookmarkEnd w:id="535"/>
      <w:bookmarkEnd w:id="536"/>
      <w:bookmarkEnd w:id="537"/>
    </w:p>
    <w:p>
      <w:pPr>
        <w:pStyle w:val="6"/>
      </w:pPr>
      <w:bookmarkStart w:id="538" w:name="_Toc247514181"/>
      <w:bookmarkStart w:id="539" w:name="_Toc300835183"/>
      <w:bookmarkStart w:id="540" w:name="_Toc247527782"/>
      <w:r>
        <w:rPr>
          <w:rFonts w:hint="eastAsia"/>
        </w:rPr>
        <w:t>21.1 不可抗力的确认</w:t>
      </w:r>
      <w:bookmarkEnd w:id="538"/>
      <w:bookmarkEnd w:id="539"/>
      <w:bookmarkEnd w:id="540"/>
    </w:p>
    <w:p>
      <w:pPr>
        <w:spacing w:line="360" w:lineRule="auto"/>
        <w:ind w:firstLine="420" w:firstLineChars="200"/>
      </w:pPr>
      <w:r>
        <w:rPr>
          <w:rFonts w:hint="eastAsia"/>
        </w:rPr>
        <w:t>21.1.1</w:t>
      </w:r>
      <w:r>
        <w:rPr>
          <w:rFonts w:hint="eastAsia" w:ascii="宋体" w:hAnsi="宋体"/>
          <w:szCs w:val="21"/>
        </w:rPr>
        <w:t xml:space="preserve"> 不可抗力是指承包人和发包人在订立合同时不可预见，在履行合同过程中不可避免发生并不能克服的自然灾害和社会性突发事件，如地震、海啸、瘟疫、水灾、骚乱、暴动、战争和专用合同条款约定的其</w:t>
      </w:r>
      <w:r>
        <w:rPr>
          <w:rFonts w:hint="eastAsia"/>
        </w:rPr>
        <w:t>他情形。</w:t>
      </w:r>
    </w:p>
    <w:p>
      <w:pPr>
        <w:spacing w:line="360" w:lineRule="auto"/>
        <w:ind w:firstLine="420" w:firstLineChars="200"/>
        <w:rPr>
          <w:rFonts w:ascii="宋体" w:hAnsi="宋体"/>
          <w:szCs w:val="21"/>
        </w:rPr>
      </w:pPr>
      <w:r>
        <w:rPr>
          <w:rFonts w:hint="eastAsia"/>
        </w:rPr>
        <w:t>21.1.2</w:t>
      </w:r>
      <w:r>
        <w:rPr>
          <w:rFonts w:hint="eastAsia" w:ascii="宋体" w:hAnsi="宋体"/>
          <w:szCs w:val="21"/>
        </w:rPr>
        <w:t xml:space="preserve"> 不可抗力发生后，发包人和承包人应及时认真统计所造成的损失，收集不可抗力造成损失的证据。合同双方对是否属于不可抗力或其损失的意见不一致的，由监理人按第</w:t>
      </w:r>
      <w:r>
        <w:rPr>
          <w:rFonts w:hint="eastAsia"/>
        </w:rPr>
        <w:t>3.5</w:t>
      </w:r>
      <w:r>
        <w:rPr>
          <w:rFonts w:hint="eastAsia" w:ascii="宋体" w:hAnsi="宋体"/>
          <w:szCs w:val="21"/>
        </w:rPr>
        <w:t xml:space="preserve"> 款商定或确定。发生争议时，按第24条的约定执行。</w:t>
      </w:r>
    </w:p>
    <w:p>
      <w:pPr>
        <w:pStyle w:val="6"/>
      </w:pPr>
      <w:bookmarkStart w:id="541" w:name="_Toc247527783"/>
      <w:bookmarkStart w:id="542" w:name="_Toc247514182"/>
      <w:bookmarkStart w:id="543" w:name="_Toc300835184"/>
      <w:r>
        <w:rPr>
          <w:rFonts w:hint="eastAsia"/>
        </w:rPr>
        <w:t>21.2 不可抗力的通知</w:t>
      </w:r>
      <w:bookmarkEnd w:id="541"/>
      <w:bookmarkEnd w:id="542"/>
      <w:bookmarkEnd w:id="543"/>
    </w:p>
    <w:p>
      <w:pPr>
        <w:spacing w:line="360" w:lineRule="auto"/>
        <w:ind w:firstLine="420" w:firstLineChars="200"/>
        <w:rPr>
          <w:rFonts w:ascii="宋体" w:hAnsi="宋体"/>
          <w:szCs w:val="21"/>
        </w:rPr>
      </w:pPr>
      <w:r>
        <w:rPr>
          <w:rFonts w:hint="eastAsia"/>
        </w:rPr>
        <w:t>21.2.1</w:t>
      </w:r>
      <w:r>
        <w:rPr>
          <w:rFonts w:hint="eastAsia" w:ascii="宋体" w:hAnsi="宋体"/>
          <w:szCs w:val="21"/>
        </w:rPr>
        <w:t xml:space="preserve"> 合同一方当事人遇到不可抗力事件，使其履行合同义务受到阻碍时，应立即通知合同另一方当事人和监理人，书面说明不可抗力和受阻碍的详细情况，并提供必要的证明。</w:t>
      </w:r>
    </w:p>
    <w:p>
      <w:pPr>
        <w:spacing w:line="360" w:lineRule="auto"/>
        <w:ind w:firstLine="420" w:firstLineChars="200"/>
        <w:rPr>
          <w:rFonts w:ascii="宋体" w:hAnsi="宋体"/>
          <w:szCs w:val="21"/>
        </w:rPr>
      </w:pPr>
      <w:r>
        <w:rPr>
          <w:rFonts w:hint="eastAsia"/>
        </w:rPr>
        <w:t xml:space="preserve">21.2.2 </w:t>
      </w:r>
      <w:r>
        <w:rPr>
          <w:rFonts w:hint="eastAsia" w:ascii="宋体" w:hAnsi="宋体"/>
          <w:szCs w:val="21"/>
        </w:rPr>
        <w:t>如不可抗力持续发生，合同一方当事人应及时向合同另一方当事人和监理人提交中间报告，说明不可抗力和履行合同受阻的情况，并于不可抗力事件结束后28天内提交最终报告及有关资料。</w:t>
      </w:r>
    </w:p>
    <w:p>
      <w:pPr>
        <w:pStyle w:val="6"/>
      </w:pPr>
      <w:bookmarkStart w:id="544" w:name="_Toc247527784"/>
      <w:bookmarkStart w:id="545" w:name="_Toc247514183"/>
      <w:bookmarkStart w:id="546" w:name="_Toc300835185"/>
      <w:r>
        <w:rPr>
          <w:rFonts w:hint="eastAsia"/>
        </w:rPr>
        <w:t>21.3 不可抗力后果及其处理</w:t>
      </w:r>
      <w:bookmarkEnd w:id="544"/>
      <w:bookmarkEnd w:id="545"/>
      <w:bookmarkEnd w:id="546"/>
    </w:p>
    <w:p>
      <w:pPr>
        <w:spacing w:line="360" w:lineRule="auto"/>
        <w:ind w:firstLine="420" w:firstLineChars="200"/>
        <w:rPr>
          <w:rFonts w:ascii="宋体" w:hAnsi="宋体"/>
          <w:szCs w:val="21"/>
        </w:rPr>
      </w:pPr>
      <w:r>
        <w:rPr>
          <w:rFonts w:hint="eastAsia"/>
        </w:rPr>
        <w:t>21.3.1</w:t>
      </w:r>
      <w:r>
        <w:rPr>
          <w:rFonts w:hint="eastAsia" w:ascii="宋体" w:hAnsi="宋体"/>
          <w:szCs w:val="21"/>
        </w:rPr>
        <w:t xml:space="preserve"> 不可抗力造成损害的责任</w:t>
      </w:r>
    </w:p>
    <w:p>
      <w:pPr>
        <w:spacing w:line="360" w:lineRule="auto"/>
        <w:ind w:firstLine="420" w:firstLineChars="200"/>
        <w:rPr>
          <w:rFonts w:ascii="宋体" w:hAnsi="宋体"/>
          <w:szCs w:val="21"/>
        </w:rPr>
      </w:pPr>
      <w:r>
        <w:rPr>
          <w:rFonts w:hint="eastAsia" w:ascii="宋体" w:hAnsi="宋体"/>
          <w:szCs w:val="21"/>
        </w:rPr>
        <w:t>除专用合同条款另有约定外，不可抗力导致的人员伤亡、财产损失、费用增加和（或）工期延误等后果，由合同双方按以下原则承担：</w:t>
      </w:r>
    </w:p>
    <w:p>
      <w:pPr>
        <w:spacing w:line="360" w:lineRule="auto"/>
        <w:ind w:firstLine="420" w:firstLineChars="200"/>
      </w:pPr>
      <w:r>
        <w:rPr>
          <w:rFonts w:hint="eastAsia"/>
        </w:rPr>
        <w:t>（1）永久工程，包括已运至施工场地的材料和工程设备的损害，以及因工程损害造成的第三者人员伤亡和财产损失由发包人承担；</w:t>
      </w:r>
    </w:p>
    <w:p>
      <w:pPr>
        <w:spacing w:line="360" w:lineRule="auto"/>
        <w:ind w:firstLine="420" w:firstLineChars="200"/>
      </w:pPr>
      <w:r>
        <w:rPr>
          <w:rFonts w:hint="eastAsia"/>
        </w:rPr>
        <w:t>（2）承包人设备的损坏由承包人承担；</w:t>
      </w:r>
    </w:p>
    <w:p>
      <w:pPr>
        <w:spacing w:line="360" w:lineRule="auto"/>
        <w:ind w:firstLine="420" w:firstLineChars="200"/>
      </w:pPr>
      <w:r>
        <w:rPr>
          <w:rFonts w:hint="eastAsia"/>
        </w:rPr>
        <w:t>（3）发包人和承包人各自承担其人员伤亡和其他财产损失及其相关费用；</w:t>
      </w:r>
    </w:p>
    <w:p>
      <w:pPr>
        <w:spacing w:line="360" w:lineRule="auto"/>
        <w:ind w:firstLine="420" w:firstLineChars="200"/>
      </w:pPr>
      <w:r>
        <w:rPr>
          <w:rFonts w:hint="eastAsia"/>
        </w:rPr>
        <w:t>（4）承包人的停工损失由承包人承担，但停工期间应监理人要求照管工程和清理、修复工程的金额由发包人承担；</w:t>
      </w:r>
    </w:p>
    <w:p>
      <w:pPr>
        <w:spacing w:line="360" w:lineRule="auto"/>
        <w:ind w:firstLine="420" w:firstLineChars="200"/>
        <w:rPr>
          <w:rFonts w:ascii="宋体" w:hAnsi="宋体"/>
          <w:szCs w:val="21"/>
        </w:rPr>
      </w:pPr>
      <w:r>
        <w:rPr>
          <w:rFonts w:hint="eastAsia"/>
        </w:rPr>
        <w:t>（5）不能按</w:t>
      </w:r>
      <w:r>
        <w:rPr>
          <w:rFonts w:hint="eastAsia" w:ascii="宋体" w:hAnsi="宋体"/>
          <w:szCs w:val="21"/>
        </w:rPr>
        <w:t>期竣工的，应合理延长工期，承包人不需支付逾期竣工违约金。发包人要求赶工的，承包人应采取赶工措施，赶工费用由发包人承担。</w:t>
      </w:r>
    </w:p>
    <w:p>
      <w:pPr>
        <w:spacing w:line="360" w:lineRule="auto"/>
        <w:ind w:firstLine="420" w:firstLineChars="200"/>
        <w:rPr>
          <w:rFonts w:ascii="宋体" w:hAnsi="宋体"/>
          <w:szCs w:val="21"/>
        </w:rPr>
      </w:pPr>
      <w:r>
        <w:rPr>
          <w:rFonts w:hint="eastAsia"/>
        </w:rPr>
        <w:t>21.3.2</w:t>
      </w:r>
      <w:r>
        <w:rPr>
          <w:rFonts w:hint="eastAsia" w:ascii="宋体" w:hAnsi="宋体"/>
          <w:szCs w:val="21"/>
        </w:rPr>
        <w:t xml:space="preserve"> 延迟履行期间发生的不可抗力</w:t>
      </w:r>
    </w:p>
    <w:p>
      <w:pPr>
        <w:spacing w:line="360" w:lineRule="auto"/>
        <w:ind w:firstLine="420" w:firstLineChars="200"/>
        <w:rPr>
          <w:rFonts w:ascii="宋体" w:hAnsi="宋体"/>
          <w:szCs w:val="21"/>
        </w:rPr>
      </w:pPr>
      <w:r>
        <w:rPr>
          <w:rFonts w:hint="eastAsia" w:ascii="宋体" w:hAnsi="宋体"/>
          <w:szCs w:val="21"/>
        </w:rPr>
        <w:t>合同一方当事人延迟履行，在延迟履行期间发生不可抗力的，不免除其责任。</w:t>
      </w:r>
    </w:p>
    <w:p>
      <w:pPr>
        <w:spacing w:line="360" w:lineRule="auto"/>
        <w:ind w:firstLine="420" w:firstLineChars="200"/>
        <w:rPr>
          <w:rFonts w:ascii="宋体" w:hAnsi="宋体"/>
          <w:szCs w:val="21"/>
        </w:rPr>
      </w:pPr>
      <w:r>
        <w:rPr>
          <w:rFonts w:hint="eastAsia"/>
        </w:rPr>
        <w:t>21.3.3</w:t>
      </w:r>
      <w:r>
        <w:rPr>
          <w:rFonts w:hint="eastAsia" w:ascii="宋体" w:hAnsi="宋体"/>
          <w:szCs w:val="21"/>
        </w:rPr>
        <w:t xml:space="preserve"> 避免和减少不可抗力损失</w:t>
      </w:r>
    </w:p>
    <w:p>
      <w:pPr>
        <w:spacing w:line="360" w:lineRule="auto"/>
        <w:ind w:firstLine="420" w:firstLineChars="200"/>
        <w:rPr>
          <w:rFonts w:ascii="宋体" w:hAnsi="宋体"/>
          <w:szCs w:val="21"/>
        </w:rPr>
      </w:pPr>
      <w:r>
        <w:rPr>
          <w:rFonts w:hint="eastAsia" w:ascii="宋体" w:hAnsi="宋体"/>
          <w:szCs w:val="21"/>
        </w:rPr>
        <w:t>不可抗力发生后，发包人和承包人均应采取措施尽量避免和减少损失的扩大，任何一方没有采取有效措施导致损失扩大的，应对扩大的损失承担责任。</w:t>
      </w:r>
    </w:p>
    <w:p>
      <w:pPr>
        <w:spacing w:line="360" w:lineRule="auto"/>
        <w:ind w:firstLine="420" w:firstLineChars="200"/>
        <w:rPr>
          <w:rFonts w:ascii="宋体" w:hAnsi="宋体"/>
          <w:szCs w:val="21"/>
        </w:rPr>
      </w:pPr>
      <w:r>
        <w:rPr>
          <w:rFonts w:hint="eastAsia"/>
        </w:rPr>
        <w:t xml:space="preserve">21.3.4 </w:t>
      </w:r>
      <w:r>
        <w:rPr>
          <w:rFonts w:hint="eastAsia" w:ascii="宋体" w:hAnsi="宋体"/>
          <w:szCs w:val="21"/>
        </w:rPr>
        <w:t>因不可抗力解除合同</w:t>
      </w:r>
    </w:p>
    <w:p>
      <w:pPr>
        <w:spacing w:line="360" w:lineRule="auto"/>
        <w:ind w:firstLine="420" w:firstLineChars="200"/>
        <w:rPr>
          <w:rFonts w:ascii="宋体" w:hAnsi="宋体"/>
          <w:szCs w:val="21"/>
        </w:rPr>
      </w:pPr>
      <w:r>
        <w:rPr>
          <w:rFonts w:hint="eastAsia" w:ascii="宋体" w:hAnsi="宋体"/>
          <w:szCs w:val="21"/>
        </w:rPr>
        <w:t>合同一方当事人因不可抗力不能履行合同的，应当及时通知对方解除合同。合同解除后，承包人应按照第</w:t>
      </w:r>
      <w:r>
        <w:rPr>
          <w:rFonts w:hint="eastAsia"/>
        </w:rPr>
        <w:t>22.2.4</w:t>
      </w:r>
      <w:r>
        <w:rPr>
          <w:rFonts w:hint="eastAsia" w:ascii="宋体" w:hAnsi="宋体"/>
          <w:szCs w:val="21"/>
        </w:rPr>
        <w:t xml:space="preserve"> 项约定撤离施工场地。已经订货的材料、设备由订货方负责退货或解除订货合同，不能退还的货款和因退货、解除订货合同发生的费用，由发包人承担，因未及时退货造成的损失由责任方承担。合同解除后的付款，参照第</w:t>
      </w:r>
      <w:r>
        <w:rPr>
          <w:rFonts w:hint="eastAsia"/>
        </w:rPr>
        <w:t xml:space="preserve">22.2.3 </w:t>
      </w:r>
      <w:r>
        <w:rPr>
          <w:rFonts w:hint="eastAsia" w:ascii="宋体" w:hAnsi="宋体"/>
          <w:szCs w:val="21"/>
        </w:rPr>
        <w:t>项约定，由监理人按第</w:t>
      </w:r>
      <w:r>
        <w:rPr>
          <w:rFonts w:hint="eastAsia"/>
        </w:rPr>
        <w:t xml:space="preserve">3.5 </w:t>
      </w:r>
      <w:r>
        <w:rPr>
          <w:rFonts w:hint="eastAsia" w:ascii="宋体" w:hAnsi="宋体"/>
          <w:szCs w:val="21"/>
        </w:rPr>
        <w:t>款商定或确定。</w:t>
      </w:r>
    </w:p>
    <w:p>
      <w:pPr>
        <w:pStyle w:val="5"/>
      </w:pPr>
      <w:bookmarkStart w:id="547" w:name="_Toc247514184"/>
      <w:bookmarkStart w:id="548" w:name="_Toc247527785"/>
      <w:bookmarkStart w:id="549" w:name="_Toc300835186"/>
      <w:bookmarkStart w:id="550" w:name="_Toc184635119"/>
      <w:r>
        <w:rPr>
          <w:rFonts w:hint="eastAsia"/>
        </w:rPr>
        <w:t>22. 违约</w:t>
      </w:r>
      <w:bookmarkEnd w:id="547"/>
      <w:bookmarkEnd w:id="548"/>
      <w:bookmarkEnd w:id="549"/>
      <w:bookmarkEnd w:id="550"/>
    </w:p>
    <w:p>
      <w:pPr>
        <w:pStyle w:val="6"/>
      </w:pPr>
      <w:bookmarkStart w:id="551" w:name="_Toc247514185"/>
      <w:bookmarkStart w:id="552" w:name="_Toc247527786"/>
      <w:bookmarkStart w:id="553" w:name="_Toc300835187"/>
      <w:r>
        <w:rPr>
          <w:rFonts w:hint="eastAsia"/>
        </w:rPr>
        <w:t>22.1 承包人违约</w:t>
      </w:r>
      <w:bookmarkEnd w:id="551"/>
      <w:bookmarkEnd w:id="552"/>
      <w:bookmarkEnd w:id="553"/>
    </w:p>
    <w:p>
      <w:pPr>
        <w:spacing w:line="360" w:lineRule="auto"/>
        <w:ind w:firstLine="420" w:firstLineChars="200"/>
        <w:rPr>
          <w:rFonts w:ascii="宋体" w:hAnsi="宋体"/>
          <w:szCs w:val="21"/>
        </w:rPr>
      </w:pPr>
      <w:r>
        <w:rPr>
          <w:rFonts w:hint="eastAsia"/>
        </w:rPr>
        <w:t>22.1.1</w:t>
      </w:r>
      <w:r>
        <w:rPr>
          <w:rFonts w:hint="eastAsia" w:ascii="宋体" w:hAnsi="宋体"/>
          <w:szCs w:val="21"/>
        </w:rPr>
        <w:t xml:space="preserve"> 承包人违约的情形</w:t>
      </w:r>
    </w:p>
    <w:p>
      <w:pPr>
        <w:spacing w:line="360" w:lineRule="auto"/>
        <w:ind w:firstLine="420" w:firstLineChars="200"/>
        <w:rPr>
          <w:rFonts w:ascii="宋体" w:hAnsi="宋体"/>
          <w:szCs w:val="21"/>
        </w:rPr>
      </w:pPr>
      <w:r>
        <w:rPr>
          <w:rFonts w:hint="eastAsia" w:ascii="宋体" w:hAnsi="宋体"/>
          <w:szCs w:val="21"/>
        </w:rPr>
        <w:t>在履行合同过程中发生的下列情况之一的，属承包人违约：</w:t>
      </w:r>
    </w:p>
    <w:p>
      <w:pPr>
        <w:spacing w:line="360" w:lineRule="auto"/>
        <w:ind w:firstLine="420" w:firstLineChars="200"/>
      </w:pPr>
      <w:r>
        <w:rPr>
          <w:rFonts w:hint="eastAsia"/>
        </w:rPr>
        <w:t>（1）承包人的设计、承包人文件、实施和竣工的工程不符合法律以及合同约定；</w:t>
      </w:r>
    </w:p>
    <w:p>
      <w:pPr>
        <w:spacing w:line="360" w:lineRule="auto"/>
        <w:ind w:firstLine="420" w:firstLineChars="200"/>
      </w:pPr>
      <w:r>
        <w:rPr>
          <w:rFonts w:hint="eastAsia"/>
        </w:rPr>
        <w:t>（2）承包人违反第1.8 款或第4.3 款的约定，私自将合同的全部或部分权利转让给其他人，或私自将合同的全部或部分义务转移给其他人；</w:t>
      </w:r>
    </w:p>
    <w:p>
      <w:pPr>
        <w:spacing w:line="360" w:lineRule="auto"/>
        <w:ind w:firstLine="420" w:firstLineChars="200"/>
      </w:pPr>
      <w:r>
        <w:rPr>
          <w:rFonts w:hint="eastAsia"/>
        </w:rPr>
        <w:t>（3）承包人违反第6.3 款或第7.4 款的约定，未经监理人批准，私自将已按合同约定进入施工场地的施工设备、临时设施或材料撤离施工场地；</w:t>
      </w:r>
    </w:p>
    <w:p>
      <w:pPr>
        <w:spacing w:line="360" w:lineRule="auto"/>
        <w:ind w:firstLine="420" w:firstLineChars="200"/>
      </w:pPr>
      <w:r>
        <w:rPr>
          <w:rFonts w:hint="eastAsia"/>
        </w:rPr>
        <w:t>（4）承包人违反第6.5 款的约定使用了不合格材料或工程设备，工程质量达不到标准要求，又拒绝清除不合格工程；</w:t>
      </w:r>
    </w:p>
    <w:p>
      <w:pPr>
        <w:spacing w:line="360" w:lineRule="auto"/>
        <w:ind w:firstLine="420" w:firstLineChars="200"/>
      </w:pPr>
      <w:r>
        <w:rPr>
          <w:rFonts w:hint="eastAsia"/>
        </w:rPr>
        <w:t>（5）承包人未能按合同进度计划及时完成合同约定的工作，造成工期延误；</w:t>
      </w:r>
    </w:p>
    <w:p>
      <w:pPr>
        <w:spacing w:line="360" w:lineRule="auto"/>
        <w:ind w:firstLine="420" w:firstLineChars="200"/>
      </w:pPr>
      <w:r>
        <w:rPr>
          <w:rFonts w:hint="eastAsia"/>
        </w:rPr>
        <w:t>（6）由于承包人原因未能通过竣工试验或竣工后试验的；</w:t>
      </w:r>
    </w:p>
    <w:p>
      <w:pPr>
        <w:spacing w:line="360" w:lineRule="auto"/>
        <w:ind w:firstLine="420" w:firstLineChars="200"/>
        <w:rPr>
          <w:rFonts w:ascii="宋体" w:hAnsi="宋体"/>
          <w:szCs w:val="21"/>
        </w:rPr>
      </w:pPr>
      <w:r>
        <w:rPr>
          <w:rFonts w:hint="eastAsia"/>
        </w:rPr>
        <w:t>（7）承包人在</w:t>
      </w:r>
      <w:r>
        <w:rPr>
          <w:rFonts w:hint="eastAsia" w:ascii="宋体" w:hAnsi="宋体"/>
          <w:szCs w:val="21"/>
        </w:rPr>
        <w:t>缺陷责任期内，未能对工程接收证书所列的缺陷清单的内容或缺陷责任期内发生的缺陷进行修复，而又拒绝按监理人指示再进行修补；</w:t>
      </w:r>
    </w:p>
    <w:p>
      <w:pPr>
        <w:spacing w:line="360" w:lineRule="auto"/>
        <w:ind w:firstLine="420" w:firstLineChars="200"/>
      </w:pPr>
      <w:r>
        <w:rPr>
          <w:rFonts w:hint="eastAsia"/>
        </w:rPr>
        <w:t>（8）承包人无法继续履行或明确表示不履行或实质上已停止履行合同；</w:t>
      </w:r>
    </w:p>
    <w:p>
      <w:pPr>
        <w:spacing w:line="360" w:lineRule="auto"/>
        <w:ind w:firstLine="420" w:firstLineChars="200"/>
        <w:rPr>
          <w:rFonts w:ascii="宋体" w:hAnsi="宋体"/>
          <w:szCs w:val="21"/>
        </w:rPr>
      </w:pPr>
      <w:r>
        <w:rPr>
          <w:rFonts w:hint="eastAsia"/>
        </w:rPr>
        <w:t>（9）承</w:t>
      </w:r>
      <w:r>
        <w:rPr>
          <w:rFonts w:hint="eastAsia" w:ascii="宋体" w:hAnsi="宋体"/>
          <w:szCs w:val="21"/>
        </w:rPr>
        <w:t>包人不按合同约定履行义务的其他情况。</w:t>
      </w:r>
    </w:p>
    <w:p>
      <w:pPr>
        <w:spacing w:line="360" w:lineRule="auto"/>
        <w:ind w:firstLine="420" w:firstLineChars="200"/>
        <w:rPr>
          <w:rFonts w:ascii="宋体" w:hAnsi="宋体"/>
          <w:szCs w:val="21"/>
        </w:rPr>
      </w:pPr>
      <w:r>
        <w:rPr>
          <w:rFonts w:hint="eastAsia"/>
        </w:rPr>
        <w:t>22.1.2</w:t>
      </w:r>
      <w:r>
        <w:rPr>
          <w:rFonts w:hint="eastAsia" w:ascii="宋体" w:hAnsi="宋体"/>
          <w:szCs w:val="21"/>
        </w:rPr>
        <w:t xml:space="preserve"> 对承包人违约的处理</w:t>
      </w:r>
    </w:p>
    <w:p>
      <w:pPr>
        <w:spacing w:line="360" w:lineRule="auto"/>
        <w:ind w:firstLine="420" w:firstLineChars="200"/>
      </w:pPr>
      <w:r>
        <w:rPr>
          <w:rFonts w:hint="eastAsia"/>
        </w:rPr>
        <w:t>（1）承包人发生第22.1.1（6）目约定的违约情况时，按照发包人要求中的未能通过竣工/竣工后试验的损害进行赔偿。发生延期的，承包人应承担延期责任。</w:t>
      </w:r>
    </w:p>
    <w:p>
      <w:pPr>
        <w:spacing w:line="360" w:lineRule="auto"/>
        <w:ind w:firstLine="420" w:firstLineChars="200"/>
      </w:pPr>
      <w:r>
        <w:rPr>
          <w:rFonts w:hint="eastAsia"/>
        </w:rPr>
        <w:t>（2）承包人发生第22.1.1（8）目约定的违约情况时，发包人可通知承包人立即解除合同，并按第22.1.3项、第22.1.4项、第22.1.5项约定处理。</w:t>
      </w:r>
    </w:p>
    <w:p>
      <w:pPr>
        <w:spacing w:line="360" w:lineRule="auto"/>
        <w:ind w:firstLine="420" w:firstLineChars="200"/>
      </w:pPr>
      <w:r>
        <w:rPr>
          <w:rFonts w:hint="eastAsia"/>
        </w:rPr>
        <w:t>（3）承包人发生除第22.1.1（6）目和第22.1.1（8）目约定以外的其他违约情况时，监理人可向承包人发出整改通知，要求其在指定的期限内纠正。除合同条款另有约定外，承包人应承担其违约所引起的费用增加和（或）工期延误。</w:t>
      </w:r>
    </w:p>
    <w:p>
      <w:pPr>
        <w:spacing w:line="360" w:lineRule="auto"/>
        <w:ind w:firstLine="420" w:firstLineChars="200"/>
        <w:rPr>
          <w:rFonts w:ascii="宋体" w:hAnsi="宋体"/>
          <w:szCs w:val="21"/>
        </w:rPr>
      </w:pPr>
      <w:r>
        <w:rPr>
          <w:rFonts w:hint="eastAsia"/>
        </w:rPr>
        <w:t xml:space="preserve">22.1.3 </w:t>
      </w:r>
      <w:r>
        <w:rPr>
          <w:rFonts w:hint="eastAsia" w:ascii="宋体" w:hAnsi="宋体"/>
          <w:szCs w:val="21"/>
        </w:rPr>
        <w:t>因承包人违约解除合同</w:t>
      </w:r>
    </w:p>
    <w:p>
      <w:pPr>
        <w:spacing w:line="360" w:lineRule="auto"/>
        <w:ind w:firstLine="420" w:firstLineChars="200"/>
        <w:rPr>
          <w:rFonts w:ascii="宋体" w:hAnsi="宋体"/>
          <w:szCs w:val="21"/>
        </w:rPr>
      </w:pPr>
      <w:r>
        <w:rPr>
          <w:rFonts w:hint="eastAsia" w:ascii="宋体" w:hAnsi="宋体"/>
          <w:szCs w:val="21"/>
        </w:rPr>
        <w:t>监理人发出整改通知28天后，承包人仍不纠正违约行为的，发包人有权解除合同并向承包人发出解除合同通知。承包人收到发包人解除合同通知后14天内，承包人应撤离现场，发包人派员进驻施工场地完成现场交接手续，发包人有权另行组织人员或委托其他承包人。发包人因继续完成该工程的需要，有权扣留使用承包人在现场的材料、设备和临时设施。但发包人的这一行动不免除承包人应承担的违约责任，也不影响发包人根据合同约定享有的索赔权利。</w:t>
      </w:r>
    </w:p>
    <w:p>
      <w:pPr>
        <w:spacing w:line="360" w:lineRule="auto"/>
        <w:ind w:firstLine="420" w:firstLineChars="200"/>
        <w:rPr>
          <w:rFonts w:ascii="宋体" w:hAnsi="宋体"/>
          <w:szCs w:val="21"/>
        </w:rPr>
      </w:pPr>
      <w:r>
        <w:rPr>
          <w:rFonts w:hint="eastAsia"/>
        </w:rPr>
        <w:t xml:space="preserve">22.1.4 </w:t>
      </w:r>
      <w:r>
        <w:rPr>
          <w:rFonts w:hint="eastAsia" w:ascii="宋体" w:hAnsi="宋体"/>
          <w:szCs w:val="21"/>
        </w:rPr>
        <w:t>发包人发出合同解除通知后的估价、付款和结清</w:t>
      </w:r>
    </w:p>
    <w:p>
      <w:pPr>
        <w:spacing w:line="360" w:lineRule="auto"/>
        <w:ind w:firstLine="420" w:firstLineChars="200"/>
      </w:pPr>
      <w:r>
        <w:rPr>
          <w:rFonts w:hint="eastAsia"/>
        </w:rPr>
        <w:t>（1）承包人收到发包人解除合同通知后28天内，监理人按第3.5 款商定或确定承包人实际完成工作的价值，包括发包人扣留承包人的材料、设备及临时设施和承包人已提供的设计、材料、施工设备、工程设备、临时工程等的价值。</w:t>
      </w:r>
    </w:p>
    <w:p>
      <w:pPr>
        <w:spacing w:line="360" w:lineRule="auto"/>
        <w:ind w:firstLine="420" w:firstLineChars="200"/>
      </w:pPr>
      <w:r>
        <w:rPr>
          <w:rFonts w:hint="eastAsia"/>
        </w:rPr>
        <w:t>（2）发包人发出解除合同通知后，发包人有权暂停对承包人的一切付款，查清各项付款和已扣款金额，包括承包人应支付的违约金。</w:t>
      </w:r>
    </w:p>
    <w:p>
      <w:pPr>
        <w:spacing w:line="360" w:lineRule="auto"/>
        <w:ind w:firstLine="420" w:firstLineChars="200"/>
      </w:pPr>
      <w:r>
        <w:rPr>
          <w:rFonts w:hint="eastAsia"/>
        </w:rPr>
        <w:t>（3）发包人发出解除合同通知后，发包人有权按第23.4 款的约定向承包人索赔由于解除合同给发包人造成的损失。</w:t>
      </w:r>
    </w:p>
    <w:p>
      <w:pPr>
        <w:spacing w:line="360" w:lineRule="auto"/>
        <w:ind w:firstLine="420" w:firstLineChars="200"/>
      </w:pPr>
      <w:r>
        <w:rPr>
          <w:rFonts w:hint="eastAsia"/>
        </w:rPr>
        <w:t>（4）合同双方确认合同价款后，发包人颁发最终结清付款证书，并结清全部合同款项。</w:t>
      </w:r>
    </w:p>
    <w:p>
      <w:pPr>
        <w:spacing w:line="360" w:lineRule="auto"/>
        <w:ind w:firstLine="420" w:firstLineChars="200"/>
        <w:rPr>
          <w:rFonts w:ascii="宋体" w:hAnsi="宋体"/>
          <w:szCs w:val="21"/>
        </w:rPr>
      </w:pPr>
      <w:r>
        <w:rPr>
          <w:rFonts w:hint="eastAsia"/>
        </w:rPr>
        <w:t>（5）发包</w:t>
      </w:r>
      <w:r>
        <w:rPr>
          <w:rFonts w:hint="eastAsia" w:ascii="宋体" w:hAnsi="宋体"/>
          <w:szCs w:val="21"/>
        </w:rPr>
        <w:t>人和承包人未能就解除合同后的结清达成一致而形成争议的，按第</w:t>
      </w:r>
      <w:r>
        <w:rPr>
          <w:rFonts w:hint="eastAsia"/>
        </w:rPr>
        <w:t>24</w:t>
      </w:r>
      <w:r>
        <w:rPr>
          <w:rFonts w:hint="eastAsia" w:ascii="宋体" w:hAnsi="宋体"/>
          <w:szCs w:val="21"/>
        </w:rPr>
        <w:t>条的约定执行。</w:t>
      </w:r>
    </w:p>
    <w:p>
      <w:pPr>
        <w:spacing w:line="360" w:lineRule="auto"/>
        <w:ind w:firstLine="420" w:firstLineChars="200"/>
        <w:rPr>
          <w:rFonts w:ascii="宋体" w:hAnsi="宋体"/>
          <w:szCs w:val="21"/>
        </w:rPr>
      </w:pPr>
      <w:r>
        <w:rPr>
          <w:rFonts w:hint="eastAsia"/>
        </w:rPr>
        <w:t>22.1.5</w:t>
      </w:r>
      <w:r>
        <w:rPr>
          <w:rFonts w:hint="eastAsia" w:ascii="宋体" w:hAnsi="宋体"/>
          <w:szCs w:val="21"/>
        </w:rPr>
        <w:t xml:space="preserve"> 协议利益的转让</w:t>
      </w:r>
    </w:p>
    <w:p>
      <w:pPr>
        <w:spacing w:line="360" w:lineRule="auto"/>
        <w:ind w:firstLine="420" w:firstLineChars="200"/>
        <w:rPr>
          <w:rFonts w:ascii="宋体" w:hAnsi="宋体"/>
          <w:szCs w:val="21"/>
        </w:rPr>
      </w:pPr>
      <w:r>
        <w:rPr>
          <w:rFonts w:hint="eastAsia" w:ascii="宋体" w:hAnsi="宋体"/>
          <w:szCs w:val="21"/>
        </w:rPr>
        <w:t>因承包人违约解除合同的，发包人有权要求承包人将其为实施合同而签订的材料和设备的订货协议或任何服务协议利益转让给发包人，并在承包人收到解除合同通知后的14天内，依法办理转让手续。发包人有权使用承包人文件和由承包人或以其名义编制的其他设计文件。</w:t>
      </w:r>
    </w:p>
    <w:p>
      <w:pPr>
        <w:spacing w:line="360" w:lineRule="auto"/>
        <w:ind w:firstLine="420" w:firstLineChars="200"/>
        <w:rPr>
          <w:rFonts w:ascii="宋体" w:hAnsi="宋体"/>
          <w:szCs w:val="21"/>
        </w:rPr>
      </w:pPr>
      <w:r>
        <w:rPr>
          <w:rFonts w:hint="eastAsia"/>
        </w:rPr>
        <w:t>22.1.6</w:t>
      </w:r>
      <w:r>
        <w:rPr>
          <w:rFonts w:hint="eastAsia" w:ascii="宋体" w:hAnsi="宋体"/>
          <w:szCs w:val="21"/>
        </w:rPr>
        <w:t xml:space="preserve"> 紧急情况下无能力或不愿进行抢救</w:t>
      </w:r>
    </w:p>
    <w:p>
      <w:pPr>
        <w:spacing w:line="360" w:lineRule="auto"/>
        <w:ind w:firstLine="420" w:firstLineChars="200"/>
        <w:rPr>
          <w:rFonts w:ascii="宋体" w:hAnsi="宋体"/>
          <w:szCs w:val="21"/>
        </w:rPr>
      </w:pPr>
      <w:r>
        <w:rPr>
          <w:rFonts w:hint="eastAsia" w:ascii="宋体" w:hAnsi="宋体"/>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6"/>
      </w:pPr>
      <w:bookmarkStart w:id="554" w:name="_Toc247514186"/>
      <w:bookmarkStart w:id="555" w:name="_Toc300835188"/>
      <w:bookmarkStart w:id="556" w:name="_Toc247527787"/>
      <w:r>
        <w:rPr>
          <w:rFonts w:hint="eastAsia"/>
        </w:rPr>
        <w:t>22.2 发包人违约</w:t>
      </w:r>
      <w:bookmarkEnd w:id="554"/>
      <w:bookmarkEnd w:id="555"/>
      <w:bookmarkEnd w:id="556"/>
    </w:p>
    <w:p>
      <w:pPr>
        <w:spacing w:line="360" w:lineRule="auto"/>
        <w:ind w:firstLine="420" w:firstLineChars="200"/>
        <w:rPr>
          <w:rFonts w:ascii="宋体" w:hAnsi="宋体"/>
          <w:szCs w:val="21"/>
        </w:rPr>
      </w:pPr>
      <w:r>
        <w:rPr>
          <w:rFonts w:hint="eastAsia"/>
        </w:rPr>
        <w:t>22.2.1</w:t>
      </w:r>
      <w:r>
        <w:rPr>
          <w:rFonts w:hint="eastAsia" w:ascii="宋体" w:hAnsi="宋体"/>
          <w:szCs w:val="21"/>
        </w:rPr>
        <w:t xml:space="preserve"> 发包人违约的情形</w:t>
      </w:r>
    </w:p>
    <w:p>
      <w:pPr>
        <w:spacing w:line="360" w:lineRule="auto"/>
        <w:ind w:firstLine="420" w:firstLineChars="200"/>
        <w:rPr>
          <w:rFonts w:ascii="宋体" w:hAnsi="宋体"/>
          <w:szCs w:val="21"/>
        </w:rPr>
      </w:pPr>
      <w:r>
        <w:rPr>
          <w:rFonts w:hint="eastAsia" w:ascii="宋体" w:hAnsi="宋体"/>
          <w:szCs w:val="21"/>
        </w:rPr>
        <w:t>在履行合同过程中发生下列情形之一的，属发包人违约：</w:t>
      </w:r>
    </w:p>
    <w:p>
      <w:pPr>
        <w:spacing w:line="360" w:lineRule="auto"/>
        <w:ind w:firstLine="420" w:firstLineChars="200"/>
      </w:pPr>
      <w:r>
        <w:rPr>
          <w:rFonts w:hint="eastAsia"/>
        </w:rPr>
        <w:t>（1）发包人未能按合同约定支付价款，或拖延、拒绝批准付款申请和支付凭证，导致付款延误；</w:t>
      </w:r>
    </w:p>
    <w:p>
      <w:pPr>
        <w:spacing w:line="360" w:lineRule="auto"/>
        <w:ind w:firstLine="420" w:firstLineChars="200"/>
      </w:pPr>
      <w:r>
        <w:rPr>
          <w:rFonts w:hint="eastAsia"/>
        </w:rPr>
        <w:t>（2）发包人原因造成停工；</w:t>
      </w:r>
    </w:p>
    <w:p>
      <w:pPr>
        <w:spacing w:line="360" w:lineRule="auto"/>
        <w:ind w:firstLine="420" w:firstLineChars="200"/>
      </w:pPr>
      <w:r>
        <w:rPr>
          <w:rFonts w:hint="eastAsia"/>
        </w:rPr>
        <w:t>（3）监理人无正当理由没有在约定期限内发出复工指示，导致承包人无法复工；</w:t>
      </w:r>
    </w:p>
    <w:p>
      <w:pPr>
        <w:spacing w:line="360" w:lineRule="auto"/>
        <w:ind w:firstLine="420" w:firstLineChars="200"/>
      </w:pPr>
      <w:r>
        <w:rPr>
          <w:rFonts w:hint="eastAsia"/>
        </w:rPr>
        <w:t>（4）发包人无法继续履行或明确表示不履行或实质上已停止履行合同；</w:t>
      </w:r>
    </w:p>
    <w:p>
      <w:pPr>
        <w:spacing w:line="360" w:lineRule="auto"/>
        <w:ind w:firstLine="420" w:firstLineChars="200"/>
        <w:rPr>
          <w:rFonts w:ascii="宋体" w:hAnsi="宋体"/>
          <w:szCs w:val="21"/>
        </w:rPr>
      </w:pPr>
      <w:r>
        <w:rPr>
          <w:rFonts w:hint="eastAsia"/>
        </w:rPr>
        <w:t>（5）发包人不履</w:t>
      </w:r>
      <w:r>
        <w:rPr>
          <w:rFonts w:hint="eastAsia" w:ascii="宋体" w:hAnsi="宋体"/>
          <w:szCs w:val="21"/>
        </w:rPr>
        <w:t>行合同约定其他义务。</w:t>
      </w:r>
    </w:p>
    <w:p>
      <w:pPr>
        <w:spacing w:line="360" w:lineRule="auto"/>
        <w:ind w:firstLine="420" w:firstLineChars="200"/>
        <w:rPr>
          <w:rFonts w:ascii="宋体" w:hAnsi="宋体"/>
          <w:szCs w:val="21"/>
        </w:rPr>
      </w:pPr>
      <w:r>
        <w:rPr>
          <w:rFonts w:hint="eastAsia"/>
        </w:rPr>
        <w:t xml:space="preserve">22.2.2 </w:t>
      </w:r>
      <w:r>
        <w:rPr>
          <w:rFonts w:hint="eastAsia" w:ascii="宋体" w:hAnsi="宋体"/>
          <w:szCs w:val="21"/>
        </w:rPr>
        <w:t>因发包人违约解除合同</w:t>
      </w:r>
    </w:p>
    <w:p>
      <w:pPr>
        <w:spacing w:line="360" w:lineRule="auto"/>
        <w:ind w:firstLine="420" w:firstLineChars="200"/>
      </w:pPr>
      <w:r>
        <w:rPr>
          <w:rFonts w:hint="eastAsia"/>
        </w:rPr>
        <w:t>（1）发生第22.2.1（4）目的违约情况时，承包人可书面通知发包人解除合同。</w:t>
      </w:r>
    </w:p>
    <w:p>
      <w:pPr>
        <w:spacing w:line="360" w:lineRule="auto"/>
        <w:ind w:firstLine="420" w:firstLineChars="200"/>
      </w:pPr>
      <w:r>
        <w:rPr>
          <w:rFonts w:hint="eastAsia"/>
        </w:rPr>
        <w:t>（2）承包人按12.2.1项约定暂停施工28天后，发包人仍不纠正违约行为的，承包人可向发包人发出解除合同通知。但承包人的这一行为不免除发包人承担的违约责任，也不影响承包人根据合同约定享有的索赔权利。</w:t>
      </w:r>
    </w:p>
    <w:p>
      <w:pPr>
        <w:spacing w:line="360" w:lineRule="auto"/>
        <w:ind w:firstLine="420" w:firstLineChars="200"/>
        <w:rPr>
          <w:rFonts w:ascii="宋体" w:hAnsi="宋体"/>
          <w:szCs w:val="21"/>
        </w:rPr>
      </w:pPr>
      <w:r>
        <w:rPr>
          <w:rFonts w:hint="eastAsia"/>
        </w:rPr>
        <w:t>22.2.3</w:t>
      </w:r>
      <w:r>
        <w:rPr>
          <w:rFonts w:hint="eastAsia" w:ascii="宋体" w:hAnsi="宋体"/>
          <w:szCs w:val="21"/>
        </w:rPr>
        <w:t xml:space="preserve"> 解除合同后的付款</w:t>
      </w:r>
    </w:p>
    <w:p>
      <w:pPr>
        <w:spacing w:line="360" w:lineRule="auto"/>
        <w:ind w:firstLine="420" w:firstLineChars="200"/>
        <w:rPr>
          <w:rFonts w:ascii="宋体" w:hAnsi="宋体"/>
          <w:szCs w:val="21"/>
        </w:rPr>
      </w:pPr>
      <w:r>
        <w:rPr>
          <w:rFonts w:hint="eastAsia" w:ascii="宋体" w:hAnsi="宋体"/>
          <w:szCs w:val="21"/>
        </w:rPr>
        <w:t>因发包人违约解除合同的，发包人应在解除合同后28天内向承包人支付下列款项，承包人应在此期限内及时向发包人提交要求支付下列金额的有关资料和凭证：</w:t>
      </w:r>
    </w:p>
    <w:p>
      <w:pPr>
        <w:spacing w:line="360" w:lineRule="auto"/>
        <w:ind w:firstLine="420" w:firstLineChars="200"/>
      </w:pPr>
      <w:r>
        <w:rPr>
          <w:rFonts w:hint="eastAsia"/>
        </w:rPr>
        <w:t>（1）承包人发出解除合同通知前所完成工作的价款；</w:t>
      </w:r>
    </w:p>
    <w:p>
      <w:pPr>
        <w:spacing w:line="360" w:lineRule="auto"/>
        <w:ind w:firstLine="420" w:firstLineChars="200"/>
      </w:pPr>
      <w:r>
        <w:rPr>
          <w:rFonts w:hint="eastAsia"/>
        </w:rPr>
        <w:t>（2）承包人为该工程施工订购并已付款的材料、工程设备和其他物品的金额。发包人付款后，该材料、工程设备和其他物品归发包人所有；</w:t>
      </w:r>
    </w:p>
    <w:p>
      <w:pPr>
        <w:spacing w:line="360" w:lineRule="auto"/>
        <w:ind w:firstLine="420" w:firstLineChars="200"/>
      </w:pPr>
      <w:r>
        <w:rPr>
          <w:rFonts w:hint="eastAsia"/>
        </w:rPr>
        <w:t>（3）承包人为完成工程所发生的，而发包人未支付的金额；</w:t>
      </w:r>
    </w:p>
    <w:p>
      <w:pPr>
        <w:spacing w:line="360" w:lineRule="auto"/>
        <w:ind w:firstLine="420" w:firstLineChars="200"/>
      </w:pPr>
      <w:r>
        <w:rPr>
          <w:rFonts w:hint="eastAsia"/>
        </w:rPr>
        <w:t>（4）承包人撤离施工场地以及遣散承包人人员的金额；</w:t>
      </w:r>
    </w:p>
    <w:p>
      <w:pPr>
        <w:spacing w:line="360" w:lineRule="auto"/>
        <w:ind w:firstLine="420" w:firstLineChars="200"/>
      </w:pPr>
      <w:r>
        <w:rPr>
          <w:rFonts w:hint="eastAsia"/>
        </w:rPr>
        <w:t>（5）因解除合同造成的承包人损失；</w:t>
      </w:r>
    </w:p>
    <w:p>
      <w:pPr>
        <w:spacing w:line="360" w:lineRule="auto"/>
        <w:ind w:firstLine="420" w:firstLineChars="200"/>
        <w:rPr>
          <w:rFonts w:ascii="宋体" w:hAnsi="宋体"/>
          <w:szCs w:val="21"/>
        </w:rPr>
      </w:pPr>
      <w:r>
        <w:rPr>
          <w:rFonts w:hint="eastAsia"/>
        </w:rPr>
        <w:t>（6）按合同</w:t>
      </w:r>
      <w:r>
        <w:rPr>
          <w:rFonts w:hint="eastAsia" w:ascii="宋体" w:hAnsi="宋体"/>
          <w:szCs w:val="21"/>
        </w:rPr>
        <w:t>约定在承包人发出解除合同通知前应支付给承包人的其他金额。</w:t>
      </w:r>
    </w:p>
    <w:p>
      <w:pPr>
        <w:spacing w:line="360" w:lineRule="auto"/>
        <w:ind w:firstLine="420" w:firstLineChars="200"/>
        <w:rPr>
          <w:rFonts w:ascii="宋体" w:hAnsi="宋体"/>
          <w:szCs w:val="21"/>
        </w:rPr>
      </w:pPr>
      <w:r>
        <w:rPr>
          <w:rFonts w:hint="eastAsia" w:ascii="宋体" w:hAnsi="宋体"/>
          <w:szCs w:val="21"/>
        </w:rPr>
        <w:t>发包人应按本项约定支付上述金额并退还质量保证金和履约担保，但有权要求承包人支付应偿还给发包人的各项金额。</w:t>
      </w:r>
    </w:p>
    <w:p>
      <w:pPr>
        <w:spacing w:line="360" w:lineRule="auto"/>
        <w:ind w:firstLine="420" w:firstLineChars="200"/>
        <w:rPr>
          <w:rFonts w:ascii="宋体" w:hAnsi="宋体"/>
          <w:szCs w:val="21"/>
        </w:rPr>
      </w:pPr>
      <w:r>
        <w:rPr>
          <w:rFonts w:hint="eastAsia"/>
        </w:rPr>
        <w:t>22.2.4</w:t>
      </w:r>
      <w:r>
        <w:rPr>
          <w:rFonts w:hint="eastAsia" w:ascii="宋体" w:hAnsi="宋体"/>
          <w:szCs w:val="21"/>
        </w:rPr>
        <w:t xml:space="preserve"> 解除合同后的承包人撤离</w:t>
      </w:r>
    </w:p>
    <w:p>
      <w:pPr>
        <w:spacing w:line="360" w:lineRule="auto"/>
        <w:ind w:firstLine="420" w:firstLineChars="200"/>
        <w:rPr>
          <w:rFonts w:ascii="宋体" w:hAnsi="宋体"/>
          <w:szCs w:val="21"/>
        </w:rPr>
      </w:pPr>
      <w:r>
        <w:rPr>
          <w:rFonts w:hint="eastAsia" w:ascii="宋体" w:hAnsi="宋体"/>
          <w:szCs w:val="21"/>
        </w:rPr>
        <w:t>因发包人违约而解除合同后，承包人应妥善处理正在施工的工程和已购材料、设备的保护和移交工作，并按发包人的要求将承包人设备和人员撤出施工场地。承包人撤出施工场地应</w:t>
      </w:r>
      <w:r>
        <w:rPr>
          <w:rFonts w:hint="eastAsia"/>
        </w:rPr>
        <w:t>遵守第18.7.1 项的</w:t>
      </w:r>
      <w:r>
        <w:rPr>
          <w:rFonts w:hint="eastAsia" w:ascii="宋体" w:hAnsi="宋体"/>
          <w:szCs w:val="21"/>
        </w:rPr>
        <w:t>约定，发包人应为承包人撤出提供必要条件并办理移交手续。</w:t>
      </w:r>
    </w:p>
    <w:p>
      <w:pPr>
        <w:pStyle w:val="6"/>
      </w:pPr>
      <w:bookmarkStart w:id="557" w:name="_Toc247527788"/>
      <w:bookmarkStart w:id="558" w:name="_Toc247514187"/>
      <w:bookmarkStart w:id="559" w:name="_Toc300835189"/>
      <w:r>
        <w:rPr>
          <w:rFonts w:hint="eastAsia"/>
        </w:rPr>
        <w:t>22.3 第三人造成的违约</w:t>
      </w:r>
      <w:bookmarkEnd w:id="557"/>
      <w:bookmarkEnd w:id="558"/>
      <w:bookmarkEnd w:id="559"/>
    </w:p>
    <w:p>
      <w:pPr>
        <w:spacing w:line="360" w:lineRule="auto"/>
        <w:ind w:firstLine="420" w:firstLineChars="200"/>
        <w:rPr>
          <w:rFonts w:ascii="宋体" w:hAnsi="宋体"/>
          <w:szCs w:val="21"/>
        </w:rPr>
      </w:pPr>
      <w:r>
        <w:rPr>
          <w:rFonts w:hint="eastAsia" w:ascii="宋体" w:hAnsi="宋体"/>
          <w:szCs w:val="21"/>
        </w:rPr>
        <w:t>在履行合同过程中，一方当事人因第三人的原因造成违约的，应当向对方当事人承担违约责任。一方当事人和第三人之间的纠纷，依照法律规定或者按照约定解决。</w:t>
      </w:r>
    </w:p>
    <w:p>
      <w:pPr>
        <w:pStyle w:val="5"/>
      </w:pPr>
      <w:bookmarkStart w:id="560" w:name="_Toc300835190"/>
      <w:bookmarkStart w:id="561" w:name="_Toc184635120"/>
      <w:bookmarkStart w:id="562" w:name="_Toc247514188"/>
      <w:bookmarkStart w:id="563" w:name="_Toc247527789"/>
      <w:r>
        <w:rPr>
          <w:rFonts w:hint="eastAsia"/>
        </w:rPr>
        <w:t>23. 索赔</w:t>
      </w:r>
      <w:bookmarkEnd w:id="560"/>
      <w:bookmarkEnd w:id="561"/>
      <w:bookmarkEnd w:id="562"/>
      <w:bookmarkEnd w:id="563"/>
    </w:p>
    <w:p>
      <w:pPr>
        <w:pStyle w:val="6"/>
      </w:pPr>
      <w:bookmarkStart w:id="564" w:name="_Toc300835191"/>
      <w:bookmarkStart w:id="565" w:name="_Toc247527790"/>
      <w:bookmarkStart w:id="566" w:name="_Toc247514189"/>
      <w:r>
        <w:rPr>
          <w:rFonts w:hint="eastAsia"/>
        </w:rPr>
        <w:t>23.1 承包人索赔的提出</w:t>
      </w:r>
      <w:bookmarkEnd w:id="564"/>
      <w:bookmarkEnd w:id="565"/>
      <w:bookmarkEnd w:id="566"/>
    </w:p>
    <w:p>
      <w:pPr>
        <w:spacing w:line="360" w:lineRule="auto"/>
        <w:ind w:firstLine="420" w:firstLineChars="200"/>
        <w:rPr>
          <w:rFonts w:ascii="宋体" w:hAnsi="宋体"/>
          <w:szCs w:val="21"/>
        </w:rPr>
      </w:pPr>
      <w:r>
        <w:rPr>
          <w:rFonts w:hint="eastAsia" w:ascii="宋体" w:hAnsi="宋体"/>
          <w:szCs w:val="21"/>
        </w:rPr>
        <w:t>根据合同约定，承包人认为有权得到追加付款和（或）延长工期的，应按以下程序向发包人提出索赔：</w:t>
      </w:r>
    </w:p>
    <w:p>
      <w:pPr>
        <w:spacing w:line="360" w:lineRule="auto"/>
        <w:ind w:firstLine="420" w:firstLineChars="200"/>
      </w:pPr>
      <w:r>
        <w:rPr>
          <w:rFonts w:hint="eastAsia"/>
        </w:rPr>
        <w:t>（1）承包人应在知道或应当知道索赔事件发生后28 天内，向监理人递交索赔意向通知书，并说明发生索赔事件的事由。承包人未在前述28天内发出索赔意向通知书的，工期不予顺延，且承包人无权获得追加付款；</w:t>
      </w:r>
    </w:p>
    <w:p>
      <w:pPr>
        <w:spacing w:line="360" w:lineRule="auto"/>
        <w:ind w:firstLine="420" w:firstLineChars="200"/>
      </w:pPr>
      <w:r>
        <w:rPr>
          <w:rFonts w:hint="eastAsia"/>
        </w:rPr>
        <w:t>（2）承包人应在发出索赔意向通知书后28天内，向监理人正式递交索赔通知书。索赔通知书应详细说明索赔理由以及要求追加的付款金额和（或）延长的工期，并附必要的记录和证明材料；</w:t>
      </w:r>
    </w:p>
    <w:p>
      <w:pPr>
        <w:spacing w:line="360" w:lineRule="auto"/>
        <w:ind w:firstLine="420" w:firstLineChars="200"/>
      </w:pPr>
      <w:r>
        <w:rPr>
          <w:rFonts w:hint="eastAsia"/>
        </w:rPr>
        <w:t>（3）索赔事件具有连续影响的，承包人应按合理时间间隔继续递交延续索赔通知，说明连续影响的实际情况和记录，列出累计的追加付款金额和（或）工期延长天数；</w:t>
      </w:r>
    </w:p>
    <w:p>
      <w:pPr>
        <w:spacing w:line="360" w:lineRule="auto"/>
        <w:ind w:firstLine="420" w:firstLineChars="200"/>
        <w:rPr>
          <w:rFonts w:ascii="宋体" w:hAnsi="宋体"/>
          <w:szCs w:val="21"/>
        </w:rPr>
      </w:pPr>
      <w:r>
        <w:rPr>
          <w:rFonts w:hint="eastAsia"/>
        </w:rPr>
        <w:t>（4）</w:t>
      </w:r>
      <w:r>
        <w:rPr>
          <w:rFonts w:hint="eastAsia" w:ascii="宋体" w:hAnsi="宋体"/>
          <w:szCs w:val="21"/>
        </w:rPr>
        <w:t>在索赔事件影响结束后的28 天内，承包人应向监理人递交最终索赔通知书，说明最终要求索赔的追加付款金额和延长的工期，并附必要的记录和证明材料。</w:t>
      </w:r>
    </w:p>
    <w:p>
      <w:pPr>
        <w:pStyle w:val="6"/>
      </w:pPr>
      <w:bookmarkStart w:id="567" w:name="_Toc247527791"/>
      <w:bookmarkStart w:id="568" w:name="_Toc300835192"/>
      <w:bookmarkStart w:id="569" w:name="_Toc247514190"/>
      <w:r>
        <w:rPr>
          <w:rFonts w:hint="eastAsia"/>
        </w:rPr>
        <w:t>23.2 承包人索赔处理程序</w:t>
      </w:r>
      <w:bookmarkEnd w:id="567"/>
      <w:bookmarkEnd w:id="568"/>
      <w:bookmarkEnd w:id="569"/>
    </w:p>
    <w:p>
      <w:pPr>
        <w:spacing w:line="360" w:lineRule="auto"/>
        <w:ind w:firstLine="420" w:firstLineChars="200"/>
      </w:pPr>
      <w:r>
        <w:rPr>
          <w:rFonts w:hint="eastAsia"/>
        </w:rPr>
        <w:t>（1）监理人收到承包人提交的索赔通知书后，应及时审查索赔通知书的内容、查验承包人的记录和证明材料，必要时监理人可要求承包人提交全部原始记录副本。</w:t>
      </w:r>
    </w:p>
    <w:p>
      <w:pPr>
        <w:spacing w:line="360" w:lineRule="auto"/>
        <w:ind w:firstLine="420" w:firstLineChars="200"/>
      </w:pPr>
      <w:r>
        <w:rPr>
          <w:rFonts w:hint="eastAsia"/>
        </w:rPr>
        <w:t>（2）监理人应按第3.5 款商定或确定追加的付款和（或）延长的工期，并在收到上述索赔通知书或有关索赔的进一步证明材料后的42天内，将索赔处理结果答复承包人。监理人应当在收到索赔通知书或有关索赔的进一步证明材料后的42天内不予答复的，视为认可索赔。</w:t>
      </w:r>
    </w:p>
    <w:p>
      <w:pPr>
        <w:spacing w:line="360" w:lineRule="auto"/>
        <w:ind w:firstLine="420" w:firstLineChars="200"/>
        <w:rPr>
          <w:rFonts w:ascii="宋体" w:hAnsi="宋体"/>
          <w:szCs w:val="21"/>
        </w:rPr>
      </w:pPr>
      <w:r>
        <w:rPr>
          <w:rFonts w:hint="eastAsia"/>
        </w:rPr>
        <w:t>（3）承包人接受索赔处</w:t>
      </w:r>
      <w:r>
        <w:rPr>
          <w:rFonts w:hint="eastAsia" w:ascii="宋体" w:hAnsi="宋体"/>
          <w:szCs w:val="21"/>
        </w:rPr>
        <w:t>理结果的，发包人应在作出索赔处理结果答复后28 天内完成赔付。承包人不接受索赔处理结果的，按第24条的约定执行。</w:t>
      </w:r>
    </w:p>
    <w:p>
      <w:pPr>
        <w:pStyle w:val="6"/>
      </w:pPr>
      <w:bookmarkStart w:id="570" w:name="_Toc300835193"/>
      <w:bookmarkStart w:id="571" w:name="_Toc247514191"/>
      <w:bookmarkStart w:id="572" w:name="_Toc247527792"/>
      <w:r>
        <w:rPr>
          <w:rFonts w:hint="eastAsia"/>
        </w:rPr>
        <w:t>23.3 承包人提出索赔的期限</w:t>
      </w:r>
      <w:bookmarkEnd w:id="570"/>
      <w:bookmarkEnd w:id="571"/>
      <w:bookmarkEnd w:id="572"/>
    </w:p>
    <w:p>
      <w:pPr>
        <w:spacing w:line="360" w:lineRule="auto"/>
        <w:ind w:firstLine="420" w:firstLineChars="200"/>
        <w:rPr>
          <w:rFonts w:ascii="宋体" w:hAnsi="宋体"/>
          <w:szCs w:val="21"/>
        </w:rPr>
      </w:pPr>
      <w:r>
        <w:rPr>
          <w:rFonts w:hint="eastAsia"/>
        </w:rPr>
        <w:t>23.3.1</w:t>
      </w:r>
      <w:r>
        <w:rPr>
          <w:rFonts w:hint="eastAsia" w:ascii="宋体" w:hAnsi="宋体"/>
          <w:szCs w:val="21"/>
        </w:rPr>
        <w:t xml:space="preserve"> 承包人按</w:t>
      </w:r>
      <w:r>
        <w:rPr>
          <w:rFonts w:hint="eastAsia"/>
        </w:rPr>
        <w:t xml:space="preserve">第17.5 </w:t>
      </w:r>
      <w:r>
        <w:rPr>
          <w:rFonts w:hint="eastAsia" w:ascii="宋体" w:hAnsi="宋体"/>
          <w:szCs w:val="21"/>
        </w:rPr>
        <w:t>款的约定接受了竣工付款证书后，应被认为已无权再提出在合同工程接收证书颁发前所发生的任何索赔。</w:t>
      </w:r>
    </w:p>
    <w:p>
      <w:pPr>
        <w:spacing w:line="360" w:lineRule="auto"/>
        <w:ind w:firstLine="420" w:firstLineChars="200"/>
        <w:rPr>
          <w:rFonts w:ascii="宋体" w:hAnsi="宋体"/>
          <w:szCs w:val="21"/>
        </w:rPr>
      </w:pPr>
      <w:r>
        <w:rPr>
          <w:rFonts w:hint="eastAsia"/>
        </w:rPr>
        <w:t xml:space="preserve">23.3.2 </w:t>
      </w:r>
      <w:r>
        <w:rPr>
          <w:rFonts w:hint="eastAsia" w:ascii="宋体" w:hAnsi="宋体"/>
          <w:szCs w:val="21"/>
        </w:rPr>
        <w:t>承包人按</w:t>
      </w:r>
      <w:r>
        <w:rPr>
          <w:rFonts w:hint="eastAsia"/>
        </w:rPr>
        <w:t>第17.6 款</w:t>
      </w:r>
      <w:r>
        <w:rPr>
          <w:rFonts w:hint="eastAsia" w:ascii="宋体" w:hAnsi="宋体"/>
          <w:szCs w:val="21"/>
        </w:rPr>
        <w:t>的约定提交的最终结清申请单中，只限于提出工程接收证书颁发后发生的索赔。提出索赔的期限自接受最终结清证书时终止。</w:t>
      </w:r>
    </w:p>
    <w:p>
      <w:pPr>
        <w:pStyle w:val="6"/>
      </w:pPr>
      <w:bookmarkStart w:id="573" w:name="_Toc247527793"/>
      <w:bookmarkStart w:id="574" w:name="_Toc300835194"/>
      <w:bookmarkStart w:id="575" w:name="_Toc247514192"/>
      <w:r>
        <w:rPr>
          <w:rFonts w:hint="eastAsia"/>
        </w:rPr>
        <w:t>23.4 发包人的索赔</w:t>
      </w:r>
      <w:bookmarkEnd w:id="573"/>
      <w:bookmarkEnd w:id="574"/>
      <w:bookmarkEnd w:id="575"/>
    </w:p>
    <w:p>
      <w:pPr>
        <w:spacing w:line="360" w:lineRule="auto"/>
        <w:ind w:firstLine="420" w:firstLineChars="200"/>
        <w:rPr>
          <w:rFonts w:ascii="宋体" w:hAnsi="宋体"/>
          <w:szCs w:val="21"/>
        </w:rPr>
      </w:pPr>
      <w:r>
        <w:rPr>
          <w:rFonts w:hint="eastAsia"/>
        </w:rPr>
        <w:t>23.4.1</w:t>
      </w:r>
      <w:r>
        <w:rPr>
          <w:rFonts w:hint="eastAsia" w:ascii="宋体" w:hAnsi="宋体"/>
          <w:szCs w:val="21"/>
        </w:rPr>
        <w:t xml:space="preserve"> 发包人应在知道或应当知道索赔事件发生后28天内，向承包人发出索赔通知，并说明发包人有权扣减的付款和（或）延长缺陷责任期的细节和依据。发包人未在前述28天内发出索赔通知的，丧失要求扣减付款和（或）延长缺陷责任期的权利。发包人提出索赔的期限和要求与第</w:t>
      </w:r>
      <w:r>
        <w:rPr>
          <w:rFonts w:hint="eastAsia"/>
        </w:rPr>
        <w:t xml:space="preserve">23.3 </w:t>
      </w:r>
      <w:r>
        <w:rPr>
          <w:rFonts w:hint="eastAsia" w:ascii="宋体" w:hAnsi="宋体"/>
          <w:szCs w:val="21"/>
        </w:rPr>
        <w:t>款的约定相同，要求延长缺陷责任期的通知应在缺陷责任期届满前发出。</w:t>
      </w:r>
    </w:p>
    <w:p>
      <w:pPr>
        <w:spacing w:line="360" w:lineRule="auto"/>
        <w:ind w:firstLine="420" w:firstLineChars="200"/>
        <w:rPr>
          <w:rFonts w:ascii="宋体" w:hAnsi="宋体"/>
          <w:szCs w:val="21"/>
        </w:rPr>
      </w:pPr>
      <w:r>
        <w:rPr>
          <w:rFonts w:hint="eastAsia"/>
        </w:rPr>
        <w:t>23.4.2</w:t>
      </w:r>
      <w:r>
        <w:rPr>
          <w:rFonts w:hint="eastAsia" w:ascii="宋体" w:hAnsi="宋体"/>
          <w:szCs w:val="21"/>
        </w:rPr>
        <w:t xml:space="preserve"> 发包人按</w:t>
      </w:r>
      <w:r>
        <w:rPr>
          <w:rFonts w:hint="eastAsia"/>
        </w:rPr>
        <w:t>第3.5 款商</w:t>
      </w:r>
      <w:r>
        <w:rPr>
          <w:rFonts w:hint="eastAsia" w:ascii="宋体" w:hAnsi="宋体"/>
          <w:szCs w:val="21"/>
        </w:rPr>
        <w:t>定或确定发包人从承包人处得到赔付的金额和（或）缺陷责任期的延长期。承包人应付给发包人的金额可从拟支付给承包人的合同价款中扣除，或由承包人以其他方式支付给发包人。</w:t>
      </w:r>
    </w:p>
    <w:p>
      <w:pPr>
        <w:pStyle w:val="5"/>
      </w:pPr>
      <w:bookmarkStart w:id="576" w:name="_Toc184635121"/>
      <w:bookmarkStart w:id="577" w:name="_Toc247514193"/>
      <w:bookmarkStart w:id="578" w:name="_Toc247527794"/>
      <w:bookmarkStart w:id="579" w:name="_Toc300835195"/>
      <w:r>
        <w:rPr>
          <w:rFonts w:hint="eastAsia"/>
        </w:rPr>
        <w:t>24. 争议的解决</w:t>
      </w:r>
      <w:bookmarkEnd w:id="576"/>
      <w:bookmarkEnd w:id="577"/>
      <w:bookmarkEnd w:id="578"/>
      <w:bookmarkEnd w:id="579"/>
    </w:p>
    <w:p>
      <w:pPr>
        <w:pStyle w:val="6"/>
      </w:pPr>
      <w:bookmarkStart w:id="580" w:name="_Toc247527795"/>
      <w:bookmarkStart w:id="581" w:name="_Toc300835196"/>
      <w:bookmarkStart w:id="582" w:name="_Toc247514194"/>
      <w:r>
        <w:rPr>
          <w:rFonts w:hint="eastAsia"/>
        </w:rPr>
        <w:t>24.1 争议的解决方式</w:t>
      </w:r>
      <w:bookmarkEnd w:id="580"/>
      <w:bookmarkEnd w:id="581"/>
      <w:bookmarkEnd w:id="582"/>
    </w:p>
    <w:p>
      <w:pPr>
        <w:spacing w:line="360" w:lineRule="auto"/>
        <w:ind w:firstLine="420" w:firstLineChars="200"/>
        <w:rPr>
          <w:rFonts w:ascii="宋体" w:hAnsi="宋体"/>
          <w:szCs w:val="21"/>
        </w:rPr>
      </w:pPr>
      <w:r>
        <w:rPr>
          <w:rFonts w:hint="eastAsia" w:ascii="宋体" w:hAnsi="宋体"/>
          <w:szCs w:val="21"/>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spacing w:line="360" w:lineRule="auto"/>
        <w:ind w:firstLine="420" w:firstLineChars="200"/>
      </w:pPr>
      <w:r>
        <w:rPr>
          <w:rFonts w:hint="eastAsia"/>
        </w:rPr>
        <w:t>（1）向约定的仲裁委员会申请仲裁；</w:t>
      </w:r>
    </w:p>
    <w:p>
      <w:pPr>
        <w:spacing w:line="360" w:lineRule="auto"/>
        <w:ind w:firstLine="420" w:firstLineChars="200"/>
        <w:rPr>
          <w:rFonts w:ascii="宋体" w:hAnsi="宋体"/>
          <w:szCs w:val="21"/>
        </w:rPr>
      </w:pPr>
      <w:r>
        <w:rPr>
          <w:rFonts w:hint="eastAsia"/>
        </w:rPr>
        <w:t>（2）向有管</w:t>
      </w:r>
      <w:r>
        <w:rPr>
          <w:rFonts w:hint="eastAsia" w:ascii="宋体" w:hAnsi="宋体"/>
          <w:szCs w:val="21"/>
        </w:rPr>
        <w:t>辖权的人民法院提起诉讼。</w:t>
      </w:r>
    </w:p>
    <w:p>
      <w:pPr>
        <w:pStyle w:val="6"/>
      </w:pPr>
      <w:bookmarkStart w:id="583" w:name="_Toc247514195"/>
      <w:bookmarkStart w:id="584" w:name="_Toc300835197"/>
      <w:bookmarkStart w:id="585" w:name="_Toc247527796"/>
      <w:r>
        <w:rPr>
          <w:rFonts w:hint="eastAsia"/>
        </w:rPr>
        <w:t>24.2 友好解决</w:t>
      </w:r>
      <w:bookmarkEnd w:id="583"/>
      <w:bookmarkEnd w:id="584"/>
      <w:bookmarkEnd w:id="585"/>
    </w:p>
    <w:p>
      <w:pPr>
        <w:spacing w:line="360" w:lineRule="auto"/>
        <w:ind w:firstLine="420" w:firstLineChars="200"/>
        <w:rPr>
          <w:rFonts w:ascii="宋体" w:hAnsi="宋体"/>
          <w:szCs w:val="21"/>
        </w:rPr>
      </w:pPr>
      <w:r>
        <w:rPr>
          <w:rFonts w:hint="eastAsia" w:ascii="宋体" w:hAnsi="宋体"/>
          <w:szCs w:val="21"/>
        </w:rPr>
        <w:t>在提请争议评审、仲裁或者诉讼前，以及在争议评审、仲裁或诉讼过程中，发包人和承包人均可共同努力友好协商解决争议。</w:t>
      </w:r>
    </w:p>
    <w:p>
      <w:pPr>
        <w:pStyle w:val="6"/>
      </w:pPr>
      <w:bookmarkStart w:id="586" w:name="_Toc247514196"/>
      <w:bookmarkStart w:id="587" w:name="_Toc300835198"/>
      <w:bookmarkStart w:id="588" w:name="_Toc247527797"/>
      <w:r>
        <w:rPr>
          <w:rFonts w:hint="eastAsia"/>
        </w:rPr>
        <w:t>24.3 争议评审</w:t>
      </w:r>
      <w:bookmarkEnd w:id="586"/>
      <w:bookmarkEnd w:id="587"/>
      <w:bookmarkEnd w:id="588"/>
    </w:p>
    <w:p>
      <w:pPr>
        <w:spacing w:line="360" w:lineRule="auto"/>
        <w:ind w:firstLine="420" w:firstLineChars="200"/>
        <w:rPr>
          <w:rFonts w:ascii="宋体" w:hAnsi="宋体"/>
          <w:szCs w:val="21"/>
        </w:rPr>
      </w:pPr>
      <w:r>
        <w:rPr>
          <w:rFonts w:hint="eastAsia"/>
        </w:rPr>
        <w:t>24.3.1</w:t>
      </w:r>
      <w:r>
        <w:rPr>
          <w:rFonts w:hint="eastAsia" w:ascii="宋体" w:hAnsi="宋体"/>
          <w:szCs w:val="21"/>
        </w:rPr>
        <w:t xml:space="preserve"> 采用争议评审的，发包人和承包人应在开工日后的28天内或在争议发生后，协商成立争议评审组。争议评审组由有合同管理和工程实践经验的专家组成。</w:t>
      </w:r>
    </w:p>
    <w:p>
      <w:pPr>
        <w:spacing w:line="360" w:lineRule="auto"/>
        <w:ind w:firstLine="420" w:firstLineChars="200"/>
        <w:rPr>
          <w:rFonts w:ascii="宋体" w:hAnsi="宋体"/>
          <w:szCs w:val="21"/>
        </w:rPr>
      </w:pPr>
      <w:r>
        <w:rPr>
          <w:rFonts w:hint="eastAsia"/>
        </w:rPr>
        <w:t>24.3.2</w:t>
      </w:r>
      <w:r>
        <w:rPr>
          <w:rFonts w:hint="eastAsia" w:ascii="宋体" w:hAnsi="宋体"/>
          <w:szCs w:val="21"/>
        </w:rPr>
        <w:t xml:space="preserve"> 合同双方的争议，应首先由申请人向争议评审组提交一份详细的评审申请报告，并附必要的文件、图纸和证明材料，申请人还应将上述报告的副本同时提交给被申请人和监理人。</w:t>
      </w:r>
    </w:p>
    <w:p>
      <w:pPr>
        <w:spacing w:line="360" w:lineRule="auto"/>
        <w:ind w:firstLine="420" w:firstLineChars="200"/>
        <w:rPr>
          <w:rFonts w:ascii="宋体" w:hAnsi="宋体"/>
          <w:szCs w:val="21"/>
        </w:rPr>
      </w:pPr>
      <w:r>
        <w:rPr>
          <w:rFonts w:hint="eastAsia"/>
        </w:rPr>
        <w:t>24.3.3</w:t>
      </w:r>
      <w:r>
        <w:rPr>
          <w:rFonts w:hint="eastAsia" w:ascii="宋体" w:hAnsi="宋体"/>
          <w:szCs w:val="21"/>
        </w:rPr>
        <w:t xml:space="preserve"> 被申请人在收到申请人评审申请报告副本后的28 天内，向争议评审组提交一份答辩报告，并附证明材料。被申请人应将答辩报告的副本同时提交给申请人和监理人。</w:t>
      </w:r>
    </w:p>
    <w:p>
      <w:pPr>
        <w:spacing w:line="360" w:lineRule="auto"/>
        <w:ind w:firstLine="420" w:firstLineChars="200"/>
        <w:rPr>
          <w:rFonts w:ascii="宋体" w:hAnsi="宋体"/>
          <w:szCs w:val="21"/>
        </w:rPr>
      </w:pPr>
      <w:r>
        <w:rPr>
          <w:rFonts w:hint="eastAsia"/>
        </w:rPr>
        <w:t>24.3.4</w:t>
      </w:r>
      <w:r>
        <w:rPr>
          <w:rFonts w:hint="eastAsia" w:ascii="宋体" w:hAnsi="宋体"/>
          <w:szCs w:val="21"/>
        </w:rPr>
        <w:t xml:space="preserve"> 除专用合同条款另有约定外，争议评审组在收到合同双方报告后的14天内，邀请双方代表和有关人员举行调查会，向双方调查争议细节；必要时争议评审组可要求双方进一步提供补充材料。</w:t>
      </w:r>
    </w:p>
    <w:p>
      <w:pPr>
        <w:spacing w:line="360" w:lineRule="auto"/>
        <w:ind w:firstLine="420" w:firstLineChars="200"/>
        <w:rPr>
          <w:rFonts w:ascii="宋体" w:hAnsi="宋体"/>
          <w:szCs w:val="21"/>
        </w:rPr>
      </w:pPr>
      <w:r>
        <w:rPr>
          <w:rFonts w:hint="eastAsia"/>
        </w:rPr>
        <w:t>24.3.5</w:t>
      </w:r>
      <w:r>
        <w:rPr>
          <w:rFonts w:hint="eastAsia" w:ascii="宋体" w:hAnsi="宋体"/>
          <w:szCs w:val="21"/>
        </w:rPr>
        <w:t xml:space="preserve"> 除专用合同条款另有约定外，在调查会结束后的14天内，争议评审组应在不受任何干扰的情况下进行独立、公正的评审，作出书面评审意见，并说明理由。在争议评审期间，争议双方暂按总监理工程师的确定执行。</w:t>
      </w:r>
    </w:p>
    <w:p>
      <w:pPr>
        <w:spacing w:line="360" w:lineRule="auto"/>
        <w:ind w:firstLine="420" w:firstLineChars="200"/>
        <w:rPr>
          <w:rFonts w:ascii="宋体" w:hAnsi="宋体"/>
          <w:szCs w:val="21"/>
        </w:rPr>
      </w:pPr>
      <w:r>
        <w:rPr>
          <w:rFonts w:hint="eastAsia"/>
        </w:rPr>
        <w:t xml:space="preserve">24.3.6 </w:t>
      </w:r>
      <w:r>
        <w:rPr>
          <w:rFonts w:hint="eastAsia" w:ascii="宋体" w:hAnsi="宋体"/>
          <w:szCs w:val="21"/>
        </w:rPr>
        <w:t>发包人和承包人接受评审意见的，由监理人根据评审意见拟定执行协议，经争议双方签字后作为合同的补充文件，并遵照执行。</w:t>
      </w:r>
    </w:p>
    <w:p>
      <w:pPr>
        <w:spacing w:line="360" w:lineRule="auto"/>
        <w:ind w:firstLine="420" w:firstLineChars="200"/>
        <w:rPr>
          <w:rFonts w:ascii="宋体" w:hAnsi="宋体"/>
          <w:szCs w:val="21"/>
        </w:rPr>
        <w:sectPr>
          <w:pgSz w:w="11906" w:h="16838"/>
          <w:pgMar w:top="1418" w:right="1134" w:bottom="1418" w:left="1134" w:header="851" w:footer="992" w:gutter="0"/>
          <w:pgNumType w:start="1"/>
          <w:cols w:space="720" w:num="1"/>
          <w:docGrid w:type="lines" w:linePitch="312" w:charSpace="0"/>
        </w:sectPr>
      </w:pPr>
      <w:r>
        <w:rPr>
          <w:rFonts w:hint="eastAsia"/>
        </w:rPr>
        <w:t>24.3.7</w:t>
      </w:r>
      <w:r>
        <w:rPr>
          <w:rFonts w:hint="eastAsia" w:ascii="宋体" w:hAnsi="宋体"/>
          <w:szCs w:val="21"/>
        </w:rPr>
        <w:t xml:space="preserve"> 发包人或承包人不接受评审意见，并要求提交仲裁或提起诉讼的，应在收到评审意见后的14 天内将仲裁或起诉意向书面通知另一方，并抄送监理人，但在仲裁或诉讼结束前应暂按总监理工程师的确定执行</w:t>
      </w:r>
    </w:p>
    <w:p>
      <w:pPr>
        <w:pStyle w:val="5"/>
        <w:spacing w:line="415" w:lineRule="auto"/>
        <w:sectPr>
          <w:type w:val="continuous"/>
          <w:pgSz w:w="11906" w:h="16838"/>
          <w:pgMar w:top="1418" w:right="1134" w:bottom="1418" w:left="1134" w:header="851" w:footer="992" w:gutter="0"/>
          <w:cols w:space="720" w:num="1"/>
          <w:docGrid w:type="lines" w:linePitch="312" w:charSpace="0"/>
        </w:sectPr>
      </w:pPr>
    </w:p>
    <w:p>
      <w:pPr>
        <w:pStyle w:val="6"/>
        <w:keepNext w:val="0"/>
        <w:keepLines w:val="0"/>
        <w:spacing w:line="413" w:lineRule="auto"/>
      </w:pPr>
      <w:bookmarkStart w:id="589" w:name="_Toc152045768"/>
      <w:bookmarkStart w:id="590" w:name="_Toc247514199"/>
      <w:bookmarkStart w:id="591" w:name="_Toc152042547"/>
      <w:bookmarkStart w:id="592" w:name="_Toc300835201"/>
      <w:bookmarkStart w:id="593" w:name="_Toc247527800"/>
      <w:bookmarkStart w:id="594" w:name="_Toc144974827"/>
      <w:r>
        <w:rPr>
          <w:rFonts w:hint="eastAsia"/>
        </w:rPr>
        <w:t>附件一：合同协议书</w:t>
      </w:r>
      <w:bookmarkEnd w:id="589"/>
      <w:bookmarkEnd w:id="590"/>
      <w:bookmarkEnd w:id="591"/>
      <w:bookmarkEnd w:id="592"/>
      <w:bookmarkEnd w:id="593"/>
      <w:bookmarkEnd w:id="594"/>
    </w:p>
    <w:p>
      <w:pPr>
        <w:spacing w:line="400" w:lineRule="exact"/>
      </w:pPr>
    </w:p>
    <w:p>
      <w:pPr>
        <w:spacing w:line="440" w:lineRule="exact"/>
        <w:jc w:val="center"/>
        <w:rPr>
          <w:rFonts w:ascii="黑体" w:eastAsia="黑体"/>
          <w:sz w:val="28"/>
          <w:szCs w:val="28"/>
        </w:rPr>
      </w:pPr>
      <w:r>
        <w:rPr>
          <w:rFonts w:hint="eastAsia" w:ascii="黑体" w:eastAsia="黑体"/>
          <w:sz w:val="28"/>
          <w:szCs w:val="28"/>
        </w:rPr>
        <w:t>合同协议书</w:t>
      </w:r>
    </w:p>
    <w:p>
      <w:pPr>
        <w:spacing w:line="440" w:lineRule="exact"/>
        <w:rPr>
          <w:szCs w:val="21"/>
        </w:rPr>
      </w:pPr>
    </w:p>
    <w:p>
      <w:pPr>
        <w:spacing w:line="440" w:lineRule="exact"/>
        <w:ind w:firstLine="359" w:firstLineChars="171"/>
        <w:rPr>
          <w:szCs w:val="21"/>
        </w:rPr>
      </w:pPr>
      <w:r>
        <w:rPr>
          <w:szCs w:val="21"/>
        </w:rPr>
        <w:t>（发包人名称，以下简称“发包人”）为实施（项目名称），已接受（承包人名称，以下简称“承包人”）对该项目</w:t>
      </w:r>
      <w:r>
        <w:rPr>
          <w:rFonts w:hint="eastAsia"/>
          <w:szCs w:val="21"/>
        </w:rPr>
        <w:t>设计</w:t>
      </w:r>
      <w:r>
        <w:rPr>
          <w:szCs w:val="21"/>
        </w:rPr>
        <w:t>施工</w:t>
      </w:r>
      <w:r>
        <w:rPr>
          <w:rFonts w:hint="eastAsia"/>
          <w:szCs w:val="21"/>
        </w:rPr>
        <w:t>总承包</w:t>
      </w:r>
      <w:r>
        <w:rPr>
          <w:szCs w:val="21"/>
        </w:rPr>
        <w:t>投标。发包人和承包人共同达成如下协议。</w:t>
      </w:r>
    </w:p>
    <w:p>
      <w:pPr>
        <w:spacing w:line="440" w:lineRule="exact"/>
        <w:ind w:firstLine="359" w:firstLineChars="171"/>
      </w:pPr>
      <w:bookmarkStart w:id="595" w:name="_Toc152042548"/>
      <w:bookmarkStart w:id="596" w:name="_Toc144974828"/>
      <w:r>
        <w:rPr>
          <w:szCs w:val="21"/>
        </w:rPr>
        <w:t>1. 本协议书与下列文件一起构成合</w:t>
      </w:r>
      <w:r>
        <w:t>同文件：</w:t>
      </w:r>
      <w:bookmarkEnd w:id="595"/>
      <w:bookmarkEnd w:id="596"/>
    </w:p>
    <w:p>
      <w:pPr>
        <w:spacing w:line="440" w:lineRule="exact"/>
        <w:ind w:firstLine="718" w:firstLineChars="342"/>
        <w:rPr>
          <w:szCs w:val="21"/>
        </w:rPr>
      </w:pPr>
      <w:r>
        <w:rPr>
          <w:szCs w:val="21"/>
        </w:rPr>
        <w:t>（1）中标通知书；</w:t>
      </w:r>
    </w:p>
    <w:p>
      <w:pPr>
        <w:spacing w:line="440" w:lineRule="exact"/>
        <w:ind w:firstLine="718" w:firstLineChars="342"/>
        <w:rPr>
          <w:szCs w:val="21"/>
        </w:rPr>
      </w:pPr>
      <w:r>
        <w:rPr>
          <w:szCs w:val="21"/>
        </w:rPr>
        <w:t>（2）投标函及投标函附录；</w:t>
      </w:r>
    </w:p>
    <w:p>
      <w:pPr>
        <w:spacing w:line="440" w:lineRule="exact"/>
        <w:ind w:firstLine="718" w:firstLineChars="342"/>
        <w:rPr>
          <w:szCs w:val="21"/>
        </w:rPr>
      </w:pPr>
      <w:r>
        <w:rPr>
          <w:szCs w:val="21"/>
        </w:rPr>
        <w:t>（3）专用合同条款；</w:t>
      </w:r>
    </w:p>
    <w:p>
      <w:pPr>
        <w:spacing w:line="440" w:lineRule="exact"/>
        <w:ind w:firstLine="718" w:firstLineChars="342"/>
        <w:rPr>
          <w:szCs w:val="21"/>
        </w:rPr>
      </w:pPr>
      <w:r>
        <w:rPr>
          <w:szCs w:val="21"/>
        </w:rPr>
        <w:t>（4）通用合同条款；</w:t>
      </w:r>
    </w:p>
    <w:p>
      <w:pPr>
        <w:spacing w:line="440" w:lineRule="exact"/>
        <w:ind w:firstLine="718" w:firstLineChars="342"/>
        <w:rPr>
          <w:szCs w:val="21"/>
        </w:rPr>
      </w:pPr>
      <w:r>
        <w:rPr>
          <w:szCs w:val="21"/>
        </w:rPr>
        <w:t>（5）</w:t>
      </w:r>
      <w:r>
        <w:rPr>
          <w:rFonts w:hint="eastAsia"/>
          <w:szCs w:val="21"/>
        </w:rPr>
        <w:t>发包人</w:t>
      </w:r>
      <w:r>
        <w:rPr>
          <w:szCs w:val="21"/>
        </w:rPr>
        <w:t>要求；</w:t>
      </w:r>
    </w:p>
    <w:p>
      <w:pPr>
        <w:spacing w:line="440" w:lineRule="exact"/>
        <w:ind w:firstLine="718" w:firstLineChars="342"/>
        <w:rPr>
          <w:szCs w:val="21"/>
        </w:rPr>
      </w:pPr>
      <w:r>
        <w:rPr>
          <w:szCs w:val="21"/>
        </w:rPr>
        <w:t>（6）</w:t>
      </w:r>
      <w:r>
        <w:rPr>
          <w:rFonts w:hint="eastAsia"/>
          <w:szCs w:val="21"/>
        </w:rPr>
        <w:t>价格清单</w:t>
      </w:r>
      <w:r>
        <w:rPr>
          <w:szCs w:val="21"/>
        </w:rPr>
        <w:t>；</w:t>
      </w:r>
    </w:p>
    <w:p>
      <w:pPr>
        <w:spacing w:line="440" w:lineRule="exact"/>
        <w:ind w:firstLine="718" w:firstLineChars="342"/>
        <w:rPr>
          <w:szCs w:val="21"/>
        </w:rPr>
      </w:pPr>
      <w:r>
        <w:rPr>
          <w:szCs w:val="21"/>
        </w:rPr>
        <w:t>（7）</w:t>
      </w:r>
      <w:r>
        <w:rPr>
          <w:rFonts w:hint="eastAsia"/>
          <w:szCs w:val="21"/>
        </w:rPr>
        <w:t>承包人建议</w:t>
      </w:r>
      <w:r>
        <w:rPr>
          <w:szCs w:val="21"/>
        </w:rPr>
        <w:t>；</w:t>
      </w:r>
    </w:p>
    <w:p>
      <w:pPr>
        <w:spacing w:line="440" w:lineRule="exact"/>
        <w:ind w:firstLine="718" w:firstLineChars="342"/>
        <w:rPr>
          <w:szCs w:val="21"/>
        </w:rPr>
      </w:pPr>
      <w:r>
        <w:rPr>
          <w:szCs w:val="21"/>
        </w:rPr>
        <w:t>（8）其他合同文件。</w:t>
      </w:r>
    </w:p>
    <w:p>
      <w:pPr>
        <w:spacing w:line="440" w:lineRule="exact"/>
        <w:ind w:firstLine="359" w:firstLineChars="171"/>
        <w:rPr>
          <w:szCs w:val="21"/>
        </w:rPr>
      </w:pPr>
      <w:bookmarkStart w:id="597" w:name="_Toc152042549"/>
      <w:bookmarkStart w:id="598" w:name="_Toc144974829"/>
      <w:r>
        <w:rPr>
          <w:szCs w:val="21"/>
        </w:rPr>
        <w:t>2. 上述文件互相补充和解释，如有不明确或不一致之处，以合同约定次序在先者为准。</w:t>
      </w:r>
      <w:bookmarkEnd w:id="597"/>
      <w:bookmarkEnd w:id="598"/>
    </w:p>
    <w:p>
      <w:pPr>
        <w:spacing w:line="440" w:lineRule="exact"/>
        <w:ind w:firstLine="359" w:firstLineChars="171"/>
        <w:rPr>
          <w:szCs w:val="21"/>
        </w:rPr>
      </w:pPr>
      <w:r>
        <w:rPr>
          <w:szCs w:val="21"/>
        </w:rPr>
        <w:t>3. 签约合同价：人民币（大写）（¥）。</w:t>
      </w:r>
    </w:p>
    <w:p>
      <w:pPr>
        <w:spacing w:line="440" w:lineRule="exact"/>
        <w:ind w:firstLine="359" w:firstLineChars="171"/>
        <w:rPr>
          <w:szCs w:val="21"/>
        </w:rPr>
      </w:pPr>
      <w:r>
        <w:rPr>
          <w:szCs w:val="21"/>
        </w:rPr>
        <w:t xml:space="preserve">4. </w:t>
      </w:r>
      <w:r>
        <w:rPr>
          <w:rFonts w:hint="eastAsia"/>
          <w:szCs w:val="21"/>
        </w:rPr>
        <w:t xml:space="preserve">承包人项目经理：；设计负责人：；施工负责人:。 </w:t>
      </w:r>
    </w:p>
    <w:p>
      <w:pPr>
        <w:spacing w:line="440" w:lineRule="exact"/>
        <w:ind w:firstLine="359" w:firstLineChars="171"/>
        <w:rPr>
          <w:szCs w:val="21"/>
        </w:rPr>
      </w:pPr>
      <w:r>
        <w:rPr>
          <w:szCs w:val="21"/>
        </w:rPr>
        <w:t>5. 工程质量</w:t>
      </w:r>
      <w:r>
        <w:rPr>
          <w:rFonts w:hint="eastAsia"/>
          <w:szCs w:val="21"/>
        </w:rPr>
        <w:t>符合的标准和要求：</w:t>
      </w:r>
      <w:r>
        <w:rPr>
          <w:szCs w:val="21"/>
        </w:rPr>
        <w:t>。</w:t>
      </w:r>
    </w:p>
    <w:p>
      <w:pPr>
        <w:spacing w:line="440" w:lineRule="exact"/>
        <w:ind w:firstLine="359" w:firstLineChars="171"/>
        <w:rPr>
          <w:szCs w:val="21"/>
        </w:rPr>
      </w:pPr>
      <w:r>
        <w:rPr>
          <w:szCs w:val="21"/>
        </w:rPr>
        <w:t>6. 承包人承诺按合同约定承担工程的</w:t>
      </w:r>
      <w:r>
        <w:rPr>
          <w:rFonts w:hint="eastAsia"/>
          <w:szCs w:val="21"/>
        </w:rPr>
        <w:t>设计、</w:t>
      </w:r>
      <w:r>
        <w:rPr>
          <w:szCs w:val="21"/>
        </w:rPr>
        <w:t>实施、</w:t>
      </w:r>
      <w:r>
        <w:rPr>
          <w:rFonts w:hint="eastAsia"/>
          <w:szCs w:val="21"/>
        </w:rPr>
        <w:t>竣工</w:t>
      </w:r>
      <w:r>
        <w:rPr>
          <w:szCs w:val="21"/>
        </w:rPr>
        <w:t>及缺陷修复。</w:t>
      </w:r>
    </w:p>
    <w:p>
      <w:pPr>
        <w:spacing w:line="440" w:lineRule="exact"/>
        <w:ind w:firstLine="359" w:firstLineChars="171"/>
        <w:rPr>
          <w:szCs w:val="21"/>
        </w:rPr>
      </w:pPr>
      <w:r>
        <w:rPr>
          <w:szCs w:val="21"/>
        </w:rPr>
        <w:t>7. 发包人承诺按合同约定的条件、时间和方式向承包人支付合同价款。</w:t>
      </w:r>
    </w:p>
    <w:p>
      <w:pPr>
        <w:spacing w:line="440" w:lineRule="exact"/>
        <w:ind w:firstLine="359" w:firstLineChars="171"/>
        <w:rPr>
          <w:szCs w:val="21"/>
        </w:rPr>
      </w:pPr>
      <w:r>
        <w:rPr>
          <w:szCs w:val="21"/>
        </w:rPr>
        <w:t>8. 承包人</w:t>
      </w:r>
      <w:r>
        <w:rPr>
          <w:rFonts w:hint="eastAsia"/>
          <w:szCs w:val="21"/>
        </w:rPr>
        <w:t>计划开始工作时间：________________，实际开始工作时间</w:t>
      </w:r>
      <w:r>
        <w:rPr>
          <w:szCs w:val="21"/>
        </w:rPr>
        <w:t>按照监理人</w:t>
      </w:r>
      <w:r>
        <w:rPr>
          <w:rFonts w:hint="eastAsia"/>
          <w:szCs w:val="21"/>
        </w:rPr>
        <w:t>开始工作通知中载明的开始工作时间为准。</w:t>
      </w:r>
      <w:r>
        <w:rPr>
          <w:szCs w:val="21"/>
        </w:rPr>
        <w:t>工期为天。</w:t>
      </w:r>
    </w:p>
    <w:p>
      <w:pPr>
        <w:spacing w:line="440" w:lineRule="exact"/>
        <w:ind w:firstLine="359" w:firstLineChars="171"/>
        <w:rPr>
          <w:szCs w:val="21"/>
        </w:rPr>
      </w:pPr>
      <w:r>
        <w:rPr>
          <w:szCs w:val="21"/>
        </w:rPr>
        <w:t>9. 本协议书一式份，合同双方各执一份。</w:t>
      </w:r>
    </w:p>
    <w:p>
      <w:pPr>
        <w:spacing w:line="440" w:lineRule="exact"/>
        <w:ind w:firstLine="359" w:firstLineChars="171"/>
        <w:rPr>
          <w:szCs w:val="21"/>
        </w:rPr>
      </w:pPr>
      <w:bookmarkStart w:id="599" w:name="_Toc152042550"/>
      <w:bookmarkStart w:id="600" w:name="_Toc144974830"/>
      <w:r>
        <w:rPr>
          <w:szCs w:val="21"/>
        </w:rPr>
        <w:t>10. 合同未尽事宜，双方另行签订补充协议。补充协议是合同的组成部分。</w:t>
      </w:r>
      <w:bookmarkEnd w:id="599"/>
      <w:bookmarkEnd w:id="600"/>
    </w:p>
    <w:p>
      <w:pPr>
        <w:spacing w:line="440" w:lineRule="exact"/>
        <w:rPr>
          <w:szCs w:val="21"/>
        </w:rPr>
      </w:pPr>
      <w:r>
        <w:rPr>
          <w:szCs w:val="21"/>
        </w:rPr>
        <w:t>发包人：（盖单位章）承包人：（盖单位章）</w:t>
      </w:r>
    </w:p>
    <w:p>
      <w:pPr>
        <w:spacing w:line="440" w:lineRule="exact"/>
        <w:rPr>
          <w:szCs w:val="21"/>
        </w:rPr>
      </w:pPr>
      <w:r>
        <w:rPr>
          <w:szCs w:val="21"/>
        </w:rPr>
        <w:t>法定代表人或其委托代理人：（签字）法定代表人或其委托代理人：（签字）</w:t>
      </w:r>
    </w:p>
    <w:p>
      <w:pPr>
        <w:spacing w:line="440" w:lineRule="exact"/>
        <w:rPr>
          <w:szCs w:val="21"/>
        </w:rPr>
      </w:pPr>
      <w:r>
        <w:rPr>
          <w:szCs w:val="21"/>
        </w:rPr>
        <w:t>年月  日年月 日</w:t>
      </w:r>
    </w:p>
    <w:p>
      <w:pPr>
        <w:spacing w:line="440" w:lineRule="exact"/>
        <w:rPr>
          <w:szCs w:val="21"/>
        </w:rPr>
      </w:pPr>
      <w:bookmarkStart w:id="601" w:name="_Toc144974831"/>
      <w:r>
        <w:rPr>
          <w:szCs w:val="21"/>
        </w:rPr>
        <w:br w:type="page"/>
      </w:r>
    </w:p>
    <w:p>
      <w:pPr>
        <w:pStyle w:val="6"/>
      </w:pPr>
      <w:bookmarkStart w:id="602" w:name="_Toc152045769"/>
      <w:bookmarkStart w:id="603" w:name="_Toc152042551"/>
      <w:bookmarkStart w:id="604" w:name="_Toc247514200"/>
      <w:bookmarkStart w:id="605" w:name="_Toc247527801"/>
      <w:bookmarkStart w:id="606" w:name="_Toc300835202"/>
      <w:r>
        <w:rPr>
          <w:rFonts w:hint="eastAsia"/>
        </w:rPr>
        <w:t>附件二：履约担保格式</w:t>
      </w:r>
      <w:bookmarkEnd w:id="601"/>
      <w:bookmarkEnd w:id="602"/>
      <w:bookmarkEnd w:id="603"/>
      <w:bookmarkEnd w:id="604"/>
      <w:bookmarkEnd w:id="605"/>
      <w:bookmarkEnd w:id="606"/>
    </w:p>
    <w:p>
      <w:pPr>
        <w:spacing w:line="400" w:lineRule="exact"/>
      </w:pPr>
    </w:p>
    <w:p>
      <w:pPr>
        <w:spacing w:line="440" w:lineRule="exact"/>
        <w:jc w:val="center"/>
        <w:rPr>
          <w:rFonts w:eastAsia="黑体"/>
          <w:sz w:val="28"/>
          <w:szCs w:val="28"/>
        </w:rPr>
      </w:pPr>
      <w:r>
        <w:rPr>
          <w:rFonts w:eastAsia="黑体"/>
          <w:sz w:val="28"/>
          <w:szCs w:val="28"/>
        </w:rPr>
        <w:t>履约担保</w:t>
      </w:r>
    </w:p>
    <w:p>
      <w:pPr>
        <w:spacing w:line="440" w:lineRule="exact"/>
        <w:rPr>
          <w:rFonts w:eastAsia="黑体"/>
          <w:sz w:val="20"/>
        </w:rPr>
      </w:pPr>
    </w:p>
    <w:p>
      <w:pPr>
        <w:spacing w:line="440" w:lineRule="exact"/>
        <w:rPr>
          <w:szCs w:val="21"/>
        </w:rPr>
      </w:pPr>
      <w:r>
        <w:rPr>
          <w:szCs w:val="21"/>
          <w:u w:val="single"/>
        </w:rPr>
        <w:tab/>
      </w:r>
      <w:r>
        <w:rPr>
          <w:szCs w:val="21"/>
          <w:u w:val="single"/>
        </w:rPr>
        <w:tab/>
      </w:r>
      <w:r>
        <w:rPr>
          <w:szCs w:val="21"/>
        </w:rPr>
        <w:t>（发包人名称）：</w:t>
      </w:r>
    </w:p>
    <w:p>
      <w:pPr>
        <w:spacing w:line="440" w:lineRule="exact"/>
        <w:rPr>
          <w:szCs w:val="21"/>
        </w:rPr>
      </w:pPr>
    </w:p>
    <w:p>
      <w:pPr>
        <w:spacing w:line="440" w:lineRule="exact"/>
        <w:ind w:firstLine="420" w:firstLineChars="200"/>
        <w:rPr>
          <w:szCs w:val="21"/>
        </w:rPr>
      </w:pPr>
      <w:r>
        <w:rPr>
          <w:szCs w:val="21"/>
        </w:rPr>
        <w:t>鉴于（发包人名称，以下简称“发包人”）接受 （承包人名称</w:t>
      </w:r>
      <w:r>
        <w:rPr>
          <w:rFonts w:hint="eastAsia"/>
          <w:szCs w:val="21"/>
        </w:rPr>
        <w:t>，</w:t>
      </w:r>
      <w:r>
        <w:rPr>
          <w:szCs w:val="21"/>
        </w:rPr>
        <w:t xml:space="preserve">以下称“承包人”）于年月日参加（项目名称）的投标。我方愿意就承包人履行与你方订立的合同，向你方提供担保。 </w:t>
      </w:r>
    </w:p>
    <w:p>
      <w:pPr>
        <w:spacing w:line="440" w:lineRule="exact"/>
        <w:ind w:firstLine="420" w:firstLineChars="200"/>
        <w:rPr>
          <w:szCs w:val="21"/>
        </w:rPr>
      </w:pPr>
      <w:r>
        <w:rPr>
          <w:szCs w:val="21"/>
        </w:rPr>
        <w:t>1. 担保金额人民币（大写）（¥）。</w:t>
      </w:r>
    </w:p>
    <w:p>
      <w:pPr>
        <w:spacing w:line="440" w:lineRule="exact"/>
        <w:ind w:firstLine="420" w:firstLineChars="200"/>
        <w:rPr>
          <w:szCs w:val="21"/>
        </w:rPr>
      </w:pPr>
      <w:r>
        <w:rPr>
          <w:szCs w:val="21"/>
        </w:rPr>
        <w:t>2. 担保有效期自发包人与承包人签订的合同生效之日起至发包人签发工程接收证书</w:t>
      </w:r>
      <w:r>
        <w:rPr>
          <w:rFonts w:hint="eastAsia"/>
          <w:szCs w:val="21"/>
        </w:rPr>
        <w:t>之日</w:t>
      </w:r>
      <w:r>
        <w:rPr>
          <w:szCs w:val="21"/>
        </w:rPr>
        <w:t>止。</w:t>
      </w:r>
    </w:p>
    <w:p>
      <w:pPr>
        <w:spacing w:line="440" w:lineRule="exact"/>
        <w:ind w:firstLine="420" w:firstLineChars="200"/>
        <w:rPr>
          <w:szCs w:val="21"/>
        </w:rPr>
      </w:pPr>
      <w:r>
        <w:rPr>
          <w:szCs w:val="21"/>
        </w:rPr>
        <w:t>2. 担保有效期自发包人与承包人签订的合同生效之日起至</w:t>
      </w:r>
      <w:r>
        <w:rPr>
          <w:rFonts w:hint="eastAsia"/>
          <w:szCs w:val="21"/>
        </w:rPr>
        <w:t>承包人通过竣工后试验之日</w:t>
      </w:r>
      <w:r>
        <w:rPr>
          <w:szCs w:val="21"/>
        </w:rPr>
        <w:t>止。</w:t>
      </w:r>
    </w:p>
    <w:p>
      <w:pPr>
        <w:spacing w:line="440" w:lineRule="exact"/>
        <w:ind w:firstLine="420" w:firstLineChars="200"/>
        <w:rPr>
          <w:szCs w:val="21"/>
        </w:rPr>
      </w:pPr>
      <w:r>
        <w:rPr>
          <w:szCs w:val="21"/>
        </w:rPr>
        <w:t>3. 在本担保有效期内，因承包人违反合同约定的义务给你方造成经济损失时，我方在收到你方以书面形式提出的在担保金额内的赔偿要求后，在7天内支付。</w:t>
      </w:r>
    </w:p>
    <w:p>
      <w:pPr>
        <w:spacing w:line="440" w:lineRule="exact"/>
        <w:ind w:firstLine="420" w:firstLineChars="200"/>
        <w:rPr>
          <w:szCs w:val="21"/>
        </w:rPr>
      </w:pPr>
      <w:r>
        <w:rPr>
          <w:szCs w:val="21"/>
        </w:rPr>
        <w:t>4. 发包人和承包人按《通用合同条款》第15条变更合同时，我</w:t>
      </w:r>
      <w:r>
        <w:rPr>
          <w:rFonts w:hint="eastAsia"/>
          <w:szCs w:val="21"/>
        </w:rPr>
        <w:t>方</w:t>
      </w:r>
      <w:r>
        <w:rPr>
          <w:szCs w:val="21"/>
        </w:rPr>
        <w:t>承担本</w:t>
      </w:r>
      <w:r>
        <w:rPr>
          <w:rFonts w:hint="eastAsia"/>
          <w:szCs w:val="21"/>
        </w:rPr>
        <w:t>担保</w:t>
      </w:r>
      <w:r>
        <w:rPr>
          <w:szCs w:val="21"/>
        </w:rPr>
        <w:t>规定的义务不变。</w:t>
      </w:r>
    </w:p>
    <w:p>
      <w:pPr>
        <w:spacing w:line="440" w:lineRule="exact"/>
        <w:rPr>
          <w:szCs w:val="21"/>
        </w:rPr>
      </w:pPr>
    </w:p>
    <w:p>
      <w:pPr>
        <w:spacing w:line="600" w:lineRule="exact"/>
        <w:ind w:firstLine="3418" w:firstLineChars="1628"/>
        <w:rPr>
          <w:szCs w:val="21"/>
        </w:rPr>
      </w:pPr>
      <w:r>
        <w:rPr>
          <w:rFonts w:hint="eastAsia"/>
          <w:szCs w:val="21"/>
        </w:rPr>
        <w:t>担 保</w:t>
      </w:r>
      <w:r>
        <w:rPr>
          <w:szCs w:val="21"/>
        </w:rPr>
        <w:t xml:space="preserve"> 人：（盖单位章）</w:t>
      </w:r>
    </w:p>
    <w:p>
      <w:pPr>
        <w:spacing w:line="600" w:lineRule="exact"/>
        <w:ind w:firstLine="3418" w:firstLineChars="1628"/>
        <w:rPr>
          <w:szCs w:val="21"/>
        </w:rPr>
      </w:pPr>
      <w:r>
        <w:rPr>
          <w:szCs w:val="21"/>
        </w:rPr>
        <w:t>法定代表人或其委托代理人：（签字）</w:t>
      </w:r>
    </w:p>
    <w:p>
      <w:pPr>
        <w:spacing w:line="600" w:lineRule="exact"/>
        <w:ind w:firstLine="3418" w:firstLineChars="1628"/>
        <w:rPr>
          <w:szCs w:val="21"/>
        </w:rPr>
      </w:pPr>
      <w:r>
        <w:rPr>
          <w:szCs w:val="21"/>
        </w:rPr>
        <w:t>地    址：</w:t>
      </w:r>
    </w:p>
    <w:p>
      <w:pPr>
        <w:spacing w:line="600" w:lineRule="exact"/>
        <w:ind w:firstLine="3418" w:firstLineChars="1628"/>
        <w:rPr>
          <w:szCs w:val="21"/>
        </w:rPr>
      </w:pPr>
      <w:r>
        <w:rPr>
          <w:szCs w:val="21"/>
        </w:rPr>
        <w:t>邮政编码：</w:t>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p>
    <w:p>
      <w:pPr>
        <w:spacing w:line="600" w:lineRule="exact"/>
        <w:ind w:firstLine="3418" w:firstLineChars="1628"/>
        <w:rPr>
          <w:szCs w:val="21"/>
        </w:rPr>
      </w:pPr>
      <w:r>
        <w:rPr>
          <w:szCs w:val="21"/>
        </w:rPr>
        <w:t>电    话：</w:t>
      </w:r>
    </w:p>
    <w:p>
      <w:pPr>
        <w:spacing w:line="600" w:lineRule="exact"/>
        <w:ind w:firstLine="4258" w:firstLineChars="2028"/>
      </w:pPr>
      <w:r>
        <w:rPr>
          <w:szCs w:val="21"/>
        </w:rPr>
        <w:t>年月日</w:t>
      </w:r>
      <w:r>
        <w:br w:type="page"/>
      </w:r>
    </w:p>
    <w:p>
      <w:pPr>
        <w:pStyle w:val="6"/>
      </w:pPr>
      <w:bookmarkStart w:id="607" w:name="_Toc300835203"/>
      <w:bookmarkStart w:id="608" w:name="_Toc247514201"/>
      <w:bookmarkStart w:id="609" w:name="_Toc247527802"/>
      <w:bookmarkStart w:id="610" w:name="_Toc144974833"/>
      <w:bookmarkStart w:id="611" w:name="_Toc152045771"/>
      <w:bookmarkStart w:id="612" w:name="_Toc152042553"/>
      <w:r>
        <w:rPr>
          <w:rFonts w:hint="eastAsia"/>
        </w:rPr>
        <w:t>附件三：预付款担保格式</w:t>
      </w:r>
      <w:bookmarkEnd w:id="607"/>
      <w:bookmarkEnd w:id="608"/>
      <w:bookmarkEnd w:id="609"/>
      <w:bookmarkEnd w:id="610"/>
      <w:bookmarkEnd w:id="611"/>
      <w:bookmarkEnd w:id="612"/>
    </w:p>
    <w:p>
      <w:pPr>
        <w:spacing w:line="400" w:lineRule="exact"/>
      </w:pPr>
    </w:p>
    <w:p>
      <w:pPr>
        <w:spacing w:line="440" w:lineRule="exact"/>
        <w:jc w:val="center"/>
        <w:rPr>
          <w:rFonts w:eastAsia="黑体"/>
          <w:sz w:val="28"/>
          <w:szCs w:val="28"/>
        </w:rPr>
      </w:pPr>
      <w:r>
        <w:rPr>
          <w:rFonts w:eastAsia="黑体"/>
          <w:sz w:val="28"/>
          <w:szCs w:val="28"/>
        </w:rPr>
        <w:t>预付款</w:t>
      </w:r>
      <w:r>
        <w:rPr>
          <w:rFonts w:hint="eastAsia" w:eastAsia="黑体"/>
          <w:sz w:val="28"/>
          <w:szCs w:val="28"/>
        </w:rPr>
        <w:t>担保</w:t>
      </w:r>
    </w:p>
    <w:p>
      <w:pPr>
        <w:spacing w:line="440" w:lineRule="exact"/>
        <w:rPr>
          <w:rFonts w:eastAsia="黑体"/>
          <w:sz w:val="20"/>
        </w:rPr>
      </w:pPr>
    </w:p>
    <w:p>
      <w:pPr>
        <w:spacing w:line="440" w:lineRule="exact"/>
        <w:rPr>
          <w:szCs w:val="21"/>
        </w:rPr>
      </w:pPr>
      <w:r>
        <w:rPr>
          <w:szCs w:val="21"/>
          <w:u w:val="single"/>
        </w:rPr>
        <w:tab/>
      </w:r>
      <w:r>
        <w:rPr>
          <w:szCs w:val="21"/>
          <w:u w:val="single"/>
        </w:rPr>
        <w:tab/>
      </w:r>
      <w:r>
        <w:rPr>
          <w:szCs w:val="21"/>
        </w:rPr>
        <w:t xml:space="preserve"> （发包人名称）：</w:t>
      </w:r>
    </w:p>
    <w:p>
      <w:pPr>
        <w:spacing w:line="440" w:lineRule="exact"/>
        <w:rPr>
          <w:szCs w:val="21"/>
        </w:rPr>
      </w:pPr>
    </w:p>
    <w:p>
      <w:pPr>
        <w:spacing w:line="440" w:lineRule="exact"/>
        <w:ind w:firstLine="420" w:firstLineChars="200"/>
        <w:rPr>
          <w:szCs w:val="21"/>
        </w:rPr>
      </w:pPr>
      <w:r>
        <w:rPr>
          <w:szCs w:val="21"/>
        </w:rPr>
        <w:t>根据（承包人名称）（以下称“承包人”）与（发包人名称）（以下简称“发包人”）于 年月日签订的（项目名称）</w:t>
      </w:r>
      <w:r>
        <w:rPr>
          <w:rFonts w:hint="eastAsia"/>
          <w:szCs w:val="21"/>
        </w:rPr>
        <w:t>设计施工总承包</w:t>
      </w:r>
      <w:r>
        <w:rPr>
          <w:szCs w:val="21"/>
        </w:rPr>
        <w:t>合同，承包人按约定的金额向发包人提交一份预付款担保，即有权得到发包人支付相等金额的预付款。我</w:t>
      </w:r>
      <w:r>
        <w:rPr>
          <w:rFonts w:hint="eastAsia"/>
          <w:szCs w:val="21"/>
        </w:rPr>
        <w:t>方</w:t>
      </w:r>
      <w:r>
        <w:rPr>
          <w:szCs w:val="21"/>
        </w:rPr>
        <w:t>愿意就</w:t>
      </w:r>
      <w:r>
        <w:rPr>
          <w:rFonts w:hint="eastAsia"/>
          <w:szCs w:val="21"/>
        </w:rPr>
        <w:t>你方提供给承包人的预付款提供担保。</w:t>
      </w:r>
    </w:p>
    <w:p>
      <w:pPr>
        <w:spacing w:line="440" w:lineRule="exact"/>
        <w:ind w:firstLine="420" w:firstLineChars="200"/>
        <w:rPr>
          <w:szCs w:val="21"/>
        </w:rPr>
      </w:pPr>
      <w:r>
        <w:rPr>
          <w:szCs w:val="21"/>
        </w:rPr>
        <w:t>1. 担保金额人民币（大写） （¥）。</w:t>
      </w:r>
    </w:p>
    <w:p>
      <w:pPr>
        <w:spacing w:line="440" w:lineRule="exact"/>
        <w:ind w:firstLine="420" w:firstLineChars="200"/>
        <w:rPr>
          <w:szCs w:val="21"/>
        </w:rPr>
      </w:pPr>
      <w:r>
        <w:rPr>
          <w:szCs w:val="21"/>
        </w:rPr>
        <w:t>2. 担保有效期自预付款支付给承包人起生效，至发包人签发的</w:t>
      </w:r>
      <w:r>
        <w:rPr>
          <w:rFonts w:hint="eastAsia"/>
          <w:szCs w:val="21"/>
        </w:rPr>
        <w:t>进度付款证书说明预付款已完全扣清止。</w:t>
      </w:r>
    </w:p>
    <w:p>
      <w:pPr>
        <w:spacing w:line="440" w:lineRule="exact"/>
        <w:ind w:firstLine="420" w:firstLineChars="200"/>
        <w:rPr>
          <w:szCs w:val="21"/>
        </w:rPr>
      </w:pPr>
      <w:r>
        <w:rPr>
          <w:szCs w:val="21"/>
        </w:rPr>
        <w:t>3. 在本保函有效期内，因承包人违反合同约定的义务而要求收回预付款时，我</w:t>
      </w:r>
      <w:r>
        <w:rPr>
          <w:rFonts w:hint="eastAsia"/>
          <w:szCs w:val="21"/>
        </w:rPr>
        <w:t>方</w:t>
      </w:r>
      <w:r>
        <w:rPr>
          <w:szCs w:val="21"/>
        </w:rPr>
        <w:t>在收到你方的书面通知后，在７天内支付。但本保函的担保金额，在任何时候不应超过预付款金额减去发包人按合同约定在向承包人签发的进度付款证书中扣除的金额。</w:t>
      </w:r>
    </w:p>
    <w:p>
      <w:pPr>
        <w:spacing w:line="440" w:lineRule="exact"/>
        <w:ind w:firstLine="420" w:firstLineChars="200"/>
        <w:rPr>
          <w:szCs w:val="21"/>
        </w:rPr>
      </w:pPr>
      <w:r>
        <w:rPr>
          <w:szCs w:val="21"/>
        </w:rPr>
        <w:t>4. 发包人和承包人按《通用合同条款》第15条变更合同时，我</w:t>
      </w:r>
      <w:r>
        <w:rPr>
          <w:rFonts w:hint="eastAsia"/>
          <w:szCs w:val="21"/>
        </w:rPr>
        <w:t>方</w:t>
      </w:r>
      <w:r>
        <w:rPr>
          <w:szCs w:val="21"/>
        </w:rPr>
        <w:t>承担本保函规定的义务不变。</w:t>
      </w:r>
    </w:p>
    <w:p>
      <w:pPr>
        <w:spacing w:line="440" w:lineRule="exact"/>
        <w:rPr>
          <w:szCs w:val="21"/>
        </w:rPr>
      </w:pPr>
    </w:p>
    <w:p>
      <w:pPr>
        <w:spacing w:line="600" w:lineRule="exact"/>
        <w:ind w:firstLine="3599" w:firstLineChars="1714"/>
        <w:rPr>
          <w:szCs w:val="21"/>
        </w:rPr>
      </w:pPr>
      <w:r>
        <w:rPr>
          <w:rFonts w:hint="eastAsia"/>
          <w:szCs w:val="21"/>
        </w:rPr>
        <w:t>担保人</w:t>
      </w:r>
      <w:r>
        <w:rPr>
          <w:szCs w:val="21"/>
        </w:rPr>
        <w:t>：（盖单位章）</w:t>
      </w:r>
    </w:p>
    <w:p>
      <w:pPr>
        <w:spacing w:line="600" w:lineRule="exact"/>
        <w:ind w:firstLine="3599" w:firstLineChars="1714"/>
        <w:rPr>
          <w:szCs w:val="21"/>
        </w:rPr>
      </w:pPr>
      <w:r>
        <w:rPr>
          <w:szCs w:val="21"/>
        </w:rPr>
        <w:t>法定代表人或</w:t>
      </w:r>
      <w:r>
        <w:rPr>
          <w:rFonts w:hint="eastAsia"/>
          <w:szCs w:val="21"/>
        </w:rPr>
        <w:t>授权</w:t>
      </w:r>
      <w:r>
        <w:rPr>
          <w:szCs w:val="21"/>
        </w:rPr>
        <w:t>人：（签字）</w:t>
      </w:r>
    </w:p>
    <w:p>
      <w:pPr>
        <w:spacing w:line="600" w:lineRule="exact"/>
        <w:ind w:firstLine="3599" w:firstLineChars="1714"/>
        <w:rPr>
          <w:szCs w:val="21"/>
        </w:rPr>
      </w:pPr>
      <w:r>
        <w:rPr>
          <w:szCs w:val="21"/>
        </w:rPr>
        <w:t>地    址：</w:t>
      </w:r>
      <w:r>
        <w:rPr>
          <w:szCs w:val="21"/>
          <w:u w:val="single"/>
        </w:rPr>
        <w:tab/>
      </w:r>
      <w:r>
        <w:rPr>
          <w:szCs w:val="21"/>
          <w:u w:val="single"/>
        </w:rPr>
        <w:tab/>
      </w:r>
      <w:r>
        <w:rPr>
          <w:szCs w:val="21"/>
          <w:u w:val="single"/>
        </w:rPr>
        <w:tab/>
      </w:r>
      <w:r>
        <w:rPr>
          <w:szCs w:val="21"/>
          <w:u w:val="single"/>
        </w:rPr>
        <w:tab/>
      </w:r>
    </w:p>
    <w:p>
      <w:pPr>
        <w:spacing w:line="600" w:lineRule="exact"/>
        <w:ind w:firstLine="3599" w:firstLineChars="1714"/>
        <w:rPr>
          <w:szCs w:val="21"/>
          <w:u w:val="single"/>
        </w:rPr>
      </w:pPr>
      <w:r>
        <w:rPr>
          <w:szCs w:val="21"/>
        </w:rPr>
        <w:t>邮政编码：</w:t>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p>
    <w:p>
      <w:pPr>
        <w:spacing w:line="600" w:lineRule="exact"/>
        <w:ind w:firstLine="3599" w:firstLineChars="1714"/>
        <w:rPr>
          <w:szCs w:val="21"/>
          <w:u w:val="single"/>
        </w:rPr>
      </w:pPr>
      <w:r>
        <w:rPr>
          <w:szCs w:val="21"/>
        </w:rPr>
        <w:t>电    话：</w:t>
      </w:r>
    </w:p>
    <w:p>
      <w:pPr>
        <w:spacing w:line="600" w:lineRule="exact"/>
        <w:ind w:firstLine="4326" w:firstLineChars="2060"/>
        <w:jc w:val="center"/>
        <w:rPr>
          <w:szCs w:val="21"/>
        </w:rPr>
      </w:pPr>
      <w:r>
        <w:rPr>
          <w:szCs w:val="21"/>
        </w:rPr>
        <w:t xml:space="preserve">年月日 </w:t>
      </w:r>
    </w:p>
    <w:p>
      <w:pPr>
        <w:topLinePunct/>
        <w:spacing w:line="440" w:lineRule="exact"/>
        <w:jc w:val="center"/>
      </w:pPr>
    </w:p>
    <w:p>
      <w:pPr>
        <w:spacing w:line="400" w:lineRule="exact"/>
      </w:pPr>
      <w:r>
        <w:br w:type="page"/>
      </w:r>
    </w:p>
    <w:p>
      <w:pPr>
        <w:spacing w:line="400" w:lineRule="exact"/>
        <w:jc w:val="center"/>
        <w:rPr>
          <w:b/>
          <w:sz w:val="32"/>
          <w:szCs w:val="32"/>
        </w:rPr>
      </w:pPr>
      <w:r>
        <w:rPr>
          <w:rFonts w:hint="eastAsia"/>
          <w:b/>
          <w:sz w:val="32"/>
          <w:szCs w:val="32"/>
        </w:rPr>
        <w:t>发包人要求</w:t>
      </w:r>
    </w:p>
    <w:p>
      <w:pPr>
        <w:spacing w:line="400" w:lineRule="exact"/>
      </w:pPr>
    </w:p>
    <w:p>
      <w:pPr>
        <w:spacing w:line="440" w:lineRule="exact"/>
        <w:ind w:firstLine="359" w:firstLineChars="171"/>
        <w:rPr>
          <w:szCs w:val="21"/>
        </w:rPr>
      </w:pPr>
      <w:r>
        <w:rPr>
          <w:rFonts w:hint="eastAsia"/>
          <w:szCs w:val="21"/>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pPr>
        <w:spacing w:line="440" w:lineRule="exact"/>
        <w:ind w:firstLine="359" w:firstLineChars="171"/>
        <w:rPr>
          <w:szCs w:val="21"/>
        </w:rPr>
      </w:pPr>
      <w:r>
        <w:rPr>
          <w:rFonts w:hint="eastAsia"/>
          <w:szCs w:val="21"/>
        </w:rPr>
        <w:t>发包人要求通常包括但不限于以下内容：</w:t>
      </w:r>
    </w:p>
    <w:p>
      <w:pPr>
        <w:spacing w:line="440" w:lineRule="exact"/>
        <w:ind w:firstLine="359" w:firstLineChars="171"/>
        <w:rPr>
          <w:rFonts w:ascii="黑体" w:eastAsia="黑体"/>
          <w:szCs w:val="21"/>
        </w:rPr>
      </w:pPr>
      <w:r>
        <w:rPr>
          <w:rFonts w:hint="eastAsia" w:ascii="黑体" w:eastAsia="黑体"/>
          <w:szCs w:val="21"/>
        </w:rPr>
        <w:t>一、功能要求</w:t>
      </w:r>
    </w:p>
    <w:p>
      <w:pPr>
        <w:spacing w:line="440" w:lineRule="exact"/>
        <w:ind w:firstLine="567" w:firstLineChars="270"/>
        <w:rPr>
          <w:szCs w:val="21"/>
        </w:rPr>
      </w:pPr>
      <w:r>
        <w:rPr>
          <w:rFonts w:hint="eastAsia"/>
          <w:szCs w:val="21"/>
        </w:rPr>
        <w:t>（一）工程的目的。</w:t>
      </w:r>
    </w:p>
    <w:p>
      <w:pPr>
        <w:spacing w:line="440" w:lineRule="exact"/>
        <w:ind w:firstLine="567" w:firstLineChars="270"/>
        <w:rPr>
          <w:szCs w:val="21"/>
        </w:rPr>
      </w:pPr>
      <w:r>
        <w:rPr>
          <w:rFonts w:hint="eastAsia"/>
          <w:szCs w:val="21"/>
        </w:rPr>
        <w:t>（二）工程规模。</w:t>
      </w:r>
    </w:p>
    <w:p>
      <w:pPr>
        <w:spacing w:line="440" w:lineRule="exact"/>
        <w:ind w:firstLine="567" w:firstLineChars="270"/>
        <w:rPr>
          <w:szCs w:val="21"/>
        </w:rPr>
      </w:pPr>
      <w:r>
        <w:rPr>
          <w:rFonts w:hint="eastAsia"/>
          <w:szCs w:val="21"/>
        </w:rPr>
        <w:t>（三）性能保证指标（性能保证表）。</w:t>
      </w:r>
    </w:p>
    <w:p>
      <w:pPr>
        <w:spacing w:line="440" w:lineRule="exact"/>
        <w:ind w:firstLine="567" w:firstLineChars="270"/>
        <w:rPr>
          <w:szCs w:val="21"/>
        </w:rPr>
      </w:pPr>
      <w:r>
        <w:rPr>
          <w:rFonts w:hint="eastAsia"/>
          <w:szCs w:val="21"/>
        </w:rPr>
        <w:t>（四）产能保证指标。</w:t>
      </w:r>
    </w:p>
    <w:p>
      <w:pPr>
        <w:spacing w:line="440" w:lineRule="exact"/>
        <w:ind w:firstLine="359" w:firstLineChars="171"/>
        <w:rPr>
          <w:rFonts w:ascii="黑体" w:eastAsia="黑体"/>
          <w:szCs w:val="21"/>
        </w:rPr>
      </w:pPr>
      <w:r>
        <w:rPr>
          <w:rFonts w:hint="eastAsia" w:ascii="黑体" w:eastAsia="黑体"/>
          <w:szCs w:val="21"/>
        </w:rPr>
        <w:t>二、工程范围</w:t>
      </w:r>
    </w:p>
    <w:p>
      <w:pPr>
        <w:spacing w:line="400" w:lineRule="exact"/>
        <w:ind w:firstLine="630" w:firstLineChars="300"/>
      </w:pPr>
      <w:r>
        <w:rPr>
          <w:rFonts w:hint="eastAsia"/>
        </w:rPr>
        <w:t>（一）概述</w:t>
      </w:r>
    </w:p>
    <w:p>
      <w:pPr>
        <w:spacing w:line="400" w:lineRule="exact"/>
        <w:ind w:firstLine="630" w:firstLineChars="300"/>
      </w:pPr>
      <w:r>
        <w:rPr>
          <w:rFonts w:hint="eastAsia"/>
        </w:rPr>
        <w:t>（二）包括的工作</w:t>
      </w:r>
    </w:p>
    <w:p>
      <w:pPr>
        <w:spacing w:line="440" w:lineRule="exact"/>
        <w:ind w:firstLine="987" w:firstLineChars="470"/>
        <w:rPr>
          <w:szCs w:val="21"/>
        </w:rPr>
      </w:pPr>
      <w:r>
        <w:rPr>
          <w:rFonts w:hint="eastAsia"/>
          <w:szCs w:val="21"/>
        </w:rPr>
        <w:t>1. 永久工程的设计、采购、施工范围。</w:t>
      </w:r>
    </w:p>
    <w:p>
      <w:pPr>
        <w:spacing w:line="440" w:lineRule="exact"/>
        <w:ind w:firstLine="987" w:firstLineChars="470"/>
        <w:rPr>
          <w:szCs w:val="21"/>
        </w:rPr>
      </w:pPr>
      <w:r>
        <w:rPr>
          <w:rFonts w:hint="eastAsia"/>
          <w:szCs w:val="21"/>
        </w:rPr>
        <w:t>2. 临时工程的设计与施工范围。</w:t>
      </w:r>
    </w:p>
    <w:p>
      <w:pPr>
        <w:spacing w:line="440" w:lineRule="exact"/>
        <w:ind w:firstLine="987" w:firstLineChars="470"/>
        <w:rPr>
          <w:szCs w:val="21"/>
        </w:rPr>
      </w:pPr>
      <w:r>
        <w:rPr>
          <w:rFonts w:hint="eastAsia"/>
          <w:szCs w:val="21"/>
        </w:rPr>
        <w:t>3. 竣工验收工作范围。</w:t>
      </w:r>
    </w:p>
    <w:p>
      <w:pPr>
        <w:spacing w:line="440" w:lineRule="exact"/>
        <w:ind w:firstLine="987" w:firstLineChars="470"/>
        <w:rPr>
          <w:szCs w:val="21"/>
        </w:rPr>
      </w:pPr>
      <w:r>
        <w:rPr>
          <w:rFonts w:hint="eastAsia"/>
          <w:szCs w:val="21"/>
        </w:rPr>
        <w:t>4. 技术服务工作范围。</w:t>
      </w:r>
    </w:p>
    <w:p>
      <w:pPr>
        <w:spacing w:line="440" w:lineRule="exact"/>
        <w:ind w:firstLine="987" w:firstLineChars="470"/>
        <w:rPr>
          <w:szCs w:val="21"/>
        </w:rPr>
      </w:pPr>
      <w:r>
        <w:rPr>
          <w:rFonts w:hint="eastAsia"/>
          <w:szCs w:val="21"/>
        </w:rPr>
        <w:t>5. 培训工作范围。</w:t>
      </w:r>
    </w:p>
    <w:p>
      <w:pPr>
        <w:spacing w:line="440" w:lineRule="exact"/>
        <w:ind w:firstLine="987" w:firstLineChars="470"/>
        <w:rPr>
          <w:szCs w:val="21"/>
        </w:rPr>
      </w:pPr>
      <w:r>
        <w:rPr>
          <w:rFonts w:hint="eastAsia"/>
          <w:szCs w:val="21"/>
        </w:rPr>
        <w:t>6. 保修工作范围。</w:t>
      </w:r>
    </w:p>
    <w:p>
      <w:pPr>
        <w:spacing w:line="440" w:lineRule="exact"/>
        <w:ind w:firstLine="539" w:firstLineChars="257"/>
      </w:pPr>
      <w:r>
        <w:rPr>
          <w:rFonts w:hint="eastAsia"/>
        </w:rPr>
        <w:t>（三）工作界区</w:t>
      </w:r>
    </w:p>
    <w:p>
      <w:pPr>
        <w:spacing w:line="400" w:lineRule="exact"/>
        <w:ind w:firstLine="539" w:firstLineChars="257"/>
      </w:pPr>
      <w:r>
        <w:rPr>
          <w:rFonts w:hint="eastAsia"/>
        </w:rPr>
        <w:t>（四）发包人提供的现场条件</w:t>
      </w:r>
    </w:p>
    <w:p>
      <w:pPr>
        <w:spacing w:line="440" w:lineRule="exact"/>
        <w:ind w:firstLine="987" w:firstLineChars="470"/>
        <w:rPr>
          <w:szCs w:val="21"/>
        </w:rPr>
      </w:pPr>
      <w:r>
        <w:rPr>
          <w:rFonts w:hint="eastAsia"/>
          <w:szCs w:val="21"/>
        </w:rPr>
        <w:t>1. 施工用电。</w:t>
      </w:r>
    </w:p>
    <w:p>
      <w:pPr>
        <w:spacing w:line="440" w:lineRule="exact"/>
        <w:ind w:firstLine="987" w:firstLineChars="470"/>
        <w:rPr>
          <w:szCs w:val="21"/>
        </w:rPr>
      </w:pPr>
      <w:r>
        <w:rPr>
          <w:rFonts w:hint="eastAsia"/>
          <w:szCs w:val="21"/>
        </w:rPr>
        <w:t>2. 施工用水。</w:t>
      </w:r>
    </w:p>
    <w:p>
      <w:pPr>
        <w:spacing w:line="440" w:lineRule="exact"/>
        <w:ind w:firstLine="1003" w:firstLineChars="478"/>
      </w:pPr>
      <w:r>
        <w:rPr>
          <w:rFonts w:hint="eastAsia"/>
          <w:szCs w:val="21"/>
        </w:rPr>
        <w:t>3. 施工排水。</w:t>
      </w:r>
      <w:r>
        <w:rPr>
          <w:rFonts w:hint="eastAsia"/>
        </w:rPr>
        <w:tab/>
      </w:r>
    </w:p>
    <w:p>
      <w:pPr>
        <w:spacing w:line="400" w:lineRule="exact"/>
      </w:pPr>
      <w:r>
        <w:rPr>
          <w:rFonts w:hint="eastAsia"/>
        </w:rPr>
        <w:t xml:space="preserve">     （五）发包人提供的技术文件</w:t>
      </w:r>
    </w:p>
    <w:p>
      <w:pPr>
        <w:spacing w:line="440" w:lineRule="exact"/>
        <w:ind w:firstLine="898" w:firstLineChars="428"/>
      </w:pPr>
      <w:r>
        <w:rPr>
          <w:rFonts w:hint="eastAsia"/>
        </w:rPr>
        <w:t>除另有批准外，承包人的工作需要遵照发包人的下列技术文件:</w:t>
      </w:r>
    </w:p>
    <w:p>
      <w:pPr>
        <w:spacing w:line="440" w:lineRule="exact"/>
        <w:ind w:firstLine="898" w:firstLineChars="428"/>
        <w:rPr>
          <w:szCs w:val="21"/>
        </w:rPr>
      </w:pPr>
      <w:r>
        <w:rPr>
          <w:rFonts w:hint="eastAsia"/>
          <w:szCs w:val="21"/>
        </w:rPr>
        <w:t>1. 发包人需求任务书。</w:t>
      </w:r>
    </w:p>
    <w:p>
      <w:pPr>
        <w:spacing w:line="440" w:lineRule="exact"/>
        <w:ind w:firstLine="898" w:firstLineChars="428"/>
        <w:rPr>
          <w:szCs w:val="21"/>
        </w:rPr>
      </w:pPr>
      <w:r>
        <w:rPr>
          <w:rFonts w:hint="eastAsia"/>
          <w:szCs w:val="21"/>
        </w:rPr>
        <w:t>2. 发包人已完成的设计文件。</w:t>
      </w:r>
    </w:p>
    <w:p>
      <w:pPr>
        <w:spacing w:line="440" w:lineRule="exact"/>
        <w:ind w:firstLine="359" w:firstLineChars="171"/>
        <w:rPr>
          <w:rFonts w:ascii="黑体" w:eastAsia="黑体"/>
          <w:szCs w:val="21"/>
        </w:rPr>
      </w:pPr>
      <w:r>
        <w:rPr>
          <w:rFonts w:hint="eastAsia" w:ascii="黑体" w:eastAsia="黑体"/>
          <w:szCs w:val="21"/>
        </w:rPr>
        <w:t>三、工艺安排或要求（如有）</w:t>
      </w:r>
    </w:p>
    <w:p>
      <w:pPr>
        <w:spacing w:line="440" w:lineRule="exact"/>
        <w:ind w:firstLine="359" w:firstLineChars="171"/>
        <w:rPr>
          <w:rFonts w:ascii="黑体" w:eastAsia="黑体"/>
          <w:szCs w:val="21"/>
        </w:rPr>
      </w:pPr>
      <w:r>
        <w:rPr>
          <w:rFonts w:hint="eastAsia" w:ascii="黑体" w:eastAsia="黑体"/>
          <w:szCs w:val="21"/>
        </w:rPr>
        <w:t>四、时间要求</w:t>
      </w:r>
    </w:p>
    <w:p>
      <w:pPr>
        <w:spacing w:line="440" w:lineRule="exact"/>
        <w:ind w:firstLine="567" w:firstLineChars="270"/>
        <w:rPr>
          <w:szCs w:val="21"/>
        </w:rPr>
      </w:pPr>
      <w:r>
        <w:rPr>
          <w:rFonts w:hint="eastAsia"/>
          <w:szCs w:val="21"/>
        </w:rPr>
        <w:t>（一）开始工作时间。</w:t>
      </w:r>
    </w:p>
    <w:p>
      <w:pPr>
        <w:spacing w:line="440" w:lineRule="exact"/>
        <w:ind w:firstLine="567" w:firstLineChars="270"/>
        <w:rPr>
          <w:szCs w:val="21"/>
        </w:rPr>
      </w:pPr>
      <w:r>
        <w:rPr>
          <w:rFonts w:hint="eastAsia"/>
          <w:szCs w:val="21"/>
        </w:rPr>
        <w:t>（二）设计完成时间。</w:t>
      </w:r>
    </w:p>
    <w:p>
      <w:pPr>
        <w:spacing w:line="440" w:lineRule="exact"/>
        <w:ind w:firstLine="567" w:firstLineChars="270"/>
        <w:rPr>
          <w:szCs w:val="21"/>
        </w:rPr>
      </w:pPr>
      <w:r>
        <w:rPr>
          <w:rFonts w:hint="eastAsia"/>
          <w:szCs w:val="21"/>
        </w:rPr>
        <w:t>（三）进度计划。</w:t>
      </w:r>
    </w:p>
    <w:p>
      <w:pPr>
        <w:spacing w:line="440" w:lineRule="exact"/>
        <w:ind w:firstLine="567" w:firstLineChars="270"/>
        <w:rPr>
          <w:szCs w:val="21"/>
        </w:rPr>
      </w:pPr>
      <w:r>
        <w:rPr>
          <w:rFonts w:hint="eastAsia"/>
          <w:szCs w:val="21"/>
        </w:rPr>
        <w:t>（四）竣工时间。</w:t>
      </w:r>
    </w:p>
    <w:p>
      <w:pPr>
        <w:spacing w:line="440" w:lineRule="exact"/>
        <w:ind w:firstLine="567" w:firstLineChars="270"/>
        <w:rPr>
          <w:szCs w:val="21"/>
        </w:rPr>
      </w:pPr>
      <w:r>
        <w:rPr>
          <w:rFonts w:hint="eastAsia"/>
          <w:szCs w:val="21"/>
        </w:rPr>
        <w:t>（五）缺陷责任期。</w:t>
      </w:r>
    </w:p>
    <w:p>
      <w:pPr>
        <w:spacing w:line="440" w:lineRule="exact"/>
        <w:ind w:firstLine="567" w:firstLineChars="270"/>
        <w:rPr>
          <w:szCs w:val="21"/>
        </w:rPr>
      </w:pPr>
      <w:r>
        <w:rPr>
          <w:rFonts w:hint="eastAsia"/>
          <w:szCs w:val="21"/>
        </w:rPr>
        <w:t>（六）其他时间要求。</w:t>
      </w:r>
    </w:p>
    <w:p>
      <w:pPr>
        <w:spacing w:line="440" w:lineRule="exact"/>
        <w:ind w:firstLine="359" w:firstLineChars="171"/>
        <w:rPr>
          <w:rFonts w:ascii="黑体" w:eastAsia="黑体"/>
          <w:szCs w:val="21"/>
        </w:rPr>
      </w:pPr>
      <w:r>
        <w:rPr>
          <w:rFonts w:hint="eastAsia" w:ascii="黑体" w:eastAsia="黑体"/>
          <w:szCs w:val="21"/>
        </w:rPr>
        <w:t>五、技术要求</w:t>
      </w:r>
    </w:p>
    <w:p>
      <w:pPr>
        <w:spacing w:line="440" w:lineRule="exact"/>
        <w:ind w:firstLine="567" w:firstLineChars="270"/>
        <w:rPr>
          <w:szCs w:val="21"/>
        </w:rPr>
      </w:pPr>
      <w:r>
        <w:rPr>
          <w:rFonts w:hint="eastAsia"/>
          <w:szCs w:val="21"/>
        </w:rPr>
        <w:t>（一）设计阶段和设计任务。</w:t>
      </w:r>
    </w:p>
    <w:p>
      <w:pPr>
        <w:spacing w:line="440" w:lineRule="exact"/>
        <w:ind w:firstLine="567" w:firstLineChars="270"/>
        <w:rPr>
          <w:szCs w:val="21"/>
        </w:rPr>
      </w:pPr>
      <w:r>
        <w:rPr>
          <w:rFonts w:hint="eastAsia"/>
          <w:szCs w:val="21"/>
        </w:rPr>
        <w:t>（二）设计标准和规范。</w:t>
      </w:r>
    </w:p>
    <w:p>
      <w:pPr>
        <w:spacing w:line="440" w:lineRule="exact"/>
        <w:ind w:firstLine="567" w:firstLineChars="270"/>
        <w:rPr>
          <w:szCs w:val="21"/>
        </w:rPr>
      </w:pPr>
      <w:r>
        <w:rPr>
          <w:rFonts w:hint="eastAsia"/>
          <w:szCs w:val="21"/>
        </w:rPr>
        <w:t>（三）技术标准和要求。</w:t>
      </w:r>
    </w:p>
    <w:p>
      <w:pPr>
        <w:spacing w:line="440" w:lineRule="exact"/>
        <w:ind w:firstLine="567" w:firstLineChars="270"/>
        <w:rPr>
          <w:szCs w:val="21"/>
        </w:rPr>
      </w:pPr>
      <w:r>
        <w:rPr>
          <w:rFonts w:hint="eastAsia"/>
          <w:szCs w:val="21"/>
        </w:rPr>
        <w:t>（四）质量标准。</w:t>
      </w:r>
    </w:p>
    <w:p>
      <w:pPr>
        <w:spacing w:line="440" w:lineRule="exact"/>
        <w:ind w:firstLine="567" w:firstLineChars="270"/>
        <w:rPr>
          <w:szCs w:val="21"/>
        </w:rPr>
      </w:pPr>
      <w:r>
        <w:rPr>
          <w:rFonts w:hint="eastAsia"/>
          <w:szCs w:val="21"/>
        </w:rPr>
        <w:t>（五）设计、施工和设备监造、试验（如有）。</w:t>
      </w:r>
    </w:p>
    <w:p>
      <w:pPr>
        <w:spacing w:line="440" w:lineRule="exact"/>
        <w:ind w:firstLine="567" w:firstLineChars="270"/>
        <w:rPr>
          <w:szCs w:val="21"/>
        </w:rPr>
      </w:pPr>
      <w:r>
        <w:rPr>
          <w:rFonts w:hint="eastAsia"/>
          <w:szCs w:val="21"/>
        </w:rPr>
        <w:t>（六）样品。</w:t>
      </w:r>
    </w:p>
    <w:p>
      <w:pPr>
        <w:spacing w:line="440" w:lineRule="exact"/>
        <w:ind w:firstLine="567" w:firstLineChars="270"/>
        <w:rPr>
          <w:szCs w:val="21"/>
        </w:rPr>
      </w:pPr>
      <w:r>
        <w:rPr>
          <w:rFonts w:hint="eastAsia"/>
          <w:szCs w:val="21"/>
        </w:rPr>
        <w:t>（七）发包人提供的其他条件，如发包人或其委托的第三人提供的设计、工艺包、用于试验检验的工器具等，以及据此对承包人提出的予以配套的要求。</w:t>
      </w:r>
    </w:p>
    <w:p>
      <w:pPr>
        <w:spacing w:line="440" w:lineRule="exact"/>
        <w:ind w:firstLine="359" w:firstLineChars="171"/>
        <w:rPr>
          <w:rFonts w:ascii="黑体" w:eastAsia="黑体"/>
          <w:szCs w:val="21"/>
        </w:rPr>
      </w:pPr>
      <w:r>
        <w:rPr>
          <w:rFonts w:hint="eastAsia" w:ascii="黑体" w:eastAsia="黑体"/>
          <w:szCs w:val="21"/>
        </w:rPr>
        <w:t>六、竣工试验</w:t>
      </w:r>
    </w:p>
    <w:p>
      <w:pPr>
        <w:spacing w:line="440" w:lineRule="exact"/>
        <w:ind w:firstLine="567" w:firstLineChars="270"/>
        <w:rPr>
          <w:szCs w:val="21"/>
        </w:rPr>
      </w:pPr>
      <w:r>
        <w:rPr>
          <w:rFonts w:hint="eastAsia"/>
          <w:szCs w:val="21"/>
        </w:rPr>
        <w:t>（一）第一阶段，如对单车试验等的要求，包括试验前准备。</w:t>
      </w:r>
    </w:p>
    <w:p>
      <w:pPr>
        <w:spacing w:line="440" w:lineRule="exact"/>
        <w:ind w:firstLine="567" w:firstLineChars="270"/>
        <w:rPr>
          <w:szCs w:val="21"/>
        </w:rPr>
      </w:pPr>
      <w:r>
        <w:rPr>
          <w:rFonts w:hint="eastAsia"/>
          <w:szCs w:val="21"/>
        </w:rPr>
        <w:t>（二）第二阶段，如对联动试车、投料试车等的要求，包括人员、设备、材料、燃料、电力、消耗品、工具等必要条件。</w:t>
      </w:r>
    </w:p>
    <w:p>
      <w:pPr>
        <w:spacing w:line="440" w:lineRule="exact"/>
        <w:ind w:firstLine="567" w:firstLineChars="270"/>
        <w:rPr>
          <w:szCs w:val="21"/>
        </w:rPr>
      </w:pPr>
      <w:r>
        <w:rPr>
          <w:rFonts w:hint="eastAsia"/>
          <w:szCs w:val="21"/>
        </w:rPr>
        <w:t>（三）第三阶段，如对性能测试及其他竣工试验的要求，包括产能指标、产品质量标准、运营指标、环保指标等。</w:t>
      </w:r>
    </w:p>
    <w:p>
      <w:pPr>
        <w:spacing w:line="440" w:lineRule="exact"/>
        <w:ind w:firstLine="359" w:firstLineChars="171"/>
        <w:rPr>
          <w:rFonts w:ascii="黑体" w:eastAsia="黑体"/>
          <w:szCs w:val="21"/>
        </w:rPr>
      </w:pPr>
      <w:r>
        <w:rPr>
          <w:rFonts w:hint="eastAsia" w:ascii="黑体" w:eastAsia="黑体"/>
          <w:szCs w:val="21"/>
        </w:rPr>
        <w:t>七、竣工验收</w:t>
      </w:r>
    </w:p>
    <w:p>
      <w:pPr>
        <w:spacing w:line="440" w:lineRule="exact"/>
        <w:ind w:firstLine="359" w:firstLineChars="171"/>
        <w:rPr>
          <w:rFonts w:ascii="黑体" w:eastAsia="黑体"/>
          <w:szCs w:val="21"/>
        </w:rPr>
      </w:pPr>
      <w:r>
        <w:rPr>
          <w:rFonts w:hint="eastAsia" w:ascii="黑体" w:eastAsia="黑体"/>
          <w:szCs w:val="21"/>
        </w:rPr>
        <w:t>八、竣工后试验（如有）</w:t>
      </w:r>
    </w:p>
    <w:p>
      <w:pPr>
        <w:spacing w:line="440" w:lineRule="exact"/>
        <w:ind w:firstLine="359" w:firstLineChars="171"/>
        <w:rPr>
          <w:rFonts w:ascii="黑体" w:eastAsia="黑体"/>
          <w:szCs w:val="21"/>
        </w:rPr>
      </w:pPr>
      <w:r>
        <w:rPr>
          <w:rFonts w:hint="eastAsia" w:ascii="黑体" w:eastAsia="黑体"/>
          <w:szCs w:val="21"/>
        </w:rPr>
        <w:t>九、文件要求</w:t>
      </w:r>
    </w:p>
    <w:p>
      <w:pPr>
        <w:spacing w:line="440" w:lineRule="exact"/>
        <w:ind w:firstLine="567" w:firstLineChars="270"/>
        <w:rPr>
          <w:szCs w:val="21"/>
        </w:rPr>
      </w:pPr>
      <w:r>
        <w:rPr>
          <w:rFonts w:hint="eastAsia"/>
          <w:szCs w:val="21"/>
        </w:rPr>
        <w:t>（一）设计文件，及其相关审批、核准、备案要求。</w:t>
      </w:r>
    </w:p>
    <w:p>
      <w:pPr>
        <w:spacing w:line="440" w:lineRule="exact"/>
        <w:ind w:firstLine="567" w:firstLineChars="270"/>
        <w:rPr>
          <w:szCs w:val="21"/>
        </w:rPr>
      </w:pPr>
      <w:r>
        <w:rPr>
          <w:rFonts w:hint="eastAsia"/>
          <w:szCs w:val="21"/>
        </w:rPr>
        <w:t>（二）沟通计划。</w:t>
      </w:r>
    </w:p>
    <w:p>
      <w:pPr>
        <w:spacing w:line="440" w:lineRule="exact"/>
        <w:ind w:firstLine="567" w:firstLineChars="270"/>
        <w:rPr>
          <w:szCs w:val="21"/>
        </w:rPr>
      </w:pPr>
      <w:r>
        <w:rPr>
          <w:rFonts w:hint="eastAsia"/>
          <w:szCs w:val="21"/>
        </w:rPr>
        <w:t>（三）风险管理计划。</w:t>
      </w:r>
    </w:p>
    <w:p>
      <w:pPr>
        <w:spacing w:line="440" w:lineRule="exact"/>
        <w:ind w:firstLine="567" w:firstLineChars="270"/>
        <w:rPr>
          <w:szCs w:val="21"/>
        </w:rPr>
      </w:pPr>
      <w:r>
        <w:rPr>
          <w:rFonts w:hint="eastAsia"/>
          <w:szCs w:val="21"/>
        </w:rPr>
        <w:t>（四）竣工文件和工程的其他记录。</w:t>
      </w:r>
    </w:p>
    <w:p>
      <w:pPr>
        <w:spacing w:line="440" w:lineRule="exact"/>
        <w:ind w:firstLine="567" w:firstLineChars="270"/>
        <w:rPr>
          <w:szCs w:val="21"/>
        </w:rPr>
      </w:pPr>
      <w:r>
        <w:rPr>
          <w:rFonts w:hint="eastAsia"/>
          <w:szCs w:val="21"/>
        </w:rPr>
        <w:t>（五）操作和维修手册。</w:t>
      </w:r>
    </w:p>
    <w:p>
      <w:pPr>
        <w:spacing w:line="440" w:lineRule="exact"/>
        <w:ind w:firstLine="567" w:firstLineChars="270"/>
        <w:rPr>
          <w:szCs w:val="21"/>
        </w:rPr>
      </w:pPr>
      <w:r>
        <w:rPr>
          <w:rFonts w:hint="eastAsia"/>
          <w:szCs w:val="21"/>
        </w:rPr>
        <w:t>（六）其他承包人文件。</w:t>
      </w:r>
    </w:p>
    <w:p>
      <w:pPr>
        <w:spacing w:line="440" w:lineRule="exact"/>
        <w:ind w:firstLine="359" w:firstLineChars="171"/>
        <w:rPr>
          <w:rFonts w:ascii="黑体" w:eastAsia="黑体"/>
          <w:szCs w:val="21"/>
        </w:rPr>
      </w:pPr>
      <w:r>
        <w:rPr>
          <w:rFonts w:hint="eastAsia" w:ascii="黑体" w:eastAsia="黑体"/>
          <w:szCs w:val="21"/>
        </w:rPr>
        <w:t>十、工程项目管理规定</w:t>
      </w:r>
    </w:p>
    <w:p>
      <w:pPr>
        <w:spacing w:line="400" w:lineRule="exact"/>
        <w:ind w:firstLine="525" w:firstLineChars="250"/>
      </w:pPr>
      <w:r>
        <w:rPr>
          <w:rFonts w:hint="eastAsia"/>
        </w:rPr>
        <w:t>（一）质量。</w:t>
      </w:r>
    </w:p>
    <w:p>
      <w:pPr>
        <w:spacing w:line="400" w:lineRule="exact"/>
        <w:ind w:firstLine="525" w:firstLineChars="250"/>
      </w:pPr>
      <w:r>
        <w:rPr>
          <w:rFonts w:hint="eastAsia"/>
        </w:rPr>
        <w:t>（二）进度，包括里程碑进度计划（如果有）。</w:t>
      </w:r>
    </w:p>
    <w:p>
      <w:pPr>
        <w:spacing w:line="400" w:lineRule="exact"/>
        <w:ind w:firstLine="525" w:firstLineChars="250"/>
      </w:pPr>
      <w:r>
        <w:rPr>
          <w:rFonts w:hint="eastAsia"/>
        </w:rPr>
        <w:t>（三）支付。</w:t>
      </w:r>
    </w:p>
    <w:p>
      <w:pPr>
        <w:spacing w:line="400" w:lineRule="exact"/>
        <w:ind w:firstLine="525" w:firstLineChars="250"/>
      </w:pPr>
      <w:r>
        <w:rPr>
          <w:rFonts w:hint="eastAsia"/>
        </w:rPr>
        <w:t>（四）HSE（健康、安全与环境管理体系）。</w:t>
      </w:r>
    </w:p>
    <w:p>
      <w:pPr>
        <w:spacing w:line="400" w:lineRule="exact"/>
        <w:ind w:firstLine="525" w:firstLineChars="250"/>
      </w:pPr>
      <w:r>
        <w:rPr>
          <w:rFonts w:hint="eastAsia"/>
        </w:rPr>
        <w:t>（五）沟通。</w:t>
      </w:r>
    </w:p>
    <w:p>
      <w:pPr>
        <w:spacing w:line="400" w:lineRule="exact"/>
        <w:ind w:firstLine="525" w:firstLineChars="250"/>
      </w:pPr>
      <w:r>
        <w:rPr>
          <w:rFonts w:hint="eastAsia"/>
        </w:rPr>
        <w:t>（六）变更。</w:t>
      </w:r>
    </w:p>
    <w:p>
      <w:pPr>
        <w:spacing w:line="440" w:lineRule="exact"/>
        <w:ind w:firstLine="359" w:firstLineChars="171"/>
        <w:rPr>
          <w:rFonts w:ascii="黑体" w:eastAsia="黑体"/>
          <w:szCs w:val="21"/>
        </w:rPr>
      </w:pPr>
      <w:r>
        <w:rPr>
          <w:rFonts w:hint="eastAsia" w:ascii="黑体" w:eastAsia="黑体"/>
          <w:szCs w:val="21"/>
        </w:rPr>
        <w:t>十一、其他要求</w:t>
      </w:r>
    </w:p>
    <w:p>
      <w:pPr>
        <w:spacing w:line="440" w:lineRule="exact"/>
        <w:ind w:firstLine="567" w:firstLineChars="270"/>
        <w:rPr>
          <w:szCs w:val="21"/>
        </w:rPr>
      </w:pPr>
      <w:r>
        <w:rPr>
          <w:rFonts w:hint="eastAsia"/>
          <w:szCs w:val="21"/>
        </w:rPr>
        <w:t>（一）对承包人的主要人员资格要求。</w:t>
      </w:r>
    </w:p>
    <w:p>
      <w:pPr>
        <w:spacing w:line="440" w:lineRule="exact"/>
        <w:ind w:firstLine="567" w:firstLineChars="270"/>
        <w:rPr>
          <w:szCs w:val="21"/>
        </w:rPr>
      </w:pPr>
      <w:r>
        <w:rPr>
          <w:rFonts w:hint="eastAsia"/>
          <w:szCs w:val="21"/>
        </w:rPr>
        <w:t>（二）相关审批、核准和备案手续的办理。</w:t>
      </w:r>
    </w:p>
    <w:p>
      <w:pPr>
        <w:spacing w:line="440" w:lineRule="exact"/>
        <w:ind w:firstLine="567" w:firstLineChars="270"/>
        <w:rPr>
          <w:szCs w:val="21"/>
        </w:rPr>
      </w:pPr>
      <w:r>
        <w:rPr>
          <w:rFonts w:hint="eastAsia"/>
          <w:szCs w:val="21"/>
        </w:rPr>
        <w:t>（三）对项目业主人员的操作培训。</w:t>
      </w:r>
    </w:p>
    <w:p>
      <w:pPr>
        <w:spacing w:line="440" w:lineRule="exact"/>
        <w:ind w:firstLine="567" w:firstLineChars="270"/>
        <w:rPr>
          <w:szCs w:val="21"/>
        </w:rPr>
      </w:pPr>
      <w:r>
        <w:rPr>
          <w:rFonts w:hint="eastAsia"/>
          <w:szCs w:val="21"/>
        </w:rPr>
        <w:t>（四）分包。</w:t>
      </w:r>
    </w:p>
    <w:p>
      <w:pPr>
        <w:spacing w:line="440" w:lineRule="exact"/>
        <w:ind w:firstLine="567" w:firstLineChars="270"/>
        <w:rPr>
          <w:szCs w:val="21"/>
        </w:rPr>
      </w:pPr>
      <w:r>
        <w:rPr>
          <w:rFonts w:hint="eastAsia"/>
          <w:szCs w:val="21"/>
        </w:rPr>
        <w:t>（五）设备供应商。</w:t>
      </w:r>
    </w:p>
    <w:p>
      <w:pPr>
        <w:spacing w:line="440" w:lineRule="exact"/>
        <w:ind w:firstLine="567" w:firstLineChars="270"/>
        <w:rPr>
          <w:szCs w:val="21"/>
        </w:rPr>
      </w:pPr>
      <w:r>
        <w:rPr>
          <w:rFonts w:hint="eastAsia"/>
          <w:szCs w:val="21"/>
        </w:rPr>
        <w:t>（六）缺陷责任期的服务要求。</w:t>
      </w:r>
    </w:p>
    <w:p>
      <w:pPr>
        <w:spacing w:line="400" w:lineRule="exact"/>
        <w:jc w:val="center"/>
        <w:rPr>
          <w:b/>
          <w:sz w:val="32"/>
          <w:szCs w:val="32"/>
        </w:rPr>
      </w:pPr>
      <w:r>
        <w:rPr>
          <w:rFonts w:ascii="宋体" w:hAnsi="宋体"/>
          <w:szCs w:val="21"/>
        </w:rPr>
        <w:br w:type="page"/>
      </w:r>
      <w:r>
        <w:rPr>
          <w:rFonts w:hint="eastAsia"/>
          <w:b/>
          <w:sz w:val="32"/>
          <w:szCs w:val="32"/>
        </w:rPr>
        <w:t>发包人要求附件清单</w:t>
      </w:r>
    </w:p>
    <w:p>
      <w:pPr>
        <w:spacing w:line="400" w:lineRule="exact"/>
        <w:jc w:val="center"/>
      </w:pPr>
    </w:p>
    <w:p>
      <w:pPr>
        <w:spacing w:line="400" w:lineRule="exact"/>
      </w:pPr>
      <w:r>
        <w:rPr>
          <w:rFonts w:hint="eastAsia"/>
        </w:rPr>
        <w:t>附件一：性能保证表</w:t>
      </w:r>
    </w:p>
    <w:p>
      <w:pPr>
        <w:spacing w:line="400" w:lineRule="exact"/>
      </w:pPr>
      <w:r>
        <w:rPr>
          <w:rFonts w:hint="eastAsia"/>
        </w:rPr>
        <w:t>附件二：工作界区图</w:t>
      </w:r>
    </w:p>
    <w:p>
      <w:pPr>
        <w:spacing w:line="400" w:lineRule="exact"/>
      </w:pPr>
      <w:r>
        <w:rPr>
          <w:rFonts w:hint="eastAsia"/>
        </w:rPr>
        <w:t>附件三：发包人需求任务书</w:t>
      </w:r>
    </w:p>
    <w:p>
      <w:pPr>
        <w:spacing w:line="400" w:lineRule="exact"/>
      </w:pPr>
      <w:r>
        <w:rPr>
          <w:rFonts w:hint="eastAsia"/>
        </w:rPr>
        <w:t>附件四：发包人已完成的设计文件</w:t>
      </w:r>
    </w:p>
    <w:p>
      <w:pPr>
        <w:spacing w:line="400" w:lineRule="exact"/>
      </w:pPr>
      <w:r>
        <w:rPr>
          <w:rFonts w:hint="eastAsia"/>
        </w:rPr>
        <w:t>附件五：承包人文件要求</w:t>
      </w:r>
    </w:p>
    <w:p>
      <w:pPr>
        <w:spacing w:line="400" w:lineRule="exact"/>
      </w:pPr>
      <w:r>
        <w:rPr>
          <w:rFonts w:hint="eastAsia"/>
        </w:rPr>
        <w:t>附件六：承包人人员资格要求及审查规定</w:t>
      </w:r>
    </w:p>
    <w:p>
      <w:pPr>
        <w:spacing w:line="400" w:lineRule="exact"/>
      </w:pPr>
      <w:r>
        <w:rPr>
          <w:rFonts w:hint="eastAsia"/>
        </w:rPr>
        <w:t>附件七：承包人设计文件审查规定</w:t>
      </w:r>
    </w:p>
    <w:p>
      <w:pPr>
        <w:spacing w:line="400" w:lineRule="exact"/>
      </w:pPr>
      <w:r>
        <w:rPr>
          <w:rFonts w:hint="eastAsia"/>
        </w:rPr>
        <w:t>附件八：承包人采购审查与批准规定</w:t>
      </w:r>
    </w:p>
    <w:p>
      <w:pPr>
        <w:spacing w:line="400" w:lineRule="exact"/>
      </w:pPr>
      <w:r>
        <w:rPr>
          <w:rFonts w:hint="eastAsia"/>
        </w:rPr>
        <w:t xml:space="preserve">附件九：材料、工程设备和工程试验规定 </w:t>
      </w:r>
    </w:p>
    <w:p>
      <w:pPr>
        <w:spacing w:line="400" w:lineRule="exact"/>
      </w:pPr>
      <w:r>
        <w:rPr>
          <w:rFonts w:hint="eastAsia"/>
        </w:rPr>
        <w:t>附件十：竣工试验规定</w:t>
      </w:r>
    </w:p>
    <w:p>
      <w:pPr>
        <w:spacing w:line="400" w:lineRule="exact"/>
      </w:pPr>
      <w:r>
        <w:rPr>
          <w:rFonts w:hint="eastAsia"/>
        </w:rPr>
        <w:t>附件十一：竣工验收规定</w:t>
      </w:r>
    </w:p>
    <w:p>
      <w:pPr>
        <w:spacing w:line="400" w:lineRule="exact"/>
      </w:pPr>
      <w:r>
        <w:rPr>
          <w:rFonts w:hint="eastAsia"/>
        </w:rPr>
        <w:t>附件十二：竣工后试验规定</w:t>
      </w:r>
    </w:p>
    <w:p>
      <w:pPr>
        <w:jc w:val="left"/>
      </w:pPr>
      <w:r>
        <w:rPr>
          <w:rFonts w:hint="eastAsia"/>
        </w:rPr>
        <w:t>附件十三：工程项目管理规定</w:t>
      </w:r>
      <w:bookmarkStart w:id="613" w:name="_Toc300835206"/>
    </w:p>
    <w:p>
      <w:pPr>
        <w:pStyle w:val="2"/>
        <w:ind w:firstLine="340"/>
      </w:pPr>
    </w:p>
    <w:p>
      <w:pPr>
        <w:pStyle w:val="2"/>
        <w:ind w:firstLine="340"/>
      </w:pPr>
    </w:p>
    <w:bookmarkEnd w:id="613"/>
    <w:p>
      <w:pPr>
        <w:spacing w:line="360" w:lineRule="auto"/>
      </w:pPr>
      <w:r>
        <w:br w:type="page"/>
      </w:r>
    </w:p>
    <w:p>
      <w:pPr>
        <w:spacing w:line="400" w:lineRule="exact"/>
        <w:jc w:val="center"/>
        <w:rPr>
          <w:b/>
          <w:sz w:val="32"/>
          <w:szCs w:val="32"/>
        </w:rPr>
      </w:pPr>
      <w:r>
        <w:rPr>
          <w:rFonts w:hint="eastAsia"/>
          <w:b/>
          <w:sz w:val="32"/>
          <w:szCs w:val="32"/>
        </w:rPr>
        <w:t>发包人提供的资料</w:t>
      </w:r>
    </w:p>
    <w:p>
      <w:pPr>
        <w:rPr>
          <w:b/>
          <w:sz w:val="30"/>
          <w:szCs w:val="30"/>
        </w:rPr>
      </w:pPr>
    </w:p>
    <w:p>
      <w:pPr>
        <w:spacing w:line="360" w:lineRule="auto"/>
        <w:ind w:firstLine="420" w:firstLineChars="200"/>
        <w:rPr>
          <w:rFonts w:ascii="黑体" w:hAnsi="宋体" w:eastAsia="黑体"/>
          <w:szCs w:val="21"/>
        </w:rPr>
      </w:pPr>
      <w:r>
        <w:rPr>
          <w:rFonts w:hint="eastAsia" w:ascii="黑体" w:hAnsi="宋体" w:eastAsia="黑体"/>
          <w:szCs w:val="21"/>
        </w:rPr>
        <w:t>一、项目概况</w:t>
      </w:r>
    </w:p>
    <w:p>
      <w:pPr>
        <w:spacing w:line="360" w:lineRule="auto"/>
        <w:ind w:firstLine="420" w:firstLineChars="200"/>
        <w:rPr>
          <w:rFonts w:ascii="黑体" w:hAnsi="宋体" w:eastAsia="黑体"/>
          <w:szCs w:val="21"/>
        </w:rPr>
      </w:pPr>
      <w:r>
        <w:rPr>
          <w:rFonts w:hint="eastAsia" w:ascii="黑体" w:hAnsi="宋体" w:eastAsia="黑体"/>
          <w:szCs w:val="21"/>
        </w:rPr>
        <w:t>二、发包人提供的资料</w:t>
      </w:r>
    </w:p>
    <w:p>
      <w:pPr>
        <w:spacing w:line="360" w:lineRule="auto"/>
        <w:ind w:firstLine="420" w:firstLineChars="200"/>
        <w:rPr>
          <w:rFonts w:ascii="宋体" w:hAnsi="宋体"/>
          <w:szCs w:val="21"/>
        </w:rPr>
      </w:pPr>
      <w:r>
        <w:rPr>
          <w:rFonts w:hint="eastAsia" w:ascii="宋体" w:hAnsi="宋体"/>
          <w:szCs w:val="21"/>
        </w:rPr>
        <w:t>1. 施工场地及毗邻区域内的供水、排水、供电、供气、供热、通信、广播电视等地下管线资料、气象和水文观测资料，相邻建筑物和构筑物、地下工程的有关资料，以及其他与建设工程有关的原始资料。</w:t>
      </w:r>
    </w:p>
    <w:p>
      <w:pPr>
        <w:spacing w:line="360" w:lineRule="auto"/>
        <w:ind w:firstLine="420" w:firstLineChars="200"/>
        <w:rPr>
          <w:rFonts w:ascii="宋体" w:hAnsi="宋体"/>
          <w:szCs w:val="21"/>
        </w:rPr>
      </w:pPr>
      <w:r>
        <w:rPr>
          <w:rFonts w:hint="eastAsia" w:ascii="宋体" w:hAnsi="宋体"/>
          <w:szCs w:val="21"/>
        </w:rPr>
        <w:t>2. 定位放线的基准点、基准线和基准标高。</w:t>
      </w:r>
    </w:p>
    <w:p>
      <w:pPr>
        <w:spacing w:line="360" w:lineRule="auto"/>
        <w:ind w:firstLine="420" w:firstLineChars="200"/>
        <w:rPr>
          <w:rFonts w:ascii="宋体" w:hAnsi="宋体"/>
          <w:szCs w:val="21"/>
        </w:rPr>
      </w:pPr>
      <w:r>
        <w:rPr>
          <w:rFonts w:hint="eastAsia" w:ascii="宋体" w:hAnsi="宋体"/>
          <w:szCs w:val="21"/>
        </w:rPr>
        <w:t>3. 发包人取得的有关审批、核准和备案材料，如规划许可证。</w:t>
      </w:r>
    </w:p>
    <w:p>
      <w:pPr>
        <w:spacing w:line="360" w:lineRule="auto"/>
        <w:ind w:firstLine="420" w:firstLineChars="200"/>
        <w:rPr>
          <w:rFonts w:ascii="宋体" w:hAnsi="宋体"/>
          <w:szCs w:val="21"/>
        </w:rPr>
      </w:pPr>
      <w:r>
        <w:rPr>
          <w:rFonts w:hint="eastAsia" w:ascii="宋体" w:hAnsi="宋体"/>
          <w:szCs w:val="21"/>
        </w:rPr>
        <w:t>4．其他资料。</w:t>
      </w:r>
    </w:p>
    <w:p>
      <w:pPr>
        <w:jc w:val="center"/>
        <w:rPr>
          <w:rFonts w:ascii="华文中宋" w:hAnsi="华文中宋" w:eastAsia="华文中宋"/>
          <w:b/>
          <w:bCs/>
          <w:sz w:val="32"/>
          <w:szCs w:val="32"/>
        </w:rPr>
      </w:pPr>
    </w:p>
    <w:p>
      <w:pPr>
        <w:jc w:val="center"/>
        <w:rPr>
          <w:rFonts w:ascii="华文中宋" w:hAnsi="华文中宋" w:eastAsia="华文中宋"/>
          <w:b/>
          <w:bCs/>
          <w:sz w:val="32"/>
          <w:szCs w:val="32"/>
        </w:rPr>
      </w:pPr>
    </w:p>
    <w:p>
      <w:pPr>
        <w:jc w:val="center"/>
        <w:rPr>
          <w:rFonts w:ascii="华文中宋" w:hAnsi="华文中宋" w:eastAsia="华文中宋"/>
          <w:b/>
          <w:bCs/>
          <w:sz w:val="32"/>
          <w:szCs w:val="32"/>
        </w:rPr>
      </w:pPr>
    </w:p>
    <w:p>
      <w:pPr>
        <w:jc w:val="center"/>
        <w:rPr>
          <w:rFonts w:ascii="华文中宋" w:hAnsi="华文中宋" w:eastAsia="华文中宋"/>
          <w:b/>
          <w:bCs/>
          <w:sz w:val="32"/>
          <w:szCs w:val="32"/>
        </w:rPr>
      </w:pPr>
    </w:p>
    <w:p>
      <w:pPr>
        <w:jc w:val="center"/>
        <w:rPr>
          <w:rFonts w:ascii="华文中宋" w:hAnsi="华文中宋" w:eastAsia="华文中宋"/>
          <w:b/>
          <w:bCs/>
          <w:sz w:val="32"/>
          <w:szCs w:val="32"/>
        </w:rPr>
      </w:pPr>
    </w:p>
    <w:p>
      <w:pPr>
        <w:jc w:val="center"/>
        <w:rPr>
          <w:rFonts w:ascii="华文中宋" w:hAnsi="华文中宋" w:eastAsia="华文中宋"/>
          <w:b/>
          <w:bCs/>
          <w:sz w:val="32"/>
          <w:szCs w:val="32"/>
        </w:rPr>
      </w:pPr>
    </w:p>
    <w:p>
      <w:pPr>
        <w:jc w:val="center"/>
        <w:rPr>
          <w:rFonts w:ascii="华文中宋" w:hAnsi="华文中宋" w:eastAsia="华文中宋"/>
          <w:b/>
          <w:bCs/>
          <w:sz w:val="32"/>
          <w:szCs w:val="32"/>
        </w:rPr>
      </w:pPr>
    </w:p>
    <w:p>
      <w:pPr>
        <w:jc w:val="center"/>
        <w:rPr>
          <w:rFonts w:ascii="华文中宋" w:hAnsi="华文中宋" w:eastAsia="华文中宋"/>
          <w:b/>
          <w:bCs/>
          <w:sz w:val="32"/>
          <w:szCs w:val="32"/>
        </w:rPr>
      </w:pPr>
    </w:p>
    <w:p>
      <w:pPr>
        <w:jc w:val="center"/>
        <w:rPr>
          <w:rFonts w:ascii="华文中宋" w:hAnsi="华文中宋" w:eastAsia="华文中宋"/>
          <w:b/>
          <w:bCs/>
          <w:sz w:val="32"/>
          <w:szCs w:val="32"/>
        </w:rPr>
      </w:pPr>
    </w:p>
    <w:p>
      <w:pPr>
        <w:jc w:val="center"/>
        <w:rPr>
          <w:rFonts w:ascii="华文中宋" w:hAnsi="华文中宋" w:eastAsia="华文中宋"/>
          <w:b/>
          <w:bCs/>
          <w:sz w:val="32"/>
          <w:szCs w:val="32"/>
        </w:rPr>
      </w:pPr>
    </w:p>
    <w:p>
      <w:pPr>
        <w:jc w:val="center"/>
        <w:rPr>
          <w:rFonts w:ascii="华文中宋" w:hAnsi="华文中宋" w:eastAsia="华文中宋"/>
          <w:b/>
          <w:bCs/>
          <w:sz w:val="32"/>
          <w:szCs w:val="32"/>
        </w:rPr>
      </w:pPr>
    </w:p>
    <w:p>
      <w:pPr>
        <w:jc w:val="center"/>
        <w:rPr>
          <w:rFonts w:ascii="华文中宋" w:hAnsi="华文中宋" w:eastAsia="华文中宋"/>
          <w:b/>
          <w:bCs/>
          <w:sz w:val="32"/>
          <w:szCs w:val="32"/>
        </w:rPr>
      </w:pPr>
    </w:p>
    <w:p>
      <w:pPr>
        <w:pStyle w:val="2"/>
        <w:ind w:firstLine="340"/>
      </w:pPr>
    </w:p>
    <w:p>
      <w:pPr>
        <w:pStyle w:val="2"/>
        <w:ind w:firstLine="340"/>
      </w:pPr>
    </w:p>
    <w:p>
      <w:pPr>
        <w:pStyle w:val="2"/>
        <w:ind w:firstLine="340"/>
      </w:pPr>
    </w:p>
    <w:p>
      <w:pPr>
        <w:jc w:val="center"/>
        <w:rPr>
          <w:rFonts w:ascii="华文中宋" w:hAnsi="华文中宋" w:eastAsia="华文中宋"/>
          <w:b/>
          <w:bCs/>
          <w:sz w:val="32"/>
          <w:szCs w:val="32"/>
        </w:rPr>
      </w:pPr>
      <w:r>
        <w:rPr>
          <w:rFonts w:hint="eastAsia" w:ascii="华文中宋" w:hAnsi="华文中宋" w:eastAsia="华文中宋"/>
          <w:b/>
          <w:bCs/>
          <w:sz w:val="32"/>
          <w:szCs w:val="32"/>
        </w:rPr>
        <w:t>第五章：投标文件格式</w:t>
      </w:r>
    </w:p>
    <w:p>
      <w:pPr>
        <w:autoSpaceDE w:val="0"/>
        <w:autoSpaceDN w:val="0"/>
        <w:adjustRightInd w:val="0"/>
        <w:jc w:val="right"/>
        <w:rPr>
          <w:rFonts w:ascii="宋体" w:hAnsi="宋体" w:cs="宋体"/>
          <w:sz w:val="23"/>
          <w:u w:val="single"/>
        </w:rPr>
      </w:pPr>
      <w:r>
        <w:rPr>
          <w:rFonts w:hint="eastAsia" w:ascii="宋体" w:hAnsi="宋体" w:cs="宋体"/>
          <w:sz w:val="24"/>
          <w:szCs w:val="21"/>
        </w:rPr>
        <w:t>正（副）本</w:t>
      </w:r>
    </w:p>
    <w:p>
      <w:pPr>
        <w:autoSpaceDE w:val="0"/>
        <w:autoSpaceDN w:val="0"/>
        <w:adjustRightInd w:val="0"/>
        <w:jc w:val="center"/>
        <w:rPr>
          <w:rFonts w:ascii="宋体" w:hAnsi="宋体" w:cs="宋体"/>
          <w:sz w:val="23"/>
          <w:u w:val="single"/>
        </w:rPr>
      </w:pPr>
      <w:r>
        <w:rPr>
          <w:rFonts w:hint="eastAsia" w:ascii="宋体" w:hAnsi="宋体" w:cs="宋体"/>
          <w:sz w:val="31"/>
          <w:u w:val="single"/>
        </w:rPr>
        <w:t xml:space="preserve">                                （项目名称）</w:t>
      </w:r>
    </w:p>
    <w:p>
      <w:pPr>
        <w:autoSpaceDE w:val="0"/>
        <w:autoSpaceDN w:val="0"/>
        <w:adjustRightInd w:val="0"/>
        <w:spacing w:line="420" w:lineRule="exact"/>
        <w:ind w:firstLine="2520" w:firstLineChars="900"/>
        <w:jc w:val="left"/>
        <w:rPr>
          <w:rFonts w:ascii="宋体" w:hAnsi="宋体" w:cs="宋体"/>
          <w:kern w:val="0"/>
          <w:sz w:val="28"/>
        </w:rPr>
      </w:pPr>
    </w:p>
    <w:p>
      <w:pPr>
        <w:autoSpaceDE w:val="0"/>
        <w:autoSpaceDN w:val="0"/>
        <w:adjustRightInd w:val="0"/>
        <w:spacing w:line="420" w:lineRule="exact"/>
        <w:ind w:firstLine="2520" w:firstLineChars="900"/>
        <w:jc w:val="left"/>
        <w:rPr>
          <w:rFonts w:ascii="宋体" w:hAnsi="宋体" w:cs="宋体"/>
          <w:kern w:val="0"/>
          <w:sz w:val="28"/>
        </w:rPr>
      </w:pPr>
    </w:p>
    <w:p>
      <w:pPr>
        <w:autoSpaceDE w:val="0"/>
        <w:autoSpaceDN w:val="0"/>
        <w:adjustRightInd w:val="0"/>
        <w:spacing w:line="420" w:lineRule="exact"/>
        <w:ind w:firstLine="2520" w:firstLineChars="900"/>
        <w:jc w:val="left"/>
        <w:rPr>
          <w:rFonts w:ascii="宋体" w:hAnsi="宋体" w:cs="宋体"/>
          <w:kern w:val="0"/>
          <w:sz w:val="28"/>
        </w:rPr>
      </w:pPr>
    </w:p>
    <w:p>
      <w:pPr>
        <w:autoSpaceDE w:val="0"/>
        <w:autoSpaceDN w:val="0"/>
        <w:adjustRightInd w:val="0"/>
        <w:spacing w:line="420" w:lineRule="exact"/>
        <w:jc w:val="left"/>
        <w:rPr>
          <w:rFonts w:ascii="宋体" w:hAnsi="宋体" w:cs="宋体"/>
          <w:kern w:val="0"/>
          <w:sz w:val="28"/>
        </w:rPr>
      </w:pPr>
    </w:p>
    <w:p>
      <w:pPr>
        <w:autoSpaceDE w:val="0"/>
        <w:autoSpaceDN w:val="0"/>
        <w:adjustRightInd w:val="0"/>
        <w:rPr>
          <w:rFonts w:ascii="宋体" w:hAnsi="宋体" w:cs="宋体"/>
          <w:b/>
          <w:spacing w:val="60"/>
          <w:kern w:val="0"/>
          <w:sz w:val="70"/>
        </w:rPr>
      </w:pPr>
    </w:p>
    <w:p>
      <w:pPr>
        <w:autoSpaceDE w:val="0"/>
        <w:autoSpaceDN w:val="0"/>
        <w:adjustRightInd w:val="0"/>
        <w:jc w:val="center"/>
        <w:rPr>
          <w:rFonts w:ascii="宋体" w:hAnsi="宋体" w:cs="宋体"/>
          <w:b/>
          <w:spacing w:val="60"/>
          <w:kern w:val="0"/>
          <w:sz w:val="70"/>
        </w:rPr>
      </w:pPr>
    </w:p>
    <w:p>
      <w:pPr>
        <w:autoSpaceDE w:val="0"/>
        <w:autoSpaceDN w:val="0"/>
        <w:adjustRightInd w:val="0"/>
        <w:jc w:val="center"/>
        <w:rPr>
          <w:rFonts w:ascii="宋体" w:hAnsi="宋体" w:cs="宋体"/>
          <w:kern w:val="0"/>
          <w:sz w:val="44"/>
        </w:rPr>
      </w:pPr>
      <w:r>
        <w:rPr>
          <w:rFonts w:hint="eastAsia" w:ascii="宋体" w:hAnsi="宋体" w:cs="宋体"/>
          <w:b/>
          <w:spacing w:val="60"/>
          <w:kern w:val="0"/>
          <w:sz w:val="70"/>
        </w:rPr>
        <w:t>投 标 文 件</w:t>
      </w:r>
    </w:p>
    <w:p>
      <w:pPr>
        <w:autoSpaceDE w:val="0"/>
        <w:autoSpaceDN w:val="0"/>
        <w:adjustRightInd w:val="0"/>
        <w:jc w:val="center"/>
        <w:rPr>
          <w:rFonts w:ascii="宋体" w:hAnsi="宋体" w:cs="宋体"/>
          <w:color w:val="000000"/>
          <w:kern w:val="0"/>
          <w:sz w:val="52"/>
          <w:szCs w:val="22"/>
        </w:rPr>
      </w:pPr>
      <w:r>
        <w:rPr>
          <w:rFonts w:hint="eastAsia" w:ascii="宋体" w:hAnsi="宋体" w:cs="宋体"/>
          <w:bCs/>
          <w:color w:val="000000"/>
          <w:sz w:val="32"/>
          <w:szCs w:val="22"/>
        </w:rPr>
        <w:t>建安建工公字〔2018〕 号</w:t>
      </w:r>
    </w:p>
    <w:p>
      <w:pPr>
        <w:autoSpaceDE w:val="0"/>
        <w:autoSpaceDN w:val="0"/>
        <w:adjustRightInd w:val="0"/>
        <w:spacing w:line="420" w:lineRule="exact"/>
        <w:jc w:val="center"/>
        <w:rPr>
          <w:bCs/>
          <w:sz w:val="44"/>
          <w:szCs w:val="44"/>
        </w:rPr>
      </w:pPr>
    </w:p>
    <w:p>
      <w:pPr>
        <w:pStyle w:val="2"/>
        <w:ind w:firstLine="340"/>
      </w:pPr>
    </w:p>
    <w:p>
      <w:pPr>
        <w:autoSpaceDE w:val="0"/>
        <w:autoSpaceDN w:val="0"/>
        <w:adjustRightInd w:val="0"/>
        <w:spacing w:line="420" w:lineRule="exact"/>
        <w:jc w:val="center"/>
        <w:rPr>
          <w:rFonts w:ascii="宋体" w:hAnsi="宋体" w:cs="宋体"/>
          <w:kern w:val="0"/>
          <w:sz w:val="44"/>
        </w:rPr>
      </w:pPr>
    </w:p>
    <w:p>
      <w:pPr>
        <w:autoSpaceDE w:val="0"/>
        <w:autoSpaceDN w:val="0"/>
        <w:adjustRightInd w:val="0"/>
        <w:spacing w:line="420" w:lineRule="exact"/>
        <w:jc w:val="center"/>
        <w:rPr>
          <w:rFonts w:ascii="宋体" w:hAnsi="宋体" w:cs="宋体"/>
          <w:kern w:val="0"/>
          <w:sz w:val="44"/>
        </w:rPr>
      </w:pPr>
    </w:p>
    <w:p>
      <w:pPr>
        <w:autoSpaceDE w:val="0"/>
        <w:autoSpaceDN w:val="0"/>
        <w:adjustRightInd w:val="0"/>
        <w:spacing w:line="420" w:lineRule="exact"/>
        <w:jc w:val="center"/>
        <w:rPr>
          <w:rFonts w:ascii="宋体" w:hAnsi="宋体" w:cs="宋体"/>
          <w:kern w:val="0"/>
          <w:sz w:val="44"/>
        </w:rPr>
      </w:pPr>
    </w:p>
    <w:p>
      <w:pPr>
        <w:autoSpaceDE w:val="0"/>
        <w:autoSpaceDN w:val="0"/>
        <w:adjustRightInd w:val="0"/>
        <w:spacing w:line="420" w:lineRule="exact"/>
        <w:rPr>
          <w:rFonts w:ascii="宋体" w:hAnsi="宋体" w:cs="宋体"/>
          <w:kern w:val="0"/>
          <w:sz w:val="44"/>
        </w:rPr>
      </w:pPr>
    </w:p>
    <w:p>
      <w:pPr>
        <w:autoSpaceDE w:val="0"/>
        <w:autoSpaceDN w:val="0"/>
        <w:adjustRightInd w:val="0"/>
        <w:spacing w:line="420" w:lineRule="exact"/>
        <w:jc w:val="center"/>
        <w:rPr>
          <w:rFonts w:ascii="宋体" w:hAnsi="宋体" w:cs="宋体"/>
          <w:kern w:val="0"/>
          <w:sz w:val="44"/>
        </w:rPr>
      </w:pPr>
    </w:p>
    <w:p>
      <w:pPr>
        <w:pStyle w:val="106"/>
        <w:jc w:val="center"/>
        <w:rPr>
          <w:rFonts w:hAnsi="宋体" w:cs="宋体"/>
          <w:color w:val="auto"/>
          <w:sz w:val="23"/>
          <w:u w:val="single"/>
        </w:rPr>
      </w:pPr>
    </w:p>
    <w:p>
      <w:pPr>
        <w:pStyle w:val="106"/>
        <w:spacing w:line="400" w:lineRule="exact"/>
        <w:jc w:val="center"/>
        <w:rPr>
          <w:rFonts w:hAnsi="宋体" w:cs="宋体"/>
          <w:color w:val="auto"/>
          <w:sz w:val="23"/>
        </w:rPr>
      </w:pPr>
    </w:p>
    <w:p>
      <w:pPr>
        <w:pStyle w:val="106"/>
        <w:spacing w:line="400" w:lineRule="exact"/>
        <w:jc w:val="center"/>
        <w:rPr>
          <w:rFonts w:hAnsi="宋体" w:cs="宋体"/>
          <w:color w:val="auto"/>
          <w:sz w:val="23"/>
        </w:rPr>
      </w:pPr>
    </w:p>
    <w:p>
      <w:pPr>
        <w:pStyle w:val="106"/>
        <w:spacing w:line="400" w:lineRule="exact"/>
        <w:jc w:val="center"/>
        <w:rPr>
          <w:rFonts w:hAnsi="宋体" w:cs="宋体"/>
          <w:color w:val="auto"/>
          <w:sz w:val="23"/>
        </w:rPr>
      </w:pPr>
    </w:p>
    <w:p>
      <w:pPr>
        <w:pStyle w:val="106"/>
        <w:spacing w:line="400" w:lineRule="exact"/>
        <w:jc w:val="center"/>
        <w:rPr>
          <w:rFonts w:hAnsi="宋体" w:cs="宋体"/>
          <w:color w:val="auto"/>
          <w:sz w:val="23"/>
        </w:rPr>
      </w:pPr>
    </w:p>
    <w:p>
      <w:pPr>
        <w:pStyle w:val="106"/>
        <w:spacing w:line="400" w:lineRule="exact"/>
        <w:jc w:val="center"/>
        <w:rPr>
          <w:rFonts w:hAnsi="宋体" w:cs="宋体"/>
          <w:color w:val="auto"/>
          <w:sz w:val="23"/>
          <w:u w:val="single"/>
        </w:rPr>
      </w:pPr>
      <w:r>
        <w:rPr>
          <w:rFonts w:hint="eastAsia" w:hAnsi="宋体" w:cs="宋体"/>
          <w:color w:val="auto"/>
          <w:sz w:val="23"/>
        </w:rPr>
        <w:t>投标人：              （盖单位章）</w:t>
      </w:r>
    </w:p>
    <w:p>
      <w:pPr>
        <w:pStyle w:val="106"/>
        <w:spacing w:line="400" w:lineRule="exact"/>
        <w:rPr>
          <w:rFonts w:hAnsi="宋体" w:cs="宋体"/>
          <w:color w:val="auto"/>
          <w:sz w:val="23"/>
          <w:u w:val="single"/>
        </w:rPr>
      </w:pPr>
      <w:r>
        <w:rPr>
          <w:rFonts w:hint="eastAsia" w:hAnsi="宋体" w:cs="宋体"/>
          <w:color w:val="auto"/>
          <w:sz w:val="23"/>
        </w:rPr>
        <w:t xml:space="preserve">                法定代表人或其委托代理人：          （签字）</w:t>
      </w:r>
    </w:p>
    <w:p>
      <w:pPr>
        <w:pStyle w:val="106"/>
        <w:spacing w:line="400" w:lineRule="exact"/>
        <w:jc w:val="center"/>
        <w:rPr>
          <w:rFonts w:hAnsi="宋体" w:cs="宋体"/>
          <w:color w:val="auto"/>
          <w:sz w:val="23"/>
          <w:u w:val="single"/>
        </w:rPr>
      </w:pPr>
      <w:r>
        <w:rPr>
          <w:rFonts w:hint="eastAsia" w:hAnsi="宋体" w:cs="宋体"/>
          <w:color w:val="auto"/>
          <w:sz w:val="23"/>
        </w:rPr>
        <w:t xml:space="preserve"> 年   月   日</w:t>
      </w:r>
    </w:p>
    <w:p>
      <w:pPr>
        <w:autoSpaceDE w:val="0"/>
        <w:autoSpaceDN w:val="0"/>
        <w:adjustRightInd w:val="0"/>
        <w:spacing w:line="420" w:lineRule="exact"/>
        <w:ind w:firstLine="719" w:firstLineChars="257"/>
        <w:jc w:val="left"/>
        <w:rPr>
          <w:rFonts w:ascii="宋体" w:hAnsi="宋体" w:cs="宋体"/>
          <w:b/>
          <w:kern w:val="0"/>
          <w:sz w:val="48"/>
        </w:rPr>
      </w:pPr>
      <w:r>
        <w:rPr>
          <w:rFonts w:hint="eastAsia" w:ascii="宋体" w:hAnsi="宋体" w:cs="宋体"/>
          <w:kern w:val="0"/>
          <w:sz w:val="28"/>
        </w:rPr>
        <w:br w:type="page"/>
      </w:r>
    </w:p>
    <w:p>
      <w:pPr>
        <w:autoSpaceDE w:val="0"/>
        <w:autoSpaceDN w:val="0"/>
        <w:adjustRightInd w:val="0"/>
        <w:spacing w:line="420" w:lineRule="exact"/>
        <w:jc w:val="center"/>
        <w:rPr>
          <w:rFonts w:ascii="宋体" w:hAnsi="宋体" w:cs="宋体"/>
          <w:kern w:val="0"/>
          <w:sz w:val="32"/>
          <w:szCs w:val="32"/>
        </w:rPr>
      </w:pPr>
      <w:r>
        <w:rPr>
          <w:rFonts w:hint="eastAsia" w:ascii="宋体" w:hAnsi="宋体" w:cs="宋体"/>
          <w:kern w:val="0"/>
          <w:sz w:val="32"/>
          <w:szCs w:val="32"/>
        </w:rPr>
        <w:t>目    录</w:t>
      </w:r>
    </w:p>
    <w:p>
      <w:pPr>
        <w:autoSpaceDE w:val="0"/>
        <w:autoSpaceDN w:val="0"/>
        <w:adjustRightInd w:val="0"/>
        <w:spacing w:line="420" w:lineRule="exact"/>
        <w:jc w:val="center"/>
        <w:rPr>
          <w:rFonts w:ascii="宋体" w:hAnsi="宋体" w:cs="宋体"/>
          <w:kern w:val="0"/>
          <w:sz w:val="28"/>
          <w:szCs w:val="28"/>
        </w:rPr>
      </w:pPr>
    </w:p>
    <w:p>
      <w:pPr>
        <w:autoSpaceDE w:val="0"/>
        <w:autoSpaceDN w:val="0"/>
        <w:adjustRightInd w:val="0"/>
        <w:spacing w:line="440" w:lineRule="exact"/>
        <w:jc w:val="center"/>
        <w:rPr>
          <w:rFonts w:ascii="宋体" w:hAnsi="宋体" w:cs="宋体"/>
          <w:kern w:val="0"/>
          <w:sz w:val="28"/>
          <w:szCs w:val="28"/>
        </w:rPr>
      </w:pPr>
    </w:p>
    <w:p>
      <w:pPr>
        <w:autoSpaceDE w:val="0"/>
        <w:autoSpaceDN w:val="0"/>
        <w:adjustRightInd w:val="0"/>
        <w:spacing w:line="440" w:lineRule="exact"/>
        <w:ind w:firstLine="1080" w:firstLineChars="450"/>
        <w:jc w:val="left"/>
        <w:rPr>
          <w:rFonts w:ascii="宋体" w:hAnsi="宋体" w:cs="宋体"/>
          <w:kern w:val="0"/>
          <w:sz w:val="24"/>
        </w:rPr>
      </w:pPr>
      <w:r>
        <w:rPr>
          <w:rFonts w:hint="eastAsia" w:ascii="宋体" w:hAnsi="宋体" w:cs="宋体"/>
          <w:kern w:val="0"/>
          <w:sz w:val="24"/>
        </w:rPr>
        <w:t>一、投标函及投标函附录</w:t>
      </w:r>
    </w:p>
    <w:p>
      <w:pPr>
        <w:pStyle w:val="3"/>
        <w:spacing w:after="0" w:line="440" w:lineRule="exact"/>
        <w:ind w:right="63" w:firstLine="1080" w:firstLineChars="450"/>
        <w:rPr>
          <w:rFonts w:hAnsi="宋体" w:cs="宋体"/>
          <w:sz w:val="24"/>
        </w:rPr>
      </w:pPr>
      <w:r>
        <w:rPr>
          <w:rFonts w:hint="eastAsia" w:hAnsi="宋体" w:cs="宋体"/>
          <w:sz w:val="24"/>
        </w:rPr>
        <w:t>二、法定代表人身份证明</w:t>
      </w:r>
    </w:p>
    <w:p>
      <w:pPr>
        <w:autoSpaceDE w:val="0"/>
        <w:autoSpaceDN w:val="0"/>
        <w:adjustRightInd w:val="0"/>
        <w:spacing w:line="440" w:lineRule="exact"/>
        <w:ind w:firstLine="1080" w:firstLineChars="450"/>
        <w:jc w:val="left"/>
        <w:rPr>
          <w:rFonts w:ascii="宋体" w:hAnsi="宋体" w:cs="宋体"/>
          <w:kern w:val="0"/>
          <w:sz w:val="24"/>
        </w:rPr>
      </w:pPr>
      <w:r>
        <w:rPr>
          <w:rFonts w:hint="eastAsia" w:ascii="宋体" w:hAnsi="宋体" w:cs="宋体"/>
          <w:kern w:val="0"/>
          <w:sz w:val="24"/>
        </w:rPr>
        <w:t>三、授权委托书</w:t>
      </w:r>
    </w:p>
    <w:p>
      <w:pPr>
        <w:autoSpaceDE w:val="0"/>
        <w:autoSpaceDN w:val="0"/>
        <w:adjustRightInd w:val="0"/>
        <w:spacing w:line="440" w:lineRule="exact"/>
        <w:ind w:firstLine="1080" w:firstLineChars="450"/>
        <w:jc w:val="left"/>
        <w:rPr>
          <w:rFonts w:ascii="宋体" w:hAnsi="宋体" w:cs="宋体"/>
          <w:kern w:val="0"/>
          <w:sz w:val="24"/>
        </w:rPr>
      </w:pPr>
      <w:r>
        <w:rPr>
          <w:rFonts w:hint="eastAsia" w:ascii="宋体" w:hAnsi="宋体" w:cs="宋体"/>
          <w:kern w:val="0"/>
          <w:sz w:val="24"/>
        </w:rPr>
        <w:t>四、联合体协议书</w:t>
      </w:r>
    </w:p>
    <w:p>
      <w:pPr>
        <w:pStyle w:val="3"/>
        <w:spacing w:after="0" w:line="440" w:lineRule="exact"/>
        <w:ind w:left="3" w:right="63" w:firstLine="1075" w:firstLineChars="448"/>
        <w:rPr>
          <w:sz w:val="24"/>
        </w:rPr>
      </w:pPr>
      <w:r>
        <w:rPr>
          <w:rFonts w:hint="eastAsia" w:hAnsi="宋体" w:cs="宋体"/>
          <w:sz w:val="24"/>
        </w:rPr>
        <w:t>五、联合体牵头人授权委托书</w:t>
      </w:r>
    </w:p>
    <w:p>
      <w:pPr>
        <w:autoSpaceDE w:val="0"/>
        <w:autoSpaceDN w:val="0"/>
        <w:adjustRightInd w:val="0"/>
        <w:spacing w:line="440" w:lineRule="exact"/>
        <w:ind w:firstLine="1080" w:firstLineChars="450"/>
        <w:jc w:val="left"/>
        <w:rPr>
          <w:rFonts w:ascii="宋体" w:hAnsi="宋体" w:cs="宋体"/>
          <w:kern w:val="0"/>
          <w:sz w:val="24"/>
        </w:rPr>
      </w:pPr>
      <w:r>
        <w:rPr>
          <w:rFonts w:hint="eastAsia" w:ascii="宋体" w:hAnsi="宋体" w:cs="宋体"/>
          <w:kern w:val="0"/>
          <w:sz w:val="24"/>
        </w:rPr>
        <w:t>六、投标保证金及信用保证金</w:t>
      </w:r>
    </w:p>
    <w:p>
      <w:pPr>
        <w:autoSpaceDE w:val="0"/>
        <w:autoSpaceDN w:val="0"/>
        <w:adjustRightInd w:val="0"/>
        <w:spacing w:line="440" w:lineRule="exact"/>
        <w:ind w:firstLine="1080" w:firstLineChars="450"/>
        <w:jc w:val="left"/>
        <w:rPr>
          <w:rFonts w:ascii="宋体" w:hAnsi="宋体" w:cs="宋体"/>
          <w:kern w:val="0"/>
          <w:sz w:val="24"/>
        </w:rPr>
      </w:pPr>
      <w:r>
        <w:rPr>
          <w:rFonts w:hint="eastAsia" w:ascii="宋体" w:hAnsi="宋体" w:cs="宋体"/>
          <w:kern w:val="0"/>
          <w:sz w:val="24"/>
        </w:rPr>
        <w:t>七、施工组织设计</w:t>
      </w:r>
    </w:p>
    <w:p>
      <w:pPr>
        <w:autoSpaceDE w:val="0"/>
        <w:autoSpaceDN w:val="0"/>
        <w:adjustRightInd w:val="0"/>
        <w:spacing w:line="440" w:lineRule="exact"/>
        <w:ind w:firstLine="1080" w:firstLineChars="450"/>
        <w:jc w:val="left"/>
        <w:rPr>
          <w:rFonts w:ascii="宋体" w:hAnsi="宋体" w:cs="宋体"/>
          <w:kern w:val="0"/>
          <w:sz w:val="24"/>
        </w:rPr>
      </w:pPr>
      <w:r>
        <w:rPr>
          <w:rFonts w:hint="eastAsia" w:ascii="宋体" w:hAnsi="宋体" w:cs="宋体"/>
          <w:kern w:val="0"/>
          <w:sz w:val="24"/>
        </w:rPr>
        <w:t>八、项目管理机构</w:t>
      </w:r>
    </w:p>
    <w:p>
      <w:pPr>
        <w:autoSpaceDE w:val="0"/>
        <w:autoSpaceDN w:val="0"/>
        <w:adjustRightInd w:val="0"/>
        <w:spacing w:line="440" w:lineRule="exact"/>
        <w:ind w:firstLine="1080" w:firstLineChars="450"/>
        <w:jc w:val="left"/>
        <w:rPr>
          <w:rFonts w:ascii="宋体" w:hAnsi="宋体" w:cs="宋体"/>
          <w:kern w:val="0"/>
          <w:sz w:val="24"/>
        </w:rPr>
      </w:pPr>
      <w:r>
        <w:rPr>
          <w:rFonts w:hint="eastAsia" w:ascii="宋体" w:hAnsi="宋体" w:cs="宋体"/>
          <w:kern w:val="0"/>
          <w:sz w:val="24"/>
        </w:rPr>
        <w:t>九、资格审查资料</w:t>
      </w:r>
    </w:p>
    <w:p>
      <w:pPr>
        <w:autoSpaceDE w:val="0"/>
        <w:autoSpaceDN w:val="0"/>
        <w:adjustRightInd w:val="0"/>
        <w:spacing w:line="440" w:lineRule="exact"/>
        <w:ind w:firstLine="1080" w:firstLineChars="450"/>
        <w:jc w:val="left"/>
        <w:rPr>
          <w:rFonts w:ascii="宋体" w:hAnsi="宋体" w:cs="宋体"/>
          <w:kern w:val="0"/>
          <w:sz w:val="24"/>
        </w:rPr>
      </w:pPr>
      <w:r>
        <w:rPr>
          <w:rFonts w:hint="eastAsia" w:ascii="宋体" w:hAnsi="宋体" w:cs="宋体"/>
          <w:kern w:val="0"/>
          <w:sz w:val="24"/>
        </w:rPr>
        <w:t>十、其他材料</w:t>
      </w: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jc w:val="left"/>
        <w:rPr>
          <w:rFonts w:ascii="宋体" w:hAnsi="宋体" w:cs="宋体"/>
          <w:kern w:val="0"/>
          <w:szCs w:val="21"/>
        </w:rPr>
      </w:pPr>
    </w:p>
    <w:p>
      <w:pPr>
        <w:pStyle w:val="5"/>
        <w:spacing w:line="240" w:lineRule="auto"/>
        <w:jc w:val="center"/>
        <w:rPr>
          <w:rFonts w:ascii="宋体" w:hAnsi="宋体" w:eastAsia="宋体" w:cs="宋体"/>
          <w:bCs w:val="0"/>
          <w:sz w:val="28"/>
          <w:szCs w:val="28"/>
        </w:rPr>
      </w:pPr>
      <w:bookmarkStart w:id="614" w:name="_Toc11256"/>
      <w:r>
        <w:rPr>
          <w:rFonts w:hint="eastAsia" w:ascii="宋体" w:hAnsi="宋体" w:eastAsia="宋体" w:cs="宋体"/>
          <w:bCs w:val="0"/>
          <w:sz w:val="28"/>
          <w:szCs w:val="28"/>
        </w:rPr>
        <w:t>一、投标函及投标函附录</w:t>
      </w:r>
      <w:bookmarkEnd w:id="614"/>
    </w:p>
    <w:p>
      <w:pPr>
        <w:numPr>
          <w:ilvl w:val="0"/>
          <w:numId w:val="6"/>
        </w:numPr>
        <w:autoSpaceDE w:val="0"/>
        <w:autoSpaceDN w:val="0"/>
        <w:adjustRightInd w:val="0"/>
        <w:spacing w:line="420" w:lineRule="exact"/>
        <w:jc w:val="center"/>
        <w:rPr>
          <w:rFonts w:ascii="宋体" w:hAnsi="宋体" w:cs="宋体"/>
          <w:kern w:val="0"/>
          <w:sz w:val="24"/>
        </w:rPr>
      </w:pPr>
      <w:r>
        <w:rPr>
          <w:rFonts w:hint="eastAsia" w:ascii="宋体" w:hAnsi="宋体" w:cs="宋体"/>
          <w:kern w:val="0"/>
          <w:sz w:val="24"/>
        </w:rPr>
        <w:t>投 标 函</w:t>
      </w: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40" w:lineRule="exact"/>
        <w:jc w:val="left"/>
        <w:rPr>
          <w:rFonts w:ascii="宋体" w:hAnsi="宋体" w:cs="宋体"/>
          <w:kern w:val="0"/>
          <w:szCs w:val="21"/>
        </w:rPr>
      </w:pPr>
      <w:r>
        <w:rPr>
          <w:rFonts w:hint="eastAsia" w:ascii="宋体" w:hAnsi="宋体" w:cs="宋体"/>
          <w:u w:val="single"/>
        </w:rPr>
        <w:t xml:space="preserve">               （招标人名称） </w:t>
      </w:r>
      <w:r>
        <w:rPr>
          <w:rFonts w:hint="eastAsia" w:ascii="宋体" w:hAnsi="宋体" w:cs="宋体"/>
          <w:kern w:val="0"/>
          <w:szCs w:val="21"/>
        </w:rPr>
        <w:t>：</w:t>
      </w:r>
    </w:p>
    <w:p>
      <w:pPr>
        <w:autoSpaceDE w:val="0"/>
        <w:autoSpaceDN w:val="0"/>
        <w:adjustRightInd w:val="0"/>
        <w:spacing w:line="440" w:lineRule="exact"/>
        <w:jc w:val="left"/>
        <w:rPr>
          <w:rFonts w:ascii="宋体" w:hAnsi="宋体" w:cs="宋体"/>
          <w:kern w:val="0"/>
          <w:szCs w:val="21"/>
        </w:rPr>
      </w:pP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1．我方已仔细研究了</w:t>
      </w:r>
      <w:r>
        <w:rPr>
          <w:rFonts w:hint="eastAsia" w:ascii="宋体" w:hAnsi="宋体" w:cs="宋体"/>
          <w:u w:val="single"/>
        </w:rPr>
        <w:t>（项目名称）</w:t>
      </w:r>
      <w:r>
        <w:rPr>
          <w:rFonts w:hint="eastAsia" w:ascii="宋体" w:hAnsi="宋体" w:cs="宋体"/>
          <w:kern w:val="0"/>
          <w:szCs w:val="21"/>
        </w:rPr>
        <w:t>招标文件的全部内容，愿意以费率（大写）（小写</w:t>
      </w:r>
      <w:r>
        <w:rPr>
          <w:rFonts w:hint="eastAsia" w:ascii="宋体" w:hAnsi="宋体" w:cs="宋体"/>
        </w:rPr>
        <w:t>%</w:t>
      </w:r>
      <w:r>
        <w:rPr>
          <w:rFonts w:hint="eastAsia" w:ascii="宋体" w:hAnsi="宋体" w:cs="宋体"/>
          <w:kern w:val="0"/>
          <w:szCs w:val="21"/>
        </w:rPr>
        <w:t>）（保留至小数点后2位）的投标费率，工期</w:t>
      </w:r>
      <w:r>
        <w:rPr>
          <w:rFonts w:hint="eastAsia" w:ascii="宋体" w:hAnsi="宋体" w:cs="宋体"/>
        </w:rPr>
        <w:t>日历天</w:t>
      </w:r>
      <w:r>
        <w:rPr>
          <w:rFonts w:hint="eastAsia" w:ascii="宋体" w:hAnsi="宋体" w:cs="宋体"/>
          <w:kern w:val="0"/>
          <w:szCs w:val="21"/>
        </w:rPr>
        <w:t>，按合同约定实施和完成承包工程，修补工程中的任何缺陷，工程质量达到。</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2．我方承诺在投标有效期内不修改、撤销投标文件。</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3．随同本投标函提交投标保证金一份，金额为人民币（大写）元（¥）。</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4．如我方中标：</w:t>
      </w:r>
    </w:p>
    <w:p>
      <w:pPr>
        <w:autoSpaceDE w:val="0"/>
        <w:autoSpaceDN w:val="0"/>
        <w:adjustRightInd w:val="0"/>
        <w:spacing w:line="440" w:lineRule="exact"/>
        <w:ind w:firstLine="638" w:firstLineChars="304"/>
        <w:jc w:val="left"/>
        <w:rPr>
          <w:rFonts w:ascii="宋体" w:hAnsi="宋体" w:cs="宋体"/>
          <w:kern w:val="0"/>
          <w:szCs w:val="21"/>
        </w:rPr>
      </w:pPr>
      <w:r>
        <w:rPr>
          <w:rFonts w:hint="eastAsia" w:ascii="宋体" w:hAnsi="宋体" w:cs="宋体"/>
          <w:kern w:val="0"/>
          <w:szCs w:val="21"/>
        </w:rPr>
        <w:t>（1）我方承诺在收到中标通知书后，在中标通知书规定的期限内与你方签订合同。</w:t>
      </w:r>
    </w:p>
    <w:p>
      <w:pPr>
        <w:autoSpaceDE w:val="0"/>
        <w:autoSpaceDN w:val="0"/>
        <w:adjustRightInd w:val="0"/>
        <w:spacing w:line="440" w:lineRule="exact"/>
        <w:ind w:firstLine="638" w:firstLineChars="304"/>
        <w:jc w:val="left"/>
        <w:rPr>
          <w:rFonts w:ascii="宋体" w:hAnsi="宋体" w:cs="宋体"/>
          <w:kern w:val="0"/>
          <w:szCs w:val="21"/>
        </w:rPr>
      </w:pPr>
      <w:r>
        <w:rPr>
          <w:rFonts w:hint="eastAsia" w:ascii="宋体" w:hAnsi="宋体" w:cs="宋体"/>
          <w:kern w:val="0"/>
          <w:szCs w:val="21"/>
        </w:rPr>
        <w:t>（2）随同本投标函递交的投标函附录属于合同文件的组成部分。</w:t>
      </w:r>
    </w:p>
    <w:p>
      <w:pPr>
        <w:autoSpaceDE w:val="0"/>
        <w:autoSpaceDN w:val="0"/>
        <w:adjustRightInd w:val="0"/>
        <w:spacing w:line="440" w:lineRule="exact"/>
        <w:ind w:firstLine="638" w:firstLineChars="304"/>
        <w:jc w:val="left"/>
        <w:rPr>
          <w:rFonts w:ascii="宋体" w:hAnsi="宋体" w:cs="宋体"/>
          <w:kern w:val="0"/>
          <w:szCs w:val="21"/>
        </w:rPr>
      </w:pPr>
      <w:r>
        <w:rPr>
          <w:rFonts w:hint="eastAsia" w:ascii="宋体" w:hAnsi="宋体" w:cs="宋体"/>
          <w:kern w:val="0"/>
          <w:szCs w:val="21"/>
        </w:rPr>
        <w:t>（3）我方承诺在合同约定的期限内完成并移交全部合同工程。</w:t>
      </w:r>
    </w:p>
    <w:p>
      <w:pPr>
        <w:autoSpaceDE w:val="0"/>
        <w:autoSpaceDN w:val="0"/>
        <w:adjustRightInd w:val="0"/>
        <w:spacing w:line="440" w:lineRule="exact"/>
        <w:ind w:firstLine="420" w:firstLineChars="200"/>
        <w:jc w:val="left"/>
        <w:rPr>
          <w:rFonts w:ascii="宋体" w:hAnsi="宋体" w:cs="宋体"/>
          <w:b/>
          <w:kern w:val="0"/>
          <w:szCs w:val="21"/>
        </w:rPr>
      </w:pPr>
      <w:r>
        <w:rPr>
          <w:rFonts w:hint="eastAsia" w:ascii="宋体" w:hAnsi="宋体" w:cs="宋体"/>
          <w:kern w:val="0"/>
          <w:szCs w:val="21"/>
        </w:rPr>
        <w:t>5.我方承诺完全响应招标文件中</w:t>
      </w:r>
      <w:r>
        <w:rPr>
          <w:rFonts w:hint="eastAsia" w:ascii="宋体" w:hAnsi="宋体" w:cs="宋体"/>
          <w:szCs w:val="21"/>
        </w:rPr>
        <w:t>第四章“合同条款及格式”规定的权利义务等相关规定及要求。</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6．我方在此声明，所递交的投标文件及有关资料内容完整、真实和准确，且不存在标准施工招标文件第二章投标人须知第1.4.1款规定的任何一种情形。</w:t>
      </w:r>
    </w:p>
    <w:p>
      <w:pPr>
        <w:autoSpaceDE w:val="0"/>
        <w:autoSpaceDN w:val="0"/>
        <w:adjustRightInd w:val="0"/>
        <w:spacing w:line="440" w:lineRule="exact"/>
        <w:ind w:firstLine="539" w:firstLineChars="257"/>
        <w:jc w:val="left"/>
        <w:rPr>
          <w:rFonts w:ascii="宋体" w:hAnsi="宋体" w:cs="宋体"/>
          <w:kern w:val="0"/>
          <w:szCs w:val="21"/>
        </w:rPr>
      </w:pPr>
    </w:p>
    <w:p>
      <w:pPr>
        <w:autoSpaceDE w:val="0"/>
        <w:autoSpaceDN w:val="0"/>
        <w:adjustRightInd w:val="0"/>
        <w:spacing w:line="440" w:lineRule="exact"/>
        <w:ind w:firstLine="539" w:firstLineChars="257"/>
        <w:jc w:val="left"/>
        <w:rPr>
          <w:rFonts w:ascii="宋体" w:hAnsi="宋体" w:cs="宋体"/>
          <w:kern w:val="0"/>
          <w:szCs w:val="21"/>
        </w:rPr>
      </w:pPr>
    </w:p>
    <w:p>
      <w:pPr>
        <w:autoSpaceDE w:val="0"/>
        <w:autoSpaceDN w:val="0"/>
        <w:adjustRightInd w:val="0"/>
        <w:spacing w:line="440" w:lineRule="exact"/>
        <w:jc w:val="left"/>
        <w:rPr>
          <w:rFonts w:ascii="宋体" w:hAnsi="宋体" w:cs="宋体"/>
          <w:kern w:val="0"/>
          <w:szCs w:val="21"/>
        </w:rPr>
      </w:pPr>
    </w:p>
    <w:p>
      <w:pPr>
        <w:wordWrap w:val="0"/>
        <w:autoSpaceDE w:val="0"/>
        <w:autoSpaceDN w:val="0"/>
        <w:adjustRightInd w:val="0"/>
        <w:spacing w:line="440" w:lineRule="exact"/>
        <w:ind w:firstLine="2520" w:firstLineChars="1200"/>
        <w:jc w:val="right"/>
        <w:rPr>
          <w:rFonts w:ascii="宋体" w:hAnsi="宋体" w:cs="宋体"/>
          <w:kern w:val="0"/>
          <w:szCs w:val="21"/>
        </w:rPr>
      </w:pPr>
      <w:r>
        <w:rPr>
          <w:rFonts w:hint="eastAsia" w:ascii="宋体" w:hAnsi="宋体" w:cs="宋体"/>
          <w:kern w:val="0"/>
          <w:szCs w:val="21"/>
        </w:rPr>
        <w:t xml:space="preserve">投 标 人：（盖单位公章）          </w:t>
      </w:r>
    </w:p>
    <w:p>
      <w:pPr>
        <w:wordWrap w:val="0"/>
        <w:autoSpaceDE w:val="0"/>
        <w:autoSpaceDN w:val="0"/>
        <w:adjustRightInd w:val="0"/>
        <w:spacing w:line="440" w:lineRule="exact"/>
        <w:ind w:firstLine="2520" w:firstLineChars="1200"/>
        <w:jc w:val="right"/>
        <w:rPr>
          <w:rFonts w:ascii="宋体" w:hAnsi="宋体" w:cs="宋体"/>
          <w:kern w:val="0"/>
          <w:szCs w:val="21"/>
        </w:rPr>
      </w:pPr>
      <w:r>
        <w:rPr>
          <w:rFonts w:hint="eastAsia" w:ascii="宋体" w:hAnsi="宋体" w:cs="宋体"/>
          <w:kern w:val="0"/>
          <w:szCs w:val="21"/>
        </w:rPr>
        <w:t xml:space="preserve">法定代表人或其委托代理人：（签字或盖章）          </w:t>
      </w:r>
    </w:p>
    <w:p>
      <w:pPr>
        <w:wordWrap w:val="0"/>
        <w:autoSpaceDE w:val="0"/>
        <w:autoSpaceDN w:val="0"/>
        <w:adjustRightInd w:val="0"/>
        <w:spacing w:line="440" w:lineRule="exact"/>
        <w:ind w:firstLine="2520" w:firstLineChars="1200"/>
        <w:jc w:val="right"/>
        <w:rPr>
          <w:rFonts w:ascii="宋体" w:hAnsi="宋体" w:cs="宋体"/>
          <w:kern w:val="0"/>
          <w:szCs w:val="21"/>
        </w:rPr>
      </w:pPr>
      <w:r>
        <w:rPr>
          <w:rFonts w:hint="eastAsia" w:ascii="宋体" w:hAnsi="宋体" w:cs="宋体"/>
          <w:kern w:val="0"/>
          <w:szCs w:val="21"/>
        </w:rPr>
        <w:t xml:space="preserve">地址：                        </w:t>
      </w:r>
    </w:p>
    <w:p>
      <w:pPr>
        <w:wordWrap w:val="0"/>
        <w:autoSpaceDE w:val="0"/>
        <w:autoSpaceDN w:val="0"/>
        <w:adjustRightInd w:val="0"/>
        <w:spacing w:line="440" w:lineRule="exact"/>
        <w:ind w:firstLine="2520" w:firstLineChars="1200"/>
        <w:jc w:val="right"/>
        <w:rPr>
          <w:rFonts w:ascii="宋体" w:hAnsi="宋体" w:cs="宋体"/>
          <w:kern w:val="0"/>
          <w:szCs w:val="21"/>
          <w:u w:val="single"/>
        </w:rPr>
      </w:pPr>
      <w:r>
        <w:rPr>
          <w:rFonts w:hint="eastAsia" w:ascii="宋体" w:hAnsi="宋体" w:cs="宋体"/>
          <w:kern w:val="0"/>
          <w:szCs w:val="21"/>
        </w:rPr>
        <w:t xml:space="preserve">网址：                        </w:t>
      </w:r>
    </w:p>
    <w:p>
      <w:pPr>
        <w:wordWrap w:val="0"/>
        <w:autoSpaceDE w:val="0"/>
        <w:autoSpaceDN w:val="0"/>
        <w:adjustRightInd w:val="0"/>
        <w:spacing w:line="440" w:lineRule="exact"/>
        <w:ind w:firstLine="2520" w:firstLineChars="1200"/>
        <w:jc w:val="right"/>
        <w:rPr>
          <w:rFonts w:ascii="宋体" w:hAnsi="宋体" w:cs="宋体"/>
          <w:kern w:val="0"/>
          <w:szCs w:val="21"/>
          <w:u w:val="single"/>
        </w:rPr>
      </w:pPr>
      <w:r>
        <w:rPr>
          <w:rFonts w:hint="eastAsia" w:ascii="宋体" w:hAnsi="宋体" w:cs="宋体"/>
          <w:kern w:val="0"/>
          <w:szCs w:val="21"/>
        </w:rPr>
        <w:t xml:space="preserve">电话：                        </w:t>
      </w:r>
    </w:p>
    <w:p>
      <w:pPr>
        <w:wordWrap w:val="0"/>
        <w:autoSpaceDE w:val="0"/>
        <w:autoSpaceDN w:val="0"/>
        <w:adjustRightInd w:val="0"/>
        <w:spacing w:line="440" w:lineRule="exact"/>
        <w:ind w:firstLine="2520" w:firstLineChars="1200"/>
        <w:jc w:val="right"/>
        <w:rPr>
          <w:rFonts w:ascii="宋体" w:hAnsi="宋体" w:cs="宋体"/>
          <w:kern w:val="0"/>
          <w:szCs w:val="21"/>
          <w:u w:val="single"/>
        </w:rPr>
      </w:pPr>
      <w:r>
        <w:rPr>
          <w:rFonts w:hint="eastAsia" w:ascii="宋体" w:hAnsi="宋体" w:cs="宋体"/>
          <w:kern w:val="0"/>
          <w:szCs w:val="21"/>
        </w:rPr>
        <w:t xml:space="preserve">传真：                        </w:t>
      </w:r>
    </w:p>
    <w:p>
      <w:pPr>
        <w:wordWrap w:val="0"/>
        <w:autoSpaceDE w:val="0"/>
        <w:autoSpaceDN w:val="0"/>
        <w:adjustRightInd w:val="0"/>
        <w:spacing w:line="440" w:lineRule="exact"/>
        <w:ind w:firstLine="2520" w:firstLineChars="1200"/>
        <w:jc w:val="right"/>
        <w:rPr>
          <w:rFonts w:ascii="宋体" w:hAnsi="宋体" w:cs="宋体"/>
          <w:kern w:val="0"/>
          <w:szCs w:val="21"/>
          <w:u w:val="single"/>
        </w:rPr>
      </w:pPr>
      <w:r>
        <w:rPr>
          <w:rFonts w:hint="eastAsia" w:ascii="宋体" w:hAnsi="宋体" w:cs="宋体"/>
          <w:kern w:val="0"/>
          <w:szCs w:val="21"/>
        </w:rPr>
        <w:t xml:space="preserve">邮政编码：                        </w:t>
      </w:r>
    </w:p>
    <w:p>
      <w:pPr>
        <w:wordWrap w:val="0"/>
        <w:autoSpaceDE w:val="0"/>
        <w:autoSpaceDN w:val="0"/>
        <w:adjustRightInd w:val="0"/>
        <w:spacing w:line="440" w:lineRule="exact"/>
        <w:ind w:firstLine="3780" w:firstLineChars="1800"/>
        <w:jc w:val="right"/>
        <w:rPr>
          <w:rFonts w:ascii="宋体" w:hAnsi="宋体" w:cs="宋体"/>
          <w:kern w:val="0"/>
          <w:szCs w:val="21"/>
        </w:rPr>
      </w:pPr>
      <w:r>
        <w:rPr>
          <w:rFonts w:hint="eastAsia" w:ascii="宋体" w:hAnsi="宋体" w:cs="宋体"/>
          <w:kern w:val="0"/>
          <w:szCs w:val="21"/>
        </w:rPr>
        <w:t xml:space="preserve">年   月  日  </w:t>
      </w:r>
    </w:p>
    <w:p>
      <w:pPr>
        <w:pageBreakBefore/>
        <w:autoSpaceDE w:val="0"/>
        <w:autoSpaceDN w:val="0"/>
        <w:adjustRightInd w:val="0"/>
        <w:spacing w:line="420" w:lineRule="exact"/>
        <w:jc w:val="center"/>
        <w:rPr>
          <w:rFonts w:ascii="宋体" w:hAnsi="宋体" w:cs="宋体"/>
          <w:kern w:val="0"/>
          <w:sz w:val="24"/>
        </w:rPr>
      </w:pPr>
      <w:r>
        <w:rPr>
          <w:rFonts w:hint="eastAsia" w:ascii="宋体" w:hAnsi="宋体" w:cs="宋体"/>
          <w:kern w:val="0"/>
          <w:sz w:val="24"/>
        </w:rPr>
        <w:t>（二）投标函附录</w:t>
      </w:r>
    </w:p>
    <w:tbl>
      <w:tblPr>
        <w:tblStyle w:val="50"/>
        <w:tblpPr w:leftFromText="181" w:rightFromText="181" w:vertAnchor="text" w:horzAnchor="margin" w:tblpY="128"/>
        <w:tblOverlap w:val="never"/>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1173"/>
        <w:gridCol w:w="1352"/>
        <w:gridCol w:w="1713"/>
        <w:gridCol w:w="1412"/>
        <w:gridCol w:w="3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1499" w:type="dxa"/>
            <w:vAlign w:val="center"/>
          </w:tcPr>
          <w:p>
            <w:pPr>
              <w:jc w:val="center"/>
              <w:rPr>
                <w:rFonts w:ascii="宋体" w:hAnsi="宋体" w:cs="宋体"/>
                <w:szCs w:val="21"/>
              </w:rPr>
            </w:pPr>
            <w:r>
              <w:rPr>
                <w:rFonts w:hint="eastAsia" w:ascii="宋体" w:hAnsi="宋体" w:cs="宋体"/>
                <w:szCs w:val="21"/>
              </w:rPr>
              <w:t>项目名称</w:t>
            </w:r>
          </w:p>
        </w:tc>
        <w:tc>
          <w:tcPr>
            <w:tcW w:w="8815" w:type="dxa"/>
            <w:gridSpan w:val="5"/>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1499" w:type="dxa"/>
            <w:vAlign w:val="center"/>
          </w:tcPr>
          <w:p>
            <w:pPr>
              <w:jc w:val="center"/>
              <w:rPr>
                <w:rFonts w:ascii="宋体" w:hAnsi="宋体" w:cs="宋体"/>
                <w:szCs w:val="21"/>
              </w:rPr>
            </w:pPr>
            <w:r>
              <w:rPr>
                <w:rFonts w:hint="eastAsia" w:ascii="宋体" w:hAnsi="宋体" w:cs="宋体"/>
                <w:szCs w:val="21"/>
              </w:rPr>
              <w:t>投标人</w:t>
            </w:r>
          </w:p>
        </w:tc>
        <w:tc>
          <w:tcPr>
            <w:tcW w:w="8815" w:type="dxa"/>
            <w:gridSpan w:val="5"/>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1499" w:type="dxa"/>
            <w:vAlign w:val="center"/>
          </w:tcPr>
          <w:p>
            <w:pPr>
              <w:jc w:val="center"/>
              <w:rPr>
                <w:rFonts w:ascii="宋体" w:hAnsi="宋体" w:cs="宋体"/>
                <w:szCs w:val="21"/>
              </w:rPr>
            </w:pPr>
            <w:r>
              <w:rPr>
                <w:rFonts w:hint="eastAsia" w:ascii="宋体" w:hAnsi="宋体" w:cs="宋体"/>
                <w:szCs w:val="21"/>
              </w:rPr>
              <w:t>投标范围</w:t>
            </w:r>
          </w:p>
        </w:tc>
        <w:tc>
          <w:tcPr>
            <w:tcW w:w="8815" w:type="dxa"/>
            <w:gridSpan w:val="5"/>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1499" w:type="dxa"/>
            <w:vAlign w:val="center"/>
          </w:tcPr>
          <w:p>
            <w:pPr>
              <w:jc w:val="center"/>
              <w:rPr>
                <w:rFonts w:ascii="宋体" w:hAnsi="宋体" w:cs="宋体"/>
                <w:szCs w:val="21"/>
              </w:rPr>
            </w:pPr>
            <w:r>
              <w:rPr>
                <w:rFonts w:hint="eastAsia" w:ascii="宋体" w:hAnsi="宋体" w:cs="宋体"/>
                <w:szCs w:val="21"/>
              </w:rPr>
              <w:t>项目经理</w:t>
            </w:r>
          </w:p>
        </w:tc>
        <w:tc>
          <w:tcPr>
            <w:tcW w:w="1173" w:type="dxa"/>
            <w:vAlign w:val="center"/>
          </w:tcPr>
          <w:p>
            <w:pPr>
              <w:jc w:val="center"/>
              <w:rPr>
                <w:rFonts w:ascii="宋体" w:hAnsi="宋体" w:cs="宋体"/>
                <w:szCs w:val="21"/>
              </w:rPr>
            </w:pPr>
          </w:p>
        </w:tc>
        <w:tc>
          <w:tcPr>
            <w:tcW w:w="1352" w:type="dxa"/>
            <w:vAlign w:val="center"/>
          </w:tcPr>
          <w:p>
            <w:pPr>
              <w:jc w:val="center"/>
              <w:rPr>
                <w:rFonts w:ascii="宋体" w:hAnsi="宋体" w:cs="宋体"/>
                <w:szCs w:val="21"/>
              </w:rPr>
            </w:pPr>
            <w:r>
              <w:rPr>
                <w:rFonts w:hint="eastAsia" w:ascii="宋体" w:hAnsi="宋体" w:cs="宋体"/>
                <w:szCs w:val="21"/>
              </w:rPr>
              <w:t>级别</w:t>
            </w:r>
          </w:p>
        </w:tc>
        <w:tc>
          <w:tcPr>
            <w:tcW w:w="1713" w:type="dxa"/>
            <w:vAlign w:val="center"/>
          </w:tcPr>
          <w:p>
            <w:pPr>
              <w:ind w:firstLine="210" w:firstLineChars="100"/>
              <w:jc w:val="center"/>
              <w:rPr>
                <w:rFonts w:ascii="宋体" w:hAnsi="宋体" w:cs="宋体"/>
                <w:szCs w:val="21"/>
              </w:rPr>
            </w:pPr>
          </w:p>
        </w:tc>
        <w:tc>
          <w:tcPr>
            <w:tcW w:w="1412" w:type="dxa"/>
            <w:vAlign w:val="center"/>
          </w:tcPr>
          <w:p>
            <w:pPr>
              <w:jc w:val="center"/>
              <w:rPr>
                <w:rFonts w:ascii="宋体" w:hAnsi="宋体" w:cs="宋体"/>
                <w:szCs w:val="21"/>
              </w:rPr>
            </w:pPr>
            <w:r>
              <w:rPr>
                <w:rFonts w:hint="eastAsia" w:ascii="宋体" w:hAnsi="宋体" w:cs="宋体"/>
                <w:szCs w:val="21"/>
              </w:rPr>
              <w:t>资质证号</w:t>
            </w:r>
          </w:p>
        </w:tc>
        <w:tc>
          <w:tcPr>
            <w:tcW w:w="3165"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2672" w:type="dxa"/>
            <w:gridSpan w:val="2"/>
            <w:vAlign w:val="center"/>
          </w:tcPr>
          <w:p>
            <w:pPr>
              <w:jc w:val="center"/>
              <w:rPr>
                <w:rFonts w:ascii="宋体" w:hAnsi="宋体" w:cs="宋体"/>
                <w:szCs w:val="21"/>
              </w:rPr>
            </w:pPr>
            <w:r>
              <w:rPr>
                <w:rFonts w:hint="eastAsia" w:ascii="宋体" w:hAnsi="宋体" w:cs="宋体"/>
                <w:szCs w:val="21"/>
              </w:rPr>
              <w:t>投标报价（费率,保留至小数点后2位）</w:t>
            </w:r>
          </w:p>
        </w:tc>
        <w:tc>
          <w:tcPr>
            <w:tcW w:w="7642" w:type="dxa"/>
            <w:gridSpan w:val="4"/>
            <w:vAlign w:val="center"/>
          </w:tcPr>
          <w:p>
            <w:pPr>
              <w:pStyle w:val="3"/>
              <w:spacing w:after="0" w:line="440" w:lineRule="exact"/>
              <w:ind w:right="63"/>
              <w:rPr>
                <w:rFonts w:hAnsi="宋体" w:cs="宋体"/>
                <w:kern w:val="2"/>
                <w:sz w:val="21"/>
                <w:szCs w:val="21"/>
              </w:rPr>
            </w:pPr>
            <w:r>
              <w:rPr>
                <w:rFonts w:hint="eastAsia" w:hAnsi="宋体" w:cs="宋体"/>
                <w:kern w:val="2"/>
                <w:sz w:val="21"/>
                <w:szCs w:val="21"/>
              </w:rPr>
              <w:t>（大写）</w:t>
            </w:r>
          </w:p>
          <w:p>
            <w:pPr>
              <w:spacing w:line="440" w:lineRule="exact"/>
              <w:rPr>
                <w:rFonts w:ascii="宋体" w:hAnsi="宋体" w:cs="宋体"/>
                <w:szCs w:val="21"/>
              </w:rPr>
            </w:pPr>
            <w:r>
              <w:rPr>
                <w:rFonts w:hint="eastAsia" w:ascii="宋体" w:hAnsi="宋体" w:cs="宋体"/>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2672" w:type="dxa"/>
            <w:gridSpan w:val="2"/>
            <w:vAlign w:val="center"/>
          </w:tcPr>
          <w:p>
            <w:pPr>
              <w:jc w:val="center"/>
              <w:rPr>
                <w:rFonts w:ascii="宋体" w:hAnsi="宋体" w:cs="宋体"/>
                <w:szCs w:val="21"/>
              </w:rPr>
            </w:pPr>
            <w:r>
              <w:rPr>
                <w:rFonts w:hint="eastAsia" w:ascii="宋体" w:hAnsi="宋体" w:cs="宋体"/>
                <w:szCs w:val="21"/>
              </w:rPr>
              <w:t>投标质量</w:t>
            </w:r>
          </w:p>
        </w:tc>
        <w:tc>
          <w:tcPr>
            <w:tcW w:w="7642" w:type="dxa"/>
            <w:gridSpan w:val="4"/>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2672" w:type="dxa"/>
            <w:gridSpan w:val="2"/>
            <w:tcBorders>
              <w:bottom w:val="single" w:color="auto" w:sz="4" w:space="0"/>
            </w:tcBorders>
            <w:vAlign w:val="center"/>
          </w:tcPr>
          <w:p>
            <w:pPr>
              <w:jc w:val="center"/>
              <w:rPr>
                <w:rFonts w:ascii="宋体" w:hAnsi="宋体" w:cs="宋体"/>
                <w:spacing w:val="-20"/>
                <w:szCs w:val="21"/>
              </w:rPr>
            </w:pPr>
            <w:r>
              <w:rPr>
                <w:rFonts w:hint="eastAsia" w:ascii="宋体" w:hAnsi="宋体" w:cs="宋体"/>
                <w:szCs w:val="21"/>
              </w:rPr>
              <w:t>投标工期</w:t>
            </w:r>
          </w:p>
        </w:tc>
        <w:tc>
          <w:tcPr>
            <w:tcW w:w="7642" w:type="dxa"/>
            <w:gridSpan w:val="4"/>
            <w:tcBorders>
              <w:bottom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267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pacing w:val="-20"/>
                <w:szCs w:val="21"/>
              </w:rPr>
            </w:pPr>
            <w:r>
              <w:rPr>
                <w:rFonts w:hint="eastAsia" w:ascii="宋体" w:hAnsi="宋体" w:cs="宋体"/>
                <w:szCs w:val="21"/>
              </w:rPr>
              <w:t>投标保证金</w:t>
            </w:r>
          </w:p>
        </w:tc>
        <w:tc>
          <w:tcPr>
            <w:tcW w:w="764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267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pacing w:val="-20"/>
                <w:szCs w:val="21"/>
              </w:rPr>
            </w:pPr>
            <w:r>
              <w:rPr>
                <w:rFonts w:hint="eastAsia" w:ascii="宋体" w:hAnsi="宋体" w:cs="宋体"/>
                <w:szCs w:val="21"/>
              </w:rPr>
              <w:t>投标有效期</w:t>
            </w:r>
          </w:p>
        </w:tc>
        <w:tc>
          <w:tcPr>
            <w:tcW w:w="764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267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需要说明的问题</w:t>
            </w:r>
          </w:p>
        </w:tc>
        <w:tc>
          <w:tcPr>
            <w:tcW w:w="7642" w:type="dxa"/>
            <w:gridSpan w:val="4"/>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r>
    </w:tbl>
    <w:p>
      <w:pPr>
        <w:spacing w:line="360" w:lineRule="auto"/>
        <w:jc w:val="right"/>
        <w:rPr>
          <w:rFonts w:ascii="宋体" w:hAnsi="宋体" w:cs="宋体"/>
          <w:sz w:val="24"/>
        </w:rPr>
      </w:pPr>
    </w:p>
    <w:p>
      <w:pPr>
        <w:spacing w:line="440" w:lineRule="exact"/>
        <w:jc w:val="right"/>
        <w:rPr>
          <w:rFonts w:ascii="宋体" w:hAnsi="宋体" w:cs="宋体"/>
          <w:szCs w:val="21"/>
        </w:rPr>
      </w:pPr>
      <w:r>
        <w:rPr>
          <w:rFonts w:hint="eastAsia" w:ascii="宋体" w:hAnsi="宋体" w:cs="宋体"/>
          <w:szCs w:val="21"/>
        </w:rPr>
        <w:t>投标人：（盖单位公章）</w:t>
      </w:r>
    </w:p>
    <w:p>
      <w:pPr>
        <w:spacing w:line="440" w:lineRule="exact"/>
        <w:jc w:val="right"/>
        <w:rPr>
          <w:rFonts w:ascii="宋体" w:hAnsi="宋体" w:cs="宋体"/>
          <w:szCs w:val="21"/>
        </w:rPr>
      </w:pPr>
      <w:r>
        <w:rPr>
          <w:rFonts w:hint="eastAsia" w:ascii="宋体" w:hAnsi="宋体" w:cs="宋体"/>
          <w:szCs w:val="21"/>
        </w:rPr>
        <w:t>法定代表人或其委托代理人： （签字或盖章）</w:t>
      </w:r>
    </w:p>
    <w:p>
      <w:pPr>
        <w:wordWrap w:val="0"/>
        <w:spacing w:line="440" w:lineRule="exact"/>
        <w:ind w:firstLine="420" w:firstLineChars="200"/>
        <w:jc w:val="right"/>
        <w:rPr>
          <w:rFonts w:ascii="宋体" w:hAnsi="宋体" w:cs="宋体"/>
          <w:b/>
          <w:szCs w:val="21"/>
        </w:rPr>
      </w:pPr>
      <w:r>
        <w:rPr>
          <w:rFonts w:hint="eastAsia" w:ascii="宋体" w:hAnsi="宋体" w:cs="宋体"/>
          <w:szCs w:val="21"/>
        </w:rPr>
        <w:t>年    月    日</w:t>
      </w:r>
    </w:p>
    <w:p>
      <w:pPr>
        <w:autoSpaceDE w:val="0"/>
        <w:autoSpaceDN w:val="0"/>
        <w:adjustRightInd w:val="0"/>
        <w:spacing w:line="420" w:lineRule="exact"/>
        <w:jc w:val="left"/>
        <w:rPr>
          <w:rFonts w:ascii="宋体" w:hAnsi="宋体" w:cs="宋体"/>
          <w:kern w:val="0"/>
          <w:sz w:val="24"/>
        </w:rPr>
      </w:pPr>
    </w:p>
    <w:p>
      <w:pPr>
        <w:pStyle w:val="5"/>
        <w:jc w:val="center"/>
      </w:pPr>
      <w:r>
        <w:rPr>
          <w:rFonts w:hint="eastAsia"/>
        </w:rPr>
        <w:br w:type="page"/>
      </w:r>
      <w:bookmarkStart w:id="615" w:name="_Toc6825"/>
      <w:r>
        <w:rPr>
          <w:rFonts w:hint="eastAsia"/>
        </w:rPr>
        <w:t>二、法定代表人身份证明</w:t>
      </w:r>
      <w:bookmarkEnd w:id="615"/>
    </w:p>
    <w:p>
      <w:pPr>
        <w:autoSpaceDE w:val="0"/>
        <w:autoSpaceDN w:val="0"/>
        <w:adjustRightInd w:val="0"/>
        <w:spacing w:line="420" w:lineRule="exact"/>
        <w:jc w:val="center"/>
        <w:rPr>
          <w:rFonts w:ascii="宋体" w:hAnsi="宋体" w:cs="宋体"/>
          <w:kern w:val="0"/>
          <w:sz w:val="28"/>
          <w:szCs w:val="28"/>
        </w:rPr>
      </w:pPr>
    </w:p>
    <w:p>
      <w:pPr>
        <w:autoSpaceDE w:val="0"/>
        <w:autoSpaceDN w:val="0"/>
        <w:adjustRightInd w:val="0"/>
        <w:spacing w:line="440" w:lineRule="exact"/>
        <w:jc w:val="center"/>
        <w:rPr>
          <w:rFonts w:ascii="宋体" w:hAnsi="宋体" w:cs="宋体"/>
          <w:kern w:val="0"/>
          <w:sz w:val="28"/>
          <w:szCs w:val="28"/>
        </w:rPr>
      </w:pPr>
    </w:p>
    <w:p>
      <w:pPr>
        <w:autoSpaceDE w:val="0"/>
        <w:autoSpaceDN w:val="0"/>
        <w:adjustRightInd w:val="0"/>
        <w:spacing w:line="440" w:lineRule="exact"/>
        <w:jc w:val="left"/>
        <w:rPr>
          <w:rFonts w:ascii="宋体" w:hAnsi="宋体" w:cs="宋体"/>
          <w:kern w:val="0"/>
          <w:szCs w:val="21"/>
        </w:rPr>
      </w:pPr>
      <w:r>
        <w:rPr>
          <w:rFonts w:hint="eastAsia" w:ascii="宋体" w:hAnsi="宋体" w:cs="宋体"/>
          <w:kern w:val="0"/>
          <w:szCs w:val="21"/>
        </w:rPr>
        <w:t>投标人名称：</w:t>
      </w:r>
    </w:p>
    <w:p>
      <w:pPr>
        <w:autoSpaceDE w:val="0"/>
        <w:autoSpaceDN w:val="0"/>
        <w:adjustRightInd w:val="0"/>
        <w:spacing w:line="440" w:lineRule="exact"/>
        <w:jc w:val="left"/>
        <w:rPr>
          <w:rFonts w:ascii="宋体" w:hAnsi="宋体" w:cs="宋体"/>
          <w:kern w:val="0"/>
          <w:szCs w:val="21"/>
        </w:rPr>
      </w:pPr>
      <w:r>
        <w:rPr>
          <w:rFonts w:hint="eastAsia" w:ascii="宋体" w:hAnsi="宋体" w:cs="宋体"/>
          <w:kern w:val="0"/>
          <w:szCs w:val="21"/>
        </w:rPr>
        <w:t>单位性质：</w:t>
      </w:r>
    </w:p>
    <w:p>
      <w:pPr>
        <w:autoSpaceDE w:val="0"/>
        <w:autoSpaceDN w:val="0"/>
        <w:adjustRightInd w:val="0"/>
        <w:spacing w:line="440" w:lineRule="exact"/>
        <w:jc w:val="left"/>
        <w:rPr>
          <w:rFonts w:ascii="宋体" w:hAnsi="宋体" w:cs="宋体"/>
          <w:kern w:val="0"/>
          <w:szCs w:val="21"/>
        </w:rPr>
      </w:pPr>
      <w:r>
        <w:rPr>
          <w:rFonts w:hint="eastAsia" w:ascii="宋体" w:hAnsi="宋体" w:cs="宋体"/>
          <w:kern w:val="0"/>
          <w:szCs w:val="21"/>
        </w:rPr>
        <w:t>地址：</w:t>
      </w:r>
    </w:p>
    <w:p>
      <w:pPr>
        <w:autoSpaceDE w:val="0"/>
        <w:autoSpaceDN w:val="0"/>
        <w:adjustRightInd w:val="0"/>
        <w:spacing w:line="440" w:lineRule="exact"/>
        <w:jc w:val="left"/>
        <w:rPr>
          <w:rFonts w:ascii="宋体" w:hAnsi="宋体" w:cs="宋体"/>
          <w:kern w:val="0"/>
          <w:szCs w:val="21"/>
        </w:rPr>
      </w:pPr>
      <w:r>
        <w:rPr>
          <w:rFonts w:hint="eastAsia" w:ascii="宋体" w:hAnsi="宋体" w:cs="宋体"/>
          <w:kern w:val="0"/>
          <w:szCs w:val="21"/>
        </w:rPr>
        <w:t>成立时间：年月日</w:t>
      </w:r>
    </w:p>
    <w:p>
      <w:pPr>
        <w:autoSpaceDE w:val="0"/>
        <w:autoSpaceDN w:val="0"/>
        <w:adjustRightInd w:val="0"/>
        <w:spacing w:line="440" w:lineRule="exact"/>
        <w:jc w:val="left"/>
        <w:rPr>
          <w:rFonts w:ascii="宋体" w:hAnsi="宋体" w:cs="宋体"/>
          <w:kern w:val="0"/>
          <w:szCs w:val="21"/>
        </w:rPr>
      </w:pPr>
      <w:r>
        <w:rPr>
          <w:rFonts w:hint="eastAsia" w:ascii="宋体" w:hAnsi="宋体" w:cs="宋体"/>
          <w:kern w:val="0"/>
          <w:szCs w:val="21"/>
        </w:rPr>
        <w:t>经营期限：</w:t>
      </w:r>
    </w:p>
    <w:p>
      <w:pPr>
        <w:autoSpaceDE w:val="0"/>
        <w:autoSpaceDN w:val="0"/>
        <w:adjustRightInd w:val="0"/>
        <w:spacing w:line="440" w:lineRule="exact"/>
        <w:jc w:val="left"/>
        <w:rPr>
          <w:rFonts w:ascii="宋体" w:hAnsi="宋体" w:cs="宋体"/>
          <w:kern w:val="0"/>
          <w:szCs w:val="21"/>
        </w:rPr>
      </w:pPr>
      <w:r>
        <w:rPr>
          <w:rFonts w:hint="eastAsia" w:ascii="宋体" w:hAnsi="宋体" w:cs="宋体"/>
          <w:kern w:val="0"/>
          <w:szCs w:val="21"/>
        </w:rPr>
        <w:t>姓名：性别：年龄：职务：</w:t>
      </w:r>
    </w:p>
    <w:p>
      <w:pPr>
        <w:autoSpaceDE w:val="0"/>
        <w:autoSpaceDN w:val="0"/>
        <w:adjustRightInd w:val="0"/>
        <w:spacing w:line="440" w:lineRule="exact"/>
        <w:jc w:val="left"/>
        <w:rPr>
          <w:rFonts w:ascii="宋体" w:hAnsi="宋体" w:cs="宋体"/>
          <w:kern w:val="0"/>
          <w:szCs w:val="21"/>
        </w:rPr>
      </w:pPr>
      <w:r>
        <w:rPr>
          <w:rFonts w:hint="eastAsia" w:ascii="宋体" w:hAnsi="宋体" w:cs="宋体"/>
          <w:kern w:val="0"/>
          <w:szCs w:val="21"/>
        </w:rPr>
        <w:t>系（投标人名称）的法定代表人。</w:t>
      </w:r>
    </w:p>
    <w:p>
      <w:pPr>
        <w:autoSpaceDE w:val="0"/>
        <w:autoSpaceDN w:val="0"/>
        <w:adjustRightInd w:val="0"/>
        <w:spacing w:line="440" w:lineRule="exact"/>
        <w:ind w:firstLine="420" w:firstLineChars="200"/>
        <w:jc w:val="left"/>
        <w:rPr>
          <w:rFonts w:ascii="宋体" w:hAnsi="宋体" w:cs="宋体"/>
          <w:kern w:val="0"/>
          <w:szCs w:val="21"/>
        </w:rPr>
      </w:pP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特此证明。</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后附法定代表人身份证复印件</w:t>
      </w:r>
    </w:p>
    <w:p>
      <w:pPr>
        <w:autoSpaceDE w:val="0"/>
        <w:autoSpaceDN w:val="0"/>
        <w:adjustRightInd w:val="0"/>
        <w:spacing w:line="440" w:lineRule="exact"/>
        <w:ind w:firstLine="2698" w:firstLineChars="1285"/>
        <w:jc w:val="right"/>
        <w:rPr>
          <w:rFonts w:ascii="宋体" w:hAnsi="宋体" w:cs="宋体"/>
          <w:kern w:val="0"/>
          <w:szCs w:val="21"/>
        </w:rPr>
      </w:pPr>
      <w:r>
        <w:rPr>
          <w:rFonts w:hint="eastAsia" w:ascii="宋体" w:hAnsi="宋体" w:cs="宋体"/>
          <w:kern w:val="0"/>
          <w:szCs w:val="21"/>
        </w:rPr>
        <w:t>投标人：（盖单位公章）</w:t>
      </w:r>
    </w:p>
    <w:p>
      <w:pPr>
        <w:wordWrap w:val="0"/>
        <w:autoSpaceDE w:val="0"/>
        <w:autoSpaceDN w:val="0"/>
        <w:adjustRightInd w:val="0"/>
        <w:spacing w:line="440" w:lineRule="exact"/>
        <w:ind w:firstLine="2698" w:firstLineChars="1285"/>
        <w:jc w:val="right"/>
        <w:rPr>
          <w:rFonts w:ascii="宋体" w:hAnsi="宋体" w:cs="宋体"/>
          <w:kern w:val="0"/>
          <w:szCs w:val="21"/>
        </w:rPr>
      </w:pPr>
      <w:r>
        <w:rPr>
          <w:rFonts w:hint="eastAsia" w:ascii="宋体" w:hAnsi="宋体" w:cs="宋体"/>
          <w:kern w:val="0"/>
          <w:szCs w:val="21"/>
        </w:rPr>
        <w:t>年  月  日</w:t>
      </w:r>
    </w:p>
    <w:p>
      <w:pPr>
        <w:autoSpaceDE w:val="0"/>
        <w:autoSpaceDN w:val="0"/>
        <w:adjustRightInd w:val="0"/>
        <w:spacing w:line="440" w:lineRule="exact"/>
        <w:jc w:val="left"/>
        <w:rPr>
          <w:rFonts w:ascii="宋体" w:hAnsi="宋体" w:cs="宋体"/>
          <w:kern w:val="0"/>
          <w:sz w:val="28"/>
          <w:szCs w:val="28"/>
        </w:rPr>
      </w:pPr>
    </w:p>
    <w:p>
      <w:pPr>
        <w:autoSpaceDE w:val="0"/>
        <w:autoSpaceDN w:val="0"/>
        <w:adjustRightInd w:val="0"/>
        <w:spacing w:line="440" w:lineRule="exact"/>
        <w:jc w:val="left"/>
        <w:rPr>
          <w:rFonts w:ascii="宋体" w:hAnsi="宋体" w:cs="宋体"/>
          <w:kern w:val="0"/>
          <w:sz w:val="28"/>
          <w:szCs w:val="28"/>
        </w:rPr>
      </w:pPr>
    </w:p>
    <w:p>
      <w:pPr>
        <w:autoSpaceDE w:val="0"/>
        <w:autoSpaceDN w:val="0"/>
        <w:adjustRightInd w:val="0"/>
        <w:spacing w:line="440" w:lineRule="exact"/>
        <w:jc w:val="left"/>
        <w:rPr>
          <w:rFonts w:ascii="宋体" w:hAnsi="宋体" w:cs="宋体"/>
          <w:kern w:val="0"/>
          <w:sz w:val="28"/>
          <w:szCs w:val="28"/>
        </w:rPr>
      </w:pPr>
    </w:p>
    <w:p>
      <w:pPr>
        <w:autoSpaceDE w:val="0"/>
        <w:autoSpaceDN w:val="0"/>
        <w:adjustRightInd w:val="0"/>
        <w:spacing w:line="440" w:lineRule="exact"/>
        <w:jc w:val="left"/>
        <w:rPr>
          <w:rFonts w:ascii="宋体" w:hAnsi="宋体" w:cs="宋体"/>
          <w:kern w:val="0"/>
          <w:sz w:val="28"/>
          <w:szCs w:val="28"/>
        </w:rPr>
      </w:pPr>
    </w:p>
    <w:p>
      <w:pPr>
        <w:autoSpaceDE w:val="0"/>
        <w:autoSpaceDN w:val="0"/>
        <w:adjustRightInd w:val="0"/>
        <w:spacing w:line="440" w:lineRule="exact"/>
        <w:jc w:val="left"/>
        <w:rPr>
          <w:rFonts w:ascii="宋体" w:hAnsi="宋体" w:cs="宋体"/>
          <w:kern w:val="0"/>
          <w:sz w:val="28"/>
          <w:szCs w:val="28"/>
        </w:rPr>
      </w:pPr>
    </w:p>
    <w:p>
      <w:pPr>
        <w:autoSpaceDE w:val="0"/>
        <w:autoSpaceDN w:val="0"/>
        <w:adjustRightInd w:val="0"/>
        <w:spacing w:line="440" w:lineRule="exact"/>
        <w:jc w:val="left"/>
        <w:rPr>
          <w:rFonts w:ascii="宋体" w:hAnsi="宋体" w:cs="宋体"/>
          <w:kern w:val="0"/>
          <w:sz w:val="28"/>
          <w:szCs w:val="28"/>
        </w:rPr>
      </w:pPr>
    </w:p>
    <w:p>
      <w:pPr>
        <w:autoSpaceDE w:val="0"/>
        <w:autoSpaceDN w:val="0"/>
        <w:adjustRightInd w:val="0"/>
        <w:spacing w:line="440" w:lineRule="exact"/>
        <w:jc w:val="left"/>
        <w:rPr>
          <w:rFonts w:ascii="宋体" w:hAnsi="宋体" w:cs="宋体"/>
          <w:kern w:val="0"/>
          <w:sz w:val="28"/>
          <w:szCs w:val="28"/>
        </w:rPr>
      </w:pPr>
    </w:p>
    <w:p>
      <w:pPr>
        <w:autoSpaceDE w:val="0"/>
        <w:autoSpaceDN w:val="0"/>
        <w:adjustRightInd w:val="0"/>
        <w:spacing w:line="440" w:lineRule="exact"/>
        <w:jc w:val="left"/>
        <w:rPr>
          <w:rFonts w:ascii="宋体" w:hAnsi="宋体" w:cs="宋体"/>
          <w:kern w:val="0"/>
          <w:sz w:val="28"/>
          <w:szCs w:val="28"/>
        </w:rPr>
      </w:pPr>
    </w:p>
    <w:p>
      <w:pPr>
        <w:autoSpaceDE w:val="0"/>
        <w:autoSpaceDN w:val="0"/>
        <w:adjustRightInd w:val="0"/>
        <w:spacing w:line="440" w:lineRule="exact"/>
        <w:jc w:val="left"/>
        <w:rPr>
          <w:rFonts w:ascii="宋体" w:hAnsi="宋体" w:cs="宋体"/>
          <w:kern w:val="0"/>
          <w:sz w:val="28"/>
          <w:szCs w:val="28"/>
        </w:rPr>
      </w:pPr>
    </w:p>
    <w:p>
      <w:pPr>
        <w:autoSpaceDE w:val="0"/>
        <w:autoSpaceDN w:val="0"/>
        <w:adjustRightInd w:val="0"/>
        <w:spacing w:line="44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pStyle w:val="5"/>
        <w:jc w:val="center"/>
        <w:rPr>
          <w:rFonts w:ascii="宋体" w:hAnsi="宋体" w:eastAsia="宋体" w:cs="宋体"/>
          <w:bCs w:val="0"/>
          <w:sz w:val="28"/>
          <w:szCs w:val="28"/>
        </w:rPr>
      </w:pPr>
      <w:bookmarkStart w:id="616" w:name="_Toc32485"/>
      <w:r>
        <w:rPr>
          <w:rFonts w:hint="eastAsia" w:ascii="宋体" w:hAnsi="宋体" w:eastAsia="宋体" w:cs="宋体"/>
          <w:bCs w:val="0"/>
          <w:sz w:val="28"/>
          <w:szCs w:val="28"/>
        </w:rPr>
        <w:t>三、授权委托书</w:t>
      </w:r>
      <w:bookmarkEnd w:id="616"/>
    </w:p>
    <w:p>
      <w:pPr>
        <w:autoSpaceDE w:val="0"/>
        <w:autoSpaceDN w:val="0"/>
        <w:adjustRightInd w:val="0"/>
        <w:spacing w:line="440" w:lineRule="exact"/>
        <w:jc w:val="center"/>
        <w:rPr>
          <w:rFonts w:ascii="宋体" w:hAnsi="宋体" w:cs="宋体"/>
          <w:kern w:val="0"/>
          <w:sz w:val="28"/>
          <w:szCs w:val="28"/>
        </w:rPr>
      </w:pP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本人 （姓名）系（投标人名称）的法定代表人，现委托（姓名）为我方代理人。代理人根据授权，以我方名义签署、澄清、说明、补正、递交、撤回、修改</w:t>
      </w:r>
      <w:r>
        <w:rPr>
          <w:rFonts w:hint="eastAsia" w:ascii="宋体" w:hAnsi="宋体" w:cs="宋体"/>
          <w:u w:val="single"/>
        </w:rPr>
        <w:t xml:space="preserve">      项目</w:t>
      </w:r>
      <w:r>
        <w:rPr>
          <w:rFonts w:hint="eastAsia" w:ascii="宋体" w:hAnsi="宋体" w:cs="宋体"/>
          <w:kern w:val="0"/>
          <w:szCs w:val="21"/>
        </w:rPr>
        <w:t>投标文件、签订合同和处理有关事宜，其法律后果由我方承担。</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委托期限：。</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代理人无转委托权。</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附：法定代表人和代理人身份证</w:t>
      </w:r>
    </w:p>
    <w:p>
      <w:pPr>
        <w:autoSpaceDE w:val="0"/>
        <w:autoSpaceDN w:val="0"/>
        <w:adjustRightInd w:val="0"/>
        <w:spacing w:line="440" w:lineRule="exact"/>
        <w:ind w:firstLine="3238" w:firstLineChars="1542"/>
        <w:jc w:val="left"/>
        <w:rPr>
          <w:rFonts w:ascii="宋体" w:hAnsi="宋体" w:cs="宋体"/>
          <w:kern w:val="0"/>
          <w:szCs w:val="21"/>
        </w:rPr>
      </w:pPr>
    </w:p>
    <w:p>
      <w:pPr>
        <w:autoSpaceDE w:val="0"/>
        <w:autoSpaceDN w:val="0"/>
        <w:adjustRightInd w:val="0"/>
        <w:spacing w:line="440" w:lineRule="exact"/>
        <w:ind w:firstLine="3238" w:firstLineChars="1542"/>
        <w:jc w:val="left"/>
        <w:rPr>
          <w:rFonts w:ascii="宋体" w:hAnsi="宋体" w:cs="宋体"/>
          <w:kern w:val="0"/>
          <w:szCs w:val="21"/>
        </w:rPr>
      </w:pPr>
    </w:p>
    <w:p>
      <w:pPr>
        <w:autoSpaceDE w:val="0"/>
        <w:autoSpaceDN w:val="0"/>
        <w:adjustRightInd w:val="0"/>
        <w:spacing w:line="440" w:lineRule="exact"/>
        <w:ind w:firstLine="3238" w:firstLineChars="1542"/>
        <w:jc w:val="left"/>
        <w:rPr>
          <w:rFonts w:ascii="宋体" w:hAnsi="宋体" w:cs="宋体"/>
          <w:kern w:val="0"/>
          <w:szCs w:val="21"/>
        </w:rPr>
      </w:pPr>
    </w:p>
    <w:p>
      <w:pPr>
        <w:autoSpaceDE w:val="0"/>
        <w:autoSpaceDN w:val="0"/>
        <w:adjustRightInd w:val="0"/>
        <w:spacing w:line="440" w:lineRule="exact"/>
        <w:ind w:firstLine="3238" w:firstLineChars="1542"/>
        <w:jc w:val="left"/>
        <w:rPr>
          <w:rFonts w:ascii="宋体" w:hAnsi="宋体" w:cs="宋体"/>
          <w:kern w:val="0"/>
          <w:szCs w:val="21"/>
        </w:rPr>
      </w:pPr>
    </w:p>
    <w:p>
      <w:pPr>
        <w:autoSpaceDE w:val="0"/>
        <w:autoSpaceDN w:val="0"/>
        <w:adjustRightInd w:val="0"/>
        <w:spacing w:line="440" w:lineRule="exact"/>
        <w:ind w:firstLine="3238" w:firstLineChars="1542"/>
        <w:jc w:val="left"/>
        <w:rPr>
          <w:rFonts w:ascii="宋体" w:hAnsi="宋体" w:cs="宋体"/>
          <w:kern w:val="0"/>
          <w:szCs w:val="21"/>
        </w:rPr>
      </w:pPr>
    </w:p>
    <w:p>
      <w:pPr>
        <w:autoSpaceDE w:val="0"/>
        <w:autoSpaceDN w:val="0"/>
        <w:adjustRightInd w:val="0"/>
        <w:spacing w:line="440" w:lineRule="exact"/>
        <w:ind w:firstLine="3238" w:firstLineChars="1542"/>
        <w:jc w:val="left"/>
        <w:rPr>
          <w:rFonts w:ascii="宋体" w:hAnsi="宋体" w:cs="宋体"/>
          <w:kern w:val="0"/>
          <w:szCs w:val="21"/>
        </w:rPr>
      </w:pPr>
    </w:p>
    <w:p>
      <w:pPr>
        <w:autoSpaceDE w:val="0"/>
        <w:autoSpaceDN w:val="0"/>
        <w:adjustRightInd w:val="0"/>
        <w:spacing w:line="440" w:lineRule="exact"/>
        <w:ind w:firstLine="3238" w:firstLineChars="1542"/>
        <w:jc w:val="left"/>
        <w:rPr>
          <w:rFonts w:ascii="宋体" w:hAnsi="宋体" w:cs="宋体"/>
          <w:kern w:val="0"/>
          <w:szCs w:val="21"/>
        </w:rPr>
      </w:pPr>
    </w:p>
    <w:p>
      <w:pPr>
        <w:autoSpaceDE w:val="0"/>
        <w:autoSpaceDN w:val="0"/>
        <w:adjustRightInd w:val="0"/>
        <w:spacing w:line="440" w:lineRule="exact"/>
        <w:ind w:firstLine="3238" w:firstLineChars="1542"/>
        <w:jc w:val="left"/>
        <w:rPr>
          <w:rFonts w:ascii="宋体" w:hAnsi="宋体" w:cs="宋体"/>
          <w:kern w:val="0"/>
          <w:szCs w:val="21"/>
        </w:rPr>
      </w:pPr>
    </w:p>
    <w:p>
      <w:pPr>
        <w:autoSpaceDE w:val="0"/>
        <w:autoSpaceDN w:val="0"/>
        <w:adjustRightInd w:val="0"/>
        <w:spacing w:line="440" w:lineRule="exact"/>
        <w:ind w:firstLine="3238" w:firstLineChars="1542"/>
        <w:jc w:val="left"/>
        <w:rPr>
          <w:rFonts w:ascii="宋体" w:hAnsi="宋体" w:cs="宋体"/>
          <w:kern w:val="0"/>
          <w:szCs w:val="21"/>
        </w:rPr>
      </w:pPr>
    </w:p>
    <w:p>
      <w:pPr>
        <w:autoSpaceDE w:val="0"/>
        <w:autoSpaceDN w:val="0"/>
        <w:adjustRightInd w:val="0"/>
        <w:spacing w:line="440" w:lineRule="exact"/>
        <w:ind w:firstLine="3238" w:firstLineChars="1542"/>
        <w:jc w:val="left"/>
        <w:rPr>
          <w:rFonts w:ascii="宋体" w:hAnsi="宋体" w:cs="宋体"/>
          <w:kern w:val="0"/>
          <w:szCs w:val="21"/>
        </w:rPr>
      </w:pPr>
    </w:p>
    <w:p>
      <w:pPr>
        <w:autoSpaceDE w:val="0"/>
        <w:autoSpaceDN w:val="0"/>
        <w:adjustRightInd w:val="0"/>
        <w:spacing w:line="440" w:lineRule="exact"/>
        <w:ind w:firstLine="3238" w:firstLineChars="1542"/>
        <w:jc w:val="left"/>
        <w:rPr>
          <w:rFonts w:ascii="宋体" w:hAnsi="宋体" w:cs="宋体"/>
          <w:kern w:val="0"/>
          <w:szCs w:val="21"/>
        </w:rPr>
      </w:pPr>
    </w:p>
    <w:p>
      <w:pPr>
        <w:autoSpaceDE w:val="0"/>
        <w:autoSpaceDN w:val="0"/>
        <w:adjustRightInd w:val="0"/>
        <w:spacing w:line="440" w:lineRule="exact"/>
        <w:ind w:firstLine="3238" w:firstLineChars="1542"/>
        <w:jc w:val="left"/>
        <w:rPr>
          <w:rFonts w:ascii="宋体" w:hAnsi="宋体" w:cs="宋体"/>
          <w:kern w:val="0"/>
          <w:szCs w:val="21"/>
        </w:rPr>
      </w:pPr>
    </w:p>
    <w:p>
      <w:pPr>
        <w:autoSpaceDE w:val="0"/>
        <w:autoSpaceDN w:val="0"/>
        <w:adjustRightInd w:val="0"/>
        <w:spacing w:line="440" w:lineRule="exact"/>
        <w:ind w:firstLine="3238" w:firstLineChars="1542"/>
        <w:jc w:val="left"/>
        <w:rPr>
          <w:rFonts w:ascii="宋体" w:hAnsi="宋体" w:cs="宋体"/>
          <w:kern w:val="0"/>
          <w:szCs w:val="21"/>
        </w:rPr>
      </w:pPr>
    </w:p>
    <w:p>
      <w:pPr>
        <w:wordWrap w:val="0"/>
        <w:autoSpaceDE w:val="0"/>
        <w:autoSpaceDN w:val="0"/>
        <w:adjustRightInd w:val="0"/>
        <w:spacing w:line="440" w:lineRule="exact"/>
        <w:ind w:firstLine="3238" w:firstLineChars="1542"/>
        <w:jc w:val="right"/>
        <w:rPr>
          <w:rFonts w:ascii="宋体" w:hAnsi="宋体" w:cs="宋体"/>
          <w:kern w:val="0"/>
          <w:szCs w:val="21"/>
        </w:rPr>
      </w:pPr>
      <w:r>
        <w:rPr>
          <w:rFonts w:hint="eastAsia" w:ascii="宋体" w:hAnsi="宋体" w:cs="宋体"/>
          <w:kern w:val="0"/>
          <w:szCs w:val="21"/>
        </w:rPr>
        <w:t xml:space="preserve">投标人：（盖单位公章）             </w:t>
      </w:r>
    </w:p>
    <w:p>
      <w:pPr>
        <w:wordWrap w:val="0"/>
        <w:autoSpaceDE w:val="0"/>
        <w:autoSpaceDN w:val="0"/>
        <w:adjustRightInd w:val="0"/>
        <w:spacing w:line="440" w:lineRule="exact"/>
        <w:ind w:firstLine="3238" w:firstLineChars="1542"/>
        <w:jc w:val="right"/>
        <w:rPr>
          <w:rFonts w:ascii="宋体" w:hAnsi="宋体" w:cs="宋体"/>
          <w:kern w:val="0"/>
          <w:szCs w:val="21"/>
        </w:rPr>
      </w:pPr>
      <w:r>
        <w:rPr>
          <w:rFonts w:hint="eastAsia" w:ascii="宋体" w:hAnsi="宋体" w:cs="宋体"/>
          <w:kern w:val="0"/>
          <w:szCs w:val="21"/>
        </w:rPr>
        <w:t xml:space="preserve">法定代表人：（签字）                   </w:t>
      </w:r>
    </w:p>
    <w:p>
      <w:pPr>
        <w:wordWrap w:val="0"/>
        <w:autoSpaceDE w:val="0"/>
        <w:autoSpaceDN w:val="0"/>
        <w:adjustRightInd w:val="0"/>
        <w:spacing w:line="440" w:lineRule="exact"/>
        <w:ind w:firstLine="3238" w:firstLineChars="1542"/>
        <w:jc w:val="right"/>
        <w:rPr>
          <w:rFonts w:ascii="宋体" w:hAnsi="宋体" w:cs="宋体"/>
          <w:kern w:val="0"/>
          <w:szCs w:val="21"/>
        </w:rPr>
      </w:pPr>
      <w:r>
        <w:rPr>
          <w:rFonts w:hint="eastAsia" w:ascii="宋体" w:hAnsi="宋体" w:cs="宋体"/>
          <w:kern w:val="0"/>
          <w:szCs w:val="21"/>
        </w:rPr>
        <w:t xml:space="preserve">身份证号码：                           </w:t>
      </w:r>
    </w:p>
    <w:p>
      <w:pPr>
        <w:wordWrap w:val="0"/>
        <w:autoSpaceDE w:val="0"/>
        <w:autoSpaceDN w:val="0"/>
        <w:adjustRightInd w:val="0"/>
        <w:spacing w:line="440" w:lineRule="exact"/>
        <w:ind w:firstLine="3238" w:firstLineChars="1542"/>
        <w:jc w:val="right"/>
        <w:rPr>
          <w:rFonts w:ascii="宋体" w:hAnsi="宋体" w:cs="宋体"/>
          <w:kern w:val="0"/>
          <w:szCs w:val="21"/>
        </w:rPr>
      </w:pPr>
      <w:r>
        <w:rPr>
          <w:rFonts w:hint="eastAsia" w:ascii="宋体" w:hAnsi="宋体" w:cs="宋体"/>
          <w:kern w:val="0"/>
          <w:szCs w:val="21"/>
        </w:rPr>
        <w:t xml:space="preserve">委托代理人： （签字）                  </w:t>
      </w:r>
    </w:p>
    <w:p>
      <w:pPr>
        <w:wordWrap w:val="0"/>
        <w:autoSpaceDE w:val="0"/>
        <w:autoSpaceDN w:val="0"/>
        <w:adjustRightInd w:val="0"/>
        <w:spacing w:line="440" w:lineRule="exact"/>
        <w:ind w:firstLine="3238" w:firstLineChars="1542"/>
        <w:jc w:val="right"/>
        <w:rPr>
          <w:rFonts w:ascii="宋体" w:hAnsi="宋体" w:cs="宋体"/>
          <w:kern w:val="0"/>
          <w:szCs w:val="21"/>
        </w:rPr>
      </w:pPr>
      <w:r>
        <w:rPr>
          <w:rFonts w:hint="eastAsia" w:ascii="宋体" w:hAnsi="宋体" w:cs="宋体"/>
          <w:kern w:val="0"/>
          <w:szCs w:val="21"/>
        </w:rPr>
        <w:t xml:space="preserve">身份证号码：                           </w:t>
      </w:r>
    </w:p>
    <w:p>
      <w:pPr>
        <w:wordWrap w:val="0"/>
        <w:autoSpaceDE w:val="0"/>
        <w:autoSpaceDN w:val="0"/>
        <w:adjustRightInd w:val="0"/>
        <w:spacing w:line="440" w:lineRule="exact"/>
        <w:ind w:firstLine="3238" w:firstLineChars="1542"/>
        <w:jc w:val="right"/>
        <w:rPr>
          <w:rFonts w:ascii="宋体" w:hAnsi="宋体" w:cs="宋体"/>
          <w:kern w:val="0"/>
          <w:szCs w:val="21"/>
        </w:rPr>
      </w:pPr>
      <w:r>
        <w:rPr>
          <w:rFonts w:hint="eastAsia" w:ascii="宋体" w:hAnsi="宋体" w:cs="宋体"/>
          <w:kern w:val="0"/>
          <w:szCs w:val="21"/>
        </w:rPr>
        <w:t xml:space="preserve">年   月   日  </w:t>
      </w:r>
    </w:p>
    <w:p>
      <w:pPr>
        <w:autoSpaceDE w:val="0"/>
        <w:autoSpaceDN w:val="0"/>
        <w:adjustRightInd w:val="0"/>
        <w:spacing w:line="440" w:lineRule="exact"/>
        <w:jc w:val="left"/>
        <w:rPr>
          <w:rFonts w:ascii="宋体" w:hAnsi="宋体" w:cs="宋体"/>
          <w:kern w:val="0"/>
          <w:sz w:val="18"/>
          <w:szCs w:val="18"/>
        </w:rPr>
      </w:pPr>
    </w:p>
    <w:p>
      <w:pPr>
        <w:pStyle w:val="3"/>
        <w:ind w:right="63"/>
        <w:rPr>
          <w:rFonts w:hAnsi="宋体" w:cs="宋体"/>
          <w:sz w:val="18"/>
          <w:szCs w:val="18"/>
        </w:rPr>
      </w:pPr>
    </w:p>
    <w:p>
      <w:pPr>
        <w:pStyle w:val="5"/>
        <w:jc w:val="center"/>
        <w:rPr>
          <w:rFonts w:ascii="宋体" w:hAnsi="宋体" w:eastAsia="宋体" w:cs="宋体"/>
          <w:bCs w:val="0"/>
          <w:sz w:val="28"/>
          <w:szCs w:val="28"/>
        </w:rPr>
      </w:pPr>
      <w:bookmarkStart w:id="617" w:name="_Toc15671"/>
      <w:r>
        <w:rPr>
          <w:rFonts w:hint="eastAsia" w:ascii="宋体" w:hAnsi="宋体" w:eastAsia="宋体" w:cs="宋体"/>
          <w:bCs w:val="0"/>
          <w:sz w:val="28"/>
          <w:szCs w:val="28"/>
        </w:rPr>
        <w:t>四、联合体协议书（联合体提供）</w:t>
      </w:r>
      <w:bookmarkEnd w:id="617"/>
    </w:p>
    <w:p>
      <w:pPr>
        <w:spacing w:line="312" w:lineRule="auto"/>
        <w:rPr>
          <w:rFonts w:ascii="宋体" w:hAnsi="宋体"/>
          <w:szCs w:val="21"/>
        </w:rPr>
      </w:pPr>
    </w:p>
    <w:p>
      <w:pPr>
        <w:spacing w:line="440" w:lineRule="exact"/>
        <w:ind w:firstLine="420" w:firstLineChars="200"/>
        <w:rPr>
          <w:rFonts w:ascii="宋体" w:hAnsi="宋体"/>
          <w:szCs w:val="21"/>
        </w:rPr>
      </w:pPr>
      <w:r>
        <w:rPr>
          <w:rFonts w:hint="eastAsia" w:ascii="宋体" w:hAnsi="宋体"/>
          <w:szCs w:val="21"/>
        </w:rPr>
        <w:t>牵头人名称:</w:t>
      </w:r>
    </w:p>
    <w:p>
      <w:pPr>
        <w:spacing w:line="440" w:lineRule="exact"/>
        <w:ind w:firstLine="420" w:firstLineChars="200"/>
        <w:rPr>
          <w:rFonts w:ascii="宋体" w:hAnsi="宋体"/>
          <w:szCs w:val="21"/>
        </w:rPr>
      </w:pPr>
      <w:r>
        <w:rPr>
          <w:rFonts w:hint="eastAsia" w:ascii="宋体" w:hAnsi="宋体"/>
          <w:szCs w:val="21"/>
        </w:rPr>
        <w:t>法定代表人:</w:t>
      </w:r>
    </w:p>
    <w:p>
      <w:pPr>
        <w:spacing w:line="440" w:lineRule="exact"/>
        <w:ind w:firstLine="420" w:firstLineChars="200"/>
        <w:rPr>
          <w:rFonts w:ascii="宋体" w:hAnsi="宋体"/>
          <w:szCs w:val="21"/>
        </w:rPr>
      </w:pPr>
      <w:r>
        <w:rPr>
          <w:rFonts w:hint="eastAsia" w:ascii="宋体" w:hAnsi="宋体"/>
          <w:szCs w:val="21"/>
        </w:rPr>
        <w:t>法定住所:</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r>
        <w:rPr>
          <w:rFonts w:hint="eastAsia" w:ascii="宋体" w:hAnsi="宋体"/>
          <w:szCs w:val="21"/>
        </w:rPr>
        <w:t>成员二名称:</w:t>
      </w:r>
    </w:p>
    <w:p>
      <w:pPr>
        <w:spacing w:line="440" w:lineRule="exact"/>
        <w:ind w:firstLine="420" w:firstLineChars="200"/>
        <w:rPr>
          <w:rFonts w:ascii="宋体" w:hAnsi="宋体"/>
          <w:szCs w:val="21"/>
        </w:rPr>
      </w:pPr>
      <w:r>
        <w:rPr>
          <w:rFonts w:hint="eastAsia" w:ascii="宋体" w:hAnsi="宋体"/>
          <w:szCs w:val="21"/>
        </w:rPr>
        <w:t>法定代表人:</w:t>
      </w:r>
    </w:p>
    <w:p>
      <w:pPr>
        <w:spacing w:line="440" w:lineRule="exact"/>
        <w:ind w:firstLine="420" w:firstLineChars="200"/>
        <w:rPr>
          <w:rFonts w:ascii="宋体" w:hAnsi="宋体"/>
          <w:szCs w:val="21"/>
        </w:rPr>
      </w:pPr>
      <w:r>
        <w:rPr>
          <w:rFonts w:hint="eastAsia" w:ascii="宋体" w:hAnsi="宋体"/>
          <w:szCs w:val="21"/>
        </w:rPr>
        <w:t>法定住所:</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r>
        <w:rPr>
          <w:rFonts w:hint="eastAsia" w:ascii="宋体" w:hAnsi="宋体"/>
          <w:szCs w:val="21"/>
        </w:rPr>
        <w:t>成员三名称:</w:t>
      </w:r>
    </w:p>
    <w:p>
      <w:pPr>
        <w:spacing w:line="440" w:lineRule="exact"/>
        <w:ind w:firstLine="420" w:firstLineChars="200"/>
        <w:rPr>
          <w:rFonts w:ascii="宋体" w:hAnsi="宋体"/>
          <w:szCs w:val="21"/>
        </w:rPr>
      </w:pPr>
      <w:r>
        <w:rPr>
          <w:rFonts w:hint="eastAsia" w:ascii="宋体" w:hAnsi="宋体"/>
          <w:szCs w:val="21"/>
        </w:rPr>
        <w:t>法定代表人:</w:t>
      </w:r>
    </w:p>
    <w:p>
      <w:pPr>
        <w:spacing w:line="440" w:lineRule="exact"/>
        <w:ind w:firstLine="420" w:firstLineChars="200"/>
        <w:rPr>
          <w:rFonts w:ascii="宋体" w:hAnsi="宋体"/>
          <w:szCs w:val="21"/>
        </w:rPr>
      </w:pPr>
      <w:r>
        <w:rPr>
          <w:rFonts w:hint="eastAsia" w:ascii="宋体" w:hAnsi="宋体"/>
          <w:szCs w:val="21"/>
        </w:rPr>
        <w:t>法定住所:</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r>
        <w:rPr>
          <w:rFonts w:hint="eastAsia" w:ascii="宋体" w:hAnsi="宋体"/>
          <w:szCs w:val="21"/>
        </w:rPr>
        <w:t>鉴于上述各成员单位经过友好协商，自愿组成</w:t>
      </w:r>
      <w:r>
        <w:rPr>
          <w:rFonts w:hint="eastAsia" w:ascii="宋体" w:hAnsi="宋体"/>
          <w:szCs w:val="21"/>
          <w:u w:val="single"/>
        </w:rPr>
        <w:t xml:space="preserve">         （联合体名称）        </w:t>
      </w:r>
      <w:r>
        <w:rPr>
          <w:rFonts w:hint="eastAsia" w:ascii="宋体" w:hAnsi="宋体"/>
          <w:szCs w:val="21"/>
        </w:rPr>
        <w:t xml:space="preserve">联合体，共同参加 </w:t>
      </w:r>
      <w:r>
        <w:rPr>
          <w:rFonts w:hint="eastAsia" w:ascii="宋体" w:hAnsi="宋体"/>
          <w:szCs w:val="21"/>
          <w:u w:val="single"/>
        </w:rPr>
        <w:t xml:space="preserve">  （招标人名称）（以下简称招标人）（项目名称）（以下简称合同）</w:t>
      </w:r>
      <w:r>
        <w:rPr>
          <w:rFonts w:hint="eastAsia" w:ascii="宋体" w:hAnsi="宋体"/>
          <w:szCs w:val="21"/>
        </w:rPr>
        <w:t>招标。现就联合体投标事宜订立如下协议:</w:t>
      </w:r>
    </w:p>
    <w:p>
      <w:pPr>
        <w:spacing w:line="440" w:lineRule="exact"/>
        <w:ind w:firstLine="420" w:firstLineChars="200"/>
        <w:rPr>
          <w:rFonts w:ascii="宋体" w:hAnsi="宋体"/>
          <w:szCs w:val="21"/>
        </w:rPr>
      </w:pPr>
      <w:r>
        <w:rPr>
          <w:rFonts w:hint="eastAsia" w:ascii="宋体" w:hAnsi="宋体"/>
          <w:szCs w:val="21"/>
        </w:rPr>
        <w:t>1、</w:t>
      </w:r>
      <w:r>
        <w:rPr>
          <w:rFonts w:hint="eastAsia" w:ascii="宋体" w:hAnsi="宋体"/>
          <w:szCs w:val="21"/>
          <w:u w:val="single"/>
        </w:rPr>
        <w:t xml:space="preserve">（某成员单位名称） </w:t>
      </w:r>
      <w:r>
        <w:rPr>
          <w:rFonts w:hint="eastAsia" w:ascii="宋体" w:hAnsi="宋体"/>
          <w:szCs w:val="21"/>
        </w:rPr>
        <w:t>为</w:t>
      </w:r>
      <w:r>
        <w:rPr>
          <w:rFonts w:hint="eastAsia" w:ascii="宋体" w:hAnsi="宋体"/>
          <w:szCs w:val="21"/>
          <w:u w:val="single"/>
        </w:rPr>
        <w:t xml:space="preserve"> （联合体名称）  </w:t>
      </w:r>
      <w:r>
        <w:rPr>
          <w:rFonts w:hint="eastAsia" w:ascii="宋体" w:hAnsi="宋体"/>
          <w:szCs w:val="21"/>
        </w:rPr>
        <w:t>牵头人。</w:t>
      </w:r>
    </w:p>
    <w:p>
      <w:pPr>
        <w:spacing w:line="440" w:lineRule="exact"/>
        <w:ind w:firstLine="420" w:firstLineChars="200"/>
        <w:rPr>
          <w:rFonts w:ascii="宋体" w:hAnsi="宋体"/>
          <w:szCs w:val="21"/>
        </w:rPr>
      </w:pPr>
      <w:r>
        <w:rPr>
          <w:rFonts w:hint="eastAsia" w:ascii="宋体" w:hAnsi="宋体"/>
          <w:szCs w:val="21"/>
        </w:rPr>
        <w:t>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pPr>
        <w:spacing w:line="440" w:lineRule="exact"/>
        <w:ind w:firstLine="420" w:firstLineChars="200"/>
        <w:rPr>
          <w:rFonts w:ascii="宋体" w:hAnsi="宋体"/>
          <w:szCs w:val="21"/>
        </w:rPr>
      </w:pPr>
      <w:r>
        <w:rPr>
          <w:rFonts w:hint="eastAsia" w:ascii="宋体" w:hAnsi="宋体"/>
          <w:szCs w:val="21"/>
        </w:rPr>
        <w:t>3、联合体将严格按照招标文件的各项要求，递交投标文件，履行投标义务和中标后的合同，共同承担合同规定的一切义务和责任，联合体各成员单位按照内部职责的划分，承担各自所负的责任和风险，并向发包人承担连带责任。</w:t>
      </w:r>
    </w:p>
    <w:p>
      <w:pPr>
        <w:spacing w:line="440" w:lineRule="exact"/>
        <w:ind w:firstLine="420" w:firstLineChars="200"/>
        <w:rPr>
          <w:rFonts w:ascii="宋体" w:hAnsi="宋体"/>
          <w:szCs w:val="21"/>
        </w:rPr>
      </w:pPr>
      <w:r>
        <w:rPr>
          <w:rFonts w:hint="eastAsia" w:ascii="宋体" w:hAnsi="宋体"/>
          <w:szCs w:val="21"/>
        </w:rPr>
        <w:t>4、联合体各成员单位内部的职责分工如下:</w:t>
      </w:r>
    </w:p>
    <w:p>
      <w:pPr>
        <w:pStyle w:val="2"/>
        <w:ind w:firstLine="340"/>
      </w:pPr>
    </w:p>
    <w:p>
      <w:pPr>
        <w:spacing w:line="440" w:lineRule="exact"/>
        <w:ind w:firstLine="420" w:firstLineChars="200"/>
        <w:rPr>
          <w:rFonts w:ascii="宋体" w:hAnsi="宋体"/>
          <w:szCs w:val="21"/>
        </w:rPr>
      </w:pPr>
      <w:r>
        <w:rPr>
          <w:rFonts w:hint="eastAsia" w:ascii="宋体" w:hAnsi="宋体"/>
          <w:szCs w:val="21"/>
        </w:rPr>
        <w:t>按照本条上述分工，联合体成员单位各自所承担的合同工作量比例如下:</w:t>
      </w:r>
    </w:p>
    <w:p>
      <w:pPr>
        <w:pStyle w:val="2"/>
        <w:ind w:firstLine="340"/>
      </w:pPr>
    </w:p>
    <w:p>
      <w:pPr>
        <w:spacing w:line="440" w:lineRule="exact"/>
        <w:ind w:firstLine="420" w:firstLineChars="200"/>
        <w:rPr>
          <w:rFonts w:ascii="宋体" w:hAnsi="宋体"/>
          <w:szCs w:val="21"/>
        </w:rPr>
      </w:pPr>
      <w:r>
        <w:rPr>
          <w:rFonts w:hint="eastAsia" w:ascii="宋体" w:hAnsi="宋体"/>
          <w:szCs w:val="21"/>
        </w:rPr>
        <w:t>5、投标工作以及联合体在中标后工程实施过程中的有关费用按各自承担的工作量分摊。</w:t>
      </w:r>
    </w:p>
    <w:p>
      <w:pPr>
        <w:spacing w:line="440" w:lineRule="exact"/>
        <w:ind w:firstLine="420" w:firstLineChars="200"/>
        <w:rPr>
          <w:rFonts w:ascii="宋体" w:hAnsi="宋体"/>
          <w:szCs w:val="21"/>
        </w:rPr>
      </w:pPr>
      <w:r>
        <w:rPr>
          <w:rFonts w:hint="eastAsia" w:ascii="宋体" w:hAnsi="宋体"/>
          <w:szCs w:val="21"/>
        </w:rPr>
        <w:t>6、联合体中标后，本联合体协议是合同的附件，对联合体各成员单位有合同约束力。</w:t>
      </w:r>
    </w:p>
    <w:p>
      <w:pPr>
        <w:spacing w:line="440" w:lineRule="exact"/>
        <w:ind w:firstLine="420" w:firstLineChars="200"/>
        <w:rPr>
          <w:rFonts w:ascii="宋体" w:hAnsi="宋体"/>
          <w:szCs w:val="21"/>
        </w:rPr>
      </w:pPr>
      <w:r>
        <w:rPr>
          <w:rFonts w:hint="eastAsia" w:ascii="宋体" w:hAnsi="宋体"/>
          <w:szCs w:val="21"/>
        </w:rPr>
        <w:t>7、本协议书自签署之日起生效，联合体未中标或者中标时合同履行完毕后自动失效。</w:t>
      </w:r>
    </w:p>
    <w:p>
      <w:pPr>
        <w:spacing w:line="440" w:lineRule="exact"/>
        <w:ind w:firstLine="420" w:firstLineChars="200"/>
        <w:rPr>
          <w:rFonts w:ascii="宋体" w:hAnsi="宋体"/>
          <w:szCs w:val="21"/>
        </w:rPr>
      </w:pPr>
      <w:r>
        <w:rPr>
          <w:rFonts w:hint="eastAsia" w:ascii="宋体" w:hAnsi="宋体"/>
          <w:szCs w:val="21"/>
        </w:rPr>
        <w:t>8、本协议书一式份，联合体成员和发包人各执份。</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420" w:firstLineChars="200"/>
        <w:jc w:val="right"/>
        <w:rPr>
          <w:rFonts w:ascii="宋体" w:hAnsi="宋体"/>
          <w:szCs w:val="21"/>
        </w:rPr>
      </w:pPr>
      <w:r>
        <w:rPr>
          <w:rFonts w:hint="eastAsia" w:ascii="宋体" w:hAnsi="宋体"/>
          <w:szCs w:val="21"/>
        </w:rPr>
        <w:t>牵头人名称:（盖单位公章）</w:t>
      </w:r>
    </w:p>
    <w:p>
      <w:pPr>
        <w:spacing w:line="440" w:lineRule="exact"/>
        <w:ind w:firstLine="420" w:firstLineChars="200"/>
        <w:jc w:val="right"/>
        <w:rPr>
          <w:rFonts w:ascii="宋体" w:hAnsi="宋体"/>
          <w:szCs w:val="21"/>
        </w:rPr>
      </w:pPr>
      <w:r>
        <w:rPr>
          <w:rFonts w:hint="eastAsia" w:ascii="宋体" w:hAnsi="宋体"/>
          <w:szCs w:val="21"/>
        </w:rPr>
        <w:t>法定代表人或其委托代理人:（签字）</w:t>
      </w:r>
    </w:p>
    <w:p>
      <w:pPr>
        <w:spacing w:line="440" w:lineRule="exact"/>
        <w:ind w:firstLine="420" w:firstLineChars="200"/>
        <w:jc w:val="right"/>
        <w:rPr>
          <w:rFonts w:ascii="宋体" w:hAnsi="宋体"/>
          <w:szCs w:val="21"/>
        </w:rPr>
      </w:pPr>
    </w:p>
    <w:p>
      <w:pPr>
        <w:spacing w:line="440" w:lineRule="exact"/>
        <w:ind w:firstLine="420" w:firstLineChars="200"/>
        <w:jc w:val="right"/>
        <w:rPr>
          <w:rFonts w:ascii="宋体" w:hAnsi="宋体"/>
          <w:szCs w:val="21"/>
        </w:rPr>
      </w:pPr>
    </w:p>
    <w:p>
      <w:pPr>
        <w:spacing w:line="440" w:lineRule="exact"/>
        <w:ind w:firstLine="420" w:firstLineChars="200"/>
        <w:jc w:val="right"/>
        <w:rPr>
          <w:rFonts w:ascii="宋体" w:hAnsi="宋体"/>
          <w:szCs w:val="21"/>
        </w:rPr>
      </w:pPr>
      <w:r>
        <w:rPr>
          <w:rFonts w:hint="eastAsia" w:ascii="宋体" w:hAnsi="宋体"/>
          <w:szCs w:val="21"/>
        </w:rPr>
        <w:t>成员二名称:（盖单位公章）</w:t>
      </w:r>
    </w:p>
    <w:p>
      <w:pPr>
        <w:spacing w:line="440" w:lineRule="exact"/>
        <w:ind w:firstLine="420" w:firstLineChars="200"/>
        <w:jc w:val="right"/>
        <w:rPr>
          <w:rFonts w:ascii="宋体" w:hAnsi="宋体"/>
          <w:szCs w:val="21"/>
        </w:rPr>
      </w:pPr>
      <w:r>
        <w:rPr>
          <w:rFonts w:hint="eastAsia" w:ascii="宋体" w:hAnsi="宋体"/>
          <w:szCs w:val="21"/>
        </w:rPr>
        <w:t>法定代表人或其委托代理人:（签字）</w:t>
      </w:r>
    </w:p>
    <w:p>
      <w:pPr>
        <w:spacing w:line="440" w:lineRule="exact"/>
        <w:ind w:firstLine="420" w:firstLineChars="200"/>
        <w:jc w:val="right"/>
        <w:rPr>
          <w:rFonts w:ascii="宋体" w:hAnsi="宋体"/>
          <w:szCs w:val="21"/>
        </w:rPr>
      </w:pPr>
    </w:p>
    <w:p>
      <w:pPr>
        <w:spacing w:line="440" w:lineRule="exact"/>
        <w:ind w:firstLine="420" w:firstLineChars="200"/>
        <w:jc w:val="right"/>
        <w:rPr>
          <w:rFonts w:ascii="宋体" w:hAnsi="宋体"/>
          <w:szCs w:val="21"/>
        </w:rPr>
      </w:pPr>
      <w:r>
        <w:rPr>
          <w:rFonts w:hint="eastAsia" w:ascii="宋体" w:hAnsi="宋体"/>
          <w:szCs w:val="21"/>
        </w:rPr>
        <w:t>成员三名称:（盖单位公章）</w:t>
      </w:r>
    </w:p>
    <w:p>
      <w:pPr>
        <w:spacing w:line="440" w:lineRule="exact"/>
        <w:ind w:firstLine="420" w:firstLineChars="200"/>
        <w:jc w:val="right"/>
        <w:rPr>
          <w:rFonts w:ascii="宋体" w:hAnsi="宋体"/>
          <w:szCs w:val="21"/>
        </w:rPr>
      </w:pPr>
      <w:r>
        <w:rPr>
          <w:rFonts w:hint="eastAsia" w:ascii="宋体" w:hAnsi="宋体"/>
          <w:szCs w:val="21"/>
        </w:rPr>
        <w:t>法定代表人或其委托代理人:（签字）</w:t>
      </w:r>
    </w:p>
    <w:p>
      <w:pPr>
        <w:spacing w:line="440" w:lineRule="exact"/>
        <w:ind w:firstLine="420" w:firstLineChars="200"/>
        <w:jc w:val="right"/>
        <w:rPr>
          <w:rFonts w:ascii="宋体" w:hAnsi="宋体"/>
          <w:szCs w:val="21"/>
        </w:rPr>
      </w:pPr>
    </w:p>
    <w:p>
      <w:pPr>
        <w:pStyle w:val="3"/>
        <w:spacing w:after="0" w:line="440" w:lineRule="exact"/>
        <w:ind w:right="63"/>
        <w:jc w:val="right"/>
        <w:rPr>
          <w:rFonts w:hAnsi="宋体"/>
          <w:kern w:val="2"/>
          <w:sz w:val="21"/>
          <w:szCs w:val="21"/>
        </w:rPr>
      </w:pPr>
      <w:r>
        <w:rPr>
          <w:rFonts w:hint="eastAsia" w:hAnsi="宋体"/>
          <w:kern w:val="2"/>
          <w:sz w:val="21"/>
          <w:szCs w:val="21"/>
        </w:rPr>
        <w:t xml:space="preserve"> 年  月  日 </w:t>
      </w:r>
    </w:p>
    <w:p>
      <w:pPr>
        <w:pStyle w:val="3"/>
        <w:ind w:right="63"/>
        <w:rPr>
          <w:rFonts w:hAnsi="宋体"/>
          <w:kern w:val="2"/>
          <w:sz w:val="21"/>
          <w:szCs w:val="21"/>
        </w:rPr>
      </w:pPr>
    </w:p>
    <w:p>
      <w:pPr>
        <w:pStyle w:val="3"/>
        <w:ind w:right="63"/>
      </w:pPr>
    </w:p>
    <w:p>
      <w:pPr>
        <w:pStyle w:val="3"/>
        <w:ind w:right="63"/>
      </w:pPr>
    </w:p>
    <w:p>
      <w:pPr>
        <w:pStyle w:val="3"/>
        <w:ind w:right="63"/>
      </w:pPr>
    </w:p>
    <w:p>
      <w:pPr>
        <w:pStyle w:val="3"/>
        <w:ind w:right="63"/>
      </w:pPr>
    </w:p>
    <w:p>
      <w:pPr>
        <w:pStyle w:val="3"/>
        <w:ind w:right="63"/>
      </w:pPr>
    </w:p>
    <w:p>
      <w:pPr>
        <w:pStyle w:val="3"/>
        <w:ind w:right="63"/>
      </w:pPr>
    </w:p>
    <w:p>
      <w:pPr>
        <w:pStyle w:val="3"/>
        <w:ind w:right="63"/>
      </w:pPr>
    </w:p>
    <w:p>
      <w:pPr>
        <w:pStyle w:val="3"/>
        <w:ind w:right="63"/>
      </w:pPr>
    </w:p>
    <w:p>
      <w:pPr>
        <w:pStyle w:val="3"/>
        <w:ind w:right="63"/>
      </w:pPr>
    </w:p>
    <w:p>
      <w:pPr>
        <w:pStyle w:val="3"/>
        <w:ind w:right="63"/>
      </w:pPr>
    </w:p>
    <w:p>
      <w:pPr>
        <w:pStyle w:val="5"/>
        <w:jc w:val="center"/>
      </w:pPr>
      <w:bookmarkStart w:id="618" w:name="_Toc3423"/>
      <w:r>
        <w:rPr>
          <w:rFonts w:hint="eastAsia" w:ascii="宋体" w:hAnsi="宋体" w:eastAsia="宋体" w:cs="宋体"/>
          <w:bCs w:val="0"/>
          <w:sz w:val="28"/>
          <w:szCs w:val="28"/>
        </w:rPr>
        <w:t>五、联合体牵头人授权委托书</w:t>
      </w:r>
      <w:bookmarkEnd w:id="618"/>
    </w:p>
    <w:p>
      <w:pPr>
        <w:spacing w:line="440" w:lineRule="exact"/>
        <w:ind w:firstLine="403" w:firstLineChars="192"/>
        <w:rPr>
          <w:rFonts w:ascii="宋体" w:hAnsi="宋体" w:cs="宋体"/>
          <w:szCs w:val="21"/>
        </w:rPr>
      </w:pPr>
      <w:r>
        <w:rPr>
          <w:rFonts w:hint="eastAsia" w:ascii="宋体" w:hAnsi="宋体" w:cs="宋体"/>
          <w:szCs w:val="21"/>
        </w:rPr>
        <w:t>我们，</w:t>
      </w:r>
      <w:r>
        <w:rPr>
          <w:rFonts w:hint="eastAsia" w:ascii="宋体" w:hAnsi="宋体" w:cs="宋体"/>
          <w:szCs w:val="21"/>
          <w:u w:val="single"/>
        </w:rPr>
        <w:t>［联合体成员单位全称］［法定代表人职务］［姓名］</w:t>
      </w:r>
      <w:r>
        <w:rPr>
          <w:rFonts w:hint="eastAsia" w:ascii="宋体" w:hAnsi="宋体" w:cs="宋体"/>
          <w:szCs w:val="21"/>
        </w:rPr>
        <w:t>（以下称“授权人”），共同授权联合体成员——</w:t>
      </w:r>
      <w:r>
        <w:rPr>
          <w:rFonts w:hint="eastAsia" w:ascii="宋体" w:hAnsi="宋体" w:cs="宋体"/>
          <w:szCs w:val="21"/>
          <w:u w:val="single"/>
        </w:rPr>
        <w:t>［被授权人单位全称］</w:t>
      </w:r>
      <w:r>
        <w:rPr>
          <w:rFonts w:hint="eastAsia" w:ascii="宋体" w:hAnsi="宋体" w:cs="宋体"/>
          <w:szCs w:val="21"/>
        </w:rPr>
        <w:t>（以下称“被授权人”）作为联合体牵头人，全权代表联合体全体成员负责有关</w:t>
      </w:r>
      <w:r>
        <w:rPr>
          <w:rFonts w:hint="eastAsia" w:ascii="宋体" w:hAnsi="宋体" w:cs="宋体"/>
          <w:szCs w:val="21"/>
          <w:u w:val="single"/>
        </w:rPr>
        <w:t>［项目名称］</w:t>
      </w:r>
      <w:r>
        <w:rPr>
          <w:rFonts w:hint="eastAsia" w:ascii="宋体" w:hAnsi="宋体" w:cs="宋体"/>
          <w:szCs w:val="21"/>
        </w:rPr>
        <w:t>投标和合同实施阶段的主办、协调工作。只有联合体牵头人法定代表人或其授权代理人有权以联合体全体成员的名义并代表联合体全体成员参加</w:t>
      </w:r>
      <w:r>
        <w:rPr>
          <w:rFonts w:hint="eastAsia" w:ascii="宋体" w:hAnsi="宋体" w:cs="宋体"/>
          <w:szCs w:val="21"/>
          <w:u w:val="single"/>
        </w:rPr>
        <w:t>［项目名称］</w:t>
      </w:r>
      <w:r>
        <w:rPr>
          <w:rFonts w:hint="eastAsia" w:ascii="宋体" w:hAnsi="宋体" w:cs="宋体"/>
          <w:szCs w:val="21"/>
        </w:rPr>
        <w:t>的投标活动，全权处理投标活动中的一切事宜。</w:t>
      </w:r>
    </w:p>
    <w:p>
      <w:pPr>
        <w:spacing w:line="440" w:lineRule="exact"/>
        <w:ind w:firstLine="403" w:firstLineChars="192"/>
        <w:rPr>
          <w:rFonts w:ascii="宋体" w:hAnsi="宋体" w:cs="宋体"/>
          <w:szCs w:val="21"/>
        </w:rPr>
      </w:pPr>
      <w:r>
        <w:rPr>
          <w:rFonts w:hint="eastAsia" w:ascii="宋体" w:hAnsi="宋体" w:cs="宋体"/>
          <w:szCs w:val="21"/>
        </w:rPr>
        <w:t>本授权书于年月日签字生效。</w:t>
      </w:r>
    </w:p>
    <w:p>
      <w:pPr>
        <w:pStyle w:val="24"/>
        <w:snapToGrid w:val="0"/>
        <w:spacing w:line="440" w:lineRule="exact"/>
        <w:ind w:firstLine="600"/>
        <w:rPr>
          <w:rFonts w:hAnsi="宋体" w:cs="宋体"/>
        </w:rPr>
      </w:pPr>
    </w:p>
    <w:p>
      <w:pPr>
        <w:pStyle w:val="24"/>
        <w:snapToGrid w:val="0"/>
        <w:spacing w:line="440" w:lineRule="exact"/>
        <w:ind w:firstLine="600"/>
        <w:rPr>
          <w:rFonts w:hAnsi="宋体" w:cs="宋体"/>
        </w:rPr>
      </w:pPr>
    </w:p>
    <w:p>
      <w:pPr>
        <w:pStyle w:val="24"/>
        <w:snapToGrid w:val="0"/>
        <w:spacing w:line="440" w:lineRule="exact"/>
        <w:ind w:firstLine="4410" w:firstLineChars="2100"/>
        <w:rPr>
          <w:rFonts w:hAnsi="宋体" w:cs="宋体"/>
        </w:rPr>
      </w:pPr>
      <w:r>
        <w:rPr>
          <w:rFonts w:hint="eastAsia" w:hAnsi="宋体" w:cs="宋体"/>
        </w:rPr>
        <w:t>授权人1：</w:t>
      </w:r>
      <w:r>
        <w:rPr>
          <w:rFonts w:hint="eastAsia" w:hAnsi="宋体" w:cs="宋体"/>
          <w:u w:val="single"/>
        </w:rPr>
        <w:t>［联合体成员单位全称］</w:t>
      </w:r>
      <w:r>
        <w:rPr>
          <w:rFonts w:hint="eastAsia" w:hAnsi="宋体" w:cs="宋体"/>
        </w:rPr>
        <w:t>(公章)</w:t>
      </w:r>
    </w:p>
    <w:p>
      <w:pPr>
        <w:pStyle w:val="24"/>
        <w:snapToGrid w:val="0"/>
        <w:spacing w:line="440" w:lineRule="exact"/>
        <w:ind w:firstLine="4410" w:firstLineChars="2100"/>
        <w:rPr>
          <w:rFonts w:hAnsi="宋体" w:cs="宋体"/>
        </w:rPr>
      </w:pPr>
      <w:r>
        <w:rPr>
          <w:rFonts w:hint="eastAsia" w:hAnsi="宋体" w:cs="宋体"/>
        </w:rPr>
        <w:t>法定代表人或授权代理人：（签字）</w:t>
      </w:r>
    </w:p>
    <w:p>
      <w:pPr>
        <w:pStyle w:val="24"/>
        <w:snapToGrid w:val="0"/>
        <w:spacing w:line="440" w:lineRule="exact"/>
        <w:ind w:firstLine="4410" w:firstLineChars="2100"/>
        <w:rPr>
          <w:rFonts w:hAnsi="宋体" w:cs="宋体"/>
        </w:rPr>
      </w:pPr>
    </w:p>
    <w:p>
      <w:pPr>
        <w:pStyle w:val="24"/>
        <w:snapToGrid w:val="0"/>
        <w:spacing w:line="440" w:lineRule="exact"/>
        <w:ind w:firstLine="4410" w:firstLineChars="2100"/>
        <w:rPr>
          <w:rFonts w:hAnsi="宋体" w:cs="宋体"/>
        </w:rPr>
      </w:pPr>
      <w:r>
        <w:rPr>
          <w:rFonts w:hint="eastAsia" w:hAnsi="宋体" w:cs="宋体"/>
        </w:rPr>
        <w:t>授权人2：</w:t>
      </w:r>
      <w:r>
        <w:rPr>
          <w:rFonts w:hint="eastAsia" w:hAnsi="宋体" w:cs="宋体"/>
          <w:u w:val="single"/>
        </w:rPr>
        <w:t>［联合体成员单位全称］</w:t>
      </w:r>
      <w:r>
        <w:rPr>
          <w:rFonts w:hint="eastAsia" w:hAnsi="宋体" w:cs="宋体"/>
        </w:rPr>
        <w:t>(公章)</w:t>
      </w:r>
    </w:p>
    <w:p>
      <w:pPr>
        <w:pStyle w:val="24"/>
        <w:snapToGrid w:val="0"/>
        <w:spacing w:line="440" w:lineRule="exact"/>
        <w:ind w:firstLine="4410" w:firstLineChars="2100"/>
        <w:rPr>
          <w:rFonts w:hAnsi="宋体" w:cs="宋体"/>
        </w:rPr>
      </w:pPr>
      <w:r>
        <w:rPr>
          <w:rFonts w:hint="eastAsia" w:hAnsi="宋体" w:cs="宋体"/>
        </w:rPr>
        <w:t>法定代表人或授权代理人：（签字）</w:t>
      </w:r>
    </w:p>
    <w:p>
      <w:pPr>
        <w:pStyle w:val="24"/>
        <w:snapToGrid w:val="0"/>
        <w:spacing w:line="440" w:lineRule="exact"/>
        <w:ind w:firstLine="4641" w:firstLineChars="2210"/>
        <w:rPr>
          <w:rFonts w:hAnsi="宋体" w:cs="宋体"/>
        </w:rPr>
      </w:pPr>
    </w:p>
    <w:p>
      <w:pPr>
        <w:pStyle w:val="24"/>
        <w:snapToGrid w:val="0"/>
        <w:spacing w:line="440" w:lineRule="exact"/>
        <w:ind w:firstLine="4410" w:firstLineChars="2100"/>
        <w:rPr>
          <w:rFonts w:hAnsi="宋体" w:cs="宋体"/>
        </w:rPr>
      </w:pPr>
      <w:r>
        <w:rPr>
          <w:rFonts w:hint="eastAsia" w:hAnsi="宋体" w:cs="宋体"/>
        </w:rPr>
        <w:t>被授权人：</w:t>
      </w:r>
      <w:r>
        <w:rPr>
          <w:rFonts w:hint="eastAsia" w:hAnsi="宋体" w:cs="宋体"/>
          <w:u w:val="single"/>
        </w:rPr>
        <w:t>［单位全称］</w:t>
      </w:r>
      <w:r>
        <w:rPr>
          <w:rFonts w:hint="eastAsia" w:hAnsi="宋体" w:cs="宋体"/>
        </w:rPr>
        <w:t>(公章)</w:t>
      </w:r>
    </w:p>
    <w:p>
      <w:pPr>
        <w:pStyle w:val="24"/>
        <w:snapToGrid w:val="0"/>
        <w:spacing w:line="440" w:lineRule="exact"/>
        <w:ind w:firstLine="4410" w:firstLineChars="2100"/>
        <w:rPr>
          <w:rFonts w:hAnsi="宋体" w:cs="宋体"/>
        </w:rPr>
      </w:pPr>
      <w:r>
        <w:rPr>
          <w:rFonts w:hint="eastAsia" w:hAnsi="宋体" w:cs="宋体"/>
        </w:rPr>
        <w:t>法定代表人或授权代理人：（签字）</w:t>
      </w:r>
    </w:p>
    <w:p>
      <w:pPr>
        <w:pStyle w:val="3"/>
        <w:spacing w:after="0" w:line="440" w:lineRule="exact"/>
        <w:ind w:left="63" w:right="63"/>
        <w:jc w:val="right"/>
        <w:rPr>
          <w:rFonts w:hAnsi="宋体" w:cs="宋体"/>
          <w:kern w:val="2"/>
          <w:sz w:val="21"/>
        </w:rPr>
      </w:pPr>
      <w:r>
        <w:rPr>
          <w:rFonts w:hint="eastAsia" w:hAnsi="宋体" w:cs="宋体"/>
          <w:kern w:val="2"/>
          <w:sz w:val="21"/>
        </w:rPr>
        <w:t>日期：        年     月     日</w:t>
      </w:r>
    </w:p>
    <w:p>
      <w:pPr>
        <w:pStyle w:val="3"/>
        <w:spacing w:after="0" w:line="440" w:lineRule="exact"/>
        <w:ind w:left="63" w:right="63"/>
        <w:rPr>
          <w:rFonts w:hAnsi="宋体" w:cs="宋体"/>
          <w:szCs w:val="21"/>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pStyle w:val="3"/>
        <w:ind w:left="63" w:right="63"/>
        <w:rPr>
          <w:rFonts w:hAnsi="宋体" w:cs="宋体"/>
          <w:sz w:val="28"/>
          <w:szCs w:val="28"/>
        </w:rPr>
      </w:pPr>
    </w:p>
    <w:p>
      <w:pPr>
        <w:pStyle w:val="3"/>
        <w:ind w:left="63" w:right="63"/>
        <w:rPr>
          <w:rFonts w:hAnsi="宋体" w:cs="宋体"/>
          <w:sz w:val="28"/>
          <w:szCs w:val="28"/>
        </w:rPr>
      </w:pPr>
    </w:p>
    <w:p>
      <w:pPr>
        <w:pStyle w:val="3"/>
        <w:ind w:left="63" w:right="63"/>
        <w:rPr>
          <w:rFonts w:hAnsi="宋体" w:cs="宋体"/>
          <w:sz w:val="28"/>
          <w:szCs w:val="28"/>
        </w:rPr>
      </w:pPr>
    </w:p>
    <w:p>
      <w:pPr>
        <w:pStyle w:val="3"/>
        <w:ind w:left="63" w:right="63"/>
        <w:rPr>
          <w:rFonts w:hAnsi="宋体" w:cs="宋体"/>
          <w:sz w:val="28"/>
          <w:szCs w:val="28"/>
        </w:rPr>
      </w:pPr>
    </w:p>
    <w:p>
      <w:pPr>
        <w:pStyle w:val="3"/>
        <w:ind w:right="63"/>
        <w:rPr>
          <w:rFonts w:hAnsi="宋体" w:cs="宋体"/>
          <w:sz w:val="28"/>
          <w:szCs w:val="28"/>
        </w:rPr>
      </w:pPr>
    </w:p>
    <w:p>
      <w:pPr>
        <w:pStyle w:val="5"/>
        <w:jc w:val="center"/>
        <w:rPr>
          <w:rFonts w:ascii="宋体" w:hAnsi="宋体" w:eastAsia="宋体" w:cs="宋体"/>
          <w:bCs w:val="0"/>
          <w:sz w:val="28"/>
          <w:szCs w:val="28"/>
        </w:rPr>
      </w:pPr>
      <w:bookmarkStart w:id="619" w:name="_Toc22263"/>
      <w:r>
        <w:rPr>
          <w:rFonts w:hint="eastAsia" w:ascii="宋体" w:hAnsi="宋体" w:eastAsia="宋体" w:cs="宋体"/>
          <w:bCs w:val="0"/>
          <w:sz w:val="28"/>
          <w:szCs w:val="28"/>
        </w:rPr>
        <w:t>六、投标保证金</w:t>
      </w:r>
      <w:bookmarkEnd w:id="619"/>
      <w:r>
        <w:rPr>
          <w:rFonts w:hint="eastAsia" w:ascii="宋体" w:hAnsi="宋体" w:eastAsia="宋体" w:cs="宋体"/>
          <w:bCs w:val="0"/>
          <w:sz w:val="28"/>
          <w:szCs w:val="28"/>
        </w:rPr>
        <w:t>及信用保证金</w:t>
      </w:r>
    </w:p>
    <w:p>
      <w:pPr>
        <w:spacing w:line="440" w:lineRule="exact"/>
        <w:jc w:val="center"/>
        <w:rPr>
          <w:rFonts w:ascii="宋体" w:hAnsi="宋体" w:cs="宋体"/>
          <w:b/>
          <w:sz w:val="28"/>
          <w:szCs w:val="28"/>
        </w:rPr>
      </w:pPr>
      <w:r>
        <w:rPr>
          <w:rFonts w:hint="eastAsia" w:ascii="宋体" w:hAnsi="宋体" w:cs="宋体"/>
          <w:b/>
          <w:sz w:val="28"/>
          <w:szCs w:val="28"/>
        </w:rPr>
        <w:t>（投标文件中附投标人转账凭证及开户许可证复印件）</w:t>
      </w:r>
    </w:p>
    <w:p>
      <w:pPr>
        <w:pStyle w:val="2"/>
        <w:ind w:firstLine="281"/>
        <w:jc w:val="center"/>
        <w:rPr>
          <w:b/>
          <w:sz w:val="28"/>
          <w:szCs w:val="28"/>
        </w:rPr>
      </w:pPr>
      <w:r>
        <w:rPr>
          <w:rFonts w:hint="eastAsia" w:hAnsi="宋体" w:cs="宋体"/>
          <w:b/>
          <w:bCs/>
          <w:sz w:val="28"/>
          <w:szCs w:val="28"/>
        </w:rPr>
        <w:t>信用保证金账户开户银行出具的存款证明原件和开标前3日内开具的本账户余额对账单及设立本账户设立起账户流水记录。</w:t>
      </w: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autoSpaceDE w:val="0"/>
        <w:autoSpaceDN w:val="0"/>
        <w:adjustRightInd w:val="0"/>
        <w:spacing w:line="440" w:lineRule="exact"/>
        <w:jc w:val="left"/>
        <w:rPr>
          <w:rFonts w:ascii="宋体" w:hAnsi="宋体" w:cs="宋体"/>
          <w:kern w:val="0"/>
          <w:szCs w:val="21"/>
        </w:rPr>
      </w:pPr>
    </w:p>
    <w:p>
      <w:pPr>
        <w:autoSpaceDE w:val="0"/>
        <w:autoSpaceDN w:val="0"/>
        <w:adjustRightInd w:val="0"/>
        <w:spacing w:line="420" w:lineRule="exact"/>
        <w:jc w:val="left"/>
        <w:rPr>
          <w:rFonts w:ascii="宋体" w:hAnsi="宋体" w:cs="宋体"/>
          <w:kern w:val="0"/>
          <w:sz w:val="18"/>
          <w:szCs w:val="18"/>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pStyle w:val="2"/>
        <w:ind w:firstLine="340"/>
      </w:pPr>
    </w:p>
    <w:p>
      <w:pPr>
        <w:pStyle w:val="5"/>
        <w:jc w:val="center"/>
        <w:rPr>
          <w:rFonts w:ascii="宋体" w:hAnsi="宋体" w:eastAsia="宋体" w:cs="宋体"/>
          <w:bCs w:val="0"/>
          <w:sz w:val="28"/>
          <w:szCs w:val="28"/>
        </w:rPr>
      </w:pPr>
      <w:bookmarkStart w:id="620" w:name="_Toc31153"/>
      <w:r>
        <w:rPr>
          <w:rFonts w:hint="eastAsia" w:ascii="宋体" w:hAnsi="宋体" w:eastAsia="宋体" w:cs="宋体"/>
          <w:bCs w:val="0"/>
          <w:sz w:val="28"/>
          <w:szCs w:val="28"/>
        </w:rPr>
        <w:t>七、施工组织设计</w:t>
      </w:r>
      <w:bookmarkEnd w:id="620"/>
    </w:p>
    <w:p>
      <w:pPr>
        <w:autoSpaceDE w:val="0"/>
        <w:autoSpaceDN w:val="0"/>
        <w:adjustRightInd w:val="0"/>
        <w:spacing w:line="440" w:lineRule="exact"/>
        <w:ind w:firstLine="539" w:firstLineChars="257"/>
        <w:jc w:val="left"/>
        <w:rPr>
          <w:rFonts w:ascii="宋体" w:hAnsi="宋体" w:cs="宋体"/>
          <w:kern w:val="0"/>
          <w:szCs w:val="21"/>
        </w:rPr>
      </w:pPr>
      <w:r>
        <w:rPr>
          <w:rFonts w:hint="eastAsia" w:ascii="宋体" w:hAnsi="宋体" w:cs="宋体"/>
          <w:kern w:val="0"/>
          <w:szCs w:val="21"/>
        </w:rPr>
        <w:t>1. 投标人应根据招标文件和对现场的勘察情况，采用文字并结合图表形式，按照以下要点编制本工程的施工组织设计：</w:t>
      </w:r>
    </w:p>
    <w:p>
      <w:pPr>
        <w:autoSpaceDE w:val="0"/>
        <w:autoSpaceDN w:val="0"/>
        <w:adjustRightInd w:val="0"/>
        <w:spacing w:line="440" w:lineRule="exact"/>
        <w:ind w:firstLine="539" w:firstLineChars="257"/>
        <w:jc w:val="left"/>
        <w:rPr>
          <w:rFonts w:ascii="宋体" w:hAnsi="宋体" w:cs="宋体"/>
          <w:szCs w:val="21"/>
        </w:rPr>
      </w:pPr>
      <w:r>
        <w:rPr>
          <w:rFonts w:hint="eastAsia" w:ascii="宋体" w:hAnsi="宋体" w:cs="宋体"/>
          <w:szCs w:val="21"/>
        </w:rPr>
        <w:t>（1）主要施工方案和技术措施</w:t>
      </w:r>
    </w:p>
    <w:p>
      <w:pPr>
        <w:autoSpaceDE w:val="0"/>
        <w:autoSpaceDN w:val="0"/>
        <w:adjustRightInd w:val="0"/>
        <w:spacing w:line="440" w:lineRule="exact"/>
        <w:ind w:firstLine="539" w:firstLineChars="257"/>
        <w:jc w:val="left"/>
        <w:rPr>
          <w:rFonts w:ascii="宋体" w:hAnsi="宋体" w:cs="宋体"/>
          <w:szCs w:val="21"/>
        </w:rPr>
      </w:pPr>
      <w:r>
        <w:rPr>
          <w:rFonts w:hint="eastAsia" w:ascii="宋体" w:hAnsi="宋体" w:cs="宋体"/>
          <w:szCs w:val="21"/>
        </w:rPr>
        <w:t>（2）工程施工重点、难点分析及对策</w:t>
      </w:r>
    </w:p>
    <w:p>
      <w:pPr>
        <w:autoSpaceDE w:val="0"/>
        <w:autoSpaceDN w:val="0"/>
        <w:adjustRightInd w:val="0"/>
        <w:spacing w:line="440" w:lineRule="exact"/>
        <w:ind w:firstLine="539" w:firstLineChars="257"/>
        <w:jc w:val="left"/>
        <w:rPr>
          <w:rFonts w:ascii="宋体" w:hAnsi="宋体" w:cs="宋体"/>
          <w:szCs w:val="21"/>
        </w:rPr>
      </w:pPr>
      <w:r>
        <w:rPr>
          <w:rFonts w:hint="eastAsia" w:ascii="宋体" w:hAnsi="宋体" w:cs="宋体"/>
          <w:szCs w:val="21"/>
        </w:rPr>
        <w:t>（3）质量管理体系与措施</w:t>
      </w:r>
    </w:p>
    <w:p>
      <w:pPr>
        <w:autoSpaceDE w:val="0"/>
        <w:autoSpaceDN w:val="0"/>
        <w:adjustRightInd w:val="0"/>
        <w:spacing w:line="440" w:lineRule="exact"/>
        <w:ind w:firstLine="539" w:firstLineChars="257"/>
        <w:jc w:val="left"/>
        <w:rPr>
          <w:rFonts w:ascii="宋体" w:hAnsi="宋体" w:cs="宋体"/>
          <w:szCs w:val="21"/>
        </w:rPr>
      </w:pPr>
      <w:r>
        <w:rPr>
          <w:rFonts w:hint="eastAsia" w:ascii="宋体" w:hAnsi="宋体" w:cs="宋体"/>
          <w:szCs w:val="21"/>
        </w:rPr>
        <w:t>（4）确保工期的技术组织措施</w:t>
      </w:r>
    </w:p>
    <w:p>
      <w:pPr>
        <w:autoSpaceDE w:val="0"/>
        <w:autoSpaceDN w:val="0"/>
        <w:adjustRightInd w:val="0"/>
        <w:spacing w:line="440" w:lineRule="exact"/>
        <w:ind w:firstLine="539" w:firstLineChars="257"/>
        <w:jc w:val="left"/>
        <w:rPr>
          <w:rFonts w:ascii="宋体" w:hAnsi="宋体" w:cs="宋体"/>
          <w:szCs w:val="21"/>
        </w:rPr>
      </w:pPr>
      <w:r>
        <w:rPr>
          <w:rFonts w:hint="eastAsia" w:ascii="宋体" w:hAnsi="宋体" w:cs="宋体"/>
          <w:szCs w:val="21"/>
        </w:rPr>
        <w:t>（5）安全、文明、环保管理体系与措施</w:t>
      </w:r>
    </w:p>
    <w:p>
      <w:pPr>
        <w:autoSpaceDE w:val="0"/>
        <w:autoSpaceDN w:val="0"/>
        <w:adjustRightInd w:val="0"/>
        <w:spacing w:line="440" w:lineRule="exact"/>
        <w:ind w:firstLine="539" w:firstLineChars="257"/>
        <w:jc w:val="left"/>
        <w:rPr>
          <w:rFonts w:ascii="宋体" w:hAnsi="宋体" w:cs="宋体"/>
          <w:szCs w:val="21"/>
        </w:rPr>
      </w:pPr>
      <w:r>
        <w:rPr>
          <w:rFonts w:hint="eastAsia" w:ascii="宋体" w:hAnsi="宋体" w:cs="宋体"/>
          <w:szCs w:val="21"/>
        </w:rPr>
        <w:t>（6）组织机构及管理人员、资源配备计划</w:t>
      </w:r>
    </w:p>
    <w:p>
      <w:pPr>
        <w:autoSpaceDE w:val="0"/>
        <w:autoSpaceDN w:val="0"/>
        <w:adjustRightInd w:val="0"/>
        <w:spacing w:line="440" w:lineRule="exact"/>
        <w:ind w:firstLine="539" w:firstLineChars="257"/>
        <w:jc w:val="left"/>
        <w:rPr>
          <w:rFonts w:ascii="宋体" w:hAnsi="宋体" w:cs="宋体"/>
          <w:szCs w:val="21"/>
        </w:rPr>
      </w:pPr>
      <w:r>
        <w:rPr>
          <w:rFonts w:hint="eastAsia" w:ascii="宋体" w:hAnsi="宋体" w:cs="宋体"/>
          <w:szCs w:val="21"/>
        </w:rPr>
        <w:t>（7）冬雨季施工、施工排水措施</w:t>
      </w:r>
    </w:p>
    <w:p>
      <w:pPr>
        <w:autoSpaceDE w:val="0"/>
        <w:autoSpaceDN w:val="0"/>
        <w:adjustRightInd w:val="0"/>
        <w:spacing w:line="440" w:lineRule="exact"/>
        <w:ind w:firstLine="539" w:firstLineChars="257"/>
        <w:jc w:val="left"/>
        <w:rPr>
          <w:rFonts w:ascii="宋体" w:hAnsi="宋体" w:cs="宋体"/>
          <w:szCs w:val="21"/>
        </w:rPr>
      </w:pPr>
      <w:r>
        <w:rPr>
          <w:rFonts w:hint="eastAsia" w:ascii="宋体" w:hAnsi="宋体" w:cs="宋体"/>
          <w:szCs w:val="21"/>
        </w:rPr>
        <w:t>（8）紧急情况的处理措施、应急预案及风险控制</w:t>
      </w:r>
    </w:p>
    <w:p>
      <w:pPr>
        <w:autoSpaceDE w:val="0"/>
        <w:autoSpaceDN w:val="0"/>
        <w:adjustRightInd w:val="0"/>
        <w:spacing w:line="440" w:lineRule="exact"/>
        <w:ind w:firstLine="539" w:firstLineChars="257"/>
        <w:jc w:val="left"/>
        <w:rPr>
          <w:rFonts w:ascii="宋体" w:hAnsi="宋体" w:cs="宋体"/>
          <w:szCs w:val="21"/>
        </w:rPr>
      </w:pPr>
      <w:r>
        <w:rPr>
          <w:rFonts w:hint="eastAsia" w:ascii="宋体" w:hAnsi="宋体" w:cs="宋体"/>
          <w:szCs w:val="21"/>
        </w:rPr>
        <w:t>（9）合理化建议</w:t>
      </w:r>
    </w:p>
    <w:p>
      <w:pPr>
        <w:autoSpaceDE w:val="0"/>
        <w:autoSpaceDN w:val="0"/>
        <w:adjustRightInd w:val="0"/>
        <w:spacing w:line="440" w:lineRule="exact"/>
        <w:ind w:firstLine="539" w:firstLineChars="257"/>
        <w:jc w:val="left"/>
        <w:rPr>
          <w:rFonts w:ascii="宋体" w:hAnsi="宋体" w:cs="宋体"/>
          <w:szCs w:val="21"/>
        </w:rPr>
      </w:pPr>
      <w:r>
        <w:rPr>
          <w:rFonts w:hint="eastAsia" w:ascii="宋体" w:hAnsi="宋体" w:cs="宋体"/>
          <w:szCs w:val="21"/>
        </w:rPr>
        <w:t>（10）创新技术</w:t>
      </w:r>
    </w:p>
    <w:p>
      <w:pPr>
        <w:autoSpaceDE w:val="0"/>
        <w:autoSpaceDN w:val="0"/>
        <w:adjustRightInd w:val="0"/>
        <w:spacing w:line="440" w:lineRule="exact"/>
        <w:ind w:firstLine="539" w:firstLineChars="257"/>
        <w:jc w:val="left"/>
        <w:rPr>
          <w:rFonts w:ascii="宋体" w:hAnsi="宋体" w:cs="宋体"/>
          <w:szCs w:val="21"/>
        </w:rPr>
      </w:pPr>
      <w:r>
        <w:rPr>
          <w:rFonts w:hint="eastAsia" w:ascii="宋体" w:hAnsi="宋体" w:cs="宋体"/>
          <w:szCs w:val="21"/>
        </w:rPr>
        <w:t>（11）扬尘治理措施</w:t>
      </w:r>
    </w:p>
    <w:p>
      <w:pPr>
        <w:autoSpaceDE w:val="0"/>
        <w:autoSpaceDN w:val="0"/>
        <w:adjustRightInd w:val="0"/>
        <w:spacing w:line="440" w:lineRule="exact"/>
        <w:ind w:firstLine="539" w:firstLineChars="257"/>
        <w:jc w:val="left"/>
        <w:rPr>
          <w:rFonts w:ascii="宋体" w:hAnsi="宋体" w:cs="宋体"/>
          <w:kern w:val="0"/>
          <w:szCs w:val="21"/>
        </w:rPr>
      </w:pPr>
      <w:r>
        <w:rPr>
          <w:rFonts w:hint="eastAsia" w:ascii="宋体" w:hAnsi="宋体" w:cs="宋体"/>
          <w:kern w:val="0"/>
          <w:szCs w:val="21"/>
        </w:rPr>
        <w:t>2. 施工组织设计除采用文字表述外可附下列图表，图表及格式要求附后。</w:t>
      </w:r>
    </w:p>
    <w:p>
      <w:pPr>
        <w:autoSpaceDE w:val="0"/>
        <w:autoSpaceDN w:val="0"/>
        <w:adjustRightInd w:val="0"/>
        <w:spacing w:line="440" w:lineRule="exact"/>
        <w:ind w:firstLine="898" w:firstLineChars="428"/>
        <w:jc w:val="left"/>
        <w:rPr>
          <w:rFonts w:ascii="宋体" w:hAnsi="宋体" w:cs="宋体"/>
          <w:kern w:val="0"/>
          <w:szCs w:val="21"/>
        </w:rPr>
      </w:pPr>
      <w:r>
        <w:rPr>
          <w:rFonts w:hint="eastAsia" w:ascii="宋体" w:hAnsi="宋体" w:cs="宋体"/>
          <w:kern w:val="0"/>
          <w:szCs w:val="21"/>
        </w:rPr>
        <w:t>附表一 拟投入本项目的主要施工设备表</w:t>
      </w:r>
    </w:p>
    <w:p>
      <w:pPr>
        <w:autoSpaceDE w:val="0"/>
        <w:autoSpaceDN w:val="0"/>
        <w:adjustRightInd w:val="0"/>
        <w:spacing w:line="440" w:lineRule="exact"/>
        <w:ind w:firstLine="898" w:firstLineChars="428"/>
        <w:jc w:val="left"/>
        <w:rPr>
          <w:rFonts w:ascii="宋体" w:hAnsi="宋体" w:cs="宋体"/>
          <w:kern w:val="0"/>
          <w:szCs w:val="21"/>
        </w:rPr>
      </w:pPr>
      <w:r>
        <w:rPr>
          <w:rFonts w:hint="eastAsia" w:ascii="宋体" w:hAnsi="宋体" w:cs="宋体"/>
          <w:kern w:val="0"/>
          <w:szCs w:val="21"/>
        </w:rPr>
        <w:t>附表二 拟配备本项目的试验和检测仪器设备表</w:t>
      </w:r>
    </w:p>
    <w:p>
      <w:pPr>
        <w:autoSpaceDE w:val="0"/>
        <w:autoSpaceDN w:val="0"/>
        <w:adjustRightInd w:val="0"/>
        <w:spacing w:line="440" w:lineRule="exact"/>
        <w:ind w:firstLine="898" w:firstLineChars="428"/>
        <w:jc w:val="left"/>
        <w:rPr>
          <w:rFonts w:ascii="宋体" w:hAnsi="宋体" w:cs="宋体"/>
          <w:kern w:val="0"/>
          <w:szCs w:val="21"/>
        </w:rPr>
      </w:pPr>
      <w:r>
        <w:rPr>
          <w:rFonts w:hint="eastAsia" w:ascii="宋体" w:hAnsi="宋体" w:cs="宋体"/>
          <w:kern w:val="0"/>
          <w:szCs w:val="21"/>
        </w:rPr>
        <w:t>附表三 劳动力计划表</w:t>
      </w:r>
    </w:p>
    <w:p>
      <w:pPr>
        <w:autoSpaceDE w:val="0"/>
        <w:autoSpaceDN w:val="0"/>
        <w:adjustRightInd w:val="0"/>
        <w:spacing w:line="440" w:lineRule="exact"/>
        <w:ind w:firstLine="898" w:firstLineChars="428"/>
        <w:jc w:val="left"/>
        <w:rPr>
          <w:rFonts w:ascii="宋体" w:hAnsi="宋体" w:cs="宋体"/>
          <w:kern w:val="0"/>
          <w:szCs w:val="21"/>
        </w:rPr>
      </w:pPr>
      <w:r>
        <w:rPr>
          <w:rFonts w:hint="eastAsia" w:ascii="宋体" w:hAnsi="宋体" w:cs="宋体"/>
          <w:kern w:val="0"/>
          <w:szCs w:val="21"/>
        </w:rPr>
        <w:t>附表四 计划开、竣工日期和施工进度网络图</w:t>
      </w:r>
    </w:p>
    <w:p>
      <w:pPr>
        <w:autoSpaceDE w:val="0"/>
        <w:autoSpaceDN w:val="0"/>
        <w:adjustRightInd w:val="0"/>
        <w:spacing w:line="440" w:lineRule="exact"/>
        <w:ind w:firstLine="898" w:firstLineChars="428"/>
        <w:jc w:val="left"/>
        <w:rPr>
          <w:rFonts w:ascii="宋体" w:hAnsi="宋体" w:cs="宋体"/>
          <w:kern w:val="0"/>
          <w:szCs w:val="21"/>
        </w:rPr>
      </w:pPr>
      <w:r>
        <w:rPr>
          <w:rFonts w:hint="eastAsia" w:ascii="宋体" w:hAnsi="宋体" w:cs="宋体"/>
          <w:kern w:val="0"/>
          <w:szCs w:val="21"/>
        </w:rPr>
        <w:t>附表五 临时用地表</w:t>
      </w:r>
    </w:p>
    <w:p>
      <w:pPr>
        <w:autoSpaceDE w:val="0"/>
        <w:autoSpaceDN w:val="0"/>
        <w:adjustRightInd w:val="0"/>
        <w:spacing w:line="440" w:lineRule="exact"/>
        <w:jc w:val="left"/>
        <w:rPr>
          <w:rFonts w:ascii="宋体" w:hAnsi="宋体" w:cs="宋体"/>
          <w:kern w:val="0"/>
          <w:szCs w:val="21"/>
        </w:rPr>
      </w:pPr>
    </w:p>
    <w:p>
      <w:pPr>
        <w:pStyle w:val="5"/>
        <w:keepNext w:val="0"/>
        <w:keepLines w:val="0"/>
        <w:pageBreakBefore/>
        <w:spacing w:line="415" w:lineRule="auto"/>
        <w:rPr>
          <w:rFonts w:ascii="宋体" w:hAnsi="宋体" w:eastAsia="宋体" w:cs="宋体"/>
          <w:b w:val="0"/>
          <w:sz w:val="28"/>
          <w:szCs w:val="28"/>
        </w:rPr>
      </w:pPr>
      <w:bookmarkStart w:id="621" w:name="_Toc17148"/>
      <w:bookmarkStart w:id="622" w:name="_Toc18928"/>
      <w:bookmarkStart w:id="623" w:name="_Toc456354376"/>
      <w:r>
        <w:rPr>
          <w:rFonts w:hint="eastAsia" w:ascii="宋体" w:hAnsi="宋体" w:eastAsia="宋体" w:cs="宋体"/>
          <w:b w:val="0"/>
          <w:sz w:val="28"/>
          <w:szCs w:val="28"/>
        </w:rPr>
        <w:t>附表一：拟投入本项目的主要施工设备表</w:t>
      </w:r>
      <w:bookmarkEnd w:id="621"/>
      <w:bookmarkEnd w:id="622"/>
      <w:bookmarkEnd w:id="623"/>
    </w:p>
    <w:tbl>
      <w:tblPr>
        <w:tblStyle w:val="50"/>
        <w:tblW w:w="93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211"/>
        <w:gridCol w:w="931"/>
        <w:gridCol w:w="931"/>
        <w:gridCol w:w="932"/>
        <w:gridCol w:w="932"/>
        <w:gridCol w:w="1201"/>
        <w:gridCol w:w="662"/>
        <w:gridCol w:w="932"/>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jc w:val="center"/>
        </w:trPr>
        <w:tc>
          <w:tcPr>
            <w:tcW w:w="650" w:type="dxa"/>
            <w:vAlign w:val="center"/>
          </w:tcPr>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序号</w:t>
            </w:r>
          </w:p>
        </w:tc>
        <w:tc>
          <w:tcPr>
            <w:tcW w:w="1211" w:type="dxa"/>
            <w:vAlign w:val="center"/>
          </w:tcPr>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设备名称</w:t>
            </w:r>
          </w:p>
        </w:tc>
        <w:tc>
          <w:tcPr>
            <w:tcW w:w="931"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型号</w:t>
            </w:r>
          </w:p>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规格</w:t>
            </w:r>
          </w:p>
        </w:tc>
        <w:tc>
          <w:tcPr>
            <w:tcW w:w="931" w:type="dxa"/>
            <w:vAlign w:val="center"/>
          </w:tcPr>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数量</w:t>
            </w:r>
          </w:p>
        </w:tc>
        <w:tc>
          <w:tcPr>
            <w:tcW w:w="932"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国别</w:t>
            </w:r>
          </w:p>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产地</w:t>
            </w:r>
          </w:p>
        </w:tc>
        <w:tc>
          <w:tcPr>
            <w:tcW w:w="932"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制造</w:t>
            </w:r>
          </w:p>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年份</w:t>
            </w:r>
          </w:p>
        </w:tc>
        <w:tc>
          <w:tcPr>
            <w:tcW w:w="1201"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额定功率</w:t>
            </w:r>
          </w:p>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（KW）</w:t>
            </w:r>
          </w:p>
        </w:tc>
        <w:tc>
          <w:tcPr>
            <w:tcW w:w="662"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生产</w:t>
            </w:r>
          </w:p>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能力</w:t>
            </w:r>
          </w:p>
        </w:tc>
        <w:tc>
          <w:tcPr>
            <w:tcW w:w="932"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用于施</w:t>
            </w:r>
          </w:p>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工部位</w:t>
            </w:r>
          </w:p>
        </w:tc>
        <w:tc>
          <w:tcPr>
            <w:tcW w:w="932" w:type="dxa"/>
            <w:vAlign w:val="center"/>
          </w:tcPr>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650" w:type="dxa"/>
            <w:vAlign w:val="center"/>
          </w:tcPr>
          <w:p>
            <w:pPr>
              <w:autoSpaceDE w:val="0"/>
              <w:autoSpaceDN w:val="0"/>
              <w:adjustRightInd w:val="0"/>
              <w:spacing w:line="420" w:lineRule="exact"/>
              <w:jc w:val="center"/>
              <w:rPr>
                <w:rFonts w:ascii="宋体" w:hAnsi="宋体" w:cs="宋体"/>
                <w:kern w:val="0"/>
                <w:sz w:val="24"/>
              </w:rPr>
            </w:pPr>
          </w:p>
        </w:tc>
        <w:tc>
          <w:tcPr>
            <w:tcW w:w="121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1201" w:type="dxa"/>
            <w:vAlign w:val="center"/>
          </w:tcPr>
          <w:p>
            <w:pPr>
              <w:autoSpaceDE w:val="0"/>
              <w:autoSpaceDN w:val="0"/>
              <w:adjustRightInd w:val="0"/>
              <w:spacing w:line="420" w:lineRule="exact"/>
              <w:jc w:val="center"/>
              <w:rPr>
                <w:rFonts w:ascii="宋体" w:hAnsi="宋体" w:cs="宋体"/>
                <w:kern w:val="0"/>
                <w:sz w:val="24"/>
              </w:rPr>
            </w:pPr>
          </w:p>
        </w:tc>
        <w:tc>
          <w:tcPr>
            <w:tcW w:w="66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650" w:type="dxa"/>
            <w:vAlign w:val="center"/>
          </w:tcPr>
          <w:p>
            <w:pPr>
              <w:autoSpaceDE w:val="0"/>
              <w:autoSpaceDN w:val="0"/>
              <w:adjustRightInd w:val="0"/>
              <w:spacing w:line="420" w:lineRule="exact"/>
              <w:jc w:val="center"/>
              <w:rPr>
                <w:rFonts w:ascii="宋体" w:hAnsi="宋体" w:cs="宋体"/>
                <w:kern w:val="0"/>
                <w:sz w:val="24"/>
              </w:rPr>
            </w:pPr>
          </w:p>
        </w:tc>
        <w:tc>
          <w:tcPr>
            <w:tcW w:w="121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1201" w:type="dxa"/>
            <w:vAlign w:val="center"/>
          </w:tcPr>
          <w:p>
            <w:pPr>
              <w:autoSpaceDE w:val="0"/>
              <w:autoSpaceDN w:val="0"/>
              <w:adjustRightInd w:val="0"/>
              <w:spacing w:line="420" w:lineRule="exact"/>
              <w:jc w:val="center"/>
              <w:rPr>
                <w:rFonts w:ascii="宋体" w:hAnsi="宋体" w:cs="宋体"/>
                <w:kern w:val="0"/>
                <w:sz w:val="24"/>
              </w:rPr>
            </w:pPr>
          </w:p>
        </w:tc>
        <w:tc>
          <w:tcPr>
            <w:tcW w:w="66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650" w:type="dxa"/>
            <w:vAlign w:val="center"/>
          </w:tcPr>
          <w:p>
            <w:pPr>
              <w:autoSpaceDE w:val="0"/>
              <w:autoSpaceDN w:val="0"/>
              <w:adjustRightInd w:val="0"/>
              <w:spacing w:line="420" w:lineRule="exact"/>
              <w:jc w:val="center"/>
              <w:rPr>
                <w:rFonts w:ascii="宋体" w:hAnsi="宋体" w:cs="宋体"/>
                <w:kern w:val="0"/>
                <w:sz w:val="24"/>
              </w:rPr>
            </w:pPr>
          </w:p>
        </w:tc>
        <w:tc>
          <w:tcPr>
            <w:tcW w:w="121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1201" w:type="dxa"/>
            <w:vAlign w:val="center"/>
          </w:tcPr>
          <w:p>
            <w:pPr>
              <w:autoSpaceDE w:val="0"/>
              <w:autoSpaceDN w:val="0"/>
              <w:adjustRightInd w:val="0"/>
              <w:spacing w:line="420" w:lineRule="exact"/>
              <w:jc w:val="center"/>
              <w:rPr>
                <w:rFonts w:ascii="宋体" w:hAnsi="宋体" w:cs="宋体"/>
                <w:kern w:val="0"/>
                <w:sz w:val="24"/>
              </w:rPr>
            </w:pPr>
          </w:p>
        </w:tc>
        <w:tc>
          <w:tcPr>
            <w:tcW w:w="66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650" w:type="dxa"/>
            <w:vAlign w:val="center"/>
          </w:tcPr>
          <w:p>
            <w:pPr>
              <w:autoSpaceDE w:val="0"/>
              <w:autoSpaceDN w:val="0"/>
              <w:adjustRightInd w:val="0"/>
              <w:spacing w:line="420" w:lineRule="exact"/>
              <w:jc w:val="center"/>
              <w:rPr>
                <w:rFonts w:ascii="宋体" w:hAnsi="宋体" w:cs="宋体"/>
                <w:kern w:val="0"/>
                <w:sz w:val="24"/>
              </w:rPr>
            </w:pPr>
          </w:p>
        </w:tc>
        <w:tc>
          <w:tcPr>
            <w:tcW w:w="121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1201" w:type="dxa"/>
            <w:vAlign w:val="center"/>
          </w:tcPr>
          <w:p>
            <w:pPr>
              <w:autoSpaceDE w:val="0"/>
              <w:autoSpaceDN w:val="0"/>
              <w:adjustRightInd w:val="0"/>
              <w:spacing w:line="420" w:lineRule="exact"/>
              <w:jc w:val="center"/>
              <w:rPr>
                <w:rFonts w:ascii="宋体" w:hAnsi="宋体" w:cs="宋体"/>
                <w:kern w:val="0"/>
                <w:sz w:val="24"/>
              </w:rPr>
            </w:pPr>
          </w:p>
        </w:tc>
        <w:tc>
          <w:tcPr>
            <w:tcW w:w="66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650" w:type="dxa"/>
            <w:vAlign w:val="center"/>
          </w:tcPr>
          <w:p>
            <w:pPr>
              <w:autoSpaceDE w:val="0"/>
              <w:autoSpaceDN w:val="0"/>
              <w:adjustRightInd w:val="0"/>
              <w:spacing w:line="420" w:lineRule="exact"/>
              <w:jc w:val="center"/>
              <w:rPr>
                <w:rFonts w:ascii="宋体" w:hAnsi="宋体" w:cs="宋体"/>
                <w:kern w:val="0"/>
                <w:sz w:val="24"/>
              </w:rPr>
            </w:pPr>
          </w:p>
        </w:tc>
        <w:tc>
          <w:tcPr>
            <w:tcW w:w="121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1201" w:type="dxa"/>
            <w:vAlign w:val="center"/>
          </w:tcPr>
          <w:p>
            <w:pPr>
              <w:autoSpaceDE w:val="0"/>
              <w:autoSpaceDN w:val="0"/>
              <w:adjustRightInd w:val="0"/>
              <w:spacing w:line="420" w:lineRule="exact"/>
              <w:jc w:val="center"/>
              <w:rPr>
                <w:rFonts w:ascii="宋体" w:hAnsi="宋体" w:cs="宋体"/>
                <w:kern w:val="0"/>
                <w:sz w:val="24"/>
              </w:rPr>
            </w:pPr>
          </w:p>
        </w:tc>
        <w:tc>
          <w:tcPr>
            <w:tcW w:w="66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650" w:type="dxa"/>
            <w:vAlign w:val="center"/>
          </w:tcPr>
          <w:p>
            <w:pPr>
              <w:autoSpaceDE w:val="0"/>
              <w:autoSpaceDN w:val="0"/>
              <w:adjustRightInd w:val="0"/>
              <w:spacing w:line="420" w:lineRule="exact"/>
              <w:jc w:val="center"/>
              <w:rPr>
                <w:rFonts w:ascii="宋体" w:hAnsi="宋体" w:cs="宋体"/>
                <w:kern w:val="0"/>
                <w:sz w:val="24"/>
              </w:rPr>
            </w:pPr>
          </w:p>
        </w:tc>
        <w:tc>
          <w:tcPr>
            <w:tcW w:w="121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1201" w:type="dxa"/>
            <w:vAlign w:val="center"/>
          </w:tcPr>
          <w:p>
            <w:pPr>
              <w:autoSpaceDE w:val="0"/>
              <w:autoSpaceDN w:val="0"/>
              <w:adjustRightInd w:val="0"/>
              <w:spacing w:line="420" w:lineRule="exact"/>
              <w:jc w:val="center"/>
              <w:rPr>
                <w:rFonts w:ascii="宋体" w:hAnsi="宋体" w:cs="宋体"/>
                <w:kern w:val="0"/>
                <w:sz w:val="24"/>
              </w:rPr>
            </w:pPr>
          </w:p>
        </w:tc>
        <w:tc>
          <w:tcPr>
            <w:tcW w:w="66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650" w:type="dxa"/>
            <w:vAlign w:val="center"/>
          </w:tcPr>
          <w:p>
            <w:pPr>
              <w:autoSpaceDE w:val="0"/>
              <w:autoSpaceDN w:val="0"/>
              <w:adjustRightInd w:val="0"/>
              <w:spacing w:line="420" w:lineRule="exact"/>
              <w:jc w:val="center"/>
              <w:rPr>
                <w:rFonts w:ascii="宋体" w:hAnsi="宋体" w:cs="宋体"/>
                <w:kern w:val="0"/>
                <w:sz w:val="24"/>
              </w:rPr>
            </w:pPr>
          </w:p>
        </w:tc>
        <w:tc>
          <w:tcPr>
            <w:tcW w:w="121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1201" w:type="dxa"/>
            <w:vAlign w:val="center"/>
          </w:tcPr>
          <w:p>
            <w:pPr>
              <w:autoSpaceDE w:val="0"/>
              <w:autoSpaceDN w:val="0"/>
              <w:adjustRightInd w:val="0"/>
              <w:spacing w:line="420" w:lineRule="exact"/>
              <w:jc w:val="center"/>
              <w:rPr>
                <w:rFonts w:ascii="宋体" w:hAnsi="宋体" w:cs="宋体"/>
                <w:kern w:val="0"/>
                <w:sz w:val="24"/>
              </w:rPr>
            </w:pPr>
          </w:p>
        </w:tc>
        <w:tc>
          <w:tcPr>
            <w:tcW w:w="66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650" w:type="dxa"/>
            <w:vAlign w:val="center"/>
          </w:tcPr>
          <w:p>
            <w:pPr>
              <w:autoSpaceDE w:val="0"/>
              <w:autoSpaceDN w:val="0"/>
              <w:adjustRightInd w:val="0"/>
              <w:spacing w:line="420" w:lineRule="exact"/>
              <w:jc w:val="center"/>
              <w:rPr>
                <w:rFonts w:ascii="宋体" w:hAnsi="宋体" w:cs="宋体"/>
                <w:kern w:val="0"/>
                <w:sz w:val="24"/>
              </w:rPr>
            </w:pPr>
          </w:p>
        </w:tc>
        <w:tc>
          <w:tcPr>
            <w:tcW w:w="121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1201" w:type="dxa"/>
            <w:vAlign w:val="center"/>
          </w:tcPr>
          <w:p>
            <w:pPr>
              <w:autoSpaceDE w:val="0"/>
              <w:autoSpaceDN w:val="0"/>
              <w:adjustRightInd w:val="0"/>
              <w:spacing w:line="420" w:lineRule="exact"/>
              <w:jc w:val="center"/>
              <w:rPr>
                <w:rFonts w:ascii="宋体" w:hAnsi="宋体" w:cs="宋体"/>
                <w:kern w:val="0"/>
                <w:sz w:val="24"/>
              </w:rPr>
            </w:pPr>
          </w:p>
        </w:tc>
        <w:tc>
          <w:tcPr>
            <w:tcW w:w="66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650" w:type="dxa"/>
            <w:vAlign w:val="center"/>
          </w:tcPr>
          <w:p>
            <w:pPr>
              <w:autoSpaceDE w:val="0"/>
              <w:autoSpaceDN w:val="0"/>
              <w:adjustRightInd w:val="0"/>
              <w:spacing w:line="420" w:lineRule="exact"/>
              <w:jc w:val="center"/>
              <w:rPr>
                <w:rFonts w:ascii="宋体" w:hAnsi="宋体" w:cs="宋体"/>
                <w:kern w:val="0"/>
                <w:sz w:val="24"/>
              </w:rPr>
            </w:pPr>
          </w:p>
        </w:tc>
        <w:tc>
          <w:tcPr>
            <w:tcW w:w="121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1201" w:type="dxa"/>
            <w:vAlign w:val="center"/>
          </w:tcPr>
          <w:p>
            <w:pPr>
              <w:autoSpaceDE w:val="0"/>
              <w:autoSpaceDN w:val="0"/>
              <w:adjustRightInd w:val="0"/>
              <w:spacing w:line="420" w:lineRule="exact"/>
              <w:jc w:val="center"/>
              <w:rPr>
                <w:rFonts w:ascii="宋体" w:hAnsi="宋体" w:cs="宋体"/>
                <w:kern w:val="0"/>
                <w:sz w:val="24"/>
              </w:rPr>
            </w:pPr>
          </w:p>
        </w:tc>
        <w:tc>
          <w:tcPr>
            <w:tcW w:w="66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650" w:type="dxa"/>
            <w:vAlign w:val="center"/>
          </w:tcPr>
          <w:p>
            <w:pPr>
              <w:autoSpaceDE w:val="0"/>
              <w:autoSpaceDN w:val="0"/>
              <w:adjustRightInd w:val="0"/>
              <w:spacing w:line="420" w:lineRule="exact"/>
              <w:jc w:val="center"/>
              <w:rPr>
                <w:rFonts w:ascii="宋体" w:hAnsi="宋体" w:cs="宋体"/>
                <w:kern w:val="0"/>
                <w:sz w:val="24"/>
              </w:rPr>
            </w:pPr>
          </w:p>
        </w:tc>
        <w:tc>
          <w:tcPr>
            <w:tcW w:w="121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1201" w:type="dxa"/>
            <w:vAlign w:val="center"/>
          </w:tcPr>
          <w:p>
            <w:pPr>
              <w:autoSpaceDE w:val="0"/>
              <w:autoSpaceDN w:val="0"/>
              <w:adjustRightInd w:val="0"/>
              <w:spacing w:line="420" w:lineRule="exact"/>
              <w:jc w:val="center"/>
              <w:rPr>
                <w:rFonts w:ascii="宋体" w:hAnsi="宋体" w:cs="宋体"/>
                <w:kern w:val="0"/>
                <w:sz w:val="24"/>
              </w:rPr>
            </w:pPr>
          </w:p>
        </w:tc>
        <w:tc>
          <w:tcPr>
            <w:tcW w:w="66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650" w:type="dxa"/>
            <w:vAlign w:val="center"/>
          </w:tcPr>
          <w:p>
            <w:pPr>
              <w:autoSpaceDE w:val="0"/>
              <w:autoSpaceDN w:val="0"/>
              <w:adjustRightInd w:val="0"/>
              <w:spacing w:line="420" w:lineRule="exact"/>
              <w:jc w:val="center"/>
              <w:rPr>
                <w:rFonts w:ascii="宋体" w:hAnsi="宋体" w:cs="宋体"/>
                <w:kern w:val="0"/>
                <w:sz w:val="24"/>
              </w:rPr>
            </w:pPr>
          </w:p>
        </w:tc>
        <w:tc>
          <w:tcPr>
            <w:tcW w:w="121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1201" w:type="dxa"/>
            <w:vAlign w:val="center"/>
          </w:tcPr>
          <w:p>
            <w:pPr>
              <w:autoSpaceDE w:val="0"/>
              <w:autoSpaceDN w:val="0"/>
              <w:adjustRightInd w:val="0"/>
              <w:spacing w:line="420" w:lineRule="exact"/>
              <w:jc w:val="center"/>
              <w:rPr>
                <w:rFonts w:ascii="宋体" w:hAnsi="宋体" w:cs="宋体"/>
                <w:kern w:val="0"/>
                <w:sz w:val="24"/>
              </w:rPr>
            </w:pPr>
          </w:p>
        </w:tc>
        <w:tc>
          <w:tcPr>
            <w:tcW w:w="66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650" w:type="dxa"/>
            <w:vAlign w:val="center"/>
          </w:tcPr>
          <w:p>
            <w:pPr>
              <w:autoSpaceDE w:val="0"/>
              <w:autoSpaceDN w:val="0"/>
              <w:adjustRightInd w:val="0"/>
              <w:spacing w:line="420" w:lineRule="exact"/>
              <w:jc w:val="center"/>
              <w:rPr>
                <w:rFonts w:ascii="宋体" w:hAnsi="宋体" w:cs="宋体"/>
                <w:kern w:val="0"/>
                <w:sz w:val="24"/>
              </w:rPr>
            </w:pPr>
          </w:p>
        </w:tc>
        <w:tc>
          <w:tcPr>
            <w:tcW w:w="121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1201" w:type="dxa"/>
            <w:vAlign w:val="center"/>
          </w:tcPr>
          <w:p>
            <w:pPr>
              <w:autoSpaceDE w:val="0"/>
              <w:autoSpaceDN w:val="0"/>
              <w:adjustRightInd w:val="0"/>
              <w:spacing w:line="420" w:lineRule="exact"/>
              <w:jc w:val="center"/>
              <w:rPr>
                <w:rFonts w:ascii="宋体" w:hAnsi="宋体" w:cs="宋体"/>
                <w:kern w:val="0"/>
                <w:sz w:val="24"/>
              </w:rPr>
            </w:pPr>
          </w:p>
        </w:tc>
        <w:tc>
          <w:tcPr>
            <w:tcW w:w="66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r>
    </w:tbl>
    <w:p>
      <w:pPr>
        <w:autoSpaceDE w:val="0"/>
        <w:autoSpaceDN w:val="0"/>
        <w:adjustRightInd w:val="0"/>
        <w:spacing w:line="420" w:lineRule="exact"/>
        <w:jc w:val="left"/>
        <w:rPr>
          <w:rFonts w:ascii="宋体" w:hAnsi="宋体" w:cs="宋体"/>
          <w:kern w:val="0"/>
          <w:szCs w:val="21"/>
        </w:rPr>
      </w:pPr>
    </w:p>
    <w:p>
      <w:pPr>
        <w:autoSpaceDE w:val="0"/>
        <w:autoSpaceDN w:val="0"/>
        <w:adjustRightInd w:val="0"/>
        <w:spacing w:line="420" w:lineRule="exact"/>
        <w:jc w:val="left"/>
        <w:rPr>
          <w:rFonts w:ascii="宋体" w:hAnsi="宋体" w:cs="宋体"/>
          <w:kern w:val="0"/>
          <w:szCs w:val="21"/>
        </w:rPr>
      </w:pPr>
    </w:p>
    <w:p>
      <w:pPr>
        <w:autoSpaceDE w:val="0"/>
        <w:autoSpaceDN w:val="0"/>
        <w:adjustRightInd w:val="0"/>
        <w:spacing w:line="420" w:lineRule="exact"/>
        <w:jc w:val="left"/>
        <w:rPr>
          <w:rFonts w:ascii="宋体" w:hAnsi="宋体" w:cs="宋体"/>
          <w:kern w:val="0"/>
          <w:sz w:val="18"/>
          <w:szCs w:val="18"/>
        </w:rPr>
      </w:pPr>
    </w:p>
    <w:p>
      <w:pPr>
        <w:pStyle w:val="5"/>
        <w:rPr>
          <w:rFonts w:ascii="宋体" w:hAnsi="宋体" w:eastAsia="宋体" w:cs="宋体"/>
          <w:b w:val="0"/>
          <w:sz w:val="28"/>
          <w:szCs w:val="28"/>
        </w:rPr>
      </w:pPr>
      <w:bookmarkStart w:id="624" w:name="_Toc456354377"/>
      <w:bookmarkStart w:id="625" w:name="_Toc2335"/>
      <w:bookmarkStart w:id="626" w:name="_Toc19230"/>
      <w:r>
        <w:rPr>
          <w:rFonts w:hint="eastAsia" w:ascii="宋体" w:hAnsi="宋体" w:eastAsia="宋体" w:cs="宋体"/>
          <w:b w:val="0"/>
          <w:sz w:val="28"/>
          <w:szCs w:val="28"/>
        </w:rPr>
        <w:t>附表二：拟配备本项目的试验和检测仪器设备表</w:t>
      </w:r>
      <w:bookmarkEnd w:id="624"/>
      <w:bookmarkEnd w:id="625"/>
      <w:bookmarkEnd w:id="626"/>
    </w:p>
    <w:p>
      <w:pPr>
        <w:autoSpaceDE w:val="0"/>
        <w:autoSpaceDN w:val="0"/>
        <w:adjustRightInd w:val="0"/>
        <w:spacing w:line="420" w:lineRule="exact"/>
        <w:jc w:val="left"/>
        <w:rPr>
          <w:rFonts w:ascii="宋体" w:hAnsi="宋体" w:cs="宋体"/>
          <w:kern w:val="0"/>
          <w:sz w:val="24"/>
        </w:rPr>
      </w:pPr>
    </w:p>
    <w:tbl>
      <w:tblPr>
        <w:tblStyle w:val="50"/>
        <w:tblW w:w="92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227"/>
        <w:gridCol w:w="1026"/>
        <w:gridCol w:w="1026"/>
        <w:gridCol w:w="1025"/>
        <w:gridCol w:w="884"/>
        <w:gridCol w:w="1166"/>
        <w:gridCol w:w="102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6" w:hRule="atLeast"/>
          <w:jc w:val="center"/>
        </w:trPr>
        <w:tc>
          <w:tcPr>
            <w:tcW w:w="823"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序号</w:t>
            </w:r>
          </w:p>
          <w:p>
            <w:pPr>
              <w:autoSpaceDE w:val="0"/>
              <w:autoSpaceDN w:val="0"/>
              <w:adjustRightInd w:val="0"/>
              <w:spacing w:line="420" w:lineRule="exact"/>
              <w:jc w:val="center"/>
              <w:rPr>
                <w:rFonts w:ascii="宋体" w:hAnsi="宋体" w:cs="宋体"/>
                <w:kern w:val="0"/>
                <w:sz w:val="24"/>
              </w:rPr>
            </w:pPr>
          </w:p>
        </w:tc>
        <w:tc>
          <w:tcPr>
            <w:tcW w:w="1227"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仪器设备</w:t>
            </w:r>
          </w:p>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名称</w:t>
            </w:r>
          </w:p>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型号</w:t>
            </w:r>
          </w:p>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规格</w:t>
            </w:r>
          </w:p>
        </w:tc>
        <w:tc>
          <w:tcPr>
            <w:tcW w:w="1026" w:type="dxa"/>
            <w:vAlign w:val="center"/>
          </w:tcPr>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数量</w:t>
            </w:r>
          </w:p>
        </w:tc>
        <w:tc>
          <w:tcPr>
            <w:tcW w:w="1025"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国别</w:t>
            </w:r>
          </w:p>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产地</w:t>
            </w:r>
          </w:p>
        </w:tc>
        <w:tc>
          <w:tcPr>
            <w:tcW w:w="884"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制造</w:t>
            </w:r>
          </w:p>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年份</w:t>
            </w:r>
          </w:p>
        </w:tc>
        <w:tc>
          <w:tcPr>
            <w:tcW w:w="1166"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已使用台</w:t>
            </w:r>
          </w:p>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时数</w:t>
            </w:r>
          </w:p>
        </w:tc>
        <w:tc>
          <w:tcPr>
            <w:tcW w:w="1026" w:type="dxa"/>
            <w:vAlign w:val="center"/>
          </w:tcPr>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用途</w:t>
            </w:r>
          </w:p>
        </w:tc>
        <w:tc>
          <w:tcPr>
            <w:tcW w:w="1026" w:type="dxa"/>
            <w:vAlign w:val="center"/>
          </w:tcPr>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823" w:type="dxa"/>
            <w:vAlign w:val="center"/>
          </w:tcPr>
          <w:p>
            <w:pPr>
              <w:autoSpaceDE w:val="0"/>
              <w:autoSpaceDN w:val="0"/>
              <w:adjustRightInd w:val="0"/>
              <w:spacing w:line="420" w:lineRule="exact"/>
              <w:jc w:val="center"/>
              <w:rPr>
                <w:rFonts w:ascii="宋体" w:hAnsi="宋体" w:cs="宋体"/>
                <w:kern w:val="0"/>
                <w:sz w:val="24"/>
              </w:rPr>
            </w:pPr>
          </w:p>
        </w:tc>
        <w:tc>
          <w:tcPr>
            <w:tcW w:w="1227"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5" w:type="dxa"/>
            <w:vAlign w:val="center"/>
          </w:tcPr>
          <w:p>
            <w:pPr>
              <w:autoSpaceDE w:val="0"/>
              <w:autoSpaceDN w:val="0"/>
              <w:adjustRightInd w:val="0"/>
              <w:spacing w:line="420" w:lineRule="exact"/>
              <w:jc w:val="center"/>
              <w:rPr>
                <w:rFonts w:ascii="宋体" w:hAnsi="宋体" w:cs="宋体"/>
                <w:kern w:val="0"/>
                <w:sz w:val="24"/>
              </w:rPr>
            </w:pPr>
          </w:p>
        </w:tc>
        <w:tc>
          <w:tcPr>
            <w:tcW w:w="884" w:type="dxa"/>
            <w:vAlign w:val="center"/>
          </w:tcPr>
          <w:p>
            <w:pPr>
              <w:autoSpaceDE w:val="0"/>
              <w:autoSpaceDN w:val="0"/>
              <w:adjustRightInd w:val="0"/>
              <w:spacing w:line="420" w:lineRule="exact"/>
              <w:jc w:val="center"/>
              <w:rPr>
                <w:rFonts w:ascii="宋体" w:hAnsi="宋体" w:cs="宋体"/>
                <w:kern w:val="0"/>
                <w:sz w:val="24"/>
              </w:rPr>
            </w:pPr>
          </w:p>
        </w:tc>
        <w:tc>
          <w:tcPr>
            <w:tcW w:w="116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823" w:type="dxa"/>
            <w:vAlign w:val="center"/>
          </w:tcPr>
          <w:p>
            <w:pPr>
              <w:autoSpaceDE w:val="0"/>
              <w:autoSpaceDN w:val="0"/>
              <w:adjustRightInd w:val="0"/>
              <w:spacing w:line="420" w:lineRule="exact"/>
              <w:jc w:val="center"/>
              <w:rPr>
                <w:rFonts w:ascii="宋体" w:hAnsi="宋体" w:cs="宋体"/>
                <w:kern w:val="0"/>
                <w:sz w:val="24"/>
              </w:rPr>
            </w:pPr>
          </w:p>
        </w:tc>
        <w:tc>
          <w:tcPr>
            <w:tcW w:w="1227"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5" w:type="dxa"/>
            <w:vAlign w:val="center"/>
          </w:tcPr>
          <w:p>
            <w:pPr>
              <w:autoSpaceDE w:val="0"/>
              <w:autoSpaceDN w:val="0"/>
              <w:adjustRightInd w:val="0"/>
              <w:spacing w:line="420" w:lineRule="exact"/>
              <w:jc w:val="center"/>
              <w:rPr>
                <w:rFonts w:ascii="宋体" w:hAnsi="宋体" w:cs="宋体"/>
                <w:kern w:val="0"/>
                <w:sz w:val="24"/>
              </w:rPr>
            </w:pPr>
          </w:p>
        </w:tc>
        <w:tc>
          <w:tcPr>
            <w:tcW w:w="884" w:type="dxa"/>
            <w:vAlign w:val="center"/>
          </w:tcPr>
          <w:p>
            <w:pPr>
              <w:autoSpaceDE w:val="0"/>
              <w:autoSpaceDN w:val="0"/>
              <w:adjustRightInd w:val="0"/>
              <w:spacing w:line="420" w:lineRule="exact"/>
              <w:jc w:val="center"/>
              <w:rPr>
                <w:rFonts w:ascii="宋体" w:hAnsi="宋体" w:cs="宋体"/>
                <w:kern w:val="0"/>
                <w:sz w:val="24"/>
              </w:rPr>
            </w:pPr>
          </w:p>
        </w:tc>
        <w:tc>
          <w:tcPr>
            <w:tcW w:w="116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823" w:type="dxa"/>
            <w:vAlign w:val="center"/>
          </w:tcPr>
          <w:p>
            <w:pPr>
              <w:autoSpaceDE w:val="0"/>
              <w:autoSpaceDN w:val="0"/>
              <w:adjustRightInd w:val="0"/>
              <w:spacing w:line="420" w:lineRule="exact"/>
              <w:jc w:val="center"/>
              <w:rPr>
                <w:rFonts w:ascii="宋体" w:hAnsi="宋体" w:cs="宋体"/>
                <w:kern w:val="0"/>
                <w:sz w:val="24"/>
              </w:rPr>
            </w:pPr>
          </w:p>
        </w:tc>
        <w:tc>
          <w:tcPr>
            <w:tcW w:w="1227"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5" w:type="dxa"/>
            <w:vAlign w:val="center"/>
          </w:tcPr>
          <w:p>
            <w:pPr>
              <w:autoSpaceDE w:val="0"/>
              <w:autoSpaceDN w:val="0"/>
              <w:adjustRightInd w:val="0"/>
              <w:spacing w:line="420" w:lineRule="exact"/>
              <w:jc w:val="center"/>
              <w:rPr>
                <w:rFonts w:ascii="宋体" w:hAnsi="宋体" w:cs="宋体"/>
                <w:kern w:val="0"/>
                <w:sz w:val="24"/>
              </w:rPr>
            </w:pPr>
          </w:p>
        </w:tc>
        <w:tc>
          <w:tcPr>
            <w:tcW w:w="884" w:type="dxa"/>
            <w:vAlign w:val="center"/>
          </w:tcPr>
          <w:p>
            <w:pPr>
              <w:autoSpaceDE w:val="0"/>
              <w:autoSpaceDN w:val="0"/>
              <w:adjustRightInd w:val="0"/>
              <w:spacing w:line="420" w:lineRule="exact"/>
              <w:jc w:val="center"/>
              <w:rPr>
                <w:rFonts w:ascii="宋体" w:hAnsi="宋体" w:cs="宋体"/>
                <w:kern w:val="0"/>
                <w:sz w:val="24"/>
              </w:rPr>
            </w:pPr>
          </w:p>
        </w:tc>
        <w:tc>
          <w:tcPr>
            <w:tcW w:w="116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823" w:type="dxa"/>
            <w:vAlign w:val="center"/>
          </w:tcPr>
          <w:p>
            <w:pPr>
              <w:autoSpaceDE w:val="0"/>
              <w:autoSpaceDN w:val="0"/>
              <w:adjustRightInd w:val="0"/>
              <w:spacing w:line="420" w:lineRule="exact"/>
              <w:jc w:val="center"/>
              <w:rPr>
                <w:rFonts w:ascii="宋体" w:hAnsi="宋体" w:cs="宋体"/>
                <w:kern w:val="0"/>
                <w:sz w:val="24"/>
              </w:rPr>
            </w:pPr>
          </w:p>
        </w:tc>
        <w:tc>
          <w:tcPr>
            <w:tcW w:w="1227"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5" w:type="dxa"/>
            <w:vAlign w:val="center"/>
          </w:tcPr>
          <w:p>
            <w:pPr>
              <w:autoSpaceDE w:val="0"/>
              <w:autoSpaceDN w:val="0"/>
              <w:adjustRightInd w:val="0"/>
              <w:spacing w:line="420" w:lineRule="exact"/>
              <w:jc w:val="center"/>
              <w:rPr>
                <w:rFonts w:ascii="宋体" w:hAnsi="宋体" w:cs="宋体"/>
                <w:kern w:val="0"/>
                <w:sz w:val="24"/>
              </w:rPr>
            </w:pPr>
          </w:p>
        </w:tc>
        <w:tc>
          <w:tcPr>
            <w:tcW w:w="884" w:type="dxa"/>
            <w:vAlign w:val="center"/>
          </w:tcPr>
          <w:p>
            <w:pPr>
              <w:autoSpaceDE w:val="0"/>
              <w:autoSpaceDN w:val="0"/>
              <w:adjustRightInd w:val="0"/>
              <w:spacing w:line="420" w:lineRule="exact"/>
              <w:jc w:val="center"/>
              <w:rPr>
                <w:rFonts w:ascii="宋体" w:hAnsi="宋体" w:cs="宋体"/>
                <w:kern w:val="0"/>
                <w:sz w:val="24"/>
              </w:rPr>
            </w:pPr>
          </w:p>
        </w:tc>
        <w:tc>
          <w:tcPr>
            <w:tcW w:w="116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823" w:type="dxa"/>
            <w:vAlign w:val="center"/>
          </w:tcPr>
          <w:p>
            <w:pPr>
              <w:autoSpaceDE w:val="0"/>
              <w:autoSpaceDN w:val="0"/>
              <w:adjustRightInd w:val="0"/>
              <w:spacing w:line="420" w:lineRule="exact"/>
              <w:jc w:val="center"/>
              <w:rPr>
                <w:rFonts w:ascii="宋体" w:hAnsi="宋体" w:cs="宋体"/>
                <w:kern w:val="0"/>
                <w:sz w:val="24"/>
              </w:rPr>
            </w:pPr>
          </w:p>
        </w:tc>
        <w:tc>
          <w:tcPr>
            <w:tcW w:w="1227"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5" w:type="dxa"/>
            <w:vAlign w:val="center"/>
          </w:tcPr>
          <w:p>
            <w:pPr>
              <w:autoSpaceDE w:val="0"/>
              <w:autoSpaceDN w:val="0"/>
              <w:adjustRightInd w:val="0"/>
              <w:spacing w:line="420" w:lineRule="exact"/>
              <w:jc w:val="center"/>
              <w:rPr>
                <w:rFonts w:ascii="宋体" w:hAnsi="宋体" w:cs="宋体"/>
                <w:kern w:val="0"/>
                <w:sz w:val="24"/>
              </w:rPr>
            </w:pPr>
          </w:p>
        </w:tc>
        <w:tc>
          <w:tcPr>
            <w:tcW w:w="884" w:type="dxa"/>
            <w:vAlign w:val="center"/>
          </w:tcPr>
          <w:p>
            <w:pPr>
              <w:autoSpaceDE w:val="0"/>
              <w:autoSpaceDN w:val="0"/>
              <w:adjustRightInd w:val="0"/>
              <w:spacing w:line="420" w:lineRule="exact"/>
              <w:jc w:val="center"/>
              <w:rPr>
                <w:rFonts w:ascii="宋体" w:hAnsi="宋体" w:cs="宋体"/>
                <w:kern w:val="0"/>
                <w:sz w:val="24"/>
              </w:rPr>
            </w:pPr>
          </w:p>
        </w:tc>
        <w:tc>
          <w:tcPr>
            <w:tcW w:w="116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823" w:type="dxa"/>
            <w:vAlign w:val="center"/>
          </w:tcPr>
          <w:p>
            <w:pPr>
              <w:autoSpaceDE w:val="0"/>
              <w:autoSpaceDN w:val="0"/>
              <w:adjustRightInd w:val="0"/>
              <w:spacing w:line="420" w:lineRule="exact"/>
              <w:jc w:val="center"/>
              <w:rPr>
                <w:rFonts w:ascii="宋体" w:hAnsi="宋体" w:cs="宋体"/>
                <w:kern w:val="0"/>
                <w:sz w:val="24"/>
              </w:rPr>
            </w:pPr>
          </w:p>
        </w:tc>
        <w:tc>
          <w:tcPr>
            <w:tcW w:w="1227"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5" w:type="dxa"/>
            <w:vAlign w:val="center"/>
          </w:tcPr>
          <w:p>
            <w:pPr>
              <w:autoSpaceDE w:val="0"/>
              <w:autoSpaceDN w:val="0"/>
              <w:adjustRightInd w:val="0"/>
              <w:spacing w:line="420" w:lineRule="exact"/>
              <w:jc w:val="center"/>
              <w:rPr>
                <w:rFonts w:ascii="宋体" w:hAnsi="宋体" w:cs="宋体"/>
                <w:kern w:val="0"/>
                <w:sz w:val="24"/>
              </w:rPr>
            </w:pPr>
          </w:p>
        </w:tc>
        <w:tc>
          <w:tcPr>
            <w:tcW w:w="884" w:type="dxa"/>
            <w:vAlign w:val="center"/>
          </w:tcPr>
          <w:p>
            <w:pPr>
              <w:autoSpaceDE w:val="0"/>
              <w:autoSpaceDN w:val="0"/>
              <w:adjustRightInd w:val="0"/>
              <w:spacing w:line="420" w:lineRule="exact"/>
              <w:jc w:val="center"/>
              <w:rPr>
                <w:rFonts w:ascii="宋体" w:hAnsi="宋体" w:cs="宋体"/>
                <w:kern w:val="0"/>
                <w:sz w:val="24"/>
              </w:rPr>
            </w:pPr>
          </w:p>
        </w:tc>
        <w:tc>
          <w:tcPr>
            <w:tcW w:w="116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823" w:type="dxa"/>
            <w:vAlign w:val="center"/>
          </w:tcPr>
          <w:p>
            <w:pPr>
              <w:autoSpaceDE w:val="0"/>
              <w:autoSpaceDN w:val="0"/>
              <w:adjustRightInd w:val="0"/>
              <w:spacing w:line="420" w:lineRule="exact"/>
              <w:jc w:val="center"/>
              <w:rPr>
                <w:rFonts w:ascii="宋体" w:hAnsi="宋体" w:cs="宋体"/>
                <w:kern w:val="0"/>
                <w:sz w:val="24"/>
              </w:rPr>
            </w:pPr>
          </w:p>
        </w:tc>
        <w:tc>
          <w:tcPr>
            <w:tcW w:w="1227"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5" w:type="dxa"/>
            <w:vAlign w:val="center"/>
          </w:tcPr>
          <w:p>
            <w:pPr>
              <w:autoSpaceDE w:val="0"/>
              <w:autoSpaceDN w:val="0"/>
              <w:adjustRightInd w:val="0"/>
              <w:spacing w:line="420" w:lineRule="exact"/>
              <w:jc w:val="center"/>
              <w:rPr>
                <w:rFonts w:ascii="宋体" w:hAnsi="宋体" w:cs="宋体"/>
                <w:kern w:val="0"/>
                <w:sz w:val="24"/>
              </w:rPr>
            </w:pPr>
          </w:p>
        </w:tc>
        <w:tc>
          <w:tcPr>
            <w:tcW w:w="884" w:type="dxa"/>
            <w:vAlign w:val="center"/>
          </w:tcPr>
          <w:p>
            <w:pPr>
              <w:autoSpaceDE w:val="0"/>
              <w:autoSpaceDN w:val="0"/>
              <w:adjustRightInd w:val="0"/>
              <w:spacing w:line="420" w:lineRule="exact"/>
              <w:jc w:val="center"/>
              <w:rPr>
                <w:rFonts w:ascii="宋体" w:hAnsi="宋体" w:cs="宋体"/>
                <w:kern w:val="0"/>
                <w:sz w:val="24"/>
              </w:rPr>
            </w:pPr>
          </w:p>
        </w:tc>
        <w:tc>
          <w:tcPr>
            <w:tcW w:w="116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823" w:type="dxa"/>
            <w:vAlign w:val="center"/>
          </w:tcPr>
          <w:p>
            <w:pPr>
              <w:autoSpaceDE w:val="0"/>
              <w:autoSpaceDN w:val="0"/>
              <w:adjustRightInd w:val="0"/>
              <w:spacing w:line="420" w:lineRule="exact"/>
              <w:jc w:val="center"/>
              <w:rPr>
                <w:rFonts w:ascii="宋体" w:hAnsi="宋体" w:cs="宋体"/>
                <w:kern w:val="0"/>
                <w:sz w:val="24"/>
              </w:rPr>
            </w:pPr>
          </w:p>
        </w:tc>
        <w:tc>
          <w:tcPr>
            <w:tcW w:w="1227"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5" w:type="dxa"/>
            <w:vAlign w:val="center"/>
          </w:tcPr>
          <w:p>
            <w:pPr>
              <w:autoSpaceDE w:val="0"/>
              <w:autoSpaceDN w:val="0"/>
              <w:adjustRightInd w:val="0"/>
              <w:spacing w:line="420" w:lineRule="exact"/>
              <w:jc w:val="center"/>
              <w:rPr>
                <w:rFonts w:ascii="宋体" w:hAnsi="宋体" w:cs="宋体"/>
                <w:kern w:val="0"/>
                <w:sz w:val="24"/>
              </w:rPr>
            </w:pPr>
          </w:p>
        </w:tc>
        <w:tc>
          <w:tcPr>
            <w:tcW w:w="884" w:type="dxa"/>
            <w:vAlign w:val="center"/>
          </w:tcPr>
          <w:p>
            <w:pPr>
              <w:autoSpaceDE w:val="0"/>
              <w:autoSpaceDN w:val="0"/>
              <w:adjustRightInd w:val="0"/>
              <w:spacing w:line="420" w:lineRule="exact"/>
              <w:jc w:val="center"/>
              <w:rPr>
                <w:rFonts w:ascii="宋体" w:hAnsi="宋体" w:cs="宋体"/>
                <w:kern w:val="0"/>
                <w:sz w:val="24"/>
              </w:rPr>
            </w:pPr>
          </w:p>
        </w:tc>
        <w:tc>
          <w:tcPr>
            <w:tcW w:w="116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823" w:type="dxa"/>
            <w:vAlign w:val="center"/>
          </w:tcPr>
          <w:p>
            <w:pPr>
              <w:autoSpaceDE w:val="0"/>
              <w:autoSpaceDN w:val="0"/>
              <w:adjustRightInd w:val="0"/>
              <w:spacing w:line="420" w:lineRule="exact"/>
              <w:jc w:val="center"/>
              <w:rPr>
                <w:rFonts w:ascii="宋体" w:hAnsi="宋体" w:cs="宋体"/>
                <w:kern w:val="0"/>
                <w:sz w:val="24"/>
              </w:rPr>
            </w:pPr>
          </w:p>
        </w:tc>
        <w:tc>
          <w:tcPr>
            <w:tcW w:w="1227"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5" w:type="dxa"/>
            <w:vAlign w:val="center"/>
          </w:tcPr>
          <w:p>
            <w:pPr>
              <w:autoSpaceDE w:val="0"/>
              <w:autoSpaceDN w:val="0"/>
              <w:adjustRightInd w:val="0"/>
              <w:spacing w:line="420" w:lineRule="exact"/>
              <w:jc w:val="center"/>
              <w:rPr>
                <w:rFonts w:ascii="宋体" w:hAnsi="宋体" w:cs="宋体"/>
                <w:kern w:val="0"/>
                <w:sz w:val="24"/>
              </w:rPr>
            </w:pPr>
          </w:p>
        </w:tc>
        <w:tc>
          <w:tcPr>
            <w:tcW w:w="884" w:type="dxa"/>
            <w:vAlign w:val="center"/>
          </w:tcPr>
          <w:p>
            <w:pPr>
              <w:autoSpaceDE w:val="0"/>
              <w:autoSpaceDN w:val="0"/>
              <w:adjustRightInd w:val="0"/>
              <w:spacing w:line="420" w:lineRule="exact"/>
              <w:jc w:val="center"/>
              <w:rPr>
                <w:rFonts w:ascii="宋体" w:hAnsi="宋体" w:cs="宋体"/>
                <w:kern w:val="0"/>
                <w:sz w:val="24"/>
              </w:rPr>
            </w:pPr>
          </w:p>
        </w:tc>
        <w:tc>
          <w:tcPr>
            <w:tcW w:w="116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823" w:type="dxa"/>
            <w:vAlign w:val="center"/>
          </w:tcPr>
          <w:p>
            <w:pPr>
              <w:autoSpaceDE w:val="0"/>
              <w:autoSpaceDN w:val="0"/>
              <w:adjustRightInd w:val="0"/>
              <w:spacing w:line="420" w:lineRule="exact"/>
              <w:jc w:val="center"/>
              <w:rPr>
                <w:rFonts w:ascii="宋体" w:hAnsi="宋体" w:cs="宋体"/>
                <w:kern w:val="0"/>
                <w:sz w:val="24"/>
              </w:rPr>
            </w:pPr>
          </w:p>
        </w:tc>
        <w:tc>
          <w:tcPr>
            <w:tcW w:w="1227"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5" w:type="dxa"/>
            <w:vAlign w:val="center"/>
          </w:tcPr>
          <w:p>
            <w:pPr>
              <w:autoSpaceDE w:val="0"/>
              <w:autoSpaceDN w:val="0"/>
              <w:adjustRightInd w:val="0"/>
              <w:spacing w:line="420" w:lineRule="exact"/>
              <w:jc w:val="center"/>
              <w:rPr>
                <w:rFonts w:ascii="宋体" w:hAnsi="宋体" w:cs="宋体"/>
                <w:kern w:val="0"/>
                <w:sz w:val="24"/>
              </w:rPr>
            </w:pPr>
          </w:p>
        </w:tc>
        <w:tc>
          <w:tcPr>
            <w:tcW w:w="884" w:type="dxa"/>
            <w:vAlign w:val="center"/>
          </w:tcPr>
          <w:p>
            <w:pPr>
              <w:autoSpaceDE w:val="0"/>
              <w:autoSpaceDN w:val="0"/>
              <w:adjustRightInd w:val="0"/>
              <w:spacing w:line="420" w:lineRule="exact"/>
              <w:jc w:val="center"/>
              <w:rPr>
                <w:rFonts w:ascii="宋体" w:hAnsi="宋体" w:cs="宋体"/>
                <w:kern w:val="0"/>
                <w:sz w:val="24"/>
              </w:rPr>
            </w:pPr>
          </w:p>
        </w:tc>
        <w:tc>
          <w:tcPr>
            <w:tcW w:w="116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823" w:type="dxa"/>
            <w:vAlign w:val="center"/>
          </w:tcPr>
          <w:p>
            <w:pPr>
              <w:autoSpaceDE w:val="0"/>
              <w:autoSpaceDN w:val="0"/>
              <w:adjustRightInd w:val="0"/>
              <w:spacing w:line="420" w:lineRule="exact"/>
              <w:jc w:val="center"/>
              <w:rPr>
                <w:rFonts w:ascii="宋体" w:hAnsi="宋体" w:cs="宋体"/>
                <w:kern w:val="0"/>
                <w:sz w:val="24"/>
              </w:rPr>
            </w:pPr>
          </w:p>
        </w:tc>
        <w:tc>
          <w:tcPr>
            <w:tcW w:w="1227"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5" w:type="dxa"/>
            <w:vAlign w:val="center"/>
          </w:tcPr>
          <w:p>
            <w:pPr>
              <w:autoSpaceDE w:val="0"/>
              <w:autoSpaceDN w:val="0"/>
              <w:adjustRightInd w:val="0"/>
              <w:spacing w:line="420" w:lineRule="exact"/>
              <w:jc w:val="center"/>
              <w:rPr>
                <w:rFonts w:ascii="宋体" w:hAnsi="宋体" w:cs="宋体"/>
                <w:kern w:val="0"/>
                <w:sz w:val="24"/>
              </w:rPr>
            </w:pPr>
          </w:p>
        </w:tc>
        <w:tc>
          <w:tcPr>
            <w:tcW w:w="884" w:type="dxa"/>
            <w:vAlign w:val="center"/>
          </w:tcPr>
          <w:p>
            <w:pPr>
              <w:autoSpaceDE w:val="0"/>
              <w:autoSpaceDN w:val="0"/>
              <w:adjustRightInd w:val="0"/>
              <w:spacing w:line="420" w:lineRule="exact"/>
              <w:jc w:val="center"/>
              <w:rPr>
                <w:rFonts w:ascii="宋体" w:hAnsi="宋体" w:cs="宋体"/>
                <w:kern w:val="0"/>
                <w:sz w:val="24"/>
              </w:rPr>
            </w:pPr>
          </w:p>
        </w:tc>
        <w:tc>
          <w:tcPr>
            <w:tcW w:w="116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r>
    </w:tbl>
    <w:p>
      <w:pPr>
        <w:autoSpaceDE w:val="0"/>
        <w:autoSpaceDN w:val="0"/>
        <w:adjustRightInd w:val="0"/>
        <w:spacing w:line="420" w:lineRule="exact"/>
        <w:jc w:val="left"/>
        <w:rPr>
          <w:rFonts w:ascii="宋体" w:hAnsi="宋体" w:cs="宋体"/>
          <w:kern w:val="0"/>
          <w:sz w:val="24"/>
        </w:rPr>
      </w:pPr>
    </w:p>
    <w:p>
      <w:pPr>
        <w:pStyle w:val="5"/>
        <w:rPr>
          <w:rFonts w:ascii="宋体" w:hAnsi="宋体" w:eastAsia="宋体" w:cs="宋体"/>
          <w:b w:val="0"/>
        </w:rPr>
      </w:pPr>
      <w:r>
        <w:rPr>
          <w:rFonts w:hint="eastAsia" w:ascii="宋体" w:hAnsi="宋体" w:eastAsia="宋体" w:cs="宋体"/>
          <w:b w:val="0"/>
          <w:szCs w:val="21"/>
        </w:rPr>
        <w:br w:type="page"/>
      </w:r>
      <w:bookmarkStart w:id="627" w:name="_Toc24649"/>
      <w:bookmarkStart w:id="628" w:name="_Toc456354378"/>
      <w:bookmarkStart w:id="629" w:name="_Toc5733"/>
      <w:r>
        <w:rPr>
          <w:rFonts w:hint="eastAsia" w:ascii="宋体" w:hAnsi="宋体" w:eastAsia="宋体" w:cs="宋体"/>
          <w:b w:val="0"/>
          <w:sz w:val="28"/>
          <w:szCs w:val="28"/>
        </w:rPr>
        <w:t>附表三：劳动力计划表</w:t>
      </w:r>
      <w:bookmarkEnd w:id="627"/>
      <w:bookmarkEnd w:id="628"/>
      <w:bookmarkEnd w:id="629"/>
    </w:p>
    <w:p>
      <w:pPr>
        <w:autoSpaceDE w:val="0"/>
        <w:autoSpaceDN w:val="0"/>
        <w:adjustRightInd w:val="0"/>
        <w:spacing w:line="420" w:lineRule="exact"/>
        <w:jc w:val="right"/>
        <w:rPr>
          <w:rFonts w:ascii="宋体" w:hAnsi="宋体" w:cs="宋体"/>
          <w:kern w:val="0"/>
          <w:szCs w:val="21"/>
        </w:rPr>
      </w:pPr>
      <w:r>
        <w:rPr>
          <w:rFonts w:hint="eastAsia" w:ascii="宋体" w:hAnsi="宋体" w:cs="宋体"/>
          <w:kern w:val="0"/>
          <w:szCs w:val="21"/>
        </w:rPr>
        <w:t>单位：人</w:t>
      </w:r>
    </w:p>
    <w:tbl>
      <w:tblPr>
        <w:tblStyle w:val="50"/>
        <w:tblW w:w="93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64"/>
        <w:gridCol w:w="1165"/>
        <w:gridCol w:w="1165"/>
        <w:gridCol w:w="1165"/>
        <w:gridCol w:w="1165"/>
        <w:gridCol w:w="1165"/>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164"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工种</w:t>
            </w:r>
          </w:p>
        </w:tc>
        <w:tc>
          <w:tcPr>
            <w:tcW w:w="8157" w:type="dxa"/>
            <w:gridSpan w:val="7"/>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8"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8"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8"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8"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8"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8"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8"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8"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8"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8"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8" w:type="dxa"/>
            <w:vAlign w:val="center"/>
          </w:tcPr>
          <w:p>
            <w:pPr>
              <w:autoSpaceDE w:val="0"/>
              <w:autoSpaceDN w:val="0"/>
              <w:adjustRightInd w:val="0"/>
              <w:spacing w:line="420" w:lineRule="exact"/>
              <w:jc w:val="center"/>
              <w:rPr>
                <w:rFonts w:ascii="宋体" w:hAnsi="宋体" w:cs="宋体"/>
                <w:kern w:val="0"/>
                <w:szCs w:val="21"/>
              </w:rPr>
            </w:pPr>
          </w:p>
        </w:tc>
      </w:tr>
    </w:tbl>
    <w:p>
      <w:pPr>
        <w:autoSpaceDE w:val="0"/>
        <w:autoSpaceDN w:val="0"/>
        <w:adjustRightInd w:val="0"/>
        <w:spacing w:line="420" w:lineRule="exact"/>
        <w:jc w:val="left"/>
        <w:rPr>
          <w:rFonts w:ascii="宋体" w:hAnsi="宋体" w:cs="宋体"/>
          <w:kern w:val="0"/>
          <w:szCs w:val="21"/>
        </w:rPr>
      </w:pPr>
    </w:p>
    <w:p>
      <w:pPr>
        <w:autoSpaceDE w:val="0"/>
        <w:autoSpaceDN w:val="0"/>
        <w:adjustRightInd w:val="0"/>
        <w:spacing w:line="420" w:lineRule="exact"/>
        <w:jc w:val="left"/>
        <w:rPr>
          <w:rFonts w:ascii="宋体" w:hAnsi="宋体" w:cs="宋体"/>
          <w:kern w:val="0"/>
          <w:sz w:val="18"/>
          <w:szCs w:val="18"/>
        </w:rPr>
      </w:pPr>
    </w:p>
    <w:p>
      <w:pPr>
        <w:autoSpaceDE w:val="0"/>
        <w:autoSpaceDN w:val="0"/>
        <w:adjustRightInd w:val="0"/>
        <w:spacing w:line="420" w:lineRule="exact"/>
        <w:jc w:val="left"/>
        <w:rPr>
          <w:rFonts w:ascii="宋体" w:hAnsi="宋体" w:cs="宋体"/>
          <w:kern w:val="0"/>
          <w:sz w:val="24"/>
        </w:rPr>
      </w:pPr>
    </w:p>
    <w:p>
      <w:pPr>
        <w:pStyle w:val="5"/>
        <w:rPr>
          <w:rFonts w:ascii="宋体" w:hAnsi="宋体" w:eastAsia="宋体" w:cs="宋体"/>
          <w:b w:val="0"/>
          <w:sz w:val="28"/>
          <w:szCs w:val="28"/>
        </w:rPr>
      </w:pPr>
      <w:bookmarkStart w:id="630" w:name="_Toc19286"/>
      <w:bookmarkStart w:id="631" w:name="_Toc22007"/>
      <w:bookmarkStart w:id="632" w:name="_Toc456354379"/>
      <w:r>
        <w:rPr>
          <w:rFonts w:hint="eastAsia" w:ascii="宋体" w:hAnsi="宋体" w:eastAsia="宋体" w:cs="宋体"/>
          <w:b w:val="0"/>
          <w:sz w:val="28"/>
          <w:szCs w:val="28"/>
        </w:rPr>
        <w:t>附表四：计划开、竣工日期和施工进度网络图</w:t>
      </w:r>
      <w:bookmarkEnd w:id="630"/>
      <w:bookmarkEnd w:id="631"/>
      <w:bookmarkEnd w:id="632"/>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Cs w:val="21"/>
        </w:rPr>
      </w:pPr>
      <w:r>
        <w:rPr>
          <w:rFonts w:hint="eastAsia" w:ascii="宋体" w:hAnsi="宋体" w:cs="宋体"/>
          <w:kern w:val="0"/>
          <w:szCs w:val="21"/>
        </w:rPr>
        <w:t>1. 投标人应递交施工进度网络图或施工进度表，说明按招标文件要求的计划工期进行施工的各个关键日期。</w:t>
      </w:r>
    </w:p>
    <w:p>
      <w:pPr>
        <w:autoSpaceDE w:val="0"/>
        <w:autoSpaceDN w:val="0"/>
        <w:adjustRightInd w:val="0"/>
        <w:spacing w:line="420" w:lineRule="exact"/>
        <w:jc w:val="left"/>
        <w:rPr>
          <w:rFonts w:ascii="宋体" w:hAnsi="宋体" w:cs="宋体"/>
          <w:kern w:val="0"/>
          <w:szCs w:val="21"/>
        </w:rPr>
      </w:pPr>
      <w:r>
        <w:rPr>
          <w:rFonts w:hint="eastAsia" w:ascii="宋体" w:hAnsi="宋体" w:cs="宋体"/>
          <w:kern w:val="0"/>
          <w:szCs w:val="21"/>
        </w:rPr>
        <w:t>2. 施工进度表可采用网络图（或横道图）表示。</w:t>
      </w:r>
    </w:p>
    <w:p>
      <w:pPr>
        <w:autoSpaceDE w:val="0"/>
        <w:autoSpaceDN w:val="0"/>
        <w:adjustRightInd w:val="0"/>
        <w:spacing w:line="420" w:lineRule="exact"/>
        <w:jc w:val="left"/>
        <w:rPr>
          <w:rFonts w:ascii="宋体" w:hAnsi="宋体" w:cs="宋体"/>
          <w:kern w:val="0"/>
          <w:sz w:val="18"/>
          <w:szCs w:val="18"/>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pStyle w:val="5"/>
        <w:rPr>
          <w:rFonts w:ascii="宋体" w:hAnsi="宋体" w:eastAsia="宋体" w:cs="宋体"/>
          <w:b w:val="0"/>
          <w:sz w:val="28"/>
          <w:szCs w:val="28"/>
        </w:rPr>
      </w:pPr>
      <w:bookmarkStart w:id="633" w:name="_Toc456354381"/>
      <w:bookmarkStart w:id="634" w:name="_Toc27760"/>
      <w:bookmarkStart w:id="635" w:name="_Toc3526"/>
      <w:r>
        <w:rPr>
          <w:rFonts w:hint="eastAsia" w:ascii="宋体" w:hAnsi="宋体" w:eastAsia="宋体" w:cs="宋体"/>
          <w:b w:val="0"/>
          <w:sz w:val="28"/>
          <w:szCs w:val="28"/>
        </w:rPr>
        <w:t>附表五：临时用地表</w:t>
      </w:r>
      <w:bookmarkEnd w:id="633"/>
      <w:bookmarkEnd w:id="634"/>
      <w:bookmarkEnd w:id="635"/>
    </w:p>
    <w:tbl>
      <w:tblPr>
        <w:tblStyle w:val="50"/>
        <w:tblW w:w="93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8"/>
        <w:gridCol w:w="2328"/>
        <w:gridCol w:w="2329"/>
        <w:gridCol w:w="2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2328" w:type="dxa"/>
            <w:vAlign w:val="center"/>
          </w:tcPr>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用 途</w:t>
            </w:r>
          </w:p>
        </w:tc>
        <w:tc>
          <w:tcPr>
            <w:tcW w:w="2328" w:type="dxa"/>
            <w:vAlign w:val="center"/>
          </w:tcPr>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面 积（平方米）</w:t>
            </w:r>
          </w:p>
        </w:tc>
        <w:tc>
          <w:tcPr>
            <w:tcW w:w="2329" w:type="dxa"/>
            <w:vAlign w:val="center"/>
          </w:tcPr>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位 置</w:t>
            </w:r>
          </w:p>
        </w:tc>
        <w:tc>
          <w:tcPr>
            <w:tcW w:w="2329" w:type="dxa"/>
            <w:vAlign w:val="center"/>
          </w:tcPr>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r>
    </w:tbl>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18"/>
          <w:szCs w:val="18"/>
        </w:rPr>
      </w:pPr>
    </w:p>
    <w:p>
      <w:pPr>
        <w:autoSpaceDE w:val="0"/>
        <w:autoSpaceDN w:val="0"/>
        <w:adjustRightInd w:val="0"/>
        <w:spacing w:line="420" w:lineRule="exact"/>
        <w:jc w:val="left"/>
        <w:rPr>
          <w:rFonts w:ascii="宋体" w:hAnsi="宋体" w:cs="宋体"/>
          <w:kern w:val="0"/>
          <w:sz w:val="28"/>
          <w:szCs w:val="28"/>
        </w:rPr>
      </w:pPr>
    </w:p>
    <w:p>
      <w:pPr>
        <w:pStyle w:val="5"/>
        <w:jc w:val="center"/>
        <w:rPr>
          <w:rFonts w:ascii="宋体" w:hAnsi="宋体" w:eastAsia="宋体" w:cs="宋体"/>
          <w:bCs w:val="0"/>
          <w:sz w:val="28"/>
          <w:szCs w:val="28"/>
        </w:rPr>
      </w:pPr>
      <w:bookmarkStart w:id="636" w:name="_Toc31889"/>
      <w:r>
        <w:rPr>
          <w:rFonts w:hint="eastAsia" w:ascii="宋体" w:hAnsi="宋体" w:eastAsia="宋体" w:cs="宋体"/>
          <w:bCs w:val="0"/>
          <w:sz w:val="28"/>
          <w:szCs w:val="28"/>
        </w:rPr>
        <w:t>八、项目管理机构</w:t>
      </w:r>
      <w:bookmarkEnd w:id="636"/>
    </w:p>
    <w:p>
      <w:pPr>
        <w:pStyle w:val="5"/>
      </w:pPr>
      <w:bookmarkStart w:id="637" w:name="_Toc25428"/>
      <w:r>
        <w:rPr>
          <w:rFonts w:hint="eastAsia" w:ascii="宋体" w:hAnsi="宋体" w:eastAsia="宋体" w:cs="宋体"/>
          <w:b w:val="0"/>
          <w:sz w:val="28"/>
          <w:szCs w:val="28"/>
        </w:rPr>
        <w:t>（一）组织机构表</w:t>
      </w:r>
      <w:bookmarkEnd w:id="637"/>
    </w:p>
    <w:tbl>
      <w:tblPr>
        <w:tblStyle w:val="50"/>
        <w:tblW w:w="8558" w:type="dxa"/>
        <w:jc w:val="center"/>
        <w:tblInd w:w="0" w:type="dxa"/>
        <w:tblLayout w:type="fixed"/>
        <w:tblCellMar>
          <w:top w:w="0" w:type="dxa"/>
          <w:left w:w="0" w:type="dxa"/>
          <w:bottom w:w="0" w:type="dxa"/>
          <w:right w:w="0" w:type="dxa"/>
        </w:tblCellMar>
      </w:tblPr>
      <w:tblGrid>
        <w:gridCol w:w="1276"/>
        <w:gridCol w:w="1276"/>
        <w:gridCol w:w="1715"/>
        <w:gridCol w:w="1229"/>
        <w:gridCol w:w="187"/>
        <w:gridCol w:w="1430"/>
        <w:gridCol w:w="1445"/>
      </w:tblGrid>
      <w:tr>
        <w:tblPrEx>
          <w:tblLayout w:type="fixed"/>
          <w:tblCellMar>
            <w:top w:w="0" w:type="dxa"/>
            <w:left w:w="0" w:type="dxa"/>
            <w:bottom w:w="0" w:type="dxa"/>
            <w:right w:w="0" w:type="dxa"/>
          </w:tblCellMar>
        </w:tblPrEx>
        <w:trPr>
          <w:trHeight w:val="567" w:hRule="atLeast"/>
          <w:jc w:val="center"/>
        </w:trPr>
        <w:tc>
          <w:tcPr>
            <w:tcW w:w="8558" w:type="dxa"/>
            <w:gridSpan w:val="7"/>
            <w:tcBorders>
              <w:top w:val="single" w:color="auto" w:sz="12" w:space="0"/>
              <w:left w:val="single" w:color="auto" w:sz="12" w:space="0"/>
              <w:bottom w:val="nil"/>
              <w:right w:val="single" w:color="auto" w:sz="12" w:space="0"/>
            </w:tcBorders>
            <w:shd w:val="clear" w:color="auto" w:fill="FFFFFF"/>
            <w:vAlign w:val="center"/>
          </w:tcPr>
          <w:p>
            <w:pPr>
              <w:jc w:val="center"/>
            </w:pPr>
            <w:r>
              <w:rPr>
                <w:lang w:eastAsia="en-US"/>
              </w:rPr>
              <w:t>1.</w:t>
            </w:r>
            <w:r>
              <w:rPr>
                <w:lang w:val="zh-TW" w:eastAsia="zh-TW"/>
              </w:rPr>
              <w:t>简 况</w:t>
            </w:r>
          </w:p>
        </w:tc>
      </w:tr>
      <w:tr>
        <w:tblPrEx>
          <w:tblLayout w:type="fixed"/>
          <w:tblCellMar>
            <w:top w:w="0" w:type="dxa"/>
            <w:left w:w="0" w:type="dxa"/>
            <w:bottom w:w="0" w:type="dxa"/>
            <w:right w:w="0" w:type="dxa"/>
          </w:tblCellMar>
        </w:tblPrEx>
        <w:trPr>
          <w:trHeight w:val="567" w:hRule="atLeast"/>
          <w:jc w:val="center"/>
        </w:trPr>
        <w:tc>
          <w:tcPr>
            <w:tcW w:w="2552" w:type="dxa"/>
            <w:gridSpan w:val="2"/>
            <w:tcBorders>
              <w:top w:val="single" w:color="auto" w:sz="4" w:space="0"/>
              <w:left w:val="single" w:color="auto" w:sz="12" w:space="0"/>
              <w:bottom w:val="nil"/>
              <w:right w:val="nil"/>
            </w:tcBorders>
            <w:shd w:val="clear" w:color="auto" w:fill="FFFFFF"/>
            <w:vAlign w:val="center"/>
          </w:tcPr>
          <w:p>
            <w:pPr>
              <w:jc w:val="center"/>
            </w:pPr>
            <w:r>
              <w:rPr>
                <w:lang w:val="zh-TW" w:eastAsia="zh-TW"/>
              </w:rPr>
              <w:t>申请公司名称</w:t>
            </w:r>
          </w:p>
        </w:tc>
        <w:tc>
          <w:tcPr>
            <w:tcW w:w="6006" w:type="dxa"/>
            <w:gridSpan w:val="5"/>
            <w:tcBorders>
              <w:top w:val="single" w:color="auto" w:sz="4" w:space="0"/>
              <w:left w:val="single" w:color="auto" w:sz="4" w:space="0"/>
              <w:bottom w:val="nil"/>
              <w:right w:val="single" w:color="auto" w:sz="12" w:space="0"/>
            </w:tcBorders>
            <w:shd w:val="clear" w:color="auto" w:fill="FFFFFF"/>
          </w:tcPr>
          <w:p>
            <w:pPr>
              <w:jc w:val="center"/>
            </w:pPr>
          </w:p>
        </w:tc>
      </w:tr>
      <w:tr>
        <w:tblPrEx>
          <w:tblLayout w:type="fixed"/>
          <w:tblCellMar>
            <w:top w:w="0" w:type="dxa"/>
            <w:left w:w="0" w:type="dxa"/>
            <w:bottom w:w="0" w:type="dxa"/>
            <w:right w:w="0" w:type="dxa"/>
          </w:tblCellMar>
        </w:tblPrEx>
        <w:trPr>
          <w:trHeight w:val="567" w:hRule="atLeast"/>
          <w:jc w:val="center"/>
        </w:trPr>
        <w:tc>
          <w:tcPr>
            <w:tcW w:w="2552" w:type="dxa"/>
            <w:gridSpan w:val="2"/>
            <w:tcBorders>
              <w:top w:val="single" w:color="auto" w:sz="4" w:space="0"/>
              <w:left w:val="single" w:color="auto" w:sz="12" w:space="0"/>
              <w:bottom w:val="nil"/>
              <w:right w:val="nil"/>
            </w:tcBorders>
            <w:shd w:val="clear" w:color="auto" w:fill="FFFFFF"/>
            <w:vAlign w:val="center"/>
          </w:tcPr>
          <w:p>
            <w:pPr>
              <w:jc w:val="center"/>
            </w:pPr>
            <w:r>
              <w:rPr>
                <w:lang w:val="zh-TW" w:eastAsia="zh-TW"/>
              </w:rPr>
              <w:t>主要业务</w:t>
            </w:r>
          </w:p>
        </w:tc>
        <w:tc>
          <w:tcPr>
            <w:tcW w:w="6006" w:type="dxa"/>
            <w:gridSpan w:val="5"/>
            <w:tcBorders>
              <w:top w:val="single" w:color="auto" w:sz="4" w:space="0"/>
              <w:left w:val="single" w:color="auto" w:sz="4" w:space="0"/>
              <w:bottom w:val="nil"/>
              <w:right w:val="single" w:color="auto" w:sz="12" w:space="0"/>
            </w:tcBorders>
            <w:shd w:val="clear" w:color="auto" w:fill="FFFFFF"/>
          </w:tcPr>
          <w:p>
            <w:pPr>
              <w:jc w:val="center"/>
            </w:pPr>
          </w:p>
        </w:tc>
      </w:tr>
      <w:tr>
        <w:tblPrEx>
          <w:tblLayout w:type="fixed"/>
          <w:tblCellMar>
            <w:top w:w="0" w:type="dxa"/>
            <w:left w:w="0" w:type="dxa"/>
            <w:bottom w:w="0" w:type="dxa"/>
            <w:right w:w="0" w:type="dxa"/>
          </w:tblCellMar>
        </w:tblPrEx>
        <w:trPr>
          <w:trHeight w:val="567" w:hRule="atLeast"/>
          <w:jc w:val="center"/>
        </w:trPr>
        <w:tc>
          <w:tcPr>
            <w:tcW w:w="2552" w:type="dxa"/>
            <w:gridSpan w:val="2"/>
            <w:tcBorders>
              <w:top w:val="single" w:color="auto" w:sz="4" w:space="0"/>
              <w:left w:val="single" w:color="auto" w:sz="12" w:space="0"/>
              <w:bottom w:val="nil"/>
              <w:right w:val="nil"/>
            </w:tcBorders>
            <w:shd w:val="clear" w:color="auto" w:fill="FFFFFF"/>
            <w:vAlign w:val="center"/>
          </w:tcPr>
          <w:p>
            <w:pPr>
              <w:jc w:val="center"/>
            </w:pPr>
            <w:r>
              <w:rPr>
                <w:lang w:val="zh-TW" w:eastAsia="zh-TW"/>
              </w:rPr>
              <w:t>成立日期</w:t>
            </w:r>
          </w:p>
        </w:tc>
        <w:tc>
          <w:tcPr>
            <w:tcW w:w="6006" w:type="dxa"/>
            <w:gridSpan w:val="5"/>
            <w:tcBorders>
              <w:top w:val="single" w:color="auto" w:sz="4" w:space="0"/>
              <w:left w:val="single" w:color="auto" w:sz="4" w:space="0"/>
              <w:bottom w:val="nil"/>
              <w:right w:val="single" w:color="auto" w:sz="12" w:space="0"/>
            </w:tcBorders>
            <w:shd w:val="clear" w:color="auto" w:fill="FFFFFF"/>
          </w:tcPr>
          <w:p>
            <w:pPr>
              <w:jc w:val="center"/>
            </w:pPr>
          </w:p>
        </w:tc>
      </w:tr>
      <w:tr>
        <w:tblPrEx>
          <w:tblLayout w:type="fixed"/>
          <w:tblCellMar>
            <w:top w:w="0" w:type="dxa"/>
            <w:left w:w="0" w:type="dxa"/>
            <w:bottom w:w="0" w:type="dxa"/>
            <w:right w:w="0" w:type="dxa"/>
          </w:tblCellMar>
        </w:tblPrEx>
        <w:trPr>
          <w:trHeight w:val="567" w:hRule="atLeast"/>
          <w:jc w:val="center"/>
        </w:trPr>
        <w:tc>
          <w:tcPr>
            <w:tcW w:w="8558" w:type="dxa"/>
            <w:gridSpan w:val="7"/>
            <w:tcBorders>
              <w:top w:val="single" w:color="auto" w:sz="4" w:space="0"/>
              <w:left w:val="single" w:color="auto" w:sz="12" w:space="0"/>
              <w:bottom w:val="nil"/>
              <w:right w:val="single" w:color="auto" w:sz="12" w:space="0"/>
            </w:tcBorders>
            <w:shd w:val="clear" w:color="auto" w:fill="FFFFFF"/>
            <w:vAlign w:val="center"/>
          </w:tcPr>
          <w:p>
            <w:pPr>
              <w:jc w:val="center"/>
            </w:pPr>
            <w:r>
              <w:rPr>
                <w:lang w:eastAsia="en-US"/>
              </w:rPr>
              <w:t>2.</w:t>
            </w:r>
            <w:r>
              <w:rPr>
                <w:lang w:val="zh-TW" w:eastAsia="zh-TW"/>
              </w:rPr>
              <w:t>领导人员名单</w:t>
            </w:r>
          </w:p>
        </w:tc>
      </w:tr>
      <w:tr>
        <w:tblPrEx>
          <w:tblLayout w:type="fixed"/>
          <w:tblCellMar>
            <w:top w:w="0" w:type="dxa"/>
            <w:left w:w="0" w:type="dxa"/>
            <w:bottom w:w="0" w:type="dxa"/>
            <w:right w:w="0" w:type="dxa"/>
          </w:tblCellMar>
        </w:tblPrEx>
        <w:trPr>
          <w:trHeight w:val="567" w:hRule="atLeast"/>
          <w:jc w:val="center"/>
        </w:trPr>
        <w:tc>
          <w:tcPr>
            <w:tcW w:w="2552" w:type="dxa"/>
            <w:gridSpan w:val="2"/>
            <w:tcBorders>
              <w:top w:val="single" w:color="auto" w:sz="4" w:space="0"/>
              <w:left w:val="single" w:color="auto" w:sz="12" w:space="0"/>
              <w:bottom w:val="nil"/>
              <w:right w:val="nil"/>
            </w:tcBorders>
            <w:shd w:val="clear" w:color="auto" w:fill="FFFFFF"/>
            <w:vAlign w:val="center"/>
          </w:tcPr>
          <w:p>
            <w:pPr>
              <w:jc w:val="center"/>
            </w:pPr>
            <w:r>
              <w:rPr>
                <w:lang w:val="zh-TW" w:eastAsia="zh-TW"/>
              </w:rPr>
              <w:t>董事长</w:t>
            </w:r>
          </w:p>
        </w:tc>
        <w:tc>
          <w:tcPr>
            <w:tcW w:w="6006" w:type="dxa"/>
            <w:gridSpan w:val="5"/>
            <w:tcBorders>
              <w:top w:val="single" w:color="auto" w:sz="4" w:space="0"/>
              <w:left w:val="single" w:color="auto" w:sz="4" w:space="0"/>
              <w:bottom w:val="nil"/>
              <w:right w:val="single" w:color="auto" w:sz="12" w:space="0"/>
            </w:tcBorders>
            <w:shd w:val="clear" w:color="auto" w:fill="FFFFFF"/>
          </w:tcPr>
          <w:p>
            <w:pPr>
              <w:jc w:val="center"/>
            </w:pPr>
          </w:p>
        </w:tc>
      </w:tr>
      <w:tr>
        <w:tblPrEx>
          <w:tblLayout w:type="fixed"/>
          <w:tblCellMar>
            <w:top w:w="0" w:type="dxa"/>
            <w:left w:w="0" w:type="dxa"/>
            <w:bottom w:w="0" w:type="dxa"/>
            <w:right w:w="0" w:type="dxa"/>
          </w:tblCellMar>
        </w:tblPrEx>
        <w:trPr>
          <w:trHeight w:val="567" w:hRule="atLeast"/>
          <w:jc w:val="center"/>
        </w:trPr>
        <w:tc>
          <w:tcPr>
            <w:tcW w:w="2552" w:type="dxa"/>
            <w:gridSpan w:val="2"/>
            <w:tcBorders>
              <w:top w:val="single" w:color="auto" w:sz="4" w:space="0"/>
              <w:left w:val="single" w:color="auto" w:sz="12" w:space="0"/>
              <w:bottom w:val="nil"/>
              <w:right w:val="nil"/>
            </w:tcBorders>
            <w:shd w:val="clear" w:color="auto" w:fill="FFFFFF"/>
            <w:vAlign w:val="center"/>
          </w:tcPr>
          <w:p>
            <w:pPr>
              <w:jc w:val="center"/>
            </w:pPr>
            <w:r>
              <w:rPr>
                <w:lang w:val="zh-TW" w:eastAsia="zh-TW"/>
              </w:rPr>
              <w:t>总经理</w:t>
            </w:r>
          </w:p>
        </w:tc>
        <w:tc>
          <w:tcPr>
            <w:tcW w:w="6006" w:type="dxa"/>
            <w:gridSpan w:val="5"/>
            <w:tcBorders>
              <w:top w:val="single" w:color="auto" w:sz="4" w:space="0"/>
              <w:left w:val="single" w:color="auto" w:sz="4" w:space="0"/>
              <w:bottom w:val="nil"/>
              <w:right w:val="single" w:color="auto" w:sz="12" w:space="0"/>
            </w:tcBorders>
            <w:shd w:val="clear" w:color="auto" w:fill="FFFFFF"/>
          </w:tcPr>
          <w:p>
            <w:pPr>
              <w:jc w:val="center"/>
            </w:pPr>
          </w:p>
        </w:tc>
      </w:tr>
      <w:tr>
        <w:tblPrEx>
          <w:tblLayout w:type="fixed"/>
          <w:tblCellMar>
            <w:top w:w="0" w:type="dxa"/>
            <w:left w:w="0" w:type="dxa"/>
            <w:bottom w:w="0" w:type="dxa"/>
            <w:right w:w="0" w:type="dxa"/>
          </w:tblCellMar>
        </w:tblPrEx>
        <w:trPr>
          <w:trHeight w:val="567" w:hRule="atLeast"/>
          <w:jc w:val="center"/>
        </w:trPr>
        <w:tc>
          <w:tcPr>
            <w:tcW w:w="2552" w:type="dxa"/>
            <w:gridSpan w:val="2"/>
            <w:tcBorders>
              <w:top w:val="single" w:color="auto" w:sz="4" w:space="0"/>
              <w:left w:val="single" w:color="auto" w:sz="12" w:space="0"/>
              <w:bottom w:val="nil"/>
              <w:right w:val="nil"/>
            </w:tcBorders>
            <w:shd w:val="clear" w:color="auto" w:fill="FFFFFF"/>
            <w:vAlign w:val="center"/>
          </w:tcPr>
          <w:p>
            <w:pPr>
              <w:jc w:val="center"/>
            </w:pPr>
            <w:r>
              <w:t>技术负责人</w:t>
            </w:r>
          </w:p>
        </w:tc>
        <w:tc>
          <w:tcPr>
            <w:tcW w:w="6006" w:type="dxa"/>
            <w:gridSpan w:val="5"/>
            <w:tcBorders>
              <w:top w:val="single" w:color="auto" w:sz="4" w:space="0"/>
              <w:left w:val="single" w:color="auto" w:sz="4" w:space="0"/>
              <w:bottom w:val="nil"/>
              <w:right w:val="single" w:color="auto" w:sz="12" w:space="0"/>
            </w:tcBorders>
            <w:shd w:val="clear" w:color="auto" w:fill="FFFFFF"/>
          </w:tcPr>
          <w:p>
            <w:pPr>
              <w:jc w:val="center"/>
            </w:pPr>
          </w:p>
        </w:tc>
      </w:tr>
      <w:tr>
        <w:tblPrEx>
          <w:tblLayout w:type="fixed"/>
          <w:tblCellMar>
            <w:top w:w="0" w:type="dxa"/>
            <w:left w:w="0" w:type="dxa"/>
            <w:bottom w:w="0" w:type="dxa"/>
            <w:right w:w="0" w:type="dxa"/>
          </w:tblCellMar>
        </w:tblPrEx>
        <w:trPr>
          <w:trHeight w:val="567" w:hRule="atLeast"/>
          <w:jc w:val="center"/>
        </w:trPr>
        <w:tc>
          <w:tcPr>
            <w:tcW w:w="8558" w:type="dxa"/>
            <w:gridSpan w:val="7"/>
            <w:tcBorders>
              <w:top w:val="single" w:color="auto" w:sz="4" w:space="0"/>
              <w:left w:val="single" w:color="auto" w:sz="12" w:space="0"/>
              <w:bottom w:val="nil"/>
              <w:right w:val="single" w:color="auto" w:sz="12" w:space="0"/>
            </w:tcBorders>
            <w:shd w:val="clear" w:color="auto" w:fill="FFFFFF"/>
            <w:vAlign w:val="center"/>
          </w:tcPr>
          <w:p>
            <w:pPr>
              <w:jc w:val="center"/>
            </w:pPr>
            <w:r>
              <w:t>3.</w:t>
            </w:r>
            <w:r>
              <w:rPr>
                <w:lang w:val="zh-TW" w:eastAsia="zh-TW"/>
              </w:rPr>
              <w:t>股东人员名单</w:t>
            </w:r>
            <w:r>
              <w:t>（</w:t>
            </w:r>
            <w:r>
              <w:rPr>
                <w:lang w:val="zh-TW" w:eastAsia="zh-TW"/>
              </w:rPr>
              <w:t>股份占20%以上者</w:t>
            </w:r>
            <w:r>
              <w:t>）</w:t>
            </w:r>
          </w:p>
        </w:tc>
      </w:tr>
      <w:tr>
        <w:tblPrEx>
          <w:tblLayout w:type="fixed"/>
          <w:tblCellMar>
            <w:top w:w="0" w:type="dxa"/>
            <w:left w:w="0" w:type="dxa"/>
            <w:bottom w:w="0" w:type="dxa"/>
            <w:right w:w="0" w:type="dxa"/>
          </w:tblCellMar>
        </w:tblPrEx>
        <w:trPr>
          <w:trHeight w:val="567" w:hRule="atLeast"/>
          <w:jc w:val="center"/>
        </w:trPr>
        <w:tc>
          <w:tcPr>
            <w:tcW w:w="5496" w:type="dxa"/>
            <w:gridSpan w:val="4"/>
            <w:tcBorders>
              <w:top w:val="single" w:color="auto" w:sz="4" w:space="0"/>
              <w:left w:val="single" w:color="auto" w:sz="12" w:space="0"/>
              <w:bottom w:val="nil"/>
              <w:right w:val="nil"/>
            </w:tcBorders>
            <w:shd w:val="clear" w:color="auto" w:fill="FFFFFF"/>
            <w:vAlign w:val="center"/>
          </w:tcPr>
          <w:p>
            <w:pPr>
              <w:jc w:val="center"/>
            </w:pPr>
            <w:r>
              <w:rPr>
                <w:lang w:val="zh-TW" w:eastAsia="zh-TW"/>
              </w:rPr>
              <w:t>股东名称</w:t>
            </w:r>
          </w:p>
        </w:tc>
        <w:tc>
          <w:tcPr>
            <w:tcW w:w="3062" w:type="dxa"/>
            <w:gridSpan w:val="3"/>
            <w:tcBorders>
              <w:top w:val="single" w:color="auto" w:sz="4" w:space="0"/>
              <w:left w:val="single" w:color="auto" w:sz="4" w:space="0"/>
              <w:bottom w:val="nil"/>
              <w:right w:val="single" w:color="auto" w:sz="12" w:space="0"/>
            </w:tcBorders>
            <w:shd w:val="clear" w:color="auto" w:fill="FFFFFF"/>
            <w:vAlign w:val="center"/>
          </w:tcPr>
          <w:p>
            <w:pPr>
              <w:jc w:val="center"/>
            </w:pPr>
            <w:r>
              <w:rPr>
                <w:lang w:val="zh-TW" w:eastAsia="zh-TW"/>
              </w:rPr>
              <w:t>持股比例（％)</w:t>
            </w:r>
          </w:p>
        </w:tc>
      </w:tr>
      <w:tr>
        <w:tblPrEx>
          <w:tblLayout w:type="fixed"/>
          <w:tblCellMar>
            <w:top w:w="0" w:type="dxa"/>
            <w:left w:w="0" w:type="dxa"/>
            <w:bottom w:w="0" w:type="dxa"/>
            <w:right w:w="0" w:type="dxa"/>
          </w:tblCellMar>
        </w:tblPrEx>
        <w:trPr>
          <w:trHeight w:val="567" w:hRule="atLeast"/>
          <w:jc w:val="center"/>
        </w:trPr>
        <w:tc>
          <w:tcPr>
            <w:tcW w:w="5496" w:type="dxa"/>
            <w:gridSpan w:val="4"/>
            <w:tcBorders>
              <w:top w:val="single" w:color="auto" w:sz="4" w:space="0"/>
              <w:left w:val="single" w:color="auto" w:sz="12" w:space="0"/>
              <w:bottom w:val="nil"/>
              <w:right w:val="nil"/>
            </w:tcBorders>
            <w:shd w:val="clear" w:color="auto" w:fill="FFFFFF"/>
          </w:tcPr>
          <w:p/>
        </w:tc>
        <w:tc>
          <w:tcPr>
            <w:tcW w:w="3062" w:type="dxa"/>
            <w:gridSpan w:val="3"/>
            <w:tcBorders>
              <w:top w:val="single" w:color="auto" w:sz="4" w:space="0"/>
              <w:left w:val="single" w:color="auto" w:sz="4" w:space="0"/>
              <w:bottom w:val="nil"/>
              <w:right w:val="single" w:color="auto" w:sz="12" w:space="0"/>
            </w:tcBorders>
            <w:shd w:val="clear" w:color="auto" w:fill="FFFFFF"/>
          </w:tcPr>
          <w:p/>
        </w:tc>
      </w:tr>
      <w:tr>
        <w:tblPrEx>
          <w:tblLayout w:type="fixed"/>
          <w:tblCellMar>
            <w:top w:w="0" w:type="dxa"/>
            <w:left w:w="0" w:type="dxa"/>
            <w:bottom w:w="0" w:type="dxa"/>
            <w:right w:w="0" w:type="dxa"/>
          </w:tblCellMar>
        </w:tblPrEx>
        <w:trPr>
          <w:trHeight w:val="567" w:hRule="atLeast"/>
          <w:jc w:val="center"/>
        </w:trPr>
        <w:tc>
          <w:tcPr>
            <w:tcW w:w="5496" w:type="dxa"/>
            <w:gridSpan w:val="4"/>
            <w:tcBorders>
              <w:top w:val="single" w:color="auto" w:sz="4" w:space="0"/>
              <w:left w:val="single" w:color="auto" w:sz="12" w:space="0"/>
              <w:bottom w:val="nil"/>
              <w:right w:val="nil"/>
            </w:tcBorders>
            <w:shd w:val="clear" w:color="auto" w:fill="FFFFFF"/>
          </w:tcPr>
          <w:p/>
        </w:tc>
        <w:tc>
          <w:tcPr>
            <w:tcW w:w="3062" w:type="dxa"/>
            <w:gridSpan w:val="3"/>
            <w:tcBorders>
              <w:top w:val="single" w:color="auto" w:sz="4" w:space="0"/>
              <w:left w:val="single" w:color="auto" w:sz="4" w:space="0"/>
              <w:bottom w:val="nil"/>
              <w:right w:val="single" w:color="auto" w:sz="12" w:space="0"/>
            </w:tcBorders>
            <w:shd w:val="clear" w:color="auto" w:fill="FFFFFF"/>
          </w:tcPr>
          <w:p/>
        </w:tc>
      </w:tr>
      <w:tr>
        <w:tblPrEx>
          <w:tblLayout w:type="fixed"/>
          <w:tblCellMar>
            <w:top w:w="0" w:type="dxa"/>
            <w:left w:w="0" w:type="dxa"/>
            <w:bottom w:w="0" w:type="dxa"/>
            <w:right w:w="0" w:type="dxa"/>
          </w:tblCellMar>
        </w:tblPrEx>
        <w:trPr>
          <w:trHeight w:val="567" w:hRule="atLeast"/>
          <w:jc w:val="center"/>
        </w:trPr>
        <w:tc>
          <w:tcPr>
            <w:tcW w:w="2552" w:type="dxa"/>
            <w:gridSpan w:val="2"/>
            <w:tcBorders>
              <w:top w:val="single" w:color="auto" w:sz="4" w:space="0"/>
              <w:left w:val="single" w:color="auto" w:sz="12" w:space="0"/>
              <w:bottom w:val="nil"/>
              <w:right w:val="nil"/>
            </w:tcBorders>
            <w:shd w:val="clear" w:color="auto" w:fill="FFFFFF"/>
            <w:vAlign w:val="center"/>
          </w:tcPr>
          <w:p>
            <w:pPr>
              <w:jc w:val="center"/>
            </w:pPr>
            <w:r>
              <w:rPr>
                <w:lang w:val="zh-TW" w:eastAsia="zh-TW"/>
              </w:rPr>
              <w:t>控股公司名称</w:t>
            </w:r>
          </w:p>
        </w:tc>
        <w:tc>
          <w:tcPr>
            <w:tcW w:w="6006" w:type="dxa"/>
            <w:gridSpan w:val="5"/>
            <w:tcBorders>
              <w:top w:val="single" w:color="auto" w:sz="4" w:space="0"/>
              <w:left w:val="single" w:color="auto" w:sz="4" w:space="0"/>
              <w:bottom w:val="nil"/>
              <w:right w:val="single" w:color="auto" w:sz="12" w:space="0"/>
            </w:tcBorders>
            <w:shd w:val="clear" w:color="auto" w:fill="FFFFFF"/>
          </w:tcPr>
          <w:p>
            <w:pPr>
              <w:jc w:val="center"/>
            </w:pPr>
          </w:p>
        </w:tc>
      </w:tr>
      <w:tr>
        <w:tblPrEx>
          <w:tblLayout w:type="fixed"/>
          <w:tblCellMar>
            <w:top w:w="0" w:type="dxa"/>
            <w:left w:w="0" w:type="dxa"/>
            <w:bottom w:w="0" w:type="dxa"/>
            <w:right w:w="0" w:type="dxa"/>
          </w:tblCellMar>
        </w:tblPrEx>
        <w:trPr>
          <w:trHeight w:val="567" w:hRule="atLeast"/>
          <w:jc w:val="center"/>
        </w:trPr>
        <w:tc>
          <w:tcPr>
            <w:tcW w:w="8558" w:type="dxa"/>
            <w:gridSpan w:val="7"/>
            <w:tcBorders>
              <w:top w:val="single" w:color="auto" w:sz="4" w:space="0"/>
              <w:left w:val="single" w:color="auto" w:sz="12" w:space="0"/>
              <w:bottom w:val="nil"/>
              <w:right w:val="single" w:color="auto" w:sz="12" w:space="0"/>
            </w:tcBorders>
            <w:shd w:val="clear" w:color="auto" w:fill="FFFFFF"/>
            <w:vAlign w:val="center"/>
          </w:tcPr>
          <w:p>
            <w:pPr>
              <w:jc w:val="center"/>
            </w:pPr>
            <w:r>
              <w:t>4.</w:t>
            </w:r>
            <w:r>
              <w:rPr>
                <w:rFonts w:hint="eastAsia"/>
                <w:lang w:val="zh-TW"/>
              </w:rPr>
              <w:t>拟参与本项目施工的下属工程公司或工程专业公司名单</w:t>
            </w:r>
          </w:p>
        </w:tc>
      </w:tr>
      <w:tr>
        <w:tblPrEx>
          <w:tblLayout w:type="fixed"/>
          <w:tblCellMar>
            <w:top w:w="0" w:type="dxa"/>
            <w:left w:w="0" w:type="dxa"/>
            <w:bottom w:w="0" w:type="dxa"/>
            <w:right w:w="0" w:type="dxa"/>
          </w:tblCellMar>
        </w:tblPrEx>
        <w:trPr>
          <w:trHeight w:val="567" w:hRule="atLeast"/>
          <w:jc w:val="center"/>
        </w:trPr>
        <w:tc>
          <w:tcPr>
            <w:tcW w:w="8558" w:type="dxa"/>
            <w:gridSpan w:val="7"/>
            <w:tcBorders>
              <w:top w:val="single" w:color="auto" w:sz="4" w:space="0"/>
              <w:left w:val="single" w:color="auto" w:sz="12" w:space="0"/>
              <w:bottom w:val="nil"/>
              <w:right w:val="single" w:color="auto" w:sz="12" w:space="0"/>
            </w:tcBorders>
            <w:shd w:val="clear" w:color="auto" w:fill="FFFFFF"/>
          </w:tcPr>
          <w:p>
            <w:pPr>
              <w:jc w:val="center"/>
            </w:pPr>
          </w:p>
        </w:tc>
      </w:tr>
      <w:tr>
        <w:tblPrEx>
          <w:tblLayout w:type="fixed"/>
          <w:tblCellMar>
            <w:top w:w="0" w:type="dxa"/>
            <w:left w:w="0" w:type="dxa"/>
            <w:bottom w:w="0" w:type="dxa"/>
            <w:right w:w="0" w:type="dxa"/>
          </w:tblCellMar>
        </w:tblPrEx>
        <w:trPr>
          <w:trHeight w:val="567" w:hRule="atLeast"/>
          <w:jc w:val="center"/>
        </w:trPr>
        <w:tc>
          <w:tcPr>
            <w:tcW w:w="8558" w:type="dxa"/>
            <w:gridSpan w:val="7"/>
            <w:tcBorders>
              <w:top w:val="single" w:color="auto" w:sz="4" w:space="0"/>
              <w:left w:val="single" w:color="auto" w:sz="12" w:space="0"/>
              <w:bottom w:val="nil"/>
              <w:right w:val="single" w:color="auto" w:sz="12" w:space="0"/>
            </w:tcBorders>
            <w:shd w:val="clear" w:color="auto" w:fill="FFFFFF"/>
            <w:vAlign w:val="center"/>
          </w:tcPr>
          <w:p>
            <w:pPr>
              <w:jc w:val="center"/>
            </w:pPr>
            <w:r>
              <w:t>5.</w:t>
            </w:r>
            <w:r>
              <w:rPr>
                <w:lang w:val="zh-TW" w:eastAsia="zh-TW"/>
              </w:rPr>
              <w:t>驻</w:t>
            </w:r>
            <w:r>
              <w:rPr>
                <w:rFonts w:hint="eastAsia"/>
                <w:lang w:val="zh-TW"/>
              </w:rPr>
              <w:t>许昌</w:t>
            </w:r>
            <w:r>
              <w:rPr>
                <w:lang w:val="zh-TW" w:eastAsia="zh-TW"/>
              </w:rPr>
              <w:t>办事处或联系机构名单</w:t>
            </w:r>
          </w:p>
        </w:tc>
      </w:tr>
      <w:tr>
        <w:tblPrEx>
          <w:tblLayout w:type="fixed"/>
          <w:tblCellMar>
            <w:top w:w="0" w:type="dxa"/>
            <w:left w:w="0" w:type="dxa"/>
            <w:bottom w:w="0" w:type="dxa"/>
            <w:right w:w="0" w:type="dxa"/>
          </w:tblCellMar>
        </w:tblPrEx>
        <w:trPr>
          <w:trHeight w:val="567" w:hRule="atLeast"/>
          <w:jc w:val="center"/>
        </w:trPr>
        <w:tc>
          <w:tcPr>
            <w:tcW w:w="1276" w:type="dxa"/>
            <w:tcBorders>
              <w:top w:val="single" w:color="auto" w:sz="4" w:space="0"/>
              <w:left w:val="single" w:color="auto" w:sz="12" w:space="0"/>
              <w:bottom w:val="nil"/>
              <w:right w:val="nil"/>
            </w:tcBorders>
            <w:shd w:val="clear" w:color="auto" w:fill="FFFFFF"/>
            <w:vAlign w:val="center"/>
          </w:tcPr>
          <w:p>
            <w:pPr>
              <w:jc w:val="center"/>
            </w:pPr>
            <w:r>
              <w:rPr>
                <w:lang w:val="zh-TW" w:eastAsia="zh-TW"/>
              </w:rPr>
              <w:t>名称</w:t>
            </w:r>
          </w:p>
        </w:tc>
        <w:tc>
          <w:tcPr>
            <w:tcW w:w="1276" w:type="dxa"/>
            <w:tcBorders>
              <w:top w:val="single" w:color="auto" w:sz="4" w:space="0"/>
              <w:left w:val="single" w:color="auto" w:sz="4" w:space="0"/>
              <w:bottom w:val="nil"/>
              <w:right w:val="nil"/>
            </w:tcBorders>
            <w:shd w:val="clear" w:color="auto" w:fill="FFFFFF"/>
            <w:vAlign w:val="center"/>
          </w:tcPr>
          <w:p>
            <w:pPr>
              <w:jc w:val="center"/>
            </w:pPr>
            <w:r>
              <w:rPr>
                <w:lang w:val="zh-TW" w:eastAsia="zh-TW"/>
              </w:rPr>
              <w:t>地址</w:t>
            </w:r>
          </w:p>
        </w:tc>
        <w:tc>
          <w:tcPr>
            <w:tcW w:w="1715" w:type="dxa"/>
            <w:tcBorders>
              <w:top w:val="single" w:color="auto" w:sz="4" w:space="0"/>
              <w:left w:val="single" w:color="auto" w:sz="4" w:space="0"/>
              <w:bottom w:val="nil"/>
              <w:right w:val="nil"/>
            </w:tcBorders>
            <w:shd w:val="clear" w:color="auto" w:fill="FFFFFF"/>
            <w:vAlign w:val="center"/>
          </w:tcPr>
          <w:p>
            <w:pPr>
              <w:jc w:val="center"/>
            </w:pPr>
            <w:r>
              <w:rPr>
                <w:lang w:val="zh-TW" w:eastAsia="zh-TW"/>
              </w:rPr>
              <w:t>负责人姓名</w:t>
            </w:r>
          </w:p>
        </w:tc>
        <w:tc>
          <w:tcPr>
            <w:tcW w:w="1416" w:type="dxa"/>
            <w:gridSpan w:val="2"/>
            <w:tcBorders>
              <w:top w:val="single" w:color="auto" w:sz="4" w:space="0"/>
              <w:left w:val="single" w:color="auto" w:sz="4" w:space="0"/>
              <w:bottom w:val="nil"/>
              <w:right w:val="nil"/>
            </w:tcBorders>
            <w:shd w:val="clear" w:color="auto" w:fill="FFFFFF"/>
            <w:vAlign w:val="center"/>
          </w:tcPr>
          <w:p>
            <w:pPr>
              <w:jc w:val="center"/>
            </w:pPr>
            <w:r>
              <w:rPr>
                <w:lang w:val="zh-TW" w:eastAsia="zh-TW"/>
              </w:rPr>
              <w:t>电话</w:t>
            </w:r>
          </w:p>
        </w:tc>
        <w:tc>
          <w:tcPr>
            <w:tcW w:w="1430" w:type="dxa"/>
            <w:tcBorders>
              <w:top w:val="single" w:color="auto" w:sz="4" w:space="0"/>
              <w:left w:val="single" w:color="auto" w:sz="4" w:space="0"/>
              <w:bottom w:val="nil"/>
              <w:right w:val="nil"/>
            </w:tcBorders>
            <w:shd w:val="clear" w:color="auto" w:fill="FFFFFF"/>
            <w:vAlign w:val="center"/>
          </w:tcPr>
          <w:p>
            <w:pPr>
              <w:jc w:val="center"/>
            </w:pPr>
            <w:r>
              <w:rPr>
                <w:lang w:val="zh-TW" w:eastAsia="zh-TW"/>
              </w:rPr>
              <w:t>传真</w:t>
            </w:r>
          </w:p>
        </w:tc>
        <w:tc>
          <w:tcPr>
            <w:tcW w:w="1445" w:type="dxa"/>
            <w:tcBorders>
              <w:top w:val="single" w:color="auto" w:sz="4" w:space="0"/>
              <w:left w:val="single" w:color="auto" w:sz="4" w:space="0"/>
              <w:bottom w:val="nil"/>
              <w:right w:val="single" w:color="auto" w:sz="12" w:space="0"/>
            </w:tcBorders>
            <w:shd w:val="clear" w:color="auto" w:fill="FFFFFF"/>
            <w:vAlign w:val="center"/>
          </w:tcPr>
          <w:p>
            <w:pPr>
              <w:jc w:val="center"/>
            </w:pPr>
            <w:r>
              <w:rPr>
                <w:lang w:val="zh-TW" w:eastAsia="zh-TW"/>
              </w:rPr>
              <w:t>备注</w:t>
            </w:r>
          </w:p>
        </w:tc>
      </w:tr>
      <w:tr>
        <w:tblPrEx>
          <w:tblLayout w:type="fixed"/>
          <w:tblCellMar>
            <w:top w:w="0" w:type="dxa"/>
            <w:left w:w="0" w:type="dxa"/>
            <w:bottom w:w="0" w:type="dxa"/>
            <w:right w:w="0" w:type="dxa"/>
          </w:tblCellMar>
        </w:tblPrEx>
        <w:trPr>
          <w:trHeight w:val="567" w:hRule="atLeast"/>
          <w:jc w:val="center"/>
        </w:trPr>
        <w:tc>
          <w:tcPr>
            <w:tcW w:w="1276" w:type="dxa"/>
            <w:tcBorders>
              <w:top w:val="single" w:color="auto" w:sz="4" w:space="0"/>
              <w:left w:val="single" w:color="auto" w:sz="12" w:space="0"/>
              <w:bottom w:val="nil"/>
              <w:right w:val="nil"/>
            </w:tcBorders>
            <w:shd w:val="clear" w:color="auto" w:fill="FFFFFF"/>
          </w:tcPr>
          <w:p/>
        </w:tc>
        <w:tc>
          <w:tcPr>
            <w:tcW w:w="1276" w:type="dxa"/>
            <w:tcBorders>
              <w:top w:val="single" w:color="auto" w:sz="4" w:space="0"/>
              <w:left w:val="single" w:color="auto" w:sz="4" w:space="0"/>
              <w:bottom w:val="nil"/>
              <w:right w:val="nil"/>
            </w:tcBorders>
            <w:shd w:val="clear" w:color="auto" w:fill="FFFFFF"/>
          </w:tcPr>
          <w:p/>
        </w:tc>
        <w:tc>
          <w:tcPr>
            <w:tcW w:w="1715" w:type="dxa"/>
            <w:tcBorders>
              <w:top w:val="single" w:color="auto" w:sz="4" w:space="0"/>
              <w:left w:val="single" w:color="auto" w:sz="4" w:space="0"/>
              <w:bottom w:val="nil"/>
              <w:right w:val="nil"/>
            </w:tcBorders>
            <w:shd w:val="clear" w:color="auto" w:fill="FFFFFF"/>
          </w:tcPr>
          <w:p/>
        </w:tc>
        <w:tc>
          <w:tcPr>
            <w:tcW w:w="1416" w:type="dxa"/>
            <w:gridSpan w:val="2"/>
            <w:tcBorders>
              <w:top w:val="single" w:color="auto" w:sz="4" w:space="0"/>
              <w:left w:val="single" w:color="auto" w:sz="4" w:space="0"/>
              <w:bottom w:val="nil"/>
              <w:right w:val="nil"/>
            </w:tcBorders>
            <w:shd w:val="clear" w:color="auto" w:fill="FFFFFF"/>
          </w:tcPr>
          <w:p/>
        </w:tc>
        <w:tc>
          <w:tcPr>
            <w:tcW w:w="1430" w:type="dxa"/>
            <w:tcBorders>
              <w:top w:val="single" w:color="auto" w:sz="4" w:space="0"/>
              <w:left w:val="single" w:color="auto" w:sz="4" w:space="0"/>
              <w:bottom w:val="nil"/>
              <w:right w:val="nil"/>
            </w:tcBorders>
            <w:shd w:val="clear" w:color="auto" w:fill="FFFFFF"/>
          </w:tcPr>
          <w:p/>
        </w:tc>
        <w:tc>
          <w:tcPr>
            <w:tcW w:w="1445" w:type="dxa"/>
            <w:tcBorders>
              <w:top w:val="single" w:color="auto" w:sz="4" w:space="0"/>
              <w:left w:val="single" w:color="auto" w:sz="4" w:space="0"/>
              <w:bottom w:val="nil"/>
              <w:right w:val="single" w:color="auto" w:sz="12" w:space="0"/>
            </w:tcBorders>
            <w:shd w:val="clear" w:color="auto" w:fill="FFFFFF"/>
          </w:tcPr>
          <w:p/>
        </w:tc>
      </w:tr>
      <w:tr>
        <w:tblPrEx>
          <w:tblLayout w:type="fixed"/>
          <w:tblCellMar>
            <w:top w:w="0" w:type="dxa"/>
            <w:left w:w="0" w:type="dxa"/>
            <w:bottom w:w="0" w:type="dxa"/>
            <w:right w:w="0" w:type="dxa"/>
          </w:tblCellMar>
        </w:tblPrEx>
        <w:trPr>
          <w:trHeight w:val="567" w:hRule="atLeast"/>
          <w:jc w:val="center"/>
        </w:trPr>
        <w:tc>
          <w:tcPr>
            <w:tcW w:w="1276" w:type="dxa"/>
            <w:tcBorders>
              <w:top w:val="single" w:color="auto" w:sz="4" w:space="0"/>
              <w:left w:val="single" w:color="auto" w:sz="12" w:space="0"/>
              <w:bottom w:val="single" w:color="auto" w:sz="12" w:space="0"/>
              <w:right w:val="nil"/>
            </w:tcBorders>
            <w:shd w:val="clear" w:color="auto" w:fill="FFFFFF"/>
          </w:tcPr>
          <w:p/>
        </w:tc>
        <w:tc>
          <w:tcPr>
            <w:tcW w:w="1276" w:type="dxa"/>
            <w:tcBorders>
              <w:top w:val="single" w:color="auto" w:sz="4" w:space="0"/>
              <w:left w:val="single" w:color="auto" w:sz="4" w:space="0"/>
              <w:bottom w:val="single" w:color="auto" w:sz="12" w:space="0"/>
              <w:right w:val="nil"/>
            </w:tcBorders>
            <w:shd w:val="clear" w:color="auto" w:fill="FFFFFF"/>
          </w:tcPr>
          <w:p/>
        </w:tc>
        <w:tc>
          <w:tcPr>
            <w:tcW w:w="1715" w:type="dxa"/>
            <w:tcBorders>
              <w:top w:val="single" w:color="auto" w:sz="4" w:space="0"/>
              <w:left w:val="single" w:color="auto" w:sz="4" w:space="0"/>
              <w:bottom w:val="single" w:color="auto" w:sz="12" w:space="0"/>
              <w:right w:val="nil"/>
            </w:tcBorders>
            <w:shd w:val="clear" w:color="auto" w:fill="FFFFFF"/>
          </w:tcPr>
          <w:p/>
        </w:tc>
        <w:tc>
          <w:tcPr>
            <w:tcW w:w="1416" w:type="dxa"/>
            <w:gridSpan w:val="2"/>
            <w:tcBorders>
              <w:top w:val="single" w:color="auto" w:sz="4" w:space="0"/>
              <w:left w:val="single" w:color="auto" w:sz="4" w:space="0"/>
              <w:bottom w:val="single" w:color="auto" w:sz="12" w:space="0"/>
              <w:right w:val="nil"/>
            </w:tcBorders>
            <w:shd w:val="clear" w:color="auto" w:fill="FFFFFF"/>
          </w:tcPr>
          <w:p/>
        </w:tc>
        <w:tc>
          <w:tcPr>
            <w:tcW w:w="1430" w:type="dxa"/>
            <w:tcBorders>
              <w:top w:val="single" w:color="auto" w:sz="4" w:space="0"/>
              <w:left w:val="single" w:color="auto" w:sz="4" w:space="0"/>
              <w:bottom w:val="single" w:color="auto" w:sz="12" w:space="0"/>
              <w:right w:val="nil"/>
            </w:tcBorders>
            <w:shd w:val="clear" w:color="auto" w:fill="FFFFFF"/>
          </w:tcPr>
          <w:p/>
        </w:tc>
        <w:tc>
          <w:tcPr>
            <w:tcW w:w="1445" w:type="dxa"/>
            <w:tcBorders>
              <w:top w:val="single" w:color="auto" w:sz="4" w:space="0"/>
              <w:left w:val="single" w:color="auto" w:sz="4" w:space="0"/>
              <w:bottom w:val="single" w:color="auto" w:sz="12" w:space="0"/>
              <w:right w:val="single" w:color="auto" w:sz="12" w:space="0"/>
            </w:tcBorders>
            <w:shd w:val="clear" w:color="auto" w:fill="FFFFFF"/>
          </w:tcPr>
          <w:p/>
        </w:tc>
      </w:tr>
    </w:tbl>
    <w:p>
      <w:r>
        <w:br w:type="page"/>
      </w:r>
    </w:p>
    <w:p>
      <w:pPr>
        <w:pStyle w:val="5"/>
        <w:rPr>
          <w:rFonts w:ascii="宋体" w:hAnsi="宋体" w:cs="宋体"/>
          <w:color w:val="000000"/>
          <w:szCs w:val="21"/>
        </w:rPr>
      </w:pPr>
      <w:bookmarkStart w:id="638" w:name="_Toc21830"/>
      <w:r>
        <w:rPr>
          <w:rFonts w:hint="eastAsia" w:ascii="宋体" w:hAnsi="宋体" w:eastAsia="宋体" w:cs="宋体"/>
          <w:b w:val="0"/>
          <w:sz w:val="28"/>
          <w:szCs w:val="28"/>
          <w:lang w:val="zh-TW"/>
        </w:rPr>
        <w:t>（二）组织机构框图</w:t>
      </w:r>
      <w:bookmarkEnd w:id="638"/>
    </w:p>
    <w:p>
      <w:pPr>
        <w:spacing w:line="440" w:lineRule="exact"/>
        <w:ind w:left="20" w:hanging="860"/>
        <w:jc w:val="center"/>
        <w:rPr>
          <w:rFonts w:ascii="宋体" w:hAnsi="宋体" w:cs="宋体"/>
          <w:color w:val="000000"/>
          <w:kern w:val="0"/>
          <w:szCs w:val="21"/>
        </w:rPr>
      </w:pPr>
    </w:p>
    <w:p>
      <w:pPr>
        <w:spacing w:line="440" w:lineRule="exact"/>
        <w:ind w:left="20" w:hanging="860"/>
        <w:jc w:val="center"/>
        <w:rPr>
          <w:rFonts w:ascii="宋体" w:hAnsi="Microsoft JhengHei Light" w:cs="宋体"/>
          <w:kern w:val="0"/>
          <w:sz w:val="24"/>
        </w:rPr>
      </w:pPr>
      <w:r>
        <w:rPr>
          <w:rFonts w:ascii="宋体" w:hAnsi="宋体" w:cs="宋体"/>
          <w:color w:val="000000"/>
          <w:kern w:val="0"/>
          <w:sz w:val="24"/>
        </w:rPr>
        <w:t>1.</w:t>
      </w:r>
      <w:r>
        <w:rPr>
          <w:rFonts w:ascii="宋体" w:hAnsi="宋体" w:cs="宋体"/>
          <w:color w:val="000000"/>
          <w:kern w:val="0"/>
          <w:sz w:val="24"/>
          <w:lang w:val="zh-TW"/>
        </w:rPr>
        <w:t>组织机构框图</w:t>
      </w:r>
    </w:p>
    <w:p>
      <w:pPr>
        <w:spacing w:line="440" w:lineRule="exact"/>
        <w:ind w:left="20" w:hanging="860"/>
        <w:jc w:val="center"/>
        <w:rPr>
          <w:rFonts w:ascii="宋体" w:hAnsi="宋体" w:cs="宋体"/>
          <w:color w:val="000000"/>
          <w:kern w:val="0"/>
          <w:sz w:val="24"/>
          <w:lang w:val="zh-TW"/>
        </w:rPr>
      </w:pPr>
      <w:r>
        <w:rPr>
          <w:rFonts w:ascii="宋体" w:hAnsi="宋体" w:cs="宋体"/>
          <w:color w:val="000000"/>
          <w:kern w:val="0"/>
          <w:sz w:val="24"/>
          <w:lang w:val="zh-TW" w:eastAsia="zh-TW"/>
        </w:rPr>
        <w:t>(注：叙述或用附图表示公司组织机构，与母公司或子公司的关系）</w:t>
      </w:r>
    </w:p>
    <w:p>
      <w:pPr>
        <w:spacing w:line="440" w:lineRule="exact"/>
        <w:ind w:hanging="860"/>
        <w:jc w:val="center"/>
        <w:rPr>
          <w:rFonts w:ascii="宋体" w:hAnsi="宋体" w:cs="宋体"/>
          <w:color w:val="000000"/>
          <w:kern w:val="0"/>
          <w:sz w:val="24"/>
        </w:rPr>
      </w:pPr>
    </w:p>
    <w:p>
      <w:pPr>
        <w:spacing w:line="440" w:lineRule="exact"/>
        <w:ind w:hanging="860"/>
        <w:jc w:val="center"/>
        <w:rPr>
          <w:rFonts w:ascii="宋体" w:hAnsi="宋体" w:cs="宋体"/>
          <w:color w:val="000000"/>
          <w:kern w:val="0"/>
          <w:sz w:val="24"/>
        </w:rPr>
      </w:pPr>
    </w:p>
    <w:p>
      <w:pPr>
        <w:spacing w:line="440" w:lineRule="exact"/>
        <w:ind w:hanging="860"/>
        <w:jc w:val="center"/>
        <w:rPr>
          <w:rFonts w:ascii="宋体" w:hAnsi="宋体" w:cs="宋体"/>
          <w:color w:val="000000"/>
          <w:kern w:val="0"/>
          <w:sz w:val="24"/>
        </w:rPr>
      </w:pPr>
    </w:p>
    <w:p>
      <w:pPr>
        <w:spacing w:line="440" w:lineRule="exact"/>
        <w:ind w:hanging="860"/>
        <w:jc w:val="center"/>
        <w:rPr>
          <w:rFonts w:ascii="宋体" w:hAnsi="宋体" w:cs="宋体"/>
          <w:color w:val="000000"/>
          <w:kern w:val="0"/>
          <w:sz w:val="24"/>
        </w:rPr>
      </w:pPr>
    </w:p>
    <w:p>
      <w:pPr>
        <w:spacing w:line="440" w:lineRule="exact"/>
        <w:ind w:hanging="860"/>
        <w:jc w:val="center"/>
        <w:rPr>
          <w:rFonts w:ascii="宋体" w:hAnsi="宋体" w:cs="宋体"/>
          <w:color w:val="000000"/>
          <w:kern w:val="0"/>
          <w:sz w:val="24"/>
        </w:rPr>
      </w:pPr>
    </w:p>
    <w:p>
      <w:pPr>
        <w:spacing w:line="440" w:lineRule="exact"/>
        <w:ind w:hanging="860"/>
        <w:jc w:val="center"/>
        <w:rPr>
          <w:rFonts w:ascii="宋体" w:hAnsi="宋体" w:cs="宋体"/>
          <w:color w:val="000000"/>
          <w:kern w:val="0"/>
          <w:sz w:val="24"/>
        </w:rPr>
      </w:pPr>
    </w:p>
    <w:p>
      <w:pPr>
        <w:spacing w:line="440" w:lineRule="exact"/>
        <w:ind w:hanging="860"/>
        <w:jc w:val="center"/>
        <w:rPr>
          <w:rFonts w:ascii="宋体" w:hAnsi="宋体" w:cs="宋体"/>
          <w:color w:val="000000"/>
          <w:kern w:val="0"/>
          <w:sz w:val="24"/>
        </w:rPr>
      </w:pPr>
    </w:p>
    <w:p>
      <w:pPr>
        <w:spacing w:line="440" w:lineRule="exact"/>
        <w:ind w:hanging="860"/>
        <w:jc w:val="center"/>
        <w:rPr>
          <w:rFonts w:ascii="宋体" w:hAnsi="宋体" w:cs="宋体"/>
          <w:color w:val="000000"/>
          <w:kern w:val="0"/>
          <w:sz w:val="24"/>
        </w:rPr>
      </w:pPr>
    </w:p>
    <w:p>
      <w:pPr>
        <w:spacing w:line="440" w:lineRule="exact"/>
        <w:ind w:hanging="860"/>
        <w:jc w:val="center"/>
        <w:rPr>
          <w:rFonts w:ascii="宋体" w:hAnsi="宋体" w:cs="宋体"/>
          <w:color w:val="000000"/>
          <w:kern w:val="0"/>
          <w:sz w:val="24"/>
        </w:rPr>
      </w:pPr>
    </w:p>
    <w:p>
      <w:pPr>
        <w:spacing w:line="440" w:lineRule="exact"/>
        <w:ind w:hanging="862"/>
        <w:jc w:val="center"/>
        <w:rPr>
          <w:rFonts w:ascii="宋体" w:hAnsi="Microsoft JhengHei Light" w:cs="宋体"/>
          <w:kern w:val="0"/>
          <w:sz w:val="24"/>
        </w:rPr>
      </w:pPr>
      <w:r>
        <w:rPr>
          <w:rFonts w:ascii="宋体" w:hAnsi="宋体" w:cs="宋体"/>
          <w:color w:val="000000"/>
          <w:kern w:val="0"/>
          <w:sz w:val="24"/>
        </w:rPr>
        <w:t>2.</w:t>
      </w:r>
      <w:r>
        <w:rPr>
          <w:rFonts w:hint="eastAsia" w:ascii="宋体" w:hAnsi="宋体" w:cs="宋体"/>
          <w:color w:val="000000"/>
          <w:kern w:val="0"/>
          <w:sz w:val="24"/>
          <w:lang w:val="zh-TW"/>
        </w:rPr>
        <w:t xml:space="preserve"> 拟</w:t>
      </w:r>
      <w:r>
        <w:rPr>
          <w:rFonts w:ascii="宋体" w:hAnsi="宋体" w:cs="宋体"/>
          <w:color w:val="000000"/>
          <w:kern w:val="0"/>
          <w:sz w:val="24"/>
          <w:lang w:val="zh-TW" w:eastAsia="zh-TW"/>
        </w:rPr>
        <w:t>投入本</w:t>
      </w:r>
      <w:r>
        <w:rPr>
          <w:rFonts w:hint="eastAsia" w:ascii="宋体" w:hAnsi="宋体" w:cs="宋体"/>
          <w:color w:val="000000"/>
          <w:kern w:val="0"/>
          <w:sz w:val="24"/>
          <w:lang w:val="zh-TW"/>
        </w:rPr>
        <w:t>项目</w:t>
      </w:r>
      <w:r>
        <w:rPr>
          <w:rFonts w:ascii="宋体" w:hAnsi="宋体" w:cs="宋体"/>
          <w:color w:val="000000"/>
          <w:kern w:val="0"/>
          <w:sz w:val="24"/>
          <w:lang w:val="zh-TW" w:eastAsia="zh-TW"/>
        </w:rPr>
        <w:t>管理组织机构框图</w:t>
      </w:r>
    </w:p>
    <w:p>
      <w:pPr>
        <w:spacing w:line="440" w:lineRule="exact"/>
        <w:jc w:val="center"/>
        <w:rPr>
          <w:b/>
          <w:bCs/>
        </w:rPr>
      </w:pPr>
      <w:bookmarkStart w:id="639" w:name="bookmark148"/>
    </w:p>
    <w:p>
      <w:r>
        <w:rPr>
          <w:rFonts w:hint="eastAsia"/>
        </w:rPr>
        <w:br w:type="page"/>
      </w:r>
    </w:p>
    <w:p>
      <w:pPr>
        <w:pStyle w:val="5"/>
        <w:rPr>
          <w:rFonts w:ascii="宋体" w:hAnsi="宋体" w:eastAsia="宋体" w:cs="宋体"/>
          <w:b w:val="0"/>
          <w:sz w:val="28"/>
          <w:szCs w:val="28"/>
        </w:rPr>
      </w:pPr>
      <w:bookmarkStart w:id="640" w:name="_Toc2481"/>
      <w:r>
        <w:rPr>
          <w:rFonts w:hint="eastAsia" w:ascii="宋体" w:hAnsi="宋体" w:eastAsia="宋体" w:cs="宋体"/>
          <w:b w:val="0"/>
          <w:sz w:val="28"/>
          <w:szCs w:val="28"/>
        </w:rPr>
        <w:t>（三）拟投入本项目主要人员汇总表</w:t>
      </w:r>
      <w:bookmarkEnd w:id="639"/>
      <w:bookmarkEnd w:id="640"/>
    </w:p>
    <w:p>
      <w:pPr>
        <w:pStyle w:val="3"/>
        <w:ind w:left="63" w:right="63"/>
      </w:pPr>
    </w:p>
    <w:tbl>
      <w:tblPr>
        <w:tblStyle w:val="50"/>
        <w:tblW w:w="9620" w:type="dxa"/>
        <w:jc w:val="center"/>
        <w:tblInd w:w="-5" w:type="dxa"/>
        <w:tblLayout w:type="fixed"/>
        <w:tblCellMar>
          <w:top w:w="0" w:type="dxa"/>
          <w:left w:w="0" w:type="dxa"/>
          <w:bottom w:w="0" w:type="dxa"/>
          <w:right w:w="0" w:type="dxa"/>
        </w:tblCellMar>
      </w:tblPr>
      <w:tblGrid>
        <w:gridCol w:w="748"/>
        <w:gridCol w:w="1192"/>
        <w:gridCol w:w="690"/>
        <w:gridCol w:w="701"/>
        <w:gridCol w:w="1166"/>
        <w:gridCol w:w="1237"/>
        <w:gridCol w:w="1155"/>
        <w:gridCol w:w="1720"/>
        <w:gridCol w:w="1011"/>
      </w:tblGrid>
      <w:tr>
        <w:tblPrEx>
          <w:tblLayout w:type="fixed"/>
          <w:tblCellMar>
            <w:top w:w="0" w:type="dxa"/>
            <w:left w:w="0" w:type="dxa"/>
            <w:bottom w:w="0" w:type="dxa"/>
            <w:right w:w="0" w:type="dxa"/>
          </w:tblCellMar>
        </w:tblPrEx>
        <w:trPr>
          <w:trHeight w:val="567" w:hRule="atLeast"/>
          <w:jc w:val="center"/>
        </w:trPr>
        <w:tc>
          <w:tcPr>
            <w:tcW w:w="748" w:type="dxa"/>
            <w:tcBorders>
              <w:top w:val="single" w:color="auto" w:sz="4" w:space="0"/>
              <w:left w:val="single" w:color="auto" w:sz="4" w:space="0"/>
              <w:bottom w:val="nil"/>
              <w:right w:val="nil"/>
            </w:tcBorders>
            <w:shd w:val="clear" w:color="auto" w:fill="FFFFFF"/>
            <w:vAlign w:val="center"/>
          </w:tcPr>
          <w:p>
            <w:pPr>
              <w:framePr w:w="9754" w:wrap="notBeside" w:vAnchor="text" w:hAnchor="text" w:xAlign="center" w:y="1"/>
              <w:spacing w:line="200" w:lineRule="exact"/>
              <w:ind w:left="180" w:right="200" w:hanging="860"/>
              <w:jc w:val="right"/>
              <w:rPr>
                <w:rFonts w:ascii="宋体" w:hAnsi="Microsoft JhengHei Light" w:cs="宋体"/>
                <w:kern w:val="0"/>
                <w:sz w:val="20"/>
              </w:rPr>
            </w:pPr>
            <w:r>
              <w:rPr>
                <w:rFonts w:ascii="宋体" w:hAnsi="宋体"/>
                <w:color w:val="000000"/>
                <w:kern w:val="0"/>
                <w:sz w:val="20"/>
                <w:lang w:val="zh-TW" w:eastAsia="zh-TW"/>
              </w:rPr>
              <w:t>序号</w:t>
            </w:r>
          </w:p>
        </w:tc>
        <w:tc>
          <w:tcPr>
            <w:tcW w:w="1192" w:type="dxa"/>
            <w:tcBorders>
              <w:top w:val="single" w:color="auto" w:sz="4" w:space="0"/>
              <w:left w:val="single" w:color="auto" w:sz="4" w:space="0"/>
              <w:bottom w:val="nil"/>
              <w:right w:val="nil"/>
            </w:tcBorders>
            <w:shd w:val="clear" w:color="auto" w:fill="FFFFFF"/>
            <w:vAlign w:val="center"/>
          </w:tcPr>
          <w:p>
            <w:pPr>
              <w:framePr w:w="9754" w:wrap="notBeside" w:vAnchor="text" w:hAnchor="text" w:xAlign="center" w:y="1"/>
              <w:spacing w:line="200" w:lineRule="exact"/>
              <w:ind w:left="360" w:right="400" w:hanging="860"/>
              <w:jc w:val="right"/>
              <w:rPr>
                <w:rFonts w:ascii="宋体" w:hAnsi="Microsoft JhengHei Light" w:cs="宋体"/>
                <w:kern w:val="0"/>
                <w:sz w:val="20"/>
              </w:rPr>
            </w:pPr>
            <w:r>
              <w:rPr>
                <w:rFonts w:ascii="宋体" w:hAnsi="宋体"/>
                <w:color w:val="000000"/>
                <w:kern w:val="0"/>
                <w:sz w:val="20"/>
                <w:lang w:val="zh-TW" w:eastAsia="zh-TW"/>
              </w:rPr>
              <w:t>姓名</w:t>
            </w:r>
          </w:p>
        </w:tc>
        <w:tc>
          <w:tcPr>
            <w:tcW w:w="690" w:type="dxa"/>
            <w:tcBorders>
              <w:top w:val="single" w:color="auto" w:sz="4" w:space="0"/>
              <w:left w:val="single" w:color="auto" w:sz="4" w:space="0"/>
              <w:bottom w:val="nil"/>
              <w:right w:val="nil"/>
            </w:tcBorders>
            <w:shd w:val="clear" w:color="auto" w:fill="FFFFFF"/>
            <w:vAlign w:val="center"/>
          </w:tcPr>
          <w:p>
            <w:pPr>
              <w:framePr w:w="9754" w:wrap="notBeside" w:vAnchor="text" w:hAnchor="text" w:xAlign="center" w:y="1"/>
              <w:spacing w:line="200" w:lineRule="exact"/>
              <w:ind w:right="200" w:hanging="860"/>
              <w:jc w:val="right"/>
              <w:rPr>
                <w:rFonts w:ascii="宋体" w:hAnsi="Microsoft JhengHei Light" w:cs="宋体"/>
                <w:kern w:val="0"/>
                <w:sz w:val="20"/>
              </w:rPr>
            </w:pPr>
            <w:r>
              <w:rPr>
                <w:rFonts w:ascii="宋体" w:hAnsi="宋体"/>
                <w:color w:val="000000"/>
                <w:kern w:val="0"/>
                <w:sz w:val="20"/>
                <w:lang w:val="zh-TW" w:eastAsia="zh-TW"/>
              </w:rPr>
              <w:t>年龄</w:t>
            </w:r>
          </w:p>
        </w:tc>
        <w:tc>
          <w:tcPr>
            <w:tcW w:w="701" w:type="dxa"/>
            <w:tcBorders>
              <w:top w:val="single" w:color="auto" w:sz="4" w:space="0"/>
              <w:left w:val="single" w:color="auto" w:sz="4" w:space="0"/>
              <w:bottom w:val="nil"/>
              <w:right w:val="nil"/>
            </w:tcBorders>
            <w:shd w:val="clear" w:color="auto" w:fill="FFFFFF"/>
            <w:vAlign w:val="center"/>
          </w:tcPr>
          <w:p>
            <w:pPr>
              <w:framePr w:w="9754" w:wrap="notBeside" w:vAnchor="text" w:hAnchor="text" w:xAlign="center" w:y="1"/>
              <w:spacing w:line="200" w:lineRule="exact"/>
              <w:ind w:right="200" w:hanging="860"/>
              <w:jc w:val="right"/>
              <w:rPr>
                <w:rFonts w:ascii="宋体" w:hAnsi="Microsoft JhengHei Light" w:cs="宋体"/>
                <w:kern w:val="0"/>
                <w:sz w:val="20"/>
              </w:rPr>
            </w:pPr>
            <w:r>
              <w:rPr>
                <w:rFonts w:ascii="宋体" w:hAnsi="宋体"/>
                <w:color w:val="000000"/>
                <w:kern w:val="0"/>
                <w:sz w:val="20"/>
                <w:lang w:val="zh-TW" w:eastAsia="zh-TW"/>
              </w:rPr>
              <w:t>性别</w:t>
            </w:r>
          </w:p>
        </w:tc>
        <w:tc>
          <w:tcPr>
            <w:tcW w:w="1166" w:type="dxa"/>
            <w:tcBorders>
              <w:top w:val="single" w:color="auto" w:sz="4" w:space="0"/>
              <w:left w:val="single" w:color="auto" w:sz="4" w:space="0"/>
              <w:bottom w:val="nil"/>
              <w:right w:val="nil"/>
            </w:tcBorders>
            <w:shd w:val="clear" w:color="auto" w:fill="FFFFFF"/>
            <w:vAlign w:val="center"/>
          </w:tcPr>
          <w:p>
            <w:pPr>
              <w:framePr w:w="9754" w:wrap="notBeside" w:vAnchor="text" w:hAnchor="text" w:xAlign="center" w:y="1"/>
              <w:spacing w:line="200" w:lineRule="exact"/>
              <w:ind w:left="340" w:right="400" w:hanging="860"/>
              <w:jc w:val="right"/>
              <w:rPr>
                <w:rFonts w:ascii="宋体" w:hAnsi="Microsoft JhengHei Light" w:cs="宋体"/>
                <w:kern w:val="0"/>
                <w:sz w:val="20"/>
              </w:rPr>
            </w:pPr>
            <w:r>
              <w:rPr>
                <w:rFonts w:ascii="宋体" w:hAnsi="宋体"/>
                <w:color w:val="000000"/>
                <w:kern w:val="0"/>
                <w:sz w:val="20"/>
                <w:lang w:val="zh-TW" w:eastAsia="zh-TW"/>
              </w:rPr>
              <w:t>专业</w:t>
            </w:r>
          </w:p>
        </w:tc>
        <w:tc>
          <w:tcPr>
            <w:tcW w:w="1237" w:type="dxa"/>
            <w:tcBorders>
              <w:top w:val="single" w:color="auto" w:sz="4" w:space="0"/>
              <w:left w:val="single" w:color="auto" w:sz="4" w:space="0"/>
              <w:bottom w:val="nil"/>
              <w:right w:val="nil"/>
            </w:tcBorders>
            <w:shd w:val="clear" w:color="auto" w:fill="FFFFFF"/>
            <w:vAlign w:val="center"/>
          </w:tcPr>
          <w:p>
            <w:pPr>
              <w:framePr w:w="9754" w:wrap="notBeside" w:vAnchor="text" w:hAnchor="text" w:xAlign="center" w:y="1"/>
              <w:spacing w:line="200" w:lineRule="exact"/>
              <w:ind w:right="200" w:hanging="860"/>
              <w:jc w:val="right"/>
              <w:rPr>
                <w:rFonts w:ascii="宋体" w:hAnsi="Microsoft JhengHei Light" w:cs="宋体"/>
                <w:kern w:val="0"/>
                <w:sz w:val="20"/>
              </w:rPr>
            </w:pPr>
            <w:r>
              <w:rPr>
                <w:rFonts w:ascii="宋体" w:hAnsi="宋体"/>
                <w:color w:val="000000"/>
                <w:kern w:val="0"/>
                <w:sz w:val="20"/>
                <w:lang w:val="zh-TW" w:eastAsia="zh-TW"/>
              </w:rPr>
              <w:t>职称/职务</w:t>
            </w:r>
          </w:p>
        </w:tc>
        <w:tc>
          <w:tcPr>
            <w:tcW w:w="1155" w:type="dxa"/>
            <w:tcBorders>
              <w:top w:val="single" w:color="auto" w:sz="4" w:space="0"/>
              <w:left w:val="single" w:color="auto" w:sz="4" w:space="0"/>
              <w:bottom w:val="nil"/>
              <w:right w:val="nil"/>
            </w:tcBorders>
            <w:shd w:val="clear" w:color="auto" w:fill="FFFFFF"/>
            <w:vAlign w:val="center"/>
          </w:tcPr>
          <w:p>
            <w:pPr>
              <w:framePr w:w="9754" w:wrap="notBeside" w:vAnchor="text" w:hAnchor="text" w:xAlign="center" w:y="1"/>
              <w:spacing w:line="312" w:lineRule="exact"/>
              <w:ind w:right="200" w:hanging="860"/>
              <w:jc w:val="right"/>
              <w:rPr>
                <w:rFonts w:ascii="宋体" w:hAnsi="宋体"/>
                <w:color w:val="000000"/>
                <w:kern w:val="0"/>
                <w:sz w:val="20"/>
                <w:lang w:val="zh-TW"/>
              </w:rPr>
            </w:pPr>
            <w:r>
              <w:rPr>
                <w:rFonts w:ascii="宋体" w:hAnsi="宋体"/>
                <w:color w:val="000000"/>
                <w:kern w:val="0"/>
                <w:sz w:val="20"/>
                <w:lang w:val="zh-TW" w:eastAsia="zh-TW"/>
              </w:rPr>
              <w:t>资格证书</w:t>
            </w:r>
          </w:p>
          <w:p>
            <w:pPr>
              <w:framePr w:w="9754" w:wrap="notBeside" w:vAnchor="text" w:hAnchor="text" w:xAlign="center" w:y="1"/>
              <w:spacing w:line="312" w:lineRule="exact"/>
              <w:ind w:right="400" w:hanging="860"/>
              <w:jc w:val="right"/>
              <w:rPr>
                <w:rFonts w:ascii="宋体" w:hAnsi="Microsoft JhengHei Light" w:cs="宋体"/>
                <w:kern w:val="0"/>
                <w:sz w:val="20"/>
              </w:rPr>
            </w:pPr>
            <w:r>
              <w:rPr>
                <w:rFonts w:ascii="宋体" w:hAnsi="宋体"/>
                <w:color w:val="000000"/>
                <w:kern w:val="0"/>
                <w:sz w:val="20"/>
                <w:lang w:val="zh-TW" w:eastAsia="zh-TW"/>
              </w:rPr>
              <w:t>编号</w:t>
            </w:r>
          </w:p>
        </w:tc>
        <w:tc>
          <w:tcPr>
            <w:tcW w:w="1720" w:type="dxa"/>
            <w:tcBorders>
              <w:top w:val="single" w:color="auto" w:sz="4" w:space="0"/>
              <w:left w:val="single" w:color="auto" w:sz="4" w:space="0"/>
              <w:bottom w:val="nil"/>
              <w:right w:val="nil"/>
            </w:tcBorders>
            <w:shd w:val="clear" w:color="auto" w:fill="FFFFFF"/>
            <w:vAlign w:val="center"/>
          </w:tcPr>
          <w:p>
            <w:pPr>
              <w:framePr w:w="9754" w:wrap="notBeside" w:vAnchor="text" w:hAnchor="text" w:xAlign="center" w:y="1"/>
              <w:spacing w:line="312" w:lineRule="exact"/>
              <w:ind w:right="400" w:hanging="860"/>
              <w:jc w:val="right"/>
              <w:rPr>
                <w:rFonts w:ascii="宋体" w:hAnsi="宋体"/>
                <w:color w:val="000000"/>
                <w:kern w:val="0"/>
                <w:sz w:val="20"/>
                <w:lang w:val="zh-TW"/>
              </w:rPr>
            </w:pPr>
            <w:r>
              <w:rPr>
                <w:rFonts w:ascii="宋体" w:hAnsi="宋体"/>
                <w:color w:val="000000"/>
                <w:kern w:val="0"/>
                <w:sz w:val="20"/>
                <w:lang w:val="zh-TW" w:eastAsia="zh-TW"/>
              </w:rPr>
              <w:t xml:space="preserve">拟在本工 </w:t>
            </w:r>
          </w:p>
          <w:p>
            <w:pPr>
              <w:framePr w:w="9754" w:wrap="notBeside" w:vAnchor="text" w:hAnchor="text" w:xAlign="center" w:y="1"/>
              <w:spacing w:line="312" w:lineRule="exact"/>
              <w:ind w:right="200" w:hanging="860"/>
              <w:jc w:val="right"/>
              <w:rPr>
                <w:rFonts w:ascii="宋体" w:hAnsi="Microsoft JhengHei Light" w:cs="宋体"/>
                <w:kern w:val="0"/>
                <w:sz w:val="20"/>
              </w:rPr>
            </w:pPr>
            <w:r>
              <w:rPr>
                <w:rFonts w:ascii="宋体" w:hAnsi="宋体"/>
                <w:color w:val="000000"/>
                <w:kern w:val="0"/>
                <w:sz w:val="20"/>
                <w:lang w:val="zh-TW" w:eastAsia="zh-TW"/>
              </w:rPr>
              <w:t>程担任职务</w:t>
            </w:r>
          </w:p>
        </w:tc>
        <w:tc>
          <w:tcPr>
            <w:tcW w:w="1011" w:type="dxa"/>
            <w:tcBorders>
              <w:top w:val="single" w:color="auto" w:sz="4" w:space="0"/>
              <w:left w:val="single" w:color="auto" w:sz="4" w:space="0"/>
              <w:bottom w:val="nil"/>
              <w:right w:val="single" w:color="auto" w:sz="4" w:space="0"/>
            </w:tcBorders>
            <w:shd w:val="clear" w:color="auto" w:fill="FFFFFF"/>
            <w:vAlign w:val="center"/>
          </w:tcPr>
          <w:p>
            <w:pPr>
              <w:framePr w:w="9754" w:wrap="notBeside" w:vAnchor="text" w:hAnchor="text" w:xAlign="center" w:y="1"/>
              <w:spacing w:line="312" w:lineRule="exact"/>
              <w:ind w:right="400" w:hanging="860"/>
              <w:jc w:val="right"/>
              <w:rPr>
                <w:rFonts w:ascii="宋体" w:hAnsi="Microsoft JhengHei Light" w:cs="宋体"/>
                <w:kern w:val="0"/>
                <w:sz w:val="20"/>
              </w:rPr>
            </w:pPr>
            <w:r>
              <w:rPr>
                <w:rFonts w:hint="eastAsia" w:ascii="宋体" w:hAnsi="宋体"/>
                <w:color w:val="000000"/>
                <w:kern w:val="0"/>
                <w:sz w:val="20"/>
                <w:lang w:val="zh-TW"/>
              </w:rPr>
              <w:t>备注</w:t>
            </w:r>
          </w:p>
        </w:tc>
      </w:tr>
      <w:tr>
        <w:tblPrEx>
          <w:tblLayout w:type="fixed"/>
          <w:tblCellMar>
            <w:top w:w="0" w:type="dxa"/>
            <w:left w:w="0" w:type="dxa"/>
            <w:bottom w:w="0" w:type="dxa"/>
            <w:right w:w="0" w:type="dxa"/>
          </w:tblCellMar>
        </w:tblPrEx>
        <w:trPr>
          <w:trHeight w:val="567" w:hRule="atLeast"/>
          <w:jc w:val="center"/>
        </w:trPr>
        <w:tc>
          <w:tcPr>
            <w:tcW w:w="748"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92"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69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701"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66"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237"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55"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72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011" w:type="dxa"/>
            <w:tcBorders>
              <w:top w:val="single" w:color="auto" w:sz="4" w:space="0"/>
              <w:left w:val="single" w:color="auto" w:sz="4" w:space="0"/>
              <w:bottom w:val="nil"/>
              <w:right w:val="single" w:color="auto" w:sz="4" w:space="0"/>
            </w:tcBorders>
            <w:shd w:val="clear" w:color="auto" w:fill="FFFFFF"/>
          </w:tcPr>
          <w:p>
            <w:pPr>
              <w:framePr w:w="9754" w:wrap="notBeside" w:vAnchor="text" w:hAnchor="text" w:xAlign="center" w:y="1"/>
              <w:rPr>
                <w:sz w:val="10"/>
                <w:szCs w:val="10"/>
              </w:rPr>
            </w:pPr>
          </w:p>
        </w:tc>
      </w:tr>
      <w:tr>
        <w:tblPrEx>
          <w:tblLayout w:type="fixed"/>
          <w:tblCellMar>
            <w:top w:w="0" w:type="dxa"/>
            <w:left w:w="0" w:type="dxa"/>
            <w:bottom w:w="0" w:type="dxa"/>
            <w:right w:w="0" w:type="dxa"/>
          </w:tblCellMar>
        </w:tblPrEx>
        <w:trPr>
          <w:trHeight w:val="567" w:hRule="atLeast"/>
          <w:jc w:val="center"/>
        </w:trPr>
        <w:tc>
          <w:tcPr>
            <w:tcW w:w="748"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92"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69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701"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66"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237"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55"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72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011" w:type="dxa"/>
            <w:tcBorders>
              <w:top w:val="single" w:color="auto" w:sz="4" w:space="0"/>
              <w:left w:val="single" w:color="auto" w:sz="4" w:space="0"/>
              <w:bottom w:val="nil"/>
              <w:right w:val="single" w:color="auto" w:sz="4" w:space="0"/>
            </w:tcBorders>
            <w:shd w:val="clear" w:color="auto" w:fill="FFFFFF"/>
          </w:tcPr>
          <w:p>
            <w:pPr>
              <w:framePr w:w="9754" w:wrap="notBeside" w:vAnchor="text" w:hAnchor="text" w:xAlign="center" w:y="1"/>
              <w:rPr>
                <w:sz w:val="10"/>
                <w:szCs w:val="10"/>
              </w:rPr>
            </w:pPr>
          </w:p>
        </w:tc>
      </w:tr>
      <w:tr>
        <w:tblPrEx>
          <w:tblLayout w:type="fixed"/>
          <w:tblCellMar>
            <w:top w:w="0" w:type="dxa"/>
            <w:left w:w="0" w:type="dxa"/>
            <w:bottom w:w="0" w:type="dxa"/>
            <w:right w:w="0" w:type="dxa"/>
          </w:tblCellMar>
        </w:tblPrEx>
        <w:trPr>
          <w:trHeight w:val="567" w:hRule="atLeast"/>
          <w:jc w:val="center"/>
        </w:trPr>
        <w:tc>
          <w:tcPr>
            <w:tcW w:w="748"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92"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69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701"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66"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237"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55"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72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011" w:type="dxa"/>
            <w:tcBorders>
              <w:top w:val="single" w:color="auto" w:sz="4" w:space="0"/>
              <w:left w:val="single" w:color="auto" w:sz="4" w:space="0"/>
              <w:bottom w:val="nil"/>
              <w:right w:val="single" w:color="auto" w:sz="4" w:space="0"/>
            </w:tcBorders>
            <w:shd w:val="clear" w:color="auto" w:fill="FFFFFF"/>
          </w:tcPr>
          <w:p>
            <w:pPr>
              <w:framePr w:w="9754" w:wrap="notBeside" w:vAnchor="text" w:hAnchor="text" w:xAlign="center" w:y="1"/>
              <w:rPr>
                <w:sz w:val="10"/>
                <w:szCs w:val="10"/>
              </w:rPr>
            </w:pPr>
          </w:p>
        </w:tc>
      </w:tr>
      <w:tr>
        <w:tblPrEx>
          <w:tblLayout w:type="fixed"/>
          <w:tblCellMar>
            <w:top w:w="0" w:type="dxa"/>
            <w:left w:w="0" w:type="dxa"/>
            <w:bottom w:w="0" w:type="dxa"/>
            <w:right w:w="0" w:type="dxa"/>
          </w:tblCellMar>
        </w:tblPrEx>
        <w:trPr>
          <w:trHeight w:val="567" w:hRule="atLeast"/>
          <w:jc w:val="center"/>
        </w:trPr>
        <w:tc>
          <w:tcPr>
            <w:tcW w:w="748"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92"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69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701"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66"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237"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55"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72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011" w:type="dxa"/>
            <w:tcBorders>
              <w:top w:val="single" w:color="auto" w:sz="4" w:space="0"/>
              <w:left w:val="single" w:color="auto" w:sz="4" w:space="0"/>
              <w:bottom w:val="nil"/>
              <w:right w:val="single" w:color="auto" w:sz="4" w:space="0"/>
            </w:tcBorders>
            <w:shd w:val="clear" w:color="auto" w:fill="FFFFFF"/>
          </w:tcPr>
          <w:p>
            <w:pPr>
              <w:framePr w:w="9754" w:wrap="notBeside" w:vAnchor="text" w:hAnchor="text" w:xAlign="center" w:y="1"/>
              <w:rPr>
                <w:sz w:val="10"/>
                <w:szCs w:val="10"/>
              </w:rPr>
            </w:pPr>
          </w:p>
        </w:tc>
      </w:tr>
      <w:tr>
        <w:tblPrEx>
          <w:tblLayout w:type="fixed"/>
          <w:tblCellMar>
            <w:top w:w="0" w:type="dxa"/>
            <w:left w:w="0" w:type="dxa"/>
            <w:bottom w:w="0" w:type="dxa"/>
            <w:right w:w="0" w:type="dxa"/>
          </w:tblCellMar>
        </w:tblPrEx>
        <w:trPr>
          <w:trHeight w:val="567" w:hRule="atLeast"/>
          <w:jc w:val="center"/>
        </w:trPr>
        <w:tc>
          <w:tcPr>
            <w:tcW w:w="748"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92"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69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701"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66"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237"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55"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72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011" w:type="dxa"/>
            <w:tcBorders>
              <w:top w:val="single" w:color="auto" w:sz="4" w:space="0"/>
              <w:left w:val="single" w:color="auto" w:sz="4" w:space="0"/>
              <w:bottom w:val="nil"/>
              <w:right w:val="single" w:color="auto" w:sz="4" w:space="0"/>
            </w:tcBorders>
            <w:shd w:val="clear" w:color="auto" w:fill="FFFFFF"/>
          </w:tcPr>
          <w:p>
            <w:pPr>
              <w:framePr w:w="9754" w:wrap="notBeside" w:vAnchor="text" w:hAnchor="text" w:xAlign="center" w:y="1"/>
              <w:rPr>
                <w:sz w:val="10"/>
                <w:szCs w:val="10"/>
              </w:rPr>
            </w:pPr>
          </w:p>
        </w:tc>
      </w:tr>
      <w:tr>
        <w:tblPrEx>
          <w:tblLayout w:type="fixed"/>
          <w:tblCellMar>
            <w:top w:w="0" w:type="dxa"/>
            <w:left w:w="0" w:type="dxa"/>
            <w:bottom w:w="0" w:type="dxa"/>
            <w:right w:w="0" w:type="dxa"/>
          </w:tblCellMar>
        </w:tblPrEx>
        <w:trPr>
          <w:trHeight w:val="567" w:hRule="atLeast"/>
          <w:jc w:val="center"/>
        </w:trPr>
        <w:tc>
          <w:tcPr>
            <w:tcW w:w="748"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92"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69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701"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66"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237"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55"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72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011" w:type="dxa"/>
            <w:tcBorders>
              <w:top w:val="single" w:color="auto" w:sz="4" w:space="0"/>
              <w:left w:val="single" w:color="auto" w:sz="4" w:space="0"/>
              <w:bottom w:val="nil"/>
              <w:right w:val="single" w:color="auto" w:sz="4" w:space="0"/>
            </w:tcBorders>
            <w:shd w:val="clear" w:color="auto" w:fill="FFFFFF"/>
          </w:tcPr>
          <w:p>
            <w:pPr>
              <w:framePr w:w="9754" w:wrap="notBeside" w:vAnchor="text" w:hAnchor="text" w:xAlign="center" w:y="1"/>
              <w:rPr>
                <w:sz w:val="10"/>
                <w:szCs w:val="10"/>
              </w:rPr>
            </w:pPr>
          </w:p>
        </w:tc>
      </w:tr>
      <w:tr>
        <w:tblPrEx>
          <w:tblLayout w:type="fixed"/>
          <w:tblCellMar>
            <w:top w:w="0" w:type="dxa"/>
            <w:left w:w="0" w:type="dxa"/>
            <w:bottom w:w="0" w:type="dxa"/>
            <w:right w:w="0" w:type="dxa"/>
          </w:tblCellMar>
        </w:tblPrEx>
        <w:trPr>
          <w:trHeight w:val="567" w:hRule="atLeast"/>
          <w:jc w:val="center"/>
        </w:trPr>
        <w:tc>
          <w:tcPr>
            <w:tcW w:w="748"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92"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69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701"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66"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237"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55"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72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011" w:type="dxa"/>
            <w:tcBorders>
              <w:top w:val="single" w:color="auto" w:sz="4" w:space="0"/>
              <w:left w:val="single" w:color="auto" w:sz="4" w:space="0"/>
              <w:bottom w:val="nil"/>
              <w:right w:val="single" w:color="auto" w:sz="4" w:space="0"/>
            </w:tcBorders>
            <w:shd w:val="clear" w:color="auto" w:fill="FFFFFF"/>
          </w:tcPr>
          <w:p>
            <w:pPr>
              <w:framePr w:w="9754" w:wrap="notBeside" w:vAnchor="text" w:hAnchor="text" w:xAlign="center" w:y="1"/>
              <w:rPr>
                <w:sz w:val="10"/>
                <w:szCs w:val="10"/>
              </w:rPr>
            </w:pPr>
          </w:p>
        </w:tc>
      </w:tr>
      <w:tr>
        <w:tblPrEx>
          <w:tblLayout w:type="fixed"/>
          <w:tblCellMar>
            <w:top w:w="0" w:type="dxa"/>
            <w:left w:w="0" w:type="dxa"/>
            <w:bottom w:w="0" w:type="dxa"/>
            <w:right w:w="0" w:type="dxa"/>
          </w:tblCellMar>
        </w:tblPrEx>
        <w:trPr>
          <w:trHeight w:val="567" w:hRule="atLeast"/>
          <w:jc w:val="center"/>
        </w:trPr>
        <w:tc>
          <w:tcPr>
            <w:tcW w:w="748"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92"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69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701"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66"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237"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55"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72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011" w:type="dxa"/>
            <w:tcBorders>
              <w:top w:val="single" w:color="auto" w:sz="4" w:space="0"/>
              <w:left w:val="single" w:color="auto" w:sz="4" w:space="0"/>
              <w:bottom w:val="nil"/>
              <w:right w:val="single" w:color="auto" w:sz="4" w:space="0"/>
            </w:tcBorders>
            <w:shd w:val="clear" w:color="auto" w:fill="FFFFFF"/>
          </w:tcPr>
          <w:p>
            <w:pPr>
              <w:framePr w:w="9754" w:wrap="notBeside" w:vAnchor="text" w:hAnchor="text" w:xAlign="center" w:y="1"/>
              <w:rPr>
                <w:sz w:val="10"/>
                <w:szCs w:val="10"/>
              </w:rPr>
            </w:pPr>
          </w:p>
        </w:tc>
      </w:tr>
      <w:tr>
        <w:tblPrEx>
          <w:tblLayout w:type="fixed"/>
          <w:tblCellMar>
            <w:top w:w="0" w:type="dxa"/>
            <w:left w:w="0" w:type="dxa"/>
            <w:bottom w:w="0" w:type="dxa"/>
            <w:right w:w="0" w:type="dxa"/>
          </w:tblCellMar>
        </w:tblPrEx>
        <w:trPr>
          <w:trHeight w:val="567" w:hRule="atLeast"/>
          <w:jc w:val="center"/>
        </w:trPr>
        <w:tc>
          <w:tcPr>
            <w:tcW w:w="748"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92"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69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701"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66"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237"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55"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72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011" w:type="dxa"/>
            <w:tcBorders>
              <w:top w:val="single" w:color="auto" w:sz="4" w:space="0"/>
              <w:left w:val="single" w:color="auto" w:sz="4" w:space="0"/>
              <w:bottom w:val="nil"/>
              <w:right w:val="single" w:color="auto" w:sz="4" w:space="0"/>
            </w:tcBorders>
            <w:shd w:val="clear" w:color="auto" w:fill="FFFFFF"/>
          </w:tcPr>
          <w:p>
            <w:pPr>
              <w:framePr w:w="9754" w:wrap="notBeside" w:vAnchor="text" w:hAnchor="text" w:xAlign="center" w:y="1"/>
              <w:rPr>
                <w:sz w:val="10"/>
                <w:szCs w:val="10"/>
              </w:rPr>
            </w:pPr>
          </w:p>
        </w:tc>
      </w:tr>
      <w:tr>
        <w:tblPrEx>
          <w:tblLayout w:type="fixed"/>
          <w:tblCellMar>
            <w:top w:w="0" w:type="dxa"/>
            <w:left w:w="0" w:type="dxa"/>
            <w:bottom w:w="0" w:type="dxa"/>
            <w:right w:w="0" w:type="dxa"/>
          </w:tblCellMar>
        </w:tblPrEx>
        <w:trPr>
          <w:trHeight w:val="567" w:hRule="atLeast"/>
          <w:jc w:val="center"/>
        </w:trPr>
        <w:tc>
          <w:tcPr>
            <w:tcW w:w="748"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92"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69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701"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66"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237"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55"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72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011" w:type="dxa"/>
            <w:tcBorders>
              <w:top w:val="single" w:color="auto" w:sz="4" w:space="0"/>
              <w:left w:val="single" w:color="auto" w:sz="4" w:space="0"/>
              <w:bottom w:val="nil"/>
              <w:right w:val="single" w:color="auto" w:sz="4" w:space="0"/>
            </w:tcBorders>
            <w:shd w:val="clear" w:color="auto" w:fill="FFFFFF"/>
          </w:tcPr>
          <w:p>
            <w:pPr>
              <w:framePr w:w="9754" w:wrap="notBeside" w:vAnchor="text" w:hAnchor="text" w:xAlign="center" w:y="1"/>
              <w:rPr>
                <w:sz w:val="10"/>
                <w:szCs w:val="10"/>
              </w:rPr>
            </w:pPr>
          </w:p>
        </w:tc>
      </w:tr>
      <w:tr>
        <w:tblPrEx>
          <w:tblLayout w:type="fixed"/>
          <w:tblCellMar>
            <w:top w:w="0" w:type="dxa"/>
            <w:left w:w="0" w:type="dxa"/>
            <w:bottom w:w="0" w:type="dxa"/>
            <w:right w:w="0" w:type="dxa"/>
          </w:tblCellMar>
        </w:tblPrEx>
        <w:trPr>
          <w:trHeight w:val="567" w:hRule="atLeast"/>
          <w:jc w:val="center"/>
        </w:trPr>
        <w:tc>
          <w:tcPr>
            <w:tcW w:w="748"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92"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69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701"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66"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237"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55"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72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011" w:type="dxa"/>
            <w:tcBorders>
              <w:top w:val="single" w:color="auto" w:sz="4" w:space="0"/>
              <w:left w:val="single" w:color="auto" w:sz="4" w:space="0"/>
              <w:bottom w:val="nil"/>
              <w:right w:val="single" w:color="auto" w:sz="4" w:space="0"/>
            </w:tcBorders>
            <w:shd w:val="clear" w:color="auto" w:fill="FFFFFF"/>
          </w:tcPr>
          <w:p>
            <w:pPr>
              <w:framePr w:w="9754" w:wrap="notBeside" w:vAnchor="text" w:hAnchor="text" w:xAlign="center" w:y="1"/>
              <w:rPr>
                <w:sz w:val="10"/>
                <w:szCs w:val="10"/>
              </w:rPr>
            </w:pPr>
          </w:p>
        </w:tc>
      </w:tr>
      <w:tr>
        <w:tblPrEx>
          <w:tblLayout w:type="fixed"/>
          <w:tblCellMar>
            <w:top w:w="0" w:type="dxa"/>
            <w:left w:w="0" w:type="dxa"/>
            <w:bottom w:w="0" w:type="dxa"/>
            <w:right w:w="0" w:type="dxa"/>
          </w:tblCellMar>
        </w:tblPrEx>
        <w:trPr>
          <w:trHeight w:val="567" w:hRule="atLeast"/>
          <w:jc w:val="center"/>
        </w:trPr>
        <w:tc>
          <w:tcPr>
            <w:tcW w:w="748"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92"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69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701"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66"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237"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55"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72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011" w:type="dxa"/>
            <w:tcBorders>
              <w:top w:val="single" w:color="auto" w:sz="4" w:space="0"/>
              <w:left w:val="single" w:color="auto" w:sz="4" w:space="0"/>
              <w:bottom w:val="nil"/>
              <w:right w:val="single" w:color="auto" w:sz="4" w:space="0"/>
            </w:tcBorders>
            <w:shd w:val="clear" w:color="auto" w:fill="FFFFFF"/>
          </w:tcPr>
          <w:p>
            <w:pPr>
              <w:framePr w:w="9754" w:wrap="notBeside" w:vAnchor="text" w:hAnchor="text" w:xAlign="center" w:y="1"/>
              <w:rPr>
                <w:sz w:val="10"/>
                <w:szCs w:val="10"/>
              </w:rPr>
            </w:pPr>
          </w:p>
        </w:tc>
      </w:tr>
      <w:tr>
        <w:tblPrEx>
          <w:tblLayout w:type="fixed"/>
          <w:tblCellMar>
            <w:top w:w="0" w:type="dxa"/>
            <w:left w:w="0" w:type="dxa"/>
            <w:bottom w:w="0" w:type="dxa"/>
            <w:right w:w="0" w:type="dxa"/>
          </w:tblCellMar>
        </w:tblPrEx>
        <w:trPr>
          <w:trHeight w:val="567" w:hRule="atLeast"/>
          <w:jc w:val="center"/>
        </w:trPr>
        <w:tc>
          <w:tcPr>
            <w:tcW w:w="748" w:type="dxa"/>
            <w:tcBorders>
              <w:top w:val="single" w:color="auto" w:sz="4" w:space="0"/>
              <w:left w:val="single" w:color="auto" w:sz="4" w:space="0"/>
              <w:bottom w:val="single" w:color="auto" w:sz="4" w:space="0"/>
              <w:right w:val="nil"/>
            </w:tcBorders>
            <w:shd w:val="clear" w:color="auto" w:fill="FFFFFF"/>
          </w:tcPr>
          <w:p>
            <w:pPr>
              <w:framePr w:w="9754" w:wrap="notBeside" w:vAnchor="text" w:hAnchor="text" w:xAlign="center" w:y="1"/>
              <w:rPr>
                <w:sz w:val="10"/>
                <w:szCs w:val="10"/>
              </w:rPr>
            </w:pPr>
          </w:p>
        </w:tc>
        <w:tc>
          <w:tcPr>
            <w:tcW w:w="1192" w:type="dxa"/>
            <w:tcBorders>
              <w:top w:val="single" w:color="auto" w:sz="4" w:space="0"/>
              <w:left w:val="single" w:color="auto" w:sz="4" w:space="0"/>
              <w:bottom w:val="single" w:color="auto" w:sz="4" w:space="0"/>
              <w:right w:val="nil"/>
            </w:tcBorders>
            <w:shd w:val="clear" w:color="auto" w:fill="FFFFFF"/>
          </w:tcPr>
          <w:p>
            <w:pPr>
              <w:framePr w:w="9754" w:wrap="notBeside" w:vAnchor="text" w:hAnchor="text" w:xAlign="center" w:y="1"/>
              <w:rPr>
                <w:sz w:val="10"/>
                <w:szCs w:val="10"/>
              </w:rPr>
            </w:pPr>
          </w:p>
        </w:tc>
        <w:tc>
          <w:tcPr>
            <w:tcW w:w="690" w:type="dxa"/>
            <w:tcBorders>
              <w:top w:val="single" w:color="auto" w:sz="4" w:space="0"/>
              <w:left w:val="single" w:color="auto" w:sz="4" w:space="0"/>
              <w:bottom w:val="single" w:color="auto" w:sz="4" w:space="0"/>
              <w:right w:val="nil"/>
            </w:tcBorders>
            <w:shd w:val="clear" w:color="auto" w:fill="FFFFFF"/>
          </w:tcPr>
          <w:p>
            <w:pPr>
              <w:framePr w:w="9754" w:wrap="notBeside" w:vAnchor="text" w:hAnchor="text" w:xAlign="center" w:y="1"/>
              <w:rPr>
                <w:sz w:val="10"/>
                <w:szCs w:val="10"/>
              </w:rPr>
            </w:pPr>
          </w:p>
        </w:tc>
        <w:tc>
          <w:tcPr>
            <w:tcW w:w="701" w:type="dxa"/>
            <w:tcBorders>
              <w:top w:val="single" w:color="auto" w:sz="4" w:space="0"/>
              <w:left w:val="single" w:color="auto" w:sz="4" w:space="0"/>
              <w:bottom w:val="single" w:color="auto" w:sz="4" w:space="0"/>
              <w:right w:val="nil"/>
            </w:tcBorders>
            <w:shd w:val="clear" w:color="auto" w:fill="FFFFFF"/>
          </w:tcPr>
          <w:p>
            <w:pPr>
              <w:framePr w:w="9754" w:wrap="notBeside" w:vAnchor="text" w:hAnchor="text" w:xAlign="center" w:y="1"/>
              <w:rPr>
                <w:sz w:val="10"/>
                <w:szCs w:val="10"/>
              </w:rPr>
            </w:pPr>
          </w:p>
        </w:tc>
        <w:tc>
          <w:tcPr>
            <w:tcW w:w="1166" w:type="dxa"/>
            <w:tcBorders>
              <w:top w:val="single" w:color="auto" w:sz="4" w:space="0"/>
              <w:left w:val="single" w:color="auto" w:sz="4" w:space="0"/>
              <w:bottom w:val="single" w:color="auto" w:sz="4" w:space="0"/>
              <w:right w:val="nil"/>
            </w:tcBorders>
            <w:shd w:val="clear" w:color="auto" w:fill="FFFFFF"/>
          </w:tcPr>
          <w:p>
            <w:pPr>
              <w:framePr w:w="9754" w:wrap="notBeside" w:vAnchor="text" w:hAnchor="text" w:xAlign="center" w:y="1"/>
              <w:rPr>
                <w:sz w:val="10"/>
                <w:szCs w:val="10"/>
              </w:rPr>
            </w:pPr>
          </w:p>
        </w:tc>
        <w:tc>
          <w:tcPr>
            <w:tcW w:w="1237" w:type="dxa"/>
            <w:tcBorders>
              <w:top w:val="single" w:color="auto" w:sz="4" w:space="0"/>
              <w:left w:val="single" w:color="auto" w:sz="4" w:space="0"/>
              <w:bottom w:val="single" w:color="auto" w:sz="4" w:space="0"/>
              <w:right w:val="nil"/>
            </w:tcBorders>
            <w:shd w:val="clear" w:color="auto" w:fill="FFFFFF"/>
          </w:tcPr>
          <w:p>
            <w:pPr>
              <w:framePr w:w="9754" w:wrap="notBeside" w:vAnchor="text" w:hAnchor="text" w:xAlign="center" w:y="1"/>
              <w:rPr>
                <w:sz w:val="10"/>
                <w:szCs w:val="10"/>
              </w:rPr>
            </w:pPr>
          </w:p>
        </w:tc>
        <w:tc>
          <w:tcPr>
            <w:tcW w:w="1155" w:type="dxa"/>
            <w:tcBorders>
              <w:top w:val="single" w:color="auto" w:sz="4" w:space="0"/>
              <w:left w:val="single" w:color="auto" w:sz="4" w:space="0"/>
              <w:bottom w:val="single" w:color="auto" w:sz="4" w:space="0"/>
              <w:right w:val="nil"/>
            </w:tcBorders>
            <w:shd w:val="clear" w:color="auto" w:fill="FFFFFF"/>
          </w:tcPr>
          <w:p>
            <w:pPr>
              <w:framePr w:w="9754" w:wrap="notBeside" w:vAnchor="text" w:hAnchor="text" w:xAlign="center" w:y="1"/>
              <w:rPr>
                <w:sz w:val="10"/>
                <w:szCs w:val="10"/>
              </w:rPr>
            </w:pPr>
          </w:p>
        </w:tc>
        <w:tc>
          <w:tcPr>
            <w:tcW w:w="1720" w:type="dxa"/>
            <w:tcBorders>
              <w:top w:val="single" w:color="auto" w:sz="4" w:space="0"/>
              <w:left w:val="single" w:color="auto" w:sz="4" w:space="0"/>
              <w:bottom w:val="single" w:color="auto" w:sz="4" w:space="0"/>
              <w:right w:val="nil"/>
            </w:tcBorders>
            <w:shd w:val="clear" w:color="auto" w:fill="FFFFFF"/>
          </w:tcPr>
          <w:p>
            <w:pPr>
              <w:framePr w:w="9754" w:wrap="notBeside" w:vAnchor="text" w:hAnchor="text" w:xAlign="center" w:y="1"/>
              <w:rPr>
                <w:sz w:val="10"/>
                <w:szCs w:val="10"/>
              </w:rPr>
            </w:pPr>
          </w:p>
        </w:tc>
        <w:tc>
          <w:tcPr>
            <w:tcW w:w="1011" w:type="dxa"/>
            <w:tcBorders>
              <w:top w:val="single" w:color="auto" w:sz="4" w:space="0"/>
              <w:left w:val="single" w:color="auto" w:sz="4" w:space="0"/>
              <w:bottom w:val="single" w:color="auto" w:sz="4" w:space="0"/>
              <w:right w:val="single" w:color="auto" w:sz="4" w:space="0"/>
            </w:tcBorders>
            <w:shd w:val="clear" w:color="auto" w:fill="FFFFFF"/>
          </w:tcPr>
          <w:p>
            <w:pPr>
              <w:framePr w:w="9754" w:wrap="notBeside" w:vAnchor="text" w:hAnchor="text" w:xAlign="center" w:y="1"/>
              <w:rPr>
                <w:sz w:val="10"/>
                <w:szCs w:val="10"/>
              </w:rPr>
            </w:pPr>
          </w:p>
        </w:tc>
      </w:tr>
      <w:tr>
        <w:tblPrEx>
          <w:tblLayout w:type="fixed"/>
          <w:tblCellMar>
            <w:top w:w="0" w:type="dxa"/>
            <w:left w:w="0" w:type="dxa"/>
            <w:bottom w:w="0" w:type="dxa"/>
            <w:right w:w="0" w:type="dxa"/>
          </w:tblCellMar>
        </w:tblPrEx>
        <w:trPr>
          <w:trHeight w:val="567" w:hRule="atLeast"/>
          <w:jc w:val="center"/>
        </w:trPr>
        <w:tc>
          <w:tcPr>
            <w:tcW w:w="748" w:type="dxa"/>
            <w:tcBorders>
              <w:top w:val="single" w:color="auto" w:sz="4" w:space="0"/>
              <w:left w:val="single" w:color="auto" w:sz="4" w:space="0"/>
              <w:bottom w:val="single" w:color="auto" w:sz="4" w:space="0"/>
              <w:right w:val="nil"/>
            </w:tcBorders>
            <w:shd w:val="clear" w:color="auto" w:fill="FFFFFF"/>
          </w:tcPr>
          <w:p>
            <w:pPr>
              <w:framePr w:w="9754" w:wrap="notBeside" w:vAnchor="text" w:hAnchor="text" w:xAlign="center" w:y="1"/>
              <w:rPr>
                <w:sz w:val="10"/>
                <w:szCs w:val="10"/>
              </w:rPr>
            </w:pPr>
          </w:p>
        </w:tc>
        <w:tc>
          <w:tcPr>
            <w:tcW w:w="1192" w:type="dxa"/>
            <w:tcBorders>
              <w:top w:val="single" w:color="auto" w:sz="4" w:space="0"/>
              <w:left w:val="single" w:color="auto" w:sz="4" w:space="0"/>
              <w:bottom w:val="single" w:color="auto" w:sz="4" w:space="0"/>
              <w:right w:val="nil"/>
            </w:tcBorders>
            <w:shd w:val="clear" w:color="auto" w:fill="FFFFFF"/>
          </w:tcPr>
          <w:p>
            <w:pPr>
              <w:framePr w:w="9754" w:wrap="notBeside" w:vAnchor="text" w:hAnchor="text" w:xAlign="center" w:y="1"/>
              <w:rPr>
                <w:sz w:val="10"/>
                <w:szCs w:val="10"/>
              </w:rPr>
            </w:pPr>
          </w:p>
        </w:tc>
        <w:tc>
          <w:tcPr>
            <w:tcW w:w="690" w:type="dxa"/>
            <w:tcBorders>
              <w:top w:val="single" w:color="auto" w:sz="4" w:space="0"/>
              <w:left w:val="single" w:color="auto" w:sz="4" w:space="0"/>
              <w:bottom w:val="single" w:color="auto" w:sz="4" w:space="0"/>
              <w:right w:val="nil"/>
            </w:tcBorders>
            <w:shd w:val="clear" w:color="auto" w:fill="FFFFFF"/>
          </w:tcPr>
          <w:p>
            <w:pPr>
              <w:framePr w:w="9754" w:wrap="notBeside" w:vAnchor="text" w:hAnchor="text" w:xAlign="center" w:y="1"/>
              <w:rPr>
                <w:sz w:val="10"/>
                <w:szCs w:val="10"/>
              </w:rPr>
            </w:pPr>
          </w:p>
        </w:tc>
        <w:tc>
          <w:tcPr>
            <w:tcW w:w="701" w:type="dxa"/>
            <w:tcBorders>
              <w:top w:val="single" w:color="auto" w:sz="4" w:space="0"/>
              <w:left w:val="single" w:color="auto" w:sz="4" w:space="0"/>
              <w:bottom w:val="single" w:color="auto" w:sz="4" w:space="0"/>
              <w:right w:val="nil"/>
            </w:tcBorders>
            <w:shd w:val="clear" w:color="auto" w:fill="FFFFFF"/>
          </w:tcPr>
          <w:p>
            <w:pPr>
              <w:framePr w:w="9754" w:wrap="notBeside" w:vAnchor="text" w:hAnchor="text" w:xAlign="center" w:y="1"/>
              <w:rPr>
                <w:sz w:val="10"/>
                <w:szCs w:val="10"/>
              </w:rPr>
            </w:pPr>
          </w:p>
        </w:tc>
        <w:tc>
          <w:tcPr>
            <w:tcW w:w="1166" w:type="dxa"/>
            <w:tcBorders>
              <w:top w:val="single" w:color="auto" w:sz="4" w:space="0"/>
              <w:left w:val="single" w:color="auto" w:sz="4" w:space="0"/>
              <w:bottom w:val="single" w:color="auto" w:sz="4" w:space="0"/>
              <w:right w:val="nil"/>
            </w:tcBorders>
            <w:shd w:val="clear" w:color="auto" w:fill="FFFFFF"/>
          </w:tcPr>
          <w:p>
            <w:pPr>
              <w:framePr w:w="9754" w:wrap="notBeside" w:vAnchor="text" w:hAnchor="text" w:xAlign="center" w:y="1"/>
              <w:rPr>
                <w:sz w:val="10"/>
                <w:szCs w:val="10"/>
              </w:rPr>
            </w:pPr>
          </w:p>
        </w:tc>
        <w:tc>
          <w:tcPr>
            <w:tcW w:w="1237" w:type="dxa"/>
            <w:tcBorders>
              <w:top w:val="single" w:color="auto" w:sz="4" w:space="0"/>
              <w:left w:val="single" w:color="auto" w:sz="4" w:space="0"/>
              <w:bottom w:val="single" w:color="auto" w:sz="4" w:space="0"/>
              <w:right w:val="nil"/>
            </w:tcBorders>
            <w:shd w:val="clear" w:color="auto" w:fill="FFFFFF"/>
          </w:tcPr>
          <w:p>
            <w:pPr>
              <w:framePr w:w="9754" w:wrap="notBeside" w:vAnchor="text" w:hAnchor="text" w:xAlign="center" w:y="1"/>
              <w:rPr>
                <w:sz w:val="10"/>
                <w:szCs w:val="10"/>
              </w:rPr>
            </w:pPr>
          </w:p>
        </w:tc>
        <w:tc>
          <w:tcPr>
            <w:tcW w:w="1155" w:type="dxa"/>
            <w:tcBorders>
              <w:top w:val="single" w:color="auto" w:sz="4" w:space="0"/>
              <w:left w:val="single" w:color="auto" w:sz="4" w:space="0"/>
              <w:bottom w:val="single" w:color="auto" w:sz="4" w:space="0"/>
              <w:right w:val="nil"/>
            </w:tcBorders>
            <w:shd w:val="clear" w:color="auto" w:fill="FFFFFF"/>
          </w:tcPr>
          <w:p>
            <w:pPr>
              <w:framePr w:w="9754" w:wrap="notBeside" w:vAnchor="text" w:hAnchor="text" w:xAlign="center" w:y="1"/>
              <w:rPr>
                <w:sz w:val="10"/>
                <w:szCs w:val="10"/>
              </w:rPr>
            </w:pPr>
          </w:p>
        </w:tc>
        <w:tc>
          <w:tcPr>
            <w:tcW w:w="1720" w:type="dxa"/>
            <w:tcBorders>
              <w:top w:val="single" w:color="auto" w:sz="4" w:space="0"/>
              <w:left w:val="single" w:color="auto" w:sz="4" w:space="0"/>
              <w:bottom w:val="single" w:color="auto" w:sz="4" w:space="0"/>
              <w:right w:val="nil"/>
            </w:tcBorders>
            <w:shd w:val="clear" w:color="auto" w:fill="FFFFFF"/>
          </w:tcPr>
          <w:p>
            <w:pPr>
              <w:framePr w:w="9754" w:wrap="notBeside" w:vAnchor="text" w:hAnchor="text" w:xAlign="center" w:y="1"/>
              <w:rPr>
                <w:sz w:val="10"/>
                <w:szCs w:val="10"/>
              </w:rPr>
            </w:pPr>
          </w:p>
        </w:tc>
        <w:tc>
          <w:tcPr>
            <w:tcW w:w="1011" w:type="dxa"/>
            <w:tcBorders>
              <w:top w:val="single" w:color="auto" w:sz="4" w:space="0"/>
              <w:left w:val="single" w:color="auto" w:sz="4" w:space="0"/>
              <w:bottom w:val="single" w:color="auto" w:sz="4" w:space="0"/>
              <w:right w:val="single" w:color="auto" w:sz="4" w:space="0"/>
            </w:tcBorders>
            <w:shd w:val="clear" w:color="auto" w:fill="FFFFFF"/>
          </w:tcPr>
          <w:p>
            <w:pPr>
              <w:framePr w:w="9754" w:wrap="notBeside" w:vAnchor="text" w:hAnchor="text" w:xAlign="center" w:y="1"/>
              <w:rPr>
                <w:sz w:val="10"/>
                <w:szCs w:val="10"/>
              </w:rPr>
            </w:pPr>
          </w:p>
        </w:tc>
      </w:tr>
    </w:tbl>
    <w:p>
      <w:bookmarkStart w:id="641" w:name="_Toc144974872"/>
      <w:bookmarkStart w:id="642" w:name="_Toc341280458"/>
      <w:bookmarkStart w:id="643" w:name="_Toc456354383"/>
      <w:bookmarkStart w:id="644" w:name="_Toc152042593"/>
      <w:bookmarkStart w:id="645" w:name="_Toc152045804"/>
      <w:bookmarkStart w:id="646" w:name="_Toc179632824"/>
      <w:r>
        <w:rPr>
          <w:rFonts w:hint="eastAsia"/>
        </w:rPr>
        <w:br w:type="page"/>
      </w:r>
    </w:p>
    <w:bookmarkEnd w:id="641"/>
    <w:bookmarkEnd w:id="642"/>
    <w:bookmarkEnd w:id="643"/>
    <w:bookmarkEnd w:id="644"/>
    <w:bookmarkEnd w:id="645"/>
    <w:bookmarkEnd w:id="646"/>
    <w:p>
      <w:pPr>
        <w:pStyle w:val="5"/>
        <w:rPr>
          <w:rFonts w:ascii="宋体" w:hAnsi="宋体" w:eastAsia="宋体" w:cs="宋体"/>
          <w:sz w:val="24"/>
        </w:rPr>
      </w:pPr>
      <w:bookmarkStart w:id="647" w:name="_Toc152042594"/>
      <w:bookmarkStart w:id="648" w:name="_Toc179632825"/>
      <w:bookmarkStart w:id="649" w:name="_Toc456354384"/>
      <w:bookmarkStart w:id="650" w:name="_Toc152045805"/>
      <w:bookmarkStart w:id="651" w:name="_Toc341280459"/>
      <w:bookmarkStart w:id="652" w:name="_Toc5853"/>
      <w:bookmarkStart w:id="653" w:name="_Toc144974873"/>
      <w:r>
        <w:rPr>
          <w:rFonts w:hint="eastAsia" w:ascii="宋体" w:hAnsi="宋体" w:eastAsia="宋体" w:cs="宋体"/>
          <w:b w:val="0"/>
          <w:sz w:val="28"/>
          <w:szCs w:val="28"/>
        </w:rPr>
        <w:t>（四）主要人员简历表</w:t>
      </w:r>
      <w:bookmarkEnd w:id="647"/>
      <w:bookmarkEnd w:id="648"/>
      <w:bookmarkEnd w:id="649"/>
      <w:bookmarkEnd w:id="650"/>
      <w:bookmarkEnd w:id="651"/>
      <w:bookmarkEnd w:id="652"/>
      <w:bookmarkEnd w:id="653"/>
    </w:p>
    <w:p>
      <w:pPr>
        <w:spacing w:line="400" w:lineRule="exact"/>
        <w:jc w:val="center"/>
        <w:rPr>
          <w:rFonts w:ascii="宋体" w:hAnsi="宋体" w:cs="宋体"/>
          <w:b/>
          <w:bCs/>
          <w:sz w:val="24"/>
        </w:rPr>
      </w:pPr>
      <w:r>
        <w:rPr>
          <w:rFonts w:hint="eastAsia" w:ascii="宋体" w:hAnsi="宋体" w:cs="宋体"/>
          <w:b/>
          <w:bCs/>
          <w:sz w:val="24"/>
        </w:rPr>
        <w:t>项目经理简历表</w:t>
      </w:r>
    </w:p>
    <w:tbl>
      <w:tblPr>
        <w:tblStyle w:val="50"/>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70"/>
        <w:gridCol w:w="776"/>
        <w:gridCol w:w="801"/>
        <w:gridCol w:w="1132"/>
        <w:gridCol w:w="559"/>
        <w:gridCol w:w="1756"/>
        <w:gridCol w:w="174"/>
        <w:gridCol w:w="6"/>
        <w:gridCol w:w="2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vAlign w:val="center"/>
          </w:tcPr>
          <w:p>
            <w:pPr>
              <w:spacing w:line="440" w:lineRule="exact"/>
              <w:jc w:val="center"/>
              <w:rPr>
                <w:rFonts w:ascii="宋体" w:hAnsi="宋体" w:cs="宋体"/>
                <w:szCs w:val="21"/>
              </w:rPr>
            </w:pPr>
            <w:r>
              <w:rPr>
                <w:rFonts w:hint="eastAsia" w:ascii="宋体" w:hAnsi="宋体" w:cs="宋体"/>
                <w:szCs w:val="21"/>
              </w:rPr>
              <w:t>姓  名</w:t>
            </w:r>
          </w:p>
        </w:tc>
        <w:tc>
          <w:tcPr>
            <w:tcW w:w="946" w:type="dxa"/>
            <w:gridSpan w:val="2"/>
            <w:vAlign w:val="center"/>
          </w:tcPr>
          <w:p>
            <w:pPr>
              <w:spacing w:line="440" w:lineRule="exact"/>
              <w:jc w:val="center"/>
              <w:rPr>
                <w:rFonts w:ascii="宋体" w:hAnsi="宋体" w:cs="宋体"/>
                <w:szCs w:val="21"/>
              </w:rPr>
            </w:pPr>
          </w:p>
        </w:tc>
        <w:tc>
          <w:tcPr>
            <w:tcW w:w="801" w:type="dxa"/>
            <w:vAlign w:val="center"/>
          </w:tcPr>
          <w:p>
            <w:pPr>
              <w:spacing w:line="440" w:lineRule="exact"/>
              <w:jc w:val="center"/>
              <w:rPr>
                <w:rFonts w:ascii="宋体" w:hAnsi="宋体" w:cs="宋体"/>
                <w:szCs w:val="21"/>
              </w:rPr>
            </w:pPr>
            <w:r>
              <w:rPr>
                <w:rFonts w:hint="eastAsia" w:ascii="宋体" w:hAnsi="宋体" w:cs="宋体"/>
                <w:szCs w:val="21"/>
              </w:rPr>
              <w:t>年 龄</w:t>
            </w:r>
          </w:p>
        </w:tc>
        <w:tc>
          <w:tcPr>
            <w:tcW w:w="1132" w:type="dxa"/>
            <w:vAlign w:val="center"/>
          </w:tcPr>
          <w:p>
            <w:pPr>
              <w:spacing w:line="440" w:lineRule="exact"/>
              <w:jc w:val="center"/>
              <w:rPr>
                <w:rFonts w:ascii="宋体" w:hAnsi="宋体" w:cs="宋体"/>
                <w:szCs w:val="21"/>
              </w:rPr>
            </w:pPr>
          </w:p>
        </w:tc>
        <w:tc>
          <w:tcPr>
            <w:tcW w:w="2489" w:type="dxa"/>
            <w:gridSpan w:val="3"/>
            <w:vAlign w:val="center"/>
          </w:tcPr>
          <w:p>
            <w:pPr>
              <w:spacing w:line="440" w:lineRule="exact"/>
              <w:jc w:val="center"/>
              <w:rPr>
                <w:rFonts w:ascii="宋体" w:hAnsi="宋体" w:cs="宋体"/>
                <w:szCs w:val="21"/>
              </w:rPr>
            </w:pPr>
            <w:r>
              <w:rPr>
                <w:rFonts w:hint="eastAsia" w:ascii="宋体" w:hAnsi="宋体" w:cs="宋体"/>
                <w:szCs w:val="21"/>
              </w:rPr>
              <w:t>学 历</w:t>
            </w:r>
          </w:p>
        </w:tc>
        <w:tc>
          <w:tcPr>
            <w:tcW w:w="2264" w:type="dxa"/>
            <w:gridSpan w:val="2"/>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vAlign w:val="center"/>
          </w:tcPr>
          <w:p>
            <w:pPr>
              <w:spacing w:line="440" w:lineRule="exact"/>
              <w:jc w:val="center"/>
              <w:rPr>
                <w:rFonts w:ascii="宋体" w:hAnsi="宋体" w:cs="宋体"/>
                <w:szCs w:val="21"/>
              </w:rPr>
            </w:pPr>
            <w:r>
              <w:rPr>
                <w:rFonts w:hint="eastAsia" w:ascii="宋体" w:hAnsi="宋体" w:cs="宋体"/>
                <w:szCs w:val="21"/>
              </w:rPr>
              <w:t>职  称</w:t>
            </w:r>
          </w:p>
        </w:tc>
        <w:tc>
          <w:tcPr>
            <w:tcW w:w="946" w:type="dxa"/>
            <w:gridSpan w:val="2"/>
            <w:vAlign w:val="center"/>
          </w:tcPr>
          <w:p>
            <w:pPr>
              <w:spacing w:line="440" w:lineRule="exact"/>
              <w:jc w:val="center"/>
              <w:rPr>
                <w:rFonts w:ascii="宋体" w:hAnsi="宋体" w:cs="宋体"/>
                <w:szCs w:val="21"/>
              </w:rPr>
            </w:pPr>
          </w:p>
        </w:tc>
        <w:tc>
          <w:tcPr>
            <w:tcW w:w="801" w:type="dxa"/>
            <w:vAlign w:val="center"/>
          </w:tcPr>
          <w:p>
            <w:pPr>
              <w:spacing w:line="440" w:lineRule="exact"/>
              <w:jc w:val="center"/>
              <w:rPr>
                <w:rFonts w:ascii="宋体" w:hAnsi="宋体" w:cs="宋体"/>
                <w:szCs w:val="21"/>
              </w:rPr>
            </w:pPr>
            <w:r>
              <w:rPr>
                <w:rFonts w:hint="eastAsia" w:ascii="宋体" w:hAnsi="宋体" w:cs="宋体"/>
                <w:szCs w:val="21"/>
              </w:rPr>
              <w:t>职 务</w:t>
            </w:r>
          </w:p>
        </w:tc>
        <w:tc>
          <w:tcPr>
            <w:tcW w:w="1132" w:type="dxa"/>
            <w:vAlign w:val="center"/>
          </w:tcPr>
          <w:p>
            <w:pPr>
              <w:spacing w:line="440" w:lineRule="exact"/>
              <w:jc w:val="center"/>
              <w:rPr>
                <w:rFonts w:ascii="宋体" w:hAnsi="宋体" w:cs="宋体"/>
                <w:szCs w:val="21"/>
              </w:rPr>
            </w:pPr>
          </w:p>
        </w:tc>
        <w:tc>
          <w:tcPr>
            <w:tcW w:w="2489" w:type="dxa"/>
            <w:gridSpan w:val="3"/>
            <w:vAlign w:val="center"/>
          </w:tcPr>
          <w:p>
            <w:pPr>
              <w:spacing w:line="440" w:lineRule="exact"/>
              <w:jc w:val="center"/>
              <w:rPr>
                <w:rFonts w:ascii="宋体" w:hAnsi="宋体" w:cs="宋体"/>
                <w:szCs w:val="21"/>
              </w:rPr>
            </w:pPr>
            <w:r>
              <w:rPr>
                <w:rFonts w:hint="eastAsia" w:ascii="宋体" w:hAnsi="宋体" w:cs="宋体"/>
                <w:szCs w:val="21"/>
              </w:rPr>
              <w:t>拟在本合同任职</w:t>
            </w:r>
          </w:p>
        </w:tc>
        <w:tc>
          <w:tcPr>
            <w:tcW w:w="2264" w:type="dxa"/>
            <w:gridSpan w:val="2"/>
            <w:vAlign w:val="center"/>
          </w:tcPr>
          <w:p>
            <w:pPr>
              <w:spacing w:line="440" w:lineRule="exact"/>
              <w:jc w:val="center"/>
              <w:rPr>
                <w:rFonts w:ascii="宋体" w:hAnsi="宋体" w:cs="宋体"/>
                <w:szCs w:val="21"/>
              </w:rPr>
            </w:pPr>
            <w:r>
              <w:rPr>
                <w:rFonts w:hint="eastAsia" w:ascii="宋体" w:hAnsi="宋体" w:cs="宋体"/>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35" w:type="dxa"/>
            <w:gridSpan w:val="4"/>
            <w:vAlign w:val="center"/>
          </w:tcPr>
          <w:p>
            <w:pPr>
              <w:spacing w:line="440" w:lineRule="exact"/>
              <w:rPr>
                <w:rFonts w:ascii="宋体" w:hAnsi="宋体" w:cs="宋体"/>
                <w:szCs w:val="21"/>
              </w:rPr>
            </w:pPr>
            <w:r>
              <w:rPr>
                <w:rFonts w:hint="eastAsia" w:ascii="宋体" w:hAnsi="宋体" w:cs="宋体"/>
                <w:szCs w:val="21"/>
              </w:rPr>
              <w:t>注册建造师资格等级</w:t>
            </w:r>
          </w:p>
        </w:tc>
        <w:tc>
          <w:tcPr>
            <w:tcW w:w="1132" w:type="dxa"/>
            <w:vAlign w:val="center"/>
          </w:tcPr>
          <w:p>
            <w:pPr>
              <w:spacing w:line="440" w:lineRule="exact"/>
              <w:rPr>
                <w:rFonts w:ascii="宋体" w:hAnsi="宋体" w:cs="宋体"/>
                <w:szCs w:val="21"/>
              </w:rPr>
            </w:pPr>
            <w:r>
              <w:rPr>
                <w:rFonts w:hint="eastAsia" w:ascii="宋体" w:hAnsi="宋体" w:cs="宋体"/>
                <w:szCs w:val="21"/>
              </w:rPr>
              <w:t xml:space="preserve">      级</w:t>
            </w:r>
          </w:p>
        </w:tc>
        <w:tc>
          <w:tcPr>
            <w:tcW w:w="2495" w:type="dxa"/>
            <w:gridSpan w:val="4"/>
            <w:vAlign w:val="center"/>
          </w:tcPr>
          <w:p>
            <w:pPr>
              <w:spacing w:line="440" w:lineRule="exact"/>
              <w:jc w:val="center"/>
              <w:rPr>
                <w:rFonts w:ascii="宋体" w:hAnsi="宋体" w:cs="宋体"/>
                <w:szCs w:val="21"/>
              </w:rPr>
            </w:pPr>
            <w:r>
              <w:rPr>
                <w:rFonts w:hint="eastAsia" w:ascii="宋体" w:hAnsi="宋体" w:cs="宋体"/>
                <w:szCs w:val="21"/>
              </w:rPr>
              <w:t>专业</w:t>
            </w:r>
          </w:p>
        </w:tc>
        <w:tc>
          <w:tcPr>
            <w:tcW w:w="2258" w:type="dxa"/>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35" w:type="dxa"/>
            <w:gridSpan w:val="4"/>
            <w:vAlign w:val="center"/>
          </w:tcPr>
          <w:p>
            <w:pPr>
              <w:spacing w:line="440" w:lineRule="exact"/>
              <w:rPr>
                <w:rFonts w:ascii="宋体" w:hAnsi="宋体" w:cs="宋体"/>
                <w:szCs w:val="21"/>
              </w:rPr>
            </w:pPr>
            <w:r>
              <w:rPr>
                <w:rFonts w:hint="eastAsia" w:ascii="宋体" w:hAnsi="宋体" w:cs="宋体"/>
                <w:szCs w:val="21"/>
              </w:rPr>
              <w:t>安全生产考核合格证书</w:t>
            </w:r>
          </w:p>
        </w:tc>
        <w:tc>
          <w:tcPr>
            <w:tcW w:w="5885" w:type="dxa"/>
            <w:gridSpan w:val="6"/>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35" w:type="dxa"/>
            <w:gridSpan w:val="4"/>
            <w:vAlign w:val="center"/>
          </w:tcPr>
          <w:p>
            <w:pPr>
              <w:spacing w:line="440" w:lineRule="exact"/>
              <w:jc w:val="left"/>
              <w:rPr>
                <w:rFonts w:ascii="宋体" w:hAnsi="宋体" w:cs="宋体"/>
                <w:szCs w:val="21"/>
              </w:rPr>
            </w:pPr>
            <w:r>
              <w:rPr>
                <w:rFonts w:hint="eastAsia" w:ascii="宋体" w:hAnsi="宋体" w:cs="宋体"/>
                <w:szCs w:val="21"/>
              </w:rPr>
              <w:t>工作年限</w:t>
            </w:r>
          </w:p>
        </w:tc>
        <w:tc>
          <w:tcPr>
            <w:tcW w:w="5885" w:type="dxa"/>
            <w:gridSpan w:val="6"/>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8" w:type="dxa"/>
            <w:gridSpan w:val="2"/>
            <w:vAlign w:val="center"/>
          </w:tcPr>
          <w:p>
            <w:pPr>
              <w:spacing w:line="440" w:lineRule="exact"/>
              <w:rPr>
                <w:rFonts w:ascii="宋体" w:hAnsi="宋体" w:cs="宋体"/>
                <w:szCs w:val="21"/>
              </w:rPr>
            </w:pPr>
            <w:r>
              <w:rPr>
                <w:rFonts w:hint="eastAsia" w:ascii="宋体" w:hAnsi="宋体" w:cs="宋体"/>
                <w:szCs w:val="21"/>
              </w:rPr>
              <w:t>毕业学校</w:t>
            </w:r>
          </w:p>
        </w:tc>
        <w:tc>
          <w:tcPr>
            <w:tcW w:w="7462" w:type="dxa"/>
            <w:gridSpan w:val="8"/>
          </w:tcPr>
          <w:p>
            <w:pPr>
              <w:spacing w:line="440" w:lineRule="exact"/>
              <w:ind w:firstLine="1365" w:firstLineChars="650"/>
              <w:rPr>
                <w:rFonts w:ascii="宋体" w:hAnsi="宋体" w:cs="宋体"/>
                <w:szCs w:val="21"/>
              </w:rPr>
            </w:pPr>
            <w:r>
              <w:rPr>
                <w:rFonts w:hint="eastAsia" w:ascii="宋体" w:hAnsi="宋体" w:cs="宋体"/>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0" w:type="dxa"/>
            <w:gridSpan w:val="10"/>
            <w:vAlign w:val="center"/>
          </w:tcPr>
          <w:p>
            <w:pPr>
              <w:spacing w:line="440" w:lineRule="exact"/>
              <w:jc w:val="center"/>
              <w:rPr>
                <w:rFonts w:ascii="宋体" w:hAnsi="宋体" w:cs="宋体"/>
                <w:szCs w:val="21"/>
              </w:rPr>
            </w:pPr>
            <w:r>
              <w:rPr>
                <w:rFonts w:hint="eastAsia" w:ascii="宋体" w:hAnsi="宋体" w:cs="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vAlign w:val="center"/>
          </w:tcPr>
          <w:p>
            <w:pPr>
              <w:spacing w:line="440" w:lineRule="exact"/>
              <w:jc w:val="center"/>
              <w:rPr>
                <w:rFonts w:ascii="宋体" w:hAnsi="宋体" w:cs="宋体"/>
                <w:szCs w:val="21"/>
              </w:rPr>
            </w:pPr>
            <w:r>
              <w:rPr>
                <w:rFonts w:hint="eastAsia" w:ascii="宋体" w:hAnsi="宋体" w:cs="宋体"/>
                <w:szCs w:val="21"/>
              </w:rPr>
              <w:t>时  间</w:t>
            </w:r>
          </w:p>
        </w:tc>
        <w:tc>
          <w:tcPr>
            <w:tcW w:w="3438" w:type="dxa"/>
            <w:gridSpan w:val="5"/>
            <w:vAlign w:val="center"/>
          </w:tcPr>
          <w:p>
            <w:pPr>
              <w:spacing w:line="440" w:lineRule="exact"/>
              <w:jc w:val="center"/>
              <w:rPr>
                <w:rFonts w:ascii="宋体" w:hAnsi="宋体" w:cs="宋体"/>
                <w:szCs w:val="21"/>
              </w:rPr>
            </w:pPr>
            <w:r>
              <w:rPr>
                <w:rFonts w:hint="eastAsia" w:ascii="宋体" w:hAnsi="宋体" w:cs="宋体"/>
                <w:szCs w:val="21"/>
              </w:rPr>
              <w:t>参加过的类似项目</w:t>
            </w:r>
          </w:p>
        </w:tc>
        <w:tc>
          <w:tcPr>
            <w:tcW w:w="1756" w:type="dxa"/>
            <w:vAlign w:val="center"/>
          </w:tcPr>
          <w:p>
            <w:pPr>
              <w:spacing w:line="440" w:lineRule="exact"/>
              <w:jc w:val="center"/>
              <w:rPr>
                <w:rFonts w:ascii="宋体" w:hAnsi="宋体" w:cs="宋体"/>
                <w:szCs w:val="21"/>
              </w:rPr>
            </w:pPr>
            <w:r>
              <w:rPr>
                <w:rFonts w:hint="eastAsia" w:ascii="宋体" w:hAnsi="宋体" w:cs="宋体"/>
                <w:szCs w:val="21"/>
              </w:rPr>
              <w:t>工程概况说明</w:t>
            </w:r>
          </w:p>
        </w:tc>
        <w:tc>
          <w:tcPr>
            <w:tcW w:w="2438" w:type="dxa"/>
            <w:gridSpan w:val="3"/>
            <w:vAlign w:val="center"/>
          </w:tcPr>
          <w:p>
            <w:pPr>
              <w:spacing w:line="440" w:lineRule="exact"/>
              <w:rPr>
                <w:rFonts w:ascii="宋体" w:hAnsi="宋体" w:cs="宋体"/>
                <w:szCs w:val="21"/>
              </w:rPr>
            </w:pPr>
            <w:r>
              <w:rPr>
                <w:rFonts w:hint="eastAsia" w:ascii="宋体" w:hAnsi="宋体" w:cs="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tcPr>
          <w:p>
            <w:pPr>
              <w:spacing w:line="440" w:lineRule="exact"/>
              <w:rPr>
                <w:rFonts w:ascii="宋体" w:hAnsi="宋体" w:cs="宋体"/>
                <w:szCs w:val="21"/>
              </w:rPr>
            </w:pPr>
          </w:p>
        </w:tc>
        <w:tc>
          <w:tcPr>
            <w:tcW w:w="3438" w:type="dxa"/>
            <w:gridSpan w:val="5"/>
          </w:tcPr>
          <w:p>
            <w:pPr>
              <w:spacing w:line="440" w:lineRule="exact"/>
              <w:rPr>
                <w:rFonts w:ascii="宋体" w:hAnsi="宋体" w:cs="宋体"/>
                <w:szCs w:val="21"/>
              </w:rPr>
            </w:pPr>
          </w:p>
        </w:tc>
        <w:tc>
          <w:tcPr>
            <w:tcW w:w="1756" w:type="dxa"/>
          </w:tcPr>
          <w:p>
            <w:pPr>
              <w:spacing w:line="440" w:lineRule="exact"/>
              <w:rPr>
                <w:rFonts w:ascii="宋体" w:hAnsi="宋体" w:cs="宋体"/>
                <w:szCs w:val="21"/>
              </w:rPr>
            </w:pPr>
          </w:p>
        </w:tc>
        <w:tc>
          <w:tcPr>
            <w:tcW w:w="2438" w:type="dxa"/>
            <w:gridSpan w:val="3"/>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tcPr>
          <w:p>
            <w:pPr>
              <w:spacing w:line="440" w:lineRule="exact"/>
              <w:rPr>
                <w:rFonts w:ascii="宋体" w:hAnsi="宋体" w:cs="宋体"/>
                <w:szCs w:val="21"/>
              </w:rPr>
            </w:pPr>
          </w:p>
        </w:tc>
        <w:tc>
          <w:tcPr>
            <w:tcW w:w="3438" w:type="dxa"/>
            <w:gridSpan w:val="5"/>
          </w:tcPr>
          <w:p>
            <w:pPr>
              <w:spacing w:line="440" w:lineRule="exact"/>
              <w:rPr>
                <w:rFonts w:ascii="宋体" w:hAnsi="宋体" w:cs="宋体"/>
                <w:szCs w:val="21"/>
              </w:rPr>
            </w:pPr>
          </w:p>
        </w:tc>
        <w:tc>
          <w:tcPr>
            <w:tcW w:w="1756" w:type="dxa"/>
          </w:tcPr>
          <w:p>
            <w:pPr>
              <w:spacing w:line="440" w:lineRule="exact"/>
              <w:rPr>
                <w:rFonts w:ascii="宋体" w:hAnsi="宋体" w:cs="宋体"/>
                <w:szCs w:val="21"/>
              </w:rPr>
            </w:pPr>
          </w:p>
        </w:tc>
        <w:tc>
          <w:tcPr>
            <w:tcW w:w="2438" w:type="dxa"/>
            <w:gridSpan w:val="3"/>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tcPr>
          <w:p>
            <w:pPr>
              <w:spacing w:line="440" w:lineRule="exact"/>
              <w:rPr>
                <w:rFonts w:ascii="宋体" w:hAnsi="宋体" w:cs="宋体"/>
                <w:szCs w:val="21"/>
              </w:rPr>
            </w:pPr>
          </w:p>
        </w:tc>
        <w:tc>
          <w:tcPr>
            <w:tcW w:w="3438" w:type="dxa"/>
            <w:gridSpan w:val="5"/>
          </w:tcPr>
          <w:p>
            <w:pPr>
              <w:spacing w:line="440" w:lineRule="exact"/>
              <w:rPr>
                <w:rFonts w:ascii="宋体" w:hAnsi="宋体" w:cs="宋体"/>
                <w:szCs w:val="21"/>
              </w:rPr>
            </w:pPr>
          </w:p>
        </w:tc>
        <w:tc>
          <w:tcPr>
            <w:tcW w:w="1756" w:type="dxa"/>
          </w:tcPr>
          <w:p>
            <w:pPr>
              <w:spacing w:line="440" w:lineRule="exact"/>
              <w:rPr>
                <w:rFonts w:ascii="宋体" w:hAnsi="宋体" w:cs="宋体"/>
                <w:szCs w:val="21"/>
              </w:rPr>
            </w:pPr>
          </w:p>
        </w:tc>
        <w:tc>
          <w:tcPr>
            <w:tcW w:w="2438" w:type="dxa"/>
            <w:gridSpan w:val="3"/>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vAlign w:val="center"/>
          </w:tcPr>
          <w:p>
            <w:pPr>
              <w:spacing w:line="440" w:lineRule="exact"/>
              <w:rPr>
                <w:rFonts w:ascii="宋体" w:hAnsi="宋体" w:cs="宋体"/>
                <w:szCs w:val="21"/>
              </w:rPr>
            </w:pPr>
          </w:p>
        </w:tc>
        <w:tc>
          <w:tcPr>
            <w:tcW w:w="3438" w:type="dxa"/>
            <w:gridSpan w:val="5"/>
            <w:vAlign w:val="center"/>
          </w:tcPr>
          <w:p>
            <w:pPr>
              <w:spacing w:line="440" w:lineRule="exact"/>
              <w:rPr>
                <w:rFonts w:ascii="宋体" w:hAnsi="宋体" w:cs="宋体"/>
                <w:szCs w:val="21"/>
              </w:rPr>
            </w:pPr>
          </w:p>
        </w:tc>
        <w:tc>
          <w:tcPr>
            <w:tcW w:w="1756" w:type="dxa"/>
            <w:vAlign w:val="center"/>
          </w:tcPr>
          <w:p>
            <w:pPr>
              <w:spacing w:line="440" w:lineRule="exact"/>
              <w:rPr>
                <w:rFonts w:ascii="宋体" w:hAnsi="宋体" w:cs="宋体"/>
                <w:szCs w:val="21"/>
              </w:rPr>
            </w:pPr>
          </w:p>
        </w:tc>
        <w:tc>
          <w:tcPr>
            <w:tcW w:w="2438" w:type="dxa"/>
            <w:gridSpan w:val="3"/>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vAlign w:val="center"/>
          </w:tcPr>
          <w:p>
            <w:pPr>
              <w:spacing w:line="440" w:lineRule="exact"/>
              <w:rPr>
                <w:rFonts w:ascii="宋体" w:hAnsi="宋体" w:cs="宋体"/>
                <w:szCs w:val="21"/>
              </w:rPr>
            </w:pPr>
          </w:p>
        </w:tc>
        <w:tc>
          <w:tcPr>
            <w:tcW w:w="3438" w:type="dxa"/>
            <w:gridSpan w:val="5"/>
            <w:vAlign w:val="center"/>
          </w:tcPr>
          <w:p>
            <w:pPr>
              <w:spacing w:line="440" w:lineRule="exact"/>
              <w:rPr>
                <w:rFonts w:ascii="宋体" w:hAnsi="宋体" w:cs="宋体"/>
                <w:szCs w:val="21"/>
              </w:rPr>
            </w:pPr>
          </w:p>
        </w:tc>
        <w:tc>
          <w:tcPr>
            <w:tcW w:w="1756" w:type="dxa"/>
            <w:vAlign w:val="center"/>
          </w:tcPr>
          <w:p>
            <w:pPr>
              <w:spacing w:line="440" w:lineRule="exact"/>
              <w:rPr>
                <w:rFonts w:ascii="宋体" w:hAnsi="宋体" w:cs="宋体"/>
                <w:szCs w:val="21"/>
              </w:rPr>
            </w:pPr>
          </w:p>
        </w:tc>
        <w:tc>
          <w:tcPr>
            <w:tcW w:w="2438" w:type="dxa"/>
            <w:gridSpan w:val="3"/>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vAlign w:val="center"/>
          </w:tcPr>
          <w:p>
            <w:pPr>
              <w:spacing w:line="440" w:lineRule="exact"/>
              <w:rPr>
                <w:rFonts w:ascii="宋体" w:hAnsi="宋体" w:cs="宋体"/>
                <w:szCs w:val="21"/>
              </w:rPr>
            </w:pPr>
          </w:p>
        </w:tc>
        <w:tc>
          <w:tcPr>
            <w:tcW w:w="3438" w:type="dxa"/>
            <w:gridSpan w:val="5"/>
            <w:vAlign w:val="center"/>
          </w:tcPr>
          <w:p>
            <w:pPr>
              <w:spacing w:line="440" w:lineRule="exact"/>
              <w:rPr>
                <w:rFonts w:ascii="宋体" w:hAnsi="宋体" w:cs="宋体"/>
                <w:szCs w:val="21"/>
              </w:rPr>
            </w:pPr>
          </w:p>
        </w:tc>
        <w:tc>
          <w:tcPr>
            <w:tcW w:w="1756" w:type="dxa"/>
            <w:vAlign w:val="center"/>
          </w:tcPr>
          <w:p>
            <w:pPr>
              <w:spacing w:line="440" w:lineRule="exact"/>
              <w:rPr>
                <w:rFonts w:ascii="宋体" w:hAnsi="宋体" w:cs="宋体"/>
                <w:szCs w:val="21"/>
              </w:rPr>
            </w:pPr>
          </w:p>
        </w:tc>
        <w:tc>
          <w:tcPr>
            <w:tcW w:w="2438" w:type="dxa"/>
            <w:gridSpan w:val="3"/>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vAlign w:val="center"/>
          </w:tcPr>
          <w:p>
            <w:pPr>
              <w:spacing w:line="440" w:lineRule="exact"/>
              <w:rPr>
                <w:rFonts w:ascii="宋体" w:hAnsi="宋体" w:cs="宋体"/>
                <w:szCs w:val="21"/>
              </w:rPr>
            </w:pPr>
          </w:p>
        </w:tc>
        <w:tc>
          <w:tcPr>
            <w:tcW w:w="3438" w:type="dxa"/>
            <w:gridSpan w:val="5"/>
            <w:vAlign w:val="center"/>
          </w:tcPr>
          <w:p>
            <w:pPr>
              <w:spacing w:line="440" w:lineRule="exact"/>
              <w:rPr>
                <w:rFonts w:ascii="宋体" w:hAnsi="宋体" w:cs="宋体"/>
                <w:szCs w:val="21"/>
              </w:rPr>
            </w:pPr>
          </w:p>
        </w:tc>
        <w:tc>
          <w:tcPr>
            <w:tcW w:w="1756" w:type="dxa"/>
            <w:vAlign w:val="center"/>
          </w:tcPr>
          <w:p>
            <w:pPr>
              <w:spacing w:line="440" w:lineRule="exact"/>
              <w:rPr>
                <w:rFonts w:ascii="宋体" w:hAnsi="宋体" w:cs="宋体"/>
                <w:szCs w:val="21"/>
              </w:rPr>
            </w:pPr>
          </w:p>
        </w:tc>
        <w:tc>
          <w:tcPr>
            <w:tcW w:w="2438" w:type="dxa"/>
            <w:gridSpan w:val="3"/>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vAlign w:val="center"/>
          </w:tcPr>
          <w:p>
            <w:pPr>
              <w:spacing w:line="440" w:lineRule="exact"/>
              <w:rPr>
                <w:rFonts w:ascii="宋体" w:hAnsi="宋体" w:cs="宋体"/>
                <w:szCs w:val="21"/>
              </w:rPr>
            </w:pPr>
          </w:p>
        </w:tc>
        <w:tc>
          <w:tcPr>
            <w:tcW w:w="3438" w:type="dxa"/>
            <w:gridSpan w:val="5"/>
            <w:vAlign w:val="center"/>
          </w:tcPr>
          <w:p>
            <w:pPr>
              <w:spacing w:line="440" w:lineRule="exact"/>
              <w:rPr>
                <w:rFonts w:ascii="宋体" w:hAnsi="宋体" w:cs="宋体"/>
                <w:szCs w:val="21"/>
              </w:rPr>
            </w:pPr>
          </w:p>
        </w:tc>
        <w:tc>
          <w:tcPr>
            <w:tcW w:w="1756" w:type="dxa"/>
            <w:vAlign w:val="center"/>
          </w:tcPr>
          <w:p>
            <w:pPr>
              <w:spacing w:line="440" w:lineRule="exact"/>
              <w:rPr>
                <w:rFonts w:ascii="宋体" w:hAnsi="宋体" w:cs="宋体"/>
                <w:szCs w:val="21"/>
              </w:rPr>
            </w:pPr>
          </w:p>
        </w:tc>
        <w:tc>
          <w:tcPr>
            <w:tcW w:w="2438" w:type="dxa"/>
            <w:gridSpan w:val="3"/>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vAlign w:val="center"/>
          </w:tcPr>
          <w:p>
            <w:pPr>
              <w:spacing w:line="440" w:lineRule="exact"/>
              <w:rPr>
                <w:rFonts w:ascii="宋体" w:hAnsi="宋体" w:cs="宋体"/>
                <w:szCs w:val="21"/>
              </w:rPr>
            </w:pPr>
          </w:p>
        </w:tc>
        <w:tc>
          <w:tcPr>
            <w:tcW w:w="3438" w:type="dxa"/>
            <w:gridSpan w:val="5"/>
            <w:vAlign w:val="center"/>
          </w:tcPr>
          <w:p>
            <w:pPr>
              <w:spacing w:line="440" w:lineRule="exact"/>
              <w:rPr>
                <w:rFonts w:ascii="宋体" w:hAnsi="宋体" w:cs="宋体"/>
                <w:szCs w:val="21"/>
              </w:rPr>
            </w:pPr>
          </w:p>
        </w:tc>
        <w:tc>
          <w:tcPr>
            <w:tcW w:w="1756" w:type="dxa"/>
            <w:vAlign w:val="center"/>
          </w:tcPr>
          <w:p>
            <w:pPr>
              <w:spacing w:line="440" w:lineRule="exact"/>
              <w:rPr>
                <w:rFonts w:ascii="宋体" w:hAnsi="宋体" w:cs="宋体"/>
                <w:szCs w:val="21"/>
              </w:rPr>
            </w:pPr>
          </w:p>
        </w:tc>
        <w:tc>
          <w:tcPr>
            <w:tcW w:w="2438" w:type="dxa"/>
            <w:gridSpan w:val="3"/>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vAlign w:val="center"/>
          </w:tcPr>
          <w:p>
            <w:pPr>
              <w:spacing w:line="440" w:lineRule="exact"/>
              <w:rPr>
                <w:rFonts w:ascii="宋体" w:hAnsi="宋体" w:cs="宋体"/>
                <w:szCs w:val="21"/>
              </w:rPr>
            </w:pPr>
          </w:p>
        </w:tc>
        <w:tc>
          <w:tcPr>
            <w:tcW w:w="3438" w:type="dxa"/>
            <w:gridSpan w:val="5"/>
            <w:vAlign w:val="center"/>
          </w:tcPr>
          <w:p>
            <w:pPr>
              <w:spacing w:line="440" w:lineRule="exact"/>
              <w:rPr>
                <w:rFonts w:ascii="宋体" w:hAnsi="宋体" w:cs="宋体"/>
                <w:szCs w:val="21"/>
              </w:rPr>
            </w:pPr>
          </w:p>
        </w:tc>
        <w:tc>
          <w:tcPr>
            <w:tcW w:w="1756" w:type="dxa"/>
            <w:vAlign w:val="center"/>
          </w:tcPr>
          <w:p>
            <w:pPr>
              <w:spacing w:line="440" w:lineRule="exact"/>
              <w:rPr>
                <w:rFonts w:ascii="宋体" w:hAnsi="宋体" w:cs="宋体"/>
                <w:szCs w:val="21"/>
              </w:rPr>
            </w:pPr>
          </w:p>
        </w:tc>
        <w:tc>
          <w:tcPr>
            <w:tcW w:w="2438" w:type="dxa"/>
            <w:gridSpan w:val="3"/>
            <w:vAlign w:val="center"/>
          </w:tcPr>
          <w:p>
            <w:pPr>
              <w:spacing w:line="440" w:lineRule="exact"/>
              <w:rPr>
                <w:rFonts w:ascii="宋体" w:hAnsi="宋体" w:cs="宋体"/>
                <w:szCs w:val="21"/>
              </w:rPr>
            </w:pPr>
          </w:p>
        </w:tc>
      </w:tr>
    </w:tbl>
    <w:p>
      <w:pPr>
        <w:spacing w:line="440" w:lineRule="exact"/>
        <w:ind w:firstLine="315" w:firstLineChars="150"/>
        <w:rPr>
          <w:rFonts w:ascii="宋体" w:hAnsi="宋体" w:cs="宋体"/>
          <w:sz w:val="24"/>
        </w:rPr>
      </w:pPr>
      <w:r>
        <w:rPr>
          <w:rFonts w:hint="eastAsia" w:ascii="宋体" w:hAnsi="宋体" w:cs="宋体"/>
        </w:rPr>
        <w:t>项目经理应附建造师注册证书、安全生产考核合格证书、身份证、职称证，</w:t>
      </w:r>
      <w:r>
        <w:rPr>
          <w:rFonts w:hint="eastAsia" w:ascii="宋体" w:hAnsi="宋体" w:cs="宋体"/>
          <w:szCs w:val="21"/>
        </w:rPr>
        <w:t>当地社保部门出具的近六个月的社会保险缴纳证明</w:t>
      </w:r>
      <w:r>
        <w:rPr>
          <w:rFonts w:hint="eastAsia" w:ascii="宋体" w:hAnsi="宋体" w:cs="宋体"/>
        </w:rPr>
        <w:t>，项目经理类似</w:t>
      </w:r>
      <w:r>
        <w:rPr>
          <w:rFonts w:hint="eastAsia" w:ascii="宋体" w:hAnsi="宋体" w:cs="宋体"/>
          <w:szCs w:val="21"/>
        </w:rPr>
        <w:t>业绩须附：中标通知书（如有）、合同或竣工验收报告,</w:t>
      </w:r>
      <w:r>
        <w:rPr>
          <w:rFonts w:hint="eastAsia" w:ascii="宋体" w:hAnsi="宋体" w:cs="宋体"/>
        </w:rPr>
        <w:t>项目业绩仅限于以项目经理身份参与的项目。</w:t>
      </w:r>
    </w:p>
    <w:p>
      <w:pPr>
        <w:pageBreakBefore/>
        <w:spacing w:line="400" w:lineRule="exact"/>
        <w:rPr>
          <w:rFonts w:ascii="宋体" w:hAnsi="宋体" w:cs="宋体"/>
          <w:sz w:val="24"/>
        </w:rPr>
      </w:pPr>
      <w:r>
        <w:rPr>
          <w:rFonts w:hint="eastAsia" w:ascii="宋体" w:hAnsi="宋体" w:cs="宋体"/>
          <w:sz w:val="24"/>
        </w:rPr>
        <w:t xml:space="preserve">附： </w:t>
      </w:r>
    </w:p>
    <w:p>
      <w:pPr>
        <w:spacing w:line="440" w:lineRule="exact"/>
        <w:jc w:val="center"/>
        <w:rPr>
          <w:rFonts w:ascii="宋体" w:hAnsi="宋体" w:cs="宋体"/>
          <w:szCs w:val="21"/>
        </w:rPr>
      </w:pPr>
      <w:r>
        <w:rPr>
          <w:rFonts w:hint="eastAsia" w:ascii="宋体" w:hAnsi="宋体" w:cs="宋体"/>
          <w:sz w:val="24"/>
        </w:rPr>
        <w:t>承  诺  书</w:t>
      </w: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rPr>
      </w:pPr>
      <w:r>
        <w:rPr>
          <w:rFonts w:hint="eastAsia" w:ascii="宋体" w:hAnsi="宋体" w:cs="宋体"/>
        </w:rPr>
        <w:t>（招标人名称）：</w:t>
      </w:r>
    </w:p>
    <w:p>
      <w:pPr>
        <w:spacing w:line="440" w:lineRule="exact"/>
        <w:ind w:left="283" w:leftChars="135" w:firstLine="567" w:firstLineChars="270"/>
        <w:jc w:val="left"/>
        <w:rPr>
          <w:rFonts w:ascii="宋体" w:hAnsi="宋体" w:cs="宋体"/>
          <w:u w:val="single"/>
        </w:rPr>
      </w:pPr>
      <w:r>
        <w:rPr>
          <w:rFonts w:hint="eastAsia" w:ascii="宋体" w:hAnsi="宋体" w:cs="宋体"/>
        </w:rPr>
        <w:t>我方在此声明，我方拟派往（项目名称）的项目经理（项目经理姓名）现阶段没有担任任何在建工程的项目经理。</w:t>
      </w:r>
    </w:p>
    <w:p>
      <w:pPr>
        <w:spacing w:line="440" w:lineRule="exact"/>
        <w:ind w:firstLine="315" w:firstLineChars="150"/>
        <w:rPr>
          <w:rFonts w:ascii="宋体" w:hAnsi="宋体" w:cs="宋体"/>
        </w:rPr>
      </w:pPr>
      <w:r>
        <w:rPr>
          <w:rFonts w:hint="eastAsia" w:ascii="宋体" w:hAnsi="宋体" w:cs="宋体"/>
        </w:rPr>
        <w:t>我方保证上述信息的真实和准确，并愿意承担因我方就此弄虚作假所引起的一切法律后果。</w:t>
      </w:r>
    </w:p>
    <w:p>
      <w:pPr>
        <w:spacing w:line="440" w:lineRule="exact"/>
        <w:rPr>
          <w:rFonts w:ascii="宋体" w:hAnsi="宋体" w:cs="宋体"/>
        </w:rPr>
      </w:pPr>
    </w:p>
    <w:p>
      <w:pPr>
        <w:spacing w:line="440" w:lineRule="exact"/>
        <w:rPr>
          <w:rFonts w:ascii="宋体" w:hAnsi="宋体" w:cs="宋体"/>
        </w:rPr>
      </w:pPr>
    </w:p>
    <w:p>
      <w:pPr>
        <w:pStyle w:val="41"/>
        <w:spacing w:line="440" w:lineRule="exact"/>
        <w:ind w:firstLine="3045" w:firstLineChars="1450"/>
        <w:rPr>
          <w:rFonts w:ascii="宋体" w:hAnsi="宋体" w:cs="宋体"/>
        </w:rPr>
      </w:pPr>
    </w:p>
    <w:p>
      <w:pPr>
        <w:pStyle w:val="41"/>
        <w:spacing w:line="440" w:lineRule="exact"/>
        <w:ind w:firstLine="3045" w:firstLineChars="1450"/>
        <w:jc w:val="right"/>
        <w:rPr>
          <w:rFonts w:ascii="宋体" w:hAnsi="宋体" w:cs="宋体"/>
        </w:rPr>
      </w:pPr>
      <w:r>
        <w:rPr>
          <w:rFonts w:hint="eastAsia" w:ascii="宋体" w:hAnsi="宋体" w:cs="宋体"/>
        </w:rPr>
        <w:t>投标人：（盖单位公章）</w:t>
      </w:r>
    </w:p>
    <w:p>
      <w:pPr>
        <w:spacing w:line="440" w:lineRule="exact"/>
        <w:jc w:val="right"/>
        <w:rPr>
          <w:rFonts w:ascii="宋体" w:hAnsi="宋体" w:cs="宋体"/>
          <w:szCs w:val="21"/>
        </w:rPr>
      </w:pPr>
      <w:r>
        <w:rPr>
          <w:rFonts w:hint="eastAsia" w:ascii="宋体" w:hAnsi="宋体" w:cs="宋体"/>
          <w:szCs w:val="21"/>
        </w:rPr>
        <w:t xml:space="preserve">                             法定代表人或其委托代理人：（签字）</w:t>
      </w:r>
    </w:p>
    <w:p>
      <w:pPr>
        <w:spacing w:line="440" w:lineRule="exact"/>
        <w:jc w:val="right"/>
        <w:rPr>
          <w:rFonts w:ascii="宋体" w:hAnsi="宋体" w:cs="宋体"/>
          <w:szCs w:val="21"/>
          <w:u w:val="single"/>
        </w:rPr>
      </w:pPr>
    </w:p>
    <w:p>
      <w:pPr>
        <w:spacing w:line="440" w:lineRule="exact"/>
        <w:jc w:val="right"/>
        <w:rPr>
          <w:rFonts w:ascii="宋体" w:hAnsi="宋体" w:cs="宋体"/>
          <w:szCs w:val="21"/>
        </w:rPr>
      </w:pPr>
      <w:r>
        <w:rPr>
          <w:rFonts w:hint="eastAsia" w:ascii="宋体" w:hAnsi="宋体" w:cs="宋体"/>
          <w:szCs w:val="21"/>
        </w:rPr>
        <w:t>年月日</w:t>
      </w:r>
    </w:p>
    <w:p>
      <w:pPr>
        <w:spacing w:line="500" w:lineRule="exact"/>
        <w:jc w:val="right"/>
        <w:rPr>
          <w:rFonts w:ascii="宋体" w:hAnsi="宋体" w:cs="宋体"/>
          <w:b/>
          <w:bCs/>
        </w:rPr>
      </w:pPr>
      <w:r>
        <w:rPr>
          <w:rFonts w:hint="eastAsia" w:ascii="宋体" w:hAnsi="宋体" w:cs="宋体"/>
          <w:b/>
          <w:bCs/>
        </w:rPr>
        <w:br w:type="page"/>
      </w:r>
    </w:p>
    <w:p>
      <w:pPr>
        <w:jc w:val="center"/>
        <w:rPr>
          <w:b/>
          <w:bCs/>
          <w:sz w:val="24"/>
        </w:rPr>
      </w:pPr>
      <w:r>
        <w:rPr>
          <w:rFonts w:hint="eastAsia"/>
          <w:b/>
          <w:bCs/>
          <w:sz w:val="24"/>
        </w:rPr>
        <w:t>拟投入本项目其他人员简历表</w:t>
      </w:r>
    </w:p>
    <w:p>
      <w:pPr>
        <w:pStyle w:val="3"/>
        <w:ind w:left="63" w:right="63"/>
      </w:pPr>
    </w:p>
    <w:tbl>
      <w:tblPr>
        <w:tblStyle w:val="50"/>
        <w:tblW w:w="9280" w:type="dxa"/>
        <w:tblInd w:w="-1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560"/>
        <w:gridCol w:w="3127"/>
        <w:gridCol w:w="2155"/>
        <w:gridCol w:w="24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560" w:type="dxa"/>
            <w:shd w:val="clear" w:color="auto" w:fill="FFFFFF"/>
            <w:vAlign w:val="center"/>
          </w:tcPr>
          <w:p>
            <w:pPr>
              <w:spacing w:line="200" w:lineRule="exact"/>
              <w:ind w:hanging="860"/>
              <w:jc w:val="center"/>
              <w:rPr>
                <w:rFonts w:ascii="宋体" w:hAnsi="Microsoft JhengHei Light" w:cs="宋体"/>
                <w:kern w:val="0"/>
                <w:sz w:val="20"/>
              </w:rPr>
            </w:pPr>
            <w:r>
              <w:rPr>
                <w:rFonts w:ascii="宋体" w:hAnsi="宋体"/>
                <w:color w:val="000000"/>
                <w:kern w:val="0"/>
                <w:sz w:val="20"/>
                <w:lang w:val="zh-TW" w:eastAsia="zh-TW"/>
              </w:rPr>
              <w:t>姓名</w:t>
            </w:r>
          </w:p>
        </w:tc>
        <w:tc>
          <w:tcPr>
            <w:tcW w:w="3127" w:type="dxa"/>
            <w:shd w:val="clear" w:color="auto" w:fill="FFFFFF"/>
          </w:tcPr>
          <w:p>
            <w:pPr>
              <w:rPr>
                <w:sz w:val="10"/>
                <w:szCs w:val="10"/>
              </w:rPr>
            </w:pPr>
          </w:p>
        </w:tc>
        <w:tc>
          <w:tcPr>
            <w:tcW w:w="2155" w:type="dxa"/>
            <w:shd w:val="clear" w:color="auto" w:fill="FFFFFF"/>
            <w:vAlign w:val="center"/>
          </w:tcPr>
          <w:p>
            <w:pPr>
              <w:spacing w:line="200" w:lineRule="exact"/>
              <w:ind w:hanging="860"/>
              <w:jc w:val="center"/>
              <w:rPr>
                <w:rFonts w:ascii="宋体" w:hAnsi="Microsoft JhengHei Light" w:cs="宋体"/>
                <w:kern w:val="0"/>
                <w:sz w:val="20"/>
              </w:rPr>
            </w:pPr>
            <w:r>
              <w:rPr>
                <w:rFonts w:ascii="宋体" w:hAnsi="宋体"/>
                <w:color w:val="000000"/>
                <w:kern w:val="0"/>
                <w:sz w:val="20"/>
                <w:lang w:val="zh-TW" w:eastAsia="zh-TW"/>
              </w:rPr>
              <w:t>年 龄</w:t>
            </w:r>
          </w:p>
        </w:tc>
        <w:tc>
          <w:tcPr>
            <w:tcW w:w="2438" w:type="dxa"/>
            <w:shd w:val="clear" w:color="auto" w:fill="FFFFFF"/>
          </w:tcPr>
          <w:p>
            <w:pPr>
              <w:rPr>
                <w:sz w:val="10"/>
                <w:szCs w:val="1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560" w:type="dxa"/>
            <w:shd w:val="clear" w:color="auto" w:fill="FFFFFF"/>
            <w:vAlign w:val="center"/>
          </w:tcPr>
          <w:p>
            <w:pPr>
              <w:spacing w:line="200" w:lineRule="exact"/>
              <w:ind w:hanging="860"/>
              <w:jc w:val="center"/>
              <w:rPr>
                <w:rFonts w:ascii="宋体" w:hAnsi="Microsoft JhengHei Light" w:cs="宋体"/>
                <w:kern w:val="0"/>
                <w:sz w:val="20"/>
              </w:rPr>
            </w:pPr>
            <w:r>
              <w:rPr>
                <w:rFonts w:ascii="宋体" w:hAnsi="宋体"/>
                <w:color w:val="000000"/>
                <w:kern w:val="0"/>
                <w:sz w:val="20"/>
                <w:lang w:val="zh-TW" w:eastAsia="zh-TW"/>
              </w:rPr>
              <w:t>性别</w:t>
            </w:r>
          </w:p>
        </w:tc>
        <w:tc>
          <w:tcPr>
            <w:tcW w:w="3127" w:type="dxa"/>
            <w:shd w:val="clear" w:color="auto" w:fill="FFFFFF"/>
          </w:tcPr>
          <w:p>
            <w:pPr>
              <w:rPr>
                <w:sz w:val="10"/>
                <w:szCs w:val="10"/>
              </w:rPr>
            </w:pPr>
          </w:p>
        </w:tc>
        <w:tc>
          <w:tcPr>
            <w:tcW w:w="2155" w:type="dxa"/>
            <w:shd w:val="clear" w:color="auto" w:fill="FFFFFF"/>
            <w:vAlign w:val="center"/>
          </w:tcPr>
          <w:p>
            <w:pPr>
              <w:spacing w:line="200" w:lineRule="exact"/>
              <w:ind w:right="400" w:hanging="860"/>
              <w:jc w:val="right"/>
              <w:rPr>
                <w:rFonts w:ascii="宋体" w:hAnsi="Microsoft JhengHei Light" w:cs="宋体"/>
                <w:kern w:val="0"/>
                <w:sz w:val="20"/>
              </w:rPr>
            </w:pPr>
            <w:r>
              <w:rPr>
                <w:rFonts w:ascii="宋体" w:hAnsi="宋体"/>
                <w:color w:val="000000"/>
                <w:kern w:val="0"/>
                <w:sz w:val="20"/>
                <w:lang w:val="zh-TW" w:eastAsia="zh-TW"/>
              </w:rPr>
              <w:t>现任职务/职称</w:t>
            </w:r>
          </w:p>
        </w:tc>
        <w:tc>
          <w:tcPr>
            <w:tcW w:w="2438" w:type="dxa"/>
            <w:shd w:val="clear" w:color="auto" w:fill="FFFFFF"/>
          </w:tcPr>
          <w:p>
            <w:pPr>
              <w:rPr>
                <w:sz w:val="10"/>
                <w:szCs w:val="1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560" w:type="dxa"/>
            <w:shd w:val="clear" w:color="auto" w:fill="FFFFFF"/>
            <w:vAlign w:val="center"/>
          </w:tcPr>
          <w:p>
            <w:pPr>
              <w:spacing w:line="200" w:lineRule="exact"/>
              <w:ind w:left="360" w:hanging="860"/>
              <w:jc w:val="center"/>
              <w:rPr>
                <w:rFonts w:ascii="宋体" w:hAnsi="Microsoft JhengHei Light" w:cs="宋体"/>
                <w:kern w:val="0"/>
                <w:sz w:val="20"/>
              </w:rPr>
            </w:pPr>
            <w:r>
              <w:rPr>
                <w:rFonts w:ascii="宋体" w:hAnsi="宋体"/>
                <w:color w:val="000000"/>
                <w:kern w:val="0"/>
                <w:sz w:val="20"/>
                <w:lang w:val="zh-TW" w:eastAsia="zh-TW"/>
              </w:rPr>
              <w:t>毕业时间</w:t>
            </w:r>
          </w:p>
        </w:tc>
        <w:tc>
          <w:tcPr>
            <w:tcW w:w="3127" w:type="dxa"/>
            <w:shd w:val="clear" w:color="auto" w:fill="FFFFFF"/>
          </w:tcPr>
          <w:p>
            <w:pPr>
              <w:jc w:val="right"/>
              <w:rPr>
                <w:sz w:val="10"/>
                <w:szCs w:val="10"/>
              </w:rPr>
            </w:pPr>
          </w:p>
        </w:tc>
        <w:tc>
          <w:tcPr>
            <w:tcW w:w="2155" w:type="dxa"/>
            <w:shd w:val="clear" w:color="auto" w:fill="FFFFFF"/>
            <w:vAlign w:val="center"/>
          </w:tcPr>
          <w:p>
            <w:pPr>
              <w:spacing w:line="200" w:lineRule="exact"/>
              <w:ind w:left="360" w:right="400" w:hanging="860"/>
              <w:jc w:val="right"/>
              <w:rPr>
                <w:rFonts w:ascii="宋体" w:hAnsi="Microsoft JhengHei Light" w:cs="宋体"/>
                <w:kern w:val="0"/>
                <w:sz w:val="20"/>
              </w:rPr>
            </w:pPr>
            <w:r>
              <w:rPr>
                <w:rFonts w:ascii="宋体" w:hAnsi="宋体"/>
                <w:color w:val="000000"/>
                <w:kern w:val="0"/>
                <w:sz w:val="20"/>
                <w:lang w:val="zh-TW" w:eastAsia="zh-TW"/>
              </w:rPr>
              <w:t>毕业学院及专业</w:t>
            </w:r>
          </w:p>
        </w:tc>
        <w:tc>
          <w:tcPr>
            <w:tcW w:w="2438" w:type="dxa"/>
            <w:shd w:val="clear" w:color="auto" w:fill="FFFFFF"/>
          </w:tcPr>
          <w:p>
            <w:pPr>
              <w:rPr>
                <w:sz w:val="10"/>
                <w:szCs w:val="1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560" w:type="dxa"/>
            <w:shd w:val="clear" w:color="auto" w:fill="FFFFFF"/>
            <w:vAlign w:val="center"/>
          </w:tcPr>
          <w:p>
            <w:pPr>
              <w:spacing w:line="470" w:lineRule="exact"/>
              <w:ind w:left="360" w:right="400" w:hanging="860"/>
              <w:jc w:val="right"/>
              <w:rPr>
                <w:rFonts w:ascii="宋体" w:hAnsi="宋体"/>
                <w:color w:val="000000"/>
                <w:kern w:val="0"/>
                <w:sz w:val="20"/>
                <w:lang w:val="zh-TW"/>
              </w:rPr>
            </w:pPr>
            <w:r>
              <w:rPr>
                <w:rFonts w:ascii="宋体" w:hAnsi="宋体"/>
                <w:color w:val="000000"/>
                <w:kern w:val="0"/>
                <w:sz w:val="20"/>
                <w:lang w:val="zh-TW" w:eastAsia="zh-TW"/>
              </w:rPr>
              <w:t>本项目中</w:t>
            </w:r>
          </w:p>
          <w:p>
            <w:pPr>
              <w:spacing w:line="470" w:lineRule="exact"/>
              <w:ind w:left="360" w:right="400" w:hanging="860"/>
              <w:jc w:val="right"/>
              <w:rPr>
                <w:rFonts w:ascii="宋体" w:hAnsi="Microsoft JhengHei Light" w:cs="宋体"/>
                <w:kern w:val="0"/>
                <w:sz w:val="20"/>
              </w:rPr>
            </w:pPr>
            <w:r>
              <w:rPr>
                <w:rFonts w:ascii="宋体" w:hAnsi="宋体"/>
                <w:color w:val="000000"/>
                <w:kern w:val="0"/>
                <w:sz w:val="20"/>
                <w:lang w:val="zh-TW" w:eastAsia="zh-TW"/>
              </w:rPr>
              <w:t>拟任职务</w:t>
            </w:r>
          </w:p>
        </w:tc>
        <w:tc>
          <w:tcPr>
            <w:tcW w:w="3127" w:type="dxa"/>
            <w:shd w:val="clear" w:color="auto" w:fill="FFFFFF"/>
          </w:tcPr>
          <w:p>
            <w:pPr>
              <w:rPr>
                <w:sz w:val="10"/>
                <w:szCs w:val="10"/>
              </w:rPr>
            </w:pPr>
          </w:p>
        </w:tc>
        <w:tc>
          <w:tcPr>
            <w:tcW w:w="2155" w:type="dxa"/>
            <w:shd w:val="clear" w:color="auto" w:fill="FFFFFF"/>
            <w:vAlign w:val="center"/>
          </w:tcPr>
          <w:p>
            <w:pPr>
              <w:spacing w:line="200" w:lineRule="exact"/>
              <w:ind w:hanging="860"/>
              <w:jc w:val="center"/>
              <w:rPr>
                <w:rFonts w:ascii="宋体" w:hAnsi="Microsoft JhengHei Light" w:cs="宋体"/>
                <w:kern w:val="0"/>
                <w:sz w:val="20"/>
              </w:rPr>
            </w:pPr>
            <w:r>
              <w:rPr>
                <w:rFonts w:hint="eastAsia" w:ascii="宋体" w:hAnsi="宋体"/>
                <w:color w:val="000000"/>
                <w:kern w:val="0"/>
                <w:sz w:val="20"/>
                <w:lang w:val="zh-TW"/>
              </w:rPr>
              <w:t xml:space="preserve">        工作年限</w:t>
            </w:r>
          </w:p>
        </w:tc>
        <w:tc>
          <w:tcPr>
            <w:tcW w:w="2438" w:type="dxa"/>
            <w:shd w:val="clear" w:color="auto" w:fill="FFFFFF"/>
          </w:tcPr>
          <w:p>
            <w:pPr>
              <w:rPr>
                <w:sz w:val="10"/>
                <w:szCs w:val="1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280" w:type="dxa"/>
            <w:gridSpan w:val="4"/>
            <w:shd w:val="clear" w:color="auto" w:fill="FFFFFF"/>
            <w:vAlign w:val="center"/>
          </w:tcPr>
          <w:p>
            <w:pPr>
              <w:spacing w:line="200" w:lineRule="exact"/>
              <w:ind w:hanging="860"/>
              <w:jc w:val="center"/>
              <w:rPr>
                <w:rFonts w:ascii="宋体" w:hAnsi="Microsoft JhengHei Light" w:cs="宋体"/>
                <w:kern w:val="0"/>
                <w:sz w:val="20"/>
              </w:rPr>
            </w:pPr>
            <w:r>
              <w:rPr>
                <w:rFonts w:ascii="宋体" w:hAnsi="宋体" w:cs="宋体"/>
                <w:color w:val="000000"/>
                <w:spacing w:val="50"/>
                <w:kern w:val="0"/>
                <w:sz w:val="20"/>
                <w:lang w:val="zh-TW" w:eastAsia="zh-TW"/>
              </w:rPr>
              <w:t>工作经历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560" w:type="dxa"/>
            <w:shd w:val="clear" w:color="auto" w:fill="FFFFFF"/>
            <w:vAlign w:val="center"/>
          </w:tcPr>
          <w:p>
            <w:pPr>
              <w:spacing w:line="200" w:lineRule="exact"/>
              <w:ind w:right="300" w:hanging="860"/>
              <w:jc w:val="right"/>
              <w:rPr>
                <w:rFonts w:ascii="宋体" w:hAnsi="Microsoft JhengHei Light" w:cs="宋体"/>
                <w:kern w:val="0"/>
                <w:sz w:val="20"/>
              </w:rPr>
            </w:pPr>
            <w:r>
              <w:rPr>
                <w:rFonts w:ascii="宋体" w:hAnsi="宋体" w:cs="宋体"/>
                <w:color w:val="000000"/>
                <w:spacing w:val="50"/>
                <w:kern w:val="0"/>
                <w:sz w:val="20"/>
                <w:lang w:val="zh-TW" w:eastAsia="zh-TW"/>
              </w:rPr>
              <w:t>年</w:t>
            </w:r>
            <w:r>
              <w:rPr>
                <w:rFonts w:hint="eastAsia" w:ascii="宋体" w:hAnsi="宋体" w:cs="宋体"/>
                <w:color w:val="000000"/>
                <w:spacing w:val="50"/>
                <w:kern w:val="0"/>
                <w:sz w:val="20"/>
                <w:lang w:val="zh-TW"/>
              </w:rPr>
              <w:t>—</w:t>
            </w:r>
            <w:r>
              <w:rPr>
                <w:rFonts w:ascii="宋体" w:hAnsi="宋体" w:cs="宋体"/>
                <w:color w:val="000000"/>
                <w:spacing w:val="50"/>
                <w:kern w:val="0"/>
                <w:sz w:val="20"/>
                <w:lang w:val="zh-TW" w:eastAsia="zh-TW"/>
              </w:rPr>
              <w:t>年</w:t>
            </w:r>
          </w:p>
        </w:tc>
        <w:tc>
          <w:tcPr>
            <w:tcW w:w="5282" w:type="dxa"/>
            <w:gridSpan w:val="2"/>
            <w:shd w:val="clear" w:color="auto" w:fill="FFFFFF"/>
            <w:vAlign w:val="center"/>
          </w:tcPr>
          <w:p>
            <w:pPr>
              <w:spacing w:line="200" w:lineRule="exact"/>
              <w:ind w:hanging="860"/>
              <w:jc w:val="center"/>
              <w:rPr>
                <w:rFonts w:ascii="宋体" w:hAnsi="Microsoft JhengHei Light" w:cs="宋体"/>
                <w:kern w:val="0"/>
                <w:sz w:val="20"/>
              </w:rPr>
            </w:pPr>
            <w:r>
              <w:rPr>
                <w:rFonts w:ascii="宋体" w:hAnsi="宋体"/>
                <w:color w:val="000000"/>
                <w:kern w:val="0"/>
                <w:sz w:val="20"/>
                <w:lang w:val="zh-TW" w:eastAsia="zh-TW"/>
              </w:rPr>
              <w:t>参加过施工的工程项目名称（类型和金额</w:t>
            </w:r>
            <w:r>
              <w:rPr>
                <w:rFonts w:ascii="宋体" w:hAnsi="宋体"/>
                <w:color w:val="000000"/>
                <w:kern w:val="0"/>
                <w:sz w:val="20"/>
              </w:rPr>
              <w:t>）</w:t>
            </w:r>
          </w:p>
        </w:tc>
        <w:tc>
          <w:tcPr>
            <w:tcW w:w="2438" w:type="dxa"/>
            <w:shd w:val="clear" w:color="auto" w:fill="FFFFFF"/>
            <w:vAlign w:val="center"/>
          </w:tcPr>
          <w:p>
            <w:pPr>
              <w:spacing w:line="200" w:lineRule="exact"/>
              <w:ind w:hanging="860"/>
              <w:jc w:val="center"/>
              <w:rPr>
                <w:rFonts w:ascii="宋体" w:hAnsi="Microsoft JhengHei Light" w:cs="宋体"/>
                <w:kern w:val="0"/>
                <w:sz w:val="20"/>
              </w:rPr>
            </w:pPr>
            <w:r>
              <w:rPr>
                <w:rFonts w:ascii="宋体" w:hAnsi="宋体"/>
                <w:color w:val="000000"/>
                <w:kern w:val="0"/>
                <w:sz w:val="20"/>
                <w:lang w:val="zh-TW" w:eastAsia="zh-TW"/>
              </w:rPr>
              <w:t>该项目中任职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560" w:type="dxa"/>
            <w:shd w:val="clear" w:color="auto" w:fill="FFFFFF"/>
          </w:tcPr>
          <w:p>
            <w:pPr>
              <w:rPr>
                <w:sz w:val="10"/>
                <w:szCs w:val="10"/>
              </w:rPr>
            </w:pPr>
          </w:p>
        </w:tc>
        <w:tc>
          <w:tcPr>
            <w:tcW w:w="5282" w:type="dxa"/>
            <w:gridSpan w:val="2"/>
            <w:shd w:val="clear" w:color="auto" w:fill="FFFFFF"/>
          </w:tcPr>
          <w:p>
            <w:pPr>
              <w:rPr>
                <w:sz w:val="10"/>
                <w:szCs w:val="10"/>
              </w:rPr>
            </w:pPr>
          </w:p>
        </w:tc>
        <w:tc>
          <w:tcPr>
            <w:tcW w:w="2438" w:type="dxa"/>
            <w:shd w:val="clear" w:color="auto" w:fill="FFFFFF"/>
          </w:tcPr>
          <w:p>
            <w:pPr>
              <w:rPr>
                <w:sz w:val="10"/>
                <w:szCs w:val="1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560" w:type="dxa"/>
            <w:shd w:val="clear" w:color="auto" w:fill="FFFFFF"/>
          </w:tcPr>
          <w:p>
            <w:pPr>
              <w:rPr>
                <w:sz w:val="10"/>
                <w:szCs w:val="10"/>
              </w:rPr>
            </w:pPr>
          </w:p>
        </w:tc>
        <w:tc>
          <w:tcPr>
            <w:tcW w:w="5282" w:type="dxa"/>
            <w:gridSpan w:val="2"/>
            <w:shd w:val="clear" w:color="auto" w:fill="FFFFFF"/>
          </w:tcPr>
          <w:p>
            <w:pPr>
              <w:rPr>
                <w:sz w:val="10"/>
                <w:szCs w:val="10"/>
              </w:rPr>
            </w:pPr>
          </w:p>
        </w:tc>
        <w:tc>
          <w:tcPr>
            <w:tcW w:w="2438" w:type="dxa"/>
            <w:shd w:val="clear" w:color="auto" w:fill="FFFFFF"/>
          </w:tcPr>
          <w:p>
            <w:pPr>
              <w:rPr>
                <w:sz w:val="10"/>
                <w:szCs w:val="1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560" w:type="dxa"/>
            <w:shd w:val="clear" w:color="auto" w:fill="FFFFFF"/>
          </w:tcPr>
          <w:p>
            <w:pPr>
              <w:rPr>
                <w:sz w:val="10"/>
                <w:szCs w:val="10"/>
              </w:rPr>
            </w:pPr>
          </w:p>
        </w:tc>
        <w:tc>
          <w:tcPr>
            <w:tcW w:w="5282" w:type="dxa"/>
            <w:gridSpan w:val="2"/>
            <w:shd w:val="clear" w:color="auto" w:fill="FFFFFF"/>
          </w:tcPr>
          <w:p>
            <w:pPr>
              <w:rPr>
                <w:sz w:val="10"/>
                <w:szCs w:val="10"/>
              </w:rPr>
            </w:pPr>
          </w:p>
        </w:tc>
        <w:tc>
          <w:tcPr>
            <w:tcW w:w="2438" w:type="dxa"/>
            <w:shd w:val="clear" w:color="auto" w:fill="FFFFFF"/>
          </w:tcPr>
          <w:p>
            <w:pPr>
              <w:rPr>
                <w:sz w:val="10"/>
                <w:szCs w:val="1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560" w:type="dxa"/>
            <w:shd w:val="clear" w:color="auto" w:fill="FFFFFF"/>
          </w:tcPr>
          <w:p>
            <w:pPr>
              <w:rPr>
                <w:sz w:val="10"/>
                <w:szCs w:val="10"/>
              </w:rPr>
            </w:pPr>
          </w:p>
        </w:tc>
        <w:tc>
          <w:tcPr>
            <w:tcW w:w="5282" w:type="dxa"/>
            <w:gridSpan w:val="2"/>
            <w:shd w:val="clear" w:color="auto" w:fill="FFFFFF"/>
          </w:tcPr>
          <w:p>
            <w:pPr>
              <w:rPr>
                <w:sz w:val="10"/>
                <w:szCs w:val="10"/>
              </w:rPr>
            </w:pPr>
          </w:p>
        </w:tc>
        <w:tc>
          <w:tcPr>
            <w:tcW w:w="2438" w:type="dxa"/>
            <w:shd w:val="clear" w:color="auto" w:fill="FFFFFF"/>
          </w:tcPr>
          <w:p>
            <w:pPr>
              <w:rPr>
                <w:sz w:val="10"/>
                <w:szCs w:val="1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560" w:type="dxa"/>
            <w:shd w:val="clear" w:color="auto" w:fill="FFFFFF"/>
          </w:tcPr>
          <w:p>
            <w:pPr>
              <w:rPr>
                <w:sz w:val="10"/>
                <w:szCs w:val="10"/>
              </w:rPr>
            </w:pPr>
          </w:p>
        </w:tc>
        <w:tc>
          <w:tcPr>
            <w:tcW w:w="5282" w:type="dxa"/>
            <w:gridSpan w:val="2"/>
            <w:shd w:val="clear" w:color="auto" w:fill="FFFFFF"/>
          </w:tcPr>
          <w:p>
            <w:pPr>
              <w:rPr>
                <w:sz w:val="10"/>
                <w:szCs w:val="10"/>
              </w:rPr>
            </w:pPr>
          </w:p>
        </w:tc>
        <w:tc>
          <w:tcPr>
            <w:tcW w:w="2438" w:type="dxa"/>
            <w:shd w:val="clear" w:color="auto" w:fill="FFFFFF"/>
          </w:tcPr>
          <w:p>
            <w:pPr>
              <w:rPr>
                <w:sz w:val="10"/>
                <w:szCs w:val="10"/>
              </w:rPr>
            </w:pPr>
          </w:p>
        </w:tc>
      </w:tr>
    </w:tbl>
    <w:p/>
    <w:p>
      <w:pPr>
        <w:spacing w:line="440" w:lineRule="exact"/>
        <w:jc w:val="left"/>
        <w:rPr>
          <w:rFonts w:ascii="宋体" w:hAnsi="宋体"/>
          <w:color w:val="000000"/>
          <w:kern w:val="0"/>
          <w:sz w:val="20"/>
        </w:rPr>
      </w:pPr>
      <w:r>
        <w:rPr>
          <w:rFonts w:ascii="宋体" w:hAnsi="宋体"/>
          <w:color w:val="000000"/>
          <w:kern w:val="0"/>
          <w:sz w:val="20"/>
        </w:rPr>
        <w:t>注：</w:t>
      </w:r>
    </w:p>
    <w:p>
      <w:pPr>
        <w:spacing w:line="440" w:lineRule="exact"/>
        <w:jc w:val="left"/>
        <w:rPr>
          <w:rFonts w:ascii="宋体" w:hAnsi="宋体"/>
          <w:color w:val="000000"/>
          <w:kern w:val="0"/>
          <w:sz w:val="20"/>
        </w:rPr>
      </w:pPr>
      <w:r>
        <w:rPr>
          <w:rFonts w:ascii="宋体" w:hAnsi="宋体"/>
          <w:color w:val="000000"/>
          <w:kern w:val="0"/>
          <w:sz w:val="20"/>
        </w:rPr>
        <w:t>1.需填报本表的主要人员包括“拟投入本</w:t>
      </w:r>
      <w:r>
        <w:rPr>
          <w:rFonts w:hint="eastAsia" w:ascii="宋体" w:hAnsi="宋体"/>
          <w:color w:val="000000"/>
          <w:kern w:val="0"/>
          <w:sz w:val="20"/>
        </w:rPr>
        <w:t>项目</w:t>
      </w:r>
      <w:r>
        <w:rPr>
          <w:rFonts w:ascii="宋体" w:hAnsi="宋体"/>
          <w:color w:val="000000"/>
          <w:kern w:val="0"/>
          <w:sz w:val="20"/>
        </w:rPr>
        <w:t>主要人员汇总表”中</w:t>
      </w:r>
      <w:r>
        <w:rPr>
          <w:rFonts w:hint="eastAsia" w:ascii="宋体" w:hAnsi="宋体"/>
          <w:color w:val="000000"/>
          <w:kern w:val="0"/>
          <w:sz w:val="20"/>
        </w:rPr>
        <w:t>除项目经理外</w:t>
      </w:r>
      <w:r>
        <w:rPr>
          <w:rFonts w:ascii="宋体" w:hAnsi="宋体"/>
          <w:color w:val="000000"/>
          <w:kern w:val="0"/>
          <w:sz w:val="20"/>
        </w:rPr>
        <w:t>的所有人员。</w:t>
      </w:r>
    </w:p>
    <w:p>
      <w:pPr>
        <w:spacing w:line="440" w:lineRule="exact"/>
        <w:jc w:val="left"/>
        <w:rPr>
          <w:rFonts w:ascii="宋体" w:hAnsi="宋体"/>
          <w:color w:val="000000"/>
          <w:kern w:val="0"/>
          <w:sz w:val="20"/>
        </w:rPr>
      </w:pPr>
      <w:r>
        <w:rPr>
          <w:rFonts w:ascii="宋体" w:hAnsi="宋体"/>
          <w:color w:val="000000"/>
          <w:kern w:val="0"/>
          <w:sz w:val="20"/>
        </w:rPr>
        <w:t>2.人员的身份证、职称证、资格证书、注册证书和上岗证等相关资料（技术负责人、专职安全生产管理人员须附安全生产考核合格证）的复印件附后。</w:t>
      </w:r>
    </w:p>
    <w:p>
      <w:pPr>
        <w:spacing w:line="440" w:lineRule="exact"/>
        <w:jc w:val="left"/>
        <w:rPr>
          <w:rFonts w:ascii="宋体" w:hAnsi="宋体"/>
          <w:color w:val="000000"/>
          <w:kern w:val="0"/>
          <w:sz w:val="20"/>
        </w:rPr>
      </w:pPr>
      <w:r>
        <w:rPr>
          <w:rFonts w:ascii="宋体" w:hAnsi="宋体"/>
          <w:color w:val="000000"/>
          <w:kern w:val="0"/>
          <w:sz w:val="20"/>
        </w:rPr>
        <w:t>3.技术负责人业绩证明文件的复印件附后，证明文件应至少附以下文件</w:t>
      </w:r>
      <w:r>
        <w:rPr>
          <w:rFonts w:hint="eastAsia" w:ascii="宋体" w:hAnsi="宋体"/>
          <w:color w:val="000000"/>
          <w:kern w:val="0"/>
          <w:sz w:val="20"/>
        </w:rPr>
        <w:t>：</w:t>
      </w:r>
    </w:p>
    <w:p>
      <w:pPr>
        <w:spacing w:line="440" w:lineRule="exact"/>
        <w:jc w:val="left"/>
        <w:rPr>
          <w:rFonts w:ascii="宋体" w:hAnsi="宋体"/>
          <w:color w:val="000000"/>
          <w:kern w:val="0"/>
          <w:sz w:val="20"/>
        </w:rPr>
      </w:pPr>
      <w:r>
        <w:rPr>
          <w:rFonts w:hint="eastAsia" w:ascii="宋体" w:hAnsi="宋体"/>
          <w:color w:val="000000"/>
          <w:kern w:val="0"/>
          <w:sz w:val="20"/>
        </w:rPr>
        <w:t>（1）中标通知书或</w:t>
      </w:r>
      <w:r>
        <w:rPr>
          <w:rFonts w:ascii="宋体" w:hAnsi="宋体"/>
          <w:color w:val="000000"/>
          <w:kern w:val="0"/>
          <w:sz w:val="20"/>
        </w:rPr>
        <w:t>合同协议书（首尾各两页及能证明业绩的其他相关页）；</w:t>
      </w:r>
    </w:p>
    <w:p>
      <w:pPr>
        <w:spacing w:line="440" w:lineRule="exact"/>
        <w:jc w:val="left"/>
        <w:rPr>
          <w:rFonts w:ascii="宋体" w:hAnsi="宋体" w:cs="宋体"/>
        </w:rPr>
      </w:pPr>
      <w:r>
        <w:rPr>
          <w:rFonts w:hint="eastAsia" w:ascii="宋体" w:hAnsi="宋体"/>
          <w:color w:val="000000"/>
          <w:kern w:val="0"/>
          <w:sz w:val="20"/>
        </w:rPr>
        <w:t>（2）</w:t>
      </w:r>
      <w:r>
        <w:rPr>
          <w:rFonts w:ascii="宋体" w:hAnsi="宋体"/>
          <w:color w:val="000000"/>
          <w:kern w:val="0"/>
          <w:sz w:val="20"/>
        </w:rPr>
        <w:t>竣工验收证明文件（或单位（子单位）工程质量竣工验收记录）或建设行政主管部门或业主出具的证明文件</w:t>
      </w:r>
      <w:r>
        <w:rPr>
          <w:rFonts w:hint="eastAsia" w:ascii="宋体" w:hAnsi="宋体"/>
          <w:color w:val="000000"/>
          <w:kern w:val="0"/>
          <w:sz w:val="20"/>
        </w:rPr>
        <w:t>。</w:t>
      </w:r>
    </w:p>
    <w:p>
      <w:pPr>
        <w:topLinePunct/>
        <w:spacing w:line="440" w:lineRule="exact"/>
        <w:jc w:val="center"/>
        <w:rPr>
          <w:rFonts w:ascii="宋体" w:hAnsi="宋体" w:cs="宋体"/>
        </w:rPr>
      </w:pPr>
      <w:r>
        <w:rPr>
          <w:rFonts w:hint="eastAsia" w:ascii="宋体" w:hAnsi="宋体" w:cs="宋体"/>
        </w:rPr>
        <w:br w:type="page"/>
      </w:r>
    </w:p>
    <w:p>
      <w:pPr>
        <w:pStyle w:val="5"/>
        <w:numPr>
          <w:ilvl w:val="0"/>
          <w:numId w:val="7"/>
        </w:numPr>
        <w:jc w:val="center"/>
        <w:rPr>
          <w:rFonts w:ascii="宋体" w:hAnsi="宋体" w:eastAsia="宋体" w:cs="宋体"/>
          <w:bCs w:val="0"/>
          <w:sz w:val="28"/>
          <w:szCs w:val="28"/>
        </w:rPr>
      </w:pPr>
      <w:bookmarkStart w:id="654" w:name="_Toc21632"/>
      <w:r>
        <w:rPr>
          <w:rFonts w:hint="eastAsia" w:ascii="宋体" w:hAnsi="宋体" w:eastAsia="宋体" w:cs="宋体"/>
          <w:bCs w:val="0"/>
          <w:sz w:val="28"/>
          <w:szCs w:val="28"/>
        </w:rPr>
        <w:t>资格审查资料</w:t>
      </w:r>
      <w:bookmarkEnd w:id="654"/>
    </w:p>
    <w:p>
      <w:pPr>
        <w:jc w:val="center"/>
        <w:rPr>
          <w:b/>
          <w:bCs/>
          <w:sz w:val="24"/>
        </w:rPr>
      </w:pPr>
      <w:r>
        <w:rPr>
          <w:rFonts w:hint="eastAsia"/>
          <w:b/>
          <w:bCs/>
          <w:sz w:val="24"/>
        </w:rPr>
        <w:t>（如为联合体投标的须附联合体全体成员的相关证件及资料）</w:t>
      </w:r>
    </w:p>
    <w:p/>
    <w:p>
      <w:pPr>
        <w:pStyle w:val="102"/>
        <w:rPr>
          <w:rFonts w:ascii="宋体" w:hAnsi="宋体" w:eastAsia="宋体"/>
          <w:sz w:val="24"/>
          <w:szCs w:val="24"/>
        </w:rPr>
      </w:pPr>
      <w:bookmarkStart w:id="655" w:name="_Toc152045808"/>
      <w:bookmarkStart w:id="656" w:name="_Toc456354386"/>
      <w:bookmarkStart w:id="657" w:name="_Toc144974876"/>
      <w:bookmarkStart w:id="658" w:name="_Toc179632828"/>
      <w:bookmarkStart w:id="659" w:name="_Toc152042597"/>
      <w:bookmarkStart w:id="660" w:name="_Toc341280461"/>
      <w:bookmarkStart w:id="661" w:name="_Toc32472"/>
      <w:r>
        <w:rPr>
          <w:rFonts w:hint="eastAsia" w:ascii="宋体" w:hAnsi="宋体" w:eastAsia="宋体"/>
          <w:sz w:val="24"/>
          <w:szCs w:val="24"/>
        </w:rPr>
        <w:t>（一）投标人基本情况表</w:t>
      </w:r>
      <w:bookmarkEnd w:id="655"/>
      <w:bookmarkEnd w:id="656"/>
      <w:bookmarkEnd w:id="657"/>
      <w:bookmarkEnd w:id="658"/>
      <w:bookmarkEnd w:id="659"/>
      <w:bookmarkEnd w:id="660"/>
      <w:bookmarkEnd w:id="661"/>
    </w:p>
    <w:p>
      <w:pPr>
        <w:topLinePunct/>
        <w:spacing w:line="440" w:lineRule="exact"/>
        <w:jc w:val="center"/>
        <w:rPr>
          <w:rFonts w:ascii="宋体" w:hAnsi="宋体" w:cs="宋体"/>
          <w:sz w:val="23"/>
        </w:rPr>
      </w:pPr>
    </w:p>
    <w:tbl>
      <w:tblPr>
        <w:tblStyle w:val="50"/>
        <w:tblW w:w="856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投标人名称</w:t>
            </w:r>
          </w:p>
        </w:tc>
        <w:tc>
          <w:tcPr>
            <w:tcW w:w="6840" w:type="dxa"/>
            <w:gridSpan w:val="9"/>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邮政编码</w:t>
            </w:r>
          </w:p>
        </w:tc>
        <w:tc>
          <w:tcPr>
            <w:tcW w:w="2342" w:type="dxa"/>
            <w:gridSpan w:val="3"/>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1728" w:type="dxa"/>
            <w:vMerge w:val="restart"/>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电 话</w:t>
            </w:r>
          </w:p>
        </w:tc>
        <w:tc>
          <w:tcPr>
            <w:tcW w:w="2342" w:type="dxa"/>
            <w:gridSpan w:val="3"/>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1728" w:type="dxa"/>
            <w:vMerge w:val="continue"/>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网 址</w:t>
            </w:r>
          </w:p>
        </w:tc>
        <w:tc>
          <w:tcPr>
            <w:tcW w:w="2342" w:type="dxa"/>
            <w:gridSpan w:val="3"/>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组织结构</w:t>
            </w:r>
          </w:p>
        </w:tc>
        <w:tc>
          <w:tcPr>
            <w:tcW w:w="6840" w:type="dxa"/>
            <w:gridSpan w:val="9"/>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电话</w:t>
            </w:r>
          </w:p>
        </w:tc>
        <w:tc>
          <w:tcPr>
            <w:tcW w:w="992" w:type="dxa"/>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电话</w:t>
            </w:r>
          </w:p>
        </w:tc>
        <w:tc>
          <w:tcPr>
            <w:tcW w:w="992" w:type="dxa"/>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4991" w:type="dxa"/>
            <w:gridSpan w:val="7"/>
            <w:tcBorders>
              <w:top w:val="single" w:color="auto" w:sz="4" w:space="0"/>
              <w:left w:val="single" w:color="auto" w:sz="4" w:space="0"/>
              <w:bottom w:val="single" w:color="auto" w:sz="4" w:space="0"/>
            </w:tcBorders>
            <w:vAlign w:val="center"/>
          </w:tcPr>
          <w:p>
            <w:pPr>
              <w:topLinePunct/>
              <w:spacing w:line="440" w:lineRule="exact"/>
              <w:ind w:firstLine="105" w:firstLineChars="50"/>
              <w:jc w:val="center"/>
              <w:rPr>
                <w:rFonts w:ascii="宋体" w:hAnsi="宋体" w:cs="宋体"/>
              </w:rPr>
            </w:pPr>
            <w:r>
              <w:rPr>
                <w:rFonts w:hint="eastAsia" w:ascii="宋体" w:hAnsi="宋体" w:cs="宋体"/>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项目经理</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高级职称人员</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中级职称人员</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初级职称人员</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pStyle w:val="31"/>
              <w:ind w:firstLine="420" w:firstLineChars="200"/>
              <w:rPr>
                <w:rFonts w:ascii="宋体" w:hAnsi="宋体" w:cs="宋体"/>
              </w:rPr>
            </w:pPr>
            <w:r>
              <w:rPr>
                <w:rFonts w:hint="eastAsia" w:ascii="宋体" w:hAnsi="宋体" w:cs="宋体"/>
                <w:caps/>
              </w:rPr>
              <w:t>技  工</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28" w:type="dxa"/>
            <w:tcBorders>
              <w:top w:val="single" w:color="auto" w:sz="4" w:space="0"/>
              <w:right w:val="single" w:color="auto" w:sz="4" w:space="0"/>
            </w:tcBorders>
            <w:vAlign w:val="center"/>
          </w:tcPr>
          <w:p>
            <w:pPr>
              <w:topLinePunct/>
              <w:spacing w:line="440" w:lineRule="exact"/>
              <w:ind w:firstLine="210" w:firstLineChars="100"/>
              <w:jc w:val="center"/>
              <w:rPr>
                <w:rFonts w:ascii="宋体" w:hAnsi="宋体" w:cs="宋体"/>
              </w:rPr>
            </w:pPr>
            <w:r>
              <w:rPr>
                <w:rFonts w:hint="eastAsia" w:ascii="宋体" w:hAnsi="宋体" w:cs="宋体"/>
              </w:rPr>
              <w:t>经营范围</w:t>
            </w:r>
          </w:p>
        </w:tc>
        <w:tc>
          <w:tcPr>
            <w:tcW w:w="6840" w:type="dxa"/>
            <w:gridSpan w:val="9"/>
            <w:tcBorders>
              <w:top w:val="single" w:color="auto" w:sz="4" w:space="0"/>
              <w:left w:val="single" w:color="auto" w:sz="4" w:space="0"/>
            </w:tcBorders>
            <w:vAlign w:val="center"/>
          </w:tcPr>
          <w:p>
            <w:pPr>
              <w:topLinePunct/>
              <w:spacing w:line="440" w:lineRule="exact"/>
              <w:jc w:val="center"/>
              <w:rPr>
                <w:rFonts w:ascii="宋体" w:hAnsi="宋体" w:cs="宋体"/>
              </w:rPr>
            </w:pPr>
          </w:p>
          <w:p>
            <w:pPr>
              <w:topLinePunct/>
              <w:spacing w:line="440" w:lineRule="exact"/>
              <w:jc w:val="center"/>
              <w:rPr>
                <w:rFonts w:ascii="宋体" w:hAnsi="宋体" w:cs="宋体"/>
              </w:rPr>
            </w:pPr>
          </w:p>
          <w:p>
            <w:pPr>
              <w:topLinePunct/>
              <w:spacing w:line="440" w:lineRule="exact"/>
              <w:jc w:val="center"/>
              <w:rPr>
                <w:rFonts w:ascii="宋体" w:hAnsi="宋体" w:cs="宋体"/>
              </w:rPr>
            </w:pPr>
          </w:p>
          <w:p>
            <w:pPr>
              <w:topLinePunct/>
              <w:spacing w:line="440" w:lineRule="exact"/>
              <w:jc w:val="center"/>
              <w:rPr>
                <w:rFonts w:ascii="宋体" w:hAnsi="宋体" w:cs="宋体"/>
              </w:rPr>
            </w:pPr>
          </w:p>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备注</w:t>
            </w:r>
          </w:p>
        </w:tc>
        <w:tc>
          <w:tcPr>
            <w:tcW w:w="6840" w:type="dxa"/>
            <w:gridSpan w:val="9"/>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s="宋体"/>
              </w:rPr>
            </w:pPr>
          </w:p>
        </w:tc>
      </w:tr>
    </w:tbl>
    <w:p>
      <w:pPr>
        <w:topLinePunct/>
        <w:spacing w:line="440" w:lineRule="exact"/>
        <w:rPr>
          <w:rFonts w:ascii="宋体" w:hAnsi="宋体" w:cs="宋体"/>
          <w:szCs w:val="21"/>
        </w:rPr>
      </w:pPr>
      <w:r>
        <w:rPr>
          <w:rFonts w:hint="eastAsia" w:ascii="宋体" w:hAnsi="宋体" w:cs="宋体"/>
          <w:szCs w:val="21"/>
        </w:rPr>
        <w:t>后附资格审查相关资料。</w:t>
      </w:r>
    </w:p>
    <w:p>
      <w:pPr>
        <w:topLinePunct/>
        <w:spacing w:line="440" w:lineRule="exact"/>
        <w:rPr>
          <w:rFonts w:ascii="宋体" w:hAnsi="宋体" w:cs="宋体"/>
          <w:sz w:val="20"/>
        </w:rPr>
      </w:pPr>
    </w:p>
    <w:p>
      <w:pPr>
        <w:pStyle w:val="3"/>
        <w:ind w:right="63"/>
        <w:rPr>
          <w:rFonts w:hAnsi="宋体" w:cs="宋体"/>
          <w:sz w:val="20"/>
        </w:rPr>
      </w:pPr>
    </w:p>
    <w:p>
      <w:pPr>
        <w:pStyle w:val="102"/>
        <w:rPr>
          <w:rFonts w:ascii="宋体" w:hAnsi="宋体" w:eastAsia="宋体"/>
          <w:sz w:val="24"/>
          <w:szCs w:val="24"/>
        </w:rPr>
      </w:pPr>
      <w:bookmarkStart w:id="662" w:name="_Toc179632829"/>
      <w:bookmarkStart w:id="663" w:name="_Toc456354387"/>
      <w:bookmarkStart w:id="664" w:name="_Toc152042598"/>
      <w:bookmarkStart w:id="665" w:name="_Toc341280462"/>
      <w:bookmarkStart w:id="666" w:name="_Toc144974877"/>
      <w:bookmarkStart w:id="667" w:name="_Toc24060"/>
      <w:bookmarkStart w:id="668" w:name="_Toc152045809"/>
      <w:r>
        <w:rPr>
          <w:rFonts w:hint="eastAsia" w:ascii="宋体" w:hAnsi="宋体" w:eastAsia="宋体"/>
          <w:sz w:val="24"/>
          <w:szCs w:val="24"/>
        </w:rPr>
        <w:t>（二）近年财务状况表</w:t>
      </w:r>
      <w:bookmarkEnd w:id="662"/>
      <w:bookmarkEnd w:id="663"/>
      <w:bookmarkEnd w:id="664"/>
      <w:bookmarkEnd w:id="665"/>
      <w:bookmarkEnd w:id="666"/>
      <w:bookmarkEnd w:id="667"/>
      <w:bookmarkEnd w:id="668"/>
    </w:p>
    <w:p>
      <w:pPr>
        <w:jc w:val="center"/>
        <w:rPr>
          <w:b/>
          <w:bCs/>
          <w:sz w:val="24"/>
        </w:rPr>
      </w:pPr>
      <w:bookmarkStart w:id="669" w:name="_Toc152047267"/>
      <w:bookmarkStart w:id="670" w:name="_Toc384326401"/>
      <w:bookmarkStart w:id="671" w:name="_Toc179715760"/>
      <w:bookmarkStart w:id="672" w:name="_Toc144974471"/>
      <w:r>
        <w:rPr>
          <w:rFonts w:hint="eastAsia"/>
          <w:b/>
          <w:bCs/>
          <w:sz w:val="24"/>
        </w:rPr>
        <w:t>近年财务状况表</w:t>
      </w:r>
      <w:bookmarkEnd w:id="669"/>
      <w:bookmarkEnd w:id="670"/>
      <w:bookmarkEnd w:id="671"/>
      <w:bookmarkEnd w:id="672"/>
    </w:p>
    <w:tbl>
      <w:tblPr>
        <w:tblStyle w:val="50"/>
        <w:tblW w:w="8480" w:type="dxa"/>
        <w:jc w:val="center"/>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29"/>
        <w:gridCol w:w="3217"/>
        <w:gridCol w:w="23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jc w:val="center"/>
              <w:rPr>
                <w:rFonts w:ascii="宋体" w:hAnsi="宋体"/>
                <w:sz w:val="20"/>
              </w:rPr>
            </w:pPr>
            <w:r>
              <w:rPr>
                <w:rFonts w:ascii="宋体" w:hAnsi="宋体"/>
                <w:sz w:val="20"/>
              </w:rPr>
              <w:t>项目或指标</w:t>
            </w:r>
          </w:p>
        </w:tc>
        <w:tc>
          <w:tcPr>
            <w:tcW w:w="3217" w:type="dxa"/>
            <w:shd w:val="clear" w:color="auto" w:fill="auto"/>
            <w:vAlign w:val="center"/>
          </w:tcPr>
          <w:p>
            <w:pPr>
              <w:spacing w:line="400" w:lineRule="exact"/>
              <w:jc w:val="center"/>
              <w:rPr>
                <w:rFonts w:ascii="宋体" w:hAnsi="宋体"/>
                <w:sz w:val="20"/>
              </w:rPr>
            </w:pPr>
            <w:r>
              <w:rPr>
                <w:rFonts w:ascii="宋体" w:hAnsi="宋体"/>
                <w:sz w:val="20"/>
              </w:rPr>
              <w:t>单位</w:t>
            </w:r>
          </w:p>
        </w:tc>
        <w:tc>
          <w:tcPr>
            <w:tcW w:w="2334" w:type="dxa"/>
            <w:shd w:val="clear" w:color="auto" w:fill="auto"/>
            <w:vAlign w:val="center"/>
          </w:tcPr>
          <w:p>
            <w:pPr>
              <w:spacing w:line="400" w:lineRule="exact"/>
              <w:jc w:val="center"/>
              <w:rPr>
                <w:rFonts w:ascii="宋体" w:hAnsi="宋体"/>
                <w:sz w:val="20"/>
              </w:rPr>
            </w:pPr>
            <w:r>
              <w:rPr>
                <w:rFonts w:hint="eastAsia" w:ascii="宋体" w:hAnsi="宋体"/>
                <w:sz w:val="20"/>
              </w:rPr>
              <w:t>2016年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一、注册资金</w:t>
            </w:r>
          </w:p>
        </w:tc>
        <w:tc>
          <w:tcPr>
            <w:tcW w:w="3217" w:type="dxa"/>
            <w:shd w:val="clear" w:color="auto" w:fill="auto"/>
            <w:vAlign w:val="center"/>
          </w:tcPr>
          <w:p>
            <w:pPr>
              <w:spacing w:line="400" w:lineRule="exact"/>
              <w:jc w:val="center"/>
              <w:rPr>
                <w:rFonts w:ascii="宋体" w:hAnsi="宋体"/>
                <w:sz w:val="20"/>
              </w:rPr>
            </w:pPr>
            <w:r>
              <w:rPr>
                <w:rFonts w:ascii="宋体" w:hAnsi="宋体"/>
                <w:sz w:val="20"/>
              </w:rPr>
              <w:t>万元</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二、净资产</w:t>
            </w:r>
          </w:p>
        </w:tc>
        <w:tc>
          <w:tcPr>
            <w:tcW w:w="3217" w:type="dxa"/>
            <w:shd w:val="clear" w:color="auto" w:fill="auto"/>
            <w:vAlign w:val="center"/>
          </w:tcPr>
          <w:p>
            <w:pPr>
              <w:jc w:val="center"/>
              <w:rPr>
                <w:rFonts w:ascii="宋体" w:hAnsi="宋体"/>
                <w:sz w:val="20"/>
              </w:rPr>
            </w:pPr>
            <w:r>
              <w:rPr>
                <w:rFonts w:ascii="宋体" w:hAnsi="宋体"/>
                <w:sz w:val="20"/>
              </w:rPr>
              <w:t>万元</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三、总资产</w:t>
            </w:r>
          </w:p>
        </w:tc>
        <w:tc>
          <w:tcPr>
            <w:tcW w:w="3217" w:type="dxa"/>
            <w:shd w:val="clear" w:color="auto" w:fill="auto"/>
            <w:vAlign w:val="center"/>
          </w:tcPr>
          <w:p>
            <w:pPr>
              <w:jc w:val="center"/>
              <w:rPr>
                <w:rFonts w:ascii="宋体" w:hAnsi="宋体"/>
                <w:sz w:val="20"/>
              </w:rPr>
            </w:pPr>
            <w:r>
              <w:rPr>
                <w:rFonts w:ascii="宋体" w:hAnsi="宋体"/>
                <w:sz w:val="20"/>
              </w:rPr>
              <w:t>万元</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四、固定资产</w:t>
            </w:r>
          </w:p>
        </w:tc>
        <w:tc>
          <w:tcPr>
            <w:tcW w:w="3217" w:type="dxa"/>
            <w:shd w:val="clear" w:color="auto" w:fill="auto"/>
            <w:vAlign w:val="center"/>
          </w:tcPr>
          <w:p>
            <w:pPr>
              <w:jc w:val="center"/>
              <w:rPr>
                <w:rFonts w:ascii="宋体" w:hAnsi="宋体"/>
                <w:sz w:val="20"/>
              </w:rPr>
            </w:pPr>
            <w:r>
              <w:rPr>
                <w:rFonts w:ascii="宋体" w:hAnsi="宋体"/>
                <w:sz w:val="20"/>
              </w:rPr>
              <w:t>万元</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五、流动资产</w:t>
            </w:r>
          </w:p>
        </w:tc>
        <w:tc>
          <w:tcPr>
            <w:tcW w:w="3217" w:type="dxa"/>
            <w:shd w:val="clear" w:color="auto" w:fill="auto"/>
            <w:vAlign w:val="center"/>
          </w:tcPr>
          <w:p>
            <w:pPr>
              <w:jc w:val="center"/>
              <w:rPr>
                <w:rFonts w:ascii="宋体" w:hAnsi="宋体"/>
                <w:sz w:val="20"/>
              </w:rPr>
            </w:pPr>
            <w:r>
              <w:rPr>
                <w:rFonts w:ascii="宋体" w:hAnsi="宋体"/>
                <w:sz w:val="20"/>
              </w:rPr>
              <w:t>万元</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六、流动负债</w:t>
            </w:r>
          </w:p>
        </w:tc>
        <w:tc>
          <w:tcPr>
            <w:tcW w:w="3217" w:type="dxa"/>
            <w:shd w:val="clear" w:color="auto" w:fill="auto"/>
            <w:vAlign w:val="center"/>
          </w:tcPr>
          <w:p>
            <w:pPr>
              <w:jc w:val="center"/>
              <w:rPr>
                <w:rFonts w:ascii="宋体" w:hAnsi="宋体"/>
                <w:sz w:val="20"/>
              </w:rPr>
            </w:pPr>
            <w:r>
              <w:rPr>
                <w:rFonts w:ascii="宋体" w:hAnsi="宋体"/>
                <w:sz w:val="20"/>
              </w:rPr>
              <w:t>万元</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七、负债合计</w:t>
            </w:r>
          </w:p>
        </w:tc>
        <w:tc>
          <w:tcPr>
            <w:tcW w:w="3217" w:type="dxa"/>
            <w:shd w:val="clear" w:color="auto" w:fill="auto"/>
            <w:vAlign w:val="center"/>
          </w:tcPr>
          <w:p>
            <w:pPr>
              <w:jc w:val="center"/>
              <w:rPr>
                <w:rFonts w:ascii="宋体" w:hAnsi="宋体"/>
                <w:sz w:val="20"/>
              </w:rPr>
            </w:pPr>
            <w:r>
              <w:rPr>
                <w:rFonts w:ascii="宋体" w:hAnsi="宋体"/>
                <w:sz w:val="20"/>
              </w:rPr>
              <w:t>万元</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八、营业收入</w:t>
            </w:r>
          </w:p>
        </w:tc>
        <w:tc>
          <w:tcPr>
            <w:tcW w:w="3217" w:type="dxa"/>
            <w:shd w:val="clear" w:color="auto" w:fill="auto"/>
            <w:vAlign w:val="center"/>
          </w:tcPr>
          <w:p>
            <w:pPr>
              <w:jc w:val="center"/>
              <w:rPr>
                <w:rFonts w:ascii="宋体" w:hAnsi="宋体"/>
                <w:sz w:val="20"/>
              </w:rPr>
            </w:pPr>
            <w:r>
              <w:rPr>
                <w:rFonts w:ascii="宋体" w:hAnsi="宋体"/>
                <w:sz w:val="20"/>
              </w:rPr>
              <w:t>万元</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九、净利润</w:t>
            </w:r>
          </w:p>
        </w:tc>
        <w:tc>
          <w:tcPr>
            <w:tcW w:w="3217" w:type="dxa"/>
            <w:shd w:val="clear" w:color="auto" w:fill="auto"/>
            <w:vAlign w:val="center"/>
          </w:tcPr>
          <w:p>
            <w:pPr>
              <w:jc w:val="center"/>
              <w:rPr>
                <w:rFonts w:ascii="宋体" w:hAnsi="宋体"/>
                <w:sz w:val="20"/>
              </w:rPr>
            </w:pPr>
            <w:r>
              <w:rPr>
                <w:rFonts w:ascii="宋体" w:hAnsi="宋体"/>
                <w:sz w:val="20"/>
              </w:rPr>
              <w:t>万元</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十、现金流量净额</w:t>
            </w:r>
          </w:p>
        </w:tc>
        <w:tc>
          <w:tcPr>
            <w:tcW w:w="3217" w:type="dxa"/>
            <w:shd w:val="clear" w:color="auto" w:fill="auto"/>
            <w:vAlign w:val="center"/>
          </w:tcPr>
          <w:p>
            <w:pPr>
              <w:jc w:val="center"/>
              <w:rPr>
                <w:rFonts w:ascii="宋体" w:hAnsi="宋体"/>
                <w:sz w:val="20"/>
              </w:rPr>
            </w:pPr>
            <w:r>
              <w:rPr>
                <w:rFonts w:ascii="宋体" w:hAnsi="宋体"/>
                <w:sz w:val="20"/>
              </w:rPr>
              <w:t>万元</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十一、主要财务指标</w:t>
            </w:r>
          </w:p>
        </w:tc>
        <w:tc>
          <w:tcPr>
            <w:tcW w:w="3217" w:type="dxa"/>
            <w:shd w:val="clear" w:color="auto" w:fill="auto"/>
            <w:vAlign w:val="center"/>
          </w:tcPr>
          <w:p>
            <w:pPr>
              <w:spacing w:line="400" w:lineRule="exact"/>
              <w:jc w:val="center"/>
              <w:rPr>
                <w:rFonts w:ascii="宋体" w:hAnsi="宋体"/>
                <w:sz w:val="20"/>
              </w:rPr>
            </w:pP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1、净资产收益率</w:t>
            </w:r>
          </w:p>
        </w:tc>
        <w:tc>
          <w:tcPr>
            <w:tcW w:w="3217" w:type="dxa"/>
            <w:shd w:val="clear" w:color="auto" w:fill="auto"/>
            <w:vAlign w:val="center"/>
          </w:tcPr>
          <w:p>
            <w:pPr>
              <w:jc w:val="center"/>
              <w:rPr>
                <w:rFonts w:ascii="宋体" w:hAnsi="宋体"/>
                <w:sz w:val="20"/>
              </w:rPr>
            </w:pPr>
            <w:r>
              <w:rPr>
                <w:rFonts w:ascii="宋体" w:hAnsi="宋体"/>
                <w:sz w:val="20"/>
              </w:rPr>
              <w:t>%</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2、总资产报酬率</w:t>
            </w:r>
          </w:p>
        </w:tc>
        <w:tc>
          <w:tcPr>
            <w:tcW w:w="3217" w:type="dxa"/>
            <w:shd w:val="clear" w:color="auto" w:fill="auto"/>
            <w:vAlign w:val="center"/>
          </w:tcPr>
          <w:p>
            <w:pPr>
              <w:jc w:val="center"/>
              <w:rPr>
                <w:rFonts w:ascii="宋体" w:hAnsi="宋体"/>
                <w:sz w:val="20"/>
              </w:rPr>
            </w:pPr>
            <w:r>
              <w:rPr>
                <w:rFonts w:ascii="宋体" w:hAnsi="宋体"/>
                <w:sz w:val="20"/>
              </w:rPr>
              <w:t>%</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3、主营业务利润率</w:t>
            </w:r>
          </w:p>
        </w:tc>
        <w:tc>
          <w:tcPr>
            <w:tcW w:w="3217" w:type="dxa"/>
            <w:shd w:val="clear" w:color="auto" w:fill="auto"/>
            <w:vAlign w:val="center"/>
          </w:tcPr>
          <w:p>
            <w:pPr>
              <w:jc w:val="center"/>
              <w:rPr>
                <w:rFonts w:ascii="宋体" w:hAnsi="宋体"/>
                <w:sz w:val="20"/>
              </w:rPr>
            </w:pPr>
            <w:r>
              <w:rPr>
                <w:rFonts w:ascii="宋体" w:hAnsi="宋体"/>
                <w:sz w:val="20"/>
              </w:rPr>
              <w:t>%</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4、资产负债率</w:t>
            </w:r>
          </w:p>
        </w:tc>
        <w:tc>
          <w:tcPr>
            <w:tcW w:w="3217" w:type="dxa"/>
            <w:shd w:val="clear" w:color="auto" w:fill="auto"/>
            <w:vAlign w:val="center"/>
          </w:tcPr>
          <w:p>
            <w:pPr>
              <w:jc w:val="center"/>
              <w:rPr>
                <w:rFonts w:ascii="宋体" w:hAnsi="宋体"/>
                <w:sz w:val="20"/>
              </w:rPr>
            </w:pPr>
            <w:r>
              <w:rPr>
                <w:rFonts w:ascii="宋体" w:hAnsi="宋体"/>
                <w:sz w:val="20"/>
              </w:rPr>
              <w:t>%</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5、流动比率</w:t>
            </w:r>
          </w:p>
        </w:tc>
        <w:tc>
          <w:tcPr>
            <w:tcW w:w="3217" w:type="dxa"/>
            <w:shd w:val="clear" w:color="auto" w:fill="auto"/>
            <w:vAlign w:val="center"/>
          </w:tcPr>
          <w:p>
            <w:pPr>
              <w:jc w:val="center"/>
              <w:rPr>
                <w:rFonts w:ascii="宋体" w:hAnsi="宋体"/>
                <w:sz w:val="20"/>
              </w:rPr>
            </w:pPr>
            <w:r>
              <w:rPr>
                <w:rFonts w:ascii="宋体" w:hAnsi="宋体"/>
                <w:sz w:val="20"/>
              </w:rPr>
              <w:t>%</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1"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6、速动比率</w:t>
            </w:r>
          </w:p>
        </w:tc>
        <w:tc>
          <w:tcPr>
            <w:tcW w:w="3217" w:type="dxa"/>
            <w:shd w:val="clear" w:color="auto" w:fill="auto"/>
            <w:vAlign w:val="center"/>
          </w:tcPr>
          <w:p>
            <w:pPr>
              <w:jc w:val="center"/>
              <w:rPr>
                <w:rFonts w:ascii="宋体" w:hAnsi="宋体"/>
                <w:sz w:val="20"/>
              </w:rPr>
            </w:pPr>
            <w:r>
              <w:rPr>
                <w:rFonts w:ascii="宋体" w:hAnsi="宋体"/>
                <w:sz w:val="20"/>
              </w:rPr>
              <w:t>%</w:t>
            </w:r>
          </w:p>
        </w:tc>
        <w:tc>
          <w:tcPr>
            <w:tcW w:w="2334" w:type="dxa"/>
            <w:shd w:val="clear" w:color="auto" w:fill="auto"/>
            <w:vAlign w:val="center"/>
          </w:tcPr>
          <w:p>
            <w:pPr>
              <w:spacing w:line="400" w:lineRule="exact"/>
              <w:jc w:val="center"/>
              <w:rPr>
                <w:rFonts w:ascii="宋体" w:hAnsi="宋体"/>
                <w:sz w:val="20"/>
              </w:rPr>
            </w:pPr>
          </w:p>
        </w:tc>
      </w:tr>
    </w:tbl>
    <w:p>
      <w:pPr>
        <w:autoSpaceDE w:val="0"/>
        <w:autoSpaceDN w:val="0"/>
        <w:adjustRightInd w:val="0"/>
        <w:snapToGrid w:val="0"/>
        <w:spacing w:line="360" w:lineRule="auto"/>
        <w:ind w:firstLine="400" w:firstLineChars="200"/>
        <w:jc w:val="left"/>
        <w:rPr>
          <w:rFonts w:ascii="宋体" w:hAnsi="宋体" w:cs="宋体"/>
          <w:sz w:val="20"/>
        </w:rPr>
      </w:pPr>
    </w:p>
    <w:p>
      <w:pPr>
        <w:spacing w:line="400" w:lineRule="exact"/>
        <w:ind w:firstLine="420" w:firstLineChars="200"/>
        <w:rPr>
          <w:rFonts w:ascii="宋体" w:hAnsi="宋体" w:cs="宋体"/>
        </w:rPr>
      </w:pPr>
      <w:r>
        <w:rPr>
          <w:rFonts w:hint="eastAsia" w:ascii="宋体" w:hAnsi="宋体" w:cs="宋体"/>
          <w:szCs w:val="21"/>
        </w:rPr>
        <w:t>备注：在此后附经会计师事务所审计后的财务报告，具体年份要求见第二章“投标人须知”的规定。</w:t>
      </w:r>
      <w:r>
        <w:rPr>
          <w:rFonts w:hint="eastAsia" w:ascii="宋体" w:hAnsi="宋体" w:cs="宋体"/>
        </w:rPr>
        <w:br w:type="page"/>
      </w:r>
    </w:p>
    <w:p>
      <w:pPr>
        <w:pStyle w:val="102"/>
        <w:rPr>
          <w:rFonts w:ascii="宋体" w:hAnsi="宋体" w:eastAsia="宋体"/>
          <w:sz w:val="24"/>
          <w:szCs w:val="24"/>
        </w:rPr>
      </w:pPr>
      <w:bookmarkStart w:id="673" w:name="_Toc179632830"/>
      <w:bookmarkStart w:id="674" w:name="_Toc152045810"/>
      <w:bookmarkStart w:id="675" w:name="_Toc341280463"/>
      <w:bookmarkStart w:id="676" w:name="_Toc152042599"/>
      <w:bookmarkStart w:id="677" w:name="_Toc456354388"/>
      <w:bookmarkStart w:id="678" w:name="_Toc20027"/>
      <w:bookmarkStart w:id="679" w:name="_Toc144974878"/>
      <w:r>
        <w:rPr>
          <w:rFonts w:hint="eastAsia" w:ascii="宋体" w:hAnsi="宋体" w:eastAsia="宋体"/>
          <w:sz w:val="24"/>
          <w:szCs w:val="24"/>
        </w:rPr>
        <w:t>（三）近年企业完成的类似项目情况表</w:t>
      </w:r>
      <w:bookmarkEnd w:id="673"/>
      <w:bookmarkEnd w:id="674"/>
      <w:bookmarkEnd w:id="675"/>
      <w:bookmarkEnd w:id="676"/>
      <w:bookmarkEnd w:id="677"/>
      <w:bookmarkEnd w:id="678"/>
      <w:bookmarkEnd w:id="679"/>
    </w:p>
    <w:tbl>
      <w:tblPr>
        <w:tblStyle w:val="5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项目名称</w:t>
            </w:r>
          </w:p>
        </w:tc>
        <w:tc>
          <w:tcPr>
            <w:tcW w:w="625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项目所在地</w:t>
            </w:r>
          </w:p>
        </w:tc>
        <w:tc>
          <w:tcPr>
            <w:tcW w:w="625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发包人名称</w:t>
            </w:r>
          </w:p>
        </w:tc>
        <w:tc>
          <w:tcPr>
            <w:tcW w:w="625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发包人地址</w:t>
            </w:r>
          </w:p>
        </w:tc>
        <w:tc>
          <w:tcPr>
            <w:tcW w:w="625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发包人电话</w:t>
            </w:r>
          </w:p>
        </w:tc>
        <w:tc>
          <w:tcPr>
            <w:tcW w:w="625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合同价格</w:t>
            </w:r>
          </w:p>
        </w:tc>
        <w:tc>
          <w:tcPr>
            <w:tcW w:w="625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开工日期</w:t>
            </w:r>
          </w:p>
        </w:tc>
        <w:tc>
          <w:tcPr>
            <w:tcW w:w="625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竣工日期</w:t>
            </w:r>
          </w:p>
        </w:tc>
        <w:tc>
          <w:tcPr>
            <w:tcW w:w="625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承担的工作</w:t>
            </w:r>
          </w:p>
        </w:tc>
        <w:tc>
          <w:tcPr>
            <w:tcW w:w="625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工程质量</w:t>
            </w:r>
          </w:p>
        </w:tc>
        <w:tc>
          <w:tcPr>
            <w:tcW w:w="625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项目经理</w:t>
            </w:r>
          </w:p>
        </w:tc>
        <w:tc>
          <w:tcPr>
            <w:tcW w:w="625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技术负责人</w:t>
            </w:r>
          </w:p>
        </w:tc>
        <w:tc>
          <w:tcPr>
            <w:tcW w:w="625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总监理工程师及电话</w:t>
            </w:r>
          </w:p>
        </w:tc>
        <w:tc>
          <w:tcPr>
            <w:tcW w:w="625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2"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项目描述</w:t>
            </w:r>
          </w:p>
        </w:tc>
        <w:tc>
          <w:tcPr>
            <w:tcW w:w="6253" w:type="dxa"/>
          </w:tcPr>
          <w:p>
            <w:pPr>
              <w:topLinePunct/>
              <w:spacing w:line="440" w:lineRule="exact"/>
              <w:rPr>
                <w:rFonts w:ascii="宋体" w:hAnsi="宋体" w:cs="宋体"/>
              </w:rPr>
            </w:pPr>
          </w:p>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备注</w:t>
            </w:r>
          </w:p>
        </w:tc>
        <w:tc>
          <w:tcPr>
            <w:tcW w:w="6253" w:type="dxa"/>
          </w:tcPr>
          <w:p>
            <w:pPr>
              <w:topLinePunct/>
              <w:spacing w:line="440" w:lineRule="exact"/>
              <w:rPr>
                <w:rFonts w:ascii="宋体" w:hAnsi="宋体" w:cs="宋体"/>
              </w:rPr>
            </w:pPr>
          </w:p>
        </w:tc>
      </w:tr>
    </w:tbl>
    <w:p>
      <w:pPr>
        <w:spacing w:line="440" w:lineRule="exact"/>
        <w:jc w:val="center"/>
        <w:rPr>
          <w:rFonts w:ascii="宋体" w:hAnsi="宋体" w:cs="宋体"/>
          <w:szCs w:val="21"/>
          <w:lang w:val="zh-CN"/>
        </w:rPr>
      </w:pPr>
    </w:p>
    <w:p>
      <w:pPr>
        <w:spacing w:line="440" w:lineRule="exact"/>
        <w:jc w:val="center"/>
        <w:rPr>
          <w:rFonts w:ascii="宋体" w:hAnsi="宋体" w:cs="宋体"/>
          <w:szCs w:val="21"/>
          <w:lang w:val="zh-CN"/>
        </w:rPr>
      </w:pPr>
    </w:p>
    <w:p>
      <w:pPr>
        <w:spacing w:line="440" w:lineRule="exact"/>
        <w:jc w:val="center"/>
        <w:rPr>
          <w:rFonts w:ascii="宋体" w:hAnsi="宋体" w:cs="宋体"/>
          <w:szCs w:val="21"/>
          <w:lang w:val="zh-CN"/>
        </w:rPr>
      </w:pPr>
    </w:p>
    <w:p>
      <w:pPr>
        <w:spacing w:line="440" w:lineRule="exact"/>
        <w:jc w:val="center"/>
        <w:rPr>
          <w:rFonts w:ascii="宋体" w:hAnsi="宋体" w:cs="宋体"/>
          <w:szCs w:val="21"/>
          <w:lang w:val="zh-CN"/>
        </w:rPr>
      </w:pPr>
    </w:p>
    <w:p>
      <w:pPr>
        <w:spacing w:line="440" w:lineRule="exact"/>
        <w:jc w:val="center"/>
        <w:rPr>
          <w:rFonts w:ascii="宋体" w:hAnsi="宋体" w:cs="宋体"/>
          <w:sz w:val="23"/>
        </w:rPr>
      </w:pPr>
    </w:p>
    <w:p>
      <w:pPr>
        <w:pStyle w:val="102"/>
        <w:rPr>
          <w:rFonts w:ascii="宋体" w:hAnsi="宋体" w:eastAsia="宋体"/>
          <w:sz w:val="24"/>
          <w:szCs w:val="24"/>
        </w:rPr>
      </w:pPr>
      <w:bookmarkStart w:id="680" w:name="_Toc341280464"/>
      <w:bookmarkStart w:id="681" w:name="_Toc179632831"/>
      <w:bookmarkStart w:id="682" w:name="_Toc7147"/>
      <w:bookmarkStart w:id="683" w:name="_Toc152045811"/>
      <w:bookmarkStart w:id="684" w:name="_Toc144974879"/>
      <w:bookmarkStart w:id="685" w:name="_Toc456354389"/>
      <w:bookmarkStart w:id="686" w:name="_Toc152042600"/>
      <w:r>
        <w:rPr>
          <w:rFonts w:hint="eastAsia" w:ascii="宋体" w:hAnsi="宋体" w:eastAsia="宋体"/>
          <w:sz w:val="24"/>
          <w:szCs w:val="24"/>
        </w:rPr>
        <w:t>（四）正在施工的和正在承接的项目情况表</w:t>
      </w:r>
      <w:bookmarkEnd w:id="680"/>
      <w:bookmarkEnd w:id="681"/>
      <w:bookmarkEnd w:id="682"/>
      <w:bookmarkEnd w:id="683"/>
      <w:bookmarkEnd w:id="684"/>
      <w:bookmarkEnd w:id="685"/>
      <w:bookmarkEnd w:id="686"/>
    </w:p>
    <w:p>
      <w:pPr>
        <w:spacing w:line="440" w:lineRule="exact"/>
        <w:rPr>
          <w:rFonts w:ascii="宋体" w:hAnsi="宋体" w:cs="宋体"/>
          <w:sz w:val="20"/>
        </w:rPr>
      </w:pPr>
    </w:p>
    <w:tbl>
      <w:tblPr>
        <w:tblStyle w:val="5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项目名称</w:t>
            </w:r>
          </w:p>
        </w:tc>
        <w:tc>
          <w:tcPr>
            <w:tcW w:w="640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项目所在地</w:t>
            </w:r>
          </w:p>
        </w:tc>
        <w:tc>
          <w:tcPr>
            <w:tcW w:w="640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发包人名称</w:t>
            </w:r>
          </w:p>
        </w:tc>
        <w:tc>
          <w:tcPr>
            <w:tcW w:w="640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发包人地址</w:t>
            </w:r>
          </w:p>
        </w:tc>
        <w:tc>
          <w:tcPr>
            <w:tcW w:w="640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发包人电话</w:t>
            </w:r>
          </w:p>
        </w:tc>
        <w:tc>
          <w:tcPr>
            <w:tcW w:w="640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签约合同价</w:t>
            </w:r>
          </w:p>
        </w:tc>
        <w:tc>
          <w:tcPr>
            <w:tcW w:w="640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开工日期</w:t>
            </w:r>
          </w:p>
        </w:tc>
        <w:tc>
          <w:tcPr>
            <w:tcW w:w="640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计划竣工日期</w:t>
            </w:r>
          </w:p>
        </w:tc>
        <w:tc>
          <w:tcPr>
            <w:tcW w:w="640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承担的工作</w:t>
            </w:r>
          </w:p>
        </w:tc>
        <w:tc>
          <w:tcPr>
            <w:tcW w:w="640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工程质量</w:t>
            </w:r>
          </w:p>
        </w:tc>
        <w:tc>
          <w:tcPr>
            <w:tcW w:w="640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项目经理</w:t>
            </w:r>
          </w:p>
        </w:tc>
        <w:tc>
          <w:tcPr>
            <w:tcW w:w="640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技术负责人</w:t>
            </w:r>
          </w:p>
        </w:tc>
        <w:tc>
          <w:tcPr>
            <w:tcW w:w="640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总监理工程师及电话</w:t>
            </w:r>
          </w:p>
        </w:tc>
        <w:tc>
          <w:tcPr>
            <w:tcW w:w="640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项目描述</w:t>
            </w:r>
          </w:p>
        </w:tc>
        <w:tc>
          <w:tcPr>
            <w:tcW w:w="6403" w:type="dxa"/>
          </w:tcPr>
          <w:p>
            <w:pPr>
              <w:topLinePunct/>
              <w:spacing w:line="440" w:lineRule="exact"/>
              <w:rPr>
                <w:rFonts w:ascii="宋体" w:hAnsi="宋体" w:cs="宋体"/>
              </w:rPr>
            </w:pPr>
          </w:p>
          <w:p>
            <w:pPr>
              <w:topLinePunct/>
              <w:spacing w:line="440" w:lineRule="exact"/>
              <w:rPr>
                <w:rFonts w:ascii="宋体" w:hAnsi="宋体" w:cs="宋体"/>
              </w:rPr>
            </w:pPr>
          </w:p>
          <w:p>
            <w:pPr>
              <w:topLinePunct/>
              <w:spacing w:line="440" w:lineRule="exact"/>
              <w:rPr>
                <w:rFonts w:ascii="宋体" w:hAnsi="宋体" w:cs="宋体"/>
              </w:rPr>
            </w:pPr>
          </w:p>
          <w:p>
            <w:pPr>
              <w:topLinePunct/>
              <w:spacing w:line="440" w:lineRule="exact"/>
              <w:rPr>
                <w:rFonts w:ascii="宋体" w:hAnsi="宋体" w:cs="宋体"/>
              </w:rPr>
            </w:pPr>
          </w:p>
          <w:p>
            <w:pPr>
              <w:topLinePunct/>
              <w:spacing w:line="440" w:lineRule="exact"/>
              <w:rPr>
                <w:rFonts w:ascii="宋体" w:hAnsi="宋体" w:cs="宋体"/>
              </w:rPr>
            </w:pPr>
          </w:p>
          <w:p>
            <w:pPr>
              <w:topLinePunct/>
              <w:spacing w:line="440" w:lineRule="exact"/>
              <w:rPr>
                <w:rFonts w:ascii="宋体" w:hAnsi="宋体" w:cs="宋体"/>
              </w:rPr>
            </w:pPr>
          </w:p>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备注</w:t>
            </w:r>
          </w:p>
        </w:tc>
        <w:tc>
          <w:tcPr>
            <w:tcW w:w="6403" w:type="dxa"/>
          </w:tcPr>
          <w:p>
            <w:pPr>
              <w:topLinePunct/>
              <w:spacing w:line="440" w:lineRule="exact"/>
              <w:rPr>
                <w:rFonts w:ascii="宋体" w:hAnsi="宋体" w:cs="宋体"/>
              </w:rPr>
            </w:pPr>
          </w:p>
        </w:tc>
      </w:tr>
    </w:tbl>
    <w:p>
      <w:pPr>
        <w:spacing w:line="400" w:lineRule="exact"/>
        <w:ind w:firstLine="315" w:firstLineChars="150"/>
        <w:rPr>
          <w:rFonts w:ascii="宋体" w:hAnsi="宋体" w:cs="宋体"/>
        </w:rPr>
      </w:pPr>
    </w:p>
    <w:p>
      <w:pPr>
        <w:spacing w:line="400" w:lineRule="exact"/>
        <w:ind w:firstLine="360" w:firstLineChars="150"/>
        <w:rPr>
          <w:rFonts w:ascii="宋体" w:hAnsi="宋体" w:cs="宋体"/>
          <w:b/>
          <w:sz w:val="24"/>
          <w:u w:val="single"/>
          <w:shd w:val="pct10" w:color="auto" w:fill="FFFFFF"/>
        </w:rPr>
      </w:pPr>
    </w:p>
    <w:p>
      <w:pPr>
        <w:pStyle w:val="2"/>
        <w:ind w:firstLine="340"/>
      </w:pPr>
    </w:p>
    <w:p>
      <w:pPr>
        <w:pStyle w:val="102"/>
        <w:rPr>
          <w:rFonts w:ascii="宋体" w:hAnsi="宋体" w:eastAsia="宋体"/>
          <w:sz w:val="24"/>
        </w:rPr>
      </w:pPr>
      <w:bookmarkStart w:id="687" w:name="_Toc456354390"/>
      <w:bookmarkStart w:id="688" w:name="_Toc341280465"/>
      <w:bookmarkStart w:id="689" w:name="_Toc16703"/>
      <w:r>
        <w:rPr>
          <w:rFonts w:hint="eastAsia" w:ascii="宋体" w:hAnsi="宋体" w:eastAsia="宋体"/>
          <w:sz w:val="24"/>
          <w:szCs w:val="24"/>
        </w:rPr>
        <w:t>（五）</w:t>
      </w:r>
      <w:r>
        <w:rPr>
          <w:rFonts w:hint="eastAsia" w:ascii="宋体" w:hAnsi="宋体" w:eastAsia="宋体"/>
          <w:sz w:val="24"/>
        </w:rPr>
        <w:t>近年发生的诉讼及仲裁情况</w:t>
      </w:r>
      <w:bookmarkEnd w:id="687"/>
      <w:bookmarkEnd w:id="688"/>
      <w:bookmarkEnd w:id="689"/>
    </w:p>
    <w:p>
      <w:pPr>
        <w:spacing w:line="440" w:lineRule="exact"/>
        <w:rPr>
          <w:rFonts w:ascii="宋体" w:hAnsi="宋体" w:cs="宋体"/>
        </w:rPr>
      </w:pPr>
      <w:r>
        <w:rPr>
          <w:rFonts w:hint="eastAsia" w:ascii="宋体" w:hAnsi="宋体" w:cs="宋体"/>
        </w:rPr>
        <w:t>说明：近年发生的诉讼和仲裁情况仅限于申请人败诉的，且与履行施工承包合同有关的案件，不包括调解结案以及未裁决的仲裁或未终审判决的诉讼。</w:t>
      </w: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sz w:val="20"/>
        </w:rPr>
      </w:pPr>
    </w:p>
    <w:p>
      <w:pPr>
        <w:spacing w:line="440" w:lineRule="exact"/>
        <w:ind w:left="630" w:hanging="630" w:hangingChars="300"/>
        <w:rPr>
          <w:rFonts w:ascii="宋体" w:hAnsi="宋体" w:cs="宋体"/>
          <w:szCs w:val="21"/>
        </w:rPr>
      </w:pPr>
    </w:p>
    <w:p>
      <w:pPr>
        <w:autoSpaceDE w:val="0"/>
        <w:autoSpaceDN w:val="0"/>
        <w:adjustRightInd w:val="0"/>
        <w:spacing w:line="420" w:lineRule="exact"/>
        <w:rPr>
          <w:rFonts w:ascii="宋体" w:hAnsi="宋体" w:cs="宋体"/>
          <w:kern w:val="0"/>
          <w:sz w:val="28"/>
          <w:szCs w:val="28"/>
        </w:rPr>
      </w:pPr>
    </w:p>
    <w:p>
      <w:pPr>
        <w:pStyle w:val="5"/>
        <w:jc w:val="center"/>
        <w:rPr>
          <w:rFonts w:ascii="宋体" w:hAnsi="宋体" w:eastAsia="宋体" w:cs="宋体"/>
          <w:bCs w:val="0"/>
          <w:sz w:val="28"/>
          <w:szCs w:val="28"/>
        </w:rPr>
      </w:pPr>
      <w:bookmarkStart w:id="690" w:name="_Toc10503"/>
      <w:r>
        <w:rPr>
          <w:rFonts w:hint="eastAsia" w:ascii="宋体" w:hAnsi="宋体" w:eastAsia="宋体" w:cs="宋体"/>
          <w:bCs w:val="0"/>
          <w:sz w:val="28"/>
          <w:szCs w:val="28"/>
        </w:rPr>
        <w:t>十、其他材料</w:t>
      </w:r>
      <w:bookmarkEnd w:id="690"/>
    </w:p>
    <w:p>
      <w:pPr>
        <w:spacing w:line="440" w:lineRule="exact"/>
      </w:pPr>
      <w:r>
        <w:rPr>
          <w:rFonts w:hint="eastAsia" w:ascii="宋体" w:hAnsi="宋体" w:cs="宋体"/>
          <w:szCs w:val="21"/>
        </w:rPr>
        <w:t>一、投标人应提供在“信用中国”网站（www.creditchina.gov.cn）上“失信被执行人”、“重大税收违法案件当事人名单”、 “政府采购严重违法失信行为记录名单”查询页并加盖投标人公章。</w:t>
      </w:r>
    </w:p>
    <w:p>
      <w:pPr>
        <w:spacing w:line="440" w:lineRule="exact"/>
        <w:ind w:left="945" w:hanging="945" w:hangingChars="450"/>
        <w:rPr>
          <w:rFonts w:ascii="宋体" w:hAnsi="宋体" w:cs="宋体"/>
          <w:szCs w:val="21"/>
        </w:rPr>
      </w:pPr>
      <w:r>
        <w:rPr>
          <w:rFonts w:hint="eastAsia" w:ascii="宋体" w:hAnsi="宋体" w:cs="宋体"/>
          <w:szCs w:val="21"/>
        </w:rPr>
        <w:t>二、投标人提供的有利于本次投标的其它材料（具有但不限于下列内容）</w:t>
      </w:r>
    </w:p>
    <w:p>
      <w:pPr>
        <w:spacing w:line="440" w:lineRule="exact"/>
        <w:ind w:left="945" w:hanging="945" w:hangingChars="450"/>
        <w:rPr>
          <w:rFonts w:ascii="宋体" w:hAnsi="宋体" w:cs="宋体"/>
          <w:szCs w:val="21"/>
        </w:rPr>
      </w:pPr>
      <w:bookmarkStart w:id="691" w:name="_Toc433668595"/>
      <w:r>
        <w:rPr>
          <w:rFonts w:hint="eastAsia" w:ascii="宋体" w:hAnsi="宋体" w:cs="宋体"/>
          <w:szCs w:val="21"/>
        </w:rPr>
        <w:t>2.1企业其他信誉情况表（年份要求同诉讼及仲裁情况年份要求）</w:t>
      </w:r>
      <w:bookmarkEnd w:id="691"/>
    </w:p>
    <w:p>
      <w:pPr>
        <w:spacing w:line="440" w:lineRule="exact"/>
        <w:ind w:left="945" w:hanging="945" w:hangingChars="450"/>
        <w:rPr>
          <w:rFonts w:ascii="宋体" w:hAnsi="宋体" w:cs="宋体"/>
          <w:szCs w:val="21"/>
        </w:rPr>
      </w:pPr>
      <w:r>
        <w:rPr>
          <w:rFonts w:hint="eastAsia" w:ascii="宋体" w:hAnsi="宋体" w:cs="宋体"/>
          <w:szCs w:val="21"/>
        </w:rPr>
        <w:t>2.1.1 近年企业不良行为记录情况</w:t>
      </w:r>
    </w:p>
    <w:p>
      <w:pPr>
        <w:spacing w:line="440" w:lineRule="exact"/>
        <w:ind w:left="945" w:hanging="945" w:hangingChars="450"/>
        <w:rPr>
          <w:rFonts w:ascii="宋体" w:hAnsi="宋体" w:cs="宋体"/>
          <w:szCs w:val="21"/>
        </w:rPr>
      </w:pPr>
      <w:r>
        <w:rPr>
          <w:rFonts w:hint="eastAsia" w:ascii="宋体" w:hAnsi="宋体" w:cs="宋体"/>
          <w:szCs w:val="21"/>
        </w:rPr>
        <w:t>2.1.2、在建工程以及近年已竣工工程合同履行情况</w:t>
      </w:r>
    </w:p>
    <w:p>
      <w:pPr>
        <w:spacing w:line="440" w:lineRule="exact"/>
        <w:ind w:left="945" w:hanging="945" w:hangingChars="450"/>
        <w:rPr>
          <w:rFonts w:ascii="宋体" w:hAnsi="宋体" w:cs="宋体"/>
          <w:szCs w:val="21"/>
        </w:rPr>
      </w:pPr>
      <w:r>
        <w:rPr>
          <w:rFonts w:hint="eastAsia" w:ascii="宋体" w:hAnsi="宋体" w:cs="宋体"/>
          <w:szCs w:val="21"/>
        </w:rPr>
        <w:t>2.1.3、其  他</w:t>
      </w:r>
    </w:p>
    <w:p>
      <w:pPr>
        <w:spacing w:line="440" w:lineRule="exact"/>
        <w:ind w:left="945" w:hanging="945" w:hangingChars="450"/>
        <w:rPr>
          <w:rFonts w:ascii="宋体" w:hAnsi="宋体" w:cs="宋体"/>
          <w:szCs w:val="21"/>
        </w:rPr>
      </w:pPr>
      <w:r>
        <w:rPr>
          <w:rFonts w:hint="eastAsia" w:ascii="宋体" w:hAnsi="宋体" w:cs="宋体"/>
          <w:szCs w:val="21"/>
        </w:rPr>
        <w:t>备注：1、企业不良行为记录情况主要是近年投标人在工程建设过程中因违反有关工程建设的法律、法规、规章或强制性标准和执业行为规范，经县级以上建设行政主管部门或其委托的执法监督机构查实和行政处罚，形成的不良行为记录。应当结合第二章“投标人须知”前附表第10.1.2项定义的范围填写。</w:t>
      </w:r>
    </w:p>
    <w:p>
      <w:pPr>
        <w:spacing w:line="440" w:lineRule="exact"/>
        <w:ind w:left="945" w:leftChars="300" w:hanging="315" w:hangingChars="150"/>
        <w:rPr>
          <w:rFonts w:ascii="宋体" w:hAnsi="宋体" w:cs="宋体"/>
          <w:szCs w:val="21"/>
        </w:rPr>
      </w:pPr>
      <w:r>
        <w:rPr>
          <w:rFonts w:hint="eastAsia" w:ascii="宋体" w:hAnsi="宋体" w:cs="宋体"/>
          <w:szCs w:val="21"/>
        </w:rPr>
        <w:t>2、合同履行情况主要是投标人近年所承接工程和已竣工工程是否按合同约定的工期、质量、安全等履行合同义务，对未竣工工程合同履行情况还应重点说明非不可抗力解除合同（如果有)的原因等具体情况。</w:t>
      </w:r>
    </w:p>
    <w:p>
      <w:pPr>
        <w:spacing w:line="440" w:lineRule="exact"/>
        <w:ind w:left="945" w:hanging="945" w:hangingChars="450"/>
        <w:rPr>
          <w:rFonts w:ascii="宋体" w:hAnsi="宋体" w:cs="宋体"/>
          <w:szCs w:val="21"/>
        </w:rPr>
      </w:pPr>
      <w:r>
        <w:rPr>
          <w:rFonts w:hint="eastAsia" w:ascii="宋体" w:hAnsi="宋体" w:cs="宋体"/>
          <w:szCs w:val="21"/>
        </w:rPr>
        <w:t>2．2、其他承诺（见附件）</w:t>
      </w:r>
    </w:p>
    <w:p>
      <w:pPr>
        <w:rPr>
          <w:rFonts w:ascii="宋体" w:hAnsi="宋体" w:cs="宋体"/>
          <w:sz w:val="24"/>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widowControl/>
        <w:jc w:val="left"/>
        <w:rPr>
          <w:rFonts w:ascii="宋体" w:hAnsi="宋体" w:cs="宋体"/>
        </w:rPr>
      </w:pPr>
      <w:r>
        <w:rPr>
          <w:rFonts w:hint="eastAsia" w:ascii="宋体" w:hAnsi="宋体" w:cs="宋体"/>
        </w:rPr>
        <w:br w:type="page"/>
      </w:r>
    </w:p>
    <w:p>
      <w:pPr>
        <w:rPr>
          <w:rFonts w:ascii="宋体" w:hAnsi="宋体" w:cs="宋体"/>
        </w:rPr>
      </w:pPr>
      <w:r>
        <w:rPr>
          <w:rFonts w:hint="eastAsia" w:ascii="宋体" w:hAnsi="宋体" w:cs="宋体"/>
        </w:rPr>
        <w:t>附件：</w:t>
      </w:r>
    </w:p>
    <w:p>
      <w:pPr>
        <w:jc w:val="center"/>
        <w:rPr>
          <w:rFonts w:ascii="宋体" w:hAnsi="宋体" w:cs="宋体"/>
          <w:b/>
          <w:sz w:val="28"/>
          <w:szCs w:val="28"/>
        </w:rPr>
      </w:pPr>
      <w:r>
        <w:rPr>
          <w:rFonts w:hint="eastAsia" w:ascii="宋体" w:hAnsi="宋体" w:cs="宋体"/>
          <w:b/>
          <w:sz w:val="28"/>
          <w:szCs w:val="28"/>
        </w:rPr>
        <w:t>承诺书</w:t>
      </w:r>
    </w:p>
    <w:p>
      <w:pPr>
        <w:spacing w:line="440" w:lineRule="exact"/>
        <w:rPr>
          <w:rFonts w:ascii="宋体" w:hAnsi="宋体" w:cs="宋体"/>
          <w:b/>
          <w:szCs w:val="21"/>
        </w:rPr>
      </w:pPr>
    </w:p>
    <w:p>
      <w:pPr>
        <w:spacing w:line="440" w:lineRule="exact"/>
        <w:jc w:val="left"/>
        <w:rPr>
          <w:rFonts w:ascii="宋体" w:hAnsi="宋体" w:cs="宋体"/>
          <w:szCs w:val="21"/>
        </w:rPr>
      </w:pPr>
      <w:r>
        <w:rPr>
          <w:rFonts w:hint="eastAsia" w:ascii="宋体" w:hAnsi="宋体" w:cs="宋体"/>
          <w:szCs w:val="21"/>
        </w:rPr>
        <w:t>（招标人名称）：</w:t>
      </w:r>
    </w:p>
    <w:p>
      <w:pPr>
        <w:spacing w:line="440" w:lineRule="exact"/>
        <w:ind w:firstLine="420" w:firstLineChars="200"/>
        <w:rPr>
          <w:rFonts w:ascii="宋体" w:hAnsi="宋体" w:cs="宋体"/>
          <w:szCs w:val="21"/>
        </w:rPr>
      </w:pPr>
      <w:r>
        <w:rPr>
          <w:rFonts w:hint="eastAsia" w:ascii="宋体" w:hAnsi="宋体" w:cs="宋体"/>
          <w:szCs w:val="21"/>
        </w:rPr>
        <w:t>（1）鉴于我方参与（项目名称）施工的投标，特承诺：如果我单位中标，保证交纳农民工工资保障金，同时在工程实施中不拖欠农民工工资，保证按时发放。</w:t>
      </w:r>
    </w:p>
    <w:p>
      <w:pPr>
        <w:spacing w:line="440" w:lineRule="exact"/>
        <w:ind w:firstLine="420" w:firstLineChars="200"/>
        <w:rPr>
          <w:rFonts w:ascii="宋体" w:hAnsi="宋体" w:cs="宋体"/>
          <w:szCs w:val="21"/>
        </w:rPr>
      </w:pPr>
      <w:r>
        <w:rPr>
          <w:rFonts w:hint="eastAsia" w:ascii="宋体" w:hAnsi="宋体" w:cs="宋体"/>
          <w:szCs w:val="21"/>
        </w:rPr>
        <w:t>（2）我方承诺：如果我单位中标，在施工过程中，如有违反合同中关于工期、质量、安全的相关约定，招标人有权将我单位承担的相关工作交由其他有资质的合格承包人予以完成，我单位保证服从招</w:t>
      </w:r>
      <w:r>
        <w:rPr>
          <w:rFonts w:hint="eastAsia"/>
          <w:szCs w:val="21"/>
        </w:rPr>
        <w:t>标人安排，并配合履行相关手续、承担相应的法律责任</w:t>
      </w:r>
      <w:r>
        <w:rPr>
          <w:rFonts w:hint="eastAsia" w:ascii="宋体" w:hAnsi="宋体" w:cs="宋体"/>
          <w:szCs w:val="21"/>
        </w:rPr>
        <w:t>和损失。</w:t>
      </w:r>
    </w:p>
    <w:p>
      <w:pPr>
        <w:spacing w:line="440" w:lineRule="exact"/>
        <w:ind w:firstLine="420" w:firstLineChars="200"/>
        <w:rPr>
          <w:rFonts w:ascii="宋体" w:hAnsi="宋体" w:cs="宋体"/>
          <w:szCs w:val="21"/>
          <w:lang w:val="zh-TW"/>
        </w:rPr>
      </w:pPr>
      <w:r>
        <w:rPr>
          <w:rFonts w:hint="eastAsia" w:ascii="宋体" w:hAnsi="宋体" w:cs="宋体"/>
          <w:szCs w:val="21"/>
        </w:rPr>
        <w:t>（3）我方承诺：</w:t>
      </w:r>
      <w:r>
        <w:rPr>
          <w:rFonts w:hint="eastAsia" w:ascii="宋体" w:hAnsi="宋体" w:cs="宋体"/>
          <w:szCs w:val="21"/>
          <w:lang w:val="zh-TW"/>
        </w:rPr>
        <w:t>没有处于被责令停业，投标资格被取消，财产被接管、冻结、破产状态；在最近三年内没有骗取中标和严重违约及重大工程质量问题。</w:t>
      </w:r>
    </w:p>
    <w:p>
      <w:pPr>
        <w:spacing w:line="440" w:lineRule="exact"/>
        <w:ind w:firstLine="420" w:firstLineChars="200"/>
        <w:rPr>
          <w:rFonts w:ascii="宋体" w:hAnsi="宋体" w:cs="宋体"/>
          <w:szCs w:val="21"/>
          <w:lang w:val="zh-TW"/>
        </w:rPr>
      </w:pPr>
      <w:r>
        <w:rPr>
          <w:rFonts w:hint="eastAsia" w:ascii="宋体" w:hAnsi="宋体" w:cs="宋体"/>
          <w:szCs w:val="21"/>
          <w:lang w:val="zh-TW"/>
        </w:rPr>
        <w:t>（</w:t>
      </w:r>
      <w:r>
        <w:rPr>
          <w:rFonts w:hint="eastAsia" w:ascii="宋体" w:hAnsi="宋体" w:cs="宋体"/>
          <w:szCs w:val="21"/>
        </w:rPr>
        <w:t>4）我方承诺：</w:t>
      </w:r>
      <w:r>
        <w:rPr>
          <w:rFonts w:hint="eastAsia" w:ascii="宋体" w:hAnsi="宋体" w:cs="宋体"/>
          <w:szCs w:val="21"/>
          <w:lang w:val="zh-TW"/>
        </w:rPr>
        <w:t>我方与本项目的其他投标人无控股或管理关系，我方单位负责人与其他投标人的单位负责人不为同一人。</w:t>
      </w:r>
    </w:p>
    <w:p>
      <w:pPr>
        <w:spacing w:line="440" w:lineRule="exact"/>
        <w:ind w:firstLine="420" w:firstLineChars="200"/>
        <w:rPr>
          <w:rFonts w:ascii="宋体" w:hAnsi="宋体" w:cs="宋体"/>
          <w:szCs w:val="21"/>
          <w:highlight w:val="yellow"/>
          <w:lang w:val="zh-TW"/>
        </w:rPr>
      </w:pPr>
      <w:r>
        <w:rPr>
          <w:rFonts w:hint="eastAsia" w:ascii="宋体" w:hAnsi="宋体" w:cs="宋体"/>
          <w:szCs w:val="21"/>
          <w:lang w:val="zh-TW"/>
        </w:rPr>
        <w:t>（</w:t>
      </w:r>
      <w:r>
        <w:rPr>
          <w:rFonts w:hint="eastAsia" w:ascii="宋体" w:hAnsi="宋体" w:cs="宋体"/>
          <w:szCs w:val="21"/>
        </w:rPr>
        <w:t>5）我方承诺：我方在经营活动中无工程建设生产安全事故、质量事故、合同争议纠纷引起的诉讼、仲裁（或虽有但无败诉的相关证明材料）违法行为记录及有关行政处罚，且未发生拖欠农民工工资的情形等。</w:t>
      </w:r>
    </w:p>
    <w:p>
      <w:pPr>
        <w:spacing w:line="440" w:lineRule="exact"/>
        <w:rPr>
          <w:szCs w:val="21"/>
        </w:rPr>
      </w:pPr>
    </w:p>
    <w:p>
      <w:pPr>
        <w:pStyle w:val="3"/>
        <w:spacing w:after="0" w:line="440" w:lineRule="exact"/>
        <w:ind w:left="63" w:right="63"/>
        <w:rPr>
          <w:szCs w:val="21"/>
        </w:rPr>
      </w:pPr>
    </w:p>
    <w:p>
      <w:pPr>
        <w:spacing w:line="440" w:lineRule="exact"/>
        <w:ind w:firstLine="420" w:firstLineChars="200"/>
        <w:rPr>
          <w:rFonts w:ascii="宋体" w:hAnsi="宋体" w:cs="宋体"/>
          <w:szCs w:val="21"/>
        </w:rPr>
      </w:pPr>
      <w:r>
        <w:rPr>
          <w:rFonts w:hint="eastAsia" w:ascii="宋体" w:hAnsi="宋体" w:cs="宋体"/>
          <w:szCs w:val="21"/>
        </w:rPr>
        <w:t>特此承诺</w:t>
      </w: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autoSpaceDE w:val="0"/>
        <w:autoSpaceDN w:val="0"/>
        <w:adjustRightInd w:val="0"/>
        <w:spacing w:line="440" w:lineRule="exact"/>
        <w:ind w:firstLine="2100" w:firstLineChars="1000"/>
        <w:jc w:val="right"/>
        <w:rPr>
          <w:rFonts w:ascii="宋体" w:hAnsi="宋体" w:cs="宋体"/>
          <w:kern w:val="0"/>
          <w:szCs w:val="21"/>
        </w:rPr>
      </w:pPr>
      <w:r>
        <w:rPr>
          <w:rFonts w:hint="eastAsia" w:ascii="宋体" w:hAnsi="宋体" w:cs="宋体"/>
          <w:kern w:val="0"/>
          <w:szCs w:val="21"/>
        </w:rPr>
        <w:t>投 标 人：（盖单位公章）</w:t>
      </w:r>
    </w:p>
    <w:p>
      <w:pPr>
        <w:autoSpaceDE w:val="0"/>
        <w:autoSpaceDN w:val="0"/>
        <w:adjustRightInd w:val="0"/>
        <w:spacing w:line="440" w:lineRule="exact"/>
        <w:ind w:firstLine="2100" w:firstLineChars="1000"/>
        <w:jc w:val="right"/>
        <w:rPr>
          <w:rFonts w:ascii="宋体" w:hAnsi="宋体" w:cs="宋体"/>
          <w:kern w:val="0"/>
          <w:szCs w:val="21"/>
        </w:rPr>
      </w:pPr>
      <w:r>
        <w:rPr>
          <w:rFonts w:hint="eastAsia" w:ascii="宋体" w:hAnsi="宋体" w:cs="宋体"/>
          <w:kern w:val="0"/>
          <w:szCs w:val="21"/>
        </w:rPr>
        <w:t>法定代表人或其委托代理人：（签字或盖章）</w:t>
      </w:r>
    </w:p>
    <w:p>
      <w:pPr>
        <w:autoSpaceDE w:val="0"/>
        <w:autoSpaceDN w:val="0"/>
        <w:adjustRightInd w:val="0"/>
        <w:spacing w:line="440" w:lineRule="exact"/>
        <w:ind w:firstLine="3780" w:firstLineChars="1800"/>
        <w:jc w:val="right"/>
        <w:rPr>
          <w:rFonts w:ascii="宋体" w:hAnsi="宋体" w:cs="宋体"/>
          <w:kern w:val="0"/>
          <w:szCs w:val="21"/>
        </w:rPr>
      </w:pPr>
    </w:p>
    <w:p>
      <w:pPr>
        <w:autoSpaceDE w:val="0"/>
        <w:autoSpaceDN w:val="0"/>
        <w:adjustRightInd w:val="0"/>
        <w:spacing w:line="440" w:lineRule="exact"/>
        <w:ind w:firstLine="4095" w:firstLineChars="1950"/>
        <w:jc w:val="right"/>
        <w:rPr>
          <w:rFonts w:ascii="宋体" w:hAnsi="宋体" w:cs="宋体"/>
          <w:kern w:val="0"/>
          <w:szCs w:val="21"/>
        </w:rPr>
      </w:pPr>
      <w:r>
        <w:rPr>
          <w:rFonts w:hint="eastAsia" w:ascii="宋体" w:hAnsi="宋体" w:cs="宋体"/>
          <w:kern w:val="0"/>
          <w:szCs w:val="21"/>
        </w:rPr>
        <w:t>年    月    日</w:t>
      </w:r>
    </w:p>
    <w:sectPr>
      <w:headerReference r:id="rId3" w:type="default"/>
      <w:footerReference r:id="rId4" w:type="default"/>
      <w:footerReference r:id="rId5" w:type="even"/>
      <w:pgSz w:w="11906" w:h="16838"/>
      <w:pgMar w:top="1134" w:right="1134" w:bottom="1134" w:left="9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Microsoft JhengHei Light">
    <w:altName w:val="Microsoft JhengHei"/>
    <w:panose1 w:val="00000000000000000000"/>
    <w:charset w:val="88"/>
    <w:family w:val="auto"/>
    <w:pitch w:val="default"/>
    <w:sig w:usb0="00000000" w:usb1="00000000" w:usb2="00000016" w:usb3="00000000" w:csb0="00100009"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single" w:color="auto" w:sz="4" w:space="0"/>
      </w:pBdr>
      <w:jc w:val="both"/>
      <w:rPr>
        <w:rFonts w:ascii="宋体"/>
      </w:rPr>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112</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5"/>
      </w:rPr>
    </w:pPr>
    <w:r>
      <w:fldChar w:fldCharType="begin"/>
    </w:r>
    <w:r>
      <w:rPr>
        <w:rStyle w:val="45"/>
      </w:rPr>
      <w:instrText xml:space="preserve">PAGE  </w:instrText>
    </w:r>
    <w:r>
      <w:fldChar w:fldCharType="separate"/>
    </w:r>
    <w:r>
      <w:rPr>
        <w:rStyle w:val="45"/>
      </w:rPr>
      <w:t>5</w:t>
    </w:r>
    <w: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420" w:lineRule="exact"/>
      <w:ind w:firstLine="8" w:firstLineChars="4"/>
      <w:jc w:val="left"/>
      <w:rPr>
        <w:rFonts w:ascii="华文新魏" w:eastAsia="华文新魏"/>
        <w:b/>
        <w:sz w:val="24"/>
        <w:szCs w:val="24"/>
        <w:u w:val="single"/>
      </w:rPr>
    </w:pPr>
    <w:r>
      <w:rPr>
        <w:rFonts w:hint="eastAsia" w:ascii="宋体" w:hAnsi="宋体" w:eastAsia="华文新魏" w:cs="宋体"/>
        <w:kern w:val="0"/>
        <w:szCs w:val="21"/>
        <w:u w:val="single"/>
      </w:rPr>
      <w:t>新元大道东段拓宽提质工程（建安区段）</w:t>
    </w:r>
    <w:r>
      <w:rPr>
        <w:rFonts w:hint="eastAsia" w:ascii="宋体" w:hAnsi="宋体" w:cs="宋体"/>
        <w:kern w:val="0"/>
        <w:szCs w:val="21"/>
        <w:u w:val="single"/>
      </w:rPr>
      <w:t>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578889FF"/>
    <w:multiLevelType w:val="singleLevel"/>
    <w:tmpl w:val="578889FF"/>
    <w:lvl w:ilvl="0" w:tentative="0">
      <w:start w:val="1"/>
      <w:numFmt w:val="chineseCounting"/>
      <w:suff w:val="space"/>
      <w:lvlText w:val="第%1章"/>
      <w:lvlJc w:val="left"/>
    </w:lvl>
  </w:abstractNum>
  <w:abstractNum w:abstractNumId="2">
    <w:nsid w:val="57C6901A"/>
    <w:multiLevelType w:val="singleLevel"/>
    <w:tmpl w:val="57C6901A"/>
    <w:lvl w:ilvl="0" w:tentative="0">
      <w:start w:val="1"/>
      <w:numFmt w:val="decimal"/>
      <w:suff w:val="nothing"/>
      <w:lvlText w:val="%1、"/>
      <w:lvlJc w:val="left"/>
    </w:lvl>
  </w:abstractNum>
  <w:abstractNum w:abstractNumId="3">
    <w:nsid w:val="59FA74C0"/>
    <w:multiLevelType w:val="singleLevel"/>
    <w:tmpl w:val="59FA74C0"/>
    <w:lvl w:ilvl="0" w:tentative="0">
      <w:start w:val="1"/>
      <w:numFmt w:val="decimal"/>
      <w:suff w:val="nothing"/>
      <w:lvlText w:val="%1、"/>
      <w:lvlJc w:val="left"/>
    </w:lvl>
  </w:abstractNum>
  <w:abstractNum w:abstractNumId="4">
    <w:nsid w:val="59FE9A29"/>
    <w:multiLevelType w:val="singleLevel"/>
    <w:tmpl w:val="59FE9A29"/>
    <w:lvl w:ilvl="0" w:tentative="0">
      <w:start w:val="1"/>
      <w:numFmt w:val="decimal"/>
      <w:suff w:val="nothing"/>
      <w:lvlText w:val="%1、"/>
      <w:lvlJc w:val="left"/>
    </w:lvl>
  </w:abstractNum>
  <w:abstractNum w:abstractNumId="5">
    <w:nsid w:val="59FF4306"/>
    <w:multiLevelType w:val="singleLevel"/>
    <w:tmpl w:val="59FF4306"/>
    <w:lvl w:ilvl="0" w:tentative="0">
      <w:start w:val="1"/>
      <w:numFmt w:val="decimal"/>
      <w:suff w:val="nothing"/>
      <w:lvlText w:val="（%1）"/>
      <w:lvlJc w:val="left"/>
    </w:lvl>
  </w:abstractNum>
  <w:abstractNum w:abstractNumId="6">
    <w:nsid w:val="5A0102EA"/>
    <w:multiLevelType w:val="singleLevel"/>
    <w:tmpl w:val="5A0102EA"/>
    <w:lvl w:ilvl="0" w:tentative="0">
      <w:start w:val="9"/>
      <w:numFmt w:val="chineseCounting"/>
      <w:suff w:val="nothing"/>
      <w:lvlText w:val="%1、"/>
      <w:lvlJc w:val="left"/>
    </w:lvl>
  </w:abstractNum>
  <w:num w:numId="1">
    <w:abstractNumId w:val="1"/>
  </w:num>
  <w:num w:numId="2">
    <w:abstractNumId w:val="3"/>
  </w:num>
  <w:num w:numId="3">
    <w:abstractNumId w:val="2"/>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172A27"/>
    <w:rsid w:val="000003A5"/>
    <w:rsid w:val="0000048F"/>
    <w:rsid w:val="00011CE3"/>
    <w:rsid w:val="00014628"/>
    <w:rsid w:val="00015982"/>
    <w:rsid w:val="00020BDE"/>
    <w:rsid w:val="00022996"/>
    <w:rsid w:val="0003736A"/>
    <w:rsid w:val="00043D6B"/>
    <w:rsid w:val="00050CD5"/>
    <w:rsid w:val="000637F9"/>
    <w:rsid w:val="00063FD5"/>
    <w:rsid w:val="000701E2"/>
    <w:rsid w:val="000754BC"/>
    <w:rsid w:val="000756B0"/>
    <w:rsid w:val="000A371F"/>
    <w:rsid w:val="000A3CE5"/>
    <w:rsid w:val="000B12FB"/>
    <w:rsid w:val="000B3151"/>
    <w:rsid w:val="000C2585"/>
    <w:rsid w:val="000C4333"/>
    <w:rsid w:val="000C61A9"/>
    <w:rsid w:val="000D27BE"/>
    <w:rsid w:val="000D3B48"/>
    <w:rsid w:val="000D716D"/>
    <w:rsid w:val="000E775B"/>
    <w:rsid w:val="000F1E21"/>
    <w:rsid w:val="0011053C"/>
    <w:rsid w:val="0011165A"/>
    <w:rsid w:val="0014050F"/>
    <w:rsid w:val="00154AE5"/>
    <w:rsid w:val="00157642"/>
    <w:rsid w:val="0016046A"/>
    <w:rsid w:val="00161069"/>
    <w:rsid w:val="00163FED"/>
    <w:rsid w:val="00172A27"/>
    <w:rsid w:val="0018498A"/>
    <w:rsid w:val="001A7567"/>
    <w:rsid w:val="001B65AC"/>
    <w:rsid w:val="001C29D0"/>
    <w:rsid w:val="001D6278"/>
    <w:rsid w:val="001F5176"/>
    <w:rsid w:val="00205A8C"/>
    <w:rsid w:val="002138DA"/>
    <w:rsid w:val="00221EC3"/>
    <w:rsid w:val="00226E75"/>
    <w:rsid w:val="0023336F"/>
    <w:rsid w:val="00242723"/>
    <w:rsid w:val="00252195"/>
    <w:rsid w:val="00257782"/>
    <w:rsid w:val="002A21F0"/>
    <w:rsid w:val="002B5B39"/>
    <w:rsid w:val="002C2484"/>
    <w:rsid w:val="002C5D51"/>
    <w:rsid w:val="002D1028"/>
    <w:rsid w:val="002E25C8"/>
    <w:rsid w:val="002E4EA6"/>
    <w:rsid w:val="002F12F5"/>
    <w:rsid w:val="0030175F"/>
    <w:rsid w:val="00301C41"/>
    <w:rsid w:val="00306F71"/>
    <w:rsid w:val="003103FB"/>
    <w:rsid w:val="00315C75"/>
    <w:rsid w:val="0034483C"/>
    <w:rsid w:val="003572AE"/>
    <w:rsid w:val="00374166"/>
    <w:rsid w:val="003748E3"/>
    <w:rsid w:val="00380DB1"/>
    <w:rsid w:val="00386873"/>
    <w:rsid w:val="0039013A"/>
    <w:rsid w:val="003A106A"/>
    <w:rsid w:val="003D5C1C"/>
    <w:rsid w:val="003D5CCE"/>
    <w:rsid w:val="003D6354"/>
    <w:rsid w:val="003E7D15"/>
    <w:rsid w:val="003F24F0"/>
    <w:rsid w:val="003F4674"/>
    <w:rsid w:val="00401BC4"/>
    <w:rsid w:val="00404482"/>
    <w:rsid w:val="004321EA"/>
    <w:rsid w:val="00434216"/>
    <w:rsid w:val="00440BD6"/>
    <w:rsid w:val="00443C32"/>
    <w:rsid w:val="00443C89"/>
    <w:rsid w:val="0044621E"/>
    <w:rsid w:val="00447BB1"/>
    <w:rsid w:val="00467E33"/>
    <w:rsid w:val="00480F98"/>
    <w:rsid w:val="0049526E"/>
    <w:rsid w:val="004A0FD6"/>
    <w:rsid w:val="004C38C4"/>
    <w:rsid w:val="004D0A85"/>
    <w:rsid w:val="004D4D19"/>
    <w:rsid w:val="005174AC"/>
    <w:rsid w:val="00551946"/>
    <w:rsid w:val="00553971"/>
    <w:rsid w:val="00557929"/>
    <w:rsid w:val="0056005B"/>
    <w:rsid w:val="00566E7B"/>
    <w:rsid w:val="005700EC"/>
    <w:rsid w:val="00571D45"/>
    <w:rsid w:val="00590E89"/>
    <w:rsid w:val="005A0072"/>
    <w:rsid w:val="005B678B"/>
    <w:rsid w:val="005D5793"/>
    <w:rsid w:val="005E2B57"/>
    <w:rsid w:val="005E62F7"/>
    <w:rsid w:val="005F7DE7"/>
    <w:rsid w:val="00602800"/>
    <w:rsid w:val="00603079"/>
    <w:rsid w:val="006038C0"/>
    <w:rsid w:val="0060437E"/>
    <w:rsid w:val="00605F30"/>
    <w:rsid w:val="00611693"/>
    <w:rsid w:val="00614618"/>
    <w:rsid w:val="00622564"/>
    <w:rsid w:val="0062481C"/>
    <w:rsid w:val="00624D5D"/>
    <w:rsid w:val="00625FC4"/>
    <w:rsid w:val="00627760"/>
    <w:rsid w:val="00633702"/>
    <w:rsid w:val="006427B6"/>
    <w:rsid w:val="00644181"/>
    <w:rsid w:val="00692D11"/>
    <w:rsid w:val="006A0117"/>
    <w:rsid w:val="006B7087"/>
    <w:rsid w:val="006C0239"/>
    <w:rsid w:val="006D0193"/>
    <w:rsid w:val="006E790F"/>
    <w:rsid w:val="006F0EF0"/>
    <w:rsid w:val="006F2FE9"/>
    <w:rsid w:val="00703A64"/>
    <w:rsid w:val="00703B78"/>
    <w:rsid w:val="00704FF6"/>
    <w:rsid w:val="00706311"/>
    <w:rsid w:val="00731E45"/>
    <w:rsid w:val="007406B5"/>
    <w:rsid w:val="0074094B"/>
    <w:rsid w:val="007413CB"/>
    <w:rsid w:val="0075775A"/>
    <w:rsid w:val="007578EC"/>
    <w:rsid w:val="00761A89"/>
    <w:rsid w:val="007649F5"/>
    <w:rsid w:val="00767579"/>
    <w:rsid w:val="0079059D"/>
    <w:rsid w:val="007968D7"/>
    <w:rsid w:val="007C7455"/>
    <w:rsid w:val="007D514A"/>
    <w:rsid w:val="007E5313"/>
    <w:rsid w:val="007F3F3D"/>
    <w:rsid w:val="007F545E"/>
    <w:rsid w:val="00822063"/>
    <w:rsid w:val="008244C8"/>
    <w:rsid w:val="008458F9"/>
    <w:rsid w:val="008459A4"/>
    <w:rsid w:val="00847EAE"/>
    <w:rsid w:val="00852A7A"/>
    <w:rsid w:val="00855E92"/>
    <w:rsid w:val="008614DE"/>
    <w:rsid w:val="00867B52"/>
    <w:rsid w:val="00867D90"/>
    <w:rsid w:val="00883498"/>
    <w:rsid w:val="008A7256"/>
    <w:rsid w:val="008B00D6"/>
    <w:rsid w:val="008B2E41"/>
    <w:rsid w:val="008C0D7B"/>
    <w:rsid w:val="008C70A4"/>
    <w:rsid w:val="008C7612"/>
    <w:rsid w:val="008E01C7"/>
    <w:rsid w:val="008E05DF"/>
    <w:rsid w:val="008F1C60"/>
    <w:rsid w:val="008F57D2"/>
    <w:rsid w:val="00900C59"/>
    <w:rsid w:val="00902417"/>
    <w:rsid w:val="009034E5"/>
    <w:rsid w:val="0091391C"/>
    <w:rsid w:val="00931390"/>
    <w:rsid w:val="0095074E"/>
    <w:rsid w:val="00957CBB"/>
    <w:rsid w:val="00973116"/>
    <w:rsid w:val="0097660F"/>
    <w:rsid w:val="00982480"/>
    <w:rsid w:val="00984D4C"/>
    <w:rsid w:val="00995C19"/>
    <w:rsid w:val="009B1048"/>
    <w:rsid w:val="009C7D51"/>
    <w:rsid w:val="009D5539"/>
    <w:rsid w:val="009E7885"/>
    <w:rsid w:val="00A06B5D"/>
    <w:rsid w:val="00A10F23"/>
    <w:rsid w:val="00A3154E"/>
    <w:rsid w:val="00A534AA"/>
    <w:rsid w:val="00A65AE7"/>
    <w:rsid w:val="00A711AB"/>
    <w:rsid w:val="00A7405F"/>
    <w:rsid w:val="00A74196"/>
    <w:rsid w:val="00A9241E"/>
    <w:rsid w:val="00AA210E"/>
    <w:rsid w:val="00AB1820"/>
    <w:rsid w:val="00AC0A78"/>
    <w:rsid w:val="00AD5ECB"/>
    <w:rsid w:val="00AF21FE"/>
    <w:rsid w:val="00AF23FD"/>
    <w:rsid w:val="00AF26BE"/>
    <w:rsid w:val="00AF2829"/>
    <w:rsid w:val="00B02390"/>
    <w:rsid w:val="00B034A9"/>
    <w:rsid w:val="00B1620C"/>
    <w:rsid w:val="00B319FF"/>
    <w:rsid w:val="00B45DF5"/>
    <w:rsid w:val="00B637D6"/>
    <w:rsid w:val="00B71C43"/>
    <w:rsid w:val="00B834CC"/>
    <w:rsid w:val="00B8350B"/>
    <w:rsid w:val="00B91028"/>
    <w:rsid w:val="00BA20E3"/>
    <w:rsid w:val="00BC51B7"/>
    <w:rsid w:val="00BD30C0"/>
    <w:rsid w:val="00BD5564"/>
    <w:rsid w:val="00C103D3"/>
    <w:rsid w:val="00C434AB"/>
    <w:rsid w:val="00C45F57"/>
    <w:rsid w:val="00C51795"/>
    <w:rsid w:val="00C56029"/>
    <w:rsid w:val="00C73A69"/>
    <w:rsid w:val="00C808F7"/>
    <w:rsid w:val="00C85241"/>
    <w:rsid w:val="00C872B1"/>
    <w:rsid w:val="00CA3884"/>
    <w:rsid w:val="00CB297F"/>
    <w:rsid w:val="00CB2C7A"/>
    <w:rsid w:val="00CC4740"/>
    <w:rsid w:val="00CD5EBC"/>
    <w:rsid w:val="00CE34F1"/>
    <w:rsid w:val="00CF045D"/>
    <w:rsid w:val="00D0168E"/>
    <w:rsid w:val="00D1306B"/>
    <w:rsid w:val="00D337B3"/>
    <w:rsid w:val="00D368C9"/>
    <w:rsid w:val="00D43F49"/>
    <w:rsid w:val="00D52FA4"/>
    <w:rsid w:val="00D86ABC"/>
    <w:rsid w:val="00D91B64"/>
    <w:rsid w:val="00DA4901"/>
    <w:rsid w:val="00DB065A"/>
    <w:rsid w:val="00DC0314"/>
    <w:rsid w:val="00DE6488"/>
    <w:rsid w:val="00DF01FB"/>
    <w:rsid w:val="00DF22E3"/>
    <w:rsid w:val="00E029BE"/>
    <w:rsid w:val="00E10EFC"/>
    <w:rsid w:val="00E261DC"/>
    <w:rsid w:val="00E414DE"/>
    <w:rsid w:val="00E435C9"/>
    <w:rsid w:val="00E47C43"/>
    <w:rsid w:val="00E538FE"/>
    <w:rsid w:val="00E56C82"/>
    <w:rsid w:val="00E77B2D"/>
    <w:rsid w:val="00E91D3A"/>
    <w:rsid w:val="00E959C1"/>
    <w:rsid w:val="00EB1E48"/>
    <w:rsid w:val="00EB4AF1"/>
    <w:rsid w:val="00EB7A30"/>
    <w:rsid w:val="00EC5E4F"/>
    <w:rsid w:val="00ED23BE"/>
    <w:rsid w:val="00EE4C59"/>
    <w:rsid w:val="00EF1A64"/>
    <w:rsid w:val="00EF2D1D"/>
    <w:rsid w:val="00F12B30"/>
    <w:rsid w:val="00F13541"/>
    <w:rsid w:val="00F63E7D"/>
    <w:rsid w:val="00F754DF"/>
    <w:rsid w:val="00F76017"/>
    <w:rsid w:val="00F82B2D"/>
    <w:rsid w:val="00F8357D"/>
    <w:rsid w:val="00F850A3"/>
    <w:rsid w:val="00F926B4"/>
    <w:rsid w:val="00FA247E"/>
    <w:rsid w:val="00FB7C2C"/>
    <w:rsid w:val="00FF31AE"/>
    <w:rsid w:val="00FF63E5"/>
    <w:rsid w:val="00FF7227"/>
    <w:rsid w:val="012A2575"/>
    <w:rsid w:val="01592C0E"/>
    <w:rsid w:val="016C4017"/>
    <w:rsid w:val="017823E2"/>
    <w:rsid w:val="018F529B"/>
    <w:rsid w:val="01D50C59"/>
    <w:rsid w:val="02316E68"/>
    <w:rsid w:val="026C0AF5"/>
    <w:rsid w:val="02921980"/>
    <w:rsid w:val="031B2D25"/>
    <w:rsid w:val="03366511"/>
    <w:rsid w:val="03C860C3"/>
    <w:rsid w:val="03E37CED"/>
    <w:rsid w:val="03ED1F8D"/>
    <w:rsid w:val="03FC0AEA"/>
    <w:rsid w:val="04973014"/>
    <w:rsid w:val="04D56476"/>
    <w:rsid w:val="05097AD0"/>
    <w:rsid w:val="0573690E"/>
    <w:rsid w:val="05742E4A"/>
    <w:rsid w:val="0592747C"/>
    <w:rsid w:val="062F2D74"/>
    <w:rsid w:val="065437A5"/>
    <w:rsid w:val="069B3AE2"/>
    <w:rsid w:val="06A12B80"/>
    <w:rsid w:val="06C00719"/>
    <w:rsid w:val="071F07CB"/>
    <w:rsid w:val="07E6016E"/>
    <w:rsid w:val="07FD3740"/>
    <w:rsid w:val="08707D1E"/>
    <w:rsid w:val="08793A0F"/>
    <w:rsid w:val="087C0050"/>
    <w:rsid w:val="08A701BA"/>
    <w:rsid w:val="08B23F2D"/>
    <w:rsid w:val="09A34894"/>
    <w:rsid w:val="09F62CAC"/>
    <w:rsid w:val="0A2D463E"/>
    <w:rsid w:val="0A901A06"/>
    <w:rsid w:val="0AE61E2A"/>
    <w:rsid w:val="0AE866D6"/>
    <w:rsid w:val="0AF76636"/>
    <w:rsid w:val="0AFA1755"/>
    <w:rsid w:val="0AFE1ECE"/>
    <w:rsid w:val="0B5D775E"/>
    <w:rsid w:val="0B6B28D1"/>
    <w:rsid w:val="0BC67BD4"/>
    <w:rsid w:val="0C30425B"/>
    <w:rsid w:val="0C7F4863"/>
    <w:rsid w:val="0C887930"/>
    <w:rsid w:val="0CAF29FD"/>
    <w:rsid w:val="0CDF6D63"/>
    <w:rsid w:val="0CE00706"/>
    <w:rsid w:val="0CFD6581"/>
    <w:rsid w:val="0D0521E9"/>
    <w:rsid w:val="0D1578C3"/>
    <w:rsid w:val="0D6B0B5F"/>
    <w:rsid w:val="0D746695"/>
    <w:rsid w:val="0D8A30D7"/>
    <w:rsid w:val="0DA47215"/>
    <w:rsid w:val="0EA4372C"/>
    <w:rsid w:val="0FB42683"/>
    <w:rsid w:val="0FB53A66"/>
    <w:rsid w:val="104220CA"/>
    <w:rsid w:val="107A10CB"/>
    <w:rsid w:val="109C3C4F"/>
    <w:rsid w:val="11B0239F"/>
    <w:rsid w:val="12107E34"/>
    <w:rsid w:val="12675B3D"/>
    <w:rsid w:val="129F1336"/>
    <w:rsid w:val="12E63568"/>
    <w:rsid w:val="12F95791"/>
    <w:rsid w:val="136C0F58"/>
    <w:rsid w:val="136F6836"/>
    <w:rsid w:val="13A43904"/>
    <w:rsid w:val="13A710F7"/>
    <w:rsid w:val="13EE06FC"/>
    <w:rsid w:val="143558CD"/>
    <w:rsid w:val="14567AE9"/>
    <w:rsid w:val="147A5A7F"/>
    <w:rsid w:val="14C93B61"/>
    <w:rsid w:val="14EF74DD"/>
    <w:rsid w:val="14F83DC4"/>
    <w:rsid w:val="150463E2"/>
    <w:rsid w:val="151116E0"/>
    <w:rsid w:val="15637C3A"/>
    <w:rsid w:val="158717DE"/>
    <w:rsid w:val="15B64656"/>
    <w:rsid w:val="160A29D7"/>
    <w:rsid w:val="16414FEA"/>
    <w:rsid w:val="164C7434"/>
    <w:rsid w:val="16993BAB"/>
    <w:rsid w:val="16A9193E"/>
    <w:rsid w:val="17A76229"/>
    <w:rsid w:val="17B434AF"/>
    <w:rsid w:val="17CE2BF8"/>
    <w:rsid w:val="181C089E"/>
    <w:rsid w:val="188F115D"/>
    <w:rsid w:val="18957F21"/>
    <w:rsid w:val="189C4C7C"/>
    <w:rsid w:val="18A82250"/>
    <w:rsid w:val="18BD65B6"/>
    <w:rsid w:val="18DC6B8D"/>
    <w:rsid w:val="18DF0B12"/>
    <w:rsid w:val="18E34D53"/>
    <w:rsid w:val="196C2701"/>
    <w:rsid w:val="1A464FEA"/>
    <w:rsid w:val="1A915AB2"/>
    <w:rsid w:val="1AA87DB8"/>
    <w:rsid w:val="1AF032B0"/>
    <w:rsid w:val="1AF70211"/>
    <w:rsid w:val="1B046D63"/>
    <w:rsid w:val="1B056DB4"/>
    <w:rsid w:val="1B3A2D42"/>
    <w:rsid w:val="1B431D3A"/>
    <w:rsid w:val="1C2F4DC3"/>
    <w:rsid w:val="1C5A3DD5"/>
    <w:rsid w:val="1C954A4E"/>
    <w:rsid w:val="1CA0552E"/>
    <w:rsid w:val="1CAD1632"/>
    <w:rsid w:val="1CD81DA4"/>
    <w:rsid w:val="1D865490"/>
    <w:rsid w:val="1D941D84"/>
    <w:rsid w:val="1DC96655"/>
    <w:rsid w:val="1DD65800"/>
    <w:rsid w:val="1E016348"/>
    <w:rsid w:val="1E075CD2"/>
    <w:rsid w:val="1EEE0944"/>
    <w:rsid w:val="1F813AA6"/>
    <w:rsid w:val="1FC409E1"/>
    <w:rsid w:val="21206BAD"/>
    <w:rsid w:val="215610B4"/>
    <w:rsid w:val="21822D3D"/>
    <w:rsid w:val="21EE787D"/>
    <w:rsid w:val="21FB0809"/>
    <w:rsid w:val="21FE1C33"/>
    <w:rsid w:val="2262545E"/>
    <w:rsid w:val="22A9792B"/>
    <w:rsid w:val="22B338EE"/>
    <w:rsid w:val="236E25F0"/>
    <w:rsid w:val="23B2224E"/>
    <w:rsid w:val="23C24EEE"/>
    <w:rsid w:val="23C8185B"/>
    <w:rsid w:val="24312839"/>
    <w:rsid w:val="245156E2"/>
    <w:rsid w:val="25173AE3"/>
    <w:rsid w:val="257B3037"/>
    <w:rsid w:val="25DD3C11"/>
    <w:rsid w:val="25DE49C1"/>
    <w:rsid w:val="26527886"/>
    <w:rsid w:val="267912D5"/>
    <w:rsid w:val="26E1661B"/>
    <w:rsid w:val="275006F9"/>
    <w:rsid w:val="275E0D15"/>
    <w:rsid w:val="27A1459B"/>
    <w:rsid w:val="27DF1B3A"/>
    <w:rsid w:val="27E22DFD"/>
    <w:rsid w:val="281724C2"/>
    <w:rsid w:val="28664E72"/>
    <w:rsid w:val="28883EC2"/>
    <w:rsid w:val="289F732B"/>
    <w:rsid w:val="28C578E3"/>
    <w:rsid w:val="29224C47"/>
    <w:rsid w:val="296262AA"/>
    <w:rsid w:val="29641AFB"/>
    <w:rsid w:val="2976367C"/>
    <w:rsid w:val="29834AA0"/>
    <w:rsid w:val="29955CC7"/>
    <w:rsid w:val="29A075C5"/>
    <w:rsid w:val="29D50E64"/>
    <w:rsid w:val="29EC5300"/>
    <w:rsid w:val="2A3A1241"/>
    <w:rsid w:val="2B5C7A06"/>
    <w:rsid w:val="2B79244B"/>
    <w:rsid w:val="2B7E5A2F"/>
    <w:rsid w:val="2BA8056C"/>
    <w:rsid w:val="2C183088"/>
    <w:rsid w:val="2C247DB0"/>
    <w:rsid w:val="2C6B57F0"/>
    <w:rsid w:val="2CB62969"/>
    <w:rsid w:val="2D0B343E"/>
    <w:rsid w:val="2D234376"/>
    <w:rsid w:val="2D8C11E7"/>
    <w:rsid w:val="2E03286A"/>
    <w:rsid w:val="2E374BB9"/>
    <w:rsid w:val="2EB16E20"/>
    <w:rsid w:val="2EC3579B"/>
    <w:rsid w:val="2F1C1B2A"/>
    <w:rsid w:val="301773E6"/>
    <w:rsid w:val="30734519"/>
    <w:rsid w:val="30D31FA2"/>
    <w:rsid w:val="30F02913"/>
    <w:rsid w:val="30F73923"/>
    <w:rsid w:val="31DF30DB"/>
    <w:rsid w:val="32061F20"/>
    <w:rsid w:val="32132DF6"/>
    <w:rsid w:val="32135ABE"/>
    <w:rsid w:val="321B3A46"/>
    <w:rsid w:val="322D221D"/>
    <w:rsid w:val="32422A2E"/>
    <w:rsid w:val="325C3B74"/>
    <w:rsid w:val="32923106"/>
    <w:rsid w:val="32D127C9"/>
    <w:rsid w:val="32E654A8"/>
    <w:rsid w:val="32ED011C"/>
    <w:rsid w:val="332F64A8"/>
    <w:rsid w:val="33652AAB"/>
    <w:rsid w:val="337408CD"/>
    <w:rsid w:val="338227BF"/>
    <w:rsid w:val="33A1519A"/>
    <w:rsid w:val="33A157FC"/>
    <w:rsid w:val="34197027"/>
    <w:rsid w:val="3483701D"/>
    <w:rsid w:val="348A5AAB"/>
    <w:rsid w:val="34BE1A69"/>
    <w:rsid w:val="350018BF"/>
    <w:rsid w:val="35277668"/>
    <w:rsid w:val="35AB6463"/>
    <w:rsid w:val="35B9552A"/>
    <w:rsid w:val="35DF3722"/>
    <w:rsid w:val="35E57C7A"/>
    <w:rsid w:val="35F56E21"/>
    <w:rsid w:val="35FF128E"/>
    <w:rsid w:val="36211D1F"/>
    <w:rsid w:val="369F032D"/>
    <w:rsid w:val="36A6592C"/>
    <w:rsid w:val="36C41867"/>
    <w:rsid w:val="37165D58"/>
    <w:rsid w:val="3724324A"/>
    <w:rsid w:val="37442DFC"/>
    <w:rsid w:val="37CA6065"/>
    <w:rsid w:val="38340DB3"/>
    <w:rsid w:val="386B5AB9"/>
    <w:rsid w:val="388127E9"/>
    <w:rsid w:val="38E225AE"/>
    <w:rsid w:val="38F5031F"/>
    <w:rsid w:val="396345A9"/>
    <w:rsid w:val="398632C9"/>
    <w:rsid w:val="39A14962"/>
    <w:rsid w:val="39A32FB3"/>
    <w:rsid w:val="39A575B9"/>
    <w:rsid w:val="39B56DAA"/>
    <w:rsid w:val="3A03624B"/>
    <w:rsid w:val="3A93105A"/>
    <w:rsid w:val="3AA02FAA"/>
    <w:rsid w:val="3AE138A5"/>
    <w:rsid w:val="3AF02C1F"/>
    <w:rsid w:val="3B0C1CAD"/>
    <w:rsid w:val="3B4738E0"/>
    <w:rsid w:val="3B5E3269"/>
    <w:rsid w:val="3B602F8A"/>
    <w:rsid w:val="3B675EB5"/>
    <w:rsid w:val="3B8D0D9B"/>
    <w:rsid w:val="3BA47B9A"/>
    <w:rsid w:val="3BED012B"/>
    <w:rsid w:val="3C1A0C87"/>
    <w:rsid w:val="3C271470"/>
    <w:rsid w:val="3C594BC6"/>
    <w:rsid w:val="3C6616B6"/>
    <w:rsid w:val="3C8863F8"/>
    <w:rsid w:val="3CD42DDC"/>
    <w:rsid w:val="3D117FC8"/>
    <w:rsid w:val="3D622EFB"/>
    <w:rsid w:val="3D753B87"/>
    <w:rsid w:val="3DB60A0B"/>
    <w:rsid w:val="3DFD0722"/>
    <w:rsid w:val="3DFF7104"/>
    <w:rsid w:val="3E551FB3"/>
    <w:rsid w:val="3EB81614"/>
    <w:rsid w:val="3F1149E2"/>
    <w:rsid w:val="3F551B76"/>
    <w:rsid w:val="3FD768CC"/>
    <w:rsid w:val="404A3EE6"/>
    <w:rsid w:val="407C39C5"/>
    <w:rsid w:val="40C37BB8"/>
    <w:rsid w:val="413D7498"/>
    <w:rsid w:val="41441080"/>
    <w:rsid w:val="41644AC6"/>
    <w:rsid w:val="41D00C05"/>
    <w:rsid w:val="41DA1921"/>
    <w:rsid w:val="42314D3C"/>
    <w:rsid w:val="42442AAD"/>
    <w:rsid w:val="433E6E1B"/>
    <w:rsid w:val="435E0381"/>
    <w:rsid w:val="43897BF3"/>
    <w:rsid w:val="43930820"/>
    <w:rsid w:val="43F82546"/>
    <w:rsid w:val="444357C6"/>
    <w:rsid w:val="44D679FE"/>
    <w:rsid w:val="45A55DC6"/>
    <w:rsid w:val="45BE051A"/>
    <w:rsid w:val="45F17687"/>
    <w:rsid w:val="46295027"/>
    <w:rsid w:val="467A0553"/>
    <w:rsid w:val="46883E3A"/>
    <w:rsid w:val="470B49DF"/>
    <w:rsid w:val="47554A2E"/>
    <w:rsid w:val="477A529A"/>
    <w:rsid w:val="47972AA2"/>
    <w:rsid w:val="47BF59B5"/>
    <w:rsid w:val="47DA7003"/>
    <w:rsid w:val="482A4EBF"/>
    <w:rsid w:val="483364B1"/>
    <w:rsid w:val="487C6396"/>
    <w:rsid w:val="488F0303"/>
    <w:rsid w:val="48921AA5"/>
    <w:rsid w:val="48B15C84"/>
    <w:rsid w:val="48CE2A25"/>
    <w:rsid w:val="48D43416"/>
    <w:rsid w:val="492B471A"/>
    <w:rsid w:val="494B5FDF"/>
    <w:rsid w:val="49B67730"/>
    <w:rsid w:val="4A1C773B"/>
    <w:rsid w:val="4A3D2F0A"/>
    <w:rsid w:val="4AC93664"/>
    <w:rsid w:val="4B1B0C75"/>
    <w:rsid w:val="4B840483"/>
    <w:rsid w:val="4BB45154"/>
    <w:rsid w:val="4BC1305C"/>
    <w:rsid w:val="4BCC512F"/>
    <w:rsid w:val="4BFA28BC"/>
    <w:rsid w:val="4C601776"/>
    <w:rsid w:val="4C630303"/>
    <w:rsid w:val="4C7E587F"/>
    <w:rsid w:val="4CC23EB0"/>
    <w:rsid w:val="4CD0683E"/>
    <w:rsid w:val="4CD95253"/>
    <w:rsid w:val="4D437DA4"/>
    <w:rsid w:val="4D494532"/>
    <w:rsid w:val="4D826054"/>
    <w:rsid w:val="4D8A4F7E"/>
    <w:rsid w:val="4E0005EB"/>
    <w:rsid w:val="4E194CA1"/>
    <w:rsid w:val="4E2D6A07"/>
    <w:rsid w:val="4E4C4D02"/>
    <w:rsid w:val="4E7B3423"/>
    <w:rsid w:val="4EAC37DF"/>
    <w:rsid w:val="4F084254"/>
    <w:rsid w:val="4F162064"/>
    <w:rsid w:val="4F621496"/>
    <w:rsid w:val="4F662626"/>
    <w:rsid w:val="4F865A85"/>
    <w:rsid w:val="4F910ED2"/>
    <w:rsid w:val="4F933AD9"/>
    <w:rsid w:val="4FD32EF5"/>
    <w:rsid w:val="50511C98"/>
    <w:rsid w:val="50964884"/>
    <w:rsid w:val="50B5629B"/>
    <w:rsid w:val="50C73754"/>
    <w:rsid w:val="51033D9B"/>
    <w:rsid w:val="5113454A"/>
    <w:rsid w:val="514428C2"/>
    <w:rsid w:val="52307E1A"/>
    <w:rsid w:val="53135C4A"/>
    <w:rsid w:val="533854FF"/>
    <w:rsid w:val="53641DBD"/>
    <w:rsid w:val="53E872F2"/>
    <w:rsid w:val="53F058C2"/>
    <w:rsid w:val="53F236E6"/>
    <w:rsid w:val="54142CED"/>
    <w:rsid w:val="545738DA"/>
    <w:rsid w:val="5471674D"/>
    <w:rsid w:val="54987463"/>
    <w:rsid w:val="54A42CB0"/>
    <w:rsid w:val="550B1300"/>
    <w:rsid w:val="55522A85"/>
    <w:rsid w:val="556F6EE3"/>
    <w:rsid w:val="559139C2"/>
    <w:rsid w:val="561F25A1"/>
    <w:rsid w:val="56A249C9"/>
    <w:rsid w:val="56D7219E"/>
    <w:rsid w:val="574762F5"/>
    <w:rsid w:val="57A9761A"/>
    <w:rsid w:val="57E31CFF"/>
    <w:rsid w:val="57E959E2"/>
    <w:rsid w:val="580836B7"/>
    <w:rsid w:val="582F2885"/>
    <w:rsid w:val="58566FF7"/>
    <w:rsid w:val="58827C5D"/>
    <w:rsid w:val="58A126F9"/>
    <w:rsid w:val="58BA45A1"/>
    <w:rsid w:val="58BC787B"/>
    <w:rsid w:val="58D2342C"/>
    <w:rsid w:val="59DE3080"/>
    <w:rsid w:val="59F1395D"/>
    <w:rsid w:val="5A13456B"/>
    <w:rsid w:val="5A136F9C"/>
    <w:rsid w:val="5A6E7A80"/>
    <w:rsid w:val="5A7A3EC9"/>
    <w:rsid w:val="5A855D8D"/>
    <w:rsid w:val="5A8B7786"/>
    <w:rsid w:val="5ABC01C6"/>
    <w:rsid w:val="5B0E6D2A"/>
    <w:rsid w:val="5B0F7D86"/>
    <w:rsid w:val="5B944301"/>
    <w:rsid w:val="5B95726D"/>
    <w:rsid w:val="5BB3647D"/>
    <w:rsid w:val="5BD66BE4"/>
    <w:rsid w:val="5BDA57C1"/>
    <w:rsid w:val="5BDD3D78"/>
    <w:rsid w:val="5BEC0651"/>
    <w:rsid w:val="5CA65ED9"/>
    <w:rsid w:val="5CAE5303"/>
    <w:rsid w:val="5D38334A"/>
    <w:rsid w:val="5D56641E"/>
    <w:rsid w:val="5DBB0404"/>
    <w:rsid w:val="5DBB2EBB"/>
    <w:rsid w:val="5DCD012C"/>
    <w:rsid w:val="5DE24227"/>
    <w:rsid w:val="5E6A2BD3"/>
    <w:rsid w:val="5E8F586C"/>
    <w:rsid w:val="5E997473"/>
    <w:rsid w:val="5E9A3EAC"/>
    <w:rsid w:val="5EBD517D"/>
    <w:rsid w:val="5EE370E0"/>
    <w:rsid w:val="5F121CBC"/>
    <w:rsid w:val="5F32208B"/>
    <w:rsid w:val="5F4F4A01"/>
    <w:rsid w:val="5F567F2F"/>
    <w:rsid w:val="5FB772BE"/>
    <w:rsid w:val="5FCD2E7E"/>
    <w:rsid w:val="5FD05E35"/>
    <w:rsid w:val="60137E82"/>
    <w:rsid w:val="602E701D"/>
    <w:rsid w:val="60540793"/>
    <w:rsid w:val="605F64C9"/>
    <w:rsid w:val="60775F8A"/>
    <w:rsid w:val="60BD4F34"/>
    <w:rsid w:val="60C469F3"/>
    <w:rsid w:val="61982F7F"/>
    <w:rsid w:val="62016302"/>
    <w:rsid w:val="62427E96"/>
    <w:rsid w:val="626F1B52"/>
    <w:rsid w:val="628C0239"/>
    <w:rsid w:val="62F0537B"/>
    <w:rsid w:val="62F310A8"/>
    <w:rsid w:val="63414F84"/>
    <w:rsid w:val="635349BB"/>
    <w:rsid w:val="63722C93"/>
    <w:rsid w:val="63994B5A"/>
    <w:rsid w:val="63B42686"/>
    <w:rsid w:val="63CF280C"/>
    <w:rsid w:val="63D87A76"/>
    <w:rsid w:val="646303D7"/>
    <w:rsid w:val="64947C99"/>
    <w:rsid w:val="6498780F"/>
    <w:rsid w:val="653C5921"/>
    <w:rsid w:val="661B714A"/>
    <w:rsid w:val="665A0AE8"/>
    <w:rsid w:val="66A45586"/>
    <w:rsid w:val="66C57AF1"/>
    <w:rsid w:val="66DF028E"/>
    <w:rsid w:val="66E152AB"/>
    <w:rsid w:val="66F1163E"/>
    <w:rsid w:val="670518D7"/>
    <w:rsid w:val="6718250D"/>
    <w:rsid w:val="674545DC"/>
    <w:rsid w:val="674A62F4"/>
    <w:rsid w:val="67F61359"/>
    <w:rsid w:val="67FD2314"/>
    <w:rsid w:val="69363216"/>
    <w:rsid w:val="697E48CF"/>
    <w:rsid w:val="69C56A6C"/>
    <w:rsid w:val="6A033D96"/>
    <w:rsid w:val="6A15554D"/>
    <w:rsid w:val="6A3B2E10"/>
    <w:rsid w:val="6A3F365C"/>
    <w:rsid w:val="6A4778E7"/>
    <w:rsid w:val="6A59123D"/>
    <w:rsid w:val="6A7F1571"/>
    <w:rsid w:val="6B3042B3"/>
    <w:rsid w:val="6B502134"/>
    <w:rsid w:val="6BD914E6"/>
    <w:rsid w:val="6BFF4D1E"/>
    <w:rsid w:val="6C1C36AA"/>
    <w:rsid w:val="6C650676"/>
    <w:rsid w:val="6C6A6CB2"/>
    <w:rsid w:val="6C7A3EC9"/>
    <w:rsid w:val="6CAA6637"/>
    <w:rsid w:val="6CAB7F1B"/>
    <w:rsid w:val="6CB13920"/>
    <w:rsid w:val="6CCA7DDD"/>
    <w:rsid w:val="6D0914F3"/>
    <w:rsid w:val="6D36594F"/>
    <w:rsid w:val="6D56103D"/>
    <w:rsid w:val="6D9B5E0A"/>
    <w:rsid w:val="6DA85BBC"/>
    <w:rsid w:val="6DC50107"/>
    <w:rsid w:val="6E0013DE"/>
    <w:rsid w:val="6E100A2A"/>
    <w:rsid w:val="6E1460DD"/>
    <w:rsid w:val="6E1E1FE0"/>
    <w:rsid w:val="6E27376B"/>
    <w:rsid w:val="6EBC1D04"/>
    <w:rsid w:val="6EC15DD8"/>
    <w:rsid w:val="6F906041"/>
    <w:rsid w:val="6FB33509"/>
    <w:rsid w:val="6FDE7E10"/>
    <w:rsid w:val="6FEC12A1"/>
    <w:rsid w:val="700A2401"/>
    <w:rsid w:val="70182DD4"/>
    <w:rsid w:val="703615DA"/>
    <w:rsid w:val="70723A5A"/>
    <w:rsid w:val="70A367DC"/>
    <w:rsid w:val="70D64B4A"/>
    <w:rsid w:val="70D85DB2"/>
    <w:rsid w:val="71856E40"/>
    <w:rsid w:val="71A56B9B"/>
    <w:rsid w:val="72376A4A"/>
    <w:rsid w:val="72A226B5"/>
    <w:rsid w:val="72A22AE4"/>
    <w:rsid w:val="72DB3DC7"/>
    <w:rsid w:val="730229F2"/>
    <w:rsid w:val="73251577"/>
    <w:rsid w:val="736E4495"/>
    <w:rsid w:val="73707BF4"/>
    <w:rsid w:val="73912327"/>
    <w:rsid w:val="743F5080"/>
    <w:rsid w:val="744B0451"/>
    <w:rsid w:val="7474619D"/>
    <w:rsid w:val="74C735D7"/>
    <w:rsid w:val="750B1704"/>
    <w:rsid w:val="75BC5DCD"/>
    <w:rsid w:val="76A76B55"/>
    <w:rsid w:val="76F37D35"/>
    <w:rsid w:val="78271915"/>
    <w:rsid w:val="782D7041"/>
    <w:rsid w:val="785513B8"/>
    <w:rsid w:val="789C0579"/>
    <w:rsid w:val="78DD150E"/>
    <w:rsid w:val="7AB362AA"/>
    <w:rsid w:val="7ABB3A21"/>
    <w:rsid w:val="7ACB61C8"/>
    <w:rsid w:val="7ADF3F91"/>
    <w:rsid w:val="7B276F1B"/>
    <w:rsid w:val="7B41711D"/>
    <w:rsid w:val="7B6F73D5"/>
    <w:rsid w:val="7B792F99"/>
    <w:rsid w:val="7BA945E8"/>
    <w:rsid w:val="7BE960A2"/>
    <w:rsid w:val="7C097BAB"/>
    <w:rsid w:val="7C175448"/>
    <w:rsid w:val="7C342D9F"/>
    <w:rsid w:val="7C620EF8"/>
    <w:rsid w:val="7CB4313C"/>
    <w:rsid w:val="7CCD0B58"/>
    <w:rsid w:val="7D2C7FA1"/>
    <w:rsid w:val="7D306F70"/>
    <w:rsid w:val="7DB578AD"/>
    <w:rsid w:val="7DD70B98"/>
    <w:rsid w:val="7E5B4BBE"/>
    <w:rsid w:val="7F1F0F57"/>
    <w:rsid w:val="7F3B7A16"/>
    <w:rsid w:val="7F6C7B94"/>
    <w:rsid w:val="7F9B3C70"/>
    <w:rsid w:val="7FBD466B"/>
    <w:rsid w:val="7FC82D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3"/>
    <w:qFormat/>
    <w:uiPriority w:val="0"/>
    <w:pPr>
      <w:keepNext/>
      <w:keepLines/>
      <w:spacing w:before="340" w:after="330" w:line="576" w:lineRule="auto"/>
      <w:outlineLvl w:val="0"/>
    </w:pPr>
    <w:rPr>
      <w:b/>
      <w:kern w:val="44"/>
      <w:sz w:val="44"/>
    </w:rPr>
  </w:style>
  <w:style w:type="paragraph" w:styleId="5">
    <w:name w:val="heading 2"/>
    <w:basedOn w:val="1"/>
    <w:next w:val="1"/>
    <w:link w:val="54"/>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55"/>
    <w:qFormat/>
    <w:uiPriority w:val="0"/>
    <w:pPr>
      <w:keepNext/>
      <w:keepLines/>
      <w:spacing w:before="260" w:after="260" w:line="412" w:lineRule="auto"/>
      <w:outlineLvl w:val="2"/>
    </w:pPr>
    <w:rPr>
      <w:b/>
      <w:bCs/>
      <w:sz w:val="32"/>
      <w:szCs w:val="32"/>
    </w:rPr>
  </w:style>
  <w:style w:type="paragraph" w:styleId="7">
    <w:name w:val="heading 4"/>
    <w:basedOn w:val="1"/>
    <w:next w:val="1"/>
    <w:link w:val="56"/>
    <w:qFormat/>
    <w:uiPriority w:val="0"/>
    <w:pPr>
      <w:keepNext/>
      <w:keepLines/>
      <w:spacing w:line="360" w:lineRule="auto"/>
      <w:outlineLvl w:val="3"/>
    </w:pPr>
    <w:rPr>
      <w:rFonts w:ascii="Arial" w:hAnsi="Arial"/>
      <w:b/>
    </w:rPr>
  </w:style>
  <w:style w:type="paragraph" w:styleId="8">
    <w:name w:val="heading 5"/>
    <w:basedOn w:val="1"/>
    <w:next w:val="1"/>
    <w:link w:val="57"/>
    <w:qFormat/>
    <w:uiPriority w:val="0"/>
    <w:pPr>
      <w:keepNext/>
      <w:keepLines/>
      <w:spacing w:before="280" w:after="290" w:line="376" w:lineRule="auto"/>
      <w:outlineLvl w:val="4"/>
    </w:pPr>
    <w:rPr>
      <w:rFonts w:ascii="宋体"/>
      <w:b/>
      <w:bCs/>
      <w:kern w:val="0"/>
      <w:sz w:val="28"/>
      <w:szCs w:val="28"/>
    </w:rPr>
  </w:style>
  <w:style w:type="paragraph" w:styleId="9">
    <w:name w:val="heading 6"/>
    <w:basedOn w:val="1"/>
    <w:next w:val="1"/>
    <w:link w:val="58"/>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0">
    <w:name w:val="heading 7"/>
    <w:basedOn w:val="1"/>
    <w:next w:val="1"/>
    <w:link w:val="59"/>
    <w:qFormat/>
    <w:uiPriority w:val="0"/>
    <w:pPr>
      <w:keepNext/>
      <w:keepLines/>
      <w:widowControl/>
      <w:tabs>
        <w:tab w:val="left" w:pos="2520"/>
      </w:tabs>
      <w:spacing w:before="240" w:after="64" w:line="320" w:lineRule="auto"/>
      <w:ind w:left="1296" w:hanging="1296"/>
      <w:jc w:val="left"/>
      <w:outlineLvl w:val="6"/>
    </w:pPr>
    <w:rPr>
      <w:rFonts w:ascii="宋体"/>
      <w:b/>
      <w:bCs/>
      <w:kern w:val="0"/>
      <w:sz w:val="24"/>
    </w:rPr>
  </w:style>
  <w:style w:type="paragraph" w:styleId="11">
    <w:name w:val="heading 8"/>
    <w:basedOn w:val="1"/>
    <w:next w:val="1"/>
    <w:link w:val="60"/>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2">
    <w:name w:val="heading 9"/>
    <w:basedOn w:val="1"/>
    <w:next w:val="1"/>
    <w:link w:val="61"/>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 w:val="34"/>
      <w:szCs w:val="21"/>
    </w:rPr>
  </w:style>
  <w:style w:type="character" w:default="1" w:styleId="43">
    <w:name w:val="Default Paragraph Font"/>
    <w:unhideWhenUsed/>
    <w:uiPriority w:val="1"/>
  </w:style>
  <w:style w:type="table" w:default="1" w:styleId="50">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2"/>
    <w:qFormat/>
    <w:uiPriority w:val="0"/>
    <w:pPr>
      <w:ind w:firstLine="420" w:firstLineChars="100"/>
    </w:pPr>
  </w:style>
  <w:style w:type="paragraph" w:styleId="3">
    <w:name w:val="Body Text"/>
    <w:basedOn w:val="1"/>
    <w:link w:val="51"/>
    <w:qFormat/>
    <w:uiPriority w:val="0"/>
    <w:pPr>
      <w:spacing w:after="120"/>
    </w:pPr>
    <w:rPr>
      <w:rFonts w:ascii="宋体"/>
      <w:kern w:val="0"/>
      <w:sz w:val="34"/>
    </w:rPr>
  </w:style>
  <w:style w:type="paragraph" w:styleId="13">
    <w:name w:val="annotation subject"/>
    <w:basedOn w:val="14"/>
    <w:next w:val="14"/>
    <w:link w:val="63"/>
    <w:qFormat/>
    <w:uiPriority w:val="0"/>
    <w:rPr>
      <w:b/>
      <w:bCs/>
    </w:rPr>
  </w:style>
  <w:style w:type="paragraph" w:styleId="14">
    <w:name w:val="annotation text"/>
    <w:basedOn w:val="1"/>
    <w:link w:val="62"/>
    <w:qFormat/>
    <w:uiPriority w:val="0"/>
    <w:pPr>
      <w:jc w:val="left"/>
    </w:pPr>
  </w:style>
  <w:style w:type="paragraph" w:styleId="15">
    <w:name w:val="toc 7"/>
    <w:basedOn w:val="1"/>
    <w:next w:val="1"/>
    <w:qFormat/>
    <w:uiPriority w:val="0"/>
    <w:pPr>
      <w:ind w:left="2520" w:leftChars="1200"/>
    </w:pPr>
    <w:rPr>
      <w:rFonts w:ascii="宋体"/>
      <w:kern w:val="0"/>
      <w:sz w:val="34"/>
    </w:rPr>
  </w:style>
  <w:style w:type="paragraph" w:styleId="16">
    <w:name w:val="Normal Indent"/>
    <w:basedOn w:val="1"/>
    <w:qFormat/>
    <w:uiPriority w:val="0"/>
    <w:pPr>
      <w:ind w:firstLine="420" w:firstLineChars="200"/>
    </w:pPr>
    <w:rPr>
      <w:rFonts w:ascii="宋体"/>
      <w:kern w:val="0"/>
      <w:sz w:val="34"/>
    </w:rPr>
  </w:style>
  <w:style w:type="paragraph" w:styleId="17">
    <w:name w:val="caption"/>
    <w:basedOn w:val="1"/>
    <w:next w:val="1"/>
    <w:qFormat/>
    <w:uiPriority w:val="0"/>
    <w:rPr>
      <w:rFonts w:ascii="Cambria" w:hAnsi="Cambria" w:eastAsia="黑体"/>
      <w:sz w:val="20"/>
    </w:rPr>
  </w:style>
  <w:style w:type="paragraph" w:styleId="18">
    <w:name w:val="Document Map"/>
    <w:basedOn w:val="1"/>
    <w:link w:val="64"/>
    <w:qFormat/>
    <w:uiPriority w:val="0"/>
    <w:pPr>
      <w:shd w:val="clear" w:color="auto" w:fill="000080"/>
    </w:pPr>
  </w:style>
  <w:style w:type="paragraph" w:styleId="19">
    <w:name w:val="Body Text 3"/>
    <w:basedOn w:val="1"/>
    <w:link w:val="65"/>
    <w:qFormat/>
    <w:uiPriority w:val="0"/>
    <w:rPr>
      <w:rFonts w:ascii="宋体"/>
      <w:sz w:val="24"/>
    </w:rPr>
  </w:style>
  <w:style w:type="paragraph" w:styleId="20">
    <w:name w:val="Body Text Indent"/>
    <w:basedOn w:val="1"/>
    <w:link w:val="66"/>
    <w:qFormat/>
    <w:uiPriority w:val="0"/>
    <w:pPr>
      <w:spacing w:after="120"/>
      <w:ind w:left="420" w:leftChars="200"/>
    </w:pPr>
    <w:rPr>
      <w:rFonts w:ascii="宋体"/>
      <w:kern w:val="0"/>
      <w:sz w:val="34"/>
    </w:rPr>
  </w:style>
  <w:style w:type="paragraph" w:styleId="21">
    <w:name w:val="index 4"/>
    <w:basedOn w:val="1"/>
    <w:next w:val="1"/>
    <w:qFormat/>
    <w:uiPriority w:val="0"/>
    <w:pPr>
      <w:ind w:left="600" w:leftChars="600"/>
    </w:pPr>
    <w:rPr>
      <w:szCs w:val="24"/>
    </w:rPr>
  </w:style>
  <w:style w:type="paragraph" w:styleId="22">
    <w:name w:val="toc 5"/>
    <w:basedOn w:val="1"/>
    <w:next w:val="1"/>
    <w:qFormat/>
    <w:uiPriority w:val="0"/>
    <w:pPr>
      <w:ind w:left="1680" w:leftChars="800"/>
    </w:pPr>
    <w:rPr>
      <w:rFonts w:ascii="宋体"/>
      <w:kern w:val="0"/>
      <w:sz w:val="34"/>
    </w:rPr>
  </w:style>
  <w:style w:type="paragraph" w:styleId="23">
    <w:name w:val="toc 3"/>
    <w:basedOn w:val="1"/>
    <w:next w:val="1"/>
    <w:qFormat/>
    <w:uiPriority w:val="0"/>
    <w:pPr>
      <w:tabs>
        <w:tab w:val="right" w:leader="dot" w:pos="9060"/>
      </w:tabs>
    </w:pPr>
    <w:rPr>
      <w:szCs w:val="24"/>
    </w:rPr>
  </w:style>
  <w:style w:type="paragraph" w:styleId="24">
    <w:name w:val="Plain Text"/>
    <w:basedOn w:val="1"/>
    <w:link w:val="67"/>
    <w:qFormat/>
    <w:uiPriority w:val="0"/>
    <w:rPr>
      <w:rFonts w:ascii="宋体"/>
    </w:rPr>
  </w:style>
  <w:style w:type="paragraph" w:styleId="25">
    <w:name w:val="toc 8"/>
    <w:basedOn w:val="1"/>
    <w:next w:val="1"/>
    <w:qFormat/>
    <w:uiPriority w:val="0"/>
    <w:pPr>
      <w:ind w:left="2940"/>
      <w:jc w:val="left"/>
    </w:pPr>
  </w:style>
  <w:style w:type="paragraph" w:styleId="26">
    <w:name w:val="Date"/>
    <w:basedOn w:val="1"/>
    <w:next w:val="1"/>
    <w:link w:val="68"/>
    <w:qFormat/>
    <w:uiPriority w:val="0"/>
    <w:pPr>
      <w:ind w:left="2500" w:leftChars="2500"/>
    </w:pPr>
  </w:style>
  <w:style w:type="paragraph" w:styleId="27">
    <w:name w:val="Body Text Indent 2"/>
    <w:basedOn w:val="1"/>
    <w:qFormat/>
    <w:uiPriority w:val="0"/>
    <w:pPr>
      <w:spacing w:after="120" w:line="480" w:lineRule="auto"/>
      <w:ind w:left="200" w:leftChars="200"/>
    </w:pPr>
  </w:style>
  <w:style w:type="paragraph" w:styleId="28">
    <w:name w:val="Balloon Text"/>
    <w:basedOn w:val="1"/>
    <w:link w:val="69"/>
    <w:qFormat/>
    <w:uiPriority w:val="0"/>
    <w:rPr>
      <w:sz w:val="18"/>
      <w:szCs w:val="18"/>
    </w:rPr>
  </w:style>
  <w:style w:type="paragraph" w:styleId="29">
    <w:name w:val="footer"/>
    <w:basedOn w:val="1"/>
    <w:link w:val="70"/>
    <w:qFormat/>
    <w:uiPriority w:val="0"/>
    <w:pPr>
      <w:tabs>
        <w:tab w:val="center" w:pos="4153"/>
        <w:tab w:val="right" w:pos="8306"/>
      </w:tabs>
      <w:snapToGrid w:val="0"/>
      <w:jc w:val="left"/>
    </w:pPr>
    <w:rPr>
      <w:sz w:val="18"/>
    </w:rPr>
  </w:style>
  <w:style w:type="paragraph" w:styleId="30">
    <w:name w:val="header"/>
    <w:basedOn w:val="1"/>
    <w:link w:val="71"/>
    <w:qFormat/>
    <w:uiPriority w:val="0"/>
    <w:pPr>
      <w:pBdr>
        <w:bottom w:val="single" w:color="auto" w:sz="6" w:space="1"/>
      </w:pBdr>
      <w:tabs>
        <w:tab w:val="center" w:pos="4153"/>
        <w:tab w:val="right" w:pos="8306"/>
      </w:tabs>
      <w:snapToGrid w:val="0"/>
      <w:jc w:val="center"/>
    </w:pPr>
    <w:rPr>
      <w:sz w:val="18"/>
    </w:rPr>
  </w:style>
  <w:style w:type="paragraph" w:styleId="31">
    <w:name w:val="toc 1"/>
    <w:basedOn w:val="1"/>
    <w:next w:val="1"/>
    <w:qFormat/>
    <w:uiPriority w:val="0"/>
    <w:pPr>
      <w:tabs>
        <w:tab w:val="right" w:leader="dot" w:pos="9060"/>
      </w:tabs>
      <w:spacing w:line="580" w:lineRule="exact"/>
    </w:pPr>
    <w:rPr>
      <w:rFonts w:ascii="黑体" w:eastAsia="黑体"/>
      <w:kern w:val="0"/>
    </w:rPr>
  </w:style>
  <w:style w:type="paragraph" w:styleId="32">
    <w:name w:val="toc 4"/>
    <w:basedOn w:val="1"/>
    <w:next w:val="1"/>
    <w:qFormat/>
    <w:uiPriority w:val="0"/>
    <w:pPr>
      <w:ind w:left="1260" w:leftChars="600"/>
    </w:pPr>
    <w:rPr>
      <w:rFonts w:ascii="宋体"/>
      <w:kern w:val="0"/>
      <w:sz w:val="34"/>
    </w:rPr>
  </w:style>
  <w:style w:type="paragraph" w:styleId="33">
    <w:name w:val="Subtitle"/>
    <w:basedOn w:val="1"/>
    <w:next w:val="1"/>
    <w:link w:val="72"/>
    <w:qFormat/>
    <w:uiPriority w:val="0"/>
    <w:pPr>
      <w:spacing w:before="240" w:after="60" w:line="312" w:lineRule="auto"/>
      <w:jc w:val="center"/>
      <w:outlineLvl w:val="1"/>
    </w:pPr>
    <w:rPr>
      <w:rFonts w:ascii="Cambria" w:hAnsi="Cambria"/>
      <w:b/>
      <w:bCs/>
      <w:kern w:val="28"/>
      <w:sz w:val="32"/>
      <w:szCs w:val="32"/>
    </w:rPr>
  </w:style>
  <w:style w:type="paragraph" w:styleId="34">
    <w:name w:val="footnote text"/>
    <w:basedOn w:val="1"/>
    <w:qFormat/>
    <w:uiPriority w:val="0"/>
    <w:pPr>
      <w:snapToGrid w:val="0"/>
      <w:jc w:val="left"/>
    </w:pPr>
    <w:rPr>
      <w:sz w:val="18"/>
    </w:rPr>
  </w:style>
  <w:style w:type="paragraph" w:styleId="35">
    <w:name w:val="toc 6"/>
    <w:basedOn w:val="1"/>
    <w:next w:val="1"/>
    <w:qFormat/>
    <w:uiPriority w:val="0"/>
    <w:pPr>
      <w:ind w:left="2100" w:leftChars="1000"/>
    </w:pPr>
    <w:rPr>
      <w:rFonts w:ascii="宋体"/>
      <w:kern w:val="0"/>
      <w:sz w:val="34"/>
    </w:rPr>
  </w:style>
  <w:style w:type="paragraph" w:styleId="36">
    <w:name w:val="Body Text Indent 3"/>
    <w:basedOn w:val="1"/>
    <w:link w:val="73"/>
    <w:qFormat/>
    <w:uiPriority w:val="0"/>
    <w:pPr>
      <w:ind w:firstLine="200" w:firstLineChars="200"/>
    </w:pPr>
    <w:rPr>
      <w:rFonts w:ascii="宋体"/>
    </w:rPr>
  </w:style>
  <w:style w:type="paragraph" w:styleId="37">
    <w:name w:val="toc 2"/>
    <w:basedOn w:val="1"/>
    <w:next w:val="1"/>
    <w:qFormat/>
    <w:uiPriority w:val="0"/>
    <w:pPr>
      <w:ind w:left="420" w:leftChars="200"/>
    </w:pPr>
    <w:rPr>
      <w:rFonts w:ascii="宋体"/>
      <w:kern w:val="0"/>
      <w:sz w:val="34"/>
    </w:rPr>
  </w:style>
  <w:style w:type="paragraph" w:styleId="38">
    <w:name w:val="toc 9"/>
    <w:basedOn w:val="1"/>
    <w:next w:val="1"/>
    <w:qFormat/>
    <w:uiPriority w:val="0"/>
    <w:pPr>
      <w:ind w:left="3360" w:leftChars="1600"/>
    </w:pPr>
    <w:rPr>
      <w:rFonts w:ascii="宋体"/>
      <w:kern w:val="0"/>
      <w:sz w:val="34"/>
    </w:rPr>
  </w:style>
  <w:style w:type="paragraph" w:styleId="39">
    <w:name w:val="Body Text 2"/>
    <w:basedOn w:val="1"/>
    <w:link w:val="132"/>
    <w:unhideWhenUsed/>
    <w:qFormat/>
    <w:uiPriority w:val="0"/>
    <w:pPr>
      <w:autoSpaceDE w:val="0"/>
      <w:autoSpaceDN w:val="0"/>
      <w:adjustRightInd w:val="0"/>
      <w:spacing w:after="120" w:line="480" w:lineRule="auto"/>
      <w:jc w:val="left"/>
      <w:textAlignment w:val="baseline"/>
    </w:pPr>
    <w:rPr>
      <w:kern w:val="20"/>
      <w:sz w:val="22"/>
    </w:rPr>
  </w:style>
  <w:style w:type="paragraph" w:styleId="40">
    <w:name w:val="Normal (Web)"/>
    <w:basedOn w:val="1"/>
    <w:qFormat/>
    <w:uiPriority w:val="0"/>
    <w:pPr>
      <w:widowControl/>
      <w:spacing w:before="100" w:beforeAutospacing="1" w:after="100" w:afterAutospacing="1"/>
      <w:jc w:val="left"/>
    </w:pPr>
    <w:rPr>
      <w:rFonts w:ascii="宋体"/>
      <w:kern w:val="0"/>
      <w:sz w:val="24"/>
    </w:rPr>
  </w:style>
  <w:style w:type="paragraph" w:styleId="41">
    <w:name w:val="index 1"/>
    <w:basedOn w:val="1"/>
    <w:next w:val="1"/>
    <w:qFormat/>
    <w:uiPriority w:val="0"/>
  </w:style>
  <w:style w:type="paragraph" w:styleId="42">
    <w:name w:val="Title"/>
    <w:basedOn w:val="1"/>
    <w:link w:val="74"/>
    <w:qFormat/>
    <w:uiPriority w:val="0"/>
    <w:pPr>
      <w:adjustRightInd w:val="0"/>
      <w:spacing w:before="240" w:after="60" w:line="420" w:lineRule="atLeast"/>
      <w:jc w:val="center"/>
      <w:textAlignment w:val="baseline"/>
      <w:outlineLvl w:val="0"/>
    </w:pPr>
    <w:rPr>
      <w:rFonts w:ascii="Arial" w:hAnsi="Arial"/>
      <w:b/>
      <w:kern w:val="0"/>
      <w:sz w:val="32"/>
    </w:rPr>
  </w:style>
  <w:style w:type="character" w:styleId="44">
    <w:name w:val="Strong"/>
    <w:basedOn w:val="43"/>
    <w:qFormat/>
    <w:uiPriority w:val="0"/>
    <w:rPr>
      <w:b/>
      <w:bCs/>
    </w:rPr>
  </w:style>
  <w:style w:type="character" w:styleId="45">
    <w:name w:val="page number"/>
    <w:qFormat/>
    <w:uiPriority w:val="0"/>
  </w:style>
  <w:style w:type="character" w:styleId="46">
    <w:name w:val="FollowedHyperlink"/>
    <w:basedOn w:val="43"/>
    <w:uiPriority w:val="0"/>
    <w:rPr>
      <w:color w:val="800080"/>
      <w:u w:val="single"/>
    </w:rPr>
  </w:style>
  <w:style w:type="character" w:styleId="47">
    <w:name w:val="Emphasis"/>
    <w:qFormat/>
    <w:uiPriority w:val="0"/>
    <w:rPr>
      <w:i/>
      <w:iCs/>
    </w:rPr>
  </w:style>
  <w:style w:type="character" w:styleId="48">
    <w:name w:val="Hyperlink"/>
    <w:basedOn w:val="43"/>
    <w:qFormat/>
    <w:uiPriority w:val="0"/>
    <w:rPr>
      <w:color w:val="0000FF"/>
      <w:u w:val="single"/>
    </w:rPr>
  </w:style>
  <w:style w:type="character" w:styleId="49">
    <w:name w:val="annotation reference"/>
    <w:basedOn w:val="43"/>
    <w:qFormat/>
    <w:uiPriority w:val="0"/>
    <w:rPr>
      <w:sz w:val="21"/>
      <w:szCs w:val="21"/>
    </w:rPr>
  </w:style>
  <w:style w:type="character" w:customStyle="1" w:styleId="51">
    <w:name w:val="正文文本 Char"/>
    <w:link w:val="3"/>
    <w:qFormat/>
    <w:uiPriority w:val="0"/>
    <w:rPr>
      <w:rFonts w:ascii="宋体" w:eastAsia="宋体"/>
      <w:sz w:val="34"/>
      <w:lang w:val="en-US" w:eastAsia="zh-CN" w:bidi="ar-SA"/>
    </w:rPr>
  </w:style>
  <w:style w:type="character" w:customStyle="1" w:styleId="52">
    <w:name w:val="正文首行缩进 Char"/>
    <w:basedOn w:val="51"/>
    <w:link w:val="2"/>
    <w:qFormat/>
    <w:uiPriority w:val="0"/>
  </w:style>
  <w:style w:type="character" w:customStyle="1" w:styleId="53">
    <w:name w:val="标题 1 Char"/>
    <w:link w:val="4"/>
    <w:qFormat/>
    <w:uiPriority w:val="0"/>
    <w:rPr>
      <w:rFonts w:eastAsia="宋体"/>
      <w:b/>
      <w:kern w:val="44"/>
      <w:sz w:val="44"/>
      <w:lang w:val="en-US" w:eastAsia="zh-CN" w:bidi="ar-SA"/>
    </w:rPr>
  </w:style>
  <w:style w:type="character" w:customStyle="1" w:styleId="54">
    <w:name w:val="标题 2 Char"/>
    <w:basedOn w:val="43"/>
    <w:link w:val="5"/>
    <w:qFormat/>
    <w:uiPriority w:val="0"/>
    <w:rPr>
      <w:rFonts w:ascii="Arial" w:hAnsi="Arial" w:eastAsia="黑体"/>
      <w:b/>
      <w:bCs/>
      <w:sz w:val="32"/>
      <w:szCs w:val="32"/>
      <w:lang w:val="en-US" w:eastAsia="zh-CN" w:bidi="ar-SA"/>
    </w:rPr>
  </w:style>
  <w:style w:type="character" w:customStyle="1" w:styleId="55">
    <w:name w:val="标题 3 Char"/>
    <w:link w:val="6"/>
    <w:qFormat/>
    <w:uiPriority w:val="0"/>
    <w:rPr>
      <w:rFonts w:eastAsia="宋体"/>
      <w:b/>
      <w:bCs/>
      <w:kern w:val="2"/>
      <w:sz w:val="32"/>
      <w:szCs w:val="32"/>
      <w:lang w:val="en-US" w:eastAsia="zh-CN" w:bidi="ar-SA"/>
    </w:rPr>
  </w:style>
  <w:style w:type="character" w:customStyle="1" w:styleId="56">
    <w:name w:val="标题 4 Char"/>
    <w:link w:val="7"/>
    <w:qFormat/>
    <w:uiPriority w:val="0"/>
    <w:rPr>
      <w:rFonts w:ascii="Arial" w:hAnsi="Arial" w:eastAsia="宋体"/>
      <w:b/>
      <w:kern w:val="2"/>
      <w:sz w:val="21"/>
      <w:lang w:val="en-US" w:eastAsia="zh-CN" w:bidi="ar-SA"/>
    </w:rPr>
  </w:style>
  <w:style w:type="character" w:customStyle="1" w:styleId="57">
    <w:name w:val="标题 5 Char"/>
    <w:link w:val="8"/>
    <w:qFormat/>
    <w:uiPriority w:val="0"/>
    <w:rPr>
      <w:rFonts w:ascii="宋体" w:eastAsia="宋体"/>
      <w:b/>
      <w:bCs/>
      <w:sz w:val="28"/>
      <w:szCs w:val="28"/>
      <w:lang w:val="en-US" w:eastAsia="zh-CN" w:bidi="ar-SA"/>
    </w:rPr>
  </w:style>
  <w:style w:type="character" w:customStyle="1" w:styleId="58">
    <w:name w:val="标题 6 Char"/>
    <w:link w:val="9"/>
    <w:qFormat/>
    <w:uiPriority w:val="0"/>
    <w:rPr>
      <w:rFonts w:ascii="Arial" w:hAnsi="Arial" w:eastAsia="黑体"/>
      <w:b/>
      <w:bCs/>
      <w:sz w:val="24"/>
      <w:lang w:val="en-US" w:eastAsia="zh-CN" w:bidi="ar-SA"/>
    </w:rPr>
  </w:style>
  <w:style w:type="character" w:customStyle="1" w:styleId="59">
    <w:name w:val="标题 7 Char"/>
    <w:link w:val="10"/>
    <w:qFormat/>
    <w:uiPriority w:val="0"/>
    <w:rPr>
      <w:rFonts w:ascii="宋体" w:eastAsia="宋体"/>
      <w:b/>
      <w:bCs/>
      <w:sz w:val="24"/>
      <w:lang w:val="en-US" w:eastAsia="zh-CN" w:bidi="ar-SA"/>
    </w:rPr>
  </w:style>
  <w:style w:type="character" w:customStyle="1" w:styleId="60">
    <w:name w:val="标题 8 Char"/>
    <w:link w:val="11"/>
    <w:qFormat/>
    <w:uiPriority w:val="0"/>
    <w:rPr>
      <w:rFonts w:ascii="Arial" w:hAnsi="Arial" w:eastAsia="黑体"/>
      <w:sz w:val="24"/>
      <w:lang w:val="en-US" w:eastAsia="zh-CN" w:bidi="ar-SA"/>
    </w:rPr>
  </w:style>
  <w:style w:type="character" w:customStyle="1" w:styleId="61">
    <w:name w:val="标题 9 Char"/>
    <w:link w:val="12"/>
    <w:qFormat/>
    <w:uiPriority w:val="0"/>
    <w:rPr>
      <w:rFonts w:ascii="Arial" w:hAnsi="Arial" w:eastAsia="黑体"/>
      <w:sz w:val="34"/>
      <w:szCs w:val="21"/>
      <w:lang w:val="en-US" w:eastAsia="zh-CN" w:bidi="ar-SA"/>
    </w:rPr>
  </w:style>
  <w:style w:type="character" w:customStyle="1" w:styleId="62">
    <w:name w:val="批注文字 Char"/>
    <w:link w:val="14"/>
    <w:qFormat/>
    <w:uiPriority w:val="0"/>
    <w:rPr>
      <w:rFonts w:eastAsia="宋体"/>
      <w:kern w:val="2"/>
      <w:sz w:val="21"/>
      <w:lang w:val="en-US" w:eastAsia="zh-CN" w:bidi="ar-SA"/>
    </w:rPr>
  </w:style>
  <w:style w:type="character" w:customStyle="1" w:styleId="63">
    <w:name w:val="批注主题 Char"/>
    <w:link w:val="13"/>
    <w:qFormat/>
    <w:uiPriority w:val="0"/>
    <w:rPr>
      <w:rFonts w:eastAsia="宋体"/>
      <w:b/>
      <w:bCs/>
      <w:kern w:val="2"/>
      <w:sz w:val="21"/>
      <w:lang w:val="en-US" w:eastAsia="zh-CN" w:bidi="ar-SA"/>
    </w:rPr>
  </w:style>
  <w:style w:type="character" w:customStyle="1" w:styleId="64">
    <w:name w:val="文档结构图 Char"/>
    <w:link w:val="18"/>
    <w:qFormat/>
    <w:uiPriority w:val="0"/>
    <w:rPr>
      <w:rFonts w:eastAsia="宋体"/>
      <w:kern w:val="2"/>
      <w:sz w:val="21"/>
      <w:lang w:val="en-US" w:eastAsia="zh-CN" w:bidi="ar-SA"/>
    </w:rPr>
  </w:style>
  <w:style w:type="character" w:customStyle="1" w:styleId="65">
    <w:name w:val="正文文本 3 Char"/>
    <w:basedOn w:val="43"/>
    <w:link w:val="19"/>
    <w:qFormat/>
    <w:locked/>
    <w:uiPriority w:val="0"/>
    <w:rPr>
      <w:rFonts w:ascii="宋体"/>
      <w:kern w:val="2"/>
      <w:sz w:val="24"/>
    </w:rPr>
  </w:style>
  <w:style w:type="character" w:customStyle="1" w:styleId="66">
    <w:name w:val="正文文本缩进 Char"/>
    <w:basedOn w:val="43"/>
    <w:link w:val="20"/>
    <w:qFormat/>
    <w:locked/>
    <w:uiPriority w:val="0"/>
    <w:rPr>
      <w:rFonts w:ascii="宋体"/>
      <w:sz w:val="34"/>
    </w:rPr>
  </w:style>
  <w:style w:type="character" w:customStyle="1" w:styleId="67">
    <w:name w:val="纯文本 Char"/>
    <w:basedOn w:val="43"/>
    <w:link w:val="24"/>
    <w:qFormat/>
    <w:uiPriority w:val="0"/>
    <w:rPr>
      <w:rFonts w:ascii="宋体" w:eastAsia="宋体"/>
      <w:kern w:val="2"/>
      <w:sz w:val="21"/>
      <w:lang w:val="en-US" w:eastAsia="zh-CN" w:bidi="ar-SA"/>
    </w:rPr>
  </w:style>
  <w:style w:type="character" w:customStyle="1" w:styleId="68">
    <w:name w:val="日期 Char"/>
    <w:link w:val="26"/>
    <w:qFormat/>
    <w:uiPriority w:val="0"/>
    <w:rPr>
      <w:rFonts w:eastAsia="宋体"/>
      <w:kern w:val="2"/>
      <w:sz w:val="21"/>
      <w:lang w:val="en-US" w:eastAsia="zh-CN" w:bidi="ar-SA"/>
    </w:rPr>
  </w:style>
  <w:style w:type="character" w:customStyle="1" w:styleId="69">
    <w:name w:val="批注框文本 Char"/>
    <w:link w:val="28"/>
    <w:qFormat/>
    <w:uiPriority w:val="0"/>
    <w:rPr>
      <w:rFonts w:eastAsia="宋体"/>
      <w:kern w:val="2"/>
      <w:sz w:val="18"/>
      <w:szCs w:val="18"/>
      <w:lang w:val="en-US" w:eastAsia="zh-CN" w:bidi="ar-SA"/>
    </w:rPr>
  </w:style>
  <w:style w:type="character" w:customStyle="1" w:styleId="70">
    <w:name w:val="页脚 Char"/>
    <w:basedOn w:val="43"/>
    <w:link w:val="29"/>
    <w:qFormat/>
    <w:uiPriority w:val="0"/>
    <w:rPr>
      <w:rFonts w:eastAsia="宋体"/>
      <w:kern w:val="2"/>
      <w:sz w:val="18"/>
      <w:lang w:val="en-US" w:eastAsia="zh-CN" w:bidi="ar-SA"/>
    </w:rPr>
  </w:style>
  <w:style w:type="character" w:customStyle="1" w:styleId="71">
    <w:name w:val="页眉 Char"/>
    <w:link w:val="30"/>
    <w:qFormat/>
    <w:uiPriority w:val="0"/>
    <w:rPr>
      <w:rFonts w:eastAsia="宋体"/>
      <w:kern w:val="2"/>
      <w:sz w:val="18"/>
      <w:lang w:val="en-US" w:eastAsia="zh-CN" w:bidi="ar-SA"/>
    </w:rPr>
  </w:style>
  <w:style w:type="character" w:customStyle="1" w:styleId="72">
    <w:name w:val="副标题 Char"/>
    <w:link w:val="33"/>
    <w:qFormat/>
    <w:uiPriority w:val="0"/>
    <w:rPr>
      <w:rFonts w:ascii="Cambria" w:hAnsi="Cambria"/>
      <w:b/>
      <w:bCs/>
      <w:kern w:val="28"/>
      <w:sz w:val="32"/>
      <w:szCs w:val="32"/>
      <w:lang w:bidi="ar-SA"/>
    </w:rPr>
  </w:style>
  <w:style w:type="character" w:customStyle="1" w:styleId="73">
    <w:name w:val="正文文本缩进 3 Char"/>
    <w:basedOn w:val="43"/>
    <w:link w:val="36"/>
    <w:qFormat/>
    <w:locked/>
    <w:uiPriority w:val="0"/>
    <w:rPr>
      <w:rFonts w:ascii="宋体"/>
      <w:kern w:val="2"/>
      <w:sz w:val="21"/>
    </w:rPr>
  </w:style>
  <w:style w:type="character" w:customStyle="1" w:styleId="74">
    <w:name w:val="标题 Char"/>
    <w:link w:val="42"/>
    <w:qFormat/>
    <w:uiPriority w:val="0"/>
    <w:rPr>
      <w:rFonts w:ascii="Arial" w:hAnsi="Arial" w:eastAsia="宋体"/>
      <w:b/>
      <w:sz w:val="32"/>
      <w:lang w:val="en-US" w:eastAsia="zh-CN" w:bidi="ar-SA"/>
    </w:rPr>
  </w:style>
  <w:style w:type="character" w:customStyle="1" w:styleId="75">
    <w:name w:val="明显强调1"/>
    <w:qFormat/>
    <w:uiPriority w:val="0"/>
    <w:rPr>
      <w:b/>
      <w:bCs/>
      <w:i/>
      <w:iCs/>
      <w:color w:val="4F81BD"/>
    </w:rPr>
  </w:style>
  <w:style w:type="character" w:customStyle="1" w:styleId="76">
    <w:name w:val="标题4 Char Char"/>
    <w:link w:val="77"/>
    <w:qFormat/>
    <w:uiPriority w:val="0"/>
    <w:rPr>
      <w:rFonts w:ascii="Arial" w:hAnsi="Arial"/>
      <w:b/>
      <w:bCs/>
      <w:sz w:val="24"/>
      <w:szCs w:val="32"/>
      <w:lang w:bidi="ar-SA"/>
    </w:rPr>
  </w:style>
  <w:style w:type="paragraph" w:customStyle="1" w:styleId="77">
    <w:name w:val="标题4"/>
    <w:basedOn w:val="5"/>
    <w:next w:val="21"/>
    <w:link w:val="76"/>
    <w:qFormat/>
    <w:uiPriority w:val="0"/>
    <w:pPr>
      <w:spacing w:line="413" w:lineRule="auto"/>
    </w:pPr>
    <w:rPr>
      <w:rFonts w:eastAsia="宋体"/>
      <w:sz w:val="24"/>
    </w:rPr>
  </w:style>
  <w:style w:type="character" w:customStyle="1" w:styleId="78">
    <w:name w:val="不明显参考1"/>
    <w:qFormat/>
    <w:uiPriority w:val="0"/>
    <w:rPr>
      <w:smallCaps/>
      <w:color w:val="C0504D"/>
      <w:u w:val="single"/>
    </w:rPr>
  </w:style>
  <w:style w:type="character" w:customStyle="1" w:styleId="79">
    <w:name w:val="正文文本 Char1"/>
    <w:qFormat/>
    <w:uiPriority w:val="0"/>
    <w:rPr>
      <w:kern w:val="2"/>
      <w:sz w:val="21"/>
      <w:szCs w:val="22"/>
    </w:rPr>
  </w:style>
  <w:style w:type="character" w:customStyle="1" w:styleId="80">
    <w:name w:val="引用 Char"/>
    <w:link w:val="81"/>
    <w:qFormat/>
    <w:uiPriority w:val="0"/>
    <w:rPr>
      <w:i/>
      <w:iCs/>
      <w:color w:val="000000"/>
      <w:kern w:val="2"/>
      <w:sz w:val="21"/>
      <w:szCs w:val="22"/>
      <w:lang w:bidi="ar-SA"/>
    </w:rPr>
  </w:style>
  <w:style w:type="paragraph" w:styleId="81">
    <w:name w:val="Quote"/>
    <w:basedOn w:val="1"/>
    <w:next w:val="1"/>
    <w:link w:val="80"/>
    <w:qFormat/>
    <w:uiPriority w:val="0"/>
    <w:rPr>
      <w:i/>
      <w:iCs/>
      <w:color w:val="000000"/>
      <w:szCs w:val="22"/>
    </w:rPr>
  </w:style>
  <w:style w:type="character" w:customStyle="1" w:styleId="82">
    <w:name w:val="明显参考1"/>
    <w:qFormat/>
    <w:uiPriority w:val="0"/>
    <w:rPr>
      <w:b/>
      <w:bCs/>
      <w:smallCaps/>
      <w:color w:val="C0504D"/>
      <w:spacing w:val="5"/>
      <w:u w:val="single"/>
    </w:rPr>
  </w:style>
  <w:style w:type="character" w:customStyle="1" w:styleId="83">
    <w:name w:val="书籍标题1"/>
    <w:qFormat/>
    <w:uiPriority w:val="0"/>
    <w:rPr>
      <w:b/>
      <w:bCs/>
      <w:smallCaps/>
      <w:spacing w:val="5"/>
    </w:rPr>
  </w:style>
  <w:style w:type="character" w:customStyle="1" w:styleId="84">
    <w:name w:val="ca-151"/>
    <w:basedOn w:val="43"/>
    <w:qFormat/>
    <w:uiPriority w:val="0"/>
    <w:rPr>
      <w:rFonts w:ascii="黑体" w:eastAsia="黑体"/>
      <w:b/>
      <w:spacing w:val="-20"/>
      <w:sz w:val="21"/>
    </w:rPr>
  </w:style>
  <w:style w:type="character" w:customStyle="1" w:styleId="85">
    <w:name w:val="文档结构图 Char1"/>
    <w:qFormat/>
    <w:uiPriority w:val="0"/>
    <w:rPr>
      <w:rFonts w:ascii="宋体"/>
      <w:kern w:val="2"/>
      <w:sz w:val="18"/>
      <w:szCs w:val="18"/>
    </w:rPr>
  </w:style>
  <w:style w:type="character" w:customStyle="1" w:styleId="86">
    <w:name w:val="日期 Char1"/>
    <w:qFormat/>
    <w:uiPriority w:val="0"/>
    <w:rPr>
      <w:kern w:val="2"/>
      <w:sz w:val="21"/>
      <w:szCs w:val="22"/>
    </w:rPr>
  </w:style>
  <w:style w:type="character" w:customStyle="1" w:styleId="87">
    <w:name w:val="font161"/>
    <w:basedOn w:val="43"/>
    <w:qFormat/>
    <w:uiPriority w:val="0"/>
    <w:rPr>
      <w:b/>
      <w:bCs/>
      <w:sz w:val="32"/>
      <w:szCs w:val="32"/>
    </w:rPr>
  </w:style>
  <w:style w:type="character" w:customStyle="1" w:styleId="88">
    <w:name w:val="ca-161"/>
    <w:basedOn w:val="43"/>
    <w:qFormat/>
    <w:uiPriority w:val="0"/>
    <w:rPr>
      <w:rFonts w:ascii="宋体" w:eastAsia="宋体"/>
      <w:spacing w:val="0"/>
      <w:sz w:val="21"/>
    </w:rPr>
  </w:style>
  <w:style w:type="character" w:customStyle="1" w:styleId="89">
    <w:name w:val="Char Char3"/>
    <w:qFormat/>
    <w:uiPriority w:val="0"/>
    <w:rPr>
      <w:kern w:val="2"/>
      <w:sz w:val="18"/>
      <w:szCs w:val="18"/>
    </w:rPr>
  </w:style>
  <w:style w:type="character" w:customStyle="1" w:styleId="90">
    <w:name w:val="批注文字 Char Char"/>
    <w:qFormat/>
    <w:uiPriority w:val="0"/>
    <w:rPr>
      <w:rFonts w:ascii="宋体" w:hAnsi="Times New Roman" w:eastAsia="宋体" w:cs="Times New Roman"/>
      <w:sz w:val="28"/>
      <w:szCs w:val="20"/>
    </w:rPr>
  </w:style>
  <w:style w:type="character" w:customStyle="1" w:styleId="91">
    <w:name w:val="apple-converted-space"/>
    <w:basedOn w:val="43"/>
    <w:qFormat/>
    <w:uiPriority w:val="0"/>
  </w:style>
  <w:style w:type="character" w:customStyle="1" w:styleId="92">
    <w:name w:val="textcontents"/>
    <w:basedOn w:val="43"/>
    <w:qFormat/>
    <w:uiPriority w:val="0"/>
  </w:style>
  <w:style w:type="character" w:customStyle="1" w:styleId="93">
    <w:name w:val="标题5 Char Char"/>
    <w:link w:val="94"/>
    <w:qFormat/>
    <w:uiPriority w:val="0"/>
    <w:rPr>
      <w:rFonts w:ascii="Arial" w:hAnsi="Arial"/>
      <w:b/>
      <w:bCs/>
      <w:sz w:val="24"/>
      <w:szCs w:val="32"/>
      <w:lang w:bidi="ar-SA"/>
    </w:rPr>
  </w:style>
  <w:style w:type="paragraph" w:customStyle="1" w:styleId="94">
    <w:name w:val="标题5"/>
    <w:basedOn w:val="6"/>
    <w:link w:val="93"/>
    <w:qFormat/>
    <w:uiPriority w:val="0"/>
    <w:pPr>
      <w:spacing w:line="413" w:lineRule="auto"/>
    </w:pPr>
    <w:rPr>
      <w:rFonts w:ascii="Arial" w:hAnsi="Arial"/>
      <w:kern w:val="0"/>
      <w:sz w:val="24"/>
    </w:rPr>
  </w:style>
  <w:style w:type="character" w:customStyle="1" w:styleId="95">
    <w:name w:val="批注框文本 Char1"/>
    <w:qFormat/>
    <w:uiPriority w:val="0"/>
    <w:rPr>
      <w:kern w:val="2"/>
      <w:sz w:val="18"/>
      <w:szCs w:val="18"/>
    </w:rPr>
  </w:style>
  <w:style w:type="character" w:customStyle="1" w:styleId="96">
    <w:name w:val="明显引用 Char"/>
    <w:link w:val="97"/>
    <w:qFormat/>
    <w:uiPriority w:val="0"/>
    <w:rPr>
      <w:b/>
      <w:bCs/>
      <w:i/>
      <w:iCs/>
      <w:color w:val="4F81BD"/>
      <w:kern w:val="2"/>
      <w:sz w:val="21"/>
      <w:szCs w:val="22"/>
      <w:lang w:bidi="ar-SA"/>
    </w:rPr>
  </w:style>
  <w:style w:type="paragraph" w:styleId="97">
    <w:name w:val="Intense Quote"/>
    <w:basedOn w:val="1"/>
    <w:next w:val="1"/>
    <w:link w:val="96"/>
    <w:qFormat/>
    <w:uiPriority w:val="0"/>
    <w:pPr>
      <w:pBdr>
        <w:bottom w:val="single" w:color="4F81BD" w:sz="4" w:space="4"/>
      </w:pBdr>
      <w:spacing w:before="200" w:after="280"/>
      <w:ind w:left="936" w:right="936"/>
    </w:pPr>
    <w:rPr>
      <w:b/>
      <w:bCs/>
      <w:i/>
      <w:iCs/>
      <w:color w:val="4F81BD"/>
      <w:szCs w:val="22"/>
    </w:rPr>
  </w:style>
  <w:style w:type="character" w:customStyle="1" w:styleId="98">
    <w:name w:val="不明显强调1"/>
    <w:qFormat/>
    <w:uiPriority w:val="0"/>
    <w:rPr>
      <w:i/>
      <w:iCs/>
      <w:color w:val="808080"/>
    </w:rPr>
  </w:style>
  <w:style w:type="character" w:customStyle="1" w:styleId="99">
    <w:name w:val="Char Char17"/>
    <w:qFormat/>
    <w:uiPriority w:val="0"/>
    <w:rPr>
      <w:rFonts w:ascii="Cambria" w:hAnsi="Cambria" w:eastAsia="宋体" w:cs="Times New Roman"/>
      <w:b/>
      <w:bCs/>
      <w:kern w:val="2"/>
      <w:sz w:val="32"/>
      <w:szCs w:val="32"/>
    </w:rPr>
  </w:style>
  <w:style w:type="character" w:customStyle="1" w:styleId="100">
    <w:name w:val="批注主题 Char1"/>
    <w:qFormat/>
    <w:uiPriority w:val="0"/>
    <w:rPr>
      <w:b/>
      <w:bCs/>
      <w:kern w:val="2"/>
      <w:sz w:val="21"/>
      <w:szCs w:val="22"/>
    </w:rPr>
  </w:style>
  <w:style w:type="paragraph" w:customStyle="1" w:styleId="101">
    <w:name w:val="修订1"/>
    <w:uiPriority w:val="0"/>
    <w:rPr>
      <w:rFonts w:ascii="Times New Roman" w:hAnsi="Times New Roman" w:eastAsia="宋体" w:cs="Times New Roman"/>
      <w:kern w:val="2"/>
      <w:sz w:val="21"/>
      <w:szCs w:val="24"/>
      <w:lang w:val="en-US" w:eastAsia="zh-CN" w:bidi="ar-SA"/>
    </w:rPr>
  </w:style>
  <w:style w:type="paragraph" w:customStyle="1" w:styleId="102">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03">
    <w:name w:val="6'"/>
    <w:basedOn w:val="1"/>
    <w:uiPriority w:val="0"/>
    <w:pPr>
      <w:autoSpaceDE w:val="0"/>
      <w:autoSpaceDN w:val="0"/>
      <w:adjustRightInd w:val="0"/>
      <w:snapToGrid w:val="0"/>
      <w:spacing w:line="320" w:lineRule="exact"/>
      <w:jc w:val="center"/>
      <w:textAlignment w:val="baseline"/>
    </w:pPr>
    <w:rPr>
      <w:rFonts w:ascii="宋体"/>
      <w:spacing w:val="20"/>
      <w:kern w:val="28"/>
      <w:sz w:val="34"/>
    </w:rPr>
  </w:style>
  <w:style w:type="paragraph" w:customStyle="1" w:styleId="104">
    <w:name w:val="Char1"/>
    <w:basedOn w:val="18"/>
    <w:uiPriority w:val="0"/>
    <w:rPr>
      <w:szCs w:val="24"/>
    </w:rPr>
  </w:style>
  <w:style w:type="paragraph" w:customStyle="1" w:styleId="105">
    <w:name w:val="_Style 2"/>
    <w:basedOn w:val="1"/>
    <w:next w:val="1"/>
    <w:qFormat/>
    <w:uiPriority w:val="0"/>
    <w:pPr>
      <w:pBdr>
        <w:top w:val="single" w:color="auto" w:sz="6" w:space="1"/>
      </w:pBdr>
      <w:jc w:val="center"/>
    </w:pPr>
    <w:rPr>
      <w:rFonts w:ascii="Arial"/>
      <w:vanish/>
      <w:sz w:val="16"/>
    </w:rPr>
  </w:style>
  <w:style w:type="paragraph" w:customStyle="1" w:styleId="106">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07">
    <w:name w:val="表格"/>
    <w:basedOn w:val="1"/>
    <w:uiPriority w:val="0"/>
    <w:pPr>
      <w:jc w:val="center"/>
      <w:textAlignment w:val="center"/>
    </w:pPr>
    <w:rPr>
      <w:rFonts w:ascii="华文细黑" w:hAnsi="华文细黑"/>
      <w:kern w:val="0"/>
      <w:sz w:val="34"/>
    </w:rPr>
  </w:style>
  <w:style w:type="paragraph" w:customStyle="1" w:styleId="108">
    <w:name w:val="样式 标题 3 + (中文) 黑体 小四 非加粗 段前: 7.8 磅 段后: 0 磅 行距: 固定值 20 磅"/>
    <w:basedOn w:val="6"/>
    <w:qFormat/>
    <w:uiPriority w:val="0"/>
    <w:pPr>
      <w:spacing w:before="0" w:after="0" w:line="400" w:lineRule="exact"/>
    </w:pPr>
    <w:rPr>
      <w:rFonts w:eastAsia="黑体"/>
      <w:b w:val="0"/>
      <w:sz w:val="24"/>
    </w:rPr>
  </w:style>
  <w:style w:type="paragraph" w:customStyle="1" w:styleId="109">
    <w:name w:val="p16"/>
    <w:basedOn w:val="1"/>
    <w:uiPriority w:val="0"/>
    <w:pPr>
      <w:widowControl/>
      <w:spacing w:before="100" w:beforeAutospacing="1" w:after="100" w:afterAutospacing="1"/>
      <w:jc w:val="left"/>
    </w:pPr>
    <w:rPr>
      <w:rFonts w:ascii="宋体" w:cs="宋体"/>
      <w:kern w:val="0"/>
      <w:sz w:val="24"/>
    </w:rPr>
  </w:style>
  <w:style w:type="paragraph" w:customStyle="1" w:styleId="110">
    <w:name w:val="H3"/>
    <w:basedOn w:val="1"/>
    <w:next w:val="1"/>
    <w:qFormat/>
    <w:uiPriority w:val="0"/>
    <w:pPr>
      <w:keepNext/>
      <w:autoSpaceDE w:val="0"/>
      <w:autoSpaceDN w:val="0"/>
      <w:adjustRightInd w:val="0"/>
      <w:spacing w:before="100" w:after="100"/>
      <w:jc w:val="left"/>
      <w:outlineLvl w:val="3"/>
    </w:pPr>
    <w:rPr>
      <w:b/>
      <w:kern w:val="0"/>
      <w:sz w:val="28"/>
    </w:rPr>
  </w:style>
  <w:style w:type="paragraph" w:customStyle="1" w:styleId="111">
    <w:name w:val="p0"/>
    <w:basedOn w:val="1"/>
    <w:qFormat/>
    <w:uiPriority w:val="0"/>
    <w:pPr>
      <w:widowControl/>
    </w:pPr>
    <w:rPr>
      <w:kern w:val="0"/>
    </w:rPr>
  </w:style>
  <w:style w:type="paragraph" w:customStyle="1" w:styleId="112">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113">
    <w:name w:val="Char11"/>
    <w:basedOn w:val="1"/>
    <w:uiPriority w:val="0"/>
    <w:pPr>
      <w:adjustRightInd w:val="0"/>
      <w:spacing w:line="600" w:lineRule="exact"/>
      <w:ind w:firstLine="200" w:firstLineChars="200"/>
      <w:jc w:val="center"/>
    </w:pPr>
  </w:style>
  <w:style w:type="paragraph" w:customStyle="1" w:styleId="114">
    <w:name w:val="默认段落字体 Para Char Char Char Char Char Char Char"/>
    <w:basedOn w:val="1"/>
    <w:uiPriority w:val="0"/>
    <w:rPr>
      <w:rFonts w:ascii="Tahoma" w:hAnsi="Tahoma"/>
      <w:kern w:val="0"/>
      <w:sz w:val="24"/>
    </w:rPr>
  </w:style>
  <w:style w:type="paragraph" w:customStyle="1" w:styleId="115">
    <w:name w:val="样式 标题 1 + 黑体 三号 非加粗 居中 段前: 6 磅 段后: 6 磅 行距: 固定值 20 磅"/>
    <w:basedOn w:val="4"/>
    <w:uiPriority w:val="0"/>
    <w:pPr>
      <w:spacing w:before="120" w:after="120" w:line="400" w:lineRule="exact"/>
      <w:jc w:val="center"/>
    </w:pPr>
    <w:rPr>
      <w:rFonts w:ascii="黑体" w:hAnsi="黑体" w:eastAsia="黑体" w:cs="宋体"/>
      <w:b w:val="0"/>
      <w:sz w:val="32"/>
    </w:rPr>
  </w:style>
  <w:style w:type="paragraph" w:customStyle="1" w:styleId="116">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117">
    <w:name w:val="正文 + 自动设置"/>
    <w:basedOn w:val="4"/>
    <w:uiPriority w:val="0"/>
    <w:pPr>
      <w:tabs>
        <w:tab w:val="left" w:pos="840"/>
      </w:tabs>
      <w:spacing w:before="360" w:after="360" w:line="480" w:lineRule="auto"/>
      <w:jc w:val="center"/>
    </w:pPr>
    <w:rPr>
      <w:rFonts w:ascii="宋体" w:eastAsia="黑体"/>
      <w:sz w:val="36"/>
    </w:rPr>
  </w:style>
  <w:style w:type="paragraph" w:customStyle="1" w:styleId="118">
    <w:name w:val="Char Char Char Char Char Char Char Char Char Char Char Char Char Char Char Char"/>
    <w:basedOn w:val="1"/>
    <w:uiPriority w:val="0"/>
    <w:pPr>
      <w:snapToGrid w:val="0"/>
      <w:spacing w:line="360" w:lineRule="auto"/>
      <w:ind w:firstLine="200" w:firstLineChars="200"/>
    </w:pPr>
    <w:rPr>
      <w:szCs w:val="24"/>
    </w:rPr>
  </w:style>
  <w:style w:type="paragraph" w:customStyle="1" w:styleId="119">
    <w:name w:val="TOC 标题1"/>
    <w:basedOn w:val="4"/>
    <w:next w:val="1"/>
    <w:qFormat/>
    <w:uiPriority w:val="0"/>
    <w:pPr>
      <w:outlineLvl w:val="9"/>
    </w:pPr>
    <w:rPr>
      <w:rFonts w:ascii="Calibri" w:hAnsi="Calibri"/>
      <w:bCs/>
      <w:szCs w:val="44"/>
    </w:rPr>
  </w:style>
  <w:style w:type="paragraph" w:customStyle="1" w:styleId="120">
    <w:name w:val="pa-52"/>
    <w:basedOn w:val="1"/>
    <w:qFormat/>
    <w:uiPriority w:val="0"/>
    <w:pPr>
      <w:widowControl/>
      <w:spacing w:line="240" w:lineRule="atLeast"/>
      <w:ind w:firstLine="200"/>
    </w:pPr>
    <w:rPr>
      <w:rFonts w:ascii="宋体"/>
      <w:kern w:val="0"/>
      <w:sz w:val="24"/>
    </w:rPr>
  </w:style>
  <w:style w:type="paragraph" w:customStyle="1" w:styleId="121">
    <w:name w:val="Char"/>
    <w:basedOn w:val="1"/>
    <w:qFormat/>
    <w:uiPriority w:val="0"/>
    <w:rPr>
      <w:rFonts w:ascii="仿宋_GB2312" w:eastAsia="仿宋_GB2312"/>
      <w:b/>
      <w:sz w:val="32"/>
    </w:rPr>
  </w:style>
  <w:style w:type="paragraph" w:customStyle="1" w:styleId="122">
    <w:name w:val="pa-8"/>
    <w:basedOn w:val="1"/>
    <w:uiPriority w:val="0"/>
    <w:pPr>
      <w:widowControl/>
      <w:spacing w:line="240" w:lineRule="atLeast"/>
    </w:pPr>
    <w:rPr>
      <w:rFonts w:ascii="宋体"/>
      <w:kern w:val="0"/>
      <w:sz w:val="24"/>
    </w:rPr>
  </w:style>
  <w:style w:type="paragraph" w:customStyle="1" w:styleId="123">
    <w:name w:val="_Style 1"/>
    <w:basedOn w:val="1"/>
    <w:next w:val="1"/>
    <w:qFormat/>
    <w:uiPriority w:val="0"/>
    <w:pPr>
      <w:pBdr>
        <w:bottom w:val="single" w:color="auto" w:sz="6" w:space="1"/>
      </w:pBdr>
      <w:jc w:val="center"/>
    </w:pPr>
    <w:rPr>
      <w:rFonts w:ascii="Arial"/>
      <w:vanish/>
      <w:sz w:val="16"/>
    </w:rPr>
  </w:style>
  <w:style w:type="paragraph" w:styleId="12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Blockquote"/>
    <w:basedOn w:val="1"/>
    <w:uiPriority w:val="0"/>
    <w:pPr>
      <w:autoSpaceDE w:val="0"/>
      <w:autoSpaceDN w:val="0"/>
      <w:adjustRightInd w:val="0"/>
      <w:spacing w:before="100" w:after="100"/>
      <w:ind w:left="360" w:right="360"/>
      <w:jc w:val="left"/>
    </w:pPr>
    <w:rPr>
      <w:kern w:val="0"/>
      <w:sz w:val="24"/>
    </w:rPr>
  </w:style>
  <w:style w:type="paragraph" w:customStyle="1" w:styleId="126">
    <w:name w:val="表格文字"/>
    <w:basedOn w:val="1"/>
    <w:qFormat/>
    <w:uiPriority w:val="0"/>
    <w:pPr>
      <w:adjustRightInd w:val="0"/>
      <w:spacing w:line="420" w:lineRule="atLeast"/>
      <w:jc w:val="left"/>
      <w:textAlignment w:val="baseline"/>
    </w:pPr>
    <w:rPr>
      <w:rFonts w:ascii="宋体"/>
      <w:kern w:val="0"/>
      <w:sz w:val="34"/>
    </w:rPr>
  </w:style>
  <w:style w:type="paragraph" w:customStyle="1" w:styleId="127">
    <w:name w:val="Char2"/>
    <w:basedOn w:val="1"/>
    <w:uiPriority w:val="0"/>
    <w:rPr>
      <w:rFonts w:ascii="仿宋_GB2312" w:eastAsia="仿宋_GB2312"/>
      <w:b/>
      <w:sz w:val="32"/>
    </w:rPr>
  </w:style>
  <w:style w:type="paragraph" w:customStyle="1" w:styleId="128">
    <w:name w:val="1"/>
    <w:basedOn w:val="1"/>
    <w:next w:val="1"/>
    <w:uiPriority w:val="0"/>
    <w:rPr>
      <w:rFonts w:ascii="宋体"/>
      <w:kern w:val="0"/>
      <w:sz w:val="34"/>
    </w:rPr>
  </w:style>
  <w:style w:type="paragraph" w:customStyle="1" w:styleId="129">
    <w:name w:val="正文1"/>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30">
    <w:name w:val="pa-53"/>
    <w:basedOn w:val="1"/>
    <w:uiPriority w:val="0"/>
    <w:pPr>
      <w:widowControl/>
      <w:spacing w:line="240" w:lineRule="atLeast"/>
      <w:ind w:firstLine="380"/>
    </w:pPr>
    <w:rPr>
      <w:rFonts w:ascii="宋体"/>
      <w:kern w:val="0"/>
      <w:sz w:val="24"/>
    </w:rPr>
  </w:style>
  <w:style w:type="paragraph" w:styleId="131">
    <w:name w:val="List Paragraph"/>
    <w:basedOn w:val="1"/>
    <w:qFormat/>
    <w:uiPriority w:val="0"/>
    <w:pPr>
      <w:adjustRightInd w:val="0"/>
      <w:snapToGrid w:val="0"/>
      <w:spacing w:line="360" w:lineRule="auto"/>
      <w:ind w:firstLine="420" w:firstLineChars="200"/>
    </w:pPr>
    <w:rPr>
      <w:rFonts w:ascii="宋体"/>
      <w:color w:val="000000"/>
      <w:kern w:val="0"/>
      <w:sz w:val="34"/>
      <w:szCs w:val="21"/>
    </w:rPr>
  </w:style>
  <w:style w:type="character" w:customStyle="1" w:styleId="132">
    <w:name w:val="正文文本 2 Char"/>
    <w:basedOn w:val="43"/>
    <w:link w:val="39"/>
    <w:uiPriority w:val="0"/>
    <w:rPr>
      <w:kern w:val="20"/>
      <w:sz w:val="22"/>
    </w:rPr>
  </w:style>
  <w:style w:type="paragraph" w:customStyle="1" w:styleId="133">
    <w:name w:val="_Style 4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4">
    <w:name w:val="_Style 48"/>
    <w:basedOn w:val="1"/>
    <w:qFormat/>
    <w:uiPriority w:val="0"/>
    <w:pPr>
      <w:ind w:firstLine="420" w:firstLineChars="200"/>
    </w:pPr>
    <w:rPr>
      <w:rFonts w:ascii="Calibri" w:hAnsi="Calibri"/>
      <w:szCs w:val="22"/>
    </w:rPr>
  </w:style>
  <w:style w:type="paragraph" w:customStyle="1" w:styleId="135">
    <w:name w:val="_Style 49"/>
    <w:basedOn w:val="1"/>
    <w:next w:val="1"/>
    <w:qFormat/>
    <w:uiPriority w:val="0"/>
    <w:pPr>
      <w:pBdr>
        <w:bottom w:val="single" w:color="4F81BD" w:sz="4" w:space="4"/>
      </w:pBdr>
      <w:spacing w:before="200" w:after="280"/>
      <w:ind w:left="936" w:right="936"/>
    </w:pPr>
    <w:rPr>
      <w:b/>
      <w:i/>
      <w:color w:val="4F81BD"/>
      <w:sz w:val="22"/>
    </w:rPr>
  </w:style>
  <w:style w:type="paragraph" w:customStyle="1" w:styleId="136">
    <w:name w:val="_Style 50"/>
    <w:qFormat/>
    <w:uiPriority w:val="0"/>
    <w:rPr>
      <w:rFonts w:ascii="Times New Roman" w:hAnsi="Times New Roman" w:eastAsia="宋体" w:cs="Times New Roman"/>
      <w:kern w:val="2"/>
      <w:sz w:val="21"/>
      <w:szCs w:val="24"/>
      <w:lang w:val="en-US" w:eastAsia="zh-CN" w:bidi="ar-SA"/>
    </w:rPr>
  </w:style>
  <w:style w:type="paragraph" w:customStyle="1" w:styleId="137">
    <w:name w:val="江建权"/>
    <w:basedOn w:val="1"/>
    <w:link w:val="138"/>
    <w:qFormat/>
    <w:uiPriority w:val="0"/>
    <w:pPr>
      <w:spacing w:line="440" w:lineRule="exact"/>
      <w:ind w:firstLine="200" w:firstLineChars="200"/>
    </w:pPr>
    <w:rPr>
      <w:sz w:val="24"/>
    </w:rPr>
  </w:style>
  <w:style w:type="character" w:customStyle="1" w:styleId="138">
    <w:name w:val="江建权 Char Char"/>
    <w:link w:val="137"/>
    <w:qFormat/>
    <w:locked/>
    <w:uiPriority w:val="0"/>
    <w:rPr>
      <w:kern w:val="2"/>
      <w:sz w:val="24"/>
    </w:rPr>
  </w:style>
  <w:style w:type="paragraph" w:customStyle="1" w:styleId="139">
    <w:name w:val="1 Char"/>
    <w:basedOn w:val="1"/>
    <w:qFormat/>
    <w:uiPriority w:val="0"/>
    <w:rPr>
      <w:rFonts w:ascii="Tahoma" w:hAnsi="Tahoma"/>
      <w:sz w:val="24"/>
    </w:rPr>
  </w:style>
  <w:style w:type="paragraph" w:customStyle="1" w:styleId="140">
    <w:name w:val="+正文"/>
    <w:basedOn w:val="1"/>
    <w:link w:val="141"/>
    <w:qFormat/>
    <w:uiPriority w:val="0"/>
    <w:pPr>
      <w:spacing w:line="360" w:lineRule="auto"/>
      <w:ind w:firstLine="200" w:firstLineChars="200"/>
    </w:pPr>
    <w:rPr>
      <w:sz w:val="28"/>
    </w:rPr>
  </w:style>
  <w:style w:type="character" w:customStyle="1" w:styleId="141">
    <w:name w:val="+正文 Char4"/>
    <w:link w:val="140"/>
    <w:qFormat/>
    <w:locked/>
    <w:uiPriority w:val="0"/>
    <w:rPr>
      <w:kern w:val="2"/>
      <w:sz w:val="28"/>
    </w:rPr>
  </w:style>
  <w:style w:type="paragraph" w:customStyle="1" w:styleId="142">
    <w:name w:val="列出段落1"/>
    <w:basedOn w:val="1"/>
    <w:next w:val="134"/>
    <w:qFormat/>
    <w:uiPriority w:val="0"/>
    <w:pPr>
      <w:ind w:firstLine="420" w:firstLineChars="200"/>
    </w:pPr>
    <w:rPr>
      <w:rFonts w:ascii="Calibri" w:hAnsi="Calibri"/>
      <w:szCs w:val="22"/>
    </w:rPr>
  </w:style>
  <w:style w:type="paragraph" w:customStyle="1" w:styleId="143">
    <w:name w:val="_Style 60"/>
    <w:basedOn w:val="4"/>
    <w:next w:val="1"/>
    <w:qFormat/>
    <w:uiPriority w:val="0"/>
    <w:pPr>
      <w:outlineLvl w:val="9"/>
    </w:pPr>
    <w:rPr>
      <w:rFonts w:ascii="Calibri" w:hAnsi="Calibri"/>
      <w:bCs/>
      <w:szCs w:val="44"/>
    </w:rPr>
  </w:style>
  <w:style w:type="paragraph" w:customStyle="1" w:styleId="144">
    <w:name w:val="_Style 61"/>
    <w:basedOn w:val="1"/>
    <w:next w:val="1"/>
    <w:qFormat/>
    <w:uiPriority w:val="0"/>
    <w:rPr>
      <w:i/>
      <w:color w:val="000000"/>
      <w:sz w:val="22"/>
    </w:rPr>
  </w:style>
  <w:style w:type="paragraph" w:customStyle="1" w:styleId="145">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6">
    <w:name w:val="defaul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47">
    <w:name w:val="Body Text Char"/>
    <w:qFormat/>
    <w:locked/>
    <w:uiPriority w:val="0"/>
  </w:style>
  <w:style w:type="character" w:customStyle="1" w:styleId="148">
    <w:name w:val="_Style 70"/>
    <w:qFormat/>
    <w:uiPriority w:val="0"/>
    <w:rPr>
      <w:smallCaps/>
      <w:color w:val="C0504D"/>
      <w:u w:val="single"/>
    </w:rPr>
  </w:style>
  <w:style w:type="character" w:customStyle="1" w:styleId="149">
    <w:name w:val="引用 Char1"/>
    <w:qFormat/>
    <w:uiPriority w:val="0"/>
    <w:rPr>
      <w:i/>
      <w:color w:val="000000"/>
      <w:kern w:val="2"/>
      <w:sz w:val="24"/>
    </w:rPr>
  </w:style>
  <w:style w:type="character" w:customStyle="1" w:styleId="150">
    <w:name w:val="_Style 76"/>
    <w:qFormat/>
    <w:uiPriority w:val="0"/>
    <w:rPr>
      <w:b/>
      <w:smallCaps/>
      <w:spacing w:val="5"/>
    </w:rPr>
  </w:style>
  <w:style w:type="character" w:customStyle="1" w:styleId="151">
    <w:name w:val="Date Char"/>
    <w:qFormat/>
    <w:locked/>
    <w:uiPriority w:val="0"/>
    <w:rPr>
      <w:kern w:val="2"/>
      <w:sz w:val="24"/>
    </w:rPr>
  </w:style>
  <w:style w:type="character" w:customStyle="1" w:styleId="152">
    <w:name w:val="Document Map Char"/>
    <w:qFormat/>
    <w:locked/>
    <w:uiPriority w:val="0"/>
    <w:rPr>
      <w:kern w:val="2"/>
      <w:sz w:val="24"/>
      <w:shd w:val="clear" w:color="auto" w:fill="000080"/>
    </w:rPr>
  </w:style>
  <w:style w:type="character" w:customStyle="1" w:styleId="153">
    <w:name w:val="明显引用 Char1"/>
    <w:qFormat/>
    <w:uiPriority w:val="0"/>
    <w:rPr>
      <w:b/>
      <w:i/>
      <w:color w:val="4F81BD"/>
      <w:kern w:val="2"/>
      <w:sz w:val="24"/>
    </w:rPr>
  </w:style>
  <w:style w:type="character" w:customStyle="1" w:styleId="154">
    <w:name w:val="Comment Text Char"/>
    <w:qFormat/>
    <w:locked/>
    <w:uiPriority w:val="0"/>
    <w:rPr>
      <w:kern w:val="2"/>
      <w:sz w:val="22"/>
    </w:rPr>
  </w:style>
  <w:style w:type="character" w:customStyle="1" w:styleId="155">
    <w:name w:val="Char Char19"/>
    <w:qFormat/>
    <w:uiPriority w:val="0"/>
    <w:rPr>
      <w:rFonts w:ascii="Arial" w:hAnsi="Arial" w:eastAsia="黑体"/>
      <w:b/>
      <w:bCs/>
      <w:kern w:val="2"/>
      <w:sz w:val="32"/>
      <w:szCs w:val="32"/>
    </w:rPr>
  </w:style>
  <w:style w:type="character" w:customStyle="1" w:styleId="156">
    <w:name w:val="Balloon Text Char"/>
    <w:qFormat/>
    <w:locked/>
    <w:uiPriority w:val="0"/>
    <w:rPr>
      <w:kern w:val="2"/>
      <w:sz w:val="18"/>
    </w:rPr>
  </w:style>
  <w:style w:type="paragraph" w:customStyle="1" w:styleId="157">
    <w:name w:val="列出段落2"/>
    <w:basedOn w:val="1"/>
    <w:unhideWhenUsed/>
    <w:qFormat/>
    <w:uiPriority w:val="99"/>
    <w:pPr>
      <w:ind w:firstLine="420" w:firstLineChars="200"/>
    </w:pPr>
    <w:rPr>
      <w:szCs w:val="24"/>
    </w:rPr>
  </w:style>
  <w:style w:type="character" w:customStyle="1" w:styleId="158">
    <w:name w:val="Title Char"/>
    <w:qFormat/>
    <w:locked/>
    <w:uiPriority w:val="0"/>
    <w:rPr>
      <w:rFonts w:ascii="Cambria" w:hAnsi="Cambria"/>
      <w:b/>
      <w:kern w:val="2"/>
      <w:sz w:val="32"/>
    </w:rPr>
  </w:style>
  <w:style w:type="character" w:customStyle="1" w:styleId="159">
    <w:name w:val="_Style 100"/>
    <w:qFormat/>
    <w:uiPriority w:val="0"/>
    <w:rPr>
      <w:i/>
      <w:color w:val="808080"/>
    </w:rPr>
  </w:style>
  <w:style w:type="character" w:customStyle="1" w:styleId="160">
    <w:name w:val="Footer Char"/>
    <w:qFormat/>
    <w:locked/>
    <w:uiPriority w:val="0"/>
    <w:rPr>
      <w:kern w:val="2"/>
      <w:sz w:val="18"/>
    </w:rPr>
  </w:style>
  <w:style w:type="character" w:customStyle="1" w:styleId="161">
    <w:name w:val="副标题 Char1"/>
    <w:qFormat/>
    <w:uiPriority w:val="0"/>
    <w:rPr>
      <w:rFonts w:ascii="Cambria" w:hAnsi="Cambria"/>
      <w:b/>
      <w:kern w:val="28"/>
      <w:sz w:val="32"/>
    </w:rPr>
  </w:style>
  <w:style w:type="character" w:customStyle="1" w:styleId="162">
    <w:name w:val="_Style 103"/>
    <w:qFormat/>
    <w:uiPriority w:val="0"/>
    <w:rPr>
      <w:b/>
      <w:i/>
      <w:color w:val="4F81BD"/>
    </w:rPr>
  </w:style>
  <w:style w:type="character" w:customStyle="1" w:styleId="163">
    <w:name w:val="正文文本 Char2"/>
    <w:qFormat/>
    <w:uiPriority w:val="0"/>
    <w:rPr>
      <w:kern w:val="2"/>
      <w:sz w:val="24"/>
    </w:rPr>
  </w:style>
  <w:style w:type="character" w:customStyle="1" w:styleId="164">
    <w:name w:val="Header Char"/>
    <w:qFormat/>
    <w:locked/>
    <w:uiPriority w:val="0"/>
    <w:rPr>
      <w:kern w:val="2"/>
      <w:sz w:val="18"/>
    </w:rPr>
  </w:style>
  <w:style w:type="character" w:customStyle="1" w:styleId="165">
    <w:name w:val="Subtitle Char"/>
    <w:qFormat/>
    <w:locked/>
    <w:uiPriority w:val="0"/>
    <w:rPr>
      <w:rFonts w:ascii="Cambria" w:hAnsi="Cambria"/>
      <w:b/>
      <w:kern w:val="28"/>
      <w:sz w:val="32"/>
    </w:rPr>
  </w:style>
  <w:style w:type="character" w:customStyle="1" w:styleId="166">
    <w:name w:val="标题 Char1"/>
    <w:qFormat/>
    <w:uiPriority w:val="0"/>
    <w:rPr>
      <w:rFonts w:ascii="Cambria" w:hAnsi="Cambria"/>
      <w:b/>
      <w:kern w:val="2"/>
      <w:sz w:val="32"/>
    </w:rPr>
  </w:style>
  <w:style w:type="character" w:customStyle="1" w:styleId="167">
    <w:name w:val="_Style 113"/>
    <w:qFormat/>
    <w:uiPriority w:val="0"/>
    <w:rPr>
      <w:b/>
      <w:smallCaps/>
      <w:color w:val="C0504D"/>
      <w:spacing w:val="5"/>
      <w:u w:val="single"/>
    </w:rPr>
  </w:style>
  <w:style w:type="character" w:customStyle="1" w:styleId="168">
    <w:name w:val="批注文字 Char1"/>
    <w:qFormat/>
    <w:uiPriority w:val="0"/>
    <w:rPr>
      <w:kern w:val="2"/>
      <w:sz w:val="24"/>
    </w:rPr>
  </w:style>
  <w:style w:type="character" w:customStyle="1" w:styleId="169">
    <w:name w:val="Comment Subject Char"/>
    <w:qFormat/>
    <w:locked/>
    <w:uiPriority w:val="0"/>
    <w:rPr>
      <w:rFonts w:ascii="宋体"/>
      <w:b/>
      <w:sz w:val="28"/>
    </w:rPr>
  </w:style>
  <w:style w:type="character" w:customStyle="1" w:styleId="170">
    <w:name w:val="批注主题 Char2"/>
    <w:qFormat/>
    <w:uiPriority w:val="0"/>
    <w:rPr>
      <w:b/>
      <w:kern w:val="2"/>
      <w:sz w:val="24"/>
    </w:rPr>
  </w:style>
  <w:style w:type="character" w:customStyle="1" w:styleId="171">
    <w:name w:val="Char Char"/>
    <w:qFormat/>
    <w:uiPriority w:val="0"/>
    <w:rPr>
      <w:kern w:val="2"/>
      <w:sz w:val="18"/>
    </w:rPr>
  </w:style>
  <w:style w:type="paragraph" w:customStyle="1" w:styleId="172">
    <w:name w:val="列出段落3"/>
    <w:basedOn w:val="1"/>
    <w:qFormat/>
    <w:uiPriority w:val="99"/>
    <w:pPr>
      <w:ind w:firstLine="420" w:firstLineChars="200"/>
    </w:pPr>
    <w:rPr>
      <w:szCs w:val="24"/>
    </w:rPr>
  </w:style>
  <w:style w:type="paragraph" w:customStyle="1" w:styleId="173">
    <w:name w:val="WG标题3 居中"/>
    <w:basedOn w:val="3"/>
    <w:qFormat/>
    <w:uiPriority w:val="0"/>
    <w:pPr>
      <w:pageBreakBefore/>
      <w:widowControl/>
      <w:autoSpaceDE w:val="0"/>
      <w:autoSpaceDN w:val="0"/>
      <w:adjustRightInd w:val="0"/>
      <w:spacing w:after="0" w:line="320" w:lineRule="exact"/>
      <w:ind w:left="72" w:leftChars="30" w:right="30" w:rightChars="30" w:firstLine="629"/>
      <w:jc w:val="center"/>
      <w:textAlignment w:val="baseline"/>
      <w:outlineLvl w:val="2"/>
    </w:pPr>
    <w:rPr>
      <w:rFonts w:hAnsi="宋体"/>
      <w:b/>
      <w:color w:val="000000"/>
      <w:sz w:val="28"/>
      <w:szCs w:val="21"/>
    </w:rPr>
  </w:style>
  <w:style w:type="character" w:customStyle="1" w:styleId="174">
    <w:name w:val="样式 超链接 + 仿宋_GB2312 小四 加粗"/>
    <w:qFormat/>
    <w:uiPriority w:val="0"/>
    <w:rPr>
      <w:rFonts w:ascii="仿宋_GB2312" w:hAnsi="仿宋_GB2312" w:eastAsia="黑体"/>
      <w:b/>
      <w:bCs/>
      <w:color w:val="auto"/>
      <w:sz w:val="24"/>
      <w:u w:val="none"/>
    </w:rPr>
  </w:style>
  <w:style w:type="paragraph" w:customStyle="1" w:styleId="175">
    <w:name w:val="标题 #5 (2)"/>
    <w:basedOn w:val="1"/>
    <w:qFormat/>
    <w:uiPriority w:val="0"/>
    <w:pPr>
      <w:shd w:val="clear" w:color="auto" w:fill="FFFFFF"/>
      <w:spacing w:before="240" w:after="240" w:line="240" w:lineRule="atLeast"/>
      <w:jc w:val="left"/>
      <w:outlineLvl w:val="4"/>
    </w:pPr>
    <w:rPr>
      <w:rFonts w:ascii="宋体" w:hAnsi="宋体"/>
      <w:spacing w:val="-10"/>
      <w:kern w:val="0"/>
      <w:sz w:val="28"/>
      <w:szCs w:val="28"/>
    </w:rPr>
  </w:style>
  <w:style w:type="character" w:customStyle="1" w:styleId="176">
    <w:name w:val="标题 #5 (2) + 间距 0 pt"/>
    <w:qFormat/>
    <w:uiPriority w:val="0"/>
    <w:rPr>
      <w:rFonts w:ascii="宋体" w:hAnsi="宋体" w:cs="宋体"/>
      <w:spacing w:val="0"/>
      <w:sz w:val="28"/>
      <w:szCs w:val="28"/>
      <w:u w:val="none"/>
    </w:rPr>
  </w:style>
  <w:style w:type="character" w:customStyle="1" w:styleId="177">
    <w:name w:val="标题 #7"/>
    <w:qFormat/>
    <w:uiPriority w:val="0"/>
    <w:rPr>
      <w:rFonts w:ascii="宋体" w:hAnsi="宋体"/>
      <w:spacing w:val="0"/>
      <w:lang w:bidi="ar-SA"/>
    </w:rPr>
  </w:style>
  <w:style w:type="character" w:customStyle="1" w:styleId="178">
    <w:name w:val="正文文本 (10)_"/>
    <w:link w:val="179"/>
    <w:qFormat/>
    <w:uiPriority w:val="0"/>
    <w:rPr>
      <w:rFonts w:ascii="宋体" w:hAnsi="宋体"/>
      <w:sz w:val="22"/>
      <w:szCs w:val="22"/>
      <w:shd w:val="clear" w:color="auto" w:fill="FFFFFF"/>
    </w:rPr>
  </w:style>
  <w:style w:type="paragraph" w:customStyle="1" w:styleId="179">
    <w:name w:val="正文文本 (10)1"/>
    <w:basedOn w:val="1"/>
    <w:link w:val="178"/>
    <w:qFormat/>
    <w:uiPriority w:val="0"/>
    <w:pPr>
      <w:shd w:val="clear" w:color="auto" w:fill="FFFFFF"/>
      <w:spacing w:before="660" w:line="466" w:lineRule="exact"/>
      <w:jc w:val="distribute"/>
    </w:pPr>
    <w:rPr>
      <w:rFonts w:ascii="宋体" w:hAnsi="宋体"/>
      <w:kern w:val="0"/>
      <w:sz w:val="22"/>
      <w:szCs w:val="22"/>
    </w:rPr>
  </w:style>
  <w:style w:type="character" w:customStyle="1" w:styleId="180">
    <w:name w:val="正文文本 (8)"/>
    <w:qFormat/>
    <w:uiPriority w:val="0"/>
    <w:rPr>
      <w:rFonts w:ascii="宋体" w:hAnsi="宋体" w:cs="宋体"/>
      <w:spacing w:val="0"/>
      <w:u w:val="none"/>
      <w:lang w:bidi="ar-SA"/>
    </w:rPr>
  </w:style>
  <w:style w:type="character" w:customStyle="1" w:styleId="181">
    <w:name w:val="正文文本 (10) + Times New Roman2"/>
    <w:qFormat/>
    <w:uiPriority w:val="0"/>
    <w:rPr>
      <w:rFonts w:ascii="Times New Roman" w:hAnsi="Times New Roman" w:cs="Times New Roman"/>
      <w:sz w:val="23"/>
      <w:szCs w:val="23"/>
      <w:lang w:val="en-US" w:eastAsia="en-US" w:bidi="ar-SA"/>
    </w:rPr>
  </w:style>
  <w:style w:type="character" w:customStyle="1" w:styleId="182">
    <w:name w:val="正文文本 (10) + 间距 -1 pt"/>
    <w:qFormat/>
    <w:uiPriority w:val="0"/>
    <w:rPr>
      <w:rFonts w:ascii="宋体" w:hAnsi="宋体"/>
      <w:spacing w:val="-20"/>
      <w:sz w:val="22"/>
      <w:szCs w:val="22"/>
      <w:lang w:bidi="ar-SA"/>
    </w:rPr>
  </w:style>
  <w:style w:type="character" w:customStyle="1" w:styleId="183">
    <w:name w:val="正文文本 (2)_"/>
    <w:link w:val="184"/>
    <w:qFormat/>
    <w:uiPriority w:val="0"/>
    <w:rPr>
      <w:rFonts w:ascii="宋体" w:hAnsi="宋体"/>
      <w:shd w:val="clear" w:color="auto" w:fill="FFFFFF"/>
    </w:rPr>
  </w:style>
  <w:style w:type="paragraph" w:customStyle="1" w:styleId="184">
    <w:name w:val="正文文本 (2)1"/>
    <w:basedOn w:val="1"/>
    <w:link w:val="183"/>
    <w:qFormat/>
    <w:uiPriority w:val="0"/>
    <w:pPr>
      <w:shd w:val="clear" w:color="auto" w:fill="FFFFFF"/>
      <w:spacing w:before="840" w:after="1260" w:line="240" w:lineRule="atLeast"/>
      <w:jc w:val="right"/>
    </w:pPr>
    <w:rPr>
      <w:rFonts w:ascii="宋体" w:hAnsi="宋体"/>
      <w:kern w:val="0"/>
      <w:sz w:val="20"/>
    </w:rPr>
  </w:style>
  <w:style w:type="character" w:customStyle="1" w:styleId="185">
    <w:name w:val="正文文本 (10) + 间距 1 pt3"/>
    <w:qFormat/>
    <w:uiPriority w:val="0"/>
    <w:rPr>
      <w:rFonts w:ascii="宋体" w:hAnsi="宋体"/>
      <w:spacing w:val="20"/>
      <w:sz w:val="22"/>
      <w:szCs w:val="22"/>
      <w:lang w:bidi="ar-SA"/>
    </w:rPr>
  </w:style>
  <w:style w:type="character" w:customStyle="1" w:styleId="186">
    <w:name w:val="正文文本 (10) + 9 pt1"/>
    <w:qFormat/>
    <w:uiPriority w:val="0"/>
    <w:rPr>
      <w:rFonts w:ascii="宋体" w:hAnsi="宋体"/>
      <w:b/>
      <w:bCs/>
      <w:spacing w:val="-10"/>
      <w:sz w:val="18"/>
      <w:szCs w:val="18"/>
      <w:lang w:val="en-US" w:eastAsia="en-US" w:bidi="ar-SA"/>
    </w:rPr>
  </w:style>
  <w:style w:type="character" w:customStyle="1" w:styleId="187">
    <w:name w:val="正文文本 (14) + 间距 0 pt"/>
    <w:qFormat/>
    <w:uiPriority w:val="0"/>
    <w:rPr>
      <w:rFonts w:ascii="宋体" w:hAnsi="宋体"/>
      <w:b/>
      <w:bCs/>
      <w:spacing w:val="-10"/>
      <w:sz w:val="18"/>
      <w:szCs w:val="18"/>
      <w:lang w:val="en-US" w:eastAsia="en-US" w:bidi="ar-SA"/>
    </w:rPr>
  </w:style>
  <w:style w:type="character" w:customStyle="1" w:styleId="188">
    <w:name w:val="正文文本 (14) + 11 pt"/>
    <w:qFormat/>
    <w:uiPriority w:val="0"/>
    <w:rPr>
      <w:rFonts w:ascii="宋体" w:hAnsi="宋体"/>
      <w:b/>
      <w:bCs/>
      <w:sz w:val="22"/>
      <w:szCs w:val="22"/>
      <w:lang w:val="en-US" w:eastAsia="en-US" w:bidi="ar-SA"/>
    </w:rPr>
  </w:style>
  <w:style w:type="character" w:customStyle="1" w:styleId="189">
    <w:name w:val="正文文本 (10) + Times New Roman1"/>
    <w:qFormat/>
    <w:uiPriority w:val="0"/>
    <w:rPr>
      <w:rFonts w:ascii="Times New Roman" w:hAnsi="Times New Roman" w:cs="Times New Roman"/>
      <w:sz w:val="20"/>
      <w:szCs w:val="20"/>
      <w:lang w:val="en-US" w:eastAsia="en-US" w:bidi="ar-SA"/>
    </w:rPr>
  </w:style>
  <w:style w:type="character" w:customStyle="1" w:styleId="190">
    <w:name w:val="正文文本 (10) + 9 pt"/>
    <w:qFormat/>
    <w:uiPriority w:val="0"/>
    <w:rPr>
      <w:rFonts w:ascii="宋体" w:hAnsi="宋体"/>
      <w:b/>
      <w:bCs/>
      <w:sz w:val="18"/>
      <w:szCs w:val="18"/>
      <w:lang w:val="en-US" w:eastAsia="en-US" w:bidi="ar-SA"/>
    </w:rPr>
  </w:style>
  <w:style w:type="character" w:customStyle="1" w:styleId="191">
    <w:name w:val="标题 #7_"/>
    <w:link w:val="192"/>
    <w:qFormat/>
    <w:uiPriority w:val="0"/>
    <w:rPr>
      <w:rFonts w:ascii="宋体" w:hAnsi="宋体"/>
      <w:shd w:val="clear" w:color="auto" w:fill="FFFFFF"/>
    </w:rPr>
  </w:style>
  <w:style w:type="paragraph" w:customStyle="1" w:styleId="192">
    <w:name w:val="标题 #71"/>
    <w:basedOn w:val="1"/>
    <w:link w:val="191"/>
    <w:qFormat/>
    <w:uiPriority w:val="0"/>
    <w:pPr>
      <w:shd w:val="clear" w:color="auto" w:fill="FFFFFF"/>
      <w:spacing w:before="540" w:after="420" w:line="240" w:lineRule="atLeast"/>
      <w:jc w:val="center"/>
      <w:outlineLvl w:val="6"/>
    </w:pPr>
    <w:rPr>
      <w:rFonts w:ascii="宋体" w:hAnsi="宋体"/>
      <w:kern w:val="0"/>
      <w:sz w:val="20"/>
    </w:rPr>
  </w:style>
  <w:style w:type="character" w:customStyle="1" w:styleId="193">
    <w:name w:val="正文文本 (8)_"/>
    <w:link w:val="194"/>
    <w:qFormat/>
    <w:uiPriority w:val="0"/>
    <w:rPr>
      <w:rFonts w:ascii="宋体" w:hAnsi="宋体"/>
      <w:shd w:val="clear" w:color="auto" w:fill="FFFFFF"/>
    </w:rPr>
  </w:style>
  <w:style w:type="paragraph" w:customStyle="1" w:styleId="194">
    <w:name w:val="正文文本 (8)1"/>
    <w:basedOn w:val="1"/>
    <w:link w:val="193"/>
    <w:qFormat/>
    <w:uiPriority w:val="0"/>
    <w:pPr>
      <w:shd w:val="clear" w:color="auto" w:fill="FFFFFF"/>
      <w:spacing w:line="442" w:lineRule="exact"/>
      <w:jc w:val="left"/>
    </w:pPr>
    <w:rPr>
      <w:rFonts w:ascii="宋体" w:hAnsi="宋体"/>
      <w:kern w:val="0"/>
      <w:sz w:val="20"/>
    </w:rPr>
  </w:style>
  <w:style w:type="character" w:customStyle="1" w:styleId="195">
    <w:name w:val="表格标题 (2)_"/>
    <w:link w:val="196"/>
    <w:qFormat/>
    <w:uiPriority w:val="0"/>
    <w:rPr>
      <w:rFonts w:ascii="宋体" w:hAnsi="宋体"/>
      <w:sz w:val="22"/>
      <w:szCs w:val="22"/>
      <w:shd w:val="clear" w:color="auto" w:fill="FFFFFF"/>
    </w:rPr>
  </w:style>
  <w:style w:type="paragraph" w:customStyle="1" w:styleId="196">
    <w:name w:val="表格标题 (2)"/>
    <w:basedOn w:val="1"/>
    <w:link w:val="195"/>
    <w:qFormat/>
    <w:uiPriority w:val="0"/>
    <w:pPr>
      <w:shd w:val="clear" w:color="auto" w:fill="FFFFFF"/>
      <w:spacing w:line="240" w:lineRule="atLeast"/>
      <w:jc w:val="left"/>
    </w:pPr>
    <w:rPr>
      <w:rFonts w:ascii="宋体" w:hAnsi="宋体"/>
      <w:kern w:val="0"/>
      <w:sz w:val="22"/>
      <w:szCs w:val="22"/>
    </w:rPr>
  </w:style>
  <w:style w:type="character" w:customStyle="1" w:styleId="197">
    <w:name w:val="表格标题 (2) + 9 pt"/>
    <w:qFormat/>
    <w:uiPriority w:val="0"/>
    <w:rPr>
      <w:rFonts w:ascii="宋体" w:hAnsi="宋体"/>
      <w:b/>
      <w:bCs/>
      <w:sz w:val="18"/>
      <w:szCs w:val="18"/>
      <w:lang w:val="en-US" w:eastAsia="en-US" w:bidi="ar-SA"/>
    </w:rPr>
  </w:style>
  <w:style w:type="paragraph" w:customStyle="1" w:styleId="198">
    <w:name w:val="表格标题 (4)"/>
    <w:basedOn w:val="1"/>
    <w:link w:val="199"/>
    <w:qFormat/>
    <w:uiPriority w:val="0"/>
    <w:pPr>
      <w:shd w:val="clear" w:color="auto" w:fill="FFFFFF"/>
      <w:spacing w:line="240" w:lineRule="atLeast"/>
      <w:jc w:val="left"/>
    </w:pPr>
    <w:rPr>
      <w:rFonts w:ascii="宋体" w:hAnsi="宋体"/>
      <w:b/>
      <w:bCs/>
      <w:kern w:val="0"/>
      <w:sz w:val="18"/>
      <w:szCs w:val="18"/>
    </w:rPr>
  </w:style>
  <w:style w:type="character" w:customStyle="1" w:styleId="199">
    <w:name w:val="表格标题 (4)_"/>
    <w:link w:val="198"/>
    <w:qFormat/>
    <w:uiPriority w:val="0"/>
    <w:rPr>
      <w:rFonts w:ascii="宋体" w:hAnsi="宋体"/>
      <w:b/>
      <w:bCs/>
      <w:sz w:val="18"/>
      <w:szCs w:val="18"/>
      <w:shd w:val="clear" w:color="auto" w:fill="FFFFFF"/>
    </w:rPr>
  </w:style>
  <w:style w:type="character" w:customStyle="1" w:styleId="200">
    <w:name w:val="表格标题 (4) + 11 pt"/>
    <w:qFormat/>
    <w:uiPriority w:val="0"/>
    <w:rPr>
      <w:rFonts w:ascii="宋体" w:hAnsi="宋体"/>
      <w:b/>
      <w:bCs/>
      <w:sz w:val="22"/>
      <w:szCs w:val="22"/>
      <w:lang w:bidi="ar-SA"/>
    </w:rPr>
  </w:style>
  <w:style w:type="character" w:customStyle="1" w:styleId="201">
    <w:name w:val="正文文本 (10) + 间距 1 pt"/>
    <w:qFormat/>
    <w:uiPriority w:val="0"/>
    <w:rPr>
      <w:rFonts w:ascii="宋体" w:hAnsi="宋体"/>
      <w:spacing w:val="30"/>
      <w:sz w:val="22"/>
      <w:szCs w:val="22"/>
      <w:lang w:bidi="ar-SA"/>
    </w:rPr>
  </w:style>
  <w:style w:type="paragraph" w:customStyle="1" w:styleId="202">
    <w:name w:val="WG标题2 + 宋体 五号 行距: 固定值 16 磅"/>
    <w:basedOn w:val="1"/>
    <w:qFormat/>
    <w:uiPriority w:val="0"/>
    <w:pPr>
      <w:autoSpaceDE w:val="0"/>
      <w:autoSpaceDN w:val="0"/>
      <w:adjustRightInd w:val="0"/>
      <w:spacing w:line="320" w:lineRule="exact"/>
      <w:textAlignment w:val="baseline"/>
      <w:outlineLvl w:val="1"/>
    </w:pPr>
    <w:rPr>
      <w:rFonts w:ascii="宋体" w:hAnsi="宋体" w:cs="宋体"/>
      <w:b/>
      <w:bCs/>
      <w:color w:val="000000"/>
      <w:kern w:val="20"/>
      <w:sz w:val="24"/>
    </w:rPr>
  </w:style>
  <w:style w:type="paragraph" w:customStyle="1" w:styleId="203">
    <w:name w:val="样式 WG标题2 + 行距: 固定值 18 磅"/>
    <w:basedOn w:val="1"/>
    <w:qFormat/>
    <w:uiPriority w:val="0"/>
    <w:pPr>
      <w:autoSpaceDE w:val="0"/>
      <w:autoSpaceDN w:val="0"/>
      <w:adjustRightInd w:val="0"/>
      <w:spacing w:line="360" w:lineRule="exact"/>
      <w:textAlignment w:val="baseline"/>
      <w:outlineLvl w:val="1"/>
    </w:pPr>
    <w:rPr>
      <w:rFonts w:ascii="仿宋_GB2312" w:hAnsi="宋体" w:cs="宋体"/>
      <w:b/>
      <w:bCs/>
      <w:color w:val="000000"/>
      <w:kern w:val="20"/>
      <w:sz w:val="24"/>
    </w:rPr>
  </w:style>
  <w:style w:type="paragraph" w:customStyle="1" w:styleId="204">
    <w:name w:val="样式 WG标题3 + 行距: 固定值 18 磅"/>
    <w:basedOn w:val="1"/>
    <w:qFormat/>
    <w:uiPriority w:val="0"/>
    <w:pPr>
      <w:autoSpaceDE w:val="0"/>
      <w:autoSpaceDN w:val="0"/>
      <w:adjustRightInd w:val="0"/>
      <w:spacing w:line="360" w:lineRule="exact"/>
      <w:textAlignment w:val="baseline"/>
      <w:outlineLvl w:val="2"/>
    </w:pPr>
    <w:rPr>
      <w:rFonts w:ascii="宋体" w:hAnsi="宋体" w:cs="宋体"/>
      <w:b/>
      <w:bCs/>
      <w:color w:val="000000"/>
      <w:kern w:val="20"/>
    </w:rPr>
  </w:style>
  <w:style w:type="paragraph" w:customStyle="1" w:styleId="205">
    <w:name w:val="3"/>
    <w:basedOn w:val="1"/>
    <w:next w:val="39"/>
    <w:qFormat/>
    <w:uiPriority w:val="0"/>
    <w:rPr>
      <w:rFonts w:eastAsia="黑体"/>
      <w:sz w:val="30"/>
    </w:rPr>
  </w:style>
  <w:style w:type="paragraph" w:customStyle="1" w:styleId="206">
    <w:name w:val="样式 WG标题3居中 + 行距: 固定值 18 磅"/>
    <w:basedOn w:val="207"/>
    <w:qFormat/>
    <w:uiPriority w:val="0"/>
    <w:pPr>
      <w:spacing w:line="360" w:lineRule="exact"/>
      <w:outlineLvl w:val="2"/>
    </w:pPr>
    <w:rPr>
      <w:bCs/>
    </w:rPr>
  </w:style>
  <w:style w:type="paragraph" w:customStyle="1" w:styleId="207">
    <w:name w:val="WG标题4居中"/>
    <w:basedOn w:val="1"/>
    <w:qFormat/>
    <w:uiPriority w:val="0"/>
    <w:pPr>
      <w:spacing w:beforeAutospacing="1" w:afterAutospacing="1"/>
      <w:jc w:val="center"/>
      <w:outlineLvl w:val="3"/>
    </w:pPr>
    <w:rPr>
      <w:rFonts w:cs="宋体"/>
      <w:b/>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461C24-DE3E-4BCB-8FBC-D07A309EA64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112</Pages>
  <Words>57525</Words>
  <Characters>9343</Characters>
  <Lines>77</Lines>
  <Paragraphs>133</Paragraphs>
  <ScaleCrop>false</ScaleCrop>
  <LinksUpToDate>false</LinksUpToDate>
  <CharactersWithSpaces>66735</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2018-01-02T09:37:00Z</dcterms:created>
  <dc:creator>微软用户</dc:creator>
  <cp:lastModifiedBy>河南永安工程管理有限公司:河南永安工程管理有限公司</cp:lastModifiedBy>
  <cp:lastPrinted>2018-02-07T02:14:00Z</cp:lastPrinted>
  <dcterms:modified xsi:type="dcterms:W3CDTF">2018-02-08T02:44:39Z</dcterms:modified>
  <dc:title>许昌市七一路地下通道工程施工</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