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0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襄城县青云路（八七路-中心路）、古城路（八七路-文昌路）道路改造工程项目（第一标段）二次评标结果公示</w:t>
      </w:r>
    </w:p>
    <w:p>
      <w:pPr>
        <w:rPr>
          <w:rFonts w:hint="eastAsia" w:ascii="黑体" w:hAnsi="宋体" w:eastAsia="黑体" w:cs="宋体"/>
          <w:b/>
          <w:bCs/>
          <w:sz w:val="46"/>
          <w:szCs w:val="52"/>
        </w:rPr>
      </w:pPr>
    </w:p>
    <w:p>
      <w:pPr>
        <w:spacing w:line="540" w:lineRule="exact"/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>招标编号：XZ【2017】</w:t>
      </w:r>
      <w:r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bCs/>
          <w:kern w:val="0"/>
          <w:sz w:val="28"/>
          <w:szCs w:val="28"/>
        </w:rPr>
        <w:t>6号</w:t>
      </w:r>
    </w:p>
    <w:p>
      <w:pPr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pacing w:val="-4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招标人：襄城县住房和城乡建设局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              招标代理公司：河南省天隆工程管理咨询有限公司</w:t>
      </w:r>
    </w:p>
    <w:p>
      <w:pPr>
        <w:spacing w:line="600" w:lineRule="auto"/>
        <w:ind w:firstLine="1968" w:firstLineChars="700"/>
        <w:jc w:val="both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日期：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二零一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年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日</w:t>
      </w:r>
    </w:p>
    <w:p>
      <w:pPr>
        <w:pStyle w:val="3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t>一、基本情况和数据表：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（一）项目概况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项目名称：襄城县青云路（八七路-中心路）、古城路（八七路-文昌路）道路改造工程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2、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项目编号：</w:t>
      </w:r>
      <w:r>
        <w:rPr>
          <w:rFonts w:hint="eastAsia" w:ascii="楷体" w:hAnsi="楷体" w:eastAsia="楷体" w:cs="楷体"/>
          <w:bCs/>
          <w:kern w:val="0"/>
          <w:sz w:val="28"/>
          <w:szCs w:val="28"/>
        </w:rPr>
        <w:t>XZ【2017】</w:t>
      </w:r>
      <w:r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bCs/>
          <w:kern w:val="0"/>
          <w:sz w:val="28"/>
          <w:szCs w:val="28"/>
        </w:rPr>
        <w:t>6号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3、招标控制价：第1标段：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3815261.81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 xml:space="preserve">元；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4、质量要求：合格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right="0" w:hanging="420" w:hanging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 xml:space="preserve">5、施工工期: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日历天                                       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6、评标办法：综合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7、资格审查方式：资格后审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（二）招标过程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日至201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日在《中国采购与招标网》、《河南招标采购综合网》和《全国公共资源交易平台（河南·许昌）》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《中国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招标投标公共服务平台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》上公开发布招标信息，于投标截止时间递交投标文件及投标保证金的投标单位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一标段共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single"/>
          <w:lang w:val="en-US" w:eastAsia="zh-CN"/>
        </w:rPr>
        <w:t xml:space="preserve"> 10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（三）项目开标数据表</w:t>
      </w:r>
    </w:p>
    <w:tbl>
      <w:tblPr>
        <w:tblStyle w:val="9"/>
        <w:tblW w:w="9999" w:type="dxa"/>
        <w:jc w:val="center"/>
        <w:tblInd w:w="5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2215"/>
        <w:gridCol w:w="1235"/>
        <w:gridCol w:w="4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sz w:val="21"/>
                <w:szCs w:val="21"/>
              </w:rPr>
              <w:t>招标人名称</w:t>
            </w:r>
          </w:p>
        </w:tc>
        <w:tc>
          <w:tcPr>
            <w:tcW w:w="76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襄城县住房和城乡建设局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sz w:val="21"/>
                <w:szCs w:val="21"/>
              </w:rPr>
              <w:t>招标代理机构名称</w:t>
            </w:r>
          </w:p>
        </w:tc>
        <w:tc>
          <w:tcPr>
            <w:tcW w:w="76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河南省天隆工程管理咨询有限公司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sz w:val="21"/>
                <w:szCs w:val="21"/>
              </w:rPr>
              <w:t>工程名称</w:t>
            </w:r>
          </w:p>
        </w:tc>
        <w:tc>
          <w:tcPr>
            <w:tcW w:w="76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襄城县青云路（八七路-中心路）、古城路（八七路-文昌路）道路改造工程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sz w:val="21"/>
                <w:szCs w:val="21"/>
              </w:rPr>
              <w:t>开标时间</w:t>
            </w:r>
          </w:p>
        </w:tc>
        <w:tc>
          <w:tcPr>
            <w:tcW w:w="2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09:00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开标地点</w:t>
            </w:r>
          </w:p>
        </w:tc>
        <w:tc>
          <w:tcPr>
            <w:tcW w:w="4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襄城县公共资源交易中心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开标厅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评标时间</w:t>
            </w:r>
          </w:p>
        </w:tc>
        <w:tc>
          <w:tcPr>
            <w:tcW w:w="2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评标地点</w:t>
            </w:r>
          </w:p>
        </w:tc>
        <w:tc>
          <w:tcPr>
            <w:tcW w:w="4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襄城县公共资源交易中心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评标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室</w:t>
            </w:r>
          </w:p>
        </w:tc>
      </w:tr>
    </w:tbl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二、开标记录</w:t>
      </w:r>
    </w:p>
    <w:tbl>
      <w:tblPr>
        <w:tblStyle w:val="9"/>
        <w:tblW w:w="94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630"/>
        <w:gridCol w:w="951"/>
        <w:gridCol w:w="1985"/>
        <w:gridCol w:w="679"/>
        <w:gridCol w:w="767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工期（日历天）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项目负责人/经理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密封情况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海南正晟建筑工程有限公司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3468068.58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 w:val="0"/>
                <w:i w:val="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河南中方市政园林工程有限公司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3491144.89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冯晓丽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郑州久鼎路桥工程有限公司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3414476.36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闫水松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河南水诚建设工程有限公司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3448293.17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景璟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鹤壁市鑫隆建筑工程有限公司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3394216.88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李培花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河南昊锦建设集团有限公司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3547239.65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郭晓蓓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3471620.31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赵春喜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河南天基建筑安装工程有限公司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3423223.82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史瑞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河南长业市政工程有限公司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3433643.87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吴宏庆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河南燕园建筑工程有限公司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3488993.08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刘西全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3815261.81元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抽取的权重系数K值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目标工期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 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日历天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投标报价修正情况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226" w:beforeAutospacing="0" w:afterAutospacing="0" w:line="540" w:lineRule="atLeast"/>
        <w:ind w:left="0" w:leftChars="0" w:right="0" w:rightChars="0" w:firstLine="0" w:firstLineChars="0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评审情况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226" w:beforeAutospacing="0" w:afterAutospacing="0" w:line="540" w:lineRule="atLeast"/>
        <w:ind w:right="0" w:rightChars="0"/>
        <w:jc w:val="left"/>
        <w:textAlignment w:val="auto"/>
        <w:outlineLvl w:val="9"/>
        <w:rPr>
          <w:rFonts w:hint="eastAsia" w:ascii="楷体_GB2312" w:hAnsi="微软雅黑" w:eastAsia="楷体_GB2312" w:cs="楷体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第一标段：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226" w:beforeAutospacing="0" w:afterAutospacing="0" w:line="540" w:lineRule="atLeast"/>
        <w:ind w:right="0" w:rightChars="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楷体_GB2312" w:hAnsi="微软雅黑" w:eastAsia="楷体_GB2312" w:cs="楷体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（一）清标</w:t>
      </w:r>
    </w:p>
    <w:tbl>
      <w:tblPr>
        <w:tblStyle w:val="9"/>
        <w:tblW w:w="90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通过清标的投标人名称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海南正晟建筑工程有限公司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河南中方市政园林工程有限公司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郑州久鼎路桥工程有限公司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鹤壁市鑫隆建筑工程有限公司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河南天基建筑安装工程有限公司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河南燕园建筑工程有限公司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未通过清标的投标人及原因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Lines="150" w:afterAutospacing="0" w:line="540" w:lineRule="exact"/>
        <w:ind w:left="0" w:right="0" w:firstLine="300" w:firstLineChars="100"/>
        <w:jc w:val="left"/>
        <w:rPr>
          <w:b w:val="0"/>
          <w:i w:val="0"/>
        </w:rPr>
      </w:pPr>
      <w:r>
        <w:rPr>
          <w:rFonts w:hint="default" w:ascii="楷体_GB2312" w:hAnsi="仿宋" w:eastAsia="楷体_GB2312" w:cs="仿宋"/>
          <w:b w:val="0"/>
          <w:i w:val="0"/>
          <w:color w:val="000000"/>
          <w:kern w:val="2"/>
          <w:sz w:val="30"/>
          <w:szCs w:val="30"/>
          <w:u w:val="none"/>
          <w:shd w:val="clear" w:color="auto" w:fill="FFFFFF"/>
          <w:lang w:val="en-US" w:eastAsia="zh-CN" w:bidi="ar"/>
        </w:rPr>
        <w:t>（二）初步评审</w:t>
      </w:r>
    </w:p>
    <w:tbl>
      <w:tblPr>
        <w:tblStyle w:val="9"/>
        <w:tblW w:w="90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海南正晟建筑工程有限公司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河南中方市政园林工程有限公司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郑州久鼎路桥工程有限公司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鹤壁市鑫隆建筑工程有限公司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河南天基建筑安装工程有限公司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河南燕园建筑工程有限公司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未通过初步评审的投标人及原因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无</w:t>
            </w:r>
          </w:p>
        </w:tc>
      </w:tr>
    </w:tbl>
    <w:p>
      <w:pPr>
        <w:pStyle w:val="3"/>
        <w:rPr>
          <w:b w:val="0"/>
          <w:i w:val="0"/>
        </w:rPr>
      </w:pPr>
      <w:r>
        <w:rPr>
          <w:rFonts w:hint="eastAsia"/>
          <w:sz w:val="24"/>
          <w:szCs w:val="24"/>
          <w:lang w:val="en-US" w:eastAsia="zh-CN"/>
        </w:rPr>
        <w:t>四、经评审的投标人排序</w:t>
      </w:r>
    </w:p>
    <w:p>
      <w:pPr>
        <w:pStyle w:val="2"/>
        <w:jc w:val="left"/>
        <w:rPr>
          <w:rFonts w:hint="eastAsia" w:ascii="黑体" w:hAnsi="宋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第一标段</w:t>
      </w:r>
    </w:p>
    <w:tbl>
      <w:tblPr>
        <w:tblStyle w:val="9"/>
        <w:tblW w:w="90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河南燕园建筑工程有限公司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河南天基建筑安装工程有限公司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7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113" w:right="113"/>
              <w:jc w:val="center"/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河南省嘉德建筑工程有限公司</w:t>
            </w:r>
          </w:p>
        </w:tc>
      </w:tr>
    </w:tbl>
    <w:p>
      <w:pPr>
        <w:pStyle w:val="2"/>
        <w:jc w:val="left"/>
        <w:rPr>
          <w:rFonts w:hint="eastAsia" w:ascii="黑体" w:hAnsi="宋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</w:p>
    <w:p>
      <w:pPr>
        <w:pStyle w:val="3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五、推荐的中标候选人详细评审得分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/>
        <w:textAlignment w:val="auto"/>
        <w:outlineLvl w:val="9"/>
        <w:rPr>
          <w:lang w:val="en-US"/>
        </w:rPr>
      </w:pPr>
      <w:r>
        <w:rPr>
          <w:rFonts w:hint="eastAsia" w:ascii="黑体" w:hAnsi="宋体" w:eastAsia="黑体" w:cs="黑体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一标段</w:t>
      </w:r>
    </w:p>
    <w:tbl>
      <w:tblPr>
        <w:tblStyle w:val="9"/>
        <w:tblW w:w="9460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70"/>
        <w:gridCol w:w="84"/>
        <w:gridCol w:w="1183"/>
        <w:gridCol w:w="67"/>
        <w:gridCol w:w="1200"/>
        <w:gridCol w:w="50"/>
        <w:gridCol w:w="1217"/>
        <w:gridCol w:w="33"/>
        <w:gridCol w:w="1220"/>
        <w:gridCol w:w="14"/>
        <w:gridCol w:w="16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625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河南燕园建筑工程有限公司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内容完整性和编制水平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施工方案和技术措施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质量管理体系与措施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安全管理体制与措施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环境保护管理体系与措施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工程进度计划与措施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拟投入资源配备计划…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施工进度表或施工网络图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施工总平面布置图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企业具备信息化管理平台，能够使工程管理者对现场实施监控和数据处理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18.1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技术标平均得分</w:t>
            </w:r>
          </w:p>
        </w:tc>
        <w:tc>
          <w:tcPr>
            <w:tcW w:w="625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报价分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28.14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28.14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28.14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28.14</w:t>
            </w:r>
          </w:p>
        </w:tc>
        <w:tc>
          <w:tcPr>
            <w:tcW w:w="12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要材料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53.68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53.68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53.68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2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商务标得分</w:t>
            </w:r>
          </w:p>
        </w:tc>
        <w:tc>
          <w:tcPr>
            <w:tcW w:w="625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合（信用）标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项目班子配备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企业综合信用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项目经理业绩及信用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6.3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17.5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18.3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综合（信用）标平均得分</w:t>
            </w:r>
          </w:p>
        </w:tc>
        <w:tc>
          <w:tcPr>
            <w:tcW w:w="625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625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46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技术标平均得分＋商务标得分＋综合（信用）标平均得分。计算分值均四舍五入保留两位小数。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评标委员会人数在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人以上时，去掉一个最高分和一个最低分取平均值；评标委员会人数在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人时，取所有评委评分的平均值。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633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河南天基建筑安装工程有限公司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内容完整性和编制水平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施工方案和技术措施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质量管理体系与措施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安全管理体制与措施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环境保护管理体系与措施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工程进度计划与措施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拟投入资源配备计划…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施工进度表或施工网络图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施工总平面布置图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企业具备信息化管理平台，能够使工程管理者对现场实施监控和数据处理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13.8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16.2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技术标平均得分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27.15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27.15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27.15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27.15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分部分项综合单价得分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措施项目得分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主材单价得分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3.564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3.564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3.564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3.564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53.714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53.714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53.714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53.714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商务标得分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合（信用）标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项目班子配备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企业综合信用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项目经理业绩及信用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6.3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16.3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综合（信用）标平均得分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46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技术标平均得分＋商务标得分＋综合（信用）标平均得分。计算分值均四舍五入保留两位小数。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评标委员会人数在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人以上时，去掉一个最高分和一个最低分取平均值；评标委员会人数在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人时，取所有评委评分的平均值。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633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  <w:r>
              <w:rPr>
                <w:rFonts w:hint="default" w:ascii="宋体" w:hAnsi="Times New Roman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内容完整性和编制水平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施工方案和技术措施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质量管理体系与措施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安全管理体制与措施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环境保护管理体系与措施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工程进度计划与措施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拟投入资源配备计划…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施工进度表或施工网络图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施工总平面布置图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企业具备信息化管理平台，能够使工程管理者对现场实施监控和数据处理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13.3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15.85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1" w:right="0" w:hanging="211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技术标平均得分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b w:val="0"/>
                <w:i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i w:val="0"/>
                <w:kern w:val="2"/>
                <w:sz w:val="28"/>
                <w:szCs w:val="28"/>
                <w:lang w:val="en-US" w:eastAsia="zh-CN" w:bidi="ar-SA"/>
              </w:rPr>
              <w:t>14.65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报价分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29.12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29.12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29.12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29.12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</w:t>
            </w:r>
            <w:r>
              <w:rPr>
                <w:rFonts w:hint="eastAsia" w:ascii="宋体" w:hAnsi="Times New Roman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3.462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3.462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3.462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3.462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53.582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53.582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53.582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53.582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商务标得分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合（信用）标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项目班子配备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企业综合信用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210" w:right="0" w:hanging="21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项目经理业绩及信用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default" w:ascii="Times New Roman" w:hAnsi="Times New Roman" w:eastAsia="宋体" w:cs="Calibri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Times New Roman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leftChars="0" w:right="0" w:rightChars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综合（信用）标平均得分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633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46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技术标平均得分＋商务标得分＋综合（信用）标平均得分。计算分值均四舍五入保留两位小数。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评标委员会人数在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人以上时，去掉一个最高分和一个最低分取平均值；评标委员会人数在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人时，取所有评委评分的平均值。</w:t>
            </w:r>
          </w:p>
        </w:tc>
      </w:tr>
    </w:tbl>
    <w:p>
      <w:pPr>
        <w:pStyle w:val="3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六、推荐的中标候选人情况与签订合同前要处理的事宜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right="0" w:rightChars="0" w:firstLine="620"/>
        <w:jc w:val="left"/>
        <w:textAlignment w:val="auto"/>
        <w:outlineLvl w:val="9"/>
        <w:rPr>
          <w:rFonts w:hint="default" w:ascii="楷体_GB2312" w:hAnsi="微软雅黑" w:eastAsia="楷体_GB2312" w:cs="楷体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楷体_GB2312" w:hAnsi="微软雅黑" w:eastAsia="楷体_GB2312" w:cs="楷体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（一）推荐的中标候选人名单：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 w:ascii="楷体_GB2312" w:hAnsi="微软雅黑" w:eastAsia="楷体_GB2312" w:cs="楷体_GB2312"/>
          <w:b/>
          <w:bCs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第一标段：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第一中标候选人：河南燕园建筑工程有限公司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投标报价：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3488993.08元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大写：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叁佰肆拾捌万捌仟玖佰玖拾叁元零捌分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工期： 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100日历天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      质量标准：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项目负责人：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刘西全 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证书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编号：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（豫）241111225710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00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投标文件中填报的单位项目业绩名称：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1.清丰县产业集聚区市政道路工程（瑞祥路、建设路、晓月路）施工第二标段；2.南海路（长庆路-大庆路）道路工程；3.鹤壁淇水湾商务区市政道路三期工程一标段；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投标文件中填报的项目负责人业绩名称：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濮阳县2016年度革命老区资金项目第八标段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第二中标候选人： 河南天基建筑安装工程有限公司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投标报价：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3423223.82元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大写：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叁佰肆拾贰万叁仟贰佰贰拾叁元捌角贰分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工期：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100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日历天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    质量标准：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项目负责人：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史瑞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      证书编号：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（豫）241141455660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0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投标文件中填报的单位项目业绩名称：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1.商丘市包河污水管网及滨河路工程第二标段；2.万安山沙沟路（玄奘路至渠滨路）建设工程；3.荷花街（英才街-开元路）、科技路（江河路-天河路）道路工程施工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0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投标文件中填报的项目负责人业绩名称：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第三中标候选人： 河南省嘉德建筑工程有限公司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2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投标报价：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3471620.31元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大写：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叁佰肆拾柒万壹仟陆佰贰拾元叁角一分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工期： 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100日历天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      质量标准：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项目负责人：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赵春喜  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      证书编号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：（豫）241111122844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投标文件中填报的单位项目业绩名称：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1.商丘市城乡一体化示范区朱台路等五条路建设项目（施工第一标段）；2.商丘市城乡一体化示范区朱台路等五条路建设项目（施工第三标段）3.商丘市城乡一体化示范区朱台路等五条路建设项目（施工第四标段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32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投标文件中填报的项目负责人业绩名称：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360" w:lineRule="auto"/>
        <w:ind w:left="0" w:right="0" w:firstLine="62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（二）签订合同前要处理的事宜（略）</w:t>
      </w:r>
    </w:p>
    <w:p>
      <w:pPr>
        <w:pStyle w:val="3"/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七、公示期 ：2018年2月7日-2018年2月9日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hint="eastAsia" w:ascii="Arial" w:hAnsi="Arial" w:eastAsia="黑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/>
          <w:kern w:val="2"/>
          <w:sz w:val="24"/>
          <w:szCs w:val="24"/>
          <w:lang w:val="en-US" w:eastAsia="zh-CN" w:bidi="ar-SA"/>
        </w:rPr>
        <w:t>八、联系方式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240" w:lineRule="auto"/>
        <w:ind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招标人：襄城县住房和城乡建设局</w:t>
      </w:r>
    </w:p>
    <w:p>
      <w:pPr>
        <w:pStyle w:val="2"/>
        <w:spacing w:line="240" w:lineRule="auto"/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地址：河南省襄城县烟城东路东段南侧</w:t>
      </w:r>
    </w:p>
    <w:p>
      <w:pPr>
        <w:pStyle w:val="2"/>
        <w:spacing w:line="240" w:lineRule="auto"/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联系人：郑先生</w:t>
      </w:r>
    </w:p>
    <w:p>
      <w:pPr>
        <w:pStyle w:val="2"/>
        <w:spacing w:line="240" w:lineRule="auto"/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联系电话：0374-8699339</w:t>
      </w:r>
    </w:p>
    <w:p>
      <w:pPr>
        <w:pStyle w:val="2"/>
        <w:spacing w:line="240" w:lineRule="auto"/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招标代理机构：河南省天隆工程管理咨询有限公司</w:t>
      </w:r>
    </w:p>
    <w:p>
      <w:pPr>
        <w:pStyle w:val="2"/>
        <w:spacing w:line="240" w:lineRule="auto"/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联系人：李先生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联系电话：0371-88881296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540" w:lineRule="exact"/>
        <w:ind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226" w:beforeAutospacing="0" w:after="0" w:afterAutospacing="0" w:line="540" w:lineRule="exact"/>
        <w:ind w:left="0" w:right="0" w:firstLine="620"/>
        <w:jc w:val="right"/>
        <w:rPr>
          <w:rFonts w:ascii="仿宋" w:hAnsi="仿宋" w:eastAsia="仿宋" w:cs="仿宋"/>
          <w:b/>
          <w:i w:val="0"/>
          <w:sz w:val="32"/>
          <w:szCs w:val="32"/>
          <w:shd w:val="clear" w:color="auto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                     2018 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年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spacing w:val="15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 xml:space="preserve">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6BCB"/>
    <w:multiLevelType w:val="singleLevel"/>
    <w:tmpl w:val="584F6B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5487"/>
    <w:rsid w:val="246D5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uiPriority w:val="0"/>
    <w:pPr>
      <w:jc w:val="center"/>
    </w:pPr>
    <w:rPr>
      <w:b/>
      <w:bCs/>
      <w:sz w:val="44"/>
      <w:szCs w:val="20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2018-02-06T17:50:00Z</dcterms:created>
  <dc:creator>河南省天隆工程管理咨询有限公司:尹中娟</dc:creator>
  <cp:lastModifiedBy>河南省天隆工程管理咨询有限公司:尹中娟</cp:lastModifiedBy>
  <dcterms:modified xsi:type="dcterms:W3CDTF">2018-02-06T17:51:10Z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