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rPr>
          <w:rFonts w:ascii="仿宋" w:hAnsi="仿宋" w:eastAsia="仿宋" w:cs="仿宋"/>
          <w:b/>
          <w:bCs/>
          <w:sz w:val="44"/>
          <w:szCs w:val="44"/>
        </w:rPr>
      </w:pPr>
    </w:p>
    <w:p>
      <w:pPr>
        <w:jc w:val="center"/>
        <w:rPr>
          <w:rFonts w:ascii="黑体" w:hAnsi="黑体" w:eastAsia="黑体"/>
          <w:b/>
          <w:bCs/>
          <w:spacing w:val="-20"/>
          <w:sz w:val="44"/>
          <w:szCs w:val="44"/>
        </w:rPr>
      </w:pPr>
      <w:r>
        <w:rPr>
          <w:rFonts w:hint="eastAsia" w:ascii="仿宋" w:hAnsi="仿宋" w:eastAsia="仿宋" w:cs="仿宋"/>
          <w:b/>
          <w:bCs/>
          <w:sz w:val="44"/>
          <w:szCs w:val="44"/>
        </w:rPr>
        <w:t>禹州市教育体育局计算机设备采购项目（二次）</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采购单位：禹州市教育体育局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项目名称：禹州市教育体育局计算机设备采购项目（二次）</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rPr>
        <w:t>编号：YZCG—G2017</w:t>
      </w:r>
      <w:r>
        <w:rPr>
          <w:rFonts w:hint="eastAsia" w:ascii="仿宋" w:hAnsi="仿宋" w:eastAsia="仿宋"/>
          <w:sz w:val="32"/>
          <w:lang w:val="en-US" w:eastAsia="zh-CN"/>
        </w:rPr>
        <w:t>333-1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spacing w:line="6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禹州市教育体育局计算机设备采购项目（二次）</w:t>
      </w:r>
    </w:p>
    <w:p>
      <w:pPr>
        <w:spacing w:line="6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邀</w:t>
      </w:r>
      <w:r>
        <w:rPr>
          <w:rFonts w:hint="eastAsia" w:ascii="仿宋" w:hAnsi="仿宋" w:eastAsia="仿宋"/>
          <w:b/>
          <w:bCs/>
          <w:sz w:val="36"/>
          <w:szCs w:val="36"/>
          <w:lang w:val="en-US" w:eastAsia="zh-CN"/>
        </w:rPr>
        <w:t xml:space="preserve"> </w:t>
      </w:r>
      <w:r>
        <w:rPr>
          <w:rFonts w:hint="eastAsia" w:ascii="仿宋" w:hAnsi="仿宋" w:eastAsia="仿宋"/>
          <w:b/>
          <w:bCs/>
          <w:sz w:val="36"/>
          <w:szCs w:val="36"/>
          <w:lang w:eastAsia="zh-CN"/>
        </w:rPr>
        <w:t>请</w:t>
      </w:r>
      <w:r>
        <w:rPr>
          <w:rFonts w:hint="eastAsia" w:ascii="仿宋" w:hAnsi="仿宋" w:eastAsia="仿宋"/>
          <w:b/>
          <w:bCs/>
          <w:sz w:val="36"/>
          <w:szCs w:val="36"/>
          <w:lang w:val="en-US" w:eastAsia="zh-CN"/>
        </w:rPr>
        <w:t xml:space="preserve"> </w:t>
      </w:r>
      <w:r>
        <w:rPr>
          <w:rFonts w:hint="eastAsia" w:ascii="仿宋" w:hAnsi="仿宋" w:eastAsia="仿宋"/>
          <w:b/>
          <w:bCs/>
          <w:sz w:val="36"/>
          <w:szCs w:val="36"/>
          <w:lang w:eastAsia="zh-CN"/>
        </w:rPr>
        <w:t>函</w:t>
      </w:r>
    </w:p>
    <w:p>
      <w:pPr>
        <w:spacing w:line="600" w:lineRule="exact"/>
        <w:jc w:val="center"/>
        <w:rPr>
          <w:rFonts w:hint="eastAsia" w:ascii="仿宋" w:hAnsi="仿宋" w:eastAsia="仿宋"/>
          <w:b/>
          <w:bCs/>
          <w:sz w:val="44"/>
          <w:szCs w:val="44"/>
          <w:lang w:eastAsia="zh-CN"/>
        </w:rPr>
      </w:pPr>
    </w:p>
    <w:p>
      <w:pPr>
        <w:spacing w:line="4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禹州市教育局</w:t>
      </w:r>
      <w:r>
        <w:rPr>
          <w:rFonts w:hint="eastAsia" w:ascii="仿宋" w:hAnsi="仿宋" w:eastAsia="仿宋" w:cs="仿宋"/>
          <w:sz w:val="24"/>
          <w:szCs w:val="24"/>
        </w:rPr>
        <w:t>的委托，就“禹州市教育体育局计算机设备采购项目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widowControl/>
        <w:numPr>
          <w:ilvl w:val="0"/>
          <w:numId w:val="3"/>
        </w:numPr>
        <w:shd w:val="clear" w:color="auto" w:fill="FFFFFF"/>
        <w:spacing w:line="48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0"/>
        </w:numPr>
        <w:shd w:val="clear" w:color="auto" w:fill="FFFFFF"/>
        <w:spacing w:line="480" w:lineRule="exact"/>
        <w:jc w:val="left"/>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 xml:space="preserve">    1、采购人：禹州市教育体育局</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、项目名称：禹州市教育体育局计算机设备采购项目</w:t>
      </w:r>
    </w:p>
    <w:p>
      <w:pPr>
        <w:widowControl/>
        <w:shd w:val="clear" w:color="auto" w:fill="FFFFFF"/>
        <w:spacing w:line="480" w:lineRule="exact"/>
        <w:ind w:firstLine="482"/>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YZCG-G2017</w:t>
      </w:r>
      <w:r>
        <w:rPr>
          <w:rFonts w:hint="eastAsia" w:ascii="仿宋" w:hAnsi="仿宋" w:eastAsia="仿宋" w:cs="仿宋"/>
          <w:sz w:val="24"/>
          <w:szCs w:val="24"/>
          <w:lang w:val="en-US" w:eastAsia="zh-CN"/>
        </w:rPr>
        <w:t>333－1</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sz w:val="24"/>
          <w:szCs w:val="24"/>
          <w:lang w:eastAsia="zh-CN"/>
        </w:rPr>
        <w:t>本项目涉及</w:t>
      </w:r>
      <w:r>
        <w:rPr>
          <w:rFonts w:hint="eastAsia" w:ascii="仿宋" w:hAnsi="仿宋" w:eastAsia="仿宋" w:cs="仿宋"/>
          <w:sz w:val="24"/>
          <w:szCs w:val="24"/>
          <w:lang w:val="en-US" w:eastAsia="zh-CN"/>
        </w:rPr>
        <w:t>160所学校，</w:t>
      </w:r>
      <w:r>
        <w:rPr>
          <w:rFonts w:hint="eastAsia" w:ascii="仿宋" w:hAnsi="仿宋" w:eastAsia="仿宋" w:cs="仿宋"/>
          <w:sz w:val="24"/>
          <w:szCs w:val="24"/>
          <w:lang w:eastAsia="zh-CN"/>
        </w:rPr>
        <w:t>分十一个标段，其中十个标段为计算机设备，第十一标段为课桌椅</w:t>
      </w:r>
      <w:r>
        <w:rPr>
          <w:rFonts w:hint="eastAsia" w:ascii="仿宋" w:hAnsi="仿宋" w:eastAsia="仿宋" w:cs="仿宋"/>
          <w:sz w:val="24"/>
          <w:szCs w:val="24"/>
        </w:rPr>
        <w:t>（详见招标文件）</w:t>
      </w:r>
    </w:p>
    <w:p>
      <w:pPr>
        <w:pStyle w:val="126"/>
        <w:numPr>
          <w:ilvl w:val="0"/>
          <w:numId w:val="0"/>
        </w:numPr>
        <w:spacing w:line="480" w:lineRule="exact"/>
        <w:ind w:left="480" w:left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eastAsia="zh-CN"/>
        </w:rPr>
        <w:t>十一个标段共</w:t>
      </w:r>
      <w:r>
        <w:rPr>
          <w:rFonts w:hint="eastAsia" w:ascii="仿宋" w:hAnsi="仿宋" w:eastAsia="仿宋" w:cs="仿宋"/>
          <w:color w:val="000000"/>
          <w:kern w:val="0"/>
          <w:sz w:val="24"/>
          <w:szCs w:val="24"/>
          <w:lang w:val="en-US" w:eastAsia="zh-CN"/>
        </w:rPr>
        <w:t>2560万元，其中前十个标段每个标段为243.2万元，十一标段：128万元。</w:t>
      </w:r>
    </w:p>
    <w:p>
      <w:pPr>
        <w:pStyle w:val="126"/>
        <w:numPr>
          <w:ilvl w:val="0"/>
          <w:numId w:val="0"/>
        </w:numPr>
        <w:spacing w:line="480" w:lineRule="exact"/>
        <w:ind w:left="480" w:left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最高限价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1-10标段每个标段</w:t>
      </w:r>
      <w:r>
        <w:rPr>
          <w:rFonts w:hint="eastAsia" w:ascii="仿宋" w:hAnsi="仿宋" w:eastAsia="仿宋" w:cs="仿宋"/>
          <w:color w:val="000000"/>
          <w:kern w:val="0"/>
          <w:sz w:val="24"/>
          <w:szCs w:val="24"/>
          <w:lang w:val="en-US" w:eastAsia="zh-CN"/>
        </w:rPr>
        <w:t>243.2万元，11标段：128万元</w:t>
      </w:r>
    </w:p>
    <w:p>
      <w:pPr>
        <w:widowControl/>
        <w:shd w:val="clear" w:color="auto" w:fill="FFFFFF"/>
        <w:spacing w:line="480" w:lineRule="exact"/>
        <w:ind w:firstLine="354" w:firstLineChars="147"/>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80" w:lineRule="exact"/>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w:t>
      </w:r>
      <w:r>
        <w:rPr>
          <w:rFonts w:hint="eastAsia" w:ascii="仿宋" w:hAnsi="仿宋" w:eastAsia="仿宋" w:cs="仿宋"/>
          <w:b/>
          <w:color w:val="000000"/>
          <w:kern w:val="0"/>
          <w:sz w:val="24"/>
          <w:szCs w:val="24"/>
        </w:rPr>
        <w:t>供应商资格要求</w:t>
      </w:r>
    </w:p>
    <w:p>
      <w:pPr>
        <w:pStyle w:val="29"/>
        <w:widowControl/>
        <w:spacing w:before="150" w:after="150" w:line="480" w:lineRule="exact"/>
        <w:ind w:left="150" w:right="150" w:firstLine="645"/>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pStyle w:val="29"/>
        <w:widowControl/>
        <w:spacing w:before="150" w:after="150" w:line="480" w:lineRule="exact"/>
        <w:ind w:left="149" w:leftChars="71" w:right="302"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rPr>
        <w:t>、投标商应开具由项目所在地或企业营业执照注册所在地人民检察院出具的无行贿犯罪档案告知函；</w:t>
      </w:r>
    </w:p>
    <w:p>
      <w:pPr>
        <w:pStyle w:val="29"/>
        <w:widowControl/>
        <w:spacing w:before="150" w:after="150" w:line="480" w:lineRule="exact"/>
        <w:ind w:left="149" w:leftChars="71" w:right="302"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3.被委托人须是本单位职工，提供本公司缴纳社会保险证明；</w:t>
      </w:r>
    </w:p>
    <w:p>
      <w:pPr>
        <w:pStyle w:val="29"/>
        <w:widowControl/>
        <w:spacing w:before="150" w:after="150" w:line="480" w:lineRule="exact"/>
        <w:ind w:left="149" w:leftChars="71" w:right="150"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、本项目不接受联合体投标。</w:t>
      </w:r>
    </w:p>
    <w:p>
      <w:pPr>
        <w:widowControl/>
        <w:shd w:val="clear" w:color="auto" w:fill="FFFFFF"/>
        <w:spacing w:line="48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b/>
          <w:color w:val="000000"/>
          <w:kern w:val="0"/>
          <w:sz w:val="24"/>
          <w:szCs w:val="24"/>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480" w:lineRule="exact"/>
        <w:ind w:firstLine="640"/>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480" w:lineRule="exact"/>
        <w:ind w:firstLine="640"/>
        <w:rPr>
          <w:rFonts w:hint="eastAsia" w:ascii="仿宋" w:hAnsi="仿宋" w:eastAsia="仿宋" w:cs="仿宋"/>
          <w:sz w:val="24"/>
          <w:szCs w:val="24"/>
        </w:rPr>
      </w:pPr>
      <w:r>
        <w:rPr>
          <w:rFonts w:hint="eastAsia" w:ascii="仿宋" w:hAnsi="仿宋" w:eastAsia="仿宋" w:cs="仿宋"/>
          <w:sz w:val="24"/>
          <w:szCs w:val="24"/>
        </w:rPr>
        <w:t>4、招标文件每份售价人民币300元，于递交投标文件时缴纳给采购代理机构，售后不退。</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8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31</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48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六、代理机构及采购单位地址、联系人、联系电话</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4"/>
        </w:numPr>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禹州市教育体育局</w:t>
      </w:r>
    </w:p>
    <w:p>
      <w:pPr>
        <w:widowControl/>
        <w:numPr>
          <w:ilvl w:val="0"/>
          <w:numId w:val="0"/>
        </w:numPr>
        <w:shd w:val="clear" w:color="auto" w:fill="FFFFFF"/>
        <w:spacing w:line="480" w:lineRule="exact"/>
        <w:ind w:firstLine="720" w:firstLineChars="3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p>
    <w:p>
      <w:pPr>
        <w:widowControl/>
        <w:shd w:val="clear" w:color="auto" w:fill="FFFFFF"/>
        <w:spacing w:line="48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代</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0374-8880023</w:t>
      </w:r>
    </w:p>
    <w:p>
      <w:pPr>
        <w:spacing w:line="48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 xml:space="preserve"> </w:t>
      </w:r>
    </w:p>
    <w:p>
      <w:pPr>
        <w:spacing w:line="480" w:lineRule="exact"/>
        <w:ind w:firstLine="4080" w:firstLineChars="1700"/>
        <w:rPr>
          <w:rFonts w:hint="eastAsia" w:ascii="仿宋" w:hAnsi="仿宋" w:eastAsia="仿宋" w:cs="仿宋"/>
          <w:sz w:val="24"/>
          <w:szCs w:val="24"/>
        </w:rPr>
      </w:pPr>
    </w:p>
    <w:p>
      <w:pPr>
        <w:spacing w:line="48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w:t>
            </w:r>
            <w:r>
              <w:rPr>
                <w:rFonts w:hint="eastAsia" w:ascii="仿宋" w:hAnsi="仿宋" w:eastAsia="仿宋"/>
                <w:sz w:val="24"/>
                <w:szCs w:val="24"/>
                <w:lang w:val="en-US" w:eastAsia="zh-CN"/>
              </w:rPr>
              <w:t>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禹州市教育体育局计算机设备采购项目</w:t>
            </w:r>
            <w:r>
              <w:rPr>
                <w:rFonts w:hint="eastAsia" w:ascii="仿宋" w:hAnsi="仿宋" w:eastAsia="仿宋"/>
                <w:color w:val="000000"/>
                <w:kern w:val="0"/>
                <w:sz w:val="24"/>
                <w:szCs w:val="24"/>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1-10</w:t>
            </w:r>
            <w:r>
              <w:rPr>
                <w:rFonts w:hint="eastAsia" w:ascii="仿宋" w:hAnsi="仿宋" w:eastAsia="仿宋"/>
                <w:sz w:val="24"/>
                <w:szCs w:val="24"/>
                <w:lang w:eastAsia="zh-CN"/>
              </w:rPr>
              <w:t>标段贰</w:t>
            </w:r>
            <w:r>
              <w:rPr>
                <w:rFonts w:hint="eastAsia" w:ascii="仿宋" w:hAnsi="仿宋" w:eastAsia="仿宋"/>
                <w:sz w:val="24"/>
                <w:szCs w:val="24"/>
              </w:rPr>
              <w:t xml:space="preserve">万元整  </w:t>
            </w:r>
            <w:r>
              <w:rPr>
                <w:rFonts w:hint="eastAsia" w:ascii="仿宋" w:hAnsi="仿宋" w:eastAsia="仿宋"/>
                <w:sz w:val="24"/>
                <w:szCs w:val="24"/>
                <w:lang w:val="en-US" w:eastAsia="zh-CN"/>
              </w:rPr>
              <w:t xml:space="preserve"> 11标段壹万元整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2018年1月</w:t>
            </w:r>
            <w:r>
              <w:rPr>
                <w:rFonts w:hint="eastAsia" w:ascii="仿宋" w:hAnsi="仿宋" w:eastAsia="仿宋"/>
                <w:sz w:val="24"/>
                <w:szCs w:val="24"/>
                <w:lang w:val="en-US" w:eastAsia="zh-CN"/>
              </w:rPr>
              <w:t>31</w:t>
            </w:r>
            <w:r>
              <w:rPr>
                <w:rFonts w:hint="eastAsia" w:ascii="仿宋" w:hAnsi="仿宋" w:eastAsia="仿宋"/>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rPr>
              <w:t>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31</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31</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项目预算金额及</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最高限价</w:t>
            </w:r>
          </w:p>
        </w:tc>
        <w:tc>
          <w:tcPr>
            <w:tcW w:w="6300" w:type="dxa"/>
            <w:tcMar>
              <w:top w:w="0" w:type="dxa"/>
              <w:left w:w="0" w:type="dxa"/>
              <w:bottom w:w="0" w:type="dxa"/>
              <w:right w:w="0" w:type="dxa"/>
            </w:tcMar>
            <w:vAlign w:val="center"/>
          </w:tcPr>
          <w:p>
            <w:pPr>
              <w:pStyle w:val="126"/>
              <w:numPr>
                <w:ilvl w:val="0"/>
                <w:numId w:val="0"/>
              </w:numPr>
              <w:spacing w:line="480" w:lineRule="exact"/>
              <w:rPr>
                <w:rFonts w:hint="eastAsia" w:ascii="仿宋" w:hAnsi="仿宋" w:eastAsia="仿宋" w:cs="仿宋"/>
                <w:color w:val="000000"/>
                <w:kern w:val="0"/>
                <w:sz w:val="24"/>
                <w:szCs w:val="24"/>
              </w:rPr>
            </w:pPr>
            <w:r>
              <w:rPr>
                <w:rFonts w:hint="eastAsia" w:ascii="仿宋" w:hAnsi="仿宋" w:eastAsia="仿宋"/>
                <w:b/>
                <w:bCs/>
                <w:sz w:val="24"/>
                <w:szCs w:val="24"/>
                <w:lang w:val="zh-CN"/>
              </w:rPr>
              <w:t>本项目预算金额和最高限价</w:t>
            </w:r>
            <w:r>
              <w:rPr>
                <w:rFonts w:hint="eastAsia" w:ascii="仿宋" w:hAnsi="仿宋" w:eastAsia="仿宋"/>
                <w:b/>
                <w:bCs/>
                <w:sz w:val="24"/>
                <w:szCs w:val="24"/>
                <w:lang w:val="zh-CN" w:eastAsia="zh-CN"/>
              </w:rPr>
              <w:t>为：</w:t>
            </w:r>
            <w:r>
              <w:rPr>
                <w:rFonts w:hint="eastAsia" w:ascii="仿宋" w:hAnsi="仿宋" w:eastAsia="仿宋"/>
                <w:b/>
                <w:bCs/>
                <w:sz w:val="24"/>
                <w:szCs w:val="24"/>
                <w:lang w:val="en-US" w:eastAsia="zh-CN"/>
              </w:rPr>
              <w:t>1-10标段每个标段为</w:t>
            </w:r>
            <w:r>
              <w:rPr>
                <w:rFonts w:hint="eastAsia" w:ascii="仿宋" w:hAnsi="仿宋" w:eastAsia="仿宋" w:cs="仿宋"/>
                <w:color w:val="000000"/>
                <w:kern w:val="0"/>
                <w:sz w:val="24"/>
                <w:szCs w:val="24"/>
                <w:lang w:val="en-US" w:eastAsia="zh-CN"/>
              </w:rPr>
              <w:t>243.2万元，11标段：128万元。</w:t>
            </w:r>
          </w:p>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sz w:val="24"/>
          <w:lang w:eastAsia="zh-CN"/>
        </w:rPr>
        <w:t xml:space="preserve">1-10标段贰万元整   11标段壹万元整 </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1</w:t>
      </w:r>
      <w:r>
        <w:rPr>
          <w:rFonts w:hint="eastAsia" w:ascii="仿宋" w:hAnsi="仿宋" w:eastAsia="仿宋" w:cs="宋体"/>
          <w:bCs/>
          <w:sz w:val="24"/>
          <w:lang w:val="zh-CN"/>
        </w:rPr>
        <w:t>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2</w:t>
      </w:r>
      <w:r>
        <w:rPr>
          <w:rFonts w:hint="eastAsia" w:ascii="仿宋" w:hAnsi="仿宋" w:eastAsia="仿宋" w:cs="宋体"/>
          <w:bCs/>
          <w:sz w:val="24"/>
          <w:lang w:val="zh-CN"/>
        </w:rPr>
        <w:t>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3</w:t>
      </w:r>
      <w:r>
        <w:rPr>
          <w:rFonts w:hint="eastAsia" w:ascii="仿宋" w:hAnsi="仿宋" w:eastAsia="仿宋" w:cs="宋体"/>
          <w:bCs/>
          <w:sz w:val="24"/>
          <w:lang w:val="zh-CN"/>
        </w:rPr>
        <w:t>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4</w:t>
      </w:r>
      <w:r>
        <w:rPr>
          <w:rFonts w:hint="eastAsia" w:ascii="仿宋" w:hAnsi="仿宋" w:eastAsia="仿宋" w:cs="宋体"/>
          <w:bCs/>
          <w:sz w:val="24"/>
          <w:lang w:val="zh-CN"/>
        </w:rPr>
        <w:t>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widowControl/>
        <w:spacing w:line="440" w:lineRule="exact"/>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一、采购内容及其它要求：</w:t>
      </w:r>
      <w:r>
        <w:rPr>
          <w:rFonts w:hint="eastAsia" w:ascii="仿宋" w:hAnsi="仿宋" w:eastAsia="仿宋" w:cs="仿宋"/>
          <w:b w:val="0"/>
          <w:bCs w:val="0"/>
          <w:sz w:val="24"/>
          <w:szCs w:val="24"/>
          <w:lang w:eastAsia="zh-CN"/>
        </w:rPr>
        <w:t>本项目分十一个标段（一标段：方山、花石、顺店、朱阁等16所学校；二标段：苌庄、范坡等16所学校；三标段：磨街、郭连、古城等16所学校；四标段：山货、方岗、张得等16所学校；五标段：鸿畅、小吕等16所学校；六标段：梁北、鸠山、花石等16所学校；七标段：顺店16所学校；八标段：神后、无梁、火龙等16所学校；九标段：文殊、方山等等16所学校；十标段：褚河、钧台等等16所学校;;十一标段：学校课桌凳。以下技术参数为一个学校计算机设备参数要求，每个标段为16所学校.</w:t>
      </w:r>
    </w:p>
    <w:p>
      <w:pPr>
        <w:widowControl/>
        <w:spacing w:line="440" w:lineRule="exac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 xml:space="preserve"> 1-10标段 </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tbl>
      <w:tblPr>
        <w:tblStyle w:val="36"/>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2"/>
        <w:gridCol w:w="1053"/>
        <w:gridCol w:w="6095"/>
        <w:gridCol w:w="69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Align w:val="top"/>
          </w:tcPr>
          <w:p>
            <w:pPr>
              <w:widowControl/>
              <w:spacing w:line="360" w:lineRule="auto"/>
              <w:jc w:val="center"/>
              <w:textAlignment w:val="top"/>
              <w:rPr>
                <w:rFonts w:ascii="仿宋" w:hAnsi="仿宋" w:eastAsia="仿宋" w:cs="仿宋"/>
                <w:b/>
                <w:bCs/>
                <w:sz w:val="24"/>
                <w:szCs w:val="24"/>
                <w:lang w:bidi="ar"/>
              </w:rPr>
            </w:pPr>
            <w:r>
              <w:rPr>
                <w:rFonts w:hint="eastAsia" w:ascii="仿宋" w:hAnsi="仿宋" w:eastAsia="仿宋" w:cs="仿宋"/>
                <w:b/>
                <w:bCs/>
                <w:sz w:val="24"/>
                <w:szCs w:val="24"/>
                <w:lang w:bidi="ar"/>
              </w:rPr>
              <w:t>序号</w:t>
            </w:r>
          </w:p>
        </w:tc>
        <w:tc>
          <w:tcPr>
            <w:tcW w:w="1053"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名称</w:t>
            </w:r>
          </w:p>
        </w:tc>
        <w:tc>
          <w:tcPr>
            <w:tcW w:w="6095"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技术参数</w:t>
            </w:r>
          </w:p>
        </w:tc>
        <w:tc>
          <w:tcPr>
            <w:tcW w:w="690"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单位</w:t>
            </w:r>
          </w:p>
        </w:tc>
        <w:tc>
          <w:tcPr>
            <w:tcW w:w="615" w:type="dxa"/>
            <w:vAlign w:val="top"/>
          </w:tcPr>
          <w:p>
            <w:pPr>
              <w:widowControl/>
              <w:spacing w:line="360" w:lineRule="auto"/>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Merge w:val="restart"/>
            <w:vAlign w:val="top"/>
          </w:tcPr>
          <w:p>
            <w:pPr>
              <w:widowControl/>
              <w:spacing w:line="360" w:lineRule="auto"/>
              <w:jc w:val="center"/>
              <w:textAlignment w:val="top"/>
              <w:rPr>
                <w:rFonts w:ascii="仿宋" w:hAnsi="仿宋" w:eastAsia="仿宋" w:cs="仿宋"/>
                <w:sz w:val="24"/>
                <w:szCs w:val="24"/>
                <w:lang w:bidi="ar"/>
              </w:rPr>
            </w:pPr>
            <w:r>
              <w:rPr>
                <w:rFonts w:hint="eastAsia" w:ascii="仿宋" w:hAnsi="仿宋" w:eastAsia="仿宋" w:cs="仿宋"/>
                <w:sz w:val="24"/>
                <w:szCs w:val="24"/>
                <w:lang w:bidi="ar"/>
              </w:rPr>
              <w:t>1</w:t>
            </w:r>
          </w:p>
        </w:tc>
        <w:tc>
          <w:tcPr>
            <w:tcW w:w="1053"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商用教师用台式机硬件</w:t>
            </w:r>
          </w:p>
        </w:tc>
        <w:tc>
          <w:tcPr>
            <w:tcW w:w="6095" w:type="dxa"/>
            <w:vAlign w:val="top"/>
          </w:tcPr>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1、CPU ：</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lang w:bidi="ar"/>
              </w:rPr>
              <w:t>Intel Core i5-6500处理器</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2、内存：</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lang w:bidi="ar"/>
              </w:rPr>
              <w:t>4G DDR4 2133；</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3、硬盘 :</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lang w:bidi="ar"/>
              </w:rPr>
              <w:t>1T硬盘；</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4、显卡 ：集成</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5、显示器 ≥23寸高清低蓝光宽屏 LED背光显示，分辨率1920*1080  通过</w:t>
            </w:r>
            <w:r>
              <w:rPr>
                <w:rFonts w:ascii="仿宋" w:hAnsi="仿宋" w:eastAsia="仿宋" w:cs="仿宋"/>
                <w:sz w:val="24"/>
                <w:szCs w:val="24"/>
                <w:lang w:bidi="ar"/>
              </w:rPr>
              <w:t>EPEAT Gold</w:t>
            </w:r>
            <w:r>
              <w:rPr>
                <w:rFonts w:hint="eastAsia" w:ascii="仿宋" w:hAnsi="仿宋" w:eastAsia="仿宋" w:cs="仿宋"/>
                <w:sz w:val="24"/>
                <w:szCs w:val="24"/>
                <w:lang w:bidi="ar"/>
              </w:rPr>
              <w:t>认证（提供网上查询链接）；</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6、键鼠：</w:t>
            </w:r>
            <w:r>
              <w:rPr>
                <w:rFonts w:hint="eastAsia" w:ascii="仿宋" w:hAnsi="仿宋" w:eastAsia="仿宋" w:cs="仿宋"/>
                <w:sz w:val="24"/>
                <w:szCs w:val="24"/>
              </w:rPr>
              <w:t>抗菌鼠标及抗菌键盘</w:t>
            </w:r>
            <w:r>
              <w:rPr>
                <w:rFonts w:hint="eastAsia" w:ascii="仿宋" w:hAnsi="仿宋" w:eastAsia="仿宋" w:cs="仿宋"/>
                <w:sz w:val="24"/>
                <w:szCs w:val="24"/>
                <w:lang w:bidi="ar"/>
              </w:rPr>
              <w:t>；</w:t>
            </w:r>
          </w:p>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7、接口： 6个USB（前置2个3.0，后置2个3.0和2个2.0）；</w:t>
            </w:r>
            <w:r>
              <w:rPr>
                <w:rFonts w:ascii="仿宋" w:hAnsi="仿宋" w:eastAsia="仿宋" w:cs="仿宋"/>
                <w:sz w:val="24"/>
                <w:szCs w:val="24"/>
                <w:lang w:bidi="ar"/>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lang w:bidi="ar"/>
              </w:rPr>
              <w:t>8、</w:t>
            </w:r>
            <w:r>
              <w:rPr>
                <w:rFonts w:hint="eastAsia" w:ascii="仿宋" w:hAnsi="仿宋" w:eastAsia="仿宋" w:cs="仿宋"/>
                <w:sz w:val="24"/>
                <w:szCs w:val="24"/>
              </w:rPr>
              <w:t>电源：</w:t>
            </w:r>
            <w:r>
              <w:rPr>
                <w:rFonts w:hint="eastAsia" w:ascii="Arial Unicode MS" w:hAnsi="Arial Unicode MS" w:eastAsia="Arial Unicode MS" w:cs="Arial Unicode MS"/>
                <w:sz w:val="24"/>
                <w:szCs w:val="24"/>
                <w:lang w:bidi="ar"/>
              </w:rPr>
              <w:t>≥</w:t>
            </w:r>
            <w:r>
              <w:rPr>
                <w:rFonts w:hint="eastAsia" w:ascii="Arial Unicode MS" w:hAnsi="Arial Unicode MS" w:eastAsia="Arial Unicode MS" w:cs="Arial Unicode MS"/>
                <w:sz w:val="24"/>
                <w:szCs w:val="24"/>
                <w:lang w:val="en-US" w:eastAsia="zh-CN" w:bidi="ar"/>
              </w:rPr>
              <w:t>180</w:t>
            </w:r>
            <w:r>
              <w:rPr>
                <w:rFonts w:hint="eastAsia" w:ascii="仿宋" w:hAnsi="仿宋" w:eastAsia="仿宋" w:cs="仿宋"/>
                <w:sz w:val="24"/>
                <w:szCs w:val="24"/>
              </w:rPr>
              <w:t>W电源。</w:t>
            </w:r>
          </w:p>
          <w:p>
            <w:pPr>
              <w:spacing w:line="360" w:lineRule="auto"/>
              <w:jc w:val="left"/>
              <w:rPr>
                <w:rFonts w:ascii="仿宋" w:hAnsi="仿宋" w:eastAsia="仿宋" w:cs="仿宋"/>
                <w:color w:val="000000"/>
                <w:sz w:val="24"/>
                <w:szCs w:val="24"/>
              </w:rPr>
            </w:pPr>
            <w:r>
              <w:rPr>
                <w:rFonts w:hint="eastAsia" w:ascii="仿宋" w:hAnsi="仿宋" w:eastAsia="仿宋" w:cs="仿宋"/>
                <w:sz w:val="24"/>
                <w:szCs w:val="24"/>
              </w:rPr>
              <w:t>9、售后：提供三年有限免费保修及免费上门售后服务。</w:t>
            </w:r>
          </w:p>
        </w:tc>
        <w:tc>
          <w:tcPr>
            <w:tcW w:w="690" w:type="dxa"/>
            <w:vMerge w:val="restart"/>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台套</w:t>
            </w:r>
          </w:p>
        </w:tc>
        <w:tc>
          <w:tcPr>
            <w:tcW w:w="615" w:type="dxa"/>
            <w:vMerge w:val="restart"/>
            <w:vAlign w:val="top"/>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Merge w:val="continue"/>
            <w:vAlign w:val="top"/>
          </w:tcPr>
          <w:p>
            <w:pPr>
              <w:widowControl/>
              <w:spacing w:line="360" w:lineRule="auto"/>
              <w:jc w:val="center"/>
              <w:textAlignment w:val="top"/>
              <w:rPr>
                <w:rFonts w:ascii="仿宋" w:hAnsi="仿宋" w:eastAsia="仿宋" w:cs="仿宋"/>
                <w:sz w:val="24"/>
                <w:szCs w:val="24"/>
                <w:lang w:bidi="ar"/>
              </w:rPr>
            </w:pPr>
          </w:p>
        </w:tc>
        <w:tc>
          <w:tcPr>
            <w:tcW w:w="1053"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商用教师用台式机备课软件</w:t>
            </w:r>
          </w:p>
        </w:tc>
        <w:tc>
          <w:tcPr>
            <w:tcW w:w="6095" w:type="dxa"/>
            <w:vAlign w:val="top"/>
          </w:tcPr>
          <w:p>
            <w:pPr>
              <w:spacing w:line="360" w:lineRule="auto"/>
              <w:jc w:val="left"/>
              <w:rPr>
                <w:rFonts w:ascii="仿宋" w:hAnsi="仿宋" w:eastAsia="仿宋" w:cs="仿宋"/>
                <w:sz w:val="24"/>
                <w:szCs w:val="24"/>
              </w:rPr>
            </w:pPr>
            <w:r>
              <w:rPr>
                <w:rFonts w:hint="eastAsia" w:ascii="仿宋" w:hAnsi="仿宋" w:eastAsia="仿宋" w:cs="仿宋"/>
                <w:sz w:val="24"/>
                <w:szCs w:val="24"/>
              </w:rPr>
              <w:t>教师用教学备课软件：</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软件需要提供由省级以上软件测试中心出具的软件测试报告和由国家版权局出具的软件著作权证书。</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（一）后台管理：</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(1)各学校用户可以维护本校的校本库资源；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(2)根据用户的账号权限，可以查看教师用户使用数据报告；</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（二）备课模式：</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(1)提供云端教育资源库，教师可在云端资源库找到大量丰富的公共课件及教学素材；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(2)提供校本库功能，老师可以上传教学素材到校本库中，也可以下载其他老师上传的教学素材；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(3) 教师可对授课教材版本、年级、学科、课程章节进行选择和切换，同时支持设置为默认选项，方便教师快速进入要上的课程；</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(5)一键调用云端教育资源库中课件的所有页面，也可以选择直接插入课件中的指定页面；</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(6)支持快速插入图片、视频、动画和音频等教学素材；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(7)需兼容PPT格式的课件资源，教师可直接调用PPT课件进入备课系统进行编辑；</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(8)各类资源支持关键字模糊搜索查找；</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(9)支持在编辑课件过程中预览、拖拽、插入所需的教学资源和素材；</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(10)</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支持教师创建新题目，可编辑多种题型，并可对编辑好的试题进行预览和试做，提供的题目类型不少于35种，包括单项选择题、多项选择题、填空题、连线题、主观题等基础题型，连连看、猜词游戏题、记忆卡片等趣味题型；</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(11)提供网盘功能，教师可以将课件、视频、图片、Flash、音频等教学资源上传到网盘；</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(12)支持使用常用的第三方账号注册登录包括QQ、微信、微博、邮箱等；</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（三）授课模式：</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(1)教师编辑完课件后，可一键从备课模式切换到授课模式；</w:t>
            </w: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需为教师提供不少于6种授课工具，包括学科工具、互动工具、画笔、橡皮擦、清除墨迹、返回桌面等功能；</w:t>
            </w: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(4)</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(5)</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使用互动工具时，至少提供12种授课交互功能，需包括放大镜、黑板、聚光灯、计时器、花名册、百科、随机组队、随机点名、课堂总结、课堂评价、接龙活动、团队竞赛等；</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(6)画笔工具需提供不少于6种颜色的画笔，包括红色、蓝色、黑色等常用颜色，方便老师授课时做标记；</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(7)授课模式支持教师跨平台、多手机终端应用，提供二维码扫描的方式快速下载移动控制软件，实现教师课堂移动教学。移动控制软件需支持Android和iOS设备。</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(8)</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使用手机移动设备进行移动授课时，需提供包括页面跳转、鼓励、画笔、黑屏、激光笔、计算器、图片快传、放大镜、黑板、聚光灯等10种及以上的远程控制功能</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(1)教学资源内容包括小学教育、初中教育、高中教育等资源，资源应涵盖习题、课件、教案、多媒体、3D教学资源等。学校用户可根据云平台中提供的公共资源进行有选择的下载相应资源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(2)提供主流教材版本的教材资源，包括人教版、北师大版、外研社等，提供小学、初中、高中全学段教材资源，其中学科覆盖语文、数学、英语、化学、物理、生物、历史、地理；</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(3)提供覆盖小学教育、初中教育、高中教育的全学科课件，课件入库总量不少于90000个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(4)教学资源库中的习题需涵盖人教版小学、初中、高中的全学科，入库总量不少于380000题。</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(5)提供多媒体教学资源，总量不少于270000个 ；</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(6)</w:t>
            </w:r>
            <w:r>
              <w:rPr>
                <w:rFonts w:ascii="Times New Roman" w:hAnsi="Times New Roman" w:eastAsia="仿宋"/>
                <w:color w:val="000000"/>
                <w:sz w:val="24"/>
                <w:szCs w:val="24"/>
              </w:rPr>
              <w:t xml:space="preserve"> *</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提供3D教学资源，总量不少于37000个；</w:t>
            </w:r>
          </w:p>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须现场演示插入课件，图片，3D资源和习题并播放。现场演示可创建新题目类型数量，并演示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690" w:type="dxa"/>
            <w:vMerge w:val="continue"/>
            <w:vAlign w:val="top"/>
          </w:tcPr>
          <w:p>
            <w:pPr>
              <w:widowControl/>
              <w:spacing w:line="360" w:lineRule="auto"/>
              <w:jc w:val="center"/>
              <w:textAlignment w:val="center"/>
              <w:rPr>
                <w:rFonts w:ascii="仿宋" w:hAnsi="仿宋" w:eastAsia="仿宋" w:cs="仿宋"/>
                <w:sz w:val="24"/>
                <w:szCs w:val="24"/>
                <w:lang w:bidi="ar"/>
              </w:rPr>
            </w:pPr>
          </w:p>
        </w:tc>
        <w:tc>
          <w:tcPr>
            <w:tcW w:w="615" w:type="dxa"/>
            <w:vMerge w:val="continue"/>
            <w:vAlign w:val="top"/>
          </w:tcPr>
          <w:p>
            <w:pPr>
              <w:widowControl/>
              <w:spacing w:line="360" w:lineRule="auto"/>
              <w:ind w:firstLine="240" w:firstLineChars="100"/>
              <w:textAlignment w:val="center"/>
              <w:rPr>
                <w:rFonts w:ascii="仿宋" w:hAnsi="仿宋" w:eastAsia="仿宋" w:cs="仿宋"/>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42" w:type="dxa"/>
            <w:vAlign w:val="top"/>
          </w:tcPr>
          <w:p>
            <w:pPr>
              <w:widowControl/>
              <w:spacing w:line="360" w:lineRule="auto"/>
              <w:jc w:val="center"/>
              <w:textAlignment w:val="top"/>
              <w:rPr>
                <w:rFonts w:ascii="仿宋" w:hAnsi="仿宋" w:eastAsia="仿宋" w:cs="仿宋"/>
                <w:sz w:val="24"/>
                <w:szCs w:val="24"/>
                <w:lang w:bidi="ar"/>
              </w:rPr>
            </w:pPr>
            <w:r>
              <w:rPr>
                <w:rFonts w:hint="eastAsia" w:ascii="仿宋" w:hAnsi="仿宋" w:eastAsia="仿宋" w:cs="仿宋"/>
                <w:sz w:val="24"/>
                <w:szCs w:val="24"/>
                <w:lang w:bidi="ar"/>
              </w:rPr>
              <w:t>2</w:t>
            </w:r>
          </w:p>
        </w:tc>
        <w:tc>
          <w:tcPr>
            <w:tcW w:w="1053"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商用学生一体机</w:t>
            </w:r>
          </w:p>
        </w:tc>
        <w:tc>
          <w:tcPr>
            <w:tcW w:w="6095" w:type="dxa"/>
            <w:vAlign w:val="top"/>
          </w:tcPr>
          <w:p>
            <w:pPr>
              <w:spacing w:line="360" w:lineRule="auto"/>
              <w:ind w:left="686" w:hanging="686" w:hangingChars="286"/>
              <w:rPr>
                <w:rFonts w:ascii="仿宋" w:hAnsi="仿宋" w:eastAsia="仿宋" w:cs="仿宋"/>
                <w:sz w:val="24"/>
                <w:szCs w:val="24"/>
              </w:rPr>
            </w:pPr>
            <w:r>
              <w:rPr>
                <w:rFonts w:hint="eastAsia" w:ascii="仿宋" w:hAnsi="仿宋" w:eastAsia="仿宋" w:cs="仿宋"/>
                <w:sz w:val="24"/>
                <w:szCs w:val="24"/>
              </w:rPr>
              <w:t>1.主板：Intel H110 及以上</w:t>
            </w:r>
          </w:p>
          <w:p>
            <w:pPr>
              <w:spacing w:line="360" w:lineRule="auto"/>
              <w:ind w:left="682" w:leftChars="16" w:hanging="648" w:hangingChars="270"/>
              <w:rPr>
                <w:rFonts w:ascii="仿宋" w:hAnsi="仿宋" w:eastAsia="仿宋" w:cs="仿宋"/>
                <w:sz w:val="24"/>
                <w:szCs w:val="24"/>
              </w:rPr>
            </w:pPr>
            <w:r>
              <w:rPr>
                <w:rFonts w:hint="eastAsia" w:ascii="仿宋" w:hAnsi="仿宋" w:eastAsia="仿宋" w:cs="仿宋"/>
                <w:sz w:val="24"/>
                <w:szCs w:val="24"/>
              </w:rPr>
              <w:t>2.CPU：Intel 双核，主频≥2.</w:t>
            </w:r>
            <w:r>
              <w:rPr>
                <w:rFonts w:ascii="仿宋" w:hAnsi="仿宋" w:eastAsia="仿宋" w:cs="仿宋"/>
                <w:sz w:val="24"/>
                <w:szCs w:val="24"/>
              </w:rPr>
              <w:t>7</w:t>
            </w:r>
            <w:r>
              <w:rPr>
                <w:rFonts w:hint="eastAsia" w:ascii="仿宋" w:hAnsi="仿宋" w:eastAsia="仿宋" w:cs="仿宋"/>
                <w:sz w:val="24"/>
                <w:szCs w:val="24"/>
              </w:rPr>
              <w:t>Ghz</w:t>
            </w:r>
          </w:p>
          <w:p>
            <w:pPr>
              <w:spacing w:line="360" w:lineRule="auto"/>
              <w:rPr>
                <w:rFonts w:ascii="仿宋" w:hAnsi="仿宋" w:eastAsia="仿宋" w:cs="仿宋"/>
                <w:sz w:val="24"/>
                <w:szCs w:val="24"/>
              </w:rPr>
            </w:pPr>
            <w:r>
              <w:rPr>
                <w:rFonts w:hint="eastAsia" w:ascii="仿宋" w:hAnsi="仿宋" w:eastAsia="仿宋" w:cs="仿宋"/>
                <w:sz w:val="24"/>
                <w:szCs w:val="24"/>
              </w:rPr>
              <w:t>3.内存：2×插槽，</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rPr>
              <w:t>4G DDR4 2133内存</w:t>
            </w:r>
          </w:p>
          <w:p>
            <w:pPr>
              <w:spacing w:line="360" w:lineRule="auto"/>
              <w:rPr>
                <w:rFonts w:ascii="仿宋" w:hAnsi="仿宋" w:eastAsia="仿宋" w:cs="仿宋"/>
                <w:sz w:val="24"/>
                <w:szCs w:val="24"/>
              </w:rPr>
            </w:pPr>
            <w:r>
              <w:rPr>
                <w:rFonts w:hint="eastAsia" w:ascii="仿宋" w:hAnsi="仿宋" w:eastAsia="仿宋" w:cs="仿宋"/>
                <w:sz w:val="24"/>
                <w:szCs w:val="24"/>
              </w:rPr>
              <w:t>4.显卡：集成高性能显卡</w:t>
            </w:r>
          </w:p>
          <w:p>
            <w:pPr>
              <w:spacing w:line="360" w:lineRule="auto"/>
              <w:rPr>
                <w:rFonts w:ascii="仿宋" w:hAnsi="仿宋" w:eastAsia="仿宋" w:cs="仿宋"/>
                <w:sz w:val="24"/>
                <w:szCs w:val="24"/>
              </w:rPr>
            </w:pPr>
            <w:r>
              <w:rPr>
                <w:rFonts w:hint="eastAsia" w:ascii="仿宋" w:hAnsi="仿宋" w:eastAsia="仿宋" w:cs="仿宋"/>
                <w:sz w:val="24"/>
                <w:szCs w:val="24"/>
              </w:rPr>
              <w:t>5.硬盘：</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rPr>
              <w:t>1T硬盘</w:t>
            </w:r>
          </w:p>
          <w:p>
            <w:pPr>
              <w:spacing w:line="360" w:lineRule="auto"/>
              <w:rPr>
                <w:rFonts w:ascii="仿宋" w:hAnsi="仿宋" w:eastAsia="仿宋" w:cs="仿宋"/>
                <w:sz w:val="24"/>
                <w:szCs w:val="24"/>
              </w:rPr>
            </w:pPr>
            <w:r>
              <w:rPr>
                <w:rFonts w:hint="eastAsia" w:ascii="仿宋" w:hAnsi="仿宋" w:eastAsia="仿宋" w:cs="仿宋"/>
                <w:sz w:val="24"/>
                <w:szCs w:val="24"/>
              </w:rPr>
              <w:t>6.视频设备：高清摄像头</w:t>
            </w:r>
          </w:p>
          <w:p>
            <w:pPr>
              <w:spacing w:line="360" w:lineRule="auto"/>
              <w:rPr>
                <w:rFonts w:ascii="仿宋" w:hAnsi="仿宋" w:eastAsia="仿宋" w:cs="仿宋"/>
                <w:sz w:val="24"/>
                <w:szCs w:val="24"/>
              </w:rPr>
            </w:pPr>
            <w:r>
              <w:rPr>
                <w:rFonts w:hint="eastAsia" w:ascii="仿宋" w:hAnsi="仿宋" w:eastAsia="仿宋" w:cs="仿宋"/>
                <w:sz w:val="24"/>
                <w:szCs w:val="24"/>
              </w:rPr>
              <w:t>7.显示屏：≥19.5寸LED</w:t>
            </w:r>
            <w:r>
              <w:rPr>
                <w:rFonts w:ascii="仿宋" w:hAnsi="仿宋" w:eastAsia="仿宋" w:cs="仿宋"/>
                <w:sz w:val="24"/>
                <w:szCs w:val="24"/>
              </w:rPr>
              <w:t xml:space="preserve"> </w:t>
            </w:r>
            <w:r>
              <w:rPr>
                <w:rFonts w:hint="eastAsia" w:ascii="仿宋" w:hAnsi="仿宋" w:eastAsia="仿宋" w:cs="仿宋"/>
                <w:sz w:val="24"/>
                <w:szCs w:val="24"/>
              </w:rPr>
              <w:t>一体机低蓝光认证</w:t>
            </w:r>
          </w:p>
          <w:p>
            <w:pPr>
              <w:spacing w:line="360" w:lineRule="auto"/>
              <w:rPr>
                <w:rFonts w:ascii="仿宋" w:hAnsi="仿宋" w:eastAsia="仿宋" w:cs="仿宋"/>
                <w:sz w:val="24"/>
                <w:szCs w:val="24"/>
              </w:rPr>
            </w:pPr>
            <w:r>
              <w:rPr>
                <w:rFonts w:hint="eastAsia" w:ascii="仿宋" w:hAnsi="仿宋" w:eastAsia="仿宋" w:cs="仿宋"/>
                <w:sz w:val="24"/>
                <w:szCs w:val="24"/>
              </w:rPr>
              <w:t>8.音箱：内置音响</w:t>
            </w:r>
          </w:p>
          <w:p>
            <w:pPr>
              <w:spacing w:line="360" w:lineRule="auto"/>
              <w:rPr>
                <w:rFonts w:ascii="仿宋" w:hAnsi="仿宋" w:eastAsia="仿宋" w:cs="仿宋"/>
                <w:sz w:val="24"/>
                <w:szCs w:val="24"/>
              </w:rPr>
            </w:pPr>
            <w:r>
              <w:rPr>
                <w:rFonts w:hint="eastAsia" w:ascii="仿宋" w:hAnsi="仿宋" w:eastAsia="仿宋" w:cs="仿宋"/>
                <w:sz w:val="24"/>
                <w:szCs w:val="24"/>
              </w:rPr>
              <w:t>9.电源：</w:t>
            </w:r>
            <w:r>
              <w:rPr>
                <w:rFonts w:hint="eastAsia" w:ascii="Arial Unicode MS" w:hAnsi="Arial Unicode MS" w:eastAsia="Arial Unicode MS" w:cs="Arial Unicode MS"/>
                <w:sz w:val="24"/>
                <w:szCs w:val="24"/>
                <w:lang w:bidi="ar"/>
              </w:rPr>
              <w:t>≥</w:t>
            </w:r>
            <w:r>
              <w:rPr>
                <w:rFonts w:hint="eastAsia" w:ascii="仿宋" w:hAnsi="仿宋" w:eastAsia="仿宋" w:cs="仿宋"/>
                <w:sz w:val="24"/>
                <w:szCs w:val="24"/>
              </w:rPr>
              <w:t>90W电源</w:t>
            </w:r>
          </w:p>
          <w:p>
            <w:pPr>
              <w:spacing w:line="360" w:lineRule="auto"/>
              <w:rPr>
                <w:rFonts w:ascii="仿宋" w:hAnsi="仿宋" w:eastAsia="仿宋" w:cs="仿宋"/>
                <w:sz w:val="24"/>
                <w:szCs w:val="24"/>
              </w:rPr>
            </w:pPr>
            <w:r>
              <w:rPr>
                <w:rFonts w:hint="eastAsia" w:ascii="仿宋" w:hAnsi="仿宋" w:eastAsia="仿宋" w:cs="仿宋"/>
                <w:sz w:val="24"/>
                <w:szCs w:val="24"/>
              </w:rPr>
              <w:t>10.接口及扩展： 耳机麦克风接口各一或二合一耳麦通用接口、</w:t>
            </w:r>
            <w:r>
              <w:rPr>
                <w:rFonts w:ascii="仿宋" w:hAnsi="仿宋" w:eastAsia="仿宋" w:cs="仿宋"/>
                <w:sz w:val="24"/>
                <w:szCs w:val="24"/>
              </w:rPr>
              <w:t>4</w:t>
            </w:r>
            <w:r>
              <w:rPr>
                <w:rFonts w:hint="eastAsia" w:ascii="仿宋" w:hAnsi="仿宋" w:eastAsia="仿宋" w:cs="仿宋"/>
                <w:sz w:val="24"/>
                <w:szCs w:val="24"/>
              </w:rPr>
              <w:t>个USB3.0；2个USB2.0、1×串口、1×RJ-45;</w:t>
            </w:r>
            <w:r>
              <w:rPr>
                <w:rFonts w:ascii="仿宋" w:hAnsi="仿宋" w:eastAsia="仿宋" w:cs="仿宋"/>
                <w:sz w:val="24"/>
                <w:szCs w:val="24"/>
              </w:rPr>
              <w:t xml:space="preserve"> </w:t>
            </w:r>
          </w:p>
          <w:p>
            <w:pPr>
              <w:numPr>
                <w:ilvl w:val="0"/>
                <w:numId w:val="7"/>
              </w:numPr>
              <w:spacing w:line="360" w:lineRule="auto"/>
              <w:rPr>
                <w:rFonts w:ascii="仿宋" w:hAnsi="仿宋" w:eastAsia="仿宋" w:cs="仿宋"/>
                <w:sz w:val="24"/>
                <w:szCs w:val="24"/>
              </w:rPr>
            </w:pPr>
            <w:r>
              <w:rPr>
                <w:rFonts w:hint="eastAsia" w:ascii="仿宋" w:hAnsi="仿宋" w:eastAsia="仿宋" w:cs="仿宋"/>
                <w:sz w:val="24"/>
                <w:szCs w:val="24"/>
              </w:rPr>
              <w:t>实用性功能：摄像头180度旋转或者其他本机有内置物理屏蔽功能</w:t>
            </w:r>
          </w:p>
          <w:p>
            <w:pPr>
              <w:spacing w:line="360" w:lineRule="auto"/>
              <w:rPr>
                <w:rFonts w:ascii="仿宋" w:hAnsi="仿宋" w:eastAsia="仿宋" w:cs="仿宋"/>
                <w:sz w:val="24"/>
                <w:szCs w:val="24"/>
              </w:rPr>
            </w:pPr>
            <w:r>
              <w:rPr>
                <w:rFonts w:hint="eastAsia" w:ascii="仿宋" w:hAnsi="仿宋" w:eastAsia="仿宋" w:cs="仿宋"/>
                <w:bCs/>
                <w:sz w:val="24"/>
                <w:szCs w:val="24"/>
              </w:rPr>
              <w:t>备注：三年免费有限保修及三年免费上门，与商用教师用台式机为同一品牌，便于统一管理维护。</w:t>
            </w:r>
          </w:p>
        </w:tc>
        <w:tc>
          <w:tcPr>
            <w:tcW w:w="690" w:type="dxa"/>
            <w:vAlign w:val="top"/>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台</w:t>
            </w:r>
          </w:p>
        </w:tc>
        <w:tc>
          <w:tcPr>
            <w:tcW w:w="615" w:type="dxa"/>
            <w:vAlign w:val="top"/>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lang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2" w:hRule="atLeast"/>
        </w:trPr>
        <w:tc>
          <w:tcPr>
            <w:tcW w:w="742" w:type="dxa"/>
            <w:vAlign w:val="center"/>
          </w:tcPr>
          <w:p>
            <w:pPr>
              <w:widowControl/>
              <w:spacing w:line="360" w:lineRule="auto"/>
              <w:jc w:val="center"/>
              <w:textAlignment w:val="top"/>
              <w:rPr>
                <w:rFonts w:hint="eastAsia" w:ascii="仿宋" w:hAnsi="仿宋" w:eastAsia="仿宋" w:cs="仿宋"/>
                <w:sz w:val="24"/>
                <w:szCs w:val="24"/>
                <w:lang w:bidi="ar"/>
              </w:rPr>
            </w:pPr>
            <w:r>
              <w:rPr>
                <w:rFonts w:hint="eastAsia" w:ascii="仿宋" w:hAnsi="仿宋" w:eastAsia="仿宋" w:cs="仿宋"/>
                <w:sz w:val="24"/>
                <w:szCs w:val="24"/>
                <w:lang w:bidi="ar"/>
              </w:rPr>
              <w:t>3</w:t>
            </w:r>
          </w:p>
        </w:tc>
        <w:tc>
          <w:tcPr>
            <w:tcW w:w="1053" w:type="dxa"/>
            <w:vAlign w:val="center"/>
          </w:tcPr>
          <w:p>
            <w:pPr>
              <w:widowControl/>
              <w:spacing w:line="360" w:lineRule="auto"/>
              <w:textAlignment w:val="center"/>
              <w:rPr>
                <w:rFonts w:ascii="仿宋" w:hAnsi="仿宋" w:eastAsia="仿宋" w:cs="仿宋"/>
                <w:sz w:val="24"/>
                <w:szCs w:val="24"/>
                <w:lang w:bidi="ar"/>
              </w:rPr>
            </w:pPr>
            <w:r>
              <w:rPr>
                <w:rFonts w:hint="eastAsia" w:ascii="仿宋" w:hAnsi="仿宋" w:eastAsia="仿宋" w:cs="仿宋"/>
                <w:sz w:val="24"/>
                <w:szCs w:val="24"/>
                <w:lang w:bidi="ar"/>
              </w:rPr>
              <w:t>教师及学生用多媒体网络教学软件</w:t>
            </w:r>
          </w:p>
        </w:tc>
        <w:tc>
          <w:tcPr>
            <w:tcW w:w="6095" w:type="dxa"/>
            <w:vAlign w:val="center"/>
          </w:tcPr>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支持对终端电脑和云终端操作系统（xp\win7\win8\win10\linux）的立即还原</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支持服务器操作系统（windows\2003\2008\2013、redhat、ubuntu、CentOS、Fedara）的立即还原和快照瞬间（3秒内）创建和恢复</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支持多块硬盘的保护和数据同传，并且兼容固态硬盘结合机械硬盘的混合模式。</w:t>
            </w:r>
          </w:p>
          <w:p>
            <w:pPr>
              <w:pStyle w:val="127"/>
              <w:numPr>
                <w:ilvl w:val="0"/>
                <w:numId w:val="8"/>
              </w:numPr>
              <w:spacing w:line="360" w:lineRule="auto"/>
              <w:ind w:firstLineChars="0"/>
              <w:rPr>
                <w:rFonts w:hint="eastAsia" w:ascii="仿宋" w:hAnsi="仿宋" w:eastAsia="仿宋" w:cs="仿宋"/>
                <w:color w:val="000000"/>
                <w:sz w:val="24"/>
                <w:szCs w:val="24"/>
              </w:rPr>
            </w:pPr>
            <w:r>
              <w:rPr>
                <w:rFonts w:ascii="Times New Roman" w:hAnsi="Times New Roman" w:eastAsia="仿宋"/>
                <w:color w:val="000000"/>
                <w:sz w:val="24"/>
                <w:szCs w:val="24"/>
              </w:rPr>
              <w:t>*</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考虑扩展性，支持对500台电脑同时进行数据差异拷贝，只传送差异数据，无增量拷贝增量基准点限制。</w:t>
            </w:r>
          </w:p>
          <w:p>
            <w:pPr>
              <w:pStyle w:val="127"/>
              <w:numPr>
                <w:ilvl w:val="0"/>
                <w:numId w:val="8"/>
              </w:numPr>
              <w:spacing w:line="360" w:lineRule="auto"/>
              <w:ind w:firstLineChars="0"/>
              <w:rPr>
                <w:rFonts w:hint="eastAsia" w:ascii="仿宋" w:hAnsi="仿宋" w:eastAsia="仿宋" w:cs="仿宋"/>
                <w:color w:val="000000"/>
                <w:sz w:val="24"/>
                <w:szCs w:val="24"/>
              </w:rPr>
            </w:pPr>
            <w:r>
              <w:rPr>
                <w:rFonts w:ascii="Times New Roman" w:hAnsi="Times New Roman" w:eastAsia="仿宋"/>
                <w:color w:val="000000"/>
                <w:sz w:val="24"/>
                <w:szCs w:val="24"/>
              </w:rPr>
              <w:t>*</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支持多系统引导，并可授权不同的管理员管理不同的操作系统。(提供功能界面截图并加盖厂商公章)</w:t>
            </w:r>
          </w:p>
          <w:p>
            <w:pPr>
              <w:pStyle w:val="127"/>
              <w:numPr>
                <w:ilvl w:val="0"/>
                <w:numId w:val="8"/>
              </w:numPr>
              <w:spacing w:line="360" w:lineRule="auto"/>
              <w:ind w:firstLineChars="0"/>
              <w:rPr>
                <w:rFonts w:hint="eastAsia" w:ascii="仿宋" w:hAnsi="仿宋" w:eastAsia="仿宋" w:cs="仿宋"/>
                <w:color w:val="000000"/>
                <w:sz w:val="24"/>
                <w:szCs w:val="24"/>
              </w:rPr>
            </w:pPr>
            <w:r>
              <w:rPr>
                <w:rFonts w:ascii="Times New Roman" w:hAnsi="Times New Roman" w:eastAsia="仿宋"/>
                <w:color w:val="000000"/>
                <w:sz w:val="24"/>
                <w:szCs w:val="24"/>
              </w:rPr>
              <w:t>*</w:t>
            </w:r>
            <w:r>
              <w:rPr>
                <w:rFonts w:hint="eastAsia" w:ascii="Times New Roman" w:hAnsi="Times New Roman" w:eastAsia="仿宋"/>
                <w:color w:val="000000"/>
                <w:sz w:val="24"/>
                <w:szCs w:val="24"/>
              </w:rPr>
              <w:t xml:space="preserve"> </w:t>
            </w:r>
            <w:r>
              <w:rPr>
                <w:rFonts w:hint="eastAsia" w:ascii="仿宋" w:hAnsi="仿宋" w:eastAsia="仿宋" w:cs="仿宋"/>
                <w:color w:val="000000"/>
                <w:sz w:val="24"/>
                <w:szCs w:val="24"/>
              </w:rPr>
              <w:t>支持本地终端个人桌面，个人通过管理员分配的帐号和密码进入自己的操作系统，跟其他人的系统和教学系统相隔离。</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可在全盘保护的分区中设定文件夹给用户存放文件,可指定文件后缀名（如.DOC等）防止非法文件存入</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提供性能监控功能，可监控终端机中的CPU、外设、网络、开机使用率等指标的实时数据统计。</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可保留现有操作系统的前况下，对本地终端硬盘在windows界面进行重新规划和调整，可增加系统分区，也可以合并分区。</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管理机可自动对多媒体教室进行资产监控，内置动态数据库,可生成变更记录，资产报表，当资产发生人为的变更时,会进行报警处理；</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支持对3DMAX、CAD等图形设计、工程设计类软件的统一注册，无需手动逐台激活</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可根据不同的时间节点自动限定终端机不同的网络上行和下行流量</w:t>
            </w:r>
          </w:p>
          <w:p>
            <w:pPr>
              <w:pStyle w:val="127"/>
              <w:numPr>
                <w:ilvl w:val="0"/>
                <w:numId w:val="8"/>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可根据课程时间智能控制开启和关闭终端机的USB、物理光驱和虚拟光驱的使用权限</w:t>
            </w:r>
          </w:p>
          <w:p>
            <w:pPr>
              <w:pStyle w:val="127"/>
              <w:spacing w:line="360" w:lineRule="auto"/>
              <w:ind w:left="599" w:leftChars="171"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14、支持多管理端方式管理终端，可以机房和办公室分别安装管理机进行管理</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支持教师机与学生机互换。当教师机故障时，找任一台学生机插入加密狗就可以自动切换为教师机，无需重新安装程序，提高上课效率</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支持教师机同时遥控所有学生机</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教师可设置自动收取作业，学生提交作业后自动收取，默认将收取上来的作业存放在桌面，该路径可自定义更换</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支持演示互动教学，教师可选定一个学生操作本机或操作教师机进行教学演示，并将该学生演示的画面转播给每一个学生，被广播的学生将全屏接收演示学生的画面</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支持屏幕监看，教师机可以连续监看所选学生机屏幕。每屏可监视多个学生,可设置每屏学生机的数量以及学生机屏幕轮循的时间间隔</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支持教师远程运行、关闭学生机上的应用软件，可以新建、修改、删除命令</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w:t>
            </w:r>
          </w:p>
          <w:p>
            <w:pPr>
              <w:pStyle w:val="127"/>
              <w:numPr>
                <w:ilvl w:val="0"/>
                <w:numId w:val="9"/>
              </w:numPr>
              <w:spacing w:line="360" w:lineRule="auto"/>
              <w:ind w:firstLineChars="0"/>
              <w:rPr>
                <w:rFonts w:hint="eastAsia" w:ascii="仿宋" w:hAnsi="仿宋" w:eastAsia="仿宋" w:cs="仿宋"/>
                <w:color w:val="000000"/>
                <w:sz w:val="24"/>
                <w:szCs w:val="24"/>
              </w:rPr>
            </w:pPr>
            <w:r>
              <w:rPr>
                <w:rFonts w:hint="eastAsia" w:ascii="仿宋" w:hAnsi="仿宋" w:eastAsia="仿宋" w:cs="仿宋"/>
                <w:bCs/>
                <w:kern w:val="0"/>
                <w:sz w:val="24"/>
                <w:szCs w:val="24"/>
              </w:rPr>
              <w:t>中标人在中标后三日内将中标产品提供给用户进行验证性测试，不符合招标文件要求的，按虚假应标处理</w:t>
            </w:r>
          </w:p>
          <w:p>
            <w:pPr>
              <w:pStyle w:val="127"/>
              <w:numPr>
                <w:ilvl w:val="0"/>
                <w:numId w:val="9"/>
              </w:numPr>
              <w:spacing w:line="360" w:lineRule="auto"/>
              <w:ind w:firstLineChars="0"/>
              <w:rPr>
                <w:rFonts w:hint="eastAsia" w:ascii="仿宋" w:hAnsi="仿宋" w:eastAsia="仿宋" w:cs="仿宋"/>
                <w:bCs/>
                <w:kern w:val="0"/>
                <w:sz w:val="24"/>
                <w:szCs w:val="24"/>
              </w:rPr>
            </w:pPr>
            <w:r>
              <w:rPr>
                <w:rFonts w:ascii="Times New Roman" w:hAnsi="Times New Roman" w:eastAsia="仿宋"/>
                <w:color w:val="000000"/>
                <w:sz w:val="24"/>
                <w:szCs w:val="24"/>
              </w:rPr>
              <w:t>*</w:t>
            </w:r>
            <w:r>
              <w:rPr>
                <w:rFonts w:hint="eastAsia" w:ascii="仿宋" w:hAnsi="仿宋" w:eastAsia="仿宋" w:cs="仿宋"/>
                <w:bCs/>
                <w:kern w:val="0"/>
                <w:sz w:val="24"/>
                <w:szCs w:val="24"/>
              </w:rPr>
              <w:t>软件厂商通过质量管理体系认证、环境保护体系认证、职业健康安全管理体系认证，并提供由国家版权局出具的软件著作权证书</w:t>
            </w:r>
          </w:p>
          <w:p>
            <w:pPr>
              <w:pStyle w:val="127"/>
              <w:numPr>
                <w:ilvl w:val="0"/>
                <w:numId w:val="9"/>
              </w:numPr>
              <w:spacing w:line="360" w:lineRule="auto"/>
              <w:ind w:firstLineChars="0"/>
              <w:rPr>
                <w:rFonts w:hint="eastAsia" w:ascii="仿宋" w:hAnsi="仿宋" w:eastAsia="仿宋" w:cs="仿宋"/>
                <w:sz w:val="24"/>
                <w:szCs w:val="24"/>
              </w:rPr>
            </w:pPr>
            <w:r>
              <w:rPr>
                <w:rFonts w:ascii="Times New Roman" w:hAnsi="Times New Roman" w:eastAsia="仿宋"/>
                <w:color w:val="000000"/>
                <w:sz w:val="24"/>
                <w:szCs w:val="24"/>
              </w:rPr>
              <w:t>*</w:t>
            </w:r>
            <w:r>
              <w:rPr>
                <w:rFonts w:hint="eastAsia" w:ascii="仿宋" w:hAnsi="仿宋" w:eastAsia="仿宋" w:cs="仿宋"/>
                <w:bCs/>
                <w:kern w:val="0"/>
                <w:sz w:val="24"/>
                <w:szCs w:val="24"/>
              </w:rPr>
              <w:t>软件厂商软件开发成熟度达到CMMI3及以上级别并提供相关证明材料</w:t>
            </w:r>
          </w:p>
          <w:p>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无尘白板（3600*1000mm）</w:t>
            </w:r>
          </w:p>
          <w:p>
            <w:pPr>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中标供应商需在中标后二日内提供样机进行演示。</w:t>
            </w:r>
          </w:p>
        </w:tc>
        <w:tc>
          <w:tcPr>
            <w:tcW w:w="690" w:type="dxa"/>
            <w:vAlign w:val="center"/>
          </w:tcPr>
          <w:p>
            <w:pPr>
              <w:widowControl/>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c>
          <w:tcPr>
            <w:tcW w:w="615" w:type="dxa"/>
            <w:vAlign w:val="center"/>
          </w:tcPr>
          <w:p>
            <w:pPr>
              <w:widowControl/>
              <w:spacing w:line="360" w:lineRule="auto"/>
              <w:ind w:firstLine="240" w:firstLineChars="100"/>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2" w:hRule="atLeast"/>
        </w:trPr>
        <w:tc>
          <w:tcPr>
            <w:tcW w:w="742" w:type="dxa"/>
            <w:vAlign w:val="center"/>
          </w:tcPr>
          <w:p>
            <w:pPr>
              <w:widowControl/>
              <w:spacing w:line="360" w:lineRule="auto"/>
              <w:jc w:val="center"/>
              <w:textAlignment w:val="top"/>
              <w:rPr>
                <w:rFonts w:hint="eastAsia" w:ascii="仿宋" w:hAnsi="仿宋" w:eastAsia="仿宋" w:cs="仿宋"/>
                <w:sz w:val="24"/>
                <w:szCs w:val="24"/>
                <w:lang w:bidi="ar"/>
              </w:rPr>
            </w:pPr>
            <w:r>
              <w:rPr>
                <w:rFonts w:hint="eastAsia" w:ascii="仿宋" w:hAnsi="仿宋" w:eastAsia="仿宋" w:cs="仿宋"/>
                <w:sz w:val="24"/>
                <w:szCs w:val="24"/>
                <w:lang w:bidi="ar"/>
              </w:rPr>
              <w:t>4</w:t>
            </w:r>
          </w:p>
        </w:tc>
        <w:tc>
          <w:tcPr>
            <w:tcW w:w="1053" w:type="dxa"/>
            <w:vAlign w:val="center"/>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教室网络布线和其它设备</w:t>
            </w:r>
          </w:p>
        </w:tc>
        <w:tc>
          <w:tcPr>
            <w:tcW w:w="609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网线、电源线、PVC线材、插排、机柜、耳机、48口10/100/1000Base-TX自适应RJ45端口交换机等辅助材料的安装和布线</w:t>
            </w:r>
          </w:p>
        </w:tc>
        <w:tc>
          <w:tcPr>
            <w:tcW w:w="690" w:type="dxa"/>
            <w:vAlign w:val="center"/>
          </w:tcPr>
          <w:p>
            <w:pPr>
              <w:widowControl/>
              <w:spacing w:line="360" w:lineRule="auto"/>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套</w:t>
            </w:r>
          </w:p>
        </w:tc>
        <w:tc>
          <w:tcPr>
            <w:tcW w:w="615" w:type="dxa"/>
            <w:vAlign w:val="center"/>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lang w:bidi="ar"/>
              </w:rPr>
              <w:t>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2" w:hRule="atLeast"/>
        </w:trPr>
        <w:tc>
          <w:tcPr>
            <w:tcW w:w="9195" w:type="dxa"/>
            <w:gridSpan w:val="5"/>
            <w:vAlign w:val="center"/>
          </w:tcPr>
          <w:p>
            <w:pPr>
              <w:widowControl/>
              <w:spacing w:line="360" w:lineRule="auto"/>
              <w:ind w:firstLine="240" w:firstLineChars="100"/>
              <w:textAlignment w:val="center"/>
              <w:rPr>
                <w:rFonts w:ascii="仿宋" w:hAnsi="仿宋" w:eastAsia="仿宋" w:cs="仿宋"/>
                <w:sz w:val="24"/>
                <w:szCs w:val="24"/>
                <w:lang w:bidi="ar"/>
              </w:rPr>
            </w:pPr>
            <w:r>
              <w:rPr>
                <w:rFonts w:hint="eastAsia" w:ascii="仿宋" w:hAnsi="仿宋" w:eastAsia="仿宋" w:cs="仿宋"/>
                <w:sz w:val="24"/>
                <w:szCs w:val="24"/>
              </w:rPr>
              <w:t>以上参数仅为一间计算机教室清单，本项目共需配备160间计算机教室。投标人报价应包含到整座计算机教室安装所需全部材料，保证整座教室能正常运行，采购人不再承担任何额外费用。根据国家标准对教育装备质理管控要求，验收由第三方进行验收（第三方验收费用原则上不超过该项目中标价的2%）。</w:t>
            </w:r>
          </w:p>
        </w:tc>
      </w:tr>
    </w:tbl>
    <w:p>
      <w:pPr>
        <w:widowControl/>
        <w:spacing w:line="440" w:lineRule="exact"/>
        <w:jc w:val="left"/>
        <w:rPr>
          <w:rFonts w:ascii="仿宋" w:hAnsi="仿宋" w:eastAsia="仿宋"/>
          <w:bCs/>
          <w:sz w:val="24"/>
          <w:szCs w:val="24"/>
        </w:rPr>
      </w:pPr>
    </w:p>
    <w:p>
      <w:pPr>
        <w:widowControl/>
        <w:spacing w:line="440" w:lineRule="exact"/>
        <w:ind w:firstLine="3614" w:firstLineChars="1500"/>
        <w:jc w:val="left"/>
        <w:rPr>
          <w:rFonts w:ascii="仿宋" w:hAnsi="仿宋" w:eastAsia="仿宋"/>
          <w:b/>
          <w:sz w:val="24"/>
          <w:szCs w:val="24"/>
        </w:rPr>
      </w:pPr>
      <w:r>
        <w:rPr>
          <w:rFonts w:hint="eastAsia" w:ascii="仿宋" w:hAnsi="仿宋" w:eastAsia="仿宋"/>
          <w:b/>
          <w:sz w:val="24"/>
          <w:szCs w:val="24"/>
        </w:rPr>
        <w:t>11标段  课桌凳</w:t>
      </w:r>
    </w:p>
    <w:tbl>
      <w:tblPr>
        <w:tblStyle w:val="3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00"/>
        <w:gridCol w:w="4725"/>
        <w:gridCol w:w="132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序号</w:t>
            </w:r>
          </w:p>
        </w:tc>
        <w:tc>
          <w:tcPr>
            <w:tcW w:w="1500"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名称</w:t>
            </w:r>
          </w:p>
        </w:tc>
        <w:tc>
          <w:tcPr>
            <w:tcW w:w="4725"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技术参数</w:t>
            </w:r>
          </w:p>
        </w:tc>
        <w:tc>
          <w:tcPr>
            <w:tcW w:w="1320" w:type="dxa"/>
            <w:vAlign w:val="top"/>
          </w:tcPr>
          <w:p>
            <w:pPr>
              <w:widowControl/>
              <w:spacing w:line="440" w:lineRule="exact"/>
              <w:jc w:val="left"/>
              <w:rPr>
                <w:rFonts w:ascii="仿宋" w:hAnsi="仿宋" w:eastAsia="仿宋"/>
                <w:b/>
                <w:sz w:val="24"/>
                <w:szCs w:val="24"/>
              </w:rPr>
            </w:pPr>
            <w:r>
              <w:rPr>
                <w:rFonts w:hint="eastAsia" w:ascii="仿宋" w:hAnsi="仿宋" w:eastAsia="仿宋"/>
                <w:b/>
                <w:sz w:val="24"/>
                <w:szCs w:val="24"/>
              </w:rPr>
              <w:t>单位</w:t>
            </w:r>
          </w:p>
        </w:tc>
        <w:tc>
          <w:tcPr>
            <w:tcW w:w="1095" w:type="dxa"/>
            <w:vAlign w:val="top"/>
          </w:tcPr>
          <w:p>
            <w:pPr>
              <w:widowControl/>
              <w:spacing w:line="440" w:lineRule="exact"/>
              <w:ind w:firstLine="241" w:firstLineChars="100"/>
              <w:jc w:val="left"/>
              <w:rPr>
                <w:rFonts w:ascii="仿宋" w:hAnsi="仿宋" w:eastAsia="仿宋"/>
                <w:b/>
                <w:sz w:val="24"/>
                <w:szCs w:val="24"/>
              </w:rPr>
            </w:pPr>
            <w:r>
              <w:rPr>
                <w:rFonts w:hint="eastAsia" w:ascii="仿宋" w:hAnsi="仿宋" w:eastAsia="仿宋"/>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widowControl/>
              <w:spacing w:line="360" w:lineRule="auto"/>
              <w:jc w:val="center"/>
              <w:textAlignment w:val="top"/>
              <w:rPr>
                <w:rFonts w:ascii="仿宋" w:hAnsi="仿宋" w:eastAsia="仿宋"/>
                <w:b/>
                <w:sz w:val="24"/>
                <w:szCs w:val="24"/>
              </w:rPr>
            </w:pPr>
            <w:r>
              <w:rPr>
                <w:rFonts w:hint="eastAsia" w:ascii="仿宋" w:hAnsi="仿宋" w:eastAsia="仿宋" w:cs="仿宋"/>
                <w:sz w:val="24"/>
                <w:szCs w:val="24"/>
                <w:lang w:bidi="ar"/>
              </w:rPr>
              <w:t>4</w:t>
            </w:r>
          </w:p>
        </w:tc>
        <w:tc>
          <w:tcPr>
            <w:tcW w:w="150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cs="仿宋"/>
                <w:sz w:val="24"/>
                <w:szCs w:val="24"/>
                <w:lang w:bidi="ar"/>
              </w:rPr>
              <w:t>教师桌椅</w:t>
            </w:r>
          </w:p>
        </w:tc>
        <w:tc>
          <w:tcPr>
            <w:tcW w:w="4725" w:type="dxa"/>
            <w:vAlign w:val="center"/>
          </w:tcPr>
          <w:p>
            <w:pPr>
              <w:tabs>
                <w:tab w:val="left" w:pos="735"/>
              </w:tabs>
              <w:spacing w:line="360" w:lineRule="auto"/>
              <w:rPr>
                <w:rFonts w:ascii="仿宋" w:hAnsi="仿宋" w:eastAsia="仿宋" w:cs="仿宋"/>
                <w:sz w:val="24"/>
                <w:szCs w:val="24"/>
              </w:rPr>
            </w:pPr>
            <w:r>
              <w:rPr>
                <w:rFonts w:hint="eastAsia" w:ascii="仿宋" w:hAnsi="仿宋" w:eastAsia="仿宋" w:cs="仿宋"/>
                <w:sz w:val="24"/>
                <w:szCs w:val="24"/>
              </w:rPr>
              <w:t>桌子：桌面规格150㎝，宽度55㎝，高度75㎝，桌面采用优质2.5㎝厚三聚氰胺板，整体采用1.6㎝优质三聚氰胺板，截面采用全自动封边机机械高温封边。</w:t>
            </w:r>
          </w:p>
          <w:p>
            <w:pPr>
              <w:tabs>
                <w:tab w:val="left" w:pos="735"/>
              </w:tabs>
              <w:spacing w:line="360" w:lineRule="auto"/>
              <w:rPr>
                <w:rFonts w:ascii="仿宋" w:hAnsi="仿宋" w:eastAsia="仿宋"/>
                <w:b/>
                <w:sz w:val="24"/>
                <w:szCs w:val="24"/>
              </w:rPr>
            </w:pPr>
            <w:r>
              <w:rPr>
                <w:rFonts w:hint="eastAsia" w:ascii="仿宋" w:hAnsi="仿宋" w:eastAsia="仿宋" w:cs="仿宋"/>
                <w:sz w:val="24"/>
                <w:szCs w:val="24"/>
              </w:rPr>
              <w:t>椅子：转椅可升降，钢支架，网布面。</w:t>
            </w:r>
          </w:p>
        </w:tc>
        <w:tc>
          <w:tcPr>
            <w:tcW w:w="132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b/>
                <w:sz w:val="24"/>
                <w:szCs w:val="24"/>
              </w:rPr>
              <w:t>套</w:t>
            </w:r>
          </w:p>
        </w:tc>
        <w:tc>
          <w:tcPr>
            <w:tcW w:w="1095" w:type="dxa"/>
            <w:vAlign w:val="top"/>
          </w:tcPr>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r>
              <w:rPr>
                <w:rFonts w:hint="eastAsia" w:ascii="仿宋" w:hAnsi="仿宋" w:eastAsia="仿宋"/>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widowControl/>
              <w:spacing w:line="360" w:lineRule="auto"/>
              <w:jc w:val="center"/>
              <w:textAlignment w:val="top"/>
              <w:rPr>
                <w:rFonts w:ascii="仿宋" w:hAnsi="仿宋" w:eastAsia="仿宋"/>
                <w:b/>
                <w:sz w:val="24"/>
                <w:szCs w:val="24"/>
              </w:rPr>
            </w:pPr>
            <w:r>
              <w:rPr>
                <w:rFonts w:hint="eastAsia" w:ascii="仿宋" w:hAnsi="仿宋" w:eastAsia="仿宋" w:cs="仿宋"/>
                <w:sz w:val="24"/>
                <w:szCs w:val="24"/>
                <w:lang w:bidi="ar"/>
              </w:rPr>
              <w:t>5</w:t>
            </w:r>
          </w:p>
        </w:tc>
        <w:tc>
          <w:tcPr>
            <w:tcW w:w="150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cs="仿宋"/>
                <w:sz w:val="24"/>
                <w:szCs w:val="24"/>
                <w:lang w:bidi="ar"/>
              </w:rPr>
              <w:t>学生用桌椅</w:t>
            </w:r>
          </w:p>
        </w:tc>
        <w:tc>
          <w:tcPr>
            <w:tcW w:w="4725"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桌子：桌面规格75㎝，宽度55㎝，高度75㎝，桌面采用优质2.5㎝厚三聚氰胺板，整体采用1.6㎝优质三聚氰胺板，截面采用全自动封边机机械高温封边。</w:t>
            </w:r>
          </w:p>
          <w:p>
            <w:pPr>
              <w:spacing w:line="360" w:lineRule="auto"/>
              <w:rPr>
                <w:rFonts w:ascii="仿宋" w:hAnsi="仿宋" w:eastAsia="仿宋"/>
                <w:b/>
                <w:sz w:val="24"/>
                <w:szCs w:val="24"/>
              </w:rPr>
            </w:pPr>
            <w:r>
              <w:rPr>
                <w:rFonts w:hint="eastAsia" w:ascii="仿宋" w:hAnsi="仿宋" w:eastAsia="仿宋" w:cs="仿宋"/>
                <w:sz w:val="24"/>
                <w:szCs w:val="24"/>
              </w:rPr>
              <w:t>椅子： 凳面尺寸规格230mm*340mm*440mm(长*宽*高)。 支架为1.5mm厚方形钢管，表面经过除锈，磷化，打磨，喷涂，高温固桌脚配有防护套，防止噪音，避免刮伤地板。 椅面材料：三聚氰胺板。</w:t>
            </w:r>
          </w:p>
        </w:tc>
        <w:tc>
          <w:tcPr>
            <w:tcW w:w="1320" w:type="dxa"/>
            <w:vAlign w:val="center"/>
          </w:tcPr>
          <w:p>
            <w:pPr>
              <w:widowControl/>
              <w:spacing w:line="360" w:lineRule="auto"/>
              <w:jc w:val="center"/>
              <w:textAlignment w:val="center"/>
              <w:rPr>
                <w:rFonts w:ascii="仿宋" w:hAnsi="仿宋" w:eastAsia="仿宋"/>
                <w:b/>
                <w:sz w:val="24"/>
                <w:szCs w:val="24"/>
              </w:rPr>
            </w:pPr>
            <w:r>
              <w:rPr>
                <w:rFonts w:hint="eastAsia" w:ascii="仿宋" w:hAnsi="仿宋" w:eastAsia="仿宋"/>
                <w:b/>
                <w:sz w:val="24"/>
                <w:szCs w:val="24"/>
              </w:rPr>
              <w:t>套</w:t>
            </w:r>
          </w:p>
        </w:tc>
        <w:tc>
          <w:tcPr>
            <w:tcW w:w="1095" w:type="dxa"/>
            <w:vAlign w:val="center"/>
          </w:tcPr>
          <w:p>
            <w:pPr>
              <w:widowControl/>
              <w:spacing w:line="360" w:lineRule="auto"/>
              <w:ind w:firstLine="240" w:firstLineChars="100"/>
              <w:textAlignment w:val="center"/>
              <w:rPr>
                <w:rFonts w:ascii="仿宋" w:hAnsi="仿宋" w:eastAsia="仿宋"/>
                <w:b/>
                <w:sz w:val="24"/>
                <w:szCs w:val="24"/>
              </w:rPr>
            </w:pPr>
            <w:r>
              <w:rPr>
                <w:rFonts w:hint="eastAsia" w:ascii="仿宋" w:hAnsi="仿宋" w:eastAsia="仿宋" w:cs="仿宋"/>
                <w:sz w:val="24"/>
                <w:szCs w:val="24"/>
                <w:lang w:bidi="ar"/>
              </w:rPr>
              <w:t>39</w:t>
            </w:r>
          </w:p>
        </w:tc>
      </w:tr>
    </w:tbl>
    <w:p>
      <w:pPr>
        <w:widowControl/>
        <w:spacing w:line="440" w:lineRule="exact"/>
        <w:jc w:val="left"/>
        <w:rPr>
          <w:rFonts w:ascii="仿宋" w:hAnsi="仿宋" w:eastAsia="仿宋"/>
          <w:b/>
          <w:sz w:val="24"/>
          <w:szCs w:val="24"/>
        </w:rPr>
      </w:pPr>
      <w:r>
        <w:rPr>
          <w:rFonts w:hint="eastAsia" w:ascii="仿宋" w:hAnsi="仿宋" w:eastAsia="仿宋" w:cs="仿宋"/>
          <w:sz w:val="24"/>
          <w:szCs w:val="24"/>
        </w:rPr>
        <w:t>以上参数仅为一间计算机教室清单，本项目共需配备160间计算机教室。投标人报价应包含到整座计算机教室安装所需全部材料，保证整座教室能正常运行，采购人不再承担任何额外费用。根据国家标准对教育装备质理管控要求，验收由第三方进行验收（第三方验收费用原则上不超过该项目中标价的2%）。</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三、其它要求：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12、付款方式：以签订合同为准。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3.4评标办法</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本项目采用最低价评标办法。即在全部满足招标文件全部实质性要求，且投标报价最低的投标人为中标候选人的评标方法。</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w:t>
            </w:r>
            <w:bookmarkStart w:id="1" w:name="_GoBack"/>
            <w:bookmarkEnd w:id="1"/>
            <w:r>
              <w:rPr>
                <w:rFonts w:hint="eastAsia" w:ascii="仿宋" w:hAnsi="仿宋" w:eastAsia="仿宋" w:cs="宋体"/>
                <w:sz w:val="24"/>
                <w:szCs w:val="24"/>
                <w:lang w:val="zh-CN"/>
              </w:rPr>
              <w:t>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Heiti SC Light">
    <w:altName w:val="Courier New"/>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ˎ̥">
    <w:altName w:val="Times New Roman"/>
    <w:panose1 w:val="00000000000000000000"/>
    <w:charset w:val="01"/>
    <w:family w:val="roman"/>
    <w:pitch w:val="default"/>
    <w:sig w:usb0="00000000" w:usb1="00000000" w:usb2="00000000" w:usb3="00000000" w:csb0="00040001" w:csb1="00000000"/>
  </w:font>
  <w:font w:name="Heiti SC Light">
    <w:altName w:val="宋体"/>
    <w:panose1 w:val="00000000000000000000"/>
    <w:charset w:val="50"/>
    <w:family w:val="auto"/>
    <w:pitch w:val="default"/>
    <w:sig w:usb0="00000000" w:usb1="00000000" w:usb2="00000010" w:usb3="00000000" w:csb0="003E0000" w:csb1="00000000"/>
  </w:font>
  <w:font w:name="TimesNewRomanPSMT">
    <w:altName w:val="宋体"/>
    <w:panose1 w:val="00000000000000000000"/>
    <w:charset w:val="00"/>
    <w:family w:val="decorative"/>
    <w:pitch w:val="default"/>
    <w:sig w:usb0="00000000" w:usb1="00000000" w:usb2="00000010"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661D"/>
    <w:multiLevelType w:val="multilevel"/>
    <w:tmpl w:val="2CD3661D"/>
    <w:lvl w:ilvl="0" w:tentative="0">
      <w:start w:val="1"/>
      <w:numFmt w:val="decimal"/>
      <w:lvlText w:val="%1、"/>
      <w:lvlJc w:val="left"/>
      <w:pPr>
        <w:ind w:left="715"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426947"/>
    <w:multiLevelType w:val="multilevel"/>
    <w:tmpl w:val="44426947"/>
    <w:lvl w:ilvl="0" w:tentative="0">
      <w:start w:val="15"/>
      <w:numFmt w:val="decimal"/>
      <w:lvlText w:val="%1、"/>
      <w:lvlJc w:val="left"/>
      <w:pPr>
        <w:tabs>
          <w:tab w:val="left" w:pos="855"/>
        </w:tabs>
        <w:ind w:left="855" w:hanging="43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9E707D7"/>
    <w:multiLevelType w:val="singleLevel"/>
    <w:tmpl w:val="59E707D7"/>
    <w:lvl w:ilvl="0" w:tentative="0">
      <w:start w:val="11"/>
      <w:numFmt w:val="decimal"/>
      <w:lvlText w:val="%1."/>
      <w:lvlJc w:val="left"/>
      <w:pPr>
        <w:tabs>
          <w:tab w:val="left" w:pos="312"/>
        </w:tabs>
      </w:pPr>
    </w:lvl>
  </w:abstractNum>
  <w:abstractNum w:abstractNumId="5">
    <w:nsid w:val="59ED9F69"/>
    <w:multiLevelType w:val="singleLevel"/>
    <w:tmpl w:val="59ED9F69"/>
    <w:lvl w:ilvl="0" w:tentative="0">
      <w:start w:val="1"/>
      <w:numFmt w:val="chineseCounting"/>
      <w:suff w:val="nothing"/>
      <w:lvlText w:val="%1、"/>
      <w:lvlJc w:val="left"/>
    </w:lvl>
  </w:abstractNum>
  <w:abstractNum w:abstractNumId="6">
    <w:nsid w:val="59ED9FF8"/>
    <w:multiLevelType w:val="singleLevel"/>
    <w:tmpl w:val="59ED9FF8"/>
    <w:lvl w:ilvl="0" w:tentative="0">
      <w:start w:val="2"/>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5A42D9FE"/>
    <w:multiLevelType w:val="singleLevel"/>
    <w:tmpl w:val="5A42D9FE"/>
    <w:lvl w:ilvl="0" w:tentative="0">
      <w:start w:val="25"/>
      <w:numFmt w:val="decimal"/>
      <w:suff w:val="space"/>
      <w:lvlText w:val="%1."/>
      <w:lvlJc w:val="left"/>
    </w:lvl>
  </w:abstractNum>
  <w:num w:numId="1">
    <w:abstractNumId w:val="3"/>
  </w:num>
  <w:num w:numId="2">
    <w:abstractNumId w:val="8"/>
  </w:num>
  <w:num w:numId="3">
    <w:abstractNumId w:val="5"/>
  </w:num>
  <w:num w:numId="4">
    <w:abstractNumId w:val="6"/>
  </w:num>
  <w:num w:numId="5">
    <w:abstractNumId w:val="1"/>
  </w:num>
  <w:num w:numId="6">
    <w:abstractNumId w:val="7"/>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43EA"/>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B86F28"/>
    <w:rsid w:val="05D7384A"/>
    <w:rsid w:val="05F47DA2"/>
    <w:rsid w:val="05F65379"/>
    <w:rsid w:val="05FF5666"/>
    <w:rsid w:val="0603119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BA4EC9"/>
    <w:rsid w:val="0CE25187"/>
    <w:rsid w:val="0D2824A3"/>
    <w:rsid w:val="0D832C84"/>
    <w:rsid w:val="0DD45553"/>
    <w:rsid w:val="0E1F7A52"/>
    <w:rsid w:val="0F0D73B6"/>
    <w:rsid w:val="0F2C7289"/>
    <w:rsid w:val="0FBA420F"/>
    <w:rsid w:val="100824CC"/>
    <w:rsid w:val="10240870"/>
    <w:rsid w:val="105F0CCD"/>
    <w:rsid w:val="10A25988"/>
    <w:rsid w:val="11472FC4"/>
    <w:rsid w:val="11662A8F"/>
    <w:rsid w:val="12F46B93"/>
    <w:rsid w:val="12FB62CF"/>
    <w:rsid w:val="130F3467"/>
    <w:rsid w:val="132168C4"/>
    <w:rsid w:val="133638CF"/>
    <w:rsid w:val="134B3E21"/>
    <w:rsid w:val="135C1261"/>
    <w:rsid w:val="13705BCF"/>
    <w:rsid w:val="13BF3C2D"/>
    <w:rsid w:val="146639B0"/>
    <w:rsid w:val="14810804"/>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CA4202"/>
    <w:rsid w:val="24D66891"/>
    <w:rsid w:val="25302039"/>
    <w:rsid w:val="256C7451"/>
    <w:rsid w:val="258B51B3"/>
    <w:rsid w:val="25AD30A0"/>
    <w:rsid w:val="2667745A"/>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41593"/>
    <w:rsid w:val="2DFB43CE"/>
    <w:rsid w:val="2E5606EB"/>
    <w:rsid w:val="2E9D5FE0"/>
    <w:rsid w:val="2F232D02"/>
    <w:rsid w:val="2F2A34A3"/>
    <w:rsid w:val="2F38041E"/>
    <w:rsid w:val="2F433D86"/>
    <w:rsid w:val="2F9A5364"/>
    <w:rsid w:val="2FEB36BE"/>
    <w:rsid w:val="30006487"/>
    <w:rsid w:val="314C2E93"/>
    <w:rsid w:val="316C02DE"/>
    <w:rsid w:val="31754AAE"/>
    <w:rsid w:val="317F2E7E"/>
    <w:rsid w:val="31BA74D8"/>
    <w:rsid w:val="31C57F0B"/>
    <w:rsid w:val="321A4FF8"/>
    <w:rsid w:val="328D4D46"/>
    <w:rsid w:val="333C55A2"/>
    <w:rsid w:val="33656785"/>
    <w:rsid w:val="33EF6302"/>
    <w:rsid w:val="345D6725"/>
    <w:rsid w:val="34B022E5"/>
    <w:rsid w:val="34CE04B2"/>
    <w:rsid w:val="34F94C42"/>
    <w:rsid w:val="35020BCE"/>
    <w:rsid w:val="354E2015"/>
    <w:rsid w:val="35636C46"/>
    <w:rsid w:val="35736992"/>
    <w:rsid w:val="35B71902"/>
    <w:rsid w:val="36552F70"/>
    <w:rsid w:val="37692631"/>
    <w:rsid w:val="37B10108"/>
    <w:rsid w:val="397D15ED"/>
    <w:rsid w:val="39A31772"/>
    <w:rsid w:val="3A252A28"/>
    <w:rsid w:val="3A361775"/>
    <w:rsid w:val="3A5B0DB6"/>
    <w:rsid w:val="3B8A1786"/>
    <w:rsid w:val="3BF37AE3"/>
    <w:rsid w:val="3C5A516A"/>
    <w:rsid w:val="3D574C5D"/>
    <w:rsid w:val="3D861640"/>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44AF3"/>
    <w:rsid w:val="43DA0DF8"/>
    <w:rsid w:val="43F21A5E"/>
    <w:rsid w:val="44A75B9D"/>
    <w:rsid w:val="44CC251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D31509E"/>
    <w:rsid w:val="4F071606"/>
    <w:rsid w:val="4F403B1D"/>
    <w:rsid w:val="4F7F31B2"/>
    <w:rsid w:val="4F827ABA"/>
    <w:rsid w:val="4FA93F1C"/>
    <w:rsid w:val="4FCB730B"/>
    <w:rsid w:val="504A74E2"/>
    <w:rsid w:val="510C3D06"/>
    <w:rsid w:val="51937900"/>
    <w:rsid w:val="51ED5B69"/>
    <w:rsid w:val="52436BC6"/>
    <w:rsid w:val="52AA5947"/>
    <w:rsid w:val="52F66A60"/>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373375"/>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C651B9"/>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C57795"/>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EC16E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6140509"/>
    <w:rsid w:val="768649B8"/>
    <w:rsid w:val="76EF0C8A"/>
    <w:rsid w:val="76F83624"/>
    <w:rsid w:val="773F1990"/>
    <w:rsid w:val="776A79F9"/>
    <w:rsid w:val="777A7DC6"/>
    <w:rsid w:val="78640367"/>
    <w:rsid w:val="78C403B7"/>
    <w:rsid w:val="79640B02"/>
    <w:rsid w:val="796E4180"/>
    <w:rsid w:val="79874C47"/>
    <w:rsid w:val="7A661107"/>
    <w:rsid w:val="7A731DE7"/>
    <w:rsid w:val="7AE73174"/>
    <w:rsid w:val="7B1234F7"/>
    <w:rsid w:val="7B5007DD"/>
    <w:rsid w:val="7B76682A"/>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DB6BD9"/>
    <w:rsid w:val="7FF777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List Paragraph"/>
    <w:basedOn w:val="1"/>
    <w:unhideWhenUsed/>
    <w:qFormat/>
    <w:uiPriority w:val="99"/>
    <w:pPr>
      <w:ind w:firstLine="420" w:firstLineChars="200"/>
    </w:pPr>
  </w:style>
  <w:style w:type="paragraph" w:customStyle="1" w:styleId="127">
    <w:name w:val="_Style 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2018-01-09T05:22:47Z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