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40" w:firstLineChars="300"/>
        <w:contextualSpacing/>
        <w:jc w:val="center"/>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color w:val="000000"/>
          <w:kern w:val="0"/>
          <w:sz w:val="28"/>
          <w:szCs w:val="28"/>
          <w:u w:val="single"/>
        </w:rPr>
        <w:t>示范区城市片区综合运营项目</w:t>
      </w:r>
      <w:r>
        <w:rPr>
          <w:rFonts w:hint="eastAsia" w:ascii="Times New Roman" w:hAnsi="Times New Roman" w:eastAsia="仿宋_GB2312" w:cs="Times New Roman"/>
          <w:b/>
          <w:color w:val="000000"/>
          <w:kern w:val="0"/>
          <w:sz w:val="32"/>
          <w:szCs w:val="32"/>
        </w:rPr>
        <w:t>采购需求、评标标准等说明</w:t>
      </w:r>
    </w:p>
    <w:p>
      <w:pPr>
        <w:widowControl/>
        <w:shd w:val="clear" w:color="auto" w:fill="FFFFFF"/>
        <w:spacing w:line="360" w:lineRule="auto"/>
        <w:ind w:firstLine="560" w:firstLineChars="200"/>
        <w:contextualSpacing/>
        <w:jc w:val="left"/>
        <w:rPr>
          <w:rFonts w:ascii="Arial" w:hAnsi="Arial" w:eastAsia="宋体"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（一）项目名称：示范区城市片区综合运营项目</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（二）采购方式：公开招标      </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（三）主要内容、数量及要求：许昌市城乡一体化示范区规划面积约18.31平方公里内的城市片区综合开发运营项目，选定承接主体，由承接主体负责完成相关基础设施建设投资、项目招商运营等工作。</w:t>
      </w:r>
    </w:p>
    <w:p>
      <w:pPr>
        <w:widowControl/>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）预算金额：无。最高投标现价：不得超过招标人经营性土地出让净收益的90%。</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（五）服务（服务、完工）时间：</w:t>
      </w:r>
      <w:r>
        <w:rPr>
          <w:rFonts w:hint="eastAsia" w:ascii="楷体" w:hAnsi="楷体" w:eastAsia="楷体" w:cs="宋体"/>
          <w:color w:val="000000"/>
          <w:kern w:val="0"/>
          <w:sz w:val="28"/>
          <w:szCs w:val="28"/>
          <w:lang w:val="en-US" w:eastAsia="zh-CN"/>
        </w:rPr>
        <w:t>三年。</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（六）服务（服务、施工）地点：许昌市城乡一体化示范区</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黑体" w:hAnsi="黑体" w:eastAsia="黑体" w:cs="黑体"/>
          <w:color w:val="000000"/>
          <w:kern w:val="0"/>
          <w:sz w:val="28"/>
          <w:szCs w:val="28"/>
          <w:lang w:val="zh-CN"/>
        </w:rPr>
        <w:t>二、</w:t>
      </w:r>
      <w:r>
        <w:rPr>
          <w:rFonts w:hint="eastAsia" w:ascii="黑体" w:hAnsi="黑体" w:eastAsia="黑体" w:cs="宋体"/>
          <w:color w:val="000000"/>
          <w:kern w:val="0"/>
          <w:sz w:val="28"/>
          <w:szCs w:val="28"/>
          <w:lang w:val="zh-CN"/>
        </w:rPr>
        <w:t>投标人资格要求</w:t>
      </w:r>
    </w:p>
    <w:p>
      <w:pPr>
        <w:widowControl/>
        <w:spacing w:line="360" w:lineRule="auto"/>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（一）符合《中华人民共和国政府采购法》第二十二条之规定；</w:t>
      </w:r>
    </w:p>
    <w:p>
      <w:pPr>
        <w:widowControl/>
        <w:spacing w:line="360" w:lineRule="auto"/>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pacing w:line="360" w:lineRule="auto"/>
        <w:jc w:val="left"/>
        <w:rPr>
          <w:rFonts w:ascii="黑体" w:hAnsi="黑体" w:eastAsia="黑体" w:cs="黑体"/>
          <w:color w:val="000000"/>
          <w:kern w:val="0"/>
          <w:sz w:val="28"/>
          <w:szCs w:val="28"/>
          <w:lang w:val="zh-CN"/>
        </w:rPr>
      </w:pPr>
      <w:r>
        <w:rPr>
          <w:rFonts w:hint="eastAsia" w:ascii="楷体" w:hAnsi="楷体" w:eastAsia="楷体" w:cs="宋体"/>
          <w:color w:val="000000"/>
          <w:kern w:val="0"/>
          <w:sz w:val="28"/>
          <w:szCs w:val="28"/>
          <w:lang w:val="zh-CN"/>
        </w:rPr>
        <w:t>（三）本次招标不接受联合体投标。</w:t>
      </w:r>
      <w:r>
        <w:rPr>
          <w:rFonts w:ascii="黑体" w:hAnsi="黑体" w:eastAsia="黑体" w:cs="黑体"/>
          <w:color w:val="000000"/>
          <w:kern w:val="0"/>
          <w:sz w:val="28"/>
          <w:szCs w:val="28"/>
          <w:lang w:val="zh-CN"/>
        </w:rPr>
        <w:br w:type="page"/>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三、采购内容</w:t>
      </w:r>
    </w:p>
    <w:p>
      <w:pPr>
        <w:spacing w:line="360" w:lineRule="auto"/>
        <w:ind w:firstLine="480" w:firstLineChars="200"/>
        <w:rPr>
          <w:rFonts w:hint="eastAsia" w:ascii="宋体" w:hAnsi="宋体" w:cs="宋体"/>
          <w:sz w:val="24"/>
          <w:szCs w:val="24"/>
        </w:rPr>
      </w:pPr>
      <w:r>
        <w:rPr>
          <w:rFonts w:hint="eastAsia" w:ascii="宋体" w:hAnsi="宋体" w:cs="宋体"/>
          <w:color w:val="000000" w:themeColor="text1"/>
          <w:sz w:val="24"/>
          <w:szCs w:val="24"/>
        </w:rPr>
        <w:t>本次招标区域内</w:t>
      </w:r>
      <w:r>
        <w:rPr>
          <w:rFonts w:hint="eastAsia" w:ascii="宋体" w:hAnsi="宋体" w:cs="宋体"/>
          <w:sz w:val="24"/>
          <w:szCs w:val="24"/>
        </w:rPr>
        <w:t>的综合运营业务，选定承接主体，由承接主体负责完成项目总投资额的投融资以及运营工作。具体主要包括两部分：（1）许昌市城乡一体化示范区片区综合开发建设的投融资；（2）许昌市城乡一体化示范区片区运营工作。</w:t>
      </w:r>
    </w:p>
    <w:p>
      <w:pPr>
        <w:spacing w:line="360" w:lineRule="auto"/>
        <w:ind w:firstLine="480" w:firstLineChars="200"/>
        <w:rPr>
          <w:rFonts w:ascii="宋体" w:hAnsi="宋体" w:cs="宋体"/>
          <w:sz w:val="24"/>
          <w:szCs w:val="24"/>
        </w:rPr>
      </w:pPr>
      <w:r>
        <w:rPr>
          <w:rFonts w:hint="eastAsia" w:ascii="宋体" w:hAnsi="宋体" w:cs="宋体"/>
          <w:sz w:val="24"/>
          <w:szCs w:val="24"/>
        </w:rPr>
        <w:t>1、许昌市城乡一体化示范区片区综合开发建设的范围及内容</w:t>
      </w:r>
    </w:p>
    <w:p>
      <w:pPr>
        <w:spacing w:line="360" w:lineRule="auto"/>
        <w:ind w:firstLine="480" w:firstLineChars="200"/>
        <w:rPr>
          <w:rFonts w:ascii="宋体" w:hAnsi="宋体" w:cs="宋体"/>
          <w:sz w:val="24"/>
          <w:szCs w:val="24"/>
        </w:rPr>
      </w:pPr>
      <w:r>
        <w:rPr>
          <w:rFonts w:hint="eastAsia" w:ascii="宋体" w:hAnsi="宋体" w:cs="宋体"/>
          <w:sz w:val="24"/>
          <w:szCs w:val="24"/>
        </w:rPr>
        <w:t>（一）示范区核心区（十王、大韩、湾店、水口张、庞庄、胡寨）开发建设内容</w:t>
      </w:r>
    </w:p>
    <w:tbl>
      <w:tblPr>
        <w:tblStyle w:val="7"/>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268"/>
        <w:gridCol w:w="5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jc w:val="center"/>
        </w:trPr>
        <w:tc>
          <w:tcPr>
            <w:tcW w:w="1668" w:type="dxa"/>
            <w:vAlign w:val="center"/>
          </w:tcPr>
          <w:p>
            <w:pPr>
              <w:widowControl/>
              <w:shd w:val="clear" w:color="auto" w:fill="FFFFFF"/>
              <w:spacing w:line="360" w:lineRule="auto"/>
              <w:contextualSpacing/>
              <w:rPr>
                <w:rFonts w:ascii="宋体" w:hAnsi="宋体" w:cs="宋体"/>
                <w:b/>
                <w:bCs/>
                <w:kern w:val="0"/>
                <w:sz w:val="24"/>
                <w:szCs w:val="24"/>
              </w:rPr>
            </w:pPr>
            <w:r>
              <w:rPr>
                <w:rFonts w:hint="eastAsia" w:ascii="宋体" w:hAnsi="宋体" w:cs="宋体"/>
                <w:b/>
                <w:bCs/>
                <w:kern w:val="0"/>
                <w:sz w:val="24"/>
                <w:szCs w:val="24"/>
              </w:rPr>
              <w:t>用地分类</w:t>
            </w:r>
          </w:p>
        </w:tc>
        <w:tc>
          <w:tcPr>
            <w:tcW w:w="2268" w:type="dxa"/>
            <w:vAlign w:val="center"/>
          </w:tcPr>
          <w:p>
            <w:pPr>
              <w:widowControl/>
              <w:shd w:val="clear" w:color="auto" w:fill="FFFFFF"/>
              <w:spacing w:line="360" w:lineRule="auto"/>
              <w:ind w:firstLine="482" w:firstLineChars="200"/>
              <w:contextualSpacing/>
              <w:jc w:val="center"/>
              <w:rPr>
                <w:rFonts w:ascii="宋体" w:hAnsi="宋体" w:cs="宋体"/>
                <w:b/>
                <w:bCs/>
                <w:kern w:val="0"/>
                <w:sz w:val="24"/>
                <w:szCs w:val="24"/>
              </w:rPr>
            </w:pPr>
            <w:r>
              <w:rPr>
                <w:rFonts w:hint="eastAsia" w:ascii="宋体" w:hAnsi="宋体" w:cs="宋体"/>
                <w:b/>
                <w:bCs/>
                <w:kern w:val="0"/>
                <w:sz w:val="24"/>
                <w:szCs w:val="24"/>
              </w:rPr>
              <w:t>用地面积（亩）</w:t>
            </w:r>
          </w:p>
        </w:tc>
        <w:tc>
          <w:tcPr>
            <w:tcW w:w="5124" w:type="dxa"/>
            <w:vAlign w:val="center"/>
          </w:tcPr>
          <w:p>
            <w:pPr>
              <w:widowControl/>
              <w:shd w:val="clear" w:color="auto" w:fill="FFFFFF"/>
              <w:spacing w:line="360" w:lineRule="auto"/>
              <w:ind w:firstLine="482" w:firstLineChars="200"/>
              <w:contextualSpacing/>
              <w:jc w:val="center"/>
              <w:rPr>
                <w:rFonts w:ascii="宋体" w:hAnsi="宋体" w:cs="宋体"/>
                <w:b/>
                <w:bCs/>
                <w:kern w:val="0"/>
                <w:sz w:val="24"/>
                <w:szCs w:val="24"/>
              </w:rPr>
            </w:pPr>
            <w:r>
              <w:rPr>
                <w:rFonts w:hint="eastAsia" w:ascii="宋体" w:hAnsi="宋体" w:cs="宋体"/>
                <w:b/>
                <w:bCs/>
                <w:kern w:val="0"/>
                <w:sz w:val="24"/>
                <w:szCs w:val="24"/>
              </w:rPr>
              <w:t>开发建设内容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工业用地</w:t>
            </w:r>
          </w:p>
        </w:tc>
        <w:tc>
          <w:tcPr>
            <w:tcW w:w="22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1624</w:t>
            </w:r>
          </w:p>
        </w:tc>
        <w:tc>
          <w:tcPr>
            <w:tcW w:w="5124" w:type="dxa"/>
            <w:vAlign w:val="center"/>
          </w:tcPr>
          <w:p>
            <w:pPr>
              <w:widowControl/>
              <w:shd w:val="clear" w:color="auto" w:fill="FFFFFF"/>
              <w:spacing w:line="360" w:lineRule="auto"/>
              <w:contextualSpacing/>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jc w:val="center"/>
        </w:trPr>
        <w:tc>
          <w:tcPr>
            <w:tcW w:w="16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居住用地</w:t>
            </w:r>
          </w:p>
        </w:tc>
        <w:tc>
          <w:tcPr>
            <w:tcW w:w="22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2972</w:t>
            </w:r>
          </w:p>
        </w:tc>
        <w:tc>
          <w:tcPr>
            <w:tcW w:w="5124" w:type="dxa"/>
            <w:vAlign w:val="center"/>
          </w:tcPr>
          <w:p>
            <w:pPr>
              <w:widowControl/>
              <w:shd w:val="clear" w:color="auto" w:fill="FFFFFF"/>
              <w:spacing w:line="360" w:lineRule="auto"/>
              <w:contextualSpacing/>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jc w:val="center"/>
        </w:trPr>
        <w:tc>
          <w:tcPr>
            <w:tcW w:w="16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商服用地</w:t>
            </w:r>
          </w:p>
        </w:tc>
        <w:tc>
          <w:tcPr>
            <w:tcW w:w="22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404</w:t>
            </w:r>
          </w:p>
        </w:tc>
        <w:tc>
          <w:tcPr>
            <w:tcW w:w="5124" w:type="dxa"/>
            <w:vAlign w:val="center"/>
          </w:tcPr>
          <w:p>
            <w:pPr>
              <w:widowControl/>
              <w:shd w:val="clear" w:color="auto" w:fill="FFFFFF"/>
              <w:spacing w:line="360" w:lineRule="auto"/>
              <w:contextualSpacing/>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jc w:val="center"/>
        </w:trPr>
        <w:tc>
          <w:tcPr>
            <w:tcW w:w="16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科教文卫用地</w:t>
            </w:r>
          </w:p>
        </w:tc>
        <w:tc>
          <w:tcPr>
            <w:tcW w:w="22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198</w:t>
            </w:r>
          </w:p>
        </w:tc>
        <w:tc>
          <w:tcPr>
            <w:tcW w:w="5124" w:type="dxa"/>
            <w:vAlign w:val="center"/>
          </w:tcPr>
          <w:p>
            <w:pPr>
              <w:widowControl/>
              <w:shd w:val="clear" w:color="auto" w:fill="FFFFFF"/>
              <w:spacing w:line="360" w:lineRule="auto"/>
              <w:contextualSpacing/>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16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公园绿地用地</w:t>
            </w:r>
          </w:p>
        </w:tc>
        <w:tc>
          <w:tcPr>
            <w:tcW w:w="2268" w:type="dxa"/>
            <w:vAlign w:val="center"/>
          </w:tcPr>
          <w:p>
            <w:pPr>
              <w:widowControl/>
              <w:shd w:val="clear" w:color="auto" w:fill="FFFFFF"/>
              <w:spacing w:line="360" w:lineRule="auto"/>
              <w:contextualSpacing/>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1251</w:t>
            </w:r>
          </w:p>
        </w:tc>
        <w:tc>
          <w:tcPr>
            <w:tcW w:w="5124" w:type="dxa"/>
            <w:vAlign w:val="center"/>
          </w:tcPr>
          <w:p>
            <w:pPr>
              <w:widowControl/>
              <w:shd w:val="clear" w:color="auto" w:fill="FFFFFF"/>
              <w:spacing w:line="360" w:lineRule="auto"/>
              <w:contextualSpacing/>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jc w:val="center"/>
        </w:trPr>
        <w:tc>
          <w:tcPr>
            <w:tcW w:w="16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道路用地</w:t>
            </w:r>
          </w:p>
        </w:tc>
        <w:tc>
          <w:tcPr>
            <w:tcW w:w="2268"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265</w:t>
            </w:r>
          </w:p>
        </w:tc>
        <w:tc>
          <w:tcPr>
            <w:tcW w:w="5124" w:type="dxa"/>
            <w:vAlign w:val="center"/>
          </w:tcPr>
          <w:p>
            <w:pPr>
              <w:widowControl/>
              <w:shd w:val="clear" w:color="auto" w:fill="FFFFFF"/>
              <w:spacing w:line="360" w:lineRule="auto"/>
              <w:contextualSpacing/>
              <w:rPr>
                <w:rFonts w:ascii="宋体" w:hAnsi="宋体" w:cs="宋体"/>
                <w:kern w:val="0"/>
                <w:sz w:val="24"/>
                <w:szCs w:val="24"/>
              </w:rPr>
            </w:pPr>
            <w:r>
              <w:rPr>
                <w:rFonts w:hint="eastAsia" w:ascii="宋体" w:hAnsi="宋体" w:cs="宋体"/>
                <w:kern w:val="0"/>
                <w:sz w:val="24"/>
                <w:szCs w:val="24"/>
              </w:rPr>
              <w:t>核心区内5条道路共计4337米的投资建设，包括但不限于道路管网、园林绿化、城中村改造等</w:t>
            </w:r>
          </w:p>
        </w:tc>
      </w:tr>
    </w:tbl>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（二）</w:t>
      </w:r>
      <w:r>
        <w:rPr>
          <w:rFonts w:hint="eastAsia" w:ascii="宋体" w:hAnsi="宋体" w:cs="宋体"/>
          <w:kern w:val="0"/>
          <w:sz w:val="24"/>
          <w:szCs w:val="24"/>
        </w:rPr>
        <w:t>示范区东扩区</w:t>
      </w:r>
      <w:r>
        <w:rPr>
          <w:rFonts w:hint="eastAsia" w:ascii="宋体" w:hAnsi="宋体" w:cs="宋体"/>
          <w:kern w:val="0"/>
          <w:sz w:val="24"/>
          <w:szCs w:val="24"/>
          <w:lang w:val="zh-CN"/>
        </w:rPr>
        <w:t>开发建设内容</w:t>
      </w: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0"/>
        <w:gridCol w:w="2674"/>
        <w:gridCol w:w="4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40" w:type="dxa"/>
            <w:vAlign w:val="center"/>
          </w:tcPr>
          <w:p>
            <w:pPr>
              <w:widowControl/>
              <w:shd w:val="clear" w:color="auto" w:fill="FFFFFF"/>
              <w:spacing w:line="360" w:lineRule="auto"/>
              <w:contextualSpacing/>
              <w:jc w:val="center"/>
              <w:rPr>
                <w:rFonts w:ascii="宋体" w:hAnsi="宋体" w:cs="宋体"/>
                <w:b/>
                <w:bCs/>
                <w:kern w:val="0"/>
                <w:sz w:val="24"/>
                <w:szCs w:val="24"/>
              </w:rPr>
            </w:pPr>
            <w:r>
              <w:rPr>
                <w:rFonts w:hint="eastAsia" w:ascii="宋体" w:hAnsi="宋体" w:cs="宋体"/>
                <w:b/>
                <w:bCs/>
                <w:kern w:val="0"/>
                <w:sz w:val="24"/>
                <w:szCs w:val="24"/>
              </w:rPr>
              <w:t>用地分类</w:t>
            </w:r>
          </w:p>
        </w:tc>
        <w:tc>
          <w:tcPr>
            <w:tcW w:w="2674" w:type="dxa"/>
            <w:vAlign w:val="center"/>
          </w:tcPr>
          <w:p>
            <w:pPr>
              <w:widowControl/>
              <w:shd w:val="clear" w:color="auto" w:fill="FFFFFF"/>
              <w:spacing w:line="360" w:lineRule="auto"/>
              <w:contextualSpacing/>
              <w:jc w:val="center"/>
              <w:rPr>
                <w:rFonts w:ascii="宋体" w:hAnsi="宋体" w:cs="宋体"/>
                <w:b/>
                <w:bCs/>
                <w:kern w:val="0"/>
                <w:sz w:val="24"/>
                <w:szCs w:val="24"/>
              </w:rPr>
            </w:pPr>
            <w:r>
              <w:rPr>
                <w:rFonts w:hint="eastAsia" w:ascii="宋体" w:hAnsi="宋体" w:cs="宋体"/>
                <w:b/>
                <w:bCs/>
                <w:kern w:val="0"/>
                <w:sz w:val="24"/>
                <w:szCs w:val="24"/>
              </w:rPr>
              <w:t>用地面积（亩）</w:t>
            </w:r>
          </w:p>
        </w:tc>
        <w:tc>
          <w:tcPr>
            <w:tcW w:w="4846" w:type="dxa"/>
            <w:vAlign w:val="center"/>
          </w:tcPr>
          <w:p>
            <w:pPr>
              <w:widowControl/>
              <w:shd w:val="clear" w:color="auto" w:fill="FFFFFF"/>
              <w:spacing w:line="360" w:lineRule="auto"/>
              <w:ind w:firstLine="482" w:firstLineChars="200"/>
              <w:contextualSpacing/>
              <w:jc w:val="center"/>
              <w:rPr>
                <w:rFonts w:ascii="宋体" w:hAnsi="宋体" w:cs="宋体"/>
                <w:b/>
                <w:bCs/>
                <w:kern w:val="0"/>
                <w:sz w:val="24"/>
                <w:szCs w:val="24"/>
              </w:rPr>
            </w:pPr>
            <w:r>
              <w:rPr>
                <w:rFonts w:hint="eastAsia" w:ascii="宋体" w:hAnsi="宋体" w:cs="宋体"/>
                <w:b/>
                <w:bCs/>
                <w:kern w:val="0"/>
                <w:sz w:val="24"/>
                <w:szCs w:val="24"/>
              </w:rPr>
              <w:t>开发建设内容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40"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工业用地</w:t>
            </w:r>
          </w:p>
        </w:tc>
        <w:tc>
          <w:tcPr>
            <w:tcW w:w="2674"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3244</w:t>
            </w:r>
          </w:p>
        </w:tc>
        <w:tc>
          <w:tcPr>
            <w:tcW w:w="4846" w:type="dxa"/>
          </w:tcPr>
          <w:p>
            <w:pPr>
              <w:widowControl/>
              <w:shd w:val="clear" w:color="auto" w:fill="FFFFFF"/>
              <w:spacing w:line="360" w:lineRule="auto"/>
              <w:contextualSpacing/>
              <w:jc w:val="left"/>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1540"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居住用地</w:t>
            </w:r>
          </w:p>
        </w:tc>
        <w:tc>
          <w:tcPr>
            <w:tcW w:w="2674"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1282</w:t>
            </w:r>
          </w:p>
        </w:tc>
        <w:tc>
          <w:tcPr>
            <w:tcW w:w="4846" w:type="dxa"/>
          </w:tcPr>
          <w:p>
            <w:pPr>
              <w:widowControl/>
              <w:shd w:val="clear" w:color="auto" w:fill="FFFFFF"/>
              <w:spacing w:line="360" w:lineRule="auto"/>
              <w:contextualSpacing/>
              <w:jc w:val="left"/>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40"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商服用地</w:t>
            </w:r>
          </w:p>
        </w:tc>
        <w:tc>
          <w:tcPr>
            <w:tcW w:w="2674"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440</w:t>
            </w:r>
          </w:p>
        </w:tc>
        <w:tc>
          <w:tcPr>
            <w:tcW w:w="4846" w:type="dxa"/>
          </w:tcPr>
          <w:p>
            <w:pPr>
              <w:widowControl/>
              <w:shd w:val="clear" w:color="auto" w:fill="FFFFFF"/>
              <w:spacing w:line="360" w:lineRule="auto"/>
              <w:contextualSpacing/>
              <w:jc w:val="left"/>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1540"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科教文卫用地</w:t>
            </w:r>
          </w:p>
        </w:tc>
        <w:tc>
          <w:tcPr>
            <w:tcW w:w="2674"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64</w:t>
            </w:r>
          </w:p>
        </w:tc>
        <w:tc>
          <w:tcPr>
            <w:tcW w:w="4846" w:type="dxa"/>
          </w:tcPr>
          <w:p>
            <w:pPr>
              <w:widowControl/>
              <w:shd w:val="clear" w:color="auto" w:fill="FFFFFF"/>
              <w:spacing w:line="360" w:lineRule="auto"/>
              <w:contextualSpacing/>
              <w:jc w:val="left"/>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40"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公园绿地用地</w:t>
            </w:r>
          </w:p>
        </w:tc>
        <w:tc>
          <w:tcPr>
            <w:tcW w:w="2674" w:type="dxa"/>
            <w:vAlign w:val="center"/>
          </w:tcPr>
          <w:p>
            <w:pPr>
              <w:widowControl/>
              <w:shd w:val="clear" w:color="auto" w:fill="FFFFFF"/>
              <w:spacing w:line="360" w:lineRule="auto"/>
              <w:contextualSpacing/>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4420</w:t>
            </w:r>
          </w:p>
        </w:tc>
        <w:tc>
          <w:tcPr>
            <w:tcW w:w="4846" w:type="dxa"/>
          </w:tcPr>
          <w:p>
            <w:pPr>
              <w:widowControl/>
              <w:shd w:val="clear" w:color="auto" w:fill="FFFFFF"/>
              <w:spacing w:line="360" w:lineRule="auto"/>
              <w:contextualSpacing/>
              <w:jc w:val="left"/>
              <w:rPr>
                <w:rFonts w:ascii="宋体" w:hAnsi="宋体" w:cs="宋体"/>
                <w:kern w:val="0"/>
                <w:sz w:val="24"/>
                <w:szCs w:val="24"/>
              </w:rPr>
            </w:pPr>
            <w:r>
              <w:rPr>
                <w:rFonts w:hint="eastAsia" w:ascii="宋体" w:hAnsi="宋体" w:cs="宋体"/>
                <w:kern w:val="0"/>
                <w:sz w:val="24"/>
                <w:szCs w:val="24"/>
              </w:rPr>
              <w:t>用地范围内基础设施投资建设，包括但不限于道路管网、园林绿化、城中村改造等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40"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道路用地</w:t>
            </w:r>
          </w:p>
        </w:tc>
        <w:tc>
          <w:tcPr>
            <w:tcW w:w="2674" w:type="dxa"/>
            <w:vAlign w:val="center"/>
          </w:tcPr>
          <w:p>
            <w:pPr>
              <w:widowControl/>
              <w:shd w:val="clear" w:color="auto" w:fill="FFFFFF"/>
              <w:spacing w:line="360" w:lineRule="auto"/>
              <w:contextualSpacing/>
              <w:jc w:val="center"/>
              <w:rPr>
                <w:rFonts w:ascii="宋体" w:hAnsi="宋体" w:cs="宋体"/>
                <w:kern w:val="0"/>
                <w:sz w:val="24"/>
                <w:szCs w:val="24"/>
              </w:rPr>
            </w:pPr>
            <w:r>
              <w:rPr>
                <w:rFonts w:hint="eastAsia" w:ascii="宋体" w:hAnsi="宋体" w:cs="宋体"/>
                <w:kern w:val="0"/>
                <w:sz w:val="24"/>
                <w:szCs w:val="24"/>
              </w:rPr>
              <w:t>1847</w:t>
            </w:r>
          </w:p>
        </w:tc>
        <w:tc>
          <w:tcPr>
            <w:tcW w:w="4846" w:type="dxa"/>
          </w:tcPr>
          <w:p>
            <w:pPr>
              <w:widowControl/>
              <w:shd w:val="clear" w:color="auto" w:fill="FFFFFF"/>
              <w:spacing w:line="360" w:lineRule="auto"/>
              <w:contextualSpacing/>
              <w:jc w:val="left"/>
              <w:rPr>
                <w:rFonts w:ascii="宋体" w:hAnsi="宋体" w:cs="宋体"/>
                <w:kern w:val="0"/>
                <w:sz w:val="24"/>
                <w:szCs w:val="24"/>
              </w:rPr>
            </w:pPr>
            <w:r>
              <w:rPr>
                <w:rFonts w:hint="eastAsia" w:ascii="宋体" w:hAnsi="宋体" w:cs="宋体"/>
                <w:kern w:val="0"/>
                <w:sz w:val="24"/>
                <w:szCs w:val="24"/>
              </w:rPr>
              <w:t>东扩区内11条道路共计23456米的投资建设，包括但不限于道路管网、园林绿化、城中村改造等</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注：核心区、东扩区各类型地块面积为当前规划估算面积，准确面积为实施时批准的规划为准，价格是根据当前市场情况估算，未考虑未来升值空间。</w:t>
      </w:r>
    </w:p>
    <w:p>
      <w:pPr>
        <w:spacing w:line="360" w:lineRule="auto"/>
        <w:ind w:firstLine="480" w:firstLineChars="200"/>
        <w:rPr>
          <w:rFonts w:ascii="宋体" w:hAnsi="宋体" w:cs="宋体"/>
          <w:sz w:val="24"/>
          <w:szCs w:val="24"/>
        </w:rPr>
      </w:pPr>
      <w:r>
        <w:rPr>
          <w:rFonts w:hint="eastAsia" w:ascii="宋体" w:hAnsi="宋体" w:cs="宋体"/>
          <w:sz w:val="24"/>
          <w:szCs w:val="24"/>
        </w:rPr>
        <w:t>2、许昌市城乡一体化示范区城市片区运营工作</w:t>
      </w:r>
    </w:p>
    <w:p>
      <w:pPr>
        <w:widowControl/>
        <w:shd w:val="clear" w:color="auto" w:fill="FFFFFF"/>
        <w:spacing w:line="36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城市片区运营工作是指由中标人对此次涉及的城市片区内的所有资源、资本进行整合、优化，使城市片区的综合竞争力得到提高，财富增加，城市片区内居民生活质量和幸福感得到提升。</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（三）采购标的的其他技术、服务等要求</w:t>
      </w:r>
    </w:p>
    <w:p>
      <w:pPr>
        <w:spacing w:line="360" w:lineRule="auto"/>
        <w:ind w:firstLine="480" w:firstLineChars="200"/>
        <w:rPr>
          <w:rFonts w:ascii="宋体" w:hAnsi="宋体" w:cs="宋体"/>
          <w:sz w:val="24"/>
          <w:szCs w:val="24"/>
        </w:rPr>
      </w:pPr>
      <w:r>
        <w:rPr>
          <w:rFonts w:hint="eastAsia" w:ascii="宋体" w:hAnsi="宋体" w:cs="宋体"/>
          <w:sz w:val="24"/>
          <w:szCs w:val="24"/>
        </w:rPr>
        <w:t>1、中标人对</w:t>
      </w:r>
      <w:r>
        <w:rPr>
          <w:rFonts w:hint="eastAsia" w:ascii="宋体" w:hAnsi="宋体" w:cs="宋体"/>
          <w:color w:val="000000" w:themeColor="text1"/>
          <w:sz w:val="24"/>
          <w:szCs w:val="24"/>
        </w:rPr>
        <w:t>招标片区</w:t>
      </w:r>
      <w:r>
        <w:rPr>
          <w:rFonts w:hint="eastAsia" w:ascii="宋体" w:hAnsi="宋体" w:cs="宋体"/>
          <w:sz w:val="24"/>
          <w:szCs w:val="24"/>
        </w:rPr>
        <w:t>内的国有土地（包含商住用地和工业用地等）进行运营，全权负责片区的形象推介、项目展示、招商洽谈，根据城市规划和产业发展的要求，寻找合适的投资商进驻片区进行生产经营和投资。</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本项目采用“项目封闭运作、采购方授权委托、中标方自行融资、资金自求平衡”的原则开展投资建设运营，中标人负责筹措项目建设资金和进行项目建设管理，项目建成并通过验收后，项目建设完成后所形成的资产归中标人所有，采购人根据对资产的需求情况并结合示范区年度财政承受能力视情况决定购买或租赁，同时将此次招标片区内的经营性用地出让后，采购人将参照不超过区域内经营性土地出让净收益的90%（通过此次招标确定）奖励给此次项目的中标人。</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rPr>
        <w:t>、验收标准</w:t>
      </w:r>
    </w:p>
    <w:p>
      <w:pPr>
        <w:spacing w:line="360" w:lineRule="auto"/>
        <w:ind w:firstLine="480" w:firstLineChars="200"/>
        <w:rPr>
          <w:rFonts w:ascii="宋体" w:hAnsi="宋体" w:cs="宋体"/>
          <w:sz w:val="24"/>
          <w:szCs w:val="24"/>
        </w:rPr>
      </w:pPr>
      <w:r>
        <w:rPr>
          <w:rFonts w:hint="eastAsia" w:ascii="宋体" w:hAnsi="宋体" w:cs="宋体"/>
          <w:sz w:val="24"/>
          <w:szCs w:val="24"/>
        </w:rPr>
        <w:t>由</w:t>
      </w:r>
      <w:r>
        <w:rPr>
          <w:rFonts w:ascii="宋体" w:hAnsi="宋体" w:cs="宋体"/>
          <w:sz w:val="24"/>
          <w:szCs w:val="24"/>
        </w:rPr>
        <w:t>采购人成立验收小组,按照采购合同的约定对</w:t>
      </w:r>
      <w:r>
        <w:rPr>
          <w:rFonts w:hint="eastAsia" w:ascii="宋体" w:hAnsi="宋体" w:cs="宋体"/>
          <w:sz w:val="24"/>
          <w:szCs w:val="24"/>
        </w:rPr>
        <w:t>中标人</w:t>
      </w:r>
      <w:r>
        <w:rPr>
          <w:rFonts w:ascii="宋体" w:hAnsi="宋体" w:cs="宋体"/>
          <w:sz w:val="24"/>
          <w:szCs w:val="24"/>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四、评标方法和评标标准</w:t>
      </w:r>
    </w:p>
    <w:p>
      <w:pPr>
        <w:spacing w:line="360" w:lineRule="auto"/>
        <w:ind w:firstLine="480" w:firstLineChars="200"/>
        <w:outlineLvl w:val="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（一）评标方法：最低评标价法□ 综合评分法□√</w:t>
      </w:r>
    </w:p>
    <w:p>
      <w:pPr>
        <w:spacing w:line="360" w:lineRule="auto"/>
        <w:ind w:firstLine="480" w:firstLineChars="200"/>
        <w:outlineLvl w:val="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（二）综合评分法评标标准：</w:t>
      </w:r>
    </w:p>
    <w:tbl>
      <w:tblPr>
        <w:tblStyle w:val="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ascii="宋体" w:hAnsi="宋体"/>
                <w:sz w:val="24"/>
                <w:szCs w:val="24"/>
              </w:rPr>
            </w:pPr>
            <w:r>
              <w:rPr>
                <w:rFonts w:hint="eastAsia" w:ascii="宋体" w:hAnsi="宋体"/>
                <w:sz w:val="24"/>
                <w:szCs w:val="24"/>
              </w:rPr>
              <w:t>分值构成</w:t>
            </w:r>
          </w:p>
          <w:p>
            <w:pPr>
              <w:jc w:val="center"/>
              <w:rPr>
                <w:rFonts w:ascii="宋体" w:hAnsi="宋体"/>
                <w:sz w:val="24"/>
                <w:szCs w:val="24"/>
              </w:rPr>
            </w:pPr>
            <w:r>
              <w:rPr>
                <w:rFonts w:hint="eastAsia" w:ascii="宋体" w:hAnsi="宋体"/>
                <w:sz w:val="24"/>
                <w:szCs w:val="24"/>
              </w:rPr>
              <w:t>(总分100分)</w:t>
            </w:r>
          </w:p>
        </w:tc>
        <w:tc>
          <w:tcPr>
            <w:tcW w:w="6920" w:type="dxa"/>
            <w:gridSpan w:val="2"/>
            <w:vAlign w:val="center"/>
          </w:tcPr>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价格分值：</w:t>
            </w:r>
            <w:r>
              <w:rPr>
                <w:rFonts w:hint="eastAsia" w:ascii="宋体" w:hAnsi="宋体"/>
                <w:color w:val="000000" w:themeColor="text1"/>
                <w:sz w:val="24"/>
                <w:szCs w:val="24"/>
                <w:u w:val="single"/>
              </w:rPr>
              <w:t xml:space="preserve">   40   </w:t>
            </w:r>
            <w:r>
              <w:rPr>
                <w:rFonts w:hint="eastAsia" w:ascii="宋体" w:hAnsi="宋体"/>
                <w:color w:val="000000" w:themeColor="text1"/>
                <w:sz w:val="24"/>
                <w:szCs w:val="24"/>
              </w:rPr>
              <w:t>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商务部分：</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24</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技术部分：</w:t>
            </w:r>
            <w:r>
              <w:rPr>
                <w:rFonts w:hint="eastAsia" w:ascii="宋体" w:hAnsi="宋体"/>
                <w:color w:val="000000" w:themeColor="text1"/>
                <w:sz w:val="24"/>
                <w:szCs w:val="24"/>
                <w:u w:val="single"/>
              </w:rPr>
              <w:t xml:space="preserve">   3</w:t>
            </w:r>
            <w:r>
              <w:rPr>
                <w:rFonts w:hint="eastAsia" w:ascii="宋体" w:hAnsi="宋体"/>
                <w:color w:val="000000" w:themeColor="text1"/>
                <w:sz w:val="24"/>
                <w:szCs w:val="24"/>
                <w:u w:val="single"/>
                <w:lang w:val="en-US" w:eastAsia="zh-CN"/>
              </w:rPr>
              <w:t>6</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b/>
                <w:color w:val="000000" w:themeColor="text1"/>
                <w:sz w:val="24"/>
                <w:szCs w:val="24"/>
              </w:rPr>
            </w:pPr>
            <w:r>
              <w:rPr>
                <w:rFonts w:hint="eastAsia" w:ascii="宋体" w:hAnsi="宋体"/>
                <w:b/>
                <w:color w:val="000000" w:themeColor="text1"/>
                <w:sz w:val="24"/>
                <w:szCs w:val="24"/>
              </w:rPr>
              <w:t>（一）价格部分（满分</w:t>
            </w:r>
            <w:r>
              <w:rPr>
                <w:rFonts w:hint="eastAsia" w:ascii="宋体" w:hAnsi="宋体"/>
                <w:b/>
                <w:color w:val="000000" w:themeColor="text1"/>
                <w:sz w:val="24"/>
                <w:szCs w:val="24"/>
                <w:u w:val="single"/>
              </w:rPr>
              <w:t xml:space="preserve"> 40 </w:t>
            </w:r>
            <w:r>
              <w:rPr>
                <w:rFonts w:hint="eastAsia" w:ascii="宋体" w:hAnsi="宋体"/>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5953"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评分标准</w:t>
            </w:r>
          </w:p>
        </w:tc>
        <w:tc>
          <w:tcPr>
            <w:tcW w:w="967" w:type="dxa"/>
            <w:tcBorders>
              <w:top w:val="single" w:color="auto" w:sz="4" w:space="0"/>
            </w:tcBorders>
            <w:vAlign w:val="center"/>
          </w:tcPr>
          <w:p>
            <w:pPr>
              <w:jc w:val="center"/>
              <w:rPr>
                <w:rFonts w:ascii="宋体" w:hAnsi="宋体"/>
                <w:b/>
                <w:color w:val="000000" w:themeColor="text1"/>
                <w:sz w:val="24"/>
                <w:szCs w:val="24"/>
              </w:rPr>
            </w:pPr>
            <w:r>
              <w:rPr>
                <w:rFonts w:hint="eastAsia" w:ascii="宋体" w:hAnsi="宋体"/>
                <w:b/>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2046"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投标报价</w:t>
            </w:r>
          </w:p>
          <w:p>
            <w:pPr>
              <w:topLinePunct/>
              <w:jc w:val="center"/>
              <w:rPr>
                <w:rFonts w:ascii="宋体" w:hAnsi="宋体"/>
                <w:szCs w:val="21"/>
              </w:rPr>
            </w:pPr>
            <w:r>
              <w:rPr>
                <w:rFonts w:hint="eastAsia" w:ascii="宋体" w:hAnsi="宋体"/>
                <w:sz w:val="24"/>
                <w:szCs w:val="24"/>
              </w:rPr>
              <w:t>评分标准</w:t>
            </w:r>
          </w:p>
        </w:tc>
        <w:tc>
          <w:tcPr>
            <w:tcW w:w="5953" w:type="dxa"/>
            <w:tcBorders>
              <w:top w:val="single" w:color="auto" w:sz="4" w:space="0"/>
            </w:tcBorders>
            <w:vAlign w:val="center"/>
          </w:tcPr>
          <w:p>
            <w:pPr>
              <w:wordWrap w:val="0"/>
              <w:topLinePunct/>
              <w:ind w:firstLine="420" w:firstLineChars="200"/>
              <w:jc w:val="left"/>
              <w:rPr>
                <w:rFonts w:ascii="宋体" w:hAnsi="宋体"/>
                <w:szCs w:val="21"/>
              </w:rPr>
            </w:pPr>
            <w:r>
              <w:rPr>
                <w:rFonts w:hint="eastAsia" w:ascii="宋体" w:hAnsi="宋体"/>
                <w:szCs w:val="21"/>
              </w:rPr>
              <w:t>采用低价优先法计算，即满足招标文件要求且报价最低的为基准价，其价格分为满分，其他投标人的价格分按下列公式计算：</w:t>
            </w:r>
          </w:p>
          <w:p>
            <w:pPr>
              <w:wordWrap w:val="0"/>
              <w:topLinePunct/>
              <w:spacing w:beforeLines="10" w:afterLines="10"/>
              <w:ind w:firstLine="420" w:firstLineChars="200"/>
            </w:pPr>
            <w:r>
              <w:rPr>
                <w:rFonts w:hint="eastAsia" w:ascii="宋体" w:hAnsi="宋体"/>
                <w:szCs w:val="21"/>
              </w:rPr>
              <w:t>报价得分=（基准价/投标人报价）×40</w:t>
            </w:r>
          </w:p>
        </w:tc>
        <w:tc>
          <w:tcPr>
            <w:tcW w:w="967" w:type="dxa"/>
            <w:tcBorders>
              <w:top w:val="single" w:color="auto" w:sz="4" w:space="0"/>
            </w:tcBorders>
            <w:vAlign w:val="center"/>
          </w:tcPr>
          <w:p>
            <w:pPr>
              <w:jc w:val="center"/>
              <w:rPr>
                <w:rFonts w:ascii="宋体" w:hAnsi="宋体"/>
                <w:color w:val="000000" w:themeColor="text1"/>
                <w:sz w:val="24"/>
                <w:szCs w:val="24"/>
              </w:rPr>
            </w:pPr>
            <w:r>
              <w:rPr>
                <w:rFonts w:hint="eastAsia" w:ascii="宋体" w:hAnsi="宋体"/>
                <w:color w:val="000000" w:themeColor="text1"/>
                <w:sz w:val="24"/>
                <w:szCs w:val="24"/>
                <w:u w:val="single"/>
              </w:rPr>
              <w:t xml:space="preserve"> 40 </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b/>
                <w:sz w:val="24"/>
                <w:szCs w:val="24"/>
              </w:rPr>
            </w:pPr>
            <w:r>
              <w:rPr>
                <w:rFonts w:hint="eastAsia" w:ascii="宋体" w:hAnsi="宋体"/>
                <w:b/>
                <w:sz w:val="24"/>
                <w:szCs w:val="24"/>
              </w:rPr>
              <w:t>（二）商务部分（满分</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24 </w:t>
            </w:r>
            <w:r>
              <w:rPr>
                <w:rFonts w:hint="eastAsia" w:ascii="宋体" w:hAnsi="宋体"/>
                <w:b/>
                <w:sz w:val="24"/>
                <w:szCs w:val="24"/>
                <w:u w:val="single"/>
              </w:rPr>
              <w:t xml:space="preserve">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5953" w:type="dxa"/>
            <w:vAlign w:val="center"/>
          </w:tcPr>
          <w:p>
            <w:pPr>
              <w:jc w:val="center"/>
              <w:rPr>
                <w:rFonts w:ascii="宋体" w:hAnsi="宋体"/>
                <w:b/>
                <w:sz w:val="24"/>
                <w:szCs w:val="24"/>
              </w:rPr>
            </w:pPr>
            <w:r>
              <w:rPr>
                <w:rFonts w:hint="eastAsia" w:ascii="宋体" w:hAnsi="宋体"/>
                <w:b/>
                <w:sz w:val="24"/>
                <w:szCs w:val="24"/>
              </w:rPr>
              <w:t>评分标准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宋体" w:hAnsi="宋体"/>
                <w:sz w:val="24"/>
                <w:szCs w:val="24"/>
              </w:rPr>
            </w:pPr>
            <w:r>
              <w:rPr>
                <w:rFonts w:hint="eastAsia" w:ascii="宋体" w:hAnsi="宋体"/>
                <w:sz w:val="24"/>
                <w:szCs w:val="24"/>
              </w:rPr>
              <w:t>信誉</w:t>
            </w:r>
          </w:p>
          <w:p>
            <w:pPr>
              <w:spacing w:line="360" w:lineRule="exact"/>
              <w:jc w:val="center"/>
              <w:rPr>
                <w:rFonts w:ascii="宋体" w:hAnsi="宋体"/>
                <w:sz w:val="24"/>
                <w:szCs w:val="24"/>
              </w:rPr>
            </w:pPr>
          </w:p>
        </w:tc>
        <w:tc>
          <w:tcPr>
            <w:tcW w:w="5953" w:type="dxa"/>
            <w:vAlign w:val="center"/>
          </w:tcPr>
          <w:p>
            <w:pPr>
              <w:rPr>
                <w:rFonts w:ascii="宋体" w:hAnsi="宋体"/>
                <w:sz w:val="24"/>
                <w:szCs w:val="24"/>
              </w:rPr>
            </w:pPr>
            <w:r>
              <w:rPr>
                <w:rFonts w:hint="eastAsia" w:ascii="宋体" w:hAnsi="宋体"/>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rPr>
                <w:rFonts w:ascii="宋体" w:hAnsi="宋体"/>
                <w:b/>
                <w:i/>
                <w:color w:val="548DD4"/>
                <w:kern w:val="0"/>
                <w:sz w:val="24"/>
                <w:szCs w:val="24"/>
              </w:rPr>
            </w:pPr>
            <w:r>
              <w:rPr>
                <w:rFonts w:hint="eastAsia" w:ascii="宋体" w:hAnsi="宋体"/>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u w:val="single"/>
              </w:rPr>
              <w:t>2</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2046" w:type="dxa"/>
            <w:vAlign w:val="center"/>
          </w:tcPr>
          <w:p>
            <w:pPr>
              <w:jc w:val="center"/>
              <w:rPr>
                <w:rFonts w:hint="eastAsia" w:ascii="宋体" w:hAnsi="宋体" w:cs="宋体" w:eastAsiaTheme="minorEastAsia"/>
                <w:szCs w:val="21"/>
                <w:lang w:eastAsia="zh-CN"/>
              </w:rPr>
            </w:pPr>
            <w:r>
              <w:rPr>
                <w:rFonts w:hint="eastAsia" w:ascii="宋体" w:hAnsi="宋体"/>
                <w:sz w:val="24"/>
                <w:szCs w:val="24"/>
                <w:lang w:eastAsia="zh-CN"/>
              </w:rPr>
              <w:t>银行授信</w:t>
            </w:r>
          </w:p>
        </w:tc>
        <w:tc>
          <w:tcPr>
            <w:tcW w:w="5953" w:type="dxa"/>
            <w:vAlign w:val="center"/>
          </w:tcPr>
          <w:p>
            <w:pPr>
              <w:numPr>
                <w:ilvl w:val="0"/>
                <w:numId w:val="0"/>
              </w:numPr>
              <w:rPr>
                <w:rFonts w:hint="eastAsia" w:ascii="宋体" w:hAnsi="宋体"/>
                <w:sz w:val="24"/>
                <w:szCs w:val="24"/>
              </w:rPr>
            </w:pPr>
            <w:r>
              <w:rPr>
                <w:rFonts w:hint="eastAsia" w:ascii="宋体" w:hAnsi="宋体"/>
                <w:sz w:val="24"/>
                <w:szCs w:val="24"/>
                <w:lang w:val="en-US" w:eastAsia="zh-CN"/>
              </w:rPr>
              <w:t>银行授信：</w:t>
            </w:r>
            <w:r>
              <w:rPr>
                <w:rFonts w:hint="eastAsia" w:ascii="宋体" w:hAnsi="宋体"/>
                <w:sz w:val="24"/>
                <w:szCs w:val="24"/>
              </w:rPr>
              <w:t>投标人提供不少于1.5亿元的银行授信金额得1分，每增加1亿元加1分，最高得</w:t>
            </w:r>
            <w:r>
              <w:rPr>
                <w:rFonts w:hint="eastAsia" w:ascii="宋体" w:hAnsi="宋体"/>
                <w:sz w:val="24"/>
                <w:szCs w:val="24"/>
                <w:lang w:val="en-US" w:eastAsia="zh-CN"/>
              </w:rPr>
              <w:t>4</w:t>
            </w:r>
            <w:r>
              <w:rPr>
                <w:rFonts w:hint="eastAsia" w:ascii="宋体" w:hAnsi="宋体"/>
                <w:sz w:val="24"/>
                <w:szCs w:val="24"/>
              </w:rPr>
              <w:t>分。</w:t>
            </w:r>
          </w:p>
          <w:p>
            <w:pPr>
              <w:numPr>
                <w:ilvl w:val="0"/>
                <w:numId w:val="0"/>
              </w:numPr>
              <w:rPr>
                <w:rFonts w:ascii="宋体" w:hAnsi="宋体" w:cs="Arial"/>
                <w:szCs w:val="21"/>
              </w:rPr>
            </w:pPr>
            <w:r>
              <w:rPr>
                <w:rFonts w:hint="eastAsia" w:ascii="宋体" w:hAnsi="宋体"/>
                <w:b/>
                <w:bCs/>
                <w:sz w:val="24"/>
                <w:szCs w:val="24"/>
                <w:lang w:val="en-US" w:eastAsia="zh-CN"/>
              </w:rPr>
              <w:t>备注：</w:t>
            </w:r>
            <w:r>
              <w:rPr>
                <w:rFonts w:hint="eastAsia" w:ascii="宋体" w:hAnsi="宋体"/>
                <w:sz w:val="24"/>
                <w:szCs w:val="24"/>
                <w:lang w:val="en-US" w:eastAsia="zh-CN"/>
              </w:rPr>
              <w:t>投标文件中附银行授信协议复印件，评标时审核原件。</w:t>
            </w:r>
          </w:p>
        </w:tc>
        <w:tc>
          <w:tcPr>
            <w:tcW w:w="967" w:type="dxa"/>
            <w:vAlign w:val="center"/>
          </w:tcPr>
          <w:p>
            <w:pPr>
              <w:jc w:val="center"/>
              <w:rPr>
                <w:rFonts w:ascii="宋体" w:hAnsi="宋体"/>
                <w:sz w:val="24"/>
                <w:szCs w:val="24"/>
              </w:rPr>
            </w:pPr>
            <w:r>
              <w:rPr>
                <w:rFonts w:hint="eastAsia" w:ascii="仿宋" w:hAnsi="仿宋" w:eastAsia="仿宋"/>
                <w:sz w:val="28"/>
                <w:szCs w:val="28"/>
                <w:u w:val="single"/>
                <w:lang w:val="en-US" w:eastAsia="zh-CN"/>
              </w:rPr>
              <w:t>4</w:t>
            </w:r>
            <w:r>
              <w:rPr>
                <w:rFonts w:hint="eastAsia" w:ascii="仿宋" w:hAnsi="仿宋" w:eastAsia="仿宋"/>
                <w:sz w:val="28"/>
                <w:szCs w:val="28"/>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 w:val="24"/>
                <w:szCs w:val="24"/>
              </w:rPr>
            </w:pPr>
            <w:r>
              <w:rPr>
                <w:rFonts w:hint="eastAsia" w:ascii="宋体" w:hAnsi="宋体"/>
                <w:sz w:val="24"/>
                <w:szCs w:val="24"/>
              </w:rPr>
              <w:t>企业业绩</w:t>
            </w:r>
          </w:p>
          <w:p>
            <w:pPr>
              <w:jc w:val="center"/>
              <w:rPr>
                <w:rFonts w:ascii="宋体" w:hAnsi="宋体"/>
                <w:sz w:val="24"/>
                <w:szCs w:val="24"/>
              </w:rPr>
            </w:pPr>
          </w:p>
        </w:tc>
        <w:tc>
          <w:tcPr>
            <w:tcW w:w="5953" w:type="dxa"/>
            <w:vAlign w:val="center"/>
          </w:tcPr>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1、投标人2015年1月份以来完成过类似项目5亿元以上建设模式的，每一个得5分，本项最高的10分。</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2、投标人2015年1月份以来完成过单体投资不少于5000万元的建设项目，每一个得3分；本项最高的8分。</w:t>
            </w:r>
          </w:p>
          <w:p>
            <w:pPr>
              <w:keepNext w:val="0"/>
              <w:keepLines w:val="0"/>
              <w:widowControl/>
              <w:suppressLineNumbers w:val="0"/>
              <w:jc w:val="left"/>
              <w:rPr>
                <w:rFonts w:ascii="宋体" w:hAnsi="宋体"/>
                <w:sz w:val="24"/>
                <w:szCs w:val="24"/>
              </w:rPr>
            </w:pPr>
            <w:r>
              <w:rPr>
                <w:rFonts w:hint="eastAsia" w:ascii="宋体" w:hAnsi="宋体" w:eastAsia="宋体" w:cs="宋体"/>
                <w:kern w:val="0"/>
                <w:sz w:val="24"/>
                <w:szCs w:val="24"/>
                <w:lang w:val="en-US" w:eastAsia="zh-CN" w:bidi="ar"/>
              </w:rPr>
              <w:t>注：开标时提供合同和中标通知书原件且投标文件中须附与原件一致的复印件，否则不得分；</w:t>
            </w:r>
            <w:bookmarkStart w:id="0" w:name="_GoBack"/>
            <w:bookmarkEnd w:id="0"/>
            <w:r>
              <w:rPr>
                <w:rFonts w:hint="eastAsia" w:ascii="宋体" w:hAnsi="宋体" w:eastAsia="宋体" w:cs="宋体"/>
                <w:kern w:val="0"/>
                <w:sz w:val="24"/>
                <w:szCs w:val="24"/>
                <w:lang w:val="en-US" w:eastAsia="zh-CN" w:bidi="ar"/>
              </w:rPr>
              <w:t xml:space="preserve"> </w:t>
            </w:r>
          </w:p>
        </w:tc>
        <w:tc>
          <w:tcPr>
            <w:tcW w:w="967" w:type="dxa"/>
            <w:vAlign w:val="center"/>
          </w:tcPr>
          <w:p>
            <w:pPr>
              <w:jc w:val="center"/>
              <w:rPr>
                <w:rFonts w:ascii="宋体" w:hAnsi="宋体"/>
                <w:sz w:val="24"/>
                <w:szCs w:val="24"/>
              </w:rPr>
            </w:pPr>
            <w:r>
              <w:rPr>
                <w:rFonts w:hint="eastAsia" w:ascii="宋体" w:hAnsi="宋体"/>
                <w:sz w:val="24"/>
                <w:szCs w:val="24"/>
                <w:u w:val="single"/>
              </w:rPr>
              <w:t xml:space="preserve">18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sz w:val="24"/>
                <w:szCs w:val="24"/>
              </w:rPr>
            </w:pPr>
            <w:r>
              <w:rPr>
                <w:rFonts w:hint="eastAsia" w:ascii="宋体" w:hAnsi="宋体"/>
                <w:b/>
                <w:sz w:val="24"/>
                <w:szCs w:val="24"/>
              </w:rPr>
              <w:t>（三）技术部分（满分</w:t>
            </w:r>
            <w:r>
              <w:rPr>
                <w:rFonts w:hint="eastAsia" w:ascii="宋体" w:hAnsi="宋体"/>
                <w:b/>
                <w:sz w:val="24"/>
                <w:szCs w:val="24"/>
                <w:u w:val="single"/>
              </w:rPr>
              <w:t xml:space="preserve"> 3</w:t>
            </w:r>
            <w:r>
              <w:rPr>
                <w:rFonts w:hint="eastAsia" w:ascii="宋体" w:hAnsi="宋体"/>
                <w:b/>
                <w:sz w:val="24"/>
                <w:szCs w:val="24"/>
                <w:u w:val="single"/>
                <w:lang w:val="en-US" w:eastAsia="zh-CN"/>
              </w:rPr>
              <w:t>6</w:t>
            </w:r>
            <w:r>
              <w:rPr>
                <w:rFonts w:hint="eastAsia" w:ascii="宋体" w:hAnsi="宋体"/>
                <w:b/>
                <w:sz w:val="24"/>
                <w:szCs w:val="24"/>
                <w:u w:val="single"/>
              </w:rPr>
              <w:t xml:space="preserve"> </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 w:val="24"/>
                <w:szCs w:val="24"/>
              </w:rPr>
            </w:pPr>
            <w:r>
              <w:rPr>
                <w:rFonts w:hint="eastAsia" w:ascii="宋体" w:hAnsi="宋体"/>
                <w:sz w:val="24"/>
                <w:szCs w:val="24"/>
              </w:rPr>
              <w:t>评分因素</w:t>
            </w:r>
          </w:p>
        </w:tc>
        <w:tc>
          <w:tcPr>
            <w:tcW w:w="5953" w:type="dxa"/>
            <w:vAlign w:val="center"/>
          </w:tcPr>
          <w:p>
            <w:pPr>
              <w:jc w:val="center"/>
              <w:rPr>
                <w:rFonts w:ascii="宋体" w:hAnsi="宋体"/>
                <w:sz w:val="24"/>
                <w:szCs w:val="24"/>
              </w:rPr>
            </w:pPr>
            <w:r>
              <w:rPr>
                <w:rFonts w:hint="eastAsia" w:ascii="宋体" w:hAnsi="宋体"/>
                <w:sz w:val="24"/>
                <w:szCs w:val="24"/>
              </w:rPr>
              <w:t>评分标准</w:t>
            </w:r>
          </w:p>
        </w:tc>
        <w:tc>
          <w:tcPr>
            <w:tcW w:w="967" w:type="dxa"/>
            <w:vAlign w:val="center"/>
          </w:tcPr>
          <w:p>
            <w:pP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 w:val="24"/>
                <w:szCs w:val="24"/>
              </w:rPr>
            </w:pPr>
            <w:r>
              <w:rPr>
                <w:rFonts w:hint="eastAsia" w:ascii="宋体" w:hAnsi="宋体"/>
                <w:sz w:val="24"/>
                <w:szCs w:val="24"/>
              </w:rPr>
              <w:t>融资方案</w:t>
            </w:r>
          </w:p>
        </w:tc>
        <w:tc>
          <w:tcPr>
            <w:tcW w:w="5953" w:type="dxa"/>
            <w:vAlign w:val="center"/>
          </w:tcPr>
          <w:p>
            <w:pPr>
              <w:autoSpaceDE w:val="0"/>
              <w:autoSpaceDN w:val="0"/>
              <w:rPr>
                <w:rFonts w:ascii="宋体" w:hAnsi="宋体"/>
                <w:sz w:val="24"/>
                <w:szCs w:val="24"/>
              </w:rPr>
            </w:pPr>
            <w:r>
              <w:rPr>
                <w:rFonts w:hint="eastAsia" w:ascii="宋体" w:hAnsi="宋体"/>
                <w:sz w:val="24"/>
                <w:szCs w:val="24"/>
              </w:rPr>
              <w:t xml:space="preserve">1、融资计划及融资方式     </w:t>
            </w:r>
          </w:p>
          <w:p>
            <w:pPr>
              <w:autoSpaceDE w:val="0"/>
              <w:autoSpaceDN w:val="0"/>
              <w:rPr>
                <w:rFonts w:ascii="宋体" w:hAnsi="宋体"/>
                <w:sz w:val="24"/>
                <w:szCs w:val="24"/>
              </w:rPr>
            </w:pPr>
            <w:r>
              <w:rPr>
                <w:rFonts w:hint="eastAsia" w:ascii="宋体" w:hAnsi="宋体"/>
                <w:sz w:val="24"/>
                <w:szCs w:val="24"/>
              </w:rPr>
              <w:t>2、资本金估算、筹措、到位时间及资金使用计划</w:t>
            </w:r>
          </w:p>
          <w:p>
            <w:pPr>
              <w:autoSpaceDE w:val="0"/>
              <w:autoSpaceDN w:val="0"/>
              <w:rPr>
                <w:rFonts w:ascii="宋体" w:hAnsi="宋体"/>
                <w:sz w:val="24"/>
                <w:szCs w:val="24"/>
              </w:rPr>
            </w:pPr>
            <w:r>
              <w:rPr>
                <w:rFonts w:hint="eastAsia" w:ascii="宋体" w:hAnsi="宋体"/>
                <w:sz w:val="24"/>
                <w:szCs w:val="24"/>
              </w:rPr>
              <w:t xml:space="preserve">3、融资资金还款分析      </w:t>
            </w:r>
          </w:p>
          <w:p>
            <w:pPr>
              <w:autoSpaceDE w:val="0"/>
              <w:autoSpaceDN w:val="0"/>
              <w:rPr>
                <w:rFonts w:ascii="宋体" w:hAnsi="宋体"/>
                <w:sz w:val="24"/>
                <w:szCs w:val="24"/>
              </w:rPr>
            </w:pPr>
            <w:r>
              <w:rPr>
                <w:rFonts w:hint="eastAsia" w:ascii="宋体" w:hAnsi="宋体"/>
                <w:sz w:val="24"/>
                <w:szCs w:val="24"/>
              </w:rPr>
              <w:t>4、运营成本费用分析</w:t>
            </w:r>
          </w:p>
          <w:p>
            <w:pPr>
              <w:autoSpaceDE w:val="0"/>
              <w:autoSpaceDN w:val="0"/>
              <w:rPr>
                <w:rFonts w:ascii="宋体" w:hAnsi="宋体"/>
                <w:sz w:val="24"/>
                <w:szCs w:val="24"/>
              </w:rPr>
            </w:pPr>
            <w:r>
              <w:rPr>
                <w:rFonts w:hint="eastAsia" w:ascii="宋体" w:hAnsi="宋体"/>
                <w:sz w:val="24"/>
                <w:szCs w:val="24"/>
                <w:lang w:eastAsia="zh-CN"/>
              </w:rPr>
              <w:t>齐全合理者每项得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提供者每项得</w:t>
            </w:r>
            <w:r>
              <w:rPr>
                <w:rFonts w:hint="eastAsia" w:ascii="宋体" w:hAnsi="宋体"/>
                <w:sz w:val="24"/>
                <w:szCs w:val="24"/>
                <w:lang w:val="en-US" w:eastAsia="zh-CN"/>
              </w:rPr>
              <w:t>1</w:t>
            </w:r>
            <w:r>
              <w:rPr>
                <w:rFonts w:hint="eastAsia" w:ascii="宋体" w:hAnsi="宋体"/>
                <w:sz w:val="24"/>
                <w:szCs w:val="24"/>
              </w:rPr>
              <w:t>分，</w:t>
            </w:r>
            <w:r>
              <w:rPr>
                <w:rFonts w:hint="eastAsia" w:ascii="宋体" w:hAnsi="宋体"/>
                <w:sz w:val="24"/>
                <w:szCs w:val="24"/>
                <w:lang w:eastAsia="zh-CN"/>
              </w:rPr>
              <w:t>缺项者不得分</w:t>
            </w:r>
            <w:r>
              <w:rPr>
                <w:rFonts w:hint="eastAsia" w:ascii="宋体" w:hAnsi="宋体"/>
                <w:sz w:val="24"/>
                <w:szCs w:val="24"/>
              </w:rPr>
              <w:t xml:space="preserve">。     </w:t>
            </w:r>
          </w:p>
        </w:tc>
        <w:tc>
          <w:tcPr>
            <w:tcW w:w="967" w:type="dxa"/>
            <w:vAlign w:val="center"/>
          </w:tcPr>
          <w:p>
            <w:pPr>
              <w:jc w:val="center"/>
              <w:rPr>
                <w:rFonts w:ascii="宋体" w:hAnsi="宋体"/>
                <w:sz w:val="24"/>
                <w:szCs w:val="24"/>
              </w:rPr>
            </w:pPr>
            <w:r>
              <w:rPr>
                <w:rFonts w:hint="eastAsia" w:ascii="宋体" w:hAnsi="宋体"/>
                <w:sz w:val="24"/>
                <w:szCs w:val="24"/>
                <w:u w:val="single"/>
              </w:rPr>
              <w:t xml:space="preserve">8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 w:val="24"/>
                <w:szCs w:val="24"/>
              </w:rPr>
            </w:pPr>
            <w:r>
              <w:rPr>
                <w:rFonts w:hint="eastAsia" w:ascii="宋体" w:hAnsi="宋体"/>
                <w:sz w:val="24"/>
                <w:szCs w:val="24"/>
              </w:rPr>
              <w:t>建设方案</w:t>
            </w:r>
          </w:p>
        </w:tc>
        <w:tc>
          <w:tcPr>
            <w:tcW w:w="5953" w:type="dxa"/>
            <w:vAlign w:val="center"/>
          </w:tcPr>
          <w:p>
            <w:pPr>
              <w:autoSpaceDE w:val="0"/>
              <w:autoSpaceDN w:val="0"/>
              <w:rPr>
                <w:rFonts w:ascii="宋体" w:hAnsi="宋体"/>
                <w:sz w:val="24"/>
                <w:szCs w:val="24"/>
              </w:rPr>
            </w:pPr>
            <w:r>
              <w:rPr>
                <w:rFonts w:hint="eastAsia" w:ascii="宋体" w:hAnsi="宋体"/>
                <w:sz w:val="24"/>
                <w:szCs w:val="24"/>
              </w:rPr>
              <w:t>1、工程质量控制措施</w:t>
            </w:r>
          </w:p>
          <w:p>
            <w:pPr>
              <w:autoSpaceDE w:val="0"/>
              <w:autoSpaceDN w:val="0"/>
              <w:rPr>
                <w:rFonts w:ascii="宋体" w:hAnsi="宋体"/>
                <w:sz w:val="24"/>
                <w:szCs w:val="24"/>
              </w:rPr>
            </w:pPr>
            <w:r>
              <w:rPr>
                <w:rFonts w:hint="eastAsia" w:ascii="宋体" w:hAnsi="宋体"/>
                <w:sz w:val="24"/>
                <w:szCs w:val="24"/>
              </w:rPr>
              <w:t>2、工程安全控制措施</w:t>
            </w:r>
          </w:p>
          <w:p>
            <w:pPr>
              <w:autoSpaceDE w:val="0"/>
              <w:autoSpaceDN w:val="0"/>
              <w:rPr>
                <w:rFonts w:ascii="宋体" w:hAnsi="宋体"/>
                <w:sz w:val="24"/>
                <w:szCs w:val="24"/>
              </w:rPr>
            </w:pPr>
            <w:r>
              <w:rPr>
                <w:rFonts w:hint="eastAsia" w:ascii="宋体" w:hAnsi="宋体"/>
                <w:sz w:val="24"/>
                <w:szCs w:val="24"/>
              </w:rPr>
              <w:t>3、应急预案保障措施</w:t>
            </w:r>
          </w:p>
          <w:p>
            <w:pPr>
              <w:autoSpaceDE w:val="0"/>
              <w:autoSpaceDN w:val="0"/>
              <w:rPr>
                <w:rFonts w:ascii="宋体" w:hAnsi="宋体"/>
                <w:sz w:val="24"/>
                <w:szCs w:val="24"/>
              </w:rPr>
            </w:pPr>
            <w:r>
              <w:rPr>
                <w:rFonts w:hint="eastAsia" w:ascii="宋体" w:hAnsi="宋体"/>
                <w:sz w:val="24"/>
                <w:szCs w:val="24"/>
              </w:rPr>
              <w:t>4、工程进度保障措施</w:t>
            </w:r>
          </w:p>
          <w:p>
            <w:pPr>
              <w:autoSpaceDE w:val="0"/>
              <w:autoSpaceDN w:val="0"/>
              <w:rPr>
                <w:rFonts w:ascii="宋体" w:hAnsi="宋体"/>
                <w:sz w:val="24"/>
                <w:szCs w:val="24"/>
              </w:rPr>
            </w:pPr>
            <w:r>
              <w:rPr>
                <w:rFonts w:hint="eastAsia" w:ascii="宋体" w:hAnsi="宋体"/>
                <w:sz w:val="24"/>
                <w:szCs w:val="24"/>
              </w:rPr>
              <w:t>5、施工技术措施包括重点、难点的施工方案</w:t>
            </w:r>
          </w:p>
          <w:p>
            <w:pPr>
              <w:autoSpaceDE w:val="0"/>
              <w:autoSpaceDN w:val="0"/>
              <w:rPr>
                <w:rFonts w:ascii="宋体" w:hAnsi="宋体"/>
                <w:sz w:val="24"/>
                <w:szCs w:val="24"/>
              </w:rPr>
            </w:pPr>
            <w:r>
              <w:rPr>
                <w:rFonts w:hint="eastAsia" w:ascii="宋体" w:hAnsi="宋体"/>
                <w:sz w:val="24"/>
                <w:szCs w:val="24"/>
              </w:rPr>
              <w:t>6、文明施工措施，包括扬尘治理、环保措施运用</w:t>
            </w:r>
          </w:p>
          <w:p>
            <w:pPr>
              <w:autoSpaceDE w:val="0"/>
              <w:autoSpaceDN w:val="0"/>
              <w:rPr>
                <w:rFonts w:ascii="宋体" w:hAnsi="宋体"/>
                <w:sz w:val="24"/>
                <w:szCs w:val="24"/>
              </w:rPr>
            </w:pPr>
            <w:r>
              <w:rPr>
                <w:rFonts w:hint="eastAsia" w:ascii="宋体" w:hAnsi="宋体"/>
                <w:sz w:val="24"/>
                <w:szCs w:val="24"/>
                <w:lang w:eastAsia="zh-CN"/>
              </w:rPr>
              <w:t>齐全合理者每项得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提供者每项得</w:t>
            </w:r>
            <w:r>
              <w:rPr>
                <w:rFonts w:hint="eastAsia" w:ascii="宋体" w:hAnsi="宋体"/>
                <w:sz w:val="24"/>
                <w:szCs w:val="24"/>
                <w:lang w:val="en-US" w:eastAsia="zh-CN"/>
              </w:rPr>
              <w:t>1</w:t>
            </w:r>
            <w:r>
              <w:rPr>
                <w:rFonts w:hint="eastAsia" w:ascii="宋体" w:hAnsi="宋体"/>
                <w:sz w:val="24"/>
                <w:szCs w:val="24"/>
              </w:rPr>
              <w:t>分，</w:t>
            </w:r>
            <w:r>
              <w:rPr>
                <w:rFonts w:hint="eastAsia" w:ascii="宋体" w:hAnsi="宋体"/>
                <w:sz w:val="24"/>
                <w:szCs w:val="24"/>
                <w:lang w:eastAsia="zh-CN"/>
              </w:rPr>
              <w:t>缺项者不得分</w:t>
            </w:r>
            <w:r>
              <w:rPr>
                <w:rFonts w:hint="eastAsia" w:ascii="宋体" w:hAnsi="宋体"/>
                <w:sz w:val="24"/>
                <w:szCs w:val="24"/>
              </w:rPr>
              <w:t xml:space="preserve">。     </w:t>
            </w:r>
          </w:p>
        </w:tc>
        <w:tc>
          <w:tcPr>
            <w:tcW w:w="967" w:type="dxa"/>
            <w:vAlign w:val="center"/>
          </w:tcPr>
          <w:p>
            <w:pPr>
              <w:jc w:val="center"/>
              <w:rPr>
                <w:rFonts w:ascii="宋体" w:hAnsi="宋体"/>
                <w:sz w:val="24"/>
                <w:szCs w:val="24"/>
              </w:rPr>
            </w:pPr>
            <w:r>
              <w:rPr>
                <w:rFonts w:hint="eastAsia" w:ascii="宋体" w:hAnsi="宋体"/>
                <w:sz w:val="24"/>
                <w:szCs w:val="24"/>
                <w:u w:val="single"/>
                <w:lang w:val="en-US" w:eastAsia="zh-CN"/>
              </w:rPr>
              <w:t>12</w:t>
            </w:r>
            <w:r>
              <w:rPr>
                <w:rFonts w:hint="eastAsia" w:ascii="宋体" w:hAnsi="宋体"/>
                <w:sz w:val="24"/>
                <w:szCs w:val="24"/>
                <w:u w:val="single"/>
              </w:rPr>
              <w:t xml:space="preserve">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 w:val="24"/>
                <w:szCs w:val="24"/>
              </w:rPr>
            </w:pPr>
            <w:r>
              <w:rPr>
                <w:rFonts w:hint="eastAsia" w:ascii="宋体" w:hAnsi="宋体"/>
                <w:sz w:val="24"/>
                <w:szCs w:val="24"/>
              </w:rPr>
              <w:t>运营能力和维护方案</w:t>
            </w:r>
          </w:p>
        </w:tc>
        <w:tc>
          <w:tcPr>
            <w:tcW w:w="5953" w:type="dxa"/>
            <w:vAlign w:val="center"/>
          </w:tcPr>
          <w:p>
            <w:pPr>
              <w:numPr>
                <w:ilvl w:val="0"/>
                <w:numId w:val="1"/>
              </w:numPr>
              <w:autoSpaceDE w:val="0"/>
              <w:autoSpaceDN w:val="0"/>
              <w:rPr>
                <w:rFonts w:hint="eastAsia" w:ascii="宋体" w:hAnsi="宋体"/>
                <w:sz w:val="24"/>
                <w:szCs w:val="24"/>
              </w:rPr>
            </w:pPr>
            <w:r>
              <w:rPr>
                <w:rFonts w:hint="eastAsia" w:ascii="宋体" w:hAnsi="宋体"/>
                <w:sz w:val="24"/>
                <w:szCs w:val="24"/>
              </w:rPr>
              <w:t>总体运营维护方案</w:t>
            </w:r>
          </w:p>
          <w:p>
            <w:pPr>
              <w:numPr>
                <w:ilvl w:val="0"/>
                <w:numId w:val="1"/>
              </w:numPr>
              <w:autoSpaceDE w:val="0"/>
              <w:autoSpaceDN w:val="0"/>
              <w:rPr>
                <w:rFonts w:ascii="宋体" w:hAnsi="宋体"/>
                <w:sz w:val="24"/>
                <w:szCs w:val="24"/>
              </w:rPr>
            </w:pPr>
            <w:r>
              <w:rPr>
                <w:rFonts w:hint="eastAsia" w:ascii="宋体" w:hAnsi="宋体"/>
                <w:sz w:val="24"/>
                <w:szCs w:val="24"/>
                <w:lang w:eastAsia="zh-CN"/>
              </w:rPr>
              <w:t>日常运营、保通方案</w:t>
            </w:r>
            <w:r>
              <w:rPr>
                <w:rFonts w:hint="eastAsia" w:ascii="宋体" w:hAnsi="宋体"/>
                <w:sz w:val="24"/>
                <w:szCs w:val="24"/>
              </w:rPr>
              <w:t xml:space="preserve">                           </w:t>
            </w:r>
          </w:p>
          <w:p>
            <w:pPr>
              <w:numPr>
                <w:ilvl w:val="0"/>
                <w:numId w:val="1"/>
              </w:numPr>
              <w:autoSpaceDE w:val="0"/>
              <w:autoSpaceDN w:val="0"/>
              <w:ind w:left="0" w:leftChars="0" w:firstLine="0" w:firstLineChars="0"/>
              <w:rPr>
                <w:rFonts w:hint="eastAsia" w:ascii="宋体" w:hAnsi="宋体"/>
                <w:sz w:val="24"/>
                <w:szCs w:val="24"/>
              </w:rPr>
            </w:pPr>
            <w:r>
              <w:rPr>
                <w:rFonts w:hint="eastAsia" w:ascii="宋体" w:hAnsi="宋体"/>
                <w:sz w:val="24"/>
                <w:szCs w:val="24"/>
              </w:rPr>
              <w:t>运营能力分析</w:t>
            </w:r>
          </w:p>
          <w:p>
            <w:pPr>
              <w:numPr>
                <w:ilvl w:val="0"/>
                <w:numId w:val="1"/>
              </w:numPr>
              <w:autoSpaceDE w:val="0"/>
              <w:autoSpaceDN w:val="0"/>
              <w:ind w:left="0" w:leftChars="0" w:firstLine="0" w:firstLineChars="0"/>
              <w:rPr>
                <w:rFonts w:hint="eastAsia" w:ascii="宋体" w:hAnsi="宋体"/>
                <w:sz w:val="24"/>
                <w:szCs w:val="24"/>
              </w:rPr>
            </w:pPr>
            <w:r>
              <w:rPr>
                <w:rFonts w:hint="eastAsia" w:ascii="宋体" w:hAnsi="宋体"/>
                <w:sz w:val="24"/>
                <w:szCs w:val="24"/>
                <w:lang w:eastAsia="zh-CN"/>
              </w:rPr>
              <w:t>运营期内资金使用计划、利润分配计划</w:t>
            </w:r>
          </w:p>
          <w:p>
            <w:pPr>
              <w:autoSpaceDE w:val="0"/>
              <w:autoSpaceDN w:val="0"/>
              <w:rPr>
                <w:rFonts w:ascii="宋体" w:hAnsi="宋体"/>
                <w:sz w:val="24"/>
                <w:szCs w:val="24"/>
              </w:rPr>
            </w:pPr>
            <w:r>
              <w:rPr>
                <w:rFonts w:hint="eastAsia" w:ascii="宋体" w:hAnsi="宋体"/>
                <w:sz w:val="24"/>
                <w:szCs w:val="24"/>
                <w:lang w:eastAsia="zh-CN"/>
              </w:rPr>
              <w:t>齐全合理者每项得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提供者每项得</w:t>
            </w:r>
            <w:r>
              <w:rPr>
                <w:rFonts w:hint="eastAsia" w:ascii="宋体" w:hAnsi="宋体"/>
                <w:sz w:val="24"/>
                <w:szCs w:val="24"/>
                <w:lang w:val="en-US" w:eastAsia="zh-CN"/>
              </w:rPr>
              <w:t>1</w:t>
            </w:r>
            <w:r>
              <w:rPr>
                <w:rFonts w:hint="eastAsia" w:ascii="宋体" w:hAnsi="宋体"/>
                <w:sz w:val="24"/>
                <w:szCs w:val="24"/>
              </w:rPr>
              <w:t>分，</w:t>
            </w:r>
            <w:r>
              <w:rPr>
                <w:rFonts w:hint="eastAsia" w:ascii="宋体" w:hAnsi="宋体"/>
                <w:sz w:val="24"/>
                <w:szCs w:val="24"/>
                <w:lang w:eastAsia="zh-CN"/>
              </w:rPr>
              <w:t>缺项者不得分</w:t>
            </w:r>
            <w:r>
              <w:rPr>
                <w:rFonts w:hint="eastAsia" w:ascii="宋体" w:hAnsi="宋体"/>
                <w:sz w:val="24"/>
                <w:szCs w:val="24"/>
              </w:rPr>
              <w:t xml:space="preserve">。     </w:t>
            </w:r>
          </w:p>
        </w:tc>
        <w:tc>
          <w:tcPr>
            <w:tcW w:w="967" w:type="dxa"/>
            <w:vAlign w:val="center"/>
          </w:tcPr>
          <w:p>
            <w:pPr>
              <w:jc w:val="center"/>
              <w:rPr>
                <w:rFonts w:ascii="宋体" w:hAnsi="宋体"/>
                <w:sz w:val="24"/>
                <w:szCs w:val="24"/>
              </w:rPr>
            </w:pPr>
            <w:r>
              <w:rPr>
                <w:rFonts w:hint="eastAsia" w:ascii="宋体" w:hAnsi="宋体"/>
                <w:sz w:val="24"/>
                <w:szCs w:val="24"/>
                <w:u w:val="single"/>
                <w:lang w:val="en-US" w:eastAsia="zh-CN"/>
              </w:rPr>
              <w:t>8</w:t>
            </w:r>
            <w:r>
              <w:rPr>
                <w:rFonts w:hint="eastAsia" w:ascii="宋体" w:hAnsi="宋体"/>
                <w:sz w:val="24"/>
                <w:szCs w:val="24"/>
                <w:u w:val="single"/>
              </w:rPr>
              <w:t xml:space="preserve"> </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 w:val="24"/>
                <w:szCs w:val="24"/>
              </w:rPr>
            </w:pPr>
            <w:r>
              <w:rPr>
                <w:rFonts w:hint="eastAsia" w:ascii="宋体" w:hAnsi="宋体"/>
                <w:sz w:val="24"/>
                <w:szCs w:val="24"/>
              </w:rPr>
              <w:t>优惠及其他承诺</w:t>
            </w:r>
          </w:p>
        </w:tc>
        <w:tc>
          <w:tcPr>
            <w:tcW w:w="5953" w:type="dxa"/>
            <w:vAlign w:val="center"/>
          </w:tcPr>
          <w:p>
            <w:pPr>
              <w:wordWrap w:val="0"/>
              <w:rPr>
                <w:rFonts w:ascii="宋体" w:hAnsi="宋体"/>
                <w:sz w:val="24"/>
                <w:szCs w:val="24"/>
              </w:rPr>
            </w:pPr>
            <w:r>
              <w:rPr>
                <w:rFonts w:hint="eastAsia" w:ascii="宋体" w:hAnsi="宋体"/>
                <w:sz w:val="24"/>
                <w:szCs w:val="24"/>
              </w:rPr>
              <w:t>1、针对本项目特点，提供合理化建议和优惠措施，优7分，良好</w:t>
            </w:r>
            <w:r>
              <w:rPr>
                <w:rFonts w:hint="eastAsia" w:ascii="宋体" w:hAnsi="宋体"/>
                <w:sz w:val="24"/>
                <w:szCs w:val="24"/>
                <w:lang w:val="en-US" w:eastAsia="zh-CN"/>
              </w:rPr>
              <w:t>4</w:t>
            </w:r>
            <w:r>
              <w:rPr>
                <w:rFonts w:hint="eastAsia" w:ascii="宋体" w:hAnsi="宋体"/>
                <w:sz w:val="24"/>
                <w:szCs w:val="24"/>
              </w:rPr>
              <w:t>分，一般</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，不提供者不得分</w:t>
            </w:r>
            <w:r>
              <w:rPr>
                <w:rFonts w:hint="eastAsia" w:ascii="宋体" w:hAnsi="宋体"/>
                <w:sz w:val="24"/>
                <w:szCs w:val="24"/>
              </w:rPr>
              <w:t>。</w:t>
            </w:r>
          </w:p>
          <w:p>
            <w:pPr>
              <w:wordWrap w:val="0"/>
              <w:rPr>
                <w:rFonts w:ascii="宋体" w:hAnsi="宋体"/>
                <w:sz w:val="24"/>
                <w:szCs w:val="24"/>
              </w:rPr>
            </w:pPr>
            <w:r>
              <w:rPr>
                <w:rFonts w:hint="eastAsia" w:ascii="宋体" w:hAnsi="宋体"/>
                <w:sz w:val="24"/>
                <w:szCs w:val="24"/>
              </w:rPr>
              <w:t>2、提供融资未及时到位不影响项目进度承诺的得1分</w:t>
            </w:r>
            <w:r>
              <w:rPr>
                <w:rFonts w:hint="eastAsia" w:ascii="宋体" w:hAnsi="宋体"/>
                <w:sz w:val="24"/>
                <w:szCs w:val="24"/>
                <w:lang w:eastAsia="zh-CN"/>
              </w:rPr>
              <w:t>，不提供者不得分。</w:t>
            </w:r>
          </w:p>
        </w:tc>
        <w:tc>
          <w:tcPr>
            <w:tcW w:w="967" w:type="dxa"/>
            <w:vAlign w:val="center"/>
          </w:tcPr>
          <w:p>
            <w:pPr>
              <w:jc w:val="center"/>
              <w:rPr>
                <w:rFonts w:ascii="宋体" w:hAnsi="宋体"/>
                <w:sz w:val="24"/>
                <w:szCs w:val="24"/>
              </w:rPr>
            </w:pPr>
            <w:r>
              <w:rPr>
                <w:rFonts w:hint="eastAsia" w:ascii="宋体" w:hAnsi="宋体"/>
                <w:sz w:val="24"/>
                <w:szCs w:val="24"/>
                <w:u w:val="single"/>
              </w:rPr>
              <w:t xml:space="preserve">8 </w:t>
            </w:r>
            <w:r>
              <w:rPr>
                <w:rFonts w:hint="eastAsia" w:ascii="宋体" w:hAnsi="宋体"/>
                <w:sz w:val="24"/>
                <w:szCs w:val="24"/>
              </w:rPr>
              <w:t>分</w:t>
            </w:r>
          </w:p>
        </w:tc>
      </w:tr>
    </w:tbl>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五、资金支付</w:t>
      </w:r>
    </w:p>
    <w:p>
      <w:pPr>
        <w:spacing w:line="360" w:lineRule="auto"/>
        <w:ind w:firstLine="480" w:firstLineChars="200"/>
        <w:rPr>
          <w:rFonts w:ascii="宋体" w:hAnsi="宋体" w:cs="宋体"/>
          <w:sz w:val="24"/>
          <w:szCs w:val="24"/>
        </w:rPr>
      </w:pPr>
      <w:r>
        <w:rPr>
          <w:rFonts w:hint="eastAsia" w:ascii="宋体" w:hAnsi="宋体" w:cs="宋体"/>
          <w:sz w:val="24"/>
          <w:szCs w:val="24"/>
        </w:rPr>
        <w:t>1、支付方式：银行转账。</w:t>
      </w:r>
    </w:p>
    <w:p>
      <w:pPr>
        <w:widowControl/>
        <w:shd w:val="clear" w:color="auto" w:fill="FFFFFF"/>
        <w:spacing w:line="360" w:lineRule="auto"/>
        <w:ind w:firstLine="480" w:firstLineChars="200"/>
        <w:contextualSpacing/>
        <w:jc w:val="left"/>
        <w:rPr>
          <w:rFonts w:cs="黑体" w:asciiTheme="minorEastAsia" w:hAnsiTheme="minorEastAsia"/>
          <w:b/>
          <w:bCs/>
          <w:color w:val="000000" w:themeColor="text1"/>
          <w:sz w:val="24"/>
          <w:szCs w:val="24"/>
          <w:shd w:val="clear" w:color="auto" w:fill="FFFFFF"/>
        </w:rPr>
      </w:pPr>
      <w:r>
        <w:rPr>
          <w:rFonts w:hint="eastAsia" w:ascii="宋体" w:hAnsi="宋体" w:cs="宋体"/>
          <w:sz w:val="24"/>
          <w:szCs w:val="24"/>
        </w:rPr>
        <w:t>2、支付时间及条件：</w:t>
      </w:r>
      <w:r>
        <w:rPr>
          <w:rFonts w:hint="eastAsia" w:ascii="宋体" w:hAnsi="宋体" w:cs="宋体"/>
          <w:color w:val="000000" w:themeColor="text1"/>
          <w:sz w:val="24"/>
          <w:szCs w:val="24"/>
        </w:rPr>
        <w:t>将根据此次招标片区内基础设施建设情况以及经营性用地出让情况进行支付，支付金额不超过区域内经营性土地出让净收益的90%。</w:t>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六、联系方式及地址</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联系人：彭聪         联系电话：</w:t>
      </w:r>
      <w:r>
        <w:rPr>
          <w:rFonts w:cs="宋体" w:asciiTheme="minorEastAsia" w:hAnsiTheme="minorEastAsia"/>
          <w:color w:val="000000"/>
          <w:kern w:val="0"/>
          <w:sz w:val="24"/>
          <w:szCs w:val="24"/>
          <w:lang w:val="zh-CN"/>
        </w:rPr>
        <w:t>0374-3191016</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递交书面材料地址：许昌市城乡一体化示范区管理委员会三楼</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p>
    <w:p>
      <w:pPr>
        <w:widowControl/>
        <w:shd w:val="clear" w:color="auto" w:fill="FFFFFF"/>
        <w:spacing w:line="360" w:lineRule="auto"/>
        <w:ind w:firstLine="3960" w:firstLineChars="165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许昌市城乡一体化示范区管理委员会</w:t>
      </w:r>
    </w:p>
    <w:p>
      <w:pPr>
        <w:widowControl/>
        <w:shd w:val="clear" w:color="auto" w:fill="FFFFFF"/>
        <w:spacing w:line="360" w:lineRule="auto"/>
        <w:ind w:firstLine="4900" w:firstLineChars="175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2018年2月2日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93"/>
    <w:multiLevelType w:val="singleLevel"/>
    <w:tmpl w:val="014274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0DB9"/>
    <w:rsid w:val="000962E5"/>
    <w:rsid w:val="000D0DB9"/>
    <w:rsid w:val="001F49D7"/>
    <w:rsid w:val="00280A96"/>
    <w:rsid w:val="003305A4"/>
    <w:rsid w:val="00353109"/>
    <w:rsid w:val="003B4FAB"/>
    <w:rsid w:val="003F6344"/>
    <w:rsid w:val="00433C1C"/>
    <w:rsid w:val="00437A1F"/>
    <w:rsid w:val="00445E0A"/>
    <w:rsid w:val="004F6412"/>
    <w:rsid w:val="00517728"/>
    <w:rsid w:val="00535848"/>
    <w:rsid w:val="00552A3C"/>
    <w:rsid w:val="005846F0"/>
    <w:rsid w:val="005F6E5B"/>
    <w:rsid w:val="007D34F2"/>
    <w:rsid w:val="009504F1"/>
    <w:rsid w:val="00993E00"/>
    <w:rsid w:val="00B42690"/>
    <w:rsid w:val="00B7524D"/>
    <w:rsid w:val="00B75349"/>
    <w:rsid w:val="00BA0D54"/>
    <w:rsid w:val="00BD4C19"/>
    <w:rsid w:val="00BE4D3F"/>
    <w:rsid w:val="00C00EB9"/>
    <w:rsid w:val="00CB64D7"/>
    <w:rsid w:val="00DC2436"/>
    <w:rsid w:val="00EA08A1"/>
    <w:rsid w:val="00EC6D0C"/>
    <w:rsid w:val="00FD46A4"/>
    <w:rsid w:val="09120AFF"/>
    <w:rsid w:val="0C2C3DAF"/>
    <w:rsid w:val="126E601D"/>
    <w:rsid w:val="18C04D89"/>
    <w:rsid w:val="43901518"/>
    <w:rsid w:val="6F766158"/>
    <w:rsid w:val="70E41773"/>
    <w:rsid w:val="72124BD1"/>
    <w:rsid w:val="77A97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eastAsia="宋体"/>
      <w:sz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副标题 Char"/>
    <w:basedOn w:val="6"/>
    <w:link w:val="5"/>
    <w:qFormat/>
    <w:uiPriority w:val="0"/>
    <w:rPr>
      <w:rFonts w:asciiTheme="majorHAnsi" w:hAnsiTheme="majorHAnsi" w:cstheme="majorBidi"/>
      <w:b/>
      <w:bCs/>
      <w:kern w:val="28"/>
      <w:sz w:val="32"/>
      <w:szCs w:val="32"/>
    </w:rPr>
  </w:style>
  <w:style w:type="character" w:customStyle="1" w:styleId="9">
    <w:name w:val="纯文本 Char"/>
    <w:basedOn w:val="6"/>
    <w:link w:val="2"/>
    <w:qFormat/>
    <w:uiPriority w:val="0"/>
    <w:rPr>
      <w:rFonts w:asciiTheme="minorHAnsi" w:hAnsiTheme="minorHAnsi" w:cstheme="minorBidi"/>
      <w:kern w:val="2"/>
      <w:sz w:val="24"/>
      <w:szCs w:val="22"/>
    </w:rPr>
  </w:style>
  <w:style w:type="character" w:customStyle="1" w:styleId="10">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11">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548</Words>
  <Characters>3124</Characters>
  <Lines>26</Lines>
  <Paragraphs>7</Paragraphs>
  <ScaleCrop>false</ScaleCrop>
  <LinksUpToDate>false</LinksUpToDate>
  <CharactersWithSpaces>3665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2018-02-02T05:16:00Z</dcterms:created>
  <dc:creator>AutoBVT</dc:creator>
  <cp:lastModifiedBy>欧邦工程管理有限公司:蔡书贞</cp:lastModifiedBy>
  <dcterms:modified xsi:type="dcterms:W3CDTF">2018-02-02T08:42:06Z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