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附件2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投标分项报价一览表</w:t>
      </w:r>
    </w:p>
    <w:p>
      <w:pPr>
        <w:autoSpaceDE w:val="0"/>
        <w:autoSpaceDN w:val="0"/>
        <w:adjustRightInd w:val="0"/>
        <w:spacing w:line="140" w:lineRule="exac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</w:t>
      </w:r>
    </w:p>
    <w:tbl>
      <w:tblPr>
        <w:tblStyle w:val="3"/>
        <w:tblW w:w="9380" w:type="dxa"/>
        <w:tblInd w:w="-4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57"/>
        <w:gridCol w:w="3450"/>
        <w:gridCol w:w="832"/>
        <w:gridCol w:w="873"/>
        <w:gridCol w:w="1377"/>
        <w:gridCol w:w="13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名 称</w:t>
            </w:r>
          </w:p>
        </w:tc>
        <w:tc>
          <w:tcPr>
            <w:tcW w:w="3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服务内容</w:t>
            </w:r>
          </w:p>
        </w:tc>
        <w:tc>
          <w:tcPr>
            <w:tcW w:w="8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数量</w:t>
            </w:r>
          </w:p>
        </w:tc>
        <w:tc>
          <w:tcPr>
            <w:tcW w:w="13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单价</w:t>
            </w:r>
          </w:p>
        </w:tc>
        <w:tc>
          <w:tcPr>
            <w:tcW w:w="1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总价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zh-CN"/>
              </w:rPr>
              <w:t>灞陵路等14条道路路灯后期管护工程</w:t>
            </w:r>
          </w:p>
        </w:tc>
        <w:tc>
          <w:tcPr>
            <w:tcW w:w="3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zh-CN"/>
              </w:rPr>
              <w:t>路灯设施（线路、灯杆及基础、灯具、箱式变电站）的日常运行与管理维修、110联动及数字化城管中心派发涉及的灯设施的案件处理、路灯使用过程中的安全责任及风险等</w:t>
            </w:r>
          </w:p>
        </w:tc>
        <w:tc>
          <w:tcPr>
            <w:tcW w:w="8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1162000元</w:t>
            </w:r>
          </w:p>
        </w:tc>
        <w:tc>
          <w:tcPr>
            <w:tcW w:w="1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1162000元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合  计</w:t>
            </w:r>
          </w:p>
        </w:tc>
        <w:tc>
          <w:tcPr>
            <w:tcW w:w="788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大写：壹佰壹拾陆万贰仟元整　      小写：1162000.00元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投标人（公章）：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许昌市市政实业有限公司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投标人法定代表人 （或代理人）签字：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D7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娟子</cp:lastModifiedBy>
  <dcterms:modified xsi:type="dcterms:W3CDTF">2018-01-31T00:46:12Z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