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pacing w:line="360" w:lineRule="atLeast"/>
        <w:ind w:firstLine="600"/>
        <w:jc w:val="center"/>
        <w:rPr>
          <w:rFonts w:hint="eastAsia" w:ascii="黑体" w:hAnsi="黑体" w:eastAsia="黑体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许昌市规划展览馆LED屏项目需求</w:t>
      </w:r>
    </w:p>
    <w:p>
      <w:pPr>
        <w:widowControl/>
        <w:shd w:val="solid" w:color="FFFFFF" w:fill="auto"/>
        <w:autoSpaceDN w:val="0"/>
        <w:spacing w:line="360" w:lineRule="atLeast"/>
        <w:ind w:firstLine="600"/>
        <w:jc w:val="center"/>
        <w:rPr>
          <w:rFonts w:hint="eastAsia" w:ascii="黑体" w:hAnsi="黑体" w:eastAsia="黑体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</w:p>
    <w:p>
      <w:pPr>
        <w:widowControl/>
        <w:shd w:val="solid" w:color="FFFFFF" w:fill="auto"/>
        <w:autoSpaceDN w:val="0"/>
        <w:spacing w:line="360" w:lineRule="atLeast"/>
        <w:ind w:firstLine="600"/>
        <w:jc w:val="left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一、项目概况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hAnsi="微软雅黑" w:eastAsia="微软雅黑"/>
          <w:color w:val="000000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color w:val="000000"/>
          <w:shd w:val="clear" w:color="auto" w:fill="FFFFFF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（一）项目名称：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zh-CN" w:eastAsia="zh-CN"/>
        </w:rPr>
        <w:t>规划评审决策室LED屏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FF0000"/>
          <w:sz w:val="28"/>
          <w:szCs w:val="28"/>
          <w:highlight w:val="blue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（二）采购方式：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公开招标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（三）主要内容、数量及要求：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LED显示屏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zh-CN"/>
        </w:rPr>
        <w:t>、多视频控制器、综合播控平台及配套和相关集成服务等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一套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hint="eastAsia" w:ascii="仿宋" w:hAnsi="仿宋" w:eastAsia="仿宋"/>
          <w:color w:val="auto"/>
          <w:kern w:val="0"/>
          <w:sz w:val="28"/>
          <w:szCs w:val="28"/>
          <w:highlight w:val="blue"/>
          <w:shd w:val="clear" w:color="auto" w:fill="auto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四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）预算金额：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</w:rPr>
        <w:t>1047740元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；最高限价：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auto"/>
        </w:rPr>
        <w:t xml:space="preserve"> 1047740元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hint="eastAsia" w:ascii="仿宋" w:hAnsi="仿宋" w:eastAsia="仿宋"/>
          <w:color w:val="0000FF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（五）交付（服务、完工）时间：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签订合同后10个日历天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000000"/>
          <w:sz w:val="28"/>
          <w:szCs w:val="28"/>
          <w:highlight w:val="blue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（六）交付（服务、施工）地点：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</w:rPr>
        <w:t>许昌市规划展览馆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（七）进口产品：</w:t>
      </w:r>
      <w:r>
        <w:rPr>
          <w:rFonts w:ascii="仿宋" w:hAnsi="仿宋" w:eastAsia="仿宋"/>
          <w:color w:val="auto"/>
          <w:kern w:val="0"/>
          <w:sz w:val="28"/>
          <w:szCs w:val="28"/>
          <w:shd w:val="clear" w:color="auto" w:fill="FFFFFF"/>
        </w:rPr>
        <w:t>不允许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（八）分包：</w:t>
      </w:r>
      <w:r>
        <w:rPr>
          <w:rFonts w:ascii="仿宋" w:hAnsi="仿宋" w:eastAsia="仿宋"/>
          <w:color w:val="auto"/>
          <w:kern w:val="0"/>
          <w:sz w:val="28"/>
          <w:szCs w:val="28"/>
          <w:shd w:val="clear" w:color="auto" w:fill="FFFFFF"/>
        </w:rPr>
        <w:t>不允许</w:t>
      </w:r>
    </w:p>
    <w:p>
      <w:pPr>
        <w:widowControl/>
        <w:shd w:val="solid" w:color="FFFFFF" w:fill="auto"/>
        <w:autoSpaceDN w:val="0"/>
        <w:spacing w:line="360" w:lineRule="atLeast"/>
        <w:ind w:firstLine="600"/>
        <w:jc w:val="left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二、需要落实的政府采购政策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ascii="仿宋" w:hAnsi="仿宋" w:eastAsia="仿宋"/>
          <w:color w:val="000000"/>
          <w:kern w:val="0"/>
          <w:sz w:val="30"/>
          <w:shd w:val="clear" w:color="auto" w:fill="FFFFFF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zh-CN"/>
        </w:rPr>
        <w:t>本项目落实节能环保、中小微型企业及监狱企业发展，残疾人福利性单位相关政府采购政策。</w:t>
      </w:r>
    </w:p>
    <w:p>
      <w:pPr>
        <w:widowControl/>
        <w:numPr>
          <w:ilvl w:val="0"/>
          <w:numId w:val="1"/>
        </w:numPr>
        <w:shd w:val="solid" w:color="FFFFFF" w:fill="auto"/>
        <w:autoSpaceDN w:val="0"/>
        <w:spacing w:line="360" w:lineRule="atLeast"/>
        <w:ind w:firstLine="600"/>
        <w:jc w:val="left"/>
        <w:rPr>
          <w:rFonts w:ascii="黑体" w:hAnsi="黑体" w:eastAsia="黑体"/>
          <w:color w:val="000000"/>
          <w:kern w:val="0"/>
          <w:sz w:val="3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投标人资格要求</w:t>
      </w:r>
    </w:p>
    <w:p>
      <w:pPr>
        <w:numPr>
          <w:ilvl w:val="0"/>
          <w:numId w:val="2"/>
        </w:numPr>
        <w:snapToGrid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符合《政府采购法》第二十二条之规定。</w:t>
      </w:r>
    </w:p>
    <w:p>
      <w:pPr>
        <w:numPr>
          <w:ilvl w:val="0"/>
          <w:numId w:val="3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本次招标不接受联合体投标。</w:t>
      </w:r>
    </w:p>
    <w:p>
      <w:pPr>
        <w:widowControl/>
        <w:shd w:val="solid" w:color="FFFFFF" w:fill="auto"/>
        <w:autoSpaceDN w:val="0"/>
        <w:spacing w:line="360" w:lineRule="atLeast"/>
        <w:ind w:firstLine="600"/>
        <w:jc w:val="left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四、采购需求</w:t>
      </w:r>
    </w:p>
    <w:p>
      <w:pPr>
        <w:widowControl/>
        <w:shd w:val="solid" w:color="FFFFFF" w:fill="auto"/>
        <w:autoSpaceDN w:val="0"/>
        <w:spacing w:line="360" w:lineRule="atLeast"/>
        <w:ind w:firstLine="600"/>
        <w:jc w:val="left"/>
        <w:rPr>
          <w:rFonts w:ascii="仿宋" w:hAnsi="仿宋" w:eastAsia="仿宋"/>
          <w:color w:val="000000"/>
          <w:kern w:val="0"/>
          <w:sz w:val="30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30"/>
          <w:shd w:val="clear" w:color="auto" w:fill="FFFFFF"/>
        </w:rPr>
        <w:t>（一）本项目需实现的功能或者目标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zh-CN"/>
        </w:rPr>
        <w:t>许昌市规划展览馆规划评审决策室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目前显示屏是3*3的46寸液晶显示屏拼接而成，显示屏尺寸为3.1m*1.73m，因有拼接缝影响观看效果，拟用室内全彩LED小间距拼接屏替换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zh-CN"/>
        </w:rPr>
        <w:t>。根据会议室布局，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本次招标拟采用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zh-CN"/>
        </w:rPr>
        <w:t>像素间距&lt;1.5mm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的LED全彩屏，画面清晰细腻，距离显示屏最近的座位观看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几乎没有颗粒感。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45" w:leftChars="0" w:hanging="885" w:firstLineChars="0"/>
        <w:jc w:val="left"/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zh-CN"/>
        </w:rPr>
      </w:pP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采购清单</w:t>
      </w:r>
    </w:p>
    <w:tbl>
      <w:tblPr>
        <w:tblStyle w:val="3"/>
        <w:tblW w:w="8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914"/>
        <w:gridCol w:w="5361"/>
        <w:gridCol w:w="324"/>
        <w:gridCol w:w="747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技术规格及主要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大小（数量）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是否为核心产品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LED显示屏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规划评审决策室LED显示屏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/>
                <w:lang w:val="en-US" w:eastAsia="zh-CN"/>
              </w:rPr>
              <w:t>1</w:t>
            </w:r>
            <w:r>
              <w:rPr>
                <w:rStyle w:val="4"/>
                <w:rFonts w:hint="default"/>
              </w:rPr>
              <w:t>.像素间距1.49mm； 采用亿光、宏齐、欧司朗或相同档次及以上品牌LED黑灯，黑灯规格0.8mm*0.8mm。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2.每个灯芯的波长误差值在±1.5nm以内；每个灯芯的亮度误差在10％以内；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3.屏幕尺寸：面</w:t>
            </w:r>
            <w:r>
              <w:rPr>
                <w:rStyle w:val="5"/>
                <w:rFonts w:hint="default"/>
              </w:rPr>
              <w:t>积：3.6m*2.025m=7.29m²</w:t>
            </w:r>
            <w:r>
              <w:rPr>
                <w:rStyle w:val="4"/>
                <w:rFonts w:hint="default"/>
              </w:rPr>
              <w:t>；物理分辨率为不小于2415*1356像素；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eastAsia"/>
                <w:lang w:val="en-US" w:eastAsia="zh-CN"/>
              </w:rPr>
              <w:t>*</w:t>
            </w:r>
            <w:r>
              <w:rPr>
                <w:rStyle w:val="4"/>
                <w:rFonts w:hint="default"/>
              </w:rPr>
              <w:t>4.屏幕亮度：≥</w:t>
            </w:r>
            <w:r>
              <w:rPr>
                <w:rStyle w:val="4"/>
                <w:rFonts w:hint="eastAsia"/>
                <w:lang w:val="en-US" w:eastAsia="zh-CN"/>
              </w:rPr>
              <w:t>600cd/平方米</w:t>
            </w:r>
            <w:r>
              <w:rPr>
                <w:rStyle w:val="4"/>
                <w:rFonts w:hint="default"/>
              </w:rPr>
              <w:t>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5.箱体背部具有LCD运行状态监视窗口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6.智能电源设计，显示屏支持待机，进一步降低功耗，支持电源状态回传；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7.LED平均寿命大于10万小时（半衰期寿命）；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8.盲点率≤0.00001；无常亮点；</w:t>
            </w:r>
            <w:r>
              <w:rPr>
                <w:rStyle w:val="4"/>
                <w:rFonts w:hint="eastAsia"/>
                <w:lang w:val="en-US" w:eastAsia="zh-CN"/>
              </w:rPr>
              <w:t>*</w:t>
            </w:r>
            <w:r>
              <w:rPr>
                <w:rStyle w:val="4"/>
                <w:rFonts w:hint="default"/>
              </w:rPr>
              <w:t>整屏幕平整度≤0.2mm；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9.换帧频率：60Hz；刷新频率≥3600Hz；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eastAsia"/>
                <w:lang w:val="en-US" w:eastAsia="zh-CN"/>
              </w:rPr>
              <w:t>*</w:t>
            </w:r>
            <w:r>
              <w:rPr>
                <w:rStyle w:val="4"/>
                <w:rFonts w:hint="default"/>
              </w:rPr>
              <w:t>10.对比度≥6000:1</w:t>
            </w:r>
            <w:r>
              <w:rPr>
                <w:rStyle w:val="4"/>
                <w:rFonts w:hint="eastAsia"/>
                <w:lang w:eastAsia="zh-CN"/>
              </w:rPr>
              <w:t>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eastAsia"/>
                <w:lang w:val="en-US" w:eastAsia="zh-CN"/>
              </w:rPr>
              <w:t>*</w:t>
            </w:r>
            <w:r>
              <w:rPr>
                <w:rStyle w:val="4"/>
                <w:rFonts w:hint="default"/>
              </w:rPr>
              <w:t>11.支持单点亮度及色度校正，色温可调范围：3200k~9300k，并可自定义色温值；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eastAsia"/>
                <w:lang w:val="en-US" w:eastAsia="zh-CN"/>
              </w:rPr>
              <w:t>*</w:t>
            </w:r>
            <w:r>
              <w:rPr>
                <w:rStyle w:val="4"/>
                <w:rFonts w:hint="default"/>
              </w:rPr>
              <w:t>12.亮度均匀性≥99%；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13.换帧频率：50&amp;60Hz；刷新频率≥3600Hz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14.水平视角≥160°，垂直视角≥160°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eastAsia"/>
                <w:lang w:val="en-US" w:eastAsia="zh-CN"/>
              </w:rPr>
              <w:t>*</w:t>
            </w:r>
            <w:r>
              <w:rPr>
                <w:rStyle w:val="4"/>
                <w:rFonts w:hint="default"/>
              </w:rPr>
              <w:t xml:space="preserve">15.峰值功率≤450W/㎡ 平均功率≤160W/㎡ 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16.先进的除亮、暗线功能，从软、硬两方面彻底改善困扰小间距LED安装精度造成的亮、暗线问题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17.支持双电源、双信号备份技术，提高产品和系统的稳定性;视频及控制信号采用菊花链式环接，简化布线难度，节省中间设备。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 xml:space="preserve">18. 硬件集成度高，打破LED固有硬件架构，灯板与驱动板合二为一。无外置的LED控制器，内置的图像处理板。 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19通用的HDMI输入接口，符合系统集成和最终用户的普遍认识和使用习惯；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20先进的除亮、暗线功能，从软、硬两方面彻底改善困扰小间距LED安装精度造成的亮、暗线问题；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eastAsia"/>
                <w:lang w:val="en-US" w:eastAsia="zh-CN"/>
              </w:rPr>
              <w:t>*</w:t>
            </w:r>
            <w:r>
              <w:rPr>
                <w:rStyle w:val="4"/>
                <w:rFonts w:hint="default"/>
              </w:rPr>
              <w:t>21. LED屏幕工作噪声&lt;17db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22.镁铝或铸铝箱体结构设计，一体化驱动主板设计，拥有自带驱动控制的LED显示单元。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23.低亮高灰效果，100%亮度，16bit灰度；70%亮度，16bit灰度；50%亮度，16bit灰度；20%亮度，15bit灰度。</w:t>
            </w:r>
            <w:r>
              <w:rPr>
                <w:rStyle w:val="4"/>
                <w:rFonts w:hint="default"/>
              </w:rPr>
              <w:br w:type="textWrapping"/>
            </w:r>
            <w:r>
              <w:rPr>
                <w:rStyle w:val="4"/>
                <w:rFonts w:hint="default"/>
              </w:rPr>
              <w:t>24.三年质保。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多视频控制器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1、采用全硬件FPGA架构，无内置操作系统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2、所有输入，输出板卡在工作状态下支持热插拔，风扇电源的主要模块为插卡式设计。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3、将输入图像数据压缩编码后通过网络传输给综合播控平台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4、支持回显功能，和视频预监功能。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5、支持无缝切换，确保单个或多个信号进行切换时没有黑场间隔困扰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6、支持对输入信号通道进行字符叠加，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7、单台设备支持同时控制四组不同分辨率的屏幕墙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8、支持视频的倍频倍线处理功能，支持图像去黑边，裁剪，局部放大，偏移校正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9、支持输入端口EDI编辑功能，支持自定义输出分辨率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10、具备以太网和RS232两种控制接口，可以通过触控一体机对设备进行控制。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11、具有信号自动识别功能，信号的接入和拔出可通过软件界面进行识别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12、支持视频预监和屏幕回显功能；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13、支持信号复制功能，多屏幕共享视频源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14、3U机箱，4路DVI输出，4路DVI信号输入，支持预监。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综合播控平台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、将整个LED显示系统的信号和LED屏幕、配电柜PLC、多视频处理器、视频矩阵，各种类型视频源进行深度整合，统一由一套管理软件，通过控制主机和触摸屏进行配置、管理和调用。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2、支持显示素材多样化，各种视频文件、图片、底图、字幕、流媒体、IP桌面、超大分辨率图像的任意开窗、叠加显示；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3、系统支持PC端触控操作，增强互动性，所见及所得；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4、支持在线、离线场景编辑；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5、支持多权限、多用户同时操作、分区操作，数据库实时数据更新，增强了数据的稳定性及安全性；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6、支持日志记录，操作可追溯；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7、支持多语言功能，方便切换；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8、C/S架构，操作平台和服务分离，控制便捷、执行效率高；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9、为了满足操作的安全性，软件场景设置和设备管理操作分离；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10、需要支持LED显示屏等系统设备工作状态实时监控、故障智能诊断；支持自动的场景、节目播放、开关控制，适应各时段、多类型显示需求；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11、支持单屏，多屏同时操控、数据集中管理，适应简单系统到复杂系统不同的操控模式，满足各种岗位集中管理、协同工作的需要；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8口百兆交换机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网络标准：IEEE802.3，IEEE802.3u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传输速率：10/100/1000Mbps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交换容量：32Gbps，包转发率：4.2Mpps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网络端口：8个10/100Base-TX以太网端口，2个10/100/1000Base-T以太网端口和2个复用的100/1000Base-X SFP端口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媒体服务器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I7-6700处理器16G内存 1T硬盘 +256GSSD硬盘   (WIN10系统）；GTX1050 2G独立显卡，（dvi+hdmi+dp三接口），21.5寸显示屏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智能配电柜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1、含PLC控制系统，可实时获取屏幕背部烟雾及温度数据，可执行远程开关机操作；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2、容量10KW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3、本配电柜具备过压、过流、欠压、短路、断路以及漏电保护措施；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线材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配电线缆、信号线、弱电线缆；线缆用专业穿线管分别敷设；液晶拼接屏移转所需线材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屏体钢结构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显示屏主体钢结构，钢铝混合结构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LED屏安装、调试、运输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1、LED显示屏箱体及屏体钢结构运输；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2、LED箱体拼接安装；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3、LED整屏点亮调试确保所有灯芯均能点亮；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4、LED整屏颜色及亮度调试，使整个画面观看效果最佳；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5、LED显示系统的信号和LED屏幕、配电柜PLC、多视频处理器、视频矩阵等联动调试，使其作为一个整体，操作简单、使用方便。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LED屏备品备件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为满足现场及时处理故障需要备品备件：模组4块，专业配套电源2块，灯珠2000个，连接线1批。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装修费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1、背景墙体基础改造，与屏体钢结构平顺对接并保证钢结构突出墙体的尺寸满足要求；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2、屏体四周装饰装修，与原有背景墙装修风格一致；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3、保证饰板上下之间拼缝及饰板与显示屏拼缝满足要求；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4、保证饰板左右之间拼缝及饰板与显示屏拼缝满足要求；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5、背景墙无尘防护；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6、装修主材及辅材。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音箱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喇叭口径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8"X1 2"X1 ； 额定功率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60W ； 最大功率:120W ； 工作方式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8Ω（定阻）； 70V/100V（定压）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灵敏度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91dB ； 频响范围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55Hz-20KHz ； 谐振频率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40Hz  ；重量(kg)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：大于等于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整体调试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1、音箱系统接入新建LED屏系统调试，能同步播放画面声音。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2、音箱噪音等调试，使播放声音自然；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、原有系统接入LED屏调试，使原有系统与新建LED屏系统形成一个新的整体。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原液晶拼接屏拆除、安装费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1、原有液晶显示器拆除；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2、原液晶拼接钢架拆除；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3、原液晶显示器安装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规划局内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4、原液晶显示器钢架安装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规划局内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</w:tbl>
    <w:p>
      <w:pPr>
        <w:widowControl/>
        <w:shd w:val="solid" w:color="FFFFFF" w:fill="auto"/>
        <w:autoSpaceDN w:val="0"/>
        <w:spacing w:line="360" w:lineRule="atLeast"/>
        <w:ind w:firstLine="600"/>
        <w:jc w:val="left"/>
        <w:rPr>
          <w:rFonts w:hint="eastAsia" w:ascii="宋体" w:hAnsi="宋体" w:cs="宋体"/>
          <w:bCs/>
          <w:color w:val="0000FF"/>
          <w:sz w:val="24"/>
        </w:rPr>
      </w:pPr>
    </w:p>
    <w:p>
      <w:pPr>
        <w:widowControl/>
        <w:numPr>
          <w:ilvl w:val="0"/>
          <w:numId w:val="4"/>
        </w:numPr>
        <w:shd w:val="solid" w:color="FFFFFF" w:fill="auto"/>
        <w:autoSpaceDN w:val="0"/>
        <w:spacing w:line="360" w:lineRule="atLeast"/>
        <w:ind w:firstLine="560" w:firstLineChars="200"/>
        <w:jc w:val="left"/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ascii="仿宋" w:hAnsi="仿宋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服务标准、期限、效率等要求</w:t>
      </w:r>
      <w:r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shd w:val="solid" w:color="FFFFFF" w:fill="auto"/>
        <w:autoSpaceDN w:val="0"/>
        <w:spacing w:line="360" w:lineRule="atLeast"/>
        <w:jc w:val="left"/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1、保证核心设备LED屏及其他设备安装调试正常运行的同时，须保证会议室电路排线符合有关电路技术指标的规定，确保电路规范化、整齐化、安全化；所有设备质保期最低年限均为三年；如果设备出现故障能及时解决，7*24小时电话技术支持。</w:t>
      </w:r>
    </w:p>
    <w:p>
      <w:pPr>
        <w:widowControl/>
        <w:numPr>
          <w:ilvl w:val="0"/>
          <w:numId w:val="0"/>
        </w:numPr>
        <w:shd w:val="solid" w:color="FFFFFF" w:fill="auto"/>
        <w:autoSpaceDN w:val="0"/>
        <w:spacing w:line="360" w:lineRule="atLeast"/>
        <w:jc w:val="left"/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2、按照采购单位的需求，在规划决策评审室会议室召开重要会议时，如技术会、规委会等，需配备一名固定的技术人员（能处理设备突发异常情况），能按照采购方人员规定的时间随叫随到，提供必要的技术支持，负责保障设备正常运行。</w:t>
      </w:r>
    </w:p>
    <w:p>
      <w:pPr>
        <w:widowControl/>
        <w:numPr>
          <w:ilvl w:val="0"/>
          <w:numId w:val="0"/>
        </w:numPr>
        <w:shd w:val="solid" w:color="FFFFFF" w:fill="auto"/>
        <w:autoSpaceDN w:val="0"/>
        <w:spacing w:line="360" w:lineRule="atLeast"/>
        <w:jc w:val="left"/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3、按照采购单位要求提供对采购方人员的培训指导，熟练掌握设备简单的运维（可以通过现场、电话、email、远程等方式）。</w:t>
      </w:r>
    </w:p>
    <w:p>
      <w:pPr>
        <w:widowControl/>
        <w:numPr>
          <w:ilvl w:val="0"/>
          <w:numId w:val="5"/>
        </w:numPr>
        <w:shd w:val="solid" w:color="FFFFFF" w:fill="auto"/>
        <w:autoSpaceDN w:val="0"/>
        <w:spacing w:line="360" w:lineRule="atLeast"/>
        <w:ind w:firstLine="576"/>
        <w:jc w:val="left"/>
        <w:rPr>
          <w:rFonts w:ascii="仿宋" w:hAnsi="仿宋" w:eastAsia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auto"/>
          <w:kern w:val="0"/>
          <w:sz w:val="28"/>
          <w:szCs w:val="28"/>
          <w:shd w:val="clear" w:color="auto" w:fill="FFFFFF"/>
        </w:rPr>
        <w:t>验收标准</w:t>
      </w:r>
    </w:p>
    <w:p>
      <w:pPr>
        <w:widowControl/>
        <w:shd w:val="solid" w:color="FFFFFF" w:fill="auto"/>
        <w:autoSpaceDN w:val="0"/>
        <w:spacing w:line="360" w:lineRule="atLeast"/>
        <w:ind w:firstLine="600"/>
        <w:jc w:val="left"/>
        <w:rPr>
          <w:rFonts w:ascii="微软雅黑" w:hAnsi="微软雅黑" w:eastAsia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1 、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solid" w:color="FFFFFF" w:fill="auto"/>
        <w:autoSpaceDN w:val="0"/>
        <w:spacing w:line="360" w:lineRule="atLeast"/>
        <w:ind w:firstLine="600"/>
        <w:jc w:val="left"/>
        <w:rPr>
          <w:rFonts w:ascii="微软雅黑" w:hAnsi="微软雅黑" w:eastAsia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、按照招标文件要求、投标文件响应和承诺验收；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黑体" w:hAnsi="黑体" w:eastAsia="黑体"/>
          <w:color w:val="000000"/>
          <w:kern w:val="0"/>
          <w:sz w:val="3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五、评标方法和评标标准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564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分值构成</w:t>
            </w:r>
          </w:p>
          <w:p>
            <w:pPr>
              <w:widowControl/>
              <w:spacing w:line="22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(总分100分)</w:t>
            </w:r>
          </w:p>
        </w:tc>
        <w:tc>
          <w:tcPr>
            <w:tcW w:w="6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价格分值：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分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商务部分：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技术部分：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一、价格部分（满分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投标报价</w:t>
            </w:r>
          </w:p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>
            <w:pPr>
              <w:widowControl/>
              <w:spacing w:line="223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投标报价得分=（评标基准价/投标报价）×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二、商务部分（满分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信誉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根据投标人在本项目以前社会对其认可程度以及行政主管部门、工商、银行、行业部门颁发的荣誉证书，基本分1分，每提供一份荣誉证书加1分，满分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223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标人须提供工商企业信用信息公示报告【国家企业信用信息公示系统http//www.gsxt.gov.cn包括基础信息、行政许可信息、行政处罚信息、列入经营异常名录信息、列入严重违法失信企业名单（黑名单）信息】、企业所在地税务主管部门出具的纳税情况证明等信用情况（加盖企业所在地税务主管部门公章），无不良信息者每项1分，未提供或有不良信息者不得分，满分2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企业实力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投标人具有社会信用评价机构认证的AAA级企业信用证书的得2分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；（需提供证书原件）</w:t>
            </w:r>
          </w:p>
          <w:p>
            <w:pPr>
              <w:widowControl/>
              <w:spacing w:line="22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2、投标人获得过省级及以上工商行政管理局颁发的 “守合同重信用”荣誉的得5分。（需提供证书原件）。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技术实力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223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投标人所投综合播控平台生产厂家具有CMMI3级及以上认证证书的得5分，满分5分。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2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1、提供2014年1月至今,投标人具有不低于此次招标控制价的类似项目业绩（包括中标通知书和合同或验收报告和合同），每提供一份得3分，最高得12分；（以合同日期为准）。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三、技术部分（满分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对招标文件规范程度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2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1、装订规范、文字清晰、无差错得1分；</w:t>
            </w:r>
          </w:p>
          <w:p>
            <w:pPr>
              <w:widowControl/>
              <w:numPr>
                <w:ilvl w:val="0"/>
                <w:numId w:val="0"/>
              </w:numPr>
              <w:spacing w:line="223" w:lineRule="atLeas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2、所提供资料准确完整得1分。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售后服务承诺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22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响应时间以分钟为单位，以80分钟为起点1分，每减少20分钟，加2分，满分8分。</w:t>
            </w:r>
          </w:p>
          <w:p>
            <w:pPr>
              <w:widowControl/>
              <w:numPr>
                <w:ilvl w:val="0"/>
                <w:numId w:val="7"/>
              </w:numPr>
              <w:spacing w:line="223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故障处理时间。故障处理时间以6小时为基础，每减少1小时加0.5分，满分2分。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对招标文件的响应程度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2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满足招标文件技术要求：主要设备规划评审决策室LED显示屏技术参数满足招标文件技术要求的，得基本分15分，LED显示屏技术参数优于招标技术参数（加*号），每一项加2分，满分29分（须出具经国家认证认可的第三方检验机构（中认（沈阳）北方实验室有限公司；中国电子技术标准化研究院赛西实验室；北京泰瑞特检测技术服务有限责任公司；国家广播电视产品质量监督检验中心；）出具的检验报告复印件加盖生产厂家公章，评委对技术参数符合性根据检测报告逐项检查，否则不得分）。</w:t>
            </w:r>
          </w:p>
          <w:p>
            <w:pPr>
              <w:widowControl/>
              <w:numPr>
                <w:ilvl w:val="0"/>
                <w:numId w:val="0"/>
              </w:numPr>
              <w:spacing w:line="223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29分</w:t>
            </w:r>
          </w:p>
        </w:tc>
      </w:tr>
    </w:tbl>
    <w:p>
      <w:pPr>
        <w:widowControl/>
        <w:shd w:val="solid" w:color="FFFFFF" w:fill="auto"/>
        <w:autoSpaceDN w:val="0"/>
        <w:spacing w:line="360" w:lineRule="atLeast"/>
        <w:jc w:val="left"/>
        <w:rPr>
          <w:rFonts w:ascii="黑体" w:hAnsi="黑体" w:eastAsia="黑体"/>
          <w:color w:val="000000"/>
          <w:kern w:val="0"/>
          <w:sz w:val="30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六、采购资金支付</w:t>
      </w:r>
    </w:p>
    <w:p>
      <w:pPr>
        <w:widowControl/>
        <w:shd w:val="solid" w:color="FFFFFF" w:fill="auto"/>
        <w:autoSpaceDN w:val="0"/>
        <w:spacing w:line="360" w:lineRule="atLeast"/>
        <w:ind w:firstLine="560" w:firstLineChars="200"/>
        <w:jc w:val="left"/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支付方式：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eastAsia="zh-CN"/>
        </w:rPr>
        <w:t>银行转账</w:t>
      </w:r>
    </w:p>
    <w:p>
      <w:pPr>
        <w:widowControl/>
        <w:shd w:val="solid" w:color="FFFFFF" w:fill="auto"/>
        <w:autoSpaceDN w:val="0"/>
        <w:spacing w:line="360" w:lineRule="atLeast"/>
        <w:ind w:firstLine="560" w:firstLineChars="200"/>
        <w:jc w:val="left"/>
        <w:rPr>
          <w:rFonts w:ascii="黑体" w:hAnsi="黑体" w:eastAsia="黑体"/>
          <w:color w:val="000000"/>
          <w:kern w:val="0"/>
          <w:sz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zh-CN"/>
        </w:rPr>
        <w:t>支付时间及条件：经验收合格付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项目金额的90%，三年质保期过后拨付项目金额的10%。</w:t>
      </w:r>
    </w:p>
    <w:p>
      <w:pPr>
        <w:widowControl/>
        <w:shd w:val="solid" w:color="FFFFFF" w:fill="auto"/>
        <w:autoSpaceDN w:val="0"/>
        <w:spacing w:line="360" w:lineRule="atLeast"/>
        <w:jc w:val="left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0"/>
          <w:shd w:val="clear" w:color="auto" w:fill="FFFFFF"/>
        </w:rPr>
        <w:t>七、联系方式</w:t>
      </w:r>
    </w:p>
    <w:p>
      <w:pPr>
        <w:widowControl/>
        <w:shd w:val="solid" w:color="FFFFFF" w:fill="auto"/>
        <w:autoSpaceDN w:val="0"/>
        <w:spacing w:line="525" w:lineRule="atLeast"/>
        <w:jc w:val="left"/>
        <w:rPr>
          <w:rFonts w:ascii="微软雅黑" w:hAnsi="微软雅黑" w:eastAsia="微软雅黑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30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30"/>
          <w:shd w:val="clear" w:color="auto" w:fill="FFFFFF"/>
        </w:rPr>
        <w:t>联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系人姓名：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李焱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13569900573</w:t>
      </w:r>
    </w:p>
    <w:p>
      <w:pPr>
        <w:widowControl/>
        <w:shd w:val="solid" w:color="FFFFFF" w:fill="auto"/>
        <w:autoSpaceDN w:val="0"/>
        <w:spacing w:line="525" w:lineRule="atLeast"/>
        <w:jc w:val="left"/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kern w:val="0"/>
          <w:sz w:val="28"/>
          <w:szCs w:val="28"/>
          <w:shd w:val="clear" w:color="auto" w:fill="FFFFFF"/>
        </w:rPr>
        <w:t>单位地址：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许昌市智慧大道与许都路交叉口文博馆西座</w:t>
      </w:r>
    </w:p>
    <w:p>
      <w:pPr>
        <w:widowControl/>
        <w:shd w:val="solid" w:color="FFFFFF" w:fill="auto"/>
        <w:autoSpaceDN w:val="0"/>
        <w:spacing w:line="525" w:lineRule="atLeast"/>
        <w:jc w:val="left"/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525" w:lineRule="atLeast"/>
        <w:jc w:val="left"/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525" w:lineRule="atLeast"/>
        <w:jc w:val="right"/>
        <w:rPr>
          <w:rFonts w:hint="eastAsia" w:ascii="仿宋" w:hAnsi="仿宋" w:eastAsia="仿宋"/>
          <w:color w:val="0000FF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 xml:space="preserve">                   </w:t>
      </w:r>
      <w:r>
        <w:rPr>
          <w:rFonts w:hint="eastAsia" w:ascii="仿宋" w:hAnsi="仿宋" w:eastAsia="仿宋"/>
          <w:color w:val="0000FF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shd w:val="solid" w:color="FFFFFF" w:fill="auto"/>
        <w:autoSpaceDN w:val="0"/>
        <w:spacing w:line="525" w:lineRule="atLeast"/>
        <w:jc w:val="right"/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</w:rPr>
        <w:t xml:space="preserve">许昌市规划展览馆                                                                                                                        </w:t>
      </w:r>
    </w:p>
    <w:p>
      <w:pPr>
        <w:widowControl/>
        <w:shd w:val="solid" w:color="FFFFFF" w:fill="auto"/>
        <w:autoSpaceDN w:val="0"/>
        <w:spacing w:line="525" w:lineRule="atLeast"/>
        <w:jc w:val="right"/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2018年1月25日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02"/>
    <w:multiLevelType w:val="singleLevel"/>
    <w:tmpl w:val="00000002"/>
    <w:lvl w:ilvl="0" w:tentative="0">
      <w:start w:val="4"/>
      <w:numFmt w:val="chineseCounting"/>
      <w:suff w:val="nothing"/>
      <w:lvlText w:val="（%1）"/>
      <w:lvlJc w:val="left"/>
    </w:lvl>
  </w:abstractNum>
  <w:abstractNum w:abstractNumId="3">
    <w:nsid w:val="00000003"/>
    <w:multiLevelType w:val="singleLevel"/>
    <w:tmpl w:val="00000003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000006"/>
    <w:multiLevelType w:val="singleLevel"/>
    <w:tmpl w:val="00000006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5A55CA58"/>
    <w:multiLevelType w:val="singleLevel"/>
    <w:tmpl w:val="5A55CA58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40CAA"/>
    <w:rsid w:val="15740CAA"/>
    <w:rsid w:val="7F13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2018-01-30T05:34:00Z</dcterms:created>
  <dc:creator>Administrator</dc:creator>
  <cp:lastModifiedBy>许昌市公共资源交易中心:曹寓铭</cp:lastModifiedBy>
  <dcterms:modified xsi:type="dcterms:W3CDTF">2018-01-30T06:12:13Z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