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项目编号：</w:t>
      </w:r>
      <w:r>
        <w:rPr>
          <w:rFonts w:hint="eastAsia" w:ascii="宋体" w:hAnsi="宋体"/>
          <w:color w:val="auto"/>
          <w:sz w:val="36"/>
          <w:szCs w:val="36"/>
          <w:highlight w:val="none"/>
          <w:lang w:eastAsia="zh-CN"/>
        </w:rPr>
        <w:t>建安建工公字〔2017〕</w:t>
      </w:r>
      <w:r>
        <w:rPr>
          <w:rFonts w:hint="eastAsia" w:ascii="宋体" w:hAnsi="宋体"/>
          <w:color w:val="auto"/>
          <w:sz w:val="36"/>
          <w:szCs w:val="36"/>
          <w:highlight w:val="none"/>
          <w:lang w:val="en-US" w:eastAsia="zh-CN"/>
        </w:rPr>
        <w:t>190</w:t>
      </w:r>
      <w:r>
        <w:rPr>
          <w:rFonts w:hint="eastAsia" w:ascii="宋体" w:hAnsi="宋体"/>
          <w:color w:val="auto"/>
          <w:sz w:val="36"/>
          <w:szCs w:val="36"/>
          <w:highlight w:val="none"/>
          <w:lang w:eastAsia="zh-CN"/>
        </w:rPr>
        <w:t>号</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项目名称：</w:t>
      </w:r>
      <w:r>
        <w:rPr>
          <w:rFonts w:hint="eastAsia" w:ascii="宋体" w:hAnsi="宋体"/>
          <w:color w:val="auto"/>
          <w:sz w:val="36"/>
          <w:szCs w:val="36"/>
          <w:highlight w:val="none"/>
          <w:lang w:eastAsia="zh-CN"/>
        </w:rPr>
        <w:t>灵井镇岗王村道路工程</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招 标 人：</w:t>
      </w:r>
      <w:r>
        <w:rPr>
          <w:rFonts w:hint="eastAsia" w:ascii="宋体" w:hAnsi="宋体"/>
          <w:color w:val="auto"/>
          <w:sz w:val="36"/>
          <w:szCs w:val="36"/>
          <w:highlight w:val="none"/>
        </w:rPr>
        <w:t>许昌市建安区交通运输局</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代理机构：</w:t>
      </w:r>
      <w:r>
        <w:rPr>
          <w:rFonts w:hint="eastAsia" w:ascii="宋体" w:hAnsi="宋体"/>
          <w:color w:val="auto"/>
          <w:sz w:val="36"/>
          <w:szCs w:val="36"/>
          <w:highlight w:val="none"/>
          <w:lang w:eastAsia="zh-CN"/>
        </w:rPr>
        <w:t>欧邦工程管理有限公司</w:t>
      </w:r>
    </w:p>
    <w:p>
      <w:pPr>
        <w:jc w:val="center"/>
        <w:rPr>
          <w:rFonts w:ascii="宋体" w:hAnsi="宋体"/>
          <w:color w:val="auto"/>
          <w:sz w:val="24"/>
          <w:highlight w:val="none"/>
        </w:rPr>
      </w:pPr>
      <w:r>
        <w:rPr>
          <w:rFonts w:hint="eastAsia" w:ascii="宋体" w:hAnsi="宋体"/>
          <w:color w:val="auto"/>
          <w:sz w:val="36"/>
          <w:szCs w:val="36"/>
          <w:highlight w:val="none"/>
        </w:rPr>
        <w:t>二〇一七</w:t>
      </w:r>
      <w:r>
        <w:rPr>
          <w:rFonts w:hint="eastAsia" w:ascii="宋体" w:hAnsi="宋体"/>
          <w:color w:val="auto"/>
          <w:sz w:val="36"/>
          <w:szCs w:val="36"/>
          <w:highlight w:val="none"/>
          <w:lang w:val="en-US" w:eastAsia="zh-CN"/>
        </w:rPr>
        <w:t>年十二</w:t>
      </w:r>
      <w:r>
        <w:rPr>
          <w:rFonts w:hint="eastAsia" w:ascii="宋体" w:hAnsi="宋体"/>
          <w:color w:val="auto"/>
          <w:sz w:val="36"/>
          <w:szCs w:val="36"/>
          <w:highlight w:val="none"/>
        </w:rPr>
        <w:t>月</w:t>
      </w:r>
      <w:r>
        <w:rPr>
          <w:rFonts w:hint="eastAsia" w:ascii="宋体" w:hAnsi="宋体"/>
          <w:color w:val="auto"/>
          <w:sz w:val="36"/>
          <w:szCs w:val="36"/>
          <w:highlight w:val="none"/>
          <w:lang w:eastAsia="zh-CN"/>
        </w:rPr>
        <w:t>二十二日</w:t>
      </w:r>
      <w:r>
        <w:rPr>
          <w:rFonts w:hint="eastAsia" w:ascii="宋体" w:hAnsi="宋体"/>
          <w:color w:val="auto"/>
          <w:sz w:val="36"/>
          <w:szCs w:val="36"/>
          <w:highlight w:val="none"/>
        </w:rPr>
        <w:t xml:space="preserve"> </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jc w:val="center"/>
        <w:rPr>
          <w:rFonts w:ascii="宋体" w:hAnsi="宋体"/>
          <w:b/>
          <w:bCs/>
          <w:color w:val="auto"/>
          <w:sz w:val="48"/>
          <w:szCs w:val="48"/>
          <w:highlight w:val="none"/>
        </w:rP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7"/>
        <w:tabs>
          <w:tab w:val="right" w:leader="dot" w:pos="9299"/>
        </w:tabs>
        <w:spacing w:line="360" w:lineRule="auto"/>
        <w:rPr>
          <w:rFonts w:asciiTheme="minorEastAsia" w:hAnsiTheme="minorEastAsia" w:eastAsiaTheme="minorEastAsia" w:cstheme="minorEastAsia"/>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第一章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第二章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_Toc30837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第三章 评标办法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_Toc28210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_Toc13221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第五章 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_Toc5321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98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第六章 </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图纸（另附）</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_Toc20155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103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第七章</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 xml:space="preserve"> 技术规范（另册出版）</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_Toc18036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104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第八章</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 xml:space="preserve">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_Toc27978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105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7"/>
        <w:tabs>
          <w:tab w:val="right" w:leader="dot" w:pos="9299"/>
        </w:tabs>
        <w:spacing w:line="360" w:lineRule="auto"/>
        <w:rPr>
          <w:color w:val="auto"/>
          <w:highlight w:val="none"/>
        </w:rPr>
      </w:pPr>
      <w:r>
        <w:rPr>
          <w:color w:val="auto"/>
          <w:highlight w:val="none"/>
        </w:rPr>
        <w:fldChar w:fldCharType="begin"/>
      </w:r>
      <w:r>
        <w:rPr>
          <w:color w:val="auto"/>
          <w:highlight w:val="none"/>
        </w:rPr>
        <w:instrText xml:space="preserve"> HYPERLINK \l "_Toc12556"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第九章 投标人须知前附表规定的其他材料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_Toc12556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141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center"/>
        <w:outlineLvl w:val="0"/>
        <w:rPr>
          <w:rFonts w:ascii="黑体" w:eastAsia="黑体"/>
          <w:bCs/>
          <w:color w:val="auto"/>
          <w:sz w:val="44"/>
          <w:szCs w:val="44"/>
          <w:highlight w:val="none"/>
        </w:rPr>
      </w:pPr>
      <w:bookmarkStart w:id="1" w:name="_Toc2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宋体" w:hAnsi="宋体"/>
          <w:color w:val="auto"/>
          <w:sz w:val="24"/>
          <w:highlight w:val="none"/>
        </w:rPr>
      </w:pPr>
      <w:r>
        <w:rPr>
          <w:rFonts w:hint="eastAsia" w:ascii="黑体" w:eastAsia="黑体"/>
          <w:bCs/>
          <w:color w:val="auto"/>
          <w:sz w:val="44"/>
          <w:szCs w:val="44"/>
          <w:highlight w:val="none"/>
        </w:rPr>
        <w:t>第一章  招标公告</w:t>
      </w:r>
      <w:bookmarkEnd w:id="1"/>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建安建工公字〔2017〕</w:t>
      </w:r>
      <w:r>
        <w:rPr>
          <w:rFonts w:hint="eastAsia" w:ascii="宋体" w:hAnsi="宋体"/>
          <w:b/>
          <w:color w:val="auto"/>
          <w:sz w:val="32"/>
          <w:szCs w:val="32"/>
          <w:highlight w:val="none"/>
          <w:lang w:val="en-US" w:eastAsia="zh-CN"/>
        </w:rPr>
        <w:t>190</w:t>
      </w:r>
      <w:r>
        <w:rPr>
          <w:rFonts w:hint="eastAsia" w:ascii="宋体" w:hAnsi="宋体"/>
          <w:b/>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auto"/>
          <w:sz w:val="32"/>
          <w:szCs w:val="32"/>
          <w:highlight w:val="none"/>
        </w:rPr>
      </w:pPr>
      <w:r>
        <w:rPr>
          <w:rFonts w:hint="eastAsia" w:ascii="宋体" w:hAnsi="宋体"/>
          <w:b/>
          <w:color w:val="auto"/>
          <w:sz w:val="32"/>
          <w:szCs w:val="32"/>
          <w:highlight w:val="none"/>
        </w:rPr>
        <w:t>许昌市建安区交通运输局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灵井镇岗王村道路工程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auto"/>
          <w:sz w:val="32"/>
          <w:szCs w:val="32"/>
          <w:highlight w:val="none"/>
        </w:rPr>
      </w:pPr>
      <w:r>
        <w:rPr>
          <w:rFonts w:hint="eastAsia" w:ascii="宋体" w:hAnsi="宋体"/>
          <w:b/>
          <w:color w:val="auto"/>
          <w:sz w:val="32"/>
          <w:szCs w:val="32"/>
          <w:highlight w:val="none"/>
        </w:rPr>
        <w:t>公开招标公告</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ascii="宋体" w:hAnsi="宋体"/>
          <w:b/>
          <w:color w:val="auto"/>
          <w:sz w:val="24"/>
          <w:highlight w:val="none"/>
        </w:rPr>
      </w:pPr>
      <w:r>
        <w:rPr>
          <w:rFonts w:hint="eastAsia" w:ascii="宋体" w:hAnsi="宋体"/>
          <w:b/>
          <w:color w:val="auto"/>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1、项目编号：</w:t>
      </w:r>
      <w:r>
        <w:rPr>
          <w:rFonts w:hint="eastAsia" w:ascii="宋体" w:hAnsi="宋体"/>
          <w:color w:val="auto"/>
          <w:sz w:val="24"/>
          <w:highlight w:val="none"/>
          <w:lang w:eastAsia="zh-CN"/>
        </w:rPr>
        <w:t>建安建工公字〔2017〕</w:t>
      </w:r>
      <w:r>
        <w:rPr>
          <w:rFonts w:hint="eastAsia" w:ascii="宋体" w:hAnsi="宋体"/>
          <w:color w:val="auto"/>
          <w:sz w:val="24"/>
          <w:highlight w:val="none"/>
          <w:lang w:val="en-US" w:eastAsia="zh-CN"/>
        </w:rPr>
        <w:t>190</w:t>
      </w:r>
      <w:r>
        <w:rPr>
          <w:rFonts w:hint="eastAsia" w:ascii="宋体" w:hAnsi="宋体"/>
          <w:color w:val="auto"/>
          <w:sz w:val="24"/>
          <w:highlight w:val="none"/>
          <w:lang w:eastAsia="zh-CN"/>
        </w:rPr>
        <w:t>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eastAsia="zh-CN"/>
        </w:rPr>
        <w:t>灵井镇岗王村道路工程</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3、招标单位：许昌市建安区交通运输局。</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4、项目规模：</w:t>
      </w:r>
      <w:r>
        <w:rPr>
          <w:rFonts w:hint="eastAsia" w:ascii="宋体" w:hAnsi="宋体"/>
          <w:color w:val="auto"/>
          <w:sz w:val="24"/>
          <w:highlight w:val="none"/>
          <w:lang w:eastAsia="zh-CN"/>
        </w:rPr>
        <w:t>许昌市建安区灵井镇岗王村道路工程包括以下内容：新建道路</w:t>
      </w:r>
      <w:r>
        <w:rPr>
          <w:rFonts w:hint="eastAsia" w:ascii="宋体" w:hAnsi="宋体"/>
          <w:color w:val="auto"/>
          <w:sz w:val="24"/>
          <w:highlight w:val="none"/>
          <w:lang w:val="en-US" w:eastAsia="zh-CN"/>
        </w:rPr>
        <w:t>8km，面层18cm厚C25水泥混凝土，基层15cm厚12%石灰稳定土，清除表土，砍伐树木，挖除旧水泥路面，拆除结构物等内容。</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5、资金预算：</w:t>
      </w:r>
      <w:r>
        <w:rPr>
          <w:rFonts w:hint="eastAsia" w:ascii="宋体" w:hAnsi="宋体"/>
          <w:color w:val="auto"/>
          <w:sz w:val="24"/>
          <w:highlight w:val="none"/>
          <w:lang w:eastAsia="zh-CN"/>
        </w:rPr>
        <w:t>4207534.00元</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6、计划工期：</w:t>
      </w:r>
      <w:r>
        <w:rPr>
          <w:rFonts w:hint="eastAsia" w:ascii="宋体" w:hAnsi="宋体"/>
          <w:color w:val="auto"/>
          <w:sz w:val="24"/>
          <w:highlight w:val="none"/>
          <w:lang w:val="en-US" w:eastAsia="zh-CN"/>
        </w:rPr>
        <w:t>30</w:t>
      </w:r>
      <w:r>
        <w:rPr>
          <w:rFonts w:hint="eastAsia" w:ascii="宋体" w:hAnsi="宋体"/>
          <w:color w:val="auto"/>
          <w:sz w:val="24"/>
          <w:highlight w:val="none"/>
        </w:rPr>
        <w:t>日历天。</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7、质量要求：合格。</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8、不组织勘察施工现场。</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ascii="宋体" w:hAnsi="宋体"/>
          <w:b/>
          <w:color w:val="auto"/>
          <w:sz w:val="24"/>
          <w:highlight w:val="none"/>
        </w:rPr>
      </w:pPr>
      <w:r>
        <w:rPr>
          <w:rFonts w:hint="eastAsia" w:ascii="宋体" w:hAnsi="宋体"/>
          <w:b/>
          <w:color w:val="auto"/>
          <w:sz w:val="24"/>
          <w:highlight w:val="none"/>
        </w:rPr>
        <w:t>二、投标人资格要求</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2.1 须具备独立法人资格；</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2.3投标人近三年内（201</w:t>
      </w:r>
      <w:r>
        <w:rPr>
          <w:rFonts w:hint="eastAsia" w:ascii="宋体" w:hAnsi="宋体"/>
          <w:color w:val="auto"/>
          <w:sz w:val="24"/>
          <w:highlight w:val="none"/>
          <w:lang w:val="en-US" w:eastAsia="zh-CN"/>
        </w:rPr>
        <w:t>5</w:t>
      </w:r>
      <w:r>
        <w:rPr>
          <w:rFonts w:hint="eastAsia" w:ascii="宋体" w:hAnsi="宋体"/>
          <w:color w:val="auto"/>
          <w:sz w:val="24"/>
          <w:highlight w:val="none"/>
        </w:rPr>
        <w:t>年1月1日起至今，以施工合同日期为准）完成两个以上（含两个）的类似项目工程。</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2.4拟派建造师须具备贰级及以上公路工程专业注册建造师执业资格，具备有效的安全生产考核合格证书，且未担任其他在施建设项目的项目经理。拟派项目总工需具备中级及以上相关专业技术职称。</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2.5根据《河南省公路建设市场从业单位及人员信用管理办法》第二十一条“对信用考核定级为D级即黑名单的从业单位，”不得参与本项目投标。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2.6自2014年以来在经营活动中没有重大违法记录（以检察机关出具的查询行贿犯罪档案结果告知函为准）。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2.7不接受失信被执行人的投标。</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2.8本次招标不接受联合体投标。</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hAnsi="宋体"/>
          <w:b/>
          <w:color w:val="000000"/>
          <w:sz w:val="24"/>
          <w:highlight w:val="none"/>
        </w:rPr>
      </w:pPr>
      <w:r>
        <w:rPr>
          <w:rFonts w:hint="eastAsia" w:hAnsi="宋体"/>
          <w:b/>
          <w:color w:val="000000"/>
          <w:sz w:val="24"/>
          <w:highlight w:val="none"/>
        </w:rPr>
        <w:t>三、投标报名时间及方式</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hAnsi="宋体"/>
          <w:color w:val="000000"/>
          <w:sz w:val="24"/>
          <w:highlight w:val="none"/>
        </w:rPr>
      </w:pPr>
      <w:r>
        <w:rPr>
          <w:rFonts w:hint="eastAsia" w:hAnsi="宋体"/>
          <w:color w:val="000000"/>
          <w:sz w:val="24"/>
          <w:highlight w:val="none"/>
        </w:rPr>
        <w:t>1、报名时间：2017 年</w:t>
      </w:r>
      <w:r>
        <w:rPr>
          <w:rFonts w:hint="eastAsia" w:hAnsi="宋体"/>
          <w:color w:val="000000"/>
          <w:sz w:val="24"/>
          <w:highlight w:val="none"/>
          <w:lang w:val="en-US" w:eastAsia="zh-CN"/>
        </w:rPr>
        <w:t>12</w:t>
      </w:r>
      <w:r>
        <w:rPr>
          <w:rFonts w:hint="eastAsia" w:hAnsi="宋体"/>
          <w:color w:val="000000"/>
          <w:sz w:val="24"/>
          <w:highlight w:val="none"/>
        </w:rPr>
        <w:t>月</w:t>
      </w:r>
      <w:r>
        <w:rPr>
          <w:rFonts w:hint="eastAsia" w:hAnsi="宋体"/>
          <w:color w:val="000000"/>
          <w:sz w:val="24"/>
          <w:highlight w:val="none"/>
          <w:lang w:val="en-US" w:eastAsia="zh-CN"/>
        </w:rPr>
        <w:t>22</w:t>
      </w:r>
      <w:r>
        <w:rPr>
          <w:rFonts w:hint="eastAsia" w:hAnsi="宋体"/>
          <w:color w:val="000000"/>
          <w:sz w:val="24"/>
          <w:highlight w:val="none"/>
        </w:rPr>
        <w:t>日至2017年</w:t>
      </w:r>
      <w:r>
        <w:rPr>
          <w:rFonts w:hint="eastAsia" w:hAnsi="宋体"/>
          <w:color w:val="000000"/>
          <w:sz w:val="24"/>
          <w:highlight w:val="none"/>
          <w:lang w:val="en-US" w:eastAsia="zh-CN"/>
        </w:rPr>
        <w:t>12</w:t>
      </w:r>
      <w:r>
        <w:rPr>
          <w:rFonts w:hint="eastAsia" w:hAnsi="宋体"/>
          <w:color w:val="000000"/>
          <w:sz w:val="24"/>
          <w:highlight w:val="none"/>
        </w:rPr>
        <w:t>月</w:t>
      </w:r>
      <w:r>
        <w:rPr>
          <w:rFonts w:hint="eastAsia" w:hAnsi="宋体"/>
          <w:color w:val="000000"/>
          <w:sz w:val="24"/>
          <w:highlight w:val="none"/>
          <w:lang w:val="en-US" w:eastAsia="zh-CN"/>
        </w:rPr>
        <w:t>28</w:t>
      </w:r>
      <w:r>
        <w:rPr>
          <w:rFonts w:hint="eastAsia" w:hAnsi="宋体"/>
          <w:color w:val="000000"/>
          <w:sz w:val="24"/>
          <w:highlight w:val="none"/>
        </w:rPr>
        <w:t>日</w:t>
      </w:r>
      <w:r>
        <w:rPr>
          <w:rFonts w:hint="eastAsia"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hAnsi="宋体"/>
          <w:color w:val="000000"/>
          <w:sz w:val="24"/>
          <w:highlight w:val="none"/>
        </w:rPr>
      </w:pPr>
      <w:r>
        <w:rPr>
          <w:rFonts w:hint="eastAsia" w:hAnsi="宋体"/>
          <w:color w:val="000000"/>
          <w:sz w:val="24"/>
          <w:highlight w:val="none"/>
        </w:rPr>
        <w:t>2、报名方式：网上报名。报名期限内在《全国公共资源交易平台（河南省·许昌市）》上报名。详情查看《全国公共资源交易平台（河南省·许昌市）》（www.xczbtb.com）首页办事指南中的业务流程（网上报名指南）。</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hAnsi="宋体"/>
          <w:b/>
          <w:color w:val="000000"/>
          <w:sz w:val="24"/>
          <w:highlight w:val="none"/>
        </w:rPr>
      </w:pPr>
      <w:r>
        <w:rPr>
          <w:rFonts w:hint="eastAsia" w:hAnsi="宋体"/>
          <w:b/>
          <w:color w:val="000000"/>
          <w:sz w:val="24"/>
          <w:highlight w:val="none"/>
        </w:rPr>
        <w:t>四、招标文件和施工图纸的获取</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 xml:space="preserve">1、招标文件、工程量清单、招标控制价及图纸的获取：报名截止日前均可在《全国公共资源交易平台（河南省·许昌市）》自行下载。 </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2、招标文件每套售价300元，递交投标文件时缴纳给招标代理机构，售后不退。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hAnsi="宋体"/>
          <w:b/>
          <w:color w:val="000000"/>
          <w:sz w:val="24"/>
          <w:highlight w:val="none"/>
        </w:rPr>
      </w:pPr>
      <w:r>
        <w:rPr>
          <w:rFonts w:hint="eastAsia" w:hAnsi="宋体"/>
          <w:b/>
          <w:color w:val="000000"/>
          <w:sz w:val="24"/>
          <w:highlight w:val="none"/>
        </w:rPr>
        <w:t>五、投标文件的递交</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1、投标文件递交的截止时间为201</w:t>
      </w:r>
      <w:r>
        <w:rPr>
          <w:rFonts w:hint="eastAsia" w:hAnsi="宋体"/>
          <w:color w:val="000000"/>
          <w:sz w:val="24"/>
          <w:highlight w:val="none"/>
          <w:lang w:val="en-US" w:eastAsia="zh-CN"/>
        </w:rPr>
        <w:t>8</w:t>
      </w:r>
      <w:r>
        <w:rPr>
          <w:rFonts w:hint="eastAsia" w:hAnsi="宋体"/>
          <w:color w:val="000000"/>
          <w:sz w:val="24"/>
          <w:highlight w:val="none"/>
        </w:rPr>
        <w:t>年</w:t>
      </w:r>
      <w:r>
        <w:rPr>
          <w:rFonts w:hint="eastAsia" w:hAnsi="宋体"/>
          <w:color w:val="000000"/>
          <w:sz w:val="24"/>
          <w:highlight w:val="none"/>
          <w:lang w:val="en-US" w:eastAsia="zh-CN"/>
        </w:rPr>
        <w:t>1</w:t>
      </w:r>
      <w:r>
        <w:rPr>
          <w:rFonts w:hint="eastAsia" w:hAnsi="宋体"/>
          <w:color w:val="000000"/>
          <w:sz w:val="24"/>
          <w:highlight w:val="none"/>
        </w:rPr>
        <w:t>月</w:t>
      </w:r>
      <w:r>
        <w:rPr>
          <w:rFonts w:hint="eastAsia" w:hAnsi="宋体"/>
          <w:color w:val="000000"/>
          <w:sz w:val="24"/>
          <w:highlight w:val="none"/>
          <w:lang w:val="en-US" w:eastAsia="zh-CN"/>
        </w:rPr>
        <w:t>11</w:t>
      </w:r>
      <w:r>
        <w:rPr>
          <w:rFonts w:hint="eastAsia" w:hAnsi="宋体"/>
          <w:color w:val="000000"/>
          <w:sz w:val="24"/>
          <w:highlight w:val="none"/>
        </w:rPr>
        <w:t>日</w:t>
      </w:r>
      <w:r>
        <w:rPr>
          <w:rFonts w:hint="eastAsia" w:hAnsi="宋体"/>
          <w:color w:val="000000"/>
          <w:sz w:val="24"/>
          <w:highlight w:val="none"/>
          <w:lang w:val="en-US" w:eastAsia="zh-CN"/>
        </w:rPr>
        <w:t>9</w:t>
      </w:r>
      <w:r>
        <w:rPr>
          <w:rFonts w:hint="eastAsia" w:hAnsi="宋体"/>
          <w:color w:val="000000"/>
          <w:sz w:val="24"/>
          <w:highlight w:val="none"/>
        </w:rPr>
        <w:t>时</w:t>
      </w:r>
      <w:r>
        <w:rPr>
          <w:rFonts w:hint="eastAsia" w:hAnsi="宋体"/>
          <w:color w:val="000000"/>
          <w:sz w:val="24"/>
          <w:highlight w:val="none"/>
          <w:lang w:val="en-US" w:eastAsia="zh-CN"/>
        </w:rPr>
        <w:t>3</w:t>
      </w:r>
      <w:r>
        <w:rPr>
          <w:rFonts w:hint="eastAsia" w:hAnsi="宋体"/>
          <w:color w:val="000000"/>
          <w:sz w:val="24"/>
          <w:highlight w:val="none"/>
        </w:rPr>
        <w:t>0分，地点为许昌市建安区新元大道兴业大厦4楼4167室。</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3、未通过《全国公共资源交易平台（河南省·许昌市）》下载招标文件的投标人，其投标文件不予受理。</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hAnsi="宋体"/>
          <w:b/>
          <w:color w:val="000000"/>
          <w:sz w:val="24"/>
          <w:highlight w:val="none"/>
        </w:rPr>
      </w:pPr>
      <w:r>
        <w:rPr>
          <w:rFonts w:hint="eastAsia" w:hAnsi="宋体"/>
          <w:b/>
          <w:color w:val="000000"/>
          <w:sz w:val="24"/>
          <w:highlight w:val="none"/>
        </w:rPr>
        <w:t>六、发布公告的媒介</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Ansi="宋体"/>
          <w:color w:val="000000"/>
          <w:sz w:val="24"/>
          <w:highlight w:val="none"/>
        </w:rPr>
      </w:pPr>
      <w:r>
        <w:rPr>
          <w:rFonts w:hint="eastAsia" w:hAnsi="宋体"/>
          <w:color w:val="000000"/>
          <w:sz w:val="24"/>
          <w:highlight w:val="none"/>
        </w:rPr>
        <w:t>本次招标公告在《中国采购与招标网》、《河南招标采购综合网》、《全国公共资源交易平台（河南省·许昌市）》上同时发布。</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ascii="宋体" w:hAnsi="宋体"/>
          <w:b/>
          <w:color w:val="auto"/>
          <w:sz w:val="24"/>
          <w:highlight w:val="none"/>
        </w:rPr>
      </w:pPr>
      <w:r>
        <w:rPr>
          <w:rFonts w:hint="eastAsia" w:ascii="宋体" w:hAnsi="宋体"/>
          <w:b/>
          <w:color w:val="auto"/>
          <w:sz w:val="24"/>
          <w:highlight w:val="none"/>
        </w:rPr>
        <w:t>七、联系方式</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招  标  人：许昌市建安区交通运输局</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项目负责人：宋晓辉</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电     话：13569925535</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代 理 机 构：</w:t>
      </w:r>
      <w:r>
        <w:rPr>
          <w:rFonts w:hint="eastAsia" w:ascii="宋体" w:hAnsi="宋体"/>
          <w:color w:val="auto"/>
          <w:sz w:val="24"/>
          <w:highlight w:val="none"/>
          <w:lang w:eastAsia="zh-CN"/>
        </w:rPr>
        <w:t>欧邦工程管理有限公司</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刘振</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olor w:val="auto"/>
          <w:sz w:val="52"/>
          <w:szCs w:val="52"/>
          <w:highlight w:val="none"/>
        </w:rPr>
      </w:pPr>
      <w:r>
        <w:rPr>
          <w:rFonts w:hint="eastAsia" w:ascii="宋体" w:hAnsi="宋体"/>
          <w:color w:val="auto"/>
          <w:sz w:val="24"/>
          <w:highlight w:val="none"/>
        </w:rPr>
        <w:t>电    话：</w:t>
      </w:r>
      <w:r>
        <w:rPr>
          <w:rFonts w:hint="eastAsia" w:ascii="宋体" w:hAnsi="宋体"/>
          <w:color w:val="auto"/>
          <w:sz w:val="24"/>
          <w:highlight w:val="none"/>
          <w:lang w:val="en-US" w:eastAsia="zh-CN"/>
        </w:rPr>
        <w:t>15837432370</w:t>
      </w: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jc w:val="right"/>
        <w:textAlignment w:val="auto"/>
        <w:rPr>
          <w:rFonts w:hint="eastAsia" w:ascii="宋体" w:hAnsi="宋体"/>
          <w:color w:val="auto"/>
          <w:sz w:val="24"/>
          <w:highlight w:val="none"/>
          <w:lang w:val="en-US" w:eastAsia="zh-CN"/>
        </w:rPr>
      </w:pPr>
      <w:bookmarkStart w:id="2" w:name="_Toc30837"/>
      <w:r>
        <w:rPr>
          <w:rFonts w:hint="eastAsia" w:ascii="宋体" w:hAnsi="宋体"/>
          <w:color w:val="auto"/>
          <w:sz w:val="24"/>
          <w:highlight w:val="none"/>
          <w:lang w:val="en-US"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center"/>
        <w:textAlignment w:val="auto"/>
        <w:outlineLvl w:val="0"/>
        <w:rPr>
          <w:rFonts w:hint="eastAsia" w:ascii="黑体" w:eastAsia="黑体"/>
          <w:bCs/>
          <w:color w:val="auto"/>
          <w:sz w:val="44"/>
          <w:szCs w:val="44"/>
          <w:highlight w:val="none"/>
        </w:rPr>
      </w:pPr>
      <w:r>
        <w:rPr>
          <w:rFonts w:hint="eastAsia" w:ascii="宋体" w:hAnsi="宋体"/>
          <w:color w:val="auto"/>
          <w:sz w:val="24"/>
          <w:highlight w:val="none"/>
          <w:lang w:val="en-US" w:eastAsia="zh-CN"/>
        </w:rPr>
        <w:t xml:space="preserve">                                                          2017年12月22日</w:t>
      </w:r>
    </w:p>
    <w:p>
      <w:pPr>
        <w:jc w:val="center"/>
        <w:outlineLvl w:val="0"/>
        <w:rPr>
          <w:rFonts w:ascii="宋体" w:hAnsi="宋体"/>
          <w:color w:val="auto"/>
          <w:sz w:val="44"/>
          <w:szCs w:val="44"/>
          <w:highlight w:val="none"/>
        </w:rPr>
      </w:pPr>
      <w:r>
        <w:rPr>
          <w:rFonts w:hint="eastAsia" w:ascii="黑体" w:eastAsia="黑体"/>
          <w:bCs/>
          <w:color w:val="auto"/>
          <w:sz w:val="44"/>
          <w:szCs w:val="44"/>
          <w:highlight w:val="none"/>
        </w:rPr>
        <w:t>第二章  投标人须知</w:t>
      </w:r>
      <w:bookmarkEnd w:id="2"/>
    </w:p>
    <w:p>
      <w:pPr>
        <w:spacing w:line="360" w:lineRule="auto"/>
        <w:jc w:val="center"/>
        <w:rPr>
          <w:rFonts w:ascii="宋体" w:hAnsi="宋体"/>
          <w:b/>
          <w:color w:val="auto"/>
          <w:sz w:val="24"/>
          <w:highlight w:val="none"/>
        </w:rPr>
      </w:pPr>
      <w:bookmarkStart w:id="3" w:name="_Toc234382587"/>
      <w:r>
        <w:rPr>
          <w:rFonts w:hint="eastAsia" w:ascii="黑体" w:eastAsia="黑体"/>
          <w:color w:val="auto"/>
          <w:sz w:val="30"/>
          <w:szCs w:val="30"/>
          <w:highlight w:val="none"/>
        </w:rPr>
        <w:t>投标人须知前附表</w:t>
      </w:r>
      <w:bookmarkEnd w:id="3"/>
      <w:bookmarkStart w:id="4" w:name="_Hlt111980600"/>
      <w:bookmarkEnd w:id="4"/>
    </w:p>
    <w:tbl>
      <w:tblPr>
        <w:tblStyle w:val="12"/>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0"/>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2" w:type="dxa"/>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tabs>
                <w:tab w:val="left" w:pos="4536"/>
              </w:tabs>
              <w:spacing w:line="500" w:lineRule="exact"/>
              <w:rPr>
                <w:rFonts w:ascii="宋体" w:hAnsi="宋体"/>
                <w:color w:val="auto"/>
                <w:sz w:val="24"/>
                <w:highlight w:val="none"/>
              </w:rPr>
            </w:pPr>
            <w:r>
              <w:rPr>
                <w:rFonts w:ascii="宋体" w:hAnsi="宋体"/>
                <w:color w:val="auto"/>
                <w:sz w:val="24"/>
                <w:highlight w:val="none"/>
              </w:rPr>
              <w:t>招</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rPr>
              <w:t>许昌市建安区交通运输局</w:t>
            </w:r>
          </w:p>
          <w:p>
            <w:pPr>
              <w:tabs>
                <w:tab w:val="left" w:pos="4536"/>
              </w:tabs>
              <w:spacing w:line="500" w:lineRule="exact"/>
              <w:rPr>
                <w:rFonts w:ascii="宋体" w:hAnsi="宋体"/>
                <w:color w:val="auto"/>
                <w:sz w:val="24"/>
                <w:highlight w:val="none"/>
                <w:u w:val="single"/>
              </w:rPr>
            </w:pPr>
            <w:r>
              <w:rPr>
                <w:rFonts w:hint="eastAsia" w:ascii="宋体" w:hAnsi="宋体"/>
                <w:color w:val="auto"/>
                <w:sz w:val="24"/>
                <w:highlight w:val="none"/>
              </w:rPr>
              <w:t>地    址：许昌市建安区新元大道兴业大厦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欧邦工程管理有限公司</w:t>
            </w:r>
          </w:p>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刘振</w:t>
            </w:r>
          </w:p>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val="en-US" w:eastAsia="zh-CN"/>
              </w:rPr>
              <w:t>15837432370</w:t>
            </w:r>
            <w:r>
              <w:rPr>
                <w:rFonts w:hint="eastAsia" w:ascii="宋体" w:hAnsi="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5805" w:type="dxa"/>
            <w:gridSpan w:val="2"/>
            <w:tcBorders>
              <w:left w:val="single" w:color="auto" w:sz="4" w:space="0"/>
              <w:right w:val="single" w:color="auto" w:sz="4" w:space="0"/>
            </w:tcBorders>
            <w:vAlign w:val="center"/>
          </w:tcPr>
          <w:p>
            <w:pPr>
              <w:tabs>
                <w:tab w:val="right" w:leader="dot" w:pos="8295"/>
              </w:tabs>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灵井镇岗王村道路工程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许昌市建安区灵井镇岗王村内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资金落实情况</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工期要求</w:t>
            </w:r>
          </w:p>
        </w:tc>
        <w:tc>
          <w:tcPr>
            <w:tcW w:w="5805" w:type="dxa"/>
            <w:gridSpan w:val="2"/>
            <w:vAlign w:val="center"/>
          </w:tcPr>
          <w:p>
            <w:pPr>
              <w:tabs>
                <w:tab w:val="right" w:leader="dot" w:pos="8295"/>
              </w:tabs>
              <w:spacing w:line="500" w:lineRule="exact"/>
              <w:jc w:val="left"/>
              <w:rPr>
                <w:color w:val="auto"/>
                <w:sz w:val="24"/>
                <w:highlight w:val="none"/>
              </w:rPr>
            </w:pPr>
            <w:r>
              <w:rPr>
                <w:rFonts w:hint="eastAsia"/>
                <w:i w:val="0"/>
                <w:iCs w:val="0"/>
                <w:color w:val="auto"/>
                <w:sz w:val="24"/>
                <w:highlight w:val="none"/>
                <w:lang w:val="en-US" w:eastAsia="zh-CN"/>
              </w:rPr>
              <w:t>30</w:t>
            </w:r>
            <w:r>
              <w:rPr>
                <w:i w:val="0"/>
                <w:iCs w:val="0"/>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color w:val="auto"/>
                <w:sz w:val="24"/>
                <w:highlight w:val="none"/>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202"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084"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1.4.3</w:t>
            </w:r>
          </w:p>
        </w:tc>
        <w:tc>
          <w:tcPr>
            <w:tcW w:w="2084"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是否接受联合体资格投标</w:t>
            </w:r>
          </w:p>
        </w:tc>
        <w:tc>
          <w:tcPr>
            <w:tcW w:w="5805"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递交投标文件的截止之日15日前提出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ascii="宋体" w:hAnsi="宋体"/>
                <w:b/>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8</w:t>
            </w:r>
            <w:r>
              <w:rPr>
                <w:rFonts w:hint="eastAsia"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11</w:t>
            </w:r>
            <w:r>
              <w:rPr>
                <w:rFonts w:hint="eastAsia" w:ascii="宋体" w:hAnsi="宋体"/>
                <w:b/>
                <w:color w:val="auto"/>
                <w:sz w:val="24"/>
                <w:highlight w:val="none"/>
              </w:rPr>
              <w:t>日</w:t>
            </w:r>
            <w:r>
              <w:rPr>
                <w:rFonts w:hint="eastAsia" w:ascii="宋体" w:hAnsi="宋体"/>
                <w:b/>
                <w:color w:val="auto"/>
                <w:sz w:val="24"/>
                <w:highlight w:val="none"/>
                <w:lang w:val="en-US" w:eastAsia="zh-CN"/>
              </w:rPr>
              <w:t>9</w:t>
            </w:r>
            <w:r>
              <w:rPr>
                <w:rFonts w:hint="eastAsia" w:ascii="宋体" w:hAnsi="宋体"/>
                <w:b/>
                <w:color w:val="auto"/>
                <w:sz w:val="24"/>
                <w:highlight w:val="none"/>
              </w:rPr>
              <w:t>时</w:t>
            </w:r>
            <w:r>
              <w:rPr>
                <w:rFonts w:hint="eastAsia" w:ascii="宋体" w:hAnsi="宋体"/>
                <w:b/>
                <w:color w:val="auto"/>
                <w:sz w:val="24"/>
                <w:highlight w:val="none"/>
                <w:lang w:val="en-US" w:eastAsia="zh-CN"/>
              </w:rPr>
              <w:t>3</w:t>
            </w:r>
            <w:r>
              <w:rPr>
                <w:rFonts w:hint="eastAsia" w:ascii="宋体" w:hAnsi="宋体"/>
                <w:b/>
                <w:color w:val="auto"/>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收到澄清后2日内（以发出时间为准）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2.3.2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w:t>
            </w:r>
            <w:r>
              <w:rPr>
                <w:rFonts w:hint="eastAsia" w:ascii="宋体" w:hAnsi="宋体"/>
                <w:color w:val="auto"/>
                <w:sz w:val="24"/>
                <w:highlight w:val="none"/>
              </w:rPr>
              <w:t>日内（以发出时间为准）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202" w:type="dxa"/>
            <w:tcBorders>
              <w:left w:val="single" w:color="auto" w:sz="4" w:space="0"/>
            </w:tcBorders>
            <w:vAlign w:val="center"/>
          </w:tcPr>
          <w:p>
            <w:pPr>
              <w:adjustRightInd w:val="0"/>
              <w:snapToGrid w:val="0"/>
              <w:spacing w:line="500" w:lineRule="exact"/>
              <w:jc w:val="center"/>
              <w:rPr>
                <w:color w:val="auto"/>
                <w:sz w:val="24"/>
                <w:highlight w:val="none"/>
              </w:rPr>
            </w:pPr>
            <w:r>
              <w:rPr>
                <w:color w:val="auto"/>
                <w:sz w:val="24"/>
                <w:highlight w:val="none"/>
              </w:rPr>
              <w:t>3.2.4</w:t>
            </w:r>
          </w:p>
        </w:tc>
        <w:tc>
          <w:tcPr>
            <w:tcW w:w="2084"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color w:val="auto"/>
                <w:sz w:val="24"/>
                <w:highlight w:val="none"/>
              </w:rPr>
              <w:t>2</w:t>
            </w:r>
            <w:r>
              <w:rPr>
                <w:rFonts w:hint="eastAsia" w:ascii="宋体" w:hAnsi="宋体"/>
                <w:color w:val="auto"/>
                <w:sz w:val="24"/>
                <w:highlight w:val="none"/>
              </w:rPr>
              <w:t>01</w:t>
            </w:r>
            <w:r>
              <w:rPr>
                <w:rFonts w:hint="eastAsia" w:hAnsi="宋体"/>
                <w:color w:val="auto"/>
                <w:sz w:val="24"/>
                <w:highlight w:val="none"/>
                <w:lang w:val="en-US" w:eastAsia="zh-CN"/>
              </w:rPr>
              <w:t>5</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3.2.9</w:t>
            </w:r>
          </w:p>
        </w:tc>
        <w:tc>
          <w:tcPr>
            <w:tcW w:w="2084"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3.3.1</w:t>
            </w:r>
          </w:p>
        </w:tc>
        <w:tc>
          <w:tcPr>
            <w:tcW w:w="2084"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084"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5"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3.7.3</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投标文件（商务及技术文件）、（投标报价和工程量清单 ）正本应用不褪色的墨水书写或打印，并逐页加盖投标人公章和法定代表人或其委托代理人逐页亲笔签署姓名，（封面、扉页、目录和本页正文内容已由投标人的法定代表人或其委托代理人签署姓名的可不签署），不得使用签名章或其它电子制版签名。</w:t>
            </w:r>
          </w:p>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投标文件应尽量避免涂改、行间插字或删除。如果出现上述情况，改动之处应加盖单位章或由投标人的法定代表人或其授权的代理人签字确认。</w:t>
            </w:r>
          </w:p>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正本和副本的封面上应清楚地标记“正本”或“副本”的字样。当副本和正本不一致时，以正本为准。</w:t>
            </w:r>
          </w:p>
          <w:p>
            <w:pPr>
              <w:rPr>
                <w:rFonts w:ascii="宋体" w:hAnsi="宋体"/>
                <w:color w:val="auto"/>
                <w:szCs w:val="21"/>
                <w:highlight w:val="none"/>
              </w:rPr>
            </w:pPr>
            <w:r>
              <w:rPr>
                <w:rFonts w:hint="eastAsia" w:ascii="宋体" w:hAnsi="宋体"/>
                <w:color w:val="auto"/>
                <w:sz w:val="24"/>
                <w:szCs w:val="28"/>
                <w:highlight w:val="none"/>
              </w:rPr>
              <w:t>投标文件（投标报价和工程量清单）正本投标总报价表还须造价人员签字并加盖执业专用章。委托造价咨询单位编制的，需提供委托协议，已标价工程量清单正本投标总报价加盖咨询单位公章、资质章、造价师签字并加盖执业专用章，且证件在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3.7.4</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color w:val="auto"/>
                <w:sz w:val="24"/>
                <w:highlight w:val="none"/>
              </w:rPr>
              <w:t>正本1份，副本4份，</w:t>
            </w:r>
            <w:r>
              <w:rPr>
                <w:rFonts w:hint="eastAsia" w:ascii="宋体" w:hAnsi="宋体"/>
                <w:color w:val="auto"/>
                <w:sz w:val="24"/>
                <w:szCs w:val="28"/>
                <w:highlight w:val="none"/>
              </w:rPr>
              <w:t>U盘电子版本</w:t>
            </w:r>
            <w:r>
              <w:rPr>
                <w:rFonts w:hint="eastAsia" w:ascii="宋体" w:hAnsi="宋体"/>
                <w:color w:val="auto"/>
                <w:sz w:val="24"/>
                <w:highlight w:val="none"/>
              </w:rPr>
              <w:t>1</w:t>
            </w:r>
            <w:r>
              <w:rPr>
                <w:rFonts w:hint="eastAsia" w:ascii="宋体" w:hAnsi="宋体"/>
                <w:color w:val="auto"/>
                <w:sz w:val="24"/>
                <w:szCs w:val="28"/>
                <w:highlight w:val="none"/>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3.7.5</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202"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084"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4.2.2</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rPr>
            </w:pPr>
            <w:r>
              <w:rPr>
                <w:rFonts w:hint="eastAsia" w:ascii="宋体" w:hAnsi="宋体"/>
                <w:color w:val="auto"/>
                <w:sz w:val="24"/>
                <w:highlight w:val="none"/>
              </w:rPr>
              <w:t>许昌市建安区兴业大厦4167室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4.2.3</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i w:val="0"/>
                <w:iCs w:val="0"/>
                <w:color w:val="auto"/>
                <w:sz w:val="24"/>
                <w:highlight w:val="none"/>
              </w:rPr>
              <w:t>：201</w:t>
            </w:r>
            <w:r>
              <w:rPr>
                <w:rFonts w:hint="eastAsia" w:ascii="宋体" w:hAnsi="宋体"/>
                <w:i w:val="0"/>
                <w:iCs w:val="0"/>
                <w:color w:val="auto"/>
                <w:sz w:val="24"/>
                <w:highlight w:val="none"/>
                <w:lang w:val="en-US" w:eastAsia="zh-CN"/>
              </w:rPr>
              <w:t>8</w:t>
            </w:r>
            <w:r>
              <w:rPr>
                <w:rFonts w:hint="eastAsia" w:ascii="宋体" w:hAnsi="宋体"/>
                <w:i w:val="0"/>
                <w:iCs w:val="0"/>
                <w:color w:val="auto"/>
                <w:sz w:val="24"/>
                <w:highlight w:val="none"/>
              </w:rPr>
              <w:t>年</w:t>
            </w:r>
            <w:r>
              <w:rPr>
                <w:rFonts w:hint="eastAsia" w:ascii="宋体" w:hAnsi="宋体"/>
                <w:i w:val="0"/>
                <w:iCs w:val="0"/>
                <w:color w:val="auto"/>
                <w:sz w:val="24"/>
                <w:highlight w:val="none"/>
                <w:lang w:val="en-US" w:eastAsia="zh-CN"/>
              </w:rPr>
              <w:t>1</w:t>
            </w:r>
            <w:r>
              <w:rPr>
                <w:rFonts w:hint="eastAsia" w:ascii="宋体" w:hAnsi="宋体"/>
                <w:i w:val="0"/>
                <w:iCs w:val="0"/>
                <w:color w:val="auto"/>
                <w:sz w:val="24"/>
                <w:highlight w:val="none"/>
              </w:rPr>
              <w:t>月</w:t>
            </w:r>
            <w:r>
              <w:rPr>
                <w:rFonts w:hint="eastAsia" w:ascii="宋体" w:hAnsi="宋体"/>
                <w:i w:val="0"/>
                <w:iCs w:val="0"/>
                <w:color w:val="auto"/>
                <w:sz w:val="24"/>
                <w:highlight w:val="none"/>
                <w:lang w:val="en-US" w:eastAsia="zh-CN"/>
              </w:rPr>
              <w:t>11</w:t>
            </w:r>
            <w:r>
              <w:rPr>
                <w:rFonts w:hint="eastAsia" w:ascii="宋体" w:hAnsi="宋体"/>
                <w:i w:val="0"/>
                <w:iCs w:val="0"/>
                <w:color w:val="auto"/>
                <w:sz w:val="24"/>
                <w:highlight w:val="none"/>
              </w:rPr>
              <w:t xml:space="preserve">日 </w:t>
            </w:r>
            <w:r>
              <w:rPr>
                <w:rFonts w:hint="eastAsia" w:ascii="宋体" w:hAnsi="宋体"/>
                <w:i w:val="0"/>
                <w:iCs w:val="0"/>
                <w:color w:val="auto"/>
                <w:sz w:val="24"/>
                <w:highlight w:val="none"/>
                <w:lang w:val="en-US" w:eastAsia="zh-CN"/>
              </w:rPr>
              <w:t>9</w:t>
            </w:r>
            <w:r>
              <w:rPr>
                <w:rFonts w:hint="eastAsia" w:ascii="宋体" w:hAnsi="宋体"/>
                <w:i w:val="0"/>
                <w:iCs w:val="0"/>
                <w:color w:val="auto"/>
                <w:sz w:val="24"/>
                <w:highlight w:val="none"/>
              </w:rPr>
              <w:t>时</w:t>
            </w:r>
            <w:r>
              <w:rPr>
                <w:rFonts w:hint="eastAsia" w:ascii="宋体" w:hAnsi="宋体"/>
                <w:i w:val="0"/>
                <w:iCs w:val="0"/>
                <w:color w:val="auto"/>
                <w:sz w:val="24"/>
                <w:highlight w:val="none"/>
                <w:lang w:val="en-US" w:eastAsia="zh-CN"/>
              </w:rPr>
              <w:t>3</w:t>
            </w:r>
            <w:r>
              <w:rPr>
                <w:rFonts w:hint="eastAsia" w:ascii="宋体" w:hAnsi="宋体"/>
                <w:i w:val="0"/>
                <w:iCs w:val="0"/>
                <w:color w:val="auto"/>
                <w:sz w:val="24"/>
                <w:highlight w:val="none"/>
              </w:rPr>
              <w:t>0分</w:t>
            </w:r>
          </w:p>
          <w:p>
            <w:pPr>
              <w:ind w:left="113" w:right="113"/>
              <w:rPr>
                <w:rFonts w:ascii="宋体" w:hAnsi="宋体"/>
                <w:color w:val="auto"/>
                <w:sz w:val="24"/>
                <w:highlight w:val="none"/>
              </w:rPr>
            </w:pPr>
            <w:r>
              <w:rPr>
                <w:rFonts w:hint="eastAsia" w:ascii="宋体" w:hAnsi="宋体"/>
                <w:color w:val="auto"/>
                <w:sz w:val="24"/>
                <w:highlight w:val="none"/>
              </w:rPr>
              <w:t>开标地点：许昌市建安区兴业大厦4167室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5.2.1</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6.1.1</w:t>
            </w:r>
          </w:p>
        </w:tc>
        <w:tc>
          <w:tcPr>
            <w:tcW w:w="2084" w:type="dxa"/>
            <w:gridSpan w:val="2"/>
            <w:vAlign w:val="center"/>
          </w:tcPr>
          <w:p>
            <w:pPr>
              <w:spacing w:line="360" w:lineRule="auto"/>
              <w:rPr>
                <w:rFonts w:hAnsi="宋体" w:cs="仿宋_GB2312"/>
                <w:b/>
                <w:color w:val="auto"/>
                <w:sz w:val="24"/>
                <w:highlight w:val="none"/>
              </w:rPr>
            </w:pPr>
            <w:r>
              <w:rPr>
                <w:rFonts w:hint="eastAsia" w:hAnsi="宋体" w:cs="仿宋_GB2312"/>
                <w:b/>
                <w:color w:val="auto"/>
                <w:sz w:val="24"/>
                <w:highlight w:val="none"/>
              </w:rPr>
              <w:t>评标委员会的组建</w:t>
            </w:r>
          </w:p>
        </w:tc>
        <w:tc>
          <w:tcPr>
            <w:tcW w:w="5805" w:type="dxa"/>
            <w:gridSpan w:val="2"/>
            <w:vAlign w:val="center"/>
          </w:tcPr>
          <w:p>
            <w:pPr>
              <w:spacing w:line="360" w:lineRule="auto"/>
              <w:rPr>
                <w:rFonts w:hint="eastAsia" w:hAnsi="宋体" w:cs="仿宋_GB2312"/>
                <w:b/>
                <w:color w:val="auto"/>
                <w:sz w:val="24"/>
                <w:highlight w:val="none"/>
              </w:rPr>
            </w:pPr>
            <w:r>
              <w:rPr>
                <w:rFonts w:hint="eastAsia" w:hAnsi="宋体" w:cs="仿宋_GB2312"/>
                <w:b/>
                <w:color w:val="auto"/>
                <w:sz w:val="24"/>
                <w:highlight w:val="none"/>
              </w:rPr>
              <w:t xml:space="preserve">评标委员会构成： </w:t>
            </w:r>
            <w:r>
              <w:rPr>
                <w:rFonts w:hint="eastAsia" w:hAnsi="宋体" w:cs="仿宋_GB2312"/>
                <w:b/>
                <w:color w:val="auto"/>
                <w:sz w:val="24"/>
                <w:highlight w:val="none"/>
                <w:lang w:val="en-US" w:eastAsia="zh-CN"/>
              </w:rPr>
              <w:t>5</w:t>
            </w:r>
            <w:r>
              <w:rPr>
                <w:rFonts w:hint="eastAsia" w:hAnsi="宋体" w:cs="仿宋_GB2312"/>
                <w:b/>
                <w:color w:val="auto"/>
                <w:sz w:val="24"/>
                <w:highlight w:val="none"/>
              </w:rPr>
              <w:t xml:space="preserve">人（招标人代表 </w:t>
            </w:r>
            <w:r>
              <w:rPr>
                <w:rFonts w:hint="eastAsia" w:hAnsi="宋体" w:cs="仿宋_GB2312"/>
                <w:b/>
                <w:color w:val="auto"/>
                <w:sz w:val="24"/>
                <w:highlight w:val="none"/>
                <w:lang w:val="en-US" w:eastAsia="zh-CN"/>
              </w:rPr>
              <w:t>1</w:t>
            </w:r>
            <w:r>
              <w:rPr>
                <w:rFonts w:hint="eastAsia" w:hAnsi="宋体" w:cs="仿宋_GB2312"/>
                <w:b/>
                <w:color w:val="auto"/>
                <w:sz w:val="24"/>
                <w:highlight w:val="none"/>
              </w:rPr>
              <w:t xml:space="preserve">人，专家 </w:t>
            </w:r>
            <w:r>
              <w:rPr>
                <w:rFonts w:hint="eastAsia" w:hAnsi="宋体" w:cs="仿宋_GB2312"/>
                <w:b/>
                <w:color w:val="auto"/>
                <w:sz w:val="24"/>
                <w:highlight w:val="none"/>
                <w:lang w:val="en-US" w:eastAsia="zh-CN"/>
              </w:rPr>
              <w:t>4</w:t>
            </w:r>
            <w:r>
              <w:rPr>
                <w:rFonts w:hint="eastAsia" w:hAnsi="宋体" w:cs="仿宋_GB2312"/>
                <w:b/>
                <w:color w:val="auto"/>
                <w:sz w:val="24"/>
                <w:highlight w:val="none"/>
              </w:rPr>
              <w:t xml:space="preserve"> 人，其中注册造价工程师2人）；</w:t>
            </w:r>
          </w:p>
          <w:p>
            <w:pPr>
              <w:spacing w:line="360" w:lineRule="auto"/>
              <w:rPr>
                <w:rFonts w:hAnsi="宋体" w:cs="仿宋_GB2312"/>
                <w:b/>
                <w:color w:val="auto"/>
                <w:sz w:val="24"/>
                <w:highlight w:val="none"/>
              </w:rPr>
            </w:pPr>
            <w:r>
              <w:rPr>
                <w:rFonts w:hint="eastAsia" w:hAnsi="宋体" w:cs="仿宋_GB2312"/>
                <w:b/>
                <w:color w:val="auto"/>
                <w:sz w:val="24"/>
                <w:highlight w:val="none"/>
              </w:rPr>
              <w:t>评标专家确定方式：从 河南省综合评标专家库 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6.3</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评标办法</w:t>
            </w:r>
          </w:p>
        </w:tc>
        <w:tc>
          <w:tcPr>
            <w:tcW w:w="5805" w:type="dxa"/>
            <w:gridSpan w:val="2"/>
            <w:vAlign w:val="center"/>
          </w:tcPr>
          <w:p>
            <w:pPr>
              <w:spacing w:line="360" w:lineRule="auto"/>
              <w:rPr>
                <w:rFonts w:ascii="宋体" w:hAnsi="宋体"/>
                <w:color w:val="auto"/>
                <w:sz w:val="24"/>
                <w:highlight w:val="none"/>
              </w:rPr>
            </w:pPr>
            <w:r>
              <w:rPr>
                <w:rFonts w:hint="eastAsia" w:ascii="宋体" w:hAnsi="宋体"/>
                <w:b/>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6.4</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招标控制价</w:t>
            </w:r>
          </w:p>
        </w:tc>
        <w:tc>
          <w:tcPr>
            <w:tcW w:w="5805" w:type="dxa"/>
            <w:gridSpan w:val="2"/>
            <w:vAlign w:val="center"/>
          </w:tcPr>
          <w:p>
            <w:pPr>
              <w:spacing w:line="360" w:lineRule="auto"/>
              <w:rPr>
                <w:rFonts w:hint="eastAsia" w:hAnsi="宋体" w:cs="仿宋_GB2312"/>
                <w:b/>
                <w:color w:val="auto"/>
                <w:sz w:val="24"/>
                <w:highlight w:val="none"/>
                <w:lang w:eastAsia="zh-CN"/>
              </w:rPr>
            </w:pPr>
            <w:r>
              <w:rPr>
                <w:rFonts w:hint="eastAsia" w:ascii="宋体" w:hAnsi="宋体"/>
                <w:b/>
                <w:bCs/>
                <w:color w:val="auto"/>
                <w:sz w:val="24"/>
                <w:highlight w:val="none"/>
              </w:rPr>
              <w:t>招标控制价：</w:t>
            </w:r>
            <w:r>
              <w:rPr>
                <w:rFonts w:hint="eastAsia" w:hAnsi="宋体" w:cs="仿宋_GB2312"/>
                <w:b/>
                <w:color w:val="auto"/>
                <w:sz w:val="24"/>
                <w:highlight w:val="none"/>
                <w:lang w:eastAsia="zh-CN"/>
              </w:rPr>
              <w:t>肆佰贰拾万零柒仟伍佰叁拾肆元整</w:t>
            </w:r>
          </w:p>
          <w:p>
            <w:pPr>
              <w:spacing w:line="360" w:lineRule="auto"/>
              <w:rPr>
                <w:rFonts w:hAnsi="宋体" w:cs="仿宋_GB2312"/>
                <w:b/>
                <w:color w:val="auto"/>
                <w:sz w:val="24"/>
                <w:highlight w:val="none"/>
              </w:rPr>
            </w:pPr>
            <w:r>
              <w:rPr>
                <w:rFonts w:hint="eastAsia" w:hAnsi="宋体" w:cs="仿宋_GB2312"/>
                <w:b/>
                <w:color w:val="auto"/>
                <w:sz w:val="24"/>
                <w:highlight w:val="none"/>
              </w:rPr>
              <w:t>（小写：</w:t>
            </w:r>
            <w:r>
              <w:rPr>
                <w:rFonts w:hint="eastAsia" w:hAnsi="宋体" w:cs="仿宋_GB2312"/>
                <w:b/>
                <w:color w:val="auto"/>
                <w:sz w:val="24"/>
                <w:highlight w:val="none"/>
                <w:lang w:eastAsia="zh-CN"/>
              </w:rPr>
              <w:t>4207534.00元</w:t>
            </w:r>
            <w:r>
              <w:rPr>
                <w:rFonts w:hint="eastAsia" w:hAnsi="宋体" w:cs="仿宋_GB2312"/>
                <w:b/>
                <w:color w:val="auto"/>
                <w:sz w:val="24"/>
                <w:highlight w:val="none"/>
              </w:rPr>
              <w:t>）</w:t>
            </w:r>
          </w:p>
          <w:p>
            <w:pPr>
              <w:spacing w:line="360" w:lineRule="auto"/>
              <w:rPr>
                <w:rFonts w:hAnsi="宋体" w:cs="仿宋_GB2312"/>
                <w:b/>
                <w:color w:val="auto"/>
                <w:highlight w:val="none"/>
              </w:rPr>
            </w:pPr>
            <w:r>
              <w:rPr>
                <w:rFonts w:hint="eastAsia" w:hAnsi="宋体" w:cs="仿宋_GB2312"/>
                <w:b/>
                <w:color w:val="auto"/>
                <w:sz w:val="24"/>
                <w:highlight w:val="none"/>
              </w:rPr>
              <w:t>凡投标人的投标报价超出“</w:t>
            </w:r>
            <w:r>
              <w:rPr>
                <w:rFonts w:hAnsi="宋体" w:cs="仿宋_GB2312"/>
                <w:b/>
                <w:color w:val="auto"/>
                <w:sz w:val="24"/>
                <w:highlight w:val="none"/>
              </w:rPr>
              <w:t>招标控制价</w:t>
            </w:r>
            <w:r>
              <w:rPr>
                <w:rFonts w:hint="eastAsia" w:hAnsi="宋体" w:cs="仿宋_GB2312"/>
                <w:b/>
                <w:color w:val="auto"/>
                <w:sz w:val="24"/>
                <w:highlight w:val="none"/>
              </w:rPr>
              <w:t>”（不含等于“</w:t>
            </w:r>
            <w:r>
              <w:rPr>
                <w:rFonts w:hAnsi="宋体" w:cs="仿宋_GB2312"/>
                <w:b/>
                <w:color w:val="auto"/>
                <w:sz w:val="24"/>
                <w:highlight w:val="none"/>
              </w:rPr>
              <w:t>招标控制价</w:t>
            </w:r>
            <w:r>
              <w:rPr>
                <w:rFonts w:hint="eastAsia" w:hAnsi="宋体" w:cs="仿宋_GB2312"/>
                <w:b/>
                <w:color w:val="auto"/>
                <w:sz w:val="24"/>
                <w:highlight w:val="none"/>
              </w:rPr>
              <w:t>”）的，该投标人的投标文件应作废标处理。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6.5</w:t>
            </w:r>
          </w:p>
        </w:tc>
        <w:tc>
          <w:tcPr>
            <w:tcW w:w="2084"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w:t>
            </w:r>
            <w:r>
              <w:rPr>
                <w:rFonts w:hint="eastAsia" w:hAnsi="宋体"/>
                <w:color w:val="000000"/>
                <w:sz w:val="24"/>
                <w:highlight w:val="none"/>
              </w:rPr>
              <w:t>河南省·许昌市</w:t>
            </w:r>
            <w:r>
              <w:rPr>
                <w:rFonts w:hint="eastAsia" w:hAnsi="宋体" w:eastAsia="宋体" w:cs="仿宋_GB2312"/>
                <w:color w:val="000000"/>
                <w:sz w:val="24"/>
                <w:highlight w:val="none"/>
              </w:rPr>
              <w:t>）》</w:t>
            </w:r>
            <w:r>
              <w:rPr>
                <w:rFonts w:hint="eastAsia" w:ascii="宋体" w:hAnsi="宋体"/>
                <w:color w:val="auto"/>
                <w:spacing w:val="2"/>
                <w:sz w:val="24"/>
                <w:highlight w:val="none"/>
              </w:rPr>
              <w:t xml:space="preserve">下载招标文件的。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084"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7.3.1</w:t>
            </w:r>
          </w:p>
        </w:tc>
        <w:tc>
          <w:tcPr>
            <w:tcW w:w="2084"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履约担保</w:t>
            </w:r>
          </w:p>
        </w:tc>
        <w:tc>
          <w:tcPr>
            <w:tcW w:w="5805" w:type="dxa"/>
            <w:gridSpan w:val="2"/>
            <w:vAlign w:val="center"/>
          </w:tcPr>
          <w:p>
            <w:pPr>
              <w:widowControl/>
              <w:spacing w:line="240" w:lineRule="atLeast"/>
              <w:rPr>
                <w:rFonts w:ascii="宋体" w:cs="宋体"/>
                <w:color w:val="auto"/>
                <w:kern w:val="0"/>
                <w:sz w:val="24"/>
                <w:highlight w:val="none"/>
              </w:rPr>
            </w:pPr>
            <w:r>
              <w:rPr>
                <w:rFonts w:hint="eastAsia" w:ascii="宋体" w:hAnsi="宋体" w:cs="宋体"/>
                <w:color w:val="auto"/>
                <w:kern w:val="0"/>
                <w:sz w:val="24"/>
                <w:highlight w:val="none"/>
              </w:rPr>
              <w:t>履约担保的形式：中标人从基本账户转出</w:t>
            </w:r>
          </w:p>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履约担保的金额：中标价的</w:t>
            </w:r>
            <w:r>
              <w:rPr>
                <w:rFonts w:ascii="宋体" w:hAnsi="宋体" w:cs="宋体"/>
                <w:color w:val="auto"/>
                <w:kern w:val="0"/>
                <w:sz w:val="24"/>
                <w:highlight w:val="none"/>
              </w:rPr>
              <w:t xml:space="preserve">10% </w:t>
            </w:r>
          </w:p>
          <w:p>
            <w:pPr>
              <w:widowControl/>
              <w:spacing w:line="240" w:lineRule="atLeast"/>
              <w:rPr>
                <w:rFonts w:ascii="宋体" w:cs="宋体"/>
                <w:b/>
                <w:bCs/>
                <w:color w:val="auto"/>
                <w:kern w:val="0"/>
                <w:sz w:val="24"/>
                <w:highlight w:val="none"/>
              </w:rPr>
            </w:pPr>
            <w:r>
              <w:rPr>
                <w:rFonts w:hint="eastAsia" w:ascii="宋体" w:hAnsi="宋体" w:cs="宋体"/>
                <w:color w:val="auto"/>
                <w:kern w:val="0"/>
                <w:sz w:val="24"/>
                <w:highlight w:val="none"/>
              </w:rPr>
              <w:t>履约担保的缴纳时间：签订合同前缴纳，否则视为中标候选人原因，自动放弃中标资格，招标人按规定没收其投标保证金，给招标人造成的损失超过投标保证金数额的，中标人还应当对超过部分予以赔偿。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lang w:eastAsia="zh-CN"/>
              </w:rPr>
            </w:pPr>
            <w:r>
              <w:rPr>
                <w:rFonts w:hint="eastAsia" w:ascii="宋体" w:hAnsi="宋体"/>
                <w:b/>
                <w:color w:val="auto"/>
                <w:sz w:val="24"/>
                <w:highlight w:val="none"/>
              </w:rPr>
              <w:t>在中标通知书发出前，招标人将中标候选人的情况在《全国公共资源交易平台（河南省•许昌市）》、《河南招标采购综合网》和《中国采购与招标网》上予以公示，公示期不少于3日。根据《关于在招标投标活动中全面开展行贿犯罪档案查询的通知》（高检会〔2015〕3号）要求，中标企业领取中标通知书时需提供注册地或项目所在地检察机关出具的行贿犯罪档案查询结果告知函</w:t>
            </w:r>
            <w:r>
              <w:rPr>
                <w:rFonts w:hint="eastAsia" w:ascii="宋体" w:hAnsi="宋体"/>
                <w:b/>
                <w:color w:val="auto"/>
                <w:sz w:val="24"/>
                <w:highlight w:val="none"/>
                <w:lang w:eastAsia="zh-CN"/>
              </w:rPr>
              <w:t>。</w:t>
            </w:r>
            <w:r>
              <w:rPr>
                <w:rFonts w:hint="eastAsia" w:ascii="宋体" w:hAnsi="宋体"/>
                <w:b/>
                <w:color w:val="auto"/>
                <w:sz w:val="24"/>
                <w:highlight w:val="none"/>
              </w:rPr>
              <w:t>若中标候选人第一名存在行贿犯罪记录，按照招标委员会提供的评标报告，按序推荐中标候选人，若均存在行贿犯罪记录，则招标人重新招标。</w:t>
            </w:r>
          </w:p>
          <w:p>
            <w:pPr>
              <w:ind w:left="113" w:right="113"/>
              <w:rPr>
                <w:rFonts w:ascii="宋体" w:hAnsi="宋体"/>
                <w:color w:val="auto"/>
                <w:sz w:val="24"/>
                <w:highlight w:val="none"/>
              </w:rPr>
            </w:pPr>
            <w:r>
              <w:rPr>
                <w:rFonts w:hint="eastAsia" w:ascii="宋体" w:hAnsi="宋体"/>
                <w:b/>
                <w:color w:val="auto"/>
                <w:sz w:val="24"/>
                <w:highlight w:val="none"/>
              </w:rPr>
              <w:t>检察机关出具的行贿犯罪档案查询结果告知函需在有效期内，查询对象包含单位、法定代表人、项目经理、授权委托人</w:t>
            </w:r>
            <w:r>
              <w:rPr>
                <w:rFonts w:hint="eastAsia" w:ascii="宋体" w:hAnsi="宋体"/>
                <w:b/>
                <w:color w:val="auto"/>
                <w:sz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投标人在投标截止时间前应随时关注许昌公共资源交易系统电子平台发出的有关本工程的答疑、修改等相关内容。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类似工程是指公路工程。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潜在投标人如对招标文件有异议，请在规定时间内在《全国公共资源交易平台（河南省·许昌市）》上提出，以其他方式递交的异议不予接受。</w:t>
            </w:r>
          </w:p>
        </w:tc>
      </w:tr>
    </w:tbl>
    <w:p>
      <w:pPr>
        <w:pStyle w:val="2"/>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486277862"/>
      <w:bookmarkStart w:id="7" w:name="_Toc485889001"/>
      <w:bookmarkStart w:id="8" w:name="_Toc31404"/>
      <w:r>
        <w:rPr>
          <w:rFonts w:hint="eastAsia" w:ascii="黑体" w:eastAsia="黑体"/>
          <w:color w:val="auto"/>
          <w:sz w:val="30"/>
          <w:szCs w:val="30"/>
          <w:highlight w:val="none"/>
        </w:rPr>
        <w:t>附录1   资格审查条件(资质最低条件)</w:t>
      </w:r>
      <w:bookmarkEnd w:id="5"/>
      <w:bookmarkEnd w:id="6"/>
      <w:bookmarkEnd w:id="7"/>
      <w:bookmarkEnd w:id="8"/>
    </w:p>
    <w:tbl>
      <w:tblPr>
        <w:tblStyle w:val="1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yellow"/>
              </w:rPr>
            </w:pPr>
            <w:r>
              <w:rPr>
                <w:rFonts w:hint="eastAsia" w:ascii="宋体" w:hAnsi="宋体"/>
                <w:color w:val="auto"/>
                <w:sz w:val="24"/>
                <w:highlight w:val="none"/>
              </w:rPr>
              <w:t>投标</w:t>
            </w:r>
            <w:r>
              <w:rPr>
                <w:rFonts w:hint="eastAsia" w:ascii="宋体" w:hAnsi="宋体"/>
                <w:color w:val="auto"/>
                <w:sz w:val="24"/>
                <w:highlight w:val="none"/>
                <w:lang w:eastAsia="zh-CN"/>
              </w:rPr>
              <w:t>人</w:t>
            </w:r>
            <w:r>
              <w:rPr>
                <w:rFonts w:hint="eastAsia" w:ascii="宋体" w:hAnsi="宋体"/>
                <w:color w:val="auto"/>
                <w:sz w:val="24"/>
                <w:highlight w:val="none"/>
              </w:rPr>
              <w:t>应提交最近三年内（</w:t>
            </w:r>
            <w:r>
              <w:rPr>
                <w:rFonts w:hint="eastAsia" w:ascii="宋体" w:hAnsi="宋体" w:cs="仿宋_GB2312"/>
                <w:color w:val="auto"/>
                <w:sz w:val="24"/>
                <w:highlight w:val="none"/>
              </w:rPr>
              <w:t>2014年1月1日至2016年12月31日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)经审计的资产负债表、损益表、现金流量表</w:t>
            </w:r>
            <w:r>
              <w:rPr>
                <w:rFonts w:hint="eastAsia" w:ascii="宋体" w:hAnsi="宋体"/>
                <w:color w:val="auto"/>
                <w:sz w:val="24"/>
                <w:highlight w:val="none"/>
                <w:lang w:eastAsia="zh-CN"/>
              </w:rPr>
              <w:t>。</w:t>
            </w:r>
            <w:r>
              <w:rPr>
                <w:rFonts w:hint="eastAsia" w:ascii="宋体" w:hAnsi="宋体"/>
                <w:color w:val="auto"/>
                <w:sz w:val="24"/>
                <w:highlight w:val="none"/>
              </w:rPr>
              <w:t>证明</w:t>
            </w:r>
            <w:r>
              <w:rPr>
                <w:rFonts w:hint="eastAsia" w:ascii="宋体" w:hAnsi="宋体"/>
                <w:color w:val="auto"/>
                <w:sz w:val="24"/>
                <w:highlight w:val="none"/>
                <w:lang w:val="en-US" w:eastAsia="zh-CN"/>
              </w:rPr>
              <w:t>投标人</w:t>
            </w:r>
            <w:r>
              <w:rPr>
                <w:rFonts w:hint="eastAsia" w:ascii="宋体" w:hAnsi="宋体"/>
                <w:color w:val="auto"/>
                <w:sz w:val="24"/>
                <w:highlight w:val="none"/>
              </w:rPr>
              <w:t>的财务状况良好，财务无亏损，没有被接管、冻结、破产状态；必要时，业主将向投标</w:t>
            </w:r>
            <w:r>
              <w:rPr>
                <w:rFonts w:hint="eastAsia" w:ascii="宋体" w:hAnsi="宋体"/>
                <w:color w:val="auto"/>
                <w:sz w:val="24"/>
                <w:highlight w:val="none"/>
                <w:lang w:val="en-US" w:eastAsia="zh-CN"/>
              </w:rPr>
              <w:t>人</w:t>
            </w:r>
            <w:r>
              <w:rPr>
                <w:rFonts w:hint="eastAsia" w:ascii="宋体" w:hAnsi="宋体"/>
                <w:color w:val="auto"/>
                <w:sz w:val="24"/>
                <w:highlight w:val="none"/>
              </w:rPr>
              <w:t>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自201</w:t>
            </w:r>
            <w:r>
              <w:rPr>
                <w:rFonts w:hint="eastAsia" w:hAnsi="宋体"/>
                <w:color w:val="auto"/>
                <w:sz w:val="24"/>
                <w:highlight w:val="none"/>
                <w:lang w:val="en-US" w:eastAsia="zh-CN"/>
              </w:rPr>
              <w:t>5</w:t>
            </w:r>
            <w:r>
              <w:rPr>
                <w:rFonts w:hint="eastAsia" w:ascii="宋体" w:hAnsi="宋体"/>
                <w:color w:val="auto"/>
                <w:sz w:val="24"/>
                <w:highlight w:val="none"/>
              </w:rPr>
              <w:t xml:space="preserve">年1月1日以来，企业有2项类似工程（公路工程）施工经历； </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自2014年以来在经营活动中没有重大违法记录（以检察机关出具的查询行贿犯罪档案结果告知函为准）。</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bookmarkStart w:id="9" w:name="_Toc234382589"/>
      <w:r>
        <w:rPr>
          <w:rFonts w:hint="eastAsia" w:ascii="黑体" w:eastAsia="黑体"/>
          <w:b/>
          <w:bCs/>
          <w:color w:val="auto"/>
          <w:kern w:val="44"/>
          <w:sz w:val="30"/>
          <w:szCs w:val="30"/>
          <w:highlight w:val="none"/>
        </w:rPr>
        <w:t>附录7   资格审查条件(关键设备最低条件)</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2428"/>
        <w:gridCol w:w="999"/>
        <w:gridCol w:w="1142"/>
        <w:gridCol w:w="20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2428" w:type="dxa"/>
            <w:vAlign w:val="center"/>
          </w:tcPr>
          <w:p>
            <w:pPr>
              <w:jc w:val="center"/>
              <w:rPr>
                <w:rFonts w:ascii="宋体" w:hAnsi="宋体"/>
                <w:color w:val="auto"/>
                <w:szCs w:val="21"/>
                <w:highlight w:val="none"/>
              </w:rPr>
            </w:pPr>
            <w:r>
              <w:rPr>
                <w:rFonts w:hint="eastAsia" w:ascii="宋体" w:hAnsi="宋体"/>
                <w:color w:val="auto"/>
                <w:szCs w:val="21"/>
                <w:highlight w:val="none"/>
              </w:rPr>
              <w:t>规格、功率及容量</w:t>
            </w:r>
          </w:p>
        </w:tc>
        <w:tc>
          <w:tcPr>
            <w:tcW w:w="999"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142" w:type="dxa"/>
            <w:vAlign w:val="center"/>
          </w:tcPr>
          <w:p>
            <w:pPr>
              <w:jc w:val="center"/>
              <w:rPr>
                <w:rFonts w:ascii="宋体" w:hAnsi="宋体"/>
                <w:color w:val="auto"/>
                <w:szCs w:val="21"/>
                <w:highlight w:val="none"/>
              </w:rPr>
            </w:pPr>
            <w:r>
              <w:rPr>
                <w:rFonts w:hint="eastAsia" w:ascii="宋体" w:hAnsi="宋体"/>
                <w:color w:val="auto"/>
                <w:szCs w:val="21"/>
                <w:highlight w:val="none"/>
              </w:rPr>
              <w:t>最低数量要求</w:t>
            </w:r>
          </w:p>
        </w:tc>
        <w:tc>
          <w:tcPr>
            <w:tcW w:w="2073" w:type="dxa"/>
            <w:vAlign w:val="center"/>
          </w:tcPr>
          <w:p>
            <w:pPr>
              <w:jc w:val="center"/>
              <w:rPr>
                <w:rFonts w:ascii="宋体" w:hAnsi="宋体"/>
                <w:color w:val="auto"/>
                <w:szCs w:val="21"/>
                <w:highlight w:val="none"/>
              </w:rPr>
            </w:pPr>
            <w:r>
              <w:rPr>
                <w:color w:val="auto"/>
                <w:szCs w:val="21"/>
                <w:highlight w:val="none"/>
              </w:rPr>
              <w:t>要</w:t>
            </w:r>
            <w:r>
              <w:rPr>
                <w:rFonts w:hint="eastAsia"/>
                <w:color w:val="auto"/>
                <w:szCs w:val="21"/>
                <w:highlight w:val="none"/>
              </w:rPr>
              <w:t xml:space="preserve">  </w:t>
            </w:r>
            <w:r>
              <w:rPr>
                <w:color w:val="auto"/>
                <w:szCs w:val="21"/>
                <w:highlight w:val="none"/>
              </w:rPr>
              <w:t>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水泥砼搅拌站</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color w:val="auto"/>
                <w:szCs w:val="21"/>
                <w:highlight w:val="none"/>
              </w:rPr>
              <w:t>1</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钻机</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2</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架桥机</w:t>
            </w:r>
          </w:p>
        </w:tc>
        <w:tc>
          <w:tcPr>
            <w:tcW w:w="2428" w:type="dxa"/>
            <w:vAlign w:val="center"/>
          </w:tcPr>
          <w:p>
            <w:pPr>
              <w:jc w:val="center"/>
              <w:rPr>
                <w:rFonts w:ascii="宋体" w:hAnsi="宋体"/>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水泥砼搅拌运输车</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3</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水泥砼输送泵</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color w:val="auto"/>
                <w:szCs w:val="21"/>
                <w:highlight w:val="none"/>
              </w:rPr>
            </w:pPr>
            <w:r>
              <w:rPr>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rPr>
                <w:color w:val="auto"/>
                <w:szCs w:val="21"/>
                <w:highlight w:val="none"/>
              </w:rPr>
            </w:pPr>
            <w:r>
              <w:rPr>
                <w:rFonts w:hint="eastAsia"/>
                <w:color w:val="auto"/>
                <w:szCs w:val="21"/>
                <w:highlight w:val="none"/>
              </w:rPr>
              <w:t>风镐</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4</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rPr>
                <w:color w:val="auto"/>
                <w:szCs w:val="21"/>
                <w:highlight w:val="none"/>
              </w:rPr>
            </w:pPr>
            <w:r>
              <w:rPr>
                <w:color w:val="auto"/>
                <w:szCs w:val="21"/>
                <w:highlight w:val="none"/>
              </w:rPr>
              <w:t>水泥混凝土路面振捣设备</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套</w:t>
            </w:r>
          </w:p>
        </w:tc>
        <w:tc>
          <w:tcPr>
            <w:tcW w:w="1142" w:type="dxa"/>
            <w:vAlign w:val="center"/>
          </w:tcPr>
          <w:p>
            <w:pPr>
              <w:spacing w:line="440" w:lineRule="exact"/>
              <w:jc w:val="center"/>
              <w:rPr>
                <w:color w:val="auto"/>
                <w:szCs w:val="21"/>
                <w:highlight w:val="none"/>
              </w:rPr>
            </w:pPr>
            <w:r>
              <w:rPr>
                <w:rFonts w:hint="eastAsia"/>
                <w:color w:val="auto"/>
                <w:szCs w:val="21"/>
                <w:highlight w:val="none"/>
              </w:rPr>
              <w:t>4</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吊车</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jc w:val="center"/>
              <w:rPr>
                <w:rFonts w:ascii="宋体" w:hAnsi="宋体"/>
                <w:color w:val="auto"/>
                <w:szCs w:val="21"/>
                <w:highlight w:val="none"/>
              </w:rPr>
            </w:pPr>
            <w:r>
              <w:rPr>
                <w:rFonts w:hint="eastAsia" w:ascii="宋体" w:hAnsi="宋体"/>
                <w:color w:val="auto"/>
                <w:szCs w:val="21"/>
                <w:highlight w:val="none"/>
              </w:rPr>
              <w:t>台</w:t>
            </w:r>
          </w:p>
        </w:tc>
        <w:tc>
          <w:tcPr>
            <w:tcW w:w="114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rPr>
                <w:rFonts w:ascii="宋体" w:hAnsi="宋体"/>
                <w:color w:val="auto"/>
                <w:szCs w:val="21"/>
                <w:highlight w:val="none"/>
              </w:rPr>
            </w:pPr>
            <w:r>
              <w:rPr>
                <w:rFonts w:hint="eastAsia" w:ascii="宋体" w:hAnsi="宋体"/>
                <w:color w:val="auto"/>
                <w:szCs w:val="21"/>
                <w:highlight w:val="none"/>
              </w:rPr>
              <w:t>挖掘机</w:t>
            </w:r>
          </w:p>
        </w:tc>
        <w:tc>
          <w:tcPr>
            <w:tcW w:w="2428" w:type="dxa"/>
            <w:vAlign w:val="center"/>
          </w:tcPr>
          <w:p>
            <w:pPr>
              <w:jc w:val="center"/>
              <w:rPr>
                <w:rFonts w:ascii="宋体" w:hAnsi="宋体"/>
                <w:color w:val="auto"/>
                <w:szCs w:val="21"/>
                <w:highlight w:val="none"/>
              </w:rPr>
            </w:pPr>
            <w:r>
              <w:rPr>
                <w:color w:val="auto"/>
                <w:szCs w:val="21"/>
                <w:highlight w:val="none"/>
              </w:rPr>
              <w:t>满足施工需要</w:t>
            </w:r>
          </w:p>
        </w:tc>
        <w:tc>
          <w:tcPr>
            <w:tcW w:w="999" w:type="dxa"/>
            <w:vAlign w:val="center"/>
          </w:tcPr>
          <w:p>
            <w:pPr>
              <w:spacing w:line="400" w:lineRule="exact"/>
              <w:jc w:val="center"/>
              <w:rPr>
                <w:color w:val="auto"/>
                <w:szCs w:val="21"/>
                <w:highlight w:val="none"/>
              </w:rPr>
            </w:pPr>
            <w:r>
              <w:rPr>
                <w:color w:val="auto"/>
                <w:szCs w:val="21"/>
                <w:highlight w:val="none"/>
              </w:rPr>
              <w:t>台</w:t>
            </w:r>
          </w:p>
        </w:tc>
        <w:tc>
          <w:tcPr>
            <w:tcW w:w="1142" w:type="dxa"/>
            <w:vAlign w:val="center"/>
          </w:tcPr>
          <w:p>
            <w:pPr>
              <w:spacing w:line="400" w:lineRule="exact"/>
              <w:jc w:val="center"/>
              <w:rPr>
                <w:color w:val="auto"/>
                <w:szCs w:val="21"/>
                <w:highlight w:val="none"/>
              </w:rPr>
            </w:pPr>
            <w:r>
              <w:rPr>
                <w:rFonts w:hint="eastAsia"/>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rPr>
                <w:rFonts w:ascii="宋体" w:hAnsi="宋体"/>
                <w:color w:val="auto"/>
                <w:szCs w:val="21"/>
                <w:highlight w:val="none"/>
              </w:rPr>
            </w:pPr>
            <w:r>
              <w:rPr>
                <w:rFonts w:hint="eastAsia" w:ascii="宋体" w:hAnsi="宋体"/>
                <w:color w:val="auto"/>
                <w:szCs w:val="21"/>
                <w:highlight w:val="none"/>
              </w:rPr>
              <w:t>装载机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00" w:lineRule="exact"/>
              <w:jc w:val="center"/>
              <w:rPr>
                <w:color w:val="auto"/>
                <w:szCs w:val="21"/>
                <w:highlight w:val="none"/>
              </w:rPr>
            </w:pPr>
            <w:r>
              <w:rPr>
                <w:color w:val="auto"/>
                <w:szCs w:val="21"/>
                <w:highlight w:val="none"/>
              </w:rPr>
              <w:t>套</w:t>
            </w:r>
          </w:p>
        </w:tc>
        <w:tc>
          <w:tcPr>
            <w:tcW w:w="1142" w:type="dxa"/>
            <w:vAlign w:val="center"/>
          </w:tcPr>
          <w:p>
            <w:pPr>
              <w:spacing w:line="400" w:lineRule="exact"/>
              <w:jc w:val="center"/>
              <w:rPr>
                <w:color w:val="auto"/>
                <w:szCs w:val="21"/>
                <w:highlight w:val="none"/>
              </w:rPr>
            </w:pPr>
            <w:r>
              <w:rPr>
                <w:rFonts w:hint="eastAsia"/>
                <w:color w:val="auto"/>
                <w:szCs w:val="21"/>
                <w:highlight w:val="none"/>
              </w:rPr>
              <w:t>2</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2000KN压力试验机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60KN万能材料试验机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水泥试验设备</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标准养护箱</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全站仪及附件</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自动安平水准仪</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jc w:val="center"/>
              <w:rPr>
                <w:rFonts w:ascii="宋体" w:hAnsi="宋体"/>
                <w:color w:val="auto"/>
                <w:szCs w:val="21"/>
                <w:highlight w:val="none"/>
              </w:rPr>
            </w:pPr>
          </w:p>
        </w:tc>
        <w:tc>
          <w:tcPr>
            <w:tcW w:w="2428" w:type="dxa"/>
            <w:vAlign w:val="center"/>
          </w:tcPr>
          <w:p>
            <w:pPr>
              <w:spacing w:line="440" w:lineRule="exact"/>
              <w:jc w:val="center"/>
              <w:rPr>
                <w:rFonts w:ascii="宋体" w:hAnsi="宋体"/>
                <w:color w:val="auto"/>
                <w:szCs w:val="21"/>
                <w:highlight w:val="none"/>
              </w:rPr>
            </w:pPr>
          </w:p>
        </w:tc>
        <w:tc>
          <w:tcPr>
            <w:tcW w:w="999" w:type="dxa"/>
            <w:vAlign w:val="center"/>
          </w:tcPr>
          <w:p>
            <w:pPr>
              <w:spacing w:line="440" w:lineRule="exact"/>
              <w:jc w:val="center"/>
              <w:rPr>
                <w:color w:val="auto"/>
                <w:szCs w:val="21"/>
                <w:highlight w:val="none"/>
              </w:rPr>
            </w:pPr>
          </w:p>
        </w:tc>
        <w:tc>
          <w:tcPr>
            <w:tcW w:w="1142" w:type="dxa"/>
          </w:tcPr>
          <w:p>
            <w:pPr>
              <w:jc w:val="center"/>
              <w:rPr>
                <w:rFonts w:ascii="宋体" w:hAnsi="宋体"/>
                <w:color w:val="auto"/>
                <w:szCs w:val="21"/>
                <w:highlight w:val="none"/>
              </w:rPr>
            </w:pPr>
          </w:p>
        </w:tc>
        <w:tc>
          <w:tcPr>
            <w:tcW w:w="20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jc w:val="center"/>
              <w:rPr>
                <w:rFonts w:ascii="宋体" w:hAnsi="宋体"/>
                <w:color w:val="auto"/>
                <w:szCs w:val="21"/>
                <w:highlight w:val="none"/>
              </w:rPr>
            </w:pPr>
          </w:p>
        </w:tc>
        <w:tc>
          <w:tcPr>
            <w:tcW w:w="2428" w:type="dxa"/>
            <w:vAlign w:val="center"/>
          </w:tcPr>
          <w:p>
            <w:pPr>
              <w:spacing w:line="440" w:lineRule="exact"/>
              <w:jc w:val="center"/>
              <w:rPr>
                <w:rFonts w:ascii="宋体" w:hAnsi="宋体"/>
                <w:color w:val="auto"/>
                <w:szCs w:val="21"/>
                <w:highlight w:val="none"/>
              </w:rPr>
            </w:pPr>
          </w:p>
        </w:tc>
        <w:tc>
          <w:tcPr>
            <w:tcW w:w="999" w:type="dxa"/>
            <w:vAlign w:val="center"/>
          </w:tcPr>
          <w:p>
            <w:pPr>
              <w:jc w:val="center"/>
              <w:rPr>
                <w:rFonts w:ascii="宋体" w:hAnsi="宋体"/>
                <w:color w:val="auto"/>
                <w:szCs w:val="21"/>
                <w:highlight w:val="none"/>
              </w:rPr>
            </w:pPr>
          </w:p>
        </w:tc>
        <w:tc>
          <w:tcPr>
            <w:tcW w:w="1142" w:type="dxa"/>
          </w:tcPr>
          <w:p>
            <w:pPr>
              <w:jc w:val="center"/>
              <w:rPr>
                <w:rFonts w:ascii="宋体" w:hAnsi="宋体"/>
                <w:color w:val="auto"/>
                <w:szCs w:val="21"/>
                <w:highlight w:val="none"/>
              </w:rPr>
            </w:pPr>
          </w:p>
        </w:tc>
        <w:tc>
          <w:tcPr>
            <w:tcW w:w="2073" w:type="dxa"/>
            <w:vAlign w:val="center"/>
          </w:tcPr>
          <w:p>
            <w:pPr>
              <w:jc w:val="center"/>
              <w:rPr>
                <w:rFonts w:ascii="宋体" w:hAnsi="宋体"/>
                <w:color w:val="auto"/>
                <w:szCs w:val="21"/>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bookmarkEnd w:id="9"/>
    <w:p>
      <w:pPr>
        <w:pStyle w:val="2"/>
        <w:spacing w:beforeLines="150" w:after="480" w:line="400" w:lineRule="exact"/>
        <w:rPr>
          <w:rFonts w:ascii="宋体" w:hAnsi="宋体"/>
          <w:color w:val="auto"/>
          <w:sz w:val="24"/>
          <w:szCs w:val="24"/>
          <w:highlight w:val="none"/>
        </w:rPr>
      </w:pPr>
      <w:bookmarkStart w:id="10" w:name="_Toc485889002"/>
      <w:bookmarkStart w:id="11" w:name="_Toc486277863"/>
      <w:bookmarkStart w:id="12" w:name="_Toc2209"/>
      <w:r>
        <w:rPr>
          <w:rFonts w:ascii="宋体" w:hAnsi="宋体"/>
          <w:color w:val="auto"/>
          <w:sz w:val="24"/>
          <w:szCs w:val="24"/>
          <w:highlight w:val="none"/>
        </w:rPr>
        <w:t>1. 总则</w:t>
      </w:r>
      <w:bookmarkEnd w:id="10"/>
      <w:bookmarkEnd w:id="11"/>
      <w:bookmarkEnd w:id="12"/>
    </w:p>
    <w:p>
      <w:pPr>
        <w:pStyle w:val="2"/>
        <w:spacing w:before="0" w:after="0" w:line="400" w:lineRule="exact"/>
        <w:rPr>
          <w:rFonts w:ascii="宋体" w:hAnsi="宋体"/>
          <w:color w:val="auto"/>
          <w:sz w:val="24"/>
          <w:szCs w:val="24"/>
          <w:highlight w:val="none"/>
        </w:rPr>
      </w:pPr>
      <w:bookmarkStart w:id="13" w:name="_Toc485889003"/>
      <w:bookmarkStart w:id="14" w:name="_Toc29730"/>
      <w:bookmarkStart w:id="15" w:name="_Toc234382590"/>
      <w:bookmarkStart w:id="16" w:name="_Toc486277864"/>
      <w:r>
        <w:rPr>
          <w:rFonts w:ascii="宋体" w:hAnsi="宋体"/>
          <w:color w:val="auto"/>
          <w:sz w:val="24"/>
          <w:szCs w:val="24"/>
          <w:highlight w:val="none"/>
        </w:rPr>
        <w:t>1.1 项目概况</w:t>
      </w:r>
      <w:bookmarkEnd w:id="13"/>
      <w:bookmarkEnd w:id="14"/>
      <w:bookmarkEnd w:id="15"/>
      <w:bookmarkEnd w:id="16"/>
    </w:p>
    <w:p>
      <w:pPr>
        <w:spacing w:line="400" w:lineRule="exact"/>
        <w:ind w:firstLine="480"/>
        <w:rPr>
          <w:rFonts w:ascii="宋体" w:hAnsi="宋体"/>
          <w:color w:val="auto"/>
          <w:sz w:val="24"/>
          <w:highlight w:val="none"/>
        </w:rPr>
      </w:pPr>
      <w:bookmarkStart w:id="17"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2"/>
        <w:spacing w:beforeLines="150" w:after="480" w:line="400" w:lineRule="exact"/>
        <w:rPr>
          <w:rFonts w:ascii="宋体" w:hAnsi="宋体"/>
          <w:color w:val="auto"/>
          <w:sz w:val="24"/>
          <w:szCs w:val="24"/>
          <w:highlight w:val="none"/>
        </w:rPr>
      </w:pPr>
      <w:bookmarkStart w:id="18" w:name="_Toc485889004"/>
      <w:bookmarkStart w:id="19" w:name="_Toc486277865"/>
      <w:bookmarkStart w:id="20" w:name="_Toc14323"/>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8"/>
      <w:bookmarkEnd w:id="19"/>
      <w:bookmarkEnd w:id="20"/>
    </w:p>
    <w:bookmarkEnd w:id="17"/>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2"/>
        <w:spacing w:beforeLines="50" w:after="0" w:line="400" w:lineRule="exact"/>
        <w:rPr>
          <w:rFonts w:ascii="宋体" w:hAnsi="宋体"/>
          <w:color w:val="auto"/>
          <w:sz w:val="24"/>
          <w:szCs w:val="24"/>
          <w:highlight w:val="none"/>
        </w:rPr>
      </w:pPr>
      <w:bookmarkStart w:id="21" w:name="_Toc234382592"/>
      <w:bookmarkStart w:id="22" w:name="_Toc486277866"/>
      <w:bookmarkStart w:id="23" w:name="_Toc17973"/>
      <w:bookmarkStart w:id="24" w:name="_Toc485889005"/>
      <w:r>
        <w:rPr>
          <w:rFonts w:ascii="宋体" w:hAnsi="宋体"/>
          <w:color w:val="auto"/>
          <w:sz w:val="24"/>
          <w:szCs w:val="24"/>
          <w:highlight w:val="none"/>
        </w:rPr>
        <w:t>1.3 招标范围、计划工期和质量要求</w:t>
      </w:r>
      <w:bookmarkEnd w:id="21"/>
      <w:bookmarkEnd w:id="22"/>
      <w:bookmarkEnd w:id="23"/>
      <w:bookmarkEnd w:id="24"/>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2"/>
        <w:spacing w:beforeLines="50" w:after="0" w:line="400" w:lineRule="exact"/>
        <w:rPr>
          <w:rFonts w:ascii="宋体" w:hAnsi="宋体"/>
          <w:color w:val="auto"/>
          <w:sz w:val="24"/>
          <w:szCs w:val="24"/>
          <w:highlight w:val="none"/>
        </w:rPr>
      </w:pPr>
      <w:bookmarkStart w:id="25" w:name="_Toc2109"/>
      <w:bookmarkStart w:id="26" w:name="_Toc486277867"/>
      <w:bookmarkStart w:id="27" w:name="_Toc485889006"/>
      <w:bookmarkStart w:id="28" w:name="_Toc234382594"/>
      <w:r>
        <w:rPr>
          <w:rFonts w:ascii="宋体" w:hAnsi="宋体"/>
          <w:color w:val="auto"/>
          <w:sz w:val="24"/>
          <w:szCs w:val="24"/>
          <w:highlight w:val="none"/>
        </w:rPr>
        <w:t>1.4 投标人资格要求（适用于未进行资格预审的）</w:t>
      </w:r>
      <w:bookmarkEnd w:id="25"/>
      <w:bookmarkEnd w:id="26"/>
      <w:bookmarkEnd w:id="27"/>
      <w:bookmarkEnd w:id="28"/>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2"/>
        <w:spacing w:beforeLines="50" w:after="0" w:line="400" w:lineRule="exact"/>
        <w:rPr>
          <w:rFonts w:ascii="宋体" w:hAnsi="宋体"/>
          <w:color w:val="auto"/>
          <w:sz w:val="24"/>
          <w:szCs w:val="24"/>
          <w:highlight w:val="none"/>
        </w:rPr>
      </w:pPr>
      <w:bookmarkStart w:id="29" w:name="_Toc19946"/>
      <w:bookmarkStart w:id="30" w:name="_Toc485889007"/>
      <w:bookmarkStart w:id="31" w:name="_Toc234382595"/>
      <w:bookmarkStart w:id="32" w:name="_Toc486277868"/>
      <w:r>
        <w:rPr>
          <w:rFonts w:ascii="宋体" w:hAnsi="宋体"/>
          <w:color w:val="auto"/>
          <w:sz w:val="24"/>
          <w:szCs w:val="24"/>
          <w:highlight w:val="none"/>
        </w:rPr>
        <w:t>1.5 费用承担</w:t>
      </w:r>
      <w:bookmarkEnd w:id="29"/>
      <w:bookmarkEnd w:id="30"/>
      <w:bookmarkEnd w:id="31"/>
      <w:bookmarkEnd w:id="32"/>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2"/>
        <w:spacing w:beforeLines="50" w:after="0" w:line="400" w:lineRule="exact"/>
        <w:rPr>
          <w:rFonts w:ascii="宋体" w:hAnsi="宋体"/>
          <w:color w:val="auto"/>
          <w:sz w:val="24"/>
          <w:szCs w:val="24"/>
          <w:highlight w:val="none"/>
        </w:rPr>
      </w:pPr>
      <w:bookmarkStart w:id="33" w:name="_Toc486277869"/>
      <w:bookmarkStart w:id="34" w:name="_Toc485889008"/>
      <w:bookmarkStart w:id="35" w:name="_Toc234382596"/>
      <w:bookmarkStart w:id="36" w:name="_Toc8968"/>
      <w:r>
        <w:rPr>
          <w:rFonts w:ascii="宋体" w:hAnsi="宋体"/>
          <w:color w:val="auto"/>
          <w:sz w:val="24"/>
          <w:szCs w:val="24"/>
          <w:highlight w:val="none"/>
        </w:rPr>
        <w:t>1.6 保密</w:t>
      </w:r>
      <w:bookmarkEnd w:id="33"/>
      <w:bookmarkEnd w:id="34"/>
      <w:bookmarkEnd w:id="35"/>
      <w:bookmarkEnd w:id="36"/>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2"/>
        <w:spacing w:beforeLines="50" w:after="0" w:line="400" w:lineRule="exact"/>
        <w:rPr>
          <w:rFonts w:ascii="宋体" w:hAnsi="宋体"/>
          <w:color w:val="auto"/>
          <w:sz w:val="24"/>
          <w:szCs w:val="24"/>
          <w:highlight w:val="none"/>
        </w:rPr>
      </w:pPr>
      <w:bookmarkStart w:id="37" w:name="_Toc486277870"/>
      <w:bookmarkStart w:id="38" w:name="_Toc234382597"/>
      <w:bookmarkStart w:id="39" w:name="_Toc485889009"/>
      <w:bookmarkStart w:id="40" w:name="_Toc5358"/>
      <w:r>
        <w:rPr>
          <w:rFonts w:ascii="宋体" w:hAnsi="宋体"/>
          <w:color w:val="auto"/>
          <w:sz w:val="24"/>
          <w:szCs w:val="24"/>
          <w:highlight w:val="none"/>
        </w:rPr>
        <w:t>1.7 语言文字</w:t>
      </w:r>
      <w:bookmarkEnd w:id="37"/>
      <w:bookmarkEnd w:id="38"/>
      <w:bookmarkEnd w:id="39"/>
      <w:bookmarkEnd w:id="40"/>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2"/>
        <w:spacing w:beforeLines="50" w:after="0" w:line="400" w:lineRule="exact"/>
        <w:rPr>
          <w:rFonts w:ascii="宋体" w:hAnsi="宋体"/>
          <w:color w:val="auto"/>
          <w:sz w:val="24"/>
          <w:szCs w:val="24"/>
          <w:highlight w:val="none"/>
        </w:rPr>
      </w:pPr>
      <w:bookmarkStart w:id="41" w:name="_Toc234382598"/>
      <w:bookmarkStart w:id="42" w:name="_Toc485889010"/>
      <w:bookmarkStart w:id="43" w:name="_Toc486277871"/>
      <w:bookmarkStart w:id="44" w:name="_Toc105"/>
      <w:r>
        <w:rPr>
          <w:rFonts w:ascii="宋体" w:hAnsi="宋体"/>
          <w:color w:val="auto"/>
          <w:sz w:val="24"/>
          <w:szCs w:val="24"/>
          <w:highlight w:val="none"/>
        </w:rPr>
        <w:t>1.8 计量单位</w:t>
      </w:r>
      <w:bookmarkEnd w:id="41"/>
      <w:bookmarkEnd w:id="42"/>
      <w:bookmarkEnd w:id="43"/>
      <w:bookmarkEnd w:id="44"/>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2"/>
        <w:spacing w:beforeLines="50" w:after="0" w:line="400" w:lineRule="exact"/>
        <w:rPr>
          <w:rFonts w:ascii="宋体" w:hAnsi="宋体"/>
          <w:color w:val="auto"/>
          <w:sz w:val="24"/>
          <w:szCs w:val="24"/>
          <w:highlight w:val="none"/>
        </w:rPr>
      </w:pPr>
      <w:bookmarkStart w:id="45" w:name="_Toc31645"/>
      <w:bookmarkStart w:id="46" w:name="_Toc234382599"/>
      <w:bookmarkStart w:id="47" w:name="_Toc486277872"/>
      <w:bookmarkStart w:id="48" w:name="_Toc485889011"/>
      <w:r>
        <w:rPr>
          <w:rFonts w:ascii="宋体" w:hAnsi="宋体"/>
          <w:color w:val="auto"/>
          <w:sz w:val="24"/>
          <w:szCs w:val="24"/>
          <w:highlight w:val="none"/>
        </w:rPr>
        <w:t>1.9 踏勘现场</w:t>
      </w:r>
      <w:bookmarkEnd w:id="45"/>
      <w:bookmarkEnd w:id="46"/>
      <w:bookmarkEnd w:id="47"/>
      <w:bookmarkEnd w:id="48"/>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2"/>
        <w:spacing w:beforeLines="50" w:after="0" w:line="400" w:lineRule="exact"/>
        <w:rPr>
          <w:rFonts w:ascii="宋体" w:hAnsi="宋体"/>
          <w:color w:val="auto"/>
          <w:sz w:val="24"/>
          <w:szCs w:val="24"/>
          <w:highlight w:val="none"/>
        </w:rPr>
      </w:pPr>
      <w:bookmarkStart w:id="49" w:name="_Toc234382600"/>
      <w:bookmarkStart w:id="50" w:name="_Toc485889012"/>
      <w:bookmarkStart w:id="51" w:name="_Toc3462"/>
      <w:bookmarkStart w:id="52" w:name="_Toc486277873"/>
      <w:r>
        <w:rPr>
          <w:rFonts w:ascii="宋体" w:hAnsi="宋体"/>
          <w:color w:val="auto"/>
          <w:sz w:val="24"/>
          <w:szCs w:val="24"/>
          <w:highlight w:val="none"/>
        </w:rPr>
        <w:t>1.10 投标预备会</w:t>
      </w:r>
      <w:bookmarkEnd w:id="49"/>
      <w:r>
        <w:rPr>
          <w:rFonts w:hint="eastAsia" w:ascii="宋体" w:hAnsi="宋体"/>
          <w:color w:val="auto"/>
          <w:sz w:val="24"/>
          <w:szCs w:val="24"/>
          <w:highlight w:val="none"/>
        </w:rPr>
        <w:t>（无）</w:t>
      </w:r>
      <w:bookmarkEnd w:id="50"/>
      <w:bookmarkEnd w:id="51"/>
      <w:bookmarkEnd w:id="52"/>
    </w:p>
    <w:p>
      <w:pPr>
        <w:pStyle w:val="2"/>
        <w:spacing w:beforeLines="50" w:after="0" w:line="400" w:lineRule="exact"/>
        <w:rPr>
          <w:rFonts w:ascii="宋体" w:hAnsi="宋体"/>
          <w:color w:val="auto"/>
          <w:sz w:val="24"/>
          <w:szCs w:val="24"/>
          <w:highlight w:val="none"/>
        </w:rPr>
      </w:pPr>
      <w:bookmarkStart w:id="53" w:name="_Toc234382601"/>
      <w:bookmarkStart w:id="54" w:name="_Toc485889013"/>
      <w:bookmarkStart w:id="55" w:name="_Toc22514"/>
      <w:bookmarkStart w:id="56" w:name="_Toc486277874"/>
      <w:r>
        <w:rPr>
          <w:rFonts w:ascii="宋体" w:hAnsi="宋体"/>
          <w:color w:val="auto"/>
          <w:sz w:val="24"/>
          <w:szCs w:val="24"/>
          <w:highlight w:val="none"/>
        </w:rPr>
        <w:t>1.11 分包</w:t>
      </w:r>
      <w:bookmarkEnd w:id="53"/>
      <w:bookmarkEnd w:id="54"/>
      <w:bookmarkEnd w:id="55"/>
      <w:bookmarkEnd w:id="56"/>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2"/>
        <w:spacing w:beforeLines="50" w:after="0" w:line="400" w:lineRule="exact"/>
        <w:rPr>
          <w:rFonts w:ascii="宋体" w:hAnsi="宋体"/>
          <w:color w:val="auto"/>
          <w:sz w:val="24"/>
          <w:szCs w:val="24"/>
          <w:highlight w:val="none"/>
          <w:vertAlign w:val="superscript"/>
        </w:rPr>
      </w:pPr>
      <w:bookmarkStart w:id="57" w:name="_Toc485889014"/>
      <w:bookmarkStart w:id="58" w:name="_Toc6184"/>
      <w:bookmarkStart w:id="59" w:name="_Toc486277875"/>
      <w:bookmarkStart w:id="60" w:name="_Toc234382602"/>
      <w:r>
        <w:rPr>
          <w:rFonts w:ascii="宋体" w:hAnsi="宋体"/>
          <w:color w:val="auto"/>
          <w:sz w:val="24"/>
          <w:szCs w:val="24"/>
          <w:highlight w:val="none"/>
        </w:rPr>
        <w:t>1.12 偏离</w:t>
      </w:r>
      <w:bookmarkEnd w:id="57"/>
      <w:bookmarkEnd w:id="58"/>
      <w:bookmarkEnd w:id="59"/>
      <w:bookmarkEnd w:id="60"/>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2"/>
        <w:spacing w:beforeLines="150" w:after="480" w:line="400" w:lineRule="exact"/>
        <w:rPr>
          <w:rFonts w:ascii="宋体" w:hAnsi="宋体"/>
          <w:color w:val="auto"/>
          <w:sz w:val="24"/>
          <w:szCs w:val="24"/>
          <w:highlight w:val="none"/>
        </w:rPr>
      </w:pPr>
      <w:bookmarkStart w:id="61" w:name="_Toc486277876"/>
      <w:bookmarkStart w:id="62" w:name="_Toc485889015"/>
      <w:bookmarkStart w:id="63" w:name="_Toc234382603"/>
      <w:bookmarkStart w:id="64" w:name="_Toc22855"/>
      <w:r>
        <w:rPr>
          <w:rFonts w:ascii="宋体" w:hAnsi="宋体"/>
          <w:color w:val="auto"/>
          <w:sz w:val="24"/>
          <w:szCs w:val="24"/>
          <w:highlight w:val="none"/>
        </w:rPr>
        <w:t>2. 招标文件</w:t>
      </w:r>
      <w:bookmarkEnd w:id="61"/>
      <w:bookmarkEnd w:id="62"/>
      <w:bookmarkEnd w:id="63"/>
      <w:bookmarkEnd w:id="64"/>
    </w:p>
    <w:p>
      <w:pPr>
        <w:pStyle w:val="2"/>
        <w:spacing w:before="0" w:after="0" w:line="400" w:lineRule="exact"/>
        <w:rPr>
          <w:rFonts w:ascii="宋体" w:hAnsi="宋体"/>
          <w:color w:val="auto"/>
          <w:sz w:val="24"/>
          <w:szCs w:val="24"/>
          <w:highlight w:val="none"/>
        </w:rPr>
      </w:pPr>
      <w:bookmarkStart w:id="65" w:name="_Toc234382604"/>
      <w:bookmarkStart w:id="66" w:name="_Toc486277877"/>
      <w:bookmarkStart w:id="67" w:name="_Toc485889016"/>
      <w:bookmarkStart w:id="68" w:name="_Toc12310"/>
      <w:r>
        <w:rPr>
          <w:rFonts w:ascii="宋体" w:hAnsi="宋体"/>
          <w:color w:val="auto"/>
          <w:sz w:val="24"/>
          <w:szCs w:val="24"/>
          <w:highlight w:val="none"/>
        </w:rPr>
        <w:t>2.1 招标文件的组成</w:t>
      </w:r>
      <w:bookmarkEnd w:id="65"/>
      <w:bookmarkEnd w:id="66"/>
      <w:bookmarkEnd w:id="67"/>
      <w:bookmarkEnd w:id="68"/>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2"/>
        <w:spacing w:beforeLines="50" w:after="0" w:line="400" w:lineRule="exact"/>
        <w:rPr>
          <w:rFonts w:ascii="宋体" w:hAnsi="宋体"/>
          <w:color w:val="auto"/>
          <w:sz w:val="24"/>
          <w:szCs w:val="24"/>
          <w:highlight w:val="none"/>
        </w:rPr>
      </w:pPr>
      <w:bookmarkStart w:id="69" w:name="_Toc16084"/>
      <w:bookmarkStart w:id="70" w:name="_Toc486277878"/>
      <w:bookmarkStart w:id="71" w:name="_Toc485889017"/>
      <w:bookmarkStart w:id="72" w:name="_Toc234382605"/>
      <w:r>
        <w:rPr>
          <w:rFonts w:ascii="宋体" w:hAnsi="宋体"/>
          <w:color w:val="auto"/>
          <w:sz w:val="24"/>
          <w:szCs w:val="24"/>
          <w:highlight w:val="none"/>
        </w:rPr>
        <w:t>2.2 招标文件的澄清</w:t>
      </w:r>
      <w:bookmarkEnd w:id="69"/>
      <w:bookmarkEnd w:id="70"/>
      <w:bookmarkEnd w:id="71"/>
      <w:bookmarkEnd w:id="72"/>
    </w:p>
    <w:p>
      <w:pPr>
        <w:spacing w:line="400" w:lineRule="exact"/>
        <w:ind w:firstLine="480" w:firstLineChars="200"/>
        <w:rPr>
          <w:rFonts w:ascii="宋体" w:hAnsi="宋体" w:cs="宋体"/>
          <w:color w:val="auto"/>
          <w:kern w:val="0"/>
          <w:sz w:val="24"/>
          <w:highlight w:val="none"/>
        </w:rPr>
      </w:pPr>
      <w:bookmarkStart w:id="73"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2"/>
        <w:spacing w:beforeLines="50" w:after="0" w:line="400" w:lineRule="exact"/>
        <w:rPr>
          <w:rFonts w:ascii="宋体" w:hAnsi="宋体"/>
          <w:color w:val="auto"/>
          <w:sz w:val="24"/>
          <w:szCs w:val="24"/>
          <w:highlight w:val="none"/>
        </w:rPr>
      </w:pPr>
      <w:bookmarkStart w:id="74" w:name="_Toc485889018"/>
      <w:bookmarkStart w:id="75" w:name="_Toc29706"/>
      <w:bookmarkStart w:id="76" w:name="_Toc486277879"/>
      <w:r>
        <w:rPr>
          <w:rFonts w:ascii="宋体" w:hAnsi="宋体"/>
          <w:color w:val="auto"/>
          <w:sz w:val="24"/>
          <w:szCs w:val="24"/>
          <w:highlight w:val="none"/>
        </w:rPr>
        <w:t>2.3 招标文件的修改</w:t>
      </w:r>
      <w:bookmarkEnd w:id="73"/>
      <w:bookmarkEnd w:id="74"/>
      <w:bookmarkEnd w:id="75"/>
      <w:bookmarkEnd w:id="76"/>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7"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天前，招标人可以通过公共资源交易系统电子平台修改招标文件，如果修改招标文件的时间距投标截止时间不足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8" w:name="_Toc485889019"/>
      <w:bookmarkStart w:id="79" w:name="_Toc486277880"/>
      <w:r>
        <w:rPr>
          <w:rFonts w:hint="eastAsia" w:ascii="宋体" w:hAnsi="宋体"/>
          <w:color w:val="auto"/>
          <w:sz w:val="24"/>
          <w:highlight w:val="none"/>
        </w:rPr>
        <w:t>2.3.2 当招标文件（含评标、定标办法）、补充通知、答疑纪要，内容相互矛盾时，以最后发出的通知（或纪要）为准。</w:t>
      </w:r>
      <w:bookmarkEnd w:id="78"/>
      <w:bookmarkEnd w:id="79"/>
    </w:p>
    <w:p>
      <w:pPr>
        <w:pStyle w:val="2"/>
        <w:spacing w:beforeLines="150" w:after="480" w:line="400" w:lineRule="exact"/>
        <w:rPr>
          <w:rFonts w:ascii="宋体" w:hAnsi="宋体"/>
          <w:color w:val="auto"/>
          <w:sz w:val="24"/>
          <w:szCs w:val="24"/>
          <w:highlight w:val="none"/>
        </w:rPr>
      </w:pPr>
      <w:bookmarkStart w:id="80" w:name="_Toc485889020"/>
      <w:bookmarkStart w:id="81" w:name="_Toc8003"/>
      <w:bookmarkStart w:id="82" w:name="_Toc486277881"/>
      <w:r>
        <w:rPr>
          <w:rFonts w:ascii="宋体" w:hAnsi="宋体"/>
          <w:color w:val="auto"/>
          <w:sz w:val="24"/>
          <w:szCs w:val="24"/>
          <w:highlight w:val="none"/>
        </w:rPr>
        <w:t>3. 投标文件</w:t>
      </w:r>
      <w:bookmarkEnd w:id="77"/>
      <w:bookmarkEnd w:id="80"/>
      <w:bookmarkEnd w:id="81"/>
      <w:bookmarkEnd w:id="82"/>
    </w:p>
    <w:p>
      <w:pPr>
        <w:pStyle w:val="2"/>
        <w:spacing w:before="0" w:after="0" w:line="400" w:lineRule="exact"/>
        <w:rPr>
          <w:rFonts w:ascii="宋体" w:hAnsi="宋体"/>
          <w:color w:val="auto"/>
          <w:sz w:val="24"/>
          <w:szCs w:val="24"/>
          <w:highlight w:val="none"/>
        </w:rPr>
      </w:pPr>
      <w:bookmarkStart w:id="83" w:name="_Toc12156"/>
      <w:bookmarkStart w:id="84" w:name="_Toc486277882"/>
      <w:bookmarkStart w:id="85" w:name="_Toc485889021"/>
      <w:bookmarkStart w:id="86" w:name="_Toc234382608"/>
      <w:r>
        <w:rPr>
          <w:rFonts w:ascii="宋体" w:hAnsi="宋体"/>
          <w:color w:val="auto"/>
          <w:sz w:val="24"/>
          <w:szCs w:val="24"/>
          <w:highlight w:val="none"/>
        </w:rPr>
        <w:t>3.1 投标文件的组成</w:t>
      </w:r>
      <w:bookmarkEnd w:id="83"/>
      <w:bookmarkEnd w:id="84"/>
      <w:bookmarkEnd w:id="85"/>
      <w:bookmarkEnd w:id="86"/>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关键设备最低条件；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ascii="宋体" w:hAnsi="宋体"/>
          <w:color w:val="auto"/>
          <w:sz w:val="24"/>
          <w:highlight w:val="none"/>
        </w:rPr>
      </w:pPr>
      <w:bookmarkStart w:id="87" w:name="_Toc234382609"/>
      <w:bookmarkStart w:id="88" w:name="_Toc12761"/>
      <w:bookmarkStart w:id="89" w:name="_Toc486277883"/>
      <w:bookmarkStart w:id="90" w:name="_Toc485889022"/>
      <w:r>
        <w:rPr>
          <w:rFonts w:ascii="宋体" w:hAnsi="宋体"/>
          <w:color w:val="auto"/>
          <w:sz w:val="24"/>
          <w:highlight w:val="none"/>
        </w:rPr>
        <w:t xml:space="preserve">3.1.2 </w:t>
      </w:r>
      <w:r>
        <w:rPr>
          <w:rFonts w:hint="eastAsia" w:ascii="宋体" w:hAnsi="宋体"/>
          <w:color w:val="auto"/>
          <w:sz w:val="24"/>
          <w:highlight w:val="none"/>
        </w:rPr>
        <w:t>本项目招标采用工程量招标，投标人应按照招标文件要求的工程量清单内容填写工程量清单的单价及总额价，投标人不得修工程量清单的子目号、子目名称和数量,否则，评标委员会将对其按无效标处理。</w:t>
      </w:r>
    </w:p>
    <w:p>
      <w:pPr>
        <w:pStyle w:val="2"/>
        <w:spacing w:beforeLines="50" w:after="0" w:line="400" w:lineRule="exact"/>
        <w:rPr>
          <w:rFonts w:ascii="宋体" w:hAnsi="宋体"/>
          <w:color w:val="auto"/>
          <w:sz w:val="24"/>
          <w:szCs w:val="24"/>
          <w:highlight w:val="none"/>
        </w:rPr>
      </w:pPr>
      <w:r>
        <w:rPr>
          <w:rFonts w:ascii="宋体" w:hAnsi="宋体"/>
          <w:color w:val="auto"/>
          <w:sz w:val="24"/>
          <w:szCs w:val="24"/>
          <w:highlight w:val="none"/>
        </w:rPr>
        <w:t>3.2 投标报价</w:t>
      </w:r>
      <w:bookmarkEnd w:id="87"/>
      <w:bookmarkEnd w:id="88"/>
      <w:bookmarkEnd w:id="89"/>
      <w:bookmarkEnd w:id="90"/>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2"/>
        <w:spacing w:beforeLines="50" w:after="0" w:line="400" w:lineRule="exact"/>
        <w:rPr>
          <w:rFonts w:ascii="宋体" w:hAnsi="宋体"/>
          <w:color w:val="auto"/>
          <w:sz w:val="24"/>
          <w:szCs w:val="24"/>
          <w:highlight w:val="none"/>
        </w:rPr>
      </w:pPr>
      <w:bookmarkStart w:id="91" w:name="_Toc486277884"/>
      <w:bookmarkStart w:id="92" w:name="_Toc234382610"/>
      <w:bookmarkStart w:id="93" w:name="_Toc485889023"/>
      <w:bookmarkStart w:id="94" w:name="_Toc6040"/>
      <w:r>
        <w:rPr>
          <w:rFonts w:ascii="宋体" w:hAnsi="宋体"/>
          <w:color w:val="auto"/>
          <w:sz w:val="24"/>
          <w:szCs w:val="24"/>
          <w:highlight w:val="none"/>
        </w:rPr>
        <w:t>3.3 投标有效期</w:t>
      </w:r>
      <w:bookmarkEnd w:id="91"/>
      <w:bookmarkEnd w:id="92"/>
      <w:bookmarkEnd w:id="93"/>
      <w:bookmarkEnd w:id="94"/>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2"/>
        <w:spacing w:beforeLines="50" w:after="0" w:line="400" w:lineRule="exact"/>
        <w:rPr>
          <w:rFonts w:ascii="宋体" w:hAnsi="宋体"/>
          <w:color w:val="auto"/>
          <w:sz w:val="24"/>
          <w:szCs w:val="24"/>
          <w:highlight w:val="none"/>
        </w:rPr>
      </w:pPr>
      <w:bookmarkStart w:id="95" w:name="_Toc486277885"/>
      <w:bookmarkStart w:id="96" w:name="_Toc234382611"/>
      <w:bookmarkStart w:id="97" w:name="_Toc19976"/>
      <w:bookmarkStart w:id="98" w:name="_Toc485889024"/>
      <w:r>
        <w:rPr>
          <w:rFonts w:ascii="宋体" w:hAnsi="宋体"/>
          <w:color w:val="auto"/>
          <w:sz w:val="24"/>
          <w:szCs w:val="24"/>
          <w:highlight w:val="none"/>
        </w:rPr>
        <w:t>3.4 投标保证金</w:t>
      </w:r>
      <w:bookmarkEnd w:id="95"/>
      <w:bookmarkEnd w:id="96"/>
      <w:bookmarkEnd w:id="97"/>
      <w:bookmarkEnd w:id="98"/>
    </w:p>
    <w:p>
      <w:pPr>
        <w:spacing w:line="400" w:lineRule="exact"/>
        <w:ind w:firstLine="480" w:firstLineChars="200"/>
        <w:rPr>
          <w:rFonts w:ascii="宋体" w:hAnsi="宋体"/>
          <w:color w:val="auto"/>
          <w:sz w:val="24"/>
          <w:highlight w:val="none"/>
        </w:rPr>
      </w:pPr>
      <w:bookmarkStart w:id="99" w:name="_Toc234382613"/>
      <w:r>
        <w:rPr>
          <w:rFonts w:ascii="宋体" w:hAnsi="宋体"/>
          <w:color w:val="auto"/>
          <w:sz w:val="24"/>
          <w:highlight w:val="none"/>
        </w:rPr>
        <w:t>3.4.1 投标人在递交投标文件的同时，应按投标人须知前附表规定的金额</w:t>
      </w:r>
      <w:r>
        <w:rPr>
          <w:rFonts w:hint="eastAsia" w:ascii="宋体" w:hAnsi="宋体"/>
          <w:color w:val="auto"/>
          <w:sz w:val="24"/>
          <w:highlight w:val="none"/>
        </w:rPr>
        <w:t>和</w:t>
      </w:r>
      <w:r>
        <w:rPr>
          <w:rFonts w:ascii="宋体" w:hAnsi="宋体"/>
          <w:color w:val="auto"/>
          <w:sz w:val="24"/>
          <w:highlight w:val="none"/>
        </w:rPr>
        <w:t>形式递交投标保证金，并作为其投标文件的组成部分。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3.4.2 投标人不按本章第 3.4.1 项要求提交投标保证金的，其投标文件作废标处理。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3.4.3 招标人与中标人签订合同后 5 个工作日内，向未中标的投标人和中标人退还投标保证金。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3.4.4 有下列情形之一的，投标保证金将不予退还：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（1）投标人在规定的投标有效期内撤销或修改其投标文件；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（2）中标人在收到中标通知书后，无正当理由拒签合同协议书或未按招标文件规定提交履约担保</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（3）投标人不接受依据评标办法的规定对其投标文件中细微偏差进行澄清和补正；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（4）投标人提交了虚假资料；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（5）投标人无故不参加投标且未于投标截止时间3日前书面通知招标人。</w:t>
      </w:r>
    </w:p>
    <w:p>
      <w:pPr>
        <w:pStyle w:val="2"/>
        <w:spacing w:beforeLines="50" w:after="0" w:line="400" w:lineRule="exact"/>
        <w:rPr>
          <w:rFonts w:ascii="宋体" w:hAnsi="宋体"/>
          <w:color w:val="auto"/>
          <w:sz w:val="24"/>
          <w:szCs w:val="24"/>
          <w:highlight w:val="none"/>
        </w:rPr>
      </w:pPr>
      <w:bookmarkStart w:id="100" w:name="_Toc485889025"/>
      <w:bookmarkStart w:id="101" w:name="_Toc10524"/>
      <w:bookmarkStart w:id="102" w:name="_Toc486277886"/>
      <w:r>
        <w:rPr>
          <w:rFonts w:ascii="宋体" w:hAnsi="宋体"/>
          <w:color w:val="auto"/>
          <w:sz w:val="24"/>
          <w:szCs w:val="24"/>
          <w:highlight w:val="none"/>
        </w:rPr>
        <w:t>3.5 资格审查资料</w:t>
      </w:r>
      <w:bookmarkEnd w:id="99"/>
      <w:bookmarkEnd w:id="100"/>
      <w:bookmarkEnd w:id="101"/>
      <w:bookmarkEnd w:id="102"/>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w:t>
      </w:r>
      <w:r>
        <w:rPr>
          <w:rFonts w:hint="eastAsia" w:ascii="宋体" w:hAnsi="宋体"/>
          <w:color w:val="auto"/>
          <w:sz w:val="24"/>
          <w:highlight w:val="none"/>
          <w:lang w:eastAsia="zh-CN"/>
        </w:rPr>
        <w:t>行贿犯罪档案查询结果告知函（包含单位、法定代表人、项目经理、授权委托人）的复印件</w:t>
      </w:r>
      <w:r>
        <w:rPr>
          <w:rFonts w:hint="eastAsia" w:ascii="宋体" w:hAnsi="宋体"/>
          <w:color w:val="auto"/>
          <w:sz w:val="24"/>
          <w:highlight w:val="none"/>
        </w:rPr>
        <w:t>（并加盖单位章）</w:t>
      </w:r>
      <w:r>
        <w:rPr>
          <w:rFonts w:hint="eastAsia" w:ascii="宋体" w:hAnsi="宋体"/>
          <w:color w:val="auto"/>
          <w:sz w:val="24"/>
          <w:highlight w:val="none"/>
          <w:lang w:eastAsia="zh-CN"/>
        </w:rPr>
        <w:t>、</w:t>
      </w:r>
      <w:r>
        <w:rPr>
          <w:rFonts w:hint="eastAsia" w:ascii="宋体" w:hAnsi="宋体"/>
          <w:color w:val="auto"/>
          <w:sz w:val="24"/>
          <w:highlight w:val="none"/>
        </w:rPr>
        <w:t>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2"/>
        <w:spacing w:beforeLines="50" w:after="0" w:line="400" w:lineRule="exact"/>
        <w:rPr>
          <w:rFonts w:ascii="宋体" w:hAnsi="宋体"/>
          <w:color w:val="auto"/>
          <w:sz w:val="24"/>
          <w:szCs w:val="24"/>
          <w:highlight w:val="none"/>
        </w:rPr>
      </w:pPr>
      <w:bookmarkStart w:id="103" w:name="_Toc486277887"/>
      <w:bookmarkStart w:id="104" w:name="_Toc485889026"/>
      <w:bookmarkStart w:id="105" w:name="_Toc15460"/>
      <w:bookmarkStart w:id="106" w:name="_Toc234382614"/>
      <w:r>
        <w:rPr>
          <w:rFonts w:ascii="宋体" w:hAnsi="宋体"/>
          <w:color w:val="auto"/>
          <w:sz w:val="24"/>
          <w:szCs w:val="24"/>
          <w:highlight w:val="none"/>
        </w:rPr>
        <w:t>3.6 备选投标方案</w:t>
      </w:r>
      <w:bookmarkEnd w:id="103"/>
      <w:bookmarkEnd w:id="104"/>
      <w:bookmarkEnd w:id="105"/>
      <w:bookmarkEnd w:id="106"/>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beforeLines="50" w:after="0" w:line="400" w:lineRule="exact"/>
        <w:rPr>
          <w:rFonts w:ascii="宋体" w:hAnsi="宋体"/>
          <w:color w:val="auto"/>
          <w:sz w:val="24"/>
          <w:szCs w:val="24"/>
          <w:highlight w:val="none"/>
        </w:rPr>
      </w:pPr>
      <w:bookmarkStart w:id="107" w:name="_Toc234382615"/>
      <w:bookmarkStart w:id="108" w:name="_Toc30194"/>
      <w:bookmarkStart w:id="109" w:name="_Toc485889027"/>
      <w:bookmarkStart w:id="110" w:name="_Toc486277888"/>
      <w:r>
        <w:rPr>
          <w:rFonts w:ascii="宋体" w:hAnsi="宋体"/>
          <w:color w:val="auto"/>
          <w:sz w:val="24"/>
          <w:szCs w:val="24"/>
          <w:highlight w:val="none"/>
        </w:rPr>
        <w:t>3.7 投标文件的编制</w:t>
      </w:r>
      <w:bookmarkEnd w:id="107"/>
      <w:bookmarkEnd w:id="108"/>
      <w:bookmarkEnd w:id="109"/>
      <w:bookmarkEnd w:id="110"/>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hint="eastAsia"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投标文件应用不褪色的材料书写或打印，并由投标人的法定代表人或其委托代理人逐页签字</w:t>
      </w:r>
      <w:r>
        <w:rPr>
          <w:rFonts w:hint="eastAsia" w:ascii="宋体" w:hAnsi="宋体"/>
          <w:color w:val="auto"/>
          <w:sz w:val="24"/>
          <w:highlight w:val="none"/>
          <w:lang w:eastAsia="zh-CN"/>
        </w:rPr>
        <w:t>并加</w:t>
      </w:r>
      <w:r>
        <w:rPr>
          <w:rFonts w:hint="eastAsia" w:ascii="宋体" w:hAnsi="宋体"/>
          <w:color w:val="auto"/>
          <w:sz w:val="24"/>
          <w:highlight w:val="none"/>
        </w:rPr>
        <w:t>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文件正本应用不褪色的墨水书写或打印，并由投标人的法定代表人或其委托代理人逐页亲笔签署姓名（封面、扉页、目录和本页正文内容已由投标人的法定代表人或其委托代理人签署姓名的可不签署）。投标文件</w:t>
      </w:r>
      <w:r>
        <w:rPr>
          <w:rFonts w:hint="eastAsia" w:ascii="宋体" w:hAnsi="宋体"/>
          <w:color w:val="auto"/>
          <w:sz w:val="24"/>
          <w:highlight w:val="none"/>
          <w:lang w:eastAsia="zh-CN"/>
        </w:rPr>
        <w:t>正本</w:t>
      </w:r>
      <w:r>
        <w:rPr>
          <w:rFonts w:hint="eastAsia" w:ascii="宋体" w:hAnsi="宋体"/>
          <w:color w:val="auto"/>
          <w:sz w:val="24"/>
          <w:highlight w:val="none"/>
        </w:rPr>
        <w:t>还应逐页加盖投标人单位公章（本页正文内容已加盖公章时则可除外）。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（2）以联合体形式参与投标的，投标文件由联合体牵头人的法定代表人或其委托代理人逐页签署姓名，法定代表人授权委托书须由联合体牵头人按上述规定出具公证。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2"/>
        <w:spacing w:beforeLines="150" w:after="480" w:line="400" w:lineRule="exact"/>
        <w:rPr>
          <w:rFonts w:ascii="宋体" w:hAnsi="宋体"/>
          <w:color w:val="auto"/>
          <w:sz w:val="24"/>
          <w:szCs w:val="24"/>
          <w:highlight w:val="none"/>
        </w:rPr>
      </w:pPr>
      <w:bookmarkStart w:id="111" w:name="_Toc486277889"/>
      <w:bookmarkStart w:id="112" w:name="_Toc485889028"/>
      <w:bookmarkStart w:id="113" w:name="_Toc3142"/>
      <w:bookmarkStart w:id="114" w:name="_Toc234382616"/>
      <w:r>
        <w:rPr>
          <w:rFonts w:ascii="宋体" w:hAnsi="宋体"/>
          <w:color w:val="auto"/>
          <w:sz w:val="24"/>
          <w:szCs w:val="24"/>
          <w:highlight w:val="none"/>
        </w:rPr>
        <w:t>4. 投标</w:t>
      </w:r>
      <w:bookmarkEnd w:id="111"/>
      <w:bookmarkEnd w:id="112"/>
      <w:bookmarkEnd w:id="113"/>
      <w:bookmarkEnd w:id="114"/>
    </w:p>
    <w:p>
      <w:pPr>
        <w:pStyle w:val="2"/>
        <w:spacing w:before="0" w:after="0" w:line="400" w:lineRule="exact"/>
        <w:rPr>
          <w:rFonts w:ascii="宋体" w:hAnsi="宋体"/>
          <w:color w:val="auto"/>
          <w:sz w:val="24"/>
          <w:szCs w:val="24"/>
          <w:highlight w:val="none"/>
        </w:rPr>
      </w:pPr>
      <w:bookmarkStart w:id="115" w:name="_Toc234382617"/>
      <w:bookmarkStart w:id="116" w:name="_Toc486277890"/>
      <w:bookmarkStart w:id="117" w:name="_Toc26813"/>
      <w:bookmarkStart w:id="118" w:name="_Toc485889029"/>
      <w:r>
        <w:rPr>
          <w:rFonts w:ascii="宋体" w:hAnsi="宋体"/>
          <w:color w:val="auto"/>
          <w:sz w:val="24"/>
          <w:szCs w:val="24"/>
          <w:highlight w:val="none"/>
        </w:rPr>
        <w:t>4.1 投标文件的密封和标记</w:t>
      </w:r>
      <w:bookmarkEnd w:id="115"/>
      <w:bookmarkEnd w:id="116"/>
      <w:bookmarkEnd w:id="117"/>
      <w:bookmarkEnd w:id="11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2"/>
        <w:spacing w:beforeLines="50" w:after="0" w:line="400" w:lineRule="exact"/>
        <w:rPr>
          <w:rFonts w:ascii="宋体" w:hAnsi="宋体"/>
          <w:color w:val="auto"/>
          <w:sz w:val="24"/>
          <w:szCs w:val="24"/>
          <w:highlight w:val="none"/>
        </w:rPr>
      </w:pPr>
      <w:bookmarkStart w:id="119" w:name="_Toc486277891"/>
      <w:bookmarkStart w:id="120" w:name="_Toc485889030"/>
      <w:bookmarkStart w:id="121" w:name="_Toc234382618"/>
      <w:bookmarkStart w:id="122" w:name="_Toc31665"/>
      <w:r>
        <w:rPr>
          <w:rFonts w:ascii="宋体" w:hAnsi="宋体"/>
          <w:color w:val="auto"/>
          <w:sz w:val="24"/>
          <w:szCs w:val="24"/>
          <w:highlight w:val="none"/>
        </w:rPr>
        <w:t>4.2 投标文件的递交</w:t>
      </w:r>
      <w:bookmarkEnd w:id="119"/>
      <w:bookmarkEnd w:id="120"/>
      <w:bookmarkEnd w:id="121"/>
      <w:bookmarkEnd w:id="122"/>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2"/>
        <w:spacing w:beforeLines="50" w:after="0" w:line="400" w:lineRule="exact"/>
        <w:rPr>
          <w:rFonts w:ascii="宋体" w:hAnsi="宋体"/>
          <w:color w:val="auto"/>
          <w:sz w:val="24"/>
          <w:szCs w:val="24"/>
          <w:highlight w:val="none"/>
        </w:rPr>
      </w:pPr>
      <w:bookmarkStart w:id="123" w:name="_Toc485889031"/>
      <w:bookmarkStart w:id="124" w:name="_Toc30135"/>
      <w:bookmarkStart w:id="125" w:name="_Toc486277892"/>
      <w:bookmarkStart w:id="126" w:name="_Toc234382619"/>
      <w:r>
        <w:rPr>
          <w:rFonts w:ascii="宋体" w:hAnsi="宋体"/>
          <w:color w:val="auto"/>
          <w:sz w:val="24"/>
          <w:szCs w:val="24"/>
          <w:highlight w:val="none"/>
        </w:rPr>
        <w:t>4.3 投标文件的修改与撤回</w:t>
      </w:r>
      <w:bookmarkEnd w:id="123"/>
      <w:bookmarkEnd w:id="124"/>
      <w:bookmarkEnd w:id="125"/>
      <w:bookmarkEnd w:id="126"/>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p>
    <w:p>
      <w:pPr>
        <w:pStyle w:val="2"/>
        <w:spacing w:beforeLines="150" w:after="480" w:line="400" w:lineRule="exact"/>
        <w:rPr>
          <w:rFonts w:ascii="宋体" w:hAnsi="宋体"/>
          <w:color w:val="auto"/>
          <w:sz w:val="24"/>
          <w:szCs w:val="24"/>
          <w:highlight w:val="none"/>
        </w:rPr>
      </w:pPr>
      <w:bookmarkStart w:id="127" w:name="_Toc486277893"/>
      <w:bookmarkStart w:id="128" w:name="_Toc234382620"/>
      <w:bookmarkStart w:id="129" w:name="_Toc11058"/>
      <w:bookmarkStart w:id="130" w:name="_Toc485889032"/>
      <w:r>
        <w:rPr>
          <w:rFonts w:ascii="宋体" w:hAnsi="宋体"/>
          <w:color w:val="auto"/>
          <w:sz w:val="24"/>
          <w:szCs w:val="24"/>
          <w:highlight w:val="none"/>
        </w:rPr>
        <w:t>5. 开标</w:t>
      </w:r>
      <w:bookmarkEnd w:id="127"/>
      <w:bookmarkEnd w:id="128"/>
      <w:bookmarkEnd w:id="129"/>
      <w:bookmarkEnd w:id="130"/>
    </w:p>
    <w:p>
      <w:pPr>
        <w:pStyle w:val="2"/>
        <w:spacing w:before="0" w:after="0" w:line="400" w:lineRule="exact"/>
        <w:rPr>
          <w:rFonts w:ascii="宋体" w:hAnsi="宋体"/>
          <w:color w:val="auto"/>
          <w:sz w:val="24"/>
          <w:szCs w:val="24"/>
          <w:highlight w:val="none"/>
        </w:rPr>
      </w:pPr>
      <w:bookmarkStart w:id="131" w:name="_Toc486277894"/>
      <w:bookmarkStart w:id="132" w:name="_Toc11150"/>
      <w:bookmarkStart w:id="133" w:name="_Toc485889033"/>
      <w:bookmarkStart w:id="134" w:name="_Toc234382622"/>
      <w:r>
        <w:rPr>
          <w:rFonts w:ascii="宋体" w:hAnsi="宋体"/>
          <w:color w:val="auto"/>
          <w:sz w:val="24"/>
          <w:szCs w:val="24"/>
          <w:highlight w:val="none"/>
        </w:rPr>
        <w:t>5.1 开标时间和地点</w:t>
      </w:r>
      <w:bookmarkEnd w:id="131"/>
      <w:bookmarkEnd w:id="132"/>
      <w:bookmarkEnd w:id="133"/>
      <w:bookmarkEnd w:id="134"/>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2"/>
        <w:spacing w:beforeLines="50" w:after="0" w:line="400" w:lineRule="exact"/>
        <w:rPr>
          <w:rFonts w:ascii="宋体" w:hAnsi="宋体"/>
          <w:color w:val="auto"/>
          <w:sz w:val="24"/>
          <w:szCs w:val="24"/>
          <w:highlight w:val="none"/>
        </w:rPr>
      </w:pPr>
      <w:bookmarkStart w:id="135" w:name="_Toc26054"/>
      <w:bookmarkStart w:id="136" w:name="_Toc485889034"/>
      <w:bookmarkStart w:id="137" w:name="_Toc486277895"/>
      <w:bookmarkStart w:id="138" w:name="_Toc234382624"/>
      <w:r>
        <w:rPr>
          <w:rFonts w:ascii="宋体" w:hAnsi="宋体"/>
          <w:color w:val="auto"/>
          <w:sz w:val="24"/>
          <w:szCs w:val="24"/>
          <w:highlight w:val="none"/>
        </w:rPr>
        <w:t>5.2 开标程序</w:t>
      </w:r>
      <w:bookmarkEnd w:id="135"/>
      <w:bookmarkEnd w:id="136"/>
      <w:bookmarkEnd w:id="137"/>
      <w:bookmarkEnd w:id="13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2"/>
        <w:spacing w:beforeLines="150" w:after="480" w:line="400" w:lineRule="exact"/>
        <w:rPr>
          <w:rFonts w:ascii="宋体" w:hAnsi="宋体"/>
          <w:color w:val="auto"/>
          <w:sz w:val="24"/>
          <w:szCs w:val="24"/>
          <w:highlight w:val="none"/>
        </w:rPr>
      </w:pPr>
      <w:bookmarkStart w:id="139" w:name="_Toc27685"/>
      <w:bookmarkStart w:id="140" w:name="_Toc234382625"/>
      <w:bookmarkStart w:id="141" w:name="_Toc486277896"/>
      <w:bookmarkStart w:id="142" w:name="_Toc485889035"/>
      <w:r>
        <w:rPr>
          <w:rFonts w:ascii="宋体" w:hAnsi="宋体"/>
          <w:color w:val="auto"/>
          <w:sz w:val="24"/>
          <w:szCs w:val="24"/>
          <w:highlight w:val="none"/>
        </w:rPr>
        <w:t>6. 评标</w:t>
      </w:r>
      <w:bookmarkEnd w:id="139"/>
      <w:bookmarkEnd w:id="140"/>
      <w:bookmarkEnd w:id="141"/>
      <w:bookmarkEnd w:id="142"/>
    </w:p>
    <w:p>
      <w:pPr>
        <w:pStyle w:val="2"/>
        <w:spacing w:before="0" w:after="0" w:line="400" w:lineRule="exact"/>
        <w:rPr>
          <w:rFonts w:ascii="宋体" w:hAnsi="宋体"/>
          <w:color w:val="auto"/>
          <w:sz w:val="24"/>
          <w:szCs w:val="24"/>
          <w:highlight w:val="none"/>
        </w:rPr>
      </w:pPr>
      <w:bookmarkStart w:id="143" w:name="_Toc17693"/>
      <w:bookmarkStart w:id="144" w:name="_Toc485889036"/>
      <w:bookmarkStart w:id="145" w:name="_Toc234382626"/>
      <w:bookmarkStart w:id="146" w:name="_Toc486277897"/>
      <w:r>
        <w:rPr>
          <w:rFonts w:ascii="宋体" w:hAnsi="宋体"/>
          <w:color w:val="auto"/>
          <w:sz w:val="24"/>
          <w:szCs w:val="24"/>
          <w:highlight w:val="none"/>
        </w:rPr>
        <w:t>6.1 评标委员会</w:t>
      </w:r>
      <w:bookmarkEnd w:id="143"/>
      <w:bookmarkEnd w:id="144"/>
      <w:bookmarkEnd w:id="145"/>
      <w:bookmarkEnd w:id="146"/>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2"/>
        <w:spacing w:beforeLines="50" w:after="0" w:line="400" w:lineRule="exact"/>
        <w:rPr>
          <w:rFonts w:ascii="宋体" w:hAnsi="宋体"/>
          <w:color w:val="auto"/>
          <w:sz w:val="24"/>
          <w:szCs w:val="24"/>
          <w:highlight w:val="none"/>
        </w:rPr>
      </w:pPr>
      <w:bookmarkStart w:id="147" w:name="_Toc486277898"/>
      <w:bookmarkStart w:id="148" w:name="_Toc234382627"/>
      <w:bookmarkStart w:id="149" w:name="_Toc485889037"/>
      <w:bookmarkStart w:id="150" w:name="_Toc5222"/>
      <w:r>
        <w:rPr>
          <w:rFonts w:ascii="宋体" w:hAnsi="宋体"/>
          <w:color w:val="auto"/>
          <w:sz w:val="24"/>
          <w:szCs w:val="24"/>
          <w:highlight w:val="none"/>
        </w:rPr>
        <w:t>6.2 评标原则</w:t>
      </w:r>
      <w:bookmarkEnd w:id="147"/>
      <w:bookmarkEnd w:id="148"/>
      <w:bookmarkEnd w:id="149"/>
      <w:bookmarkEnd w:id="150"/>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2"/>
        <w:spacing w:beforeLines="50" w:after="0" w:line="400" w:lineRule="exact"/>
        <w:rPr>
          <w:rFonts w:ascii="宋体" w:hAnsi="宋体"/>
          <w:color w:val="auto"/>
          <w:sz w:val="24"/>
          <w:szCs w:val="24"/>
          <w:highlight w:val="none"/>
        </w:rPr>
      </w:pPr>
      <w:bookmarkStart w:id="151" w:name="_Toc486277899"/>
      <w:bookmarkStart w:id="152" w:name="_Toc485889038"/>
      <w:bookmarkStart w:id="153" w:name="_Toc234382628"/>
      <w:bookmarkStart w:id="154" w:name="_Toc31911"/>
      <w:r>
        <w:rPr>
          <w:rFonts w:ascii="宋体" w:hAnsi="宋体"/>
          <w:color w:val="auto"/>
          <w:sz w:val="24"/>
          <w:szCs w:val="24"/>
          <w:highlight w:val="none"/>
        </w:rPr>
        <w:t>6.3 评标</w:t>
      </w:r>
      <w:bookmarkEnd w:id="151"/>
      <w:bookmarkEnd w:id="152"/>
      <w:bookmarkEnd w:id="153"/>
      <w:bookmarkEnd w:id="154"/>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2"/>
        <w:spacing w:beforeLines="150" w:after="480" w:line="400" w:lineRule="exact"/>
        <w:rPr>
          <w:rFonts w:ascii="宋体" w:hAnsi="宋体"/>
          <w:color w:val="auto"/>
          <w:sz w:val="24"/>
          <w:szCs w:val="24"/>
          <w:highlight w:val="none"/>
        </w:rPr>
      </w:pPr>
      <w:bookmarkStart w:id="155" w:name="_Toc234382629"/>
      <w:bookmarkStart w:id="156" w:name="_Toc486277900"/>
      <w:bookmarkStart w:id="157" w:name="_Toc21378"/>
      <w:bookmarkStart w:id="158" w:name="_Toc485889039"/>
      <w:r>
        <w:rPr>
          <w:rFonts w:ascii="宋体" w:hAnsi="宋体"/>
          <w:color w:val="auto"/>
          <w:sz w:val="24"/>
          <w:szCs w:val="24"/>
          <w:highlight w:val="none"/>
        </w:rPr>
        <w:t>7. 合同授予</w:t>
      </w:r>
      <w:bookmarkEnd w:id="155"/>
      <w:bookmarkEnd w:id="156"/>
      <w:bookmarkEnd w:id="157"/>
      <w:bookmarkEnd w:id="158"/>
    </w:p>
    <w:p>
      <w:pPr>
        <w:pStyle w:val="2"/>
        <w:spacing w:before="0" w:after="0" w:line="400" w:lineRule="exact"/>
        <w:rPr>
          <w:rFonts w:ascii="宋体" w:hAnsi="宋体"/>
          <w:color w:val="auto"/>
          <w:sz w:val="24"/>
          <w:szCs w:val="24"/>
          <w:highlight w:val="none"/>
        </w:rPr>
      </w:pPr>
      <w:bookmarkStart w:id="159" w:name="_Toc10828"/>
      <w:bookmarkStart w:id="160" w:name="_Toc234382630"/>
      <w:bookmarkStart w:id="161" w:name="_Toc486277901"/>
      <w:bookmarkStart w:id="162" w:name="_Toc485889040"/>
      <w:r>
        <w:rPr>
          <w:rFonts w:ascii="宋体" w:hAnsi="宋体"/>
          <w:color w:val="auto"/>
          <w:sz w:val="24"/>
          <w:szCs w:val="24"/>
          <w:highlight w:val="none"/>
        </w:rPr>
        <w:t>7.1 定标方式</w:t>
      </w:r>
      <w:bookmarkEnd w:id="159"/>
      <w:bookmarkEnd w:id="160"/>
      <w:bookmarkEnd w:id="161"/>
      <w:bookmarkEnd w:id="162"/>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2"/>
        <w:spacing w:beforeLines="50" w:after="0" w:line="400" w:lineRule="exact"/>
        <w:rPr>
          <w:rFonts w:ascii="宋体" w:hAnsi="宋体"/>
          <w:color w:val="auto"/>
          <w:sz w:val="24"/>
          <w:szCs w:val="24"/>
          <w:highlight w:val="none"/>
        </w:rPr>
      </w:pPr>
      <w:bookmarkStart w:id="163" w:name="_Toc234382631"/>
      <w:bookmarkStart w:id="164" w:name="_Toc485889041"/>
      <w:bookmarkStart w:id="165" w:name="_Toc13648"/>
      <w:bookmarkStart w:id="166" w:name="_Toc486277902"/>
      <w:r>
        <w:rPr>
          <w:rFonts w:ascii="宋体" w:hAnsi="宋体"/>
          <w:color w:val="auto"/>
          <w:sz w:val="24"/>
          <w:szCs w:val="24"/>
          <w:highlight w:val="none"/>
        </w:rPr>
        <w:t>7.2 中标通知</w:t>
      </w:r>
      <w:bookmarkEnd w:id="163"/>
      <w:bookmarkEnd w:id="164"/>
      <w:bookmarkEnd w:id="165"/>
      <w:bookmarkEnd w:id="166"/>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2"/>
        <w:spacing w:beforeLines="50" w:after="0" w:line="400" w:lineRule="exact"/>
        <w:rPr>
          <w:rFonts w:ascii="宋体" w:hAnsi="宋体"/>
          <w:color w:val="auto"/>
          <w:sz w:val="24"/>
          <w:szCs w:val="24"/>
          <w:highlight w:val="none"/>
        </w:rPr>
      </w:pPr>
      <w:bookmarkStart w:id="167" w:name="_Toc234382633"/>
      <w:bookmarkStart w:id="168" w:name="_Toc16842"/>
      <w:bookmarkStart w:id="169" w:name="_Toc485889042"/>
      <w:bookmarkStart w:id="170" w:name="_Toc486277903"/>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7"/>
      <w:bookmarkEnd w:id="168"/>
      <w:bookmarkEnd w:id="169"/>
      <w:bookmarkEnd w:id="170"/>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pStyle w:val="2"/>
        <w:spacing w:beforeLines="150" w:after="480" w:line="400" w:lineRule="exact"/>
        <w:rPr>
          <w:rFonts w:ascii="宋体" w:hAnsi="宋体"/>
          <w:color w:val="auto"/>
          <w:sz w:val="24"/>
          <w:szCs w:val="24"/>
          <w:highlight w:val="none"/>
        </w:rPr>
      </w:pPr>
      <w:bookmarkStart w:id="171" w:name="_Toc234382634"/>
      <w:bookmarkStart w:id="172" w:name="_Toc16570"/>
      <w:bookmarkStart w:id="173" w:name="_Toc485889043"/>
      <w:bookmarkStart w:id="174" w:name="_Toc486277904"/>
      <w:r>
        <w:rPr>
          <w:rFonts w:ascii="宋体" w:hAnsi="宋体"/>
          <w:color w:val="auto"/>
          <w:sz w:val="24"/>
          <w:szCs w:val="24"/>
          <w:highlight w:val="none"/>
        </w:rPr>
        <w:t>8. 重新招标和不再招标</w:t>
      </w:r>
      <w:bookmarkEnd w:id="171"/>
      <w:bookmarkEnd w:id="172"/>
      <w:bookmarkEnd w:id="173"/>
      <w:bookmarkEnd w:id="174"/>
    </w:p>
    <w:p>
      <w:pPr>
        <w:pStyle w:val="2"/>
        <w:spacing w:before="0" w:after="0" w:line="400" w:lineRule="exact"/>
        <w:rPr>
          <w:rFonts w:ascii="宋体" w:hAnsi="宋体"/>
          <w:color w:val="auto"/>
          <w:sz w:val="24"/>
          <w:szCs w:val="24"/>
          <w:highlight w:val="none"/>
        </w:rPr>
      </w:pPr>
      <w:bookmarkStart w:id="175" w:name="_Toc234382635"/>
      <w:bookmarkStart w:id="176" w:name="_Toc485889044"/>
      <w:bookmarkStart w:id="177" w:name="_Toc4100"/>
      <w:bookmarkStart w:id="178" w:name="_Toc486277905"/>
      <w:r>
        <w:rPr>
          <w:rFonts w:ascii="宋体" w:hAnsi="宋体"/>
          <w:color w:val="auto"/>
          <w:sz w:val="24"/>
          <w:szCs w:val="24"/>
          <w:highlight w:val="none"/>
        </w:rPr>
        <w:t>8.1 重新招标</w:t>
      </w:r>
      <w:bookmarkEnd w:id="175"/>
      <w:bookmarkEnd w:id="176"/>
      <w:bookmarkEnd w:id="177"/>
      <w:bookmarkEnd w:id="178"/>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2"/>
        <w:spacing w:beforeLines="50" w:after="0" w:line="400" w:lineRule="exact"/>
        <w:rPr>
          <w:rFonts w:ascii="宋体" w:hAnsi="宋体"/>
          <w:color w:val="auto"/>
          <w:sz w:val="24"/>
          <w:szCs w:val="24"/>
          <w:highlight w:val="none"/>
        </w:rPr>
      </w:pPr>
      <w:bookmarkStart w:id="179" w:name="_Toc486277906"/>
      <w:bookmarkStart w:id="180" w:name="_Toc21063"/>
      <w:bookmarkStart w:id="181" w:name="_Toc234382636"/>
      <w:bookmarkStart w:id="182" w:name="_Toc485889045"/>
      <w:r>
        <w:rPr>
          <w:rFonts w:ascii="宋体" w:hAnsi="宋体"/>
          <w:color w:val="auto"/>
          <w:sz w:val="24"/>
          <w:szCs w:val="24"/>
          <w:highlight w:val="none"/>
        </w:rPr>
        <w:t>8.2 不再招标</w:t>
      </w:r>
      <w:bookmarkEnd w:id="179"/>
      <w:bookmarkEnd w:id="180"/>
      <w:bookmarkEnd w:id="181"/>
      <w:bookmarkEnd w:id="182"/>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2"/>
        <w:spacing w:beforeLines="150" w:after="480" w:line="400" w:lineRule="exact"/>
        <w:rPr>
          <w:rFonts w:ascii="宋体" w:hAnsi="宋体"/>
          <w:color w:val="auto"/>
          <w:sz w:val="24"/>
          <w:szCs w:val="24"/>
          <w:highlight w:val="none"/>
        </w:rPr>
      </w:pPr>
      <w:bookmarkStart w:id="183" w:name="_Toc485889046"/>
      <w:bookmarkStart w:id="184" w:name="_Toc32202"/>
      <w:bookmarkStart w:id="185" w:name="_Toc234382637"/>
      <w:bookmarkStart w:id="186" w:name="_Toc486277907"/>
      <w:r>
        <w:rPr>
          <w:rFonts w:ascii="宋体" w:hAnsi="宋体"/>
          <w:color w:val="auto"/>
          <w:sz w:val="24"/>
          <w:szCs w:val="24"/>
          <w:highlight w:val="none"/>
        </w:rPr>
        <w:t>9. 纪律和监督</w:t>
      </w:r>
      <w:bookmarkEnd w:id="183"/>
      <w:bookmarkEnd w:id="184"/>
      <w:bookmarkEnd w:id="185"/>
      <w:bookmarkEnd w:id="186"/>
    </w:p>
    <w:p>
      <w:pPr>
        <w:pStyle w:val="2"/>
        <w:spacing w:before="0" w:after="0" w:line="400" w:lineRule="exact"/>
        <w:rPr>
          <w:rFonts w:ascii="宋体" w:hAnsi="宋体"/>
          <w:color w:val="auto"/>
          <w:sz w:val="24"/>
          <w:szCs w:val="24"/>
          <w:highlight w:val="none"/>
        </w:rPr>
      </w:pPr>
      <w:bookmarkStart w:id="187" w:name="_Toc485889047"/>
      <w:bookmarkStart w:id="188" w:name="_Toc486277908"/>
      <w:bookmarkStart w:id="189" w:name="_Toc234382638"/>
      <w:bookmarkStart w:id="190" w:name="_Toc23625"/>
      <w:r>
        <w:rPr>
          <w:rFonts w:ascii="宋体" w:hAnsi="宋体"/>
          <w:color w:val="auto"/>
          <w:sz w:val="24"/>
          <w:szCs w:val="24"/>
          <w:highlight w:val="none"/>
        </w:rPr>
        <w:t>9.1 对招标人的纪律要求</w:t>
      </w:r>
      <w:bookmarkEnd w:id="187"/>
      <w:bookmarkEnd w:id="188"/>
      <w:bookmarkEnd w:id="189"/>
      <w:bookmarkEnd w:id="190"/>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2"/>
        <w:spacing w:beforeLines="50" w:after="0" w:line="400" w:lineRule="exact"/>
        <w:rPr>
          <w:rFonts w:ascii="宋体" w:hAnsi="宋体"/>
          <w:color w:val="auto"/>
          <w:sz w:val="24"/>
          <w:szCs w:val="24"/>
          <w:highlight w:val="none"/>
        </w:rPr>
      </w:pPr>
      <w:bookmarkStart w:id="191" w:name="_Toc485889048"/>
      <w:bookmarkStart w:id="192" w:name="_Toc486277909"/>
      <w:bookmarkStart w:id="193" w:name="_Toc13796"/>
      <w:bookmarkStart w:id="194" w:name="_Toc234382639"/>
      <w:r>
        <w:rPr>
          <w:rFonts w:ascii="宋体" w:hAnsi="宋体"/>
          <w:color w:val="auto"/>
          <w:sz w:val="24"/>
          <w:szCs w:val="24"/>
          <w:highlight w:val="none"/>
        </w:rPr>
        <w:t>9.2 对投标人的纪律要求</w:t>
      </w:r>
      <w:bookmarkEnd w:id="191"/>
      <w:bookmarkEnd w:id="192"/>
      <w:bookmarkEnd w:id="193"/>
      <w:bookmarkEnd w:id="194"/>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spacing w:beforeLines="50" w:after="0" w:line="400" w:lineRule="exact"/>
        <w:rPr>
          <w:rFonts w:ascii="宋体" w:hAnsi="宋体"/>
          <w:color w:val="auto"/>
          <w:sz w:val="24"/>
          <w:szCs w:val="24"/>
          <w:highlight w:val="none"/>
        </w:rPr>
      </w:pPr>
      <w:bookmarkStart w:id="195" w:name="_Toc486277910"/>
      <w:bookmarkStart w:id="196" w:name="_Toc16702"/>
      <w:bookmarkStart w:id="197" w:name="_Toc485889049"/>
      <w:bookmarkStart w:id="198" w:name="_Toc234382640"/>
      <w:r>
        <w:rPr>
          <w:rFonts w:ascii="宋体" w:hAnsi="宋体"/>
          <w:color w:val="auto"/>
          <w:sz w:val="24"/>
          <w:szCs w:val="24"/>
          <w:highlight w:val="none"/>
        </w:rPr>
        <w:t>9.3 对评标委员会成员的纪律要求</w:t>
      </w:r>
      <w:bookmarkEnd w:id="195"/>
      <w:bookmarkEnd w:id="196"/>
      <w:bookmarkEnd w:id="197"/>
      <w:bookmarkEnd w:id="198"/>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
        <w:spacing w:beforeLines="50" w:after="0" w:line="400" w:lineRule="exact"/>
        <w:rPr>
          <w:rFonts w:ascii="宋体" w:hAnsi="宋体"/>
          <w:color w:val="auto"/>
          <w:sz w:val="24"/>
          <w:szCs w:val="24"/>
          <w:highlight w:val="none"/>
        </w:rPr>
      </w:pPr>
      <w:bookmarkStart w:id="199" w:name="_Toc12383"/>
      <w:bookmarkStart w:id="200" w:name="_Toc486277911"/>
      <w:bookmarkStart w:id="201" w:name="_Toc234382641"/>
      <w:bookmarkStart w:id="202" w:name="_Toc485889050"/>
      <w:r>
        <w:rPr>
          <w:rFonts w:ascii="宋体" w:hAnsi="宋体"/>
          <w:color w:val="auto"/>
          <w:sz w:val="24"/>
          <w:szCs w:val="24"/>
          <w:highlight w:val="none"/>
        </w:rPr>
        <w:t>9.4 对与评标活动有关的工作人员的纪律要求</w:t>
      </w:r>
      <w:bookmarkEnd w:id="199"/>
      <w:bookmarkEnd w:id="200"/>
      <w:bookmarkEnd w:id="201"/>
      <w:bookmarkEnd w:id="202"/>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
        <w:spacing w:beforeLines="50" w:after="0" w:line="400" w:lineRule="exact"/>
        <w:rPr>
          <w:rFonts w:ascii="宋体" w:hAnsi="宋体"/>
          <w:color w:val="auto"/>
          <w:sz w:val="24"/>
          <w:szCs w:val="24"/>
          <w:highlight w:val="none"/>
        </w:rPr>
      </w:pPr>
      <w:bookmarkStart w:id="203" w:name="_Toc25179"/>
      <w:bookmarkStart w:id="204" w:name="_Toc485889051"/>
      <w:bookmarkStart w:id="205" w:name="_Toc234382642"/>
      <w:bookmarkStart w:id="206" w:name="_Toc486277912"/>
      <w:r>
        <w:rPr>
          <w:rFonts w:ascii="宋体" w:hAnsi="宋体"/>
          <w:color w:val="auto"/>
          <w:sz w:val="24"/>
          <w:szCs w:val="24"/>
          <w:highlight w:val="none"/>
        </w:rPr>
        <w:t>9.5 投诉</w:t>
      </w:r>
      <w:bookmarkEnd w:id="203"/>
      <w:bookmarkEnd w:id="204"/>
      <w:bookmarkEnd w:id="205"/>
      <w:bookmarkEnd w:id="206"/>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spacing w:line="400" w:lineRule="exact"/>
        <w:rPr>
          <w:rFonts w:ascii="宋体" w:hAnsi="宋体"/>
          <w:b/>
          <w:bCs/>
          <w:color w:val="auto"/>
          <w:sz w:val="24"/>
          <w:highlight w:val="none"/>
        </w:rPr>
      </w:pPr>
      <w:bookmarkStart w:id="207" w:name="_Toc485889052"/>
      <w:bookmarkStart w:id="208" w:name="_Toc234382643"/>
      <w:bookmarkStart w:id="209" w:name="_Toc486277913"/>
      <w:bookmarkStart w:id="210" w:name="_Toc30072"/>
      <w:r>
        <w:rPr>
          <w:rFonts w:ascii="宋体" w:hAnsi="宋体"/>
          <w:b/>
          <w:bCs/>
          <w:color w:val="auto"/>
          <w:sz w:val="24"/>
          <w:highlight w:val="none"/>
        </w:rPr>
        <w:t>10.</w:t>
      </w:r>
      <w:r>
        <w:rPr>
          <w:rFonts w:hint="eastAsia" w:ascii="宋体" w:hAnsi="宋体"/>
          <w:b/>
          <w:bCs/>
          <w:color w:val="auto"/>
          <w:sz w:val="24"/>
          <w:highlight w:val="none"/>
          <w:lang w:val="en-US" w:eastAsia="zh-CN"/>
        </w:rPr>
        <w:t xml:space="preserve"> </w:t>
      </w:r>
      <w:r>
        <w:rPr>
          <w:rFonts w:ascii="宋体" w:hAnsi="宋体"/>
          <w:b/>
          <w:bCs/>
          <w:color w:val="auto"/>
          <w:sz w:val="24"/>
          <w:highlight w:val="none"/>
        </w:rPr>
        <w:t>需要补充的其他内容</w:t>
      </w:r>
      <w:bookmarkEnd w:id="207"/>
      <w:bookmarkEnd w:id="208"/>
      <w:bookmarkEnd w:id="209"/>
      <w:bookmarkEnd w:id="210"/>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rPr>
          <w:rFonts w:ascii="宋体" w:hAnsi="宋体"/>
          <w:color w:val="auto"/>
          <w:sz w:val="24"/>
          <w:highlight w:val="none"/>
        </w:rPr>
      </w:pPr>
      <w:bookmarkStart w:id="211" w:name="_Toc234382644"/>
    </w:p>
    <w:p>
      <w:pPr>
        <w:pageBreakBefore/>
        <w:jc w:val="left"/>
        <w:rPr>
          <w:rFonts w:ascii="黑体" w:hAnsi="宋体" w:eastAsia="黑体"/>
          <w:b/>
          <w:color w:val="auto"/>
          <w:sz w:val="24"/>
          <w:highlight w:val="none"/>
        </w:rPr>
      </w:pPr>
      <w:r>
        <w:rPr>
          <w:rFonts w:hint="eastAsia" w:ascii="黑体" w:hAnsi="宋体" w:eastAsia="黑体"/>
          <w:b/>
          <w:color w:val="auto"/>
          <w:sz w:val="24"/>
          <w:highlight w:val="none"/>
        </w:rPr>
        <w:t>附表一： 投标保证金交纳须知</w:t>
      </w:r>
    </w:p>
    <w:tbl>
      <w:tblPr>
        <w:tblStyle w:val="12"/>
        <w:tblpPr w:leftFromText="180" w:rightFromText="180" w:vertAnchor="text" w:horzAnchor="page" w:tblpX="1363" w:tblpY="347"/>
        <w:tblOverlap w:val="never"/>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color w:val="auto"/>
                <w:sz w:val="24"/>
                <w:highlight w:val="none"/>
              </w:rPr>
            </w:pPr>
            <w:r>
              <w:rPr>
                <w:rFonts w:hint="eastAsia" w:ascii="华文中宋" w:hAnsi="华文中宋" w:eastAsia="华文中宋"/>
                <w:color w:val="auto"/>
                <w:sz w:val="28"/>
                <w:szCs w:val="28"/>
                <w:highlight w:val="none"/>
              </w:rPr>
              <w:t>项目编号</w:t>
            </w:r>
          </w:p>
        </w:tc>
        <w:tc>
          <w:tcPr>
            <w:tcW w:w="76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建安建工公字〔2017〕</w:t>
            </w:r>
            <w:r>
              <w:rPr>
                <w:rFonts w:hint="eastAsia" w:eastAsia="仿宋_GB2312"/>
                <w:color w:val="auto"/>
                <w:sz w:val="28"/>
                <w:szCs w:val="28"/>
                <w:highlight w:val="none"/>
                <w:lang w:val="en-US" w:eastAsia="zh-CN"/>
              </w:rPr>
              <w:t>190</w:t>
            </w:r>
            <w:r>
              <w:rPr>
                <w:rFonts w:hint="eastAsia" w:eastAsia="仿宋_GB2312"/>
                <w:color w:val="auto"/>
                <w:sz w:val="28"/>
                <w:szCs w:val="28"/>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中宋" w:hAnsi="华文中宋" w:eastAsia="华文中宋"/>
                <w:color w:val="auto"/>
                <w:sz w:val="28"/>
                <w:szCs w:val="28"/>
                <w:highlight w:val="none"/>
              </w:rPr>
            </w:pPr>
            <w:r>
              <w:rPr>
                <w:rFonts w:hint="eastAsia" w:ascii="华文中宋" w:hAnsi="华文中宋" w:eastAsia="华文中宋"/>
                <w:color w:val="auto"/>
                <w:sz w:val="28"/>
                <w:szCs w:val="28"/>
                <w:highlight w:val="none"/>
              </w:rPr>
              <w:t>项目名称</w:t>
            </w:r>
          </w:p>
        </w:tc>
        <w:tc>
          <w:tcPr>
            <w:tcW w:w="76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灵井镇岗王村道路工程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中宋" w:hAnsi="华文中宋" w:eastAsia="华文中宋"/>
                <w:color w:val="auto"/>
                <w:sz w:val="28"/>
                <w:szCs w:val="28"/>
                <w:highlight w:val="none"/>
              </w:rPr>
            </w:pPr>
            <w:r>
              <w:rPr>
                <w:rFonts w:hint="eastAsia" w:ascii="华文中宋" w:hAnsi="华文中宋" w:eastAsia="华文中宋"/>
                <w:color w:val="auto"/>
                <w:sz w:val="28"/>
                <w:szCs w:val="28"/>
                <w:highlight w:val="none"/>
              </w:rPr>
              <w:t>标段名称</w:t>
            </w:r>
          </w:p>
        </w:tc>
        <w:tc>
          <w:tcPr>
            <w:tcW w:w="765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color w:val="auto"/>
                <w:sz w:val="28"/>
                <w:szCs w:val="28"/>
                <w:highlight w:val="none"/>
              </w:rPr>
            </w:pPr>
            <w:r>
              <w:rPr>
                <w:rFonts w:hint="eastAsia"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8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中宋" w:hAnsi="华文中宋" w:eastAsia="华文中宋"/>
                <w:color w:val="auto"/>
                <w:sz w:val="28"/>
                <w:szCs w:val="28"/>
                <w:highlight w:val="none"/>
              </w:rPr>
            </w:pPr>
            <w:r>
              <w:rPr>
                <w:rFonts w:hint="eastAsia" w:ascii="华文中宋" w:hAnsi="华文中宋" w:eastAsia="华文中宋"/>
                <w:color w:val="auto"/>
                <w:sz w:val="28"/>
                <w:szCs w:val="28"/>
                <w:highlight w:val="none"/>
              </w:rPr>
              <w:t>投标保证金</w:t>
            </w:r>
          </w:p>
          <w:p>
            <w:pPr>
              <w:adjustRightInd w:val="0"/>
              <w:spacing w:line="500" w:lineRule="exact"/>
              <w:jc w:val="center"/>
              <w:rPr>
                <w:rFonts w:ascii="华文中宋" w:hAnsi="华文中宋" w:eastAsia="华文中宋"/>
                <w:color w:val="auto"/>
                <w:sz w:val="28"/>
                <w:szCs w:val="28"/>
                <w:highlight w:val="none"/>
              </w:rPr>
            </w:pPr>
            <w:r>
              <w:rPr>
                <w:rFonts w:hint="eastAsia" w:ascii="华文中宋" w:hAnsi="华文中宋" w:eastAsia="华文中宋"/>
                <w:color w:val="auto"/>
                <w:sz w:val="28"/>
                <w:szCs w:val="28"/>
                <w:highlight w:val="none"/>
              </w:rPr>
              <w:t>交纳信息</w:t>
            </w:r>
          </w:p>
        </w:tc>
        <w:tc>
          <w:tcPr>
            <w:tcW w:w="7650"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color w:val="auto"/>
                <w:sz w:val="28"/>
                <w:szCs w:val="28"/>
                <w:highlight w:val="none"/>
              </w:rPr>
            </w:pPr>
            <w:r>
              <w:rPr>
                <w:rFonts w:hint="eastAsia" w:eastAsia="仿宋_GB2312"/>
                <w:color w:val="auto"/>
                <w:sz w:val="28"/>
                <w:szCs w:val="28"/>
                <w:highlight w:val="none"/>
              </w:rPr>
              <w:t>金额：</w:t>
            </w:r>
            <w:r>
              <w:rPr>
                <w:rFonts w:hint="eastAsia" w:eastAsia="仿宋_GB2312"/>
                <w:color w:val="auto"/>
                <w:sz w:val="28"/>
                <w:szCs w:val="28"/>
                <w:highlight w:val="none"/>
                <w:lang w:eastAsia="zh-CN"/>
              </w:rPr>
              <w:t>人民币捌</w:t>
            </w:r>
            <w:r>
              <w:rPr>
                <w:rFonts w:hint="eastAsia" w:eastAsia="仿宋_GB2312"/>
                <w:color w:val="auto"/>
                <w:sz w:val="28"/>
                <w:szCs w:val="28"/>
                <w:highlight w:val="none"/>
              </w:rPr>
              <w:t>万元整（</w:t>
            </w:r>
            <w:r>
              <w:rPr>
                <w:rFonts w:hint="eastAsia" w:eastAsia="仿宋_GB2312"/>
                <w:color w:val="auto"/>
                <w:sz w:val="28"/>
                <w:szCs w:val="28"/>
                <w:highlight w:val="none"/>
                <w:lang w:val="en-US" w:eastAsia="zh-CN"/>
              </w:rPr>
              <w:t>8</w:t>
            </w:r>
            <w:r>
              <w:rPr>
                <w:rFonts w:hint="eastAsia" w:eastAsia="仿宋_GB2312"/>
                <w:color w:val="auto"/>
                <w:sz w:val="28"/>
                <w:szCs w:val="28"/>
                <w:highlight w:val="none"/>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76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color w:val="auto"/>
                <w:sz w:val="28"/>
                <w:szCs w:val="28"/>
                <w:highlight w:val="none"/>
              </w:rPr>
            </w:pPr>
            <w:r>
              <w:rPr>
                <w:rFonts w:hint="eastAsia" w:eastAsia="仿宋_GB2312"/>
                <w:color w:val="auto"/>
                <w:sz w:val="28"/>
                <w:szCs w:val="28"/>
                <w:highlight w:val="none"/>
              </w:rPr>
              <w:t>截止时间：北京时间2017年</w:t>
            </w:r>
            <w:r>
              <w:rPr>
                <w:rFonts w:hint="eastAsia" w:eastAsia="仿宋_GB2312"/>
                <w:color w:val="auto"/>
                <w:sz w:val="28"/>
                <w:szCs w:val="28"/>
                <w:highlight w:val="none"/>
                <w:lang w:val="en-US" w:eastAsia="zh-CN"/>
              </w:rPr>
              <w:t>1</w:t>
            </w:r>
            <w:r>
              <w:rPr>
                <w:rFonts w:hint="eastAsia" w:eastAsia="仿宋_GB2312"/>
                <w:color w:val="auto"/>
                <w:sz w:val="28"/>
                <w:szCs w:val="28"/>
                <w:highlight w:val="none"/>
              </w:rPr>
              <w:t>月</w:t>
            </w:r>
            <w:r>
              <w:rPr>
                <w:rFonts w:hint="eastAsia" w:eastAsia="仿宋_GB2312"/>
                <w:color w:val="auto"/>
                <w:sz w:val="28"/>
                <w:szCs w:val="28"/>
                <w:highlight w:val="none"/>
                <w:lang w:val="en-US" w:eastAsia="zh-CN"/>
              </w:rPr>
              <w:t>9</w:t>
            </w:r>
            <w:r>
              <w:rPr>
                <w:rFonts w:hint="eastAsia" w:eastAsia="仿宋_GB2312"/>
                <w:color w:val="auto"/>
                <w:sz w:val="28"/>
                <w:szCs w:val="28"/>
                <w:highlight w:val="none"/>
              </w:rPr>
              <w:t>日16：00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765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eastAsia="仿宋_GB2312"/>
                <w:b/>
                <w:color w:val="auto"/>
                <w:sz w:val="28"/>
                <w:szCs w:val="28"/>
                <w:highlight w:val="none"/>
                <w:u w:val="single"/>
              </w:rPr>
            </w:pPr>
            <w:r>
              <w:rPr>
                <w:rFonts w:eastAsia="仿宋_GB2312"/>
                <w:color w:val="auto"/>
                <w:sz w:val="28"/>
                <w:szCs w:val="28"/>
                <w:highlight w:val="none"/>
              </w:rPr>
              <w:t>投标保证金务必从投标人基本账户以银行电汇、转账支票或网上支付的方式汇入以下账户</w:t>
            </w:r>
            <w:r>
              <w:rPr>
                <w:rFonts w:hint="eastAsia" w:eastAsia="仿宋_GB2312"/>
                <w:color w:val="auto"/>
                <w:sz w:val="28"/>
                <w:szCs w:val="28"/>
                <w:highlight w:val="none"/>
              </w:rPr>
              <w:t>，并在</w:t>
            </w:r>
            <w:r>
              <w:rPr>
                <w:rFonts w:eastAsia="仿宋_GB2312"/>
                <w:color w:val="auto"/>
                <w:sz w:val="28"/>
                <w:szCs w:val="28"/>
                <w:highlight w:val="none"/>
                <w:u w:val="single"/>
              </w:rPr>
              <w:t>备注</w:t>
            </w:r>
            <w:r>
              <w:rPr>
                <w:rFonts w:hint="eastAsia" w:eastAsia="仿宋_GB2312"/>
                <w:color w:val="auto"/>
                <w:sz w:val="28"/>
                <w:szCs w:val="28"/>
                <w:highlight w:val="none"/>
                <w:u w:val="single"/>
              </w:rPr>
              <w:t>、</w:t>
            </w:r>
            <w:r>
              <w:rPr>
                <w:rFonts w:eastAsia="仿宋_GB2312"/>
                <w:color w:val="auto"/>
                <w:sz w:val="28"/>
                <w:szCs w:val="28"/>
                <w:highlight w:val="none"/>
                <w:u w:val="single"/>
              </w:rPr>
              <w:t>附言</w:t>
            </w:r>
            <w:r>
              <w:rPr>
                <w:rFonts w:hint="eastAsia" w:eastAsia="仿宋_GB2312"/>
                <w:color w:val="auto"/>
                <w:sz w:val="28"/>
                <w:szCs w:val="28"/>
                <w:highlight w:val="none"/>
                <w:u w:val="single"/>
              </w:rPr>
              <w:t>及用途栏</w:t>
            </w:r>
            <w:r>
              <w:rPr>
                <w:rFonts w:eastAsia="仿宋_GB2312"/>
                <w:color w:val="auto"/>
                <w:sz w:val="28"/>
                <w:szCs w:val="28"/>
                <w:highlight w:val="none"/>
              </w:rPr>
              <w:t>部分注明投标项目</w:t>
            </w:r>
            <w:r>
              <w:rPr>
                <w:rFonts w:eastAsia="仿宋_GB2312"/>
                <w:b/>
                <w:color w:val="auto"/>
                <w:sz w:val="28"/>
                <w:szCs w:val="28"/>
                <w:highlight w:val="none"/>
              </w:rPr>
              <w:t>编号</w:t>
            </w:r>
            <w:r>
              <w:rPr>
                <w:rFonts w:hint="eastAsia" w:eastAsia="仿宋_GB2312"/>
                <w:b/>
                <w:color w:val="auto"/>
                <w:sz w:val="28"/>
                <w:szCs w:val="28"/>
                <w:highlight w:val="none"/>
              </w:rPr>
              <w:t>及</w:t>
            </w:r>
            <w:r>
              <w:rPr>
                <w:rFonts w:eastAsia="仿宋_GB2312"/>
                <w:b/>
                <w:color w:val="auto"/>
                <w:sz w:val="28"/>
                <w:szCs w:val="28"/>
                <w:highlight w:val="none"/>
              </w:rPr>
              <w:t>标段</w:t>
            </w:r>
            <w:r>
              <w:rPr>
                <w:rFonts w:eastAsia="仿宋_GB2312"/>
                <w:color w:val="auto"/>
                <w:sz w:val="28"/>
                <w:szCs w:val="28"/>
                <w:highlight w:val="none"/>
              </w:rPr>
              <w:t>：</w:t>
            </w:r>
            <w:r>
              <w:rPr>
                <w:rFonts w:hint="eastAsia" w:eastAsia="仿宋_GB2312"/>
                <w:b/>
                <w:bCs w:val="0"/>
                <w:color w:val="auto"/>
                <w:sz w:val="28"/>
                <w:szCs w:val="28"/>
                <w:highlight w:val="none"/>
                <w:u w:val="single"/>
                <w:lang w:eastAsia="zh-CN"/>
              </w:rPr>
              <w:t>建工〔2017〕</w:t>
            </w:r>
            <w:r>
              <w:rPr>
                <w:rFonts w:hint="eastAsia" w:eastAsia="仿宋_GB2312"/>
                <w:b/>
                <w:bCs w:val="0"/>
                <w:color w:val="auto"/>
                <w:sz w:val="28"/>
                <w:szCs w:val="28"/>
                <w:highlight w:val="none"/>
                <w:u w:val="single"/>
                <w:lang w:val="en-US" w:eastAsia="zh-CN"/>
              </w:rPr>
              <w:t>190</w:t>
            </w:r>
            <w:r>
              <w:rPr>
                <w:rFonts w:hint="eastAsia" w:eastAsia="仿宋_GB2312"/>
                <w:b/>
                <w:bCs w:val="0"/>
                <w:color w:val="auto"/>
                <w:sz w:val="28"/>
                <w:szCs w:val="28"/>
                <w:highlight w:val="none"/>
                <w:u w:val="single"/>
                <w:lang w:eastAsia="zh-CN"/>
              </w:rPr>
              <w:t>号</w:t>
            </w:r>
            <w:r>
              <w:rPr>
                <w:rFonts w:eastAsia="仿宋_GB2312"/>
                <w:color w:val="auto"/>
                <w:sz w:val="28"/>
                <w:szCs w:val="28"/>
                <w:highlight w:val="none"/>
              </w:rPr>
              <w:t>。</w:t>
            </w:r>
          </w:p>
          <w:p>
            <w:pPr>
              <w:spacing w:line="500" w:lineRule="exact"/>
              <w:ind w:firstLine="548" w:firstLineChars="196"/>
              <w:rPr>
                <w:rFonts w:eastAsia="仿宋_GB2312"/>
                <w:color w:val="auto"/>
                <w:sz w:val="28"/>
                <w:szCs w:val="28"/>
                <w:highlight w:val="none"/>
              </w:rPr>
            </w:pPr>
            <w:r>
              <w:rPr>
                <w:rFonts w:eastAsia="仿宋_GB2312"/>
                <w:color w:val="auto"/>
                <w:sz w:val="28"/>
                <w:szCs w:val="28"/>
                <w:highlight w:val="none"/>
              </w:rPr>
              <w:t>收款人：</w:t>
            </w:r>
            <w:r>
              <w:rPr>
                <w:rFonts w:hint="eastAsia" w:eastAsia="仿宋_GB2312"/>
                <w:color w:val="auto"/>
                <w:sz w:val="28"/>
                <w:szCs w:val="28"/>
                <w:highlight w:val="none"/>
              </w:rPr>
              <w:t>许昌市建安区公共资源交易中心</w:t>
            </w:r>
          </w:p>
          <w:p>
            <w:pPr>
              <w:spacing w:line="500" w:lineRule="exact"/>
              <w:ind w:firstLine="548" w:firstLineChars="196"/>
              <w:rPr>
                <w:rFonts w:eastAsia="仿宋_GB2312"/>
                <w:color w:val="auto"/>
                <w:sz w:val="28"/>
                <w:szCs w:val="28"/>
                <w:highlight w:val="none"/>
              </w:rPr>
            </w:pPr>
            <w:r>
              <w:rPr>
                <w:rFonts w:eastAsia="仿宋_GB2312"/>
                <w:color w:val="auto"/>
                <w:sz w:val="28"/>
                <w:szCs w:val="28"/>
                <w:highlight w:val="none"/>
              </w:rPr>
              <w:t>账号：941006010000217252</w:t>
            </w:r>
          </w:p>
          <w:p>
            <w:pPr>
              <w:spacing w:line="500" w:lineRule="exact"/>
              <w:rPr>
                <w:rFonts w:ascii="宋体" w:hAnsi="宋体" w:cs="宋体"/>
                <w:color w:val="auto"/>
                <w:sz w:val="24"/>
                <w:highlight w:val="none"/>
              </w:rPr>
            </w:pPr>
            <w:r>
              <w:rPr>
                <w:rFonts w:hint="eastAsia" w:eastAsia="仿宋_GB2312"/>
                <w:color w:val="auto"/>
                <w:sz w:val="28"/>
                <w:szCs w:val="28"/>
                <w:highlight w:val="none"/>
              </w:rPr>
              <w:t xml:space="preserve">    </w:t>
            </w:r>
            <w:r>
              <w:rPr>
                <w:rFonts w:eastAsia="仿宋_GB2312"/>
                <w:color w:val="auto"/>
                <w:sz w:val="28"/>
                <w:szCs w:val="28"/>
                <w:highlight w:val="none"/>
              </w:rPr>
              <w:t>开户行：</w:t>
            </w:r>
            <w:r>
              <w:rPr>
                <w:rFonts w:hint="eastAsia" w:eastAsia="仿宋_GB2312"/>
                <w:color w:val="auto"/>
                <w:sz w:val="28"/>
                <w:szCs w:val="28"/>
                <w:highlight w:val="none"/>
              </w:rPr>
              <w:t>邮政储蓄银行镜水路支行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4" w:hRule="atLeast"/>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color w:val="auto"/>
                <w:sz w:val="24"/>
                <w:highlight w:val="none"/>
              </w:rPr>
            </w:pPr>
            <w:r>
              <w:rPr>
                <w:rFonts w:hint="eastAsia" w:ascii="华文中宋" w:hAnsi="华文中宋" w:eastAsia="华文中宋"/>
                <w:color w:val="auto"/>
                <w:sz w:val="28"/>
                <w:szCs w:val="28"/>
                <w:highlight w:val="none"/>
              </w:rPr>
              <w:t>注意事项</w:t>
            </w:r>
          </w:p>
        </w:tc>
        <w:tc>
          <w:tcPr>
            <w:tcW w:w="7650" w:type="dxa"/>
            <w:tcBorders>
              <w:top w:val="single" w:color="auto" w:sz="4" w:space="0"/>
              <w:left w:val="single" w:color="auto" w:sz="4" w:space="0"/>
              <w:bottom w:val="single" w:color="auto" w:sz="4" w:space="0"/>
              <w:right w:val="single" w:color="auto" w:sz="4" w:space="0"/>
            </w:tcBorders>
          </w:tcPr>
          <w:p>
            <w:pPr>
              <w:numPr>
                <w:ilvl w:val="0"/>
                <w:numId w:val="1"/>
              </w:num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出现以下情形造成的投标保证金未及时到账或被退回，视为放弃投标资格：</w:t>
            </w:r>
          </w:p>
          <w:p>
            <w:pPr>
              <w:numPr>
                <w:ilvl w:val="0"/>
                <w:numId w:val="2"/>
              </w:num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投标保证金未从投标人基本账户转出；</w:t>
            </w:r>
          </w:p>
          <w:p>
            <w:pPr>
              <w:numPr>
                <w:ilvl w:val="0"/>
                <w:numId w:val="2"/>
              </w:num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收款人、账号、开户行及金额未填写正确；</w:t>
            </w:r>
          </w:p>
          <w:p>
            <w:pPr>
              <w:numPr>
                <w:ilvl w:val="0"/>
                <w:numId w:val="2"/>
              </w:num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投标保证金未按照项目或标段依次转账的；</w:t>
            </w:r>
          </w:p>
          <w:p>
            <w:p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（4）未在备注或附言部分注明项目</w:t>
            </w:r>
            <w:r>
              <w:rPr>
                <w:rFonts w:hint="eastAsia" w:eastAsia="仿宋_GB2312"/>
                <w:b/>
                <w:color w:val="auto"/>
                <w:kern w:val="0"/>
                <w:sz w:val="28"/>
                <w:szCs w:val="28"/>
                <w:highlight w:val="none"/>
              </w:rPr>
              <w:t>编号及标段</w:t>
            </w:r>
            <w:r>
              <w:rPr>
                <w:rFonts w:hint="eastAsia" w:eastAsia="仿宋_GB2312"/>
                <w:color w:val="auto"/>
                <w:kern w:val="0"/>
                <w:sz w:val="28"/>
                <w:szCs w:val="28"/>
                <w:highlight w:val="none"/>
              </w:rPr>
              <w:t>的。     </w:t>
            </w:r>
          </w:p>
          <w:p>
            <w:pPr>
              <w:spacing w:line="460" w:lineRule="exact"/>
              <w:rPr>
                <w:rFonts w:eastAsia="仿宋_GB2312"/>
                <w:color w:val="auto"/>
                <w:kern w:val="0"/>
                <w:sz w:val="28"/>
                <w:szCs w:val="28"/>
                <w:highlight w:val="none"/>
              </w:rPr>
            </w:pPr>
            <w:r>
              <w:rPr>
                <w:rFonts w:hint="eastAsia" w:eastAsia="仿宋_GB2312"/>
                <w:color w:val="auto"/>
                <w:kern w:val="0"/>
                <w:sz w:val="28"/>
                <w:szCs w:val="28"/>
                <w:highlight w:val="none"/>
              </w:rPr>
              <w:t>2、保证金截止日后，以中心收到的银行收款凭证核对各投标企业保证金到账情况，不再开具保证金收据。投</w:t>
            </w:r>
            <w:r>
              <w:rPr>
                <w:rFonts w:eastAsia="仿宋_GB2312"/>
                <w:color w:val="auto"/>
                <w:kern w:val="0"/>
                <w:sz w:val="28"/>
                <w:szCs w:val="28"/>
                <w:highlight w:val="none"/>
              </w:rPr>
              <w:t>标保证金截止日前中心不提供查询保证金是否到账业务。</w:t>
            </w:r>
          </w:p>
          <w:p>
            <w:pPr>
              <w:spacing w:line="460" w:lineRule="exact"/>
              <w:rPr>
                <w:rFonts w:eastAsia="仿宋_GB2312"/>
                <w:color w:val="auto"/>
                <w:sz w:val="28"/>
                <w:szCs w:val="28"/>
                <w:highlight w:val="none"/>
              </w:rPr>
            </w:pPr>
            <w:r>
              <w:rPr>
                <w:rFonts w:hint="eastAsia" w:eastAsia="仿宋_GB2312"/>
                <w:bCs/>
                <w:color w:val="auto"/>
                <w:sz w:val="28"/>
                <w:szCs w:val="28"/>
                <w:highlight w:val="none"/>
              </w:rPr>
              <w:t>3</w:t>
            </w:r>
            <w:r>
              <w:rPr>
                <w:rFonts w:eastAsia="仿宋_GB2312"/>
                <w:bCs/>
                <w:color w:val="auto"/>
                <w:sz w:val="28"/>
                <w:szCs w:val="28"/>
                <w:highlight w:val="none"/>
              </w:rPr>
              <w:t>、</w:t>
            </w:r>
            <w:r>
              <w:rPr>
                <w:rFonts w:eastAsia="仿宋_GB2312"/>
                <w:color w:val="auto"/>
                <w:kern w:val="0"/>
                <w:sz w:val="28"/>
                <w:szCs w:val="28"/>
                <w:highlight w:val="none"/>
              </w:rPr>
              <w:t>未中标企业的投标保证金在</w:t>
            </w:r>
            <w:r>
              <w:rPr>
                <w:rFonts w:eastAsia="仿宋_GB2312"/>
                <w:color w:val="auto"/>
                <w:sz w:val="28"/>
                <w:szCs w:val="28"/>
                <w:highlight w:val="none"/>
              </w:rPr>
              <w:t>中标通知书发出后五个工作日内自动退还至投标人基本账户。</w:t>
            </w:r>
          </w:p>
          <w:p>
            <w:pPr>
              <w:spacing w:line="460" w:lineRule="exact"/>
              <w:rPr>
                <w:rFonts w:ascii="宋体" w:hAnsi="宋体" w:cs="宋体"/>
                <w:color w:val="auto"/>
                <w:sz w:val="24"/>
                <w:highlight w:val="none"/>
              </w:rPr>
            </w:pPr>
            <w:r>
              <w:rPr>
                <w:rFonts w:hint="eastAsia" w:eastAsia="仿宋_GB2312"/>
                <w:color w:val="auto"/>
                <w:sz w:val="28"/>
                <w:szCs w:val="28"/>
                <w:highlight w:val="none"/>
              </w:rPr>
              <w:t>4</w:t>
            </w:r>
            <w:r>
              <w:rPr>
                <w:rFonts w:eastAsia="仿宋_GB2312"/>
                <w:color w:val="auto"/>
                <w:sz w:val="28"/>
                <w:szCs w:val="28"/>
                <w:highlight w:val="none"/>
              </w:rPr>
              <w:t>、</w:t>
            </w:r>
            <w:r>
              <w:rPr>
                <w:rFonts w:eastAsia="仿宋_GB2312"/>
                <w:color w:val="auto"/>
                <w:kern w:val="0"/>
                <w:sz w:val="28"/>
                <w:szCs w:val="28"/>
                <w:highlight w:val="none"/>
              </w:rPr>
              <w:t>中标企业的投标保证金在签订合同后持保证金退还申请表（单位加盖行政公章）、合同原件办理投标保证金退还手续。办理后五个工作日内投标保证金自动退还至中标企业基本账户。</w:t>
            </w:r>
          </w:p>
        </w:tc>
      </w:tr>
    </w:tbl>
    <w:p>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投标保证金退还申请表</w:t>
      </w:r>
    </w:p>
    <w:tbl>
      <w:tblPr>
        <w:tblStyle w:val="12"/>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3731"/>
        <w:gridCol w:w="355"/>
        <w:gridCol w:w="357"/>
        <w:gridCol w:w="106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2059" w:type="dxa"/>
            <w:vAlign w:val="center"/>
          </w:tcPr>
          <w:p>
            <w:pPr>
              <w:spacing w:line="36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项目编号</w:t>
            </w:r>
          </w:p>
        </w:tc>
        <w:tc>
          <w:tcPr>
            <w:tcW w:w="4086" w:type="dxa"/>
            <w:gridSpan w:val="2"/>
            <w:vAlign w:val="center"/>
          </w:tcPr>
          <w:p>
            <w:pPr>
              <w:spacing w:line="360" w:lineRule="exact"/>
              <w:jc w:val="center"/>
              <w:rPr>
                <w:rFonts w:ascii="新宋体" w:hAnsi="新宋体" w:eastAsia="新宋体" w:cs="新宋体"/>
                <w:color w:val="auto"/>
                <w:sz w:val="24"/>
                <w:highlight w:val="none"/>
              </w:rPr>
            </w:pPr>
          </w:p>
        </w:tc>
        <w:tc>
          <w:tcPr>
            <w:tcW w:w="1421" w:type="dxa"/>
            <w:gridSpan w:val="2"/>
            <w:vAlign w:val="center"/>
          </w:tcPr>
          <w:p>
            <w:pPr>
              <w:spacing w:line="36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是否中标</w:t>
            </w:r>
          </w:p>
        </w:tc>
        <w:tc>
          <w:tcPr>
            <w:tcW w:w="2134" w:type="dxa"/>
            <w:vAlign w:val="center"/>
          </w:tcPr>
          <w:p>
            <w:pPr>
              <w:spacing w:line="360" w:lineRule="exact"/>
              <w:ind w:firstLine="240" w:firstLineChars="1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2059" w:type="dxa"/>
            <w:vAlign w:val="center"/>
          </w:tcPr>
          <w:p>
            <w:pPr>
              <w:spacing w:line="36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申请单位（签章）</w:t>
            </w:r>
          </w:p>
        </w:tc>
        <w:tc>
          <w:tcPr>
            <w:tcW w:w="7641" w:type="dxa"/>
            <w:gridSpan w:val="5"/>
            <w:vAlign w:val="center"/>
          </w:tcPr>
          <w:p>
            <w:pPr>
              <w:spacing w:line="360" w:lineRule="exact"/>
              <w:jc w:val="cente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2059" w:type="dxa"/>
            <w:vAlign w:val="center"/>
          </w:tcPr>
          <w:p>
            <w:pPr>
              <w:spacing w:line="3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开户银行</w:t>
            </w:r>
          </w:p>
        </w:tc>
        <w:tc>
          <w:tcPr>
            <w:tcW w:w="3731" w:type="dxa"/>
            <w:vAlign w:val="center"/>
          </w:tcPr>
          <w:p>
            <w:pPr>
              <w:rPr>
                <w:rFonts w:ascii="新宋体" w:hAnsi="新宋体" w:eastAsia="新宋体" w:cs="新宋体"/>
                <w:color w:val="auto"/>
                <w:sz w:val="24"/>
                <w:highlight w:val="none"/>
              </w:rPr>
            </w:pPr>
          </w:p>
        </w:tc>
        <w:tc>
          <w:tcPr>
            <w:tcW w:w="712" w:type="dxa"/>
            <w:gridSpan w:val="2"/>
            <w:vAlign w:val="center"/>
          </w:tcPr>
          <w:p>
            <w:pPr>
              <w:spacing w:line="3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账号</w:t>
            </w:r>
          </w:p>
        </w:tc>
        <w:tc>
          <w:tcPr>
            <w:tcW w:w="3198" w:type="dxa"/>
            <w:gridSpan w:val="2"/>
            <w:vAlign w:val="center"/>
          </w:tcPr>
          <w:p>
            <w:pPr>
              <w:rPr>
                <w:rFonts w:ascii="新宋体" w:hAnsi="新宋体" w:eastAsia="新宋体" w:cs="新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2059" w:type="dxa"/>
            <w:tcBorders>
              <w:bottom w:val="single" w:color="auto" w:sz="4" w:space="0"/>
            </w:tcBorders>
            <w:vAlign w:val="center"/>
          </w:tcPr>
          <w:p>
            <w:pPr>
              <w:spacing w:line="36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申请金额</w:t>
            </w:r>
          </w:p>
        </w:tc>
        <w:tc>
          <w:tcPr>
            <w:tcW w:w="7641" w:type="dxa"/>
            <w:gridSpan w:val="5"/>
            <w:vAlign w:val="center"/>
          </w:tcPr>
          <w:p>
            <w:pPr>
              <w:spacing w:line="360" w:lineRule="exact"/>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9700" w:type="dxa"/>
            <w:gridSpan w:val="6"/>
            <w:tcBorders>
              <w:top w:val="nil"/>
            </w:tcBorders>
            <w:vAlign w:val="center"/>
          </w:tcPr>
          <w:p>
            <w:pPr>
              <w:spacing w:line="360" w:lineRule="exact"/>
              <w:jc w:val="center"/>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9700" w:type="dxa"/>
            <w:gridSpan w:val="6"/>
          </w:tcPr>
          <w:p>
            <w:pPr>
              <w:jc w:val="right"/>
              <w:rPr>
                <w:rFonts w:ascii="新宋体" w:hAnsi="新宋体" w:eastAsia="新宋体" w:cs="新宋体"/>
                <w:color w:val="auto"/>
                <w:sz w:val="24"/>
                <w:highlight w:val="none"/>
              </w:rPr>
            </w:pPr>
          </w:p>
          <w:p>
            <w:pPr>
              <w:ind w:right="480" w:firstLine="5880" w:firstLineChars="2450"/>
              <w:rPr>
                <w:rFonts w:ascii="新宋体" w:hAnsi="新宋体" w:eastAsia="新宋体" w:cs="新宋体"/>
                <w:color w:val="auto"/>
                <w:sz w:val="24"/>
                <w:highlight w:val="none"/>
              </w:rPr>
            </w:pPr>
          </w:p>
          <w:p>
            <w:pPr>
              <w:ind w:right="480" w:firstLine="5880" w:firstLineChars="2450"/>
              <w:rPr>
                <w:rFonts w:ascii="新宋体" w:hAnsi="新宋体" w:eastAsia="新宋体" w:cs="新宋体"/>
                <w:color w:val="auto"/>
                <w:sz w:val="24"/>
                <w:highlight w:val="none"/>
              </w:rPr>
            </w:pPr>
          </w:p>
          <w:p>
            <w:pPr>
              <w:ind w:right="480" w:firstLine="5880" w:firstLineChars="245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tc>
      </w:tr>
    </w:tbl>
    <w:p>
      <w:pPr>
        <w:spacing w:afterLines="50" w:line="440" w:lineRule="exact"/>
        <w:rPr>
          <w:rFonts w:ascii="黑体" w:eastAsia="黑体"/>
          <w:b/>
          <w:color w:val="auto"/>
          <w:sz w:val="24"/>
          <w:highlight w:val="none"/>
        </w:rPr>
      </w:pPr>
      <w:r>
        <w:rPr>
          <w:rFonts w:cs="黑体"/>
          <w:color w:val="auto"/>
          <w:highlight w:val="none"/>
        </w:rPr>
        <w:br w:type="page"/>
      </w:r>
      <w:bookmarkEnd w:id="211"/>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2"/>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招标人或代理机构</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签收人签字：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发放人签字：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3、招标人或委托的代理机构和投标单位委托人双方对照目录核查后，由双方签字确认。</w:t>
      </w:r>
    </w:p>
    <w:p>
      <w:pPr>
        <w:pStyle w:val="2"/>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2" w:name="_Toc485889053"/>
      <w:bookmarkStart w:id="213" w:name="_Toc486277914"/>
      <w:bookmarkStart w:id="214" w:name="_Toc2916"/>
      <w:r>
        <w:rPr>
          <w:rFonts w:hint="eastAsia" w:ascii="新宋体" w:hAnsi="新宋体" w:eastAsia="新宋体"/>
          <w:b w:val="0"/>
          <w:bCs w:val="0"/>
          <w:color w:val="auto"/>
          <w:kern w:val="2"/>
          <w:sz w:val="21"/>
          <w:szCs w:val="21"/>
          <w:highlight w:val="none"/>
        </w:rPr>
        <w:t>4、评标委员会依法成立后，不再接受投标人任何材料。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2"/>
      <w:bookmarkEnd w:id="213"/>
      <w:bookmarkEnd w:id="214"/>
    </w:p>
    <w:p>
      <w:pPr>
        <w:rPr>
          <w:rFonts w:ascii="宋体" w:hAnsi="宋体"/>
          <w:color w:val="auto"/>
          <w:sz w:val="24"/>
          <w:highlight w:val="none"/>
        </w:rPr>
      </w:pPr>
    </w:p>
    <w:p>
      <w:pPr>
        <w:pStyle w:val="2"/>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5" w:name="_Toc485889054"/>
      <w:bookmarkStart w:id="216" w:name="_Toc15502"/>
      <w:bookmarkStart w:id="217" w:name="_Toc234382645"/>
      <w:bookmarkStart w:id="218" w:name="_Toc486277915"/>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5"/>
      <w:bookmarkEnd w:id="216"/>
      <w:bookmarkEnd w:id="217"/>
      <w:bookmarkEnd w:id="218"/>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2"/>
        <w:tblW w:w="9037" w:type="dxa"/>
        <w:jc w:val="center"/>
        <w:tblInd w:w="0" w:type="dxa"/>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9"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0"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20"/>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1" w:name="_Toc234382648"/>
      <w:r>
        <w:rPr>
          <w:rFonts w:ascii="黑体" w:hAnsi="宋体" w:eastAsia="黑体"/>
          <w:b/>
          <w:color w:val="auto"/>
          <w:sz w:val="24"/>
          <w:highlight w:val="none"/>
        </w:rPr>
        <w:t>附表</w:t>
      </w:r>
      <w:r>
        <w:rPr>
          <w:rFonts w:hint="eastAsia" w:ascii="黑体" w:hAnsi="宋体" w:eastAsia="黑体"/>
          <w:b/>
          <w:color w:val="auto"/>
          <w:sz w:val="24"/>
          <w:highlight w:val="none"/>
        </w:rPr>
        <w:t>六</w:t>
      </w:r>
      <w:r>
        <w:rPr>
          <w:rFonts w:ascii="黑体" w:hAnsi="宋体" w:eastAsia="黑体"/>
          <w:b/>
          <w:color w:val="auto"/>
          <w:sz w:val="24"/>
          <w:highlight w:val="none"/>
        </w:rPr>
        <w:t>：中标通知书</w:t>
      </w:r>
      <w:bookmarkEnd w:id="221"/>
    </w:p>
    <w:p>
      <w:pPr>
        <w:jc w:val="center"/>
        <w:rPr>
          <w:b/>
          <w:color w:val="auto"/>
          <w:sz w:val="44"/>
          <w:szCs w:val="44"/>
          <w:highlight w:val="none"/>
        </w:rPr>
      </w:pPr>
      <w:r>
        <w:rPr>
          <w:rFonts w:hint="eastAsia"/>
          <w:b/>
          <w:color w:val="auto"/>
          <w:sz w:val="44"/>
          <w:szCs w:val="44"/>
          <w:highlight w:val="none"/>
        </w:rPr>
        <w:t>中 标 通 知 书</w:t>
      </w:r>
    </w:p>
    <w:p>
      <w:pPr>
        <w:ind w:right="-208" w:rightChars="-99"/>
        <w:jc w:val="center"/>
        <w:rPr>
          <w:color w:val="auto"/>
          <w:highlight w:val="none"/>
          <w:u w:val="single"/>
        </w:rPr>
      </w:pPr>
      <w:r>
        <w:rPr>
          <w:rFonts w:hint="eastAsia"/>
          <w:color w:val="auto"/>
          <w:highlight w:val="none"/>
        </w:rPr>
        <w:t xml:space="preserve">                                                      编号：</w:t>
      </w:r>
      <w:r>
        <w:rPr>
          <w:rFonts w:hint="eastAsia"/>
          <w:color w:val="auto"/>
          <w:highlight w:val="none"/>
          <w:u w:val="single"/>
        </w:rPr>
        <w:t xml:space="preserve">            </w:t>
      </w:r>
      <w:r>
        <w:rPr>
          <w:rFonts w:hint="eastAsia" w:ascii="宋体" w:hAnsi="宋体"/>
          <w:color w:val="auto"/>
          <w:spacing w:val="1"/>
          <w:kern w:val="0"/>
          <w:szCs w:val="21"/>
          <w:highlight w:val="none"/>
          <w:u w:val="single"/>
        </w:rPr>
        <w:t>合同段</w:t>
      </w:r>
      <w:r>
        <w:rPr>
          <w:rFonts w:hint="eastAsia"/>
          <w:color w:val="auto"/>
          <w:highlight w:val="none"/>
          <w:u w:val="single"/>
        </w:rPr>
        <w:t xml:space="preserve"> </w:t>
      </w:r>
    </w:p>
    <w:p>
      <w:pPr>
        <w:ind w:right="-208" w:rightChars="-99"/>
        <w:rPr>
          <w:color w:val="auto"/>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rPr>
        <w:t>（中标人名称）：</w:t>
      </w:r>
    </w:p>
    <w:p>
      <w:pPr>
        <w:spacing w:line="460" w:lineRule="exact"/>
        <w:ind w:left="-178" w:leftChars="-85" w:right="-208" w:rightChars="-99" w:firstLine="420" w:firstLineChars="200"/>
        <w:rPr>
          <w:color w:val="auto"/>
          <w:szCs w:val="21"/>
          <w:highlight w:val="none"/>
        </w:rPr>
      </w:pPr>
      <w:r>
        <w:rPr>
          <w:rFonts w:hint="eastAsia"/>
          <w:color w:val="auto"/>
          <w:szCs w:val="21"/>
          <w:highlight w:val="none"/>
        </w:rPr>
        <w:t>根据</w:t>
      </w:r>
      <w:r>
        <w:rPr>
          <w:rFonts w:hint="eastAsia"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rPr>
        <w:t>标段</w:t>
      </w:r>
      <w:r>
        <w:rPr>
          <w:rFonts w:hint="eastAsia"/>
          <w:color w:val="auto"/>
          <w:szCs w:val="21"/>
          <w:highlight w:val="none"/>
        </w:rPr>
        <w:t>招标文件和贵公司</w:t>
      </w:r>
      <w:r>
        <w:rPr>
          <w:rFonts w:ascii="宋体" w:hAnsi="宋体"/>
          <w:color w:val="auto"/>
          <w:szCs w:val="21"/>
          <w:highlight w:val="none"/>
        </w:rPr>
        <w:t>于</w:t>
      </w:r>
      <w:r>
        <w:rPr>
          <w:rFonts w:hint="eastAsia" w:ascii="宋体" w:hAnsi="宋体"/>
          <w:color w:val="auto"/>
          <w:szCs w:val="21"/>
          <w:highlight w:val="none"/>
          <w:u w:val="single"/>
        </w:rPr>
        <w:t xml:space="preserve">        </w:t>
      </w:r>
      <w:r>
        <w:rPr>
          <w:rFonts w:ascii="宋体" w:hAnsi="宋体"/>
          <w:color w:val="auto"/>
          <w:szCs w:val="21"/>
          <w:highlight w:val="none"/>
        </w:rPr>
        <w:t>（投标日期）所递交的投标文件</w:t>
      </w:r>
      <w:r>
        <w:rPr>
          <w:rFonts w:hint="eastAsia" w:ascii="宋体" w:hAnsi="宋体"/>
          <w:color w:val="auto"/>
          <w:szCs w:val="21"/>
          <w:highlight w:val="none"/>
        </w:rPr>
        <w:t>，</w:t>
      </w:r>
      <w:r>
        <w:rPr>
          <w:rFonts w:hint="eastAsia"/>
          <w:color w:val="auto"/>
          <w:szCs w:val="21"/>
          <w:highlight w:val="none"/>
        </w:rPr>
        <w:t>经评标委员会评审推荐，现确定贵公司为上述招标项目的中标人，主要内容如下：</w:t>
      </w:r>
    </w:p>
    <w:tbl>
      <w:tblPr>
        <w:tblStyle w:val="12"/>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985"/>
        <w:gridCol w:w="22"/>
        <w:gridCol w:w="112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40" w:lineRule="exact"/>
              <w:jc w:val="center"/>
              <w:rPr>
                <w:color w:val="auto"/>
                <w:szCs w:val="21"/>
                <w:highlight w:val="none"/>
              </w:rPr>
            </w:pPr>
            <w:r>
              <w:rPr>
                <w:rFonts w:hint="eastAsia"/>
                <w:color w:val="auto"/>
                <w:szCs w:val="21"/>
                <w:highlight w:val="none"/>
              </w:rPr>
              <w:t>项目名称</w:t>
            </w:r>
          </w:p>
        </w:tc>
        <w:tc>
          <w:tcPr>
            <w:tcW w:w="3007" w:type="dxa"/>
            <w:gridSpan w:val="2"/>
            <w:vAlign w:val="center"/>
          </w:tcPr>
          <w:p>
            <w:pPr>
              <w:spacing w:line="440" w:lineRule="exact"/>
              <w:jc w:val="center"/>
              <w:rPr>
                <w:color w:val="auto"/>
                <w:szCs w:val="21"/>
                <w:highlight w:val="none"/>
              </w:rPr>
            </w:pPr>
          </w:p>
        </w:tc>
        <w:tc>
          <w:tcPr>
            <w:tcW w:w="1127" w:type="dxa"/>
            <w:vAlign w:val="center"/>
          </w:tcPr>
          <w:p>
            <w:pPr>
              <w:spacing w:line="440" w:lineRule="exact"/>
              <w:jc w:val="center"/>
              <w:rPr>
                <w:color w:val="auto"/>
                <w:szCs w:val="21"/>
                <w:highlight w:val="none"/>
              </w:rPr>
            </w:pPr>
            <w:r>
              <w:rPr>
                <w:rFonts w:hint="eastAsia"/>
                <w:color w:val="auto"/>
                <w:szCs w:val="21"/>
                <w:highlight w:val="none"/>
              </w:rPr>
              <w:t>项目规模</w:t>
            </w:r>
          </w:p>
        </w:tc>
        <w:tc>
          <w:tcPr>
            <w:tcW w:w="2995"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招标方式</w:t>
            </w:r>
          </w:p>
        </w:tc>
        <w:tc>
          <w:tcPr>
            <w:tcW w:w="3007" w:type="dxa"/>
            <w:gridSpan w:val="2"/>
            <w:vAlign w:val="center"/>
          </w:tcPr>
          <w:p>
            <w:pPr>
              <w:spacing w:line="480" w:lineRule="auto"/>
              <w:jc w:val="center"/>
              <w:rPr>
                <w:color w:val="auto"/>
                <w:szCs w:val="21"/>
                <w:highlight w:val="none"/>
              </w:rPr>
            </w:pPr>
          </w:p>
        </w:tc>
        <w:tc>
          <w:tcPr>
            <w:tcW w:w="1127" w:type="dxa"/>
            <w:vAlign w:val="center"/>
          </w:tcPr>
          <w:p>
            <w:pPr>
              <w:spacing w:line="480" w:lineRule="auto"/>
              <w:jc w:val="center"/>
              <w:rPr>
                <w:color w:val="auto"/>
                <w:szCs w:val="21"/>
                <w:highlight w:val="none"/>
              </w:rPr>
            </w:pPr>
            <w:r>
              <w:rPr>
                <w:rFonts w:hint="eastAsia"/>
                <w:color w:val="auto"/>
                <w:szCs w:val="21"/>
                <w:highlight w:val="none"/>
              </w:rPr>
              <w:t>工程地点</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中标范围</w:t>
            </w:r>
          </w:p>
        </w:tc>
        <w:tc>
          <w:tcPr>
            <w:tcW w:w="7129" w:type="dxa"/>
            <w:gridSpan w:val="4"/>
            <w:vAlign w:val="center"/>
          </w:tcPr>
          <w:p>
            <w:pPr>
              <w:ind w:firstLine="424" w:firstLineChars="200"/>
              <w:jc w:val="center"/>
              <w:rPr>
                <w:rFonts w:ascii="宋体" w:hAnsi="宋体"/>
                <w:color w:val="auto"/>
                <w:spacing w:val="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中标造价</w:t>
            </w:r>
          </w:p>
        </w:tc>
        <w:tc>
          <w:tcPr>
            <w:tcW w:w="7129" w:type="dxa"/>
            <w:gridSpan w:val="4"/>
            <w:vAlign w:val="center"/>
          </w:tcPr>
          <w:p>
            <w:pPr>
              <w:spacing w:line="4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中标工期</w:t>
            </w:r>
          </w:p>
        </w:tc>
        <w:tc>
          <w:tcPr>
            <w:tcW w:w="2985" w:type="dxa"/>
            <w:vAlign w:val="center"/>
          </w:tcPr>
          <w:p>
            <w:pPr>
              <w:spacing w:line="480" w:lineRule="auto"/>
              <w:jc w:val="center"/>
              <w:rPr>
                <w:color w:val="auto"/>
                <w:szCs w:val="21"/>
                <w:highlight w:val="none"/>
              </w:rPr>
            </w:pPr>
          </w:p>
        </w:tc>
        <w:tc>
          <w:tcPr>
            <w:tcW w:w="1149" w:type="dxa"/>
            <w:gridSpan w:val="2"/>
            <w:vAlign w:val="center"/>
          </w:tcPr>
          <w:p>
            <w:pPr>
              <w:spacing w:line="480" w:lineRule="auto"/>
              <w:jc w:val="center"/>
              <w:rPr>
                <w:color w:val="auto"/>
                <w:szCs w:val="21"/>
                <w:highlight w:val="none"/>
              </w:rPr>
            </w:pPr>
            <w:r>
              <w:rPr>
                <w:rFonts w:hint="eastAsia"/>
                <w:color w:val="auto"/>
                <w:szCs w:val="21"/>
                <w:highlight w:val="none"/>
              </w:rPr>
              <w:t>工程质量</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917" w:type="dxa"/>
            <w:vAlign w:val="center"/>
          </w:tcPr>
          <w:p>
            <w:pPr>
              <w:spacing w:line="420" w:lineRule="exact"/>
              <w:jc w:val="center"/>
              <w:rPr>
                <w:color w:val="auto"/>
                <w:spacing w:val="-12"/>
                <w:szCs w:val="21"/>
                <w:highlight w:val="none"/>
              </w:rPr>
            </w:pPr>
            <w:r>
              <w:rPr>
                <w:rFonts w:hint="eastAsia"/>
                <w:color w:val="auto"/>
                <w:spacing w:val="-12"/>
                <w:szCs w:val="21"/>
                <w:highlight w:val="none"/>
              </w:rPr>
              <w:t>建造师或总监理工程师证书编号</w:t>
            </w:r>
          </w:p>
        </w:tc>
        <w:tc>
          <w:tcPr>
            <w:tcW w:w="2985" w:type="dxa"/>
            <w:vAlign w:val="center"/>
          </w:tcPr>
          <w:p>
            <w:pPr>
              <w:spacing w:line="420" w:lineRule="exact"/>
              <w:jc w:val="center"/>
              <w:rPr>
                <w:color w:val="auto"/>
                <w:szCs w:val="21"/>
                <w:highlight w:val="none"/>
              </w:rPr>
            </w:pPr>
          </w:p>
        </w:tc>
        <w:tc>
          <w:tcPr>
            <w:tcW w:w="1149" w:type="dxa"/>
            <w:gridSpan w:val="2"/>
            <w:vAlign w:val="center"/>
          </w:tcPr>
          <w:p>
            <w:pPr>
              <w:spacing w:line="440" w:lineRule="exact"/>
              <w:jc w:val="center"/>
              <w:rPr>
                <w:color w:val="auto"/>
                <w:szCs w:val="21"/>
                <w:highlight w:val="none"/>
              </w:rPr>
            </w:pPr>
            <w:r>
              <w:rPr>
                <w:rFonts w:hint="eastAsia"/>
                <w:color w:val="auto"/>
                <w:szCs w:val="21"/>
                <w:highlight w:val="none"/>
              </w:rPr>
              <w:t>项目技术负责人</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4902" w:type="dxa"/>
            <w:gridSpan w:val="2"/>
            <w:vAlign w:val="center"/>
          </w:tcPr>
          <w:p>
            <w:pPr>
              <w:spacing w:line="480" w:lineRule="auto"/>
              <w:rPr>
                <w:color w:val="auto"/>
                <w:szCs w:val="21"/>
                <w:highlight w:val="none"/>
              </w:rPr>
            </w:pPr>
            <w:r>
              <w:rPr>
                <w:rFonts w:hint="eastAsia"/>
                <w:color w:val="auto"/>
                <w:szCs w:val="21"/>
                <w:highlight w:val="none"/>
              </w:rPr>
              <w:t>建设单位（招标人签字盖章）</w:t>
            </w:r>
          </w:p>
          <w:p>
            <w:pPr>
              <w:spacing w:line="480" w:lineRule="auto"/>
              <w:jc w:val="center"/>
              <w:rPr>
                <w:color w:val="auto"/>
                <w:szCs w:val="21"/>
                <w:highlight w:val="none"/>
              </w:rPr>
            </w:pPr>
          </w:p>
          <w:p>
            <w:pPr>
              <w:spacing w:line="480" w:lineRule="auto"/>
              <w:jc w:val="center"/>
              <w:rPr>
                <w:color w:val="auto"/>
                <w:szCs w:val="21"/>
                <w:highlight w:val="none"/>
              </w:rPr>
            </w:pPr>
            <w:r>
              <w:rPr>
                <w:rFonts w:hint="eastAsia"/>
                <w:color w:val="auto"/>
                <w:szCs w:val="21"/>
                <w:highlight w:val="none"/>
              </w:rPr>
              <w:t>年    月    日</w:t>
            </w:r>
          </w:p>
        </w:tc>
        <w:tc>
          <w:tcPr>
            <w:tcW w:w="4144" w:type="dxa"/>
            <w:gridSpan w:val="3"/>
            <w:vAlign w:val="center"/>
          </w:tcPr>
          <w:p>
            <w:pPr>
              <w:spacing w:line="480" w:lineRule="auto"/>
              <w:rPr>
                <w:color w:val="auto"/>
                <w:szCs w:val="21"/>
                <w:highlight w:val="none"/>
              </w:rPr>
            </w:pPr>
            <w:r>
              <w:rPr>
                <w:rFonts w:hint="eastAsia"/>
                <w:color w:val="auto"/>
                <w:szCs w:val="21"/>
                <w:highlight w:val="none"/>
              </w:rPr>
              <w:t>招标投标交易中心（签字盖章）</w:t>
            </w:r>
          </w:p>
          <w:p>
            <w:pPr>
              <w:spacing w:line="480" w:lineRule="auto"/>
              <w:jc w:val="center"/>
              <w:rPr>
                <w:color w:val="auto"/>
                <w:szCs w:val="21"/>
                <w:highlight w:val="none"/>
              </w:rPr>
            </w:pPr>
          </w:p>
          <w:p>
            <w:pPr>
              <w:spacing w:line="480" w:lineRule="auto"/>
              <w:ind w:firstLine="1470" w:firstLineChars="700"/>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9046" w:type="dxa"/>
            <w:gridSpan w:val="5"/>
            <w:vAlign w:val="center"/>
          </w:tcPr>
          <w:p>
            <w:pPr>
              <w:spacing w:line="480" w:lineRule="auto"/>
              <w:rPr>
                <w:color w:val="auto"/>
                <w:szCs w:val="21"/>
                <w:highlight w:val="none"/>
              </w:rPr>
            </w:pPr>
            <w:r>
              <w:rPr>
                <w:rFonts w:hint="eastAsia"/>
                <w:color w:val="auto"/>
                <w:szCs w:val="21"/>
                <w:highlight w:val="none"/>
              </w:rPr>
              <w:t>监督机构备案意见：</w:t>
            </w:r>
          </w:p>
          <w:p>
            <w:pPr>
              <w:spacing w:line="380" w:lineRule="exact"/>
              <w:jc w:val="center"/>
              <w:rPr>
                <w:color w:val="auto"/>
                <w:szCs w:val="21"/>
                <w:highlight w:val="none"/>
              </w:rPr>
            </w:pPr>
          </w:p>
          <w:p>
            <w:pPr>
              <w:spacing w:line="380" w:lineRule="exact"/>
              <w:rPr>
                <w:color w:val="auto"/>
                <w:szCs w:val="21"/>
                <w:highlight w:val="none"/>
              </w:rPr>
            </w:pPr>
          </w:p>
          <w:p>
            <w:pPr>
              <w:spacing w:line="480" w:lineRule="auto"/>
              <w:ind w:firstLine="5460" w:firstLineChars="2600"/>
              <w:jc w:val="center"/>
              <w:rPr>
                <w:color w:val="auto"/>
                <w:szCs w:val="21"/>
                <w:highlight w:val="none"/>
              </w:rPr>
            </w:pPr>
            <w:r>
              <w:rPr>
                <w:rFonts w:hint="eastAsia"/>
                <w:color w:val="auto"/>
                <w:szCs w:val="21"/>
                <w:highlight w:val="none"/>
              </w:rPr>
              <w:t xml:space="preserve">  年    月    日</w:t>
            </w:r>
          </w:p>
        </w:tc>
      </w:tr>
    </w:tbl>
    <w:p>
      <w:pPr>
        <w:spacing w:line="480" w:lineRule="auto"/>
        <w:ind w:firstLine="210" w:firstLineChars="100"/>
        <w:rPr>
          <w:rFonts w:ascii="宋体" w:hAnsi="宋体"/>
          <w:color w:val="auto"/>
          <w:szCs w:val="21"/>
          <w:highlight w:val="none"/>
        </w:rPr>
      </w:pPr>
      <w:r>
        <w:rPr>
          <w:rFonts w:hint="eastAsia" w:ascii="宋体" w:hAnsi="宋体"/>
          <w:color w:val="auto"/>
          <w:szCs w:val="21"/>
          <w:highlight w:val="none"/>
        </w:rPr>
        <w:t>本通知书一式六份</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2" w:name="_Toc234382649"/>
      <w:r>
        <w:rPr>
          <w:rFonts w:ascii="黑体" w:hAnsi="宋体" w:eastAsia="黑体"/>
          <w:b/>
          <w:color w:val="auto"/>
          <w:sz w:val="24"/>
          <w:highlight w:val="none"/>
        </w:rPr>
        <w:t>附表</w:t>
      </w:r>
      <w:r>
        <w:rPr>
          <w:rFonts w:hint="eastAsia" w:ascii="黑体" w:hAnsi="宋体" w:eastAsia="黑体"/>
          <w:b/>
          <w:color w:val="auto"/>
          <w:sz w:val="24"/>
          <w:highlight w:val="none"/>
        </w:rPr>
        <w:t>七</w:t>
      </w:r>
      <w:r>
        <w:rPr>
          <w:rFonts w:ascii="黑体" w:hAnsi="宋体" w:eastAsia="黑体"/>
          <w:b/>
          <w:color w:val="auto"/>
          <w:sz w:val="24"/>
          <w:highlight w:val="none"/>
        </w:rPr>
        <w:t>：中标结果通知书</w:t>
      </w:r>
      <w:bookmarkEnd w:id="222"/>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中标结果通知书</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（未中标人名称）：</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我方已接受</w:t>
      </w:r>
      <w:r>
        <w:rPr>
          <w:rFonts w:hint="eastAsia" w:ascii="宋体" w:hAnsi="宋体"/>
          <w:color w:val="auto"/>
          <w:sz w:val="24"/>
          <w:highlight w:val="none"/>
          <w:u w:val="single"/>
        </w:rPr>
        <w:t xml:space="preserve">              </w:t>
      </w:r>
      <w:r>
        <w:rPr>
          <w:rFonts w:ascii="宋体" w:hAnsi="宋体"/>
          <w:color w:val="auto"/>
          <w:sz w:val="24"/>
          <w:highlight w:val="none"/>
        </w:rPr>
        <w:t>（中标人名称）于</w:t>
      </w:r>
      <w:r>
        <w:rPr>
          <w:rFonts w:hint="eastAsia" w:ascii="宋体" w:hAnsi="宋体"/>
          <w:color w:val="auto"/>
          <w:sz w:val="24"/>
          <w:highlight w:val="none"/>
          <w:u w:val="single"/>
        </w:rPr>
        <w:t xml:space="preserve">            </w:t>
      </w:r>
      <w:r>
        <w:rPr>
          <w:rFonts w:ascii="宋体" w:hAnsi="宋体"/>
          <w:color w:val="auto"/>
          <w:sz w:val="24"/>
          <w:highlight w:val="none"/>
        </w:rPr>
        <w:t>（投标日期）所递交的</w:t>
      </w: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标段施工投标文件，确定</w:t>
      </w:r>
      <w:r>
        <w:rPr>
          <w:rFonts w:hint="eastAsia" w:ascii="宋体" w:hAnsi="宋体"/>
          <w:color w:val="auto"/>
          <w:sz w:val="24"/>
          <w:highlight w:val="none"/>
          <w:u w:val="single"/>
        </w:rPr>
        <w:t xml:space="preserve">        </w:t>
      </w:r>
      <w:r>
        <w:rPr>
          <w:rFonts w:ascii="宋体" w:hAnsi="宋体"/>
          <w:color w:val="auto"/>
          <w:sz w:val="24"/>
          <w:highlight w:val="none"/>
        </w:rPr>
        <w:t>（中标人名称）为中标人。</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感谢你单位对我们工作的大力支持！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招标人：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招标代理</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3" w:name="_Toc234382650"/>
      <w:r>
        <w:rPr>
          <w:rFonts w:ascii="黑体" w:hAnsi="宋体" w:eastAsia="黑体"/>
          <w:b/>
          <w:color w:val="auto"/>
          <w:sz w:val="24"/>
          <w:highlight w:val="none"/>
        </w:rPr>
        <w:t>附表</w:t>
      </w:r>
      <w:r>
        <w:rPr>
          <w:rFonts w:hint="eastAsia" w:ascii="黑体" w:hAnsi="宋体" w:eastAsia="黑体"/>
          <w:b/>
          <w:color w:val="auto"/>
          <w:sz w:val="24"/>
          <w:highlight w:val="none"/>
        </w:rPr>
        <w:t>八</w:t>
      </w:r>
      <w:r>
        <w:rPr>
          <w:rFonts w:ascii="黑体" w:hAnsi="宋体" w:eastAsia="黑体"/>
          <w:b/>
          <w:color w:val="auto"/>
          <w:sz w:val="24"/>
          <w:highlight w:val="none"/>
        </w:rPr>
        <w:t>：确认通知</w:t>
      </w:r>
      <w:bookmarkEnd w:id="223"/>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确认通知</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（招标人名称）：</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我方已接到你方</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日发出的</w:t>
      </w: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标段施工招标关于</w:t>
      </w:r>
      <w:r>
        <w:rPr>
          <w:rFonts w:hint="eastAsia" w:ascii="宋体" w:hAnsi="宋体"/>
          <w:color w:val="auto"/>
          <w:sz w:val="24"/>
          <w:highlight w:val="none"/>
          <w:u w:val="single"/>
        </w:rPr>
        <w:t xml:space="preserve">              </w:t>
      </w:r>
      <w:r>
        <w:rPr>
          <w:rFonts w:ascii="宋体" w:hAnsi="宋体"/>
          <w:color w:val="auto"/>
          <w:sz w:val="24"/>
          <w:highlight w:val="none"/>
        </w:rPr>
        <w:t>的通知，我方已于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日收到。</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特此确认。</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2"/>
        <w:spacing w:beforeLines="50" w:after="0"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r>
        <w:rPr>
          <w:rFonts w:ascii="宋体" w:hAnsi="宋体"/>
          <w:color w:val="auto"/>
          <w:sz w:val="24"/>
          <w:highlight w:val="none"/>
        </w:rPr>
        <w:br w:type="page"/>
      </w:r>
    </w:p>
    <w:p>
      <w:pPr>
        <w:numPr>
          <w:ilvl w:val="0"/>
          <w:numId w:val="3"/>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4" w:name="_Toc28210"/>
      <w:r>
        <w:rPr>
          <w:rFonts w:ascii="黑体" w:eastAsia="黑体"/>
          <w:bCs/>
          <w:color w:val="auto"/>
          <w:sz w:val="44"/>
          <w:szCs w:val="44"/>
          <w:highlight w:val="none"/>
        </w:rPr>
        <w:t>评标办法</w:t>
      </w:r>
      <w:bookmarkEnd w:id="224"/>
    </w:p>
    <w:p>
      <w:pPr>
        <w:jc w:val="center"/>
        <w:outlineLvl w:val="0"/>
        <w:rPr>
          <w:rFonts w:ascii="宋体" w:hAnsi="宋体"/>
          <w:color w:val="auto"/>
          <w:sz w:val="40"/>
          <w:szCs w:val="40"/>
          <w:highlight w:val="none"/>
        </w:rPr>
      </w:pPr>
      <w:bookmarkStart w:id="225" w:name="_Toc28682"/>
      <w:r>
        <w:rPr>
          <w:rFonts w:hint="eastAsia" w:ascii="宋体" w:hAnsi="宋体"/>
          <w:color w:val="auto"/>
          <w:sz w:val="40"/>
          <w:szCs w:val="40"/>
          <w:highlight w:val="none"/>
        </w:rPr>
        <w:t>评标办法(技术评分最低标价法)</w:t>
      </w:r>
      <w:bookmarkEnd w:id="225"/>
    </w:p>
    <w:p>
      <w:pPr>
        <w:ind w:firstLine="480" w:firstLineChars="200"/>
        <w:rPr>
          <w:rFonts w:hint="eastAsia" w:ascii="宋体" w:hAnsi="宋体" w:eastAsia="宋体" w:cs="宋体"/>
          <w:sz w:val="24"/>
          <w:lang w:bidi="ar"/>
        </w:rPr>
      </w:pPr>
    </w:p>
    <w:p>
      <w:pPr>
        <w:ind w:firstLine="560" w:firstLineChars="200"/>
        <w:rPr>
          <w:rFonts w:ascii="宋体" w:hAnsi="宋体"/>
          <w:color w:val="auto"/>
          <w:sz w:val="30"/>
          <w:szCs w:val="30"/>
          <w:highlight w:val="none"/>
        </w:rPr>
      </w:pPr>
      <w:r>
        <w:rPr>
          <w:rFonts w:hint="eastAsia" w:ascii="宋体" w:hAnsi="宋体" w:eastAsia="宋体" w:cs="宋体"/>
          <w:sz w:val="28"/>
          <w:szCs w:val="28"/>
          <w:lang w:bidi="ar"/>
        </w:rPr>
        <w:t>评标依据公路工程建设项目招标投标管理办法（中华人民共和国交通运输部令2015年第24号）。评标应遵循公正、公平、择优的原则严格按照招标文件进行。</w:t>
      </w:r>
    </w:p>
    <w:p>
      <w:pPr>
        <w:jc w:val="center"/>
        <w:rPr>
          <w:rFonts w:ascii="宋体" w:hAnsi="宋体"/>
          <w:color w:val="auto"/>
          <w:sz w:val="28"/>
          <w:szCs w:val="28"/>
          <w:highlight w:val="none"/>
        </w:rPr>
      </w:pPr>
      <w:r>
        <w:rPr>
          <w:rFonts w:hint="eastAsia" w:ascii="宋体" w:hAnsi="宋体"/>
          <w:color w:val="auto"/>
          <w:sz w:val="28"/>
          <w:szCs w:val="28"/>
          <w:highlight w:val="none"/>
        </w:rPr>
        <w:t>评标办法前附表</w:t>
      </w:r>
    </w:p>
    <w:tbl>
      <w:tblPr>
        <w:tblStyle w:val="12"/>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8" w:hRule="atLeast"/>
          <w:jc w:val="center"/>
        </w:trPr>
        <w:tc>
          <w:tcPr>
            <w:tcW w:w="1219" w:type="dxa"/>
            <w:tcBorders>
              <w:top w:val="single" w:color="auto" w:sz="4" w:space="0"/>
              <w:bottom w:val="single" w:color="auto" w:sz="4" w:space="0"/>
            </w:tcBorders>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1、投标人应按以下要点编制施工组织设计（文字宜精炼、内容具有针对性，总体控制在30000字以内）；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（1）总体施工组织布置及规划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（2）主要工程项目的施工方案、方法与技术措施（尤其对重点、关键和难点工程的施工方案、方法及其措施）                  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（3）工期的保证体系及保证措施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（4）工程质量管理体系及保证措施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（5）安全生产管理体系及保证措施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（6）环境保护、水土保持保证体系及保证措施</w:t>
            </w:r>
            <w:r>
              <w:rPr>
                <w:rFonts w:hint="eastAsia" w:ascii="宋体" w:hAnsi="宋体"/>
                <w:b/>
                <w:bCs/>
                <w:color w:val="auto"/>
                <w:szCs w:val="21"/>
                <w:highlight w:val="none"/>
              </w:rPr>
              <w:t xml:space="preserve">（含扬尘治理措施）                                                                  </w:t>
            </w:r>
          </w:p>
          <w:p>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（7）文明施工、文物保护保证体系及保证措施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（8）项目风险预测与防范，事故应急预案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施工组织设计除采用文字表述外可附下列图表，图表及格式要求附后。</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附表一  施工总体计划表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附表二  分项工程进度率计划（斜率图）       0-</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分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附表三  工程管理曲线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附表四  分项工程生产率和施工周期表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附表五  施工总平面图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附表六  劳动力计划表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附表七  临时用地计划表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val="en-US" w:eastAsia="zh-CN"/>
              </w:rPr>
              <w:t xml:space="preserve">                                                                                                                                                          </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附表八  外供电力需求计划表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附表九  合同用款估算表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项目管理机构（0-</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380" w:type="dxa"/>
            <w:tcBorders>
              <w:top w:val="single" w:color="auto" w:sz="4" w:space="0"/>
              <w:left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val="en-US" w:eastAsia="zh-CN"/>
              </w:rPr>
              <w:t>主要进场管理人员和技术人员</w:t>
            </w:r>
            <w:r>
              <w:rPr>
                <w:rFonts w:hint="eastAsia" w:ascii="宋体" w:hAnsi="宋体"/>
                <w:color w:val="auto"/>
                <w:szCs w:val="21"/>
                <w:highlight w:val="none"/>
              </w:rPr>
              <w:t>配备齐全</w:t>
            </w:r>
            <w:r>
              <w:rPr>
                <w:rFonts w:hint="eastAsia" w:ascii="宋体" w:hAnsi="宋体"/>
                <w:color w:val="auto"/>
                <w:szCs w:val="21"/>
                <w:highlight w:val="none"/>
                <w:lang w:val="en-US" w:eastAsia="zh-CN"/>
              </w:rPr>
              <w:t>者</w:t>
            </w:r>
            <w:r>
              <w:rPr>
                <w:rFonts w:hint="eastAsia" w:ascii="宋体" w:hAnsi="宋体"/>
                <w:color w:val="auto"/>
                <w:szCs w:val="21"/>
                <w:highlight w:val="none"/>
              </w:rPr>
              <w:t>得</w:t>
            </w:r>
            <w:r>
              <w:rPr>
                <w:rFonts w:hint="eastAsia" w:ascii="宋体" w:hAnsi="宋体"/>
                <w:color w:val="auto"/>
                <w:szCs w:val="21"/>
                <w:highlight w:val="none"/>
                <w:lang w:val="en-US" w:eastAsia="zh-CN"/>
              </w:rPr>
              <w:t>10</w:t>
            </w:r>
            <w:r>
              <w:rPr>
                <w:rFonts w:hint="eastAsia" w:ascii="宋体" w:hAnsi="宋体"/>
                <w:color w:val="auto"/>
                <w:szCs w:val="21"/>
                <w:highlight w:val="none"/>
              </w:rPr>
              <w:t>分,每缺一个扣</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项目总工具有中级技术职称者得</w:t>
            </w:r>
            <w:r>
              <w:rPr>
                <w:rFonts w:hint="eastAsia" w:ascii="宋体" w:hAnsi="宋体"/>
                <w:color w:val="auto"/>
                <w:szCs w:val="21"/>
                <w:highlight w:val="none"/>
                <w:lang w:val="en-US" w:eastAsia="zh-CN"/>
              </w:rPr>
              <w:t>8</w:t>
            </w:r>
            <w:r>
              <w:rPr>
                <w:rFonts w:hint="eastAsia" w:ascii="宋体" w:hAnsi="宋体"/>
                <w:color w:val="auto"/>
                <w:szCs w:val="21"/>
                <w:highlight w:val="none"/>
              </w:rPr>
              <w:t>分，高级者得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 xml:space="preserve">    近年来企业承建过类似项目每项得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bookmarkStart w:id="319" w:name="_GoBack"/>
            <w:bookmarkEnd w:id="319"/>
          </w:p>
          <w:p>
            <w:pPr>
              <w:spacing w:line="400" w:lineRule="exact"/>
              <w:ind w:firstLine="420" w:firstLineChars="200"/>
              <w:rPr>
                <w:rFonts w:ascii="宋体" w:hAnsi="宋体"/>
                <w:b/>
                <w:bCs/>
                <w:color w:val="auto"/>
                <w:szCs w:val="21"/>
                <w:highlight w:val="none"/>
              </w:rPr>
            </w:pPr>
            <w:r>
              <w:rPr>
                <w:rFonts w:hint="eastAsia" w:ascii="宋体" w:hAnsi="宋体"/>
                <w:color w:val="auto"/>
                <w:szCs w:val="21"/>
                <w:highlight w:val="none"/>
              </w:rPr>
              <w:t>近年来拟派建造师承建过类似项目每项得5分，本项最高</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分（须提供合同原件、中标通知书原件、竣工验收证明材料原件和中标公示网页版，若上述资料不显示项目经理姓名，还须同时提供相关证明文件）</w:t>
            </w:r>
            <w:r>
              <w:rPr>
                <w:rFonts w:hint="eastAsia" w:ascii="宋体" w:hAnsi="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color w:val="auto"/>
                <w:szCs w:val="21"/>
                <w:highlight w:val="none"/>
              </w:rPr>
              <w:drawing>
                <wp:inline distT="0" distB="0" distL="0" distR="0">
                  <wp:extent cx="190500" cy="142875"/>
                  <wp:effectExtent l="0" t="0" r="0" b="9525"/>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lang w:val="en-US" w:eastAsia="zh-CN"/>
              </w:rPr>
              <w:t>1</w:t>
            </w:r>
            <w:r>
              <w:rPr>
                <w:rFonts w:ascii="宋体" w:hAnsi="宋体"/>
                <w:color w:val="auto"/>
                <w:szCs w:val="21"/>
                <w:highlight w:val="none"/>
              </w:rPr>
              <w:t>分，最多得</w:t>
            </w:r>
            <w:r>
              <w:rPr>
                <w:rFonts w:hint="eastAsia" w:ascii="宋体" w:hAnsi="宋体"/>
                <w:color w:val="auto"/>
                <w:szCs w:val="21"/>
                <w:highlight w:val="none"/>
                <w:lang w:val="en-US" w:eastAsia="zh-CN"/>
              </w:rPr>
              <w:t>2</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hint="eastAsia" w:ascii="宋体" w:hAnsi="宋体"/>
                <w:color w:val="auto"/>
                <w:szCs w:val="21"/>
                <w:highlight w:val="none"/>
              </w:rPr>
            </w:pPr>
            <w:r>
              <w:rPr>
                <w:rFonts w:hint="eastAsia" w:ascii="宋体" w:hAnsi="宋体"/>
                <w:color w:val="auto"/>
                <w:szCs w:val="21"/>
                <w:highlight w:val="none"/>
              </w:rPr>
              <w:t>3、根据第一信封（商务及技术文件）的综合得分排序，选前三名（如并列第三名，则取前四名）进入到第二信封（投标报价和工程量清单）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rPr>
                <w:rFonts w:hint="eastAsia" w:ascii="宋体" w:hAnsi="宋体"/>
                <w:color w:val="auto"/>
                <w:szCs w:val="21"/>
                <w:highlight w:val="none"/>
              </w:rPr>
            </w:pPr>
            <w:r>
              <w:rPr>
                <w:rFonts w:hint="eastAsia" w:ascii="宋体" w:hAnsi="宋体"/>
                <w:color w:val="auto"/>
                <w:szCs w:val="21"/>
                <w:highlight w:val="none"/>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rPr>
                <w:rFonts w:ascii="宋体" w:hAnsi="宋体"/>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b/>
          <w:color w:val="auto"/>
          <w:sz w:val="24"/>
          <w:highlight w:val="none"/>
        </w:rPr>
      </w:pPr>
      <w:r>
        <w:rPr>
          <w:rFonts w:hint="eastAsia" w:ascii="宋体" w:hAnsi="宋体"/>
          <w:color w:val="auto"/>
          <w:sz w:val="24"/>
          <w:highlight w:val="none"/>
        </w:rPr>
        <w:t>本次评标采用技术评分最低标价法。评标委员会对满足招标文件实质要求的投标文件，根据本章第2.</w:t>
      </w:r>
      <w:r>
        <w:rPr>
          <w:rFonts w:hint="eastAsia" w:ascii="宋体" w:hAnsi="宋体"/>
          <w:color w:val="auto"/>
          <w:sz w:val="24"/>
          <w:highlight w:val="none"/>
          <w:lang w:val="en-US" w:eastAsia="zh-CN"/>
        </w:rPr>
        <w:t>2.2-2.2.5</w:t>
      </w:r>
      <w:r>
        <w:rPr>
          <w:rFonts w:hint="eastAsia" w:ascii="宋体" w:hAnsi="宋体"/>
          <w:color w:val="auto"/>
          <w:sz w:val="24"/>
          <w:highlight w:val="none"/>
        </w:rPr>
        <w:t>款规定的评分标准进行打分，按综合得分由高到低的顺序选前三名，并按照投标报价由低到高的顺序确定中标候选人排序（但投标报价低于其成本的除外），投标报价相同时，综合得分高者优先。</w:t>
      </w: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履约信誉评审标准：见评标办法前附表。</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0" w:firstLineChars="200"/>
        <w:rPr>
          <w:rFonts w:ascii="宋体" w:hAnsi="宋体"/>
          <w:color w:val="auto"/>
          <w:sz w:val="24"/>
          <w:highlight w:val="none"/>
        </w:rPr>
      </w:pPr>
      <w:r>
        <w:rPr>
          <w:rFonts w:hint="eastAsia" w:ascii="宋体" w:hAnsi="宋体"/>
          <w:b w:val="0"/>
          <w:bCs/>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3.4.1评标委员会按照通过投标文件第一信封（商务及技术文件）评审的前三名投标报价由低到高的顺序推荐中标候选人。 </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both"/>
        <w:rPr>
          <w:b/>
          <w:bCs/>
          <w:color w:val="auto"/>
          <w:sz w:val="44"/>
          <w:highlight w:val="none"/>
        </w:rPr>
      </w:pPr>
    </w:p>
    <w:p>
      <w:pPr>
        <w:adjustRightInd w:val="0"/>
        <w:snapToGrid w:val="0"/>
        <w:spacing w:line="360" w:lineRule="auto"/>
        <w:jc w:val="center"/>
        <w:outlineLvl w:val="0"/>
        <w:rPr>
          <w:rFonts w:ascii="黑体" w:eastAsia="黑体"/>
          <w:color w:val="auto"/>
          <w:sz w:val="44"/>
          <w:szCs w:val="44"/>
          <w:highlight w:val="none"/>
        </w:rPr>
      </w:pPr>
      <w:bookmarkStart w:id="226" w:name="_Toc13221"/>
      <w:r>
        <w:rPr>
          <w:rFonts w:hint="eastAsia" w:ascii="黑体" w:eastAsia="黑体"/>
          <w:color w:val="auto"/>
          <w:sz w:val="44"/>
          <w:szCs w:val="44"/>
          <w:highlight w:val="none"/>
        </w:rPr>
        <w:t>第四章 合同条款及格式</w:t>
      </w:r>
      <w:bookmarkEnd w:id="226"/>
    </w:p>
    <w:p>
      <w:pPr>
        <w:adjustRightInd w:val="0"/>
        <w:snapToGrid w:val="0"/>
        <w:spacing w:line="360" w:lineRule="auto"/>
        <w:jc w:val="center"/>
        <w:outlineLvl w:val="0"/>
        <w:rPr>
          <w:rFonts w:ascii="黑体" w:eastAsia="黑体"/>
          <w:bCs/>
          <w:color w:val="auto"/>
          <w:sz w:val="36"/>
          <w:szCs w:val="36"/>
          <w:highlight w:val="none"/>
        </w:rPr>
      </w:pPr>
      <w:bookmarkStart w:id="227" w:name="_Toc9501"/>
      <w:r>
        <w:rPr>
          <w:rFonts w:hint="eastAsia" w:ascii="黑体" w:eastAsia="黑体"/>
          <w:bCs/>
          <w:color w:val="auto"/>
          <w:sz w:val="36"/>
          <w:szCs w:val="36"/>
          <w:highlight w:val="none"/>
        </w:rPr>
        <w:t>第一节 通用合同条款</w:t>
      </w:r>
      <w:bookmarkEnd w:id="227"/>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8"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eastAsia="黑体"/>
          <w:color w:val="auto"/>
          <w:position w:val="-34"/>
          <w:sz w:val="40"/>
          <w:highlight w:val="none"/>
        </w:rPr>
        <w:object>
          <v:shape id="_x0000_i1025" o:spt="75" type="#_x0000_t75" style="height:40.1pt;width:277.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％（在项目专用合同条款中约定）。在承包人签订了合同协议书并提交了开工预付款保函后，监理人应在当期进度付款证书中向承包人支付开工预付款的</w:t>
      </w:r>
      <w:r>
        <w:rPr>
          <w:rFonts w:hint="eastAsia"/>
          <w:color w:val="auto"/>
          <w:sz w:val="24"/>
          <w:highlight w:val="none"/>
          <w:u w:val="single"/>
          <w:lang w:val="en-US" w:eastAsia="zh-CN"/>
        </w:rPr>
        <w:t xml:space="preserve">    </w:t>
      </w:r>
      <w:r>
        <w:rPr>
          <w:color w:val="auto"/>
          <w:sz w:val="24"/>
          <w:highlight w:val="none"/>
        </w:rPr>
        <w:t>%的价款；在投标文件载明的主要设备进场后，再支付预付款</w:t>
      </w:r>
      <w:r>
        <w:rPr>
          <w:rFonts w:hint="eastAsia"/>
          <w:color w:val="auto"/>
          <w:sz w:val="24"/>
          <w:highlight w:val="none"/>
          <w:u w:val="single"/>
          <w:lang w:val="en-US" w:eastAsia="zh-CN"/>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jc w:val="center"/>
        <w:rPr>
          <w:rFonts w:ascii="黑体" w:eastAsia="黑体"/>
          <w:bCs/>
          <w:color w:val="auto"/>
          <w:sz w:val="36"/>
          <w:szCs w:val="36"/>
          <w:highlight w:val="none"/>
        </w:rPr>
      </w:pP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 考虑养护工程的特殊性，项目工程量增减变量难以去确定，因此项目清单单价杜绝不平衡报价。清单单价报价范围应在调整后的招标人清单报价的105％（含105％）至85％（含85％）之间，不在该范围的投标人清单报价作为废标处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1.2施工过程中，对于施工质量差、进度严重滞后的施工单位，发包人可以将其驱逐出场，或者强行分割其承包工程。</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本工程质量目标要求竣工为优良工程（以政府公路工程质量监督机构国家验收评定为依据），标段工程质量鉴定得分在90分以上（含90分）。经国家验收，标段工程质量鉴定得分在90分以下未达到优良等级的，质量保证金不予支付，同时在许昌交通建设市场给予通报批评，并上报省交通运输厅建议降低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2.1.1调整材料种类：水泥、沥青、燃料油、中粗砂、碎石。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2.1.2材料基准价格：招标人报价中材料价格。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2.1.3材料数量：以当期计量工程量确定，燃料油数量按照部颁定额消耗量分析方法确定，延期计量的，以实际完成时间计算。材料价格涨、降超出10％的可进行价格调整。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3、双方承担比例：材料价格涨（降）幅度超过10％的部分，由承包人和业主进行协商解决。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4、因施工单位原因造成工期延误的，在延误期间价格变化引起的增加费用由施工单位承担。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ind w:firstLine="480" w:firstLineChars="200"/>
        <w:rPr>
          <w:color w:val="auto"/>
          <w:sz w:val="24"/>
          <w:highlight w:val="none"/>
        </w:rPr>
      </w:pPr>
      <w:r>
        <w:rPr>
          <w:rFonts w:hint="eastAsia"/>
          <w:color w:val="auto"/>
          <w:sz w:val="24"/>
          <w:highlight w:val="none"/>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Style w:val="12"/>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tcPr>
          <w:p>
            <w:pPr>
              <w:adjustRightInd w:val="0"/>
              <w:snapToGrid w:val="0"/>
              <w:spacing w:line="312" w:lineRule="auto"/>
              <w:rPr>
                <w:color w:val="auto"/>
                <w:sz w:val="24"/>
                <w:highlight w:val="none"/>
              </w:rPr>
            </w:pPr>
            <w:r>
              <w:rPr>
                <w:rFonts w:hint="eastAsia"/>
                <w:color w:val="auto"/>
                <w:sz w:val="24"/>
                <w:highlight w:val="none"/>
              </w:rPr>
              <w:t>发包人：许昌市建安区交通运输局</w:t>
            </w:r>
          </w:p>
          <w:p>
            <w:pPr>
              <w:adjustRightInd w:val="0"/>
              <w:snapToGrid w:val="0"/>
              <w:spacing w:line="312" w:lineRule="auto"/>
              <w:rPr>
                <w:color w:val="auto"/>
                <w:sz w:val="24"/>
                <w:highlight w:val="none"/>
              </w:rPr>
            </w:pPr>
            <w:r>
              <w:rPr>
                <w:rFonts w:hint="eastAsia"/>
                <w:color w:val="auto"/>
                <w:sz w:val="24"/>
                <w:highlight w:val="none"/>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rPr>
              <w:t xml:space="preserve"> </w:t>
            </w:r>
            <w:r>
              <w:rPr>
                <w:rFonts w:hint="eastAsia"/>
                <w:color w:val="auto"/>
                <w:sz w:val="24"/>
                <w:highlight w:val="none"/>
                <w:u w:val="single"/>
                <w:lang w:val="en-US" w:eastAsia="zh-CN"/>
              </w:rPr>
              <w:t>30</w:t>
            </w:r>
            <w:r>
              <w:rPr>
                <w:rFonts w:hint="eastAsia"/>
                <w:color w:val="auto"/>
                <w:sz w:val="24"/>
                <w:highlight w:val="none"/>
                <w:u w:val="single"/>
              </w:rPr>
              <w:t xml:space="preserve"> </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tcPr>
          <w:p>
            <w:pPr>
              <w:adjustRightInd w:val="0"/>
              <w:snapToGrid w:val="0"/>
              <w:spacing w:line="312" w:lineRule="auto"/>
              <w:rPr>
                <w:rFonts w:hint="eastAsia"/>
                <w:color w:val="auto"/>
                <w:sz w:val="24"/>
                <w:highlight w:val="none"/>
              </w:rPr>
            </w:pPr>
            <w:r>
              <w:rPr>
                <w:rFonts w:hint="eastAsia"/>
                <w:color w:val="auto"/>
                <w:sz w:val="24"/>
                <w:highlight w:val="none"/>
              </w:rPr>
              <w:t xml:space="preserve">履约担保金额：中标价的10% </w:t>
            </w:r>
          </w:p>
          <w:p>
            <w:pPr>
              <w:adjustRightInd w:val="0"/>
              <w:snapToGrid w:val="0"/>
              <w:spacing w:line="312" w:lineRule="auto"/>
              <w:rPr>
                <w:rFonts w:hint="eastAsia"/>
                <w:color w:val="auto"/>
                <w:sz w:val="24"/>
                <w:highlight w:val="none"/>
              </w:rPr>
            </w:pPr>
            <w:r>
              <w:rPr>
                <w:rFonts w:hint="eastAsia"/>
                <w:color w:val="auto"/>
                <w:sz w:val="24"/>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4"/>
                <w:highlight w:val="none"/>
              </w:rPr>
              <w:t>履约担保形式：中标人从基本账户转出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tcPr>
          <w:p>
            <w:pPr>
              <w:adjustRightInd w:val="0"/>
              <w:snapToGrid w:val="0"/>
              <w:spacing w:line="312" w:lineRule="auto"/>
              <w:rPr>
                <w:color w:val="auto"/>
                <w:sz w:val="24"/>
                <w:highlight w:val="none"/>
              </w:rPr>
            </w:pPr>
            <w:r>
              <w:rPr>
                <w:rFonts w:hint="eastAsia"/>
                <w:color w:val="auto"/>
                <w:sz w:val="24"/>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tcPr>
          <w:p>
            <w:pPr>
              <w:adjustRightInd w:val="0"/>
              <w:snapToGrid w:val="0"/>
              <w:spacing w:line="324" w:lineRule="auto"/>
              <w:rPr>
                <w:color w:val="auto"/>
                <w:sz w:val="24"/>
                <w:highlight w:val="none"/>
              </w:rPr>
            </w:pPr>
            <w:r>
              <w:rPr>
                <w:rFonts w:hint="eastAsia"/>
                <w:color w:val="auto"/>
                <w:sz w:val="24"/>
                <w:highlight w:val="none"/>
              </w:rPr>
              <w:t>因物价波动引起的价格调整按照</w:t>
            </w:r>
            <w:r>
              <w:rPr>
                <w:rFonts w:hint="eastAsia"/>
                <w:color w:val="auto"/>
                <w:sz w:val="24"/>
                <w:highlight w:val="none"/>
                <w:u w:val="single"/>
              </w:rPr>
              <w:t>第16.1.1或16.1.2</w:t>
            </w:r>
            <w:r>
              <w:rPr>
                <w:rFonts w:hint="eastAsia"/>
                <w:color w:val="auto"/>
                <w:sz w:val="24"/>
                <w:highlight w:val="none"/>
              </w:rPr>
              <w:t>项约定的原则处理或合同期内不调价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1"/>
                <w:color w:val="auto"/>
                <w:sz w:val="24"/>
                <w:highlight w:val="none"/>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1"/>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tcPr>
          <w:p>
            <w:pPr>
              <w:adjustRightInd w:val="0"/>
              <w:snapToGrid w:val="0"/>
              <w:spacing w:line="324" w:lineRule="auto"/>
              <w:rPr>
                <w:color w:val="auto"/>
                <w:sz w:val="24"/>
                <w:highlight w:val="none"/>
              </w:rPr>
            </w:pPr>
            <w:r>
              <w:rPr>
                <w:rFonts w:hint="eastAsia"/>
                <w:color w:val="auto"/>
                <w:sz w:val="24"/>
                <w:highlight w:val="none"/>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诉讼</w:t>
            </w:r>
            <w:r>
              <w:rPr>
                <w:rFonts w:hint="eastAsia"/>
                <w:color w:val="auto"/>
                <w:sz w:val="24"/>
                <w:highlight w:val="none"/>
                <w:u w:val="none"/>
              </w:rPr>
              <w:t xml:space="preserve"> </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none"/>
              </w:rPr>
              <w:t>：</w:t>
            </w:r>
            <w:r>
              <w:rPr>
                <w:rFonts w:hint="eastAsia"/>
                <w:color w:val="auto"/>
                <w:sz w:val="24"/>
                <w:highlight w:val="none"/>
                <w:u w:val="single"/>
              </w:rPr>
              <w:t xml:space="preserve">  许昌市中级人民法院</w:t>
            </w:r>
            <w:r>
              <w:rPr>
                <w:rFonts w:hint="eastAsia"/>
                <w:color w:val="auto"/>
                <w:sz w:val="24"/>
                <w:highlight w:val="none"/>
                <w:u w:val="none"/>
              </w:rPr>
              <w:t xml:space="preserve">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jc w:val="center"/>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eastAsia="黑体"/>
          <w:color w:val="auto"/>
          <w:position w:val="-10"/>
          <w:sz w:val="24"/>
          <w:highlight w:val="none"/>
        </w:rPr>
        <w:object>
          <v:shape id="_x0000_i1026" o:spt="75" type="#_x0000_t75" style="height:17pt;width:8.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p>
      <w:pPr>
        <w:pStyle w:val="4"/>
        <w:snapToGrid w:val="0"/>
        <w:spacing w:line="300" w:lineRule="auto"/>
        <w:rPr>
          <w:b/>
          <w:bCs/>
          <w:color w:val="auto"/>
          <w:sz w:val="44"/>
          <w:highlight w:val="none"/>
        </w:rPr>
      </w:pPr>
    </w:p>
    <w:bookmarkEnd w:id="228"/>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rPr>
          <w:color w:val="auto"/>
          <w:sz w:val="24"/>
          <w:highlight w:val="none"/>
        </w:rPr>
      </w:pPr>
      <w:r>
        <w:rPr>
          <w:color w:val="auto"/>
          <w:sz w:val="24"/>
          <w:highlight w:val="none"/>
        </w:rPr>
        <w:t>或或其授权的代理人</w:t>
      </w:r>
      <w:r>
        <w:rPr>
          <w:rFonts w:hint="eastAsia"/>
          <w:color w:val="auto"/>
          <w:sz w:val="24"/>
          <w:highlight w:val="none"/>
          <w:u w:val="single"/>
        </w:rPr>
        <w:t xml:space="preserve">   （职务） </w:t>
      </w:r>
      <w:r>
        <w:rPr>
          <w:rFonts w:hint="eastAsia"/>
          <w:color w:val="auto"/>
          <w:sz w:val="24"/>
          <w:highlight w:val="none"/>
          <w:u w:val="none"/>
        </w:rPr>
        <w:t xml:space="preserve">  </w:t>
      </w:r>
      <w:r>
        <w:rPr>
          <w:rFonts w:hint="eastAsia"/>
          <w:color w:val="auto"/>
          <w:sz w:val="24"/>
          <w:highlight w:val="none"/>
          <w:u w:val="none"/>
          <w:lang w:val="en-US" w:eastAsia="zh-CN"/>
        </w:rPr>
        <w:t xml:space="preserve">      </w:t>
      </w:r>
      <w:r>
        <w:rPr>
          <w:rFonts w:hint="eastAsia"/>
          <w:color w:val="auto"/>
          <w:sz w:val="24"/>
          <w:highlight w:val="none"/>
          <w:u w:val="none"/>
          <w:lang w:eastAsia="zh-CN"/>
        </w:rPr>
        <w:t>或</w:t>
      </w:r>
      <w:r>
        <w:rPr>
          <w:color w:val="auto"/>
          <w:sz w:val="24"/>
          <w:highlight w:val="none"/>
        </w:rPr>
        <w:t>其授权的代理人</w:t>
      </w:r>
      <w:r>
        <w:rPr>
          <w:rFonts w:hint="eastAsia"/>
          <w:color w:val="auto"/>
          <w:sz w:val="24"/>
          <w:highlight w:val="none"/>
          <w:u w:val="single"/>
        </w:rPr>
        <w:t xml:space="preserve">   （职务）</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adjustRightInd w:val="0"/>
        <w:snapToGrid w:val="0"/>
        <w:spacing w:line="324" w:lineRule="auto"/>
        <w:ind w:firstLine="2160" w:firstLineChars="9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2160" w:firstLineChars="9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hint="eastAsia" w:ascii="黑体" w:eastAsia="黑体"/>
          <w:color w:val="auto"/>
          <w:sz w:val="24"/>
          <w:highlight w:val="none"/>
        </w:rPr>
      </w:pP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rPr>
          <w:color w:val="auto"/>
          <w:sz w:val="24"/>
          <w:highlight w:val="none"/>
        </w:rPr>
      </w:pPr>
      <w:r>
        <w:rPr>
          <w:color w:val="auto"/>
          <w:sz w:val="24"/>
          <w:highlight w:val="none"/>
        </w:rPr>
        <w:t>或其授权的代理人</w:t>
      </w:r>
      <w:r>
        <w:rPr>
          <w:rFonts w:hint="eastAsia"/>
          <w:color w:val="auto"/>
          <w:sz w:val="24"/>
          <w:highlight w:val="none"/>
          <w:u w:val="single"/>
        </w:rPr>
        <w:t xml:space="preserve">   （职务）   </w:t>
      </w:r>
      <w:r>
        <w:rPr>
          <w:rFonts w:hint="eastAsia"/>
          <w:color w:val="auto"/>
          <w:sz w:val="24"/>
          <w:highlight w:val="none"/>
        </w:rPr>
        <w:t xml:space="preserve">         </w:t>
      </w:r>
      <w:r>
        <w:rPr>
          <w:rFonts w:hint="eastAsia"/>
          <w:color w:val="auto"/>
          <w:sz w:val="24"/>
          <w:highlight w:val="none"/>
          <w:lang w:eastAsia="zh-CN"/>
        </w:rPr>
        <w:t>或</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920" w:firstLineChars="8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920" w:firstLineChars="8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left="479" w:leftChars="228" w:right="0" w:rightChars="0" w:firstLine="0" w:firstLineChars="0"/>
        <w:jc w:val="both"/>
        <w:textAlignment w:val="auto"/>
        <w:outlineLvl w:val="9"/>
        <w:rPr>
          <w:color w:val="auto"/>
          <w:sz w:val="24"/>
          <w:highlight w:val="none"/>
        </w:rPr>
      </w:pPr>
      <w:r>
        <w:rPr>
          <w:rFonts w:hint="eastAsia"/>
          <w:color w:val="auto"/>
          <w:sz w:val="24"/>
          <w:highlight w:val="none"/>
          <w:lang w:eastAsia="zh-CN"/>
        </w:rPr>
        <w:t>一、</w:t>
      </w:r>
      <w:r>
        <w:rPr>
          <w:color w:val="auto"/>
          <w:sz w:val="24"/>
          <w:highlight w:val="none"/>
        </w:rPr>
        <w:t>开工前与农民工签定劳动合同</w:t>
      </w:r>
      <w:r>
        <w:rPr>
          <w:color w:val="auto"/>
          <w:sz w:val="24"/>
          <w:highlight w:val="none"/>
        </w:rPr>
        <w:br w:type="textWrapping"/>
      </w:r>
      <w:r>
        <w:rPr>
          <w:color w:val="auto"/>
          <w:sz w:val="24"/>
          <w:highlight w:val="none"/>
        </w:rPr>
        <w:t>二、按时支付农民工工资、加班加点工资。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left="479" w:leftChars="228" w:right="0" w:rightChars="0" w:firstLine="0" w:firstLineChars="0"/>
        <w:jc w:val="both"/>
        <w:textAlignment w:val="auto"/>
        <w:outlineLvl w:val="9"/>
        <w:rPr>
          <w:color w:val="auto"/>
          <w:sz w:val="24"/>
          <w:highlight w:val="none"/>
        </w:rPr>
      </w:pPr>
      <w:r>
        <w:rPr>
          <w:color w:val="auto"/>
          <w:sz w:val="24"/>
          <w:highlight w:val="none"/>
        </w:rPr>
        <w:t>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四、不无故拖欠、克扣农民工工资。</w:t>
      </w:r>
      <w:r>
        <w:rPr>
          <w:color w:val="auto"/>
          <w:sz w:val="24"/>
          <w:highlight w:val="none"/>
        </w:rPr>
        <w:br w:type="textWrapping"/>
      </w:r>
      <w:r>
        <w:rPr>
          <w:color w:val="auto"/>
          <w:sz w:val="24"/>
          <w:highlight w:val="none"/>
        </w:rPr>
        <w:t>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六、若有拖欠、克扣农民工工资、加班加点工资及侵害农民工劳动报酬权益的行为，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right="0" w:rightChars="0"/>
        <w:jc w:val="both"/>
        <w:textAlignment w:val="auto"/>
        <w:outlineLvl w:val="9"/>
        <w:rPr>
          <w:color w:val="auto"/>
          <w:sz w:val="24"/>
          <w:highlight w:val="none"/>
        </w:rPr>
      </w:pP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center"/>
        <w:rPr>
          <w:color w:val="auto"/>
          <w:sz w:val="24"/>
          <w:highlight w:val="none"/>
          <w:u w:val="single"/>
        </w:rPr>
      </w:pPr>
      <w:r>
        <w:rPr>
          <w:rFonts w:hint="eastAsia"/>
          <w:color w:val="auto"/>
          <w:sz w:val="24"/>
          <w:highlight w:val="none"/>
          <w:lang w:val="en-US" w:eastAsia="zh-CN"/>
        </w:rPr>
        <w:t xml:space="preserve">                                      </w:t>
      </w: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jc w:val="center"/>
        <w:outlineLvl w:val="0"/>
        <w:rPr>
          <w:rFonts w:ascii="黑体" w:eastAsia="黑体"/>
          <w:color w:val="auto"/>
          <w:sz w:val="44"/>
          <w:szCs w:val="44"/>
          <w:highlight w:val="none"/>
        </w:rPr>
      </w:pPr>
      <w:bookmarkStart w:id="229" w:name="_Toc5321"/>
      <w:r>
        <w:rPr>
          <w:rFonts w:ascii="黑体" w:eastAsia="黑体"/>
          <w:color w:val="auto"/>
          <w:sz w:val="44"/>
          <w:szCs w:val="44"/>
          <w:highlight w:val="none"/>
        </w:rPr>
        <w:t>第五章</w:t>
      </w:r>
      <w:r>
        <w:rPr>
          <w:rFonts w:hint="eastAsia" w:ascii="黑体" w:eastAsia="黑体"/>
          <w:color w:val="auto"/>
          <w:sz w:val="44"/>
          <w:szCs w:val="44"/>
          <w:highlight w:val="none"/>
        </w:rPr>
        <w:t xml:space="preserve"> </w:t>
      </w:r>
      <w:r>
        <w:rPr>
          <w:rFonts w:ascii="黑体" w:eastAsia="黑体"/>
          <w:color w:val="auto"/>
          <w:sz w:val="44"/>
          <w:szCs w:val="44"/>
          <w:highlight w:val="none"/>
        </w:rPr>
        <w:t>工程量清单</w:t>
      </w:r>
      <w:bookmarkEnd w:id="229"/>
    </w:p>
    <w:p>
      <w:pPr>
        <w:rPr>
          <w:rFonts w:ascii="宋体" w:hAnsi="宋体"/>
          <w:color w:val="auto"/>
          <w:sz w:val="24"/>
          <w:highlight w:val="none"/>
        </w:rPr>
      </w:pPr>
    </w:p>
    <w:p>
      <w:pPr>
        <w:spacing w:before="120" w:after="120"/>
        <w:rPr>
          <w:rFonts w:ascii="黑体" w:eastAsia="黑体"/>
          <w:color w:val="auto"/>
          <w:sz w:val="28"/>
          <w:szCs w:val="28"/>
          <w:highlight w:val="none"/>
        </w:rPr>
      </w:pPr>
      <w:r>
        <w:rPr>
          <w:rFonts w:hint="eastAsia" w:ascii="黑体" w:eastAsia="黑体"/>
          <w:color w:val="auto"/>
          <w:sz w:val="28"/>
          <w:szCs w:val="28"/>
          <w:highlight w:val="none"/>
        </w:rPr>
        <w:t>1.工程量清单说明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本工程量清单应与招标文件中的投标人须知、通用合同条款、专用合同条款、技术规范及图纸等一起阅读和理解。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w:t>
      </w:r>
      <w:r>
        <w:rPr>
          <w:rFonts w:hint="eastAsia" w:ascii="宋体" w:hAnsi="宋体"/>
          <w:color w:val="auto"/>
          <w:sz w:val="24"/>
          <w:highlight w:val="none"/>
          <w:lang w:val="en-US" w:eastAsia="zh-CN"/>
        </w:rPr>
        <w:t>.</w:t>
      </w:r>
      <w:r>
        <w:rPr>
          <w:rFonts w:hint="eastAsia" w:ascii="宋体" w:hAnsi="宋体"/>
          <w:color w:val="auto"/>
          <w:sz w:val="24"/>
          <w:highlight w:val="none"/>
        </w:rPr>
        <w:t>4款的规定，由监理人确定的单价或总额价计算支付额，</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 对作业和材料的—般说明或规定，未重复写入工程量清单内，在给工程量清单各子目标价前，应参阅第七章“技术规范”的有关内容。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工程量清单中所列工程量的变动，丝毫不会降低或影响合同条款的效力，也不免除承包人按规定的标准进行施工和修复缺陷的责任。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2．投标报价说明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 工程量清单中的每一子目须填入单价或价格，且只允许有一个报价。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 工程量清单中各项金额均以人民币（元）结算。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暂列金额（不含计日工总额）的数量及拟用子目的说明：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暂估价的数量及拟用子目的说明：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3．计日工说明</w:t>
      </w:r>
    </w:p>
    <w:p>
      <w:pPr>
        <w:spacing w:line="400" w:lineRule="exact"/>
        <w:rPr>
          <w:rFonts w:ascii="宋体" w:hAnsi="宋体"/>
          <w:color w:val="auto"/>
          <w:sz w:val="24"/>
          <w:highlight w:val="none"/>
        </w:rPr>
      </w:pPr>
      <w:r>
        <w:rPr>
          <w:rFonts w:hint="eastAsia" w:ascii="宋体" w:hAnsi="宋体"/>
          <w:color w:val="auto"/>
          <w:sz w:val="24"/>
          <w:highlight w:val="none"/>
        </w:rPr>
        <w:t xml:space="preserve">    3.1 总则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（l）本说明应参照通用合同条款第15.7款一并理解。</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（4）计日工不调价。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 计日工劳务</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 计日工材料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 承包人的利润、管理、质检、保险、税费及其他附加费：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c．从现场运至使用地点的人工费和施工机械使用费不包括在上述基本单价内。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 计日工施工机械</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4．其他说明</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编制说明：</w:t>
      </w:r>
      <w:r>
        <w:rPr>
          <w:rFonts w:hint="eastAsia" w:ascii="宋体" w:hAnsi="宋体"/>
          <w:color w:val="auto"/>
          <w:sz w:val="24"/>
          <w:highlight w:val="none"/>
          <w:lang w:val="en-US" w:eastAsia="zh-CN"/>
        </w:rPr>
        <w:t>1、定额套用（2007）版《公路工程预算定额》（JTG/TB06-02-2007)、《08公路工程量清单计价依据》（2009范本）相关计价文件及其配套的省市有关文件。</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2、人工费调整为53.87元/工日；</w:t>
      </w:r>
    </w:p>
    <w:p>
      <w:pPr>
        <w:numPr>
          <w:ilvl w:val="0"/>
          <w:numId w:val="0"/>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3、税金调整依据豫建设标【2016】13号文件规定，按11%计取；</w:t>
      </w:r>
    </w:p>
    <w:p>
      <w:pPr>
        <w:numPr>
          <w:ilvl w:val="0"/>
          <w:numId w:val="0"/>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4、材料参考2017年《许昌工程造价信息》第三期信息价及现行市场价格。</w:t>
      </w:r>
    </w:p>
    <w:p>
      <w:pPr>
        <w:spacing w:before="240" w:after="120"/>
        <w:rPr>
          <w:rFonts w:ascii="隶书" w:eastAsia="隶书"/>
          <w:color w:val="auto"/>
          <w:sz w:val="24"/>
          <w:highlight w:val="none"/>
        </w:rPr>
      </w:pPr>
      <w:r>
        <w:rPr>
          <w:rFonts w:hint="eastAsia" w:ascii="黑体" w:eastAsia="黑体"/>
          <w:color w:val="auto"/>
          <w:sz w:val="28"/>
          <w:szCs w:val="28"/>
          <w:highlight w:val="none"/>
        </w:rPr>
        <w:t>5．工程量清单</w:t>
      </w:r>
    </w:p>
    <w:p>
      <w:pPr>
        <w:ind w:firstLine="480" w:firstLineChars="200"/>
        <w:rPr>
          <w:rFonts w:ascii="宋体" w:hAnsi="宋体"/>
          <w:color w:val="auto"/>
          <w:sz w:val="24"/>
          <w:highlight w:val="none"/>
        </w:rPr>
      </w:pPr>
      <w:r>
        <w:rPr>
          <w:rFonts w:hint="eastAsia" w:ascii="宋体" w:hAnsi="宋体"/>
          <w:color w:val="auto"/>
          <w:sz w:val="24"/>
          <w:highlight w:val="none"/>
        </w:rPr>
        <w:t>5.l工程量清单表</w:t>
      </w:r>
    </w:p>
    <w:p>
      <w:pPr>
        <w:rPr>
          <w:rFonts w:ascii="隶书" w:eastAsia="隶书"/>
          <w:color w:val="auto"/>
          <w:sz w:val="24"/>
          <w:highlight w:val="none"/>
        </w:rPr>
      </w:pPr>
    </w:p>
    <w:p>
      <w:pPr>
        <w:spacing w:after="240"/>
        <w:rPr>
          <w:rFonts w:ascii="黑体" w:eastAsia="黑体"/>
          <w:color w:val="auto"/>
          <w:sz w:val="18"/>
          <w:szCs w:val="18"/>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tbl>
      <w:tblPr>
        <w:tblStyle w:val="12"/>
        <w:tblW w:w="1016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6"/>
        <w:gridCol w:w="1851"/>
        <w:gridCol w:w="1099"/>
        <w:gridCol w:w="969"/>
        <w:gridCol w:w="1827"/>
        <w:gridCol w:w="11"/>
        <w:gridCol w:w="1357"/>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0167"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07"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合同段：许昌市建安区灵井镇岗王村道路工程</w:t>
            </w:r>
          </w:p>
        </w:tc>
        <w:tc>
          <w:tcPr>
            <w:tcW w:w="389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565"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0167"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清理与掘除</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清除表土</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砍伐树木</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棵</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挖除旧路面</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挖除旧水泥混凝土路面</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拆除结构物</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拆除混凝土结构</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拆除砖、石及其他砌体结构</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219.5</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204-1</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路基填筑（包括填前压实）</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填前压实</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借土填方</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203-1</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路基挖方</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挖淤泥</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67"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第200章 合计</w:t>
            </w:r>
            <w:r>
              <w:rPr>
                <w:rFonts w:hint="eastAsia" w:ascii="宋体" w:hAnsi="宋体" w:cs="宋体"/>
                <w:i w:val="0"/>
                <w:color w:val="000000"/>
                <w:kern w:val="0"/>
                <w:sz w:val="18"/>
                <w:szCs w:val="18"/>
                <w:u w:val="none"/>
                <w:lang w:val="en-US" w:eastAsia="zh-CN" w:bidi="ar"/>
              </w:rPr>
              <w:t>人民币    元</w:t>
            </w: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07"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389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565"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0167"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07"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合同段：许昌市建安区灵井镇岗王村道路工程</w:t>
            </w:r>
          </w:p>
        </w:tc>
        <w:tc>
          <w:tcPr>
            <w:tcW w:w="389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565"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0167"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路面基层</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15cm厚12%石灰稳定土</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1505</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水泥混凝土面板</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18cm厚C25水泥混凝土面层</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36374</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312-2</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HRB335</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1432</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w:t>
            </w: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培土路肩</w:t>
            </w: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10435</w:t>
            </w: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85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167"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第300章 合计 </w:t>
            </w:r>
            <w:r>
              <w:rPr>
                <w:rFonts w:hint="eastAsia" w:ascii="宋体" w:hAnsi="宋体" w:cs="宋体"/>
                <w:i w:val="0"/>
                <w:color w:val="000000"/>
                <w:kern w:val="0"/>
                <w:sz w:val="18"/>
                <w:szCs w:val="18"/>
                <w:u w:val="none"/>
                <w:lang w:val="en-US" w:eastAsia="zh-CN" w:bidi="ar"/>
              </w:rPr>
              <w:t>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707"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389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565"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2  页  共  2  页</w:t>
            </w:r>
          </w:p>
        </w:tc>
      </w:tr>
    </w:tbl>
    <w:p>
      <w:pPr>
        <w:jc w:val="center"/>
        <w:rPr>
          <w:rFonts w:ascii="黑体" w:eastAsia="黑体"/>
          <w:color w:val="auto"/>
          <w:sz w:val="52"/>
          <w:szCs w:val="52"/>
          <w:highlight w:val="yellow"/>
        </w:rPr>
      </w:pPr>
    </w:p>
    <w:p>
      <w:pPr>
        <w:jc w:val="both"/>
        <w:rPr>
          <w:rFonts w:ascii="黑体" w:eastAsia="黑体"/>
          <w:color w:val="auto"/>
          <w:sz w:val="52"/>
          <w:szCs w:val="52"/>
          <w:highlight w:val="yellow"/>
        </w:rPr>
      </w:pPr>
    </w:p>
    <w:p>
      <w:pPr>
        <w:jc w:val="both"/>
        <w:outlineLvl w:val="0"/>
        <w:rPr>
          <w:rFonts w:hint="eastAsia" w:ascii="黑体" w:eastAsia="黑体"/>
          <w:bCs/>
          <w:color w:val="auto"/>
          <w:sz w:val="44"/>
          <w:szCs w:val="44"/>
          <w:highlight w:val="yellow"/>
          <w:lang w:eastAsia="zh-CN"/>
        </w:rPr>
      </w:pPr>
      <w:bookmarkStart w:id="230" w:name="_Toc20155"/>
    </w:p>
    <w:p>
      <w:pPr>
        <w:jc w:val="both"/>
        <w:outlineLvl w:val="0"/>
        <w:rPr>
          <w:rFonts w:hint="eastAsia" w:ascii="黑体" w:eastAsia="黑体"/>
          <w:bCs/>
          <w:color w:val="auto"/>
          <w:sz w:val="44"/>
          <w:szCs w:val="44"/>
          <w:highlight w:val="yellow"/>
          <w:lang w:eastAsia="zh-CN"/>
        </w:rPr>
      </w:pPr>
    </w:p>
    <w:p>
      <w:pPr>
        <w:jc w:val="both"/>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（另附）</w:t>
      </w:r>
      <w:bookmarkEnd w:id="230"/>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31"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31"/>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2"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2"/>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lang w:eastAsia="zh-CN"/>
        </w:rPr>
        <w:t>灵井镇岗王村道路工程</w:t>
      </w:r>
      <w:r>
        <w:rPr>
          <w:rFonts w:hint="eastAsia" w:ascii="黑体" w:hAnsi="宋体" w:eastAsia="黑体"/>
          <w:bCs/>
          <w:color w:val="auto"/>
          <w:sz w:val="52"/>
          <w:szCs w:val="52"/>
          <w:highlight w:val="none"/>
          <w:lang w:val="en-US" w:eastAsia="zh-CN"/>
        </w:rPr>
        <w:t xml:space="preserve">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建安建工公字〔2017〕</w:t>
      </w:r>
      <w:r>
        <w:rPr>
          <w:rFonts w:hint="eastAsia" w:ascii="黑体" w:hAnsi="华文中宋" w:eastAsia="黑体"/>
          <w:color w:val="auto"/>
          <w:sz w:val="36"/>
          <w:szCs w:val="36"/>
          <w:highlight w:val="none"/>
          <w:lang w:val="en-US" w:eastAsia="zh-CN"/>
        </w:rPr>
        <w:t>190</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rPr>
        <w:t>八、关键设备最低条件；</w:t>
      </w:r>
    </w:p>
    <w:p>
      <w:pPr>
        <w:spacing w:line="440" w:lineRule="exact"/>
        <w:rPr>
          <w:rFonts w:ascii="宋体" w:hAnsi="宋体"/>
          <w:color w:val="auto"/>
          <w:sz w:val="24"/>
          <w:highlight w:val="none"/>
        </w:rPr>
      </w:pPr>
      <w:r>
        <w:rPr>
          <w:rFonts w:hint="eastAsia" w:ascii="宋体" w:hAnsi="宋体"/>
          <w:color w:val="auto"/>
          <w:sz w:val="24"/>
          <w:highlight w:val="none"/>
        </w:rPr>
        <w:t>九、农民工工资支付承诺书；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rPr>
        <w:t>十、扬尘治理专项承诺书；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十一、其他材料。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2"/>
        <w:spacing w:beforeLines="50" w:after="0" w:line="360" w:lineRule="exact"/>
        <w:jc w:val="center"/>
        <w:rPr>
          <w:rFonts w:ascii="黑体" w:hAnsi="宋体" w:eastAsia="黑体"/>
          <w:color w:val="auto"/>
          <w:sz w:val="28"/>
          <w:szCs w:val="28"/>
          <w:highlight w:val="none"/>
        </w:rPr>
      </w:pPr>
      <w:bookmarkStart w:id="233" w:name="_Toc4791"/>
      <w:bookmarkStart w:id="234" w:name="_Toc485889055"/>
      <w:bookmarkStart w:id="235" w:name="_Toc486277922"/>
      <w:bookmarkStart w:id="236" w:name="_Toc234382957"/>
      <w:r>
        <w:rPr>
          <w:rFonts w:hint="eastAsia" w:ascii="黑体" w:hAnsi="宋体" w:eastAsia="黑体"/>
          <w:color w:val="auto"/>
          <w:sz w:val="28"/>
          <w:szCs w:val="28"/>
          <w:highlight w:val="none"/>
        </w:rPr>
        <w:t>一、投标函及投标函附录</w:t>
      </w:r>
      <w:bookmarkEnd w:id="233"/>
      <w:bookmarkEnd w:id="234"/>
      <w:bookmarkEnd w:id="235"/>
      <w:bookmarkEnd w:id="236"/>
    </w:p>
    <w:p>
      <w:pPr>
        <w:pStyle w:val="2"/>
        <w:spacing w:beforeLines="50" w:after="0" w:line="360" w:lineRule="exact"/>
        <w:jc w:val="center"/>
        <w:rPr>
          <w:rFonts w:ascii="黑体" w:hAnsi="宋体" w:eastAsia="黑体"/>
          <w:color w:val="auto"/>
          <w:sz w:val="28"/>
          <w:szCs w:val="28"/>
          <w:highlight w:val="none"/>
        </w:rPr>
      </w:pPr>
      <w:bookmarkStart w:id="237" w:name="_Toc485889056"/>
      <w:bookmarkStart w:id="238" w:name="_Toc486277923"/>
      <w:bookmarkStart w:id="239" w:name="_Toc234382958"/>
      <w:bookmarkStart w:id="240" w:name="_Toc18643"/>
      <w:r>
        <w:rPr>
          <w:rFonts w:hint="eastAsia" w:ascii="黑体" w:hAnsi="宋体" w:eastAsia="黑体"/>
          <w:color w:val="auto"/>
          <w:sz w:val="28"/>
          <w:szCs w:val="28"/>
          <w:highlight w:val="none"/>
        </w:rPr>
        <w:t>（一）投标函</w:t>
      </w:r>
      <w:bookmarkEnd w:id="237"/>
      <w:bookmarkEnd w:id="238"/>
      <w:bookmarkEnd w:id="239"/>
      <w:bookmarkEnd w:id="240"/>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2"/>
        <w:spacing w:beforeLines="50" w:afterLines="100" w:line="360" w:lineRule="exact"/>
        <w:jc w:val="center"/>
        <w:rPr>
          <w:color w:val="auto"/>
          <w:sz w:val="24"/>
          <w:highlight w:val="none"/>
        </w:rPr>
      </w:pPr>
      <w:r>
        <w:rPr>
          <w:rFonts w:ascii="宋体" w:hAnsi="宋体"/>
          <w:color w:val="auto"/>
          <w:sz w:val="24"/>
          <w:highlight w:val="none"/>
        </w:rPr>
        <w:br w:type="page"/>
      </w:r>
      <w:bookmarkStart w:id="241" w:name="_Toc234382959"/>
      <w:bookmarkStart w:id="242" w:name="_Toc485889057"/>
      <w:bookmarkStart w:id="243" w:name="_Toc5832"/>
      <w:bookmarkStart w:id="244" w:name="_Toc486277924"/>
      <w:r>
        <w:rPr>
          <w:rFonts w:hint="eastAsia" w:ascii="黑体" w:hAnsi="宋体" w:eastAsia="黑体"/>
          <w:color w:val="auto"/>
          <w:sz w:val="28"/>
          <w:szCs w:val="28"/>
          <w:highlight w:val="none"/>
        </w:rPr>
        <w:t>（二）投标函附录</w:t>
      </w:r>
      <w:bookmarkEnd w:id="241"/>
      <w:bookmarkEnd w:id="242"/>
      <w:bookmarkEnd w:id="243"/>
      <w:bookmarkEnd w:id="244"/>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2"/>
        <w:spacing w:beforeLines="50" w:after="0" w:line="360" w:lineRule="exact"/>
        <w:jc w:val="center"/>
        <w:rPr>
          <w:rFonts w:ascii="黑体" w:hAnsi="宋体" w:eastAsia="黑体"/>
          <w:color w:val="auto"/>
          <w:sz w:val="28"/>
          <w:szCs w:val="28"/>
          <w:highlight w:val="none"/>
        </w:rPr>
      </w:pPr>
      <w:bookmarkStart w:id="245" w:name="_Toc486277926"/>
      <w:bookmarkStart w:id="246" w:name="_Toc485889059"/>
      <w:bookmarkStart w:id="247" w:name="_Toc234382961"/>
      <w:bookmarkStart w:id="248" w:name="_Toc29117"/>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5"/>
      <w:bookmarkEnd w:id="246"/>
      <w:bookmarkEnd w:id="247"/>
      <w:bookmarkEnd w:id="248"/>
    </w:p>
    <w:p>
      <w:pPr>
        <w:pStyle w:val="2"/>
        <w:spacing w:beforeLines="100" w:afterLines="150" w:line="360" w:lineRule="exact"/>
        <w:jc w:val="center"/>
        <w:rPr>
          <w:rFonts w:ascii="黑体" w:hAnsi="宋体" w:eastAsia="黑体"/>
          <w:color w:val="auto"/>
          <w:sz w:val="28"/>
          <w:szCs w:val="28"/>
          <w:highlight w:val="none"/>
        </w:rPr>
      </w:pPr>
      <w:bookmarkStart w:id="249" w:name="_Toc486277927"/>
      <w:bookmarkStart w:id="250" w:name="_Toc234382962"/>
      <w:bookmarkStart w:id="251" w:name="_Toc4437"/>
      <w:bookmarkStart w:id="252" w:name="_Toc485889060"/>
      <w:r>
        <w:rPr>
          <w:rFonts w:hint="eastAsia" w:ascii="黑体" w:hAnsi="宋体" w:eastAsia="黑体"/>
          <w:color w:val="auto"/>
          <w:sz w:val="28"/>
          <w:szCs w:val="28"/>
          <w:highlight w:val="none"/>
        </w:rPr>
        <w:t>（一）法定代表人身份证明</w:t>
      </w:r>
      <w:bookmarkEnd w:id="249"/>
      <w:bookmarkEnd w:id="250"/>
      <w:bookmarkEnd w:id="251"/>
      <w:bookmarkEnd w:id="252"/>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2"/>
        <w:spacing w:beforeLines="100" w:afterLines="150" w:line="360" w:lineRule="exact"/>
        <w:jc w:val="center"/>
        <w:rPr>
          <w:rFonts w:ascii="黑体" w:hAnsi="宋体" w:eastAsia="黑体"/>
          <w:color w:val="auto"/>
          <w:sz w:val="28"/>
          <w:szCs w:val="28"/>
          <w:highlight w:val="none"/>
        </w:rPr>
      </w:pPr>
      <w:bookmarkStart w:id="253" w:name="_Toc234382964"/>
      <w:r>
        <w:rPr>
          <w:rFonts w:ascii="黑体" w:hAnsi="宋体" w:eastAsia="黑体"/>
          <w:color w:val="auto"/>
          <w:sz w:val="28"/>
          <w:szCs w:val="28"/>
          <w:highlight w:val="none"/>
        </w:rPr>
        <w:br w:type="page"/>
      </w:r>
      <w:bookmarkStart w:id="254" w:name="_Toc485889061"/>
      <w:bookmarkStart w:id="255" w:name="_Toc486277928"/>
      <w:bookmarkStart w:id="256" w:name="_Toc25686"/>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3"/>
      <w:bookmarkEnd w:id="254"/>
      <w:bookmarkEnd w:id="255"/>
      <w:bookmarkEnd w:id="256"/>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2"/>
        <w:spacing w:beforeLines="100" w:afterLines="150" w:line="360" w:lineRule="exact"/>
        <w:jc w:val="center"/>
        <w:rPr>
          <w:color w:val="auto"/>
          <w:highlight w:val="none"/>
        </w:rPr>
      </w:pPr>
      <w:r>
        <w:rPr>
          <w:rFonts w:ascii="宋体"/>
          <w:color w:val="auto"/>
          <w:highlight w:val="none"/>
        </w:rPr>
        <w:br w:type="page"/>
      </w:r>
      <w:bookmarkStart w:id="257" w:name="_Toc485889062"/>
      <w:bookmarkStart w:id="258" w:name="_Toc19556"/>
      <w:bookmarkStart w:id="259" w:name="_Toc486277929"/>
      <w:bookmarkStart w:id="260" w:name="_Toc234382966"/>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7"/>
      <w:bookmarkEnd w:id="258"/>
      <w:bookmarkEnd w:id="259"/>
      <w:bookmarkEnd w:id="260"/>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2"/>
        <w:keepNext w:val="0"/>
        <w:keepLines w:val="0"/>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bookmarkStart w:id="261" w:name="_Toc485889070"/>
      <w:bookmarkStart w:id="262" w:name="_Toc486277936"/>
      <w:bookmarkStart w:id="263" w:name="_Toc234382974"/>
      <w:bookmarkStart w:id="264" w:name="_Toc19898"/>
    </w:p>
    <w:p>
      <w:pPr>
        <w:pStyle w:val="3"/>
        <w:spacing w:before="120" w:after="120" w:line="377" w:lineRule="auto"/>
        <w:rPr>
          <w:rFonts w:hint="eastAsia"/>
          <w:color w:val="auto"/>
          <w:highlight w:val="none"/>
        </w:rPr>
      </w:pPr>
      <w:r>
        <w:rPr>
          <w:rFonts w:hint="eastAsia"/>
          <w:color w:val="auto"/>
          <w:highlight w:val="none"/>
        </w:rPr>
        <w:t>附表一   施工总体计划表</w:t>
      </w:r>
    </w:p>
    <w:tbl>
      <w:tblPr>
        <w:tblStyle w:val="12"/>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3"/>
        <w:spacing w:before="120" w:after="0" w:line="240" w:lineRule="auto"/>
        <w:rPr>
          <w:color w:val="auto"/>
          <w:highlight w:val="none"/>
        </w:rPr>
      </w:pPr>
    </w:p>
    <w:p>
      <w:pPr>
        <w:pStyle w:val="3"/>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rPr>
          <w:rFonts w:hint="eastAsia"/>
          <w:color w:val="auto"/>
          <w:highlight w:val="none"/>
        </w:r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color w:val="auto"/>
          <w:szCs w:val="21"/>
          <w:highlight w:val="none"/>
        </w:rPr>
        <w:t xml:space="preserve">    2.各个项目的进程可用线条的长短来表示。</w:t>
      </w:r>
    </w:p>
    <w:p>
      <w:pPr>
        <w:pStyle w:val="2"/>
        <w:spacing w:before="120" w:beforeLines="50" w:after="0" w:line="400" w:lineRule="exact"/>
        <w:rPr>
          <w:rFonts w:ascii="Arial" w:hAnsi="Arial" w:eastAsia="黑体"/>
          <w:color w:val="auto"/>
          <w:kern w:val="2"/>
          <w:sz w:val="28"/>
          <w:szCs w:val="28"/>
          <w:highlight w:val="none"/>
        </w:rPr>
      </w:pPr>
      <w:bookmarkStart w:id="265"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5"/>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-3810</wp:posOffset>
                      </wp:positionV>
                      <wp:extent cx="1397000" cy="563245"/>
                      <wp:effectExtent l="1905" t="4445" r="10795" b="22860"/>
                      <wp:wrapNone/>
                      <wp:docPr id="16" name="自选图形 3"/>
                      <wp:cNvGraphicFramePr/>
                      <a:graphic xmlns:a="http://schemas.openxmlformats.org/drawingml/2006/main">
                        <a:graphicData uri="http://schemas.microsoft.com/office/word/2010/wordprocessingShape">
                          <wps:wsp>
                            <wps:cNvCnPr/>
                            <wps:spPr>
                              <a:xfrm>
                                <a:off x="0" y="0"/>
                                <a:ext cx="1397000" cy="563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9pt;margin-top:-0.3pt;height:44.35pt;width:110pt;z-index:251659264;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Y6SS53gEAAJs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NjpJLneAQAAmwMA&#10;AA4AAAAAAAAAAQAgAAAAJgEAAGRycy9lMm9Eb2MueG1sUEsFBgAAAAAGAAYAWQEAAHYFAAAAAA==&#10;">
                      <v:fill on="f" focussize="0,0"/>
                      <v:stroke color="#000000" joinstyle="round"/>
                      <v:imagedata o:title=""/>
                      <o:lock v:ext="edit" aspectratio="f"/>
                    </v:shape>
                  </w:pict>
                </mc:Fallback>
              </mc:AlternateContent>
            </w:r>
            <w:r>
              <w:rPr>
                <w:rFonts w:hint="eastAsia"/>
                <w:color w:val="auto"/>
                <w:highlight w:val="none"/>
              </w:rPr>
              <w:t xml:space="preserve">            年  度</w:t>
            </w:r>
          </w:p>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20320</wp:posOffset>
                      </wp:positionV>
                      <wp:extent cx="217805" cy="273685"/>
                      <wp:effectExtent l="0" t="0" r="0" b="0"/>
                      <wp:wrapNone/>
                      <wp:docPr id="18" name="矩形 4"/>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季</w:t>
                                  </w:r>
                                </w:p>
                              </w:txbxContent>
                            </wps:txbx>
                            <wps:bodyPr upright="1"/>
                          </wps:wsp>
                        </a:graphicData>
                      </a:graphic>
                    </wp:anchor>
                  </w:drawing>
                </mc:Choice>
                <mc:Fallback>
                  <w:pict>
                    <v:rect id="矩形 4" o:spid="_x0000_s1026" o:spt="1" style="position:absolute;left:0pt;margin-left:61.5pt;margin-top:1.6pt;height:21.55pt;width:17.15pt;z-index:251660288;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CYJtYijAEAAPwCAAAOAAAAAAAAAAEAIAAAACgBAABkcnMv&#10;ZTJvRG9jLnhtbFBLBQYAAAAABgAGAFkBAAAmBQAAAAA=&#10;">
                      <v:fill on="f" focussize="0,0"/>
                      <v:stroke on="f"/>
                      <v:imagedata o:title=""/>
                      <o:lock v:ext="edit" aspectratio="f"/>
                      <v:textbox>
                        <w:txbxContent>
                          <w:p>
                            <w:r>
                              <w:rPr>
                                <w:rFonts w:hint="eastAsia"/>
                              </w:rPr>
                              <w:t>季</w:t>
                            </w:r>
                          </w:p>
                        </w:txbxContent>
                      </v:textbox>
                    </v:rect>
                  </w:pict>
                </mc:Fallback>
              </mc:AlternateConten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15" name="矩形 5"/>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度</w:t>
                                  </w:r>
                                </w:p>
                              </w:txbxContent>
                            </wps:txbx>
                            <wps:bodyPr upright="1"/>
                          </wps:wsp>
                        </a:graphicData>
                      </a:graphic>
                    </wp:anchor>
                  </w:drawing>
                </mc:Choice>
                <mc:Fallback>
                  <w:pict>
                    <v:rect id="矩形 5" o:spid="_x0000_s1026" o:spt="1" style="position:absolute;left:0pt;margin-left:84pt;margin-top:-0.45pt;height:21.55pt;width:17.15pt;z-index:251661312;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MyABriLAQAA/A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xd1NKLHM4I7eHp9fX57IJInT+1Bjzq2/gZ0X8JqYDhJMOpEDGbKg272g&#10;YoiE42M1Pp2WiMsxVJ0en0wzZvFV7CHEC+EMSZeGAu4ry8g2lyFiQ0z9TEm9rFsqrfPOtCV9Q88m&#10;1SQX7CNYoS0WpsE/Rk23OKyG3fwr126R8oMHte6w5zjRzOkoce64+w5ph9/9nPX1ae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MyABriLAQAA/AIAAA4AAAAAAAAAAQAgAAAAKAEAAGRycy9l&#10;Mm9Eb2MueG1sUEsFBgAAAAAGAAYAWQEAACUFAAAAAA==&#10;">
                      <v:fill on="f" focussize="0,0"/>
                      <v:stroke on="f"/>
                      <v:imagedata o:title=""/>
                      <o:lock v:ext="edit" aspectratio="f"/>
                      <v:textbox>
                        <w:txbxContent>
                          <w:p>
                            <w:r>
                              <w:rPr>
                                <w:rFonts w:hint="eastAsia"/>
                              </w:rPr>
                              <w:t>度</w:t>
                            </w:r>
                          </w:p>
                        </w:txbxContent>
                      </v:textbox>
                    </v:rect>
                  </w:pict>
                </mc:Fallback>
              </mc:AlternateConten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245745</wp:posOffset>
                      </wp:positionV>
                      <wp:extent cx="1141730" cy="5772150"/>
                      <wp:effectExtent l="0" t="0" r="0" b="0"/>
                      <wp:wrapNone/>
                      <wp:docPr id="17" name="矩形 6"/>
                      <wp:cNvGraphicFramePr/>
                      <a:graphic xmlns:a="http://schemas.openxmlformats.org/drawingml/2006/main">
                        <a:graphicData uri="http://schemas.microsoft.com/office/word/2010/wordprocessingShape">
                          <wps:wsp>
                            <wps:cNvSpPr/>
                            <wps:spPr>
                              <a:xfrm>
                                <a:off x="0" y="0"/>
                                <a:ext cx="1141730" cy="5772150"/>
                              </a:xfrm>
                              <a:prstGeom prst="rect">
                                <a:avLst/>
                              </a:prstGeom>
                              <a:noFill/>
                              <a:ln w="9525">
                                <a:noFill/>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wps:txbx>
                            <wps:bodyPr upright="1"/>
                          </wps:wsp>
                        </a:graphicData>
                      </a:graphic>
                    </wp:anchor>
                  </w:drawing>
                </mc:Choice>
                <mc:Fallback>
                  <w:pict>
                    <v:rect id="矩形 6" o:spid="_x0000_s1026" o:spt="1" style="position:absolute;left:0pt;margin-left:-5.55pt;margin-top:19.35pt;height:454.5pt;width:89.9pt;z-index:251662336;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JQMRIjgEAAP4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hrc3YQSywzu6P3p5e31mZwmcTofKsy587ew9QJeE9NegkknciB9FnSz&#10;E1T0kXB8LMuTcnKMunOMjSeTUTnOkhf7cg8hXgpnSLrUFHBjWUi2vgoRW2LqV0rqZt1CaZ23pi3p&#10;ano+Ho1zwS6CFdpiYRr9c9h0i/2y3zJYumaDpB89qFWLPctENKejyLnj9kOkLX73c9b+28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BJQMRIjgEAAP4CAAAOAAAAAAAAAAEAIAAAACkBAABk&#10;cnMvZTJvRG9jLnhtbFBLBQYAAAAABgAGAFkBAAApBQAAAAA=&#10;">
                      <v:fill on="f" focussize="0,0"/>
                      <v:stroke on="f"/>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mc:Fallback>
              </mc:AlternateConten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eastAsia="隶书"/>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379095</wp:posOffset>
                </wp:positionV>
                <wp:extent cx="3657600" cy="2921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3657600" cy="292100"/>
                        </a:xfrm>
                        <a:prstGeom prst="rect">
                          <a:avLst/>
                        </a:prstGeom>
                        <a:noFill/>
                        <a:ln w="9525">
                          <a:noFill/>
                        </a:ln>
                      </wps:spPr>
                      <wps:txbx>
                        <w:txbxContent>
                          <w:p>
                            <w:pPr>
                              <w:jc w:val="center"/>
                              <w:rPr>
                                <w:rFonts w:hint="eastAsia" w:ascii="宋体" w:hAnsi="宋体"/>
                              </w:rPr>
                            </w:pPr>
                            <w:r>
                              <w:rPr>
                                <w:rFonts w:hint="eastAsia" w:ascii="宋体" w:hAnsi="宋体"/>
                              </w:rPr>
                              <w:t>工期历程的百分比（%）</w:t>
                            </w:r>
                          </w:p>
                        </w:txbxContent>
                      </wps:txbx>
                      <wps:bodyPr upright="1"/>
                    </wps:wsp>
                  </a:graphicData>
                </a:graphic>
              </wp:anchor>
            </w:drawing>
          </mc:Choice>
          <mc:Fallback>
            <w:pict>
              <v:shape id="文本框 2" o:spid="_x0000_s1026" o:spt="202" type="#_x0000_t202" style="position:absolute;left:0pt;margin-left:72.35pt;margin-top:29.85pt;height:23pt;width:288pt;z-index:251658240;mso-width-relative:page;mso-height-relative:page;" filled="f" stroked="f" coordsize="21600,21600" o:gfxdata="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&#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LO2ftYAAAAKAQAADwAAAAAAAAABACAAAAAiAAAA&#10;ZHJzL2Rvd25yZXYueG1sUEsBAhQAFAAAAAgAh07iQOEgKOyXAQAACgMAAA4AAAAAAAAAAQAgAAAA&#10;JQEAAGRycy9lMm9Eb2MueG1sUEsFBgAAAAAGAAYAWQEAAC4FAAAAAA==&#10;">
                <v:fill on="f" focussize="0,0"/>
                <v:stroke on="f"/>
                <v:imagedata o:title=""/>
                <o:lock v:ext="edit" aspectratio="f"/>
                <v:textbox>
                  <w:txbxContent>
                    <w:p>
                      <w:pPr>
                        <w:jc w:val="center"/>
                        <w:rPr>
                          <w:rFonts w:hint="eastAsia" w:ascii="宋体" w:hAnsi="宋体"/>
                        </w:rPr>
                      </w:pPr>
                      <w:r>
                        <w:rPr>
                          <w:rFonts w:hint="eastAsia" w:ascii="宋体" w:hAnsi="宋体"/>
                        </w:rPr>
                        <w:t>工期历程的百分比（%）</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9" name="矩形 19"/>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wps:spPr>
                      <wps:txbx>
                        <w:txbxContent>
                          <w:p>
                            <w:r>
                              <w:rPr>
                                <w:rFonts w:hint="eastAsia"/>
                              </w:rP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3360;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1AndkAAAAJAQAADwAAAAAAAAABACAAAAAiAAAAZHJzL2Rv&#10;d25yZXYueG1sUEsBAhQAFAAAAAgAh07iQJCzCcGOAQAA/gIAAA4AAAAAAAAAAQAgAAAAKAEAAGRy&#10;cy9lMm9Eb2MueG1sUEsFBgAAAAAGAAYAWQEAACgFAAAAAA==&#10;">
                <v:fill on="f" focussize="0,0"/>
                <v:stroke on="f"/>
                <v:imagedata o:title=""/>
                <o:lock v:ext="edit" aspectratio="f"/>
                <v:textbox>
                  <w:txbxContent>
                    <w:p>
                      <w:r>
                        <w:rPr>
                          <w:rFonts w:hint="eastAsia"/>
                        </w:rPr>
                        <w:t>0     10     20     30     40      50     60     70     80     90    100</w:t>
                      </w:r>
                    </w:p>
                  </w:txbxContent>
                </v:textbox>
              </v:rect>
            </w:pict>
          </mc:Fallback>
        </mc:AlternateConten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keepNext w:val="0"/>
        <w:keepLines w:val="0"/>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p>
    <w:p>
      <w:pPr>
        <w:pStyle w:val="2"/>
        <w:spacing w:before="120" w:beforeLines="50" w:after="240" w:line="400" w:lineRule="exact"/>
        <w:rPr>
          <w:rFonts w:ascii="Arial" w:hAnsi="Arial" w:eastAsia="黑体"/>
          <w:color w:val="auto"/>
          <w:kern w:val="2"/>
          <w:sz w:val="28"/>
          <w:szCs w:val="28"/>
          <w:highlight w:val="none"/>
        </w:rPr>
      </w:pPr>
      <w:bookmarkStart w:id="266"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6"/>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rPr>
          <w:rFonts w:hint="eastAsia"/>
          <w:color w:val="auto"/>
          <w:highlight w:val="none"/>
        </w:r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2"/>
        <w:spacing w:before="120" w:beforeLines="50" w:after="240" w:line="400" w:lineRule="exact"/>
        <w:rPr>
          <w:rFonts w:ascii="Arial" w:hAnsi="Arial" w:eastAsia="黑体"/>
          <w:color w:val="auto"/>
          <w:kern w:val="2"/>
          <w:sz w:val="28"/>
          <w:szCs w:val="28"/>
          <w:highlight w:val="none"/>
        </w:rPr>
      </w:pPr>
      <w:bookmarkStart w:id="267"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7"/>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2"/>
        <w:spacing w:before="120" w:beforeLines="50" w:after="240" w:line="400" w:lineRule="exact"/>
        <w:rPr>
          <w:rFonts w:ascii="Arial" w:hAnsi="Arial" w:eastAsia="黑体"/>
          <w:color w:val="auto"/>
          <w:kern w:val="2"/>
          <w:sz w:val="28"/>
          <w:szCs w:val="28"/>
          <w:highlight w:val="none"/>
        </w:rPr>
      </w:pPr>
      <w:bookmarkStart w:id="268"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8"/>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2"/>
        <w:spacing w:before="120"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9"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9"/>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2"/>
        <w:spacing w:before="120"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70" w:name="_Toc234382972"/>
      <w:r>
        <w:rPr>
          <w:rFonts w:hint="eastAsia" w:ascii="Arial" w:hAnsi="Arial" w:eastAsia="黑体"/>
          <w:color w:val="auto"/>
          <w:kern w:val="2"/>
          <w:sz w:val="28"/>
          <w:szCs w:val="28"/>
          <w:highlight w:val="none"/>
        </w:rPr>
        <w:t>附表八  外供电力需求计划表</w:t>
      </w:r>
      <w:bookmarkEnd w:id="270"/>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2"/>
        <w:spacing w:before="120"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2"/>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2"/>
        <w:keepNext w:val="0"/>
        <w:keepLines w:val="0"/>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61"/>
      <w:bookmarkEnd w:id="262"/>
      <w:bookmarkEnd w:id="263"/>
      <w:bookmarkEnd w:id="264"/>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2"/>
        <w:spacing w:beforeLines="100" w:afterLines="150" w:line="360" w:lineRule="exact"/>
        <w:jc w:val="center"/>
        <w:rPr>
          <w:rFonts w:ascii="黑体" w:hAnsi="宋体" w:eastAsia="黑体"/>
          <w:color w:val="auto"/>
          <w:sz w:val="28"/>
          <w:szCs w:val="28"/>
          <w:highlight w:val="none"/>
        </w:rPr>
      </w:pPr>
      <w:bookmarkStart w:id="271" w:name="_Toc485889072"/>
      <w:bookmarkStart w:id="272" w:name="_Toc18211"/>
      <w:bookmarkStart w:id="273" w:name="_Toc234382977"/>
      <w:bookmarkStart w:id="274" w:name="_Toc486277938"/>
      <w:r>
        <w:rPr>
          <w:rFonts w:hint="eastAsia" w:ascii="黑体" w:hAnsi="宋体" w:eastAsia="黑体"/>
          <w:color w:val="auto"/>
          <w:sz w:val="28"/>
          <w:szCs w:val="28"/>
          <w:highlight w:val="none"/>
        </w:rPr>
        <w:t>六、资格审查资料</w:t>
      </w:r>
      <w:bookmarkEnd w:id="271"/>
      <w:bookmarkEnd w:id="272"/>
      <w:bookmarkEnd w:id="273"/>
      <w:bookmarkEnd w:id="274"/>
    </w:p>
    <w:p>
      <w:pPr>
        <w:pStyle w:val="2"/>
        <w:spacing w:beforeLines="100" w:afterLines="150" w:line="360" w:lineRule="exact"/>
        <w:jc w:val="center"/>
        <w:rPr>
          <w:rFonts w:ascii="黑体" w:hAnsi="宋体" w:eastAsia="黑体"/>
          <w:color w:val="auto"/>
          <w:sz w:val="28"/>
          <w:szCs w:val="28"/>
          <w:highlight w:val="none"/>
        </w:rPr>
      </w:pPr>
      <w:bookmarkStart w:id="275" w:name="_Toc486277939"/>
      <w:bookmarkStart w:id="276" w:name="_Toc234382978"/>
      <w:bookmarkStart w:id="277" w:name="_Toc9432"/>
      <w:bookmarkStart w:id="278" w:name="_Toc485889073"/>
      <w:r>
        <w:rPr>
          <w:rFonts w:hint="eastAsia" w:ascii="黑体" w:hAnsi="宋体" w:eastAsia="黑体"/>
          <w:color w:val="auto"/>
          <w:sz w:val="28"/>
          <w:szCs w:val="28"/>
          <w:highlight w:val="none"/>
        </w:rPr>
        <w:t>（一）投标人基本情况表</w:t>
      </w:r>
      <w:bookmarkEnd w:id="275"/>
      <w:bookmarkEnd w:id="276"/>
      <w:bookmarkEnd w:id="277"/>
      <w:bookmarkEnd w:id="278"/>
    </w:p>
    <w:tbl>
      <w:tblPr>
        <w:tblStyle w:val="12"/>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both"/>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w:t>
      </w:r>
      <w:r>
        <w:rPr>
          <w:rFonts w:hint="eastAsia" w:ascii="宋体" w:hAnsi="宋体"/>
          <w:color w:val="auto"/>
          <w:szCs w:val="21"/>
          <w:highlight w:val="none"/>
          <w:lang w:eastAsia="zh-CN"/>
        </w:rPr>
        <w:t>、</w:t>
      </w:r>
      <w:r>
        <w:rPr>
          <w:rFonts w:hint="eastAsia" w:ascii="宋体" w:hAnsi="宋体"/>
          <w:color w:val="auto"/>
          <w:szCs w:val="21"/>
          <w:highlight w:val="none"/>
        </w:rPr>
        <w:t>基本账户开户许可证和</w:t>
      </w:r>
      <w:r>
        <w:rPr>
          <w:rFonts w:hint="eastAsia" w:ascii="宋体" w:hAnsi="宋体"/>
          <w:color w:val="auto"/>
          <w:szCs w:val="21"/>
          <w:highlight w:val="none"/>
          <w:lang w:eastAsia="zh-CN"/>
        </w:rPr>
        <w:t>行贿犯罪档案查询结果告知函</w:t>
      </w:r>
      <w:r>
        <w:rPr>
          <w:rFonts w:hint="eastAsia" w:ascii="宋体" w:hAnsi="宋体"/>
          <w:color w:val="auto"/>
          <w:szCs w:val="21"/>
          <w:highlight w:val="none"/>
        </w:rPr>
        <w:t>的</w:t>
      </w:r>
      <w:r>
        <w:rPr>
          <w:rFonts w:hint="eastAsia" w:ascii="宋体" w:hAnsi="宋体"/>
          <w:color w:val="auto"/>
          <w:szCs w:val="21"/>
          <w:highlight w:val="none"/>
          <w:lang w:eastAsia="zh-CN"/>
        </w:rPr>
        <w:t>彩色</w:t>
      </w:r>
      <w:r>
        <w:rPr>
          <w:rFonts w:hint="eastAsia" w:ascii="宋体" w:hAnsi="宋体"/>
          <w:color w:val="auto"/>
          <w:szCs w:val="21"/>
          <w:highlight w:val="none"/>
        </w:rPr>
        <w:t>扫描</w:t>
      </w:r>
      <w:r>
        <w:rPr>
          <w:rFonts w:hint="eastAsia" w:ascii="宋体" w:hAnsi="宋体"/>
          <w:color w:val="auto"/>
          <w:szCs w:val="21"/>
          <w:highlight w:val="none"/>
          <w:lang w:eastAsia="zh-CN"/>
        </w:rPr>
        <w:t>件</w:t>
      </w:r>
      <w:r>
        <w:rPr>
          <w:rFonts w:hint="eastAsia" w:ascii="宋体" w:hAnsi="宋体"/>
          <w:color w:val="auto"/>
          <w:szCs w:val="21"/>
          <w:highlight w:val="none"/>
        </w:rPr>
        <w:t>并加盖单位章。</w:t>
      </w:r>
    </w:p>
    <w:p>
      <w:pPr>
        <w:pStyle w:val="2"/>
        <w:spacing w:beforeLines="100" w:afterLines="150" w:line="360" w:lineRule="exact"/>
        <w:jc w:val="center"/>
        <w:rPr>
          <w:rFonts w:ascii="黑体" w:hAnsi="宋体" w:eastAsia="黑体"/>
          <w:color w:val="auto"/>
          <w:sz w:val="28"/>
          <w:szCs w:val="28"/>
          <w:highlight w:val="none"/>
        </w:rPr>
      </w:pPr>
      <w:bookmarkStart w:id="279" w:name="_Toc234382979"/>
      <w:bookmarkStart w:id="280" w:name="_Toc10076"/>
      <w:bookmarkStart w:id="281" w:name="_Toc486277940"/>
      <w:bookmarkStart w:id="282" w:name="_Toc485889074"/>
      <w:r>
        <w:rPr>
          <w:rFonts w:hint="eastAsia" w:ascii="黑体" w:hAnsi="宋体" w:eastAsia="黑体"/>
          <w:color w:val="auto"/>
          <w:sz w:val="28"/>
          <w:szCs w:val="28"/>
          <w:highlight w:val="none"/>
        </w:rPr>
        <w:t>（二）投标人企业组织结构框图</w:t>
      </w:r>
      <w:bookmarkEnd w:id="279"/>
      <w:bookmarkEnd w:id="280"/>
      <w:bookmarkEnd w:id="281"/>
      <w:bookmarkEnd w:id="282"/>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rFonts w:hint="eastAsia" w:cs="宋体"/>
                <w:color w:val="auto"/>
                <w:sz w:val="24"/>
                <w:szCs w:val="21"/>
                <w:highlight w:val="none"/>
              </w:rPr>
            </w:pPr>
          </w:p>
          <w:p>
            <w:pPr>
              <w:rPr>
                <w:rFonts w:cs="宋体"/>
                <w:color w:val="auto"/>
                <w:szCs w:val="21"/>
                <w:highlight w:val="none"/>
              </w:rPr>
            </w:pPr>
            <w:r>
              <w:rPr>
                <w:rFonts w:hint="eastAsia" w:cs="宋体"/>
                <w:color w:val="auto"/>
                <w:sz w:val="24"/>
                <w:szCs w:val="21"/>
                <w:highlight w:val="none"/>
              </w:rPr>
              <w:t>以框图方式表示</w:t>
            </w:r>
            <w:r>
              <w:rPr>
                <w:rFonts w:hint="eastAsia" w:cs="宋体"/>
                <w:color w:val="auto"/>
                <w:sz w:val="24"/>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2"/>
        <w:spacing w:beforeLines="100" w:afterLines="150" w:line="360" w:lineRule="exact"/>
        <w:jc w:val="center"/>
        <w:rPr>
          <w:color w:val="auto"/>
          <w:highlight w:val="none"/>
        </w:rPr>
      </w:pPr>
      <w:r>
        <w:rPr>
          <w:color w:val="auto"/>
          <w:highlight w:val="none"/>
        </w:rPr>
        <w:br w:type="page"/>
      </w:r>
      <w:bookmarkStart w:id="283" w:name="_Toc8347"/>
      <w:bookmarkStart w:id="284" w:name="_Toc486277941"/>
      <w:bookmarkStart w:id="285" w:name="_Toc485889075"/>
      <w:bookmarkStart w:id="286" w:name="_Toc234382980"/>
      <w:r>
        <w:rPr>
          <w:rFonts w:hint="eastAsia" w:ascii="黑体" w:hAnsi="宋体" w:eastAsia="黑体"/>
          <w:color w:val="auto"/>
          <w:sz w:val="28"/>
          <w:szCs w:val="28"/>
          <w:highlight w:val="none"/>
        </w:rPr>
        <w:t>（三）拟委任的项目经理和项目总工资历表</w:t>
      </w:r>
      <w:bookmarkEnd w:id="283"/>
      <w:bookmarkEnd w:id="284"/>
      <w:bookmarkEnd w:id="285"/>
      <w:bookmarkEnd w:id="286"/>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hint="eastAsia"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w:t>
      </w:r>
    </w:p>
    <w:p>
      <w:pPr>
        <w:ind w:left="735" w:hanging="735" w:hangingChars="350"/>
        <w:rPr>
          <w:rFonts w:hint="eastAsia" w:ascii="宋体" w:hAnsi="宋体"/>
          <w:color w:val="auto"/>
          <w:szCs w:val="21"/>
          <w:highlight w:val="none"/>
        </w:rPr>
      </w:pPr>
      <w:r>
        <w:rPr>
          <w:rFonts w:hint="eastAsia" w:ascii="宋体" w:hAnsi="宋体"/>
          <w:color w:val="auto"/>
          <w:szCs w:val="21"/>
          <w:highlight w:val="none"/>
        </w:rPr>
        <w:t>（如建造师注册证书、安全生产考核合格证书等）的复印件，并应提供其担任类似项目的项目经理和</w:t>
      </w:r>
    </w:p>
    <w:p>
      <w:pPr>
        <w:ind w:left="735" w:hanging="735" w:hangingChars="350"/>
        <w:rPr>
          <w:rFonts w:ascii="宋体" w:hAnsi="宋体"/>
          <w:color w:val="auto"/>
          <w:szCs w:val="21"/>
          <w:highlight w:val="none"/>
        </w:rPr>
      </w:pPr>
      <w:r>
        <w:rPr>
          <w:rFonts w:hint="eastAsia" w:ascii="宋体" w:hAnsi="宋体"/>
          <w:color w:val="auto"/>
          <w:szCs w:val="21"/>
          <w:highlight w:val="none"/>
        </w:rPr>
        <w:t>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7" w:name="_Toc234382981"/>
      <w:bookmarkStart w:id="288" w:name="_Toc193904176"/>
      <w:bookmarkStart w:id="289" w:name="_Toc234242180"/>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90" w:name="_Toc485889076"/>
      <w:r>
        <w:rPr>
          <w:rFonts w:hint="eastAsia" w:ascii="黑体" w:hAnsi="宋体" w:eastAsia="黑体"/>
          <w:b/>
          <w:bCs/>
          <w:color w:val="auto"/>
          <w:kern w:val="44"/>
          <w:sz w:val="28"/>
          <w:szCs w:val="28"/>
          <w:highlight w:val="none"/>
        </w:rPr>
        <w:t>（四）近年财务状况表</w:t>
      </w:r>
      <w:bookmarkEnd w:id="287"/>
      <w:bookmarkEnd w:id="288"/>
      <w:bookmarkEnd w:id="289"/>
      <w:bookmarkEnd w:id="290"/>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2"/>
        <w:spacing w:beforeLines="100" w:afterLines="100" w:line="360" w:lineRule="exact"/>
        <w:jc w:val="center"/>
        <w:rPr>
          <w:rFonts w:ascii="黑体" w:hAnsi="宋体" w:eastAsia="黑体"/>
          <w:color w:val="auto"/>
          <w:sz w:val="28"/>
          <w:szCs w:val="28"/>
          <w:highlight w:val="none"/>
        </w:rPr>
      </w:pPr>
      <w:bookmarkStart w:id="291" w:name="_Toc30568"/>
      <w:bookmarkStart w:id="292" w:name="_Toc485889077"/>
      <w:bookmarkStart w:id="293" w:name="_Toc234242181"/>
      <w:bookmarkStart w:id="294" w:name="_Toc234382982"/>
      <w:bookmarkStart w:id="295" w:name="_Toc486277942"/>
      <w:r>
        <w:rPr>
          <w:rFonts w:hint="eastAsia" w:ascii="黑体" w:hAnsi="宋体" w:eastAsia="黑体"/>
          <w:color w:val="auto"/>
          <w:sz w:val="28"/>
          <w:szCs w:val="28"/>
          <w:highlight w:val="none"/>
        </w:rPr>
        <w:t>（五）近年完成的类似项目汇总表</w:t>
      </w:r>
      <w:bookmarkEnd w:id="291"/>
      <w:bookmarkEnd w:id="292"/>
      <w:bookmarkEnd w:id="293"/>
      <w:bookmarkEnd w:id="294"/>
      <w:bookmarkEnd w:id="295"/>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w:t>
      </w:r>
      <w:r>
        <w:rPr>
          <w:rFonts w:hint="eastAsia" w:ascii="宋体" w:hAnsi="宋体"/>
          <w:color w:val="auto"/>
          <w:szCs w:val="21"/>
          <w:highlight w:val="none"/>
          <w:lang w:val="en-US" w:eastAsia="zh-CN"/>
        </w:rPr>
        <w:t>5</w:t>
      </w:r>
      <w:r>
        <w:rPr>
          <w:rFonts w:hint="eastAsia" w:ascii="宋体" w:hAnsi="宋体"/>
          <w:color w:val="auto"/>
          <w:szCs w:val="21"/>
          <w:highlight w:val="none"/>
        </w:rPr>
        <w:t>年1月1日以来）完成的类似项目情况表中的内容相对应。</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2"/>
        <w:spacing w:beforeLines="100" w:afterLines="100" w:line="360" w:lineRule="exact"/>
        <w:jc w:val="center"/>
        <w:rPr>
          <w:rFonts w:ascii="黑体" w:hAnsi="宋体" w:eastAsia="黑体"/>
          <w:color w:val="auto"/>
          <w:sz w:val="28"/>
          <w:szCs w:val="28"/>
          <w:highlight w:val="none"/>
        </w:rPr>
      </w:pPr>
      <w:bookmarkStart w:id="296" w:name="_Toc485889078"/>
      <w:bookmarkStart w:id="297" w:name="_Toc7313"/>
      <w:bookmarkStart w:id="298" w:name="_Toc234242182"/>
      <w:bookmarkStart w:id="299" w:name="_Toc193904177"/>
      <w:bookmarkStart w:id="300" w:name="_Toc234382983"/>
      <w:bookmarkStart w:id="301" w:name="_Toc486277943"/>
      <w:r>
        <w:rPr>
          <w:rFonts w:hint="eastAsia" w:ascii="黑体" w:hAnsi="宋体" w:eastAsia="黑体"/>
          <w:color w:val="auto"/>
          <w:sz w:val="28"/>
          <w:szCs w:val="28"/>
          <w:highlight w:val="none"/>
        </w:rPr>
        <w:t>（六）正在施工和新承接的项目情况表</w:t>
      </w:r>
      <w:bookmarkEnd w:id="296"/>
      <w:bookmarkEnd w:id="297"/>
      <w:bookmarkEnd w:id="298"/>
      <w:bookmarkEnd w:id="299"/>
      <w:bookmarkEnd w:id="300"/>
      <w:bookmarkEnd w:id="301"/>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2"/>
        <w:spacing w:beforeLines="100" w:afterLines="100" w:line="360" w:lineRule="exact"/>
        <w:jc w:val="center"/>
        <w:rPr>
          <w:rFonts w:ascii="黑体" w:hAnsi="宋体" w:eastAsia="黑体"/>
          <w:color w:val="auto"/>
          <w:sz w:val="28"/>
          <w:szCs w:val="28"/>
          <w:highlight w:val="none"/>
        </w:rPr>
      </w:pPr>
      <w:bookmarkStart w:id="302" w:name="_Toc7381"/>
      <w:bookmarkStart w:id="303" w:name="_Toc234382984"/>
      <w:bookmarkStart w:id="304" w:name="_Toc485889079"/>
      <w:bookmarkStart w:id="305" w:name="_Toc486277944"/>
      <w:r>
        <w:rPr>
          <w:rFonts w:hint="eastAsia" w:ascii="黑体" w:hAnsi="宋体" w:eastAsia="黑体"/>
          <w:color w:val="auto"/>
          <w:sz w:val="28"/>
          <w:szCs w:val="28"/>
          <w:highlight w:val="none"/>
        </w:rPr>
        <w:t>（七）近年发生的诉讼及仲裁情况</w:t>
      </w:r>
      <w:bookmarkEnd w:id="302"/>
      <w:bookmarkEnd w:id="303"/>
      <w:bookmarkEnd w:id="304"/>
      <w:bookmarkEnd w:id="305"/>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6"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pageBreakBefore/>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八、关键设备最低条件</w:t>
      </w:r>
    </w:p>
    <w:tbl>
      <w:tblPr>
        <w:tblStyle w:val="12"/>
        <w:tblW w:w="93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0"/>
        <w:gridCol w:w="2048"/>
        <w:gridCol w:w="784"/>
        <w:gridCol w:w="1476"/>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2048" w:type="dxa"/>
            <w:vAlign w:val="center"/>
          </w:tcPr>
          <w:p>
            <w:pPr>
              <w:jc w:val="center"/>
              <w:rPr>
                <w:rFonts w:ascii="宋体" w:hAnsi="宋体"/>
                <w:color w:val="auto"/>
                <w:szCs w:val="21"/>
                <w:highlight w:val="none"/>
              </w:rPr>
            </w:pPr>
            <w:r>
              <w:rPr>
                <w:rFonts w:hint="eastAsia" w:ascii="宋体" w:hAnsi="宋体"/>
                <w:color w:val="auto"/>
                <w:szCs w:val="21"/>
                <w:highlight w:val="none"/>
              </w:rPr>
              <w:t>规格、功率及容量</w:t>
            </w:r>
          </w:p>
        </w:tc>
        <w:tc>
          <w:tcPr>
            <w:tcW w:w="784"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476" w:type="dxa"/>
            <w:vAlign w:val="center"/>
          </w:tcPr>
          <w:p>
            <w:pPr>
              <w:jc w:val="center"/>
              <w:rPr>
                <w:rFonts w:ascii="宋体" w:hAnsi="宋体"/>
                <w:color w:val="auto"/>
                <w:szCs w:val="21"/>
                <w:highlight w:val="none"/>
              </w:rPr>
            </w:pPr>
            <w:r>
              <w:rPr>
                <w:rFonts w:hint="eastAsia" w:ascii="宋体" w:hAnsi="宋体"/>
                <w:color w:val="auto"/>
                <w:szCs w:val="21"/>
                <w:highlight w:val="none"/>
              </w:rPr>
              <w:t>最低数量要求</w:t>
            </w:r>
          </w:p>
        </w:tc>
        <w:tc>
          <w:tcPr>
            <w:tcW w:w="2375" w:type="dxa"/>
            <w:vAlign w:val="center"/>
          </w:tcPr>
          <w:p>
            <w:pPr>
              <w:jc w:val="center"/>
              <w:rPr>
                <w:rFonts w:ascii="宋体" w:hAnsi="宋体"/>
                <w:color w:val="auto"/>
                <w:szCs w:val="21"/>
                <w:highlight w:val="none"/>
              </w:rPr>
            </w:pPr>
            <w:r>
              <w:rPr>
                <w:color w:val="auto"/>
                <w:szCs w:val="21"/>
                <w:highlight w:val="none"/>
              </w:rPr>
              <w:t>要</w:t>
            </w:r>
            <w:r>
              <w:rPr>
                <w:rFonts w:hint="eastAsia"/>
                <w:color w:val="auto"/>
                <w:szCs w:val="21"/>
                <w:highlight w:val="none"/>
              </w:rPr>
              <w:t xml:space="preserve">  </w:t>
            </w:r>
            <w:r>
              <w:rPr>
                <w:color w:val="auto"/>
                <w:szCs w:val="21"/>
                <w:highlight w:val="none"/>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水泥砼搅拌站</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color w:val="auto"/>
                <w:szCs w:val="21"/>
                <w:highlight w:val="none"/>
              </w:rPr>
              <w:t>1</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钻机</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2</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架桥机</w:t>
            </w:r>
          </w:p>
        </w:tc>
        <w:tc>
          <w:tcPr>
            <w:tcW w:w="2048" w:type="dxa"/>
            <w:vAlign w:val="center"/>
          </w:tcPr>
          <w:p>
            <w:pPr>
              <w:jc w:val="center"/>
              <w:rPr>
                <w:rFonts w:ascii="宋体" w:hAnsi="宋体"/>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水泥砼搅拌运输车</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3</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水泥砼输送泵</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color w:val="auto"/>
                <w:szCs w:val="21"/>
                <w:highlight w:val="none"/>
              </w:rPr>
            </w:pPr>
            <w:r>
              <w:rPr>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auto"/>
                <w:szCs w:val="21"/>
                <w:highlight w:val="none"/>
              </w:rPr>
            </w:pPr>
            <w:r>
              <w:rPr>
                <w:rFonts w:hint="eastAsia"/>
                <w:color w:val="auto"/>
                <w:szCs w:val="21"/>
                <w:highlight w:val="none"/>
              </w:rPr>
              <w:t>风镐</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4</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auto"/>
                <w:szCs w:val="21"/>
                <w:highlight w:val="none"/>
              </w:rPr>
            </w:pPr>
            <w:r>
              <w:rPr>
                <w:color w:val="auto"/>
                <w:szCs w:val="21"/>
                <w:highlight w:val="none"/>
              </w:rPr>
              <w:t>水泥混凝土路面振捣设备</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套</w:t>
            </w:r>
          </w:p>
        </w:tc>
        <w:tc>
          <w:tcPr>
            <w:tcW w:w="1476" w:type="dxa"/>
            <w:vAlign w:val="center"/>
          </w:tcPr>
          <w:p>
            <w:pPr>
              <w:spacing w:line="440" w:lineRule="exact"/>
              <w:jc w:val="center"/>
              <w:rPr>
                <w:color w:val="auto"/>
                <w:szCs w:val="21"/>
                <w:highlight w:val="none"/>
              </w:rPr>
            </w:pPr>
            <w:r>
              <w:rPr>
                <w:rFonts w:hint="eastAsia"/>
                <w:color w:val="auto"/>
                <w:szCs w:val="21"/>
                <w:highlight w:val="none"/>
              </w:rPr>
              <w:t>4</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吊车</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jc w:val="center"/>
              <w:rPr>
                <w:rFonts w:ascii="宋体" w:hAnsi="宋体"/>
                <w:color w:val="auto"/>
                <w:szCs w:val="21"/>
                <w:highlight w:val="none"/>
              </w:rPr>
            </w:pPr>
            <w:r>
              <w:rPr>
                <w:rFonts w:hint="eastAsia" w:ascii="宋体" w:hAnsi="宋体"/>
                <w:color w:val="auto"/>
                <w:szCs w:val="21"/>
                <w:highlight w:val="none"/>
              </w:rPr>
              <w:t>台</w:t>
            </w:r>
          </w:p>
        </w:tc>
        <w:tc>
          <w:tcPr>
            <w:tcW w:w="147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挖掘机</w:t>
            </w:r>
          </w:p>
        </w:tc>
        <w:tc>
          <w:tcPr>
            <w:tcW w:w="2048" w:type="dxa"/>
            <w:vAlign w:val="center"/>
          </w:tcPr>
          <w:p>
            <w:pPr>
              <w:jc w:val="center"/>
              <w:rPr>
                <w:rFonts w:ascii="宋体" w:hAnsi="宋体"/>
                <w:color w:val="auto"/>
                <w:szCs w:val="21"/>
                <w:highlight w:val="none"/>
              </w:rPr>
            </w:pPr>
            <w:r>
              <w:rPr>
                <w:color w:val="auto"/>
                <w:szCs w:val="21"/>
                <w:highlight w:val="none"/>
              </w:rPr>
              <w:t>满足施工需要</w:t>
            </w:r>
          </w:p>
        </w:tc>
        <w:tc>
          <w:tcPr>
            <w:tcW w:w="784" w:type="dxa"/>
            <w:vAlign w:val="center"/>
          </w:tcPr>
          <w:p>
            <w:pPr>
              <w:spacing w:line="400" w:lineRule="exact"/>
              <w:jc w:val="center"/>
              <w:rPr>
                <w:color w:val="auto"/>
                <w:szCs w:val="21"/>
                <w:highlight w:val="none"/>
              </w:rPr>
            </w:pPr>
            <w:r>
              <w:rPr>
                <w:color w:val="auto"/>
                <w:szCs w:val="21"/>
                <w:highlight w:val="none"/>
              </w:rPr>
              <w:t>台</w:t>
            </w:r>
          </w:p>
        </w:tc>
        <w:tc>
          <w:tcPr>
            <w:tcW w:w="1476" w:type="dxa"/>
            <w:vAlign w:val="center"/>
          </w:tcPr>
          <w:p>
            <w:pPr>
              <w:spacing w:line="400" w:lineRule="exact"/>
              <w:jc w:val="center"/>
              <w:rPr>
                <w:color w:val="auto"/>
                <w:szCs w:val="21"/>
                <w:highlight w:val="none"/>
              </w:rPr>
            </w:pPr>
            <w:r>
              <w:rPr>
                <w:rFonts w:hint="eastAsia"/>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装载机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00" w:lineRule="exact"/>
              <w:jc w:val="center"/>
              <w:rPr>
                <w:color w:val="auto"/>
                <w:szCs w:val="21"/>
                <w:highlight w:val="none"/>
              </w:rPr>
            </w:pPr>
            <w:r>
              <w:rPr>
                <w:color w:val="auto"/>
                <w:szCs w:val="21"/>
                <w:highlight w:val="none"/>
              </w:rPr>
              <w:t>套</w:t>
            </w:r>
          </w:p>
        </w:tc>
        <w:tc>
          <w:tcPr>
            <w:tcW w:w="1476" w:type="dxa"/>
            <w:vAlign w:val="center"/>
          </w:tcPr>
          <w:p>
            <w:pPr>
              <w:spacing w:line="400" w:lineRule="exact"/>
              <w:jc w:val="center"/>
              <w:rPr>
                <w:color w:val="auto"/>
                <w:szCs w:val="21"/>
                <w:highlight w:val="none"/>
              </w:rPr>
            </w:pPr>
            <w:r>
              <w:rPr>
                <w:rFonts w:hint="eastAsia"/>
                <w:color w:val="auto"/>
                <w:szCs w:val="21"/>
                <w:highlight w:val="none"/>
              </w:rPr>
              <w:t>2</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2000KN压力试验机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60KN万能材料试验机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水泥试验设备</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标准养护箱</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全站仪及附件</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自动安平水准仪</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spacing w:line="440" w:lineRule="exact"/>
              <w:jc w:val="center"/>
              <w:rPr>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spacing w:line="440" w:lineRule="exact"/>
              <w:jc w:val="center"/>
              <w:rPr>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jc w:val="center"/>
              <w:rPr>
                <w:rFonts w:ascii="宋体" w:hAnsi="宋体"/>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rFonts w:ascii="宋体" w:hAnsi="宋体"/>
                <w:color w:val="auto"/>
                <w:szCs w:val="21"/>
                <w:highlight w:val="none"/>
              </w:rPr>
            </w:pPr>
          </w:p>
        </w:tc>
      </w:tr>
      <w:bookmarkEnd w:id="306"/>
    </w:tbl>
    <w:p>
      <w:pPr>
        <w:spacing w:line="500" w:lineRule="exact"/>
        <w:ind w:firstLine="420" w:firstLineChars="200"/>
        <w:rPr>
          <w:rFonts w:ascii="宋体" w:hAnsi="宋体"/>
          <w:color w:val="auto"/>
          <w:szCs w:val="21"/>
          <w:highlight w:val="none"/>
        </w:rPr>
      </w:pPr>
      <w:bookmarkStart w:id="307" w:name="_Toc234382990"/>
      <w:r>
        <w:rPr>
          <w:rFonts w:hint="eastAsia" w:ascii="宋体" w:hAnsi="宋体"/>
          <w:color w:val="auto"/>
          <w:szCs w:val="21"/>
          <w:highlight w:val="none"/>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line="360" w:lineRule="auto"/>
        <w:jc w:val="center"/>
        <w:rPr>
          <w:rFonts w:ascii="黑体" w:eastAsia="黑体"/>
          <w:color w:val="auto"/>
          <w:sz w:val="30"/>
          <w:szCs w:val="30"/>
          <w:highlight w:val="none"/>
          <w:u w:val="singl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九、</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w:t>
      </w:r>
      <w:r>
        <w:rPr>
          <w:rFonts w:hint="eastAsia"/>
          <w:color w:val="auto"/>
          <w:sz w:val="24"/>
          <w:highlight w:val="none"/>
          <w:lang w:val="en-US" w:eastAsia="zh-CN"/>
        </w:rPr>
        <w:t xml:space="preserve"> </w:t>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2"/>
        <w:spacing w:beforeLines="100" w:afterLines="150" w:line="360" w:lineRule="exact"/>
        <w:jc w:val="center"/>
        <w:rPr>
          <w:rFonts w:ascii="黑体" w:eastAsia="黑体"/>
          <w:color w:val="auto"/>
          <w:sz w:val="30"/>
          <w:szCs w:val="30"/>
          <w:highlight w:val="none"/>
        </w:rPr>
      </w:pPr>
      <w:bookmarkStart w:id="308" w:name="_Toc486277945"/>
      <w:bookmarkStart w:id="309" w:name="_Toc485889080"/>
      <w:bookmarkStart w:id="310" w:name="_Toc18302"/>
      <w:r>
        <w:rPr>
          <w:rFonts w:hint="eastAsia" w:ascii="黑体" w:eastAsia="黑体"/>
          <w:color w:val="auto"/>
          <w:sz w:val="30"/>
          <w:szCs w:val="30"/>
          <w:highlight w:val="none"/>
        </w:rPr>
        <w:t>十、扬尘治理专项承诺书</w:t>
      </w:r>
      <w:bookmarkEnd w:id="308"/>
      <w:bookmarkEnd w:id="309"/>
      <w:bookmarkEnd w:id="310"/>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24"/>
          <w:highlight w:val="none"/>
        </w:rPr>
      </w:pPr>
    </w:p>
    <w:p>
      <w:pPr>
        <w:pStyle w:val="2"/>
        <w:spacing w:beforeLines="100" w:afterLines="150" w:line="360" w:lineRule="exact"/>
        <w:jc w:val="center"/>
        <w:rPr>
          <w:rFonts w:ascii="黑体" w:eastAsia="黑体"/>
          <w:color w:val="auto"/>
          <w:sz w:val="30"/>
          <w:szCs w:val="30"/>
          <w:highlight w:val="none"/>
        </w:rPr>
      </w:pPr>
    </w:p>
    <w:p>
      <w:pPr>
        <w:pStyle w:val="2"/>
        <w:spacing w:beforeLines="100" w:afterLines="150" w:line="360" w:lineRule="exact"/>
        <w:jc w:val="center"/>
        <w:rPr>
          <w:rFonts w:ascii="黑体" w:hAnsi="宋体" w:eastAsia="黑体"/>
          <w:color w:val="auto"/>
          <w:sz w:val="30"/>
          <w:szCs w:val="30"/>
          <w:highlight w:val="none"/>
        </w:rPr>
      </w:pPr>
      <w:bookmarkStart w:id="311" w:name="_Toc486277946"/>
      <w:bookmarkStart w:id="312" w:name="_Toc485889081"/>
      <w:bookmarkStart w:id="313" w:name="_Toc5401"/>
      <w:r>
        <w:rPr>
          <w:rFonts w:hint="eastAsia" w:ascii="黑体" w:hAnsi="宋体" w:eastAsia="黑体"/>
          <w:color w:val="auto"/>
          <w:sz w:val="30"/>
          <w:szCs w:val="30"/>
          <w:highlight w:val="none"/>
        </w:rPr>
        <w:t>十一、其 他 材 料</w:t>
      </w:r>
      <w:bookmarkEnd w:id="307"/>
      <w:bookmarkEnd w:id="311"/>
      <w:bookmarkEnd w:id="312"/>
      <w:bookmarkEnd w:id="313"/>
    </w:p>
    <w:p>
      <w:pPr>
        <w:rPr>
          <w:color w:val="auto"/>
          <w:highlight w:val="none"/>
        </w:rPr>
      </w:pPr>
    </w:p>
    <w:p>
      <w:pPr>
        <w:rPr>
          <w:color w:val="auto"/>
          <w:highlight w:val="none"/>
        </w:rPr>
      </w:pPr>
    </w:p>
    <w:p>
      <w:pPr>
        <w:pStyle w:val="2"/>
        <w:spacing w:beforeLines="100" w:afterLines="150" w:line="360" w:lineRule="exact"/>
        <w:jc w:val="center"/>
        <w:rPr>
          <w:color w:val="auto"/>
          <w:highlight w:val="none"/>
        </w:rPr>
      </w:pPr>
    </w:p>
    <w:p>
      <w:pPr>
        <w:pStyle w:val="2"/>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eastAsia="zh-CN"/>
        </w:rPr>
        <w:t>灵井镇岗王村道路工程</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建安建工公字〔2017〕</w:t>
      </w:r>
      <w:r>
        <w:rPr>
          <w:rFonts w:hint="eastAsia" w:ascii="黑体" w:hAnsi="华文中宋" w:eastAsia="黑体"/>
          <w:color w:val="auto"/>
          <w:sz w:val="36"/>
          <w:szCs w:val="36"/>
          <w:highlight w:val="none"/>
          <w:lang w:val="en-US" w:eastAsia="zh-CN"/>
        </w:rPr>
        <w:t>190</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w:t>
      </w:r>
      <w:r>
        <w:rPr>
          <w:rFonts w:hint="eastAsia" w:ascii="黑体" w:hAnsi="宋体" w:eastAsia="黑体"/>
          <w:b/>
          <w:color w:val="auto"/>
          <w:sz w:val="52"/>
          <w:szCs w:val="52"/>
          <w:highlight w:val="none"/>
          <w:lang w:eastAsia="zh-CN"/>
        </w:rPr>
        <w:t>和</w:t>
      </w:r>
      <w:r>
        <w:rPr>
          <w:rFonts w:hint="eastAsia" w:ascii="黑体" w:hAnsi="宋体" w:eastAsia="黑体"/>
          <w:b/>
          <w:color w:val="auto"/>
          <w:sz w:val="52"/>
          <w:szCs w:val="52"/>
          <w:highlight w:val="none"/>
        </w:rPr>
        <w:t>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Theme="minorEastAsia" w:hAnsiTheme="minorEastAsia" w:eastAsiaTheme="minorEastAsia"/>
          <w:color w:val="auto"/>
          <w:highlight w:val="none"/>
        </w:rPr>
      </w:pPr>
    </w:p>
    <w:p>
      <w:pPr>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spacing w:line="360" w:lineRule="auto"/>
        <w:jc w:val="center"/>
        <w:rPr>
          <w:rFonts w:asciiTheme="minorEastAsia" w:hAnsiTheme="minorEastAsia" w:eastAsiaTheme="minorEastAsia"/>
          <w:b/>
          <w:color w:val="auto"/>
          <w:sz w:val="32"/>
          <w:szCs w:val="32"/>
          <w:highlight w:val="none"/>
        </w:rPr>
      </w:pP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一、投标函</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二、已标价工程量清单</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三、拟分包项目情况表</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一、投标函</w:t>
      </w:r>
    </w:p>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 标 函</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_________________________(招标人名称)：</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Theme="minorEastAsia" w:hAnsiTheme="minorEastAsia" w:eastAsiaTheme="minorEastAsia"/>
          <w:color w:val="auto"/>
          <w:sz w:val="24"/>
          <w:highlight w:val="none"/>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3．__________________________________(其他补充说明)。</w:t>
      </w:r>
    </w:p>
    <w:p>
      <w:pPr>
        <w:spacing w:line="360" w:lineRule="auto"/>
        <w:ind w:firstLine="480" w:firstLineChars="200"/>
        <w:jc w:val="left"/>
        <w:rPr>
          <w:rFonts w:asciiTheme="minorEastAsia" w:hAnsiTheme="minorEastAsia" w:eastAsiaTheme="minorEastAsia"/>
          <w:color w:val="auto"/>
          <w:sz w:val="24"/>
          <w:highlight w:val="none"/>
        </w:rPr>
      </w:pPr>
    </w:p>
    <w:p>
      <w:pPr>
        <w:spacing w:line="360" w:lineRule="auto"/>
        <w:ind w:firstLine="480" w:firstLineChars="200"/>
        <w:jc w:val="left"/>
        <w:rPr>
          <w:rFonts w:asciiTheme="minorEastAsia" w:hAnsiTheme="minorEastAsia" w:eastAsiaTheme="minorEastAsia"/>
          <w:color w:val="auto"/>
          <w:sz w:val="24"/>
          <w:highlight w:val="none"/>
        </w:rPr>
      </w:pP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 标 人：___________________(盖单位章)</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法定代表人或其委托代理人:____________(签字)</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网址：________________________________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邮政编码：____________________________</w:t>
      </w:r>
    </w:p>
    <w:p>
      <w:pPr>
        <w:spacing w:line="360" w:lineRule="auto"/>
        <w:ind w:left="3543" w:leftChars="1687"/>
        <w:jc w:val="left"/>
        <w:rPr>
          <w:rFonts w:asciiTheme="minorEastAsia" w:hAnsiTheme="minorEastAsia" w:eastAsiaTheme="minorEastAsia"/>
          <w:color w:val="auto"/>
          <w:sz w:val="24"/>
          <w:highlight w:val="none"/>
        </w:rPr>
      </w:pPr>
    </w:p>
    <w:p>
      <w:pPr>
        <w:spacing w:line="360" w:lineRule="auto"/>
        <w:ind w:left="3543" w:leftChars="1687"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________年______月_______日</w:t>
      </w:r>
    </w:p>
    <w:p>
      <w:pPr>
        <w:spacing w:line="360" w:lineRule="auto"/>
        <w:ind w:left="1"/>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ind w:left="1"/>
        <w:jc w:val="left"/>
        <w:rPr>
          <w:rFonts w:asciiTheme="minorEastAsia" w:hAnsiTheme="minorEastAsia" w:eastAsiaTheme="minorEastAsia"/>
          <w:color w:val="auto"/>
          <w:sz w:val="24"/>
          <w:highlight w:val="none"/>
        </w:rPr>
      </w:pPr>
    </w:p>
    <w:p>
      <w:pPr>
        <w:spacing w:line="360" w:lineRule="auto"/>
        <w:ind w:left="3543" w:leftChars="1687" w:firstLine="720" w:firstLineChars="300"/>
        <w:jc w:val="left"/>
        <w:rPr>
          <w:rFonts w:asciiTheme="minorEastAsia" w:hAnsiTheme="minorEastAsia" w:eastAsiaTheme="minorEastAsia"/>
          <w:color w:val="auto"/>
          <w:sz w:val="24"/>
          <w:highlight w:val="none"/>
        </w:rPr>
      </w:pPr>
    </w:p>
    <w:p>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二、已标价工程量清单</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投标人应按照第五章“工程量清单”的要求逐项填报工程量清单，包括工程量清</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单说明、投标报价说明、计日工说明、其他说明及工程量清单各项表格（工程量清</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单表5.1）</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Theme="minorEastAsia" w:hAnsiTheme="minorEastAsia" w:eastAsiaTheme="minorEastAsia"/>
          <w:b/>
          <w:color w:val="auto"/>
          <w:sz w:val="32"/>
          <w:szCs w:val="32"/>
          <w:highlight w:val="none"/>
        </w:rPr>
      </w:pPr>
    </w:p>
    <w:p>
      <w:pPr>
        <w:spacing w:line="360" w:lineRule="auto"/>
        <w:jc w:val="center"/>
        <w:rPr>
          <w:rFonts w:asciiTheme="minorEastAsia" w:hAnsiTheme="minorEastAsia" w:eastAsiaTheme="minorEastAsia"/>
          <w:b/>
          <w:color w:val="auto"/>
          <w:sz w:val="32"/>
          <w:szCs w:val="32"/>
          <w:highlight w:val="none"/>
        </w:rPr>
      </w:pPr>
    </w:p>
    <w:p>
      <w:pPr>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三、拟分包项目情况表</w:t>
      </w:r>
    </w:p>
    <w:p>
      <w:pPr>
        <w:rPr>
          <w:rFonts w:ascii="宋体" w:hAnsi="宋体" w:cs="宋体"/>
          <w:color w:val="auto"/>
          <w:highlight w:val="none"/>
        </w:rPr>
      </w:pP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spacing w:line="360" w:lineRule="auto"/>
        <w:rPr>
          <w:color w:val="auto"/>
          <w:highlight w:val="none"/>
        </w:rPr>
      </w:pPr>
    </w:p>
    <w:p>
      <w:pPr>
        <w:spacing w:line="360" w:lineRule="auto"/>
        <w:rPr>
          <w:color w:val="auto"/>
          <w:highlight w:val="none"/>
        </w:rPr>
      </w:pPr>
    </w:p>
    <w:p>
      <w:pPr>
        <w:pStyle w:val="2"/>
        <w:keepNext w:val="0"/>
        <w:keepLines w:val="0"/>
        <w:spacing w:beforeLines="50" w:after="240" w:line="400" w:lineRule="exact"/>
        <w:jc w:val="center"/>
        <w:rPr>
          <w:rFonts w:asciiTheme="minorEastAsia" w:hAnsiTheme="minorEastAsia" w:eastAsiaTheme="minorEastAsia"/>
          <w:color w:val="auto"/>
          <w:kern w:val="2"/>
          <w:sz w:val="28"/>
          <w:szCs w:val="28"/>
          <w:highlight w:val="none"/>
        </w:rPr>
      </w:pPr>
      <w:bookmarkStart w:id="314" w:name="_Toc234382973"/>
      <w:bookmarkStart w:id="315" w:name="_Toc486277947"/>
      <w:bookmarkStart w:id="316" w:name="_Toc485889069"/>
    </w:p>
    <w:p>
      <w:pPr>
        <w:pStyle w:val="2"/>
        <w:keepNext w:val="0"/>
        <w:keepLines w:val="0"/>
        <w:spacing w:beforeLines="50" w:after="240" w:line="400" w:lineRule="exact"/>
        <w:jc w:val="center"/>
        <w:rPr>
          <w:rFonts w:asciiTheme="minorEastAsia" w:hAnsiTheme="minorEastAsia" w:eastAsiaTheme="minorEastAsia"/>
          <w:color w:val="auto"/>
          <w:kern w:val="2"/>
          <w:sz w:val="32"/>
          <w:szCs w:val="28"/>
          <w:highlight w:val="none"/>
        </w:rPr>
      </w:pPr>
      <w:bookmarkStart w:id="317" w:name="_Toc5044"/>
      <w:r>
        <w:rPr>
          <w:rFonts w:hint="eastAsia" w:asciiTheme="minorEastAsia" w:hAnsiTheme="minorEastAsia" w:eastAsiaTheme="minorEastAsia"/>
          <w:color w:val="auto"/>
          <w:kern w:val="2"/>
          <w:sz w:val="32"/>
          <w:szCs w:val="28"/>
          <w:highlight w:val="none"/>
        </w:rPr>
        <w:t>四、合同用款估算表</w:t>
      </w:r>
      <w:bookmarkEnd w:id="314"/>
      <w:bookmarkEnd w:id="315"/>
      <w:bookmarkEnd w:id="316"/>
      <w:bookmarkEnd w:id="317"/>
    </w:p>
    <w:tbl>
      <w:tblPr>
        <w:tblStyle w:val="12"/>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3462"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color w:val="auto"/>
                <w:szCs w:val="21"/>
                <w:highlight w:val="none"/>
              </w:rPr>
            </w:pPr>
            <w:r>
              <w:rPr>
                <w:rFonts w:hint="eastAsia" w:ascii="宋体" w:hAnsi="宋体"/>
                <w:color w:val="auto"/>
                <w:szCs w:val="21"/>
                <w:highlight w:val="none"/>
              </w:rPr>
              <w:t>说</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隶书" w:hAnsi="宋体" w:eastAsia="隶书"/>
          <w:color w:val="auto"/>
          <w:sz w:val="24"/>
          <w:highlight w:val="none"/>
        </w:rPr>
      </w:pPr>
    </w:p>
    <w:p>
      <w:pPr>
        <w:rPr>
          <w:rFonts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rPr>
          <w:color w:val="auto"/>
          <w:highlight w:val="none"/>
        </w:rPr>
      </w:pPr>
    </w:p>
    <w:p>
      <w:pPr>
        <w:jc w:val="center"/>
        <w:outlineLvl w:val="0"/>
        <w:rPr>
          <w:rFonts w:ascii="黑体" w:eastAsia="黑体"/>
          <w:bCs/>
          <w:color w:val="auto"/>
          <w:sz w:val="44"/>
          <w:szCs w:val="44"/>
          <w:highlight w:val="none"/>
        </w:rPr>
      </w:pPr>
      <w:bookmarkStart w:id="318" w:name="_Toc12556"/>
      <w:r>
        <w:rPr>
          <w:rFonts w:hint="eastAsia" w:ascii="黑体" w:eastAsia="黑体"/>
          <w:bCs/>
          <w:color w:val="auto"/>
          <w:sz w:val="44"/>
          <w:szCs w:val="44"/>
          <w:highlight w:val="none"/>
        </w:rPr>
        <w:t>第九章 投标人须知前附表规定的其他材料</w:t>
      </w:r>
      <w:bookmarkEnd w:id="318"/>
    </w:p>
    <w:p>
      <w:pPr>
        <w:rPr>
          <w:color w:val="auto"/>
          <w:highlight w:val="none"/>
        </w:rPr>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smartSi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MingLiU_HKSCS">
    <w:panose1 w:val="02020500000000000000"/>
    <w:charset w:val="88"/>
    <w:family w:val="modern"/>
    <w:pitch w:val="default"/>
    <w:sig w:usb0="A00002FF" w:usb1="38CFFCFA" w:usb2="00000016" w:usb3="00000000" w:csb0="00100001" w:csb1="00000000"/>
  </w:font>
  <w:font w:name="叶根友毛笔行书2.0版">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p>
  <w:p>
    <w:pPr>
      <w:pStyle w:val="5"/>
      <w:ind w:right="360"/>
      <w:jc w:val="both"/>
    </w:pPr>
    <w:r>
      <w:rPr>
        <w:rFonts w:hint="eastAsia"/>
      </w:rPr>
      <w:t xml:space="preserve">                                                       </w:t>
    </w:r>
  </w:p>
  <w:p>
    <w:pPr>
      <w:pStyle w:val="5"/>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131</w:t>
                    </w:r>
                    <w:r>
                      <w:rPr>
                        <w:rFonts w:hint="eastAsia"/>
                        <w:sz w:val="18"/>
                      </w:rPr>
                      <w:fldChar w:fldCharType="end"/>
                    </w:r>
                  </w:p>
                </w:txbxContent>
              </v:textbox>
            </v:shape>
          </w:pict>
        </mc:Fallback>
      </mc:AlternateContent>
    </w:r>
  </w:p>
  <w:p>
    <w:pPr>
      <w:pStyle w:val="5"/>
      <w:ind w:right="360"/>
      <w:jc w:val="both"/>
    </w:pPr>
    <w:r>
      <w:rPr>
        <w:rFonts w:hint="eastAsia"/>
      </w:rPr>
      <w:t xml:space="preserve">                                                       </w:t>
    </w:r>
  </w:p>
  <w:p>
    <w:pPr>
      <w:pStyle w:val="5"/>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1"/>
        </w:rPr>
        <w:footnoteRef/>
      </w:r>
      <w:r>
        <w:rPr>
          <w:rFonts w:hint="eastAsia" w:ascii="宋体" w:hAnsi="宋体"/>
          <w:sz w:val="15"/>
          <w:szCs w:val="15"/>
        </w:rPr>
        <w:t xml:space="preserve"> 指主要材料，一般应为70％-75%，最低不少于60％。</w:t>
      </w:r>
    </w:p>
  </w:footnote>
  <w:footnote w:id="1">
    <w:p>
      <w:pPr>
        <w:pStyle w:val="8"/>
      </w:pPr>
      <w:r>
        <w:rPr>
          <w:rStyle w:val="11"/>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华文中宋" w:eastAsia="黑体"/>
        <w:sz w:val="18"/>
        <w:szCs w:val="18"/>
        <w:u w:val="single"/>
      </w:rPr>
    </w:pPr>
    <w:r>
      <w:rPr>
        <w:rFonts w:hint="eastAsia"/>
        <w:u w:val="single"/>
        <w:lang w:eastAsia="zh-CN"/>
      </w:rPr>
      <w:t>灵井镇岗王村道路工程</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招标文件 </w:t>
    </w:r>
  </w:p>
  <w:p>
    <w:pPr>
      <w:pStyle w:val="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00000012"/>
    <w:multiLevelType w:val="singleLevel"/>
    <w:tmpl w:val="00000012"/>
    <w:lvl w:ilvl="0" w:tentative="0">
      <w:start w:val="1"/>
      <w:numFmt w:val="decimal"/>
      <w:suff w:val="nothing"/>
      <w:lvlText w:val="（%1）"/>
      <w:lvlJc w:val="left"/>
    </w:lvl>
  </w:abstractNum>
  <w:abstractNum w:abstractNumId="2">
    <w:nsid w:val="5975B0E7"/>
    <w:multiLevelType w:val="singleLevel"/>
    <w:tmpl w:val="5975B0E7"/>
    <w:lvl w:ilvl="0" w:tentative="0">
      <w:start w:val="3"/>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1576D"/>
    <w:rsid w:val="000E2C40"/>
    <w:rsid w:val="002E22B9"/>
    <w:rsid w:val="00905A12"/>
    <w:rsid w:val="019375E7"/>
    <w:rsid w:val="01D66BBF"/>
    <w:rsid w:val="01F30AA1"/>
    <w:rsid w:val="026C0898"/>
    <w:rsid w:val="027B6A50"/>
    <w:rsid w:val="0319073F"/>
    <w:rsid w:val="0430754E"/>
    <w:rsid w:val="05552C27"/>
    <w:rsid w:val="063A2468"/>
    <w:rsid w:val="06A439C9"/>
    <w:rsid w:val="07C978EF"/>
    <w:rsid w:val="08087A54"/>
    <w:rsid w:val="084A5963"/>
    <w:rsid w:val="0A520EF4"/>
    <w:rsid w:val="0B8766CE"/>
    <w:rsid w:val="0CEC7F65"/>
    <w:rsid w:val="0DB36279"/>
    <w:rsid w:val="0DD023F4"/>
    <w:rsid w:val="0E0247CE"/>
    <w:rsid w:val="0E104203"/>
    <w:rsid w:val="0E7208AF"/>
    <w:rsid w:val="0EAF3CD4"/>
    <w:rsid w:val="0FA5403A"/>
    <w:rsid w:val="0FC861B7"/>
    <w:rsid w:val="0FE26C00"/>
    <w:rsid w:val="109F433E"/>
    <w:rsid w:val="11C26F2E"/>
    <w:rsid w:val="11C752A8"/>
    <w:rsid w:val="11F96875"/>
    <w:rsid w:val="120159AD"/>
    <w:rsid w:val="12371667"/>
    <w:rsid w:val="12830A27"/>
    <w:rsid w:val="13B669CB"/>
    <w:rsid w:val="13C34587"/>
    <w:rsid w:val="13E2363B"/>
    <w:rsid w:val="13F70A39"/>
    <w:rsid w:val="151A7CE8"/>
    <w:rsid w:val="17243CCB"/>
    <w:rsid w:val="17D44981"/>
    <w:rsid w:val="180604B6"/>
    <w:rsid w:val="18F1576D"/>
    <w:rsid w:val="1A33274E"/>
    <w:rsid w:val="1ABE2487"/>
    <w:rsid w:val="1C3A427F"/>
    <w:rsid w:val="1C483F39"/>
    <w:rsid w:val="1C6F407F"/>
    <w:rsid w:val="1CB07B2F"/>
    <w:rsid w:val="1DFF76E3"/>
    <w:rsid w:val="1E6E2A60"/>
    <w:rsid w:val="206901C6"/>
    <w:rsid w:val="210534AC"/>
    <w:rsid w:val="23642980"/>
    <w:rsid w:val="25FF3E4B"/>
    <w:rsid w:val="266467AC"/>
    <w:rsid w:val="27EB5C4D"/>
    <w:rsid w:val="285C26D1"/>
    <w:rsid w:val="28E95BA2"/>
    <w:rsid w:val="29193EEC"/>
    <w:rsid w:val="29302CCA"/>
    <w:rsid w:val="293E056A"/>
    <w:rsid w:val="295E243E"/>
    <w:rsid w:val="29B229E6"/>
    <w:rsid w:val="2C083186"/>
    <w:rsid w:val="2C8D23A0"/>
    <w:rsid w:val="2D8565B4"/>
    <w:rsid w:val="2DE57BE9"/>
    <w:rsid w:val="2DF93F57"/>
    <w:rsid w:val="2E2352CC"/>
    <w:rsid w:val="2EAB17AE"/>
    <w:rsid w:val="2EF6629B"/>
    <w:rsid w:val="2F3D4D47"/>
    <w:rsid w:val="308A3321"/>
    <w:rsid w:val="31F41A3C"/>
    <w:rsid w:val="31FA5B1B"/>
    <w:rsid w:val="330C73AC"/>
    <w:rsid w:val="34B436ED"/>
    <w:rsid w:val="35D35CFA"/>
    <w:rsid w:val="39581B3D"/>
    <w:rsid w:val="3AB36C57"/>
    <w:rsid w:val="3B077D3B"/>
    <w:rsid w:val="3C0F7F88"/>
    <w:rsid w:val="3C297D99"/>
    <w:rsid w:val="3CCD34DA"/>
    <w:rsid w:val="3D3923FF"/>
    <w:rsid w:val="3D620125"/>
    <w:rsid w:val="3D83305B"/>
    <w:rsid w:val="3FA74842"/>
    <w:rsid w:val="42AA14B7"/>
    <w:rsid w:val="42BB24FB"/>
    <w:rsid w:val="430025BF"/>
    <w:rsid w:val="44367002"/>
    <w:rsid w:val="44B400FD"/>
    <w:rsid w:val="463F679A"/>
    <w:rsid w:val="465B5638"/>
    <w:rsid w:val="46DD12B0"/>
    <w:rsid w:val="46E736AD"/>
    <w:rsid w:val="471E49D8"/>
    <w:rsid w:val="480D3668"/>
    <w:rsid w:val="485C117A"/>
    <w:rsid w:val="495E67F0"/>
    <w:rsid w:val="4994313F"/>
    <w:rsid w:val="49ED0D02"/>
    <w:rsid w:val="4A705849"/>
    <w:rsid w:val="4B263BB2"/>
    <w:rsid w:val="4E9E727D"/>
    <w:rsid w:val="4EBC6896"/>
    <w:rsid w:val="4EC66BD3"/>
    <w:rsid w:val="4F3D4048"/>
    <w:rsid w:val="4FA95B0E"/>
    <w:rsid w:val="4FEC3F1C"/>
    <w:rsid w:val="50575F99"/>
    <w:rsid w:val="52A63164"/>
    <w:rsid w:val="53A5355B"/>
    <w:rsid w:val="53DC697D"/>
    <w:rsid w:val="53FA4F9B"/>
    <w:rsid w:val="540833E8"/>
    <w:rsid w:val="555D4189"/>
    <w:rsid w:val="565207A6"/>
    <w:rsid w:val="56DB467F"/>
    <w:rsid w:val="5A1212DF"/>
    <w:rsid w:val="5A745F8A"/>
    <w:rsid w:val="5B650FF7"/>
    <w:rsid w:val="5C7B3A23"/>
    <w:rsid w:val="5D784F51"/>
    <w:rsid w:val="5E8873A0"/>
    <w:rsid w:val="5EB018FD"/>
    <w:rsid w:val="5F561E80"/>
    <w:rsid w:val="61CB5B65"/>
    <w:rsid w:val="64C81E12"/>
    <w:rsid w:val="64D651DB"/>
    <w:rsid w:val="655B1163"/>
    <w:rsid w:val="65D951D7"/>
    <w:rsid w:val="68885346"/>
    <w:rsid w:val="69283236"/>
    <w:rsid w:val="6A5D066F"/>
    <w:rsid w:val="6E5B7D21"/>
    <w:rsid w:val="6FF72F87"/>
    <w:rsid w:val="700225F6"/>
    <w:rsid w:val="701145C5"/>
    <w:rsid w:val="7027463D"/>
    <w:rsid w:val="703220A0"/>
    <w:rsid w:val="71E10C85"/>
    <w:rsid w:val="734B2E38"/>
    <w:rsid w:val="74345D0E"/>
    <w:rsid w:val="743C1F04"/>
    <w:rsid w:val="75D31C48"/>
    <w:rsid w:val="76593629"/>
    <w:rsid w:val="76B023DA"/>
    <w:rsid w:val="76C47DE9"/>
    <w:rsid w:val="76E8445B"/>
    <w:rsid w:val="77645D25"/>
    <w:rsid w:val="77BA0C4B"/>
    <w:rsid w:val="782D29A7"/>
    <w:rsid w:val="782E559F"/>
    <w:rsid w:val="78D307E0"/>
    <w:rsid w:val="79296446"/>
    <w:rsid w:val="7A1B1492"/>
    <w:rsid w:val="7CA32416"/>
    <w:rsid w:val="7DDE5080"/>
    <w:rsid w:val="7EAE7248"/>
    <w:rsid w:val="7ECB4383"/>
    <w:rsid w:val="7F407E41"/>
    <w:rsid w:val="7F60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olor w:val="00000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szCs w:val="20"/>
    </w:rPr>
  </w:style>
  <w:style w:type="paragraph" w:styleId="8">
    <w:name w:val="footnote text"/>
    <w:basedOn w:val="1"/>
    <w:qFormat/>
    <w:uiPriority w:val="0"/>
    <w:pPr>
      <w:snapToGrid w:val="0"/>
      <w:jc w:val="left"/>
    </w:pPr>
    <w:rPr>
      <w:sz w:val="18"/>
      <w:szCs w:val="18"/>
    </w:rPr>
  </w:style>
  <w:style w:type="character" w:styleId="10">
    <w:name w:val="page number"/>
    <w:basedOn w:val="9"/>
    <w:qFormat/>
    <w:uiPriority w:val="0"/>
  </w:style>
  <w:style w:type="character" w:styleId="11">
    <w:name w:val="footnote reference"/>
    <w:qFormat/>
    <w:uiPriority w:val="0"/>
    <w:rPr>
      <w:vertAlign w:val="superscript"/>
    </w:rPr>
  </w:style>
  <w:style w:type="character" w:customStyle="1" w:styleId="13">
    <w:name w:val="font01"/>
    <w:basedOn w:val="9"/>
    <w:qFormat/>
    <w:uiPriority w:val="0"/>
    <w:rPr>
      <w:rFonts w:ascii="smartSimSun" w:hAnsi="smartSimSun" w:eastAsia="smartSimSun" w:cs="smartSimSun"/>
      <w:color w:val="000000"/>
      <w:sz w:val="18"/>
      <w:szCs w:val="18"/>
      <w:u w:val="none"/>
    </w:rPr>
  </w:style>
  <w:style w:type="character" w:customStyle="1" w:styleId="14">
    <w:name w:val="font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2017-07-25T08:53:00Z</dcterms:created>
  <dc:creator>Administrator</dc:creator>
  <cp:lastModifiedBy>Administrator</cp:lastModifiedBy>
  <cp:lastPrinted>2017-12-18T01:38:00Z</cp:lastPrinted>
  <dcterms:modified xsi:type="dcterms:W3CDTF">2017-12-21T02:38:22Z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