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lang w:val="zh-CN" w:eastAsia="zh-CN"/>
        </w:rPr>
        <w:t>鄢陵县</w:t>
      </w:r>
      <w:r>
        <w:rPr>
          <w:rFonts w:hint="eastAsia" w:ascii="仿宋_GB2312" w:hAnsi="宋体" w:eastAsia="仿宋_GB2312" w:cs="宋体"/>
          <w:b/>
          <w:bCs/>
          <w:color w:val="000000"/>
          <w:kern w:val="0"/>
          <w:sz w:val="32"/>
          <w:szCs w:val="32"/>
          <w:lang w:val="zh-CN"/>
        </w:rPr>
        <w:t>县土地整治规划（</w:t>
      </w:r>
      <w:r>
        <w:rPr>
          <w:rFonts w:hint="eastAsia" w:ascii="仿宋_GB2312" w:hAnsi="宋体" w:eastAsia="仿宋_GB2312" w:cs="宋体"/>
          <w:b/>
          <w:bCs/>
          <w:color w:val="000000"/>
          <w:kern w:val="0"/>
          <w:sz w:val="32"/>
          <w:szCs w:val="32"/>
        </w:rPr>
        <w:t>2016—2020</w:t>
      </w:r>
      <w:r>
        <w:rPr>
          <w:rFonts w:hint="eastAsia" w:ascii="仿宋_GB2312" w:hAnsi="宋体" w:eastAsia="仿宋_GB2312" w:cs="宋体"/>
          <w:b/>
          <w:bCs/>
          <w:color w:val="000000"/>
          <w:kern w:val="0"/>
          <w:sz w:val="32"/>
          <w:szCs w:val="32"/>
          <w:lang w:val="zh-CN"/>
        </w:rPr>
        <w:t>）编制</w:t>
      </w:r>
      <w:r>
        <w:rPr>
          <w:rFonts w:hint="eastAsia" w:ascii="仿宋_GB2312" w:hAnsi="宋体" w:eastAsia="仿宋_GB2312" w:cs="宋体"/>
          <w:b/>
          <w:bCs/>
          <w:color w:val="000000"/>
          <w:kern w:val="0"/>
          <w:sz w:val="32"/>
          <w:szCs w:val="32"/>
        </w:rPr>
        <w:t>采购需求、评标标准等说明</w:t>
      </w:r>
    </w:p>
    <w:p>
      <w:pPr>
        <w:numPr>
          <w:ilvl w:val="0"/>
          <w:numId w:val="1"/>
        </w:numPr>
        <w:rPr>
          <w:rFonts w:hint="eastAsia" w:ascii="宋体" w:hAnsi="宋体" w:eastAsia="宋体" w:cs="宋体"/>
          <w:b/>
          <w:bCs/>
          <w:sz w:val="28"/>
          <w:szCs w:val="28"/>
          <w:lang w:val="zh-CN"/>
        </w:rPr>
      </w:pPr>
      <w:r>
        <w:rPr>
          <w:rFonts w:hint="eastAsia" w:ascii="宋体" w:hAnsi="宋体" w:cs="宋体"/>
          <w:b/>
          <w:bCs/>
          <w:sz w:val="28"/>
          <w:szCs w:val="36"/>
        </w:rPr>
        <w:t>采购条件</w:t>
      </w:r>
    </w:p>
    <w:p>
      <w:pPr>
        <w:numPr>
          <w:ilvl w:val="0"/>
          <w:numId w:val="0"/>
        </w:numPr>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eastAsia="zh-CN"/>
        </w:rPr>
        <w:t>鄢陵县</w:t>
      </w:r>
      <w:r>
        <w:rPr>
          <w:rFonts w:hint="eastAsia" w:asciiTheme="minorEastAsia" w:hAnsiTheme="minorEastAsia" w:eastAsiaTheme="minorEastAsia" w:cstheme="minorEastAsia"/>
          <w:b/>
          <w:bCs/>
          <w:sz w:val="24"/>
          <w:szCs w:val="24"/>
          <w:lang w:val="zh-CN"/>
        </w:rPr>
        <w:t>县土地整治规划（</w:t>
      </w:r>
      <w:r>
        <w:rPr>
          <w:rFonts w:hint="eastAsia" w:asciiTheme="minorEastAsia" w:hAnsiTheme="minorEastAsia" w:eastAsiaTheme="minorEastAsia" w:cstheme="minorEastAsia"/>
          <w:b/>
          <w:bCs/>
          <w:sz w:val="24"/>
          <w:szCs w:val="24"/>
        </w:rPr>
        <w:t>2016—2020</w:t>
      </w:r>
      <w:r>
        <w:rPr>
          <w:rFonts w:hint="eastAsia" w:asciiTheme="minorEastAsia" w:hAnsiTheme="minorEastAsia" w:eastAsiaTheme="minorEastAsia" w:cstheme="minorEastAsia"/>
          <w:b/>
          <w:bCs/>
          <w:sz w:val="24"/>
          <w:szCs w:val="24"/>
          <w:lang w:val="zh-CN"/>
        </w:rPr>
        <w:t>）编制已由相关部门批准，采购人为鄢陵县国土资源局，该项目已具备招标条件，欢迎符合条件的投标人参加投标。</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bCs/>
          <w:sz w:val="24"/>
          <w:szCs w:val="24"/>
          <w:lang w:val="zh-CN"/>
        </w:rPr>
        <w:t>二、需要落实的政府采购政策</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本项目落实节能环保、中小微型企业扶持、支持监狱企业发展、残疾人福利性单位扶持等相关政府采购政策。</w:t>
      </w:r>
    </w:p>
    <w:p>
      <w:pPr>
        <w:rPr>
          <w:rFonts w:hint="eastAsia"/>
          <w:b/>
          <w:bCs/>
          <w:sz w:val="28"/>
          <w:szCs w:val="28"/>
          <w:lang w:val="zh-CN"/>
        </w:rPr>
      </w:pPr>
      <w:r>
        <w:rPr>
          <w:rFonts w:hint="eastAsia"/>
          <w:b/>
          <w:bCs/>
          <w:sz w:val="28"/>
          <w:szCs w:val="28"/>
          <w:lang w:val="zh-CN"/>
        </w:rPr>
        <w:t>三、项目概况与采购范围</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（一）项目名称：鄢陵县土地整治规划（</w:t>
      </w:r>
      <w:r>
        <w:rPr>
          <w:rFonts w:hint="eastAsia" w:asciiTheme="minorEastAsia" w:hAnsiTheme="minorEastAsia" w:eastAsiaTheme="minorEastAsia" w:cstheme="minorEastAsia"/>
          <w:sz w:val="24"/>
          <w:szCs w:val="24"/>
        </w:rPr>
        <w:t>2016—2020</w:t>
      </w:r>
      <w:r>
        <w:rPr>
          <w:rFonts w:hint="eastAsia" w:asciiTheme="minorEastAsia" w:hAnsiTheme="minorEastAsia" w:eastAsiaTheme="minorEastAsia" w:cstheme="minorEastAsia"/>
          <w:sz w:val="24"/>
          <w:szCs w:val="24"/>
          <w:lang w:val="zh-CN"/>
        </w:rPr>
        <w:t>）编制</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（二）项目编号：Y2017FZ267</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（三）采购内容：规划编制范围为鄢陵县行政管辖范围区内的全部土地</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（四）资金来源：财政资金</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（五）预算金额：</w:t>
      </w:r>
      <w:r>
        <w:rPr>
          <w:rFonts w:hint="eastAsia" w:asciiTheme="minorEastAsia" w:hAnsiTheme="minorEastAsia" w:eastAsiaTheme="minorEastAsia" w:cstheme="minorEastAsia"/>
          <w:sz w:val="24"/>
          <w:szCs w:val="24"/>
        </w:rPr>
        <w:t>595580元</w:t>
      </w:r>
      <w:r>
        <w:rPr>
          <w:rFonts w:hint="eastAsia" w:asciiTheme="minorEastAsia" w:hAnsiTheme="minorEastAsia" w:eastAsiaTheme="minorEastAsia" w:cstheme="minorEastAsia"/>
          <w:sz w:val="24"/>
          <w:szCs w:val="24"/>
          <w:lang w:val="zh-CN"/>
        </w:rPr>
        <w:t xml:space="preserve"> ；最高限价：</w:t>
      </w:r>
      <w:r>
        <w:rPr>
          <w:rFonts w:hint="eastAsia" w:asciiTheme="minorEastAsia" w:hAnsiTheme="minorEastAsia" w:eastAsiaTheme="minorEastAsia" w:cstheme="minorEastAsia"/>
          <w:sz w:val="24"/>
          <w:szCs w:val="24"/>
        </w:rPr>
        <w:t>595580元</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（六）交货期：</w:t>
      </w:r>
      <w:r>
        <w:rPr>
          <w:rFonts w:hint="eastAsia" w:asciiTheme="minorEastAsia" w:hAnsiTheme="minorEastAsia" w:eastAsiaTheme="minorEastAsia" w:cstheme="minorEastAsia"/>
          <w:sz w:val="24"/>
          <w:szCs w:val="24"/>
        </w:rPr>
        <w:t>30日历天</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（七）交货地点：鄢陵县国土资源局</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（八）质量要求：符合国家相关规范合格标准</w:t>
      </w:r>
    </w:p>
    <w:p>
      <w:pPr>
        <w:spacing w:line="400" w:lineRule="exact"/>
        <w:rPr>
          <w:rFonts w:hint="eastAsia"/>
          <w:b/>
          <w:bCs/>
          <w:sz w:val="28"/>
          <w:szCs w:val="28"/>
        </w:rPr>
      </w:pPr>
      <w:r>
        <w:rPr>
          <w:rFonts w:hint="eastAsia"/>
          <w:b/>
          <w:bCs/>
          <w:sz w:val="28"/>
          <w:szCs w:val="28"/>
        </w:rPr>
        <w:t>三、投标人资格要求</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3.1符合《中华人民共和国政府采购法》第二十二条规定，具有独立法人资格及有效的营业执照、税务登记证、组织机构代码证（三证合一的仅需要提供营业执照）有效证件；</w:t>
      </w:r>
    </w:p>
    <w:p>
      <w:pPr>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3.2具有行政主管部门</w:t>
      </w:r>
      <w:r>
        <w:rPr>
          <w:rFonts w:hint="eastAsia" w:asciiTheme="minorEastAsia" w:hAnsiTheme="minorEastAsia" w:eastAsiaTheme="minorEastAsia" w:cstheme="minorEastAsia"/>
          <w:color w:val="000000"/>
          <w:sz w:val="24"/>
          <w:szCs w:val="24"/>
        </w:rPr>
        <w:t>颁发的土地规划乙级及以上资质；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3.3投标人拟派项目负责人须具备相关专业中级及以上工程师职称；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3.3未被列入“信用中国”网站(www.creditchina.gov.cn)、中国政府采购网(www.ccgp.gov.cn)渠道信用记录失信被执行人、重大税收违法案件当事人名单、政府采购严重违法失信行为记录名单的投标人。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3.4投标人2014年1月1日以来具备类似土地整治规划编制项目（以合同签订日期为准）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3.5提供由检察机关出具的有效的《行贿犯罪档案查询结果告知函》一份。</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3.6本项目不接受联合体投标；</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3.7本项目实行资格后审。</w:t>
      </w:r>
    </w:p>
    <w:p>
      <w:pPr>
        <w:numPr>
          <w:ilvl w:val="0"/>
          <w:numId w:val="2"/>
        </w:numPr>
        <w:rPr>
          <w:rFonts w:hint="eastAsia"/>
          <w:b/>
          <w:bCs/>
          <w:sz w:val="28"/>
          <w:szCs w:val="32"/>
          <w:lang w:eastAsia="zh-CN"/>
        </w:rPr>
      </w:pPr>
      <w:r>
        <w:rPr>
          <w:rFonts w:hint="eastAsia"/>
          <w:b/>
          <w:bCs/>
          <w:sz w:val="28"/>
          <w:szCs w:val="32"/>
          <w:lang w:eastAsia="zh-CN"/>
        </w:rPr>
        <w:t>采购需求</w:t>
      </w:r>
    </w:p>
    <w:p>
      <w:pPr>
        <w:pStyle w:val="2"/>
        <w:numPr>
          <w:ilvl w:val="0"/>
          <w:numId w:val="3"/>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本项目需实现的功能或者目标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土地管理法》等有关法律法规为依据，细化和落实《鄢陵县土地利用总体规划（2015-2020年）》对土地整治的部署安排，合理确定土地整治目标，明确规划期间的补充耕地任务、土地整治重大工程和相关政策措施等，确保《规划》的全面实施。</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（二）采购要求</w:t>
      </w:r>
    </w:p>
    <w:p>
      <w:pPr>
        <w:numPr>
          <w:ilvl w:val="0"/>
          <w:numId w:val="0"/>
        </w:num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1指导思想</w:t>
      </w:r>
      <w:r>
        <w:rPr>
          <w:rFonts w:hint="eastAsia" w:asciiTheme="minorEastAsia" w:hAnsiTheme="minorEastAsia" w:eastAsiaTheme="minorEastAsia" w:cstheme="minorEastAsia"/>
          <w:sz w:val="24"/>
          <w:szCs w:val="24"/>
        </w:rPr>
        <w:tab/>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鄢陵县经济社会科学发展、跨越发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2编制原则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依法依规科学规划。以《土地管理法》等有关法律法规为依据，细化和落实《鄢陵县土地利用总体规划（2015-2020年）》对土地整治的部署安排，合理确定土地整治目标，明确规划期间的补充耕地任务、土地整治重大工程和相关政策措施等，确保《规划》的全面实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上下结合相互协调。坚持自上而下、上下结合，充分考虑各地经济社会发展要求和土地整治潜力，统筹安排全县土地整治目标任务，广泛听取各方意见，做到上下衔接；加强部门协调，做好《规划》与城乡规划、区域规划、行业规划等相关规划的衔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2.4公众参与。采取多种方式和渠道，扩大规划编制的公众参与，特别要考虑相关利益人的意见，增强规划修编的公开性和透明度，实行科学、民主决策。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3编制方法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3.1充分利用原有成果。规划修编以第二次全国土地调查和国土资源大调查成果为基础，充分吸收已有科研成果与相关规划编制成果，加强土地整治潜力评价和空间布局研究，夯实规划编制基础。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突出“三个加强”。一是加强协调。加强与地方协调，加强与部门协调；二是加强衔接。要做好整治规划与城乡规划、区域规划、行业规划等相关规划的衔接；三是加强论证。规划编制要广泛听取专家和社会各方面意见，做好咨询论证，重大工程安排要逐个进行论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3.3做到“三个同步”。土地整治规划文本编制与专题研究同步进行；省级土地整治规划编制与试点县整治规划编制同步部署；规划编制与规划数据库建设同步开展。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.主要依据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相关法律和文件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（1）《中华人民共和国土地管理法》；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（2）《中华人民共和国城乡规划法》；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（3）《中华人民共和国环境保护法》；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（4）《关于严格规范城乡建设用地增减挂钩试点切实做好农村土地整治工作的通知》（国发〔2010〕47号）；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（5）《国土资源部关于开展“十三五”土地整治规划编制工作的通知》（国土资发[2015]68号）；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（6）《关于印发河南省“十三五”土地整治规划编制工作实施方案的通知》（豫国土资发[2016]45号）；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（7）《河南省城乡建设用地增减挂钩试点实施管理办法》（征求意见稿）</w:t>
      </w:r>
    </w:p>
    <w:p>
      <w:pPr>
        <w:pStyle w:val="5"/>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.2 相关技术规程及要求</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（1）第二次全国土地调查技术规程（TD/T1014-2007）；</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（2）土地利用数据库标准（TD/T1016-2007）；</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（3）县级土地利用总体规划编制规程（TD/T1024-2010）;</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（4）乡（镇）级土地利用总体规划编制规程（TD/T1028-2010）;</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（5）县级土地利用总体规划数据库标准（TD/T1027-2010）</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（6）乡（镇）级土地利用总体规划数据库标准（TD/T1028-2010）</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（7）土地利用总体规划数据库成果汇交要求</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（8）土地利用总体规划数据质量检查细则</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 相关规划成果及数据</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（1）2015年土地变更调查相关成果;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（2）鄢陵县、乡土地利用总体规划（2015-2020年）成果；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（3）《鄢陵县国民经济和社会发展第十三个五年规划纲要》（2011年）；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（4）鄢陵县《县域村庄布局规划（2009-2020年）》；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（5）《鄢陵县“十二五”农业和农村经济发展规划》；</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（6）鄢陵县近几年开展的土地开发整理项目典型材料；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（7）《鄢陵县城市总体规划（2001-2020）》；</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（8）其他相关规划和文件。</w:t>
      </w:r>
      <w:bookmarkStart w:id="0" w:name="_Toc314124980"/>
    </w:p>
    <w:bookmarkEnd w:id="0"/>
    <w:p>
      <w:pPr>
        <w:rPr>
          <w:rFonts w:hint="eastAsia" w:eastAsiaTheme="minorEastAsia"/>
          <w:b/>
          <w:bCs/>
          <w:sz w:val="28"/>
          <w:szCs w:val="28"/>
          <w:lang w:eastAsia="zh-CN"/>
        </w:rPr>
      </w:pPr>
      <w:r>
        <w:rPr>
          <w:rFonts w:hint="eastAsia"/>
          <w:b/>
          <w:bCs/>
          <w:sz w:val="28"/>
          <w:szCs w:val="28"/>
          <w:lang w:eastAsia="zh-CN"/>
        </w:rPr>
        <w:t>五、</w:t>
      </w:r>
      <w:r>
        <w:rPr>
          <w:rFonts w:hint="eastAsia" w:eastAsiaTheme="minorEastAsia"/>
          <w:b/>
          <w:bCs/>
          <w:sz w:val="28"/>
          <w:szCs w:val="28"/>
          <w:lang w:eastAsia="zh-CN"/>
        </w:rPr>
        <w:t>服务标准、期限、效率等要求</w:t>
      </w:r>
    </w:p>
    <w:p>
      <w:pPr>
        <w:ind w:firstLine="480" w:firstLineChars="200"/>
        <w:rPr>
          <w:rFonts w:hint="eastAsia" w:eastAsiaTheme="minorEastAsia"/>
          <w:sz w:val="24"/>
          <w:szCs w:val="24"/>
          <w:lang w:eastAsia="zh-CN"/>
        </w:rPr>
      </w:pPr>
      <w:r>
        <w:rPr>
          <w:rFonts w:hint="eastAsia" w:eastAsiaTheme="minorEastAsia"/>
          <w:sz w:val="24"/>
          <w:szCs w:val="24"/>
          <w:lang w:eastAsia="zh-CN"/>
        </w:rPr>
        <w:t>服务标准按采购标的执行标准进行检测，服务期限从接采购单位书面通知起至提供合格竣工报告。服务效率要求能跟随工程进度施工，并做到随叫随到。</w:t>
      </w:r>
    </w:p>
    <w:p>
      <w:pPr>
        <w:rPr>
          <w:rFonts w:hint="eastAsia" w:eastAsiaTheme="minorEastAsia"/>
          <w:b/>
          <w:bCs/>
          <w:sz w:val="28"/>
          <w:szCs w:val="32"/>
          <w:lang w:eastAsia="zh-CN"/>
        </w:rPr>
      </w:pPr>
      <w:r>
        <w:rPr>
          <w:rFonts w:hint="eastAsia"/>
          <w:b/>
          <w:bCs/>
          <w:sz w:val="28"/>
          <w:szCs w:val="32"/>
          <w:lang w:eastAsia="zh-CN"/>
        </w:rPr>
        <w:t>六、</w:t>
      </w:r>
      <w:r>
        <w:rPr>
          <w:rFonts w:hint="eastAsia" w:eastAsiaTheme="minorEastAsia"/>
          <w:b/>
          <w:bCs/>
          <w:sz w:val="28"/>
          <w:szCs w:val="32"/>
          <w:lang w:eastAsia="zh-CN"/>
        </w:rPr>
        <w:t>验收标准</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1、验收标准与采购标的执行标准一致；</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2、按照招标文件要求、投标文件响应和承诺验收；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Theme="minorEastAsia" w:hAnsiTheme="minorEastAsia" w:eastAsiaTheme="minorEastAsia" w:cstheme="minorEastAsia"/>
          <w:b/>
          <w:bCs/>
          <w:i w:val="0"/>
          <w:sz w:val="28"/>
          <w:szCs w:val="28"/>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七、评标方法和评标标准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（一）评标方法：综合评分法</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（二）综合评分法评标标准：</w:t>
      </w:r>
    </w:p>
    <w:tbl>
      <w:tblPr>
        <w:tblStyle w:val="12"/>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076"/>
        <w:gridCol w:w="16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分值构成</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(总分100分)</w:t>
            </w:r>
          </w:p>
        </w:tc>
        <w:tc>
          <w:tcPr>
            <w:tcW w:w="724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商务部分：</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lang w:eastAsia="zh-CN"/>
              </w:rPr>
              <w:t>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91"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一、商务部分（满分 </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评分因素</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评分标准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满足招标文件要求的最低有效报价为评标基准价，报价等于评标基准价得满分</w:t>
            </w:r>
            <w:r>
              <w:rPr>
                <w:rFonts w:hint="eastAsia" w:asciiTheme="minorEastAsia" w:hAnsiTheme="minorEastAsia" w:cstheme="minorEastAsia"/>
                <w:b w:val="0"/>
                <w:bCs w:val="0"/>
                <w:sz w:val="24"/>
                <w:szCs w:val="24"/>
                <w:lang w:val="en-US" w:eastAsia="zh-CN"/>
              </w:rPr>
              <w:t>15</w:t>
            </w:r>
            <w:bookmarkStart w:id="19" w:name="_GoBack"/>
            <w:bookmarkEnd w:id="19"/>
            <w:r>
              <w:rPr>
                <w:rFonts w:hint="eastAsia" w:asciiTheme="minorEastAsia" w:hAnsiTheme="minorEastAsia" w:eastAsiaTheme="minorEastAsia" w:cstheme="minorEastAsia"/>
                <w:b w:val="0"/>
                <w:bCs w:val="0"/>
                <w:sz w:val="24"/>
                <w:szCs w:val="24"/>
              </w:rPr>
              <w:t>分。其它报价得分按下列公式计算：</w:t>
            </w:r>
          </w:p>
          <w:p>
            <w:pPr>
              <w:adjustRightInd w:val="0"/>
              <w:snapToGrid w:val="0"/>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投标报价得分=（评标基准价/投标报价）×</w:t>
            </w:r>
            <w:r>
              <w:rPr>
                <w:rFonts w:hint="eastAsia" w:asciiTheme="minorEastAsia" w:hAnsiTheme="minorEastAsia" w:cstheme="minorEastAsia"/>
                <w:b w:val="0"/>
                <w:bCs w:val="0"/>
                <w:sz w:val="24"/>
                <w:szCs w:val="24"/>
                <w:lang w:val="en-US" w:eastAsia="zh-CN"/>
              </w:rPr>
              <w:t>15</w:t>
            </w:r>
          </w:p>
          <w:p>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（备注：得分保留至小数点后两位，第三位四舍五入。）注：经评标委员会一致认定属恶意低价行为的将按废标处理。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企业业绩</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投标单位</w:t>
            </w:r>
            <w:r>
              <w:rPr>
                <w:rFonts w:hint="eastAsia" w:asciiTheme="minorEastAsia" w:hAnsiTheme="minorEastAsia" w:eastAsiaTheme="minorEastAsia" w:cstheme="minorEastAsia"/>
                <w:sz w:val="24"/>
                <w:szCs w:val="24"/>
                <w:lang w:val="en-US" w:eastAsia="zh-CN"/>
              </w:rPr>
              <w:t>2015年以来参与过土地现状变更调查内业及外业的得4分；</w:t>
            </w:r>
            <w:r>
              <w:rPr>
                <w:rFonts w:hint="eastAsia" w:asciiTheme="minorEastAsia" w:hAnsiTheme="minorEastAsia" w:eastAsiaTheme="minorEastAsia" w:cstheme="minorEastAsia"/>
                <w:sz w:val="24"/>
                <w:szCs w:val="24"/>
                <w:lang w:eastAsia="zh-CN"/>
              </w:rPr>
              <w:t>投标单位201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年以来参加过国土部门城市建设用地节约集约利用评价项目业绩的得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分。（需查验中标通知书加合同及网上截图,原件与复印件一致，否则不给分）最高得</w:t>
            </w:r>
            <w:r>
              <w:rPr>
                <w:rFonts w:hint="eastAsia" w:asciiTheme="minorEastAsia" w:hAnsiTheme="minorEastAsia" w:eastAsiaTheme="minorEastAsia" w:cstheme="minorEastAsia"/>
                <w:sz w:val="24"/>
                <w:szCs w:val="24"/>
                <w:lang w:val="en-US" w:eastAsia="zh-CN"/>
              </w:rPr>
              <w:t>8分；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）投标单位201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以来</w:t>
            </w:r>
            <w:r>
              <w:rPr>
                <w:rFonts w:hint="eastAsia" w:asciiTheme="minorEastAsia" w:hAnsiTheme="minorEastAsia" w:eastAsiaTheme="minorEastAsia" w:cstheme="minorEastAsia"/>
                <w:sz w:val="24"/>
                <w:szCs w:val="24"/>
                <w:lang w:eastAsia="zh-CN"/>
              </w:rPr>
              <w:t>参加过国土部门“十三五”土地整治规划项目业绩的，有一个得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分（需查验中标通知书加合同及网上截图,原件与复印件一致，否则不给分）最高得</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724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备注：以上业绩打分以原件与复印件一致为准。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主要人员</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①项目负责人具有相关专业高级职称得2分。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②项目组成人员（含项目负责人）包含土地规划、测绘、农学、地理信息系统等中级及以上职称的每人得2分，最高得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服务承诺</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对比针对本项目的实质性承诺，在0-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分之间打分。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管理体系认证证书</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标人同时通过质量管理体系认证、环境管理体系认证证书、职业健康安全管理体系认证、信息安全管理体系认证证书且有效的，得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分，无或不全则不得分。（需提供以上有效证书及该证书在认证认可业务信息统一查询平台(http://cx.cnca.cn)上证书状态为“有效”的查询结果网页或截图打印件。未提供上述证明材料或证明材料不全者不得分。）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91"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评分因素</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评分标准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内容完整性和编制水平</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内容完整、方法科学、合理、可靠、全面</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较合理</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01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对项目的理解是否准确，是否把握关键要素和认识是否深刻。（8分）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科学、详细、合理、可操作性强</w:t>
            </w:r>
          </w:p>
        </w:tc>
        <w:tc>
          <w:tcPr>
            <w:tcW w:w="1012" w:type="dxa"/>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详细、较合理</w:t>
            </w:r>
          </w:p>
        </w:tc>
        <w:tc>
          <w:tcPr>
            <w:tcW w:w="1012" w:type="dxa"/>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不太详细、不够合理</w:t>
            </w:r>
          </w:p>
        </w:tc>
        <w:tc>
          <w:tcPr>
            <w:tcW w:w="1012" w:type="dxa"/>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明晰项目重点所在，完整剖析项目难点并制定具有可操作性建议。（8分）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措施全面、合理、针对性及可靠性强</w:t>
            </w:r>
          </w:p>
        </w:tc>
        <w:tc>
          <w:tcPr>
            <w:tcW w:w="1012" w:type="dxa"/>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较合理</w:t>
            </w:r>
          </w:p>
        </w:tc>
        <w:tc>
          <w:tcPr>
            <w:tcW w:w="1173" w:type="dxa"/>
            <w:gridSpan w:val="2"/>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173" w:type="dxa"/>
            <w:gridSpan w:val="2"/>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合理安排调研、勘察、资料收集、汇编及成果等基础工作（8分）</w:t>
            </w: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措施全面、合理、针对性及可操作性强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较合理</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总体设计方案（12分）</w:t>
            </w: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方案合理、针对性及可操作性强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较合理</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设计技术的优化或创新</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（4分）</w:t>
            </w: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创新性强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较合理</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技术、售后服务承诺、服务计划（6分）</w:t>
            </w: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措施全面、人员配置合理、切实可行</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较全面、较合理</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4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p>
        </w:tc>
        <w:tc>
          <w:tcPr>
            <w:tcW w:w="6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一般</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91"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bookmarkStart w:id="1" w:name="_Toc25637"/>
            <w:bookmarkStart w:id="2" w:name="_Toc436039810"/>
            <w:bookmarkStart w:id="3" w:name="_Toc9687"/>
            <w:bookmarkStart w:id="4" w:name="_Toc30206"/>
            <w:bookmarkStart w:id="5" w:name="_Toc3537"/>
            <w:bookmarkStart w:id="6" w:name="_Toc10870"/>
            <w:bookmarkStart w:id="7" w:name="_Toc3242"/>
            <w:r>
              <w:rPr>
                <w:rFonts w:hint="eastAsia" w:asciiTheme="minorEastAsia" w:hAnsiTheme="minorEastAsia" w:eastAsiaTheme="minorEastAsia" w:cstheme="minorEastAsia"/>
                <w:sz w:val="24"/>
                <w:szCs w:val="24"/>
                <w:lang w:eastAsia="zh-CN"/>
              </w:rPr>
              <w:t>备注：</w:t>
            </w:r>
            <w:bookmarkEnd w:id="1"/>
            <w:bookmarkEnd w:id="2"/>
            <w:bookmarkEnd w:id="3"/>
            <w:bookmarkEnd w:id="4"/>
            <w:bookmarkEnd w:id="5"/>
            <w:bookmarkEnd w:id="6"/>
            <w:bookmarkEnd w:id="7"/>
            <w:bookmarkStart w:id="8" w:name="_Toc18133"/>
            <w:bookmarkStart w:id="9" w:name="_Toc436039811"/>
            <w:bookmarkStart w:id="10" w:name="_Toc13892"/>
            <w:bookmarkStart w:id="11" w:name="_Toc2935"/>
          </w:p>
          <w:bookmarkEnd w:id="8"/>
          <w:bookmarkEnd w:id="9"/>
          <w:bookmarkEnd w:id="10"/>
          <w:bookmarkEnd w:id="11"/>
          <w:p>
            <w:pPr>
              <w:rPr>
                <w:rFonts w:hint="eastAsia" w:asciiTheme="minorEastAsia" w:hAnsiTheme="minorEastAsia" w:eastAsiaTheme="minorEastAsia" w:cstheme="minorEastAsia"/>
                <w:sz w:val="24"/>
                <w:szCs w:val="24"/>
                <w:lang w:eastAsia="zh-CN"/>
              </w:rPr>
            </w:pPr>
            <w:bookmarkStart w:id="12" w:name="_Toc23886"/>
            <w:bookmarkStart w:id="13" w:name="_Toc21586"/>
            <w:bookmarkStart w:id="14" w:name="_Toc25138"/>
            <w:bookmarkStart w:id="15" w:name="_Toc24698"/>
            <w:bookmarkStart w:id="16" w:name="_Toc436039813"/>
            <w:bookmarkStart w:id="17" w:name="_Toc30806"/>
            <w:bookmarkStart w:id="18" w:name="_Toc6688"/>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）以上评分均保留两位小数，四舍五入。</w:t>
            </w:r>
            <w:bookmarkEnd w:id="12"/>
            <w:bookmarkEnd w:id="13"/>
            <w:bookmarkEnd w:id="14"/>
            <w:bookmarkEnd w:id="15"/>
            <w:bookmarkEnd w:id="16"/>
            <w:bookmarkEnd w:id="17"/>
            <w:bookmarkEnd w:id="18"/>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）以上业绩打分以原件与复印件一致为准。</w:t>
            </w:r>
          </w:p>
          <w:p>
            <w:pPr>
              <w:rPr>
                <w:rFonts w:hint="eastAsia" w:asciiTheme="minorEastAsia" w:hAnsiTheme="minorEastAsia" w:eastAsiaTheme="minorEastAsia" w:cstheme="minorEastAsia"/>
                <w:sz w:val="24"/>
                <w:szCs w:val="24"/>
                <w:lang w:eastAsia="zh-CN"/>
              </w:rPr>
            </w:pPr>
          </w:p>
        </w:tc>
      </w:tr>
    </w:tbl>
    <w:p>
      <w:pPr>
        <w:widowControl/>
        <w:numPr>
          <w:ilvl w:val="0"/>
          <w:numId w:val="4"/>
        </w:numPr>
        <w:shd w:val="clear" w:color="auto" w:fill="FFFFFF"/>
        <w:spacing w:line="360" w:lineRule="auto"/>
        <w:ind w:firstLine="6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采购资金支付</w:t>
      </w:r>
    </w:p>
    <w:p>
      <w:pPr>
        <w:widowControl/>
        <w:numPr>
          <w:ilvl w:val="0"/>
          <w:numId w:val="0"/>
        </w:numPr>
        <w:shd w:val="clear" w:color="auto" w:fill="FFFFFF"/>
        <w:spacing w:line="360" w:lineRule="auto"/>
        <w:ind w:firstLine="960" w:firstLineChars="4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（一）支付方式：银行转账</w:t>
      </w:r>
    </w:p>
    <w:p>
      <w:pPr>
        <w:widowControl/>
        <w:shd w:val="clear" w:color="auto" w:fill="FFFFFF"/>
        <w:spacing w:line="360" w:lineRule="auto"/>
        <w:ind w:firstLine="924" w:firstLineChars="385"/>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（二）支付时间及条件：经验收合格付合同总价款的90%，剩余10%满一年无质量问题，一次付清。</w:t>
      </w:r>
    </w:p>
    <w:p>
      <w:pPr>
        <w:widowControl/>
        <w:shd w:val="clear" w:color="auto" w:fill="FFFFFF"/>
        <w:spacing w:line="360" w:lineRule="auto"/>
        <w:ind w:firstLine="562" w:firstLineChars="200"/>
        <w:contextualSpacing/>
        <w:jc w:val="left"/>
        <w:rPr>
          <w:rFonts w:hint="eastAsia" w:asciiTheme="minorEastAsia" w:hAnsiTheme="minorEastAsia" w:eastAsiaTheme="minorEastAsia" w:cstheme="minorEastAsia"/>
          <w:b/>
          <w:bCs/>
          <w:color w:val="000000"/>
          <w:sz w:val="28"/>
          <w:szCs w:val="28"/>
          <w:lang w:val="zh-CN"/>
        </w:rPr>
      </w:pPr>
      <w:r>
        <w:rPr>
          <w:rFonts w:hint="eastAsia" w:asciiTheme="minorEastAsia" w:hAnsiTheme="minorEastAsia" w:eastAsiaTheme="minorEastAsia" w:cstheme="minorEastAsia"/>
          <w:b/>
          <w:bCs/>
          <w:color w:val="000000"/>
          <w:sz w:val="28"/>
          <w:szCs w:val="28"/>
          <w:lang w:val="zh-CN"/>
        </w:rPr>
        <w:t>七、联系方式及地址</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联系人：梁志勇        联系电话：13782244888</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递交书面材料地址：许昌市鄢陵县国土资源局</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p>
    <w:p>
      <w:pPr>
        <w:widowControl/>
        <w:shd w:val="clear" w:color="auto" w:fill="FFFFFF"/>
        <w:spacing w:line="360" w:lineRule="auto"/>
        <w:ind w:firstLine="4620" w:firstLineChars="1650"/>
        <w:contextualSpacing/>
        <w:jc w:val="left"/>
        <w:rPr>
          <w:rFonts w:hint="eastAsia" w:ascii="黑体" w:hAnsi="黑体" w:eastAsia="黑体" w:cs="宋体"/>
          <w:color w:val="000000"/>
          <w:sz w:val="28"/>
          <w:szCs w:val="28"/>
          <w:lang w:val="zh-CN"/>
        </w:rPr>
      </w:pPr>
      <w:r>
        <w:rPr>
          <w:rFonts w:hint="eastAsia" w:ascii="黑体" w:hAnsi="黑体" w:eastAsia="黑体" w:cs="宋体"/>
          <w:color w:val="000000"/>
          <w:sz w:val="28"/>
          <w:szCs w:val="28"/>
          <w:lang w:val="zh-CN"/>
        </w:rPr>
        <w:t>许昌市鄢陵县国土资源局</w:t>
      </w:r>
    </w:p>
    <w:p>
      <w:pPr>
        <w:widowControl/>
        <w:shd w:val="clear" w:color="auto" w:fill="FFFFFF"/>
        <w:spacing w:line="360" w:lineRule="auto"/>
        <w:ind w:firstLine="4620" w:firstLineChars="165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2018年1月</w:t>
      </w:r>
      <w:r>
        <w:rPr>
          <w:rFonts w:hint="eastAsia" w:ascii="黑体" w:hAnsi="黑体" w:eastAsia="黑体" w:cs="宋体"/>
          <w:color w:val="000000"/>
          <w:sz w:val="28"/>
          <w:szCs w:val="28"/>
          <w:lang w:val="en-US" w:eastAsia="zh-CN"/>
        </w:rPr>
        <w:t>12</w:t>
      </w:r>
      <w:r>
        <w:rPr>
          <w:rFonts w:hint="eastAsia" w:ascii="黑体" w:hAnsi="黑体" w:eastAsia="黑体" w:cs="宋体"/>
          <w:color w:val="000000"/>
          <w:sz w:val="28"/>
          <w:szCs w:val="28"/>
          <w:lang w:val="zh-CN"/>
        </w:rPr>
        <w:t>日</w:t>
      </w:r>
    </w:p>
    <w:p>
      <w:pPr>
        <w:widowControl/>
        <w:shd w:val="clear" w:color="auto" w:fill="FFFFFF"/>
        <w:spacing w:line="360" w:lineRule="auto"/>
        <w:ind w:firstLine="600"/>
        <w:jc w:val="left"/>
        <w:rPr>
          <w:rFonts w:hint="eastAsia" w:asciiTheme="minorEastAsia" w:hAnsiTheme="minorEastAsia" w:eastAsiaTheme="minorEastAsia" w:cstheme="minorEastAsia"/>
          <w:b/>
          <w:bCs/>
          <w:color w:val="000000"/>
          <w:kern w:val="0"/>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_x000C_">
    <w:altName w:val="宋体"/>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
    <w:altName w:val="Lucida Sans Unicode"/>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8"/>
                            </w:rPr>
                          </w:pPr>
                          <w:r>
                            <w:fldChar w:fldCharType="begin"/>
                          </w:r>
                          <w:r>
                            <w:rPr>
                              <w:rStyle w:val="8"/>
                            </w:rPr>
                            <w:instrText xml:space="preserve">PAGE  </w:instrText>
                          </w:r>
                          <w:r>
                            <w:fldChar w:fldCharType="separate"/>
                          </w:r>
                          <w:r>
                            <w:rPr>
                              <w:rStyle w:val="8"/>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6"/>
                      <w:rPr>
                        <w:rStyle w:val="8"/>
                      </w:rPr>
                    </w:pPr>
                    <w:r>
                      <w:fldChar w:fldCharType="begin"/>
                    </w:r>
                    <w:r>
                      <w:rPr>
                        <w:rStyle w:val="8"/>
                      </w:rPr>
                      <w:instrText xml:space="preserve">PAGE  </w:instrText>
                    </w:r>
                    <w:r>
                      <w:fldChar w:fldCharType="separate"/>
                    </w:r>
                    <w:r>
                      <w:rPr>
                        <w:rStyle w:val="8"/>
                      </w:rP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AFE39"/>
    <w:multiLevelType w:val="singleLevel"/>
    <w:tmpl w:val="98CAFE39"/>
    <w:lvl w:ilvl="0" w:tentative="0">
      <w:start w:val="1"/>
      <w:numFmt w:val="chineseCounting"/>
      <w:suff w:val="nothing"/>
      <w:lvlText w:val="（%1）"/>
      <w:lvlJc w:val="left"/>
      <w:rPr>
        <w:rFonts w:hint="eastAsia"/>
      </w:rPr>
    </w:lvl>
  </w:abstractNum>
  <w:abstractNum w:abstractNumId="1">
    <w:nsid w:val="BE18E7BB"/>
    <w:multiLevelType w:val="singleLevel"/>
    <w:tmpl w:val="BE18E7BB"/>
    <w:lvl w:ilvl="0" w:tentative="0">
      <w:start w:val="4"/>
      <w:numFmt w:val="chineseCounting"/>
      <w:suff w:val="nothing"/>
      <w:lvlText w:val="%1、"/>
      <w:lvlJc w:val="left"/>
      <w:rPr>
        <w:rFonts w:hint="eastAsia"/>
      </w:rPr>
    </w:lvl>
  </w:abstractNum>
  <w:abstractNum w:abstractNumId="2">
    <w:nsid w:val="D07B1283"/>
    <w:multiLevelType w:val="singleLevel"/>
    <w:tmpl w:val="D07B1283"/>
    <w:lvl w:ilvl="0" w:tentative="0">
      <w:start w:val="8"/>
      <w:numFmt w:val="chineseCounting"/>
      <w:suff w:val="nothing"/>
      <w:lvlText w:val="%1、"/>
      <w:lvlJc w:val="left"/>
      <w:rPr>
        <w:rFonts w:hint="eastAsia"/>
      </w:rPr>
    </w:lvl>
  </w:abstractNum>
  <w:abstractNum w:abstractNumId="3">
    <w:nsid w:val="5A4D80F8"/>
    <w:multiLevelType w:val="singleLevel"/>
    <w:tmpl w:val="5A4D80F8"/>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24EC0"/>
    <w:rsid w:val="1AD24EC0"/>
    <w:rsid w:val="28DA1B8B"/>
    <w:rsid w:val="2D2E545E"/>
    <w:rsid w:val="7B733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semiHidden/>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7">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style>
  <w:style w:type="paragraph" w:styleId="6">
    <w:name w:val="footer"/>
    <w:basedOn w:val="1"/>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yperlink"/>
    <w:basedOn w:val="7"/>
    <w:qFormat/>
    <w:uiPriority w:val="0"/>
    <w:rPr>
      <w:color w:val="000000"/>
      <w:u w:val="none"/>
    </w:rPr>
  </w:style>
  <w:style w:type="character" w:customStyle="1" w:styleId="13">
    <w:name w:val="hover25"/>
    <w:basedOn w:val="7"/>
    <w:uiPriority w:val="0"/>
  </w:style>
  <w:style w:type="character" w:customStyle="1" w:styleId="14">
    <w:name w:val="green"/>
    <w:basedOn w:val="7"/>
    <w:qFormat/>
    <w:uiPriority w:val="0"/>
    <w:rPr>
      <w:color w:val="66AE00"/>
      <w:sz w:val="18"/>
      <w:szCs w:val="18"/>
    </w:rPr>
  </w:style>
  <w:style w:type="character" w:customStyle="1" w:styleId="15">
    <w:name w:val="green1"/>
    <w:basedOn w:val="7"/>
    <w:uiPriority w:val="0"/>
    <w:rPr>
      <w:color w:val="66AE00"/>
      <w:sz w:val="18"/>
      <w:szCs w:val="18"/>
    </w:rPr>
  </w:style>
  <w:style w:type="character" w:customStyle="1" w:styleId="16">
    <w:name w:val="red"/>
    <w:basedOn w:val="7"/>
    <w:uiPriority w:val="0"/>
    <w:rPr>
      <w:color w:val="FF0000"/>
      <w:sz w:val="18"/>
      <w:szCs w:val="18"/>
    </w:rPr>
  </w:style>
  <w:style w:type="character" w:customStyle="1" w:styleId="17">
    <w:name w:val="red1"/>
    <w:basedOn w:val="7"/>
    <w:uiPriority w:val="0"/>
    <w:rPr>
      <w:color w:val="FF0000"/>
      <w:sz w:val="18"/>
      <w:szCs w:val="18"/>
    </w:rPr>
  </w:style>
  <w:style w:type="character" w:customStyle="1" w:styleId="18">
    <w:name w:val="red2"/>
    <w:basedOn w:val="7"/>
    <w:uiPriority w:val="0"/>
    <w:rPr>
      <w:color w:val="FF0000"/>
    </w:rPr>
  </w:style>
  <w:style w:type="character" w:customStyle="1" w:styleId="19">
    <w:name w:val="gb-jt"/>
    <w:basedOn w:val="7"/>
    <w:uiPriority w:val="0"/>
  </w:style>
  <w:style w:type="character" w:customStyle="1" w:styleId="20">
    <w:name w:val="blue"/>
    <w:basedOn w:val="7"/>
    <w:uiPriority w:val="0"/>
    <w:rPr>
      <w:color w:val="0371C6"/>
      <w:sz w:val="21"/>
      <w:szCs w:val="21"/>
    </w:rPr>
  </w:style>
  <w:style w:type="character" w:customStyle="1" w:styleId="21">
    <w:name w:val="right"/>
    <w:basedOn w:val="7"/>
    <w:uiPriority w:val="0"/>
    <w:rPr>
      <w:color w:val="999999"/>
      <w:sz w:val="18"/>
      <w:szCs w:val="18"/>
    </w:rPr>
  </w:style>
  <w:style w:type="character" w:customStyle="1" w:styleId="22">
    <w:name w:val="hover24"/>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2018-01-10T10:44:00Z</dcterms:created>
  <dc:creator>韩超昱</dc:creator>
  <cp:lastModifiedBy>渠小虎18637456229</cp:lastModifiedBy>
  <dcterms:modified xsi:type="dcterms:W3CDTF">2018-01-11T01:34:07Z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