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szCs w:val="24"/>
        </w:rPr>
      </w:pPr>
    </w:p>
    <w:p>
      <w:pPr>
        <w:rPr>
          <w:rFonts w:ascii="宋体" w:hAnsi="宋体" w:eastAsia="宋体" w:cs="宋体"/>
          <w:szCs w:val="24"/>
        </w:rPr>
      </w:pPr>
    </w:p>
    <w:p>
      <w:pPr>
        <w:widowControl/>
        <w:overflowPunct w:val="0"/>
        <w:autoSpaceDE w:val="0"/>
        <w:autoSpaceDN w:val="0"/>
        <w:adjustRightInd w:val="0"/>
        <w:spacing w:line="240" w:lineRule="exact"/>
        <w:jc w:val="center"/>
        <w:textAlignment w:val="baseline"/>
        <w:rPr>
          <w:rFonts w:ascii="黑体" w:hAnsi="黑体" w:eastAsia="黑体" w:cs="黑体"/>
          <w:kern w:val="0"/>
          <w:sz w:val="48"/>
          <w:szCs w:val="48"/>
        </w:rPr>
      </w:pPr>
    </w:p>
    <w:p>
      <w:pPr>
        <w:widowControl/>
        <w:overflowPunct w:val="0"/>
        <w:autoSpaceDE w:val="0"/>
        <w:autoSpaceDN w:val="0"/>
        <w:adjustRightInd w:val="0"/>
        <w:spacing w:line="360" w:lineRule="auto"/>
        <w:jc w:val="center"/>
        <w:textAlignment w:val="baseline"/>
        <w:rPr>
          <w:rFonts w:ascii="黑体" w:hAnsi="黑体" w:eastAsia="黑体" w:cs="黑体"/>
          <w:kern w:val="0"/>
          <w:sz w:val="48"/>
          <w:szCs w:val="48"/>
        </w:rPr>
      </w:pPr>
      <w:r>
        <w:rPr>
          <w:rFonts w:hint="eastAsia" w:ascii="黑体" w:hAnsi="黑体" w:eastAsia="黑体" w:cs="黑体"/>
          <w:kern w:val="0"/>
          <w:sz w:val="48"/>
          <w:szCs w:val="48"/>
        </w:rPr>
        <w:t>郑阜高铁鄢陵南站站前广场及市政配套设施PPP咨询机构采购项目（二次）</w:t>
      </w:r>
    </w:p>
    <w:p>
      <w:pPr>
        <w:widowControl/>
        <w:tabs>
          <w:tab w:val="left" w:pos="5855"/>
        </w:tabs>
        <w:overflowPunct w:val="0"/>
        <w:autoSpaceDE w:val="0"/>
        <w:autoSpaceDN w:val="0"/>
        <w:adjustRightInd w:val="0"/>
        <w:jc w:val="left"/>
        <w:textAlignment w:val="baseline"/>
        <w:rPr>
          <w:rFonts w:ascii="宋体" w:hAnsi="宋体" w:eastAsia="宋体" w:cs="宋体"/>
          <w:b/>
          <w:kern w:val="0"/>
          <w:sz w:val="32"/>
          <w:szCs w:val="32"/>
        </w:rPr>
      </w:pPr>
      <w:r>
        <w:rPr>
          <w:rFonts w:ascii="宋体" w:hAnsi="宋体" w:eastAsia="宋体" w:cs="宋体"/>
          <w:b/>
          <w:kern w:val="0"/>
          <w:sz w:val="32"/>
          <w:szCs w:val="32"/>
        </w:rPr>
        <w:tab/>
      </w:r>
    </w:p>
    <w:p>
      <w:pPr>
        <w:widowControl/>
        <w:tabs>
          <w:tab w:val="left" w:pos="420"/>
          <w:tab w:val="left" w:pos="840"/>
          <w:tab w:val="left" w:pos="1260"/>
          <w:tab w:val="left" w:pos="1680"/>
          <w:tab w:val="left" w:pos="2100"/>
          <w:tab w:val="left" w:pos="2520"/>
          <w:tab w:val="left" w:pos="2940"/>
          <w:tab w:val="left" w:pos="3360"/>
          <w:tab w:val="left" w:pos="3780"/>
          <w:tab w:val="left" w:pos="4200"/>
          <w:tab w:val="center" w:pos="4479"/>
          <w:tab w:val="left" w:pos="4620"/>
          <w:tab w:val="left" w:pos="5515"/>
        </w:tabs>
        <w:overflowPunct w:val="0"/>
        <w:autoSpaceDE w:val="0"/>
        <w:autoSpaceDN w:val="0"/>
        <w:adjustRightInd w:val="0"/>
        <w:jc w:val="left"/>
        <w:textAlignment w:val="baseline"/>
        <w:rPr>
          <w:rFonts w:ascii="宋体" w:hAnsi="宋体" w:eastAsia="宋体" w:cs="宋体"/>
          <w:b/>
          <w:kern w:val="0"/>
          <w:sz w:val="32"/>
          <w:szCs w:val="32"/>
        </w:rPr>
      </w:pPr>
      <w:r>
        <w:rPr>
          <w:rFonts w:hint="eastAsia" w:ascii="宋体" w:hAnsi="宋体" w:eastAsia="宋体" w:cs="宋体"/>
          <w:b/>
          <w:kern w:val="0"/>
          <w:sz w:val="32"/>
          <w:szCs w:val="32"/>
        </w:rPr>
        <w:tab/>
      </w:r>
      <w:r>
        <w:rPr>
          <w:rFonts w:hint="eastAsia" w:ascii="宋体" w:hAnsi="宋体" w:eastAsia="宋体" w:cs="宋体"/>
          <w:b/>
          <w:kern w:val="0"/>
          <w:sz w:val="32"/>
          <w:szCs w:val="32"/>
        </w:rPr>
        <w:tab/>
      </w:r>
      <w:r>
        <w:rPr>
          <w:rFonts w:hint="eastAsia" w:ascii="宋体" w:hAnsi="宋体" w:eastAsia="宋体" w:cs="宋体"/>
          <w:b/>
          <w:kern w:val="0"/>
          <w:sz w:val="32"/>
          <w:szCs w:val="32"/>
        </w:rPr>
        <w:tab/>
      </w:r>
      <w:r>
        <w:rPr>
          <w:rFonts w:hint="eastAsia" w:ascii="宋体" w:hAnsi="宋体" w:eastAsia="宋体" w:cs="宋体"/>
          <w:b/>
          <w:kern w:val="0"/>
          <w:sz w:val="32"/>
          <w:szCs w:val="32"/>
        </w:rPr>
        <w:tab/>
      </w:r>
      <w:r>
        <w:rPr>
          <w:rFonts w:hint="eastAsia" w:ascii="宋体" w:hAnsi="宋体" w:eastAsia="宋体" w:cs="宋体"/>
          <w:b/>
          <w:kern w:val="0"/>
          <w:sz w:val="32"/>
          <w:szCs w:val="32"/>
        </w:rPr>
        <w:tab/>
      </w:r>
      <w:r>
        <w:rPr>
          <w:rFonts w:hint="eastAsia" w:ascii="宋体" w:hAnsi="宋体" w:eastAsia="宋体" w:cs="宋体"/>
          <w:b/>
          <w:kern w:val="0"/>
          <w:sz w:val="32"/>
          <w:szCs w:val="32"/>
        </w:rPr>
        <w:tab/>
      </w:r>
      <w:r>
        <w:rPr>
          <w:rFonts w:hint="eastAsia" w:ascii="宋体" w:hAnsi="宋体" w:eastAsia="宋体" w:cs="宋体"/>
          <w:b/>
          <w:kern w:val="0"/>
          <w:sz w:val="32"/>
          <w:szCs w:val="32"/>
        </w:rPr>
        <w:tab/>
      </w:r>
      <w:r>
        <w:rPr>
          <w:rFonts w:hint="eastAsia" w:ascii="宋体" w:hAnsi="宋体" w:eastAsia="宋体" w:cs="宋体"/>
          <w:b/>
          <w:kern w:val="0"/>
          <w:sz w:val="32"/>
          <w:szCs w:val="32"/>
        </w:rPr>
        <w:tab/>
      </w:r>
      <w:r>
        <w:rPr>
          <w:rFonts w:hint="eastAsia" w:ascii="宋体" w:hAnsi="宋体" w:eastAsia="宋体" w:cs="宋体"/>
          <w:b/>
          <w:kern w:val="0"/>
          <w:sz w:val="32"/>
          <w:szCs w:val="32"/>
        </w:rPr>
        <w:tab/>
      </w:r>
      <w:r>
        <w:rPr>
          <w:rFonts w:hint="eastAsia" w:ascii="宋体" w:hAnsi="宋体" w:eastAsia="宋体" w:cs="宋体"/>
          <w:b/>
          <w:kern w:val="0"/>
          <w:sz w:val="32"/>
          <w:szCs w:val="32"/>
        </w:rPr>
        <w:tab/>
      </w:r>
      <w:r>
        <w:rPr>
          <w:rFonts w:hint="eastAsia" w:ascii="宋体" w:hAnsi="宋体" w:eastAsia="宋体" w:cs="宋体"/>
          <w:b/>
          <w:kern w:val="0"/>
          <w:sz w:val="32"/>
          <w:szCs w:val="32"/>
        </w:rPr>
        <w:tab/>
      </w:r>
      <w:r>
        <w:rPr>
          <w:rFonts w:hint="eastAsia" w:ascii="宋体" w:hAnsi="宋体" w:eastAsia="宋体" w:cs="宋体"/>
          <w:b/>
          <w:kern w:val="0"/>
          <w:sz w:val="32"/>
          <w:szCs w:val="32"/>
        </w:rPr>
        <w:tab/>
      </w:r>
      <w:r>
        <w:rPr>
          <w:rFonts w:hint="eastAsia" w:ascii="宋体" w:hAnsi="宋体" w:eastAsia="宋体" w:cs="宋体"/>
          <w:b/>
          <w:kern w:val="0"/>
          <w:sz w:val="32"/>
          <w:szCs w:val="32"/>
        </w:rPr>
        <w:tab/>
      </w:r>
    </w:p>
    <w:p>
      <w:pPr>
        <w:widowControl/>
        <w:overflowPunct w:val="0"/>
        <w:autoSpaceDE w:val="0"/>
        <w:autoSpaceDN w:val="0"/>
        <w:adjustRightInd w:val="0"/>
        <w:jc w:val="center"/>
        <w:textAlignment w:val="baseline"/>
        <w:rPr>
          <w:rFonts w:ascii="宋体" w:hAnsi="宋体" w:eastAsia="宋体" w:cs="宋体"/>
          <w:b/>
          <w:kern w:val="0"/>
          <w:sz w:val="32"/>
          <w:szCs w:val="32"/>
        </w:rPr>
      </w:pPr>
    </w:p>
    <w:p>
      <w:pPr>
        <w:widowControl/>
        <w:overflowPunct w:val="0"/>
        <w:autoSpaceDE w:val="0"/>
        <w:autoSpaceDN w:val="0"/>
        <w:adjustRightInd w:val="0"/>
        <w:jc w:val="left"/>
        <w:textAlignment w:val="baseline"/>
        <w:rPr>
          <w:rFonts w:ascii="宋体" w:hAnsi="宋体" w:eastAsia="宋体" w:cs="宋体"/>
          <w:b/>
          <w:kern w:val="0"/>
          <w:sz w:val="32"/>
          <w:szCs w:val="32"/>
        </w:rPr>
      </w:pPr>
    </w:p>
    <w:p>
      <w:pPr>
        <w:widowControl/>
        <w:overflowPunct w:val="0"/>
        <w:autoSpaceDE w:val="0"/>
        <w:autoSpaceDN w:val="0"/>
        <w:adjustRightInd w:val="0"/>
        <w:spacing w:line="340" w:lineRule="exact"/>
        <w:jc w:val="left"/>
        <w:textAlignment w:val="baseline"/>
        <w:rPr>
          <w:rFonts w:ascii="宋体" w:hAnsi="宋体" w:eastAsia="宋体" w:cs="宋体"/>
          <w:b/>
          <w:kern w:val="0"/>
          <w:sz w:val="32"/>
          <w:szCs w:val="32"/>
        </w:rPr>
      </w:pPr>
    </w:p>
    <w:p>
      <w:pPr>
        <w:widowControl/>
        <w:overflowPunct w:val="0"/>
        <w:autoSpaceDE w:val="0"/>
        <w:autoSpaceDN w:val="0"/>
        <w:adjustRightInd w:val="0"/>
        <w:jc w:val="center"/>
        <w:textAlignment w:val="baseline"/>
        <w:rPr>
          <w:rFonts w:ascii="宋体" w:hAnsi="宋体" w:eastAsia="宋体" w:cs="宋体"/>
          <w:b/>
          <w:kern w:val="0"/>
          <w:sz w:val="32"/>
          <w:szCs w:val="32"/>
        </w:rPr>
      </w:pPr>
    </w:p>
    <w:p>
      <w:pPr>
        <w:jc w:val="center"/>
        <w:rPr>
          <w:rFonts w:ascii="宋体" w:hAnsi="宋体"/>
          <w:b/>
          <w:sz w:val="92"/>
          <w:szCs w:val="92"/>
        </w:rPr>
      </w:pPr>
      <w:r>
        <w:rPr>
          <w:rFonts w:hint="eastAsia" w:ascii="宋体" w:hAnsi="宋体"/>
          <w:b/>
          <w:sz w:val="92"/>
          <w:szCs w:val="92"/>
        </w:rPr>
        <w:t>招 标 文 件</w:t>
      </w:r>
    </w:p>
    <w:p>
      <w:pPr>
        <w:rPr>
          <w:rFonts w:ascii="宋体" w:hAnsi="宋体"/>
          <w:sz w:val="32"/>
          <w:szCs w:val="32"/>
        </w:rPr>
      </w:pPr>
    </w:p>
    <w:p>
      <w:pPr>
        <w:spacing w:line="360" w:lineRule="auto"/>
        <w:ind w:firstLine="2249" w:firstLineChars="700"/>
        <w:jc w:val="left"/>
        <w:rPr>
          <w:rFonts w:ascii="宋体" w:hAnsi="宋体"/>
          <w:b/>
          <w:sz w:val="32"/>
          <w:szCs w:val="32"/>
        </w:rPr>
      </w:pPr>
      <w:r>
        <w:rPr>
          <w:rFonts w:hint="eastAsia" w:ascii="宋体" w:hAnsi="宋体"/>
          <w:b/>
          <w:sz w:val="32"/>
          <w:szCs w:val="32"/>
        </w:rPr>
        <w:t>项目编号：Y2017FZ206</w:t>
      </w:r>
    </w:p>
    <w:p>
      <w:pPr>
        <w:spacing w:line="360" w:lineRule="auto"/>
        <w:ind w:firstLine="2249" w:firstLineChars="700"/>
        <w:rPr>
          <w:rFonts w:ascii="宋体" w:hAnsi="宋体"/>
          <w:b/>
          <w:sz w:val="32"/>
          <w:szCs w:val="32"/>
        </w:rPr>
      </w:pPr>
      <w:r>
        <w:rPr>
          <w:rFonts w:hint="eastAsia" w:ascii="宋体" w:hAnsi="宋体"/>
          <w:b/>
          <w:sz w:val="32"/>
          <w:szCs w:val="32"/>
        </w:rPr>
        <w:t>招标编号：YLZFCG201710201-F</w:t>
      </w:r>
    </w:p>
    <w:p>
      <w:pPr>
        <w:adjustRightInd w:val="0"/>
        <w:snapToGrid w:val="0"/>
        <w:spacing w:line="360" w:lineRule="auto"/>
        <w:ind w:firstLine="2800" w:firstLineChars="1000"/>
        <w:rPr>
          <w:rFonts w:ascii="宋体" w:hAnsi="宋体" w:eastAsia="宋体" w:cs="宋体"/>
          <w:kern w:val="0"/>
          <w:sz w:val="28"/>
          <w:szCs w:val="28"/>
        </w:rPr>
      </w:pPr>
    </w:p>
    <w:p>
      <w:pPr>
        <w:widowControl/>
        <w:overflowPunct w:val="0"/>
        <w:autoSpaceDE w:val="0"/>
        <w:autoSpaceDN w:val="0"/>
        <w:adjustRightInd w:val="0"/>
        <w:spacing w:line="360" w:lineRule="auto"/>
        <w:jc w:val="center"/>
        <w:textAlignment w:val="baseline"/>
        <w:rPr>
          <w:rFonts w:ascii="宋体" w:hAnsi="宋体" w:eastAsia="宋体" w:cs="宋体"/>
          <w:b/>
          <w:kern w:val="0"/>
          <w:sz w:val="44"/>
          <w:szCs w:val="44"/>
        </w:rPr>
      </w:pPr>
    </w:p>
    <w:p>
      <w:pPr>
        <w:widowControl/>
        <w:tabs>
          <w:tab w:val="left" w:pos="4725"/>
        </w:tabs>
        <w:overflowPunct w:val="0"/>
        <w:autoSpaceDE w:val="0"/>
        <w:autoSpaceDN w:val="0"/>
        <w:adjustRightInd w:val="0"/>
        <w:jc w:val="left"/>
        <w:textAlignment w:val="baseline"/>
        <w:rPr>
          <w:rFonts w:ascii="宋体" w:hAnsi="宋体" w:eastAsia="宋体" w:cs="宋体"/>
          <w:b/>
          <w:kern w:val="0"/>
          <w:sz w:val="32"/>
          <w:szCs w:val="32"/>
        </w:rPr>
      </w:pPr>
    </w:p>
    <w:p>
      <w:pPr>
        <w:widowControl/>
        <w:tabs>
          <w:tab w:val="left" w:pos="4725"/>
        </w:tabs>
        <w:overflowPunct w:val="0"/>
        <w:autoSpaceDE w:val="0"/>
        <w:autoSpaceDN w:val="0"/>
        <w:adjustRightInd w:val="0"/>
        <w:jc w:val="left"/>
        <w:textAlignment w:val="baseline"/>
        <w:rPr>
          <w:rFonts w:ascii="宋体" w:hAnsi="宋体" w:eastAsia="宋体" w:cs="宋体"/>
          <w:b/>
          <w:kern w:val="0"/>
          <w:sz w:val="32"/>
          <w:szCs w:val="32"/>
        </w:rPr>
      </w:pPr>
    </w:p>
    <w:p>
      <w:pPr>
        <w:widowControl/>
        <w:tabs>
          <w:tab w:val="left" w:pos="4725"/>
        </w:tabs>
        <w:overflowPunct w:val="0"/>
        <w:autoSpaceDE w:val="0"/>
        <w:autoSpaceDN w:val="0"/>
        <w:adjustRightInd w:val="0"/>
        <w:jc w:val="left"/>
        <w:textAlignment w:val="baseline"/>
        <w:rPr>
          <w:rFonts w:ascii="宋体" w:hAnsi="宋体" w:eastAsia="宋体" w:cs="宋体"/>
          <w:b/>
          <w:kern w:val="0"/>
          <w:sz w:val="32"/>
          <w:szCs w:val="32"/>
        </w:rPr>
      </w:pPr>
    </w:p>
    <w:p>
      <w:pPr>
        <w:widowControl/>
        <w:overflowPunct w:val="0"/>
        <w:autoSpaceDE w:val="0"/>
        <w:autoSpaceDN w:val="0"/>
        <w:adjustRightInd w:val="0"/>
        <w:jc w:val="left"/>
        <w:textAlignment w:val="baseline"/>
        <w:rPr>
          <w:rFonts w:ascii="宋体" w:hAnsi="宋体" w:eastAsia="宋体" w:cs="宋体"/>
          <w:b/>
          <w:kern w:val="0"/>
          <w:sz w:val="32"/>
          <w:szCs w:val="32"/>
        </w:rPr>
      </w:pPr>
    </w:p>
    <w:p>
      <w:pPr>
        <w:widowControl/>
        <w:overflowPunct w:val="0"/>
        <w:autoSpaceDE w:val="0"/>
        <w:autoSpaceDN w:val="0"/>
        <w:adjustRightInd w:val="0"/>
        <w:spacing w:line="360" w:lineRule="auto"/>
        <w:ind w:firstLine="1928" w:firstLineChars="600"/>
        <w:jc w:val="left"/>
        <w:textAlignment w:val="baseline"/>
        <w:rPr>
          <w:rFonts w:ascii="宋体" w:hAnsi="宋体" w:eastAsia="宋体" w:cs="宋体"/>
          <w:b/>
          <w:kern w:val="0"/>
          <w:sz w:val="32"/>
          <w:szCs w:val="32"/>
          <w:u w:val="single"/>
        </w:rPr>
      </w:pPr>
      <w:r>
        <w:rPr>
          <w:rFonts w:hint="eastAsia" w:ascii="宋体" w:hAnsi="宋体" w:eastAsia="宋体" w:cs="宋体"/>
          <w:b/>
          <w:kern w:val="0"/>
          <w:sz w:val="32"/>
          <w:szCs w:val="32"/>
        </w:rPr>
        <w:t>采 购 人：</w:t>
      </w:r>
      <w:r>
        <w:rPr>
          <w:rFonts w:hint="eastAsia" w:ascii="宋体" w:hAnsi="宋体" w:eastAsia="宋体" w:cs="宋体"/>
          <w:b/>
          <w:kern w:val="0"/>
          <w:sz w:val="32"/>
          <w:szCs w:val="32"/>
          <w:u w:val="single"/>
        </w:rPr>
        <w:t xml:space="preserve">    鄢陵县交通运输局    </w:t>
      </w:r>
    </w:p>
    <w:p>
      <w:pPr>
        <w:widowControl/>
        <w:overflowPunct w:val="0"/>
        <w:autoSpaceDE w:val="0"/>
        <w:autoSpaceDN w:val="0"/>
        <w:adjustRightInd w:val="0"/>
        <w:spacing w:line="360" w:lineRule="auto"/>
        <w:ind w:firstLine="1928" w:firstLineChars="600"/>
        <w:textAlignment w:val="baseline"/>
        <w:rPr>
          <w:rFonts w:ascii="宋体" w:hAnsi="宋体"/>
          <w:b/>
          <w:sz w:val="32"/>
          <w:szCs w:val="32"/>
          <w:u w:val="single"/>
        </w:rPr>
      </w:pPr>
      <w:r>
        <w:rPr>
          <w:rFonts w:hint="eastAsia" w:ascii="宋体" w:hAnsi="宋体"/>
          <w:b/>
          <w:sz w:val="32"/>
          <w:szCs w:val="32"/>
        </w:rPr>
        <w:t>招标代理：</w:t>
      </w:r>
      <w:bookmarkStart w:id="0" w:name="OLE_LINK2"/>
      <w:r>
        <w:rPr>
          <w:rFonts w:hint="eastAsia" w:ascii="宋体" w:hAnsi="宋体"/>
          <w:b/>
          <w:sz w:val="32"/>
          <w:szCs w:val="32"/>
          <w:u w:val="single"/>
        </w:rPr>
        <w:t>河南鑫盈招标代理有限公司</w:t>
      </w:r>
      <w:bookmarkEnd w:id="0"/>
    </w:p>
    <w:p>
      <w:pPr>
        <w:spacing w:line="360" w:lineRule="auto"/>
        <w:ind w:firstLine="1928" w:firstLineChars="600"/>
        <w:jc w:val="left"/>
        <w:rPr>
          <w:rFonts w:ascii="宋体" w:hAnsi="宋体" w:eastAsia="宋体" w:cs="宋体"/>
          <w:b/>
          <w:kern w:val="0"/>
          <w:sz w:val="32"/>
          <w:szCs w:val="32"/>
        </w:rPr>
      </w:pPr>
      <w:r>
        <w:rPr>
          <w:rFonts w:hint="eastAsia" w:ascii="宋体" w:hAnsi="宋体"/>
          <w:b/>
          <w:sz w:val="32"/>
          <w:szCs w:val="32"/>
        </w:rPr>
        <w:t>时    间：</w:t>
      </w:r>
      <w:r>
        <w:rPr>
          <w:rFonts w:hint="eastAsia" w:ascii="宋体" w:hAnsi="宋体"/>
          <w:b/>
          <w:sz w:val="32"/>
          <w:szCs w:val="32"/>
          <w:u w:val="single"/>
        </w:rPr>
        <w:t xml:space="preserve">    二○一七年十二月    </w:t>
      </w:r>
    </w:p>
    <w:p>
      <w:pPr>
        <w:widowControl/>
        <w:overflowPunct w:val="0"/>
        <w:autoSpaceDE w:val="0"/>
        <w:autoSpaceDN w:val="0"/>
        <w:adjustRightInd w:val="0"/>
        <w:jc w:val="center"/>
        <w:textAlignment w:val="baseline"/>
        <w:rPr>
          <w:rFonts w:ascii="宋体" w:hAnsi="宋体" w:eastAsia="宋体" w:cs="宋体"/>
          <w:b/>
          <w:kern w:val="0"/>
          <w:sz w:val="32"/>
          <w:szCs w:val="32"/>
        </w:rPr>
        <w:sectPr>
          <w:footerReference r:id="rId3" w:type="first"/>
          <w:pgSz w:w="11906" w:h="16838"/>
          <w:pgMar w:top="1587" w:right="1587" w:bottom="1587" w:left="1587" w:header="1247" w:footer="992" w:gutter="0"/>
          <w:pgNumType w:start="1"/>
          <w:cols w:space="0" w:num="1"/>
          <w:docGrid w:linePitch="312" w:charSpace="0"/>
        </w:sectPr>
      </w:pPr>
    </w:p>
    <w:p>
      <w:pPr>
        <w:widowControl/>
        <w:overflowPunct w:val="0"/>
        <w:autoSpaceDE w:val="0"/>
        <w:autoSpaceDN w:val="0"/>
        <w:adjustRightInd w:val="0"/>
        <w:spacing w:line="800" w:lineRule="exact"/>
        <w:jc w:val="center"/>
        <w:textAlignment w:val="baseline"/>
        <w:rPr>
          <w:rFonts w:ascii="宋体" w:hAnsi="宋体" w:eastAsia="宋体" w:cs="宋体"/>
          <w:b/>
          <w:sz w:val="44"/>
          <w:szCs w:val="44"/>
        </w:rPr>
      </w:pPr>
      <w:r>
        <w:rPr>
          <w:rFonts w:hint="eastAsia" w:ascii="宋体" w:hAnsi="宋体" w:eastAsia="宋体" w:cs="宋体"/>
          <w:b/>
          <w:kern w:val="0"/>
          <w:sz w:val="44"/>
          <w:szCs w:val="44"/>
        </w:rPr>
        <w:t xml:space="preserve"> </w:t>
      </w:r>
      <w:r>
        <w:rPr>
          <w:rFonts w:hint="eastAsia" w:ascii="宋体" w:hAnsi="宋体" w:eastAsia="宋体" w:cs="宋体"/>
          <w:b/>
          <w:sz w:val="44"/>
          <w:szCs w:val="44"/>
        </w:rPr>
        <w:t>目    录</w:t>
      </w:r>
    </w:p>
    <w:p>
      <w:pPr>
        <w:autoSpaceDE w:val="0"/>
        <w:autoSpaceDN w:val="0"/>
        <w:adjustRightInd w:val="0"/>
        <w:spacing w:line="300" w:lineRule="exact"/>
        <w:ind w:left="143" w:leftChars="68" w:firstLine="707" w:firstLineChars="221"/>
        <w:rPr>
          <w:rFonts w:ascii="宋体" w:hAnsi="宋体" w:eastAsia="宋体" w:cs="宋体"/>
          <w:sz w:val="32"/>
          <w:szCs w:val="32"/>
        </w:rPr>
      </w:pPr>
    </w:p>
    <w:p>
      <w:pPr>
        <w:pStyle w:val="16"/>
        <w:tabs>
          <w:tab w:val="right" w:leader="dot" w:pos="8958"/>
        </w:tabs>
        <w:spacing w:line="350" w:lineRule="exact"/>
        <w:jc w:val="center"/>
        <w:rPr>
          <w:rFonts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TOC \o "1-3" \h \u </w:instrText>
      </w:r>
      <w:r>
        <w:rPr>
          <w:rFonts w:hint="eastAsia" w:ascii="宋体" w:hAnsi="宋体" w:eastAsia="宋体" w:cs="宋体"/>
          <w:sz w:val="24"/>
          <w:szCs w:val="24"/>
        </w:rPr>
        <w:fldChar w:fldCharType="separate"/>
      </w:r>
      <w:r>
        <w:fldChar w:fldCharType="begin"/>
      </w:r>
      <w:r>
        <w:instrText xml:space="preserve"> HYPERLINK \l "_Toc25103" </w:instrText>
      </w:r>
      <w:r>
        <w:fldChar w:fldCharType="separate"/>
      </w:r>
      <w:r>
        <w:rPr>
          <w:rFonts w:hint="eastAsia" w:ascii="宋体" w:hAnsi="宋体" w:eastAsia="宋体" w:cs="宋体"/>
          <w:bCs/>
          <w:sz w:val="24"/>
          <w:szCs w:val="24"/>
          <w:lang w:val="zh-CN"/>
        </w:rPr>
        <w:t xml:space="preserve">第一部分 </w:t>
      </w:r>
      <w:r>
        <w:rPr>
          <w:rFonts w:hint="eastAsia" w:ascii="宋体" w:hAnsi="宋体" w:eastAsia="宋体" w:cs="宋体"/>
          <w:bCs/>
          <w:sz w:val="24"/>
          <w:szCs w:val="24"/>
        </w:rPr>
        <w:t>招标公告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_Toc25103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tabs>
          <w:tab w:val="right" w:leader="dot" w:pos="8958"/>
        </w:tabs>
        <w:spacing w:line="350" w:lineRule="exact"/>
        <w:jc w:val="center"/>
        <w:rPr>
          <w:rFonts w:ascii="宋体" w:hAnsi="宋体" w:eastAsia="宋体" w:cs="宋体"/>
          <w:sz w:val="24"/>
          <w:szCs w:val="24"/>
        </w:rPr>
      </w:pPr>
      <w:r>
        <w:fldChar w:fldCharType="begin"/>
      </w:r>
      <w:r>
        <w:instrText xml:space="preserve"> HYPERLINK \l "_Toc24880" </w:instrText>
      </w:r>
      <w:r>
        <w:fldChar w:fldCharType="separate"/>
      </w:r>
      <w:r>
        <w:rPr>
          <w:rFonts w:hint="eastAsia" w:ascii="宋体" w:hAnsi="宋体" w:eastAsia="宋体" w:cs="宋体"/>
          <w:bCs/>
          <w:sz w:val="24"/>
          <w:szCs w:val="24"/>
          <w:lang w:val="zh-CN"/>
        </w:rPr>
        <w:t>第二部分 项目需求及其它要求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_Toc24880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8958"/>
        </w:tabs>
        <w:spacing w:line="350" w:lineRule="exact"/>
        <w:ind w:left="0" w:leftChars="0" w:firstLine="420" w:firstLineChars="200"/>
        <w:jc w:val="center"/>
        <w:rPr>
          <w:rFonts w:ascii="宋体" w:hAnsi="宋体" w:eastAsia="宋体" w:cs="宋体"/>
          <w:sz w:val="24"/>
          <w:szCs w:val="24"/>
        </w:rPr>
      </w:pPr>
      <w:r>
        <w:fldChar w:fldCharType="begin"/>
      </w:r>
      <w:r>
        <w:instrText xml:space="preserve"> HYPERLINK \l "_Toc27149" </w:instrText>
      </w:r>
      <w:r>
        <w:fldChar w:fldCharType="separate"/>
      </w:r>
      <w:r>
        <w:rPr>
          <w:rFonts w:hint="eastAsia" w:ascii="宋体" w:hAnsi="宋体" w:eastAsia="宋体" w:cs="宋体"/>
          <w:sz w:val="24"/>
          <w:szCs w:val="24"/>
        </w:rPr>
        <w:t xml:space="preserve">一、 </w:t>
      </w:r>
      <w:r>
        <w:rPr>
          <w:rFonts w:hint="eastAsia" w:ascii="宋体" w:hAnsi="宋体" w:eastAsia="宋体" w:cs="宋体"/>
          <w:bCs/>
          <w:sz w:val="24"/>
          <w:szCs w:val="24"/>
        </w:rPr>
        <w:t>项目概况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_Toc27149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8958"/>
        </w:tabs>
        <w:spacing w:line="350" w:lineRule="exact"/>
        <w:ind w:left="0" w:leftChars="0" w:firstLine="420" w:firstLineChars="200"/>
        <w:jc w:val="center"/>
        <w:rPr>
          <w:rFonts w:ascii="宋体" w:hAnsi="宋体" w:eastAsia="宋体" w:cs="宋体"/>
          <w:sz w:val="24"/>
          <w:szCs w:val="24"/>
        </w:rPr>
      </w:pPr>
      <w:r>
        <w:fldChar w:fldCharType="begin"/>
      </w:r>
      <w:r>
        <w:instrText xml:space="preserve"> HYPERLINK \l "_Toc21546" </w:instrText>
      </w:r>
      <w:r>
        <w:fldChar w:fldCharType="separate"/>
      </w:r>
      <w:r>
        <w:rPr>
          <w:rFonts w:hint="eastAsia" w:ascii="宋体" w:hAnsi="宋体" w:eastAsia="宋体" w:cs="宋体"/>
          <w:bCs/>
          <w:sz w:val="24"/>
          <w:szCs w:val="24"/>
        </w:rPr>
        <w:t>二、项目需求</w:t>
      </w:r>
      <w:r>
        <w:rPr>
          <w:rFonts w:hint="eastAsia" w:ascii="宋体" w:hAnsi="宋体" w:eastAsia="宋体" w:cs="宋体"/>
          <w:sz w:val="24"/>
          <w:szCs w:val="24"/>
        </w:rPr>
        <w:tab/>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5</w:t>
      </w:r>
    </w:p>
    <w:p>
      <w:pPr>
        <w:pStyle w:val="18"/>
        <w:tabs>
          <w:tab w:val="right" w:leader="dot" w:pos="8958"/>
        </w:tabs>
        <w:spacing w:line="350" w:lineRule="exact"/>
        <w:ind w:left="0" w:leftChars="0" w:firstLine="420" w:firstLineChars="200"/>
        <w:jc w:val="center"/>
        <w:rPr>
          <w:rFonts w:ascii="宋体" w:hAnsi="宋体" w:eastAsia="宋体" w:cs="宋体"/>
          <w:sz w:val="24"/>
          <w:szCs w:val="24"/>
        </w:rPr>
      </w:pPr>
      <w:r>
        <w:fldChar w:fldCharType="begin"/>
      </w:r>
      <w:r>
        <w:instrText xml:space="preserve"> HYPERLINK \l "_Toc361" </w:instrText>
      </w:r>
      <w:r>
        <w:fldChar w:fldCharType="separate"/>
      </w:r>
      <w:r>
        <w:rPr>
          <w:rFonts w:hint="eastAsia" w:ascii="宋体" w:hAnsi="宋体" w:eastAsia="宋体" w:cs="宋体"/>
          <w:bCs/>
          <w:sz w:val="24"/>
          <w:szCs w:val="24"/>
        </w:rPr>
        <w:t>三、其它要求</w:t>
      </w:r>
      <w:r>
        <w:rPr>
          <w:rFonts w:hint="eastAsia" w:ascii="宋体" w:hAnsi="宋体" w:eastAsia="宋体" w:cs="宋体"/>
          <w:sz w:val="24"/>
          <w:szCs w:val="24"/>
        </w:rPr>
        <w:tab/>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6</w:t>
      </w:r>
    </w:p>
    <w:p>
      <w:pPr>
        <w:pStyle w:val="16"/>
        <w:tabs>
          <w:tab w:val="right" w:leader="dot" w:pos="8958"/>
        </w:tabs>
        <w:spacing w:line="350" w:lineRule="exact"/>
        <w:jc w:val="center"/>
        <w:rPr>
          <w:rFonts w:ascii="宋体" w:hAnsi="宋体" w:eastAsia="宋体" w:cs="宋体"/>
          <w:sz w:val="24"/>
          <w:szCs w:val="24"/>
        </w:rPr>
      </w:pPr>
      <w:r>
        <w:fldChar w:fldCharType="begin"/>
      </w:r>
      <w:r>
        <w:instrText xml:space="preserve"> HYPERLINK \l "_Toc2516" </w:instrText>
      </w:r>
      <w:r>
        <w:fldChar w:fldCharType="separate"/>
      </w:r>
      <w:r>
        <w:rPr>
          <w:rFonts w:hint="eastAsia" w:ascii="宋体" w:hAnsi="宋体" w:eastAsia="宋体" w:cs="宋体"/>
          <w:bCs/>
          <w:sz w:val="24"/>
          <w:szCs w:val="24"/>
          <w:lang w:val="zh-CN"/>
        </w:rPr>
        <w:t>第三部分</w:t>
      </w:r>
      <w:r>
        <w:rPr>
          <w:rFonts w:hint="eastAsia" w:ascii="宋体" w:hAnsi="宋体" w:eastAsia="宋体" w:cs="宋体"/>
          <w:bCs/>
          <w:sz w:val="24"/>
          <w:szCs w:val="24"/>
        </w:rPr>
        <w:t xml:space="preserve"> </w:t>
      </w:r>
      <w:r>
        <w:rPr>
          <w:rFonts w:hint="eastAsia" w:ascii="宋体" w:hAnsi="宋体" w:eastAsia="宋体" w:cs="宋体"/>
          <w:bCs/>
          <w:sz w:val="24"/>
          <w:szCs w:val="24"/>
          <w:lang w:val="zh-CN"/>
        </w:rPr>
        <w:t>供应商须知</w:t>
      </w:r>
      <w:r>
        <w:rPr>
          <w:rFonts w:hint="eastAsia" w:ascii="宋体" w:hAnsi="宋体" w:eastAsia="宋体" w:cs="宋体"/>
          <w:sz w:val="24"/>
          <w:szCs w:val="24"/>
        </w:rPr>
        <w:tab/>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8</w:t>
      </w:r>
    </w:p>
    <w:p>
      <w:pPr>
        <w:pStyle w:val="18"/>
        <w:tabs>
          <w:tab w:val="right" w:leader="dot" w:pos="8958"/>
        </w:tabs>
        <w:spacing w:line="350" w:lineRule="exact"/>
        <w:ind w:left="0" w:leftChars="0" w:firstLine="420" w:firstLineChars="200"/>
        <w:jc w:val="center"/>
        <w:rPr>
          <w:rFonts w:ascii="宋体" w:hAnsi="宋体" w:eastAsia="宋体" w:cs="宋体"/>
          <w:sz w:val="24"/>
          <w:szCs w:val="24"/>
        </w:rPr>
      </w:pPr>
      <w:r>
        <w:fldChar w:fldCharType="begin"/>
      </w:r>
      <w:r>
        <w:instrText xml:space="preserve"> HYPERLINK \l "_Toc1867" </w:instrText>
      </w:r>
      <w:r>
        <w:fldChar w:fldCharType="separate"/>
      </w:r>
      <w:r>
        <w:rPr>
          <w:rFonts w:hint="eastAsia" w:ascii="宋体" w:hAnsi="宋体" w:eastAsia="宋体" w:cs="宋体"/>
          <w:sz w:val="24"/>
          <w:szCs w:val="24"/>
        </w:rPr>
        <w:t>A 说明和释义</w:t>
      </w:r>
      <w:r>
        <w:rPr>
          <w:rFonts w:hint="eastAsia" w:ascii="宋体" w:hAnsi="宋体" w:eastAsia="宋体" w:cs="宋体"/>
          <w:sz w:val="24"/>
          <w:szCs w:val="24"/>
        </w:rPr>
        <w:tab/>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12</w:t>
      </w:r>
    </w:p>
    <w:p>
      <w:pPr>
        <w:pStyle w:val="18"/>
        <w:tabs>
          <w:tab w:val="right" w:leader="dot" w:pos="8958"/>
        </w:tabs>
        <w:spacing w:line="350" w:lineRule="exact"/>
        <w:ind w:left="0" w:leftChars="0" w:firstLine="420" w:firstLineChars="200"/>
        <w:jc w:val="center"/>
        <w:rPr>
          <w:rFonts w:ascii="宋体" w:hAnsi="宋体" w:eastAsia="宋体" w:cs="宋体"/>
          <w:sz w:val="24"/>
          <w:szCs w:val="24"/>
        </w:rPr>
      </w:pPr>
      <w:r>
        <w:fldChar w:fldCharType="begin"/>
      </w:r>
      <w:r>
        <w:instrText xml:space="preserve"> HYPERLINK \l "_Toc13616" </w:instrText>
      </w:r>
      <w:r>
        <w:fldChar w:fldCharType="separate"/>
      </w:r>
      <w:r>
        <w:rPr>
          <w:rFonts w:hint="eastAsia" w:ascii="宋体" w:hAnsi="宋体" w:eastAsia="宋体" w:cs="宋体"/>
          <w:sz w:val="24"/>
          <w:szCs w:val="24"/>
        </w:rPr>
        <w:t>B 招标文件说明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_Toc13616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8958"/>
        </w:tabs>
        <w:spacing w:line="350" w:lineRule="exact"/>
        <w:ind w:left="0" w:leftChars="0" w:firstLine="420" w:firstLineChars="200"/>
        <w:jc w:val="center"/>
        <w:rPr>
          <w:rFonts w:ascii="宋体" w:hAnsi="宋体" w:eastAsia="宋体" w:cs="宋体"/>
          <w:sz w:val="24"/>
          <w:szCs w:val="24"/>
        </w:rPr>
      </w:pPr>
      <w:r>
        <w:fldChar w:fldCharType="begin"/>
      </w:r>
      <w:r>
        <w:instrText xml:space="preserve"> HYPERLINK \l "_Toc14678" </w:instrText>
      </w:r>
      <w:r>
        <w:fldChar w:fldCharType="separate"/>
      </w:r>
      <w:r>
        <w:rPr>
          <w:rFonts w:hint="eastAsia" w:ascii="宋体" w:hAnsi="宋体" w:eastAsia="宋体" w:cs="宋体"/>
          <w:sz w:val="24"/>
          <w:szCs w:val="24"/>
        </w:rPr>
        <w:t>C投标文件的编写和说明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_Toc14678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8958"/>
        </w:tabs>
        <w:spacing w:line="350" w:lineRule="exact"/>
        <w:ind w:left="0" w:leftChars="0" w:firstLine="420" w:firstLineChars="200"/>
        <w:jc w:val="center"/>
        <w:rPr>
          <w:rFonts w:ascii="宋体" w:hAnsi="宋体" w:eastAsia="宋体" w:cs="宋体"/>
          <w:sz w:val="24"/>
          <w:szCs w:val="24"/>
        </w:rPr>
      </w:pPr>
      <w:r>
        <w:fldChar w:fldCharType="begin"/>
      </w:r>
      <w:r>
        <w:instrText xml:space="preserve"> HYPERLINK \l "_Toc16721" </w:instrText>
      </w:r>
      <w:r>
        <w:fldChar w:fldCharType="separate"/>
      </w:r>
      <w:r>
        <w:rPr>
          <w:rFonts w:hint="eastAsia" w:ascii="宋体" w:hAnsi="宋体" w:eastAsia="宋体" w:cs="宋体"/>
          <w:sz w:val="24"/>
          <w:szCs w:val="24"/>
          <w:lang w:val="zh-CN"/>
        </w:rPr>
        <w:t>D、投标文件的递交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_Toc16721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8958"/>
        </w:tabs>
        <w:spacing w:line="350" w:lineRule="exact"/>
        <w:ind w:left="0" w:leftChars="0" w:firstLine="420" w:firstLineChars="200"/>
        <w:jc w:val="center"/>
        <w:rPr>
          <w:rFonts w:ascii="宋体" w:hAnsi="宋体" w:eastAsia="宋体" w:cs="宋体"/>
          <w:sz w:val="24"/>
          <w:szCs w:val="24"/>
        </w:rPr>
      </w:pPr>
      <w:r>
        <w:fldChar w:fldCharType="begin"/>
      </w:r>
      <w:r>
        <w:instrText xml:space="preserve"> HYPERLINK \l "_Toc29261" </w:instrText>
      </w:r>
      <w:r>
        <w:fldChar w:fldCharType="separate"/>
      </w:r>
      <w:r>
        <w:rPr>
          <w:rFonts w:hint="eastAsia" w:ascii="宋体" w:hAnsi="宋体" w:eastAsia="宋体" w:cs="宋体"/>
          <w:sz w:val="24"/>
          <w:szCs w:val="24"/>
          <w:lang w:val="zh-CN"/>
        </w:rPr>
        <w:t>E、开标和评标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_Toc29261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8958"/>
        </w:tabs>
        <w:spacing w:line="350" w:lineRule="exact"/>
        <w:ind w:left="0" w:leftChars="0" w:firstLine="420" w:firstLineChars="200"/>
        <w:jc w:val="center"/>
        <w:rPr>
          <w:rFonts w:ascii="宋体" w:hAnsi="宋体" w:eastAsia="宋体" w:cs="宋体"/>
          <w:sz w:val="24"/>
          <w:szCs w:val="24"/>
        </w:rPr>
      </w:pPr>
      <w:r>
        <w:fldChar w:fldCharType="begin"/>
      </w:r>
      <w:r>
        <w:instrText xml:space="preserve"> HYPERLINK \l "_Toc12802" </w:instrText>
      </w:r>
      <w:r>
        <w:fldChar w:fldCharType="separate"/>
      </w:r>
      <w:r>
        <w:rPr>
          <w:rFonts w:hint="eastAsia" w:ascii="宋体" w:hAnsi="宋体" w:eastAsia="宋体" w:cs="宋体"/>
          <w:sz w:val="24"/>
          <w:szCs w:val="24"/>
          <w:lang w:val="zh-CN"/>
        </w:rPr>
        <w:t>F、授予合同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_Toc12802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tabs>
          <w:tab w:val="right" w:leader="dot" w:pos="8958"/>
        </w:tabs>
        <w:spacing w:line="350" w:lineRule="exact"/>
        <w:jc w:val="center"/>
        <w:rPr>
          <w:rFonts w:ascii="宋体" w:hAnsi="宋体" w:eastAsia="宋体" w:cs="宋体"/>
          <w:sz w:val="24"/>
          <w:szCs w:val="24"/>
        </w:rPr>
      </w:pPr>
      <w:r>
        <w:fldChar w:fldCharType="begin"/>
      </w:r>
      <w:r>
        <w:instrText xml:space="preserve"> HYPERLINK \l "_Toc12949" </w:instrText>
      </w:r>
      <w:r>
        <w:fldChar w:fldCharType="separate"/>
      </w:r>
      <w:r>
        <w:rPr>
          <w:rFonts w:hint="eastAsia" w:ascii="宋体" w:hAnsi="宋体" w:eastAsia="宋体" w:cs="宋体"/>
          <w:bCs/>
          <w:sz w:val="24"/>
          <w:szCs w:val="24"/>
          <w:lang w:val="zh-CN"/>
        </w:rPr>
        <w:t>第四部分 评标办法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_Toc12949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tabs>
          <w:tab w:val="right" w:leader="dot" w:pos="8958"/>
        </w:tabs>
        <w:spacing w:line="350" w:lineRule="exact"/>
        <w:jc w:val="center"/>
        <w:rPr>
          <w:rFonts w:ascii="宋体" w:hAnsi="宋体" w:eastAsia="宋体" w:cs="宋体"/>
          <w:sz w:val="24"/>
          <w:szCs w:val="24"/>
        </w:rPr>
      </w:pPr>
      <w:r>
        <w:fldChar w:fldCharType="begin"/>
      </w:r>
      <w:r>
        <w:instrText xml:space="preserve"> HYPERLINK \l "_Toc2744" </w:instrText>
      </w:r>
      <w:r>
        <w:fldChar w:fldCharType="separate"/>
      </w:r>
      <w:r>
        <w:rPr>
          <w:rFonts w:hint="eastAsia" w:ascii="宋体" w:hAnsi="宋体" w:eastAsia="宋体" w:cs="宋体"/>
          <w:bCs/>
          <w:sz w:val="24"/>
          <w:szCs w:val="24"/>
          <w:lang w:val="zh-CN"/>
        </w:rPr>
        <w:t>第五部分 合同样本</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_Toc2744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tabs>
          <w:tab w:val="right" w:leader="dot" w:pos="8958"/>
        </w:tabs>
        <w:spacing w:line="350" w:lineRule="exact"/>
        <w:jc w:val="center"/>
        <w:rPr>
          <w:rFonts w:ascii="宋体" w:hAnsi="宋体" w:eastAsia="宋体" w:cs="宋体"/>
          <w:sz w:val="24"/>
          <w:szCs w:val="24"/>
        </w:rPr>
      </w:pPr>
      <w:r>
        <w:fldChar w:fldCharType="begin"/>
      </w:r>
      <w:r>
        <w:instrText xml:space="preserve"> HYPERLINK \l "_Toc27116" </w:instrText>
      </w:r>
      <w:r>
        <w:fldChar w:fldCharType="separate"/>
      </w:r>
      <w:r>
        <w:rPr>
          <w:rFonts w:hint="eastAsia" w:ascii="宋体" w:hAnsi="宋体" w:eastAsia="宋体" w:cs="宋体"/>
          <w:bCs/>
          <w:sz w:val="24"/>
          <w:szCs w:val="24"/>
          <w:lang w:val="zh-CN"/>
        </w:rPr>
        <w:t>第六部分 附件</w:t>
      </w:r>
      <w:r>
        <w:rPr>
          <w:rFonts w:hint="eastAsia" w:ascii="宋体" w:hAnsi="宋体" w:eastAsia="宋体" w:cs="宋体"/>
          <w:sz w:val="24"/>
          <w:szCs w:val="24"/>
        </w:rPr>
        <w:tab/>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33</w:t>
      </w:r>
    </w:p>
    <w:p>
      <w:pPr>
        <w:pStyle w:val="18"/>
        <w:tabs>
          <w:tab w:val="right" w:leader="dot" w:pos="8958"/>
        </w:tabs>
        <w:spacing w:line="350" w:lineRule="exact"/>
        <w:ind w:left="0" w:leftChars="0"/>
        <w:jc w:val="center"/>
        <w:rPr>
          <w:rFonts w:ascii="宋体" w:hAnsi="宋体" w:eastAsia="宋体" w:cs="宋体"/>
          <w:sz w:val="24"/>
          <w:szCs w:val="24"/>
        </w:rPr>
      </w:pPr>
      <w:r>
        <w:fldChar w:fldCharType="begin"/>
      </w:r>
      <w:r>
        <w:instrText xml:space="preserve"> HYPERLINK \l "_Toc30184" </w:instrText>
      </w:r>
      <w:r>
        <w:fldChar w:fldCharType="separate"/>
      </w:r>
      <w:r>
        <w:rPr>
          <w:rFonts w:hint="eastAsia" w:ascii="宋体" w:hAnsi="宋体" w:eastAsia="宋体" w:cs="宋体"/>
          <w:sz w:val="24"/>
          <w:szCs w:val="24"/>
        </w:rPr>
        <w:t>附件1 投标函及开标一览表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_Toc30184 </w:instrText>
      </w:r>
      <w:r>
        <w:rPr>
          <w:rFonts w:hint="eastAsia" w:ascii="宋体" w:hAnsi="宋体" w:eastAsia="宋体" w:cs="宋体"/>
          <w:sz w:val="24"/>
          <w:szCs w:val="24"/>
        </w:rPr>
        <w:fldChar w:fldCharType="separate"/>
      </w:r>
      <w:r>
        <w:rPr>
          <w:rFonts w:hint="eastAsia" w:ascii="宋体" w:hAnsi="宋体" w:eastAsia="宋体" w:cs="宋体"/>
          <w:sz w:val="24"/>
          <w:szCs w:val="24"/>
        </w:rPr>
        <w:t>34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8958"/>
        </w:tabs>
        <w:spacing w:line="350" w:lineRule="exact"/>
        <w:ind w:left="0" w:leftChars="0" w:firstLine="420" w:firstLineChars="200"/>
        <w:jc w:val="center"/>
        <w:rPr>
          <w:rFonts w:ascii="宋体" w:hAnsi="宋体" w:eastAsia="宋体" w:cs="宋体"/>
          <w:sz w:val="24"/>
          <w:szCs w:val="24"/>
        </w:rPr>
      </w:pPr>
      <w:r>
        <w:fldChar w:fldCharType="begin"/>
      </w:r>
      <w:r>
        <w:instrText xml:space="preserve"> HYPERLINK \l "_Toc29659" </w:instrText>
      </w:r>
      <w:r>
        <w:fldChar w:fldCharType="separate"/>
      </w:r>
      <w:r>
        <w:rPr>
          <w:rFonts w:hint="eastAsia" w:ascii="宋体" w:hAnsi="宋体" w:eastAsia="宋体" w:cs="宋体"/>
          <w:bCs/>
          <w:sz w:val="24"/>
          <w:szCs w:val="24"/>
        </w:rPr>
        <w:t>（一）投 标 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_Toc29659 </w:instrText>
      </w:r>
      <w:r>
        <w:rPr>
          <w:rFonts w:hint="eastAsia" w:ascii="宋体" w:hAnsi="宋体" w:eastAsia="宋体" w:cs="宋体"/>
          <w:sz w:val="24"/>
          <w:szCs w:val="24"/>
        </w:rPr>
        <w:fldChar w:fldCharType="separate"/>
      </w:r>
      <w:r>
        <w:rPr>
          <w:rFonts w:hint="eastAsia" w:ascii="宋体" w:hAnsi="宋体" w:eastAsia="宋体" w:cs="宋体"/>
          <w:sz w:val="24"/>
          <w:szCs w:val="24"/>
        </w:rPr>
        <w:t>34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8958"/>
        </w:tabs>
        <w:spacing w:line="350" w:lineRule="exact"/>
        <w:ind w:left="0" w:leftChars="0" w:firstLine="420" w:firstLineChars="200"/>
        <w:jc w:val="center"/>
        <w:rPr>
          <w:rFonts w:ascii="宋体" w:hAnsi="宋体" w:eastAsia="宋体" w:cs="宋体"/>
          <w:sz w:val="24"/>
          <w:szCs w:val="24"/>
        </w:rPr>
      </w:pPr>
      <w:r>
        <w:fldChar w:fldCharType="begin"/>
      </w:r>
      <w:r>
        <w:instrText xml:space="preserve"> HYPERLINK \l "_Toc30778" </w:instrText>
      </w:r>
      <w:r>
        <w:fldChar w:fldCharType="separate"/>
      </w:r>
      <w:r>
        <w:rPr>
          <w:rFonts w:hint="eastAsia" w:ascii="宋体" w:hAnsi="宋体" w:eastAsia="宋体" w:cs="宋体"/>
          <w:bCs/>
          <w:sz w:val="24"/>
          <w:szCs w:val="24"/>
        </w:rPr>
        <w:t>（二）开标一览表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_Toc30778 </w:instrText>
      </w:r>
      <w:r>
        <w:rPr>
          <w:rFonts w:hint="eastAsia" w:ascii="宋体" w:hAnsi="宋体" w:eastAsia="宋体" w:cs="宋体"/>
          <w:sz w:val="24"/>
          <w:szCs w:val="24"/>
        </w:rPr>
        <w:fldChar w:fldCharType="separate"/>
      </w:r>
      <w:r>
        <w:rPr>
          <w:rFonts w:hint="eastAsia" w:ascii="宋体" w:hAnsi="宋体" w:eastAsia="宋体" w:cs="宋体"/>
          <w:sz w:val="24"/>
          <w:szCs w:val="24"/>
        </w:rPr>
        <w:t>35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8958"/>
        </w:tabs>
        <w:spacing w:line="350" w:lineRule="exact"/>
        <w:ind w:left="0" w:leftChars="0"/>
        <w:jc w:val="center"/>
        <w:rPr>
          <w:rFonts w:ascii="宋体" w:hAnsi="宋体" w:eastAsia="宋体" w:cs="宋体"/>
          <w:sz w:val="24"/>
          <w:szCs w:val="24"/>
        </w:rPr>
      </w:pPr>
      <w:r>
        <w:fldChar w:fldCharType="begin"/>
      </w:r>
      <w:r>
        <w:instrText xml:space="preserve"> HYPERLINK \l "_Toc1191" </w:instrText>
      </w:r>
      <w:r>
        <w:fldChar w:fldCharType="separate"/>
      </w:r>
      <w:r>
        <w:rPr>
          <w:rFonts w:hint="eastAsia" w:ascii="宋体" w:hAnsi="宋体" w:eastAsia="宋体" w:cs="宋体"/>
          <w:sz w:val="24"/>
          <w:szCs w:val="24"/>
        </w:rPr>
        <w:t>附件2 法定代表人身份证明或授权委托书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_Toc1191 </w:instrText>
      </w:r>
      <w:r>
        <w:rPr>
          <w:rFonts w:hint="eastAsia" w:ascii="宋体" w:hAnsi="宋体" w:eastAsia="宋体" w:cs="宋体"/>
          <w:sz w:val="24"/>
          <w:szCs w:val="24"/>
        </w:rPr>
        <w:fldChar w:fldCharType="separate"/>
      </w:r>
      <w:r>
        <w:rPr>
          <w:rFonts w:hint="eastAsia" w:ascii="宋体" w:hAnsi="宋体" w:eastAsia="宋体" w:cs="宋体"/>
          <w:sz w:val="24"/>
          <w:szCs w:val="24"/>
        </w:rPr>
        <w:t>36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8958"/>
        </w:tabs>
        <w:spacing w:line="350" w:lineRule="exact"/>
        <w:ind w:left="0" w:leftChars="0" w:firstLine="420" w:firstLineChars="200"/>
        <w:jc w:val="center"/>
        <w:rPr>
          <w:rFonts w:ascii="宋体" w:hAnsi="宋体" w:eastAsia="宋体" w:cs="宋体"/>
          <w:sz w:val="24"/>
          <w:szCs w:val="24"/>
        </w:rPr>
      </w:pPr>
      <w:r>
        <w:fldChar w:fldCharType="begin"/>
      </w:r>
      <w:r>
        <w:instrText xml:space="preserve"> HYPERLINK \l "_Toc5683" </w:instrText>
      </w:r>
      <w:r>
        <w:fldChar w:fldCharType="separate"/>
      </w:r>
      <w:r>
        <w:rPr>
          <w:rFonts w:hint="eastAsia" w:ascii="宋体" w:hAnsi="宋体" w:eastAsia="宋体" w:cs="宋体"/>
          <w:sz w:val="24"/>
          <w:szCs w:val="24"/>
        </w:rPr>
        <w:t>（一）法定代表人身份证明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_Toc5683 </w:instrText>
      </w:r>
      <w:r>
        <w:rPr>
          <w:rFonts w:hint="eastAsia" w:ascii="宋体" w:hAnsi="宋体" w:eastAsia="宋体" w:cs="宋体"/>
          <w:sz w:val="24"/>
          <w:szCs w:val="24"/>
        </w:rPr>
        <w:fldChar w:fldCharType="separate"/>
      </w:r>
      <w:r>
        <w:rPr>
          <w:rFonts w:hint="eastAsia" w:ascii="宋体" w:hAnsi="宋体" w:eastAsia="宋体" w:cs="宋体"/>
          <w:sz w:val="24"/>
          <w:szCs w:val="24"/>
        </w:rPr>
        <w:t>36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8958"/>
        </w:tabs>
        <w:spacing w:line="350" w:lineRule="exact"/>
        <w:ind w:left="0" w:leftChars="0" w:firstLine="420" w:firstLineChars="200"/>
        <w:jc w:val="center"/>
        <w:rPr>
          <w:rFonts w:ascii="宋体" w:hAnsi="宋体" w:eastAsia="宋体" w:cs="宋体"/>
          <w:sz w:val="24"/>
          <w:szCs w:val="24"/>
        </w:rPr>
      </w:pPr>
      <w:r>
        <w:fldChar w:fldCharType="begin"/>
      </w:r>
      <w:r>
        <w:instrText xml:space="preserve"> HYPERLINK \l "_Toc29384" </w:instrText>
      </w:r>
      <w:r>
        <w:fldChar w:fldCharType="separate"/>
      </w:r>
      <w:r>
        <w:rPr>
          <w:rFonts w:hint="eastAsia" w:ascii="宋体" w:hAnsi="宋体" w:eastAsia="宋体" w:cs="宋体"/>
          <w:sz w:val="24"/>
          <w:szCs w:val="24"/>
        </w:rPr>
        <w:t>（二）授权委托书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_Toc29384 </w:instrText>
      </w:r>
      <w:r>
        <w:rPr>
          <w:rFonts w:hint="eastAsia" w:ascii="宋体" w:hAnsi="宋体" w:eastAsia="宋体" w:cs="宋体"/>
          <w:sz w:val="24"/>
          <w:szCs w:val="24"/>
        </w:rPr>
        <w:fldChar w:fldCharType="separate"/>
      </w:r>
      <w:r>
        <w:rPr>
          <w:rFonts w:hint="eastAsia" w:ascii="宋体" w:hAnsi="宋体" w:eastAsia="宋体" w:cs="宋体"/>
          <w:sz w:val="24"/>
          <w:szCs w:val="24"/>
        </w:rPr>
        <w:t>37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8958"/>
        </w:tabs>
        <w:spacing w:line="350" w:lineRule="exact"/>
        <w:ind w:left="0" w:leftChars="0"/>
        <w:jc w:val="center"/>
        <w:rPr>
          <w:rFonts w:ascii="宋体" w:hAnsi="宋体" w:eastAsia="宋体" w:cs="宋体"/>
          <w:sz w:val="24"/>
          <w:szCs w:val="24"/>
        </w:rPr>
      </w:pPr>
      <w:r>
        <w:fldChar w:fldCharType="begin"/>
      </w:r>
      <w:r>
        <w:instrText xml:space="preserve"> HYPERLINK \l "_Toc18505" </w:instrText>
      </w:r>
      <w:r>
        <w:fldChar w:fldCharType="separate"/>
      </w:r>
      <w:r>
        <w:rPr>
          <w:rFonts w:hint="eastAsia" w:ascii="宋体" w:hAnsi="宋体" w:eastAsia="宋体" w:cs="宋体"/>
          <w:sz w:val="24"/>
          <w:szCs w:val="24"/>
        </w:rPr>
        <w:t>附件3 投标保证金</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_Toc18505 </w:instrText>
      </w:r>
      <w:r>
        <w:rPr>
          <w:rFonts w:hint="eastAsia" w:ascii="宋体" w:hAnsi="宋体" w:eastAsia="宋体" w:cs="宋体"/>
          <w:sz w:val="24"/>
          <w:szCs w:val="24"/>
        </w:rPr>
        <w:fldChar w:fldCharType="separate"/>
      </w:r>
      <w:r>
        <w:rPr>
          <w:rFonts w:hint="eastAsia" w:ascii="宋体" w:hAnsi="宋体" w:eastAsia="宋体" w:cs="宋体"/>
          <w:sz w:val="24"/>
          <w:szCs w:val="24"/>
        </w:rPr>
        <w:t>38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8958"/>
        </w:tabs>
        <w:spacing w:line="350" w:lineRule="exact"/>
        <w:ind w:left="0" w:leftChars="0"/>
        <w:jc w:val="center"/>
        <w:rPr>
          <w:rFonts w:ascii="宋体" w:hAnsi="宋体" w:eastAsia="宋体" w:cs="宋体"/>
          <w:sz w:val="24"/>
          <w:szCs w:val="24"/>
        </w:rPr>
      </w:pPr>
      <w:r>
        <w:fldChar w:fldCharType="begin"/>
      </w:r>
      <w:r>
        <w:instrText xml:space="preserve"> HYPERLINK \l "_Toc26938" </w:instrText>
      </w:r>
      <w:r>
        <w:fldChar w:fldCharType="separate"/>
      </w:r>
      <w:r>
        <w:rPr>
          <w:rFonts w:hint="eastAsia" w:ascii="宋体" w:hAnsi="宋体" w:eastAsia="宋体" w:cs="宋体"/>
          <w:sz w:val="24"/>
          <w:szCs w:val="24"/>
        </w:rPr>
        <w:t>附件4 供应商情况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_Toc26938 </w:instrText>
      </w:r>
      <w:r>
        <w:rPr>
          <w:rFonts w:hint="eastAsia" w:ascii="宋体" w:hAnsi="宋体" w:eastAsia="宋体" w:cs="宋体"/>
          <w:sz w:val="24"/>
          <w:szCs w:val="24"/>
        </w:rPr>
        <w:fldChar w:fldCharType="separate"/>
      </w:r>
      <w:r>
        <w:rPr>
          <w:rFonts w:hint="eastAsia" w:ascii="宋体" w:hAnsi="宋体" w:eastAsia="宋体" w:cs="宋体"/>
          <w:sz w:val="24"/>
          <w:szCs w:val="24"/>
        </w:rPr>
        <w:t>39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8958"/>
        </w:tabs>
        <w:spacing w:line="350" w:lineRule="exact"/>
        <w:ind w:left="0" w:leftChars="0" w:firstLine="420" w:firstLineChars="200"/>
        <w:jc w:val="center"/>
        <w:rPr>
          <w:rFonts w:ascii="宋体" w:hAnsi="宋体" w:eastAsia="宋体" w:cs="宋体"/>
          <w:sz w:val="24"/>
          <w:szCs w:val="24"/>
        </w:rPr>
      </w:pPr>
      <w:r>
        <w:fldChar w:fldCharType="begin"/>
      </w:r>
      <w:r>
        <w:instrText xml:space="preserve"> HYPERLINK \l "_Toc14462" </w:instrText>
      </w:r>
      <w:r>
        <w:fldChar w:fldCharType="separate"/>
      </w:r>
      <w:r>
        <w:rPr>
          <w:rFonts w:hint="eastAsia" w:ascii="宋体" w:hAnsi="宋体" w:eastAsia="宋体" w:cs="宋体"/>
          <w:sz w:val="24"/>
          <w:szCs w:val="24"/>
        </w:rPr>
        <w:t>（一）基本情况表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_Toc14462 </w:instrText>
      </w:r>
      <w:r>
        <w:rPr>
          <w:rFonts w:hint="eastAsia" w:ascii="宋体" w:hAnsi="宋体" w:eastAsia="宋体" w:cs="宋体"/>
          <w:sz w:val="24"/>
          <w:szCs w:val="24"/>
        </w:rPr>
        <w:fldChar w:fldCharType="separate"/>
      </w:r>
      <w:r>
        <w:rPr>
          <w:rFonts w:hint="eastAsia" w:ascii="宋体" w:hAnsi="宋体" w:eastAsia="宋体" w:cs="宋体"/>
          <w:sz w:val="24"/>
          <w:szCs w:val="24"/>
        </w:rPr>
        <w:t>39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8958"/>
        </w:tabs>
        <w:spacing w:line="350" w:lineRule="exact"/>
        <w:ind w:left="0" w:leftChars="0" w:firstLine="420" w:firstLineChars="200"/>
        <w:jc w:val="center"/>
        <w:rPr>
          <w:rFonts w:ascii="宋体" w:hAnsi="宋体" w:eastAsia="宋体" w:cs="宋体"/>
          <w:sz w:val="24"/>
          <w:szCs w:val="24"/>
        </w:rPr>
      </w:pPr>
      <w:r>
        <w:fldChar w:fldCharType="begin"/>
      </w:r>
      <w:r>
        <w:instrText xml:space="preserve"> HYPERLINK \l "_Toc12570" </w:instrText>
      </w:r>
      <w:r>
        <w:fldChar w:fldCharType="separate"/>
      </w:r>
      <w:r>
        <w:rPr>
          <w:rFonts w:hint="eastAsia" w:ascii="宋体" w:hAnsi="宋体" w:eastAsia="宋体" w:cs="宋体"/>
          <w:sz w:val="24"/>
          <w:szCs w:val="24"/>
        </w:rPr>
        <w:t>（二）拟派本项目负责人情况表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_Toc12570 </w:instrText>
      </w:r>
      <w:r>
        <w:rPr>
          <w:rFonts w:hint="eastAsia" w:ascii="宋体" w:hAnsi="宋体" w:eastAsia="宋体" w:cs="宋体"/>
          <w:sz w:val="24"/>
          <w:szCs w:val="24"/>
        </w:rPr>
        <w:fldChar w:fldCharType="separate"/>
      </w:r>
      <w:r>
        <w:rPr>
          <w:rFonts w:hint="eastAsia" w:ascii="宋体" w:hAnsi="宋体" w:eastAsia="宋体" w:cs="宋体"/>
          <w:sz w:val="24"/>
          <w:szCs w:val="24"/>
        </w:rPr>
        <w:t>40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8958"/>
        </w:tabs>
        <w:spacing w:line="350" w:lineRule="exact"/>
        <w:ind w:left="0" w:leftChars="0" w:firstLine="420" w:firstLineChars="200"/>
        <w:jc w:val="center"/>
        <w:rPr>
          <w:rFonts w:ascii="宋体" w:hAnsi="宋体" w:eastAsia="宋体" w:cs="宋体"/>
          <w:sz w:val="24"/>
          <w:szCs w:val="24"/>
        </w:rPr>
      </w:pPr>
      <w:r>
        <w:fldChar w:fldCharType="begin"/>
      </w:r>
      <w:r>
        <w:instrText xml:space="preserve"> HYPERLINK \l "_Toc24058" </w:instrText>
      </w:r>
      <w:r>
        <w:fldChar w:fldCharType="separate"/>
      </w:r>
      <w:r>
        <w:rPr>
          <w:rFonts w:hint="eastAsia" w:ascii="宋体" w:hAnsi="宋体" w:eastAsia="宋体" w:cs="宋体"/>
          <w:sz w:val="24"/>
          <w:szCs w:val="24"/>
        </w:rPr>
        <w:t>（三）拟派本项目组成员情况一览表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_Toc24058 </w:instrText>
      </w:r>
      <w:r>
        <w:rPr>
          <w:rFonts w:hint="eastAsia" w:ascii="宋体" w:hAnsi="宋体" w:eastAsia="宋体" w:cs="宋体"/>
          <w:sz w:val="24"/>
          <w:szCs w:val="24"/>
        </w:rPr>
        <w:fldChar w:fldCharType="separate"/>
      </w:r>
      <w:r>
        <w:rPr>
          <w:rFonts w:hint="eastAsia" w:ascii="宋体" w:hAnsi="宋体" w:eastAsia="宋体" w:cs="宋体"/>
          <w:sz w:val="24"/>
          <w:szCs w:val="24"/>
        </w:rPr>
        <w:t>41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8958"/>
        </w:tabs>
        <w:spacing w:line="350" w:lineRule="exact"/>
        <w:ind w:left="0" w:leftChars="0" w:firstLine="420" w:firstLineChars="200"/>
        <w:jc w:val="center"/>
        <w:rPr>
          <w:rFonts w:ascii="宋体" w:hAnsi="宋体" w:eastAsia="宋体" w:cs="宋体"/>
          <w:sz w:val="24"/>
          <w:szCs w:val="24"/>
        </w:rPr>
      </w:pPr>
      <w:r>
        <w:fldChar w:fldCharType="begin"/>
      </w:r>
      <w:r>
        <w:instrText xml:space="preserve"> HYPERLINK \l "_Toc30066" </w:instrText>
      </w:r>
      <w:r>
        <w:fldChar w:fldCharType="separate"/>
      </w:r>
      <w:r>
        <w:rPr>
          <w:rFonts w:hint="eastAsia" w:ascii="宋体" w:hAnsi="宋体" w:eastAsia="宋体" w:cs="宋体"/>
          <w:sz w:val="24"/>
          <w:szCs w:val="24"/>
        </w:rPr>
        <w:t>（四）其他企业相关资料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_Toc30066 </w:instrText>
      </w:r>
      <w:r>
        <w:rPr>
          <w:rFonts w:hint="eastAsia" w:ascii="宋体" w:hAnsi="宋体" w:eastAsia="宋体" w:cs="宋体"/>
          <w:sz w:val="24"/>
          <w:szCs w:val="24"/>
        </w:rPr>
        <w:fldChar w:fldCharType="separate"/>
      </w:r>
      <w:r>
        <w:rPr>
          <w:rFonts w:hint="eastAsia" w:ascii="宋体" w:hAnsi="宋体" w:eastAsia="宋体" w:cs="宋体"/>
          <w:sz w:val="24"/>
          <w:szCs w:val="24"/>
        </w:rPr>
        <w:t>42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8958"/>
        </w:tabs>
        <w:spacing w:line="350" w:lineRule="exact"/>
        <w:ind w:left="0" w:leftChars="0"/>
        <w:jc w:val="center"/>
        <w:rPr>
          <w:rFonts w:ascii="宋体" w:hAnsi="宋体" w:eastAsia="宋体" w:cs="宋体"/>
          <w:sz w:val="24"/>
          <w:szCs w:val="24"/>
        </w:rPr>
      </w:pPr>
      <w:r>
        <w:fldChar w:fldCharType="begin"/>
      </w:r>
      <w:r>
        <w:instrText xml:space="preserve"> HYPERLINK \l "_Toc28212" </w:instrText>
      </w:r>
      <w:r>
        <w:fldChar w:fldCharType="separate"/>
      </w:r>
      <w:r>
        <w:rPr>
          <w:rFonts w:hint="eastAsia" w:ascii="宋体" w:hAnsi="宋体" w:eastAsia="宋体" w:cs="宋体"/>
          <w:sz w:val="24"/>
          <w:szCs w:val="24"/>
        </w:rPr>
        <w:t>附件5 PPP项目业绩</w:t>
      </w:r>
      <w:r>
        <w:rPr>
          <w:rFonts w:hint="eastAsia" w:ascii="宋体" w:hAnsi="宋体" w:eastAsia="宋体" w:cs="宋体"/>
          <w:sz w:val="24"/>
          <w:szCs w:val="24"/>
        </w:rPr>
        <w:tab/>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43</w:t>
      </w:r>
    </w:p>
    <w:p>
      <w:pPr>
        <w:pStyle w:val="18"/>
        <w:tabs>
          <w:tab w:val="right" w:leader="dot" w:pos="8958"/>
        </w:tabs>
        <w:spacing w:line="350" w:lineRule="exact"/>
        <w:ind w:left="0" w:leftChars="0"/>
        <w:jc w:val="center"/>
        <w:rPr>
          <w:rFonts w:ascii="宋体" w:hAnsi="宋体" w:eastAsia="宋体" w:cs="宋体"/>
          <w:sz w:val="24"/>
          <w:szCs w:val="24"/>
        </w:rPr>
      </w:pPr>
      <w:r>
        <w:fldChar w:fldCharType="begin"/>
      </w:r>
      <w:r>
        <w:instrText xml:space="preserve"> HYPERLINK \l "_Toc14881" </w:instrText>
      </w:r>
      <w:r>
        <w:fldChar w:fldCharType="separate"/>
      </w:r>
      <w:r>
        <w:rPr>
          <w:rFonts w:hint="eastAsia" w:ascii="宋体" w:hAnsi="宋体" w:eastAsia="宋体" w:cs="宋体"/>
          <w:sz w:val="24"/>
          <w:szCs w:val="24"/>
        </w:rPr>
        <w:t>附件6 咨询服务方案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_Toc14881 </w:instrText>
      </w:r>
      <w:r>
        <w:rPr>
          <w:rFonts w:hint="eastAsia" w:ascii="宋体" w:hAnsi="宋体" w:eastAsia="宋体" w:cs="宋体"/>
          <w:sz w:val="24"/>
          <w:szCs w:val="24"/>
        </w:rPr>
        <w:fldChar w:fldCharType="separate"/>
      </w:r>
      <w:r>
        <w:rPr>
          <w:rFonts w:hint="eastAsia" w:ascii="宋体" w:hAnsi="宋体" w:eastAsia="宋体" w:cs="宋体"/>
          <w:sz w:val="24"/>
          <w:szCs w:val="24"/>
        </w:rPr>
        <w:t>46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8958"/>
        </w:tabs>
        <w:spacing w:line="350" w:lineRule="exact"/>
        <w:ind w:left="0" w:leftChars="0"/>
        <w:jc w:val="center"/>
        <w:rPr>
          <w:rFonts w:ascii="宋体" w:hAnsi="宋体" w:eastAsia="宋体" w:cs="宋体"/>
          <w:sz w:val="24"/>
          <w:szCs w:val="24"/>
        </w:rPr>
      </w:pPr>
      <w:r>
        <w:fldChar w:fldCharType="begin"/>
      </w:r>
      <w:r>
        <w:instrText xml:space="preserve"> HYPERLINK \l "_Toc6318" </w:instrText>
      </w:r>
      <w:r>
        <w:fldChar w:fldCharType="separate"/>
      </w:r>
      <w:r>
        <w:rPr>
          <w:rFonts w:hint="eastAsia" w:ascii="宋体" w:hAnsi="宋体" w:eastAsia="宋体" w:cs="宋体"/>
          <w:sz w:val="24"/>
          <w:szCs w:val="24"/>
        </w:rPr>
        <w:t>附件7 中标服务费承诺书格式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_Toc6318 </w:instrText>
      </w:r>
      <w:r>
        <w:rPr>
          <w:rFonts w:hint="eastAsia" w:ascii="宋体" w:hAnsi="宋体" w:eastAsia="宋体" w:cs="宋体"/>
          <w:sz w:val="24"/>
          <w:szCs w:val="24"/>
        </w:rPr>
        <w:fldChar w:fldCharType="separate"/>
      </w:r>
      <w:r>
        <w:rPr>
          <w:rFonts w:hint="eastAsia" w:ascii="宋体" w:hAnsi="宋体" w:eastAsia="宋体" w:cs="宋体"/>
          <w:sz w:val="24"/>
          <w:szCs w:val="24"/>
        </w:rPr>
        <w:t>47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8958"/>
        </w:tabs>
        <w:spacing w:line="350" w:lineRule="exact"/>
        <w:ind w:left="0" w:leftChars="0"/>
        <w:jc w:val="center"/>
        <w:rPr>
          <w:rFonts w:ascii="宋体" w:hAnsi="宋体" w:eastAsia="宋体" w:cs="宋体"/>
          <w:sz w:val="24"/>
          <w:szCs w:val="24"/>
        </w:rPr>
      </w:pPr>
      <w:r>
        <w:fldChar w:fldCharType="begin"/>
      </w:r>
      <w:r>
        <w:instrText xml:space="preserve"> HYPERLINK \l "_Toc18239" </w:instrText>
      </w:r>
      <w:r>
        <w:fldChar w:fldCharType="separate"/>
      </w:r>
      <w:r>
        <w:rPr>
          <w:rFonts w:hint="eastAsia" w:ascii="宋体" w:hAnsi="宋体" w:eastAsia="宋体" w:cs="宋体"/>
          <w:sz w:val="24"/>
          <w:szCs w:val="24"/>
        </w:rPr>
        <w:t>附件8 反商业贿赂承诺书</w:t>
      </w:r>
      <w:r>
        <w:rPr>
          <w:rFonts w:hint="eastAsia" w:ascii="宋体" w:hAnsi="宋体" w:eastAsia="宋体" w:cs="宋体"/>
          <w:sz w:val="24"/>
          <w:szCs w:val="24"/>
        </w:rPr>
        <w:tab/>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8</w:t>
      </w:r>
    </w:p>
    <w:p>
      <w:pPr>
        <w:pStyle w:val="18"/>
        <w:tabs>
          <w:tab w:val="right" w:leader="dot" w:pos="8958"/>
        </w:tabs>
        <w:spacing w:line="350" w:lineRule="exact"/>
        <w:ind w:left="0" w:leftChars="0"/>
        <w:jc w:val="center"/>
        <w:rPr>
          <w:rFonts w:ascii="宋体" w:hAnsi="宋体" w:eastAsia="宋体" w:cs="宋体"/>
          <w:sz w:val="24"/>
          <w:szCs w:val="24"/>
        </w:rPr>
      </w:pPr>
      <w:r>
        <w:fldChar w:fldCharType="begin"/>
      </w:r>
      <w:r>
        <w:instrText xml:space="preserve"> HYPERLINK \l "_Toc26963" </w:instrText>
      </w:r>
      <w:r>
        <w:fldChar w:fldCharType="separate"/>
      </w:r>
      <w:r>
        <w:rPr>
          <w:rFonts w:hint="eastAsia" w:ascii="宋体" w:hAnsi="宋体" w:eastAsia="宋体" w:cs="宋体"/>
          <w:sz w:val="24"/>
          <w:szCs w:val="24"/>
        </w:rPr>
        <w:t>附件9 供应商资格声明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_Toc26963 </w:instrText>
      </w:r>
      <w:r>
        <w:rPr>
          <w:rFonts w:hint="eastAsia" w:ascii="宋体" w:hAnsi="宋体" w:eastAsia="宋体" w:cs="宋体"/>
          <w:sz w:val="24"/>
          <w:szCs w:val="24"/>
        </w:rPr>
        <w:fldChar w:fldCharType="separate"/>
      </w:r>
      <w:r>
        <w:rPr>
          <w:rFonts w:hint="eastAsia" w:ascii="宋体" w:hAnsi="宋体" w:eastAsia="宋体" w:cs="宋体"/>
          <w:sz w:val="24"/>
          <w:szCs w:val="24"/>
        </w:rPr>
        <w:t>49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8958"/>
        </w:tabs>
        <w:spacing w:line="350" w:lineRule="exact"/>
        <w:ind w:left="0" w:leftChars="0"/>
        <w:jc w:val="center"/>
        <w:rPr>
          <w:rFonts w:ascii="宋体" w:hAnsi="宋体" w:eastAsia="宋体" w:cs="宋体"/>
          <w:sz w:val="24"/>
          <w:szCs w:val="24"/>
        </w:rPr>
      </w:pPr>
      <w:r>
        <w:rPr>
          <w:color w:val="auto"/>
        </w:rPr>
        <w:fldChar w:fldCharType="begin"/>
      </w:r>
      <w:r>
        <w:rPr>
          <w:color w:val="auto"/>
        </w:rPr>
        <w:instrText xml:space="preserve"> HYPERLINK \l "_Toc5235" </w:instrText>
      </w:r>
      <w:r>
        <w:rPr>
          <w:color w:val="auto"/>
        </w:rPr>
        <w:fldChar w:fldCharType="separate"/>
      </w:r>
      <w:r>
        <w:rPr>
          <w:rFonts w:hint="eastAsia" w:ascii="宋体" w:hAnsi="宋体" w:eastAsia="宋体" w:cs="宋体"/>
          <w:color w:val="auto"/>
          <w:sz w:val="24"/>
          <w:szCs w:val="24"/>
        </w:rPr>
        <w:t>附件10 政府采购活动前3年内在经营活动中没有重大违法记录的书面声明</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_Toc5235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8"/>
        <w:tabs>
          <w:tab w:val="right" w:leader="dot" w:pos="8958"/>
        </w:tabs>
        <w:spacing w:line="350" w:lineRule="exact"/>
        <w:ind w:left="0" w:leftChars="0"/>
        <w:jc w:val="center"/>
        <w:rPr>
          <w:rFonts w:ascii="宋体" w:hAnsi="宋体" w:eastAsia="宋体" w:cs="宋体"/>
          <w:sz w:val="24"/>
          <w:szCs w:val="24"/>
        </w:rPr>
      </w:pPr>
      <w:r>
        <w:fldChar w:fldCharType="begin"/>
      </w:r>
      <w:r>
        <w:instrText xml:space="preserve"> HYPERLINK \l "_Toc5235" </w:instrText>
      </w:r>
      <w:r>
        <w:fldChar w:fldCharType="separate"/>
      </w:r>
      <w:r>
        <w:rPr>
          <w:rFonts w:hint="eastAsia" w:ascii="宋体" w:hAnsi="宋体" w:eastAsia="宋体" w:cs="宋体"/>
          <w:sz w:val="24"/>
          <w:szCs w:val="24"/>
        </w:rPr>
        <w:t>附件11 其它相关资料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_Toc5235 </w:instrText>
      </w:r>
      <w:r>
        <w:rPr>
          <w:rFonts w:hint="eastAsia" w:ascii="宋体" w:hAnsi="宋体" w:eastAsia="宋体" w:cs="宋体"/>
          <w:sz w:val="24"/>
          <w:szCs w:val="24"/>
        </w:rPr>
        <w:fldChar w:fldCharType="separate"/>
      </w:r>
      <w:r>
        <w:rPr>
          <w:rFonts w:hint="eastAsia" w:ascii="宋体" w:hAnsi="宋体" w:eastAsia="宋体" w:cs="宋体"/>
          <w:sz w:val="24"/>
          <w:szCs w:val="24"/>
        </w:rPr>
        <w:t>51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
      <w:pPr>
        <w:autoSpaceDE w:val="0"/>
        <w:autoSpaceDN w:val="0"/>
        <w:adjustRightInd w:val="0"/>
        <w:spacing w:line="800" w:lineRule="exact"/>
        <w:jc w:val="center"/>
        <w:rPr>
          <w:rFonts w:ascii="宋体" w:hAnsi="宋体" w:eastAsia="宋体" w:cs="宋体"/>
          <w:sz w:val="24"/>
          <w:szCs w:val="24"/>
        </w:rPr>
        <w:sectPr>
          <w:headerReference r:id="rId4" w:type="default"/>
          <w:pgSz w:w="11906" w:h="16838"/>
          <w:pgMar w:top="1587" w:right="1587" w:bottom="1587" w:left="1587" w:header="1247" w:footer="992" w:gutter="0"/>
          <w:pgNumType w:start="1"/>
          <w:cols w:space="0" w:num="1"/>
          <w:docGrid w:linePitch="312" w:charSpace="0"/>
        </w:sectPr>
      </w:pPr>
    </w:p>
    <w:p>
      <w:pPr>
        <w:autoSpaceDE w:val="0"/>
        <w:autoSpaceDN w:val="0"/>
        <w:adjustRightInd w:val="0"/>
        <w:spacing w:line="800" w:lineRule="exact"/>
        <w:jc w:val="center"/>
        <w:rPr>
          <w:rFonts w:ascii="宋体" w:hAnsi="宋体" w:eastAsia="宋体" w:cs="宋体"/>
          <w:b/>
          <w:sz w:val="44"/>
          <w:szCs w:val="44"/>
          <w:lang w:val="zh-CN"/>
        </w:rPr>
      </w:pPr>
      <w:r>
        <w:rPr>
          <w:rFonts w:hint="eastAsia" w:ascii="宋体" w:hAnsi="宋体" w:eastAsia="宋体" w:cs="宋体"/>
          <w:sz w:val="24"/>
          <w:szCs w:val="24"/>
        </w:rPr>
        <w:fldChar w:fldCharType="end"/>
      </w:r>
      <w:bookmarkStart w:id="1" w:name="_Toc25103"/>
      <w:r>
        <w:rPr>
          <w:rFonts w:hint="eastAsia" w:ascii="宋体" w:hAnsi="宋体" w:eastAsia="宋体" w:cs="宋体"/>
          <w:b/>
          <w:sz w:val="44"/>
          <w:szCs w:val="44"/>
          <w:lang w:val="zh-CN"/>
        </w:rPr>
        <w:t xml:space="preserve">第一部分 </w:t>
      </w:r>
      <w:r>
        <w:rPr>
          <w:rFonts w:hint="eastAsia" w:ascii="宋体" w:hAnsi="宋体" w:eastAsia="宋体" w:cs="宋体"/>
          <w:b/>
          <w:sz w:val="44"/>
          <w:szCs w:val="44"/>
        </w:rPr>
        <w:t>招标公告</w:t>
      </w:r>
      <w:bookmarkEnd w:id="1"/>
    </w:p>
    <w:p>
      <w:pPr>
        <w:spacing w:line="500" w:lineRule="exact"/>
        <w:jc w:val="center"/>
        <w:rPr>
          <w:rFonts w:ascii="宋体" w:hAnsi="宋体" w:eastAsia="宋体" w:cs="宋体"/>
          <w:b/>
          <w:bCs/>
          <w:sz w:val="30"/>
          <w:szCs w:val="30"/>
          <w:lang w:val="zh-CN"/>
        </w:rPr>
      </w:pPr>
      <w:bookmarkStart w:id="2" w:name="_Toc270946199"/>
      <w:bookmarkStart w:id="3" w:name="_Toc267574132"/>
      <w:r>
        <w:rPr>
          <w:rFonts w:hint="eastAsia" w:ascii="宋体" w:hAnsi="宋体" w:eastAsia="宋体" w:cs="宋体"/>
          <w:b/>
          <w:bCs/>
          <w:sz w:val="30"/>
          <w:szCs w:val="30"/>
          <w:lang w:val="zh-CN"/>
        </w:rPr>
        <w:t>郑阜高铁鄢陵南站站前广场及市政配套设施</w:t>
      </w:r>
      <w:r>
        <w:rPr>
          <w:rFonts w:hint="eastAsia" w:ascii="宋体" w:hAnsi="宋体" w:eastAsia="宋体" w:cs="宋体"/>
          <w:b/>
          <w:bCs/>
          <w:sz w:val="30"/>
          <w:szCs w:val="30"/>
        </w:rPr>
        <w:t>PPP咨询机构采购项目（二次）招标公告</w:t>
      </w:r>
    </w:p>
    <w:p>
      <w:pPr>
        <w:rPr>
          <w:rFonts w:ascii="宋体" w:hAnsi="宋体" w:eastAsia="宋体" w:cs="宋体"/>
          <w:sz w:val="24"/>
          <w:szCs w:val="24"/>
        </w:rPr>
      </w:pPr>
    </w:p>
    <w:p>
      <w:pPr>
        <w:widowControl/>
        <w:overflowPunct w:val="0"/>
        <w:autoSpaceDE w:val="0"/>
        <w:autoSpaceDN w:val="0"/>
        <w:adjustRightInd w:val="0"/>
        <w:spacing w:beforeLines="0" w:afterLines="0" w:line="360" w:lineRule="auto"/>
        <w:ind w:firstLine="480" w:firstLineChars="20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河南鑫盈招标代理有限公司受鄢陵县交通运输局委托，就郑阜高铁鄢陵南站站前广场及市政配套设施PPP咨询机构采购项目进行公开招标采购，现欢迎符合相关条件的供应商参加投标。</w:t>
      </w:r>
    </w:p>
    <w:p>
      <w:pPr>
        <w:adjustRightInd w:val="0"/>
        <w:snapToGrid w:val="0"/>
        <w:spacing w:beforeLines="0" w:afterLines="0" w:line="360" w:lineRule="auto"/>
        <w:ind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1、项目概况</w:t>
      </w:r>
    </w:p>
    <w:p>
      <w:pPr>
        <w:adjustRightInd w:val="0"/>
        <w:snapToGrid w:val="0"/>
        <w:spacing w:beforeLines="0" w:afterLines="0" w:line="360" w:lineRule="auto"/>
        <w:ind w:firstLine="480" w:firstLineChars="200"/>
        <w:jc w:val="left"/>
        <w:rPr>
          <w:rFonts w:hint="eastAsia" w:ascii="宋体" w:hAnsi="宋体" w:eastAsia="宋体" w:cs="宋体"/>
          <w:spacing w:val="-6"/>
          <w:sz w:val="24"/>
          <w:szCs w:val="24"/>
        </w:rPr>
      </w:pPr>
      <w:r>
        <w:rPr>
          <w:rFonts w:hint="eastAsia" w:ascii="宋体" w:hAnsi="宋体" w:eastAsia="宋体" w:cs="宋体"/>
          <w:kern w:val="0"/>
          <w:sz w:val="24"/>
          <w:szCs w:val="24"/>
        </w:rPr>
        <w:t>1.1项目名称：项目名称：</w:t>
      </w:r>
      <w:r>
        <w:rPr>
          <w:rFonts w:hint="eastAsia" w:ascii="宋体" w:hAnsi="宋体" w:eastAsia="宋体" w:cs="宋体"/>
          <w:spacing w:val="-6"/>
          <w:kern w:val="0"/>
          <w:sz w:val="24"/>
          <w:szCs w:val="24"/>
        </w:rPr>
        <w:t>郑阜高铁鄢陵南站站前广场及市政配套设施PPP咨询机构采购项目（二次）</w:t>
      </w:r>
    </w:p>
    <w:p>
      <w:pPr>
        <w:spacing w:beforeLines="0" w:afterLines="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1.2项目编号：</w:t>
      </w:r>
      <w:r>
        <w:rPr>
          <w:rFonts w:hint="eastAsia" w:ascii="宋体" w:hAnsi="宋体" w:eastAsia="宋体" w:cs="宋体"/>
          <w:kern w:val="0"/>
          <w:sz w:val="24"/>
          <w:szCs w:val="24"/>
        </w:rPr>
        <w:t>Y2017FZ206</w:t>
      </w:r>
    </w:p>
    <w:p>
      <w:pPr>
        <w:spacing w:beforeLines="0" w:afterLines="0"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招标编号：YLZFCG201710201-F</w:t>
      </w:r>
    </w:p>
    <w:p>
      <w:pPr>
        <w:spacing w:beforeLines="0" w:afterLines="0"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1.3预算金额：189万元</w:t>
      </w:r>
    </w:p>
    <w:p>
      <w:pPr>
        <w:spacing w:beforeLines="0" w:afterLines="0"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1.4 最高限价：189万元</w:t>
      </w:r>
    </w:p>
    <w:p>
      <w:pPr>
        <w:adjustRightInd w:val="0"/>
        <w:snapToGrid w:val="0"/>
        <w:spacing w:beforeLines="0" w:afterLines="0"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rPr>
        <w:t>1.5项目概况：</w:t>
      </w:r>
      <w:r>
        <w:rPr>
          <w:rFonts w:hint="eastAsia" w:ascii="宋体" w:hAnsi="宋体" w:eastAsia="宋体" w:cs="宋体"/>
          <w:sz w:val="24"/>
          <w:szCs w:val="24"/>
        </w:rPr>
        <w:t>郑阜高铁鄢陵南站站前广场建设及前程路（科技南路-南环路）、科技南路（酒香路-规划路）及南环路（酒香路-规划路）等3条城市市政道路建设项目。</w:t>
      </w:r>
    </w:p>
    <w:p>
      <w:pPr>
        <w:adjustRightInd w:val="0"/>
        <w:snapToGrid w:val="0"/>
        <w:spacing w:beforeLines="0" w:afterLines="0" w:line="360" w:lineRule="auto"/>
        <w:ind w:firstLine="480" w:firstLineChars="200"/>
        <w:jc w:val="left"/>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rPr>
        <w:t>1.6质量要求：</w:t>
      </w:r>
      <w:r>
        <w:rPr>
          <w:rFonts w:hint="eastAsia" w:ascii="宋体" w:hAnsi="宋体" w:eastAsia="宋体" w:cs="宋体"/>
          <w:kern w:val="0"/>
          <w:sz w:val="24"/>
          <w:szCs w:val="24"/>
          <w:shd w:val="clear" w:color="auto" w:fill="FFFFFF"/>
        </w:rPr>
        <w:t>符合现行国家PPP政策，通过相关部门审核批准</w:t>
      </w:r>
    </w:p>
    <w:p>
      <w:pPr>
        <w:spacing w:beforeLines="0" w:afterLines="0"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shd w:val="clear" w:color="auto" w:fill="FFFFFF"/>
        </w:rPr>
        <w:t xml:space="preserve">1.7 </w:t>
      </w:r>
      <w:r>
        <w:rPr>
          <w:rFonts w:hint="eastAsia" w:ascii="宋体" w:hAnsi="宋体" w:eastAsia="宋体" w:cs="宋体"/>
          <w:kern w:val="0"/>
          <w:sz w:val="24"/>
          <w:szCs w:val="24"/>
        </w:rPr>
        <w:t>项目数量：1项（详见招标文件项目需求）</w:t>
      </w:r>
    </w:p>
    <w:p>
      <w:pPr>
        <w:adjustRightInd w:val="0"/>
        <w:snapToGrid w:val="0"/>
        <w:spacing w:beforeLines="0" w:afterLines="0" w:line="360" w:lineRule="auto"/>
        <w:ind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2、采购内容</w:t>
      </w:r>
    </w:p>
    <w:p>
      <w:pPr>
        <w:adjustRightInd w:val="0"/>
        <w:snapToGrid w:val="0"/>
        <w:spacing w:beforeLines="0" w:afterLines="0" w:line="360" w:lineRule="auto"/>
        <w:ind w:firstLine="482" w:firstLineChars="20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按财政部财金（2014）113号《关于印发政府和社会资本合作模式操作指南（试行）的通知》的规定和要求，针对本工程项目为采购人提供具体PPP模式咨询服务，包括但不限于：</w:t>
      </w:r>
      <w:r>
        <w:rPr>
          <w:rFonts w:hint="eastAsia" w:ascii="宋体" w:hAnsi="宋体" w:eastAsia="宋体" w:cs="宋体"/>
          <w:bCs/>
          <w:color w:val="000000" w:themeColor="text1"/>
          <w:sz w:val="24"/>
          <w:szCs w:val="24"/>
          <w14:textFill>
            <w14:solidFill>
              <w14:schemeClr w14:val="tx1"/>
            </w14:solidFill>
          </w14:textFill>
        </w:rPr>
        <w:t>物有所值评价、财政承受能力论证、初步实施方案、项目实施方案的编制，PPP项目合同的起草，协助完成项目采购，协助政府与社会资本的谈判与签约等相关工作。对前期可研报告进行完善审核；组织相关专家对方案论证进行评审；对鄢陵县财承能力提供完善意见；提供PPP政策咨询、采购招标咨询和公司法务咨询。</w:t>
      </w:r>
    </w:p>
    <w:p>
      <w:pPr>
        <w:adjustRightInd w:val="0"/>
        <w:snapToGrid w:val="0"/>
        <w:spacing w:beforeLines="0" w:afterLines="0" w:line="360" w:lineRule="auto"/>
        <w:ind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3、供应商资格要求</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3.1符合《中华人民共和国政府采购法》第二十二条规定的条件；</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3.2</w:t>
      </w:r>
      <w:r>
        <w:rPr>
          <w:rFonts w:hint="eastAsia" w:ascii="宋体" w:hAnsi="宋体" w:eastAsia="宋体" w:cs="宋体"/>
          <w:kern w:val="0"/>
          <w:sz w:val="24"/>
          <w:szCs w:val="24"/>
        </w:rPr>
        <w:t>须入选财政部PPP项目咨询机构库；</w:t>
      </w:r>
    </w:p>
    <w:p>
      <w:pPr>
        <w:spacing w:beforeLines="0" w:afterLines="0" w:line="360" w:lineRule="auto"/>
        <w:ind w:firstLine="480" w:firstLineChars="200"/>
        <w:rPr>
          <w:rFonts w:hint="eastAsia" w:ascii="宋体" w:hAnsi="宋体" w:eastAsia="宋体" w:cs="宋体"/>
          <w:spacing w:val="-6"/>
          <w:sz w:val="24"/>
          <w:szCs w:val="24"/>
        </w:rPr>
      </w:pPr>
      <w:r>
        <w:rPr>
          <w:rFonts w:hint="eastAsia" w:ascii="宋体" w:hAnsi="宋体" w:eastAsia="宋体" w:cs="宋体"/>
          <w:sz w:val="24"/>
          <w:szCs w:val="24"/>
        </w:rPr>
        <w:t>3.3</w:t>
      </w:r>
      <w:r>
        <w:rPr>
          <w:rFonts w:hint="eastAsia" w:ascii="宋体" w:hAnsi="宋体" w:eastAsia="宋体" w:cs="宋体"/>
          <w:spacing w:val="-6"/>
          <w:sz w:val="24"/>
          <w:szCs w:val="24"/>
        </w:rPr>
        <w:t>具有企业注册地或项目所在地检察机关出具的行贿犯罪档案查询结果告知函；</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3.4本项目不接受联合体投标。</w:t>
      </w:r>
    </w:p>
    <w:p>
      <w:pPr>
        <w:adjustRightInd w:val="0"/>
        <w:snapToGrid w:val="0"/>
        <w:spacing w:beforeLines="0" w:afterLines="0" w:line="360" w:lineRule="auto"/>
        <w:ind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4、报名时间及方式</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4.1报名时间：凡有意参加投标者，请于投标截止时间前参与报名。</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4.2持CA数字认证证书，登录【全国公共资源交易平台（河南省·许昌市）】“系统用户注册”入口（http://221.14.6.70:8088/ggzy/eps/public/RegistAllJcxx.html）进行免费注册登记（详见“常见问题解答-诚信库网上注册相关资料下载”）；</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4.3在投标截止时间前均可登录【全国公共资源交易平台（河南省·许昌市）】“投标人/供应商登录”入口（http://221.14.6.70:8088/ggzy/）自行下载招标文件（详见“常见问题解答-交易系统操作手册”）。</w:t>
      </w:r>
    </w:p>
    <w:p>
      <w:pPr>
        <w:adjustRightInd w:val="0"/>
        <w:snapToGrid w:val="0"/>
        <w:spacing w:beforeLines="0" w:afterLines="0" w:line="360" w:lineRule="auto"/>
        <w:ind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5、招标文件的获取</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5.1招标文件的获取：投标人于投标文件递交截止时间前均可在【全国公共资源交易平台（河南省·许昌市）】自行下载。</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5.2投标人在递交投标文件时向代理机构缴纳招标文件费用，本项目招标文件每套售价300元，售后不退。</w:t>
      </w:r>
    </w:p>
    <w:p>
      <w:pPr>
        <w:adjustRightInd w:val="0"/>
        <w:snapToGrid w:val="0"/>
        <w:spacing w:beforeLines="0" w:afterLines="0" w:line="360" w:lineRule="auto"/>
        <w:ind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6、投标文件的递交</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6.1投标截止及开标时间：</w:t>
      </w:r>
      <w:r>
        <w:rPr>
          <w:rFonts w:hint="eastAsia" w:ascii="宋体" w:hAnsi="宋体" w:eastAsia="宋体" w:cs="宋体"/>
          <w:color w:val="FF0000"/>
          <w:sz w:val="24"/>
          <w:szCs w:val="24"/>
          <w:u w:val="single"/>
        </w:rPr>
        <w:t>201</w:t>
      </w:r>
      <w:r>
        <w:rPr>
          <w:rFonts w:hint="eastAsia" w:ascii="宋体" w:hAnsi="宋体" w:eastAsia="宋体" w:cs="宋体"/>
          <w:color w:val="FF0000"/>
          <w:sz w:val="24"/>
          <w:szCs w:val="24"/>
          <w:u w:val="single"/>
          <w:lang w:val="en-US" w:eastAsia="zh-CN"/>
        </w:rPr>
        <w:t>8</w:t>
      </w:r>
      <w:r>
        <w:rPr>
          <w:rFonts w:hint="eastAsia" w:ascii="宋体" w:hAnsi="宋体" w:eastAsia="宋体" w:cs="宋体"/>
          <w:color w:val="FF0000"/>
          <w:sz w:val="24"/>
          <w:szCs w:val="24"/>
          <w:u w:val="single"/>
        </w:rPr>
        <w:t>年</w:t>
      </w:r>
      <w:r>
        <w:rPr>
          <w:rFonts w:hint="eastAsia" w:ascii="宋体" w:hAnsi="宋体" w:eastAsia="宋体" w:cs="宋体"/>
          <w:color w:val="FF0000"/>
          <w:sz w:val="24"/>
          <w:szCs w:val="24"/>
          <w:u w:val="single"/>
          <w:lang w:val="en-US" w:eastAsia="zh-CN"/>
        </w:rPr>
        <w:t>1</w:t>
      </w:r>
      <w:r>
        <w:rPr>
          <w:rFonts w:hint="eastAsia" w:ascii="宋体" w:hAnsi="宋体" w:eastAsia="宋体" w:cs="宋体"/>
          <w:color w:val="FF0000"/>
          <w:sz w:val="24"/>
          <w:szCs w:val="24"/>
          <w:u w:val="single"/>
        </w:rPr>
        <w:t xml:space="preserve">月 </w:t>
      </w:r>
      <w:r>
        <w:rPr>
          <w:rFonts w:hint="eastAsia" w:ascii="宋体" w:hAnsi="宋体" w:eastAsia="宋体" w:cs="宋体"/>
          <w:color w:val="FF0000"/>
          <w:sz w:val="24"/>
          <w:szCs w:val="24"/>
          <w:u w:val="single"/>
          <w:lang w:val="en-US" w:eastAsia="zh-CN"/>
        </w:rPr>
        <w:t>3</w:t>
      </w:r>
      <w:r>
        <w:rPr>
          <w:rFonts w:hint="eastAsia" w:ascii="宋体" w:hAnsi="宋体" w:eastAsia="宋体" w:cs="宋体"/>
          <w:color w:val="FF0000"/>
          <w:sz w:val="24"/>
          <w:szCs w:val="24"/>
          <w:u w:val="single"/>
        </w:rPr>
        <w:t xml:space="preserve"> 日09:00分（北京时间）</w:t>
      </w:r>
      <w:r>
        <w:rPr>
          <w:rFonts w:hint="eastAsia" w:ascii="宋体" w:hAnsi="宋体" w:eastAsia="宋体" w:cs="宋体"/>
          <w:sz w:val="24"/>
          <w:szCs w:val="24"/>
        </w:rPr>
        <w:t>，逾期或不符合规定的投标文件不予接受。</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6.2投标文件递交及开标地点：鄢陵县公共资源交易中心（S219（鄢陶路）与未来大道交叉口鄢陵创客园院内南楼四楼</w:t>
      </w:r>
      <w:r>
        <w:rPr>
          <w:rFonts w:hint="eastAsia" w:ascii="宋体" w:hAnsi="宋体" w:eastAsia="宋体" w:cs="宋体"/>
          <w:color w:val="FF0000"/>
          <w:sz w:val="24"/>
          <w:szCs w:val="24"/>
          <w:u w:val="single"/>
        </w:rPr>
        <w:t>开标二室</w:t>
      </w:r>
      <w:r>
        <w:rPr>
          <w:rFonts w:hint="eastAsia" w:ascii="宋体" w:hAnsi="宋体" w:eastAsia="宋体" w:cs="宋体"/>
          <w:sz w:val="24"/>
          <w:szCs w:val="24"/>
        </w:rPr>
        <w:t>）；</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6.3逾期送达的或者未送达指定地点的投标文件，招标人不予受理。</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6.4未通过《全国公共资源交易平台（河南省·许昌市）》下载招标文件的投标人，其投标文件将拒收。</w:t>
      </w:r>
    </w:p>
    <w:p>
      <w:pPr>
        <w:adjustRightInd w:val="0"/>
        <w:snapToGrid w:val="0"/>
        <w:spacing w:beforeLines="0" w:afterLines="0" w:line="360" w:lineRule="auto"/>
        <w:ind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7、发布公告的媒介</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本次招标公告同时在《中国采购与招标网》、《河南省政府采购网》、《全国公共资源交易平台（河南省·许昌市）》网站发布。</w:t>
      </w:r>
    </w:p>
    <w:p>
      <w:pPr>
        <w:adjustRightInd w:val="0"/>
        <w:snapToGrid w:val="0"/>
        <w:spacing w:beforeLines="0" w:afterLines="0" w:line="360" w:lineRule="auto"/>
        <w:ind w:firstLine="482" w:firstLineChars="200"/>
        <w:jc w:val="left"/>
        <w:rPr>
          <w:rFonts w:hint="eastAsia" w:ascii="宋体" w:hAnsi="宋体" w:eastAsia="宋体" w:cs="宋体"/>
          <w:sz w:val="24"/>
          <w:szCs w:val="24"/>
        </w:rPr>
      </w:pPr>
      <w:r>
        <w:rPr>
          <w:rFonts w:hint="eastAsia" w:ascii="宋体" w:hAnsi="宋体" w:eastAsia="宋体" w:cs="宋体"/>
          <w:b/>
          <w:kern w:val="0"/>
          <w:sz w:val="24"/>
          <w:szCs w:val="24"/>
        </w:rPr>
        <w:t>8、</w:t>
      </w:r>
      <w:r>
        <w:rPr>
          <w:rFonts w:hint="eastAsia" w:ascii="宋体" w:hAnsi="宋体" w:eastAsia="宋体" w:cs="宋体"/>
          <w:b/>
          <w:bCs/>
          <w:sz w:val="24"/>
          <w:szCs w:val="24"/>
          <w:lang w:val="zh-CN"/>
        </w:rPr>
        <w:t>公告期限：</w:t>
      </w:r>
      <w:r>
        <w:rPr>
          <w:rFonts w:hint="eastAsia" w:ascii="宋体" w:hAnsi="宋体" w:eastAsia="宋体" w:cs="宋体"/>
          <w:sz w:val="24"/>
          <w:szCs w:val="24"/>
          <w:lang w:val="zh-CN"/>
        </w:rPr>
        <w:t>自本公告发布之日起5个工作日。</w:t>
      </w:r>
    </w:p>
    <w:p>
      <w:pPr>
        <w:spacing w:beforeLines="0" w:afterLines="0"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9、联系方式：</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（一）代理机构：</w:t>
      </w:r>
      <w:r>
        <w:rPr>
          <w:rFonts w:hint="eastAsia" w:ascii="宋体" w:hAnsi="宋体" w:eastAsia="宋体" w:cs="宋体"/>
          <w:sz w:val="24"/>
          <w:szCs w:val="24"/>
        </w:rPr>
        <w:t>河南鑫盈招标代理有限公司</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地址：</w:t>
      </w:r>
      <w:r>
        <w:rPr>
          <w:rFonts w:hint="eastAsia" w:ascii="宋体" w:hAnsi="宋体" w:eastAsia="宋体" w:cs="宋体"/>
          <w:sz w:val="24"/>
          <w:szCs w:val="24"/>
        </w:rPr>
        <w:t>郑州市金水区郑汴路玉凤路升龙环球大厦C座25楼</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联系人：于女士          联系电话：15837425582</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（二）采购单位：</w:t>
      </w:r>
      <w:r>
        <w:rPr>
          <w:rFonts w:hint="eastAsia" w:ascii="宋体" w:hAnsi="宋体" w:eastAsia="宋体" w:cs="宋体"/>
          <w:sz w:val="24"/>
          <w:szCs w:val="24"/>
        </w:rPr>
        <w:t>鄢陵县交通运输局</w:t>
      </w:r>
    </w:p>
    <w:p>
      <w:pPr>
        <w:spacing w:beforeLines="0" w:afterLines="0"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地址：</w:t>
      </w:r>
      <w:r>
        <w:rPr>
          <w:rFonts w:hint="eastAsia" w:ascii="宋体" w:hAnsi="宋体" w:eastAsia="宋体" w:cs="宋体"/>
          <w:sz w:val="24"/>
          <w:szCs w:val="24"/>
        </w:rPr>
        <w:t>鄢陵县城开发区311国道南侧</w:t>
      </w:r>
      <w:r>
        <w:rPr>
          <w:rFonts w:hint="eastAsia" w:ascii="宋体" w:hAnsi="宋体" w:eastAsia="宋体" w:cs="宋体"/>
          <w:sz w:val="24"/>
          <w:szCs w:val="24"/>
          <w:lang w:val="zh-CN"/>
        </w:rPr>
        <w:t xml:space="preserve"> </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联系人：许先生          联系电话：15836562299</w:t>
      </w:r>
    </w:p>
    <w:p>
      <w:pPr>
        <w:spacing w:beforeLines="0" w:afterLines="0" w:line="360" w:lineRule="auto"/>
        <w:ind w:firstLine="480" w:firstLineChars="200"/>
        <w:jc w:val="left"/>
        <w:rPr>
          <w:rFonts w:hint="eastAsia" w:ascii="宋体" w:hAnsi="宋体" w:eastAsia="宋体" w:cs="宋体"/>
          <w:sz w:val="24"/>
          <w:szCs w:val="24"/>
        </w:rPr>
      </w:pPr>
    </w:p>
    <w:p>
      <w:pPr>
        <w:spacing w:beforeLines="0" w:afterLines="0" w:line="360" w:lineRule="auto"/>
        <w:ind w:firstLine="480" w:firstLineChars="200"/>
        <w:jc w:val="left"/>
        <w:rPr>
          <w:rFonts w:hint="eastAsia" w:ascii="宋体" w:hAnsi="宋体" w:eastAsia="宋体" w:cs="宋体"/>
          <w:sz w:val="24"/>
          <w:szCs w:val="24"/>
        </w:rPr>
      </w:pPr>
    </w:p>
    <w:p>
      <w:pPr>
        <w:spacing w:beforeLines="0" w:afterLines="0"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特别提示：所有投标单位请时刻关注《全国公共资源交易平台（河南省·许昌市）》，该项目所有澄清、修改、答疑、变更均在《全国公共资源交易平台（河南省·许昌市）》发布，不再另行通知。如未及时查看影响其投标，后果自负。</w:t>
      </w:r>
    </w:p>
    <w:p>
      <w:pPr>
        <w:spacing w:beforeLines="0" w:afterLines="0" w:line="700" w:lineRule="exact"/>
        <w:jc w:val="center"/>
        <w:rPr>
          <w:rFonts w:ascii="宋体" w:hAnsi="宋体" w:eastAsia="宋体" w:cs="宋体"/>
          <w:b/>
          <w:sz w:val="44"/>
          <w:szCs w:val="44"/>
          <w:lang w:val="zh-CN"/>
        </w:rPr>
      </w:pPr>
      <w:r>
        <w:rPr>
          <w:rFonts w:hint="eastAsia" w:ascii="宋体" w:hAnsi="宋体" w:eastAsia="宋体" w:cs="宋体"/>
          <w:b/>
          <w:bCs/>
          <w:sz w:val="24"/>
          <w:szCs w:val="24"/>
        </w:rPr>
        <w:br w:type="page"/>
      </w:r>
      <w:bookmarkStart w:id="4" w:name="_Toc24880"/>
      <w:r>
        <w:rPr>
          <w:rFonts w:hint="eastAsia" w:ascii="宋体" w:hAnsi="宋体" w:eastAsia="宋体" w:cs="宋体"/>
          <w:b/>
          <w:sz w:val="44"/>
          <w:szCs w:val="44"/>
          <w:lang w:val="zh-CN"/>
        </w:rPr>
        <w:t xml:space="preserve">第二部分 </w:t>
      </w:r>
      <w:bookmarkEnd w:id="2"/>
      <w:bookmarkEnd w:id="3"/>
      <w:r>
        <w:rPr>
          <w:rFonts w:hint="eastAsia" w:ascii="宋体" w:hAnsi="宋体" w:eastAsia="宋体" w:cs="宋体"/>
          <w:b/>
          <w:sz w:val="44"/>
          <w:szCs w:val="44"/>
          <w:lang w:val="zh-CN"/>
        </w:rPr>
        <w:t>项目需求及其它要求</w:t>
      </w:r>
      <w:bookmarkEnd w:id="4"/>
    </w:p>
    <w:p>
      <w:pPr>
        <w:spacing w:line="460" w:lineRule="exact"/>
        <w:ind w:firstLine="723" w:firstLineChars="200"/>
        <w:rPr>
          <w:rFonts w:ascii="宋体" w:hAnsi="宋体" w:eastAsia="宋体" w:cs="宋体"/>
          <w:b/>
          <w:sz w:val="36"/>
          <w:szCs w:val="36"/>
        </w:rPr>
      </w:pPr>
    </w:p>
    <w:p>
      <w:pPr>
        <w:spacing w:beforeLines="0" w:afterLines="0" w:line="360" w:lineRule="auto"/>
        <w:ind w:firstLine="482" w:firstLineChars="200"/>
        <w:outlineLvl w:val="1"/>
        <w:rPr>
          <w:rFonts w:ascii="宋体" w:hAnsi="宋体" w:eastAsia="宋体" w:cs="宋体"/>
          <w:sz w:val="24"/>
          <w:szCs w:val="24"/>
        </w:rPr>
      </w:pPr>
      <w:bookmarkStart w:id="5" w:name="_Toc27149"/>
      <w:r>
        <w:rPr>
          <w:rFonts w:hint="eastAsia" w:ascii="宋体" w:hAnsi="宋体" w:eastAsia="宋体" w:cs="宋体"/>
          <w:b/>
          <w:bCs/>
          <w:sz w:val="24"/>
          <w:szCs w:val="24"/>
        </w:rPr>
        <w:t>一、项目概况</w:t>
      </w:r>
      <w:bookmarkEnd w:id="5"/>
    </w:p>
    <w:p>
      <w:pPr>
        <w:spacing w:beforeLines="0" w:afterLines="0" w:line="360" w:lineRule="auto"/>
        <w:ind w:firstLine="480" w:firstLineChars="200"/>
        <w:rPr>
          <w:rFonts w:ascii="宋体" w:hAnsi="宋体" w:eastAsia="宋体" w:cs="宋体"/>
          <w:sz w:val="24"/>
          <w:szCs w:val="24"/>
        </w:rPr>
      </w:pPr>
      <w:r>
        <w:rPr>
          <w:rFonts w:hint="eastAsia" w:ascii="宋体" w:hAnsi="宋体" w:eastAsia="宋体" w:cs="宋体"/>
          <w:sz w:val="24"/>
          <w:szCs w:val="24"/>
        </w:rPr>
        <w:t>郑阜高铁鄢陵南站站前广场及市政配套设施项目拟选址许鄢陵县城市西南部，鄢陵高铁片区中央景观主轴南部，规划的南外环以南，项目总投资约48824万元。拟建内容包括郑阜高铁鄢陵南站站前广场建设及前程路（科技南路-南环路）、科技南路（酒香路-规划路）及南环路（酒香路-规划路）等3条城市市政道路建设项目。具体如下：</w:t>
      </w:r>
    </w:p>
    <w:p>
      <w:pPr>
        <w:spacing w:beforeLines="0" w:afterLines="0"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1、郑阜高铁鄢陵南站站前广场建设项目</w:t>
      </w:r>
    </w:p>
    <w:p>
      <w:pPr>
        <w:spacing w:beforeLines="0" w:afterLines="0" w:line="360" w:lineRule="auto"/>
        <w:ind w:firstLine="480" w:firstLineChars="200"/>
        <w:rPr>
          <w:rFonts w:ascii="宋体" w:hAnsi="宋体" w:eastAsia="宋体" w:cs="宋体"/>
          <w:sz w:val="24"/>
          <w:szCs w:val="24"/>
        </w:rPr>
      </w:pPr>
      <w:bookmarkStart w:id="6" w:name="OLE_LINK7"/>
      <w:r>
        <w:rPr>
          <w:rFonts w:hint="eastAsia" w:ascii="宋体" w:hAnsi="宋体" w:eastAsia="宋体" w:cs="宋体"/>
          <w:sz w:val="24"/>
          <w:szCs w:val="24"/>
        </w:rPr>
        <w:t>项目规划用地面积62432.45㎡（合93.65亩），总建筑面积为41500㎡，其中地上总建筑面积16000㎡（含展览及配套服务中心11000㎡、长途汽车站5000㎡），地下总建筑面积25500㎡。规划机动车停车位803个，其中，地上机动车停车位428个，地下机动车停车位375个。</w:t>
      </w:r>
    </w:p>
    <w:p>
      <w:pPr>
        <w:spacing w:beforeLines="0" w:afterLines="0" w:line="360" w:lineRule="auto"/>
        <w:ind w:firstLine="480" w:firstLineChars="200"/>
        <w:rPr>
          <w:rFonts w:ascii="宋体" w:hAnsi="宋体" w:eastAsia="宋体" w:cs="宋体"/>
          <w:sz w:val="24"/>
          <w:szCs w:val="24"/>
        </w:rPr>
      </w:pPr>
      <w:r>
        <w:rPr>
          <w:rFonts w:hint="eastAsia" w:ascii="宋体" w:hAnsi="宋体" w:eastAsia="宋体" w:cs="宋体"/>
          <w:sz w:val="24"/>
          <w:szCs w:val="24"/>
        </w:rPr>
        <w:t>项目拟建设的室外工程主要包括室外绿化面积19545.23㎡、室外道路硬化及铺装面积2174.6㎡、公交总站4453.48㎡、站前广场17457.35㎡及出租车站场4117.44㎡。</w:t>
      </w:r>
    </w:p>
    <w:bookmarkEnd w:id="6"/>
    <w:p>
      <w:pPr>
        <w:spacing w:beforeLines="0" w:afterLines="0"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2、市政道路建设项目</w:t>
      </w:r>
    </w:p>
    <w:p>
      <w:pPr>
        <w:spacing w:beforeLines="0" w:afterLines="0" w:line="360" w:lineRule="auto"/>
        <w:ind w:firstLine="480" w:firstLineChars="200"/>
        <w:rPr>
          <w:rFonts w:ascii="宋体" w:hAnsi="宋体" w:eastAsia="宋体" w:cs="宋体"/>
          <w:sz w:val="24"/>
          <w:szCs w:val="24"/>
        </w:rPr>
      </w:pPr>
      <w:r>
        <w:rPr>
          <w:rFonts w:hint="eastAsia" w:ascii="宋体" w:hAnsi="宋体" w:eastAsia="宋体" w:cs="宋体"/>
          <w:sz w:val="24"/>
          <w:szCs w:val="24"/>
        </w:rPr>
        <w:t>（1）前程路（科技南路-南环路）</w:t>
      </w:r>
    </w:p>
    <w:p>
      <w:pPr>
        <w:spacing w:beforeLines="0" w:afterLines="0" w:line="360" w:lineRule="auto"/>
        <w:ind w:firstLine="480" w:firstLineChars="200"/>
        <w:rPr>
          <w:rFonts w:ascii="宋体" w:hAnsi="宋体" w:eastAsia="宋体" w:cs="宋体"/>
          <w:sz w:val="24"/>
          <w:szCs w:val="24"/>
        </w:rPr>
      </w:pPr>
      <w:r>
        <w:rPr>
          <w:rFonts w:hint="eastAsia" w:ascii="宋体" w:hAnsi="宋体" w:eastAsia="宋体" w:cs="宋体"/>
          <w:sz w:val="24"/>
          <w:szCs w:val="24"/>
        </w:rPr>
        <w:t>拟建前程路北起科技南路，南至南环路，道路全长300m，红线宽20m，道路横断面形式为3-14-3，按照城市支路进行建设，设计车速为40km/h，路面结构设计使用年限为10年。项目拟建道路总面积6000㎡，其中车行道占地面积4200㎡，人行道占地面积1800㎡。随道路同步建设给水管网300m，污水管网300m，雨水管网300m。同时栽植行道树120棵、安装路灯24盏及其他配套设施。</w:t>
      </w:r>
    </w:p>
    <w:p>
      <w:pPr>
        <w:spacing w:beforeLines="0" w:afterLines="0" w:line="360" w:lineRule="auto"/>
        <w:ind w:firstLine="480" w:firstLineChars="200"/>
        <w:rPr>
          <w:rFonts w:ascii="宋体" w:hAnsi="宋体" w:eastAsia="宋体" w:cs="宋体"/>
          <w:sz w:val="24"/>
          <w:szCs w:val="24"/>
        </w:rPr>
      </w:pPr>
      <w:r>
        <w:rPr>
          <w:rFonts w:hint="eastAsia" w:ascii="宋体" w:hAnsi="宋体" w:eastAsia="宋体" w:cs="宋体"/>
          <w:sz w:val="24"/>
          <w:szCs w:val="24"/>
        </w:rPr>
        <w:t>（2）科技南路（酒香路-规划路）</w:t>
      </w:r>
    </w:p>
    <w:p>
      <w:pPr>
        <w:spacing w:beforeLines="0" w:afterLines="0" w:line="360" w:lineRule="auto"/>
        <w:ind w:firstLine="480" w:firstLineChars="200"/>
        <w:rPr>
          <w:rFonts w:ascii="宋体" w:hAnsi="宋体" w:eastAsia="宋体" w:cs="宋体"/>
          <w:sz w:val="24"/>
          <w:szCs w:val="24"/>
        </w:rPr>
      </w:pPr>
      <w:r>
        <w:rPr>
          <w:rFonts w:hint="eastAsia" w:ascii="宋体" w:hAnsi="宋体" w:eastAsia="宋体" w:cs="宋体"/>
          <w:sz w:val="24"/>
          <w:szCs w:val="24"/>
        </w:rPr>
        <w:t>拟建科技南路西起酒香路，东至规划路，道路全长1669m，红线宽30m，道路横断面形式为3-11-2-11-3，按照城市次干路建设，设计车速为50km/h，路面结构设计使用年限为10年。项目拟建道路总面积50070㎡，其中车行道占地面积36718㎡，分车带占地面积3338㎡，人行道占地面积10014㎡。随道路同步建设给水管网1669m，污水管网1669m，雨水管网3338m。同时栽植行道树668棵、安装路灯134盏及其他配套设施。</w:t>
      </w:r>
    </w:p>
    <w:p>
      <w:pPr>
        <w:spacing w:beforeLines="0" w:afterLines="0" w:line="360" w:lineRule="auto"/>
        <w:ind w:firstLine="480" w:firstLineChars="200"/>
        <w:rPr>
          <w:rFonts w:ascii="宋体" w:hAnsi="宋体" w:eastAsia="宋体" w:cs="宋体"/>
          <w:sz w:val="24"/>
          <w:szCs w:val="24"/>
        </w:rPr>
      </w:pPr>
      <w:r>
        <w:rPr>
          <w:rFonts w:hint="eastAsia" w:ascii="宋体" w:hAnsi="宋体" w:eastAsia="宋体" w:cs="宋体"/>
          <w:sz w:val="24"/>
          <w:szCs w:val="24"/>
        </w:rPr>
        <w:t>（3）南环路（酒香路-规划路）</w:t>
      </w:r>
    </w:p>
    <w:p>
      <w:pPr>
        <w:spacing w:beforeLines="0" w:afterLines="0" w:line="360" w:lineRule="auto"/>
        <w:ind w:firstLine="480" w:firstLineChars="200"/>
        <w:rPr>
          <w:rFonts w:ascii="宋体" w:hAnsi="宋体" w:eastAsia="宋体" w:cs="宋体"/>
          <w:sz w:val="24"/>
          <w:szCs w:val="24"/>
        </w:rPr>
      </w:pPr>
      <w:r>
        <w:rPr>
          <w:rFonts w:hint="eastAsia" w:ascii="宋体" w:hAnsi="宋体" w:eastAsia="宋体" w:cs="宋体"/>
          <w:sz w:val="24"/>
          <w:szCs w:val="24"/>
        </w:rPr>
        <w:t>拟建南环路西起酒香路，东至规划路，道路全长1589m，红线宽60m，道路横断面形式为5-9-2-12-4-12-2-9-5，按照城市主干路进行建设，设计车速为60km/h，路面结构设计使用年限为15年。项目拟建道路总面积95340㎡，其中快车道占地面积38136㎡，慢车道占地面积28602㎡，分车带占地面积12712㎡，人行道占地面积15890㎡。随道路同步建设给水管网1589m，污水管网1589m，雨水管网3178m。同时栽植行道树636棵、安装路灯128盏及其他配套设施。</w:t>
      </w:r>
    </w:p>
    <w:p>
      <w:pPr>
        <w:spacing w:beforeLines="0" w:afterLines="0" w:line="360" w:lineRule="auto"/>
        <w:ind w:firstLine="480" w:firstLineChars="200"/>
        <w:rPr>
          <w:rFonts w:ascii="宋体" w:hAnsi="宋体" w:eastAsia="宋体" w:cs="宋体"/>
          <w:sz w:val="24"/>
          <w:szCs w:val="24"/>
        </w:rPr>
      </w:pPr>
      <w:r>
        <w:rPr>
          <w:rFonts w:hint="eastAsia" w:ascii="宋体" w:hAnsi="宋体" w:eastAsia="宋体" w:cs="宋体"/>
          <w:sz w:val="24"/>
          <w:szCs w:val="24"/>
        </w:rPr>
        <w:t>（4）酒香路（科技南路-南环路）</w:t>
      </w:r>
    </w:p>
    <w:p>
      <w:pPr>
        <w:spacing w:beforeLines="0" w:afterLines="0" w:line="360" w:lineRule="auto"/>
        <w:ind w:firstLine="480" w:firstLineChars="200"/>
        <w:rPr>
          <w:rFonts w:ascii="宋体" w:hAnsi="宋体" w:eastAsia="宋体" w:cs="宋体"/>
          <w:sz w:val="24"/>
          <w:szCs w:val="24"/>
        </w:rPr>
      </w:pPr>
      <w:r>
        <w:rPr>
          <w:rFonts w:hint="eastAsia" w:ascii="宋体" w:hAnsi="宋体" w:eastAsia="宋体" w:cs="宋体"/>
          <w:sz w:val="24"/>
          <w:szCs w:val="24"/>
        </w:rPr>
        <w:t>拟建酒香路北起科技南路，南至南环路，道路全长303m，红线宽30m，道路横断面形式为7-16-7，按照城市次干路建设，设计车速为50km/h，路面结构设计使用年限为10年。项目拟建道路总面积9090㎡，其中车行道占地面积4848㎡，人行道占地面积4242㎡。随道路同步建设给水管网303m，污水管网303m，雨水管网606m。同时栽植行道树122棵、安装路灯24盏及其他配套设施。</w:t>
      </w:r>
    </w:p>
    <w:p>
      <w:pPr>
        <w:spacing w:beforeLines="0" w:afterLines="0" w:line="360" w:lineRule="auto"/>
        <w:ind w:firstLine="480" w:firstLineChars="200"/>
        <w:rPr>
          <w:rFonts w:ascii="宋体" w:hAnsi="宋体" w:eastAsia="宋体" w:cs="宋体"/>
          <w:sz w:val="24"/>
          <w:szCs w:val="24"/>
        </w:rPr>
      </w:pPr>
      <w:r>
        <w:rPr>
          <w:rFonts w:hint="eastAsia" w:ascii="宋体" w:hAnsi="宋体" w:eastAsia="宋体" w:cs="宋体"/>
          <w:sz w:val="24"/>
          <w:szCs w:val="24"/>
        </w:rPr>
        <w:t>（5）规划路（科技南路-南环路）</w:t>
      </w:r>
    </w:p>
    <w:p>
      <w:pPr>
        <w:spacing w:beforeLines="0" w:afterLines="0" w:line="360" w:lineRule="auto"/>
        <w:ind w:firstLine="480" w:firstLineChars="200"/>
        <w:rPr>
          <w:rFonts w:ascii="宋体" w:hAnsi="宋体" w:eastAsia="宋体" w:cs="宋体"/>
          <w:sz w:val="24"/>
          <w:szCs w:val="24"/>
        </w:rPr>
      </w:pPr>
      <w:r>
        <w:rPr>
          <w:rFonts w:hint="eastAsia" w:ascii="宋体" w:hAnsi="宋体" w:eastAsia="宋体" w:cs="宋体"/>
          <w:sz w:val="24"/>
          <w:szCs w:val="24"/>
        </w:rPr>
        <w:t>拟建规划路北起科技南路，南至南环路，道路全长317m，红线宽30m，道路横断面形式为3-11-2-11-3，按照城市次干路建设，设计车速为50km/h，路面结构设计使用年限为10年。项目拟建道路总面积9510㎡，其中车行道占地面积6974㎡，人行道占地面积1902㎡，分车带占地面积634㎡。随道路同步建设给水管网317m，污水管网317m，雨水管网634m。同时栽植行道树128棵、安装路灯26盏及其他配套设施。</w:t>
      </w:r>
    </w:p>
    <w:p>
      <w:pPr>
        <w:spacing w:beforeLines="0" w:afterLines="0" w:line="360" w:lineRule="auto"/>
        <w:ind w:firstLine="480" w:firstLineChars="200"/>
        <w:rPr>
          <w:rFonts w:ascii="宋体" w:hAnsi="宋体" w:eastAsia="宋体" w:cs="宋体"/>
          <w:sz w:val="24"/>
          <w:szCs w:val="24"/>
        </w:rPr>
      </w:pPr>
      <w:r>
        <w:rPr>
          <w:rFonts w:hint="eastAsia" w:ascii="宋体" w:hAnsi="宋体" w:eastAsia="宋体" w:cs="宋体"/>
          <w:sz w:val="24"/>
          <w:szCs w:val="24"/>
        </w:rPr>
        <w:t>（6）安置区规划一路（科技南路-南环路）</w:t>
      </w:r>
    </w:p>
    <w:p>
      <w:pPr>
        <w:spacing w:beforeLines="0" w:afterLines="0" w:line="360" w:lineRule="auto"/>
        <w:ind w:firstLine="480" w:firstLineChars="200"/>
        <w:rPr>
          <w:rFonts w:ascii="宋体" w:hAnsi="宋体" w:eastAsia="宋体" w:cs="宋体"/>
          <w:sz w:val="24"/>
          <w:szCs w:val="24"/>
        </w:rPr>
      </w:pPr>
      <w:r>
        <w:rPr>
          <w:rFonts w:hint="eastAsia" w:ascii="宋体" w:hAnsi="宋体" w:eastAsia="宋体" w:cs="宋体"/>
          <w:sz w:val="24"/>
          <w:szCs w:val="24"/>
        </w:rPr>
        <w:t>拟建安置区规划一路北起科技南路，南至南环路，道路全长292m，红线宽20m，道路横断面形式为3-14-3，按照城市支路进行建设，设计车速为40km/h，路面结构设计使用年限为10年。项目拟建道路总面积5840㎡，其中车行道占地面积4088㎡，人行道占地面积1752㎡。随道路同步建设给水管网292m，污水管网292m，雨水管网292m。同时栽植行道树118棵、安装路灯24盏及其他配套设施。</w:t>
      </w:r>
    </w:p>
    <w:p>
      <w:pPr>
        <w:spacing w:beforeLines="0" w:afterLines="0" w:line="360" w:lineRule="auto"/>
        <w:ind w:firstLine="482" w:firstLineChars="200"/>
        <w:outlineLvl w:val="1"/>
        <w:rPr>
          <w:rFonts w:ascii="宋体" w:hAnsi="宋体" w:eastAsia="宋体" w:cs="宋体"/>
          <w:b/>
          <w:bCs/>
          <w:color w:val="auto"/>
          <w:sz w:val="24"/>
          <w:szCs w:val="24"/>
        </w:rPr>
      </w:pPr>
      <w:bookmarkStart w:id="7" w:name="_Toc21546"/>
      <w:r>
        <w:rPr>
          <w:rFonts w:hint="eastAsia" w:ascii="宋体" w:hAnsi="宋体" w:eastAsia="宋体" w:cs="宋体"/>
          <w:b/>
          <w:bCs/>
          <w:color w:val="auto"/>
          <w:sz w:val="24"/>
          <w:szCs w:val="24"/>
        </w:rPr>
        <w:t>二、项目需求</w:t>
      </w:r>
      <w:bookmarkEnd w:id="7"/>
    </w:p>
    <w:p>
      <w:pPr>
        <w:pStyle w:val="17"/>
        <w:tabs>
          <w:tab w:val="left" w:pos="3060"/>
          <w:tab w:val="left" w:pos="3240"/>
        </w:tabs>
        <w:spacing w:beforeLines="0" w:after="0" w:afterLines="0" w:line="360" w:lineRule="auto"/>
        <w:ind w:left="0" w:leftChars="0"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为规范</w:t>
      </w:r>
      <w:r>
        <w:rPr>
          <w:rFonts w:ascii="宋体" w:hAnsi="宋体" w:eastAsia="宋体" w:cs="宋体"/>
          <w:color w:val="auto"/>
          <w:sz w:val="24"/>
          <w:szCs w:val="24"/>
        </w:rPr>
        <w:t>PPP运作流程，实现项目价值最优化，明确项目运作模式，决定通过公开招标方式择优选择一家PPP咨询服务公司，为郑阜高铁鄢陵南站站前广场及市政</w:t>
      </w:r>
      <w:r>
        <w:rPr>
          <w:rFonts w:hint="eastAsia" w:ascii="宋体" w:hAnsi="宋体" w:eastAsia="宋体" w:cs="宋体"/>
          <w:color w:val="auto"/>
          <w:sz w:val="24"/>
          <w:szCs w:val="24"/>
        </w:rPr>
        <w:t>配套设施</w:t>
      </w:r>
      <w:r>
        <w:rPr>
          <w:rFonts w:ascii="宋体" w:hAnsi="宋体" w:eastAsia="宋体" w:cs="宋体"/>
          <w:color w:val="auto"/>
          <w:sz w:val="24"/>
          <w:szCs w:val="24"/>
        </w:rPr>
        <w:t>PPP项目提供咨询服务。此次二次招标咨询服务的主要内容为：</w:t>
      </w:r>
    </w:p>
    <w:p>
      <w:pPr>
        <w:spacing w:beforeLines="0" w:afterLines="0"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1、根据和采购人的沟通制订咨询工作计划表及准备调研/访谈提纲，并进行尽职调查，获取本项目</w:t>
      </w:r>
      <w:r>
        <w:rPr>
          <w:rFonts w:ascii="宋体" w:hAnsi="宋体" w:eastAsia="宋体" w:cs="宋体"/>
          <w:color w:val="auto"/>
          <w:sz w:val="24"/>
          <w:szCs w:val="24"/>
        </w:rPr>
        <w:t>PPP运作相关资料和基础数据等；</w:t>
      </w:r>
    </w:p>
    <w:p>
      <w:pPr>
        <w:spacing w:beforeLines="0" w:afterLines="0" w:line="360" w:lineRule="auto"/>
        <w:ind w:firstLine="480" w:firstLineChars="200"/>
        <w:jc w:val="left"/>
        <w:rPr>
          <w:rFonts w:ascii="宋体" w:hAnsi="宋体" w:eastAsia="宋体" w:cs="宋体"/>
          <w:color w:val="auto"/>
          <w:sz w:val="24"/>
          <w:szCs w:val="24"/>
        </w:rPr>
      </w:pPr>
      <w:r>
        <w:rPr>
          <w:rFonts w:ascii="宋体" w:hAnsi="宋体" w:eastAsia="宋体" w:cs="宋体"/>
          <w:color w:val="auto"/>
          <w:sz w:val="24"/>
          <w:szCs w:val="24"/>
        </w:rPr>
        <w:t>2、协助采购人对本项目PPP运作进行物有所值定性和定量评价；</w:t>
      </w:r>
    </w:p>
    <w:p>
      <w:pPr>
        <w:spacing w:beforeLines="0" w:afterLines="0" w:line="360" w:lineRule="auto"/>
        <w:ind w:firstLine="480" w:firstLineChars="200"/>
        <w:jc w:val="left"/>
        <w:rPr>
          <w:rFonts w:ascii="宋体" w:hAnsi="宋体" w:eastAsia="宋体" w:cs="宋体"/>
          <w:color w:val="auto"/>
          <w:sz w:val="24"/>
          <w:szCs w:val="24"/>
        </w:rPr>
      </w:pPr>
      <w:r>
        <w:rPr>
          <w:rFonts w:ascii="宋体" w:hAnsi="宋体" w:eastAsia="宋体" w:cs="宋体"/>
          <w:color w:val="auto"/>
          <w:sz w:val="24"/>
          <w:szCs w:val="24"/>
        </w:rPr>
        <w:t>3、协助采购人及有权财政部门对本项目PPP运作进行财政承受能力论证；</w:t>
      </w:r>
    </w:p>
    <w:p>
      <w:pPr>
        <w:spacing w:beforeLines="0" w:afterLines="0" w:line="360" w:lineRule="auto"/>
        <w:ind w:firstLine="480" w:firstLineChars="200"/>
        <w:jc w:val="left"/>
        <w:rPr>
          <w:rFonts w:ascii="宋体" w:hAnsi="宋体" w:eastAsia="宋体" w:cs="宋体"/>
          <w:color w:val="auto"/>
          <w:sz w:val="24"/>
          <w:szCs w:val="24"/>
        </w:rPr>
      </w:pPr>
      <w:r>
        <w:rPr>
          <w:rFonts w:ascii="宋体" w:hAnsi="宋体" w:eastAsia="宋体" w:cs="宋体"/>
          <w:color w:val="auto"/>
          <w:sz w:val="24"/>
          <w:szCs w:val="24"/>
        </w:rPr>
        <w:t>4、按照国家相关文件要求，编制本项目实施方案，内容包括但不限于项目运作方式、交易结构、合同体系、核心边界条件和社会资本采购方式等；</w:t>
      </w:r>
    </w:p>
    <w:p>
      <w:pPr>
        <w:spacing w:beforeLines="0" w:afterLines="0" w:line="360" w:lineRule="auto"/>
        <w:ind w:firstLine="480" w:firstLineChars="200"/>
        <w:jc w:val="left"/>
        <w:rPr>
          <w:rFonts w:ascii="宋体" w:hAnsi="宋体" w:eastAsia="宋体" w:cs="宋体"/>
          <w:color w:val="auto"/>
          <w:sz w:val="24"/>
          <w:szCs w:val="24"/>
        </w:rPr>
      </w:pPr>
      <w:r>
        <w:rPr>
          <w:rFonts w:ascii="宋体" w:hAnsi="宋体" w:eastAsia="宋体" w:cs="宋体"/>
          <w:color w:val="auto"/>
          <w:sz w:val="24"/>
          <w:szCs w:val="24"/>
        </w:rPr>
        <w:t>5、根据《政府和社会资本合作（PPP）综合信息平台运行规程》等相关规定及要求，协助采购人及有权财政部门办理本项目入储备库及执行库；</w:t>
      </w:r>
    </w:p>
    <w:p>
      <w:pPr>
        <w:spacing w:beforeLines="0" w:afterLines="0" w:line="360" w:lineRule="auto"/>
        <w:ind w:firstLine="480" w:firstLineChars="200"/>
        <w:jc w:val="left"/>
        <w:rPr>
          <w:rFonts w:ascii="宋体" w:hAnsi="宋体" w:eastAsia="宋体" w:cs="宋体"/>
          <w:color w:val="auto"/>
          <w:sz w:val="24"/>
          <w:szCs w:val="24"/>
        </w:rPr>
      </w:pPr>
      <w:r>
        <w:rPr>
          <w:rFonts w:ascii="宋体" w:hAnsi="宋体" w:eastAsia="宋体" w:cs="宋体"/>
          <w:color w:val="auto"/>
          <w:sz w:val="24"/>
          <w:szCs w:val="24"/>
        </w:rPr>
        <w:t>6、建立财务模型，进行财务测算，为本项目结构设计和核心边界条件设置等提供数据支撑，并依据测算结果对项目实施方案内容进行调整；</w:t>
      </w:r>
    </w:p>
    <w:p>
      <w:pPr>
        <w:spacing w:beforeLines="0" w:afterLines="0" w:line="360" w:lineRule="auto"/>
        <w:ind w:firstLine="480" w:firstLineChars="200"/>
        <w:jc w:val="left"/>
        <w:rPr>
          <w:rFonts w:ascii="宋体" w:hAnsi="宋体" w:eastAsia="宋体" w:cs="宋体"/>
          <w:color w:val="auto"/>
          <w:sz w:val="24"/>
          <w:szCs w:val="24"/>
        </w:rPr>
      </w:pPr>
      <w:r>
        <w:rPr>
          <w:rFonts w:ascii="宋体" w:hAnsi="宋体" w:eastAsia="宋体" w:cs="宋体"/>
          <w:color w:val="auto"/>
          <w:sz w:val="24"/>
          <w:szCs w:val="24"/>
        </w:rPr>
        <w:t>7、根据经批复同意的实施方案，编制本项目全套采购文件，包括但不限于投资竞争须知/投标须知、资格审查办法与响应文件评审/评标办法、PPP项目合同草案等；</w:t>
      </w:r>
    </w:p>
    <w:p>
      <w:pPr>
        <w:spacing w:beforeLines="0" w:afterLines="0" w:line="360" w:lineRule="auto"/>
        <w:ind w:firstLine="480" w:firstLineChars="200"/>
        <w:jc w:val="left"/>
        <w:rPr>
          <w:rFonts w:ascii="宋体" w:hAnsi="宋体" w:eastAsia="宋体" w:cs="宋体"/>
          <w:color w:val="auto"/>
          <w:sz w:val="24"/>
          <w:szCs w:val="24"/>
        </w:rPr>
      </w:pPr>
      <w:r>
        <w:rPr>
          <w:rFonts w:ascii="宋体" w:hAnsi="宋体" w:eastAsia="宋体" w:cs="宋体"/>
          <w:color w:val="auto"/>
          <w:sz w:val="24"/>
          <w:szCs w:val="24"/>
        </w:rPr>
        <w:t>8、协助采购人及其选定的采购代理机构或招标代理机构组织实施本项目采购程序性事项；</w:t>
      </w:r>
    </w:p>
    <w:p>
      <w:pPr>
        <w:spacing w:beforeLines="0" w:afterLines="0" w:line="360" w:lineRule="auto"/>
        <w:ind w:firstLine="480" w:firstLineChars="200"/>
        <w:jc w:val="left"/>
        <w:rPr>
          <w:rFonts w:ascii="宋体" w:hAnsi="宋体" w:eastAsia="宋体" w:cs="宋体"/>
          <w:color w:val="auto"/>
          <w:sz w:val="24"/>
          <w:szCs w:val="24"/>
        </w:rPr>
      </w:pPr>
      <w:r>
        <w:rPr>
          <w:rFonts w:ascii="宋体" w:hAnsi="宋体" w:eastAsia="宋体" w:cs="宋体"/>
          <w:color w:val="auto"/>
          <w:sz w:val="24"/>
          <w:szCs w:val="24"/>
        </w:rPr>
        <w:t>9、协助采购人与候选社会资本方开展PPP项目合同谈判，直至确定中选社会资本方，并协助政府方与中选社会资本方签署PPP项目合同；</w:t>
      </w:r>
    </w:p>
    <w:p>
      <w:pPr>
        <w:spacing w:beforeLines="0" w:afterLines="0" w:line="360" w:lineRule="auto"/>
        <w:ind w:firstLine="480" w:firstLineChars="200"/>
        <w:jc w:val="left"/>
        <w:rPr>
          <w:rFonts w:ascii="宋体" w:hAnsi="宋体" w:eastAsia="宋体" w:cs="宋体"/>
          <w:color w:val="auto"/>
          <w:sz w:val="24"/>
          <w:szCs w:val="24"/>
        </w:rPr>
      </w:pPr>
      <w:r>
        <w:rPr>
          <w:rFonts w:ascii="宋体" w:hAnsi="宋体" w:eastAsia="宋体" w:cs="宋体"/>
          <w:color w:val="auto"/>
          <w:sz w:val="24"/>
          <w:szCs w:val="24"/>
        </w:rPr>
        <w:t>10、应采购人要求，就本项目交易过程中涉及的其它财务、法务及商务有关问题提供咨询意见。</w:t>
      </w:r>
    </w:p>
    <w:p>
      <w:pPr>
        <w:pStyle w:val="17"/>
        <w:tabs>
          <w:tab w:val="left" w:pos="3060"/>
          <w:tab w:val="left" w:pos="3240"/>
        </w:tabs>
        <w:spacing w:beforeLines="0" w:after="0" w:afterLines="0" w:line="360" w:lineRule="auto"/>
        <w:ind w:left="0" w:leftChars="0" w:firstLine="482" w:firstLineChars="200"/>
        <w:rPr>
          <w:rFonts w:ascii="宋体" w:hAnsi="宋体" w:eastAsia="宋体" w:cs="宋体"/>
          <w:b/>
          <w:bCs/>
          <w:color w:val="auto"/>
          <w:sz w:val="24"/>
          <w:szCs w:val="24"/>
        </w:rPr>
      </w:pPr>
      <w:r>
        <w:rPr>
          <w:rFonts w:hint="eastAsia" w:ascii="宋体" w:hAnsi="宋体" w:eastAsia="宋体" w:cs="宋体"/>
          <w:b/>
          <w:color w:val="auto"/>
          <w:sz w:val="24"/>
          <w:szCs w:val="24"/>
        </w:rPr>
        <w:t>注：所有成果需严格按照现有</w:t>
      </w:r>
      <w:r>
        <w:rPr>
          <w:rFonts w:ascii="宋体" w:hAnsi="宋体" w:eastAsia="宋体" w:cs="宋体"/>
          <w:b/>
          <w:color w:val="auto"/>
          <w:sz w:val="24"/>
          <w:szCs w:val="24"/>
        </w:rPr>
        <w:t>PPP相关法律法规、操作指南指引的要求完成。</w:t>
      </w:r>
    </w:p>
    <w:p>
      <w:pPr>
        <w:spacing w:beforeLines="0" w:afterLines="0" w:line="360" w:lineRule="auto"/>
        <w:ind w:firstLine="482" w:firstLineChars="200"/>
        <w:outlineLvl w:val="1"/>
        <w:rPr>
          <w:rFonts w:ascii="宋体" w:hAnsi="宋体" w:eastAsia="宋体" w:cs="宋体"/>
          <w:b/>
          <w:bCs/>
          <w:sz w:val="24"/>
          <w:szCs w:val="24"/>
        </w:rPr>
      </w:pPr>
      <w:bookmarkStart w:id="8" w:name="_Toc361"/>
      <w:r>
        <w:rPr>
          <w:rFonts w:hint="eastAsia" w:ascii="宋体" w:hAnsi="宋体" w:eastAsia="宋体" w:cs="宋体"/>
          <w:b/>
          <w:bCs/>
          <w:sz w:val="24"/>
          <w:szCs w:val="24"/>
        </w:rPr>
        <w:t>三、其它要求</w:t>
      </w:r>
      <w:bookmarkEnd w:id="8"/>
    </w:p>
    <w:p>
      <w:pPr>
        <w:snapToGrid w:val="0"/>
        <w:spacing w:beforeLines="0" w:afterLines="0"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1、服务时限：</w:t>
      </w:r>
    </w:p>
    <w:p>
      <w:pPr>
        <w:snapToGrid w:val="0"/>
        <w:spacing w:beforeLines="0" w:afterLines="0" w:line="360" w:lineRule="auto"/>
        <w:ind w:firstLine="480" w:firstLineChars="200"/>
        <w:rPr>
          <w:rFonts w:ascii="宋体" w:hAnsi="宋体" w:eastAsia="宋体" w:cs="宋体"/>
          <w:sz w:val="24"/>
          <w:szCs w:val="24"/>
        </w:rPr>
      </w:pPr>
      <w:r>
        <w:rPr>
          <w:rFonts w:hint="eastAsia" w:ascii="宋体" w:hAnsi="宋体" w:eastAsia="宋体" w:cs="宋体"/>
          <w:sz w:val="24"/>
          <w:szCs w:val="24"/>
        </w:rPr>
        <w:t>自本项目咨询服务合同签订日起至政府与社会资本方签订合同为止。供应商需对所提供的文件负有相关法律责任直至项目结束。</w:t>
      </w:r>
    </w:p>
    <w:p>
      <w:pPr>
        <w:snapToGrid w:val="0"/>
        <w:spacing w:beforeLines="0" w:afterLines="0"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2、供应商提供服务须符合现行国家标准、规范强制性条文。包括但不仅限于以下：</w:t>
      </w:r>
    </w:p>
    <w:p>
      <w:pPr>
        <w:snapToGrid w:val="0"/>
        <w:spacing w:beforeLines="0" w:afterLines="0" w:line="360" w:lineRule="auto"/>
        <w:ind w:firstLine="480" w:firstLineChars="200"/>
        <w:rPr>
          <w:rFonts w:ascii="宋体" w:hAnsi="宋体" w:eastAsia="宋体" w:cs="宋体"/>
          <w:sz w:val="24"/>
          <w:szCs w:val="24"/>
        </w:rPr>
      </w:pPr>
      <w:r>
        <w:rPr>
          <w:rFonts w:hint="eastAsia" w:ascii="宋体" w:hAnsi="宋体" w:eastAsia="宋体" w:cs="宋体"/>
          <w:sz w:val="24"/>
          <w:szCs w:val="24"/>
        </w:rPr>
        <w:t>《中华人民共和国政府采购法》</w:t>
      </w:r>
    </w:p>
    <w:p>
      <w:pPr>
        <w:snapToGrid w:val="0"/>
        <w:spacing w:beforeLines="0" w:afterLines="0" w:line="360" w:lineRule="auto"/>
        <w:ind w:firstLine="480" w:firstLineChars="200"/>
        <w:rPr>
          <w:rFonts w:ascii="宋体" w:hAnsi="宋体" w:eastAsia="宋体" w:cs="宋体"/>
          <w:sz w:val="24"/>
          <w:szCs w:val="24"/>
        </w:rPr>
      </w:pPr>
      <w:r>
        <w:rPr>
          <w:rFonts w:hint="eastAsia" w:ascii="宋体" w:hAnsi="宋体" w:eastAsia="宋体" w:cs="宋体"/>
          <w:sz w:val="24"/>
          <w:szCs w:val="24"/>
        </w:rPr>
        <w:t>《中华人民共和国政府采购法实施条例》</w:t>
      </w:r>
    </w:p>
    <w:p>
      <w:pPr>
        <w:snapToGrid w:val="0"/>
        <w:spacing w:beforeLines="0" w:afterLines="0" w:line="360" w:lineRule="auto"/>
        <w:ind w:firstLine="480" w:firstLineChars="200"/>
        <w:rPr>
          <w:rFonts w:ascii="宋体" w:hAnsi="宋体" w:eastAsia="宋体" w:cs="宋体"/>
          <w:sz w:val="24"/>
          <w:szCs w:val="24"/>
        </w:rPr>
      </w:pPr>
      <w:r>
        <w:rPr>
          <w:rFonts w:hint="eastAsia" w:ascii="宋体" w:hAnsi="宋体" w:eastAsia="宋体" w:cs="宋体"/>
          <w:sz w:val="24"/>
          <w:szCs w:val="24"/>
        </w:rPr>
        <w:t>《财政部关于推广运用政府和社会资本合作模式有关问题的通知》</w:t>
      </w:r>
    </w:p>
    <w:p>
      <w:pPr>
        <w:snapToGrid w:val="0"/>
        <w:spacing w:beforeLines="0" w:afterLines="0" w:line="360" w:lineRule="auto"/>
        <w:ind w:firstLine="480" w:firstLineChars="200"/>
        <w:rPr>
          <w:rFonts w:ascii="宋体" w:hAnsi="宋体" w:eastAsia="宋体" w:cs="宋体"/>
          <w:sz w:val="24"/>
          <w:szCs w:val="24"/>
        </w:rPr>
      </w:pPr>
      <w:r>
        <w:rPr>
          <w:rFonts w:hint="eastAsia" w:ascii="宋体" w:hAnsi="宋体" w:eastAsia="宋体" w:cs="宋体"/>
          <w:sz w:val="24"/>
          <w:szCs w:val="24"/>
        </w:rPr>
        <w:t>《政府和社会资本合作项目财政承受能力论证指引》</w:t>
      </w:r>
    </w:p>
    <w:p>
      <w:pPr>
        <w:snapToGrid w:val="0"/>
        <w:spacing w:beforeLines="0" w:afterLines="0" w:line="360" w:lineRule="auto"/>
        <w:ind w:firstLine="480" w:firstLineChars="200"/>
        <w:rPr>
          <w:rFonts w:ascii="宋体" w:hAnsi="宋体" w:eastAsia="宋体" w:cs="宋体"/>
          <w:sz w:val="24"/>
          <w:szCs w:val="24"/>
        </w:rPr>
      </w:pPr>
      <w:r>
        <w:rPr>
          <w:rFonts w:hint="eastAsia" w:ascii="宋体" w:hAnsi="宋体" w:eastAsia="宋体" w:cs="宋体"/>
          <w:sz w:val="24"/>
          <w:szCs w:val="24"/>
        </w:rPr>
        <w:t>《政府和社会资本合作模式操作指南（试行）》</w:t>
      </w:r>
    </w:p>
    <w:p>
      <w:pPr>
        <w:snapToGrid w:val="0"/>
        <w:spacing w:beforeLines="0" w:afterLines="0" w:line="360" w:lineRule="auto"/>
        <w:ind w:firstLine="480" w:firstLineChars="200"/>
        <w:rPr>
          <w:rFonts w:ascii="宋体" w:hAnsi="宋体" w:eastAsia="宋体" w:cs="宋体"/>
          <w:sz w:val="24"/>
          <w:szCs w:val="24"/>
        </w:rPr>
      </w:pPr>
      <w:r>
        <w:rPr>
          <w:rFonts w:hint="eastAsia" w:ascii="宋体" w:hAnsi="宋体" w:eastAsia="宋体" w:cs="宋体"/>
          <w:sz w:val="24"/>
          <w:szCs w:val="24"/>
        </w:rPr>
        <w:t>《政府和社会资本合作项目政府采购管理办法》</w:t>
      </w:r>
    </w:p>
    <w:p>
      <w:pPr>
        <w:snapToGrid w:val="0"/>
        <w:spacing w:beforeLines="0" w:afterLines="0" w:line="360" w:lineRule="auto"/>
        <w:ind w:firstLine="480" w:firstLineChars="200"/>
        <w:rPr>
          <w:rFonts w:ascii="宋体" w:hAnsi="宋体" w:eastAsia="宋体" w:cs="宋体"/>
          <w:sz w:val="24"/>
          <w:szCs w:val="24"/>
        </w:rPr>
      </w:pPr>
      <w:r>
        <w:rPr>
          <w:rFonts w:hint="eastAsia" w:ascii="宋体" w:hAnsi="宋体" w:eastAsia="宋体" w:cs="宋体"/>
          <w:sz w:val="24"/>
          <w:szCs w:val="24"/>
        </w:rPr>
        <w:t>《关于规范政府和社会资本合作合同管理工作的通知》</w:t>
      </w:r>
    </w:p>
    <w:p>
      <w:pPr>
        <w:snapToGrid w:val="0"/>
        <w:spacing w:beforeLines="0" w:afterLines="0" w:line="360" w:lineRule="auto"/>
        <w:ind w:firstLine="480" w:firstLineChars="200"/>
        <w:rPr>
          <w:rFonts w:ascii="宋体" w:hAnsi="宋体" w:eastAsia="宋体" w:cs="宋体"/>
          <w:sz w:val="24"/>
          <w:szCs w:val="24"/>
        </w:rPr>
      </w:pPr>
      <w:r>
        <w:rPr>
          <w:rFonts w:hint="eastAsia" w:ascii="宋体" w:hAnsi="宋体" w:eastAsia="宋体" w:cs="宋体"/>
          <w:sz w:val="24"/>
          <w:szCs w:val="24"/>
        </w:rPr>
        <w:t>《财政部强调做好政府和社会资本合作项目示范工作》</w:t>
      </w:r>
    </w:p>
    <w:p>
      <w:pPr>
        <w:snapToGrid w:val="0"/>
        <w:spacing w:beforeLines="0" w:afterLines="0" w:line="360" w:lineRule="auto"/>
        <w:ind w:firstLine="480" w:firstLineChars="200"/>
        <w:rPr>
          <w:rFonts w:ascii="宋体" w:hAnsi="宋体" w:eastAsia="宋体" w:cs="宋体"/>
          <w:sz w:val="24"/>
          <w:szCs w:val="24"/>
        </w:rPr>
        <w:sectPr>
          <w:footerReference r:id="rId5" w:type="default"/>
          <w:pgSz w:w="11906" w:h="16838"/>
          <w:pgMar w:top="1587" w:right="1587" w:bottom="1587" w:left="1587" w:header="1247" w:footer="992" w:gutter="0"/>
          <w:pgNumType w:start="1"/>
          <w:cols w:space="0" w:num="1"/>
          <w:docGrid w:linePitch="312" w:charSpace="0"/>
        </w:sectPr>
      </w:pPr>
      <w:r>
        <w:rPr>
          <w:rFonts w:hint="eastAsia" w:ascii="宋体" w:hAnsi="宋体" w:eastAsia="宋体" w:cs="宋体"/>
          <w:sz w:val="24"/>
          <w:szCs w:val="24"/>
        </w:rPr>
        <w:t>相关技术规范、标准以及其他相关法律法规、规章、文件。</w:t>
      </w:r>
    </w:p>
    <w:p>
      <w:pPr>
        <w:autoSpaceDE w:val="0"/>
        <w:autoSpaceDN w:val="0"/>
        <w:adjustRightInd w:val="0"/>
        <w:spacing w:line="800" w:lineRule="exact"/>
        <w:jc w:val="center"/>
        <w:outlineLvl w:val="0"/>
        <w:rPr>
          <w:rFonts w:ascii="宋体" w:hAnsi="宋体" w:eastAsia="宋体" w:cs="宋体"/>
          <w:b/>
          <w:bCs/>
          <w:sz w:val="44"/>
          <w:szCs w:val="44"/>
          <w:lang w:val="zh-CN"/>
        </w:rPr>
      </w:pPr>
      <w:bookmarkStart w:id="9" w:name="_Toc2516"/>
      <w:r>
        <w:rPr>
          <w:rFonts w:hint="eastAsia" w:ascii="宋体" w:hAnsi="宋体" w:eastAsia="宋体" w:cs="宋体"/>
          <w:b/>
          <w:bCs/>
          <w:sz w:val="44"/>
          <w:szCs w:val="44"/>
          <w:lang w:val="zh-CN"/>
        </w:rPr>
        <w:t>第三部分</w:t>
      </w:r>
      <w:r>
        <w:rPr>
          <w:rFonts w:hint="eastAsia" w:ascii="宋体" w:hAnsi="宋体" w:eastAsia="宋体" w:cs="宋体"/>
          <w:b/>
          <w:bCs/>
          <w:sz w:val="44"/>
          <w:szCs w:val="44"/>
        </w:rPr>
        <w:t xml:space="preserve"> </w:t>
      </w:r>
      <w:r>
        <w:rPr>
          <w:rFonts w:hint="eastAsia" w:ascii="宋体" w:hAnsi="宋体" w:eastAsia="宋体" w:cs="宋体"/>
          <w:b/>
          <w:bCs/>
          <w:sz w:val="44"/>
          <w:szCs w:val="44"/>
          <w:lang w:val="zh-CN"/>
        </w:rPr>
        <w:t>供应商须知</w:t>
      </w:r>
      <w:bookmarkEnd w:id="9"/>
    </w:p>
    <w:p>
      <w:pPr>
        <w:autoSpaceDE w:val="0"/>
        <w:autoSpaceDN w:val="0"/>
        <w:adjustRightInd w:val="0"/>
        <w:spacing w:line="600" w:lineRule="exact"/>
        <w:jc w:val="center"/>
        <w:rPr>
          <w:rFonts w:ascii="宋体" w:hAnsi="宋体" w:eastAsia="宋体" w:cs="宋体"/>
          <w:b/>
          <w:bCs/>
          <w:sz w:val="24"/>
          <w:szCs w:val="24"/>
          <w:lang w:val="zh-CN"/>
        </w:rPr>
      </w:pPr>
      <w:r>
        <w:rPr>
          <w:rFonts w:hint="eastAsia" w:ascii="宋体" w:hAnsi="宋体" w:eastAsia="宋体" w:cs="宋体"/>
          <w:b/>
          <w:bCs/>
          <w:sz w:val="24"/>
          <w:szCs w:val="24"/>
        </w:rPr>
        <w:t>供应商须知</w:t>
      </w:r>
      <w:r>
        <w:rPr>
          <w:rFonts w:hint="eastAsia" w:ascii="宋体" w:hAnsi="宋体" w:eastAsia="宋体" w:cs="宋体"/>
          <w:b/>
          <w:bCs/>
          <w:sz w:val="24"/>
          <w:szCs w:val="24"/>
          <w:lang w:val="zh-CN"/>
        </w:rPr>
        <w:t>前附表：</w:t>
      </w:r>
    </w:p>
    <w:tbl>
      <w:tblPr>
        <w:tblStyle w:val="27"/>
        <w:tblW w:w="9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1"/>
        <w:gridCol w:w="7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1721" w:type="dxa"/>
            <w:vAlign w:val="center"/>
          </w:tcPr>
          <w:p>
            <w:pPr>
              <w:widowControl/>
              <w:spacing w:line="460" w:lineRule="exact"/>
              <w:jc w:val="center"/>
              <w:rPr>
                <w:rFonts w:ascii="宋体" w:hAnsi="宋体" w:eastAsia="宋体" w:cs="宋体"/>
                <w:b/>
                <w:kern w:val="0"/>
                <w:szCs w:val="21"/>
              </w:rPr>
            </w:pPr>
            <w:r>
              <w:rPr>
                <w:rFonts w:hint="eastAsia" w:ascii="宋体" w:hAnsi="宋体" w:eastAsia="宋体" w:cs="宋体"/>
                <w:b/>
                <w:kern w:val="0"/>
                <w:szCs w:val="21"/>
              </w:rPr>
              <w:t>项   目</w:t>
            </w:r>
          </w:p>
        </w:tc>
        <w:tc>
          <w:tcPr>
            <w:tcW w:w="7559" w:type="dxa"/>
            <w:vAlign w:val="center"/>
          </w:tcPr>
          <w:p>
            <w:pPr>
              <w:widowControl/>
              <w:spacing w:line="460" w:lineRule="exact"/>
              <w:jc w:val="center"/>
              <w:rPr>
                <w:rFonts w:ascii="宋体" w:hAnsi="宋体" w:eastAsia="宋体" w:cs="宋体"/>
                <w:b/>
                <w:kern w:val="0"/>
                <w:szCs w:val="21"/>
              </w:rPr>
            </w:pPr>
            <w:r>
              <w:rPr>
                <w:rFonts w:hint="eastAsia" w:ascii="宋体" w:hAnsi="宋体" w:eastAsia="宋体" w:cs="宋体"/>
                <w:b/>
                <w:kern w:val="0"/>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1721" w:type="dxa"/>
            <w:vAlign w:val="center"/>
          </w:tcPr>
          <w:p>
            <w:pPr>
              <w:spacing w:line="460" w:lineRule="exact"/>
              <w:jc w:val="center"/>
              <w:rPr>
                <w:rFonts w:ascii="宋体" w:hAnsi="宋体" w:eastAsia="宋体" w:cs="宋体"/>
                <w:b/>
                <w:szCs w:val="21"/>
              </w:rPr>
            </w:pPr>
            <w:r>
              <w:rPr>
                <w:rFonts w:hint="eastAsia" w:ascii="宋体" w:hAnsi="宋体" w:eastAsia="宋体" w:cs="宋体"/>
                <w:b/>
                <w:szCs w:val="21"/>
              </w:rPr>
              <w:t>采购内容</w:t>
            </w:r>
          </w:p>
        </w:tc>
        <w:tc>
          <w:tcPr>
            <w:tcW w:w="7559" w:type="dxa"/>
            <w:vAlign w:val="center"/>
          </w:tcPr>
          <w:p>
            <w:pPr>
              <w:spacing w:line="460" w:lineRule="exact"/>
              <w:jc w:val="left"/>
              <w:rPr>
                <w:rFonts w:ascii="宋体" w:hAnsi="宋体" w:eastAsia="宋体" w:cs="宋体"/>
                <w:szCs w:val="21"/>
              </w:rPr>
            </w:pPr>
            <w:r>
              <w:rPr>
                <w:rFonts w:hint="eastAsia" w:ascii="宋体" w:hAnsi="宋体" w:eastAsia="宋体" w:cs="宋体"/>
                <w:szCs w:val="21"/>
              </w:rPr>
              <w:t>详见第一部分招标公告中第二条要求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721" w:type="dxa"/>
            <w:vAlign w:val="center"/>
          </w:tcPr>
          <w:p>
            <w:pPr>
              <w:spacing w:line="460" w:lineRule="exact"/>
              <w:jc w:val="center"/>
              <w:rPr>
                <w:rFonts w:ascii="宋体" w:hAnsi="宋体" w:eastAsia="宋体" w:cs="宋体"/>
                <w:b/>
                <w:szCs w:val="21"/>
              </w:rPr>
            </w:pPr>
            <w:r>
              <w:rPr>
                <w:rFonts w:hint="eastAsia" w:ascii="宋体" w:hAnsi="宋体" w:eastAsia="宋体" w:cs="宋体"/>
                <w:b/>
                <w:szCs w:val="21"/>
              </w:rPr>
              <w:t>采购方式</w:t>
            </w:r>
          </w:p>
        </w:tc>
        <w:tc>
          <w:tcPr>
            <w:tcW w:w="7559" w:type="dxa"/>
            <w:vAlign w:val="center"/>
          </w:tcPr>
          <w:p>
            <w:pPr>
              <w:spacing w:line="460" w:lineRule="exact"/>
              <w:jc w:val="left"/>
              <w:rPr>
                <w:rFonts w:ascii="宋体" w:hAnsi="宋体" w:eastAsia="宋体" w:cs="宋体"/>
                <w:szCs w:val="21"/>
              </w:rPr>
            </w:pPr>
            <w:r>
              <w:rPr>
                <w:rFonts w:hint="eastAsia" w:ascii="宋体" w:hAnsi="宋体" w:eastAsia="宋体" w:cs="宋体"/>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1721" w:type="dxa"/>
            <w:vAlign w:val="center"/>
          </w:tcPr>
          <w:p>
            <w:pPr>
              <w:spacing w:line="460" w:lineRule="exact"/>
              <w:jc w:val="center"/>
              <w:rPr>
                <w:rFonts w:ascii="宋体" w:hAnsi="宋体" w:eastAsia="宋体" w:cs="宋体"/>
                <w:b/>
                <w:szCs w:val="21"/>
              </w:rPr>
            </w:pPr>
            <w:r>
              <w:rPr>
                <w:rFonts w:hint="eastAsia" w:ascii="宋体" w:hAnsi="宋体" w:eastAsia="宋体" w:cs="宋体"/>
                <w:b/>
                <w:szCs w:val="21"/>
              </w:rPr>
              <w:t>合格供应商</w:t>
            </w:r>
          </w:p>
          <w:p>
            <w:pPr>
              <w:widowControl/>
              <w:spacing w:line="460" w:lineRule="exact"/>
              <w:jc w:val="center"/>
              <w:rPr>
                <w:rFonts w:ascii="宋体" w:hAnsi="宋体" w:eastAsia="宋体" w:cs="宋体"/>
                <w:b/>
                <w:kern w:val="0"/>
                <w:szCs w:val="21"/>
              </w:rPr>
            </w:pPr>
            <w:r>
              <w:rPr>
                <w:rFonts w:hint="eastAsia" w:ascii="宋体" w:hAnsi="宋体" w:eastAsia="宋体" w:cs="宋体"/>
                <w:b/>
                <w:szCs w:val="21"/>
              </w:rPr>
              <w:t>的资格条件</w:t>
            </w:r>
          </w:p>
        </w:tc>
        <w:tc>
          <w:tcPr>
            <w:tcW w:w="7559" w:type="dxa"/>
            <w:vAlign w:val="center"/>
          </w:tcPr>
          <w:p>
            <w:pPr>
              <w:spacing w:line="460" w:lineRule="exact"/>
              <w:jc w:val="left"/>
              <w:rPr>
                <w:rFonts w:ascii="宋体" w:hAnsi="宋体" w:eastAsia="宋体" w:cs="宋体"/>
                <w:szCs w:val="21"/>
              </w:rPr>
            </w:pPr>
            <w:r>
              <w:rPr>
                <w:rFonts w:hint="eastAsia" w:ascii="宋体" w:hAnsi="宋体" w:eastAsia="宋体" w:cs="宋体"/>
                <w:szCs w:val="21"/>
              </w:rPr>
              <w:t>符合第一部分招标公告中第三条要求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721" w:type="dxa"/>
            <w:vAlign w:val="center"/>
          </w:tcPr>
          <w:p>
            <w:pPr>
              <w:spacing w:line="460" w:lineRule="exact"/>
              <w:jc w:val="center"/>
              <w:rPr>
                <w:rFonts w:ascii="宋体" w:hAnsi="宋体" w:eastAsia="宋体" w:cs="宋体"/>
                <w:b/>
                <w:szCs w:val="21"/>
              </w:rPr>
            </w:pPr>
            <w:r>
              <w:rPr>
                <w:rFonts w:hint="eastAsia" w:ascii="宋体" w:hAnsi="宋体" w:eastAsia="宋体" w:cs="宋体"/>
                <w:b/>
                <w:szCs w:val="21"/>
              </w:rPr>
              <w:t>资金来源</w:t>
            </w:r>
          </w:p>
        </w:tc>
        <w:tc>
          <w:tcPr>
            <w:tcW w:w="7559" w:type="dxa"/>
            <w:vAlign w:val="center"/>
          </w:tcPr>
          <w:p>
            <w:pPr>
              <w:spacing w:line="460" w:lineRule="exact"/>
              <w:rPr>
                <w:rFonts w:ascii="宋体" w:hAnsi="宋体" w:eastAsia="宋体" w:cs="宋体"/>
                <w:szCs w:val="21"/>
              </w:rPr>
            </w:pPr>
            <w:r>
              <w:rPr>
                <w:rFonts w:hint="eastAsia" w:ascii="宋体" w:hAnsi="宋体" w:eastAsia="宋体" w:cs="宋体"/>
                <w:szCs w:val="21"/>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37" w:hRule="atLeast"/>
          <w:jc w:val="center"/>
        </w:trPr>
        <w:tc>
          <w:tcPr>
            <w:tcW w:w="1721" w:type="dxa"/>
            <w:vAlign w:val="center"/>
          </w:tcPr>
          <w:p>
            <w:pPr>
              <w:spacing w:line="460" w:lineRule="exact"/>
              <w:jc w:val="center"/>
              <w:rPr>
                <w:rFonts w:ascii="宋体" w:hAnsi="宋体" w:eastAsia="宋体" w:cs="宋体"/>
                <w:b/>
                <w:szCs w:val="21"/>
              </w:rPr>
            </w:pPr>
            <w:r>
              <w:rPr>
                <w:rFonts w:hint="eastAsia" w:ascii="宋体" w:hAnsi="宋体" w:eastAsia="宋体" w:cs="宋体"/>
                <w:b/>
                <w:szCs w:val="21"/>
              </w:rPr>
              <w:t>预算金额</w:t>
            </w:r>
          </w:p>
        </w:tc>
        <w:tc>
          <w:tcPr>
            <w:tcW w:w="7559" w:type="dxa"/>
            <w:vAlign w:val="center"/>
          </w:tcPr>
          <w:p>
            <w:pPr>
              <w:spacing w:line="460" w:lineRule="exact"/>
              <w:jc w:val="left"/>
              <w:rPr>
                <w:rFonts w:ascii="宋体" w:hAnsi="宋体" w:eastAsia="宋体" w:cs="宋体"/>
                <w:b/>
                <w:bCs/>
                <w:szCs w:val="21"/>
              </w:rPr>
            </w:pPr>
            <w:r>
              <w:rPr>
                <w:rFonts w:hint="eastAsia" w:ascii="宋体" w:hAnsi="宋体" w:eastAsia="宋体" w:cs="宋体"/>
                <w:b/>
                <w:bCs/>
                <w:szCs w:val="21"/>
              </w:rPr>
              <w:t>189万元（大写：壹佰捌拾玖万元整）；超出预算金额者为无效投标。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1721" w:type="dxa"/>
            <w:vAlign w:val="center"/>
          </w:tcPr>
          <w:p>
            <w:pPr>
              <w:spacing w:line="460" w:lineRule="exact"/>
              <w:jc w:val="center"/>
              <w:rPr>
                <w:rFonts w:ascii="宋体" w:hAnsi="宋体" w:eastAsia="宋体" w:cs="宋体"/>
                <w:b/>
                <w:bCs/>
                <w:szCs w:val="21"/>
              </w:rPr>
            </w:pPr>
            <w:r>
              <w:rPr>
                <w:rFonts w:hint="eastAsia" w:ascii="宋体" w:hAnsi="宋体" w:eastAsia="宋体" w:cs="宋体"/>
                <w:b/>
                <w:bCs/>
                <w:szCs w:val="21"/>
              </w:rPr>
              <w:t>服务周期</w:t>
            </w:r>
          </w:p>
        </w:tc>
        <w:tc>
          <w:tcPr>
            <w:tcW w:w="7559" w:type="dxa"/>
            <w:vAlign w:val="center"/>
          </w:tcPr>
          <w:p>
            <w:pPr>
              <w:spacing w:line="460" w:lineRule="exact"/>
              <w:rPr>
                <w:rFonts w:ascii="宋体" w:hAnsi="宋体" w:eastAsia="宋体" w:cs="宋体"/>
                <w:b/>
                <w:bCs/>
                <w:szCs w:val="21"/>
              </w:rPr>
            </w:pPr>
            <w:r>
              <w:rPr>
                <w:rFonts w:hint="eastAsia" w:ascii="宋体" w:hAnsi="宋体" w:eastAsia="宋体" w:cs="宋体"/>
                <w:szCs w:val="21"/>
              </w:rPr>
              <w:t>自本项目咨询服务合同签订日起至政府与社会资本方签订PPP合同为止。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721" w:type="dxa"/>
            <w:vAlign w:val="center"/>
          </w:tcPr>
          <w:p>
            <w:pPr>
              <w:spacing w:line="460" w:lineRule="exact"/>
              <w:jc w:val="center"/>
              <w:rPr>
                <w:rFonts w:ascii="宋体" w:hAnsi="宋体" w:eastAsia="宋体" w:cs="宋体"/>
                <w:b/>
                <w:szCs w:val="21"/>
              </w:rPr>
            </w:pPr>
            <w:r>
              <w:rPr>
                <w:rFonts w:hint="eastAsia" w:ascii="宋体" w:hAnsi="宋体" w:eastAsia="宋体" w:cs="宋体"/>
                <w:b/>
                <w:szCs w:val="21"/>
              </w:rPr>
              <w:t>招标文件</w:t>
            </w:r>
          </w:p>
        </w:tc>
        <w:tc>
          <w:tcPr>
            <w:tcW w:w="7559" w:type="dxa"/>
            <w:vAlign w:val="center"/>
          </w:tcPr>
          <w:p>
            <w:pPr>
              <w:spacing w:line="460" w:lineRule="exact"/>
              <w:rPr>
                <w:rFonts w:ascii="宋体" w:hAnsi="宋体" w:eastAsia="宋体" w:cs="宋体"/>
                <w:szCs w:val="21"/>
              </w:rPr>
            </w:pPr>
            <w:r>
              <w:rPr>
                <w:rFonts w:hint="eastAsia" w:ascii="宋体" w:hAnsi="宋体" w:eastAsia="宋体" w:cs="宋体"/>
                <w:szCs w:val="21"/>
              </w:rPr>
              <w:t>招标文件必须网上获取，不提供邮购和纸质版招标文件。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1721" w:type="dxa"/>
            <w:vAlign w:val="center"/>
          </w:tcPr>
          <w:p>
            <w:pPr>
              <w:spacing w:line="460" w:lineRule="exact"/>
              <w:jc w:val="center"/>
              <w:rPr>
                <w:rFonts w:ascii="宋体" w:hAnsi="宋体" w:eastAsia="宋体" w:cs="宋体"/>
                <w:b/>
                <w:szCs w:val="21"/>
              </w:rPr>
            </w:pPr>
            <w:r>
              <w:rPr>
                <w:rFonts w:hint="eastAsia" w:ascii="宋体" w:hAnsi="宋体" w:eastAsia="宋体" w:cs="宋体"/>
                <w:b/>
                <w:szCs w:val="21"/>
              </w:rPr>
              <w:t>投标文件份数</w:t>
            </w:r>
          </w:p>
        </w:tc>
        <w:tc>
          <w:tcPr>
            <w:tcW w:w="7559" w:type="dxa"/>
            <w:vAlign w:val="center"/>
          </w:tcPr>
          <w:p>
            <w:pPr>
              <w:spacing w:line="460" w:lineRule="exact"/>
              <w:rPr>
                <w:rFonts w:ascii="宋体" w:hAnsi="宋体" w:eastAsia="宋体" w:cs="宋体"/>
                <w:szCs w:val="21"/>
              </w:rPr>
            </w:pPr>
            <w:r>
              <w:rPr>
                <w:rFonts w:hint="eastAsia" w:ascii="宋体" w:hAnsi="宋体" w:eastAsia="宋体" w:cs="宋体"/>
                <w:szCs w:val="21"/>
              </w:rPr>
              <w:t>正本壹份，副本肆份</w:t>
            </w:r>
            <w:r>
              <w:rPr>
                <w:rFonts w:hint="eastAsia" w:ascii="宋体" w:hAnsi="宋体" w:eastAsia="宋体" w:cs="宋体"/>
                <w:bCs/>
                <w:szCs w:val="21"/>
              </w:rPr>
              <w:t>，所有投标内容的电子文档贰份（U盘），注明投标单位，用信封单独密封后与投标文件一起提交。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1721" w:type="dxa"/>
            <w:vAlign w:val="center"/>
          </w:tcPr>
          <w:p>
            <w:pPr>
              <w:autoSpaceDE w:val="0"/>
              <w:autoSpaceDN w:val="0"/>
              <w:adjustRightInd w:val="0"/>
              <w:spacing w:line="460" w:lineRule="exact"/>
              <w:jc w:val="center"/>
              <w:rPr>
                <w:rFonts w:ascii="宋体" w:hAnsi="宋体" w:eastAsia="宋体" w:cs="宋体"/>
                <w:b/>
                <w:kern w:val="0"/>
                <w:szCs w:val="21"/>
              </w:rPr>
            </w:pPr>
            <w:r>
              <w:rPr>
                <w:rFonts w:hint="eastAsia" w:ascii="宋体" w:hAnsi="宋体" w:eastAsia="宋体" w:cs="宋体"/>
                <w:b/>
                <w:kern w:val="0"/>
                <w:szCs w:val="21"/>
              </w:rPr>
              <w:t>递交投标文件地点</w:t>
            </w:r>
          </w:p>
        </w:tc>
        <w:tc>
          <w:tcPr>
            <w:tcW w:w="7559" w:type="dxa"/>
            <w:vAlign w:val="center"/>
          </w:tcPr>
          <w:p>
            <w:pPr>
              <w:autoSpaceDE w:val="0"/>
              <w:autoSpaceDN w:val="0"/>
              <w:adjustRightInd w:val="0"/>
              <w:spacing w:line="460" w:lineRule="exact"/>
              <w:jc w:val="left"/>
              <w:rPr>
                <w:rFonts w:ascii="宋体" w:hAnsi="宋体" w:eastAsia="宋体" w:cs="宋体"/>
                <w:szCs w:val="21"/>
                <w:u w:val="single"/>
              </w:rPr>
            </w:pPr>
            <w:r>
              <w:rPr>
                <w:rFonts w:hint="eastAsia" w:ascii="宋体" w:hAnsi="宋体" w:eastAsia="宋体" w:cs="宋体"/>
                <w:szCs w:val="21"/>
              </w:rPr>
              <w:t>鄢陵县公共资源交易中心（S219（鄢陶路）与未来大道交叉口鄢陵创客园院内南楼四楼开标</w:t>
            </w:r>
            <w:r>
              <w:rPr>
                <w:rFonts w:hint="eastAsia" w:ascii="宋体" w:hAnsi="宋体" w:eastAsia="宋体" w:cs="宋体"/>
                <w:szCs w:val="21"/>
                <w:u w:val="single"/>
              </w:rPr>
              <w:t xml:space="preserve">  二 </w:t>
            </w:r>
            <w:r>
              <w:rPr>
                <w:rFonts w:hint="eastAsia" w:ascii="宋体" w:hAnsi="宋体" w:eastAsia="宋体" w:cs="宋体"/>
                <w:szCs w:val="21"/>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1721" w:type="dxa"/>
            <w:vAlign w:val="center"/>
          </w:tcPr>
          <w:p>
            <w:pPr>
              <w:spacing w:line="460" w:lineRule="exact"/>
              <w:jc w:val="center"/>
              <w:rPr>
                <w:rFonts w:ascii="宋体" w:hAnsi="宋体" w:eastAsia="宋体" w:cs="宋体"/>
                <w:b/>
                <w:szCs w:val="21"/>
              </w:rPr>
            </w:pPr>
            <w:r>
              <w:rPr>
                <w:rFonts w:hint="eastAsia" w:ascii="宋体" w:hAnsi="宋体" w:eastAsia="宋体" w:cs="宋体"/>
                <w:b/>
                <w:szCs w:val="21"/>
              </w:rPr>
              <w:t>投标文件封面</w:t>
            </w:r>
          </w:p>
        </w:tc>
        <w:tc>
          <w:tcPr>
            <w:tcW w:w="7559" w:type="dxa"/>
            <w:vAlign w:val="center"/>
          </w:tcPr>
          <w:p>
            <w:pPr>
              <w:autoSpaceDE w:val="0"/>
              <w:autoSpaceDN w:val="0"/>
              <w:adjustRightInd w:val="0"/>
              <w:spacing w:line="460" w:lineRule="exact"/>
              <w:jc w:val="left"/>
              <w:rPr>
                <w:rFonts w:ascii="宋体" w:hAnsi="宋体" w:eastAsia="宋体" w:cs="宋体"/>
                <w:kern w:val="0"/>
                <w:szCs w:val="21"/>
              </w:rPr>
            </w:pPr>
            <w:r>
              <w:rPr>
                <w:rFonts w:hint="eastAsia" w:ascii="宋体" w:hAnsi="宋体" w:eastAsia="宋体" w:cs="宋体"/>
                <w:kern w:val="0"/>
                <w:szCs w:val="21"/>
              </w:rPr>
              <w:t xml:space="preserve">供应商地址： </w:t>
            </w:r>
          </w:p>
          <w:p>
            <w:pPr>
              <w:autoSpaceDE w:val="0"/>
              <w:autoSpaceDN w:val="0"/>
              <w:adjustRightInd w:val="0"/>
              <w:spacing w:line="460" w:lineRule="exact"/>
              <w:jc w:val="left"/>
              <w:rPr>
                <w:rFonts w:ascii="宋体" w:hAnsi="宋体" w:eastAsia="宋体" w:cs="宋体"/>
                <w:kern w:val="0"/>
                <w:szCs w:val="21"/>
              </w:rPr>
            </w:pPr>
            <w:r>
              <w:rPr>
                <w:rFonts w:hint="eastAsia" w:ascii="宋体" w:hAnsi="宋体" w:eastAsia="宋体" w:cs="宋体"/>
                <w:kern w:val="0"/>
                <w:szCs w:val="21"/>
              </w:rPr>
              <w:t xml:space="preserve">供应商名称： </w:t>
            </w:r>
          </w:p>
          <w:p>
            <w:pPr>
              <w:autoSpaceDE w:val="0"/>
              <w:autoSpaceDN w:val="0"/>
              <w:adjustRightInd w:val="0"/>
              <w:spacing w:line="460" w:lineRule="exact"/>
              <w:ind w:left="210" w:hanging="210" w:hangingChars="100"/>
              <w:jc w:val="left"/>
              <w:rPr>
                <w:rFonts w:ascii="宋体" w:hAnsi="宋体" w:eastAsia="宋体" w:cs="宋体"/>
                <w:kern w:val="0"/>
                <w:szCs w:val="21"/>
              </w:rPr>
            </w:pPr>
            <w:r>
              <w:rPr>
                <w:rFonts w:hint="eastAsia" w:ascii="宋体" w:hAnsi="宋体" w:eastAsia="宋体" w:cs="宋体"/>
                <w:kern w:val="0"/>
                <w:szCs w:val="21"/>
                <w:u w:val="single"/>
              </w:rPr>
              <w:t xml:space="preserve">                (工程名称/标段)</w:t>
            </w:r>
            <w:r>
              <w:rPr>
                <w:rFonts w:hint="eastAsia" w:ascii="宋体" w:hAnsi="宋体" w:eastAsia="宋体" w:cs="宋体"/>
                <w:kern w:val="0"/>
                <w:szCs w:val="21"/>
              </w:rPr>
              <w:t>投标文件</w:t>
            </w:r>
          </w:p>
          <w:p>
            <w:pPr>
              <w:autoSpaceDE w:val="0"/>
              <w:autoSpaceDN w:val="0"/>
              <w:adjustRightInd w:val="0"/>
              <w:spacing w:line="460" w:lineRule="exact"/>
              <w:ind w:left="210" w:hanging="210" w:hangingChars="100"/>
              <w:jc w:val="left"/>
              <w:rPr>
                <w:rFonts w:ascii="宋体" w:hAnsi="宋体" w:eastAsia="宋体" w:cs="宋体"/>
                <w:kern w:val="0"/>
                <w:szCs w:val="21"/>
              </w:rPr>
            </w:pPr>
            <w:r>
              <w:rPr>
                <w:rFonts w:hint="eastAsia" w:ascii="宋体" w:hAnsi="宋体" w:eastAsia="宋体" w:cs="宋体"/>
                <w:kern w:val="0"/>
                <w:szCs w:val="21"/>
              </w:rPr>
              <w:t>在201</w:t>
            </w:r>
            <w:r>
              <w:rPr>
                <w:rFonts w:hint="eastAsia" w:ascii="宋体" w:hAnsi="宋体" w:eastAsia="宋体" w:cs="宋体"/>
                <w:kern w:val="0"/>
                <w:szCs w:val="21"/>
                <w:lang w:val="en-US" w:eastAsia="zh-CN"/>
              </w:rPr>
              <w:t>8</w:t>
            </w:r>
            <w:r>
              <w:rPr>
                <w:rFonts w:hint="eastAsia" w:ascii="宋体" w:hAnsi="宋体" w:eastAsia="宋体" w:cs="宋体"/>
                <w:kern w:val="0"/>
                <w:szCs w:val="21"/>
              </w:rPr>
              <w:t>年  月  日   时00分前不得开启。</w:t>
            </w:r>
          </w:p>
          <w:p>
            <w:pPr>
              <w:spacing w:line="460" w:lineRule="exact"/>
              <w:rPr>
                <w:rFonts w:ascii="宋体" w:hAnsi="宋体" w:eastAsia="宋体" w:cs="宋体"/>
                <w:szCs w:val="21"/>
              </w:rPr>
            </w:pPr>
            <w:r>
              <w:rPr>
                <w:rFonts w:hint="eastAsia" w:ascii="宋体" w:hAnsi="宋体" w:eastAsia="宋体" w:cs="宋体"/>
                <w:kern w:val="0"/>
                <w:szCs w:val="21"/>
              </w:rPr>
              <w:t>投标文件包封口处应以密封条密封，并加盖骑缝章。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49" w:hRule="atLeast"/>
          <w:jc w:val="center"/>
        </w:trPr>
        <w:tc>
          <w:tcPr>
            <w:tcW w:w="1721" w:type="dxa"/>
            <w:vAlign w:val="center"/>
          </w:tcPr>
          <w:p>
            <w:pPr>
              <w:spacing w:line="460" w:lineRule="exact"/>
              <w:jc w:val="center"/>
              <w:rPr>
                <w:rFonts w:ascii="宋体" w:hAnsi="宋体" w:eastAsia="宋体" w:cs="宋体"/>
                <w:b/>
                <w:szCs w:val="21"/>
              </w:rPr>
            </w:pPr>
            <w:r>
              <w:rPr>
                <w:rFonts w:hint="eastAsia" w:ascii="宋体" w:hAnsi="宋体" w:eastAsia="宋体" w:cs="宋体"/>
                <w:b/>
                <w:szCs w:val="21"/>
              </w:rPr>
              <w:t>投标有效期</w:t>
            </w:r>
          </w:p>
        </w:tc>
        <w:tc>
          <w:tcPr>
            <w:tcW w:w="7559" w:type="dxa"/>
            <w:vAlign w:val="center"/>
          </w:tcPr>
          <w:p>
            <w:pPr>
              <w:spacing w:line="460" w:lineRule="exact"/>
              <w:rPr>
                <w:rFonts w:ascii="宋体" w:hAnsi="宋体" w:eastAsia="宋体" w:cs="宋体"/>
                <w:szCs w:val="21"/>
              </w:rPr>
            </w:pPr>
            <w:r>
              <w:rPr>
                <w:rFonts w:hint="eastAsia" w:ascii="宋体" w:hAnsi="宋体" w:eastAsia="宋体" w:cs="宋体"/>
                <w:kern w:val="0"/>
                <w:szCs w:val="21"/>
              </w:rPr>
              <w:t>60日历天（从投标截止之日算起）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1721" w:type="dxa"/>
            <w:vAlign w:val="center"/>
          </w:tcPr>
          <w:p>
            <w:pPr>
              <w:spacing w:line="460" w:lineRule="exact"/>
              <w:jc w:val="center"/>
              <w:rPr>
                <w:rFonts w:ascii="宋体" w:hAnsi="宋体" w:eastAsia="宋体" w:cs="宋体"/>
                <w:szCs w:val="21"/>
              </w:rPr>
            </w:pPr>
            <w:r>
              <w:rPr>
                <w:rFonts w:hint="eastAsia" w:ascii="宋体" w:hAnsi="宋体" w:eastAsia="宋体" w:cs="宋体"/>
                <w:b/>
                <w:szCs w:val="21"/>
              </w:rPr>
              <w:t>投标保证金</w:t>
            </w:r>
          </w:p>
        </w:tc>
        <w:tc>
          <w:tcPr>
            <w:tcW w:w="7559" w:type="dxa"/>
            <w:vAlign w:val="center"/>
          </w:tcPr>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both"/>
              <w:textAlignment w:val="auto"/>
              <w:rPr>
                <w:rFonts w:hint="eastAsia" w:ascii="宋体" w:hAnsi="宋体" w:eastAsia="宋体" w:cs="宋体"/>
                <w:b/>
                <w:color w:val="000000" w:themeColor="text1"/>
                <w:sz w:val="21"/>
                <w:szCs w:val="21"/>
                <w:u w:val="none"/>
                <w:lang w:eastAsia="zh-CN"/>
                <w14:textFill>
                  <w14:solidFill>
                    <w14:schemeClr w14:val="tx1"/>
                  </w14:solidFill>
                </w14:textFill>
              </w:rPr>
            </w:pPr>
            <w:r>
              <w:rPr>
                <w:rFonts w:hint="eastAsia" w:ascii="宋体" w:hAnsi="宋体" w:eastAsia="宋体" w:cs="宋体"/>
                <w:b/>
                <w:color w:val="000000" w:themeColor="text1"/>
                <w:sz w:val="21"/>
                <w:szCs w:val="21"/>
                <w:u w:val="none"/>
                <w:lang w:val="en-US" w:eastAsia="zh-CN"/>
                <w14:textFill>
                  <w14:solidFill>
                    <w14:schemeClr w14:val="tx1"/>
                  </w14:solidFill>
                </w14:textFill>
              </w:rPr>
              <w:t>一、</w:t>
            </w:r>
            <w:r>
              <w:rPr>
                <w:rFonts w:hint="eastAsia" w:ascii="宋体" w:hAnsi="宋体" w:eastAsia="宋体" w:cs="宋体"/>
                <w:b/>
                <w:color w:val="000000" w:themeColor="text1"/>
                <w:sz w:val="21"/>
                <w:szCs w:val="21"/>
                <w:u w:val="none"/>
                <w:lang w:eastAsia="zh-CN"/>
                <w14:textFill>
                  <w14:solidFill>
                    <w14:schemeClr w14:val="tx1"/>
                  </w14:solidFill>
                </w14:textFill>
              </w:rPr>
              <w:t>保证金须知</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both"/>
              <w:textAlignment w:val="auto"/>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1、</w:t>
            </w:r>
            <w:r>
              <w:rPr>
                <w:rFonts w:hint="eastAsia" w:ascii="宋体" w:hAnsi="宋体" w:eastAsia="宋体" w:cs="宋体"/>
                <w:color w:val="000000" w:themeColor="text1"/>
                <w:sz w:val="21"/>
                <w:szCs w:val="21"/>
                <w:u w:val="none"/>
                <w14:textFill>
                  <w14:solidFill>
                    <w14:schemeClr w14:val="tx1"/>
                  </w14:solidFill>
                </w14:textFill>
              </w:rPr>
              <w:t>因投标人的原因无法及时退还投标（竞买）保证金、滞留三年以上的，投标（竞买）保证金上缴财政。</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both"/>
              <w:textAlignment w:val="auto"/>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2、</w:t>
            </w:r>
            <w:r>
              <w:rPr>
                <w:rFonts w:hint="eastAsia" w:ascii="宋体" w:hAnsi="宋体" w:eastAsia="宋体" w:cs="宋体"/>
                <w:color w:val="000000" w:themeColor="text1"/>
                <w:sz w:val="21"/>
                <w:szCs w:val="21"/>
                <w:u w:val="none"/>
                <w14:textFill>
                  <w14:solidFill>
                    <w14:schemeClr w14:val="tx1"/>
                  </w14:solidFill>
                </w14:textFill>
              </w:rPr>
              <w:t>自文件发布之日起，投标人需进行基本户备案（建设工程项目），已备案的基本户开户银行、账户发生变化的，须重新办理备案手续。备案后方可提交投标（竞买）保证金。</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both"/>
              <w:textAlignment w:val="auto"/>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3、</w:t>
            </w:r>
            <w:r>
              <w:rPr>
                <w:rFonts w:hint="eastAsia" w:ascii="宋体" w:hAnsi="宋体" w:eastAsia="宋体" w:cs="宋体"/>
                <w:color w:val="000000" w:themeColor="text1"/>
                <w:sz w:val="21"/>
                <w:szCs w:val="21"/>
                <w:u w:val="none"/>
                <w14:textFill>
                  <w14:solidFill>
                    <w14:schemeClr w14:val="tx1"/>
                  </w14:solidFill>
                </w14:textFill>
              </w:rPr>
              <w:t xml:space="preserve">基本户备案流程： </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both"/>
              <w:textAlignment w:val="auto"/>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both"/>
              <w:textAlignment w:val="auto"/>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4、</w:t>
            </w:r>
            <w:r>
              <w:rPr>
                <w:rFonts w:hint="eastAsia" w:ascii="宋体" w:hAnsi="宋体" w:eastAsia="宋体" w:cs="宋体"/>
                <w:color w:val="000000" w:themeColor="text1"/>
                <w:sz w:val="21"/>
                <w:szCs w:val="21"/>
                <w:u w:val="none"/>
                <w14:textFill>
                  <w14:solidFill>
                    <w14:schemeClr w14:val="tx1"/>
                  </w14:solidFill>
                </w14:textFill>
              </w:rPr>
              <w:t>特殊情况处理</w:t>
            </w:r>
            <w:r>
              <w:rPr>
                <w:rFonts w:hint="eastAsia" w:ascii="宋体" w:hAnsi="宋体" w:eastAsia="宋体" w:cs="宋体"/>
                <w:color w:val="000000" w:themeColor="text1"/>
                <w:sz w:val="21"/>
                <w:szCs w:val="21"/>
                <w:u w:val="none"/>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both"/>
              <w:textAlignment w:val="auto"/>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投标人投标过程中因账户开户银行、银行账号发生变化，不能按照来款途径原路返还投标保证金的，投标人须提供原账户开户银行相关证明及新开账户开户许可证，</w:t>
            </w:r>
            <w:r>
              <w:rPr>
                <w:rFonts w:hint="eastAsia" w:ascii="宋体" w:hAnsi="宋体" w:eastAsia="宋体" w:cs="宋体"/>
                <w:color w:val="000000" w:themeColor="text1"/>
                <w:sz w:val="21"/>
                <w:szCs w:val="21"/>
                <w:u w:val="none"/>
                <w:lang w:val="zh-CN"/>
                <w14:textFill>
                  <w14:solidFill>
                    <w14:schemeClr w14:val="tx1"/>
                  </w14:solidFill>
                </w14:textFill>
              </w:rPr>
              <w:t>到</w:t>
            </w:r>
            <w:r>
              <w:rPr>
                <w:rFonts w:hint="eastAsia" w:ascii="宋体" w:hAnsi="宋体" w:eastAsia="宋体" w:cs="宋体"/>
                <w:color w:val="000000" w:themeColor="text1"/>
                <w:sz w:val="21"/>
                <w:szCs w:val="21"/>
                <w:u w:val="none"/>
                <w:lang w:val="zh-CN" w:eastAsia="zh-CN"/>
                <w14:textFill>
                  <w14:solidFill>
                    <w14:schemeClr w14:val="tx1"/>
                  </w14:solidFill>
                </w14:textFill>
              </w:rPr>
              <w:t>鄢陵县公共资源交易管理中心业务四部</w:t>
            </w:r>
            <w:r>
              <w:rPr>
                <w:rFonts w:hint="eastAsia" w:ascii="宋体" w:hAnsi="宋体" w:eastAsia="宋体" w:cs="宋体"/>
                <w:color w:val="000000" w:themeColor="text1"/>
                <w:sz w:val="21"/>
                <w:szCs w:val="21"/>
                <w:u w:val="none"/>
                <w:lang w:val="zh-CN"/>
                <w14:textFill>
                  <w14:solidFill>
                    <w14:schemeClr w14:val="tx1"/>
                  </w14:solidFill>
                </w14:textFill>
              </w:rPr>
              <w:t>办理退款手续（0374</w:t>
            </w:r>
            <w:r>
              <w:rPr>
                <w:rFonts w:hint="eastAsia" w:ascii="宋体" w:hAnsi="宋体" w:eastAsia="宋体" w:cs="宋体"/>
                <w:color w:val="000000" w:themeColor="text1"/>
                <w:sz w:val="21"/>
                <w:szCs w:val="21"/>
                <w:u w:val="none"/>
                <w:lang w:val="en-US" w:eastAsia="zh-CN"/>
                <w14:textFill>
                  <w14:solidFill>
                    <w14:schemeClr w14:val="tx1"/>
                  </w14:solidFill>
                </w14:textFill>
              </w:rPr>
              <w:t>-7363617）</w:t>
            </w:r>
            <w:r>
              <w:rPr>
                <w:rFonts w:hint="eastAsia" w:ascii="宋体" w:hAnsi="宋体" w:eastAsia="宋体" w:cs="宋体"/>
                <w:color w:val="000000" w:themeColor="text1"/>
                <w:sz w:val="21"/>
                <w:szCs w:val="21"/>
                <w:u w:val="none"/>
                <w:lang w:val="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both"/>
              <w:textAlignment w:val="auto"/>
              <w:rPr>
                <w:rFonts w:hint="eastAsia" w:ascii="宋体" w:hAnsi="宋体" w:eastAsia="宋体" w:cs="宋体"/>
                <w:color w:val="000000" w:themeColor="text1"/>
                <w:sz w:val="21"/>
                <w:szCs w:val="21"/>
                <w:u w:val="none"/>
                <w:lang w:eastAsia="zh-CN"/>
                <w14:textFill>
                  <w14:solidFill>
                    <w14:schemeClr w14:val="tx1"/>
                  </w14:solidFill>
                </w14:textFill>
              </w:rPr>
            </w:pPr>
            <w:r>
              <w:rPr>
                <w:rFonts w:hint="eastAsia" w:ascii="宋体" w:hAnsi="宋体" w:eastAsia="宋体" w:cs="宋体"/>
                <w:b/>
                <w:bCs/>
                <w:color w:val="000000" w:themeColor="text1"/>
                <w:sz w:val="21"/>
                <w:szCs w:val="21"/>
                <w:u w:val="none"/>
                <w:lang w:val="en-US" w:eastAsia="zh-CN"/>
                <w14:textFill>
                  <w14:solidFill>
                    <w14:schemeClr w14:val="tx1"/>
                  </w14:solidFill>
                </w14:textFill>
              </w:rPr>
              <w:t>二、</w:t>
            </w:r>
            <w:r>
              <w:rPr>
                <w:rFonts w:hint="eastAsia" w:ascii="宋体" w:hAnsi="宋体" w:eastAsia="宋体" w:cs="宋体"/>
                <w:b/>
                <w:bCs/>
                <w:color w:val="000000" w:themeColor="text1"/>
                <w:sz w:val="21"/>
                <w:szCs w:val="21"/>
                <w:u w:val="none"/>
                <w:lang w:eastAsia="zh-CN"/>
                <w14:textFill>
                  <w14:solidFill>
                    <w14:schemeClr w14:val="tx1"/>
                  </w14:solidFill>
                </w14:textFill>
              </w:rPr>
              <w:t>保证金缴纳</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both"/>
              <w:textAlignment w:val="auto"/>
              <w:rPr>
                <w:rFonts w:hint="eastAsia" w:ascii="宋体" w:hAnsi="宋体" w:eastAsia="宋体" w:cs="宋体"/>
                <w:b/>
                <w:color w:val="000000" w:themeColor="text1"/>
                <w:sz w:val="21"/>
                <w:szCs w:val="21"/>
                <w:highlight w:val="none"/>
                <w:u w:val="none"/>
                <w14:textFill>
                  <w14:solidFill>
                    <w14:schemeClr w14:val="tx1"/>
                  </w14:solidFill>
                </w14:textFill>
              </w:rPr>
            </w:pPr>
            <w:r>
              <w:rPr>
                <w:rFonts w:hint="eastAsia" w:ascii="宋体" w:hAnsi="宋体" w:eastAsia="宋体" w:cs="宋体"/>
                <w:b/>
                <w:color w:val="000000" w:themeColor="text1"/>
                <w:sz w:val="21"/>
                <w:szCs w:val="21"/>
                <w:highlight w:val="none"/>
                <w:u w:val="none"/>
                <w14:textFill>
                  <w14:solidFill>
                    <w14:schemeClr w14:val="tx1"/>
                  </w14:solidFill>
                </w14:textFill>
              </w:rPr>
              <w:t>投标保证金递交截止时间</w:t>
            </w:r>
            <w:r>
              <w:rPr>
                <w:rFonts w:hint="eastAsia" w:ascii="宋体" w:hAnsi="宋体" w:eastAsia="宋体" w:cs="宋体"/>
                <w:b/>
                <w:color w:val="000000" w:themeColor="text1"/>
                <w:sz w:val="21"/>
                <w:szCs w:val="21"/>
                <w:highlight w:val="none"/>
                <w:u w:val="none"/>
                <w:lang w:eastAsia="zh-CN"/>
                <w14:textFill>
                  <w14:solidFill>
                    <w14:schemeClr w14:val="tx1"/>
                  </w14:solidFill>
                </w14:textFill>
              </w:rPr>
              <w:t>（同投标截止时间）。</w:t>
            </w:r>
          </w:p>
          <w:p>
            <w:pPr>
              <w:keepNext w:val="0"/>
              <w:keepLines w:val="0"/>
              <w:pageBreakBefore w:val="0"/>
              <w:widowControl/>
              <w:kinsoku/>
              <w:wordWrap/>
              <w:overflowPunct/>
              <w:topLinePunct w:val="0"/>
              <w:bidi w:val="0"/>
              <w:snapToGrid/>
              <w:spacing w:line="460" w:lineRule="exact"/>
              <w:ind w:left="0" w:leftChars="0" w:right="0" w:rightChars="0" w:firstLine="0" w:firstLineChars="0"/>
              <w:textAlignment w:val="auto"/>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b/>
                <w:bCs/>
                <w:color w:val="000000" w:themeColor="text1"/>
                <w:sz w:val="21"/>
                <w:szCs w:val="21"/>
                <w:highlight w:val="none"/>
                <w:u w:val="none"/>
                <w14:textFill>
                  <w14:solidFill>
                    <w14:schemeClr w14:val="tx1"/>
                  </w14:solidFill>
                </w14:textFill>
              </w:rPr>
              <w:t>金额：</w:t>
            </w:r>
            <w:r>
              <w:rPr>
                <w:rFonts w:hint="eastAsia" w:ascii="宋体" w:hAnsi="宋体" w:eastAsia="宋体" w:cs="宋体"/>
                <w:b/>
                <w:bCs/>
                <w:color w:val="000000" w:themeColor="text1"/>
                <w:sz w:val="21"/>
                <w:szCs w:val="21"/>
                <w:highlight w:val="none"/>
                <w:u w:val="none"/>
                <w:lang w:eastAsia="zh-CN"/>
                <w14:textFill>
                  <w14:solidFill>
                    <w14:schemeClr w14:val="tx1"/>
                  </w14:solidFill>
                </w14:textFill>
              </w:rPr>
              <w:t xml:space="preserve"> 叁万元整</w:t>
            </w: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highlight w:val="none"/>
                <w:u w:val="none"/>
                <w14:textFill>
                  <w14:solidFill>
                    <w14:schemeClr w14:val="tx1"/>
                  </w14:solidFill>
                </w14:textFill>
              </w:rPr>
              <w:t>（￥：</w:t>
            </w: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30000.</w:t>
            </w:r>
            <w:r>
              <w:rPr>
                <w:rFonts w:hint="eastAsia" w:ascii="宋体" w:hAnsi="宋体" w:eastAsia="宋体" w:cs="宋体"/>
                <w:b/>
                <w:bCs/>
                <w:color w:val="000000" w:themeColor="text1"/>
                <w:sz w:val="21"/>
                <w:szCs w:val="21"/>
                <w:highlight w:val="none"/>
                <w:u w:val="none"/>
                <w14:textFill>
                  <w14:solidFill>
                    <w14:schemeClr w14:val="tx1"/>
                  </w14:solidFill>
                </w14:textFill>
              </w:rPr>
              <w:t>00元）</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1、</w:t>
            </w:r>
            <w:r>
              <w:rPr>
                <w:rFonts w:hint="eastAsia" w:ascii="宋体" w:hAnsi="宋体" w:eastAsia="宋体" w:cs="宋体"/>
                <w:color w:val="000000" w:themeColor="text1"/>
                <w:sz w:val="21"/>
                <w:szCs w:val="21"/>
                <w:u w:val="none"/>
                <w14:textFill>
                  <w14:solidFill>
                    <w14:schemeClr w14:val="tx1"/>
                  </w14:solidFill>
                </w14:textFill>
              </w:rPr>
              <w:t>投标保证金的递交方式：银行转帐、银行电汇（均需从投标人的基本账户汇出），不接受以现金方式缴纳的投标保证金。凡以现金方式缴纳投标保证金而影响其投标结果的，由投标人自行负责。 </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使用银行转帐形式的，于截止时间前通过投标人基本账户将款项一次足额递交、成功绑定，以收款人到账时间为准，在途资金无效，视为未按时交纳。同时投标人应承担节假日银行系统不能支付的风险。</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color w:val="000000" w:themeColor="text1"/>
                <w:sz w:val="21"/>
                <w:szCs w:val="21"/>
                <w:u w:val="none"/>
                <w:lang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2、</w:t>
            </w:r>
            <w:r>
              <w:rPr>
                <w:rFonts w:hint="eastAsia" w:ascii="宋体" w:hAnsi="宋体" w:eastAsia="宋体" w:cs="宋体"/>
                <w:color w:val="000000" w:themeColor="text1"/>
                <w:sz w:val="21"/>
                <w:szCs w:val="21"/>
                <w:u w:val="none"/>
                <w14:textFill>
                  <w14:solidFill>
                    <w14:schemeClr w14:val="tx1"/>
                  </w14:solidFill>
                </w14:textFill>
              </w:rPr>
              <w:t>投标保证金缴纳方式</w:t>
            </w:r>
            <w:r>
              <w:rPr>
                <w:rFonts w:hint="eastAsia" w:ascii="宋体" w:hAnsi="宋体" w:eastAsia="宋体" w:cs="宋体"/>
                <w:color w:val="000000" w:themeColor="text1"/>
                <w:sz w:val="21"/>
                <w:szCs w:val="21"/>
                <w:u w:val="none"/>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color w:val="000000" w:themeColor="text1"/>
                <w:sz w:val="21"/>
                <w:szCs w:val="21"/>
                <w:u w:val="none"/>
                <w:lang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 xml:space="preserve">2.1 </w:t>
            </w:r>
            <w:r>
              <w:rPr>
                <w:rFonts w:hint="eastAsia" w:ascii="宋体" w:hAnsi="宋体" w:eastAsia="宋体" w:cs="宋体"/>
                <w:color w:val="000000" w:themeColor="text1"/>
                <w:sz w:val="21"/>
                <w:szCs w:val="21"/>
                <w:u w:val="none"/>
                <w14:textFill>
                  <w14:solidFill>
                    <w14:schemeClr w14:val="tx1"/>
                  </w14:solidFill>
                </w14:textFill>
              </w:rPr>
              <w:t>投标人网上报名后</w:t>
            </w:r>
            <w:r>
              <w:rPr>
                <w:rFonts w:hint="eastAsia" w:ascii="宋体" w:hAnsi="宋体" w:eastAsia="宋体" w:cs="宋体"/>
                <w:color w:val="000000" w:themeColor="text1"/>
                <w:sz w:val="21"/>
                <w:szCs w:val="21"/>
                <w:u w:val="none"/>
                <w:lang w:eastAsia="zh-CN"/>
                <w14:textFill>
                  <w14:solidFill>
                    <w14:schemeClr w14:val="tx1"/>
                  </w14:solidFill>
                </w14:textFill>
              </w:rPr>
              <w:t>，</w:t>
            </w:r>
            <w:r>
              <w:rPr>
                <w:rFonts w:hint="eastAsia" w:ascii="宋体" w:hAnsi="宋体" w:eastAsia="宋体" w:cs="宋体"/>
                <w:color w:val="000000" w:themeColor="text1"/>
                <w:sz w:val="21"/>
                <w:szCs w:val="21"/>
                <w:u w:val="none"/>
                <w14:textFill>
                  <w14:solidFill>
                    <w14:schemeClr w14:val="tx1"/>
                  </w14:solidFill>
                </w14:textFill>
              </w:rPr>
              <w:t>登录</w:t>
            </w:r>
            <w:r>
              <w:rPr>
                <w:rFonts w:hint="eastAsia" w:ascii="宋体" w:hAnsi="宋体" w:eastAsia="宋体" w:cs="宋体"/>
                <w:color w:val="000000" w:themeColor="text1"/>
                <w:sz w:val="21"/>
                <w:szCs w:val="21"/>
                <w:u w:val="none"/>
                <w14:textFill>
                  <w14:solidFill>
                    <w14:schemeClr w14:val="tx1"/>
                  </w14:solidFill>
                </w14:textFill>
              </w:rPr>
              <w:drawing>
                <wp:inline distT="0" distB="0" distL="114300" distR="114300">
                  <wp:extent cx="190500" cy="142875"/>
                  <wp:effectExtent l="0" t="0" r="0" b="9525"/>
                  <wp:docPr id="2" name="图片 1" descr="C:\Users\ADMINI~1\AppData\Local\Temp\%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1\AppData\Local\Temp\%W@GJ$ACOF(TYDYECOKVDYB.png"/>
                          <pic:cNvPicPr>
                            <a:picLocks noChangeAspect="1"/>
                          </pic:cNvPicPr>
                        </pic:nvPicPr>
                        <pic:blipFill>
                          <a:blip r:embed="rId9"/>
                          <a:stretch>
                            <a:fillRect/>
                          </a:stretch>
                        </pic:blipFill>
                        <pic:spPr>
                          <a:xfrm>
                            <a:off x="0" y="0"/>
                            <a:ext cx="190500" cy="142875"/>
                          </a:xfrm>
                          <a:prstGeom prst="rect">
                            <a:avLst/>
                          </a:prstGeom>
                          <a:noFill/>
                          <a:ln w="9525">
                            <a:noFill/>
                          </a:ln>
                        </pic:spPr>
                      </pic:pic>
                    </a:graphicData>
                  </a:graphic>
                </wp:inline>
              </w:drawing>
            </w:r>
            <w:r>
              <w:rPr>
                <w:rFonts w:hint="eastAsia" w:ascii="宋体" w:hAnsi="宋体" w:eastAsia="宋体" w:cs="宋体"/>
                <w:color w:val="000000" w:themeColor="text1"/>
                <w:sz w:val="21"/>
                <w:szCs w:val="21"/>
                <w:u w:val="none"/>
                <w14:textFill>
                  <w14:solidFill>
                    <w14:schemeClr w14:val="tx1"/>
                  </w14:solidFill>
                </w14:textFill>
              </w:rPr>
              <w:t>http://221.14.6.70:8088/ggzy 系统，依次点击“会员向导”→“参与投标”→“费用缴纳说明”→“保证金缴纳说明单”，获取缴费说明单，根据每个标段的缴纳说明单在缴纳截止时间前缴纳</w:t>
            </w:r>
            <w:r>
              <w:rPr>
                <w:rFonts w:hint="eastAsia" w:ascii="宋体" w:hAnsi="宋体" w:eastAsia="宋体" w:cs="宋体"/>
                <w:color w:val="000000" w:themeColor="text1"/>
                <w:sz w:val="21"/>
                <w:szCs w:val="21"/>
                <w:u w:val="none"/>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 xml:space="preserve">2.2 </w:t>
            </w:r>
            <w:r>
              <w:rPr>
                <w:rFonts w:hint="eastAsia" w:ascii="宋体" w:hAnsi="宋体" w:eastAsia="宋体" w:cs="宋体"/>
                <w:color w:val="000000" w:themeColor="text1"/>
                <w:sz w:val="21"/>
                <w:szCs w:val="21"/>
                <w:u w:val="none"/>
                <w14:textFill>
                  <w14:solidFill>
                    <w14:schemeClr w14:val="tx1"/>
                  </w14:solidFill>
                </w14:textFill>
              </w:rPr>
              <w:t>成功缴纳后重新登录前述系统，依次点击“会员向导”→“参与投标”→“保证金绑定”→“绑定”进行投标保证金绑定。</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 xml:space="preserve">2.3 </w:t>
            </w:r>
            <w:r>
              <w:rPr>
                <w:rFonts w:hint="eastAsia" w:ascii="宋体" w:hAnsi="宋体" w:eastAsia="宋体" w:cs="宋体"/>
                <w:color w:val="000000" w:themeColor="text1"/>
                <w:sz w:val="21"/>
                <w:szCs w:val="21"/>
                <w:u w:val="none"/>
                <w14:textFill>
                  <w14:solidFill>
                    <w14:schemeClr w14:val="tx1"/>
                  </w14:solidFill>
                </w14:textFill>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 xml:space="preserve">2.4 </w:t>
            </w:r>
            <w:r>
              <w:rPr>
                <w:rFonts w:hint="eastAsia" w:ascii="宋体" w:hAnsi="宋体" w:eastAsia="宋体" w:cs="宋体"/>
                <w:color w:val="000000" w:themeColor="text1"/>
                <w:sz w:val="21"/>
                <w:szCs w:val="21"/>
                <w:u w:val="none"/>
                <w14:textFill>
                  <w14:solidFill>
                    <w14:schemeClr w14:val="tx1"/>
                  </w14:solidFill>
                </w14:textFill>
              </w:rPr>
              <w:t>每个投标人每个项目每个标段只有唯一缴纳账号，切勿重复缴纳或错误缴纳。(由于每个项目每个标段每个投标人系统会生成唯一的 缴纳账号，请投标企业严格按照“保证金缴纳说明单”进行交纳)。</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3、</w:t>
            </w:r>
            <w:r>
              <w:rPr>
                <w:rFonts w:hint="eastAsia" w:ascii="宋体" w:hAnsi="宋体" w:eastAsia="宋体" w:cs="宋体"/>
                <w:color w:val="000000" w:themeColor="text1"/>
                <w:sz w:val="21"/>
                <w:szCs w:val="21"/>
                <w:u w:val="none"/>
                <w14:textFill>
                  <w14:solidFill>
                    <w14:schemeClr w14:val="tx1"/>
                  </w14:solidFill>
                </w14:textFill>
              </w:rPr>
              <w:t>未按上述规定操作引起的无效投标，由投标人自行负责。</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4、</w:t>
            </w:r>
            <w:r>
              <w:rPr>
                <w:rFonts w:hint="eastAsia" w:ascii="宋体" w:hAnsi="宋体" w:eastAsia="宋体" w:cs="宋体"/>
                <w:color w:val="000000" w:themeColor="text1"/>
                <w:sz w:val="21"/>
                <w:szCs w:val="21"/>
                <w:u w:val="none"/>
                <w14:textFill>
                  <w14:solidFill>
                    <w14:schemeClr w14:val="tx1"/>
                  </w14:solidFill>
                </w14:textFill>
              </w:rPr>
              <w:t>汇款凭证无须备注项目编号和项目名称。</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5、</w:t>
            </w:r>
            <w:r>
              <w:rPr>
                <w:rFonts w:hint="eastAsia" w:ascii="宋体" w:hAnsi="宋体" w:eastAsia="宋体" w:cs="宋体"/>
                <w:color w:val="000000" w:themeColor="text1"/>
                <w:sz w:val="21"/>
                <w:szCs w:val="21"/>
                <w:u w:val="none"/>
                <w14:textFill>
                  <w14:solidFill>
                    <w14:schemeClr w14:val="tx1"/>
                  </w14:solidFill>
                </w14:textFill>
              </w:rPr>
              <w:t>出现以下情形造成的投标保证金无效，由投标人自行负责。</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(1)投标保证金未从投标人的基本账户转出；</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(2)投标保证金未按照招标文件划分的标段依次转账。</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color w:val="000000" w:themeColor="text1"/>
                <w:sz w:val="21"/>
                <w:szCs w:val="21"/>
                <w:u w:val="none"/>
                <w:lang w:eastAsia="zh-CN"/>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6、</w:t>
            </w:r>
            <w:r>
              <w:rPr>
                <w:rFonts w:hint="eastAsia" w:ascii="宋体" w:hAnsi="宋体" w:eastAsia="宋体" w:cs="宋体"/>
                <w:color w:val="000000" w:themeColor="text1"/>
                <w:sz w:val="21"/>
                <w:szCs w:val="21"/>
                <w:u w:val="none"/>
                <w14:textFill>
                  <w14:solidFill>
                    <w14:schemeClr w14:val="tx1"/>
                  </w14:solidFill>
                </w14:textFill>
              </w:rPr>
              <w:t>《保证金缴纳绑定操作指南》获取方法</w:t>
            </w:r>
            <w:r>
              <w:rPr>
                <w:rFonts w:hint="eastAsia" w:ascii="宋体" w:hAnsi="宋体" w:eastAsia="宋体" w:cs="宋体"/>
                <w:color w:val="000000" w:themeColor="text1"/>
                <w:sz w:val="21"/>
                <w:szCs w:val="21"/>
                <w:u w:val="none"/>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登录许昌公共资源交易系统-组件下载-《保证金缴纳绑定操作指南》</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7、</w:t>
            </w:r>
            <w:r>
              <w:rPr>
                <w:rFonts w:hint="eastAsia" w:ascii="宋体" w:hAnsi="宋体" w:eastAsia="宋体" w:cs="宋体"/>
                <w:color w:val="000000" w:themeColor="text1"/>
                <w:sz w:val="21"/>
                <w:szCs w:val="21"/>
                <w:u w:val="none"/>
                <w14:textFill>
                  <w14:solidFill>
                    <w14:schemeClr w14:val="tx1"/>
                  </w14:solidFill>
                </w14:textFill>
              </w:rPr>
              <w:t>投标人不按本章要求提交投标保证金的，拒收其投标文件。</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both"/>
              <w:textAlignment w:val="auto"/>
              <w:rPr>
                <w:rFonts w:hint="eastAsia" w:ascii="宋体" w:hAnsi="宋体" w:eastAsia="宋体" w:cs="宋体"/>
                <w:b/>
                <w:bCs/>
                <w:color w:val="000000" w:themeColor="text1"/>
                <w:sz w:val="21"/>
                <w:szCs w:val="21"/>
                <w:u w:val="none"/>
                <w14:textFill>
                  <w14:solidFill>
                    <w14:schemeClr w14:val="tx1"/>
                  </w14:solidFill>
                </w14:textFill>
              </w:rPr>
            </w:pPr>
            <w:r>
              <w:rPr>
                <w:rFonts w:hint="eastAsia" w:ascii="宋体" w:hAnsi="宋体" w:eastAsia="宋体" w:cs="宋体"/>
                <w:b/>
                <w:bCs/>
                <w:color w:val="000000" w:themeColor="text1"/>
                <w:sz w:val="21"/>
                <w:szCs w:val="21"/>
                <w:u w:val="none"/>
                <w:lang w:eastAsia="zh-CN"/>
                <w14:textFill>
                  <w14:solidFill>
                    <w14:schemeClr w14:val="tx1"/>
                  </w14:solidFill>
                </w14:textFill>
              </w:rPr>
              <w:t>三、</w:t>
            </w:r>
            <w:r>
              <w:rPr>
                <w:rFonts w:hint="eastAsia" w:ascii="宋体" w:hAnsi="宋体" w:eastAsia="宋体" w:cs="宋体"/>
                <w:b/>
                <w:bCs/>
                <w:color w:val="000000" w:themeColor="text1"/>
                <w:sz w:val="21"/>
                <w:szCs w:val="21"/>
                <w:u w:val="none"/>
                <w14:textFill>
                  <w14:solidFill>
                    <w14:schemeClr w14:val="tx1"/>
                  </w14:solidFill>
                </w14:textFill>
              </w:rPr>
              <w:t>投标保证金的退还：</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1、</w:t>
            </w:r>
            <w:r>
              <w:rPr>
                <w:rFonts w:hint="eastAsia" w:ascii="宋体" w:hAnsi="宋体" w:eastAsia="宋体" w:cs="宋体"/>
                <w:color w:val="000000" w:themeColor="text1"/>
                <w:sz w:val="21"/>
                <w:szCs w:val="21"/>
                <w:u w:val="none"/>
                <w14:textFill>
                  <w14:solidFill>
                    <w14:schemeClr w14:val="tx1"/>
                  </w14:solidFill>
                </w14:textFill>
              </w:rPr>
              <w:t>中标公示期满没有质疑或投诉的，5个工作日内退还非中标候选人投标保证金及银行同期活期存款利息。</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2、</w:t>
            </w:r>
            <w:r>
              <w:rPr>
                <w:rFonts w:hint="eastAsia" w:ascii="宋体" w:hAnsi="宋体" w:eastAsia="宋体" w:cs="宋体"/>
                <w:color w:val="000000" w:themeColor="text1"/>
                <w:sz w:val="21"/>
                <w:szCs w:val="21"/>
                <w:u w:val="none"/>
                <w14:textFill>
                  <w14:solidFill>
                    <w14:schemeClr w14:val="tx1"/>
                  </w14:solidFill>
                </w14:textFill>
              </w:rPr>
              <w:t>在书面合同签订5个工作日内向中标人和其他中标候选人退还投标保证金及银行同期活期存款利息；法定期限内未签订书面合同的，按照有关规定退还其投标保证金。及银行同期活期存款利息。</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3、</w:t>
            </w:r>
            <w:r>
              <w:rPr>
                <w:rFonts w:hint="eastAsia" w:ascii="宋体" w:hAnsi="宋体" w:eastAsia="宋体" w:cs="宋体"/>
                <w:color w:val="000000" w:themeColor="text1"/>
                <w:sz w:val="21"/>
                <w:szCs w:val="21"/>
                <w:u w:val="none"/>
                <w14:textFill>
                  <w14:solidFill>
                    <w14:schemeClr w14:val="tx1"/>
                  </w14:solidFill>
                </w14:textFill>
              </w:rPr>
              <w:t>项目废标或招标人终止招标的，在此后5个工作日内退还投标保证金及银行同期活期存利息。</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4、</w:t>
            </w:r>
            <w:r>
              <w:rPr>
                <w:rFonts w:hint="eastAsia" w:ascii="宋体" w:hAnsi="宋体" w:eastAsia="宋体" w:cs="宋体"/>
                <w:color w:val="000000" w:themeColor="text1"/>
                <w:sz w:val="21"/>
                <w:szCs w:val="21"/>
                <w:u w:val="none"/>
                <w14:textFill>
                  <w14:solidFill>
                    <w14:schemeClr w14:val="tx1"/>
                  </w14:solidFill>
                </w14:textFill>
              </w:rPr>
              <w:t>投标活动中出现质疑、投诉的，中标候选人、质疑人和被质疑人、投诉人和被投诉人的投标保证金暂停退还。</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5、</w:t>
            </w:r>
            <w:r>
              <w:rPr>
                <w:rFonts w:hint="eastAsia" w:ascii="宋体" w:hAnsi="宋体" w:eastAsia="宋体" w:cs="宋体"/>
                <w:color w:val="000000" w:themeColor="text1"/>
                <w:sz w:val="21"/>
                <w:szCs w:val="21"/>
                <w:u w:val="none"/>
                <w14:textFill>
                  <w14:solidFill>
                    <w14:schemeClr w14:val="tx1"/>
                  </w14:solidFill>
                </w14:textFill>
              </w:rPr>
              <w:t>相关投标人有违法违规行为的项目，其投标保证金暂不退还，待行政监督部门对相关情况处置后，按照有关规定办理。</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6、</w:t>
            </w:r>
            <w:r>
              <w:rPr>
                <w:rFonts w:hint="eastAsia" w:ascii="宋体" w:hAnsi="宋体" w:eastAsia="宋体" w:cs="宋体"/>
                <w:color w:val="000000" w:themeColor="text1"/>
                <w:sz w:val="21"/>
                <w:szCs w:val="21"/>
                <w:u w:val="none"/>
                <w14:textFill>
                  <w14:solidFill>
                    <w14:schemeClr w14:val="tx1"/>
                  </w14:solidFill>
                </w14:textFill>
              </w:rPr>
              <w:t>退还投标保证金，除另有规定外，一般以转账方式一次性退还至投标保证金的原提交账户。</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7、</w:t>
            </w:r>
            <w:r>
              <w:rPr>
                <w:rFonts w:hint="eastAsia" w:ascii="宋体" w:hAnsi="宋体" w:eastAsia="宋体" w:cs="宋体"/>
                <w:color w:val="000000" w:themeColor="text1"/>
                <w:sz w:val="21"/>
                <w:szCs w:val="21"/>
                <w:u w:val="none"/>
                <w14:textFill>
                  <w14:solidFill>
                    <w14:schemeClr w14:val="tx1"/>
                  </w14:solidFill>
                </w14:textFill>
              </w:rPr>
              <w:t>投标人有下列情形之一的，不予退还投标保证金：</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lang w:eastAsia="zh-CN"/>
                <w14:textFill>
                  <w14:solidFill>
                    <w14:schemeClr w14:val="tx1"/>
                  </w14:solidFill>
                </w14:textFill>
              </w:rPr>
              <w:t>（</w:t>
            </w:r>
            <w:r>
              <w:rPr>
                <w:rFonts w:hint="eastAsia" w:ascii="宋体" w:hAnsi="宋体" w:eastAsia="宋体" w:cs="宋体"/>
                <w:color w:val="000000" w:themeColor="text1"/>
                <w:sz w:val="21"/>
                <w:szCs w:val="21"/>
                <w:u w:val="none"/>
                <w:lang w:val="en-US" w:eastAsia="zh-CN"/>
                <w14:textFill>
                  <w14:solidFill>
                    <w14:schemeClr w14:val="tx1"/>
                  </w14:solidFill>
                </w14:textFill>
              </w:rPr>
              <w:t>1</w:t>
            </w:r>
            <w:r>
              <w:rPr>
                <w:rFonts w:hint="eastAsia" w:ascii="宋体" w:hAnsi="宋体" w:eastAsia="宋体" w:cs="宋体"/>
                <w:color w:val="000000" w:themeColor="text1"/>
                <w:sz w:val="21"/>
                <w:szCs w:val="21"/>
                <w:u w:val="none"/>
                <w:lang w:eastAsia="zh-CN"/>
                <w14:textFill>
                  <w14:solidFill>
                    <w14:schemeClr w14:val="tx1"/>
                  </w14:solidFill>
                </w14:textFill>
              </w:rPr>
              <w:t>）</w:t>
            </w:r>
            <w:r>
              <w:rPr>
                <w:rFonts w:hint="eastAsia" w:ascii="宋体" w:hAnsi="宋体" w:eastAsia="宋体" w:cs="宋体"/>
                <w:color w:val="000000" w:themeColor="text1"/>
                <w:sz w:val="21"/>
                <w:szCs w:val="21"/>
                <w:u w:val="none"/>
                <w14:textFill>
                  <w14:solidFill>
                    <w14:schemeClr w14:val="tx1"/>
                  </w14:solidFill>
                </w14:textFill>
              </w:rPr>
              <w:t xml:space="preserve">在招标文件要求提交招标文件的截止时间后至招标文件有效期满前撤回投标的； </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lang w:eastAsia="zh-CN"/>
                <w14:textFill>
                  <w14:solidFill>
                    <w14:schemeClr w14:val="tx1"/>
                  </w14:solidFill>
                </w14:textFill>
              </w:rPr>
              <w:t>（</w:t>
            </w:r>
            <w:r>
              <w:rPr>
                <w:rFonts w:hint="eastAsia" w:ascii="宋体" w:hAnsi="宋体" w:eastAsia="宋体" w:cs="宋体"/>
                <w:color w:val="000000" w:themeColor="text1"/>
                <w:sz w:val="21"/>
                <w:szCs w:val="21"/>
                <w:u w:val="none"/>
                <w:lang w:val="en-US" w:eastAsia="zh-CN"/>
                <w14:textFill>
                  <w14:solidFill>
                    <w14:schemeClr w14:val="tx1"/>
                  </w14:solidFill>
                </w14:textFill>
              </w:rPr>
              <w:t>2</w:t>
            </w:r>
            <w:r>
              <w:rPr>
                <w:rFonts w:hint="eastAsia" w:ascii="宋体" w:hAnsi="宋体" w:eastAsia="宋体" w:cs="宋体"/>
                <w:color w:val="000000" w:themeColor="text1"/>
                <w:sz w:val="21"/>
                <w:szCs w:val="21"/>
                <w:u w:val="none"/>
                <w:lang w:eastAsia="zh-CN"/>
                <w14:textFill>
                  <w14:solidFill>
                    <w14:schemeClr w14:val="tx1"/>
                  </w14:solidFill>
                </w14:textFill>
              </w:rPr>
              <w:t>）</w:t>
            </w:r>
            <w:r>
              <w:rPr>
                <w:rFonts w:hint="eastAsia" w:ascii="宋体" w:hAnsi="宋体" w:eastAsia="宋体" w:cs="宋体"/>
                <w:color w:val="000000" w:themeColor="text1"/>
                <w:sz w:val="21"/>
                <w:szCs w:val="21"/>
                <w:u w:val="none"/>
                <w14:textFill>
                  <w14:solidFill>
                    <w14:schemeClr w14:val="tx1"/>
                  </w14:solidFill>
                </w14:textFill>
              </w:rPr>
              <w:t xml:space="preserve">中标通知书发出后，中标人无故放弃中标项目或无正当理由在规定时间内不与招标人签订合同或未按招标文件规定提交履约担保的； </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lang w:eastAsia="zh-CN"/>
                <w14:textFill>
                  <w14:solidFill>
                    <w14:schemeClr w14:val="tx1"/>
                  </w14:solidFill>
                </w14:textFill>
              </w:rPr>
              <w:t>（</w:t>
            </w:r>
            <w:r>
              <w:rPr>
                <w:rFonts w:hint="eastAsia" w:ascii="宋体" w:hAnsi="宋体" w:eastAsia="宋体" w:cs="宋体"/>
                <w:color w:val="000000" w:themeColor="text1"/>
                <w:sz w:val="21"/>
                <w:szCs w:val="21"/>
                <w:u w:val="none"/>
                <w:lang w:val="en-US" w:eastAsia="zh-CN"/>
                <w14:textFill>
                  <w14:solidFill>
                    <w14:schemeClr w14:val="tx1"/>
                  </w14:solidFill>
                </w14:textFill>
              </w:rPr>
              <w:t>3</w:t>
            </w:r>
            <w:r>
              <w:rPr>
                <w:rFonts w:hint="eastAsia" w:ascii="宋体" w:hAnsi="宋体" w:eastAsia="宋体" w:cs="宋体"/>
                <w:color w:val="000000" w:themeColor="text1"/>
                <w:sz w:val="21"/>
                <w:szCs w:val="21"/>
                <w:u w:val="none"/>
                <w:lang w:eastAsia="zh-CN"/>
                <w14:textFill>
                  <w14:solidFill>
                    <w14:schemeClr w14:val="tx1"/>
                  </w14:solidFill>
                </w14:textFill>
              </w:rPr>
              <w:t>）</w:t>
            </w:r>
            <w:r>
              <w:rPr>
                <w:rFonts w:hint="eastAsia" w:ascii="宋体" w:hAnsi="宋体" w:eastAsia="宋体" w:cs="宋体"/>
                <w:color w:val="000000" w:themeColor="text1"/>
                <w:sz w:val="21"/>
                <w:szCs w:val="21"/>
                <w:u w:val="none"/>
                <w14:textFill>
                  <w14:solidFill>
                    <w14:schemeClr w14:val="tx1"/>
                  </w14:solidFill>
                </w14:textFill>
              </w:rPr>
              <w:t xml:space="preserve">将中标项目转让给他人，或者在投标文件中未说明，且未经招标人同意，将中标项目分包给他人的； </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lang w:eastAsia="zh-CN"/>
                <w14:textFill>
                  <w14:solidFill>
                    <w14:schemeClr w14:val="tx1"/>
                  </w14:solidFill>
                </w14:textFill>
              </w:rPr>
              <w:t>（</w:t>
            </w:r>
            <w:r>
              <w:rPr>
                <w:rFonts w:hint="eastAsia" w:ascii="宋体" w:hAnsi="宋体" w:eastAsia="宋体" w:cs="宋体"/>
                <w:color w:val="000000" w:themeColor="text1"/>
                <w:sz w:val="21"/>
                <w:szCs w:val="21"/>
                <w:u w:val="none"/>
                <w:lang w:val="en-US" w:eastAsia="zh-CN"/>
                <w14:textFill>
                  <w14:solidFill>
                    <w14:schemeClr w14:val="tx1"/>
                  </w14:solidFill>
                </w14:textFill>
              </w:rPr>
              <w:t>4</w:t>
            </w:r>
            <w:r>
              <w:rPr>
                <w:rFonts w:hint="eastAsia" w:ascii="宋体" w:hAnsi="宋体" w:eastAsia="宋体" w:cs="宋体"/>
                <w:color w:val="000000" w:themeColor="text1"/>
                <w:sz w:val="21"/>
                <w:szCs w:val="21"/>
                <w:u w:val="none"/>
                <w:lang w:eastAsia="zh-CN"/>
                <w14:textFill>
                  <w14:solidFill>
                    <w14:schemeClr w14:val="tx1"/>
                  </w14:solidFill>
                </w14:textFill>
              </w:rPr>
              <w:t>）</w:t>
            </w:r>
            <w:r>
              <w:rPr>
                <w:rFonts w:hint="eastAsia" w:ascii="宋体" w:hAnsi="宋体" w:eastAsia="宋体" w:cs="宋体"/>
                <w:color w:val="000000" w:themeColor="text1"/>
                <w:sz w:val="21"/>
                <w:szCs w:val="21"/>
                <w:u w:val="none"/>
                <w14:textFill>
                  <w14:solidFill>
                    <w14:schemeClr w14:val="tx1"/>
                  </w14:solidFill>
                </w14:textFill>
              </w:rPr>
              <w:t xml:space="preserve">投标人在招投标活动中弄虚作假、围标串标，骗取中标并经招投标行政监督部门调查核实的； </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lang w:eastAsia="zh-CN"/>
                <w14:textFill>
                  <w14:solidFill>
                    <w14:schemeClr w14:val="tx1"/>
                  </w14:solidFill>
                </w14:textFill>
              </w:rPr>
              <w:t>（</w:t>
            </w:r>
            <w:r>
              <w:rPr>
                <w:rFonts w:hint="eastAsia" w:ascii="宋体" w:hAnsi="宋体" w:eastAsia="宋体" w:cs="宋体"/>
                <w:color w:val="000000" w:themeColor="text1"/>
                <w:sz w:val="21"/>
                <w:szCs w:val="21"/>
                <w:u w:val="none"/>
                <w:lang w:val="en-US" w:eastAsia="zh-CN"/>
                <w14:textFill>
                  <w14:solidFill>
                    <w14:schemeClr w14:val="tx1"/>
                  </w14:solidFill>
                </w14:textFill>
              </w:rPr>
              <w:t>5</w:t>
            </w:r>
            <w:r>
              <w:rPr>
                <w:rFonts w:hint="eastAsia" w:ascii="宋体" w:hAnsi="宋体" w:eastAsia="宋体" w:cs="宋体"/>
                <w:color w:val="000000" w:themeColor="text1"/>
                <w:sz w:val="21"/>
                <w:szCs w:val="21"/>
                <w:u w:val="none"/>
                <w:lang w:eastAsia="zh-CN"/>
                <w14:textFill>
                  <w14:solidFill>
                    <w14:schemeClr w14:val="tx1"/>
                  </w14:solidFill>
                </w14:textFill>
              </w:rPr>
              <w:t>）</w:t>
            </w:r>
            <w:r>
              <w:rPr>
                <w:rFonts w:hint="eastAsia" w:ascii="宋体" w:hAnsi="宋体" w:eastAsia="宋体" w:cs="宋体"/>
                <w:color w:val="000000" w:themeColor="text1"/>
                <w:sz w:val="21"/>
                <w:szCs w:val="21"/>
                <w:u w:val="none"/>
                <w14:textFill>
                  <w14:solidFill>
                    <w14:schemeClr w14:val="tx1"/>
                  </w14:solidFill>
                </w14:textFill>
              </w:rPr>
              <w:t>拒绝履行合同义务的；</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u w:val="none"/>
                <w:lang w:eastAsia="zh-CN"/>
                <w14:textFill>
                  <w14:solidFill>
                    <w14:schemeClr w14:val="tx1"/>
                  </w14:solidFill>
                </w14:textFill>
              </w:rPr>
              <w:t>（</w:t>
            </w:r>
            <w:r>
              <w:rPr>
                <w:rFonts w:hint="eastAsia" w:ascii="宋体" w:hAnsi="宋体" w:eastAsia="宋体" w:cs="宋体"/>
                <w:color w:val="000000" w:themeColor="text1"/>
                <w:sz w:val="21"/>
                <w:szCs w:val="21"/>
                <w:u w:val="none"/>
                <w:lang w:val="en-US" w:eastAsia="zh-CN"/>
                <w14:textFill>
                  <w14:solidFill>
                    <w14:schemeClr w14:val="tx1"/>
                  </w14:solidFill>
                </w14:textFill>
              </w:rPr>
              <w:t>6</w:t>
            </w:r>
            <w:r>
              <w:rPr>
                <w:rFonts w:hint="eastAsia" w:ascii="宋体" w:hAnsi="宋体" w:eastAsia="宋体" w:cs="宋体"/>
                <w:color w:val="000000" w:themeColor="text1"/>
                <w:sz w:val="21"/>
                <w:szCs w:val="21"/>
                <w:u w:val="none"/>
                <w:lang w:eastAsia="zh-CN"/>
                <w14:textFill>
                  <w14:solidFill>
                    <w14:schemeClr w14:val="tx1"/>
                  </w14:solidFill>
                </w14:textFill>
              </w:rPr>
              <w:t>）</w:t>
            </w:r>
            <w:r>
              <w:rPr>
                <w:rFonts w:hint="eastAsia" w:ascii="宋体" w:hAnsi="宋体" w:eastAsia="宋体" w:cs="宋体"/>
                <w:color w:val="000000" w:themeColor="text1"/>
                <w:sz w:val="21"/>
                <w:szCs w:val="21"/>
                <w:highlight w:val="none"/>
                <w:u w:val="none"/>
                <w14:textFill>
                  <w14:solidFill>
                    <w14:schemeClr w14:val="tx1"/>
                  </w14:solidFill>
                </w14:textFill>
              </w:rPr>
              <w:t>无故未按时参见开标会议的</w:t>
            </w:r>
            <w:r>
              <w:rPr>
                <w:rFonts w:hint="eastAsia" w:ascii="宋体" w:hAnsi="宋体" w:eastAsia="宋体" w:cs="宋体"/>
                <w:color w:val="000000" w:themeColor="text1"/>
                <w:sz w:val="21"/>
                <w:szCs w:val="21"/>
                <w:highlight w:val="none"/>
                <w:u w:val="none"/>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lang w:eastAsia="zh-CN"/>
                <w14:textFill>
                  <w14:solidFill>
                    <w14:schemeClr w14:val="tx1"/>
                  </w14:solidFill>
                </w14:textFill>
              </w:rPr>
              <w:t>（</w:t>
            </w:r>
            <w:r>
              <w:rPr>
                <w:rFonts w:hint="eastAsia" w:ascii="宋体" w:hAnsi="宋体" w:eastAsia="宋体" w:cs="宋体"/>
                <w:color w:val="000000" w:themeColor="text1"/>
                <w:sz w:val="21"/>
                <w:szCs w:val="21"/>
                <w:u w:val="none"/>
                <w:lang w:val="en-US" w:eastAsia="zh-CN"/>
                <w14:textFill>
                  <w14:solidFill>
                    <w14:schemeClr w14:val="tx1"/>
                  </w14:solidFill>
                </w14:textFill>
              </w:rPr>
              <w:t>7</w:t>
            </w:r>
            <w:r>
              <w:rPr>
                <w:rFonts w:hint="eastAsia" w:ascii="宋体" w:hAnsi="宋体" w:eastAsia="宋体" w:cs="宋体"/>
                <w:color w:val="000000" w:themeColor="text1"/>
                <w:sz w:val="21"/>
                <w:szCs w:val="21"/>
                <w:u w:val="none"/>
                <w:lang w:eastAsia="zh-CN"/>
                <w14:textFill>
                  <w14:solidFill>
                    <w14:schemeClr w14:val="tx1"/>
                  </w14:solidFill>
                </w14:textFill>
              </w:rPr>
              <w:t>）</w:t>
            </w:r>
            <w:r>
              <w:rPr>
                <w:rFonts w:hint="eastAsia" w:ascii="宋体" w:hAnsi="宋体" w:eastAsia="宋体" w:cs="宋体"/>
                <w:color w:val="000000" w:themeColor="text1"/>
                <w:sz w:val="21"/>
                <w:szCs w:val="21"/>
                <w:u w:val="none"/>
                <w14:textFill>
                  <w14:solidFill>
                    <w14:schemeClr w14:val="tx1"/>
                  </w14:solidFill>
                </w14:textFill>
              </w:rPr>
              <w:t>相关法律、法规规定不予退还的其它情形。</w:t>
            </w:r>
          </w:p>
          <w:p>
            <w:pPr>
              <w:widowControl/>
              <w:spacing w:line="460" w:lineRule="exact"/>
              <w:rPr>
                <w:rFonts w:ascii="宋体" w:hAnsi="宋体" w:eastAsia="宋体" w:cs="宋体"/>
                <w:szCs w:val="21"/>
              </w:rPr>
            </w:pPr>
            <w:r>
              <w:rPr>
                <w:rFonts w:hint="eastAsia" w:ascii="宋体" w:hAnsi="宋体" w:eastAsia="宋体" w:cs="宋体"/>
                <w:color w:val="000000" w:themeColor="text1"/>
                <w:sz w:val="21"/>
                <w:szCs w:val="21"/>
                <w:u w:val="none"/>
                <w:lang w:eastAsia="zh-CN"/>
                <w14:textFill>
                  <w14:solidFill>
                    <w14:schemeClr w14:val="tx1"/>
                  </w14:solidFill>
                </w14:textFill>
              </w:rPr>
              <w:t>（</w:t>
            </w:r>
            <w:r>
              <w:rPr>
                <w:rFonts w:hint="eastAsia" w:ascii="宋体" w:hAnsi="宋体" w:eastAsia="宋体" w:cs="宋体"/>
                <w:color w:val="000000" w:themeColor="text1"/>
                <w:sz w:val="21"/>
                <w:szCs w:val="21"/>
                <w:u w:val="none"/>
                <w:lang w:val="en-US" w:eastAsia="zh-CN"/>
                <w14:textFill>
                  <w14:solidFill>
                    <w14:schemeClr w14:val="tx1"/>
                  </w14:solidFill>
                </w14:textFill>
              </w:rPr>
              <w:t>8</w:t>
            </w:r>
            <w:r>
              <w:rPr>
                <w:rFonts w:hint="eastAsia" w:ascii="宋体" w:hAnsi="宋体" w:eastAsia="宋体" w:cs="宋体"/>
                <w:color w:val="000000" w:themeColor="text1"/>
                <w:sz w:val="21"/>
                <w:szCs w:val="21"/>
                <w:u w:val="none"/>
                <w:lang w:eastAsia="zh-CN"/>
                <w14:textFill>
                  <w14:solidFill>
                    <w14:schemeClr w14:val="tx1"/>
                  </w14:solidFill>
                </w14:textFill>
              </w:rPr>
              <w:t>）</w:t>
            </w:r>
            <w:r>
              <w:rPr>
                <w:rFonts w:hint="eastAsia" w:ascii="宋体" w:hAnsi="宋体" w:eastAsia="宋体" w:cs="宋体"/>
                <w:color w:val="000000" w:themeColor="text1"/>
                <w:sz w:val="21"/>
                <w:szCs w:val="21"/>
                <w:u w:val="none"/>
                <w14:textFill>
                  <w14:solidFill>
                    <w14:schemeClr w14:val="tx1"/>
                  </w14:solidFill>
                </w14:textFill>
              </w:rPr>
              <w:t>自2017年10月16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1721" w:type="dxa"/>
            <w:vAlign w:val="center"/>
          </w:tcPr>
          <w:p>
            <w:pPr>
              <w:spacing w:line="460" w:lineRule="exact"/>
              <w:jc w:val="center"/>
              <w:rPr>
                <w:rFonts w:ascii="宋体" w:hAnsi="宋体" w:eastAsia="宋体" w:cs="宋体"/>
                <w:b/>
                <w:szCs w:val="21"/>
              </w:rPr>
            </w:pPr>
            <w:r>
              <w:rPr>
                <w:rFonts w:hint="eastAsia" w:ascii="宋体" w:hAnsi="宋体" w:eastAsia="宋体" w:cs="宋体"/>
                <w:b/>
                <w:kern w:val="0"/>
                <w:szCs w:val="21"/>
              </w:rPr>
              <w:t>开标时间和地点</w:t>
            </w:r>
          </w:p>
        </w:tc>
        <w:tc>
          <w:tcPr>
            <w:tcW w:w="7559" w:type="dxa"/>
            <w:vAlign w:val="center"/>
          </w:tcPr>
          <w:p>
            <w:pPr>
              <w:spacing w:line="460" w:lineRule="exact"/>
              <w:rPr>
                <w:rFonts w:ascii="宋体" w:hAnsi="宋体" w:eastAsia="宋体" w:cs="宋体"/>
                <w:szCs w:val="21"/>
              </w:rPr>
            </w:pPr>
            <w:r>
              <w:rPr>
                <w:rFonts w:hint="eastAsia" w:ascii="宋体" w:hAnsi="宋体" w:eastAsia="宋体" w:cs="宋体"/>
                <w:szCs w:val="21"/>
              </w:rPr>
              <w:t>开标时间：</w:t>
            </w:r>
            <w:r>
              <w:rPr>
                <w:rFonts w:hint="eastAsia" w:ascii="宋体" w:hAnsi="宋体" w:eastAsia="宋体" w:cs="宋体"/>
                <w:szCs w:val="21"/>
                <w:u w:val="single"/>
                <w:lang w:val="en-US" w:eastAsia="zh-CN"/>
              </w:rPr>
              <w:t>2018</w:t>
            </w:r>
            <w:r>
              <w:rPr>
                <w:rFonts w:hint="eastAsia" w:ascii="宋体" w:hAnsi="宋体" w:eastAsia="宋体" w:cs="宋体"/>
                <w:szCs w:val="21"/>
              </w:rPr>
              <w:t>年</w:t>
            </w:r>
            <w:r>
              <w:rPr>
                <w:rFonts w:hint="eastAsia" w:ascii="宋体" w:hAnsi="宋体" w:eastAsia="宋体" w:cs="宋体"/>
                <w:szCs w:val="21"/>
                <w:u w:val="single"/>
                <w:lang w:val="en-US" w:eastAsia="zh-CN"/>
              </w:rPr>
              <w:t xml:space="preserve"> 1</w:t>
            </w:r>
            <w:r>
              <w:rPr>
                <w:rFonts w:hint="eastAsia" w:ascii="宋体" w:hAnsi="宋体" w:eastAsia="宋体" w:cs="宋体"/>
                <w:szCs w:val="21"/>
              </w:rPr>
              <w:t>月</w:t>
            </w:r>
            <w:r>
              <w:rPr>
                <w:rFonts w:hint="eastAsia" w:ascii="宋体" w:hAnsi="宋体" w:eastAsia="宋体" w:cs="宋体"/>
                <w:szCs w:val="21"/>
                <w:u w:val="single"/>
                <w:lang w:val="en-US" w:eastAsia="zh-CN"/>
              </w:rPr>
              <w:t xml:space="preserve"> 3</w:t>
            </w:r>
            <w:r>
              <w:rPr>
                <w:rFonts w:hint="eastAsia" w:ascii="宋体" w:hAnsi="宋体" w:eastAsia="宋体" w:cs="宋体"/>
                <w:szCs w:val="21"/>
              </w:rPr>
              <w:t>日</w:t>
            </w:r>
            <w:r>
              <w:rPr>
                <w:rFonts w:hint="eastAsia" w:ascii="宋体" w:hAnsi="宋体" w:eastAsia="宋体" w:cs="宋体"/>
                <w:szCs w:val="21"/>
                <w:u w:val="single"/>
              </w:rPr>
              <w:t>09：00</w:t>
            </w:r>
            <w:r>
              <w:rPr>
                <w:rFonts w:hint="eastAsia" w:ascii="宋体" w:hAnsi="宋体" w:eastAsia="宋体" w:cs="宋体"/>
                <w:szCs w:val="21"/>
              </w:rPr>
              <w:t>分（北京时间）。</w:t>
            </w:r>
          </w:p>
          <w:p>
            <w:pPr>
              <w:spacing w:line="460" w:lineRule="exact"/>
              <w:rPr>
                <w:rFonts w:ascii="宋体" w:hAnsi="宋体" w:eastAsia="宋体" w:cs="宋体"/>
                <w:kern w:val="0"/>
                <w:szCs w:val="21"/>
              </w:rPr>
            </w:pPr>
            <w:r>
              <w:rPr>
                <w:rFonts w:hint="eastAsia" w:ascii="宋体" w:hAnsi="宋体" w:eastAsia="宋体" w:cs="宋体"/>
                <w:szCs w:val="21"/>
              </w:rPr>
              <w:t>开标地点：鄢陵县公共资源交易中心（S219（鄢陶路）与未来大道交叉口鄢陵创客园院内南楼四楼开标</w:t>
            </w:r>
            <w:r>
              <w:rPr>
                <w:rFonts w:hint="eastAsia" w:ascii="宋体" w:hAnsi="宋体" w:eastAsia="宋体" w:cs="宋体"/>
                <w:szCs w:val="21"/>
                <w:u w:val="single"/>
              </w:rPr>
              <w:t>二</w:t>
            </w:r>
            <w:r>
              <w:rPr>
                <w:rFonts w:hint="eastAsia" w:ascii="宋体" w:hAnsi="宋体" w:eastAsia="宋体" w:cs="宋体"/>
                <w:szCs w:val="21"/>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721" w:type="dxa"/>
            <w:vAlign w:val="center"/>
          </w:tcPr>
          <w:p>
            <w:pPr>
              <w:autoSpaceDE w:val="0"/>
              <w:autoSpaceDN w:val="0"/>
              <w:adjustRightInd w:val="0"/>
              <w:spacing w:line="460" w:lineRule="exact"/>
              <w:jc w:val="center"/>
              <w:rPr>
                <w:rFonts w:ascii="宋体" w:hAnsi="宋体" w:eastAsia="宋体" w:cs="宋体"/>
                <w:b/>
                <w:kern w:val="0"/>
                <w:szCs w:val="21"/>
              </w:rPr>
            </w:pPr>
            <w:r>
              <w:rPr>
                <w:rFonts w:hint="eastAsia" w:ascii="宋体" w:hAnsi="宋体" w:eastAsia="宋体" w:cs="宋体"/>
                <w:b/>
                <w:kern w:val="0"/>
                <w:szCs w:val="21"/>
              </w:rPr>
              <w:t>供应商对招标文件有异议的提出与受理</w:t>
            </w:r>
          </w:p>
        </w:tc>
        <w:tc>
          <w:tcPr>
            <w:tcW w:w="7559" w:type="dxa"/>
            <w:vAlign w:val="center"/>
          </w:tcPr>
          <w:p>
            <w:pPr>
              <w:autoSpaceDE w:val="0"/>
              <w:autoSpaceDN w:val="0"/>
              <w:adjustRightInd w:val="0"/>
              <w:spacing w:line="460" w:lineRule="exact"/>
              <w:rPr>
                <w:rFonts w:ascii="宋体" w:hAnsi="宋体" w:eastAsia="宋体" w:cs="宋体"/>
                <w:kern w:val="0"/>
                <w:szCs w:val="21"/>
              </w:rPr>
            </w:pPr>
            <w:r>
              <w:rPr>
                <w:rFonts w:hint="eastAsia" w:ascii="宋体" w:hAnsi="宋体" w:eastAsia="宋体" w:cs="宋体"/>
                <w:szCs w:val="21"/>
              </w:rPr>
              <w:t>供应商对招标文件有异议的应当在发布招标文件之日起七个工作日内通过公共资源交易系统平台发出，采购人或采购代理机构应当自收到异议之日起三个工作日内作出答复。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1721" w:type="dxa"/>
            <w:vAlign w:val="center"/>
          </w:tcPr>
          <w:p>
            <w:pPr>
              <w:spacing w:line="460" w:lineRule="exact"/>
              <w:jc w:val="center"/>
              <w:rPr>
                <w:rFonts w:ascii="宋体" w:hAnsi="宋体" w:eastAsia="宋体" w:cs="宋体"/>
                <w:b/>
                <w:szCs w:val="21"/>
              </w:rPr>
            </w:pPr>
            <w:r>
              <w:rPr>
                <w:rFonts w:hint="eastAsia" w:ascii="宋体" w:hAnsi="宋体" w:eastAsia="宋体" w:cs="宋体"/>
                <w:b/>
                <w:szCs w:val="21"/>
              </w:rPr>
              <w:t>评标委员会组成</w:t>
            </w:r>
          </w:p>
        </w:tc>
        <w:tc>
          <w:tcPr>
            <w:tcW w:w="7559" w:type="dxa"/>
            <w:vAlign w:val="center"/>
          </w:tcPr>
          <w:p>
            <w:pPr>
              <w:autoSpaceDE w:val="0"/>
              <w:autoSpaceDN w:val="0"/>
              <w:adjustRightInd w:val="0"/>
              <w:spacing w:line="460" w:lineRule="exact"/>
              <w:jc w:val="left"/>
              <w:rPr>
                <w:rFonts w:ascii="宋体" w:hAnsi="宋体" w:eastAsia="宋体" w:cs="宋体"/>
                <w:kern w:val="0"/>
                <w:szCs w:val="21"/>
              </w:rPr>
            </w:pPr>
            <w:r>
              <w:rPr>
                <w:rFonts w:hint="eastAsia" w:ascii="宋体" w:hAnsi="宋体" w:eastAsia="宋体" w:cs="宋体"/>
                <w:kern w:val="0"/>
                <w:szCs w:val="21"/>
              </w:rPr>
              <w:t>评标委员会构成：由采购人代表和相关经济、技术等方面的评审专家</w:t>
            </w:r>
            <w:r>
              <w:rPr>
                <w:rFonts w:hint="eastAsia" w:ascii="宋体" w:hAnsi="宋体" w:eastAsia="宋体" w:cs="宋体"/>
                <w:bCs/>
                <w:szCs w:val="21"/>
              </w:rPr>
              <w:t>共5人组成。</w:t>
            </w:r>
          </w:p>
          <w:p>
            <w:pPr>
              <w:autoSpaceDE w:val="0"/>
              <w:autoSpaceDN w:val="0"/>
              <w:adjustRightInd w:val="0"/>
              <w:spacing w:line="460" w:lineRule="exact"/>
              <w:rPr>
                <w:rFonts w:ascii="宋体" w:hAnsi="宋体" w:eastAsia="宋体" w:cs="宋体"/>
                <w:kern w:val="0"/>
                <w:szCs w:val="21"/>
              </w:rPr>
            </w:pPr>
            <w:r>
              <w:rPr>
                <w:rFonts w:hint="eastAsia" w:ascii="宋体" w:hAnsi="宋体" w:eastAsia="宋体" w:cs="宋体"/>
                <w:kern w:val="0"/>
                <w:szCs w:val="21"/>
              </w:rPr>
              <w:t>评标专家确定方式：</w:t>
            </w:r>
            <w:r>
              <w:rPr>
                <w:rFonts w:hint="eastAsia" w:ascii="宋体" w:hAnsi="宋体" w:eastAsia="宋体" w:cs="宋体"/>
                <w:color w:val="auto"/>
                <w:szCs w:val="21"/>
                <w:lang w:eastAsia="zh-CN"/>
              </w:rPr>
              <w:t>评</w:t>
            </w:r>
            <w:r>
              <w:rPr>
                <w:rFonts w:hint="eastAsia" w:ascii="宋体" w:hAnsi="宋体" w:eastAsia="宋体" w:cs="宋体"/>
                <w:szCs w:val="21"/>
              </w:rPr>
              <w:t>标前从相关专家库中随机抽取。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1721" w:type="dxa"/>
            <w:vAlign w:val="center"/>
          </w:tcPr>
          <w:p>
            <w:pPr>
              <w:autoSpaceDE w:val="0"/>
              <w:autoSpaceDN w:val="0"/>
              <w:adjustRightInd w:val="0"/>
              <w:spacing w:line="460" w:lineRule="exact"/>
              <w:jc w:val="left"/>
              <w:rPr>
                <w:rFonts w:ascii="宋体" w:hAnsi="宋体" w:eastAsia="宋体" w:cs="宋体"/>
                <w:b/>
                <w:kern w:val="0"/>
                <w:szCs w:val="21"/>
              </w:rPr>
            </w:pPr>
            <w:r>
              <w:rPr>
                <w:rFonts w:hint="eastAsia" w:ascii="宋体" w:hAnsi="宋体" w:eastAsia="宋体" w:cs="宋体"/>
                <w:b/>
                <w:kern w:val="0"/>
                <w:szCs w:val="21"/>
              </w:rPr>
              <w:t>履约担保</w:t>
            </w:r>
          </w:p>
        </w:tc>
        <w:tc>
          <w:tcPr>
            <w:tcW w:w="7559" w:type="dxa"/>
            <w:vAlign w:val="center"/>
          </w:tcPr>
          <w:p>
            <w:pPr>
              <w:autoSpaceDE w:val="0"/>
              <w:autoSpaceDN w:val="0"/>
              <w:adjustRightInd w:val="0"/>
              <w:spacing w:line="460" w:lineRule="exact"/>
              <w:jc w:val="left"/>
              <w:rPr>
                <w:rFonts w:ascii="宋体" w:hAnsi="宋体" w:eastAsia="宋体" w:cs="宋体"/>
                <w:kern w:val="0"/>
                <w:szCs w:val="21"/>
              </w:rPr>
            </w:pPr>
            <w:r>
              <w:rPr>
                <w:rFonts w:hint="eastAsia" w:ascii="宋体" w:hAnsi="宋体" w:eastAsia="宋体" w:cs="宋体"/>
                <w:kern w:val="0"/>
                <w:szCs w:val="21"/>
              </w:rPr>
              <w:t>本项目不适用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9280" w:type="dxa"/>
            <w:gridSpan w:val="2"/>
            <w:vAlign w:val="center"/>
          </w:tcPr>
          <w:p>
            <w:pPr>
              <w:widowControl/>
              <w:spacing w:line="460" w:lineRule="exact"/>
              <w:rPr>
                <w:rFonts w:ascii="宋体" w:hAnsi="宋体" w:eastAsia="宋体" w:cs="宋体"/>
                <w:kern w:val="0"/>
                <w:szCs w:val="21"/>
              </w:rPr>
            </w:pPr>
            <w:r>
              <w:rPr>
                <w:rFonts w:hint="eastAsia" w:ascii="宋体" w:hAnsi="宋体" w:eastAsia="宋体" w:cs="宋体"/>
                <w:kern w:val="0"/>
                <w:szCs w:val="21"/>
              </w:rPr>
              <w:t>需要补充的其它内容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9280" w:type="dxa"/>
            <w:gridSpan w:val="2"/>
            <w:vAlign w:val="center"/>
          </w:tcPr>
          <w:p>
            <w:pPr>
              <w:widowControl/>
              <w:spacing w:line="460" w:lineRule="exact"/>
              <w:rPr>
                <w:rFonts w:ascii="宋体" w:hAnsi="宋体" w:eastAsia="宋体" w:cs="宋体"/>
                <w:kern w:val="0"/>
                <w:szCs w:val="21"/>
              </w:rPr>
            </w:pPr>
            <w:r>
              <w:rPr>
                <w:rFonts w:hint="eastAsia" w:ascii="宋体" w:hAnsi="宋体" w:eastAsia="宋体" w:cs="宋体"/>
                <w:szCs w:val="21"/>
              </w:rPr>
              <w:t>1、供应商代表出席开标会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721" w:type="dxa"/>
            <w:vAlign w:val="center"/>
          </w:tcPr>
          <w:p>
            <w:pPr>
              <w:widowControl/>
              <w:spacing w:line="460" w:lineRule="exact"/>
              <w:rPr>
                <w:rFonts w:ascii="宋体" w:hAnsi="宋体" w:eastAsia="宋体" w:cs="宋体"/>
                <w:kern w:val="0"/>
                <w:szCs w:val="21"/>
              </w:rPr>
            </w:pPr>
          </w:p>
        </w:tc>
        <w:tc>
          <w:tcPr>
            <w:tcW w:w="7559" w:type="dxa"/>
            <w:vAlign w:val="center"/>
          </w:tcPr>
          <w:p>
            <w:pPr>
              <w:spacing w:line="460" w:lineRule="exact"/>
              <w:rPr>
                <w:rFonts w:ascii="宋体" w:hAnsi="宋体" w:eastAsia="宋体" w:cs="宋体"/>
                <w:szCs w:val="21"/>
              </w:rPr>
            </w:pPr>
            <w:r>
              <w:rPr>
                <w:rFonts w:hint="eastAsia" w:ascii="宋体" w:hAnsi="宋体" w:eastAsia="宋体" w:cs="宋体"/>
                <w:szCs w:val="21"/>
              </w:rPr>
              <w:t>1、供应商的法定代表人应持法人代表证明和有效身份证明参加开标会议,委托他人参加的，须持有效委托书原件，委托书应当载明委托事项权限及有效期等主要内容。</w:t>
            </w:r>
          </w:p>
          <w:p>
            <w:pPr>
              <w:widowControl/>
              <w:spacing w:line="460" w:lineRule="exact"/>
              <w:rPr>
                <w:rFonts w:ascii="宋体" w:hAnsi="宋体" w:eastAsia="宋体" w:cs="宋体"/>
                <w:kern w:val="0"/>
                <w:szCs w:val="21"/>
              </w:rPr>
            </w:pPr>
            <w:r>
              <w:rPr>
                <w:rFonts w:hint="eastAsia" w:ascii="宋体" w:hAnsi="宋体" w:eastAsia="宋体" w:cs="宋体"/>
                <w:szCs w:val="21"/>
              </w:rPr>
              <w:t>2、法定代表人（或授权委托人）不按规定参加开标会议的，视为放弃投标。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9280" w:type="dxa"/>
            <w:gridSpan w:val="2"/>
            <w:vAlign w:val="center"/>
          </w:tcPr>
          <w:p>
            <w:pPr>
              <w:widowControl/>
              <w:spacing w:line="460" w:lineRule="exact"/>
              <w:rPr>
                <w:rFonts w:ascii="宋体" w:hAnsi="宋体" w:eastAsia="宋体" w:cs="宋体"/>
                <w:kern w:val="0"/>
                <w:szCs w:val="21"/>
              </w:rPr>
            </w:pPr>
            <w:r>
              <w:rPr>
                <w:rFonts w:hint="eastAsia" w:ascii="宋体" w:hAnsi="宋体" w:eastAsia="宋体" w:cs="宋体"/>
                <w:kern w:val="0"/>
                <w:szCs w:val="21"/>
              </w:rPr>
              <w:t>2、投标文件的拒收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6" w:hRule="atLeast"/>
          <w:jc w:val="center"/>
        </w:trPr>
        <w:tc>
          <w:tcPr>
            <w:tcW w:w="1721" w:type="dxa"/>
            <w:vAlign w:val="center"/>
          </w:tcPr>
          <w:p>
            <w:pPr>
              <w:widowControl/>
              <w:spacing w:line="460" w:lineRule="exact"/>
              <w:rPr>
                <w:rFonts w:ascii="宋体" w:hAnsi="宋体" w:eastAsia="宋体" w:cs="宋体"/>
                <w:kern w:val="0"/>
                <w:szCs w:val="21"/>
              </w:rPr>
            </w:pPr>
          </w:p>
        </w:tc>
        <w:tc>
          <w:tcPr>
            <w:tcW w:w="7559" w:type="dxa"/>
            <w:vAlign w:val="center"/>
          </w:tcPr>
          <w:p>
            <w:pPr>
              <w:autoSpaceDE w:val="0"/>
              <w:autoSpaceDN w:val="0"/>
              <w:adjustRightInd w:val="0"/>
              <w:spacing w:line="460" w:lineRule="exact"/>
              <w:jc w:val="left"/>
              <w:rPr>
                <w:rFonts w:ascii="宋体" w:hAnsi="宋体" w:eastAsia="宋体" w:cs="宋体"/>
                <w:bCs/>
                <w:kern w:val="0"/>
                <w:szCs w:val="21"/>
              </w:rPr>
            </w:pPr>
            <w:r>
              <w:rPr>
                <w:rFonts w:hint="eastAsia" w:ascii="宋体" w:hAnsi="宋体" w:eastAsia="宋体" w:cs="宋体"/>
                <w:bCs/>
                <w:kern w:val="0"/>
                <w:szCs w:val="21"/>
              </w:rPr>
              <w:t>1、法定代表人未携带身份证明原件或委托代理人未携带委托书原件和身份证明原件在规定的时间出席开标现场的，其投标文件将被拒收；</w:t>
            </w:r>
          </w:p>
          <w:p>
            <w:pPr>
              <w:autoSpaceDE w:val="0"/>
              <w:autoSpaceDN w:val="0"/>
              <w:adjustRightInd w:val="0"/>
              <w:spacing w:line="460" w:lineRule="exact"/>
              <w:jc w:val="left"/>
              <w:rPr>
                <w:rFonts w:ascii="宋体" w:hAnsi="宋体" w:eastAsia="宋体" w:cs="宋体"/>
                <w:bCs/>
                <w:kern w:val="0"/>
                <w:szCs w:val="21"/>
              </w:rPr>
            </w:pPr>
            <w:r>
              <w:rPr>
                <w:rFonts w:hint="eastAsia" w:ascii="宋体" w:hAnsi="宋体" w:eastAsia="宋体" w:cs="宋体"/>
                <w:bCs/>
                <w:kern w:val="0"/>
                <w:szCs w:val="21"/>
              </w:rPr>
              <w:t>2、投标文件未按要求密封的，其投标文件将被拒收。</w:t>
            </w:r>
          </w:p>
          <w:p>
            <w:pPr>
              <w:autoSpaceDE w:val="0"/>
              <w:autoSpaceDN w:val="0"/>
              <w:adjustRightInd w:val="0"/>
              <w:spacing w:line="460" w:lineRule="exact"/>
              <w:jc w:val="left"/>
              <w:rPr>
                <w:rFonts w:ascii="宋体" w:hAnsi="宋体" w:eastAsia="宋体" w:cs="宋体"/>
                <w:bCs/>
                <w:kern w:val="0"/>
                <w:szCs w:val="21"/>
              </w:rPr>
            </w:pPr>
            <w:r>
              <w:rPr>
                <w:rFonts w:hint="eastAsia" w:ascii="宋体" w:hAnsi="宋体" w:eastAsia="宋体" w:cs="宋体"/>
                <w:bCs/>
                <w:kern w:val="0"/>
                <w:szCs w:val="21"/>
              </w:rPr>
              <w:t>3、逾期送达的或者未送达指定地点的投标文件将被拒收。</w:t>
            </w:r>
          </w:p>
          <w:p>
            <w:pPr>
              <w:autoSpaceDE w:val="0"/>
              <w:autoSpaceDN w:val="0"/>
              <w:adjustRightInd w:val="0"/>
              <w:spacing w:line="460" w:lineRule="exact"/>
              <w:jc w:val="left"/>
              <w:rPr>
                <w:rFonts w:ascii="宋体" w:hAnsi="宋体" w:eastAsia="宋体" w:cs="宋体"/>
                <w:bCs/>
                <w:kern w:val="0"/>
                <w:szCs w:val="21"/>
              </w:rPr>
            </w:pPr>
            <w:r>
              <w:rPr>
                <w:rFonts w:hint="eastAsia" w:ascii="宋体" w:hAnsi="宋体" w:eastAsia="宋体" w:cs="宋体"/>
                <w:bCs/>
                <w:kern w:val="0"/>
                <w:szCs w:val="21"/>
              </w:rPr>
              <w:t>4、未按招标文件要求缴纳投标保证金的，其投标文件将被拒收。</w:t>
            </w:r>
          </w:p>
          <w:p>
            <w:pPr>
              <w:autoSpaceDE w:val="0"/>
              <w:autoSpaceDN w:val="0"/>
              <w:adjustRightInd w:val="0"/>
              <w:spacing w:line="460" w:lineRule="exact"/>
              <w:jc w:val="left"/>
              <w:rPr>
                <w:rFonts w:ascii="宋体" w:hAnsi="宋体" w:eastAsia="宋体" w:cs="宋体"/>
                <w:bCs/>
                <w:kern w:val="0"/>
                <w:szCs w:val="21"/>
              </w:rPr>
            </w:pPr>
            <w:r>
              <w:rPr>
                <w:rFonts w:hint="eastAsia" w:ascii="宋体" w:hAnsi="宋体" w:eastAsia="宋体" w:cs="宋体"/>
                <w:bCs/>
                <w:kern w:val="0"/>
                <w:szCs w:val="21"/>
              </w:rPr>
              <w:t>5、开标时到场的投标企业与许昌市公共资源交易保证金系统下载的有效匹配成功的缴纳保证金名单不一致的。</w:t>
            </w:r>
          </w:p>
          <w:p>
            <w:pPr>
              <w:autoSpaceDE w:val="0"/>
              <w:autoSpaceDN w:val="0"/>
              <w:adjustRightInd w:val="0"/>
              <w:spacing w:line="460" w:lineRule="exact"/>
              <w:jc w:val="left"/>
              <w:rPr>
                <w:rFonts w:ascii="宋体" w:hAnsi="宋体" w:eastAsia="宋体" w:cs="宋体"/>
                <w:bCs/>
                <w:kern w:val="0"/>
                <w:szCs w:val="21"/>
              </w:rPr>
            </w:pPr>
            <w:r>
              <w:rPr>
                <w:rFonts w:hint="eastAsia" w:ascii="宋体" w:hAnsi="宋体" w:eastAsia="宋体" w:cs="宋体"/>
                <w:bCs/>
                <w:kern w:val="0"/>
                <w:szCs w:val="21"/>
              </w:rPr>
              <w:t>6、未按照规定支付招标文件费用的，其投标文件将被拒收。</w:t>
            </w:r>
          </w:p>
          <w:p>
            <w:pPr>
              <w:spacing w:line="460" w:lineRule="exact"/>
              <w:jc w:val="left"/>
              <w:rPr>
                <w:rFonts w:ascii="宋体" w:hAnsi="宋体" w:eastAsia="宋体" w:cs="宋体"/>
                <w:bCs/>
                <w:kern w:val="0"/>
                <w:szCs w:val="21"/>
              </w:rPr>
            </w:pPr>
            <w:r>
              <w:rPr>
                <w:rFonts w:hint="eastAsia" w:ascii="宋体" w:hAnsi="宋体" w:eastAsia="宋体" w:cs="宋体"/>
                <w:bCs/>
                <w:kern w:val="0"/>
                <w:szCs w:val="21"/>
              </w:rPr>
              <w:t>7、未通过许昌公共资源交易网上下载招标文件的，其投标文件将被拒收。</w:t>
            </w:r>
          </w:p>
          <w:p>
            <w:pPr>
              <w:spacing w:line="460" w:lineRule="exact"/>
              <w:jc w:val="left"/>
              <w:rPr>
                <w:rFonts w:ascii="宋体" w:hAnsi="宋体" w:eastAsia="宋体" w:cs="宋体"/>
                <w:b/>
                <w:kern w:val="0"/>
                <w:szCs w:val="21"/>
              </w:rPr>
            </w:pPr>
            <w:r>
              <w:rPr>
                <w:rFonts w:hint="eastAsia" w:ascii="宋体" w:hAnsi="宋体" w:eastAsia="宋体" w:cs="宋体"/>
                <w:b/>
                <w:bCs/>
                <w:kern w:val="0"/>
                <w:szCs w:val="21"/>
              </w:rPr>
              <w:t>8、未提供未被列入失信被执行人、政府采购严重违法失信行为记录名单的供应商【通过“信用中国”网站（http://www.ccgp.gov.cn）</w:t>
            </w:r>
            <w:r>
              <w:rPr>
                <w:rFonts w:hint="eastAsia" w:ascii="宋体" w:hAnsi="宋体" w:eastAsia="宋体" w:cs="宋体"/>
                <w:b/>
                <w:bCs/>
                <w:color w:val="auto"/>
                <w:kern w:val="0"/>
                <w:szCs w:val="21"/>
                <w:lang w:eastAsia="zh-CN"/>
              </w:rPr>
              <w:t>或</w:t>
            </w:r>
            <w:r>
              <w:rPr>
                <w:rFonts w:hint="eastAsia" w:ascii="宋体" w:hAnsi="宋体" w:eastAsia="宋体" w:cs="宋体"/>
                <w:b/>
                <w:bCs/>
                <w:kern w:val="0"/>
                <w:szCs w:val="21"/>
              </w:rPr>
              <w:t>河南省政府采购网（http://hngp.gov.cn）查询其信用记录】（提交投标文件时需提供网页截图并加盖公章附到投标文件中）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9280" w:type="dxa"/>
            <w:gridSpan w:val="2"/>
            <w:vAlign w:val="center"/>
          </w:tcPr>
          <w:p>
            <w:pPr>
              <w:widowControl/>
              <w:spacing w:line="460" w:lineRule="exact"/>
              <w:rPr>
                <w:rFonts w:ascii="宋体" w:hAnsi="宋体" w:eastAsia="宋体" w:cs="宋体"/>
                <w:kern w:val="0"/>
                <w:szCs w:val="21"/>
              </w:rPr>
            </w:pPr>
            <w:r>
              <w:rPr>
                <w:rFonts w:hint="eastAsia" w:ascii="宋体" w:hAnsi="宋体" w:eastAsia="宋体" w:cs="宋体"/>
                <w:kern w:val="0"/>
                <w:szCs w:val="21"/>
              </w:rPr>
              <w:t>3、招标代理费及进场交易费的收取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jc w:val="center"/>
        </w:trPr>
        <w:tc>
          <w:tcPr>
            <w:tcW w:w="1721" w:type="dxa"/>
            <w:vAlign w:val="center"/>
          </w:tcPr>
          <w:p>
            <w:pPr>
              <w:autoSpaceDE w:val="0"/>
              <w:autoSpaceDN w:val="0"/>
              <w:adjustRightInd w:val="0"/>
              <w:spacing w:line="460" w:lineRule="exact"/>
              <w:rPr>
                <w:rFonts w:ascii="宋体" w:hAnsi="宋体" w:eastAsia="宋体" w:cs="宋体"/>
                <w:b/>
                <w:kern w:val="0"/>
                <w:szCs w:val="21"/>
              </w:rPr>
            </w:pPr>
          </w:p>
        </w:tc>
        <w:tc>
          <w:tcPr>
            <w:tcW w:w="7559" w:type="dxa"/>
            <w:vAlign w:val="center"/>
          </w:tcPr>
          <w:p>
            <w:pPr>
              <w:autoSpaceDE w:val="0"/>
              <w:autoSpaceDN w:val="0"/>
              <w:adjustRightInd w:val="0"/>
              <w:spacing w:line="460" w:lineRule="exact"/>
              <w:rPr>
                <w:rFonts w:ascii="宋体" w:hAnsi="宋体" w:eastAsia="宋体" w:cs="宋体"/>
                <w:kern w:val="0"/>
                <w:szCs w:val="21"/>
              </w:rPr>
            </w:pPr>
            <w:r>
              <w:rPr>
                <w:rFonts w:hint="eastAsia" w:ascii="宋体" w:hAnsi="宋体" w:eastAsia="宋体" w:cs="宋体"/>
                <w:kern w:val="0"/>
                <w:szCs w:val="21"/>
              </w:rPr>
              <w:t>招标代理服务费的收取标准及支付程序：按照《招标代理服务收费管理暂行办法》国家发改委[2011]534号文及【国发改办价格（2003）857号】招标代理收费规定，由中标人支付招标代理服务费。</w:t>
            </w:r>
          </w:p>
        </w:tc>
      </w:tr>
    </w:tbl>
    <w:p>
      <w:bookmarkStart w:id="10" w:name="_Toc1867"/>
    </w:p>
    <w:p>
      <w:pPr>
        <w:tabs>
          <w:tab w:val="left" w:pos="5835"/>
        </w:tabs>
        <w:spacing w:line="460" w:lineRule="exact"/>
        <w:outlineLvl w:val="1"/>
        <w:rPr>
          <w:rFonts w:ascii="宋体" w:hAnsi="宋体" w:eastAsia="宋体" w:cs="宋体"/>
          <w:sz w:val="24"/>
          <w:szCs w:val="24"/>
        </w:rPr>
      </w:pPr>
      <w:r>
        <w:rPr>
          <w:rFonts w:hint="eastAsia" w:ascii="宋体" w:hAnsi="宋体" w:eastAsia="宋体" w:cs="宋体"/>
          <w:b/>
          <w:sz w:val="24"/>
          <w:szCs w:val="24"/>
        </w:rPr>
        <w:t>A 说明和释义</w:t>
      </w:r>
      <w:bookmarkEnd w:id="10"/>
      <w:r>
        <w:rPr>
          <w:rFonts w:hint="eastAsia" w:ascii="宋体" w:hAnsi="宋体" w:eastAsia="宋体" w:cs="宋体"/>
          <w:b/>
          <w:sz w:val="24"/>
          <w:szCs w:val="24"/>
        </w:rPr>
        <w:tab/>
      </w:r>
    </w:p>
    <w:p>
      <w:pPr>
        <w:autoSpaceDE w:val="0"/>
        <w:autoSpaceDN w:val="0"/>
        <w:adjustRightInd w:val="0"/>
        <w:spacing w:line="460" w:lineRule="exact"/>
        <w:jc w:val="left"/>
        <w:rPr>
          <w:rFonts w:ascii="宋体" w:hAnsi="宋体" w:eastAsia="宋体" w:cs="宋体"/>
          <w:sz w:val="24"/>
          <w:szCs w:val="24"/>
        </w:rPr>
      </w:pPr>
      <w:r>
        <w:rPr>
          <w:rFonts w:hint="eastAsia" w:ascii="宋体" w:hAnsi="宋体" w:eastAsia="宋体" w:cs="宋体"/>
          <w:sz w:val="24"/>
          <w:szCs w:val="24"/>
          <w:lang w:val="zh-CN"/>
        </w:rPr>
        <w:t>1.适用范围</w:t>
      </w:r>
    </w:p>
    <w:p>
      <w:pPr>
        <w:autoSpaceDE w:val="0"/>
        <w:autoSpaceDN w:val="0"/>
        <w:adjustRightInd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lang w:val="zh-CN"/>
        </w:rPr>
        <w:t>本招标文件仅适用于本次招标项目。</w:t>
      </w:r>
    </w:p>
    <w:p>
      <w:pPr>
        <w:autoSpaceDE w:val="0"/>
        <w:autoSpaceDN w:val="0"/>
        <w:adjustRightInd w:val="0"/>
        <w:spacing w:line="460" w:lineRule="exact"/>
        <w:jc w:val="left"/>
        <w:rPr>
          <w:rFonts w:ascii="宋体" w:hAnsi="宋体" w:eastAsia="宋体" w:cs="宋体"/>
          <w:sz w:val="24"/>
          <w:szCs w:val="24"/>
        </w:rPr>
      </w:pPr>
      <w:r>
        <w:rPr>
          <w:rFonts w:hint="eastAsia" w:ascii="宋体" w:hAnsi="宋体" w:eastAsia="宋体" w:cs="宋体"/>
          <w:sz w:val="24"/>
          <w:szCs w:val="24"/>
          <w:lang w:val="zh-CN"/>
        </w:rPr>
        <w:t>2.定义</w:t>
      </w:r>
    </w:p>
    <w:p>
      <w:pPr>
        <w:autoSpaceDE w:val="0"/>
        <w:autoSpaceDN w:val="0"/>
        <w:adjustRightInd w:val="0"/>
        <w:spacing w:line="460" w:lineRule="exact"/>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2.1“采购人”系指本项目采购的单位，受采购人委托组织本次招标的是河南鑫盈招标代理有限公司。</w:t>
      </w:r>
    </w:p>
    <w:p>
      <w:pPr>
        <w:autoSpaceDE w:val="0"/>
        <w:autoSpaceDN w:val="0"/>
        <w:adjustRightInd w:val="0"/>
        <w:spacing w:line="460" w:lineRule="exact"/>
        <w:ind w:firstLine="480" w:firstLineChars="200"/>
        <w:rPr>
          <w:rFonts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 xml:space="preserve">2“供应商”系指向采购人提交投标文件的供应商（公司或企业）。    </w:t>
      </w:r>
    </w:p>
    <w:p>
      <w:pPr>
        <w:autoSpaceDE w:val="0"/>
        <w:autoSpaceDN w:val="0"/>
        <w:adjustRightInd w:val="0"/>
        <w:spacing w:line="460" w:lineRule="exact"/>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2.3“项目” 系指供应商按招标文件规定，须向采购方提供的货物或服务。</w:t>
      </w:r>
    </w:p>
    <w:p>
      <w:pPr>
        <w:autoSpaceDE w:val="0"/>
        <w:autoSpaceDN w:val="0"/>
        <w:adjustRightInd w:val="0"/>
        <w:spacing w:line="460" w:lineRule="exact"/>
        <w:rPr>
          <w:rFonts w:ascii="宋体" w:hAnsi="宋体" w:eastAsia="宋体" w:cs="宋体"/>
          <w:sz w:val="24"/>
          <w:szCs w:val="24"/>
        </w:rPr>
      </w:pPr>
      <w:r>
        <w:rPr>
          <w:rFonts w:hint="eastAsia" w:ascii="宋体" w:hAnsi="宋体" w:eastAsia="宋体" w:cs="宋体"/>
          <w:sz w:val="24"/>
          <w:szCs w:val="24"/>
          <w:lang w:val="zh-CN"/>
        </w:rPr>
        <w:t>3.合格的供应商：</w:t>
      </w:r>
    </w:p>
    <w:p>
      <w:pPr>
        <w:autoSpaceDE w:val="0"/>
        <w:autoSpaceDN w:val="0"/>
        <w:adjustRightInd w:val="0"/>
        <w:spacing w:line="460" w:lineRule="exact"/>
        <w:ind w:firstLine="480" w:firstLineChars="200"/>
        <w:rPr>
          <w:rFonts w:ascii="宋体" w:hAnsi="宋体" w:eastAsia="宋体" w:cs="宋体"/>
          <w:sz w:val="24"/>
          <w:szCs w:val="24"/>
        </w:rPr>
      </w:pPr>
      <w:r>
        <w:rPr>
          <w:rFonts w:hint="eastAsia" w:ascii="宋体" w:hAnsi="宋体" w:eastAsia="宋体" w:cs="宋体"/>
          <w:sz w:val="24"/>
          <w:szCs w:val="24"/>
          <w:lang w:val="zh-CN"/>
        </w:rPr>
        <w:t>详见招标公告第3条。</w:t>
      </w:r>
    </w:p>
    <w:p>
      <w:pPr>
        <w:autoSpaceDE w:val="0"/>
        <w:autoSpaceDN w:val="0"/>
        <w:adjustRightInd w:val="0"/>
        <w:spacing w:line="460" w:lineRule="exact"/>
        <w:jc w:val="left"/>
        <w:rPr>
          <w:rFonts w:ascii="宋体" w:hAnsi="宋体" w:eastAsia="宋体" w:cs="宋体"/>
          <w:sz w:val="24"/>
          <w:szCs w:val="24"/>
        </w:rPr>
      </w:pPr>
      <w:r>
        <w:rPr>
          <w:rFonts w:hint="eastAsia" w:ascii="宋体" w:hAnsi="宋体" w:eastAsia="宋体" w:cs="宋体"/>
          <w:sz w:val="24"/>
          <w:szCs w:val="24"/>
          <w:lang w:val="zh-CN"/>
        </w:rPr>
        <w:t>4.投标费用</w:t>
      </w:r>
    </w:p>
    <w:p>
      <w:pPr>
        <w:autoSpaceDE w:val="0"/>
        <w:autoSpaceDN w:val="0"/>
        <w:adjustRightInd w:val="0"/>
        <w:spacing w:line="460" w:lineRule="exact"/>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无论投标过程和结果如何，供应商自行承担与投标有关的全部费用。采购人在任何情况下均无义务和责任承担上述费用。</w:t>
      </w:r>
    </w:p>
    <w:p>
      <w:pPr>
        <w:tabs>
          <w:tab w:val="left" w:pos="5835"/>
        </w:tabs>
        <w:spacing w:line="460" w:lineRule="exact"/>
        <w:outlineLvl w:val="1"/>
        <w:rPr>
          <w:rFonts w:ascii="宋体" w:hAnsi="宋体" w:eastAsia="宋体" w:cs="宋体"/>
          <w:b/>
          <w:sz w:val="24"/>
          <w:szCs w:val="24"/>
        </w:rPr>
      </w:pPr>
      <w:bookmarkStart w:id="11" w:name="_Toc13616"/>
      <w:r>
        <w:rPr>
          <w:rFonts w:hint="eastAsia" w:ascii="宋体" w:hAnsi="宋体" w:eastAsia="宋体" w:cs="宋体"/>
          <w:b/>
          <w:sz w:val="24"/>
          <w:szCs w:val="24"/>
        </w:rPr>
        <w:t>B 招标文件说明</w:t>
      </w:r>
      <w:bookmarkEnd w:id="11"/>
    </w:p>
    <w:p>
      <w:pPr>
        <w:autoSpaceDE w:val="0"/>
        <w:autoSpaceDN w:val="0"/>
        <w:adjustRightInd w:val="0"/>
        <w:spacing w:line="460" w:lineRule="exact"/>
        <w:jc w:val="left"/>
        <w:rPr>
          <w:rFonts w:ascii="宋体" w:hAnsi="宋体" w:eastAsia="宋体" w:cs="宋体"/>
          <w:kern w:val="0"/>
          <w:sz w:val="24"/>
          <w:szCs w:val="24"/>
          <w:lang w:val="zh-CN"/>
        </w:rPr>
      </w:pPr>
      <w:r>
        <w:rPr>
          <w:rFonts w:hint="eastAsia" w:ascii="宋体" w:hAnsi="宋体" w:eastAsia="宋体" w:cs="宋体"/>
          <w:sz w:val="24"/>
          <w:szCs w:val="24"/>
          <w:lang w:val="zh-CN"/>
        </w:rPr>
        <w:t>5.</w:t>
      </w:r>
      <w:r>
        <w:rPr>
          <w:rFonts w:hint="eastAsia" w:ascii="宋体" w:hAnsi="宋体" w:eastAsia="宋体" w:cs="宋体"/>
          <w:kern w:val="0"/>
          <w:sz w:val="24"/>
          <w:szCs w:val="24"/>
          <w:lang w:val="zh-CN"/>
        </w:rPr>
        <w:t>招标文件的组成</w:t>
      </w:r>
    </w:p>
    <w:p>
      <w:pPr>
        <w:autoSpaceDE w:val="0"/>
        <w:autoSpaceDN w:val="0"/>
        <w:adjustRightInd w:val="0"/>
        <w:spacing w:line="46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lang w:val="zh-CN"/>
        </w:rPr>
        <w:t>5.1招标文件用以阐明采购所需的货物或服务，以及招标投标程序和合同条款。招标文件由下述部分组成：</w:t>
      </w:r>
    </w:p>
    <w:p>
      <w:pPr>
        <w:autoSpaceDE w:val="0"/>
        <w:autoSpaceDN w:val="0"/>
        <w:adjustRightInd w:val="0"/>
        <w:spacing w:line="460" w:lineRule="exact"/>
        <w:ind w:firstLine="480" w:firstLineChars="200"/>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5.1.1</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zh-CN"/>
        </w:rPr>
        <w:t xml:space="preserve">招标公告 </w:t>
      </w:r>
    </w:p>
    <w:p>
      <w:pPr>
        <w:autoSpaceDE w:val="0"/>
        <w:autoSpaceDN w:val="0"/>
        <w:adjustRightInd w:val="0"/>
        <w:spacing w:line="460" w:lineRule="exact"/>
        <w:ind w:firstLine="480" w:firstLineChars="200"/>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5.1.2</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zh-CN"/>
        </w:rPr>
        <w:t>项目需求及其它要求</w:t>
      </w:r>
    </w:p>
    <w:p>
      <w:pPr>
        <w:autoSpaceDE w:val="0"/>
        <w:autoSpaceDN w:val="0"/>
        <w:adjustRightInd w:val="0"/>
        <w:spacing w:line="460" w:lineRule="exact"/>
        <w:ind w:firstLine="480" w:firstLineChars="200"/>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5.1.3</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zh-CN"/>
        </w:rPr>
        <w:t>供应商须知</w:t>
      </w:r>
    </w:p>
    <w:p>
      <w:pPr>
        <w:autoSpaceDE w:val="0"/>
        <w:autoSpaceDN w:val="0"/>
        <w:adjustRightInd w:val="0"/>
        <w:spacing w:line="460" w:lineRule="exact"/>
        <w:ind w:firstLine="480" w:firstLineChars="200"/>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5.1.4</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zh-CN"/>
        </w:rPr>
        <w:t>评标办法</w:t>
      </w:r>
    </w:p>
    <w:p>
      <w:pPr>
        <w:autoSpaceDE w:val="0"/>
        <w:autoSpaceDN w:val="0"/>
        <w:adjustRightInd w:val="0"/>
        <w:spacing w:line="460" w:lineRule="exact"/>
        <w:ind w:firstLine="480" w:firstLineChars="200"/>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5.1.5</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zh-CN"/>
        </w:rPr>
        <w:t>合同样本</w:t>
      </w:r>
    </w:p>
    <w:p>
      <w:pPr>
        <w:autoSpaceDE w:val="0"/>
        <w:autoSpaceDN w:val="0"/>
        <w:adjustRightInd w:val="0"/>
        <w:spacing w:line="460" w:lineRule="exact"/>
        <w:ind w:firstLine="480" w:firstLineChars="200"/>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5.1.6</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zh-CN"/>
        </w:rPr>
        <w:t>附件</w:t>
      </w:r>
    </w:p>
    <w:p>
      <w:pPr>
        <w:adjustRightInd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5.2供应商应清楚招标文件应该直接从许昌公共资源交易网获取，未通过许昌公共资源交易网下载招标文件的供应商，其递交的投标文件将拒收。</w:t>
      </w:r>
    </w:p>
    <w:p>
      <w:pPr>
        <w:adjustRightInd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5.3本招标文件以许昌公共资源交易网发出的电子版招标文件为准，不出售或提供纸质版招标文件。</w:t>
      </w:r>
    </w:p>
    <w:p>
      <w:pPr>
        <w:autoSpaceDE w:val="0"/>
        <w:autoSpaceDN w:val="0"/>
        <w:adjustRightInd w:val="0"/>
        <w:spacing w:line="460" w:lineRule="exact"/>
        <w:rPr>
          <w:rFonts w:ascii="宋体" w:hAnsi="宋体" w:eastAsia="宋体" w:cs="宋体"/>
          <w:sz w:val="24"/>
          <w:szCs w:val="24"/>
          <w:lang w:val="zh-CN"/>
        </w:rPr>
      </w:pPr>
      <w:r>
        <w:rPr>
          <w:rFonts w:hint="eastAsia" w:ascii="宋体" w:hAnsi="宋体" w:eastAsia="宋体" w:cs="宋体"/>
          <w:sz w:val="24"/>
          <w:szCs w:val="24"/>
        </w:rPr>
        <w:t>6.</w:t>
      </w:r>
      <w:r>
        <w:rPr>
          <w:rFonts w:hint="eastAsia" w:ascii="宋体" w:hAnsi="宋体" w:eastAsia="宋体" w:cs="宋体"/>
          <w:sz w:val="24"/>
          <w:szCs w:val="24"/>
          <w:lang w:val="zh-CN"/>
        </w:rPr>
        <w:t>招标文件的澄清</w:t>
      </w:r>
    </w:p>
    <w:p>
      <w:pPr>
        <w:autoSpaceDE w:val="0"/>
        <w:autoSpaceDN w:val="0"/>
        <w:adjustRightInd w:val="0"/>
        <w:spacing w:line="460" w:lineRule="exact"/>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供应商对招标文件如有疑点，可要求澄清，应在投标截止时间前7天通过公共资源交易系统平台发出，如未提出异议，视为全面接受。</w:t>
      </w:r>
    </w:p>
    <w:p>
      <w:pPr>
        <w:autoSpaceDE w:val="0"/>
        <w:autoSpaceDN w:val="0"/>
        <w:adjustRightInd w:val="0"/>
        <w:spacing w:line="460" w:lineRule="exact"/>
        <w:rPr>
          <w:rFonts w:ascii="宋体" w:hAnsi="宋体" w:eastAsia="宋体" w:cs="宋体"/>
          <w:sz w:val="24"/>
          <w:szCs w:val="24"/>
          <w:lang w:val="zh-CN"/>
        </w:rPr>
      </w:pPr>
      <w:r>
        <w:rPr>
          <w:rFonts w:hint="eastAsia" w:ascii="宋体" w:hAnsi="宋体" w:eastAsia="宋体" w:cs="宋体"/>
          <w:sz w:val="24"/>
          <w:szCs w:val="24"/>
          <w:lang w:val="zh-CN"/>
        </w:rPr>
        <w:t>7.招标文件的修改</w:t>
      </w:r>
    </w:p>
    <w:p>
      <w:pPr>
        <w:autoSpaceDE w:val="0"/>
        <w:autoSpaceDN w:val="0"/>
        <w:adjustRightInd w:val="0"/>
        <w:spacing w:line="460" w:lineRule="exact"/>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7.1在投标截止日期前，采购人可以通过公共资源交易系统电子平台修改招标文件，为使供应商在准备投标文件时有合理的时间考虑招标文件的修改，采购人可酌情推迟投标截止时间和开标时间。</w:t>
      </w:r>
    </w:p>
    <w:p>
      <w:pPr>
        <w:autoSpaceDE w:val="0"/>
        <w:autoSpaceDN w:val="0"/>
        <w:adjustRightInd w:val="0"/>
        <w:spacing w:line="460" w:lineRule="exact"/>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7.2所有澄清、答疑全部以公共资源交易系统平台发出为准，不再接受书面形式的递交。</w:t>
      </w:r>
    </w:p>
    <w:p>
      <w:pPr>
        <w:adjustRightInd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7.3招标文件的修改书将构成招标文件的一部分，对供应商有约束力。</w:t>
      </w:r>
    </w:p>
    <w:p>
      <w:pPr>
        <w:tabs>
          <w:tab w:val="left" w:pos="5835"/>
        </w:tabs>
        <w:spacing w:line="460" w:lineRule="exact"/>
        <w:outlineLvl w:val="1"/>
        <w:rPr>
          <w:rFonts w:ascii="宋体" w:hAnsi="宋体" w:eastAsia="宋体" w:cs="宋体"/>
          <w:b/>
          <w:sz w:val="24"/>
          <w:szCs w:val="24"/>
        </w:rPr>
      </w:pPr>
      <w:bookmarkStart w:id="12" w:name="_Toc14678"/>
      <w:r>
        <w:rPr>
          <w:rFonts w:hint="eastAsia" w:ascii="宋体" w:hAnsi="宋体" w:eastAsia="宋体" w:cs="宋体"/>
          <w:b/>
          <w:sz w:val="24"/>
          <w:szCs w:val="24"/>
        </w:rPr>
        <w:t>C投标文件的编写和说明</w:t>
      </w:r>
      <w:bookmarkEnd w:id="12"/>
    </w:p>
    <w:p>
      <w:pPr>
        <w:autoSpaceDE w:val="0"/>
        <w:autoSpaceDN w:val="0"/>
        <w:adjustRightInd w:val="0"/>
        <w:spacing w:line="460" w:lineRule="exact"/>
        <w:ind w:firstLine="480" w:firstLineChars="200"/>
        <w:rPr>
          <w:rFonts w:ascii="宋体" w:hAnsi="宋体" w:eastAsia="宋体" w:cs="宋体"/>
          <w:sz w:val="24"/>
          <w:szCs w:val="24"/>
        </w:rPr>
      </w:pPr>
      <w:r>
        <w:rPr>
          <w:rFonts w:hint="eastAsia" w:ascii="宋体" w:hAnsi="宋体" w:eastAsia="宋体" w:cs="宋体"/>
          <w:sz w:val="24"/>
          <w:szCs w:val="24"/>
          <w:lang w:val="zh-CN"/>
        </w:rPr>
        <w:t>供应商应仔细阅读招标文件的所有内容，按本文件的要求提供投标文件，并保证所提供的全部资料的真实性，以使其投标文件对本文件作出实质性响应，否则，其投标文件将被视为无效投标文件。</w:t>
      </w:r>
    </w:p>
    <w:p>
      <w:pPr>
        <w:autoSpaceDE w:val="0"/>
        <w:autoSpaceDN w:val="0"/>
        <w:adjustRightInd w:val="0"/>
        <w:spacing w:line="460" w:lineRule="exact"/>
        <w:rPr>
          <w:rFonts w:ascii="宋体" w:hAnsi="宋体" w:eastAsia="宋体" w:cs="宋体"/>
          <w:sz w:val="24"/>
          <w:szCs w:val="24"/>
        </w:rPr>
      </w:pPr>
      <w:r>
        <w:rPr>
          <w:rFonts w:hint="eastAsia" w:ascii="宋体" w:hAnsi="宋体" w:eastAsia="宋体" w:cs="宋体"/>
          <w:sz w:val="24"/>
          <w:szCs w:val="24"/>
        </w:rPr>
        <w:t>8.投标文件书写、计量单位使用等</w:t>
      </w:r>
    </w:p>
    <w:p>
      <w:pPr>
        <w:autoSpaceDE w:val="0"/>
        <w:autoSpaceDN w:val="0"/>
        <w:adjustRightInd w:val="0"/>
        <w:spacing w:line="460" w:lineRule="exact"/>
        <w:ind w:firstLine="480" w:firstLineChars="200"/>
        <w:rPr>
          <w:rFonts w:ascii="宋体" w:hAnsi="宋体" w:eastAsia="宋体" w:cs="宋体"/>
          <w:sz w:val="24"/>
          <w:szCs w:val="24"/>
        </w:rPr>
      </w:pPr>
      <w:r>
        <w:rPr>
          <w:rFonts w:hint="eastAsia" w:ascii="宋体" w:hAnsi="宋体" w:eastAsia="宋体" w:cs="宋体"/>
          <w:sz w:val="24"/>
          <w:szCs w:val="24"/>
          <w:lang w:val="zh-CN"/>
        </w:rPr>
        <w:t>8.1投标文件及供应商与投标有关的来往通知、函件和文件均应使用中文。</w:t>
      </w:r>
    </w:p>
    <w:p>
      <w:pPr>
        <w:autoSpaceDE w:val="0"/>
        <w:autoSpaceDN w:val="0"/>
        <w:adjustRightInd w:val="0"/>
        <w:spacing w:line="460" w:lineRule="exact"/>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8.2除在招标文件的技术规格中另有规定外，计量单位应使用中华人民共和国法定计量单位（国际单位制和国家选定的其他计量单位）。</w:t>
      </w:r>
    </w:p>
    <w:p>
      <w:pPr>
        <w:autoSpaceDE w:val="0"/>
        <w:autoSpaceDN w:val="0"/>
        <w:adjustRightInd w:val="0"/>
        <w:spacing w:line="460" w:lineRule="exact"/>
        <w:ind w:firstLine="480" w:firstLineChars="200"/>
        <w:rPr>
          <w:rFonts w:ascii="宋体" w:hAnsi="宋体" w:eastAsia="宋体" w:cs="宋体"/>
          <w:sz w:val="24"/>
          <w:szCs w:val="24"/>
        </w:rPr>
      </w:pPr>
      <w:r>
        <w:rPr>
          <w:rFonts w:hint="eastAsia" w:ascii="宋体" w:hAnsi="宋体" w:eastAsia="宋体" w:cs="宋体"/>
          <w:sz w:val="24"/>
          <w:szCs w:val="24"/>
          <w:lang w:val="zh-CN"/>
        </w:rPr>
        <w:t>8.3供应商应按本文件中提供的文件格式、内容和要求制作投标文件。投标文件应</w:t>
      </w:r>
      <w:r>
        <w:rPr>
          <w:rFonts w:hint="eastAsia" w:ascii="宋体" w:hAnsi="宋体" w:eastAsia="宋体" w:cs="宋体"/>
          <w:sz w:val="24"/>
          <w:szCs w:val="24"/>
        </w:rPr>
        <w:t>胶装方式</w:t>
      </w:r>
      <w:r>
        <w:rPr>
          <w:rFonts w:hint="eastAsia" w:ascii="宋体" w:hAnsi="宋体" w:eastAsia="宋体" w:cs="宋体"/>
          <w:sz w:val="24"/>
          <w:szCs w:val="24"/>
          <w:lang w:val="zh-CN"/>
        </w:rPr>
        <w:t>装订成册。</w:t>
      </w:r>
    </w:p>
    <w:p>
      <w:pPr>
        <w:autoSpaceDE w:val="0"/>
        <w:autoSpaceDN w:val="0"/>
        <w:adjustRightInd w:val="0"/>
        <w:spacing w:line="460" w:lineRule="exact"/>
        <w:rPr>
          <w:rFonts w:ascii="宋体" w:hAnsi="宋体" w:eastAsia="宋体" w:cs="宋体"/>
          <w:sz w:val="24"/>
          <w:szCs w:val="24"/>
        </w:rPr>
      </w:pPr>
      <w:r>
        <w:rPr>
          <w:rFonts w:hint="eastAsia" w:ascii="宋体" w:hAnsi="宋体" w:eastAsia="宋体" w:cs="宋体"/>
          <w:sz w:val="24"/>
          <w:szCs w:val="24"/>
          <w:lang w:val="zh-CN"/>
        </w:rPr>
        <w:t>9.投标文件的组成</w:t>
      </w:r>
    </w:p>
    <w:p>
      <w:pPr>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9.1见附件。</w:t>
      </w:r>
    </w:p>
    <w:p>
      <w:pPr>
        <w:spacing w:line="460" w:lineRule="exact"/>
        <w:ind w:firstLine="480" w:firstLineChars="200"/>
        <w:rPr>
          <w:rFonts w:ascii="宋体" w:hAnsi="宋体" w:eastAsia="宋体" w:cs="宋体"/>
          <w:b/>
          <w:sz w:val="24"/>
          <w:szCs w:val="24"/>
        </w:rPr>
      </w:pPr>
      <w:r>
        <w:rPr>
          <w:rFonts w:hint="eastAsia" w:ascii="宋体" w:hAnsi="宋体" w:eastAsia="宋体" w:cs="宋体"/>
          <w:sz w:val="24"/>
          <w:szCs w:val="24"/>
        </w:rPr>
        <w:t>9.2投标文件装订。</w:t>
      </w:r>
      <w:r>
        <w:rPr>
          <w:rFonts w:hint="eastAsia" w:ascii="宋体" w:hAnsi="宋体" w:eastAsia="宋体" w:cs="宋体"/>
          <w:b/>
          <w:sz w:val="24"/>
          <w:szCs w:val="24"/>
        </w:rPr>
        <w:t>供应商应按附件中投标文件的顺序和要求，以A4幅面胶封装订成册，编排目录，并在封面上标明：正本、副本、投标项目名称、标段</w:t>
      </w:r>
      <w:r>
        <w:rPr>
          <w:rFonts w:hint="eastAsia" w:ascii="宋体" w:hAnsi="宋体" w:eastAsia="宋体" w:cs="宋体"/>
          <w:sz w:val="24"/>
          <w:szCs w:val="24"/>
        </w:rPr>
        <w:t>（如有多个标段）</w:t>
      </w:r>
      <w:r>
        <w:rPr>
          <w:rFonts w:hint="eastAsia" w:ascii="宋体" w:hAnsi="宋体" w:eastAsia="宋体" w:cs="宋体"/>
          <w:b/>
          <w:sz w:val="24"/>
          <w:szCs w:val="24"/>
        </w:rPr>
        <w:t>、项目编号、投标单位名称、日期等字样。</w:t>
      </w:r>
    </w:p>
    <w:p>
      <w:pPr>
        <w:spacing w:line="460" w:lineRule="exact"/>
        <w:ind w:firstLine="482" w:firstLineChars="200"/>
        <w:rPr>
          <w:rFonts w:ascii="宋体" w:hAnsi="宋体" w:eastAsia="宋体" w:cs="宋体"/>
          <w:b/>
          <w:sz w:val="24"/>
          <w:szCs w:val="24"/>
        </w:rPr>
      </w:pPr>
      <w:r>
        <w:rPr>
          <w:rFonts w:hint="eastAsia" w:ascii="宋体" w:hAnsi="宋体" w:eastAsia="宋体" w:cs="宋体"/>
          <w:b/>
          <w:sz w:val="24"/>
          <w:szCs w:val="24"/>
        </w:rPr>
        <w:t>9.3投标文件及提供的相关资料必须符合国家的法律、法规及有关政策规定。</w:t>
      </w:r>
    </w:p>
    <w:p>
      <w:pPr>
        <w:spacing w:line="460" w:lineRule="exact"/>
        <w:rPr>
          <w:rFonts w:ascii="宋体" w:hAnsi="宋体" w:eastAsia="宋体" w:cs="宋体"/>
          <w:sz w:val="24"/>
          <w:szCs w:val="24"/>
        </w:rPr>
      </w:pPr>
      <w:r>
        <w:rPr>
          <w:rFonts w:hint="eastAsia" w:ascii="宋体" w:hAnsi="宋体" w:eastAsia="宋体" w:cs="宋体"/>
          <w:sz w:val="24"/>
          <w:szCs w:val="24"/>
        </w:rPr>
        <w:t>10.投标文件格式</w:t>
      </w:r>
    </w:p>
    <w:p>
      <w:pPr>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供应商应按招标文件中提供的投标文件格式填写，招标文件中如有未提供格式的投标内容，供应商可自行提供。</w:t>
      </w:r>
    </w:p>
    <w:p>
      <w:pPr>
        <w:adjustRightInd w:val="0"/>
        <w:spacing w:line="460" w:lineRule="exact"/>
        <w:jc w:val="left"/>
        <w:rPr>
          <w:rFonts w:ascii="宋体" w:hAnsi="宋体" w:eastAsia="宋体" w:cs="宋体"/>
          <w:sz w:val="24"/>
          <w:szCs w:val="24"/>
        </w:rPr>
      </w:pPr>
      <w:bookmarkStart w:id="13" w:name="_Toc137651705"/>
      <w:bookmarkStart w:id="14" w:name="_Toc127973004"/>
      <w:r>
        <w:rPr>
          <w:rFonts w:hint="eastAsia" w:ascii="宋体" w:hAnsi="宋体" w:eastAsia="宋体" w:cs="宋体"/>
          <w:sz w:val="24"/>
          <w:szCs w:val="24"/>
        </w:rPr>
        <w:t>11.投标报价</w:t>
      </w:r>
      <w:bookmarkEnd w:id="13"/>
      <w:bookmarkEnd w:id="14"/>
    </w:p>
    <w:p>
      <w:pPr>
        <w:tabs>
          <w:tab w:val="left" w:pos="0"/>
          <w:tab w:val="left" w:pos="1050"/>
        </w:tabs>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11.1供应商应参考现行的相关咨询服务收费标准并结合市场行情自主报价（超过采购控制价的报价，或者由评标小组认定明显低于成本的报价将被视为无效响应文件），所有依据合同或其它原因的所有费用都应包括在报价中（供应商的报价是对完成本次采购需求所提供咨询服务的全部费用）。</w:t>
      </w:r>
    </w:p>
    <w:p>
      <w:pPr>
        <w:tabs>
          <w:tab w:val="left" w:pos="0"/>
          <w:tab w:val="left" w:pos="709"/>
          <w:tab w:val="left" w:pos="1050"/>
        </w:tabs>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11.2大写金额和小写金额不一致的，以大写金额为准；总价金额与按单价汇总金额不一致的，以单价金额计算结果为准，但单价金额小数点有明显错误的除外；副本与正本不符的，以正本为准。</w:t>
      </w:r>
    </w:p>
    <w:p>
      <w:pPr>
        <w:tabs>
          <w:tab w:val="left" w:pos="0"/>
          <w:tab w:val="left" w:pos="1050"/>
        </w:tabs>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11.3报价包括完成该项目的人工费、设备使用费、利润、税金、成果质量审查费等所有费用，采购人不再支付其他任何费用。</w:t>
      </w:r>
    </w:p>
    <w:p>
      <w:pPr>
        <w:adjustRightInd w:val="0"/>
        <w:spacing w:line="460" w:lineRule="exact"/>
        <w:jc w:val="left"/>
        <w:rPr>
          <w:rFonts w:ascii="宋体" w:hAnsi="宋体" w:eastAsia="宋体" w:cs="宋体"/>
          <w:sz w:val="24"/>
          <w:szCs w:val="24"/>
        </w:rPr>
      </w:pPr>
      <w:bookmarkStart w:id="15" w:name="_Toc137651706"/>
      <w:bookmarkStart w:id="16" w:name="_Toc127973005"/>
      <w:r>
        <w:rPr>
          <w:rFonts w:hint="eastAsia" w:ascii="宋体" w:hAnsi="宋体" w:eastAsia="宋体" w:cs="宋体"/>
          <w:sz w:val="24"/>
          <w:szCs w:val="24"/>
        </w:rPr>
        <w:t>12.投标货币</w:t>
      </w:r>
      <w:bookmarkEnd w:id="15"/>
      <w:bookmarkEnd w:id="16"/>
    </w:p>
    <w:p>
      <w:pPr>
        <w:adjustRightInd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投标必须以人民币报价。</w:t>
      </w:r>
    </w:p>
    <w:p>
      <w:pPr>
        <w:adjustRightInd w:val="0"/>
        <w:spacing w:line="460" w:lineRule="exact"/>
        <w:jc w:val="left"/>
        <w:rPr>
          <w:rFonts w:ascii="宋体" w:hAnsi="宋体" w:eastAsia="宋体" w:cs="宋体"/>
          <w:sz w:val="24"/>
          <w:szCs w:val="24"/>
        </w:rPr>
      </w:pPr>
      <w:bookmarkStart w:id="17" w:name="_Toc137651707"/>
      <w:bookmarkStart w:id="18" w:name="_Toc127973006"/>
      <w:r>
        <w:rPr>
          <w:rFonts w:hint="eastAsia" w:ascii="宋体" w:hAnsi="宋体" w:eastAsia="宋体" w:cs="宋体"/>
          <w:sz w:val="24"/>
          <w:szCs w:val="24"/>
        </w:rPr>
        <w:t>13.证明供应商资格和能力的文件</w:t>
      </w:r>
      <w:bookmarkEnd w:id="17"/>
      <w:bookmarkEnd w:id="18"/>
    </w:p>
    <w:p>
      <w:pPr>
        <w:adjustRightInd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13.1供应商应按照招标文件附件规定的内容和格式提交证明其有资格参加投标和中标后有能力履行合同的文件，并作为其投标文件的一部分。</w:t>
      </w:r>
    </w:p>
    <w:p>
      <w:pPr>
        <w:adjustRightInd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13.2供应商提交的资格证明文件应包括但不限于招标文件附件所规定的相关内容。</w:t>
      </w:r>
    </w:p>
    <w:p>
      <w:pPr>
        <w:adjustRightInd w:val="0"/>
        <w:spacing w:line="460" w:lineRule="exact"/>
        <w:jc w:val="left"/>
        <w:rPr>
          <w:rFonts w:ascii="宋体" w:hAnsi="宋体" w:eastAsia="宋体" w:cs="宋体"/>
          <w:sz w:val="24"/>
          <w:szCs w:val="24"/>
        </w:rPr>
      </w:pPr>
      <w:bookmarkStart w:id="19" w:name="_Toc137651709"/>
      <w:bookmarkStart w:id="20" w:name="_Toc127973008"/>
      <w:r>
        <w:rPr>
          <w:rFonts w:hint="eastAsia" w:ascii="宋体" w:hAnsi="宋体" w:eastAsia="宋体" w:cs="宋体"/>
          <w:sz w:val="24"/>
          <w:szCs w:val="24"/>
        </w:rPr>
        <w:t>14.投标有效期</w:t>
      </w:r>
    </w:p>
    <w:p>
      <w:pPr>
        <w:adjustRightInd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14.1投标有效期见前附表。投标有效期不足的投标将视为无效投标。</w:t>
      </w:r>
    </w:p>
    <w:p>
      <w:pPr>
        <w:adjustRightInd w:val="0"/>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14.2采购人可以要求供应商延长投标有效期，这种要求与供应商答复均应以书面形式进行。供应商可拒绝采购人的这种要求，其投标保证金将被退还。接受投标有效期延长的供应商将不会被要求和允许修正其投标文件，而只会被要求相应地延长其投标保证金的有效期。有关投标保证金的退还与否的规定将在延长了的有效期内继续有效。</w:t>
      </w:r>
    </w:p>
    <w:p>
      <w:pPr>
        <w:keepNext w:val="0"/>
        <w:keepLines w:val="0"/>
        <w:pageBreakBefore w:val="0"/>
        <w:widowControl w:val="0"/>
        <w:kinsoku/>
        <w:wordWrap/>
        <w:overflowPunct/>
        <w:topLinePunct w:val="0"/>
        <w:bidi w:val="0"/>
        <w:adjustRightInd w:val="0"/>
        <w:spacing w:line="460" w:lineRule="exact"/>
        <w:ind w:right="0" w:rightChars="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15.投标保证金</w:t>
      </w:r>
    </w:p>
    <w:p>
      <w:pPr>
        <w:keepNext w:val="0"/>
        <w:keepLines w:val="0"/>
        <w:pageBreakBefore w:val="0"/>
        <w:widowControl w:val="0"/>
        <w:kinsoku/>
        <w:wordWrap/>
        <w:overflowPunct/>
        <w:topLinePunct w:val="0"/>
        <w:bidi w:val="0"/>
        <w:adjustRightInd w:val="0"/>
        <w:spacing w:line="46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应在递交投标文件前按本须知前附表规定递交投标保证金，并作为其投标文件的一部分。</w:t>
      </w:r>
    </w:p>
    <w:p>
      <w:pPr>
        <w:keepNext w:val="0"/>
        <w:keepLines w:val="0"/>
        <w:pageBreakBefore w:val="0"/>
        <w:widowControl w:val="0"/>
        <w:kinsoku/>
        <w:wordWrap/>
        <w:overflowPunct/>
        <w:topLinePunct w:val="0"/>
        <w:bidi w:val="0"/>
        <w:adjustRightInd w:val="0"/>
        <w:spacing w:line="46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15.2对于未能按要求递交投标保证金，</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将视为不响应招标文件而予以拒绝。</w:t>
      </w:r>
    </w:p>
    <w:p>
      <w:pPr>
        <w:keepNext w:val="0"/>
        <w:keepLines w:val="0"/>
        <w:pageBreakBefore w:val="0"/>
        <w:widowControl w:val="0"/>
        <w:kinsoku/>
        <w:wordWrap/>
        <w:overflowPunct/>
        <w:topLinePunct w:val="0"/>
        <w:bidi w:val="0"/>
        <w:adjustRightInd w:val="0"/>
        <w:spacing w:line="46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15.3投标保证金的退还：</w:t>
      </w:r>
    </w:p>
    <w:p>
      <w:pPr>
        <w:keepNext w:val="0"/>
        <w:keepLines w:val="0"/>
        <w:pageBreakBefore w:val="0"/>
        <w:widowControl w:val="0"/>
        <w:kinsoku/>
        <w:wordWrap/>
        <w:overflowPunct/>
        <w:topLinePunct w:val="0"/>
        <w:bidi w:val="0"/>
        <w:adjustRightInd w:val="0"/>
        <w:spacing w:line="46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15.3.1</w:t>
      </w:r>
      <w:r>
        <w:rPr>
          <w:rFonts w:hint="eastAsia" w:ascii="宋体" w:hAnsi="宋体" w:eastAsia="宋体" w:cs="宋体"/>
          <w:color w:val="auto"/>
          <w:sz w:val="24"/>
          <w:szCs w:val="24"/>
          <w:highlight w:val="none"/>
        </w:rPr>
        <w:t>中标公示期满没有质疑或投诉的，5个工作日内退还非中标候选人投标保证金及银行同期活期存款利息。</w:t>
      </w:r>
    </w:p>
    <w:p>
      <w:pPr>
        <w:keepNext w:val="0"/>
        <w:keepLines w:val="0"/>
        <w:pageBreakBefore w:val="0"/>
        <w:widowControl w:val="0"/>
        <w:kinsoku/>
        <w:wordWrap/>
        <w:overflowPunct/>
        <w:topLinePunct w:val="0"/>
        <w:bidi w:val="0"/>
        <w:adjustRightInd w:val="0"/>
        <w:spacing w:line="46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15.3.2</w:t>
      </w:r>
      <w:r>
        <w:rPr>
          <w:rFonts w:hint="eastAsia" w:ascii="宋体" w:hAnsi="宋体" w:eastAsia="宋体" w:cs="宋体"/>
          <w:color w:val="auto"/>
          <w:sz w:val="24"/>
          <w:szCs w:val="24"/>
          <w:highlight w:val="none"/>
        </w:rPr>
        <w:t>在书面合同签订5个工作日内向中标人和其他中标候选人退还投标保证金及银行同期活期存款利息；法定期限内未签订书面合同的，按照有关规定退还其投标保证金。及银行同期活期存款利息。</w:t>
      </w:r>
    </w:p>
    <w:p>
      <w:pPr>
        <w:keepNext w:val="0"/>
        <w:keepLines w:val="0"/>
        <w:pageBreakBefore w:val="0"/>
        <w:widowControl w:val="0"/>
        <w:kinsoku/>
        <w:wordWrap/>
        <w:overflowPunct/>
        <w:topLinePunct w:val="0"/>
        <w:bidi w:val="0"/>
        <w:adjustRightInd w:val="0"/>
        <w:spacing w:line="46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15.3.3</w:t>
      </w:r>
      <w:r>
        <w:rPr>
          <w:rFonts w:hint="eastAsia" w:ascii="宋体" w:hAnsi="宋体" w:eastAsia="宋体" w:cs="宋体"/>
          <w:color w:val="auto"/>
          <w:sz w:val="24"/>
          <w:szCs w:val="24"/>
          <w:highlight w:val="none"/>
        </w:rPr>
        <w:t>项目废标或招标人终止招标的，在此后5个工作日内退还投标保证金及银行同期活期存利息。</w:t>
      </w:r>
    </w:p>
    <w:p>
      <w:pPr>
        <w:keepNext w:val="0"/>
        <w:keepLines w:val="0"/>
        <w:pageBreakBefore w:val="0"/>
        <w:widowControl w:val="0"/>
        <w:kinsoku/>
        <w:wordWrap/>
        <w:overflowPunct/>
        <w:topLinePunct w:val="0"/>
        <w:bidi w:val="0"/>
        <w:adjustRightInd w:val="0"/>
        <w:spacing w:line="46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15.3.4</w:t>
      </w:r>
      <w:r>
        <w:rPr>
          <w:rFonts w:hint="eastAsia" w:ascii="宋体" w:hAnsi="宋体" w:eastAsia="宋体" w:cs="宋体"/>
          <w:color w:val="auto"/>
          <w:sz w:val="24"/>
          <w:szCs w:val="24"/>
          <w:highlight w:val="none"/>
        </w:rPr>
        <w:t>投标活动中出现质疑、投诉的，中标候选人、质疑人和被质疑人、投诉人和被投诉人的投标保证金暂停退还。</w:t>
      </w:r>
    </w:p>
    <w:p>
      <w:pPr>
        <w:keepNext w:val="0"/>
        <w:keepLines w:val="0"/>
        <w:pageBreakBefore w:val="0"/>
        <w:widowControl w:val="0"/>
        <w:kinsoku/>
        <w:wordWrap/>
        <w:overflowPunct/>
        <w:topLinePunct w:val="0"/>
        <w:bidi w:val="0"/>
        <w:adjustRightInd w:val="0"/>
        <w:spacing w:line="46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15.3.5</w:t>
      </w:r>
      <w:r>
        <w:rPr>
          <w:rFonts w:hint="eastAsia" w:ascii="宋体" w:hAnsi="宋体" w:eastAsia="宋体" w:cs="宋体"/>
          <w:color w:val="auto"/>
          <w:sz w:val="24"/>
          <w:szCs w:val="24"/>
          <w:highlight w:val="none"/>
        </w:rPr>
        <w:t>相关投标人有违法违规行为的项目，其投标保证金暂不退还，待行政监督部门对相关情况处置后，按照有关规定办理。</w:t>
      </w:r>
    </w:p>
    <w:p>
      <w:pPr>
        <w:keepNext w:val="0"/>
        <w:keepLines w:val="0"/>
        <w:pageBreakBefore w:val="0"/>
        <w:widowControl w:val="0"/>
        <w:kinsoku/>
        <w:wordWrap/>
        <w:overflowPunct/>
        <w:topLinePunct w:val="0"/>
        <w:bidi w:val="0"/>
        <w:adjustRightInd w:val="0"/>
        <w:spacing w:line="46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15.3.6</w:t>
      </w:r>
      <w:r>
        <w:rPr>
          <w:rFonts w:hint="eastAsia" w:ascii="宋体" w:hAnsi="宋体" w:eastAsia="宋体" w:cs="宋体"/>
          <w:color w:val="auto"/>
          <w:sz w:val="24"/>
          <w:szCs w:val="24"/>
          <w:highlight w:val="none"/>
        </w:rPr>
        <w:t>退还投标保证金，除另有规定外，一般以转账方式一次性退还至投标保证金的原提交账户。</w:t>
      </w:r>
    </w:p>
    <w:p>
      <w:pPr>
        <w:keepNext w:val="0"/>
        <w:keepLines w:val="0"/>
        <w:pageBreakBefore w:val="0"/>
        <w:widowControl w:val="0"/>
        <w:kinsoku/>
        <w:wordWrap/>
        <w:overflowPunct/>
        <w:topLinePunct w:val="0"/>
        <w:bidi w:val="0"/>
        <w:adjustRightInd w:val="0"/>
        <w:spacing w:line="46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15.3.7</w:t>
      </w:r>
      <w:r>
        <w:rPr>
          <w:rFonts w:hint="eastAsia" w:ascii="宋体" w:hAnsi="宋体" w:eastAsia="宋体" w:cs="宋体"/>
          <w:color w:val="auto"/>
          <w:sz w:val="24"/>
          <w:szCs w:val="24"/>
          <w:highlight w:val="none"/>
        </w:rPr>
        <w:t>投标人有下列情形之一的，不予退还投标保证金：</w:t>
      </w:r>
    </w:p>
    <w:p>
      <w:pPr>
        <w:keepNext w:val="0"/>
        <w:keepLines w:val="0"/>
        <w:pageBreakBefore w:val="0"/>
        <w:widowControl w:val="0"/>
        <w:kinsoku/>
        <w:wordWrap/>
        <w:overflowPunct/>
        <w:topLinePunct w:val="0"/>
        <w:bidi w:val="0"/>
        <w:adjustRightInd w:val="0"/>
        <w:spacing w:line="46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在招标文件要求提交招标文件的截止时间后至招标文件有效期满前撤回投标的； </w:t>
      </w:r>
    </w:p>
    <w:p>
      <w:pPr>
        <w:keepNext w:val="0"/>
        <w:keepLines w:val="0"/>
        <w:pageBreakBefore w:val="0"/>
        <w:widowControl w:val="0"/>
        <w:kinsoku/>
        <w:wordWrap/>
        <w:overflowPunct/>
        <w:topLinePunct w:val="0"/>
        <w:bidi w:val="0"/>
        <w:adjustRightInd w:val="0"/>
        <w:spacing w:line="46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中标通知书发出后，中标人无故放弃中标项目或无正当理由在规定时间内不与招标人签订合同或未按招标文件规定提交履约担保的； </w:t>
      </w:r>
    </w:p>
    <w:p>
      <w:pPr>
        <w:keepNext w:val="0"/>
        <w:keepLines w:val="0"/>
        <w:pageBreakBefore w:val="0"/>
        <w:widowControl w:val="0"/>
        <w:kinsoku/>
        <w:wordWrap/>
        <w:overflowPunct/>
        <w:topLinePunct w:val="0"/>
        <w:bidi w:val="0"/>
        <w:adjustRightInd w:val="0"/>
        <w:spacing w:line="46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将中标项目转让给他人，或者在投标文件中未说明，且未经招标人同意，将中标项目分包给他人的； </w:t>
      </w:r>
    </w:p>
    <w:p>
      <w:pPr>
        <w:keepNext w:val="0"/>
        <w:keepLines w:val="0"/>
        <w:pageBreakBefore w:val="0"/>
        <w:widowControl w:val="0"/>
        <w:kinsoku/>
        <w:wordWrap/>
        <w:overflowPunct/>
        <w:topLinePunct w:val="0"/>
        <w:bidi w:val="0"/>
        <w:adjustRightInd w:val="0"/>
        <w:spacing w:line="46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投标人在招投标活动中弄虚作假、围标串标，骗取中标并经招投标行政监督部门调查核实的； </w:t>
      </w:r>
    </w:p>
    <w:p>
      <w:pPr>
        <w:keepNext w:val="0"/>
        <w:keepLines w:val="0"/>
        <w:pageBreakBefore w:val="0"/>
        <w:widowControl w:val="0"/>
        <w:kinsoku/>
        <w:wordWrap/>
        <w:overflowPunct/>
        <w:topLinePunct w:val="0"/>
        <w:bidi w:val="0"/>
        <w:adjustRightInd w:val="0"/>
        <w:spacing w:line="46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拒绝履行合同义务的；</w:t>
      </w:r>
    </w:p>
    <w:p>
      <w:pPr>
        <w:keepNext w:val="0"/>
        <w:keepLines w:val="0"/>
        <w:pageBreakBefore w:val="0"/>
        <w:widowControl w:val="0"/>
        <w:kinsoku/>
        <w:wordWrap/>
        <w:overflowPunct/>
        <w:topLinePunct w:val="0"/>
        <w:bidi w:val="0"/>
        <w:adjustRightInd w:val="0"/>
        <w:spacing w:line="46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无故未按时参见开标会议的</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bidi w:val="0"/>
        <w:adjustRightInd w:val="0"/>
        <w:spacing w:line="46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相关法律、法规规定不予退还的其它情形。</w:t>
      </w:r>
    </w:p>
    <w:p>
      <w:pPr>
        <w:adjustRightInd w:val="0"/>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自2017年10月16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bookmarkEnd w:id="19"/>
    <w:bookmarkEnd w:id="20"/>
    <w:p>
      <w:pPr>
        <w:adjustRightInd w:val="0"/>
        <w:spacing w:line="460" w:lineRule="exact"/>
        <w:jc w:val="left"/>
        <w:rPr>
          <w:rFonts w:ascii="宋体" w:hAnsi="宋体" w:eastAsia="宋体" w:cs="宋体"/>
          <w:sz w:val="24"/>
          <w:szCs w:val="24"/>
        </w:rPr>
      </w:pPr>
      <w:bookmarkStart w:id="21" w:name="_Toc127973010"/>
      <w:bookmarkStart w:id="22" w:name="_Toc137651711"/>
      <w:r>
        <w:rPr>
          <w:rFonts w:hint="eastAsia" w:ascii="宋体" w:hAnsi="宋体" w:eastAsia="宋体" w:cs="宋体"/>
          <w:sz w:val="24"/>
          <w:szCs w:val="24"/>
        </w:rPr>
        <w:t>16.投标文件的份数和签署</w:t>
      </w:r>
      <w:bookmarkEnd w:id="21"/>
      <w:bookmarkEnd w:id="22"/>
    </w:p>
    <w:p>
      <w:pPr>
        <w:adjustRightInd w:val="0"/>
        <w:spacing w:line="460" w:lineRule="exact"/>
        <w:ind w:firstLine="482" w:firstLineChars="200"/>
        <w:jc w:val="left"/>
        <w:rPr>
          <w:rFonts w:ascii="宋体" w:hAnsi="宋体" w:eastAsia="宋体" w:cs="宋体"/>
          <w:b/>
          <w:bCs/>
          <w:sz w:val="24"/>
          <w:szCs w:val="24"/>
        </w:rPr>
      </w:pPr>
      <w:r>
        <w:rPr>
          <w:rFonts w:hint="eastAsia" w:ascii="宋体" w:hAnsi="宋体" w:eastAsia="宋体" w:cs="宋体"/>
          <w:b/>
          <w:bCs/>
          <w:sz w:val="24"/>
          <w:szCs w:val="24"/>
        </w:rPr>
        <w:t>16.1投标文件份数：</w:t>
      </w:r>
      <w:r>
        <w:rPr>
          <w:rFonts w:hint="eastAsia" w:ascii="宋体" w:hAnsi="宋体" w:eastAsia="宋体" w:cs="宋体"/>
          <w:b/>
          <w:bCs/>
          <w:sz w:val="24"/>
          <w:szCs w:val="24"/>
          <w:lang w:val="zh-CN"/>
        </w:rPr>
        <w:t>供应商应提交壹份正本和肆份副本投标文件，</w:t>
      </w:r>
      <w:r>
        <w:rPr>
          <w:rFonts w:hint="eastAsia" w:ascii="宋体" w:hAnsi="宋体" w:eastAsia="宋体" w:cs="宋体"/>
          <w:b/>
          <w:bCs/>
          <w:sz w:val="24"/>
          <w:szCs w:val="24"/>
        </w:rPr>
        <w:t>所有投标内容的</w:t>
      </w:r>
      <w:r>
        <w:rPr>
          <w:rFonts w:hint="eastAsia" w:ascii="宋体" w:hAnsi="宋体" w:eastAsia="宋体" w:cs="宋体"/>
          <w:b/>
          <w:bCs/>
          <w:kern w:val="0"/>
          <w:sz w:val="24"/>
          <w:szCs w:val="24"/>
        </w:rPr>
        <w:t>电子版</w:t>
      </w:r>
      <w:r>
        <w:rPr>
          <w:rFonts w:hint="eastAsia" w:ascii="宋体" w:hAnsi="宋体" w:eastAsia="宋体" w:cs="宋体"/>
          <w:b/>
          <w:bCs/>
          <w:sz w:val="24"/>
          <w:szCs w:val="24"/>
        </w:rPr>
        <w:t>（U盘）贰</w:t>
      </w:r>
      <w:r>
        <w:rPr>
          <w:rFonts w:hint="eastAsia" w:ascii="宋体" w:hAnsi="宋体" w:eastAsia="宋体" w:cs="宋体"/>
          <w:b/>
          <w:bCs/>
          <w:kern w:val="0"/>
          <w:sz w:val="24"/>
          <w:szCs w:val="24"/>
        </w:rPr>
        <w:t>份</w:t>
      </w:r>
      <w:r>
        <w:rPr>
          <w:rFonts w:hint="eastAsia" w:ascii="宋体" w:hAnsi="宋体" w:eastAsia="宋体" w:cs="宋体"/>
          <w:b/>
          <w:bCs/>
          <w:sz w:val="24"/>
          <w:szCs w:val="24"/>
          <w:lang w:val="zh-CN"/>
        </w:rPr>
        <w:t>，</w:t>
      </w:r>
      <w:r>
        <w:rPr>
          <w:rFonts w:hint="eastAsia" w:ascii="宋体" w:hAnsi="宋体" w:eastAsia="宋体" w:cs="宋体"/>
          <w:b/>
          <w:bCs/>
          <w:sz w:val="24"/>
          <w:szCs w:val="24"/>
        </w:rPr>
        <w:t xml:space="preserve">电子版单独密封。 </w:t>
      </w:r>
    </w:p>
    <w:p>
      <w:pPr>
        <w:adjustRightInd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16.2投标文件的正本需打印或用不褪色墨水书写，并由法定代表人或其授权代表在投标文件上按招标文件规定签字或盖章；投标文件的副本可采用正本的复印件。</w:t>
      </w:r>
    </w:p>
    <w:p>
      <w:pPr>
        <w:adjustRightInd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16.3任何行间插字、涂改和增删，必须由法定代表人或其授权代表在旁边签字生效。</w:t>
      </w:r>
    </w:p>
    <w:p>
      <w:pPr>
        <w:tabs>
          <w:tab w:val="left" w:pos="5835"/>
        </w:tabs>
        <w:spacing w:line="460" w:lineRule="exact"/>
        <w:outlineLvl w:val="1"/>
        <w:rPr>
          <w:rFonts w:ascii="宋体" w:hAnsi="宋体" w:eastAsia="宋体" w:cs="宋体"/>
          <w:b/>
          <w:sz w:val="24"/>
          <w:szCs w:val="24"/>
        </w:rPr>
      </w:pPr>
      <w:bookmarkStart w:id="23" w:name="_Toc16721"/>
      <w:r>
        <w:rPr>
          <w:rFonts w:hint="eastAsia" w:ascii="宋体" w:hAnsi="宋体" w:eastAsia="宋体" w:cs="宋体"/>
          <w:b/>
          <w:sz w:val="24"/>
          <w:szCs w:val="24"/>
          <w:lang w:val="zh-CN"/>
        </w:rPr>
        <w:t>D、投标文件的递交</w:t>
      </w:r>
      <w:bookmarkEnd w:id="23"/>
    </w:p>
    <w:p>
      <w:pPr>
        <w:adjustRightInd w:val="0"/>
        <w:spacing w:line="460" w:lineRule="exact"/>
        <w:jc w:val="left"/>
        <w:rPr>
          <w:rFonts w:ascii="宋体" w:hAnsi="宋体" w:eastAsia="宋体" w:cs="宋体"/>
          <w:sz w:val="24"/>
          <w:szCs w:val="24"/>
        </w:rPr>
      </w:pPr>
      <w:bookmarkStart w:id="24" w:name="_Toc137651713"/>
      <w:bookmarkStart w:id="25" w:name="_Toc127973012"/>
      <w:bookmarkStart w:id="26" w:name="_Toc137651714"/>
      <w:r>
        <w:rPr>
          <w:rFonts w:hint="eastAsia" w:ascii="宋体" w:hAnsi="宋体" w:eastAsia="宋体" w:cs="宋体"/>
          <w:sz w:val="24"/>
          <w:szCs w:val="24"/>
        </w:rPr>
        <w:t>17.投标文件的密封和标记</w:t>
      </w:r>
      <w:bookmarkEnd w:id="24"/>
      <w:bookmarkEnd w:id="25"/>
    </w:p>
    <w:p>
      <w:pPr>
        <w:adjustRightInd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17.1供应商应将投标文件正本、副本和电子版用不透明的纸质材料密封包装。</w:t>
      </w:r>
    </w:p>
    <w:p>
      <w:pPr>
        <w:adjustRightInd w:val="0"/>
        <w:spacing w:line="460" w:lineRule="exact"/>
        <w:ind w:firstLine="480" w:firstLineChars="200"/>
        <w:jc w:val="left"/>
        <w:rPr>
          <w:rFonts w:ascii="宋体" w:hAnsi="宋体" w:eastAsia="宋体" w:cs="宋体"/>
          <w:sz w:val="24"/>
          <w:szCs w:val="24"/>
        </w:rPr>
      </w:pPr>
      <w:bookmarkStart w:id="27" w:name="_Toc127973013"/>
      <w:r>
        <w:rPr>
          <w:rFonts w:hint="eastAsia" w:ascii="宋体" w:hAnsi="宋体" w:eastAsia="宋体" w:cs="宋体"/>
          <w:sz w:val="24"/>
          <w:szCs w:val="24"/>
        </w:rPr>
        <w:t>17.2未按规定密封的为无效投标。</w:t>
      </w:r>
    </w:p>
    <w:bookmarkEnd w:id="27"/>
    <w:p>
      <w:pPr>
        <w:adjustRightInd w:val="0"/>
        <w:spacing w:line="460" w:lineRule="exact"/>
        <w:jc w:val="left"/>
        <w:rPr>
          <w:rFonts w:ascii="宋体" w:hAnsi="宋体" w:eastAsia="宋体" w:cs="宋体"/>
          <w:sz w:val="24"/>
          <w:szCs w:val="24"/>
        </w:rPr>
      </w:pPr>
      <w:r>
        <w:rPr>
          <w:rFonts w:hint="eastAsia" w:ascii="宋体" w:hAnsi="宋体" w:eastAsia="宋体" w:cs="宋体"/>
          <w:sz w:val="24"/>
          <w:szCs w:val="24"/>
        </w:rPr>
        <w:t>18.递交投标文件的截止时间</w:t>
      </w:r>
      <w:bookmarkEnd w:id="26"/>
    </w:p>
    <w:p>
      <w:pPr>
        <w:adjustRightInd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18.1所有投标文件都必须在投标截止时间之前送达开标现场递交采购人。采购人不接收电报、电话、传真、邮件形式的投标。</w:t>
      </w:r>
    </w:p>
    <w:p>
      <w:pPr>
        <w:adjustRightInd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18.2因招标文件的修改推迟投标截止时间时，则按采购人修改后的投标截止时间递交。</w:t>
      </w:r>
    </w:p>
    <w:p>
      <w:pPr>
        <w:adjustRightInd w:val="0"/>
        <w:spacing w:line="460" w:lineRule="exact"/>
        <w:jc w:val="left"/>
        <w:rPr>
          <w:rFonts w:ascii="宋体" w:hAnsi="宋体" w:eastAsia="宋体" w:cs="宋体"/>
          <w:sz w:val="24"/>
          <w:szCs w:val="24"/>
        </w:rPr>
      </w:pPr>
      <w:bookmarkStart w:id="28" w:name="_Toc137651715"/>
      <w:bookmarkStart w:id="29" w:name="_Toc127973014"/>
      <w:r>
        <w:rPr>
          <w:rFonts w:hint="eastAsia" w:ascii="宋体" w:hAnsi="宋体" w:eastAsia="宋体" w:cs="宋体"/>
          <w:sz w:val="24"/>
          <w:szCs w:val="24"/>
        </w:rPr>
        <w:t>19.迟交的投标文件</w:t>
      </w:r>
      <w:bookmarkEnd w:id="28"/>
      <w:bookmarkEnd w:id="29"/>
    </w:p>
    <w:p>
      <w:pPr>
        <w:adjustRightInd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采购人将拒绝接收在投标截止时间后递交的投标文件。</w:t>
      </w:r>
    </w:p>
    <w:p>
      <w:pPr>
        <w:adjustRightInd w:val="0"/>
        <w:spacing w:line="460" w:lineRule="exact"/>
        <w:jc w:val="left"/>
        <w:rPr>
          <w:rFonts w:ascii="宋体" w:hAnsi="宋体" w:eastAsia="宋体" w:cs="宋体"/>
          <w:sz w:val="24"/>
          <w:szCs w:val="24"/>
        </w:rPr>
      </w:pPr>
      <w:bookmarkStart w:id="30" w:name="_Toc127973015"/>
      <w:bookmarkStart w:id="31" w:name="_Toc137651716"/>
      <w:r>
        <w:rPr>
          <w:rFonts w:hint="eastAsia" w:ascii="宋体" w:hAnsi="宋体" w:eastAsia="宋体" w:cs="宋体"/>
          <w:sz w:val="24"/>
          <w:szCs w:val="24"/>
        </w:rPr>
        <w:t>20.投标文件的补充、修改或撤回</w:t>
      </w:r>
      <w:bookmarkEnd w:id="30"/>
      <w:bookmarkEnd w:id="31"/>
    </w:p>
    <w:p>
      <w:pPr>
        <w:adjustRightInd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20.1供应商在递交投标文件后，可以补充、修改或撤回其投标，但供应商必须在规定的投标截止时间之前将补充、修改或撤回投标的书面通知递交采购人。</w:t>
      </w:r>
    </w:p>
    <w:p>
      <w:pPr>
        <w:adjustRightInd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20.2供应商的补充、修改或撤回通知应按本须知规定编制、密封、标记、签署和盖章。</w:t>
      </w:r>
    </w:p>
    <w:p>
      <w:pPr>
        <w:adjustRightInd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20.3投标有效期内，供应商不得撤回其投标，否则其投标保证金将按照本须知的规定不予退还。</w:t>
      </w:r>
    </w:p>
    <w:p>
      <w:pPr>
        <w:tabs>
          <w:tab w:val="left" w:pos="5835"/>
        </w:tabs>
        <w:spacing w:line="460" w:lineRule="exact"/>
        <w:outlineLvl w:val="1"/>
        <w:rPr>
          <w:rFonts w:ascii="宋体" w:hAnsi="宋体" w:eastAsia="宋体" w:cs="宋体"/>
          <w:b/>
          <w:sz w:val="24"/>
          <w:szCs w:val="24"/>
          <w:lang w:val="zh-CN"/>
        </w:rPr>
      </w:pPr>
      <w:bookmarkStart w:id="32" w:name="_Toc29261"/>
      <w:r>
        <w:rPr>
          <w:rFonts w:hint="eastAsia" w:ascii="宋体" w:hAnsi="宋体" w:eastAsia="宋体" w:cs="宋体"/>
          <w:b/>
          <w:sz w:val="24"/>
          <w:szCs w:val="24"/>
          <w:lang w:val="zh-CN"/>
        </w:rPr>
        <w:t>E、开标和评标</w:t>
      </w:r>
      <w:bookmarkEnd w:id="32"/>
    </w:p>
    <w:p>
      <w:pPr>
        <w:adjustRightInd w:val="0"/>
        <w:spacing w:line="460" w:lineRule="exact"/>
        <w:jc w:val="left"/>
        <w:rPr>
          <w:rFonts w:ascii="宋体" w:hAnsi="宋体" w:eastAsia="宋体" w:cs="宋体"/>
          <w:sz w:val="24"/>
          <w:szCs w:val="24"/>
        </w:rPr>
      </w:pPr>
      <w:bookmarkStart w:id="33" w:name="_Toc127973017"/>
      <w:bookmarkStart w:id="34" w:name="_Toc137651718"/>
      <w:r>
        <w:rPr>
          <w:rFonts w:hint="eastAsia" w:ascii="宋体" w:hAnsi="宋体" w:eastAsia="宋体" w:cs="宋体"/>
          <w:sz w:val="24"/>
          <w:szCs w:val="24"/>
        </w:rPr>
        <w:t>21.开标</w:t>
      </w:r>
      <w:bookmarkEnd w:id="33"/>
      <w:bookmarkEnd w:id="34"/>
    </w:p>
    <w:p>
      <w:pPr>
        <w:adjustRightInd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21.1招标方将在招标文件规定的时间和地点进行公开开标，供应商法定代表人或其授权代表应准时参加开标大会，并签名报到以证明其出席。</w:t>
      </w:r>
    </w:p>
    <w:p>
      <w:pPr>
        <w:adjustRightInd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21.2开标时将查验投标文件密封情况，确认无误后拆封唱标，唱正本“开标一览表”内容，招标方将以合适的方式记录唱标内容。</w:t>
      </w:r>
    </w:p>
    <w:p>
      <w:pPr>
        <w:adjustRightInd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21.3开标结束时，供应商应在开标记录表上签字确认开标记录内容；如果供应商对开标结果有意见，可以保留不签字的权利，但必须向开标现场的监督管理机构及采购人当场提出书面意见书，否则采购人有权认为供应商认可开标记录。</w:t>
      </w:r>
    </w:p>
    <w:p>
      <w:pPr>
        <w:adjustRightInd w:val="0"/>
        <w:spacing w:line="460" w:lineRule="exact"/>
        <w:jc w:val="left"/>
        <w:rPr>
          <w:rFonts w:ascii="宋体" w:hAnsi="宋体" w:eastAsia="宋体" w:cs="宋体"/>
          <w:sz w:val="24"/>
          <w:szCs w:val="24"/>
        </w:rPr>
      </w:pPr>
      <w:bookmarkStart w:id="35" w:name="_Toc137651719"/>
      <w:r>
        <w:rPr>
          <w:rFonts w:hint="eastAsia" w:ascii="宋体" w:hAnsi="宋体" w:eastAsia="宋体" w:cs="宋体"/>
          <w:sz w:val="24"/>
          <w:szCs w:val="24"/>
        </w:rPr>
        <w:t>22.评标委员会</w:t>
      </w:r>
      <w:bookmarkEnd w:id="35"/>
    </w:p>
    <w:p>
      <w:pPr>
        <w:spacing w:line="460" w:lineRule="exact"/>
        <w:ind w:firstLine="480" w:firstLineChars="200"/>
        <w:rPr>
          <w:rFonts w:ascii="宋体" w:hAnsi="宋体" w:eastAsia="宋体" w:cs="宋体"/>
          <w:sz w:val="24"/>
          <w:szCs w:val="24"/>
        </w:rPr>
      </w:pPr>
      <w:bookmarkStart w:id="36" w:name="_Toc127973018"/>
      <w:bookmarkStart w:id="37" w:name="_Toc137651720"/>
      <w:r>
        <w:rPr>
          <w:rFonts w:hint="eastAsia" w:ascii="宋体" w:hAnsi="宋体" w:eastAsia="宋体" w:cs="宋体"/>
          <w:sz w:val="24"/>
          <w:szCs w:val="24"/>
        </w:rPr>
        <w:t>22.1评标由采购人依法组建的评标委员会负责。评标委员会由采购人代表和相关经济、技术等方面的评审专家共5人组成。评标委员会专家的确定方式见供应商须知前附表。（评标委员会成员不得参加开标活动。）</w:t>
      </w:r>
    </w:p>
    <w:p>
      <w:pPr>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评标委员会负责具体评标事务，并独立履行下列职责：</w:t>
      </w:r>
    </w:p>
    <w:p>
      <w:pPr>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（1）审查、评价投标文件是否符合招标文件的商务、技术等实质性要求；</w:t>
      </w:r>
    </w:p>
    <w:p>
      <w:pPr>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（2）要求投标人对投标文件有关事项作出澄清或者说明；</w:t>
      </w:r>
    </w:p>
    <w:p>
      <w:pPr>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（3）对投标文件进行比较和评价；</w:t>
      </w:r>
    </w:p>
    <w:p>
      <w:pPr>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（4）确定中标候选人名单，以及根据采购人委托直接确定中标人；</w:t>
      </w:r>
    </w:p>
    <w:p>
      <w:pPr>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（5）向采购人、采购代理机构或者有关部门报告评标中发现的违法行为。</w:t>
      </w:r>
    </w:p>
    <w:p>
      <w:pPr>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22.2评标委员会成员有下列情形之一的，应当回避：</w:t>
      </w:r>
    </w:p>
    <w:p>
      <w:pPr>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（1）供应商或供应商主要负责人的近亲属；</w:t>
      </w:r>
    </w:p>
    <w:p>
      <w:pPr>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（2）项目主管部门或者行政监督部门的人员；</w:t>
      </w:r>
    </w:p>
    <w:p>
      <w:pPr>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（3）与供应商有经济利益关系，可能影响对投标公正评审的；</w:t>
      </w:r>
    </w:p>
    <w:p>
      <w:pPr>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（4）曾因在招标、评标以及其他与招标投标有关活动中从事违法行为而受过行政处罚或刑事处罚的；</w:t>
      </w:r>
    </w:p>
    <w:p>
      <w:pPr>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（5）与供应商有其他利害关系。</w:t>
      </w:r>
      <w:r>
        <w:rPr>
          <w:rFonts w:hint="eastAsia" w:ascii="宋体" w:hAnsi="宋体" w:eastAsia="宋体" w:cs="宋体"/>
          <w:sz w:val="24"/>
          <w:szCs w:val="24"/>
        </w:rPr>
        <w:tab/>
      </w:r>
    </w:p>
    <w:p>
      <w:pPr>
        <w:adjustRightInd w:val="0"/>
        <w:snapToGrid w:val="0"/>
        <w:spacing w:line="460" w:lineRule="exact"/>
        <w:jc w:val="left"/>
        <w:rPr>
          <w:rFonts w:ascii="宋体" w:hAnsi="宋体" w:eastAsia="宋体" w:cs="宋体"/>
          <w:sz w:val="24"/>
          <w:szCs w:val="24"/>
        </w:rPr>
      </w:pPr>
      <w:r>
        <w:rPr>
          <w:rFonts w:hint="eastAsia" w:ascii="宋体" w:hAnsi="宋体" w:eastAsia="宋体" w:cs="宋体"/>
          <w:sz w:val="24"/>
          <w:szCs w:val="24"/>
        </w:rPr>
        <w:t>23. 投标文件的初审</w:t>
      </w:r>
    </w:p>
    <w:p>
      <w:pPr>
        <w:adjustRightInd w:val="0"/>
        <w:snapToGrid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23.1资格性审查。评标专家依据有关法律法规和招标文件的规定，审查每个供应商提交的资格证明文件是否齐全、完整、合法、有效。资格性审查条款详见第四部分“资格性审查要求”。</w:t>
      </w:r>
    </w:p>
    <w:p>
      <w:pPr>
        <w:adjustRightInd w:val="0"/>
        <w:snapToGrid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23.2符合性审查。评标专家依据有关法律法规和招标文件的规定，从投标文件的有效性、完整性和对招标文件的响应程度，审查投标文件是否对招标文件的实质性要求做出了响应。符合性审查条款详见招标文件第四部分“符合性审查要求”。</w:t>
      </w:r>
    </w:p>
    <w:p>
      <w:pPr>
        <w:adjustRightInd w:val="0"/>
        <w:snapToGrid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23.3 实质上响应的投标是指与招标文件的条款、条件和规格相符，没有重大偏离。所谓重大偏离是指投标内容明显不能满足招标文件的要求，或者实质上与招标文件不一致，而且限制了采购单位的权利或供应商的义务，如果纠正这些偏离将对其他实质上响应招标文件要求的供应商的竞争地位产生不公正的影响。</w:t>
      </w:r>
    </w:p>
    <w:p>
      <w:pPr>
        <w:adjustRightInd w:val="0"/>
        <w:snapToGrid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23.4 重大偏离不允许在开标后修正，但评标专家将允许修正投标中不构成重大偏离的地方，而且这些修正不会对其他实质上响应招标文件要求的供应商的竞争地位产生不公正的影响。</w:t>
      </w:r>
    </w:p>
    <w:p>
      <w:pPr>
        <w:adjustRightInd w:val="0"/>
        <w:snapToGrid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23.5 如果投标文件实质上没有响应招标文件的要求，将作为无效投标处理，供应商不得再对投标文件进行任何修正从而使其投标成为实质上响应的投标。</w:t>
      </w:r>
    </w:p>
    <w:p>
      <w:pPr>
        <w:adjustRightInd w:val="0"/>
        <w:spacing w:line="460" w:lineRule="exact"/>
        <w:jc w:val="left"/>
        <w:rPr>
          <w:rFonts w:ascii="宋体" w:hAnsi="宋体" w:eastAsia="宋体" w:cs="宋体"/>
          <w:sz w:val="24"/>
          <w:szCs w:val="24"/>
        </w:rPr>
      </w:pPr>
      <w:r>
        <w:rPr>
          <w:rFonts w:hint="eastAsia" w:ascii="宋体" w:hAnsi="宋体" w:eastAsia="宋体" w:cs="宋体"/>
          <w:sz w:val="24"/>
          <w:szCs w:val="24"/>
        </w:rPr>
        <w:t>24.投标文件的澄清</w:t>
      </w:r>
      <w:bookmarkEnd w:id="36"/>
      <w:bookmarkEnd w:id="37"/>
    </w:p>
    <w:p>
      <w:pPr>
        <w:adjustRightInd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24.1为了有助于对投标文件进行审查、评估和比较，评标委员会有权向供应商质疑，请供应商澄清其投标内容。供应商有责任按照采购人通知的时间、地点指派专人进行答疑和澄清。</w:t>
      </w:r>
    </w:p>
    <w:p>
      <w:pPr>
        <w:adjustRightInd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24.2重要澄清的答复应是书面的，但不得对投标内容进行实质性修改。</w:t>
      </w:r>
    </w:p>
    <w:p>
      <w:pPr>
        <w:adjustRightInd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24.3澄清文件是投标文件的组成部分，并取代投标文件中被澄清的部分。</w:t>
      </w:r>
    </w:p>
    <w:p>
      <w:pPr>
        <w:adjustRightInd w:val="0"/>
        <w:spacing w:line="460" w:lineRule="exact"/>
        <w:jc w:val="left"/>
        <w:rPr>
          <w:rFonts w:ascii="宋体" w:hAnsi="宋体" w:eastAsia="宋体" w:cs="宋体"/>
          <w:sz w:val="24"/>
          <w:szCs w:val="24"/>
        </w:rPr>
      </w:pPr>
      <w:bookmarkStart w:id="38" w:name="_Toc137651721"/>
      <w:bookmarkStart w:id="39" w:name="_Toc127973019"/>
      <w:r>
        <w:rPr>
          <w:rFonts w:hint="eastAsia" w:ascii="宋体" w:hAnsi="宋体" w:eastAsia="宋体" w:cs="宋体"/>
          <w:sz w:val="24"/>
          <w:szCs w:val="24"/>
        </w:rPr>
        <w:t>25.对投标文件的评</w:t>
      </w:r>
      <w:bookmarkEnd w:id="38"/>
      <w:bookmarkEnd w:id="39"/>
      <w:r>
        <w:rPr>
          <w:rFonts w:hint="eastAsia" w:ascii="宋体" w:hAnsi="宋体" w:eastAsia="宋体" w:cs="宋体"/>
          <w:sz w:val="24"/>
          <w:szCs w:val="24"/>
        </w:rPr>
        <w:t>估和比较</w:t>
      </w:r>
    </w:p>
    <w:p>
      <w:pPr>
        <w:adjustRightInd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采购人及其组织的评标委员会将对实质性响应的投标文件进行评估和比较。</w:t>
      </w:r>
    </w:p>
    <w:p>
      <w:pPr>
        <w:adjustRightInd w:val="0"/>
        <w:spacing w:line="460" w:lineRule="exact"/>
        <w:jc w:val="left"/>
        <w:rPr>
          <w:rFonts w:ascii="宋体" w:hAnsi="宋体" w:eastAsia="宋体" w:cs="宋体"/>
          <w:sz w:val="24"/>
          <w:szCs w:val="24"/>
        </w:rPr>
      </w:pPr>
      <w:r>
        <w:rPr>
          <w:rFonts w:hint="eastAsia" w:ascii="宋体" w:hAnsi="宋体" w:eastAsia="宋体" w:cs="宋体"/>
          <w:sz w:val="24"/>
          <w:szCs w:val="24"/>
        </w:rPr>
        <w:t>26.评标原则、评标方法及评分标准</w:t>
      </w:r>
    </w:p>
    <w:p>
      <w:pPr>
        <w:adjustRightInd w:val="0"/>
        <w:snapToGrid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26.1评标专家按招标文件中规定的评标方法及评标标准，对资格性审查和符合性审查合格的投标文件进行比较和评价。</w:t>
      </w:r>
    </w:p>
    <w:p>
      <w:pPr>
        <w:adjustRightInd w:val="0"/>
        <w:snapToGrid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综合评分法，是指在最大限度地满足招标文件实质性要求前提下，按照招标文件中规定的各项因素进行综合评审后，以评标总得分最高的供应商作为中标供应商的评标方法。</w:t>
      </w:r>
    </w:p>
    <w:p>
      <w:pPr>
        <w:adjustRightInd w:val="0"/>
        <w:snapToGrid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26.2采用综合评分法的项目，按以下规则进行评审：</w:t>
      </w:r>
    </w:p>
    <w:p>
      <w:pPr>
        <w:adjustRightInd w:val="0"/>
        <w:snapToGrid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（1）评标专家根据招标文件规定的评标标准对每个有效投标文件进行打分，计算简单算术平均数的方法计算供应商的最终得分，最终得分按四舍五入的方式保留至小数点后二位。</w:t>
      </w:r>
    </w:p>
    <w:p>
      <w:pPr>
        <w:adjustRightInd w:val="0"/>
        <w:snapToGrid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评标专家完成评标后，须向采购代理机构提交书面评标报告，并确定得分最高的供应商作为中标供应商；或评标委员会根据全体评标成员签字的原始评标记录和评标结果，将候选中标供应商的排序名单提交给采购人，采购人按照评标委员会评审报告中推荐的中标候选供应商顺序确定中标供应商。</w:t>
      </w:r>
    </w:p>
    <w:p>
      <w:pPr>
        <w:adjustRightInd w:val="0"/>
        <w:snapToGrid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26.3 按上述评标方法确定的符合中标条件的供应商如果有2个或2个以上，则：</w:t>
      </w:r>
    </w:p>
    <w:p>
      <w:pPr>
        <w:adjustRightInd w:val="0"/>
        <w:snapToGrid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采用综合评分法的，投标报价最低的确定为中标供应商；投标报价相同的，以技术优劣确定中标供应商；技术相同的，由评标专家投票确定中标供应商或中标候选供应商排序。</w:t>
      </w:r>
    </w:p>
    <w:p>
      <w:pPr>
        <w:adjustRightInd w:val="0"/>
        <w:snapToGrid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26.4 评标中遇到的其他问题，由评标专家集体研究决定。</w:t>
      </w:r>
    </w:p>
    <w:p>
      <w:pPr>
        <w:tabs>
          <w:tab w:val="left" w:pos="7669"/>
        </w:tabs>
        <w:autoSpaceDE w:val="0"/>
        <w:autoSpaceDN w:val="0"/>
        <w:adjustRightInd w:val="0"/>
        <w:spacing w:line="460" w:lineRule="exact"/>
        <w:rPr>
          <w:rFonts w:ascii="宋体" w:hAnsi="宋体" w:eastAsia="宋体" w:cs="宋体"/>
          <w:sz w:val="24"/>
          <w:szCs w:val="24"/>
        </w:rPr>
      </w:pPr>
      <w:bookmarkStart w:id="40" w:name="_Toc127973020"/>
      <w:bookmarkStart w:id="41" w:name="_Toc137651722"/>
      <w:r>
        <w:rPr>
          <w:rFonts w:hint="eastAsia" w:ascii="宋体" w:hAnsi="宋体" w:eastAsia="宋体" w:cs="宋体"/>
          <w:sz w:val="24"/>
          <w:szCs w:val="24"/>
        </w:rPr>
        <w:t>27．保密</w:t>
      </w:r>
    </w:p>
    <w:p>
      <w:pPr>
        <w:tabs>
          <w:tab w:val="left" w:pos="7669"/>
        </w:tabs>
        <w:autoSpaceDE w:val="0"/>
        <w:autoSpaceDN w:val="0"/>
        <w:adjustRightInd w:val="0"/>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27.1有关投标文件的审查、澄清、评估和比较以及有关授予合同的意向的一切情况都不得透露给任一供应商或与上述评标工作无关的人员。</w:t>
      </w:r>
    </w:p>
    <w:p>
      <w:pPr>
        <w:tabs>
          <w:tab w:val="left" w:pos="7669"/>
        </w:tabs>
        <w:autoSpaceDE w:val="0"/>
        <w:autoSpaceDN w:val="0"/>
        <w:adjustRightInd w:val="0"/>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27.2供应商不得干扰采购人的评标活动，否则将废除其投标。</w:t>
      </w:r>
      <w:bookmarkEnd w:id="40"/>
      <w:bookmarkEnd w:id="41"/>
      <w:bookmarkStart w:id="42" w:name="_Toc270946167"/>
      <w:bookmarkStart w:id="43" w:name="_Toc129414326"/>
      <w:bookmarkStart w:id="44" w:name="_Toc127973023"/>
      <w:bookmarkStart w:id="45" w:name="_Toc181344320"/>
      <w:bookmarkStart w:id="46" w:name="_Toc137651724"/>
      <w:bookmarkStart w:id="47" w:name="_Toc179456529"/>
      <w:bookmarkStart w:id="48" w:name="_Toc267574100"/>
      <w:bookmarkStart w:id="49" w:name="_Toc181348131"/>
    </w:p>
    <w:p>
      <w:pPr>
        <w:tabs>
          <w:tab w:val="left" w:pos="5835"/>
        </w:tabs>
        <w:spacing w:line="460" w:lineRule="exact"/>
        <w:outlineLvl w:val="1"/>
        <w:rPr>
          <w:rFonts w:ascii="宋体" w:hAnsi="宋体" w:eastAsia="宋体" w:cs="宋体"/>
          <w:b/>
          <w:sz w:val="24"/>
          <w:szCs w:val="24"/>
          <w:lang w:val="zh-CN"/>
        </w:rPr>
      </w:pPr>
      <w:bookmarkStart w:id="50" w:name="_Toc12802"/>
      <w:r>
        <w:rPr>
          <w:rFonts w:hint="eastAsia" w:ascii="宋体" w:hAnsi="宋体" w:eastAsia="宋体" w:cs="宋体"/>
          <w:b/>
          <w:sz w:val="24"/>
          <w:szCs w:val="24"/>
          <w:lang w:val="zh-CN"/>
        </w:rPr>
        <w:t>F、授予合同</w:t>
      </w:r>
      <w:bookmarkEnd w:id="42"/>
      <w:bookmarkEnd w:id="43"/>
      <w:bookmarkEnd w:id="44"/>
      <w:bookmarkEnd w:id="45"/>
      <w:bookmarkEnd w:id="46"/>
      <w:bookmarkEnd w:id="47"/>
      <w:bookmarkEnd w:id="48"/>
      <w:bookmarkEnd w:id="49"/>
      <w:bookmarkEnd w:id="50"/>
    </w:p>
    <w:p>
      <w:pPr>
        <w:tabs>
          <w:tab w:val="left" w:pos="7669"/>
        </w:tabs>
        <w:autoSpaceDE w:val="0"/>
        <w:autoSpaceDN w:val="0"/>
        <w:adjustRightInd w:val="0"/>
        <w:spacing w:line="460" w:lineRule="exact"/>
        <w:rPr>
          <w:rFonts w:ascii="宋体" w:hAnsi="宋体" w:eastAsia="宋体" w:cs="宋体"/>
          <w:sz w:val="24"/>
          <w:szCs w:val="24"/>
        </w:rPr>
      </w:pPr>
      <w:bookmarkStart w:id="51" w:name="_Toc137651725"/>
      <w:bookmarkStart w:id="52" w:name="_Toc127973025"/>
      <w:r>
        <w:rPr>
          <w:rFonts w:hint="eastAsia" w:ascii="宋体" w:hAnsi="宋体" w:eastAsia="宋体" w:cs="宋体"/>
          <w:sz w:val="24"/>
          <w:szCs w:val="24"/>
        </w:rPr>
        <w:t>28.定标准则</w:t>
      </w:r>
      <w:bookmarkEnd w:id="51"/>
      <w:bookmarkEnd w:id="52"/>
    </w:p>
    <w:p>
      <w:pPr>
        <w:tabs>
          <w:tab w:val="left" w:pos="7669"/>
        </w:tabs>
        <w:autoSpaceDE w:val="0"/>
        <w:autoSpaceDN w:val="0"/>
        <w:adjustRightInd w:val="0"/>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28.1严格按照招标文件的要求和条件进行评标，择优定标。</w:t>
      </w:r>
    </w:p>
    <w:p>
      <w:pPr>
        <w:tabs>
          <w:tab w:val="left" w:pos="7669"/>
        </w:tabs>
        <w:autoSpaceDE w:val="0"/>
        <w:autoSpaceDN w:val="0"/>
        <w:adjustRightInd w:val="0"/>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28.2最低报价不能作为中标的保证。</w:t>
      </w:r>
    </w:p>
    <w:p>
      <w:pPr>
        <w:tabs>
          <w:tab w:val="left" w:pos="7669"/>
        </w:tabs>
        <w:autoSpaceDE w:val="0"/>
        <w:autoSpaceDN w:val="0"/>
        <w:adjustRightInd w:val="0"/>
        <w:spacing w:line="460" w:lineRule="exact"/>
        <w:rPr>
          <w:rFonts w:ascii="宋体" w:hAnsi="宋体" w:eastAsia="宋体" w:cs="宋体"/>
          <w:sz w:val="24"/>
          <w:szCs w:val="24"/>
        </w:rPr>
      </w:pPr>
      <w:r>
        <w:rPr>
          <w:rFonts w:hint="eastAsia" w:ascii="宋体" w:hAnsi="宋体" w:eastAsia="宋体" w:cs="宋体"/>
          <w:sz w:val="24"/>
          <w:szCs w:val="24"/>
        </w:rPr>
        <w:t>29.资格最终审查</w:t>
      </w:r>
    </w:p>
    <w:p>
      <w:pPr>
        <w:tabs>
          <w:tab w:val="left" w:pos="7669"/>
        </w:tabs>
        <w:autoSpaceDE w:val="0"/>
        <w:autoSpaceDN w:val="0"/>
        <w:adjustRightInd w:val="0"/>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29.1评委会将审查供应商（拟中标单位）的财务、技术、管理能力及信誉，确定其是否能圆满地履行合同。</w:t>
      </w:r>
    </w:p>
    <w:p>
      <w:pPr>
        <w:tabs>
          <w:tab w:val="left" w:pos="7669"/>
        </w:tabs>
        <w:autoSpaceDE w:val="0"/>
        <w:autoSpaceDN w:val="0"/>
        <w:adjustRightInd w:val="0"/>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29.2如果确定该供应商不具备圆满履行合同的条件，评委会将对备选中标单位及依次类推的下一个供应商资格作出类似的审查，直至最终确定拟中标单位和备选中标单位。</w:t>
      </w:r>
    </w:p>
    <w:p>
      <w:pPr>
        <w:tabs>
          <w:tab w:val="left" w:pos="7669"/>
        </w:tabs>
        <w:autoSpaceDE w:val="0"/>
        <w:autoSpaceDN w:val="0"/>
        <w:adjustRightInd w:val="0"/>
        <w:spacing w:line="460" w:lineRule="exact"/>
        <w:rPr>
          <w:rFonts w:ascii="宋体" w:hAnsi="宋体" w:eastAsia="宋体" w:cs="宋体"/>
          <w:sz w:val="24"/>
          <w:szCs w:val="24"/>
        </w:rPr>
      </w:pPr>
      <w:bookmarkStart w:id="53" w:name="_Toc127973028"/>
      <w:bookmarkStart w:id="54" w:name="_Toc137651728"/>
      <w:r>
        <w:rPr>
          <w:rFonts w:hint="eastAsia" w:ascii="宋体" w:hAnsi="宋体" w:eastAsia="宋体" w:cs="宋体"/>
          <w:sz w:val="24"/>
          <w:szCs w:val="24"/>
        </w:rPr>
        <w:t>30．接受和拒绝任何或所有投标的权力</w:t>
      </w:r>
    </w:p>
    <w:p>
      <w:pPr>
        <w:tabs>
          <w:tab w:val="left" w:pos="7669"/>
        </w:tabs>
        <w:autoSpaceDE w:val="0"/>
        <w:autoSpaceDN w:val="0"/>
        <w:adjustRightInd w:val="0"/>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采购人在授予合同之前仍有选择或拒绝任何或全部投标的权力，并对所采取的行为不作任何解释。</w:t>
      </w:r>
    </w:p>
    <w:p>
      <w:pPr>
        <w:tabs>
          <w:tab w:val="left" w:pos="7669"/>
        </w:tabs>
        <w:autoSpaceDE w:val="0"/>
        <w:autoSpaceDN w:val="0"/>
        <w:adjustRightInd w:val="0"/>
        <w:spacing w:line="460" w:lineRule="exact"/>
        <w:rPr>
          <w:rFonts w:ascii="宋体" w:hAnsi="宋体" w:eastAsia="宋体" w:cs="宋体"/>
          <w:sz w:val="24"/>
          <w:szCs w:val="24"/>
        </w:rPr>
      </w:pPr>
      <w:r>
        <w:rPr>
          <w:rFonts w:hint="eastAsia" w:ascii="宋体" w:hAnsi="宋体" w:eastAsia="宋体" w:cs="宋体"/>
          <w:sz w:val="24"/>
          <w:szCs w:val="24"/>
        </w:rPr>
        <w:t>31.公示中标结果、发出中标通知书</w:t>
      </w:r>
    </w:p>
    <w:p>
      <w:pPr>
        <w:tabs>
          <w:tab w:val="left" w:pos="7669"/>
        </w:tabs>
        <w:autoSpaceDE w:val="0"/>
        <w:autoSpaceDN w:val="0"/>
        <w:adjustRightInd w:val="0"/>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31.1采购代理机构应当自评审结束之日起2个工作日内将评审报告送交采购人。采购人应当自收到评审报告之日起5个工作日内在评审报告推荐的中标或者成交候选人中按顺序确定中标或者成交供应商。</w:t>
      </w:r>
    </w:p>
    <w:p>
      <w:pPr>
        <w:tabs>
          <w:tab w:val="left" w:pos="7669"/>
        </w:tabs>
        <w:autoSpaceDE w:val="0"/>
        <w:autoSpaceDN w:val="0"/>
        <w:adjustRightInd w:val="0"/>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31.2采购人或者采购代理机构应当自中标供应商确定之日起2个工作日内，发出中标通知书。中标通知书一经发出即发生法律效力。</w:t>
      </w:r>
    </w:p>
    <w:bookmarkEnd w:id="53"/>
    <w:bookmarkEnd w:id="54"/>
    <w:p>
      <w:pPr>
        <w:tabs>
          <w:tab w:val="left" w:pos="7669"/>
        </w:tabs>
        <w:autoSpaceDE w:val="0"/>
        <w:autoSpaceDN w:val="0"/>
        <w:adjustRightInd w:val="0"/>
        <w:spacing w:line="460" w:lineRule="exact"/>
        <w:rPr>
          <w:rFonts w:ascii="宋体" w:hAnsi="宋体" w:eastAsia="宋体" w:cs="宋体"/>
          <w:sz w:val="24"/>
          <w:szCs w:val="24"/>
        </w:rPr>
      </w:pPr>
      <w:r>
        <w:rPr>
          <w:rFonts w:hint="eastAsia" w:ascii="宋体" w:hAnsi="宋体" w:eastAsia="宋体" w:cs="宋体"/>
          <w:sz w:val="24"/>
          <w:szCs w:val="24"/>
        </w:rPr>
        <w:t>32.合同协议书的签署</w:t>
      </w:r>
    </w:p>
    <w:p>
      <w:pPr>
        <w:tabs>
          <w:tab w:val="left" w:pos="7669"/>
        </w:tabs>
        <w:autoSpaceDE w:val="0"/>
        <w:autoSpaceDN w:val="0"/>
        <w:adjustRightInd w:val="0"/>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32.1中标方按中标通知书指定的时间、地点与采购人按指定的协议书格式签订合同协议书。</w:t>
      </w:r>
    </w:p>
    <w:p>
      <w:pPr>
        <w:tabs>
          <w:tab w:val="left" w:pos="7669"/>
        </w:tabs>
        <w:autoSpaceDE w:val="0"/>
        <w:autoSpaceDN w:val="0"/>
        <w:adjustRightInd w:val="0"/>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32.2中标通知书、招标文件、中标方的投标文件及其澄清文件，均为签订合同协议书的依据。</w:t>
      </w:r>
    </w:p>
    <w:p>
      <w:pPr>
        <w:spacing w:line="460" w:lineRule="exact"/>
        <w:rPr>
          <w:rFonts w:ascii="宋体" w:hAnsi="宋体" w:eastAsia="宋体" w:cs="宋体"/>
          <w:sz w:val="24"/>
          <w:szCs w:val="24"/>
        </w:rPr>
      </w:pPr>
      <w:r>
        <w:rPr>
          <w:rFonts w:hint="eastAsia" w:ascii="宋体" w:hAnsi="宋体" w:eastAsia="宋体" w:cs="宋体"/>
          <w:sz w:val="24"/>
          <w:szCs w:val="24"/>
        </w:rPr>
        <w:t>33.履约保证金：本项目不适用。</w:t>
      </w:r>
    </w:p>
    <w:p>
      <w:pPr>
        <w:tabs>
          <w:tab w:val="left" w:pos="7669"/>
        </w:tabs>
        <w:autoSpaceDE w:val="0"/>
        <w:autoSpaceDN w:val="0"/>
        <w:adjustRightInd w:val="0"/>
        <w:spacing w:line="460" w:lineRule="exact"/>
        <w:rPr>
          <w:rFonts w:ascii="宋体" w:hAnsi="宋体" w:eastAsia="宋体" w:cs="宋体"/>
          <w:sz w:val="24"/>
          <w:szCs w:val="24"/>
        </w:rPr>
      </w:pPr>
      <w:r>
        <w:rPr>
          <w:rFonts w:hint="eastAsia" w:ascii="宋体" w:hAnsi="宋体" w:eastAsia="宋体" w:cs="宋体"/>
          <w:sz w:val="24"/>
          <w:szCs w:val="24"/>
        </w:rPr>
        <w:t>34.本招标文件的最终解释权归采购人所有。</w:t>
      </w:r>
    </w:p>
    <w:p>
      <w:pPr>
        <w:autoSpaceDE w:val="0"/>
        <w:autoSpaceDN w:val="0"/>
        <w:adjustRightInd w:val="0"/>
        <w:spacing w:line="460" w:lineRule="exact"/>
        <w:ind w:firstLine="482" w:firstLineChars="200"/>
        <w:rPr>
          <w:rFonts w:ascii="宋体" w:hAnsi="宋体" w:eastAsia="宋体" w:cs="宋体"/>
          <w:b/>
          <w:bCs/>
          <w:sz w:val="24"/>
          <w:szCs w:val="24"/>
        </w:rPr>
        <w:sectPr>
          <w:footerReference r:id="rId7" w:type="first"/>
          <w:footerReference r:id="rId6" w:type="default"/>
          <w:pgSz w:w="11906" w:h="16838"/>
          <w:pgMar w:top="1587" w:right="1587" w:bottom="1587" w:left="1587" w:header="1247" w:footer="992" w:gutter="0"/>
          <w:cols w:space="0" w:num="1"/>
          <w:docGrid w:linePitch="312" w:charSpace="0"/>
        </w:sectPr>
      </w:pPr>
    </w:p>
    <w:p>
      <w:pPr>
        <w:autoSpaceDE w:val="0"/>
        <w:autoSpaceDN w:val="0"/>
        <w:adjustRightInd w:val="0"/>
        <w:spacing w:line="800" w:lineRule="exact"/>
        <w:jc w:val="center"/>
        <w:outlineLvl w:val="0"/>
        <w:rPr>
          <w:rFonts w:ascii="宋体" w:hAnsi="宋体" w:eastAsia="宋体" w:cs="宋体"/>
          <w:b/>
          <w:bCs/>
          <w:sz w:val="44"/>
          <w:szCs w:val="44"/>
          <w:lang w:val="zh-CN"/>
        </w:rPr>
      </w:pPr>
      <w:bookmarkStart w:id="55" w:name="_Toc12949"/>
      <w:bookmarkStart w:id="56" w:name="_Toc179456560"/>
      <w:bookmarkStart w:id="57" w:name="_Toc181344351"/>
      <w:bookmarkStart w:id="58" w:name="_Toc270946198"/>
      <w:bookmarkStart w:id="59" w:name="_Toc181348162"/>
      <w:bookmarkStart w:id="60" w:name="_Toc267574131"/>
      <w:r>
        <w:rPr>
          <w:rFonts w:hint="eastAsia" w:ascii="宋体" w:hAnsi="宋体" w:eastAsia="宋体" w:cs="宋体"/>
          <w:b/>
          <w:bCs/>
          <w:sz w:val="44"/>
          <w:szCs w:val="44"/>
          <w:lang w:val="zh-CN"/>
        </w:rPr>
        <w:t>第四部分 评标办法</w:t>
      </w:r>
      <w:bookmarkEnd w:id="55"/>
    </w:p>
    <w:p>
      <w:pPr>
        <w:autoSpaceDE w:val="0"/>
        <w:autoSpaceDN w:val="0"/>
        <w:adjustRightInd w:val="0"/>
        <w:spacing w:line="324" w:lineRule="auto"/>
        <w:rPr>
          <w:rFonts w:ascii="宋体" w:hAnsi="宋体" w:eastAsia="宋体" w:cs="宋体"/>
          <w:b/>
          <w:bCs/>
          <w:sz w:val="36"/>
          <w:szCs w:val="36"/>
        </w:rPr>
      </w:pPr>
      <w:r>
        <w:rPr>
          <w:rFonts w:hint="eastAsia" w:ascii="宋体" w:hAnsi="宋体" w:eastAsia="宋体" w:cs="宋体"/>
          <w:b/>
          <w:szCs w:val="21"/>
        </w:rPr>
        <w:t>一、投标文件的审查：</w:t>
      </w:r>
      <w:r>
        <w:rPr>
          <w:rFonts w:hint="eastAsia" w:ascii="宋体" w:hAnsi="宋体" w:eastAsia="宋体" w:cs="宋体"/>
          <w:b/>
          <w:szCs w:val="21"/>
        </w:rPr>
        <w:tab/>
      </w:r>
    </w:p>
    <w:tbl>
      <w:tblPr>
        <w:tblStyle w:val="27"/>
        <w:tblW w:w="9245" w:type="dxa"/>
        <w:jc w:val="center"/>
        <w:tblInd w:w="-9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2166"/>
        <w:gridCol w:w="2580"/>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exact"/>
          <w:jc w:val="center"/>
        </w:trPr>
        <w:tc>
          <w:tcPr>
            <w:tcW w:w="1380" w:type="dxa"/>
            <w:tcMar>
              <w:left w:w="57" w:type="dxa"/>
              <w:right w:w="57" w:type="dxa"/>
            </w:tcMar>
            <w:vAlign w:val="center"/>
          </w:tcPr>
          <w:p>
            <w:pPr>
              <w:spacing w:line="360" w:lineRule="exact"/>
              <w:jc w:val="center"/>
              <w:rPr>
                <w:rFonts w:ascii="宋体" w:hAnsi="宋体" w:eastAsia="宋体" w:cs="宋体"/>
                <w:b/>
                <w:szCs w:val="21"/>
              </w:rPr>
            </w:pPr>
            <w:r>
              <w:rPr>
                <w:rFonts w:hint="eastAsia" w:ascii="宋体" w:hAnsi="宋体" w:eastAsia="宋体" w:cs="宋体"/>
                <w:b/>
                <w:szCs w:val="21"/>
              </w:rPr>
              <w:t>条款号</w:t>
            </w:r>
          </w:p>
        </w:tc>
        <w:tc>
          <w:tcPr>
            <w:tcW w:w="2166" w:type="dxa"/>
            <w:vAlign w:val="center"/>
          </w:tcPr>
          <w:p>
            <w:pPr>
              <w:spacing w:line="360" w:lineRule="exact"/>
              <w:jc w:val="center"/>
              <w:rPr>
                <w:rFonts w:ascii="宋体" w:hAnsi="宋体" w:eastAsia="宋体" w:cs="宋体"/>
                <w:b/>
                <w:szCs w:val="21"/>
              </w:rPr>
            </w:pPr>
            <w:r>
              <w:rPr>
                <w:rFonts w:hint="eastAsia" w:ascii="宋体" w:hAnsi="宋体" w:eastAsia="宋体" w:cs="宋体"/>
                <w:b/>
                <w:szCs w:val="21"/>
              </w:rPr>
              <w:t>评审因素</w:t>
            </w:r>
          </w:p>
        </w:tc>
        <w:tc>
          <w:tcPr>
            <w:tcW w:w="2580" w:type="dxa"/>
            <w:vAlign w:val="center"/>
          </w:tcPr>
          <w:p>
            <w:pPr>
              <w:spacing w:line="360" w:lineRule="exact"/>
              <w:jc w:val="center"/>
              <w:rPr>
                <w:rFonts w:ascii="宋体" w:hAnsi="宋体" w:eastAsia="宋体" w:cs="宋体"/>
                <w:b/>
                <w:szCs w:val="21"/>
              </w:rPr>
            </w:pPr>
            <w:r>
              <w:rPr>
                <w:rFonts w:hint="eastAsia" w:ascii="宋体" w:hAnsi="宋体" w:eastAsia="宋体" w:cs="宋体"/>
                <w:b/>
                <w:szCs w:val="21"/>
              </w:rPr>
              <w:t>评审标准</w:t>
            </w:r>
          </w:p>
        </w:tc>
        <w:tc>
          <w:tcPr>
            <w:tcW w:w="3119" w:type="dxa"/>
            <w:vAlign w:val="center"/>
          </w:tcPr>
          <w:p>
            <w:pPr>
              <w:spacing w:line="360" w:lineRule="exact"/>
              <w:jc w:val="center"/>
              <w:rPr>
                <w:rFonts w:ascii="宋体" w:hAnsi="宋体" w:eastAsia="宋体" w:cs="宋体"/>
                <w:b/>
                <w:szCs w:val="21"/>
              </w:rPr>
            </w:pPr>
            <w:r>
              <w:rPr>
                <w:rFonts w:hint="eastAsia" w:ascii="宋体" w:hAnsi="宋体" w:eastAsia="宋体" w:cs="宋体"/>
                <w:b/>
                <w:szCs w:val="21"/>
              </w:rPr>
              <w:t>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1380" w:type="dxa"/>
            <w:vMerge w:val="restart"/>
            <w:vAlign w:val="center"/>
          </w:tcPr>
          <w:p>
            <w:pPr>
              <w:spacing w:line="360" w:lineRule="exact"/>
              <w:jc w:val="center"/>
              <w:rPr>
                <w:rFonts w:ascii="宋体" w:hAnsi="宋体" w:eastAsia="宋体" w:cs="宋体"/>
                <w:szCs w:val="21"/>
              </w:rPr>
            </w:pPr>
            <w:r>
              <w:rPr>
                <w:rFonts w:hint="eastAsia" w:ascii="宋体" w:hAnsi="宋体" w:eastAsia="宋体" w:cs="宋体"/>
                <w:szCs w:val="21"/>
              </w:rPr>
              <w:t>资格性审查</w:t>
            </w:r>
          </w:p>
        </w:tc>
        <w:tc>
          <w:tcPr>
            <w:tcW w:w="2166" w:type="dxa"/>
            <w:vAlign w:val="center"/>
          </w:tcPr>
          <w:p>
            <w:pPr>
              <w:spacing w:line="360" w:lineRule="exact"/>
              <w:rPr>
                <w:rFonts w:ascii="宋体" w:hAnsi="宋体" w:eastAsia="宋体" w:cs="宋体"/>
                <w:szCs w:val="21"/>
              </w:rPr>
            </w:pPr>
            <w:r>
              <w:rPr>
                <w:rFonts w:hint="eastAsia" w:ascii="宋体" w:hAnsi="宋体" w:eastAsia="宋体" w:cs="宋体"/>
                <w:szCs w:val="21"/>
              </w:rPr>
              <w:t>营业执照</w:t>
            </w:r>
          </w:p>
        </w:tc>
        <w:tc>
          <w:tcPr>
            <w:tcW w:w="2580" w:type="dxa"/>
            <w:vAlign w:val="center"/>
          </w:tcPr>
          <w:p>
            <w:pPr>
              <w:spacing w:line="360" w:lineRule="exact"/>
              <w:rPr>
                <w:rFonts w:ascii="宋体" w:hAnsi="宋体" w:eastAsia="宋体" w:cs="宋体"/>
                <w:szCs w:val="21"/>
              </w:rPr>
            </w:pPr>
            <w:r>
              <w:rPr>
                <w:rFonts w:hint="eastAsia" w:ascii="宋体" w:hAnsi="宋体" w:eastAsia="宋体" w:cs="宋体"/>
                <w:szCs w:val="21"/>
              </w:rPr>
              <w:t>合法有效</w:t>
            </w:r>
          </w:p>
        </w:tc>
        <w:tc>
          <w:tcPr>
            <w:tcW w:w="3119" w:type="dxa"/>
            <w:vMerge w:val="restart"/>
            <w:vAlign w:val="center"/>
          </w:tcPr>
          <w:p>
            <w:pPr>
              <w:adjustRightInd w:val="0"/>
              <w:snapToGrid w:val="0"/>
              <w:spacing w:line="360" w:lineRule="exact"/>
              <w:ind w:right="-10"/>
              <w:rPr>
                <w:rFonts w:ascii="宋体" w:hAnsi="宋体" w:eastAsia="宋体" w:cs="宋体"/>
                <w:szCs w:val="21"/>
              </w:rPr>
            </w:pPr>
            <w:r>
              <w:rPr>
                <w:rFonts w:hint="eastAsia" w:ascii="宋体" w:hAnsi="宋体" w:eastAsia="宋体" w:cs="宋体"/>
                <w:szCs w:val="21"/>
              </w:rPr>
              <w:t>提供营业执照、税务登记证和组织机构代码证的原件或复印件（或三证合一的营业执照副本复印件）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380" w:type="dxa"/>
            <w:vMerge w:val="continue"/>
            <w:vAlign w:val="center"/>
          </w:tcPr>
          <w:p>
            <w:pPr>
              <w:spacing w:line="360" w:lineRule="exact"/>
              <w:jc w:val="center"/>
              <w:rPr>
                <w:rFonts w:ascii="宋体" w:hAnsi="宋体" w:eastAsia="宋体" w:cs="宋体"/>
                <w:szCs w:val="21"/>
              </w:rPr>
            </w:pPr>
          </w:p>
        </w:tc>
        <w:tc>
          <w:tcPr>
            <w:tcW w:w="2166" w:type="dxa"/>
            <w:vAlign w:val="center"/>
          </w:tcPr>
          <w:p>
            <w:pPr>
              <w:spacing w:line="360" w:lineRule="exact"/>
              <w:rPr>
                <w:rFonts w:ascii="宋体" w:hAnsi="宋体" w:eastAsia="宋体" w:cs="宋体"/>
                <w:szCs w:val="21"/>
              </w:rPr>
            </w:pPr>
            <w:r>
              <w:rPr>
                <w:rFonts w:hint="eastAsia" w:ascii="宋体" w:hAnsi="宋体" w:eastAsia="宋体" w:cs="宋体"/>
                <w:szCs w:val="21"/>
              </w:rPr>
              <w:t>税务登记证</w:t>
            </w:r>
          </w:p>
        </w:tc>
        <w:tc>
          <w:tcPr>
            <w:tcW w:w="2580" w:type="dxa"/>
            <w:vAlign w:val="center"/>
          </w:tcPr>
          <w:p>
            <w:pPr>
              <w:spacing w:line="360" w:lineRule="exact"/>
              <w:rPr>
                <w:rFonts w:ascii="宋体" w:hAnsi="宋体" w:eastAsia="宋体" w:cs="宋体"/>
                <w:szCs w:val="21"/>
              </w:rPr>
            </w:pPr>
            <w:r>
              <w:rPr>
                <w:rFonts w:hint="eastAsia" w:ascii="宋体" w:hAnsi="宋体" w:eastAsia="宋体" w:cs="宋体"/>
                <w:szCs w:val="21"/>
              </w:rPr>
              <w:t>合法有效</w:t>
            </w:r>
          </w:p>
        </w:tc>
        <w:tc>
          <w:tcPr>
            <w:tcW w:w="3119" w:type="dxa"/>
            <w:vMerge w:val="continue"/>
          </w:tcPr>
          <w:p>
            <w:pPr>
              <w:spacing w:line="36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1380" w:type="dxa"/>
            <w:vMerge w:val="continue"/>
            <w:vAlign w:val="center"/>
          </w:tcPr>
          <w:p>
            <w:pPr>
              <w:spacing w:line="360" w:lineRule="exact"/>
              <w:jc w:val="center"/>
              <w:rPr>
                <w:rFonts w:ascii="宋体" w:hAnsi="宋体" w:eastAsia="宋体" w:cs="宋体"/>
                <w:szCs w:val="21"/>
              </w:rPr>
            </w:pPr>
          </w:p>
        </w:tc>
        <w:tc>
          <w:tcPr>
            <w:tcW w:w="2166" w:type="dxa"/>
            <w:vAlign w:val="center"/>
          </w:tcPr>
          <w:p>
            <w:pPr>
              <w:spacing w:line="360" w:lineRule="exact"/>
              <w:rPr>
                <w:rFonts w:ascii="宋体" w:hAnsi="宋体" w:eastAsia="宋体" w:cs="宋体"/>
                <w:szCs w:val="21"/>
              </w:rPr>
            </w:pPr>
            <w:r>
              <w:rPr>
                <w:rFonts w:hint="eastAsia" w:ascii="宋体" w:hAnsi="宋体" w:eastAsia="宋体" w:cs="宋体"/>
                <w:szCs w:val="21"/>
              </w:rPr>
              <w:t>组织机构代码证</w:t>
            </w:r>
          </w:p>
        </w:tc>
        <w:tc>
          <w:tcPr>
            <w:tcW w:w="2580" w:type="dxa"/>
            <w:vAlign w:val="center"/>
          </w:tcPr>
          <w:p>
            <w:pPr>
              <w:spacing w:line="360" w:lineRule="exact"/>
              <w:rPr>
                <w:rFonts w:ascii="宋体" w:hAnsi="宋体" w:eastAsia="宋体" w:cs="宋体"/>
                <w:szCs w:val="21"/>
              </w:rPr>
            </w:pPr>
            <w:r>
              <w:rPr>
                <w:rFonts w:hint="eastAsia" w:ascii="宋体" w:hAnsi="宋体" w:eastAsia="宋体" w:cs="宋体"/>
                <w:szCs w:val="21"/>
              </w:rPr>
              <w:t>合法有效</w:t>
            </w:r>
          </w:p>
        </w:tc>
        <w:tc>
          <w:tcPr>
            <w:tcW w:w="3119" w:type="dxa"/>
            <w:vMerge w:val="continue"/>
          </w:tcPr>
          <w:p>
            <w:pPr>
              <w:spacing w:line="36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380" w:type="dxa"/>
            <w:vMerge w:val="continue"/>
            <w:vAlign w:val="center"/>
          </w:tcPr>
          <w:p>
            <w:pPr>
              <w:spacing w:line="360" w:lineRule="exact"/>
              <w:jc w:val="center"/>
              <w:rPr>
                <w:rFonts w:ascii="宋体" w:hAnsi="宋体" w:eastAsia="宋体" w:cs="宋体"/>
                <w:szCs w:val="21"/>
              </w:rPr>
            </w:pPr>
          </w:p>
        </w:tc>
        <w:tc>
          <w:tcPr>
            <w:tcW w:w="2166" w:type="dxa"/>
            <w:vAlign w:val="center"/>
          </w:tcPr>
          <w:p>
            <w:pPr>
              <w:spacing w:line="360" w:lineRule="exact"/>
              <w:rPr>
                <w:rFonts w:ascii="宋体" w:hAnsi="宋体" w:eastAsia="宋体" w:cs="宋体"/>
                <w:szCs w:val="21"/>
              </w:rPr>
            </w:pPr>
            <w:r>
              <w:rPr>
                <w:rFonts w:hint="eastAsia" w:ascii="宋体" w:hAnsi="宋体" w:eastAsia="宋体" w:cs="宋体"/>
                <w:szCs w:val="21"/>
              </w:rPr>
              <w:t>入选财政部PPP项目咨询机构库</w:t>
            </w:r>
          </w:p>
        </w:tc>
        <w:tc>
          <w:tcPr>
            <w:tcW w:w="2580" w:type="dxa"/>
            <w:vAlign w:val="center"/>
          </w:tcPr>
          <w:p>
            <w:pPr>
              <w:spacing w:line="360" w:lineRule="exact"/>
              <w:rPr>
                <w:rFonts w:ascii="宋体" w:hAnsi="宋体" w:eastAsia="宋体" w:cs="宋体"/>
                <w:szCs w:val="21"/>
              </w:rPr>
            </w:pPr>
            <w:r>
              <w:rPr>
                <w:rFonts w:hint="eastAsia" w:ascii="宋体" w:hAnsi="宋体" w:eastAsia="宋体" w:cs="宋体"/>
                <w:szCs w:val="21"/>
              </w:rPr>
              <w:t>以财政部官网公布的名单为准</w:t>
            </w:r>
          </w:p>
        </w:tc>
        <w:tc>
          <w:tcPr>
            <w:tcW w:w="3119" w:type="dxa"/>
            <w:vAlign w:val="center"/>
          </w:tcPr>
          <w:p>
            <w:pPr>
              <w:spacing w:line="360" w:lineRule="exact"/>
              <w:jc w:val="center"/>
              <w:rPr>
                <w:rFonts w:ascii="宋体" w:hAnsi="宋体" w:eastAsia="宋体" w:cs="宋体"/>
                <w:szCs w:val="21"/>
              </w:rPr>
            </w:pPr>
            <w:r>
              <w:rPr>
                <w:rFonts w:hint="eastAsia" w:ascii="宋体" w:hAnsi="宋体" w:eastAsia="宋体" w:cs="宋体"/>
                <w:szCs w:val="21"/>
              </w:rPr>
              <w:t>财政部官网截图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380" w:type="dxa"/>
            <w:vMerge w:val="continue"/>
            <w:vAlign w:val="center"/>
          </w:tcPr>
          <w:p>
            <w:pPr>
              <w:spacing w:line="360" w:lineRule="exact"/>
              <w:jc w:val="center"/>
              <w:rPr>
                <w:rFonts w:ascii="宋体" w:hAnsi="宋体" w:eastAsia="宋体" w:cs="宋体"/>
                <w:szCs w:val="21"/>
              </w:rPr>
            </w:pPr>
          </w:p>
        </w:tc>
        <w:tc>
          <w:tcPr>
            <w:tcW w:w="2166" w:type="dxa"/>
            <w:vAlign w:val="center"/>
          </w:tcPr>
          <w:p>
            <w:pPr>
              <w:spacing w:line="360" w:lineRule="exact"/>
              <w:rPr>
                <w:rFonts w:ascii="宋体" w:hAnsi="宋体" w:eastAsia="宋体" w:cs="宋体"/>
                <w:szCs w:val="21"/>
              </w:rPr>
            </w:pPr>
            <w:r>
              <w:rPr>
                <w:rFonts w:hint="eastAsia" w:ascii="宋体" w:hAnsi="宋体" w:eastAsia="宋体" w:cs="宋体"/>
                <w:szCs w:val="21"/>
              </w:rPr>
              <w:t>检察机关出具的行贿犯罪档案查询结果告知函</w:t>
            </w:r>
          </w:p>
        </w:tc>
        <w:tc>
          <w:tcPr>
            <w:tcW w:w="2580" w:type="dxa"/>
            <w:vAlign w:val="center"/>
          </w:tcPr>
          <w:p>
            <w:pPr>
              <w:spacing w:line="360" w:lineRule="exact"/>
              <w:rPr>
                <w:rFonts w:ascii="宋体" w:hAnsi="宋体" w:eastAsia="宋体" w:cs="宋体"/>
                <w:szCs w:val="21"/>
              </w:rPr>
            </w:pPr>
            <w:r>
              <w:rPr>
                <w:rFonts w:hint="eastAsia" w:ascii="宋体" w:hAnsi="宋体" w:eastAsia="宋体" w:cs="宋体"/>
                <w:szCs w:val="21"/>
              </w:rPr>
              <w:t>合法有效</w:t>
            </w:r>
          </w:p>
        </w:tc>
        <w:tc>
          <w:tcPr>
            <w:tcW w:w="3119" w:type="dxa"/>
            <w:vAlign w:val="center"/>
          </w:tcPr>
          <w:p>
            <w:pPr>
              <w:spacing w:line="360" w:lineRule="exact"/>
              <w:jc w:val="center"/>
              <w:rPr>
                <w:rFonts w:ascii="宋体" w:hAnsi="宋体" w:eastAsia="宋体" w:cs="宋体"/>
                <w:szCs w:val="21"/>
              </w:rPr>
            </w:pPr>
            <w:r>
              <w:rPr>
                <w:rFonts w:hint="eastAsia" w:ascii="宋体" w:hAnsi="宋体" w:eastAsia="宋体" w:cs="宋体"/>
                <w:szCs w:val="21"/>
              </w:rPr>
              <w:t>原件或复印件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1380" w:type="dxa"/>
            <w:vMerge w:val="restart"/>
            <w:vAlign w:val="center"/>
          </w:tcPr>
          <w:p>
            <w:pPr>
              <w:spacing w:line="360" w:lineRule="exact"/>
              <w:jc w:val="center"/>
              <w:rPr>
                <w:rFonts w:ascii="宋体" w:hAnsi="宋体" w:eastAsia="宋体" w:cs="宋体"/>
                <w:szCs w:val="21"/>
              </w:rPr>
            </w:pPr>
            <w:r>
              <w:rPr>
                <w:rFonts w:hint="eastAsia" w:ascii="宋体" w:hAnsi="宋体" w:eastAsia="宋体" w:cs="宋体"/>
                <w:szCs w:val="21"/>
              </w:rPr>
              <w:t>符合性审查</w:t>
            </w:r>
          </w:p>
        </w:tc>
        <w:tc>
          <w:tcPr>
            <w:tcW w:w="2166" w:type="dxa"/>
            <w:vAlign w:val="center"/>
          </w:tcPr>
          <w:p>
            <w:pPr>
              <w:spacing w:line="360" w:lineRule="exact"/>
              <w:rPr>
                <w:rFonts w:ascii="宋体" w:hAnsi="宋体" w:eastAsia="宋体" w:cs="宋体"/>
                <w:szCs w:val="21"/>
              </w:rPr>
            </w:pPr>
            <w:r>
              <w:rPr>
                <w:rFonts w:hint="eastAsia" w:ascii="宋体" w:hAnsi="宋体" w:eastAsia="宋体" w:cs="宋体"/>
                <w:szCs w:val="21"/>
              </w:rPr>
              <w:t>投标文件格式</w:t>
            </w:r>
          </w:p>
        </w:tc>
        <w:tc>
          <w:tcPr>
            <w:tcW w:w="5699" w:type="dxa"/>
            <w:gridSpan w:val="2"/>
            <w:vAlign w:val="center"/>
          </w:tcPr>
          <w:p>
            <w:pPr>
              <w:spacing w:line="360" w:lineRule="exact"/>
              <w:rPr>
                <w:rFonts w:ascii="宋体" w:hAnsi="宋体" w:eastAsia="宋体" w:cs="宋体"/>
                <w:szCs w:val="21"/>
              </w:rPr>
            </w:pPr>
            <w:r>
              <w:rPr>
                <w:rFonts w:hint="eastAsia" w:ascii="宋体" w:hAnsi="宋体" w:eastAsia="宋体" w:cs="宋体"/>
                <w:szCs w:val="21"/>
              </w:rPr>
              <w:t>符合第六部分要求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1380" w:type="dxa"/>
            <w:vMerge w:val="continue"/>
            <w:vAlign w:val="center"/>
          </w:tcPr>
          <w:p>
            <w:pPr>
              <w:spacing w:line="360" w:lineRule="exact"/>
              <w:jc w:val="center"/>
              <w:rPr>
                <w:rFonts w:ascii="宋体" w:hAnsi="宋体" w:eastAsia="宋体" w:cs="宋体"/>
                <w:szCs w:val="21"/>
              </w:rPr>
            </w:pPr>
          </w:p>
        </w:tc>
        <w:tc>
          <w:tcPr>
            <w:tcW w:w="2166" w:type="dxa"/>
            <w:vAlign w:val="center"/>
          </w:tcPr>
          <w:p>
            <w:pPr>
              <w:spacing w:line="360" w:lineRule="exact"/>
              <w:jc w:val="left"/>
              <w:rPr>
                <w:rFonts w:ascii="宋体" w:hAnsi="宋体" w:eastAsia="宋体" w:cs="宋体"/>
                <w:szCs w:val="21"/>
              </w:rPr>
            </w:pPr>
            <w:r>
              <w:rPr>
                <w:rFonts w:hint="eastAsia" w:ascii="宋体" w:hAnsi="宋体" w:eastAsia="宋体" w:cs="宋体"/>
                <w:szCs w:val="21"/>
              </w:rPr>
              <w:t>签字盖章</w:t>
            </w:r>
          </w:p>
        </w:tc>
        <w:tc>
          <w:tcPr>
            <w:tcW w:w="5699" w:type="dxa"/>
            <w:gridSpan w:val="2"/>
            <w:vAlign w:val="center"/>
          </w:tcPr>
          <w:p>
            <w:pPr>
              <w:spacing w:line="360" w:lineRule="exact"/>
              <w:rPr>
                <w:rFonts w:ascii="宋体" w:hAnsi="宋体" w:eastAsia="宋体" w:cs="宋体"/>
                <w:szCs w:val="21"/>
              </w:rPr>
            </w:pPr>
            <w:r>
              <w:rPr>
                <w:rFonts w:hint="eastAsia" w:ascii="宋体" w:hAnsi="宋体" w:eastAsia="宋体" w:cs="宋体"/>
                <w:szCs w:val="21"/>
              </w:rPr>
              <w:t>投标文件符合招标文件签字盖章要求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1380" w:type="dxa"/>
            <w:vMerge w:val="continue"/>
            <w:vAlign w:val="center"/>
          </w:tcPr>
          <w:p>
            <w:pPr>
              <w:spacing w:line="360" w:lineRule="exact"/>
              <w:jc w:val="center"/>
              <w:rPr>
                <w:rFonts w:ascii="宋体" w:hAnsi="宋体" w:eastAsia="宋体" w:cs="宋体"/>
                <w:szCs w:val="21"/>
              </w:rPr>
            </w:pPr>
          </w:p>
        </w:tc>
        <w:tc>
          <w:tcPr>
            <w:tcW w:w="2166" w:type="dxa"/>
            <w:vAlign w:val="center"/>
          </w:tcPr>
          <w:p>
            <w:pPr>
              <w:spacing w:line="360" w:lineRule="exact"/>
              <w:rPr>
                <w:rFonts w:ascii="宋体" w:hAnsi="宋体" w:eastAsia="宋体" w:cs="宋体"/>
                <w:szCs w:val="21"/>
              </w:rPr>
            </w:pPr>
            <w:r>
              <w:rPr>
                <w:rFonts w:hint="eastAsia" w:ascii="宋体" w:hAnsi="宋体" w:eastAsia="宋体" w:cs="宋体"/>
                <w:szCs w:val="21"/>
              </w:rPr>
              <w:t>投标保证金</w:t>
            </w:r>
          </w:p>
        </w:tc>
        <w:tc>
          <w:tcPr>
            <w:tcW w:w="5699" w:type="dxa"/>
            <w:gridSpan w:val="2"/>
            <w:vAlign w:val="center"/>
          </w:tcPr>
          <w:p>
            <w:pPr>
              <w:spacing w:line="360" w:lineRule="exact"/>
              <w:rPr>
                <w:rFonts w:ascii="宋体" w:hAnsi="宋体" w:eastAsia="宋体" w:cs="宋体"/>
                <w:szCs w:val="21"/>
              </w:rPr>
            </w:pPr>
            <w:r>
              <w:rPr>
                <w:rFonts w:hint="eastAsia" w:ascii="宋体" w:hAnsi="宋体" w:eastAsia="宋体" w:cs="宋体"/>
                <w:szCs w:val="21"/>
              </w:rPr>
              <w:t>符合第三部分“前附表”投标保证金的要求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1380" w:type="dxa"/>
            <w:vMerge w:val="continue"/>
            <w:vAlign w:val="center"/>
          </w:tcPr>
          <w:p>
            <w:pPr>
              <w:spacing w:line="360" w:lineRule="exact"/>
              <w:jc w:val="center"/>
              <w:rPr>
                <w:rFonts w:ascii="宋体" w:hAnsi="宋体" w:eastAsia="宋体" w:cs="宋体"/>
                <w:szCs w:val="21"/>
              </w:rPr>
            </w:pPr>
          </w:p>
        </w:tc>
        <w:tc>
          <w:tcPr>
            <w:tcW w:w="2166" w:type="dxa"/>
            <w:vAlign w:val="center"/>
          </w:tcPr>
          <w:p>
            <w:pPr>
              <w:spacing w:line="360" w:lineRule="exact"/>
              <w:rPr>
                <w:rFonts w:ascii="宋体" w:hAnsi="宋体" w:eastAsia="宋体" w:cs="宋体"/>
                <w:szCs w:val="21"/>
              </w:rPr>
            </w:pPr>
            <w:r>
              <w:rPr>
                <w:rFonts w:hint="eastAsia" w:ascii="宋体" w:hAnsi="宋体" w:eastAsia="宋体" w:cs="宋体"/>
                <w:szCs w:val="21"/>
              </w:rPr>
              <w:t>投标报价</w:t>
            </w:r>
          </w:p>
        </w:tc>
        <w:tc>
          <w:tcPr>
            <w:tcW w:w="5699" w:type="dxa"/>
            <w:gridSpan w:val="2"/>
            <w:vAlign w:val="center"/>
          </w:tcPr>
          <w:p>
            <w:pPr>
              <w:spacing w:line="360" w:lineRule="exact"/>
              <w:rPr>
                <w:rFonts w:ascii="宋体" w:hAnsi="宋体" w:eastAsia="宋体" w:cs="宋体"/>
                <w:szCs w:val="21"/>
              </w:rPr>
            </w:pPr>
            <w:r>
              <w:rPr>
                <w:rFonts w:hint="eastAsia" w:ascii="宋体" w:hAnsi="宋体" w:eastAsia="宋体" w:cs="宋体"/>
                <w:szCs w:val="21"/>
              </w:rPr>
              <w:t>低于（含等于）第三部分“前附表”载明的预算金额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1380" w:type="dxa"/>
            <w:vMerge w:val="continue"/>
            <w:vAlign w:val="center"/>
          </w:tcPr>
          <w:p>
            <w:pPr>
              <w:spacing w:line="360" w:lineRule="exact"/>
              <w:jc w:val="center"/>
              <w:rPr>
                <w:rFonts w:ascii="宋体" w:hAnsi="宋体" w:eastAsia="宋体" w:cs="宋体"/>
                <w:szCs w:val="21"/>
              </w:rPr>
            </w:pPr>
          </w:p>
        </w:tc>
        <w:tc>
          <w:tcPr>
            <w:tcW w:w="2166" w:type="dxa"/>
            <w:vAlign w:val="center"/>
          </w:tcPr>
          <w:p>
            <w:pPr>
              <w:spacing w:line="360" w:lineRule="exact"/>
              <w:rPr>
                <w:rFonts w:ascii="宋体" w:hAnsi="宋体" w:eastAsia="宋体" w:cs="宋体"/>
                <w:szCs w:val="21"/>
              </w:rPr>
            </w:pPr>
            <w:r>
              <w:rPr>
                <w:rFonts w:hint="eastAsia" w:ascii="宋体" w:hAnsi="宋体" w:eastAsia="宋体" w:cs="宋体"/>
                <w:szCs w:val="21"/>
              </w:rPr>
              <w:t>项目需求及其他要求</w:t>
            </w:r>
          </w:p>
        </w:tc>
        <w:tc>
          <w:tcPr>
            <w:tcW w:w="5699" w:type="dxa"/>
            <w:gridSpan w:val="2"/>
            <w:vAlign w:val="center"/>
          </w:tcPr>
          <w:p>
            <w:pPr>
              <w:spacing w:line="360" w:lineRule="exact"/>
              <w:rPr>
                <w:rFonts w:ascii="宋体" w:hAnsi="宋体" w:eastAsia="宋体" w:cs="宋体"/>
                <w:szCs w:val="21"/>
              </w:rPr>
            </w:pPr>
            <w:r>
              <w:rPr>
                <w:rFonts w:hint="eastAsia" w:ascii="宋体" w:hAnsi="宋体" w:eastAsia="宋体" w:cs="宋体"/>
                <w:szCs w:val="21"/>
              </w:rPr>
              <w:t>符合第二部分项目需求及其他要求规定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1380" w:type="dxa"/>
            <w:vMerge w:val="continue"/>
            <w:vAlign w:val="center"/>
          </w:tcPr>
          <w:p>
            <w:pPr>
              <w:spacing w:line="360" w:lineRule="exact"/>
              <w:jc w:val="center"/>
              <w:rPr>
                <w:rFonts w:ascii="宋体" w:hAnsi="宋体" w:eastAsia="宋体" w:cs="宋体"/>
                <w:szCs w:val="21"/>
              </w:rPr>
            </w:pPr>
          </w:p>
        </w:tc>
        <w:tc>
          <w:tcPr>
            <w:tcW w:w="2166" w:type="dxa"/>
            <w:vAlign w:val="center"/>
          </w:tcPr>
          <w:p>
            <w:pPr>
              <w:spacing w:line="360" w:lineRule="exact"/>
              <w:ind w:right="97" w:firstLine="58" w:firstLineChars="28"/>
              <w:jc w:val="left"/>
              <w:rPr>
                <w:rFonts w:ascii="宋体" w:hAnsi="宋体" w:eastAsia="宋体" w:cs="宋体"/>
                <w:spacing w:val="1"/>
                <w:szCs w:val="21"/>
              </w:rPr>
            </w:pPr>
            <w:r>
              <w:rPr>
                <w:rFonts w:hint="eastAsia" w:ascii="宋体" w:hAnsi="宋体" w:eastAsia="宋体" w:cs="宋体"/>
                <w:szCs w:val="21"/>
              </w:rPr>
              <w:t>服务要求</w:t>
            </w:r>
          </w:p>
        </w:tc>
        <w:tc>
          <w:tcPr>
            <w:tcW w:w="5699" w:type="dxa"/>
            <w:gridSpan w:val="2"/>
            <w:vAlign w:val="center"/>
          </w:tcPr>
          <w:p>
            <w:pPr>
              <w:spacing w:line="360" w:lineRule="exact"/>
              <w:ind w:right="97" w:firstLine="59" w:firstLineChars="28"/>
              <w:rPr>
                <w:rFonts w:ascii="宋体" w:hAnsi="宋体" w:eastAsia="宋体" w:cs="宋体"/>
                <w:spacing w:val="1"/>
                <w:szCs w:val="21"/>
              </w:rPr>
            </w:pPr>
            <w:r>
              <w:rPr>
                <w:rFonts w:hint="eastAsia" w:ascii="宋体" w:hAnsi="宋体" w:eastAsia="宋体" w:cs="宋体"/>
                <w:spacing w:val="1"/>
                <w:szCs w:val="21"/>
              </w:rPr>
              <w:t>符合现行国家PPP政策，通过相关部门审核批准</w:t>
            </w:r>
          </w:p>
        </w:tc>
      </w:tr>
    </w:tbl>
    <w:p>
      <w:pPr>
        <w:spacing w:line="360" w:lineRule="auto"/>
        <w:rPr>
          <w:rFonts w:ascii="宋体" w:hAnsi="宋体" w:eastAsia="宋体" w:cs="宋体"/>
          <w:szCs w:val="24"/>
        </w:rPr>
      </w:pPr>
    </w:p>
    <w:p>
      <w:pPr>
        <w:spacing w:line="360" w:lineRule="auto"/>
        <w:ind w:firstLine="420" w:firstLineChars="200"/>
        <w:rPr>
          <w:rFonts w:ascii="宋体" w:hAnsi="宋体" w:eastAsia="宋体" w:cs="宋体"/>
          <w:b/>
          <w:szCs w:val="21"/>
        </w:rPr>
      </w:pPr>
      <w:r>
        <w:rPr>
          <w:rFonts w:hint="eastAsia" w:ascii="宋体" w:hAnsi="宋体" w:eastAsia="宋体" w:cs="宋体"/>
          <w:szCs w:val="24"/>
        </w:rPr>
        <w:t>注：各项评审内容有一项不满足即视为未响应招标文件实质性要求，不能通过初步评审，并作无效投标处理</w:t>
      </w:r>
    </w:p>
    <w:p>
      <w:pPr>
        <w:autoSpaceDE w:val="0"/>
        <w:autoSpaceDN w:val="0"/>
        <w:adjustRightIn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二、本项目采用综合评分法，满分100分。</w:t>
      </w:r>
    </w:p>
    <w:p>
      <w:pPr>
        <w:autoSpaceDE w:val="0"/>
        <w:autoSpaceDN w:val="0"/>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评标小组对所有供应商进行综合审查，以确定其是否实质性响应招标文件，根据评分标准，采用综合评分法进行评分，按综合得分高低评定中标供应商和中标候选供应商。</w:t>
      </w:r>
    </w:p>
    <w:p>
      <w:pPr>
        <w:autoSpaceDE w:val="0"/>
        <w:autoSpaceDN w:val="0"/>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采用综合评标法的项目，按以下规则进行评审：</w:t>
      </w:r>
    </w:p>
    <w:p>
      <w:pPr>
        <w:autoSpaceDE w:val="0"/>
        <w:autoSpaceDN w:val="0"/>
        <w:adjustRightIn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评委对供应商各项打分相加后为专家评审分，全部专家评审分进行算术平均后的得分为投标供应商的最终得分，按得分由高到低进行排列。得分相同的，按投标报价由低到高顺序排列，得分且报价相同的，按技术指标优劣顺序排列。技术相同的，由评标专家投票确定中标供应商或中标候选供应商排序。</w:t>
      </w:r>
    </w:p>
    <w:p>
      <w:pPr>
        <w:autoSpaceDE w:val="0"/>
        <w:autoSpaceDN w:val="0"/>
        <w:adjustRightInd w:val="0"/>
        <w:spacing w:line="360" w:lineRule="auto"/>
        <w:ind w:firstLine="480" w:firstLineChars="200"/>
        <w:rPr>
          <w:rFonts w:ascii="宋体" w:hAnsi="宋体" w:eastAsia="宋体" w:cs="宋体"/>
          <w:sz w:val="24"/>
          <w:szCs w:val="24"/>
        </w:rPr>
        <w:sectPr>
          <w:pgSz w:w="11906" w:h="16838"/>
          <w:pgMar w:top="1587" w:right="1587" w:bottom="1587" w:left="1587" w:header="1247" w:footer="992" w:gutter="0"/>
          <w:cols w:space="0" w:num="1"/>
          <w:docGrid w:linePitch="312" w:charSpace="0"/>
        </w:sectPr>
      </w:pPr>
      <w:r>
        <w:rPr>
          <w:rFonts w:hint="eastAsia" w:ascii="宋体" w:hAnsi="宋体" w:eastAsia="宋体" w:cs="宋体"/>
          <w:sz w:val="24"/>
          <w:szCs w:val="24"/>
        </w:rPr>
        <w:t>2、评标委员会根据全体评标成员签字的原始评标记录和评标结果，将候选中标供应商的排序名单提交给采购人，采购人按照评标委员会评标报告中推荐的中标候选供应商顺序确定中标供应商。</w:t>
      </w:r>
    </w:p>
    <w:tbl>
      <w:tblPr>
        <w:tblStyle w:val="27"/>
        <w:tblW w:w="13110" w:type="dxa"/>
        <w:jc w:val="center"/>
        <w:tblInd w:w="-6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701"/>
        <w:gridCol w:w="708"/>
        <w:gridCol w:w="6050"/>
        <w:gridCol w:w="3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1"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pPr>
              <w:jc w:val="center"/>
              <w:rPr>
                <w:b/>
                <w:sz w:val="20"/>
                <w:szCs w:val="18"/>
              </w:rPr>
            </w:pPr>
            <w:r>
              <w:rPr>
                <w:rFonts w:hint="eastAsia"/>
                <w:b/>
                <w:sz w:val="20"/>
                <w:szCs w:val="18"/>
              </w:rPr>
              <w:t>序号</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b/>
                <w:sz w:val="20"/>
                <w:szCs w:val="18"/>
              </w:rPr>
            </w:pPr>
            <w:r>
              <w:rPr>
                <w:rFonts w:hint="eastAsia"/>
                <w:b/>
                <w:sz w:val="20"/>
                <w:szCs w:val="18"/>
              </w:rPr>
              <w:t>评分因素</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b/>
                <w:sz w:val="20"/>
                <w:szCs w:val="18"/>
              </w:rPr>
            </w:pPr>
            <w:r>
              <w:rPr>
                <w:rFonts w:hint="eastAsia"/>
                <w:b/>
                <w:sz w:val="20"/>
                <w:szCs w:val="18"/>
              </w:rPr>
              <w:t>分值</w:t>
            </w:r>
          </w:p>
        </w:tc>
        <w:tc>
          <w:tcPr>
            <w:tcW w:w="6050" w:type="dxa"/>
            <w:tcBorders>
              <w:top w:val="single" w:color="auto" w:sz="4" w:space="0"/>
              <w:left w:val="single" w:color="auto" w:sz="4" w:space="0"/>
              <w:bottom w:val="single" w:color="auto" w:sz="4" w:space="0"/>
              <w:right w:val="single" w:color="auto" w:sz="4" w:space="0"/>
            </w:tcBorders>
            <w:vAlign w:val="center"/>
          </w:tcPr>
          <w:p>
            <w:pPr>
              <w:jc w:val="center"/>
              <w:rPr>
                <w:b/>
                <w:sz w:val="20"/>
                <w:szCs w:val="18"/>
              </w:rPr>
            </w:pPr>
            <w:r>
              <w:rPr>
                <w:rFonts w:hint="eastAsia"/>
                <w:b/>
                <w:sz w:val="20"/>
                <w:szCs w:val="18"/>
              </w:rPr>
              <w:t>评分标准</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b/>
                <w:sz w:val="20"/>
                <w:szCs w:val="18"/>
              </w:rPr>
            </w:pPr>
            <w:r>
              <w:rPr>
                <w:rFonts w:hint="eastAsia"/>
                <w:sz w:val="20"/>
                <w:szCs w:val="18"/>
              </w:rPr>
              <w:t>说</w:t>
            </w:r>
            <w:r>
              <w:rPr>
                <w:sz w:val="20"/>
                <w:szCs w:val="18"/>
              </w:rPr>
              <w:t xml:space="preserve">    </w:t>
            </w:r>
            <w:r>
              <w:rPr>
                <w:rFonts w:hint="eastAsia"/>
                <w:sz w:val="20"/>
                <w:szCs w:val="18"/>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9"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pPr>
              <w:jc w:val="center"/>
              <w:rPr>
                <w:sz w:val="20"/>
                <w:szCs w:val="18"/>
              </w:rPr>
            </w:pPr>
            <w:r>
              <w:rPr>
                <w:sz w:val="20"/>
                <w:szCs w:val="18"/>
              </w:rPr>
              <w:t>1</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eastAsia="宋体" w:cs="宋体"/>
                <w:kern w:val="0"/>
                <w:szCs w:val="21"/>
              </w:rPr>
            </w:pPr>
            <w:r>
              <w:rPr>
                <w:rFonts w:hint="eastAsia" w:ascii="宋体" w:hAnsi="宋体" w:eastAsia="宋体" w:cs="宋体"/>
                <w:kern w:val="0"/>
                <w:szCs w:val="21"/>
              </w:rPr>
              <w:t>投标报价</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sz w:val="20"/>
                <w:szCs w:val="18"/>
              </w:rPr>
            </w:pPr>
            <w:r>
              <w:rPr>
                <w:sz w:val="20"/>
                <w:szCs w:val="18"/>
              </w:rPr>
              <w:t>10</w:t>
            </w:r>
          </w:p>
        </w:tc>
        <w:tc>
          <w:tcPr>
            <w:tcW w:w="6050" w:type="dxa"/>
            <w:tcBorders>
              <w:top w:val="single" w:color="auto" w:sz="4" w:space="0"/>
              <w:left w:val="single" w:color="auto" w:sz="4" w:space="0"/>
              <w:bottom w:val="single" w:color="auto" w:sz="4" w:space="0"/>
              <w:right w:val="single" w:color="auto" w:sz="4" w:space="0"/>
            </w:tcBorders>
            <w:vAlign w:val="center"/>
          </w:tcPr>
          <w:p>
            <w:pPr>
              <w:rPr>
                <w:sz w:val="20"/>
                <w:szCs w:val="18"/>
              </w:rPr>
            </w:pPr>
            <w:r>
              <w:rPr>
                <w:rFonts w:hint="eastAsia"/>
                <w:sz w:val="20"/>
                <w:szCs w:val="18"/>
              </w:rPr>
              <w:t>按满足招标文件要求且有效投标价格最低的投标报价作为评标基准价，其价格分为满分；其他投标人的价格分按以下公式计算：</w:t>
            </w:r>
          </w:p>
          <w:p>
            <w:pPr>
              <w:rPr>
                <w:sz w:val="20"/>
                <w:szCs w:val="18"/>
              </w:rPr>
            </w:pPr>
            <w:r>
              <w:rPr>
                <w:rFonts w:hint="eastAsia"/>
                <w:sz w:val="20"/>
                <w:szCs w:val="18"/>
              </w:rPr>
              <w:t>投标报价得分</w:t>
            </w:r>
            <w:r>
              <w:rPr>
                <w:sz w:val="20"/>
                <w:szCs w:val="18"/>
              </w:rPr>
              <w:t>=</w:t>
            </w:r>
            <w:r>
              <w:rPr>
                <w:rFonts w:hint="eastAsia"/>
                <w:sz w:val="20"/>
                <w:szCs w:val="18"/>
              </w:rPr>
              <w:t>（评标基准价</w:t>
            </w:r>
            <w:r>
              <w:rPr>
                <w:sz w:val="20"/>
                <w:szCs w:val="18"/>
              </w:rPr>
              <w:t>/</w:t>
            </w:r>
            <w:r>
              <w:rPr>
                <w:rFonts w:hint="eastAsia"/>
                <w:sz w:val="20"/>
                <w:szCs w:val="18"/>
              </w:rPr>
              <w:t>投标报价）×</w:t>
            </w:r>
            <w:r>
              <w:rPr>
                <w:sz w:val="20"/>
                <w:szCs w:val="18"/>
              </w:rPr>
              <w:t>10</w:t>
            </w:r>
            <w:r>
              <w:rPr>
                <w:rFonts w:hint="eastAsia"/>
                <w:sz w:val="20"/>
                <w:szCs w:val="18"/>
              </w:rPr>
              <w:t>。</w:t>
            </w:r>
          </w:p>
        </w:tc>
        <w:tc>
          <w:tcPr>
            <w:tcW w:w="3990" w:type="dxa"/>
            <w:tcBorders>
              <w:top w:val="single" w:color="auto" w:sz="4" w:space="0"/>
              <w:left w:val="single" w:color="auto" w:sz="4" w:space="0"/>
              <w:bottom w:val="single" w:color="auto" w:sz="4" w:space="0"/>
              <w:right w:val="single" w:color="auto" w:sz="4" w:space="0"/>
            </w:tcBorders>
            <w:vAlign w:val="center"/>
          </w:tcPr>
          <w:p>
            <w:pPr>
              <w:rPr>
                <w:sz w:val="20"/>
                <w:szCs w:val="18"/>
              </w:rPr>
            </w:pPr>
            <w:r>
              <w:rPr>
                <w:rFonts w:hint="eastAsia"/>
                <w:sz w:val="20"/>
                <w:szCs w:val="18"/>
              </w:rPr>
              <w:t>以投标报价一览表为准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9"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pPr>
              <w:jc w:val="center"/>
              <w:rPr>
                <w:sz w:val="20"/>
                <w:szCs w:val="18"/>
              </w:rPr>
            </w:pPr>
            <w:r>
              <w:rPr>
                <w:rFonts w:hint="eastAsia"/>
                <w:sz w:val="20"/>
                <w:szCs w:val="18"/>
              </w:rPr>
              <w:t>2</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eastAsia="宋体" w:cs="宋体"/>
                <w:kern w:val="0"/>
                <w:szCs w:val="21"/>
              </w:rPr>
            </w:pPr>
            <w:r>
              <w:rPr>
                <w:rFonts w:hint="eastAsia" w:ascii="宋体" w:hAnsi="宋体" w:eastAsia="宋体" w:cs="宋体"/>
                <w:kern w:val="0"/>
                <w:szCs w:val="21"/>
              </w:rPr>
              <w:t>信誉</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sz w:val="20"/>
                <w:szCs w:val="18"/>
              </w:rPr>
            </w:pPr>
            <w:r>
              <w:rPr>
                <w:rFonts w:hint="eastAsia"/>
                <w:sz w:val="20"/>
                <w:szCs w:val="18"/>
              </w:rPr>
              <w:t>4</w:t>
            </w:r>
          </w:p>
        </w:tc>
        <w:tc>
          <w:tcPr>
            <w:tcW w:w="6050" w:type="dxa"/>
            <w:tcBorders>
              <w:top w:val="single" w:color="auto" w:sz="4" w:space="0"/>
              <w:left w:val="single" w:color="auto" w:sz="4" w:space="0"/>
              <w:bottom w:val="single" w:color="auto" w:sz="4" w:space="0"/>
              <w:right w:val="single" w:color="auto" w:sz="4" w:space="0"/>
            </w:tcBorders>
            <w:vAlign w:val="center"/>
          </w:tcPr>
          <w:p>
            <w:pPr>
              <w:rPr>
                <w:sz w:val="20"/>
                <w:szCs w:val="18"/>
              </w:rPr>
            </w:pPr>
            <w:r>
              <w:rPr>
                <w:rFonts w:hint="eastAsia"/>
                <w:sz w:val="20"/>
                <w:szCs w:val="18"/>
              </w:rPr>
              <w:t>投标人提供</w:t>
            </w:r>
            <w:r>
              <w:rPr>
                <w:sz w:val="20"/>
                <w:szCs w:val="18"/>
              </w:rPr>
              <w:t>2015</w:t>
            </w:r>
            <w:r>
              <w:rPr>
                <w:rFonts w:hint="eastAsia"/>
                <w:sz w:val="20"/>
                <w:szCs w:val="18"/>
              </w:rPr>
              <w:t>年度、</w:t>
            </w:r>
            <w:r>
              <w:rPr>
                <w:sz w:val="20"/>
                <w:szCs w:val="18"/>
              </w:rPr>
              <w:t>2016</w:t>
            </w:r>
            <w:r>
              <w:rPr>
                <w:rFonts w:hint="eastAsia"/>
                <w:sz w:val="20"/>
                <w:szCs w:val="18"/>
              </w:rPr>
              <w:t>年度经过中介机构审计的财务审计报告，企业财务状况良好，每个年度</w:t>
            </w:r>
            <w:r>
              <w:rPr>
                <w:sz w:val="20"/>
                <w:szCs w:val="18"/>
              </w:rPr>
              <w:t>2</w:t>
            </w:r>
            <w:r>
              <w:rPr>
                <w:rFonts w:hint="eastAsia"/>
                <w:sz w:val="20"/>
                <w:szCs w:val="18"/>
              </w:rPr>
              <w:t>分，满分</w:t>
            </w:r>
            <w:r>
              <w:rPr>
                <w:sz w:val="20"/>
                <w:szCs w:val="18"/>
              </w:rPr>
              <w:t>4</w:t>
            </w:r>
            <w:r>
              <w:rPr>
                <w:rFonts w:hint="eastAsia"/>
                <w:sz w:val="20"/>
                <w:szCs w:val="18"/>
              </w:rPr>
              <w:t>分。</w:t>
            </w:r>
          </w:p>
        </w:tc>
        <w:tc>
          <w:tcPr>
            <w:tcW w:w="3990" w:type="dxa"/>
            <w:tcBorders>
              <w:top w:val="single" w:color="auto" w:sz="4" w:space="0"/>
              <w:left w:val="single" w:color="auto" w:sz="4" w:space="0"/>
              <w:bottom w:val="single" w:color="auto" w:sz="4" w:space="0"/>
              <w:right w:val="single" w:color="auto" w:sz="4" w:space="0"/>
            </w:tcBorders>
            <w:vAlign w:val="center"/>
          </w:tcPr>
          <w:p>
            <w:pPr>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9"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pPr>
              <w:jc w:val="center"/>
              <w:rPr>
                <w:sz w:val="20"/>
                <w:szCs w:val="18"/>
              </w:rPr>
            </w:pPr>
            <w:r>
              <w:rPr>
                <w:rFonts w:hint="eastAsia"/>
                <w:sz w:val="20"/>
                <w:szCs w:val="18"/>
              </w:rPr>
              <w:t>3</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eastAsia="宋体" w:cs="宋体"/>
                <w:kern w:val="0"/>
                <w:szCs w:val="21"/>
              </w:rPr>
            </w:pPr>
            <w:r>
              <w:rPr>
                <w:rFonts w:hint="eastAsia" w:ascii="宋体" w:hAnsi="宋体" w:eastAsia="宋体" w:cs="宋体"/>
                <w:kern w:val="0"/>
                <w:szCs w:val="21"/>
              </w:rPr>
              <w:t>投标文件规范程度</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sz w:val="20"/>
                <w:szCs w:val="18"/>
              </w:rPr>
            </w:pPr>
            <w:r>
              <w:rPr>
                <w:rFonts w:hint="eastAsia"/>
                <w:sz w:val="20"/>
                <w:szCs w:val="18"/>
              </w:rPr>
              <w:t>2</w:t>
            </w:r>
          </w:p>
        </w:tc>
        <w:tc>
          <w:tcPr>
            <w:tcW w:w="6050" w:type="dxa"/>
            <w:tcBorders>
              <w:top w:val="single" w:color="auto" w:sz="4" w:space="0"/>
              <w:left w:val="single" w:color="auto" w:sz="4" w:space="0"/>
              <w:bottom w:val="single" w:color="auto" w:sz="4" w:space="0"/>
              <w:right w:val="single" w:color="auto" w:sz="4" w:space="0"/>
            </w:tcBorders>
            <w:vAlign w:val="center"/>
          </w:tcPr>
          <w:p>
            <w:pPr>
              <w:rPr>
                <w:sz w:val="20"/>
                <w:szCs w:val="18"/>
              </w:rPr>
            </w:pPr>
            <w:r>
              <w:rPr>
                <w:rFonts w:hint="eastAsia"/>
                <w:sz w:val="20"/>
                <w:szCs w:val="18"/>
              </w:rPr>
              <w:t>（</w:t>
            </w:r>
            <w:r>
              <w:rPr>
                <w:sz w:val="20"/>
                <w:szCs w:val="18"/>
              </w:rPr>
              <w:t>1</w:t>
            </w:r>
            <w:r>
              <w:rPr>
                <w:rFonts w:hint="eastAsia"/>
                <w:sz w:val="20"/>
                <w:szCs w:val="18"/>
              </w:rPr>
              <w:t>）装订规范、文字清晰、无差错</w:t>
            </w:r>
            <w:r>
              <w:rPr>
                <w:sz w:val="20"/>
                <w:szCs w:val="18"/>
              </w:rPr>
              <w:t>1</w:t>
            </w:r>
            <w:r>
              <w:rPr>
                <w:rFonts w:hint="eastAsia"/>
                <w:sz w:val="20"/>
                <w:szCs w:val="18"/>
              </w:rPr>
              <w:t>分；</w:t>
            </w:r>
          </w:p>
          <w:p>
            <w:pPr>
              <w:rPr>
                <w:sz w:val="20"/>
                <w:szCs w:val="18"/>
              </w:rPr>
            </w:pPr>
            <w:r>
              <w:rPr>
                <w:rFonts w:hint="eastAsia"/>
                <w:sz w:val="20"/>
                <w:szCs w:val="18"/>
              </w:rPr>
              <w:t>（</w:t>
            </w:r>
            <w:r>
              <w:rPr>
                <w:sz w:val="20"/>
                <w:szCs w:val="18"/>
              </w:rPr>
              <w:t>2</w:t>
            </w:r>
            <w:r>
              <w:rPr>
                <w:rFonts w:hint="eastAsia"/>
                <w:sz w:val="20"/>
                <w:szCs w:val="18"/>
              </w:rPr>
              <w:t>）所提供资料准确完整</w:t>
            </w:r>
            <w:r>
              <w:rPr>
                <w:sz w:val="20"/>
                <w:szCs w:val="18"/>
              </w:rPr>
              <w:t>1</w:t>
            </w:r>
            <w:r>
              <w:rPr>
                <w:rFonts w:hint="eastAsia"/>
                <w:sz w:val="20"/>
                <w:szCs w:val="18"/>
              </w:rPr>
              <w:t>分。</w:t>
            </w:r>
          </w:p>
        </w:tc>
        <w:tc>
          <w:tcPr>
            <w:tcW w:w="3990" w:type="dxa"/>
            <w:tcBorders>
              <w:top w:val="single" w:color="auto" w:sz="4" w:space="0"/>
              <w:left w:val="single" w:color="auto" w:sz="4" w:space="0"/>
              <w:bottom w:val="single" w:color="auto" w:sz="4" w:space="0"/>
              <w:right w:val="single" w:color="auto" w:sz="4" w:space="0"/>
            </w:tcBorders>
            <w:vAlign w:val="center"/>
          </w:tcPr>
          <w:p>
            <w:pPr>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7" w:hRule="atLeast"/>
          <w:jc w:val="center"/>
        </w:trPr>
        <w:tc>
          <w:tcPr>
            <w:tcW w:w="661" w:type="dxa"/>
            <w:vMerge w:val="restart"/>
            <w:tcBorders>
              <w:top w:val="single" w:color="auto" w:sz="4" w:space="0"/>
              <w:left w:val="single" w:color="auto" w:sz="4" w:space="0"/>
              <w:bottom w:val="single" w:color="auto" w:sz="4" w:space="0"/>
              <w:right w:val="single" w:color="auto" w:sz="4" w:space="0"/>
            </w:tcBorders>
            <w:vAlign w:val="center"/>
          </w:tcPr>
          <w:p>
            <w:pPr>
              <w:jc w:val="center"/>
              <w:rPr>
                <w:sz w:val="20"/>
                <w:szCs w:val="18"/>
              </w:rPr>
            </w:pPr>
            <w:r>
              <w:rPr>
                <w:rFonts w:hint="eastAsia"/>
                <w:sz w:val="20"/>
                <w:szCs w:val="18"/>
              </w:rPr>
              <w:t>4</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eastAsia="宋体" w:cs="宋体"/>
                <w:kern w:val="0"/>
                <w:szCs w:val="21"/>
              </w:rPr>
            </w:pPr>
            <w:r>
              <w:rPr>
                <w:rFonts w:hint="eastAsia" w:ascii="宋体" w:hAnsi="宋体" w:eastAsia="宋体" w:cs="宋体"/>
                <w:kern w:val="0"/>
                <w:szCs w:val="21"/>
              </w:rPr>
              <w:t>服务承诺</w:t>
            </w: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jc w:val="center"/>
              <w:rPr>
                <w:sz w:val="20"/>
                <w:szCs w:val="18"/>
              </w:rPr>
            </w:pPr>
            <w:r>
              <w:rPr>
                <w:sz w:val="20"/>
                <w:szCs w:val="18"/>
              </w:rPr>
              <w:t>1</w:t>
            </w:r>
            <w:r>
              <w:rPr>
                <w:rFonts w:hint="eastAsia"/>
                <w:sz w:val="20"/>
                <w:szCs w:val="18"/>
              </w:rPr>
              <w:t>2</w:t>
            </w:r>
          </w:p>
        </w:tc>
        <w:tc>
          <w:tcPr>
            <w:tcW w:w="6050" w:type="dxa"/>
            <w:tcBorders>
              <w:top w:val="single" w:color="auto" w:sz="4" w:space="0"/>
              <w:left w:val="single" w:color="auto" w:sz="4" w:space="0"/>
              <w:bottom w:val="single" w:color="auto" w:sz="4" w:space="0"/>
              <w:right w:val="single" w:color="auto" w:sz="4" w:space="0"/>
            </w:tcBorders>
            <w:vAlign w:val="center"/>
          </w:tcPr>
          <w:p>
            <w:pPr>
              <w:rPr>
                <w:sz w:val="20"/>
                <w:szCs w:val="18"/>
              </w:rPr>
            </w:pPr>
            <w:r>
              <w:rPr>
                <w:rFonts w:hint="eastAsia"/>
                <w:sz w:val="20"/>
                <w:szCs w:val="18"/>
              </w:rPr>
              <w:t>（</w:t>
            </w:r>
            <w:r>
              <w:rPr>
                <w:sz w:val="20"/>
                <w:szCs w:val="18"/>
              </w:rPr>
              <w:t>1</w:t>
            </w:r>
            <w:r>
              <w:rPr>
                <w:rFonts w:hint="eastAsia"/>
                <w:sz w:val="20"/>
                <w:szCs w:val="18"/>
              </w:rPr>
              <w:t>）对本项目的理解及认识。比较所有投标人对本项目及咨询服务内容的理解是否准确、认识是否深刻透彻。满分4分。</w:t>
            </w:r>
          </w:p>
          <w:p>
            <w:pPr>
              <w:rPr>
                <w:sz w:val="20"/>
                <w:szCs w:val="18"/>
              </w:rPr>
            </w:pPr>
            <w:r>
              <w:rPr>
                <w:rFonts w:hint="eastAsia"/>
                <w:sz w:val="20"/>
                <w:szCs w:val="18"/>
              </w:rPr>
              <w:t>优：理解完全准确，认识深刻透彻（3</w:t>
            </w:r>
            <w:r>
              <w:rPr>
                <w:sz w:val="20"/>
                <w:szCs w:val="18"/>
              </w:rPr>
              <w:t>-</w:t>
            </w:r>
            <w:r>
              <w:rPr>
                <w:rFonts w:hint="eastAsia"/>
                <w:sz w:val="20"/>
                <w:szCs w:val="18"/>
              </w:rPr>
              <w:t>4分）；</w:t>
            </w:r>
          </w:p>
          <w:p>
            <w:pPr>
              <w:rPr>
                <w:sz w:val="20"/>
                <w:szCs w:val="18"/>
              </w:rPr>
            </w:pPr>
            <w:r>
              <w:rPr>
                <w:rFonts w:hint="eastAsia"/>
                <w:sz w:val="20"/>
                <w:szCs w:val="18"/>
              </w:rPr>
              <w:t>良：能较好地理解和认识项目（</w:t>
            </w:r>
            <w:r>
              <w:rPr>
                <w:sz w:val="20"/>
                <w:szCs w:val="18"/>
              </w:rPr>
              <w:t>2-</w:t>
            </w:r>
            <w:r>
              <w:rPr>
                <w:rFonts w:hint="eastAsia"/>
                <w:sz w:val="20"/>
                <w:szCs w:val="18"/>
              </w:rPr>
              <w:t>3分）；</w:t>
            </w:r>
          </w:p>
          <w:p>
            <w:pPr>
              <w:rPr>
                <w:sz w:val="20"/>
                <w:szCs w:val="18"/>
              </w:rPr>
            </w:pPr>
            <w:r>
              <w:rPr>
                <w:rFonts w:hint="eastAsia"/>
                <w:sz w:val="20"/>
                <w:szCs w:val="18"/>
              </w:rPr>
              <w:t>差：不能准确理解项目，认识存在较大偏差（</w:t>
            </w:r>
            <w:r>
              <w:rPr>
                <w:sz w:val="20"/>
                <w:szCs w:val="18"/>
              </w:rPr>
              <w:t>0-</w:t>
            </w:r>
            <w:r>
              <w:rPr>
                <w:rFonts w:hint="eastAsia"/>
                <w:sz w:val="20"/>
                <w:szCs w:val="18"/>
              </w:rPr>
              <w:t>2分）。</w:t>
            </w:r>
          </w:p>
        </w:tc>
        <w:tc>
          <w:tcPr>
            <w:tcW w:w="3990" w:type="dxa"/>
            <w:tcBorders>
              <w:top w:val="single" w:color="auto" w:sz="4" w:space="0"/>
              <w:left w:val="single" w:color="auto" w:sz="4" w:space="0"/>
              <w:bottom w:val="single" w:color="auto" w:sz="4" w:space="0"/>
              <w:right w:val="single" w:color="auto" w:sz="4" w:space="0"/>
            </w:tcBorders>
            <w:vAlign w:val="center"/>
          </w:tcPr>
          <w:p>
            <w:pPr>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707" w:hRule="atLeast"/>
          <w:jc w:val="center"/>
        </w:trPr>
        <w:tc>
          <w:tcPr>
            <w:tcW w:w="6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0"/>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0"/>
                <w:szCs w:val="18"/>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0"/>
                <w:szCs w:val="18"/>
              </w:rPr>
            </w:pPr>
          </w:p>
        </w:tc>
        <w:tc>
          <w:tcPr>
            <w:tcW w:w="6050" w:type="dxa"/>
            <w:tcBorders>
              <w:top w:val="single" w:color="auto" w:sz="4" w:space="0"/>
              <w:left w:val="single" w:color="auto" w:sz="4" w:space="0"/>
              <w:bottom w:val="single" w:color="auto" w:sz="4" w:space="0"/>
              <w:right w:val="single" w:color="auto" w:sz="4" w:space="0"/>
            </w:tcBorders>
            <w:vAlign w:val="center"/>
          </w:tcPr>
          <w:p>
            <w:pPr>
              <w:rPr>
                <w:sz w:val="20"/>
                <w:szCs w:val="18"/>
              </w:rPr>
            </w:pPr>
            <w:r>
              <w:rPr>
                <w:rFonts w:hint="eastAsia"/>
                <w:sz w:val="20"/>
                <w:szCs w:val="18"/>
              </w:rPr>
              <w:t>（</w:t>
            </w:r>
            <w:r>
              <w:rPr>
                <w:sz w:val="20"/>
                <w:szCs w:val="18"/>
              </w:rPr>
              <w:t>2</w:t>
            </w:r>
            <w:r>
              <w:rPr>
                <w:rFonts w:hint="eastAsia"/>
                <w:sz w:val="20"/>
                <w:szCs w:val="18"/>
              </w:rPr>
              <w:t>）对本项目的重点、难点分析，认识及对策措施。比较各投标人对本项目的重点、难点分析是否准确合理，关键性技术难题理解分析是否准确、应对措施是否合理可行。满分4分。</w:t>
            </w:r>
          </w:p>
          <w:p>
            <w:pPr>
              <w:rPr>
                <w:sz w:val="20"/>
                <w:szCs w:val="18"/>
              </w:rPr>
            </w:pPr>
            <w:r>
              <w:rPr>
                <w:rFonts w:hint="eastAsia"/>
                <w:sz w:val="20"/>
                <w:szCs w:val="18"/>
              </w:rPr>
              <w:t>优：对项目重点、难点分析准确合理，应对措施合理可行（3</w:t>
            </w:r>
            <w:r>
              <w:rPr>
                <w:sz w:val="20"/>
                <w:szCs w:val="18"/>
              </w:rPr>
              <w:t>-</w:t>
            </w:r>
            <w:r>
              <w:rPr>
                <w:rFonts w:hint="eastAsia"/>
                <w:sz w:val="20"/>
                <w:szCs w:val="18"/>
              </w:rPr>
              <w:t>4分）；</w:t>
            </w:r>
          </w:p>
          <w:p>
            <w:pPr>
              <w:rPr>
                <w:sz w:val="20"/>
                <w:szCs w:val="18"/>
              </w:rPr>
            </w:pPr>
            <w:r>
              <w:rPr>
                <w:rFonts w:hint="eastAsia"/>
                <w:sz w:val="20"/>
                <w:szCs w:val="18"/>
              </w:rPr>
              <w:t>良：能较好把握项目的重点、难点，应对措施可行（</w:t>
            </w:r>
            <w:r>
              <w:rPr>
                <w:sz w:val="20"/>
                <w:szCs w:val="18"/>
              </w:rPr>
              <w:t>2-</w:t>
            </w:r>
            <w:r>
              <w:rPr>
                <w:rFonts w:hint="eastAsia"/>
                <w:sz w:val="20"/>
                <w:szCs w:val="18"/>
              </w:rPr>
              <w:t>3分）；</w:t>
            </w:r>
          </w:p>
          <w:p>
            <w:pPr>
              <w:rPr>
                <w:sz w:val="20"/>
                <w:szCs w:val="18"/>
              </w:rPr>
            </w:pPr>
            <w:r>
              <w:rPr>
                <w:rFonts w:hint="eastAsia"/>
                <w:sz w:val="20"/>
                <w:szCs w:val="18"/>
              </w:rPr>
              <w:t>差：对项目重点、难点分析不够，应对措施不合理，存在较大偏差（</w:t>
            </w:r>
            <w:r>
              <w:rPr>
                <w:sz w:val="20"/>
                <w:szCs w:val="18"/>
              </w:rPr>
              <w:t>0-</w:t>
            </w:r>
            <w:r>
              <w:rPr>
                <w:rFonts w:hint="eastAsia"/>
                <w:sz w:val="20"/>
                <w:szCs w:val="18"/>
              </w:rPr>
              <w:t>2分）</w:t>
            </w:r>
          </w:p>
        </w:tc>
        <w:tc>
          <w:tcPr>
            <w:tcW w:w="3990" w:type="dxa"/>
            <w:tcBorders>
              <w:top w:val="single" w:color="auto" w:sz="4" w:space="0"/>
              <w:left w:val="single" w:color="auto" w:sz="4" w:space="0"/>
              <w:bottom w:val="single" w:color="auto" w:sz="4" w:space="0"/>
              <w:right w:val="single" w:color="auto" w:sz="4" w:space="0"/>
            </w:tcBorders>
            <w:vAlign w:val="center"/>
          </w:tcPr>
          <w:p>
            <w:pPr>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7" w:hRule="atLeast"/>
          <w:jc w:val="center"/>
        </w:trPr>
        <w:tc>
          <w:tcPr>
            <w:tcW w:w="6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0"/>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0"/>
                <w:szCs w:val="18"/>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0"/>
                <w:szCs w:val="18"/>
              </w:rPr>
            </w:pPr>
          </w:p>
        </w:tc>
        <w:tc>
          <w:tcPr>
            <w:tcW w:w="6050" w:type="dxa"/>
            <w:tcBorders>
              <w:top w:val="single" w:color="auto" w:sz="4" w:space="0"/>
              <w:left w:val="single" w:color="auto" w:sz="4" w:space="0"/>
              <w:bottom w:val="single" w:color="auto" w:sz="4" w:space="0"/>
              <w:right w:val="single" w:color="auto" w:sz="4" w:space="0"/>
            </w:tcBorders>
            <w:vAlign w:val="center"/>
          </w:tcPr>
          <w:p>
            <w:pPr>
              <w:rPr>
                <w:sz w:val="20"/>
                <w:szCs w:val="18"/>
              </w:rPr>
            </w:pPr>
            <w:r>
              <w:rPr>
                <w:rFonts w:hint="eastAsia"/>
                <w:sz w:val="20"/>
                <w:szCs w:val="18"/>
              </w:rPr>
              <w:t>（</w:t>
            </w:r>
            <w:r>
              <w:rPr>
                <w:sz w:val="20"/>
                <w:szCs w:val="18"/>
              </w:rPr>
              <w:t>3</w:t>
            </w:r>
            <w:r>
              <w:rPr>
                <w:rFonts w:hint="eastAsia"/>
                <w:sz w:val="20"/>
                <w:szCs w:val="18"/>
              </w:rPr>
              <w:t>）本项目组织实施方案。人员安排是否合理、进度计划及质量保证体系能否满足项目进度和设计的要求。满分4分。</w:t>
            </w:r>
          </w:p>
          <w:p>
            <w:pPr>
              <w:rPr>
                <w:sz w:val="20"/>
                <w:szCs w:val="18"/>
              </w:rPr>
            </w:pPr>
            <w:r>
              <w:rPr>
                <w:rFonts w:hint="eastAsia"/>
                <w:sz w:val="20"/>
                <w:szCs w:val="18"/>
              </w:rPr>
              <w:t>优：完全响应项目组织实施方案，质量保证体系完全满足项目要求，保证提前完成项目（3</w:t>
            </w:r>
            <w:r>
              <w:rPr>
                <w:sz w:val="20"/>
                <w:szCs w:val="18"/>
              </w:rPr>
              <w:t>-</w:t>
            </w:r>
            <w:r>
              <w:rPr>
                <w:rFonts w:hint="eastAsia"/>
                <w:sz w:val="20"/>
                <w:szCs w:val="18"/>
              </w:rPr>
              <w:t>4分）；</w:t>
            </w:r>
          </w:p>
          <w:p>
            <w:pPr>
              <w:rPr>
                <w:sz w:val="20"/>
                <w:szCs w:val="18"/>
              </w:rPr>
            </w:pPr>
            <w:r>
              <w:rPr>
                <w:rFonts w:hint="eastAsia"/>
                <w:sz w:val="20"/>
                <w:szCs w:val="18"/>
              </w:rPr>
              <w:t>良：能较好地响应项目组织实施方案，质量保证体系符合项目要求（</w:t>
            </w:r>
            <w:r>
              <w:rPr>
                <w:sz w:val="20"/>
                <w:szCs w:val="18"/>
              </w:rPr>
              <w:t>2-</w:t>
            </w:r>
            <w:r>
              <w:rPr>
                <w:rFonts w:hint="eastAsia"/>
                <w:sz w:val="20"/>
                <w:szCs w:val="18"/>
              </w:rPr>
              <w:t>3分）；</w:t>
            </w:r>
          </w:p>
          <w:p>
            <w:pPr>
              <w:rPr>
                <w:sz w:val="20"/>
                <w:szCs w:val="18"/>
              </w:rPr>
            </w:pPr>
            <w:r>
              <w:rPr>
                <w:rFonts w:hint="eastAsia"/>
                <w:sz w:val="20"/>
                <w:szCs w:val="18"/>
              </w:rPr>
              <w:t>差：对项目组织实施方案和项目进度的响应存在较大偏差（</w:t>
            </w:r>
            <w:r>
              <w:rPr>
                <w:sz w:val="20"/>
                <w:szCs w:val="18"/>
              </w:rPr>
              <w:t>0-</w:t>
            </w:r>
            <w:r>
              <w:rPr>
                <w:rFonts w:hint="eastAsia"/>
                <w:sz w:val="20"/>
                <w:szCs w:val="18"/>
              </w:rPr>
              <w:t>2分）。</w:t>
            </w:r>
          </w:p>
        </w:tc>
        <w:tc>
          <w:tcPr>
            <w:tcW w:w="3990" w:type="dxa"/>
            <w:tcBorders>
              <w:top w:val="single" w:color="auto" w:sz="4" w:space="0"/>
              <w:left w:val="single" w:color="auto" w:sz="4" w:space="0"/>
              <w:bottom w:val="single" w:color="auto" w:sz="4" w:space="0"/>
              <w:right w:val="single" w:color="auto" w:sz="4" w:space="0"/>
            </w:tcBorders>
            <w:vAlign w:val="center"/>
          </w:tcPr>
          <w:p>
            <w:pPr>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2" w:hRule="atLeast"/>
          <w:jc w:val="center"/>
        </w:trPr>
        <w:tc>
          <w:tcPr>
            <w:tcW w:w="661" w:type="dxa"/>
            <w:vMerge w:val="restart"/>
            <w:tcBorders>
              <w:top w:val="single" w:color="auto" w:sz="4" w:space="0"/>
              <w:left w:val="single" w:color="auto" w:sz="4" w:space="0"/>
              <w:bottom w:val="single" w:color="auto" w:sz="4" w:space="0"/>
              <w:right w:val="single" w:color="auto" w:sz="4" w:space="0"/>
            </w:tcBorders>
            <w:vAlign w:val="center"/>
          </w:tcPr>
          <w:p>
            <w:pPr>
              <w:jc w:val="center"/>
              <w:rPr>
                <w:sz w:val="20"/>
                <w:szCs w:val="18"/>
              </w:rPr>
            </w:pPr>
            <w:r>
              <w:rPr>
                <w:rFonts w:hint="eastAsia"/>
                <w:sz w:val="20"/>
                <w:szCs w:val="18"/>
              </w:rPr>
              <w:t>5</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jc w:val="center"/>
              <w:rPr>
                <w:sz w:val="20"/>
                <w:szCs w:val="18"/>
              </w:rPr>
            </w:pPr>
            <w:r>
              <w:rPr>
                <w:rFonts w:hint="eastAsia"/>
                <w:sz w:val="20"/>
                <w:szCs w:val="18"/>
              </w:rPr>
              <w:t>咨询小组人员情况</w:t>
            </w: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jc w:val="center"/>
              <w:rPr>
                <w:sz w:val="20"/>
                <w:szCs w:val="18"/>
              </w:rPr>
            </w:pPr>
            <w:r>
              <w:rPr>
                <w:sz w:val="20"/>
                <w:szCs w:val="18"/>
              </w:rPr>
              <w:t>42</w:t>
            </w:r>
          </w:p>
        </w:tc>
        <w:tc>
          <w:tcPr>
            <w:tcW w:w="6050" w:type="dxa"/>
            <w:tcBorders>
              <w:top w:val="single" w:color="auto" w:sz="4" w:space="0"/>
              <w:left w:val="single" w:color="auto" w:sz="4" w:space="0"/>
              <w:bottom w:val="single" w:color="auto" w:sz="4" w:space="0"/>
              <w:right w:val="single" w:color="auto" w:sz="4" w:space="0"/>
            </w:tcBorders>
            <w:vAlign w:val="center"/>
          </w:tcPr>
          <w:p>
            <w:pPr>
              <w:rPr>
                <w:sz w:val="20"/>
                <w:szCs w:val="18"/>
              </w:rPr>
            </w:pPr>
            <w:r>
              <w:rPr>
                <w:rFonts w:hint="eastAsia"/>
                <w:sz w:val="20"/>
                <w:szCs w:val="18"/>
              </w:rPr>
              <w:t>（</w:t>
            </w:r>
            <w:r>
              <w:rPr>
                <w:sz w:val="20"/>
                <w:szCs w:val="18"/>
              </w:rPr>
              <w:t>1</w:t>
            </w:r>
            <w:r>
              <w:rPr>
                <w:rFonts w:hint="eastAsia"/>
                <w:sz w:val="20"/>
                <w:szCs w:val="18"/>
              </w:rPr>
              <w:t>）项目负责人（满分</w:t>
            </w:r>
            <w:r>
              <w:rPr>
                <w:sz w:val="20"/>
                <w:szCs w:val="18"/>
              </w:rPr>
              <w:t>28</w:t>
            </w:r>
            <w:r>
              <w:rPr>
                <w:rFonts w:hint="eastAsia"/>
                <w:sz w:val="20"/>
                <w:szCs w:val="18"/>
              </w:rPr>
              <w:t>分）：</w:t>
            </w:r>
          </w:p>
          <w:p>
            <w:pPr>
              <w:pStyle w:val="69"/>
              <w:numPr>
                <w:ilvl w:val="0"/>
                <w:numId w:val="1"/>
              </w:numPr>
              <w:ind w:firstLineChars="0"/>
              <w:rPr>
                <w:sz w:val="20"/>
                <w:szCs w:val="18"/>
              </w:rPr>
            </w:pPr>
            <w:r>
              <w:rPr>
                <w:rFonts w:hint="eastAsia"/>
                <w:sz w:val="20"/>
                <w:szCs w:val="18"/>
              </w:rPr>
              <w:t>项目负责人担任财政部第二批、第三批</w:t>
            </w:r>
            <w:r>
              <w:rPr>
                <w:sz w:val="20"/>
                <w:szCs w:val="18"/>
              </w:rPr>
              <w:t>PPP</w:t>
            </w:r>
            <w:r>
              <w:rPr>
                <w:rFonts w:hint="eastAsia"/>
                <w:sz w:val="20"/>
                <w:szCs w:val="18"/>
              </w:rPr>
              <w:t>示范项目评审专家的，每个得</w:t>
            </w:r>
            <w:r>
              <w:rPr>
                <w:sz w:val="20"/>
                <w:szCs w:val="18"/>
              </w:rPr>
              <w:t>1</w:t>
            </w:r>
            <w:r>
              <w:rPr>
                <w:rFonts w:hint="eastAsia"/>
                <w:sz w:val="20"/>
                <w:szCs w:val="18"/>
              </w:rPr>
              <w:t>分，同时担任两批财政部</w:t>
            </w:r>
            <w:r>
              <w:rPr>
                <w:sz w:val="20"/>
                <w:szCs w:val="18"/>
              </w:rPr>
              <w:t>PPP</w:t>
            </w:r>
            <w:r>
              <w:rPr>
                <w:rFonts w:hint="eastAsia"/>
                <w:sz w:val="20"/>
                <w:szCs w:val="18"/>
              </w:rPr>
              <w:t>示范项目评审专家的，加</w:t>
            </w:r>
            <w:r>
              <w:rPr>
                <w:sz w:val="20"/>
                <w:szCs w:val="18"/>
              </w:rPr>
              <w:t>1</w:t>
            </w:r>
            <w:r>
              <w:rPr>
                <w:rFonts w:hint="eastAsia"/>
                <w:sz w:val="20"/>
                <w:szCs w:val="18"/>
              </w:rPr>
              <w:t>分，本项最高</w:t>
            </w:r>
            <w:r>
              <w:rPr>
                <w:sz w:val="20"/>
                <w:szCs w:val="18"/>
              </w:rPr>
              <w:t>3</w:t>
            </w:r>
            <w:r>
              <w:rPr>
                <w:rFonts w:hint="eastAsia"/>
                <w:sz w:val="20"/>
                <w:szCs w:val="18"/>
              </w:rPr>
              <w:t>分；</w:t>
            </w:r>
          </w:p>
          <w:p>
            <w:pPr>
              <w:pStyle w:val="69"/>
              <w:numPr>
                <w:ilvl w:val="0"/>
                <w:numId w:val="1"/>
              </w:numPr>
              <w:ind w:firstLineChars="0"/>
              <w:rPr>
                <w:sz w:val="20"/>
                <w:szCs w:val="18"/>
              </w:rPr>
            </w:pPr>
            <w:r>
              <w:rPr>
                <w:rFonts w:hint="eastAsia"/>
                <w:sz w:val="20"/>
                <w:szCs w:val="18"/>
              </w:rPr>
              <w:t>项目负责人自</w:t>
            </w:r>
            <w:r>
              <w:rPr>
                <w:sz w:val="20"/>
                <w:szCs w:val="18"/>
              </w:rPr>
              <w:t>2011</w:t>
            </w:r>
            <w:r>
              <w:rPr>
                <w:rFonts w:hint="eastAsia"/>
                <w:sz w:val="20"/>
                <w:szCs w:val="18"/>
              </w:rPr>
              <w:t>年</w:t>
            </w:r>
            <w:r>
              <w:rPr>
                <w:sz w:val="20"/>
                <w:szCs w:val="18"/>
              </w:rPr>
              <w:t>1</w:t>
            </w:r>
            <w:r>
              <w:rPr>
                <w:rFonts w:hint="eastAsia"/>
                <w:sz w:val="20"/>
                <w:szCs w:val="18"/>
              </w:rPr>
              <w:t>月</w:t>
            </w:r>
            <w:r>
              <w:rPr>
                <w:sz w:val="20"/>
                <w:szCs w:val="18"/>
              </w:rPr>
              <w:t>1</w:t>
            </w:r>
            <w:r>
              <w:rPr>
                <w:rFonts w:hint="eastAsia"/>
                <w:sz w:val="20"/>
                <w:szCs w:val="18"/>
              </w:rPr>
              <w:t>日以来担任过</w:t>
            </w:r>
            <w:r>
              <w:rPr>
                <w:sz w:val="20"/>
                <w:szCs w:val="18"/>
              </w:rPr>
              <w:t>10</w:t>
            </w:r>
            <w:r>
              <w:rPr>
                <w:rFonts w:hint="eastAsia"/>
                <w:sz w:val="20"/>
                <w:szCs w:val="18"/>
              </w:rPr>
              <w:t>个</w:t>
            </w:r>
            <w:r>
              <w:rPr>
                <w:sz w:val="20"/>
                <w:szCs w:val="18"/>
              </w:rPr>
              <w:t>PPP</w:t>
            </w:r>
            <w:r>
              <w:rPr>
                <w:rFonts w:hint="eastAsia"/>
                <w:sz w:val="20"/>
                <w:szCs w:val="18"/>
              </w:rPr>
              <w:t>项目咨询项目负责人的得基本分</w:t>
            </w:r>
            <w:r>
              <w:rPr>
                <w:sz w:val="20"/>
                <w:szCs w:val="18"/>
              </w:rPr>
              <w:t>3</w:t>
            </w:r>
            <w:r>
              <w:rPr>
                <w:rFonts w:hint="eastAsia"/>
                <w:sz w:val="20"/>
                <w:szCs w:val="18"/>
              </w:rPr>
              <w:t>分，每增加</w:t>
            </w:r>
            <w:r>
              <w:rPr>
                <w:sz w:val="20"/>
                <w:szCs w:val="18"/>
              </w:rPr>
              <w:t>1</w:t>
            </w:r>
            <w:r>
              <w:rPr>
                <w:rFonts w:hint="eastAsia"/>
                <w:sz w:val="20"/>
                <w:szCs w:val="18"/>
              </w:rPr>
              <w:t>个项目加</w:t>
            </w:r>
            <w:r>
              <w:rPr>
                <w:sz w:val="20"/>
                <w:szCs w:val="18"/>
              </w:rPr>
              <w:t>1</w:t>
            </w:r>
            <w:r>
              <w:rPr>
                <w:rFonts w:hint="eastAsia"/>
                <w:sz w:val="20"/>
                <w:szCs w:val="18"/>
              </w:rPr>
              <w:t>分，本项最高</w:t>
            </w:r>
            <w:r>
              <w:rPr>
                <w:sz w:val="20"/>
                <w:szCs w:val="18"/>
              </w:rPr>
              <w:t>7</w:t>
            </w:r>
            <w:r>
              <w:rPr>
                <w:rFonts w:hint="eastAsia"/>
                <w:sz w:val="20"/>
                <w:szCs w:val="18"/>
              </w:rPr>
              <w:t>分；</w:t>
            </w:r>
          </w:p>
          <w:p>
            <w:pPr>
              <w:pStyle w:val="69"/>
              <w:numPr>
                <w:ilvl w:val="0"/>
                <w:numId w:val="1"/>
              </w:numPr>
              <w:ind w:firstLineChars="0"/>
              <w:rPr>
                <w:sz w:val="20"/>
                <w:szCs w:val="18"/>
              </w:rPr>
            </w:pPr>
            <w:r>
              <w:rPr>
                <w:rFonts w:hint="eastAsia"/>
                <w:sz w:val="20"/>
                <w:szCs w:val="18"/>
              </w:rPr>
              <w:t>项目负责人具有律师资格证书或法律职业资格证书得</w:t>
            </w:r>
            <w:r>
              <w:rPr>
                <w:sz w:val="20"/>
                <w:szCs w:val="18"/>
              </w:rPr>
              <w:t>5</w:t>
            </w:r>
            <w:r>
              <w:rPr>
                <w:rFonts w:hint="eastAsia"/>
                <w:sz w:val="20"/>
                <w:szCs w:val="18"/>
              </w:rPr>
              <w:t>分，具备中级经济师或高级经济师加</w:t>
            </w:r>
            <w:r>
              <w:rPr>
                <w:sz w:val="20"/>
                <w:szCs w:val="18"/>
              </w:rPr>
              <w:t>5</w:t>
            </w:r>
            <w:r>
              <w:rPr>
                <w:rFonts w:hint="eastAsia"/>
                <w:sz w:val="20"/>
                <w:szCs w:val="18"/>
              </w:rPr>
              <w:t>分，具备注册会计师资格证得</w:t>
            </w:r>
            <w:r>
              <w:rPr>
                <w:sz w:val="20"/>
                <w:szCs w:val="18"/>
              </w:rPr>
              <w:t>4</w:t>
            </w:r>
            <w:r>
              <w:rPr>
                <w:rFonts w:hint="eastAsia"/>
                <w:sz w:val="20"/>
                <w:szCs w:val="18"/>
              </w:rPr>
              <w:t>分，注册咨询工程师（投资）执业资格证书得</w:t>
            </w:r>
            <w:r>
              <w:rPr>
                <w:sz w:val="20"/>
                <w:szCs w:val="18"/>
              </w:rPr>
              <w:t>4</w:t>
            </w:r>
            <w:r>
              <w:rPr>
                <w:rFonts w:hint="eastAsia"/>
                <w:sz w:val="20"/>
                <w:szCs w:val="18"/>
              </w:rPr>
              <w:t>分，本项最高</w:t>
            </w:r>
            <w:r>
              <w:rPr>
                <w:sz w:val="20"/>
                <w:szCs w:val="18"/>
              </w:rPr>
              <w:t>18</w:t>
            </w:r>
            <w:r>
              <w:rPr>
                <w:rFonts w:hint="eastAsia"/>
                <w:sz w:val="20"/>
                <w:szCs w:val="18"/>
              </w:rPr>
              <w:t>分。</w:t>
            </w:r>
          </w:p>
        </w:tc>
        <w:tc>
          <w:tcPr>
            <w:tcW w:w="3990" w:type="dxa"/>
            <w:tcBorders>
              <w:top w:val="single" w:color="auto" w:sz="4" w:space="0"/>
              <w:left w:val="single" w:color="auto" w:sz="4" w:space="0"/>
              <w:bottom w:val="single" w:color="auto" w:sz="4" w:space="0"/>
              <w:right w:val="single" w:color="auto" w:sz="4" w:space="0"/>
            </w:tcBorders>
            <w:vAlign w:val="center"/>
          </w:tcPr>
          <w:p>
            <w:pPr>
              <w:rPr>
                <w:sz w:val="20"/>
                <w:szCs w:val="18"/>
              </w:rPr>
            </w:pPr>
            <w:r>
              <w:rPr>
                <w:rFonts w:hint="eastAsia"/>
                <w:sz w:val="20"/>
                <w:szCs w:val="18"/>
              </w:rPr>
              <w:t>（</w:t>
            </w:r>
            <w:r>
              <w:rPr>
                <w:sz w:val="20"/>
                <w:szCs w:val="18"/>
              </w:rPr>
              <w:t>1</w:t>
            </w:r>
            <w:r>
              <w:rPr>
                <w:rFonts w:hint="eastAsia"/>
                <w:sz w:val="20"/>
                <w:szCs w:val="18"/>
              </w:rPr>
              <w:t>）需提供财政部政府和社会资本合作中心与项目负责人签订的评审协议复印件（加盖投标人公章）证明其担任财政部</w:t>
            </w:r>
            <w:r>
              <w:rPr>
                <w:sz w:val="20"/>
                <w:szCs w:val="18"/>
              </w:rPr>
              <w:t>PPP</w:t>
            </w:r>
            <w:r>
              <w:rPr>
                <w:rFonts w:hint="eastAsia"/>
                <w:sz w:val="20"/>
                <w:szCs w:val="18"/>
              </w:rPr>
              <w:t>示范项目评审专家；</w:t>
            </w:r>
          </w:p>
          <w:p>
            <w:pPr>
              <w:rPr>
                <w:sz w:val="20"/>
                <w:szCs w:val="18"/>
              </w:rPr>
            </w:pPr>
            <w:r>
              <w:rPr>
                <w:rFonts w:hint="eastAsia"/>
                <w:sz w:val="20"/>
                <w:szCs w:val="18"/>
              </w:rPr>
              <w:t>（</w:t>
            </w:r>
            <w:r>
              <w:rPr>
                <w:sz w:val="20"/>
                <w:szCs w:val="18"/>
              </w:rPr>
              <w:t>2</w:t>
            </w:r>
            <w:r>
              <w:rPr>
                <w:rFonts w:hint="eastAsia"/>
                <w:sz w:val="20"/>
                <w:szCs w:val="18"/>
              </w:rPr>
              <w:t>）需提供政府部门或项目主管单位出具的项目负责人业绩证明文件（服务协议或业绩证明等能证明服务内容、参与人员的证明文件）复印件（加盖投标人公章），服务协议或业绩证明需明确投标人指派的项目负责人为项目负责人，</w:t>
            </w:r>
            <w:r>
              <w:rPr>
                <w:sz w:val="20"/>
                <w:szCs w:val="18"/>
              </w:rPr>
              <w:t>“</w:t>
            </w:r>
            <w:r>
              <w:rPr>
                <w:rFonts w:hint="eastAsia"/>
                <w:sz w:val="20"/>
                <w:szCs w:val="18"/>
              </w:rPr>
              <w:t>项目总监、项目经理</w:t>
            </w:r>
            <w:r>
              <w:rPr>
                <w:sz w:val="20"/>
                <w:szCs w:val="18"/>
              </w:rPr>
              <w:t>”</w:t>
            </w:r>
            <w:r>
              <w:rPr>
                <w:rFonts w:hint="eastAsia"/>
                <w:sz w:val="20"/>
                <w:szCs w:val="18"/>
              </w:rPr>
              <w:t>等无效；</w:t>
            </w:r>
          </w:p>
          <w:p>
            <w:pPr>
              <w:rPr>
                <w:sz w:val="20"/>
                <w:szCs w:val="18"/>
              </w:rPr>
            </w:pPr>
            <w:r>
              <w:rPr>
                <w:rFonts w:hint="eastAsia"/>
                <w:sz w:val="20"/>
                <w:szCs w:val="18"/>
              </w:rPr>
              <w:t>（</w:t>
            </w:r>
            <w:r>
              <w:rPr>
                <w:sz w:val="20"/>
                <w:szCs w:val="18"/>
              </w:rPr>
              <w:t>3</w:t>
            </w:r>
            <w:r>
              <w:rPr>
                <w:rFonts w:hint="eastAsia"/>
                <w:sz w:val="20"/>
                <w:szCs w:val="18"/>
              </w:rPr>
              <w:t>）需提供项目负责人资格证书复印件（加盖投标人公章）。</w:t>
            </w:r>
          </w:p>
          <w:p>
            <w:pPr>
              <w:rPr>
                <w:sz w:val="20"/>
                <w:szCs w:val="18"/>
              </w:rPr>
            </w:pPr>
            <w:r>
              <w:rPr>
                <w:rFonts w:hint="eastAsia"/>
                <w:sz w:val="20"/>
                <w:szCs w:val="18"/>
              </w:rPr>
              <w:t>上述项目负责人仅限一人，且投标人需提供其为项目负责人缴纳连续一年社保的相关证明材料（若投标人成立未满一年，需至少提供投标人为项目负责人缴纳六个月以上社保证明材料并提供投标人成立未满一年证明材料），并加盖投标人公章。没有提供或提供的资料不能证明上述业绩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2" w:hRule="atLeast"/>
          <w:jc w:val="center"/>
        </w:trPr>
        <w:tc>
          <w:tcPr>
            <w:tcW w:w="6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0"/>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0"/>
                <w:szCs w:val="18"/>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0"/>
                <w:szCs w:val="18"/>
              </w:rPr>
            </w:pPr>
          </w:p>
        </w:tc>
        <w:tc>
          <w:tcPr>
            <w:tcW w:w="6050" w:type="dxa"/>
            <w:tcBorders>
              <w:top w:val="single" w:color="auto" w:sz="4" w:space="0"/>
              <w:left w:val="single" w:color="auto" w:sz="4" w:space="0"/>
              <w:bottom w:val="single" w:color="auto" w:sz="4" w:space="0"/>
              <w:right w:val="single" w:color="auto" w:sz="4" w:space="0"/>
            </w:tcBorders>
            <w:vAlign w:val="center"/>
          </w:tcPr>
          <w:p>
            <w:pPr>
              <w:rPr>
                <w:sz w:val="20"/>
                <w:szCs w:val="18"/>
              </w:rPr>
            </w:pPr>
            <w:r>
              <w:rPr>
                <w:rFonts w:hint="eastAsia"/>
                <w:sz w:val="20"/>
                <w:szCs w:val="18"/>
              </w:rPr>
              <w:t>（</w:t>
            </w:r>
            <w:r>
              <w:rPr>
                <w:sz w:val="20"/>
                <w:szCs w:val="18"/>
              </w:rPr>
              <w:t>2</w:t>
            </w:r>
            <w:r>
              <w:rPr>
                <w:rFonts w:hint="eastAsia"/>
                <w:sz w:val="20"/>
                <w:szCs w:val="18"/>
              </w:rPr>
              <w:t>）项目团队成员（满分</w:t>
            </w:r>
            <w:r>
              <w:rPr>
                <w:sz w:val="20"/>
                <w:szCs w:val="18"/>
              </w:rPr>
              <w:t>4</w:t>
            </w:r>
            <w:r>
              <w:rPr>
                <w:rFonts w:hint="eastAsia"/>
                <w:sz w:val="20"/>
                <w:szCs w:val="18"/>
              </w:rPr>
              <w:t>分）：</w:t>
            </w:r>
          </w:p>
          <w:p>
            <w:pPr>
              <w:rPr>
                <w:sz w:val="20"/>
                <w:szCs w:val="18"/>
              </w:rPr>
            </w:pPr>
            <w:r>
              <w:rPr>
                <w:rFonts w:hint="eastAsia"/>
                <w:sz w:val="20"/>
                <w:szCs w:val="18"/>
              </w:rPr>
              <w:t>项目团队成员（不含项目负责人），配备一级建造师、造价工程师、高级经济师、律师资格证书或法律职业资格证的，每人得</w:t>
            </w:r>
            <w:r>
              <w:rPr>
                <w:sz w:val="20"/>
                <w:szCs w:val="18"/>
              </w:rPr>
              <w:t>1</w:t>
            </w:r>
            <w:r>
              <w:rPr>
                <w:rFonts w:hint="eastAsia"/>
                <w:sz w:val="20"/>
                <w:szCs w:val="18"/>
              </w:rPr>
              <w:t>分，一人多证的按一证计分，本项最高</w:t>
            </w:r>
            <w:r>
              <w:rPr>
                <w:sz w:val="20"/>
                <w:szCs w:val="18"/>
              </w:rPr>
              <w:t>4</w:t>
            </w:r>
            <w:r>
              <w:rPr>
                <w:rFonts w:hint="eastAsia"/>
                <w:sz w:val="20"/>
                <w:szCs w:val="18"/>
              </w:rPr>
              <w:t>分。</w:t>
            </w:r>
          </w:p>
        </w:tc>
        <w:tc>
          <w:tcPr>
            <w:tcW w:w="3990" w:type="dxa"/>
            <w:tcBorders>
              <w:top w:val="single" w:color="auto" w:sz="4" w:space="0"/>
              <w:left w:val="single" w:color="auto" w:sz="4" w:space="0"/>
              <w:bottom w:val="single" w:color="auto" w:sz="4" w:space="0"/>
              <w:right w:val="single" w:color="auto" w:sz="4" w:space="0"/>
            </w:tcBorders>
            <w:vAlign w:val="center"/>
          </w:tcPr>
          <w:p>
            <w:pPr>
              <w:rPr>
                <w:sz w:val="20"/>
                <w:szCs w:val="18"/>
              </w:rPr>
            </w:pPr>
            <w:r>
              <w:rPr>
                <w:rFonts w:hint="eastAsia"/>
                <w:sz w:val="20"/>
                <w:szCs w:val="18"/>
              </w:rPr>
              <w:t>需提供团队成员资格证书复印件（加盖投标人公章）。</w:t>
            </w:r>
          </w:p>
          <w:p>
            <w:pPr>
              <w:rPr>
                <w:sz w:val="20"/>
                <w:szCs w:val="21"/>
              </w:rPr>
            </w:pPr>
            <w:r>
              <w:rPr>
                <w:rFonts w:hint="eastAsia"/>
                <w:sz w:val="20"/>
                <w:szCs w:val="18"/>
              </w:rPr>
              <w:t>投标人需提供其为上述项目团队成员缴纳三个月（必须为</w:t>
            </w:r>
            <w:r>
              <w:rPr>
                <w:sz w:val="20"/>
                <w:szCs w:val="18"/>
              </w:rPr>
              <w:t>2017</w:t>
            </w:r>
            <w:r>
              <w:rPr>
                <w:rFonts w:hint="eastAsia"/>
                <w:sz w:val="20"/>
                <w:szCs w:val="18"/>
              </w:rPr>
              <w:t>年）社保证明材料（加盖投标人公章），没有提供或提供的资料不能证明上述的不得分。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2" w:hRule="atLeast"/>
          <w:jc w:val="center"/>
        </w:trPr>
        <w:tc>
          <w:tcPr>
            <w:tcW w:w="6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0"/>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0"/>
                <w:szCs w:val="18"/>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0"/>
                <w:szCs w:val="18"/>
              </w:rPr>
            </w:pPr>
          </w:p>
        </w:tc>
        <w:tc>
          <w:tcPr>
            <w:tcW w:w="6050" w:type="dxa"/>
            <w:tcBorders>
              <w:top w:val="single" w:color="auto" w:sz="4" w:space="0"/>
              <w:left w:val="single" w:color="auto" w:sz="4" w:space="0"/>
              <w:bottom w:val="single" w:color="auto" w:sz="4" w:space="0"/>
              <w:right w:val="single" w:color="auto" w:sz="4" w:space="0"/>
            </w:tcBorders>
            <w:vAlign w:val="center"/>
          </w:tcPr>
          <w:p>
            <w:pPr>
              <w:rPr>
                <w:sz w:val="20"/>
                <w:szCs w:val="18"/>
              </w:rPr>
            </w:pPr>
            <w:r>
              <w:rPr>
                <w:rFonts w:hint="eastAsia"/>
                <w:sz w:val="20"/>
                <w:szCs w:val="18"/>
              </w:rPr>
              <w:t>（</w:t>
            </w:r>
            <w:r>
              <w:rPr>
                <w:sz w:val="20"/>
                <w:szCs w:val="18"/>
              </w:rPr>
              <w:t>3</w:t>
            </w:r>
            <w:r>
              <w:rPr>
                <w:rFonts w:hint="eastAsia"/>
                <w:sz w:val="20"/>
                <w:szCs w:val="18"/>
              </w:rPr>
              <w:t>）项目团队成员</w:t>
            </w:r>
            <w:r>
              <w:rPr>
                <w:sz w:val="20"/>
                <w:szCs w:val="18"/>
              </w:rPr>
              <w:t>PPP</w:t>
            </w:r>
            <w:r>
              <w:rPr>
                <w:rFonts w:hint="eastAsia"/>
                <w:sz w:val="20"/>
                <w:szCs w:val="18"/>
              </w:rPr>
              <w:t>研究能力（满分</w:t>
            </w:r>
            <w:r>
              <w:rPr>
                <w:sz w:val="20"/>
                <w:szCs w:val="18"/>
              </w:rPr>
              <w:t>10</w:t>
            </w:r>
            <w:r>
              <w:rPr>
                <w:rFonts w:hint="eastAsia"/>
                <w:sz w:val="20"/>
                <w:szCs w:val="18"/>
              </w:rPr>
              <w:t>分）</w:t>
            </w:r>
          </w:p>
          <w:p>
            <w:pPr>
              <w:rPr>
                <w:sz w:val="20"/>
                <w:szCs w:val="18"/>
              </w:rPr>
            </w:pPr>
            <w:r>
              <w:rPr>
                <w:rFonts w:hint="eastAsia"/>
                <w:sz w:val="20"/>
                <w:szCs w:val="18"/>
              </w:rPr>
              <w:t>项目团队成员（含项目负责人，但必须为一人）在公开刊物上发表</w:t>
            </w:r>
            <w:r>
              <w:rPr>
                <w:sz w:val="20"/>
                <w:szCs w:val="18"/>
              </w:rPr>
              <w:t>PPP</w:t>
            </w:r>
            <w:r>
              <w:rPr>
                <w:rFonts w:hint="eastAsia"/>
                <w:sz w:val="20"/>
                <w:szCs w:val="18"/>
              </w:rPr>
              <w:t>相关论文（仅限中文）</w:t>
            </w:r>
            <w:r>
              <w:rPr>
                <w:sz w:val="20"/>
                <w:szCs w:val="18"/>
              </w:rPr>
              <w:t>5</w:t>
            </w:r>
            <w:r>
              <w:rPr>
                <w:rFonts w:hint="eastAsia"/>
                <w:sz w:val="20"/>
                <w:szCs w:val="18"/>
              </w:rPr>
              <w:t>篇，得基本分</w:t>
            </w:r>
            <w:r>
              <w:rPr>
                <w:sz w:val="20"/>
                <w:szCs w:val="18"/>
              </w:rPr>
              <w:t>5</w:t>
            </w:r>
            <w:r>
              <w:rPr>
                <w:rFonts w:hint="eastAsia"/>
                <w:sz w:val="20"/>
                <w:szCs w:val="18"/>
              </w:rPr>
              <w:t>分，每增加</w:t>
            </w:r>
            <w:r>
              <w:rPr>
                <w:sz w:val="20"/>
                <w:szCs w:val="18"/>
              </w:rPr>
              <w:t>1</w:t>
            </w:r>
            <w:r>
              <w:rPr>
                <w:rFonts w:hint="eastAsia"/>
                <w:sz w:val="20"/>
                <w:szCs w:val="18"/>
              </w:rPr>
              <w:t>篇加</w:t>
            </w:r>
            <w:r>
              <w:rPr>
                <w:sz w:val="20"/>
                <w:szCs w:val="18"/>
              </w:rPr>
              <w:t>1</w:t>
            </w:r>
            <w:r>
              <w:rPr>
                <w:rFonts w:hint="eastAsia"/>
                <w:sz w:val="20"/>
                <w:szCs w:val="18"/>
              </w:rPr>
              <w:t>分，本项最高</w:t>
            </w:r>
            <w:r>
              <w:rPr>
                <w:sz w:val="20"/>
                <w:szCs w:val="18"/>
              </w:rPr>
              <w:t>10</w:t>
            </w:r>
            <w:r>
              <w:rPr>
                <w:rFonts w:hint="eastAsia"/>
                <w:sz w:val="20"/>
                <w:szCs w:val="18"/>
              </w:rPr>
              <w:t>分</w:t>
            </w:r>
          </w:p>
        </w:tc>
        <w:tc>
          <w:tcPr>
            <w:tcW w:w="3990" w:type="dxa"/>
            <w:tcBorders>
              <w:top w:val="single" w:color="auto" w:sz="4" w:space="0"/>
              <w:left w:val="single" w:color="auto" w:sz="4" w:space="0"/>
              <w:bottom w:val="single" w:color="auto" w:sz="4" w:space="0"/>
              <w:right w:val="single" w:color="auto" w:sz="4" w:space="0"/>
            </w:tcBorders>
            <w:vAlign w:val="center"/>
          </w:tcPr>
          <w:p>
            <w:pPr>
              <w:rPr>
                <w:sz w:val="20"/>
                <w:szCs w:val="18"/>
              </w:rPr>
            </w:pPr>
            <w:r>
              <w:rPr>
                <w:rFonts w:hint="eastAsia"/>
                <w:sz w:val="20"/>
                <w:szCs w:val="18"/>
              </w:rPr>
              <w:t>公开刊物证明材料为以下两种方式之一：（</w:t>
            </w:r>
            <w:r>
              <w:rPr>
                <w:sz w:val="20"/>
                <w:szCs w:val="18"/>
              </w:rPr>
              <w:t xml:space="preserve">1 </w:t>
            </w:r>
            <w:r>
              <w:rPr>
                <w:rFonts w:hint="eastAsia"/>
                <w:sz w:val="20"/>
                <w:szCs w:val="18"/>
              </w:rPr>
              <w:t>）</w:t>
            </w:r>
            <w:r>
              <w:rPr>
                <w:sz w:val="20"/>
                <w:szCs w:val="18"/>
              </w:rPr>
              <w:t xml:space="preserve"> </w:t>
            </w:r>
            <w:r>
              <w:rPr>
                <w:rFonts w:hint="eastAsia"/>
                <w:sz w:val="20"/>
                <w:szCs w:val="18"/>
              </w:rPr>
              <w:t>实体刊物封面</w:t>
            </w:r>
            <w:r>
              <w:rPr>
                <w:sz w:val="20"/>
                <w:szCs w:val="18"/>
              </w:rPr>
              <w:t>+</w:t>
            </w:r>
            <w:r>
              <w:rPr>
                <w:rFonts w:hint="eastAsia"/>
                <w:sz w:val="20"/>
                <w:szCs w:val="18"/>
              </w:rPr>
              <w:t>目录</w:t>
            </w:r>
            <w:r>
              <w:rPr>
                <w:sz w:val="20"/>
                <w:szCs w:val="18"/>
              </w:rPr>
              <w:t>+</w:t>
            </w:r>
            <w:r>
              <w:rPr>
                <w:rFonts w:hint="eastAsia"/>
                <w:sz w:val="20"/>
                <w:szCs w:val="18"/>
              </w:rPr>
              <w:t>论文首页；（</w:t>
            </w:r>
            <w:r>
              <w:rPr>
                <w:sz w:val="20"/>
                <w:szCs w:val="18"/>
              </w:rPr>
              <w:t>2</w:t>
            </w:r>
            <w:r>
              <w:rPr>
                <w:rFonts w:hint="eastAsia"/>
                <w:sz w:val="20"/>
                <w:szCs w:val="18"/>
              </w:rPr>
              <w:t>）检索页面</w:t>
            </w:r>
            <w:r>
              <w:rPr>
                <w:sz w:val="20"/>
                <w:szCs w:val="18"/>
              </w:rPr>
              <w:t>+</w:t>
            </w:r>
            <w:r>
              <w:rPr>
                <w:rFonts w:hint="eastAsia"/>
                <w:sz w:val="20"/>
                <w:szCs w:val="18"/>
              </w:rPr>
              <w:t>论文首页，其中检索页面为中国知网（</w:t>
            </w:r>
            <w:r>
              <w:rPr>
                <w:sz w:val="20"/>
                <w:szCs w:val="18"/>
              </w:rPr>
              <w:t>http://www.cnki.net/</w:t>
            </w:r>
            <w:r>
              <w:rPr>
                <w:rFonts w:hint="eastAsia"/>
                <w:sz w:val="20"/>
                <w:szCs w:val="18"/>
              </w:rPr>
              <w:t>）检索页面或万方数据库（</w:t>
            </w:r>
            <w:r>
              <w:rPr>
                <w:sz w:val="20"/>
                <w:szCs w:val="18"/>
              </w:rPr>
              <w:t>http://www.wanfangdata.com.cn/</w:t>
            </w:r>
            <w:r>
              <w:rPr>
                <w:rFonts w:hint="eastAsia"/>
                <w:sz w:val="20"/>
                <w:szCs w:val="18"/>
              </w:rPr>
              <w:t>）检索页面。以上论文证明材料复印件需加盖投标人公章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pPr>
              <w:jc w:val="center"/>
              <w:rPr>
                <w:sz w:val="20"/>
                <w:szCs w:val="18"/>
              </w:rPr>
            </w:pPr>
            <w:r>
              <w:rPr>
                <w:rFonts w:hint="eastAsia"/>
                <w:sz w:val="20"/>
                <w:szCs w:val="18"/>
              </w:rPr>
              <w:t>6</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sz w:val="20"/>
                <w:szCs w:val="18"/>
              </w:rPr>
            </w:pPr>
            <w:r>
              <w:rPr>
                <w:rFonts w:hint="eastAsia"/>
                <w:sz w:val="20"/>
                <w:szCs w:val="18"/>
              </w:rPr>
              <w:t>投标人业绩</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sz w:val="20"/>
                <w:szCs w:val="18"/>
              </w:rPr>
            </w:pPr>
            <w:r>
              <w:rPr>
                <w:sz w:val="20"/>
                <w:szCs w:val="18"/>
              </w:rPr>
              <w:t>30</w:t>
            </w:r>
          </w:p>
        </w:tc>
        <w:tc>
          <w:tcPr>
            <w:tcW w:w="6050" w:type="dxa"/>
            <w:tcBorders>
              <w:top w:val="single" w:color="auto" w:sz="4" w:space="0"/>
              <w:left w:val="single" w:color="auto" w:sz="4" w:space="0"/>
              <w:bottom w:val="single" w:color="auto" w:sz="4" w:space="0"/>
              <w:right w:val="single" w:color="auto" w:sz="4" w:space="0"/>
            </w:tcBorders>
            <w:vAlign w:val="center"/>
          </w:tcPr>
          <w:p>
            <w:pPr>
              <w:rPr>
                <w:sz w:val="20"/>
                <w:szCs w:val="18"/>
              </w:rPr>
            </w:pPr>
            <w:r>
              <w:rPr>
                <w:rFonts w:hint="eastAsia"/>
                <w:sz w:val="20"/>
                <w:szCs w:val="18"/>
              </w:rPr>
              <w:t>（</w:t>
            </w:r>
            <w:r>
              <w:rPr>
                <w:sz w:val="20"/>
                <w:szCs w:val="18"/>
              </w:rPr>
              <w:t>1</w:t>
            </w:r>
            <w:r>
              <w:rPr>
                <w:rFonts w:hint="eastAsia"/>
                <w:sz w:val="20"/>
                <w:szCs w:val="18"/>
              </w:rPr>
              <w:t>）投标人有</w:t>
            </w:r>
            <w:r>
              <w:rPr>
                <w:sz w:val="20"/>
                <w:szCs w:val="18"/>
              </w:rPr>
              <w:t>1</w:t>
            </w:r>
            <w:r>
              <w:rPr>
                <w:rFonts w:hint="eastAsia"/>
                <w:sz w:val="20"/>
                <w:szCs w:val="18"/>
              </w:rPr>
              <w:t>个所属行业为市政工程的项目，每</w:t>
            </w:r>
            <w:r>
              <w:rPr>
                <w:sz w:val="20"/>
                <w:szCs w:val="18"/>
              </w:rPr>
              <w:t>1</w:t>
            </w:r>
            <w:r>
              <w:rPr>
                <w:rFonts w:hint="eastAsia"/>
                <w:sz w:val="20"/>
                <w:szCs w:val="18"/>
              </w:rPr>
              <w:t>个得</w:t>
            </w:r>
            <w:r>
              <w:rPr>
                <w:sz w:val="20"/>
                <w:szCs w:val="18"/>
              </w:rPr>
              <w:t>2</w:t>
            </w:r>
            <w:r>
              <w:rPr>
                <w:rFonts w:hint="eastAsia"/>
                <w:sz w:val="20"/>
                <w:szCs w:val="18"/>
              </w:rPr>
              <w:t>分，本项最高得</w:t>
            </w:r>
            <w:r>
              <w:rPr>
                <w:sz w:val="20"/>
                <w:szCs w:val="18"/>
              </w:rPr>
              <w:t>10</w:t>
            </w:r>
            <w:r>
              <w:rPr>
                <w:rFonts w:hint="eastAsia"/>
                <w:sz w:val="20"/>
                <w:szCs w:val="18"/>
              </w:rPr>
              <w:t>分；</w:t>
            </w:r>
          </w:p>
          <w:p>
            <w:pPr>
              <w:rPr>
                <w:sz w:val="20"/>
                <w:szCs w:val="18"/>
              </w:rPr>
            </w:pPr>
            <w:r>
              <w:rPr>
                <w:rFonts w:hint="eastAsia"/>
                <w:sz w:val="20"/>
                <w:szCs w:val="18"/>
              </w:rPr>
              <w:t>（</w:t>
            </w:r>
            <w:r>
              <w:rPr>
                <w:sz w:val="20"/>
                <w:szCs w:val="18"/>
              </w:rPr>
              <w:t>2</w:t>
            </w:r>
            <w:r>
              <w:rPr>
                <w:rFonts w:hint="eastAsia"/>
                <w:sz w:val="20"/>
                <w:szCs w:val="18"/>
              </w:rPr>
              <w:t>）投标人有</w:t>
            </w:r>
            <w:r>
              <w:rPr>
                <w:sz w:val="20"/>
                <w:szCs w:val="18"/>
              </w:rPr>
              <w:t>1</w:t>
            </w:r>
            <w:r>
              <w:rPr>
                <w:rFonts w:hint="eastAsia"/>
                <w:sz w:val="20"/>
                <w:szCs w:val="18"/>
              </w:rPr>
              <w:t>个财政部</w:t>
            </w:r>
            <w:r>
              <w:rPr>
                <w:sz w:val="20"/>
                <w:szCs w:val="18"/>
              </w:rPr>
              <w:t>PPP</w:t>
            </w:r>
            <w:r>
              <w:rPr>
                <w:rFonts w:hint="eastAsia"/>
                <w:sz w:val="20"/>
                <w:szCs w:val="18"/>
              </w:rPr>
              <w:t>示范项目的</w:t>
            </w:r>
            <w:r>
              <w:rPr>
                <w:sz w:val="20"/>
                <w:szCs w:val="18"/>
              </w:rPr>
              <w:t>PPP</w:t>
            </w:r>
            <w:r>
              <w:rPr>
                <w:rFonts w:hint="eastAsia"/>
                <w:sz w:val="20"/>
                <w:szCs w:val="18"/>
              </w:rPr>
              <w:t>咨询业绩，得</w:t>
            </w:r>
            <w:r>
              <w:rPr>
                <w:sz w:val="20"/>
                <w:szCs w:val="18"/>
              </w:rPr>
              <w:t>0.5</w:t>
            </w:r>
            <w:r>
              <w:rPr>
                <w:rFonts w:hint="eastAsia"/>
                <w:sz w:val="20"/>
                <w:szCs w:val="18"/>
              </w:rPr>
              <w:t>分，本项最高得</w:t>
            </w:r>
            <w:r>
              <w:rPr>
                <w:sz w:val="20"/>
                <w:szCs w:val="18"/>
              </w:rPr>
              <w:t>10</w:t>
            </w:r>
            <w:r>
              <w:rPr>
                <w:rFonts w:hint="eastAsia"/>
                <w:sz w:val="20"/>
                <w:szCs w:val="18"/>
              </w:rPr>
              <w:t>分；</w:t>
            </w:r>
          </w:p>
          <w:p>
            <w:pPr>
              <w:rPr>
                <w:sz w:val="20"/>
                <w:szCs w:val="18"/>
              </w:rPr>
            </w:pPr>
            <w:r>
              <w:rPr>
                <w:rFonts w:hint="eastAsia"/>
                <w:sz w:val="20"/>
                <w:szCs w:val="18"/>
              </w:rPr>
              <w:t>（</w:t>
            </w:r>
            <w:r>
              <w:rPr>
                <w:sz w:val="20"/>
                <w:szCs w:val="18"/>
              </w:rPr>
              <w:t>3</w:t>
            </w:r>
            <w:r>
              <w:rPr>
                <w:rFonts w:hint="eastAsia"/>
                <w:sz w:val="20"/>
                <w:szCs w:val="18"/>
              </w:rPr>
              <w:t>）投标人担任国家发改委或财政部或住建部</w:t>
            </w:r>
            <w:r>
              <w:rPr>
                <w:sz w:val="20"/>
                <w:szCs w:val="18"/>
              </w:rPr>
              <w:t>PPP</w:t>
            </w:r>
            <w:r>
              <w:rPr>
                <w:rFonts w:hint="eastAsia"/>
                <w:sz w:val="20"/>
                <w:szCs w:val="18"/>
              </w:rPr>
              <w:t>规范文件（政策法规）起草或课题编制的，每个得</w:t>
            </w:r>
            <w:r>
              <w:rPr>
                <w:sz w:val="20"/>
                <w:szCs w:val="18"/>
              </w:rPr>
              <w:t>2</w:t>
            </w:r>
            <w:r>
              <w:rPr>
                <w:rFonts w:hint="eastAsia"/>
                <w:sz w:val="20"/>
                <w:szCs w:val="18"/>
              </w:rPr>
              <w:t>分，最高得</w:t>
            </w:r>
            <w:r>
              <w:rPr>
                <w:sz w:val="20"/>
                <w:szCs w:val="18"/>
              </w:rPr>
              <w:t>10 </w:t>
            </w:r>
            <w:r>
              <w:rPr>
                <w:rFonts w:hint="eastAsia"/>
                <w:sz w:val="20"/>
                <w:szCs w:val="18"/>
              </w:rPr>
              <w:t>分。</w:t>
            </w:r>
          </w:p>
          <w:p>
            <w:pPr>
              <w:rPr>
                <w:sz w:val="20"/>
                <w:szCs w:val="18"/>
              </w:rPr>
            </w:pPr>
          </w:p>
          <w:p>
            <w:pPr>
              <w:rPr>
                <w:sz w:val="20"/>
                <w:szCs w:val="18"/>
              </w:rPr>
            </w:pPr>
            <w:r>
              <w:rPr>
                <w:rFonts w:hint="eastAsia"/>
                <w:sz w:val="20"/>
                <w:szCs w:val="18"/>
              </w:rPr>
              <w:t>注</w:t>
            </w:r>
            <w:r>
              <w:rPr>
                <w:sz w:val="20"/>
                <w:szCs w:val="18"/>
              </w:rPr>
              <w:t>: (1)(2)</w:t>
            </w:r>
            <w:r>
              <w:rPr>
                <w:rFonts w:hint="eastAsia"/>
                <w:sz w:val="20"/>
                <w:szCs w:val="18"/>
              </w:rPr>
              <w:t>类项目可重复</w:t>
            </w:r>
            <w:r>
              <w:rPr>
                <w:sz w:val="20"/>
                <w:szCs w:val="18"/>
              </w:rPr>
              <w:t>.</w:t>
            </w:r>
          </w:p>
        </w:tc>
        <w:tc>
          <w:tcPr>
            <w:tcW w:w="3990" w:type="dxa"/>
            <w:tcBorders>
              <w:top w:val="single" w:color="auto" w:sz="4" w:space="0"/>
              <w:left w:val="single" w:color="auto" w:sz="4" w:space="0"/>
              <w:bottom w:val="single" w:color="auto" w:sz="4" w:space="0"/>
              <w:right w:val="single" w:color="auto" w:sz="4" w:space="0"/>
            </w:tcBorders>
            <w:vAlign w:val="center"/>
          </w:tcPr>
          <w:p>
            <w:pPr>
              <w:rPr>
                <w:sz w:val="20"/>
                <w:szCs w:val="18"/>
              </w:rPr>
            </w:pPr>
            <w:r>
              <w:rPr>
                <w:rFonts w:hint="eastAsia"/>
                <w:sz w:val="20"/>
                <w:szCs w:val="18"/>
              </w:rPr>
              <w:t>（</w:t>
            </w:r>
            <w:r>
              <w:rPr>
                <w:sz w:val="20"/>
                <w:szCs w:val="18"/>
              </w:rPr>
              <w:t>1</w:t>
            </w:r>
            <w:r>
              <w:rPr>
                <w:rFonts w:hint="eastAsia"/>
                <w:sz w:val="20"/>
                <w:szCs w:val="18"/>
              </w:rPr>
              <w:t>）所属行业：以财政部政府和社会资本合作中心官网（</w:t>
            </w:r>
            <w:r>
              <w:rPr>
                <w:sz w:val="20"/>
                <w:szCs w:val="18"/>
              </w:rPr>
              <w:t>http://www.cpppc.org/</w:t>
            </w:r>
            <w:r>
              <w:rPr>
                <w:rFonts w:hint="eastAsia"/>
                <w:sz w:val="20"/>
                <w:szCs w:val="18"/>
              </w:rPr>
              <w:t>）</w:t>
            </w:r>
            <w:r>
              <w:rPr>
                <w:sz w:val="20"/>
                <w:szCs w:val="18"/>
              </w:rPr>
              <w:t>PPP</w:t>
            </w:r>
            <w:r>
              <w:rPr>
                <w:rFonts w:hint="eastAsia"/>
                <w:sz w:val="20"/>
                <w:szCs w:val="18"/>
              </w:rPr>
              <w:t>项目库中注明的“所属行业”为“市政工程”为准，投标人需提供上述网页的截图复印件（加盖投标人公章）。</w:t>
            </w:r>
          </w:p>
          <w:p>
            <w:pPr>
              <w:rPr>
                <w:sz w:val="20"/>
                <w:szCs w:val="18"/>
              </w:rPr>
            </w:pPr>
            <w:r>
              <w:rPr>
                <w:rFonts w:hint="eastAsia"/>
                <w:sz w:val="20"/>
                <w:szCs w:val="18"/>
              </w:rPr>
              <w:t>（</w:t>
            </w:r>
            <w:r>
              <w:rPr>
                <w:sz w:val="20"/>
                <w:szCs w:val="18"/>
              </w:rPr>
              <w:t>2</w:t>
            </w:r>
            <w:r>
              <w:rPr>
                <w:rFonts w:hint="eastAsia"/>
                <w:sz w:val="20"/>
                <w:szCs w:val="18"/>
              </w:rPr>
              <w:t>）财政部</w:t>
            </w:r>
            <w:r>
              <w:rPr>
                <w:sz w:val="20"/>
                <w:szCs w:val="18"/>
              </w:rPr>
              <w:t>PPP</w:t>
            </w:r>
            <w:r>
              <w:rPr>
                <w:rFonts w:hint="eastAsia"/>
                <w:sz w:val="20"/>
                <w:szCs w:val="18"/>
              </w:rPr>
              <w:t>示范项目：以财政部政府和社会资本合作中心官网（</w:t>
            </w:r>
            <w:r>
              <w:rPr>
                <w:sz w:val="20"/>
                <w:szCs w:val="18"/>
              </w:rPr>
              <w:t>http://www.cpppc.org/</w:t>
            </w:r>
            <w:r>
              <w:rPr>
                <w:rFonts w:hint="eastAsia"/>
                <w:sz w:val="20"/>
                <w:szCs w:val="18"/>
              </w:rPr>
              <w:t>）</w:t>
            </w:r>
            <w:r>
              <w:rPr>
                <w:sz w:val="20"/>
                <w:szCs w:val="18"/>
              </w:rPr>
              <w:t>PPP</w:t>
            </w:r>
            <w:r>
              <w:rPr>
                <w:rFonts w:hint="eastAsia"/>
                <w:sz w:val="20"/>
                <w:szCs w:val="18"/>
              </w:rPr>
              <w:t>项目库中注明的“项目示范级别</w:t>
            </w:r>
            <w:r>
              <w:rPr>
                <w:sz w:val="20"/>
                <w:szCs w:val="18"/>
              </w:rPr>
              <w:t>/</w:t>
            </w:r>
            <w:r>
              <w:rPr>
                <w:rFonts w:hint="eastAsia"/>
                <w:sz w:val="20"/>
                <w:szCs w:val="18"/>
              </w:rPr>
              <w:t>批次”为“第一批次国家示范项目”，“第二批次国家示范项目”或“第三批次国家示范项目”为准，投标人需提供上述网页的截图复印件（加盖投标人公章），上述</w:t>
            </w:r>
            <w:r>
              <w:rPr>
                <w:sz w:val="20"/>
                <w:szCs w:val="18"/>
              </w:rPr>
              <w:t>PPP</w:t>
            </w:r>
            <w:r>
              <w:rPr>
                <w:rFonts w:hint="eastAsia"/>
                <w:sz w:val="20"/>
                <w:szCs w:val="18"/>
              </w:rPr>
              <w:t>咨询业绩均应提供相关服务协议（应包含首页、咨询服务页、盖章页）或业绩证明复印件，并加盖投标人公章。</w:t>
            </w:r>
          </w:p>
          <w:p>
            <w:pPr>
              <w:rPr>
                <w:sz w:val="20"/>
                <w:szCs w:val="18"/>
              </w:rPr>
            </w:pPr>
            <w:r>
              <w:rPr>
                <w:rFonts w:hint="eastAsia"/>
                <w:sz w:val="20"/>
                <w:szCs w:val="18"/>
              </w:rPr>
              <w:t>（</w:t>
            </w:r>
            <w:r>
              <w:rPr>
                <w:sz w:val="20"/>
                <w:szCs w:val="18"/>
              </w:rPr>
              <w:t>3</w:t>
            </w:r>
            <w:r>
              <w:rPr>
                <w:rFonts w:hint="eastAsia"/>
                <w:sz w:val="20"/>
                <w:szCs w:val="18"/>
              </w:rPr>
              <w:t>）</w:t>
            </w:r>
            <w:r>
              <w:rPr>
                <w:sz w:val="20"/>
                <w:szCs w:val="18"/>
              </w:rPr>
              <w:t>PPP</w:t>
            </w:r>
            <w:r>
              <w:rPr>
                <w:rFonts w:hint="eastAsia"/>
                <w:sz w:val="20"/>
                <w:szCs w:val="18"/>
              </w:rPr>
              <w:t>规范文件（政策法规）起草或课题编制：投标人须提供上述部委或其司局出具的咨询服务协议或业绩证明复印件（加盖投标人公章）。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08" w:hRule="atLeast"/>
          <w:jc w:val="center"/>
        </w:trPr>
        <w:tc>
          <w:tcPr>
            <w:tcW w:w="13110" w:type="dxa"/>
            <w:gridSpan w:val="5"/>
            <w:tcBorders>
              <w:top w:val="single" w:color="auto" w:sz="4" w:space="0"/>
              <w:left w:val="single" w:color="auto" w:sz="4" w:space="0"/>
              <w:bottom w:val="single" w:color="auto" w:sz="4" w:space="0"/>
              <w:right w:val="single" w:color="auto" w:sz="4" w:space="0"/>
            </w:tcBorders>
            <w:vAlign w:val="center"/>
          </w:tcPr>
          <w:p>
            <w:pPr>
              <w:rPr>
                <w:sz w:val="20"/>
                <w:szCs w:val="18"/>
              </w:rPr>
            </w:pPr>
            <w:r>
              <w:rPr>
                <w:rFonts w:hint="eastAsia"/>
                <w:sz w:val="20"/>
                <w:szCs w:val="18"/>
              </w:rPr>
              <w:t>注：各要素计算得分按四舍五入保留小数点后两位</w:t>
            </w:r>
          </w:p>
        </w:tc>
      </w:tr>
    </w:tbl>
    <w:p>
      <w:pPr>
        <w:adjustRightInd w:val="0"/>
        <w:spacing w:line="360" w:lineRule="auto"/>
        <w:ind w:firstLine="480" w:firstLineChars="200"/>
        <w:jc w:val="left"/>
        <w:rPr>
          <w:rFonts w:ascii="宋体" w:hAnsi="宋体" w:eastAsia="宋体" w:cs="宋体"/>
          <w:sz w:val="24"/>
          <w:szCs w:val="24"/>
        </w:rPr>
        <w:sectPr>
          <w:pgSz w:w="16838" w:h="11906" w:orient="landscape"/>
          <w:pgMar w:top="1587" w:right="1587" w:bottom="1587" w:left="1587" w:header="1247" w:footer="992" w:gutter="0"/>
          <w:cols w:space="0" w:num="1"/>
          <w:docGrid w:linePitch="312" w:charSpace="0"/>
        </w:sectPr>
      </w:pPr>
    </w:p>
    <w:p>
      <w:pPr>
        <w:adjustRightIn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全体评标委员会成员对供应商评分的算术平均值即为该供应商最终评标得分，评分和计算结果均保留小数点后2位（采用四舍五入法）。</w:t>
      </w:r>
    </w:p>
    <w:p>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三、特别说明</w:t>
      </w:r>
    </w:p>
    <w:p>
      <w:pPr>
        <w:spacing w:line="360" w:lineRule="auto"/>
        <w:ind w:firstLine="482" w:firstLineChars="200"/>
        <w:rPr>
          <w:rFonts w:ascii="宋体" w:hAnsi="宋体" w:eastAsia="宋体" w:cs="宋体"/>
          <w:sz w:val="24"/>
          <w:szCs w:val="24"/>
        </w:rPr>
      </w:pPr>
      <w:r>
        <w:rPr>
          <w:rFonts w:hint="eastAsia" w:ascii="宋体" w:hAnsi="宋体" w:eastAsia="宋体" w:cs="宋体"/>
          <w:b/>
          <w:sz w:val="24"/>
          <w:szCs w:val="24"/>
        </w:rPr>
        <w:t>1</w:t>
      </w:r>
      <w:r>
        <w:rPr>
          <w:rFonts w:hint="eastAsia" w:ascii="宋体" w:hAnsi="宋体" w:eastAsia="宋体" w:cs="宋体"/>
          <w:sz w:val="24"/>
          <w:szCs w:val="24"/>
        </w:rPr>
        <w:t>.如果有其他特殊情况，将由评标委员会现场研究决定。</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2.投标文件有下列情形之一的，按照无效投标处理</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（1）未提供招标文件本部分所要求的“资格性审查材料”和“符合性审查材料”的；</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（2）供应商的法定代表人（代表人）或其授权委托人未参加开标会议或未在开标签到表上签字确认的；</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（3）未按招标文件规定提供原件或复印件的；</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（4）投标文件附有不能接受的条件的；</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（5）没有就该项目完整投标的；</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（6）不符合法律、法规和招标文件规定的其他实质性要求的；</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（7）出现影响采购公正的违法、违规行为的。</w:t>
      </w:r>
    </w:p>
    <w:p>
      <w:pPr>
        <w:spacing w:line="360" w:lineRule="auto"/>
        <w:ind w:firstLine="480" w:firstLineChars="200"/>
        <w:rPr>
          <w:rFonts w:ascii="宋体" w:hAnsi="宋体" w:eastAsia="宋体" w:cs="宋体"/>
          <w:sz w:val="24"/>
          <w:szCs w:val="24"/>
        </w:rPr>
      </w:pPr>
    </w:p>
    <w:p>
      <w:pPr>
        <w:spacing w:line="360" w:lineRule="auto"/>
        <w:ind w:firstLine="480" w:firstLineChars="200"/>
        <w:rPr>
          <w:rFonts w:ascii="宋体" w:hAnsi="宋体" w:eastAsia="宋体" w:cs="宋体"/>
          <w:sz w:val="24"/>
          <w:szCs w:val="24"/>
        </w:rPr>
      </w:pPr>
    </w:p>
    <w:p>
      <w:pPr>
        <w:spacing w:line="360" w:lineRule="auto"/>
        <w:ind w:firstLine="480" w:firstLineChars="200"/>
        <w:rPr>
          <w:rFonts w:ascii="宋体" w:hAnsi="宋体" w:eastAsia="宋体" w:cs="宋体"/>
          <w:sz w:val="24"/>
          <w:szCs w:val="24"/>
        </w:rPr>
      </w:pPr>
    </w:p>
    <w:p>
      <w:pPr>
        <w:spacing w:line="360" w:lineRule="auto"/>
        <w:ind w:firstLine="480" w:firstLineChars="200"/>
        <w:rPr>
          <w:rFonts w:ascii="宋体" w:hAnsi="宋体" w:eastAsia="宋体" w:cs="宋体"/>
          <w:sz w:val="24"/>
          <w:szCs w:val="24"/>
        </w:rPr>
      </w:pPr>
    </w:p>
    <w:p>
      <w:pPr>
        <w:spacing w:line="360" w:lineRule="auto"/>
        <w:ind w:firstLine="480" w:firstLineChars="200"/>
        <w:rPr>
          <w:rFonts w:ascii="宋体" w:hAnsi="宋体" w:eastAsia="宋体" w:cs="宋体"/>
          <w:sz w:val="24"/>
          <w:szCs w:val="24"/>
        </w:rPr>
      </w:pPr>
    </w:p>
    <w:p>
      <w:pPr>
        <w:spacing w:line="360" w:lineRule="auto"/>
        <w:ind w:firstLine="480" w:firstLineChars="200"/>
        <w:rPr>
          <w:rFonts w:ascii="宋体" w:hAnsi="宋体" w:eastAsia="宋体" w:cs="宋体"/>
          <w:sz w:val="24"/>
          <w:szCs w:val="24"/>
        </w:rPr>
      </w:pPr>
    </w:p>
    <w:p>
      <w:pPr>
        <w:spacing w:line="360" w:lineRule="auto"/>
        <w:ind w:firstLine="480" w:firstLineChars="200"/>
        <w:rPr>
          <w:rFonts w:ascii="宋体" w:hAnsi="宋体" w:eastAsia="宋体" w:cs="宋体"/>
          <w:sz w:val="24"/>
          <w:szCs w:val="24"/>
        </w:rPr>
      </w:pPr>
    </w:p>
    <w:p>
      <w:pPr>
        <w:spacing w:line="360" w:lineRule="auto"/>
        <w:ind w:firstLine="480" w:firstLineChars="200"/>
        <w:rPr>
          <w:rFonts w:ascii="宋体" w:hAnsi="宋体" w:eastAsia="宋体" w:cs="宋体"/>
          <w:sz w:val="24"/>
          <w:szCs w:val="24"/>
        </w:rPr>
        <w:sectPr>
          <w:pgSz w:w="11906" w:h="16838"/>
          <w:pgMar w:top="1587" w:right="1587" w:bottom="1587" w:left="1587" w:header="1247" w:footer="992" w:gutter="0"/>
          <w:cols w:space="0" w:num="1"/>
          <w:docGrid w:linePitch="312" w:charSpace="0"/>
        </w:sectPr>
      </w:pPr>
    </w:p>
    <w:p>
      <w:pPr>
        <w:spacing w:line="360" w:lineRule="auto"/>
        <w:ind w:firstLine="480" w:firstLineChars="200"/>
        <w:rPr>
          <w:rFonts w:ascii="宋体" w:hAnsi="宋体" w:eastAsia="宋体" w:cs="宋体"/>
          <w:sz w:val="24"/>
          <w:szCs w:val="24"/>
        </w:rPr>
      </w:pPr>
    </w:p>
    <w:p>
      <w:pPr>
        <w:autoSpaceDE w:val="0"/>
        <w:autoSpaceDN w:val="0"/>
        <w:adjustRightInd w:val="0"/>
        <w:spacing w:line="800" w:lineRule="exact"/>
        <w:jc w:val="center"/>
        <w:outlineLvl w:val="0"/>
        <w:rPr>
          <w:rFonts w:ascii="宋体" w:hAnsi="宋体" w:eastAsia="宋体" w:cs="宋体"/>
          <w:b/>
          <w:bCs/>
          <w:sz w:val="44"/>
          <w:szCs w:val="44"/>
          <w:lang w:val="zh-CN"/>
        </w:rPr>
      </w:pPr>
      <w:bookmarkStart w:id="61" w:name="_Toc2744"/>
      <w:r>
        <w:rPr>
          <w:rFonts w:hint="eastAsia" w:ascii="宋体" w:hAnsi="宋体" w:eastAsia="宋体" w:cs="宋体"/>
          <w:b/>
          <w:bCs/>
          <w:sz w:val="44"/>
          <w:szCs w:val="44"/>
          <w:lang w:val="zh-CN"/>
        </w:rPr>
        <w:t>第五部分 合同</w:t>
      </w:r>
      <w:bookmarkEnd w:id="56"/>
      <w:bookmarkEnd w:id="57"/>
      <w:bookmarkEnd w:id="58"/>
      <w:bookmarkEnd w:id="59"/>
      <w:bookmarkEnd w:id="60"/>
      <w:r>
        <w:rPr>
          <w:rFonts w:hint="eastAsia" w:ascii="宋体" w:hAnsi="宋体" w:eastAsia="宋体" w:cs="宋体"/>
          <w:b/>
          <w:bCs/>
          <w:sz w:val="44"/>
          <w:szCs w:val="44"/>
          <w:lang w:val="zh-CN"/>
        </w:rPr>
        <w:t>样本</w:t>
      </w:r>
      <w:bookmarkEnd w:id="61"/>
    </w:p>
    <w:p>
      <w:pPr>
        <w:jc w:val="center"/>
        <w:rPr>
          <w:rFonts w:ascii="宋体" w:hAnsi="宋体" w:eastAsia="宋体" w:cs="宋体"/>
          <w:b/>
          <w:bCs/>
          <w:sz w:val="36"/>
          <w:szCs w:val="36"/>
        </w:rPr>
      </w:pPr>
    </w:p>
    <w:p>
      <w:pPr>
        <w:adjustRightInd w:val="0"/>
        <w:snapToGrid w:val="0"/>
        <w:spacing w:before="120" w:beforeLines="50" w:after="50" w:line="300" w:lineRule="auto"/>
        <w:ind w:firstLine="420"/>
        <w:rPr>
          <w:rFonts w:ascii="宋体" w:hAnsi="宋体"/>
          <w:sz w:val="24"/>
        </w:rPr>
      </w:pPr>
      <w:r>
        <w:rPr>
          <w:rFonts w:hint="eastAsia" w:ascii="宋体" w:hAnsi="宋体"/>
          <w:sz w:val="24"/>
        </w:rPr>
        <w:t>本咨询服务协议（“本协议”）由以下两方于**年**月**日订立：</w:t>
      </w:r>
    </w:p>
    <w:p>
      <w:pPr>
        <w:numPr>
          <w:ilvl w:val="0"/>
          <w:numId w:val="2"/>
        </w:numPr>
        <w:adjustRightInd w:val="0"/>
        <w:snapToGrid w:val="0"/>
        <w:spacing w:before="120" w:beforeLines="50" w:after="50" w:line="300" w:lineRule="auto"/>
        <w:rPr>
          <w:rFonts w:ascii="宋体" w:hAnsi="宋体"/>
          <w:sz w:val="24"/>
        </w:rPr>
      </w:pPr>
      <w:r>
        <w:rPr>
          <w:rFonts w:hint="eastAsia" w:ascii="宋体" w:hAnsi="宋体"/>
          <w:sz w:val="24"/>
        </w:rPr>
        <w:t>甲方：</w:t>
      </w:r>
    </w:p>
    <w:p>
      <w:pPr>
        <w:adjustRightInd w:val="0"/>
        <w:snapToGrid w:val="0"/>
        <w:spacing w:before="120" w:beforeLines="50" w:after="50" w:line="300" w:lineRule="auto"/>
        <w:ind w:left="720"/>
        <w:rPr>
          <w:rFonts w:ascii="宋体" w:hAnsi="宋体"/>
          <w:sz w:val="24"/>
        </w:rPr>
      </w:pPr>
      <w:r>
        <w:rPr>
          <w:rFonts w:hint="eastAsia" w:ascii="宋体" w:hAnsi="宋体"/>
          <w:sz w:val="24"/>
        </w:rPr>
        <w:t>地址：</w:t>
      </w:r>
    </w:p>
    <w:p>
      <w:pPr>
        <w:adjustRightInd w:val="0"/>
        <w:snapToGrid w:val="0"/>
        <w:spacing w:before="120" w:beforeLines="50" w:after="50" w:line="300" w:lineRule="auto"/>
        <w:ind w:left="720"/>
        <w:rPr>
          <w:rFonts w:ascii="宋体" w:hAnsi="宋体"/>
          <w:sz w:val="24"/>
        </w:rPr>
      </w:pPr>
      <w:r>
        <w:rPr>
          <w:rFonts w:hint="eastAsia" w:ascii="宋体" w:hAnsi="宋体"/>
          <w:sz w:val="24"/>
        </w:rPr>
        <w:t>邮编：</w:t>
      </w:r>
    </w:p>
    <w:p>
      <w:pPr>
        <w:adjustRightInd w:val="0"/>
        <w:snapToGrid w:val="0"/>
        <w:spacing w:before="120" w:beforeLines="50" w:after="50" w:line="300" w:lineRule="auto"/>
        <w:ind w:left="720"/>
        <w:rPr>
          <w:rFonts w:ascii="宋体" w:hAnsi="宋体"/>
          <w:sz w:val="24"/>
        </w:rPr>
      </w:pPr>
      <w:r>
        <w:rPr>
          <w:rFonts w:hint="eastAsia" w:ascii="宋体" w:hAnsi="宋体"/>
          <w:sz w:val="24"/>
        </w:rPr>
        <w:t>电话：</w:t>
      </w:r>
    </w:p>
    <w:p>
      <w:pPr>
        <w:adjustRightInd w:val="0"/>
        <w:snapToGrid w:val="0"/>
        <w:spacing w:before="120" w:beforeLines="50" w:after="50" w:line="300" w:lineRule="auto"/>
        <w:ind w:left="720"/>
        <w:rPr>
          <w:rFonts w:ascii="宋体" w:hAnsi="宋体"/>
          <w:sz w:val="24"/>
        </w:rPr>
      </w:pPr>
      <w:r>
        <w:rPr>
          <w:rFonts w:hint="eastAsia" w:ascii="宋体" w:hAnsi="宋体"/>
          <w:sz w:val="24"/>
        </w:rPr>
        <w:t>传真：</w:t>
      </w:r>
    </w:p>
    <w:p>
      <w:pPr>
        <w:numPr>
          <w:ilvl w:val="0"/>
          <w:numId w:val="2"/>
        </w:numPr>
        <w:adjustRightInd w:val="0"/>
        <w:snapToGrid w:val="0"/>
        <w:spacing w:before="120" w:beforeLines="50" w:after="50" w:line="300" w:lineRule="auto"/>
        <w:rPr>
          <w:rFonts w:ascii="宋体" w:hAnsi="宋体"/>
          <w:sz w:val="24"/>
        </w:rPr>
      </w:pPr>
      <w:r>
        <w:rPr>
          <w:rFonts w:hint="eastAsia" w:ascii="宋体" w:hAnsi="宋体"/>
          <w:sz w:val="24"/>
        </w:rPr>
        <w:t xml:space="preserve">乙方： </w:t>
      </w:r>
    </w:p>
    <w:p>
      <w:pPr>
        <w:adjustRightInd w:val="0"/>
        <w:snapToGrid w:val="0"/>
        <w:spacing w:before="120" w:beforeLines="50" w:after="50" w:line="300" w:lineRule="auto"/>
        <w:ind w:left="720"/>
        <w:rPr>
          <w:rFonts w:ascii="宋体" w:hAnsi="宋体"/>
          <w:sz w:val="24"/>
        </w:rPr>
      </w:pPr>
      <w:r>
        <w:rPr>
          <w:rFonts w:hint="eastAsia" w:ascii="宋体" w:hAnsi="宋体"/>
          <w:sz w:val="24"/>
        </w:rPr>
        <w:t>地址：</w:t>
      </w:r>
    </w:p>
    <w:p>
      <w:pPr>
        <w:adjustRightInd w:val="0"/>
        <w:snapToGrid w:val="0"/>
        <w:spacing w:before="120" w:beforeLines="50" w:after="50" w:line="300" w:lineRule="auto"/>
        <w:ind w:left="720"/>
        <w:rPr>
          <w:rFonts w:ascii="宋体" w:hAnsi="宋体"/>
          <w:sz w:val="24"/>
        </w:rPr>
      </w:pPr>
      <w:r>
        <w:rPr>
          <w:rFonts w:hint="eastAsia" w:ascii="宋体" w:hAnsi="宋体"/>
          <w:sz w:val="24"/>
        </w:rPr>
        <w:t>邮编：</w:t>
      </w:r>
    </w:p>
    <w:p>
      <w:pPr>
        <w:adjustRightInd w:val="0"/>
        <w:snapToGrid w:val="0"/>
        <w:spacing w:before="120" w:beforeLines="50" w:after="50" w:line="300" w:lineRule="auto"/>
        <w:ind w:left="720"/>
        <w:rPr>
          <w:rFonts w:ascii="宋体" w:hAnsi="宋体"/>
          <w:sz w:val="24"/>
        </w:rPr>
      </w:pPr>
      <w:r>
        <w:rPr>
          <w:rFonts w:hint="eastAsia" w:ascii="宋体" w:hAnsi="宋体"/>
          <w:sz w:val="24"/>
        </w:rPr>
        <w:t>电话：</w:t>
      </w:r>
    </w:p>
    <w:p>
      <w:pPr>
        <w:adjustRightInd w:val="0"/>
        <w:snapToGrid w:val="0"/>
        <w:spacing w:before="120" w:beforeLines="50" w:after="50" w:line="300" w:lineRule="auto"/>
        <w:ind w:left="720"/>
        <w:rPr>
          <w:rFonts w:ascii="宋体" w:hAnsi="宋体"/>
          <w:sz w:val="24"/>
        </w:rPr>
      </w:pPr>
      <w:r>
        <w:rPr>
          <w:rFonts w:hint="eastAsia" w:ascii="宋体" w:hAnsi="宋体"/>
          <w:sz w:val="24"/>
        </w:rPr>
        <w:t>传真：</w:t>
      </w:r>
    </w:p>
    <w:p>
      <w:pPr>
        <w:adjustRightInd w:val="0"/>
        <w:snapToGrid w:val="0"/>
        <w:spacing w:before="120" w:beforeLines="50" w:after="120" w:afterLines="50" w:line="300" w:lineRule="auto"/>
        <w:rPr>
          <w:rFonts w:ascii="宋体" w:hAnsi="宋体"/>
          <w:sz w:val="24"/>
        </w:rPr>
      </w:pPr>
    </w:p>
    <w:p>
      <w:pPr>
        <w:adjustRightInd w:val="0"/>
        <w:snapToGrid w:val="0"/>
        <w:spacing w:before="50" w:after="50" w:line="300" w:lineRule="auto"/>
        <w:rPr>
          <w:rFonts w:ascii="宋体" w:hAnsi="宋体"/>
          <w:bCs/>
          <w:sz w:val="24"/>
        </w:rPr>
      </w:pPr>
      <w:bookmarkStart w:id="62" w:name="_Toc144114415"/>
      <w:r>
        <w:rPr>
          <w:rFonts w:hint="eastAsia" w:ascii="宋体" w:hAnsi="宋体"/>
          <w:bCs/>
          <w:sz w:val="24"/>
        </w:rPr>
        <w:t>鉴于：</w:t>
      </w:r>
    </w:p>
    <w:bookmarkEnd w:id="62"/>
    <w:p>
      <w:pPr>
        <w:pStyle w:val="83"/>
        <w:numPr>
          <w:ilvl w:val="0"/>
          <w:numId w:val="3"/>
        </w:numPr>
        <w:adjustRightInd w:val="0"/>
        <w:snapToGrid w:val="0"/>
        <w:spacing w:before="120" w:beforeLines="50" w:after="120" w:afterLines="50" w:line="300" w:lineRule="auto"/>
        <w:ind w:firstLineChars="0"/>
        <w:rPr>
          <w:sz w:val="24"/>
          <w:szCs w:val="24"/>
        </w:rPr>
      </w:pPr>
      <w:r>
        <w:rPr>
          <w:rFonts w:hint="eastAsia"/>
          <w:sz w:val="24"/>
          <w:szCs w:val="24"/>
        </w:rPr>
        <w:t>甲方拟采用PPP模式实施**项目(以下简称“本项目”)，项目总投资约人民币**元，主要建设内容包括**等；</w:t>
      </w:r>
    </w:p>
    <w:p>
      <w:pPr>
        <w:pStyle w:val="83"/>
        <w:numPr>
          <w:ilvl w:val="0"/>
          <w:numId w:val="3"/>
        </w:numPr>
        <w:adjustRightInd w:val="0"/>
        <w:snapToGrid w:val="0"/>
        <w:spacing w:before="120" w:beforeLines="50" w:after="120" w:afterLines="50" w:line="300" w:lineRule="auto"/>
        <w:ind w:firstLineChars="0"/>
        <w:rPr>
          <w:sz w:val="24"/>
          <w:szCs w:val="24"/>
        </w:rPr>
      </w:pPr>
      <w:r>
        <w:rPr>
          <w:rFonts w:hint="eastAsia"/>
          <w:sz w:val="24"/>
          <w:szCs w:val="24"/>
        </w:rPr>
        <w:t>甲方依法通过公开招标的方式选定乙方作为本项目的咨询顾问。</w:t>
      </w:r>
    </w:p>
    <w:p>
      <w:pPr>
        <w:adjustRightInd w:val="0"/>
        <w:snapToGrid w:val="0"/>
        <w:spacing w:before="120" w:beforeLines="50" w:after="120" w:afterLines="50" w:line="300" w:lineRule="auto"/>
        <w:ind w:firstLine="480" w:firstLineChars="200"/>
        <w:rPr>
          <w:rFonts w:ascii="宋体" w:hAnsi="宋体"/>
          <w:sz w:val="24"/>
          <w:szCs w:val="24"/>
        </w:rPr>
      </w:pPr>
      <w:r>
        <w:rPr>
          <w:rFonts w:hint="eastAsia" w:ascii="宋体" w:hAnsi="宋体"/>
          <w:sz w:val="24"/>
        </w:rPr>
        <w:t>根据《</w:t>
      </w:r>
      <w:bookmarkStart w:id="63" w:name="OLE_LINK1"/>
      <w:r>
        <w:rPr>
          <w:rFonts w:hint="eastAsia" w:ascii="宋体" w:hAnsi="宋体"/>
          <w:sz w:val="24"/>
        </w:rPr>
        <w:t>中华人民共和国合同法</w:t>
      </w:r>
      <w:bookmarkEnd w:id="63"/>
      <w:r>
        <w:rPr>
          <w:rFonts w:hint="eastAsia" w:ascii="宋体" w:hAnsi="宋体"/>
          <w:sz w:val="24"/>
        </w:rPr>
        <w:t>》及其他有关法律、法规之规定，</w:t>
      </w:r>
      <w:bookmarkStart w:id="64" w:name="OLE_LINK3"/>
      <w:r>
        <w:rPr>
          <w:rFonts w:hint="eastAsia" w:ascii="宋体" w:hAnsi="宋体"/>
          <w:sz w:val="24"/>
        </w:rPr>
        <w:t>在平等、自愿、协商一致的基础上</w:t>
      </w:r>
      <w:bookmarkEnd w:id="64"/>
      <w:r>
        <w:rPr>
          <w:rFonts w:hint="eastAsia" w:ascii="宋体" w:hAnsi="宋体"/>
          <w:sz w:val="24"/>
        </w:rPr>
        <w:t>，现双方就有关咨询服务事宜达成协议如下：</w:t>
      </w:r>
    </w:p>
    <w:p>
      <w:pPr>
        <w:numPr>
          <w:ilvl w:val="0"/>
          <w:numId w:val="4"/>
        </w:numPr>
        <w:adjustRightInd w:val="0"/>
        <w:snapToGrid w:val="0"/>
        <w:spacing w:before="120" w:beforeLines="50" w:after="120" w:afterLines="50" w:line="300" w:lineRule="auto"/>
        <w:rPr>
          <w:rFonts w:ascii="宋体" w:hAnsi="宋体"/>
          <w:b/>
          <w:bCs/>
          <w:sz w:val="24"/>
        </w:rPr>
      </w:pPr>
      <w:bookmarkStart w:id="65" w:name="_Toc144114416"/>
      <w:r>
        <w:rPr>
          <w:rFonts w:hint="eastAsia" w:ascii="宋体" w:hAnsi="宋体"/>
          <w:b/>
          <w:bCs/>
          <w:sz w:val="24"/>
        </w:rPr>
        <w:t>咨询服务内容</w:t>
      </w:r>
      <w:bookmarkEnd w:id="65"/>
    </w:p>
    <w:p>
      <w:pPr>
        <w:adjustRightInd w:val="0"/>
        <w:snapToGrid w:val="0"/>
        <w:spacing w:before="120" w:beforeLines="50" w:after="120" w:afterLines="50" w:line="300" w:lineRule="auto"/>
        <w:ind w:firstLine="480" w:firstLineChars="200"/>
        <w:rPr>
          <w:rFonts w:ascii="宋体" w:hAnsi="宋体"/>
          <w:sz w:val="24"/>
        </w:rPr>
      </w:pPr>
      <w:r>
        <w:rPr>
          <w:rFonts w:hint="eastAsia" w:ascii="宋体" w:hAnsi="宋体"/>
          <w:sz w:val="24"/>
        </w:rPr>
        <w:t>在本协议项下，乙方为甲方提供如下咨询服务：</w:t>
      </w:r>
    </w:p>
    <w:p>
      <w:pPr>
        <w:widowControl/>
        <w:adjustRightInd w:val="0"/>
        <w:snapToGrid w:val="0"/>
        <w:spacing w:before="120" w:beforeLines="50" w:after="50" w:line="300" w:lineRule="auto"/>
        <w:ind w:firstLine="480" w:firstLineChars="200"/>
        <w:rPr>
          <w:rFonts w:ascii="宋体" w:hAnsi="宋体"/>
          <w:sz w:val="24"/>
        </w:rPr>
      </w:pPr>
      <w:r>
        <w:rPr>
          <w:rFonts w:hint="eastAsia" w:ascii="宋体" w:hAnsi="宋体"/>
          <w:sz w:val="24"/>
        </w:rPr>
        <w:t>（一）根据和甲方的沟通制订咨询工作计划表及准备调研/访谈提纲，并进行尽职调查，获取本项目PPP运作相关资料和基础数据等；</w:t>
      </w:r>
    </w:p>
    <w:p>
      <w:pPr>
        <w:widowControl/>
        <w:adjustRightInd w:val="0"/>
        <w:snapToGrid w:val="0"/>
        <w:spacing w:before="120" w:beforeLines="50" w:after="50" w:line="300" w:lineRule="auto"/>
        <w:ind w:firstLine="480" w:firstLineChars="200"/>
        <w:rPr>
          <w:rFonts w:ascii="宋体" w:hAnsi="宋体"/>
          <w:sz w:val="24"/>
        </w:rPr>
      </w:pPr>
      <w:r>
        <w:rPr>
          <w:rFonts w:hint="eastAsia" w:ascii="宋体" w:hAnsi="宋体"/>
          <w:sz w:val="24"/>
        </w:rPr>
        <w:t>（二）协助甲方对本项目PPP运作进行物有所值定性（和/或）定量评价；</w:t>
      </w:r>
    </w:p>
    <w:p>
      <w:pPr>
        <w:widowControl/>
        <w:adjustRightInd w:val="0"/>
        <w:snapToGrid w:val="0"/>
        <w:spacing w:before="120" w:beforeLines="50" w:after="50" w:line="300" w:lineRule="auto"/>
        <w:ind w:firstLine="480" w:firstLineChars="200"/>
        <w:rPr>
          <w:rFonts w:ascii="宋体" w:hAnsi="宋体"/>
          <w:sz w:val="24"/>
        </w:rPr>
      </w:pPr>
      <w:r>
        <w:rPr>
          <w:rFonts w:hint="eastAsia" w:ascii="宋体" w:hAnsi="宋体"/>
          <w:sz w:val="24"/>
        </w:rPr>
        <w:t>（三）协助甲方及有权财政部门对本项目PPP运作进行财政承受能力论证；</w:t>
      </w:r>
    </w:p>
    <w:p>
      <w:pPr>
        <w:widowControl/>
        <w:adjustRightInd w:val="0"/>
        <w:snapToGrid w:val="0"/>
        <w:spacing w:before="120" w:beforeLines="50" w:after="50" w:line="300" w:lineRule="auto"/>
        <w:ind w:firstLine="480" w:firstLineChars="200"/>
        <w:rPr>
          <w:rFonts w:ascii="宋体" w:hAnsi="宋体"/>
          <w:sz w:val="24"/>
        </w:rPr>
      </w:pPr>
      <w:r>
        <w:rPr>
          <w:rFonts w:hint="eastAsia" w:ascii="宋体" w:hAnsi="宋体"/>
          <w:sz w:val="24"/>
        </w:rPr>
        <w:t>（四）按照国家相关文件要求，编制本项目实施方案，内容包括但不限于项目运作方式、交易结构、合同体系、核心边界条件和社会资本采购方式等；</w:t>
      </w:r>
    </w:p>
    <w:p>
      <w:pPr>
        <w:widowControl/>
        <w:adjustRightInd w:val="0"/>
        <w:snapToGrid w:val="0"/>
        <w:spacing w:before="120" w:beforeLines="50" w:after="50" w:line="300" w:lineRule="auto"/>
        <w:ind w:firstLine="480" w:firstLineChars="200"/>
        <w:rPr>
          <w:rFonts w:ascii="宋体" w:hAnsi="宋体"/>
          <w:sz w:val="24"/>
        </w:rPr>
      </w:pPr>
      <w:r>
        <w:rPr>
          <w:rFonts w:hint="eastAsia" w:ascii="宋体" w:hAnsi="宋体"/>
          <w:sz w:val="24"/>
        </w:rPr>
        <w:t>（五）根据《政府和社会资本合作（PPP）综合信息平台运行规程》等相关规定及要求，协助甲方及有权财政部门办理本项目入储备库及执行库；</w:t>
      </w:r>
    </w:p>
    <w:p>
      <w:pPr>
        <w:widowControl/>
        <w:adjustRightInd w:val="0"/>
        <w:snapToGrid w:val="0"/>
        <w:spacing w:before="120" w:beforeLines="50" w:after="50" w:line="300" w:lineRule="auto"/>
        <w:ind w:firstLine="480" w:firstLineChars="200"/>
        <w:rPr>
          <w:rFonts w:ascii="宋体" w:hAnsi="宋体"/>
          <w:sz w:val="24"/>
        </w:rPr>
      </w:pPr>
      <w:r>
        <w:rPr>
          <w:rFonts w:hint="eastAsia" w:ascii="宋体" w:hAnsi="宋体"/>
          <w:sz w:val="24"/>
        </w:rPr>
        <w:t>（六）建立财务模型，进行财务测算，为本项目结构设计和核心边界条件设置等提供数据支撑，并依据测算结果对项目实施方案内容进行调整；</w:t>
      </w:r>
    </w:p>
    <w:p>
      <w:pPr>
        <w:widowControl/>
        <w:adjustRightInd w:val="0"/>
        <w:snapToGrid w:val="0"/>
        <w:spacing w:before="120" w:beforeLines="50" w:after="50" w:line="300" w:lineRule="auto"/>
        <w:ind w:firstLine="480" w:firstLineChars="200"/>
        <w:rPr>
          <w:rFonts w:ascii="宋体" w:hAnsi="宋体"/>
          <w:sz w:val="24"/>
        </w:rPr>
      </w:pPr>
      <w:r>
        <w:rPr>
          <w:rFonts w:hint="eastAsia" w:ascii="宋体" w:hAnsi="宋体"/>
          <w:sz w:val="24"/>
        </w:rPr>
        <w:t>（七）根据经批复同意的实施方案，编制本项目全套采购文件，包括但不限于投资竞争须知/投标须知、资格审查办法与响应文件评审/评标办法、PPP项目合同草案等；</w:t>
      </w:r>
    </w:p>
    <w:p>
      <w:pPr>
        <w:widowControl/>
        <w:adjustRightInd w:val="0"/>
        <w:snapToGrid w:val="0"/>
        <w:spacing w:before="120" w:beforeLines="50" w:after="50" w:line="300" w:lineRule="auto"/>
        <w:ind w:firstLine="480" w:firstLineChars="200"/>
        <w:rPr>
          <w:rFonts w:ascii="宋体" w:hAnsi="宋体"/>
          <w:sz w:val="24"/>
        </w:rPr>
      </w:pPr>
      <w:r>
        <w:rPr>
          <w:rFonts w:hint="eastAsia" w:ascii="宋体" w:hAnsi="宋体"/>
          <w:sz w:val="24"/>
        </w:rPr>
        <w:t>（八）协助甲方及甲方选定的采购代理机构或招标代理机构组织实施本项目采购程序性事项；</w:t>
      </w:r>
    </w:p>
    <w:p>
      <w:pPr>
        <w:widowControl/>
        <w:adjustRightInd w:val="0"/>
        <w:snapToGrid w:val="0"/>
        <w:spacing w:before="120" w:beforeLines="50" w:after="50" w:line="300" w:lineRule="auto"/>
        <w:ind w:firstLine="480" w:firstLineChars="200"/>
        <w:rPr>
          <w:rFonts w:ascii="宋体" w:hAnsi="宋体"/>
          <w:sz w:val="24"/>
        </w:rPr>
      </w:pPr>
      <w:r>
        <w:rPr>
          <w:rFonts w:hint="eastAsia" w:ascii="宋体" w:hAnsi="宋体"/>
          <w:sz w:val="24"/>
        </w:rPr>
        <w:t>（九）协助甲方与候选社会资本方开展PPP项目合同谈判，直至确定中选社会资本方，并协助政府方与中选社会资本方签署PPP项目合同；</w:t>
      </w:r>
    </w:p>
    <w:p>
      <w:pPr>
        <w:widowControl/>
        <w:adjustRightInd w:val="0"/>
        <w:snapToGrid w:val="0"/>
        <w:spacing w:before="120" w:beforeLines="50" w:after="50" w:line="300" w:lineRule="auto"/>
        <w:ind w:firstLine="480" w:firstLineChars="200"/>
        <w:rPr>
          <w:rFonts w:ascii="宋体" w:hAnsi="宋体"/>
          <w:sz w:val="24"/>
        </w:rPr>
      </w:pPr>
      <w:r>
        <w:rPr>
          <w:rFonts w:hint="eastAsia" w:ascii="宋体" w:hAnsi="宋体"/>
          <w:sz w:val="24"/>
        </w:rPr>
        <w:t>（十）应甲方要求，就本项目交易过程中涉及的其它财务、法务及商务有关问题提供咨询意见。</w:t>
      </w:r>
      <w:bookmarkStart w:id="66" w:name="_Toc144114417"/>
    </w:p>
    <w:p>
      <w:pPr>
        <w:numPr>
          <w:ilvl w:val="0"/>
          <w:numId w:val="4"/>
        </w:numPr>
        <w:adjustRightInd w:val="0"/>
        <w:snapToGrid w:val="0"/>
        <w:spacing w:before="120" w:beforeLines="50" w:after="120" w:afterLines="50" w:line="300" w:lineRule="auto"/>
        <w:rPr>
          <w:rFonts w:ascii="宋体" w:hAnsi="宋体"/>
          <w:b/>
          <w:bCs/>
          <w:sz w:val="24"/>
        </w:rPr>
      </w:pPr>
      <w:r>
        <w:rPr>
          <w:rFonts w:hint="eastAsia" w:ascii="宋体" w:hAnsi="宋体"/>
          <w:b/>
          <w:bCs/>
          <w:sz w:val="24"/>
        </w:rPr>
        <w:t>服务期限</w:t>
      </w:r>
      <w:bookmarkEnd w:id="66"/>
    </w:p>
    <w:p>
      <w:pPr>
        <w:adjustRightInd w:val="0"/>
        <w:snapToGrid w:val="0"/>
        <w:spacing w:before="120" w:beforeLines="50" w:after="120" w:afterLines="50" w:line="300" w:lineRule="auto"/>
        <w:ind w:firstLine="480" w:firstLineChars="200"/>
        <w:rPr>
          <w:rFonts w:ascii="宋体" w:hAnsi="宋体"/>
          <w:sz w:val="24"/>
        </w:rPr>
      </w:pPr>
      <w:r>
        <w:rPr>
          <w:rFonts w:hint="eastAsia" w:ascii="宋体" w:hAnsi="宋体"/>
          <w:sz w:val="24"/>
        </w:rPr>
        <w:t>为本协议项下的咨询服务，乙方的服务期限为自本协议生效之日起至甲方或其指定机构与中选社会资本签署本项目PPP项目协议之日止。</w:t>
      </w:r>
    </w:p>
    <w:p>
      <w:pPr>
        <w:adjustRightInd w:val="0"/>
        <w:snapToGrid w:val="0"/>
        <w:spacing w:before="120" w:beforeLines="50" w:after="120" w:afterLines="50" w:line="300" w:lineRule="auto"/>
        <w:ind w:firstLine="480" w:firstLineChars="200"/>
        <w:rPr>
          <w:rFonts w:ascii="宋体" w:hAnsi="宋体"/>
          <w:sz w:val="24"/>
        </w:rPr>
      </w:pPr>
      <w:r>
        <w:rPr>
          <w:rFonts w:hint="eastAsia" w:ascii="宋体" w:hAnsi="宋体"/>
          <w:sz w:val="24"/>
        </w:rPr>
        <w:t>但乙方实际承担的有效服务工作时间原则上不超过6月。</w:t>
      </w:r>
      <w:bookmarkStart w:id="67" w:name="OLE_LINK4"/>
      <w:r>
        <w:rPr>
          <w:rFonts w:hint="eastAsia" w:ascii="宋体" w:hAnsi="宋体"/>
          <w:sz w:val="24"/>
        </w:rPr>
        <w:t>若因不可归责于乙方的原因</w:t>
      </w:r>
      <w:bookmarkEnd w:id="67"/>
      <w:r>
        <w:rPr>
          <w:rFonts w:hint="eastAsia" w:ascii="宋体" w:hAnsi="宋体"/>
          <w:sz w:val="24"/>
        </w:rPr>
        <w:t>而导致乙方为本项目所投入的有效服务工作时间显著延长，则甲方对于乙方因此而增加的实际工作量以及因此而支出的费用</w:t>
      </w:r>
      <w:bookmarkStart w:id="68" w:name="OLE_LINK5"/>
      <w:bookmarkStart w:id="69" w:name="OLE_LINK6"/>
      <w:r>
        <w:rPr>
          <w:rFonts w:hint="eastAsia" w:ascii="宋体" w:hAnsi="宋体"/>
          <w:sz w:val="24"/>
        </w:rPr>
        <w:t>应给予合理补偿</w:t>
      </w:r>
      <w:bookmarkEnd w:id="68"/>
      <w:bookmarkEnd w:id="69"/>
      <w:r>
        <w:rPr>
          <w:rFonts w:hint="eastAsia" w:ascii="宋体" w:hAnsi="宋体"/>
          <w:sz w:val="24"/>
        </w:rPr>
        <w:t>。若前述延长系可归责于乙方的原因所致，则乙方</w:t>
      </w:r>
      <w:bookmarkStart w:id="70" w:name="OLE_LINK8"/>
      <w:r>
        <w:rPr>
          <w:rFonts w:hint="eastAsia" w:ascii="宋体" w:hAnsi="宋体"/>
          <w:sz w:val="24"/>
        </w:rPr>
        <w:t>应自行承担前述后果</w:t>
      </w:r>
      <w:bookmarkEnd w:id="70"/>
      <w:r>
        <w:rPr>
          <w:rFonts w:hint="eastAsia" w:ascii="宋体" w:hAnsi="宋体"/>
          <w:sz w:val="24"/>
        </w:rPr>
        <w:t>。</w:t>
      </w:r>
    </w:p>
    <w:p>
      <w:pPr>
        <w:numPr>
          <w:ilvl w:val="0"/>
          <w:numId w:val="4"/>
        </w:numPr>
        <w:adjustRightInd w:val="0"/>
        <w:snapToGrid w:val="0"/>
        <w:spacing w:before="120" w:beforeLines="50" w:after="120" w:afterLines="50" w:line="300" w:lineRule="auto"/>
        <w:rPr>
          <w:rFonts w:ascii="宋体" w:hAnsi="宋体"/>
          <w:b/>
          <w:bCs/>
          <w:sz w:val="24"/>
        </w:rPr>
      </w:pPr>
      <w:bookmarkStart w:id="71" w:name="_Toc144114418"/>
      <w:r>
        <w:rPr>
          <w:rFonts w:hint="eastAsia" w:ascii="宋体" w:hAnsi="宋体"/>
          <w:b/>
          <w:bCs/>
          <w:sz w:val="24"/>
        </w:rPr>
        <w:t>顾问费</w:t>
      </w:r>
      <w:bookmarkEnd w:id="71"/>
    </w:p>
    <w:p>
      <w:pPr>
        <w:adjustRightInd w:val="0"/>
        <w:snapToGrid w:val="0"/>
        <w:spacing w:before="120" w:beforeLines="50" w:after="120" w:afterLines="50" w:line="300" w:lineRule="auto"/>
        <w:ind w:left="480"/>
        <w:rPr>
          <w:rFonts w:ascii="宋体" w:hAnsi="宋体"/>
          <w:sz w:val="24"/>
        </w:rPr>
      </w:pPr>
      <w:r>
        <w:rPr>
          <w:rFonts w:hint="eastAsia" w:ascii="宋体" w:hAnsi="宋体"/>
          <w:sz w:val="24"/>
        </w:rPr>
        <w:t>（一）金额</w:t>
      </w:r>
    </w:p>
    <w:p>
      <w:pPr>
        <w:adjustRightInd w:val="0"/>
        <w:snapToGrid w:val="0"/>
        <w:spacing w:before="120" w:beforeLines="50" w:after="120" w:afterLines="50" w:line="300" w:lineRule="auto"/>
        <w:ind w:firstLine="482"/>
        <w:rPr>
          <w:rFonts w:ascii="宋体" w:hAnsi="宋体"/>
          <w:sz w:val="24"/>
        </w:rPr>
      </w:pPr>
      <w:bookmarkStart w:id="72" w:name="OLE_LINK10"/>
      <w:bookmarkStart w:id="73" w:name="OLE_LINK9"/>
      <w:r>
        <w:rPr>
          <w:rFonts w:hint="eastAsia" w:ascii="宋体" w:hAnsi="宋体"/>
          <w:sz w:val="24"/>
        </w:rPr>
        <w:t>为本协议项下的咨询服务，甲方向乙方支付顾问费为：</w:t>
      </w:r>
      <w:bookmarkEnd w:id="72"/>
      <w:bookmarkEnd w:id="73"/>
    </w:p>
    <w:p>
      <w:pPr>
        <w:adjustRightInd w:val="0"/>
        <w:snapToGrid w:val="0"/>
        <w:spacing w:before="120" w:beforeLines="50" w:after="120" w:afterLines="50" w:line="300" w:lineRule="auto"/>
        <w:ind w:firstLine="470" w:firstLineChars="196"/>
        <w:rPr>
          <w:rFonts w:ascii="宋体" w:hAnsi="宋体"/>
          <w:sz w:val="24"/>
        </w:rPr>
      </w:pPr>
      <w:r>
        <w:rPr>
          <w:rFonts w:hint="eastAsia" w:ascii="宋体" w:hAnsi="宋体"/>
          <w:sz w:val="24"/>
        </w:rPr>
        <w:t>人民币大写【】万圆整（RMB【】.00）</w:t>
      </w:r>
    </w:p>
    <w:p>
      <w:pPr>
        <w:numPr>
          <w:ilvl w:val="0"/>
          <w:numId w:val="5"/>
        </w:numPr>
        <w:adjustRightInd w:val="0"/>
        <w:snapToGrid w:val="0"/>
        <w:spacing w:before="120" w:beforeLines="50" w:after="120" w:afterLines="50" w:line="300" w:lineRule="auto"/>
        <w:rPr>
          <w:rFonts w:ascii="宋体" w:hAnsi="宋体"/>
          <w:sz w:val="24"/>
        </w:rPr>
      </w:pPr>
      <w:r>
        <w:rPr>
          <w:rFonts w:hint="eastAsia" w:ascii="宋体" w:hAnsi="宋体"/>
          <w:sz w:val="24"/>
        </w:rPr>
        <w:t>外聘机构的费用</w:t>
      </w:r>
    </w:p>
    <w:p>
      <w:pPr>
        <w:adjustRightInd w:val="0"/>
        <w:snapToGrid w:val="0"/>
        <w:spacing w:before="120" w:beforeLines="50" w:after="120" w:afterLines="50" w:line="300" w:lineRule="auto"/>
        <w:ind w:firstLine="470" w:firstLineChars="196"/>
        <w:rPr>
          <w:rFonts w:ascii="宋体" w:hAnsi="宋体"/>
          <w:sz w:val="24"/>
        </w:rPr>
      </w:pPr>
      <w:r>
        <w:rPr>
          <w:rFonts w:hint="eastAsia" w:ascii="宋体" w:hAnsi="宋体"/>
          <w:sz w:val="24"/>
        </w:rPr>
        <w:t>如果项目工作内容中涉及到采购代理/招标代理、技术、工程建设或运营、审计、资产评估、商业开发顾问等需要聘请第三方中介机构或第三方人员完成的事宜，</w:t>
      </w:r>
      <w:r>
        <w:rPr>
          <w:rFonts w:hint="eastAsia"/>
          <w:sz w:val="24"/>
        </w:rPr>
        <w:t>由甲方负责并另行承担相应的费用；乙方应甲方要求，可提供必要的协助。</w:t>
      </w:r>
    </w:p>
    <w:p>
      <w:pPr>
        <w:numPr>
          <w:ilvl w:val="0"/>
          <w:numId w:val="5"/>
        </w:numPr>
        <w:adjustRightInd w:val="0"/>
        <w:snapToGrid w:val="0"/>
        <w:spacing w:before="120" w:beforeLines="50" w:after="120" w:afterLines="50" w:line="300" w:lineRule="auto"/>
        <w:rPr>
          <w:rFonts w:ascii="宋体" w:hAnsi="宋体"/>
          <w:sz w:val="24"/>
        </w:rPr>
      </w:pPr>
      <w:r>
        <w:rPr>
          <w:rFonts w:hint="eastAsia" w:ascii="宋体" w:hAnsi="宋体"/>
          <w:sz w:val="24"/>
        </w:rPr>
        <w:t>差旅费</w:t>
      </w:r>
    </w:p>
    <w:p>
      <w:pPr>
        <w:adjustRightInd w:val="0"/>
        <w:snapToGrid w:val="0"/>
        <w:spacing w:before="120" w:beforeLines="50" w:after="120" w:afterLines="50" w:line="300" w:lineRule="auto"/>
        <w:ind w:firstLine="470" w:firstLineChars="196"/>
        <w:rPr>
          <w:rFonts w:ascii="宋体" w:hAnsi="宋体"/>
          <w:sz w:val="24"/>
        </w:rPr>
      </w:pPr>
      <w:r>
        <w:rPr>
          <w:rFonts w:hint="eastAsia" w:ascii="宋体" w:hAnsi="宋体"/>
          <w:sz w:val="24"/>
        </w:rPr>
        <w:t>上述咨询服务费包含乙方咨询人员为执行本项目所发生的差旅费。</w:t>
      </w:r>
    </w:p>
    <w:p>
      <w:pPr>
        <w:numPr>
          <w:ilvl w:val="0"/>
          <w:numId w:val="5"/>
        </w:numPr>
        <w:adjustRightInd w:val="0"/>
        <w:snapToGrid w:val="0"/>
        <w:spacing w:before="120" w:beforeLines="50" w:after="120" w:afterLines="50" w:line="300" w:lineRule="auto"/>
        <w:rPr>
          <w:rFonts w:ascii="宋体" w:hAnsi="宋体"/>
          <w:sz w:val="24"/>
        </w:rPr>
      </w:pPr>
      <w:bookmarkStart w:id="74" w:name="OLE_LINK16"/>
      <w:bookmarkStart w:id="75" w:name="OLE_LINK17"/>
      <w:r>
        <w:rPr>
          <w:rFonts w:hint="eastAsia" w:ascii="宋体" w:hAnsi="宋体"/>
          <w:sz w:val="24"/>
        </w:rPr>
        <w:t>评审费</w:t>
      </w:r>
      <w:bookmarkEnd w:id="74"/>
      <w:bookmarkEnd w:id="75"/>
    </w:p>
    <w:p>
      <w:pPr>
        <w:adjustRightInd w:val="0"/>
        <w:snapToGrid w:val="0"/>
        <w:spacing w:before="120" w:beforeLines="50" w:after="120" w:afterLines="50" w:line="300" w:lineRule="auto"/>
        <w:ind w:firstLine="470" w:firstLineChars="196"/>
        <w:rPr>
          <w:rFonts w:ascii="Times New Roman" w:hAnsi="Times New Roman"/>
          <w:sz w:val="24"/>
        </w:rPr>
      </w:pPr>
      <w:r>
        <w:rPr>
          <w:rFonts w:hint="eastAsia"/>
          <w:sz w:val="24"/>
        </w:rPr>
        <w:t>本项目执行过程中所发生的专家评审费或甲方外出考察费（如有），由甲方自行承担。</w:t>
      </w:r>
    </w:p>
    <w:p>
      <w:pPr>
        <w:numPr>
          <w:ilvl w:val="0"/>
          <w:numId w:val="5"/>
        </w:numPr>
        <w:adjustRightInd w:val="0"/>
        <w:snapToGrid w:val="0"/>
        <w:spacing w:before="120" w:beforeLines="50" w:after="120" w:afterLines="50" w:line="300" w:lineRule="auto"/>
        <w:rPr>
          <w:rFonts w:ascii="宋体" w:hAnsi="宋体"/>
          <w:sz w:val="24"/>
        </w:rPr>
      </w:pPr>
      <w:r>
        <w:rPr>
          <w:rFonts w:hint="eastAsia" w:ascii="宋体" w:hAnsi="宋体"/>
          <w:sz w:val="24"/>
        </w:rPr>
        <w:t>政府采购代理费</w:t>
      </w:r>
    </w:p>
    <w:p>
      <w:pPr>
        <w:adjustRightInd w:val="0"/>
        <w:snapToGrid w:val="0"/>
        <w:spacing w:before="120" w:beforeLines="50" w:after="120" w:afterLines="50" w:line="300" w:lineRule="auto"/>
        <w:ind w:left="480"/>
        <w:rPr>
          <w:rFonts w:ascii="宋体" w:hAnsi="宋体"/>
          <w:sz w:val="24"/>
        </w:rPr>
      </w:pPr>
      <w:r>
        <w:rPr>
          <w:rFonts w:hint="eastAsia" w:ascii="宋体" w:hAnsi="宋体"/>
          <w:sz w:val="24"/>
        </w:rPr>
        <w:t>本项目政府采购代理费用由乙方在本项目投资人中标通知书发布后支付。</w:t>
      </w:r>
    </w:p>
    <w:p>
      <w:pPr>
        <w:adjustRightInd w:val="0"/>
        <w:snapToGrid w:val="0"/>
        <w:spacing w:before="120" w:beforeLines="50" w:after="120" w:afterLines="50" w:line="300" w:lineRule="auto"/>
        <w:ind w:firstLine="480" w:firstLineChars="200"/>
        <w:rPr>
          <w:rFonts w:ascii="宋体" w:hAnsi="宋体"/>
          <w:sz w:val="24"/>
        </w:rPr>
      </w:pPr>
      <w:r>
        <w:rPr>
          <w:rFonts w:hint="eastAsia" w:ascii="宋体" w:hAnsi="宋体"/>
          <w:sz w:val="24"/>
        </w:rPr>
        <w:t>（二）支付时间和方式</w:t>
      </w:r>
    </w:p>
    <w:p>
      <w:pPr>
        <w:adjustRightInd w:val="0"/>
        <w:snapToGrid w:val="0"/>
        <w:spacing w:before="120" w:beforeLines="50" w:after="120" w:afterLines="50" w:line="300" w:lineRule="auto"/>
        <w:ind w:firstLine="480" w:firstLineChars="200"/>
        <w:rPr>
          <w:rFonts w:ascii="宋体" w:hAnsi="宋体"/>
          <w:sz w:val="24"/>
        </w:rPr>
      </w:pPr>
      <w:bookmarkStart w:id="76" w:name="OLE_LINK21"/>
      <w:bookmarkStart w:id="77" w:name="OLE_LINK20"/>
      <w:bookmarkStart w:id="78" w:name="OLE_LINK23"/>
      <w:bookmarkStart w:id="79" w:name="OLE_LINK22"/>
      <w:r>
        <w:rPr>
          <w:rFonts w:hint="eastAsia" w:ascii="宋体" w:hAnsi="宋体"/>
          <w:sz w:val="24"/>
        </w:rPr>
        <w:t>前款规定的顾问费</w:t>
      </w:r>
      <w:bookmarkEnd w:id="76"/>
      <w:bookmarkEnd w:id="77"/>
      <w:r>
        <w:rPr>
          <w:rFonts w:hint="eastAsia" w:ascii="宋体" w:hAnsi="宋体"/>
          <w:sz w:val="24"/>
        </w:rPr>
        <w:t>根据工作进度，由甲方按照如下约定汇至乙方</w:t>
      </w:r>
      <w:bookmarkStart w:id="80" w:name="OLE_LINK24"/>
      <w:bookmarkStart w:id="81" w:name="OLE_LINK25"/>
      <w:r>
        <w:rPr>
          <w:rFonts w:hint="eastAsia" w:ascii="宋体" w:hAnsi="宋体"/>
          <w:sz w:val="24"/>
        </w:rPr>
        <w:t>指定的银行账户</w:t>
      </w:r>
      <w:bookmarkEnd w:id="78"/>
      <w:bookmarkEnd w:id="79"/>
      <w:bookmarkEnd w:id="80"/>
      <w:bookmarkEnd w:id="81"/>
      <w:r>
        <w:rPr>
          <w:rFonts w:hint="eastAsia" w:ascii="宋体" w:hAnsi="宋体"/>
          <w:sz w:val="24"/>
        </w:rPr>
        <w:t>：</w:t>
      </w:r>
    </w:p>
    <w:p>
      <w:pPr>
        <w:numPr>
          <w:ilvl w:val="0"/>
          <w:numId w:val="6"/>
        </w:numPr>
        <w:tabs>
          <w:tab w:val="left" w:pos="1530"/>
        </w:tabs>
        <w:adjustRightInd w:val="0"/>
        <w:snapToGrid w:val="0"/>
        <w:spacing w:before="120" w:beforeLines="50" w:after="120" w:afterLines="50" w:line="300" w:lineRule="auto"/>
        <w:rPr>
          <w:rFonts w:ascii="宋体" w:hAnsi="宋体"/>
          <w:sz w:val="24"/>
        </w:rPr>
      </w:pPr>
      <w:r>
        <w:rPr>
          <w:rFonts w:hint="eastAsia" w:ascii="宋体" w:hAnsi="宋体"/>
          <w:sz w:val="24"/>
        </w:rPr>
        <w:t>本协议生效之日起五[5]个工作日内，甲方应向乙方支付顾问费总额的百分之三十（30%），</w:t>
      </w:r>
      <w:bookmarkStart w:id="82" w:name="OLE_LINK26"/>
      <w:bookmarkStart w:id="83" w:name="OLE_LINK27"/>
      <w:r>
        <w:rPr>
          <w:rFonts w:hint="eastAsia" w:ascii="宋体" w:hAnsi="宋体"/>
          <w:sz w:val="24"/>
        </w:rPr>
        <w:t>计人民币</w:t>
      </w:r>
      <w:bookmarkEnd w:id="82"/>
      <w:bookmarkEnd w:id="83"/>
      <w:r>
        <w:rPr>
          <w:rFonts w:hint="eastAsia" w:ascii="宋体" w:hAnsi="宋体"/>
          <w:sz w:val="24"/>
        </w:rPr>
        <w:t xml:space="preserve">【】万元圆整（RMB【】.00）； </w:t>
      </w:r>
    </w:p>
    <w:p>
      <w:pPr>
        <w:numPr>
          <w:ilvl w:val="0"/>
          <w:numId w:val="6"/>
        </w:numPr>
        <w:tabs>
          <w:tab w:val="left" w:pos="1530"/>
        </w:tabs>
        <w:adjustRightInd w:val="0"/>
        <w:snapToGrid w:val="0"/>
        <w:spacing w:before="120" w:beforeLines="50" w:after="120" w:afterLines="50" w:line="300" w:lineRule="auto"/>
        <w:rPr>
          <w:rFonts w:ascii="宋体" w:hAnsi="宋体"/>
          <w:sz w:val="24"/>
        </w:rPr>
      </w:pPr>
      <w:r>
        <w:rPr>
          <w:rFonts w:hint="eastAsia" w:ascii="宋体" w:hAnsi="宋体"/>
          <w:sz w:val="24"/>
        </w:rPr>
        <w:t>本项目</w:t>
      </w:r>
      <w:r>
        <w:rPr>
          <w:sz w:val="24"/>
        </w:rPr>
        <w:t>PPP</w:t>
      </w:r>
      <w:r>
        <w:rPr>
          <w:rFonts w:hint="eastAsia"/>
          <w:sz w:val="24"/>
        </w:rPr>
        <w:t>实施方案审批通过</w:t>
      </w:r>
      <w:r>
        <w:rPr>
          <w:rFonts w:hint="eastAsia" w:ascii="宋体" w:hAnsi="宋体"/>
          <w:sz w:val="24"/>
        </w:rPr>
        <w:t xml:space="preserve">之日起五[5]个工作日内，甲方应向乙方支付顾问费总额的百分之五十（50%），计人民币【】万圆整（RMB【】.00）； </w:t>
      </w:r>
    </w:p>
    <w:p>
      <w:pPr>
        <w:numPr>
          <w:ilvl w:val="0"/>
          <w:numId w:val="6"/>
        </w:numPr>
        <w:tabs>
          <w:tab w:val="left" w:pos="1530"/>
        </w:tabs>
        <w:adjustRightInd w:val="0"/>
        <w:snapToGrid w:val="0"/>
        <w:spacing w:before="120" w:beforeLines="50" w:after="120" w:afterLines="50" w:line="300" w:lineRule="auto"/>
        <w:rPr>
          <w:rFonts w:ascii="宋体" w:hAnsi="宋体"/>
          <w:sz w:val="24"/>
        </w:rPr>
      </w:pPr>
      <w:r>
        <w:rPr>
          <w:rFonts w:hint="eastAsia"/>
          <w:sz w:val="24"/>
        </w:rPr>
        <w:t>甲方与中选社会资本签署本项目</w:t>
      </w:r>
      <w:r>
        <w:rPr>
          <w:sz w:val="24"/>
        </w:rPr>
        <w:t>PPP</w:t>
      </w:r>
      <w:r>
        <w:rPr>
          <w:rFonts w:hint="eastAsia"/>
          <w:sz w:val="24"/>
        </w:rPr>
        <w:t>项目协议</w:t>
      </w:r>
      <w:r>
        <w:rPr>
          <w:rFonts w:hint="eastAsia" w:ascii="宋体" w:hAnsi="宋体"/>
          <w:sz w:val="24"/>
        </w:rPr>
        <w:t>之日起五[5]个工作日内，甲方应向乙方支付顾问费总额的百分之二十（20%），计人民币【】万圆整（RMB【】.00）。</w:t>
      </w:r>
    </w:p>
    <w:p>
      <w:pPr>
        <w:adjustRightInd w:val="0"/>
        <w:snapToGrid w:val="0"/>
        <w:spacing w:before="120" w:beforeLines="50" w:after="120" w:afterLines="50" w:line="300" w:lineRule="auto"/>
        <w:ind w:firstLine="480" w:firstLineChars="200"/>
        <w:rPr>
          <w:rFonts w:ascii="宋体" w:hAnsi="宋体"/>
          <w:sz w:val="24"/>
        </w:rPr>
      </w:pPr>
      <w:r>
        <w:rPr>
          <w:rFonts w:hint="eastAsia" w:ascii="宋体" w:hAnsi="宋体"/>
          <w:sz w:val="24"/>
        </w:rPr>
        <w:t>乙方指定的收款银行账户为：</w:t>
      </w:r>
    </w:p>
    <w:p>
      <w:pPr>
        <w:adjustRightInd w:val="0"/>
        <w:snapToGrid w:val="0"/>
        <w:spacing w:before="120" w:beforeLines="50" w:after="120" w:afterLines="50" w:line="300" w:lineRule="auto"/>
        <w:ind w:firstLine="480" w:firstLineChars="200"/>
        <w:rPr>
          <w:rFonts w:ascii="宋体" w:hAnsi="宋体"/>
          <w:sz w:val="24"/>
        </w:rPr>
      </w:pPr>
      <w:r>
        <w:rPr>
          <w:rFonts w:hint="eastAsia" w:ascii="宋体" w:hAnsi="宋体"/>
          <w:sz w:val="24"/>
        </w:rPr>
        <w:t xml:space="preserve">户名： </w:t>
      </w:r>
    </w:p>
    <w:p>
      <w:pPr>
        <w:adjustRightInd w:val="0"/>
        <w:snapToGrid w:val="0"/>
        <w:spacing w:before="120" w:beforeLines="50" w:after="120" w:afterLines="50" w:line="300" w:lineRule="auto"/>
        <w:ind w:firstLine="480" w:firstLineChars="200"/>
        <w:rPr>
          <w:rFonts w:ascii="宋体" w:hAnsi="宋体"/>
          <w:sz w:val="24"/>
        </w:rPr>
      </w:pPr>
      <w:r>
        <w:rPr>
          <w:rFonts w:hint="eastAsia" w:ascii="宋体" w:hAnsi="宋体"/>
          <w:sz w:val="24"/>
        </w:rPr>
        <w:t xml:space="preserve">开户银行： </w:t>
      </w:r>
    </w:p>
    <w:p>
      <w:pPr>
        <w:adjustRightInd w:val="0"/>
        <w:snapToGrid w:val="0"/>
        <w:spacing w:before="120" w:beforeLines="50" w:after="120" w:afterLines="50" w:line="300" w:lineRule="auto"/>
        <w:ind w:firstLine="480" w:firstLineChars="200"/>
        <w:rPr>
          <w:rFonts w:ascii="宋体" w:hAnsi="宋体"/>
          <w:sz w:val="24"/>
        </w:rPr>
      </w:pPr>
      <w:r>
        <w:rPr>
          <w:rFonts w:hint="eastAsia" w:ascii="宋体" w:hAnsi="宋体"/>
          <w:sz w:val="24"/>
        </w:rPr>
        <w:t>账号：</w:t>
      </w:r>
    </w:p>
    <w:p>
      <w:pPr>
        <w:numPr>
          <w:ilvl w:val="0"/>
          <w:numId w:val="4"/>
        </w:numPr>
        <w:adjustRightInd w:val="0"/>
        <w:snapToGrid w:val="0"/>
        <w:spacing w:before="120" w:beforeLines="50" w:after="120" w:afterLines="50" w:line="300" w:lineRule="auto"/>
        <w:rPr>
          <w:rFonts w:ascii="宋体" w:hAnsi="宋体"/>
          <w:b/>
          <w:bCs/>
          <w:sz w:val="24"/>
        </w:rPr>
      </w:pPr>
      <w:bookmarkStart w:id="84" w:name="_Toc144114419"/>
      <w:r>
        <w:rPr>
          <w:rFonts w:hint="eastAsia" w:ascii="宋体" w:hAnsi="宋体"/>
          <w:b/>
          <w:bCs/>
          <w:sz w:val="24"/>
        </w:rPr>
        <w:t>提供便利及</w:t>
      </w:r>
      <w:bookmarkStart w:id="85" w:name="OLE_LINK45"/>
      <w:bookmarkStart w:id="86" w:name="OLE_LINK46"/>
      <w:bookmarkStart w:id="87" w:name="OLE_LINK29"/>
      <w:bookmarkStart w:id="88" w:name="OLE_LINK28"/>
      <w:r>
        <w:rPr>
          <w:rFonts w:hint="eastAsia" w:ascii="宋体" w:hAnsi="宋体"/>
          <w:b/>
          <w:bCs/>
          <w:sz w:val="24"/>
        </w:rPr>
        <w:t>审慎</w:t>
      </w:r>
      <w:bookmarkEnd w:id="85"/>
      <w:bookmarkEnd w:id="86"/>
      <w:r>
        <w:rPr>
          <w:rFonts w:hint="eastAsia" w:ascii="宋体" w:hAnsi="宋体"/>
          <w:b/>
          <w:bCs/>
          <w:sz w:val="24"/>
        </w:rPr>
        <w:t>工作</w:t>
      </w:r>
      <w:bookmarkEnd w:id="84"/>
      <w:bookmarkEnd w:id="87"/>
      <w:bookmarkEnd w:id="88"/>
    </w:p>
    <w:p>
      <w:pPr>
        <w:adjustRightInd w:val="0"/>
        <w:snapToGrid w:val="0"/>
        <w:spacing w:before="120" w:beforeLines="50" w:after="120" w:afterLines="50" w:line="300" w:lineRule="auto"/>
        <w:ind w:firstLine="480" w:firstLineChars="200"/>
        <w:rPr>
          <w:rFonts w:ascii="宋体" w:hAnsi="宋体"/>
          <w:sz w:val="24"/>
        </w:rPr>
      </w:pPr>
      <w:r>
        <w:rPr>
          <w:rFonts w:hint="eastAsia" w:ascii="宋体" w:hAnsi="宋体"/>
          <w:sz w:val="24"/>
        </w:rPr>
        <w:t>（一）甲方应为乙方咨询人员执行本协议项下的咨询服务提供必要的协助和便利，</w:t>
      </w:r>
      <w:bookmarkStart w:id="89" w:name="OLE_LINK30"/>
      <w:r>
        <w:rPr>
          <w:rFonts w:hint="eastAsia" w:ascii="宋体" w:hAnsi="宋体"/>
          <w:sz w:val="24"/>
        </w:rPr>
        <w:t>具体包括</w:t>
      </w:r>
      <w:bookmarkEnd w:id="89"/>
      <w:r>
        <w:rPr>
          <w:rFonts w:hint="eastAsia" w:ascii="宋体" w:hAnsi="宋体"/>
          <w:sz w:val="24"/>
        </w:rPr>
        <w:t>：</w:t>
      </w:r>
    </w:p>
    <w:p>
      <w:pPr>
        <w:numPr>
          <w:ilvl w:val="0"/>
          <w:numId w:val="7"/>
        </w:numPr>
        <w:adjustRightInd w:val="0"/>
        <w:snapToGrid w:val="0"/>
        <w:spacing w:before="120" w:beforeLines="50" w:after="120" w:afterLines="50" w:line="300" w:lineRule="auto"/>
        <w:ind w:left="964" w:hanging="482"/>
        <w:rPr>
          <w:rFonts w:ascii="宋体" w:hAnsi="宋体"/>
          <w:sz w:val="24"/>
        </w:rPr>
      </w:pPr>
      <w:r>
        <w:rPr>
          <w:rFonts w:hint="eastAsia" w:ascii="宋体" w:hAnsi="宋体"/>
          <w:sz w:val="24"/>
        </w:rPr>
        <w:t>安排项目所在地合适的办公场所、设施及必要工作条件；</w:t>
      </w:r>
    </w:p>
    <w:p>
      <w:pPr>
        <w:numPr>
          <w:ilvl w:val="0"/>
          <w:numId w:val="7"/>
        </w:numPr>
        <w:adjustRightInd w:val="0"/>
        <w:snapToGrid w:val="0"/>
        <w:spacing w:before="120" w:beforeLines="50" w:after="120" w:afterLines="50" w:line="300" w:lineRule="auto"/>
        <w:rPr>
          <w:rFonts w:ascii="宋体" w:hAnsi="宋体"/>
          <w:sz w:val="24"/>
        </w:rPr>
      </w:pPr>
      <w:r>
        <w:rPr>
          <w:rFonts w:hint="eastAsia" w:ascii="宋体" w:hAnsi="宋体"/>
          <w:sz w:val="24"/>
        </w:rPr>
        <w:t>安排合适的工作人员与乙方咨询人员配合；</w:t>
      </w:r>
    </w:p>
    <w:p>
      <w:pPr>
        <w:numPr>
          <w:ilvl w:val="0"/>
          <w:numId w:val="7"/>
        </w:numPr>
        <w:adjustRightInd w:val="0"/>
        <w:snapToGrid w:val="0"/>
        <w:spacing w:before="120" w:beforeLines="50" w:after="120" w:afterLines="50" w:line="300" w:lineRule="auto"/>
        <w:rPr>
          <w:rFonts w:ascii="宋体" w:hAnsi="宋体"/>
          <w:sz w:val="24"/>
        </w:rPr>
      </w:pPr>
      <w:r>
        <w:rPr>
          <w:rFonts w:hint="eastAsia" w:ascii="宋体" w:hAnsi="宋体"/>
          <w:sz w:val="24"/>
        </w:rPr>
        <w:t>向乙方咨询人员及时提供所掌握的本项目全套资料和信息，并为乙方咨询人员向有关单位进行调研、访谈等提供协助、协调。因甲方提供不真实信息或资料所产生的一切后果，由甲方自行承担。</w:t>
      </w:r>
    </w:p>
    <w:p>
      <w:pPr>
        <w:widowControl/>
        <w:adjustRightInd w:val="0"/>
        <w:snapToGrid w:val="0"/>
        <w:spacing w:before="120" w:beforeLines="50" w:after="50" w:line="300" w:lineRule="auto"/>
        <w:ind w:firstLine="480" w:firstLineChars="200"/>
        <w:rPr>
          <w:rFonts w:ascii="宋体" w:hAnsi="宋体"/>
          <w:sz w:val="24"/>
        </w:rPr>
      </w:pPr>
      <w:r>
        <w:rPr>
          <w:rFonts w:hint="eastAsia" w:ascii="宋体" w:hAnsi="宋体"/>
          <w:sz w:val="24"/>
        </w:rPr>
        <w:t>（二）乙方应安排由**为项目总监、**为项目经理、**为项目副经理牵头组成的项目组（项目组成员包括**，**），并保持项目团队成员的相对稳定性。如遇特殊情况需调整项目经理的，乙方</w:t>
      </w:r>
      <w:bookmarkStart w:id="90" w:name="OLE_LINK32"/>
      <w:bookmarkStart w:id="91" w:name="OLE_LINK33"/>
      <w:r>
        <w:rPr>
          <w:rFonts w:hint="eastAsia" w:ascii="宋体" w:hAnsi="宋体"/>
          <w:sz w:val="24"/>
        </w:rPr>
        <w:t>应提前五[5]个工作日</w:t>
      </w:r>
      <w:bookmarkEnd w:id="90"/>
      <w:bookmarkEnd w:id="91"/>
      <w:r>
        <w:rPr>
          <w:rFonts w:hint="eastAsia" w:ascii="宋体" w:hAnsi="宋体"/>
          <w:sz w:val="24"/>
        </w:rPr>
        <w:t>通知甲方，</w:t>
      </w:r>
      <w:bookmarkStart w:id="92" w:name="OLE_LINK35"/>
      <w:bookmarkStart w:id="93" w:name="OLE_LINK34"/>
      <w:r>
        <w:rPr>
          <w:rFonts w:hint="eastAsia" w:ascii="宋体" w:hAnsi="宋体"/>
          <w:sz w:val="24"/>
        </w:rPr>
        <w:t>并采取相应措施以确保持续提供高品质的服务</w:t>
      </w:r>
      <w:bookmarkEnd w:id="92"/>
      <w:bookmarkEnd w:id="93"/>
      <w:r>
        <w:rPr>
          <w:rFonts w:hint="eastAsia" w:ascii="宋体" w:hAnsi="宋体"/>
          <w:sz w:val="24"/>
        </w:rPr>
        <w:t>。</w:t>
      </w:r>
    </w:p>
    <w:p>
      <w:pPr>
        <w:adjustRightInd w:val="0"/>
        <w:snapToGrid w:val="0"/>
        <w:spacing w:before="120" w:beforeLines="50" w:after="120" w:afterLines="50" w:line="300" w:lineRule="auto"/>
        <w:ind w:firstLine="480" w:firstLineChars="200"/>
        <w:rPr>
          <w:rFonts w:ascii="宋体" w:hAnsi="宋体"/>
          <w:sz w:val="24"/>
        </w:rPr>
      </w:pPr>
      <w:r>
        <w:rPr>
          <w:rFonts w:hint="eastAsia" w:ascii="宋体" w:hAnsi="宋体"/>
          <w:sz w:val="24"/>
        </w:rPr>
        <w:t>（三</w:t>
      </w:r>
      <w:bookmarkStart w:id="94" w:name="OLE_LINK39"/>
      <w:bookmarkStart w:id="95" w:name="OLE_LINK38"/>
      <w:r>
        <w:rPr>
          <w:rFonts w:hint="eastAsia" w:ascii="宋体" w:hAnsi="宋体"/>
          <w:sz w:val="24"/>
        </w:rPr>
        <w:t>）乙方应</w:t>
      </w:r>
      <w:bookmarkStart w:id="96" w:name="OLE_LINK36"/>
      <w:bookmarkStart w:id="97" w:name="OLE_LINK37"/>
      <w:r>
        <w:rPr>
          <w:rFonts w:hint="eastAsia" w:ascii="宋体" w:hAnsi="宋体"/>
          <w:sz w:val="24"/>
        </w:rPr>
        <w:t>认真负责地</w:t>
      </w:r>
      <w:bookmarkEnd w:id="96"/>
      <w:bookmarkEnd w:id="97"/>
      <w:r>
        <w:rPr>
          <w:rFonts w:hint="eastAsia" w:ascii="宋体" w:hAnsi="宋体"/>
          <w:sz w:val="24"/>
        </w:rPr>
        <w:t>对从甲方获得的全部资料及事实说明进行合理审查</w:t>
      </w:r>
      <w:bookmarkEnd w:id="94"/>
      <w:bookmarkEnd w:id="95"/>
      <w:r>
        <w:rPr>
          <w:rFonts w:hint="eastAsia" w:ascii="宋体" w:hAnsi="宋体"/>
          <w:sz w:val="24"/>
        </w:rPr>
        <w:t>，</w:t>
      </w:r>
      <w:bookmarkStart w:id="98" w:name="OLE_LINK42"/>
      <w:bookmarkStart w:id="99" w:name="OLE_LINK40"/>
      <w:bookmarkStart w:id="100" w:name="OLE_LINK41"/>
      <w:r>
        <w:rPr>
          <w:rFonts w:hint="eastAsia" w:ascii="宋体" w:hAnsi="宋体"/>
          <w:sz w:val="24"/>
        </w:rPr>
        <w:t>但对该等资料或信息的真实性、</w:t>
      </w:r>
      <w:bookmarkStart w:id="101" w:name="OLE_LINK50"/>
      <w:bookmarkStart w:id="102" w:name="OLE_LINK49"/>
      <w:r>
        <w:rPr>
          <w:rFonts w:hint="eastAsia" w:ascii="宋体" w:hAnsi="宋体"/>
          <w:sz w:val="24"/>
        </w:rPr>
        <w:t>准确性</w:t>
      </w:r>
      <w:bookmarkEnd w:id="101"/>
      <w:bookmarkEnd w:id="102"/>
      <w:r>
        <w:rPr>
          <w:rFonts w:hint="eastAsia" w:ascii="宋体" w:hAnsi="宋体"/>
          <w:sz w:val="24"/>
        </w:rPr>
        <w:t>、</w:t>
      </w:r>
      <w:bookmarkStart w:id="103" w:name="OLE_LINK52"/>
      <w:bookmarkStart w:id="104" w:name="OLE_LINK51"/>
      <w:r>
        <w:rPr>
          <w:rFonts w:hint="eastAsia" w:ascii="宋体" w:hAnsi="宋体"/>
          <w:sz w:val="24"/>
        </w:rPr>
        <w:t>完整性</w:t>
      </w:r>
      <w:bookmarkEnd w:id="103"/>
      <w:bookmarkEnd w:id="104"/>
      <w:r>
        <w:rPr>
          <w:rFonts w:hint="eastAsia" w:ascii="宋体" w:hAnsi="宋体"/>
          <w:sz w:val="24"/>
        </w:rPr>
        <w:t>不承担责任</w:t>
      </w:r>
      <w:bookmarkEnd w:id="98"/>
      <w:bookmarkEnd w:id="99"/>
      <w:bookmarkEnd w:id="100"/>
      <w:r>
        <w:rPr>
          <w:rFonts w:hint="eastAsia" w:ascii="宋体" w:hAnsi="宋体"/>
          <w:sz w:val="24"/>
        </w:rPr>
        <w:t>。</w:t>
      </w:r>
    </w:p>
    <w:p>
      <w:pPr>
        <w:adjustRightInd w:val="0"/>
        <w:snapToGrid w:val="0"/>
        <w:spacing w:before="120" w:beforeLines="50" w:after="120" w:afterLines="50" w:line="300" w:lineRule="auto"/>
        <w:ind w:firstLine="480" w:firstLineChars="200"/>
        <w:rPr>
          <w:rFonts w:ascii="宋体" w:hAnsi="宋体"/>
          <w:sz w:val="24"/>
        </w:rPr>
      </w:pPr>
      <w:r>
        <w:rPr>
          <w:rFonts w:hint="eastAsia" w:ascii="宋体" w:hAnsi="宋体"/>
          <w:sz w:val="24"/>
        </w:rPr>
        <w:t>（四）乙方承诺将按照</w:t>
      </w:r>
      <w:bookmarkStart w:id="105" w:name="OLE_LINK54"/>
      <w:bookmarkStart w:id="106" w:name="OLE_LINK53"/>
      <w:r>
        <w:rPr>
          <w:rFonts w:hint="eastAsia" w:ascii="宋体" w:hAnsi="宋体"/>
          <w:sz w:val="24"/>
        </w:rPr>
        <w:t>行业优良标准</w:t>
      </w:r>
      <w:bookmarkEnd w:id="105"/>
      <w:bookmarkEnd w:id="106"/>
      <w:r>
        <w:rPr>
          <w:rFonts w:hint="eastAsia" w:ascii="宋体" w:hAnsi="宋体"/>
          <w:sz w:val="24"/>
        </w:rPr>
        <w:t>，本着审慎尽责原则，根据项目实际情况，提供高效、专业、优质的咨询服务。</w:t>
      </w:r>
    </w:p>
    <w:p>
      <w:pPr>
        <w:adjustRightInd w:val="0"/>
        <w:snapToGrid w:val="0"/>
        <w:spacing w:before="120" w:beforeLines="50" w:after="120" w:afterLines="50" w:line="300" w:lineRule="auto"/>
        <w:ind w:firstLine="480" w:firstLineChars="200"/>
        <w:rPr>
          <w:rFonts w:ascii="宋体" w:hAnsi="宋体"/>
          <w:sz w:val="24"/>
        </w:rPr>
      </w:pPr>
      <w:r>
        <w:rPr>
          <w:rFonts w:hint="eastAsia" w:ascii="宋体" w:hAnsi="宋体"/>
          <w:sz w:val="24"/>
        </w:rPr>
        <w:t>（五）乙方承诺为本项目安排一名高级客户关系经理（**女士，联系方式：** ，邮箱**）专门负责咨询服务质量监督。如果甲方对乙方项目团队有任何建议或意见，可直接联系客户关系经理，其有权且有义务直接向乙方公司分管客户关系维护的高级副总裁及公司总裁直接反映，乙方公司内部应立即启动调查处理机制。</w:t>
      </w:r>
    </w:p>
    <w:p>
      <w:pPr>
        <w:numPr>
          <w:ilvl w:val="0"/>
          <w:numId w:val="4"/>
        </w:numPr>
        <w:adjustRightInd w:val="0"/>
        <w:snapToGrid w:val="0"/>
        <w:spacing w:before="120" w:beforeLines="50" w:after="120" w:afterLines="50" w:line="300" w:lineRule="auto"/>
        <w:rPr>
          <w:rFonts w:ascii="宋体" w:hAnsi="宋体"/>
          <w:b/>
          <w:bCs/>
          <w:sz w:val="24"/>
        </w:rPr>
      </w:pPr>
      <w:bookmarkStart w:id="107" w:name="_Toc144114420"/>
      <w:r>
        <w:rPr>
          <w:rFonts w:hint="eastAsia" w:ascii="宋体" w:hAnsi="宋体"/>
          <w:b/>
          <w:bCs/>
          <w:sz w:val="24"/>
        </w:rPr>
        <w:t>保密及知识产权</w:t>
      </w:r>
      <w:bookmarkEnd w:id="107"/>
      <w:r>
        <w:rPr>
          <w:rFonts w:hint="eastAsia" w:ascii="宋体" w:hAnsi="宋体"/>
          <w:b/>
          <w:bCs/>
          <w:sz w:val="24"/>
        </w:rPr>
        <w:t>相关</w:t>
      </w:r>
    </w:p>
    <w:p>
      <w:pPr>
        <w:widowControl/>
        <w:adjustRightInd w:val="0"/>
        <w:snapToGrid w:val="0"/>
        <w:spacing w:before="120" w:beforeLines="50" w:after="50" w:line="300" w:lineRule="auto"/>
        <w:ind w:firstLine="480" w:firstLineChars="200"/>
        <w:rPr>
          <w:rFonts w:ascii="宋体" w:hAnsi="宋体"/>
          <w:sz w:val="24"/>
        </w:rPr>
      </w:pPr>
      <w:r>
        <w:rPr>
          <w:rFonts w:hint="eastAsia" w:ascii="宋体" w:hAnsi="宋体"/>
          <w:sz w:val="24"/>
        </w:rPr>
        <w:t>（一）保密</w:t>
      </w:r>
    </w:p>
    <w:p>
      <w:pPr>
        <w:pStyle w:val="83"/>
        <w:widowControl/>
        <w:numPr>
          <w:ilvl w:val="2"/>
          <w:numId w:val="8"/>
        </w:numPr>
        <w:adjustRightInd w:val="0"/>
        <w:snapToGrid w:val="0"/>
        <w:spacing w:before="120" w:beforeLines="50" w:after="50" w:line="300" w:lineRule="auto"/>
        <w:ind w:firstLineChars="0"/>
        <w:rPr>
          <w:sz w:val="24"/>
          <w:szCs w:val="24"/>
        </w:rPr>
      </w:pPr>
      <w:r>
        <w:rPr>
          <w:rFonts w:hint="eastAsia"/>
          <w:sz w:val="24"/>
          <w:szCs w:val="24"/>
        </w:rPr>
        <w:t>非经</w:t>
      </w:r>
      <w:bookmarkStart w:id="108" w:name="OLE_LINK55"/>
      <w:r>
        <w:rPr>
          <w:rFonts w:hint="eastAsia"/>
          <w:sz w:val="24"/>
          <w:szCs w:val="24"/>
        </w:rPr>
        <w:t>对方</w:t>
      </w:r>
      <w:bookmarkEnd w:id="108"/>
      <w:r>
        <w:rPr>
          <w:rFonts w:hint="eastAsia"/>
          <w:sz w:val="24"/>
          <w:szCs w:val="24"/>
        </w:rPr>
        <w:t>事先书面同意，任何一方不得将从对方收集、整理、复制、研究和准备的与本协议项下工作有关的所有资料提供给任何第三方（但为本项目之目的，向政府有关部门或任何一方为本项目所聘请的其他顾问机构和个人进行披露的除外）。</w:t>
      </w:r>
    </w:p>
    <w:p>
      <w:pPr>
        <w:pStyle w:val="83"/>
        <w:widowControl/>
        <w:numPr>
          <w:ilvl w:val="2"/>
          <w:numId w:val="8"/>
        </w:numPr>
        <w:adjustRightInd w:val="0"/>
        <w:snapToGrid w:val="0"/>
        <w:spacing w:before="120" w:beforeLines="50" w:after="50" w:line="300" w:lineRule="auto"/>
        <w:ind w:firstLineChars="0"/>
        <w:rPr>
          <w:sz w:val="24"/>
          <w:szCs w:val="24"/>
        </w:rPr>
      </w:pPr>
      <w:bookmarkStart w:id="109" w:name="OLE_LINK57"/>
      <w:bookmarkStart w:id="110" w:name="OLE_LINK56"/>
      <w:r>
        <w:rPr>
          <w:rFonts w:hint="eastAsia"/>
          <w:sz w:val="24"/>
          <w:szCs w:val="24"/>
        </w:rPr>
        <w:t>一方应采取合理的预防措施</w:t>
      </w:r>
      <w:bookmarkEnd w:id="109"/>
      <w:bookmarkEnd w:id="110"/>
      <w:r>
        <w:rPr>
          <w:rFonts w:hint="eastAsia"/>
          <w:sz w:val="24"/>
          <w:szCs w:val="24"/>
        </w:rPr>
        <w:t>，以确保</w:t>
      </w:r>
      <w:bookmarkStart w:id="111" w:name="OLE_LINK58"/>
      <w:bookmarkStart w:id="112" w:name="OLE_LINK59"/>
      <w:r>
        <w:rPr>
          <w:rFonts w:hint="eastAsia"/>
          <w:sz w:val="24"/>
          <w:szCs w:val="24"/>
        </w:rPr>
        <w:t>只有为本项目实施有关而合理需要该等保密信息的人员和顾问</w:t>
      </w:r>
      <w:bookmarkEnd w:id="111"/>
      <w:bookmarkEnd w:id="112"/>
      <w:r>
        <w:rPr>
          <w:rFonts w:hint="eastAsia"/>
          <w:sz w:val="24"/>
          <w:szCs w:val="24"/>
        </w:rPr>
        <w:t>才能接触到从另一方获得的保密信息。一方有责任确保其所有人员和顾问遵守本协议项下的保密义务，并将此等人员和顾问的人数限制</w:t>
      </w:r>
      <w:bookmarkStart w:id="113" w:name="OLE_LINK60"/>
      <w:r>
        <w:rPr>
          <w:rFonts w:hint="eastAsia"/>
          <w:sz w:val="24"/>
          <w:szCs w:val="24"/>
        </w:rPr>
        <w:t>在最小范围内</w:t>
      </w:r>
      <w:bookmarkEnd w:id="113"/>
      <w:r>
        <w:rPr>
          <w:rFonts w:hint="eastAsia"/>
          <w:sz w:val="24"/>
          <w:szCs w:val="24"/>
        </w:rPr>
        <w:t>。</w:t>
      </w:r>
    </w:p>
    <w:p>
      <w:pPr>
        <w:pStyle w:val="83"/>
        <w:widowControl/>
        <w:numPr>
          <w:ilvl w:val="2"/>
          <w:numId w:val="8"/>
        </w:numPr>
        <w:adjustRightInd w:val="0"/>
        <w:snapToGrid w:val="0"/>
        <w:spacing w:before="120" w:beforeLines="50" w:after="50" w:line="300" w:lineRule="auto"/>
        <w:ind w:firstLineChars="0"/>
        <w:rPr>
          <w:sz w:val="24"/>
          <w:szCs w:val="24"/>
        </w:rPr>
      </w:pPr>
      <w:r>
        <w:rPr>
          <w:rFonts w:hint="eastAsia"/>
          <w:sz w:val="24"/>
          <w:szCs w:val="24"/>
        </w:rPr>
        <w:t>未经一方事先书面同意，另一方不得将本协议的重要商务信息（包括咨询服务费用及</w:t>
      </w:r>
      <w:bookmarkStart w:id="114" w:name="OLE_LINK62"/>
      <w:bookmarkStart w:id="115" w:name="OLE_LINK61"/>
      <w:r>
        <w:rPr>
          <w:rFonts w:hint="eastAsia"/>
          <w:sz w:val="24"/>
          <w:szCs w:val="24"/>
        </w:rPr>
        <w:t>支付信息</w:t>
      </w:r>
      <w:bookmarkEnd w:id="114"/>
      <w:bookmarkEnd w:id="115"/>
      <w:r>
        <w:rPr>
          <w:rFonts w:hint="eastAsia"/>
          <w:sz w:val="24"/>
          <w:szCs w:val="24"/>
        </w:rPr>
        <w:t>等）提供给任何第三方，该等信息的保密期限为一方获知、洽谈该等商务信息时起算，且</w:t>
      </w:r>
      <w:bookmarkStart w:id="116" w:name="OLE_LINK63"/>
      <w:r>
        <w:rPr>
          <w:rFonts w:hint="eastAsia"/>
          <w:sz w:val="24"/>
          <w:szCs w:val="24"/>
        </w:rPr>
        <w:t>不受本条第（4）款所述有效期的限制</w:t>
      </w:r>
      <w:bookmarkEnd w:id="116"/>
      <w:r>
        <w:rPr>
          <w:rFonts w:hint="eastAsia"/>
          <w:sz w:val="24"/>
          <w:szCs w:val="24"/>
        </w:rPr>
        <w:t>。</w:t>
      </w:r>
    </w:p>
    <w:p>
      <w:pPr>
        <w:pStyle w:val="83"/>
        <w:widowControl/>
        <w:numPr>
          <w:ilvl w:val="2"/>
          <w:numId w:val="8"/>
        </w:numPr>
        <w:adjustRightInd w:val="0"/>
        <w:snapToGrid w:val="0"/>
        <w:spacing w:before="120" w:beforeLines="50" w:after="50" w:line="300" w:lineRule="auto"/>
        <w:ind w:firstLineChars="0"/>
        <w:rPr>
          <w:sz w:val="24"/>
          <w:szCs w:val="24"/>
        </w:rPr>
      </w:pPr>
      <w:bookmarkStart w:id="117" w:name="OLE_LINK65"/>
      <w:bookmarkStart w:id="118" w:name="OLE_LINK64"/>
      <w:r>
        <w:rPr>
          <w:rFonts w:hint="eastAsia"/>
          <w:sz w:val="24"/>
          <w:szCs w:val="24"/>
        </w:rPr>
        <w:t>除本协议另有约定外</w:t>
      </w:r>
      <w:bookmarkEnd w:id="117"/>
      <w:bookmarkEnd w:id="118"/>
      <w:r>
        <w:rPr>
          <w:rFonts w:hint="eastAsia"/>
          <w:sz w:val="24"/>
          <w:szCs w:val="24"/>
        </w:rPr>
        <w:t>，任一方在本协议项下的保密义务的期限自本协议生效之日起五年，或者自一方向其披露任何保密信息之日起五年，</w:t>
      </w:r>
      <w:bookmarkStart w:id="119" w:name="OLE_LINK67"/>
      <w:bookmarkStart w:id="120" w:name="OLE_LINK66"/>
      <w:r>
        <w:rPr>
          <w:rFonts w:hint="eastAsia"/>
          <w:sz w:val="24"/>
          <w:szCs w:val="24"/>
        </w:rPr>
        <w:t>以较晚者为准</w:t>
      </w:r>
      <w:bookmarkEnd w:id="119"/>
      <w:bookmarkEnd w:id="120"/>
      <w:r>
        <w:rPr>
          <w:rFonts w:hint="eastAsia"/>
          <w:sz w:val="24"/>
          <w:szCs w:val="24"/>
        </w:rPr>
        <w:t>。</w:t>
      </w:r>
    </w:p>
    <w:p>
      <w:pPr>
        <w:widowControl/>
        <w:adjustRightInd w:val="0"/>
        <w:snapToGrid w:val="0"/>
        <w:spacing w:before="120" w:beforeLines="50" w:after="50" w:line="300" w:lineRule="auto"/>
        <w:ind w:firstLine="480" w:firstLineChars="200"/>
        <w:rPr>
          <w:rFonts w:ascii="宋体" w:hAnsi="宋体"/>
          <w:sz w:val="24"/>
          <w:szCs w:val="24"/>
        </w:rPr>
      </w:pPr>
      <w:r>
        <w:rPr>
          <w:rFonts w:hint="eastAsia" w:ascii="宋体" w:hAnsi="宋体"/>
          <w:sz w:val="24"/>
        </w:rPr>
        <w:t>（二）知识产权</w:t>
      </w:r>
    </w:p>
    <w:p>
      <w:pPr>
        <w:widowControl/>
        <w:adjustRightInd w:val="0"/>
        <w:snapToGrid w:val="0"/>
        <w:spacing w:before="120" w:beforeLines="50" w:after="50" w:line="300" w:lineRule="auto"/>
        <w:ind w:firstLine="480" w:firstLineChars="200"/>
        <w:rPr>
          <w:rFonts w:ascii="宋体" w:hAnsi="宋体"/>
          <w:sz w:val="24"/>
        </w:rPr>
      </w:pPr>
      <w:r>
        <w:rPr>
          <w:rFonts w:hint="eastAsia" w:ascii="宋体" w:hAnsi="宋体"/>
          <w:sz w:val="24"/>
        </w:rPr>
        <w:t>在本项目执行过程中，乙方编制的所有与本项目有关的工作成果的知识产权属于双方共有，任何一方未经同意不得向任何第三方披露该工作成果。</w:t>
      </w:r>
    </w:p>
    <w:p>
      <w:pPr>
        <w:numPr>
          <w:ilvl w:val="0"/>
          <w:numId w:val="4"/>
        </w:numPr>
        <w:adjustRightInd w:val="0"/>
        <w:snapToGrid w:val="0"/>
        <w:spacing w:before="120" w:beforeLines="50" w:after="120" w:afterLines="50" w:line="300" w:lineRule="auto"/>
        <w:rPr>
          <w:rFonts w:ascii="宋体" w:hAnsi="宋体"/>
          <w:b/>
          <w:bCs/>
          <w:sz w:val="24"/>
        </w:rPr>
      </w:pPr>
      <w:bookmarkStart w:id="121" w:name="_Toc144114421"/>
      <w:r>
        <w:rPr>
          <w:rFonts w:hint="eastAsia" w:ascii="宋体" w:hAnsi="宋体"/>
          <w:b/>
          <w:bCs/>
          <w:sz w:val="24"/>
        </w:rPr>
        <w:t>协议变更、中止与终止</w:t>
      </w:r>
      <w:bookmarkEnd w:id="121"/>
    </w:p>
    <w:p>
      <w:pPr>
        <w:widowControl/>
        <w:adjustRightInd w:val="0"/>
        <w:snapToGrid w:val="0"/>
        <w:spacing w:before="120" w:beforeLines="50" w:after="50" w:line="300" w:lineRule="auto"/>
        <w:ind w:firstLine="480" w:firstLineChars="200"/>
        <w:rPr>
          <w:rFonts w:ascii="宋体" w:hAnsi="宋体"/>
          <w:sz w:val="24"/>
        </w:rPr>
      </w:pPr>
      <w:r>
        <w:rPr>
          <w:rFonts w:hint="eastAsia" w:ascii="宋体" w:hAnsi="宋体"/>
          <w:sz w:val="24"/>
        </w:rPr>
        <w:t>（一）除非甲乙双方达成一致的书面协议，任何一方不得变更本协议的任何条款，不得单方解除本协议。</w:t>
      </w:r>
    </w:p>
    <w:p>
      <w:pPr>
        <w:widowControl/>
        <w:adjustRightInd w:val="0"/>
        <w:snapToGrid w:val="0"/>
        <w:spacing w:before="120" w:beforeLines="50" w:after="50" w:line="300" w:lineRule="auto"/>
        <w:ind w:firstLine="480" w:firstLineChars="200"/>
        <w:rPr>
          <w:rFonts w:ascii="宋体" w:hAnsi="宋体"/>
          <w:sz w:val="24"/>
        </w:rPr>
      </w:pPr>
      <w:r>
        <w:rPr>
          <w:rFonts w:hint="eastAsia" w:ascii="宋体" w:hAnsi="宋体"/>
          <w:sz w:val="24"/>
        </w:rPr>
        <w:t>（二）当甲方未按照本协议约定的进度及相应金额履行付款义务时，乙方有权中止提供后续阶段的服务，并向甲方发出书面中止通知；如果该等情形在一[1]个月内未得到解决，乙方有权提前终止本协议。</w:t>
      </w:r>
    </w:p>
    <w:p>
      <w:pPr>
        <w:widowControl/>
        <w:adjustRightInd w:val="0"/>
        <w:snapToGrid w:val="0"/>
        <w:spacing w:before="120" w:beforeLines="50" w:after="50" w:line="300" w:lineRule="auto"/>
        <w:ind w:firstLine="480" w:firstLineChars="200"/>
        <w:rPr>
          <w:rFonts w:ascii="宋体" w:hAnsi="宋体"/>
          <w:sz w:val="24"/>
        </w:rPr>
      </w:pPr>
      <w:r>
        <w:rPr>
          <w:rFonts w:hint="eastAsia" w:ascii="宋体" w:hAnsi="宋体"/>
          <w:sz w:val="24"/>
        </w:rPr>
        <w:t>（三）如因可归责于甲方的原因，包括但不限于本条第（二）款所述事项，导致本协议提前终止的，则除甲方已经支付的咨询顾问费外，就咨询顾问费总额中剩余部分，甲方还应根据乙方实际工作阶段及已经完成的工作成果支付相应的咨询顾问费（具体金额由双方届时协商确定），且应同时向乙方支付相当于全部咨询顾问费百分之二十（20%）的赔偿金。</w:t>
      </w:r>
    </w:p>
    <w:p>
      <w:pPr>
        <w:widowControl/>
        <w:adjustRightInd w:val="0"/>
        <w:snapToGrid w:val="0"/>
        <w:spacing w:before="120" w:beforeLines="50" w:after="50" w:line="300" w:lineRule="auto"/>
        <w:ind w:firstLine="480" w:firstLineChars="200"/>
        <w:rPr>
          <w:rFonts w:ascii="宋体" w:hAnsi="宋体"/>
          <w:sz w:val="24"/>
        </w:rPr>
      </w:pPr>
      <w:r>
        <w:rPr>
          <w:rFonts w:hint="eastAsia" w:ascii="宋体" w:hAnsi="宋体"/>
          <w:sz w:val="24"/>
        </w:rPr>
        <w:t>（四）如因可归责于乙方的原因导致未能按本协议约定提供咨询服务时，则甲方有权拒绝支付后续阶段的咨询费用，并有权要求乙方在催告的合理时间内完成相应阶段的工作。如乙方无正当理由拒不改正等导致本协议履行不能或实质性目标不能实现的，则甲方有权提前终止本协议，并有权要求乙方支付相当于全部咨询顾问费百分之二十（20%）的赔偿金。</w:t>
      </w:r>
    </w:p>
    <w:p>
      <w:pPr>
        <w:adjustRightInd w:val="0"/>
        <w:snapToGrid w:val="0"/>
        <w:spacing w:before="120" w:beforeLines="50" w:after="120" w:afterLines="50" w:line="300" w:lineRule="auto"/>
        <w:ind w:firstLine="480" w:firstLineChars="200"/>
        <w:rPr>
          <w:rFonts w:ascii="宋体" w:hAnsi="宋体"/>
          <w:sz w:val="24"/>
        </w:rPr>
      </w:pPr>
      <w:r>
        <w:rPr>
          <w:rFonts w:hint="eastAsia" w:ascii="宋体" w:hAnsi="宋体"/>
          <w:sz w:val="24"/>
        </w:rPr>
        <w:t>（五）如任一方违约（且该等违约未发生导致本协议提前终止情形的），则违约方应向非违约方支付违约金，违约金为本协议项下全部咨询顾问费的百分之**％）。</w:t>
      </w:r>
    </w:p>
    <w:p>
      <w:pPr>
        <w:numPr>
          <w:ilvl w:val="0"/>
          <w:numId w:val="4"/>
        </w:numPr>
        <w:adjustRightInd w:val="0"/>
        <w:snapToGrid w:val="0"/>
        <w:spacing w:before="120" w:beforeLines="50" w:after="120" w:afterLines="50" w:line="300" w:lineRule="auto"/>
        <w:rPr>
          <w:rFonts w:ascii="宋体" w:hAnsi="宋体"/>
          <w:b/>
          <w:bCs/>
          <w:sz w:val="24"/>
        </w:rPr>
      </w:pPr>
      <w:bookmarkStart w:id="122" w:name="_Toc144114422"/>
      <w:r>
        <w:rPr>
          <w:rFonts w:hint="eastAsia" w:ascii="宋体" w:hAnsi="宋体"/>
          <w:b/>
          <w:bCs/>
          <w:sz w:val="24"/>
        </w:rPr>
        <w:t>适用法律及争议解决</w:t>
      </w:r>
      <w:bookmarkEnd w:id="122"/>
    </w:p>
    <w:p>
      <w:pPr>
        <w:adjustRightInd w:val="0"/>
        <w:snapToGrid w:val="0"/>
        <w:spacing w:before="120" w:beforeLines="50" w:after="120" w:afterLines="50" w:line="300" w:lineRule="auto"/>
        <w:ind w:firstLine="482"/>
        <w:rPr>
          <w:rFonts w:ascii="宋体" w:hAnsi="宋体"/>
          <w:sz w:val="24"/>
        </w:rPr>
      </w:pPr>
      <w:r>
        <w:rPr>
          <w:rFonts w:hint="eastAsia" w:ascii="宋体" w:hAnsi="宋体"/>
          <w:sz w:val="24"/>
        </w:rPr>
        <w:t>本协议的成立、效力、解释、履行及争议的解决，受中华人民共和国法律管辖并依其解释。</w:t>
      </w:r>
    </w:p>
    <w:p>
      <w:pPr>
        <w:adjustRightInd w:val="0"/>
        <w:snapToGrid w:val="0"/>
        <w:spacing w:before="120" w:beforeLines="50" w:after="120" w:afterLines="50" w:line="300" w:lineRule="auto"/>
        <w:ind w:firstLine="482"/>
        <w:rPr>
          <w:rFonts w:ascii="宋体" w:hAnsi="宋体"/>
          <w:sz w:val="24"/>
        </w:rPr>
      </w:pPr>
      <w:r>
        <w:rPr>
          <w:rFonts w:hint="eastAsia" w:ascii="宋体" w:hAnsi="宋体"/>
          <w:sz w:val="24"/>
        </w:rPr>
        <w:t>本协议履行过程中若发生任何争议，甲、乙双方应本着互谅互让的原则通过友好协商方式妥善解决。</w:t>
      </w:r>
    </w:p>
    <w:p>
      <w:pPr>
        <w:adjustRightInd w:val="0"/>
        <w:snapToGrid w:val="0"/>
        <w:spacing w:before="120" w:beforeLines="50" w:after="120" w:afterLines="50" w:line="300" w:lineRule="auto"/>
        <w:ind w:firstLine="482"/>
        <w:rPr>
          <w:rFonts w:ascii="宋体" w:hAnsi="宋体"/>
          <w:sz w:val="24"/>
        </w:rPr>
      </w:pPr>
      <w:r>
        <w:rPr>
          <w:rFonts w:hint="eastAsia" w:ascii="宋体" w:hAnsi="宋体"/>
          <w:sz w:val="24"/>
        </w:rPr>
        <w:t>如果在一方向其他方发出要求协商解决的书面通知后三十（30）天之内协商解决不成的，双方皆有权向有管辖权的人民法院提起诉讼。</w:t>
      </w:r>
    </w:p>
    <w:p>
      <w:pPr>
        <w:numPr>
          <w:ilvl w:val="0"/>
          <w:numId w:val="4"/>
        </w:numPr>
        <w:adjustRightInd w:val="0"/>
        <w:snapToGrid w:val="0"/>
        <w:spacing w:before="120" w:beforeLines="50" w:after="120" w:afterLines="50" w:line="300" w:lineRule="auto"/>
        <w:rPr>
          <w:rFonts w:ascii="宋体" w:hAnsi="宋体"/>
          <w:b/>
          <w:bCs/>
          <w:sz w:val="24"/>
        </w:rPr>
      </w:pPr>
      <w:bookmarkStart w:id="123" w:name="_Toc144114423"/>
      <w:r>
        <w:rPr>
          <w:rFonts w:hint="eastAsia" w:ascii="宋体" w:hAnsi="宋体"/>
          <w:b/>
          <w:bCs/>
          <w:sz w:val="24"/>
        </w:rPr>
        <w:t>生效及其他</w:t>
      </w:r>
      <w:bookmarkEnd w:id="123"/>
    </w:p>
    <w:p>
      <w:pPr>
        <w:pStyle w:val="83"/>
        <w:numPr>
          <w:ilvl w:val="0"/>
          <w:numId w:val="9"/>
        </w:numPr>
        <w:adjustRightInd w:val="0"/>
        <w:snapToGrid w:val="0"/>
        <w:spacing w:before="120" w:beforeLines="50" w:after="120" w:afterLines="50" w:line="300" w:lineRule="auto"/>
        <w:ind w:firstLineChars="0"/>
        <w:rPr>
          <w:sz w:val="24"/>
          <w:szCs w:val="24"/>
        </w:rPr>
      </w:pPr>
      <w:r>
        <w:rPr>
          <w:rFonts w:hint="eastAsia"/>
          <w:sz w:val="24"/>
          <w:szCs w:val="24"/>
        </w:rPr>
        <w:t>本协议自甲、乙双方签字并盖章之日起生效。</w:t>
      </w:r>
    </w:p>
    <w:p>
      <w:pPr>
        <w:pStyle w:val="83"/>
        <w:numPr>
          <w:ilvl w:val="0"/>
          <w:numId w:val="9"/>
        </w:numPr>
        <w:adjustRightInd w:val="0"/>
        <w:snapToGrid w:val="0"/>
        <w:spacing w:before="120" w:beforeLines="50" w:after="120" w:afterLines="50" w:line="300" w:lineRule="auto"/>
        <w:ind w:firstLineChars="0"/>
        <w:rPr>
          <w:sz w:val="24"/>
          <w:szCs w:val="24"/>
        </w:rPr>
      </w:pPr>
      <w:r>
        <w:rPr>
          <w:rFonts w:hint="eastAsia"/>
          <w:sz w:val="24"/>
          <w:szCs w:val="24"/>
        </w:rPr>
        <w:t>与本协议有关的一切税费，均应由双方各自承担。</w:t>
      </w:r>
    </w:p>
    <w:p>
      <w:pPr>
        <w:pStyle w:val="83"/>
        <w:numPr>
          <w:ilvl w:val="0"/>
          <w:numId w:val="9"/>
        </w:numPr>
        <w:adjustRightInd w:val="0"/>
        <w:snapToGrid w:val="0"/>
        <w:spacing w:before="120" w:beforeLines="50" w:after="120" w:afterLines="50" w:line="300" w:lineRule="auto"/>
        <w:ind w:firstLineChars="0"/>
        <w:rPr>
          <w:sz w:val="24"/>
          <w:szCs w:val="24"/>
        </w:rPr>
      </w:pPr>
      <w:r>
        <w:rPr>
          <w:rFonts w:hint="eastAsia"/>
          <w:sz w:val="24"/>
          <w:szCs w:val="24"/>
        </w:rPr>
        <w:t>本合同包含了双方对其中所列事项的全部约定和协议，并取代了以前所有有关的口头或书面的约定、协议或意向、声明。</w:t>
      </w:r>
    </w:p>
    <w:p>
      <w:pPr>
        <w:pStyle w:val="83"/>
        <w:numPr>
          <w:ilvl w:val="0"/>
          <w:numId w:val="9"/>
        </w:numPr>
        <w:adjustRightInd w:val="0"/>
        <w:snapToGrid w:val="0"/>
        <w:spacing w:before="120" w:beforeLines="50" w:after="120" w:afterLines="50" w:line="300" w:lineRule="auto"/>
        <w:ind w:firstLineChars="0"/>
        <w:rPr>
          <w:sz w:val="24"/>
          <w:szCs w:val="24"/>
        </w:rPr>
      </w:pPr>
      <w:r>
        <w:rPr>
          <w:rFonts w:hint="eastAsia"/>
          <w:sz w:val="24"/>
          <w:szCs w:val="24"/>
        </w:rPr>
        <w:t>本协议未尽事宜，经双方协商一致，另行签订书面补充协议。</w:t>
      </w:r>
    </w:p>
    <w:p>
      <w:pPr>
        <w:pStyle w:val="83"/>
        <w:numPr>
          <w:ilvl w:val="0"/>
          <w:numId w:val="9"/>
        </w:numPr>
        <w:adjustRightInd w:val="0"/>
        <w:snapToGrid w:val="0"/>
        <w:spacing w:before="120" w:beforeLines="50" w:after="120" w:afterLines="50" w:line="300" w:lineRule="auto"/>
        <w:ind w:firstLineChars="0"/>
        <w:rPr>
          <w:sz w:val="24"/>
          <w:szCs w:val="24"/>
        </w:rPr>
      </w:pPr>
      <w:r>
        <w:rPr>
          <w:rFonts w:hint="eastAsia"/>
          <w:sz w:val="24"/>
          <w:szCs w:val="24"/>
        </w:rPr>
        <w:t>本协议一式**份，双方各执**份。</w:t>
      </w:r>
    </w:p>
    <w:p>
      <w:pPr>
        <w:adjustRightInd w:val="0"/>
        <w:snapToGrid w:val="0"/>
        <w:spacing w:before="120" w:beforeLines="50" w:after="240" w:afterLines="100" w:line="300" w:lineRule="auto"/>
        <w:ind w:firstLine="480" w:firstLineChars="200"/>
        <w:jc w:val="center"/>
        <w:rPr>
          <w:rFonts w:ascii="宋体" w:hAnsi="宋体"/>
          <w:sz w:val="24"/>
          <w:szCs w:val="24"/>
        </w:rPr>
      </w:pPr>
      <w:r>
        <w:rPr>
          <w:rFonts w:hint="eastAsia" w:ascii="宋体" w:hAnsi="宋体"/>
          <w:sz w:val="24"/>
        </w:rPr>
        <w:t>【以下无正文】</w:t>
      </w:r>
    </w:p>
    <w:p>
      <w:pPr>
        <w:spacing w:before="120" w:beforeLines="50" w:after="120" w:afterLines="50" w:line="300" w:lineRule="auto"/>
        <w:ind w:firstLine="480" w:firstLineChars="200"/>
        <w:rPr>
          <w:rFonts w:ascii="Times New Roman" w:hAnsi="Times New Roman"/>
          <w:sz w:val="24"/>
        </w:rPr>
      </w:pPr>
      <w:r>
        <w:rPr>
          <w:rFonts w:hint="eastAsia"/>
          <w:sz w:val="24"/>
        </w:rPr>
        <w:t>甲方：</w:t>
      </w:r>
      <w:r>
        <w:rPr>
          <w:sz w:val="24"/>
        </w:rPr>
        <w:t xml:space="preserve">   </w:t>
      </w:r>
      <w:r>
        <w:rPr>
          <w:rFonts w:hint="eastAsia"/>
          <w:sz w:val="24"/>
        </w:rPr>
        <w:t>（盖章）</w:t>
      </w:r>
      <w:r>
        <w:rPr>
          <w:sz w:val="24"/>
        </w:rPr>
        <w:t xml:space="preserve">   </w:t>
      </w:r>
      <w:r>
        <w:rPr>
          <w:sz w:val="24"/>
        </w:rPr>
        <w:tab/>
      </w:r>
      <w:r>
        <w:rPr>
          <w:sz w:val="24"/>
        </w:rPr>
        <w:tab/>
      </w:r>
      <w:r>
        <w:rPr>
          <w:sz w:val="24"/>
        </w:rPr>
        <w:tab/>
      </w:r>
      <w:r>
        <w:rPr>
          <w:sz w:val="24"/>
        </w:rPr>
        <w:t xml:space="preserve">          </w:t>
      </w:r>
      <w:r>
        <w:rPr>
          <w:rFonts w:hint="eastAsia"/>
          <w:sz w:val="24"/>
        </w:rPr>
        <w:t>乙方：</w:t>
      </w:r>
      <w:r>
        <w:rPr>
          <w:sz w:val="24"/>
        </w:rPr>
        <w:t xml:space="preserve">   </w:t>
      </w:r>
      <w:r>
        <w:rPr>
          <w:rFonts w:hint="eastAsia"/>
          <w:sz w:val="24"/>
        </w:rPr>
        <w:t>（盖章）</w:t>
      </w:r>
    </w:p>
    <w:p>
      <w:pPr>
        <w:spacing w:before="120" w:beforeLines="50" w:after="120" w:afterLines="50" w:line="300" w:lineRule="auto"/>
        <w:ind w:firstLine="480" w:firstLineChars="200"/>
        <w:rPr>
          <w:rFonts w:ascii="宋体" w:hAnsi="宋体"/>
          <w:sz w:val="24"/>
        </w:rPr>
      </w:pPr>
      <w:r>
        <w:rPr>
          <w:rFonts w:hint="eastAsia"/>
          <w:sz w:val="24"/>
        </w:rPr>
        <w:t>法定代表人（授权代表）：</w:t>
      </w:r>
      <w:r>
        <w:rPr>
          <w:sz w:val="24"/>
        </w:rPr>
        <w:t xml:space="preserve">              </w:t>
      </w:r>
      <w:r>
        <w:rPr>
          <w:rFonts w:hint="eastAsia"/>
          <w:sz w:val="24"/>
        </w:rPr>
        <w:t>法定代表人（授权代表）：</w:t>
      </w:r>
    </w:p>
    <w:p>
      <w:pPr>
        <w:autoSpaceDE w:val="0"/>
        <w:autoSpaceDN w:val="0"/>
        <w:adjustRightInd w:val="0"/>
        <w:spacing w:line="540" w:lineRule="exact"/>
        <w:ind w:firstLine="560"/>
        <w:rPr>
          <w:rFonts w:ascii="宋体" w:hAnsi="宋体" w:eastAsia="宋体" w:cs="宋体"/>
          <w:sz w:val="24"/>
          <w:szCs w:val="24"/>
        </w:rPr>
      </w:pPr>
      <w:r>
        <w:rPr>
          <w:rFonts w:hint="eastAsia" w:ascii="宋体" w:hAnsi="宋体" w:eastAsia="宋体" w:cs="宋体"/>
          <w:sz w:val="24"/>
          <w:szCs w:val="24"/>
        </w:rPr>
        <w:t xml:space="preserve">  </w:t>
      </w: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sectPr>
          <w:pgSz w:w="11906" w:h="16838"/>
          <w:pgMar w:top="1587" w:right="1587" w:bottom="1587" w:left="1587" w:header="1247" w:footer="992" w:gutter="0"/>
          <w:cols w:space="0" w:num="1"/>
          <w:docGrid w:linePitch="312" w:charSpace="0"/>
        </w:sectPr>
      </w:pPr>
    </w:p>
    <w:p>
      <w:pPr>
        <w:tabs>
          <w:tab w:val="center" w:pos="4479"/>
          <w:tab w:val="left" w:pos="6300"/>
        </w:tabs>
        <w:spacing w:line="800" w:lineRule="exact"/>
        <w:jc w:val="center"/>
        <w:outlineLvl w:val="0"/>
        <w:rPr>
          <w:rFonts w:ascii="宋体" w:hAnsi="宋体" w:eastAsia="宋体" w:cs="宋体"/>
          <w:b/>
          <w:sz w:val="44"/>
          <w:szCs w:val="44"/>
        </w:rPr>
      </w:pPr>
      <w:bookmarkStart w:id="124" w:name="_Toc27116"/>
      <w:r>
        <w:rPr>
          <w:rFonts w:hint="eastAsia" w:ascii="宋体" w:hAnsi="宋体" w:eastAsia="宋体" w:cs="宋体"/>
          <w:b/>
          <w:bCs/>
          <w:sz w:val="44"/>
          <w:szCs w:val="44"/>
          <w:lang w:val="zh-CN"/>
        </w:rPr>
        <w:t>第六部分 附件</w:t>
      </w:r>
      <w:bookmarkEnd w:id="124"/>
    </w:p>
    <w:p>
      <w:pPr>
        <w:tabs>
          <w:tab w:val="center" w:pos="4479"/>
          <w:tab w:val="left" w:pos="6300"/>
        </w:tabs>
        <w:jc w:val="left"/>
        <w:rPr>
          <w:rFonts w:ascii="宋体" w:hAnsi="宋体" w:eastAsia="宋体" w:cs="宋体"/>
          <w:b/>
          <w:sz w:val="36"/>
          <w:szCs w:val="36"/>
        </w:rPr>
      </w:pPr>
    </w:p>
    <w:p>
      <w:pPr>
        <w:spacing w:line="360" w:lineRule="auto"/>
        <w:ind w:firstLine="555"/>
        <w:jc w:val="left"/>
        <w:rPr>
          <w:rFonts w:ascii="宋体" w:hAnsi="宋体" w:eastAsia="宋体" w:cs="宋体"/>
          <w:sz w:val="24"/>
          <w:szCs w:val="24"/>
        </w:rPr>
      </w:pPr>
      <w:r>
        <w:rPr>
          <w:rFonts w:hint="eastAsia" w:ascii="宋体" w:hAnsi="宋体" w:eastAsia="宋体" w:cs="宋体"/>
          <w:sz w:val="24"/>
          <w:szCs w:val="24"/>
        </w:rPr>
        <w:t>附件1投标函及开标一览表</w:t>
      </w:r>
    </w:p>
    <w:p>
      <w:pPr>
        <w:spacing w:line="360" w:lineRule="auto"/>
        <w:ind w:firstLine="555"/>
        <w:jc w:val="left"/>
        <w:rPr>
          <w:rFonts w:ascii="宋体" w:hAnsi="宋体" w:eastAsia="宋体" w:cs="宋体"/>
          <w:b/>
          <w:sz w:val="24"/>
          <w:szCs w:val="24"/>
        </w:rPr>
      </w:pPr>
      <w:r>
        <w:rPr>
          <w:rFonts w:hint="eastAsia" w:ascii="宋体" w:hAnsi="宋体" w:eastAsia="宋体" w:cs="宋体"/>
          <w:sz w:val="24"/>
          <w:szCs w:val="24"/>
        </w:rPr>
        <w:t>附件2</w:t>
      </w:r>
      <w:r>
        <w:fldChar w:fldCharType="begin"/>
      </w:r>
      <w:r>
        <w:instrText xml:space="preserve"> HYPERLINK \l "_Toc416442391" </w:instrText>
      </w:r>
      <w:r>
        <w:fldChar w:fldCharType="separate"/>
      </w:r>
      <w:r>
        <w:rPr>
          <w:rFonts w:hint="eastAsia" w:ascii="宋体" w:hAnsi="宋体" w:eastAsia="宋体" w:cs="宋体"/>
          <w:sz w:val="24"/>
          <w:szCs w:val="24"/>
        </w:rPr>
        <w:t>法定代表人身份证明或授权委托书</w:t>
      </w:r>
      <w:r>
        <w:rPr>
          <w:rFonts w:hint="eastAsia" w:ascii="宋体" w:hAnsi="宋体" w:eastAsia="宋体" w:cs="宋体"/>
          <w:sz w:val="24"/>
          <w:szCs w:val="24"/>
        </w:rPr>
        <w:tab/>
      </w:r>
      <w:r>
        <w:rPr>
          <w:rFonts w:hint="eastAsia" w:ascii="宋体" w:hAnsi="宋体" w:eastAsia="宋体" w:cs="宋体"/>
          <w:sz w:val="24"/>
          <w:szCs w:val="24"/>
        </w:rPr>
        <w:fldChar w:fldCharType="end"/>
      </w:r>
    </w:p>
    <w:p>
      <w:pPr>
        <w:spacing w:line="360" w:lineRule="auto"/>
        <w:ind w:firstLine="555"/>
        <w:jc w:val="left"/>
        <w:rPr>
          <w:rFonts w:ascii="宋体" w:hAnsi="宋体" w:eastAsia="宋体" w:cs="宋体"/>
          <w:sz w:val="24"/>
          <w:szCs w:val="24"/>
        </w:rPr>
      </w:pPr>
      <w:r>
        <w:rPr>
          <w:rFonts w:hint="eastAsia" w:ascii="宋体" w:hAnsi="宋体" w:eastAsia="宋体" w:cs="宋体"/>
          <w:sz w:val="24"/>
          <w:szCs w:val="24"/>
        </w:rPr>
        <w:t>附件3投标保证金</w:t>
      </w:r>
    </w:p>
    <w:p>
      <w:pPr>
        <w:spacing w:line="360" w:lineRule="auto"/>
        <w:ind w:firstLine="555"/>
        <w:jc w:val="left"/>
        <w:rPr>
          <w:rFonts w:ascii="宋体" w:hAnsi="宋体" w:eastAsia="宋体" w:cs="宋体"/>
          <w:sz w:val="24"/>
          <w:szCs w:val="24"/>
        </w:rPr>
      </w:pPr>
      <w:r>
        <w:rPr>
          <w:rFonts w:hint="eastAsia" w:ascii="宋体" w:hAnsi="宋体" w:eastAsia="宋体" w:cs="宋体"/>
          <w:sz w:val="24"/>
          <w:szCs w:val="24"/>
        </w:rPr>
        <w:t>附件4供应商情况</w:t>
      </w:r>
      <w:r>
        <w:rPr>
          <w:rFonts w:hint="eastAsia" w:ascii="宋体" w:hAnsi="宋体" w:eastAsia="宋体" w:cs="宋体"/>
          <w:sz w:val="24"/>
          <w:szCs w:val="24"/>
        </w:rPr>
        <w:tab/>
      </w:r>
    </w:p>
    <w:p>
      <w:pPr>
        <w:spacing w:line="360" w:lineRule="auto"/>
        <w:ind w:firstLine="555"/>
        <w:jc w:val="left"/>
        <w:rPr>
          <w:rFonts w:ascii="宋体" w:hAnsi="宋体" w:eastAsia="宋体" w:cs="宋体"/>
          <w:sz w:val="24"/>
          <w:szCs w:val="24"/>
        </w:rPr>
      </w:pPr>
      <w:r>
        <w:rPr>
          <w:rFonts w:hint="eastAsia" w:ascii="宋体" w:hAnsi="宋体" w:eastAsia="宋体" w:cs="宋体"/>
          <w:sz w:val="24"/>
          <w:szCs w:val="24"/>
        </w:rPr>
        <w:t>附件5 PPP项目业绩</w:t>
      </w:r>
    </w:p>
    <w:p>
      <w:pPr>
        <w:spacing w:line="360" w:lineRule="auto"/>
        <w:ind w:firstLine="555"/>
        <w:jc w:val="left"/>
        <w:rPr>
          <w:rFonts w:ascii="宋体" w:hAnsi="宋体" w:eastAsia="宋体" w:cs="宋体"/>
          <w:sz w:val="24"/>
          <w:szCs w:val="24"/>
        </w:rPr>
      </w:pPr>
      <w:r>
        <w:rPr>
          <w:rFonts w:hint="eastAsia" w:ascii="宋体" w:hAnsi="宋体" w:eastAsia="宋体" w:cs="宋体"/>
          <w:sz w:val="24"/>
          <w:szCs w:val="24"/>
        </w:rPr>
        <w:t>附件6咨询服务方案</w:t>
      </w:r>
    </w:p>
    <w:p>
      <w:pPr>
        <w:spacing w:line="360" w:lineRule="auto"/>
        <w:ind w:firstLine="555"/>
        <w:jc w:val="left"/>
        <w:rPr>
          <w:rFonts w:ascii="宋体" w:hAnsi="宋体" w:eastAsia="宋体" w:cs="宋体"/>
          <w:sz w:val="24"/>
          <w:szCs w:val="24"/>
        </w:rPr>
      </w:pPr>
      <w:r>
        <w:rPr>
          <w:rFonts w:hint="eastAsia" w:ascii="宋体" w:hAnsi="宋体" w:eastAsia="宋体" w:cs="宋体"/>
          <w:sz w:val="24"/>
          <w:szCs w:val="24"/>
        </w:rPr>
        <w:t>附件7中标服务费承诺书</w:t>
      </w:r>
    </w:p>
    <w:p>
      <w:pPr>
        <w:spacing w:line="360" w:lineRule="auto"/>
        <w:ind w:firstLine="555"/>
        <w:jc w:val="left"/>
        <w:rPr>
          <w:rFonts w:ascii="宋体" w:hAnsi="宋体" w:eastAsia="宋体" w:cs="宋体"/>
          <w:sz w:val="24"/>
          <w:szCs w:val="24"/>
        </w:rPr>
      </w:pPr>
      <w:r>
        <w:rPr>
          <w:rFonts w:hint="eastAsia" w:ascii="宋体" w:hAnsi="宋体" w:eastAsia="宋体" w:cs="宋体"/>
          <w:sz w:val="24"/>
          <w:szCs w:val="24"/>
        </w:rPr>
        <w:t>附件8反商业贿赂承诺书</w:t>
      </w:r>
    </w:p>
    <w:p>
      <w:pPr>
        <w:spacing w:line="360" w:lineRule="auto"/>
        <w:ind w:firstLine="555"/>
        <w:jc w:val="left"/>
        <w:rPr>
          <w:rFonts w:ascii="宋体" w:hAnsi="宋体" w:eastAsia="宋体" w:cs="宋体"/>
          <w:sz w:val="24"/>
          <w:szCs w:val="24"/>
        </w:rPr>
      </w:pPr>
      <w:r>
        <w:rPr>
          <w:rFonts w:hint="eastAsia" w:ascii="宋体" w:hAnsi="宋体" w:eastAsia="宋体" w:cs="宋体"/>
          <w:sz w:val="24"/>
          <w:szCs w:val="24"/>
        </w:rPr>
        <w:t>附件9资格声明函</w:t>
      </w:r>
    </w:p>
    <w:p>
      <w:pPr>
        <w:spacing w:line="360" w:lineRule="auto"/>
        <w:ind w:firstLine="555"/>
        <w:jc w:val="left"/>
        <w:rPr>
          <w:rFonts w:ascii="宋体" w:hAnsi="宋体" w:eastAsia="宋体" w:cs="宋体"/>
          <w:sz w:val="24"/>
          <w:szCs w:val="24"/>
        </w:rPr>
      </w:pPr>
      <w:r>
        <w:rPr>
          <w:rFonts w:hint="eastAsia" w:ascii="宋体" w:hAnsi="宋体" w:eastAsia="宋体" w:cs="宋体"/>
          <w:sz w:val="24"/>
          <w:szCs w:val="24"/>
        </w:rPr>
        <w:t>附件10参加政府采购活动前3年内在经营活动中没有重大违法记录的书面声明</w:t>
      </w:r>
    </w:p>
    <w:p>
      <w:pPr>
        <w:spacing w:line="360" w:lineRule="auto"/>
        <w:ind w:firstLine="555"/>
        <w:jc w:val="left"/>
        <w:rPr>
          <w:rFonts w:ascii="宋体" w:hAnsi="宋体" w:eastAsia="宋体" w:cs="宋体"/>
          <w:sz w:val="24"/>
          <w:szCs w:val="24"/>
        </w:rPr>
      </w:pPr>
      <w:r>
        <w:rPr>
          <w:rFonts w:hint="eastAsia" w:ascii="宋体" w:hAnsi="宋体" w:eastAsia="宋体" w:cs="宋体"/>
          <w:sz w:val="24"/>
          <w:szCs w:val="24"/>
        </w:rPr>
        <w:t>附件11其它相关资料</w:t>
      </w:r>
    </w:p>
    <w:p>
      <w:pPr>
        <w:tabs>
          <w:tab w:val="left" w:pos="0"/>
        </w:tabs>
        <w:spacing w:line="480" w:lineRule="auto"/>
        <w:ind w:firstLine="590" w:firstLineChars="246"/>
        <w:rPr>
          <w:rFonts w:ascii="宋体" w:hAnsi="宋体" w:eastAsia="宋体" w:cs="宋体"/>
          <w:sz w:val="24"/>
          <w:szCs w:val="24"/>
        </w:rPr>
      </w:pPr>
      <w:r>
        <w:rPr>
          <w:rFonts w:hint="eastAsia" w:ascii="宋体" w:hAnsi="宋体" w:eastAsia="宋体" w:cs="宋体"/>
          <w:sz w:val="24"/>
          <w:szCs w:val="24"/>
        </w:rPr>
        <w:t xml:space="preserve">                                   </w:t>
      </w:r>
    </w:p>
    <w:p>
      <w:pPr>
        <w:spacing w:line="360" w:lineRule="auto"/>
        <w:ind w:firstLine="555"/>
        <w:jc w:val="left"/>
        <w:rPr>
          <w:rFonts w:ascii="宋体" w:hAnsi="宋体" w:eastAsia="宋体" w:cs="宋体"/>
          <w:sz w:val="24"/>
          <w:szCs w:val="24"/>
        </w:rPr>
      </w:pPr>
    </w:p>
    <w:p>
      <w:pPr>
        <w:spacing w:line="360" w:lineRule="auto"/>
        <w:ind w:firstLine="555"/>
        <w:jc w:val="left"/>
        <w:rPr>
          <w:rFonts w:ascii="宋体" w:hAnsi="宋体" w:eastAsia="宋体" w:cs="宋体"/>
          <w:sz w:val="24"/>
          <w:szCs w:val="24"/>
        </w:rPr>
      </w:pPr>
      <w:r>
        <w:rPr>
          <w:rFonts w:hint="eastAsia" w:ascii="宋体" w:hAnsi="宋体" w:eastAsia="宋体" w:cs="宋体"/>
          <w:sz w:val="24"/>
          <w:szCs w:val="24"/>
        </w:rPr>
        <w:t>说明：</w:t>
      </w:r>
    </w:p>
    <w:p>
      <w:pPr>
        <w:spacing w:line="360" w:lineRule="auto"/>
        <w:ind w:firstLine="555"/>
        <w:jc w:val="left"/>
        <w:rPr>
          <w:rFonts w:ascii="宋体" w:hAnsi="宋体" w:eastAsia="宋体" w:cs="宋体"/>
          <w:sz w:val="24"/>
          <w:szCs w:val="24"/>
        </w:rPr>
      </w:pPr>
      <w:r>
        <w:rPr>
          <w:rFonts w:hint="eastAsia" w:ascii="宋体" w:hAnsi="宋体" w:eastAsia="宋体" w:cs="宋体"/>
          <w:sz w:val="24"/>
          <w:szCs w:val="24"/>
        </w:rPr>
        <w:t>1.投标文件编制过程中应按本章提供的格式填报。</w:t>
      </w:r>
    </w:p>
    <w:p>
      <w:pPr>
        <w:spacing w:line="360" w:lineRule="auto"/>
        <w:ind w:firstLine="555"/>
        <w:jc w:val="left"/>
        <w:rPr>
          <w:rFonts w:ascii="宋体" w:hAnsi="宋体" w:eastAsia="宋体" w:cs="宋体"/>
          <w:sz w:val="24"/>
          <w:szCs w:val="24"/>
        </w:rPr>
      </w:pPr>
      <w:r>
        <w:rPr>
          <w:rFonts w:hint="eastAsia" w:ascii="宋体" w:hAnsi="宋体" w:eastAsia="宋体" w:cs="宋体"/>
          <w:sz w:val="24"/>
          <w:szCs w:val="24"/>
        </w:rPr>
        <w:t>2.本章提供的格式内容如在投标范围内不涉及，也应在表中注明。</w:t>
      </w:r>
    </w:p>
    <w:p>
      <w:pPr>
        <w:spacing w:line="360" w:lineRule="auto"/>
        <w:ind w:firstLine="555"/>
        <w:jc w:val="left"/>
        <w:rPr>
          <w:rFonts w:ascii="宋体" w:hAnsi="宋体" w:eastAsia="宋体" w:cs="宋体"/>
          <w:sz w:val="24"/>
          <w:szCs w:val="24"/>
        </w:rPr>
      </w:pPr>
      <w:r>
        <w:rPr>
          <w:rFonts w:hint="eastAsia" w:ascii="宋体" w:hAnsi="宋体" w:eastAsia="宋体" w:cs="宋体"/>
          <w:sz w:val="24"/>
          <w:szCs w:val="24"/>
        </w:rPr>
        <w:t>3.如有本章未提供格式的投标内容，供应商可自行提供。</w:t>
      </w:r>
    </w:p>
    <w:p>
      <w:pPr>
        <w:spacing w:line="360" w:lineRule="auto"/>
        <w:ind w:firstLine="480" w:firstLineChars="200"/>
        <w:rPr>
          <w:rFonts w:ascii="宋体" w:hAnsi="宋体" w:eastAsia="宋体" w:cs="宋体"/>
          <w:sz w:val="24"/>
          <w:szCs w:val="24"/>
        </w:rPr>
      </w:pPr>
    </w:p>
    <w:p>
      <w:pPr>
        <w:spacing w:line="360" w:lineRule="auto"/>
        <w:ind w:firstLine="480" w:firstLineChars="200"/>
        <w:rPr>
          <w:rFonts w:ascii="宋体" w:hAnsi="宋体" w:eastAsia="宋体" w:cs="宋体"/>
          <w:sz w:val="24"/>
          <w:szCs w:val="24"/>
        </w:rPr>
      </w:pPr>
    </w:p>
    <w:p>
      <w:pPr>
        <w:spacing w:line="360" w:lineRule="auto"/>
        <w:ind w:firstLine="480" w:firstLineChars="200"/>
        <w:rPr>
          <w:rFonts w:ascii="宋体" w:hAnsi="宋体" w:eastAsia="宋体" w:cs="宋体"/>
          <w:sz w:val="24"/>
          <w:szCs w:val="24"/>
        </w:rPr>
      </w:pPr>
    </w:p>
    <w:p>
      <w:pPr>
        <w:spacing w:line="360" w:lineRule="auto"/>
        <w:ind w:firstLine="480" w:firstLineChars="200"/>
        <w:rPr>
          <w:rFonts w:ascii="宋体" w:hAnsi="宋体" w:eastAsia="宋体" w:cs="宋体"/>
          <w:sz w:val="24"/>
          <w:szCs w:val="24"/>
        </w:rPr>
      </w:pPr>
    </w:p>
    <w:p>
      <w:pPr>
        <w:spacing w:line="360" w:lineRule="auto"/>
        <w:ind w:firstLine="480" w:firstLineChars="200"/>
        <w:rPr>
          <w:rFonts w:ascii="宋体" w:hAnsi="宋体" w:eastAsia="宋体" w:cs="宋体"/>
          <w:sz w:val="24"/>
          <w:szCs w:val="24"/>
        </w:rPr>
      </w:pPr>
    </w:p>
    <w:p>
      <w:pPr>
        <w:spacing w:line="360" w:lineRule="auto"/>
        <w:ind w:firstLine="480" w:firstLineChars="200"/>
        <w:rPr>
          <w:rFonts w:ascii="宋体" w:hAnsi="宋体" w:eastAsia="宋体" w:cs="宋体"/>
          <w:sz w:val="24"/>
          <w:szCs w:val="24"/>
        </w:rPr>
      </w:pPr>
    </w:p>
    <w:p>
      <w:pPr>
        <w:spacing w:line="360" w:lineRule="auto"/>
        <w:ind w:firstLine="480" w:firstLineChars="200"/>
        <w:rPr>
          <w:rFonts w:ascii="宋体" w:hAnsi="宋体" w:eastAsia="宋体" w:cs="宋体"/>
          <w:sz w:val="24"/>
          <w:szCs w:val="24"/>
        </w:rPr>
      </w:pPr>
    </w:p>
    <w:p>
      <w:pPr>
        <w:spacing w:line="360" w:lineRule="auto"/>
        <w:ind w:firstLine="480" w:firstLineChars="200"/>
        <w:rPr>
          <w:rFonts w:ascii="宋体" w:hAnsi="宋体" w:eastAsia="宋体" w:cs="宋体"/>
          <w:sz w:val="24"/>
          <w:szCs w:val="24"/>
        </w:rPr>
      </w:pPr>
    </w:p>
    <w:p>
      <w:pPr>
        <w:spacing w:line="360" w:lineRule="auto"/>
        <w:ind w:firstLine="480" w:firstLineChars="200"/>
        <w:rPr>
          <w:rFonts w:ascii="宋体" w:hAnsi="宋体" w:eastAsia="宋体" w:cs="宋体"/>
          <w:sz w:val="24"/>
          <w:szCs w:val="24"/>
        </w:rPr>
      </w:pPr>
    </w:p>
    <w:p>
      <w:pPr>
        <w:outlineLvl w:val="1"/>
        <w:rPr>
          <w:rFonts w:ascii="宋体" w:hAnsi="宋体" w:eastAsia="宋体" w:cs="宋体"/>
          <w:b/>
          <w:sz w:val="24"/>
          <w:szCs w:val="24"/>
        </w:rPr>
      </w:pPr>
      <w:bookmarkStart w:id="125" w:name="_Toc181344363"/>
      <w:bookmarkStart w:id="126" w:name="_Toc106161066"/>
      <w:bookmarkStart w:id="127" w:name="_Toc106161463"/>
      <w:bookmarkStart w:id="128" w:name="_Toc181348173"/>
      <w:bookmarkStart w:id="129" w:name="_Toc137651743"/>
      <w:bookmarkStart w:id="130" w:name="_Toc248025920"/>
      <w:bookmarkStart w:id="131" w:name="_Toc107821892"/>
      <w:bookmarkStart w:id="132" w:name="_Toc179456568"/>
      <w:bookmarkStart w:id="133" w:name="_Toc275431232"/>
      <w:bookmarkStart w:id="134" w:name="_Toc30184"/>
      <w:r>
        <w:rPr>
          <w:rFonts w:hint="eastAsia" w:ascii="宋体" w:hAnsi="宋体" w:eastAsia="宋体" w:cs="宋体"/>
          <w:b/>
          <w:sz w:val="24"/>
          <w:szCs w:val="24"/>
        </w:rPr>
        <w:t>附件1</w:t>
      </w:r>
      <w:bookmarkEnd w:id="125"/>
      <w:bookmarkEnd w:id="126"/>
      <w:bookmarkEnd w:id="127"/>
      <w:bookmarkEnd w:id="128"/>
      <w:bookmarkEnd w:id="129"/>
      <w:bookmarkEnd w:id="130"/>
      <w:bookmarkEnd w:id="131"/>
      <w:bookmarkEnd w:id="132"/>
      <w:r>
        <w:rPr>
          <w:rFonts w:hint="eastAsia" w:ascii="宋体" w:hAnsi="宋体" w:eastAsia="宋体" w:cs="宋体"/>
          <w:b/>
          <w:sz w:val="24"/>
          <w:szCs w:val="24"/>
        </w:rPr>
        <w:t xml:space="preserve"> 投标</w:t>
      </w:r>
      <w:bookmarkEnd w:id="133"/>
      <w:r>
        <w:rPr>
          <w:rFonts w:hint="eastAsia" w:ascii="宋体" w:hAnsi="宋体" w:eastAsia="宋体" w:cs="宋体"/>
          <w:b/>
          <w:sz w:val="24"/>
          <w:szCs w:val="24"/>
        </w:rPr>
        <w:t>函及开标一览表</w:t>
      </w:r>
      <w:bookmarkEnd w:id="134"/>
    </w:p>
    <w:p>
      <w:bookmarkStart w:id="135" w:name="_Toc29659"/>
    </w:p>
    <w:p>
      <w:pPr>
        <w:keepNext/>
        <w:keepLines/>
        <w:spacing w:before="20" w:after="20" w:line="416" w:lineRule="auto"/>
        <w:jc w:val="center"/>
        <w:outlineLvl w:val="1"/>
        <w:rPr>
          <w:rFonts w:ascii="宋体" w:hAnsi="宋体" w:eastAsia="宋体" w:cs="宋体"/>
          <w:b/>
          <w:bCs/>
          <w:sz w:val="28"/>
          <w:szCs w:val="28"/>
        </w:rPr>
      </w:pPr>
      <w:r>
        <w:rPr>
          <w:rFonts w:hint="eastAsia" w:ascii="宋体" w:hAnsi="宋体" w:eastAsia="宋体" w:cs="宋体"/>
          <w:b/>
          <w:bCs/>
          <w:sz w:val="28"/>
          <w:szCs w:val="28"/>
        </w:rPr>
        <w:t xml:space="preserve">（一）投 标 </w:t>
      </w:r>
      <w:bookmarkEnd w:id="135"/>
      <w:r>
        <w:rPr>
          <w:rFonts w:hint="eastAsia" w:ascii="宋体" w:hAnsi="宋体" w:eastAsia="宋体" w:cs="宋体"/>
          <w:b/>
          <w:bCs/>
          <w:sz w:val="28"/>
          <w:szCs w:val="28"/>
        </w:rPr>
        <w:t>函</w:t>
      </w:r>
    </w:p>
    <w:p>
      <w:pPr>
        <w:jc w:val="center"/>
        <w:rPr>
          <w:rFonts w:ascii="宋体" w:hAnsi="宋体" w:eastAsia="宋体" w:cs="宋体"/>
          <w:b/>
          <w:szCs w:val="21"/>
        </w:rPr>
      </w:pPr>
    </w:p>
    <w:p>
      <w:pPr>
        <w:rPr>
          <w:rFonts w:ascii="宋体" w:hAnsi="宋体" w:eastAsia="宋体" w:cs="宋体"/>
          <w:sz w:val="24"/>
          <w:szCs w:val="24"/>
        </w:rPr>
      </w:pPr>
      <w:r>
        <w:rPr>
          <w:rFonts w:hint="eastAsia" w:ascii="宋体" w:hAnsi="宋体" w:eastAsia="宋体" w:cs="宋体"/>
          <w:sz w:val="24"/>
          <w:szCs w:val="24"/>
        </w:rPr>
        <w:t>致：</w:t>
      </w:r>
    </w:p>
    <w:p>
      <w:pPr>
        <w:rPr>
          <w:rFonts w:ascii="宋体" w:hAnsi="宋体" w:eastAsia="宋体" w:cs="宋体"/>
          <w:sz w:val="24"/>
          <w:szCs w:val="24"/>
        </w:rPr>
      </w:pPr>
    </w:p>
    <w:p>
      <w:pPr>
        <w:spacing w:line="360" w:lineRule="auto"/>
        <w:ind w:firstLine="555"/>
        <w:jc w:val="left"/>
        <w:rPr>
          <w:rFonts w:ascii="宋体" w:hAnsi="宋体" w:eastAsia="宋体" w:cs="宋体"/>
          <w:sz w:val="24"/>
          <w:szCs w:val="24"/>
        </w:rPr>
      </w:pPr>
      <w:r>
        <w:rPr>
          <w:rFonts w:hint="eastAsia" w:ascii="宋体" w:hAnsi="宋体" w:eastAsia="宋体" w:cs="宋体"/>
          <w:sz w:val="24"/>
          <w:szCs w:val="24"/>
        </w:rPr>
        <w:t>根据贵方项目（项目编号：           ）招标公告及招标文件，签字代表</w:t>
      </w:r>
      <w:r>
        <w:rPr>
          <w:rFonts w:hint="eastAsia" w:ascii="宋体" w:hAnsi="宋体" w:eastAsia="宋体" w:cs="宋体"/>
          <w:sz w:val="24"/>
          <w:szCs w:val="24"/>
          <w:u w:val="single"/>
        </w:rPr>
        <w:t xml:space="preserve"> （姓名、职务） </w:t>
      </w:r>
      <w:r>
        <w:rPr>
          <w:rFonts w:hint="eastAsia" w:ascii="宋体" w:hAnsi="宋体" w:eastAsia="宋体" w:cs="宋体"/>
          <w:sz w:val="24"/>
          <w:szCs w:val="24"/>
        </w:rPr>
        <w:t>经正式授权并代表</w:t>
      </w:r>
      <w:r>
        <w:rPr>
          <w:rFonts w:hint="eastAsia" w:ascii="宋体" w:hAnsi="宋体" w:eastAsia="宋体" w:cs="宋体"/>
          <w:sz w:val="24"/>
          <w:szCs w:val="24"/>
          <w:u w:val="single"/>
        </w:rPr>
        <w:t xml:space="preserve">      （供应商名称、地址）      </w:t>
      </w:r>
      <w:r>
        <w:rPr>
          <w:rFonts w:hint="eastAsia" w:ascii="宋体" w:hAnsi="宋体" w:eastAsia="宋体" w:cs="宋体"/>
          <w:sz w:val="24"/>
          <w:szCs w:val="24"/>
        </w:rPr>
        <w:t>提交投标文件正本一份、副本四份：</w:t>
      </w:r>
    </w:p>
    <w:p>
      <w:pPr>
        <w:spacing w:line="360" w:lineRule="auto"/>
        <w:ind w:firstLine="555"/>
        <w:jc w:val="left"/>
        <w:rPr>
          <w:rFonts w:ascii="宋体" w:hAnsi="宋体" w:eastAsia="宋体" w:cs="宋体"/>
          <w:sz w:val="24"/>
          <w:szCs w:val="24"/>
        </w:rPr>
      </w:pPr>
      <w:r>
        <w:rPr>
          <w:rFonts w:hint="eastAsia" w:ascii="宋体" w:hAnsi="宋体" w:eastAsia="宋体" w:cs="宋体"/>
          <w:sz w:val="24"/>
          <w:szCs w:val="24"/>
        </w:rPr>
        <w:t>全权代表宣布如下：</w:t>
      </w:r>
    </w:p>
    <w:p>
      <w:pPr>
        <w:spacing w:line="360" w:lineRule="auto"/>
        <w:ind w:firstLine="555"/>
        <w:jc w:val="left"/>
        <w:rPr>
          <w:rFonts w:ascii="宋体" w:hAnsi="宋体" w:eastAsia="宋体" w:cs="宋体"/>
          <w:sz w:val="24"/>
          <w:szCs w:val="24"/>
        </w:rPr>
      </w:pPr>
      <w:r>
        <w:rPr>
          <w:rFonts w:hint="eastAsia" w:ascii="宋体" w:hAnsi="宋体" w:eastAsia="宋体" w:cs="宋体"/>
          <w:sz w:val="24"/>
          <w:szCs w:val="24"/>
        </w:rPr>
        <w:t>1.投标总价为人民币（大写）</w:t>
      </w:r>
      <w:r>
        <w:rPr>
          <w:rFonts w:hint="eastAsia" w:ascii="宋体" w:hAnsi="宋体" w:eastAsia="宋体" w:cs="宋体"/>
          <w:sz w:val="24"/>
          <w:szCs w:val="24"/>
          <w:u w:val="single"/>
        </w:rPr>
        <w:t xml:space="preserve">                      元 </w:t>
      </w:r>
      <w:r>
        <w:rPr>
          <w:rFonts w:hint="eastAsia" w:ascii="宋体" w:hAnsi="宋体" w:eastAsia="宋体" w:cs="宋体"/>
          <w:sz w:val="24"/>
          <w:szCs w:val="24"/>
        </w:rPr>
        <w:t>。</w:t>
      </w:r>
    </w:p>
    <w:p>
      <w:pPr>
        <w:spacing w:line="360" w:lineRule="auto"/>
        <w:ind w:firstLine="555"/>
        <w:jc w:val="left"/>
        <w:rPr>
          <w:rFonts w:ascii="宋体" w:hAnsi="宋体" w:eastAsia="宋体" w:cs="宋体"/>
          <w:sz w:val="24"/>
          <w:szCs w:val="24"/>
        </w:rPr>
      </w:pPr>
      <w:r>
        <w:rPr>
          <w:rFonts w:hint="eastAsia" w:ascii="宋体" w:hAnsi="宋体" w:eastAsia="宋体" w:cs="宋体"/>
          <w:sz w:val="24"/>
          <w:szCs w:val="24"/>
        </w:rPr>
        <w:t>2.我方已详细审查全部招标文件，包括修改文件（如有的话）以及全部参考资料和有关附件，我方完全接受招标文件中所规定的合同条款及其他部分的全部内容。</w:t>
      </w:r>
    </w:p>
    <w:p>
      <w:pPr>
        <w:spacing w:line="360" w:lineRule="auto"/>
        <w:ind w:firstLine="555"/>
        <w:jc w:val="left"/>
        <w:rPr>
          <w:rFonts w:ascii="宋体" w:hAnsi="宋体" w:eastAsia="宋体" w:cs="宋体"/>
          <w:sz w:val="24"/>
          <w:szCs w:val="24"/>
        </w:rPr>
      </w:pPr>
      <w:r>
        <w:rPr>
          <w:rFonts w:hint="eastAsia" w:ascii="宋体" w:hAnsi="宋体" w:eastAsia="宋体" w:cs="宋体"/>
          <w:sz w:val="24"/>
          <w:szCs w:val="24"/>
        </w:rPr>
        <w:t>3.投标有效期为自投标截止时间起</w:t>
      </w:r>
      <w:r>
        <w:rPr>
          <w:rFonts w:hint="eastAsia" w:ascii="宋体" w:hAnsi="宋体" w:eastAsia="宋体" w:cs="宋体"/>
          <w:sz w:val="24"/>
          <w:szCs w:val="24"/>
          <w:u w:val="single"/>
        </w:rPr>
        <w:t xml:space="preserve">  60  </w:t>
      </w:r>
      <w:r>
        <w:rPr>
          <w:rFonts w:hint="eastAsia" w:ascii="宋体" w:hAnsi="宋体" w:eastAsia="宋体" w:cs="宋体"/>
          <w:sz w:val="24"/>
          <w:szCs w:val="24"/>
        </w:rPr>
        <w:t>个日历天；</w:t>
      </w:r>
    </w:p>
    <w:p>
      <w:pPr>
        <w:spacing w:line="360" w:lineRule="auto"/>
        <w:ind w:firstLine="555"/>
        <w:jc w:val="left"/>
        <w:rPr>
          <w:rFonts w:ascii="宋体" w:hAnsi="宋体" w:eastAsia="宋体" w:cs="宋体"/>
          <w:sz w:val="24"/>
          <w:szCs w:val="24"/>
        </w:rPr>
      </w:pPr>
      <w:r>
        <w:rPr>
          <w:rFonts w:hint="eastAsia" w:ascii="宋体" w:hAnsi="宋体" w:eastAsia="宋体" w:cs="宋体"/>
          <w:sz w:val="24"/>
          <w:szCs w:val="24"/>
        </w:rPr>
        <w:t>4.如果在规定的开标时间后，我方在投标有效期内撤回投标，或在中标之后未能按照招标文件的要求与采购人及时签订合同，我方的投标保证金将被贵方没收。</w:t>
      </w:r>
    </w:p>
    <w:p>
      <w:pPr>
        <w:spacing w:line="360" w:lineRule="auto"/>
        <w:ind w:firstLine="555"/>
        <w:jc w:val="left"/>
        <w:rPr>
          <w:rFonts w:ascii="宋体" w:hAnsi="宋体" w:eastAsia="宋体" w:cs="宋体"/>
          <w:sz w:val="24"/>
          <w:szCs w:val="24"/>
        </w:rPr>
      </w:pPr>
      <w:r>
        <w:rPr>
          <w:rFonts w:hint="eastAsia" w:ascii="宋体" w:hAnsi="宋体" w:eastAsia="宋体" w:cs="宋体"/>
          <w:sz w:val="24"/>
          <w:szCs w:val="24"/>
        </w:rPr>
        <w:t>5.我方同意提供按照贵方可能要求的与投标有关的一切数据或资料，完全理解贵方不一定要接受最低价的投标或收到的任何投标。</w:t>
      </w:r>
    </w:p>
    <w:p>
      <w:pPr>
        <w:spacing w:line="360" w:lineRule="auto"/>
        <w:ind w:firstLine="555"/>
        <w:jc w:val="left"/>
        <w:rPr>
          <w:rFonts w:ascii="宋体" w:hAnsi="宋体" w:eastAsia="宋体" w:cs="宋体"/>
          <w:sz w:val="24"/>
          <w:szCs w:val="24"/>
        </w:rPr>
      </w:pPr>
      <w:r>
        <w:rPr>
          <w:rFonts w:hint="eastAsia" w:ascii="宋体" w:hAnsi="宋体" w:eastAsia="宋体" w:cs="宋体"/>
          <w:sz w:val="24"/>
          <w:szCs w:val="24"/>
        </w:rPr>
        <w:t>6.与本投标有关的一切正式往来通讯请寄：</w:t>
      </w:r>
    </w:p>
    <w:p>
      <w:pPr>
        <w:spacing w:line="360" w:lineRule="auto"/>
        <w:ind w:firstLine="480" w:firstLineChars="200"/>
        <w:jc w:val="left"/>
        <w:rPr>
          <w:rFonts w:ascii="宋体" w:hAnsi="宋体" w:eastAsia="宋体" w:cs="宋体"/>
          <w:sz w:val="24"/>
          <w:szCs w:val="24"/>
          <w:u w:val="single"/>
        </w:rPr>
      </w:pPr>
      <w:r>
        <w:rPr>
          <w:rFonts w:hint="eastAsia" w:ascii="宋体" w:hAnsi="宋体" w:eastAsia="宋体" w:cs="宋体"/>
          <w:sz w:val="24"/>
          <w:szCs w:val="24"/>
        </w:rPr>
        <w:t xml:space="preserve"> 地址：邮编：</w:t>
      </w:r>
    </w:p>
    <w:p>
      <w:pPr>
        <w:spacing w:line="360" w:lineRule="auto"/>
        <w:ind w:firstLine="555"/>
        <w:jc w:val="left"/>
        <w:rPr>
          <w:rFonts w:ascii="宋体" w:hAnsi="宋体" w:eastAsia="宋体" w:cs="宋体"/>
          <w:sz w:val="24"/>
          <w:szCs w:val="24"/>
        </w:rPr>
      </w:pPr>
      <w:r>
        <w:rPr>
          <w:rFonts w:hint="eastAsia" w:ascii="宋体" w:hAnsi="宋体" w:eastAsia="宋体" w:cs="宋体"/>
          <w:sz w:val="24"/>
          <w:szCs w:val="24"/>
        </w:rPr>
        <w:t>电话：传真：</w:t>
      </w:r>
    </w:p>
    <w:p>
      <w:pPr>
        <w:spacing w:line="360" w:lineRule="auto"/>
        <w:ind w:firstLine="555"/>
        <w:jc w:val="left"/>
        <w:rPr>
          <w:rFonts w:ascii="宋体" w:hAnsi="宋体" w:eastAsia="宋体" w:cs="宋体"/>
          <w:sz w:val="24"/>
          <w:szCs w:val="24"/>
        </w:rPr>
      </w:pPr>
      <w:r>
        <w:rPr>
          <w:rFonts w:hint="eastAsia" w:ascii="宋体" w:hAnsi="宋体" w:eastAsia="宋体" w:cs="宋体"/>
          <w:sz w:val="24"/>
          <w:szCs w:val="24"/>
        </w:rPr>
        <w:t>供应商名称：（公章）</w:t>
      </w:r>
    </w:p>
    <w:p>
      <w:pPr>
        <w:spacing w:line="360" w:lineRule="auto"/>
        <w:ind w:firstLine="555"/>
        <w:jc w:val="left"/>
        <w:rPr>
          <w:rFonts w:ascii="宋体" w:hAnsi="宋体" w:eastAsia="宋体" w:cs="宋体"/>
          <w:sz w:val="24"/>
          <w:szCs w:val="24"/>
          <w:u w:val="single"/>
        </w:rPr>
      </w:pPr>
      <w:r>
        <w:rPr>
          <w:rFonts w:hint="eastAsia" w:ascii="宋体" w:hAnsi="宋体" w:eastAsia="宋体" w:cs="宋体"/>
          <w:sz w:val="24"/>
          <w:szCs w:val="24"/>
        </w:rPr>
        <w:t>法定代表人或委托代理人签字：</w:t>
      </w:r>
    </w:p>
    <w:p>
      <w:pPr>
        <w:spacing w:line="360" w:lineRule="auto"/>
        <w:ind w:firstLine="555"/>
        <w:jc w:val="left"/>
        <w:rPr>
          <w:rFonts w:ascii="宋体" w:hAnsi="宋体" w:eastAsia="宋体" w:cs="宋体"/>
          <w:sz w:val="24"/>
          <w:szCs w:val="24"/>
        </w:rPr>
      </w:pPr>
      <w:r>
        <w:rPr>
          <w:rFonts w:hint="eastAsia" w:ascii="宋体" w:hAnsi="宋体" w:eastAsia="宋体" w:cs="宋体"/>
          <w:sz w:val="24"/>
          <w:szCs w:val="24"/>
        </w:rPr>
        <w:t>投标日期： 年 月 日</w:t>
      </w:r>
    </w:p>
    <w:p>
      <w:pPr>
        <w:spacing w:line="560" w:lineRule="exact"/>
        <w:jc w:val="left"/>
        <w:rPr>
          <w:rFonts w:ascii="宋体" w:hAnsi="宋体" w:eastAsia="宋体" w:cs="宋体"/>
          <w:b/>
          <w:sz w:val="24"/>
          <w:szCs w:val="24"/>
        </w:rPr>
      </w:pPr>
    </w:p>
    <w:p>
      <w:pPr>
        <w:spacing w:line="560" w:lineRule="exact"/>
        <w:jc w:val="left"/>
        <w:rPr>
          <w:rFonts w:ascii="宋体" w:hAnsi="宋体" w:eastAsia="宋体" w:cs="宋体"/>
          <w:b/>
          <w:szCs w:val="21"/>
        </w:rPr>
      </w:pPr>
    </w:p>
    <w:p>
      <w:pPr>
        <w:spacing w:line="560" w:lineRule="exact"/>
        <w:jc w:val="left"/>
        <w:rPr>
          <w:rFonts w:ascii="宋体" w:hAnsi="宋体" w:eastAsia="宋体" w:cs="宋体"/>
          <w:b/>
          <w:szCs w:val="21"/>
        </w:rPr>
      </w:pPr>
    </w:p>
    <w:p>
      <w:pPr>
        <w:spacing w:line="560" w:lineRule="exact"/>
        <w:jc w:val="left"/>
        <w:rPr>
          <w:rFonts w:ascii="宋体" w:hAnsi="宋体" w:eastAsia="宋体" w:cs="宋体"/>
          <w:b/>
          <w:szCs w:val="21"/>
        </w:rPr>
      </w:pPr>
    </w:p>
    <w:p>
      <w:pPr>
        <w:spacing w:line="560" w:lineRule="exact"/>
        <w:jc w:val="left"/>
        <w:rPr>
          <w:rFonts w:ascii="宋体" w:hAnsi="宋体" w:eastAsia="宋体" w:cs="宋体"/>
          <w:b/>
          <w:sz w:val="28"/>
          <w:szCs w:val="28"/>
        </w:rPr>
      </w:pPr>
    </w:p>
    <w:p>
      <w:pPr>
        <w:tabs>
          <w:tab w:val="center" w:pos="4479"/>
          <w:tab w:val="left" w:pos="6195"/>
        </w:tabs>
        <w:spacing w:line="560" w:lineRule="exact"/>
        <w:jc w:val="center"/>
        <w:outlineLvl w:val="1"/>
        <w:rPr>
          <w:rFonts w:ascii="宋体" w:hAnsi="宋体" w:eastAsia="宋体" w:cs="宋体"/>
          <w:b/>
          <w:sz w:val="28"/>
          <w:szCs w:val="28"/>
        </w:rPr>
      </w:pPr>
      <w:bookmarkStart w:id="136" w:name="_Toc30778"/>
      <w:r>
        <w:rPr>
          <w:rFonts w:hint="eastAsia" w:ascii="宋体" w:hAnsi="宋体" w:eastAsia="宋体" w:cs="宋体"/>
          <w:b/>
          <w:bCs/>
          <w:sz w:val="28"/>
          <w:szCs w:val="28"/>
        </w:rPr>
        <w:t>（二）开标一览表</w:t>
      </w:r>
      <w:bookmarkEnd w:id="136"/>
    </w:p>
    <w:p>
      <w:pPr>
        <w:tabs>
          <w:tab w:val="center" w:pos="4479"/>
          <w:tab w:val="left" w:pos="6195"/>
        </w:tabs>
        <w:spacing w:line="560" w:lineRule="exact"/>
        <w:jc w:val="left"/>
        <w:rPr>
          <w:rFonts w:ascii="宋体" w:hAnsi="宋体" w:eastAsia="宋体" w:cs="宋体"/>
          <w:b/>
          <w:sz w:val="24"/>
          <w:szCs w:val="24"/>
        </w:rPr>
      </w:pPr>
      <w:r>
        <w:rPr>
          <w:rFonts w:hint="eastAsia" w:ascii="宋体" w:hAnsi="宋体" w:eastAsia="宋体" w:cs="宋体"/>
          <w:sz w:val="24"/>
          <w:szCs w:val="24"/>
        </w:rPr>
        <w:t>项目编号：                                         货币单位：元（人民币）</w:t>
      </w:r>
    </w:p>
    <w:tbl>
      <w:tblPr>
        <w:tblStyle w:val="27"/>
        <w:tblW w:w="9180" w:type="dxa"/>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7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1" w:hRule="atLeast"/>
        </w:trPr>
        <w:tc>
          <w:tcPr>
            <w:tcW w:w="2086" w:type="dxa"/>
            <w:vAlign w:val="center"/>
          </w:tcPr>
          <w:p>
            <w:pPr>
              <w:spacing w:line="560" w:lineRule="exact"/>
              <w:jc w:val="center"/>
              <w:rPr>
                <w:rFonts w:ascii="宋体" w:hAnsi="宋体" w:eastAsia="宋体" w:cs="宋体"/>
                <w:b/>
                <w:bCs/>
                <w:sz w:val="24"/>
                <w:szCs w:val="24"/>
              </w:rPr>
            </w:pPr>
            <w:r>
              <w:rPr>
                <w:rFonts w:hint="eastAsia" w:ascii="宋体" w:hAnsi="宋体" w:eastAsia="宋体" w:cs="宋体"/>
                <w:b/>
                <w:bCs/>
                <w:sz w:val="24"/>
                <w:szCs w:val="24"/>
              </w:rPr>
              <w:t>项目名称</w:t>
            </w:r>
          </w:p>
          <w:p>
            <w:pPr>
              <w:spacing w:line="560" w:lineRule="exact"/>
              <w:jc w:val="center"/>
              <w:rPr>
                <w:rFonts w:ascii="宋体" w:hAnsi="宋体" w:eastAsia="宋体" w:cs="宋体"/>
                <w:b/>
                <w:bCs/>
                <w:sz w:val="24"/>
                <w:szCs w:val="24"/>
              </w:rPr>
            </w:pPr>
            <w:r>
              <w:rPr>
                <w:rFonts w:hint="eastAsia" w:ascii="宋体" w:hAnsi="宋体" w:eastAsia="宋体" w:cs="宋体"/>
                <w:b/>
                <w:bCs/>
                <w:sz w:val="24"/>
                <w:szCs w:val="24"/>
              </w:rPr>
              <w:t>（标段）</w:t>
            </w:r>
          </w:p>
        </w:tc>
        <w:tc>
          <w:tcPr>
            <w:tcW w:w="7094" w:type="dxa"/>
            <w:vAlign w:val="center"/>
          </w:tcPr>
          <w:p>
            <w:pPr>
              <w:spacing w:line="56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2086" w:type="dxa"/>
            <w:vAlign w:val="center"/>
          </w:tcPr>
          <w:p>
            <w:pPr>
              <w:spacing w:line="560" w:lineRule="exact"/>
              <w:jc w:val="center"/>
              <w:rPr>
                <w:rFonts w:ascii="宋体" w:hAnsi="宋体" w:eastAsia="宋体" w:cs="宋体"/>
                <w:b/>
                <w:bCs/>
                <w:sz w:val="24"/>
                <w:szCs w:val="24"/>
              </w:rPr>
            </w:pPr>
            <w:r>
              <w:rPr>
                <w:rFonts w:hint="eastAsia" w:ascii="宋体" w:hAnsi="宋体" w:eastAsia="宋体" w:cs="宋体"/>
                <w:b/>
                <w:bCs/>
                <w:sz w:val="24"/>
                <w:szCs w:val="24"/>
              </w:rPr>
              <w:t>投标报价</w:t>
            </w:r>
          </w:p>
        </w:tc>
        <w:tc>
          <w:tcPr>
            <w:tcW w:w="7094" w:type="dxa"/>
            <w:vAlign w:val="center"/>
          </w:tcPr>
          <w:p>
            <w:pPr>
              <w:spacing w:line="560" w:lineRule="exact"/>
              <w:jc w:val="left"/>
              <w:rPr>
                <w:rFonts w:ascii="宋体" w:hAnsi="宋体" w:eastAsia="宋体" w:cs="宋体"/>
                <w:sz w:val="24"/>
                <w:szCs w:val="24"/>
              </w:rPr>
            </w:pPr>
            <w:r>
              <w:rPr>
                <w:rFonts w:hint="eastAsia" w:ascii="宋体" w:hAnsi="宋体" w:eastAsia="宋体" w:cs="宋体"/>
                <w:sz w:val="24"/>
                <w:szCs w:val="24"/>
              </w:rPr>
              <w:t xml:space="preserve">大写： </w:t>
            </w:r>
          </w:p>
          <w:p>
            <w:pPr>
              <w:spacing w:line="560" w:lineRule="exact"/>
              <w:jc w:val="left"/>
              <w:rPr>
                <w:rFonts w:ascii="宋体" w:hAnsi="宋体" w:eastAsia="宋体" w:cs="宋体"/>
                <w:sz w:val="24"/>
                <w:szCs w:val="24"/>
              </w:rPr>
            </w:pPr>
            <w:r>
              <w:rPr>
                <w:rFonts w:hint="eastAsia" w:ascii="宋体" w:hAnsi="宋体" w:eastAsia="宋体" w:cs="宋体"/>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2086" w:type="dxa"/>
            <w:vAlign w:val="center"/>
          </w:tcPr>
          <w:p>
            <w:pPr>
              <w:spacing w:line="560" w:lineRule="exact"/>
              <w:jc w:val="center"/>
              <w:rPr>
                <w:rFonts w:ascii="宋体" w:hAnsi="宋体" w:eastAsia="宋体" w:cs="宋体"/>
                <w:b/>
                <w:bCs/>
                <w:sz w:val="24"/>
                <w:szCs w:val="24"/>
              </w:rPr>
            </w:pPr>
            <w:r>
              <w:rPr>
                <w:rFonts w:hint="eastAsia" w:ascii="宋体" w:hAnsi="宋体" w:eastAsia="宋体" w:cs="宋体"/>
                <w:b/>
                <w:bCs/>
                <w:sz w:val="24"/>
                <w:szCs w:val="24"/>
              </w:rPr>
              <w:t>项目负责人</w:t>
            </w:r>
          </w:p>
        </w:tc>
        <w:tc>
          <w:tcPr>
            <w:tcW w:w="7094" w:type="dxa"/>
            <w:vAlign w:val="center"/>
          </w:tcPr>
          <w:p>
            <w:pPr>
              <w:spacing w:line="560" w:lineRule="exact"/>
              <w:ind w:firstLine="555"/>
              <w:jc w:val="lef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2086" w:type="dxa"/>
            <w:vAlign w:val="center"/>
          </w:tcPr>
          <w:p>
            <w:pPr>
              <w:adjustRightInd w:val="0"/>
              <w:snapToGrid w:val="0"/>
              <w:spacing w:line="360" w:lineRule="auto"/>
              <w:jc w:val="left"/>
              <w:rPr>
                <w:rFonts w:hint="eastAsia" w:ascii="宋体" w:hAnsi="宋体" w:eastAsia="宋体" w:cs="宋体"/>
                <w:b w:val="0"/>
                <w:bCs w:val="0"/>
                <w:sz w:val="24"/>
                <w:szCs w:val="24"/>
              </w:rPr>
            </w:pPr>
            <w:r>
              <w:rPr>
                <w:rFonts w:hint="eastAsia" w:ascii="宋体" w:hAnsi="宋体" w:eastAsia="宋体" w:cs="宋体"/>
                <w:b/>
                <w:bCs/>
                <w:sz w:val="24"/>
                <w:szCs w:val="24"/>
              </w:rPr>
              <w:t>需要说明的问题</w:t>
            </w:r>
          </w:p>
        </w:tc>
        <w:tc>
          <w:tcPr>
            <w:tcW w:w="7094" w:type="dxa"/>
            <w:vAlign w:val="center"/>
          </w:tcPr>
          <w:p>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服务周期：自本项目咨询服务合同签订日起至政府与社会资本方签订合同为止。</w:t>
            </w:r>
          </w:p>
          <w:p>
            <w:pPr>
              <w:adjustRightInd w:val="0"/>
              <w:snapToGrid w:val="0"/>
              <w:spacing w:line="360" w:lineRule="auto"/>
              <w:jc w:val="left"/>
              <w:rPr>
                <w:rFonts w:hint="eastAsia" w:ascii="宋体" w:hAnsi="宋体" w:eastAsia="宋体" w:cs="宋体"/>
                <w:sz w:val="24"/>
                <w:szCs w:val="24"/>
                <w:highlight w:val="yellow"/>
              </w:rPr>
            </w:pPr>
            <w:r>
              <w:rPr>
                <w:rFonts w:hint="eastAsia" w:ascii="宋体" w:hAnsi="宋体" w:eastAsia="宋体" w:cs="宋体"/>
                <w:spacing w:val="0"/>
                <w:sz w:val="24"/>
                <w:szCs w:val="24"/>
                <w:highlight w:val="yellow"/>
                <w:lang w:eastAsia="zh-CN"/>
              </w:rPr>
              <w:t>服务要求：</w:t>
            </w:r>
            <w:r>
              <w:rPr>
                <w:rFonts w:hint="eastAsia" w:ascii="宋体" w:hAnsi="宋体" w:eastAsia="宋体" w:cs="宋体"/>
                <w:spacing w:val="0"/>
                <w:sz w:val="24"/>
                <w:szCs w:val="24"/>
                <w:highlight w:val="yellow"/>
              </w:rPr>
              <w:t>符合现行国家PPP政策，通过相关部门审核批准</w:t>
            </w:r>
            <w:r>
              <w:rPr>
                <w:rFonts w:hint="eastAsia" w:ascii="宋体" w:hAnsi="宋体" w:eastAsia="宋体" w:cs="宋体"/>
                <w:spacing w:val="0"/>
                <w:sz w:val="24"/>
                <w:szCs w:val="24"/>
                <w:highlight w:val="yellow"/>
                <w:lang w:eastAsia="zh-CN"/>
              </w:rPr>
              <w:t>。</w:t>
            </w:r>
          </w:p>
          <w:p>
            <w:pPr>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投标有效期：60日历天（自投标截止之日起）。</w:t>
            </w:r>
          </w:p>
          <w:p>
            <w:pPr>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技术标准和要求：响应招标文件要求。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2086" w:type="dxa"/>
            <w:vAlign w:val="center"/>
          </w:tcPr>
          <w:p>
            <w:pPr>
              <w:spacing w:line="560" w:lineRule="exact"/>
              <w:jc w:val="center"/>
              <w:rPr>
                <w:rFonts w:ascii="宋体" w:hAnsi="宋体" w:eastAsia="宋体" w:cs="宋体"/>
                <w:b/>
                <w:bCs/>
                <w:sz w:val="24"/>
                <w:szCs w:val="24"/>
              </w:rPr>
            </w:pPr>
            <w:r>
              <w:rPr>
                <w:rFonts w:hint="eastAsia" w:ascii="宋体" w:hAnsi="宋体" w:eastAsia="宋体" w:cs="宋体"/>
                <w:b/>
                <w:bCs/>
                <w:sz w:val="24"/>
                <w:szCs w:val="24"/>
              </w:rPr>
              <w:t>备  注</w:t>
            </w:r>
          </w:p>
        </w:tc>
        <w:tc>
          <w:tcPr>
            <w:tcW w:w="7094" w:type="dxa"/>
            <w:vAlign w:val="center"/>
          </w:tcPr>
          <w:p>
            <w:pPr>
              <w:spacing w:line="560" w:lineRule="exact"/>
              <w:ind w:firstLine="555"/>
              <w:jc w:val="left"/>
              <w:rPr>
                <w:rFonts w:ascii="宋体" w:hAnsi="宋体" w:eastAsia="宋体" w:cs="宋体"/>
                <w:sz w:val="24"/>
                <w:szCs w:val="24"/>
              </w:rPr>
            </w:pPr>
          </w:p>
        </w:tc>
      </w:tr>
    </w:tbl>
    <w:p>
      <w:pPr>
        <w:spacing w:line="560" w:lineRule="exact"/>
        <w:jc w:val="left"/>
        <w:rPr>
          <w:rFonts w:ascii="宋体" w:hAnsi="宋体" w:eastAsia="宋体" w:cs="宋体"/>
          <w:sz w:val="24"/>
          <w:szCs w:val="24"/>
        </w:rPr>
      </w:pPr>
    </w:p>
    <w:p>
      <w:pPr>
        <w:spacing w:line="560" w:lineRule="exact"/>
        <w:ind w:firstLine="3840" w:firstLineChars="1600"/>
        <w:jc w:val="left"/>
        <w:rPr>
          <w:rFonts w:ascii="宋体" w:hAnsi="宋体" w:eastAsia="宋体" w:cs="宋体"/>
          <w:sz w:val="24"/>
          <w:szCs w:val="24"/>
        </w:rPr>
      </w:pPr>
      <w:r>
        <w:rPr>
          <w:rFonts w:hint="eastAsia" w:ascii="宋体" w:hAnsi="宋体" w:eastAsia="宋体" w:cs="宋体"/>
          <w:sz w:val="24"/>
          <w:szCs w:val="24"/>
        </w:rPr>
        <w:t xml:space="preserve">供应商名称：（盖章）        </w:t>
      </w:r>
    </w:p>
    <w:p>
      <w:pPr>
        <w:spacing w:line="560" w:lineRule="exact"/>
        <w:jc w:val="center"/>
        <w:rPr>
          <w:rFonts w:ascii="宋体" w:hAnsi="宋体" w:eastAsia="宋体" w:cs="宋体"/>
          <w:sz w:val="24"/>
          <w:szCs w:val="24"/>
        </w:rPr>
      </w:pPr>
      <w:r>
        <w:rPr>
          <w:rFonts w:hint="eastAsia" w:ascii="宋体" w:hAnsi="宋体" w:eastAsia="宋体" w:cs="宋体"/>
          <w:sz w:val="24"/>
          <w:szCs w:val="24"/>
        </w:rPr>
        <w:t xml:space="preserve">                   法定代表人或委托代理人(签字)：</w:t>
      </w:r>
    </w:p>
    <w:p>
      <w:pPr>
        <w:spacing w:line="560" w:lineRule="exact"/>
        <w:jc w:val="center"/>
        <w:rPr>
          <w:rFonts w:ascii="宋体" w:hAnsi="宋体" w:eastAsia="宋体" w:cs="宋体"/>
          <w:sz w:val="24"/>
          <w:szCs w:val="24"/>
        </w:rPr>
      </w:pPr>
      <w:r>
        <w:rPr>
          <w:rFonts w:hint="eastAsia" w:ascii="宋体" w:hAnsi="宋体" w:eastAsia="宋体" w:cs="宋体"/>
          <w:sz w:val="24"/>
          <w:szCs w:val="24"/>
        </w:rPr>
        <w:t xml:space="preserve">           日期：   年  月   日</w:t>
      </w:r>
      <w:r>
        <w:rPr>
          <w:rFonts w:hint="eastAsia" w:ascii="宋体" w:hAnsi="宋体" w:eastAsia="宋体" w:cs="宋体"/>
          <w:sz w:val="24"/>
          <w:szCs w:val="24"/>
        </w:rPr>
        <w:tab/>
      </w:r>
    </w:p>
    <w:p>
      <w:pPr>
        <w:tabs>
          <w:tab w:val="left" w:pos="3150"/>
        </w:tabs>
        <w:spacing w:line="560" w:lineRule="exact"/>
        <w:jc w:val="left"/>
        <w:rPr>
          <w:rFonts w:ascii="宋体" w:hAnsi="宋体" w:eastAsia="宋体" w:cs="宋体"/>
          <w:b/>
          <w:sz w:val="24"/>
          <w:szCs w:val="24"/>
        </w:rPr>
      </w:pPr>
    </w:p>
    <w:p>
      <w:pPr>
        <w:tabs>
          <w:tab w:val="left" w:pos="3150"/>
        </w:tabs>
        <w:spacing w:line="560" w:lineRule="exact"/>
        <w:jc w:val="left"/>
        <w:rPr>
          <w:rFonts w:ascii="宋体" w:hAnsi="宋体" w:eastAsia="宋体" w:cs="宋体"/>
          <w:b/>
          <w:sz w:val="24"/>
          <w:szCs w:val="24"/>
        </w:rPr>
        <w:sectPr>
          <w:pgSz w:w="11906" w:h="16838"/>
          <w:pgMar w:top="1587" w:right="1587" w:bottom="1587" w:left="1587" w:header="1247" w:footer="992" w:gutter="0"/>
          <w:cols w:space="0" w:num="1"/>
          <w:docGrid w:linePitch="312" w:charSpace="0"/>
        </w:sectPr>
      </w:pPr>
    </w:p>
    <w:p>
      <w:pPr>
        <w:outlineLvl w:val="1"/>
        <w:rPr>
          <w:rFonts w:ascii="宋体" w:hAnsi="宋体" w:eastAsia="宋体" w:cs="宋体"/>
          <w:b/>
          <w:sz w:val="24"/>
          <w:szCs w:val="24"/>
        </w:rPr>
      </w:pPr>
      <w:bookmarkStart w:id="137" w:name="_Toc1191"/>
      <w:r>
        <w:rPr>
          <w:rFonts w:hint="eastAsia" w:ascii="宋体" w:hAnsi="宋体" w:eastAsia="宋体" w:cs="宋体"/>
          <w:b/>
          <w:sz w:val="24"/>
          <w:szCs w:val="24"/>
        </w:rPr>
        <w:t>附件2</w:t>
      </w:r>
      <w:bookmarkStart w:id="138" w:name="_Toc275431238"/>
      <w:r>
        <w:rPr>
          <w:rFonts w:hint="eastAsia" w:ascii="宋体" w:hAnsi="宋体" w:eastAsia="宋体" w:cs="宋体"/>
          <w:b/>
          <w:sz w:val="24"/>
          <w:szCs w:val="24"/>
        </w:rPr>
        <w:t xml:space="preserve"> 法定代表人身份证明或授权委托书</w:t>
      </w:r>
      <w:bookmarkEnd w:id="137"/>
    </w:p>
    <w:p>
      <w:pPr>
        <w:tabs>
          <w:tab w:val="left" w:pos="2520"/>
          <w:tab w:val="center" w:pos="4479"/>
        </w:tabs>
        <w:autoSpaceDE w:val="0"/>
        <w:autoSpaceDN w:val="0"/>
        <w:adjustRightInd w:val="0"/>
        <w:spacing w:line="600" w:lineRule="exact"/>
        <w:jc w:val="left"/>
        <w:rPr>
          <w:rFonts w:ascii="宋体" w:hAnsi="宋体" w:eastAsia="宋体" w:cs="宋体"/>
          <w:b/>
          <w:kern w:val="0"/>
          <w:sz w:val="24"/>
          <w:szCs w:val="24"/>
        </w:rPr>
      </w:pPr>
      <w:r>
        <w:rPr>
          <w:rFonts w:hint="eastAsia" w:ascii="宋体" w:hAnsi="宋体" w:eastAsia="宋体" w:cs="宋体"/>
          <w:b/>
          <w:kern w:val="0"/>
          <w:sz w:val="24"/>
          <w:szCs w:val="24"/>
        </w:rPr>
        <w:tab/>
      </w:r>
    </w:p>
    <w:p>
      <w:pPr>
        <w:tabs>
          <w:tab w:val="left" w:pos="2520"/>
          <w:tab w:val="center" w:pos="4479"/>
        </w:tabs>
        <w:autoSpaceDE w:val="0"/>
        <w:autoSpaceDN w:val="0"/>
        <w:adjustRightInd w:val="0"/>
        <w:spacing w:line="600" w:lineRule="exact"/>
        <w:jc w:val="center"/>
        <w:outlineLvl w:val="1"/>
        <w:rPr>
          <w:rFonts w:ascii="宋体" w:hAnsi="宋体" w:eastAsia="宋体" w:cs="宋体"/>
          <w:b/>
          <w:kern w:val="0"/>
          <w:sz w:val="24"/>
          <w:szCs w:val="24"/>
        </w:rPr>
      </w:pPr>
      <w:bookmarkStart w:id="139" w:name="_Toc5683"/>
      <w:r>
        <w:rPr>
          <w:rFonts w:hint="eastAsia" w:ascii="宋体" w:hAnsi="宋体" w:eastAsia="宋体" w:cs="宋体"/>
          <w:b/>
          <w:sz w:val="24"/>
          <w:szCs w:val="24"/>
        </w:rPr>
        <w:t>（一）法定代表人身份证明</w:t>
      </w:r>
      <w:bookmarkEnd w:id="139"/>
    </w:p>
    <w:p>
      <w:pPr>
        <w:spacing w:line="600" w:lineRule="exact"/>
        <w:rPr>
          <w:rFonts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u w:val="single"/>
        </w:rPr>
        <w:t xml:space="preserve">                    </w:t>
      </w:r>
    </w:p>
    <w:p>
      <w:pPr>
        <w:spacing w:line="600" w:lineRule="exact"/>
        <w:rPr>
          <w:rFonts w:ascii="宋体" w:hAnsi="宋体" w:eastAsia="宋体" w:cs="宋体"/>
          <w:sz w:val="24"/>
          <w:szCs w:val="24"/>
        </w:rPr>
      </w:pPr>
      <w:r>
        <w:rPr>
          <w:rFonts w:hint="eastAsia" w:ascii="宋体" w:hAnsi="宋体" w:eastAsia="宋体" w:cs="宋体"/>
          <w:sz w:val="24"/>
          <w:szCs w:val="24"/>
        </w:rPr>
        <w:t>单位性质：</w:t>
      </w:r>
      <w:r>
        <w:rPr>
          <w:rFonts w:hint="eastAsia" w:ascii="宋体" w:hAnsi="宋体" w:eastAsia="宋体" w:cs="宋体"/>
          <w:sz w:val="24"/>
          <w:szCs w:val="24"/>
          <w:u w:val="single"/>
        </w:rPr>
        <w:t xml:space="preserve">                      </w:t>
      </w:r>
    </w:p>
    <w:p>
      <w:pPr>
        <w:spacing w:line="600" w:lineRule="exact"/>
        <w:rPr>
          <w:rFonts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 xml:space="preserve">                      </w:t>
      </w:r>
    </w:p>
    <w:p>
      <w:pPr>
        <w:spacing w:line="600" w:lineRule="exact"/>
        <w:rPr>
          <w:rFonts w:ascii="宋体" w:hAnsi="宋体" w:eastAsia="宋体" w:cs="宋体"/>
          <w:sz w:val="24"/>
          <w:szCs w:val="24"/>
        </w:rPr>
      </w:pPr>
      <w:r>
        <w:rPr>
          <w:rFonts w:hint="eastAsia" w:ascii="宋体" w:hAnsi="宋体" w:eastAsia="宋体" w:cs="宋体"/>
          <w:sz w:val="24"/>
          <w:szCs w:val="24"/>
        </w:rPr>
        <w:t>成立时间：</w:t>
      </w:r>
      <w:r>
        <w:rPr>
          <w:rFonts w:hint="eastAsia" w:ascii="宋体" w:hAnsi="宋体" w:eastAsia="宋体" w:cs="宋体"/>
          <w:sz w:val="24"/>
          <w:szCs w:val="24"/>
          <w:u w:val="single"/>
        </w:rPr>
        <w:t xml:space="preserve">         </w:t>
      </w:r>
      <w:r>
        <w:rPr>
          <w:rFonts w:hint="eastAsia" w:ascii="宋体" w:hAnsi="宋体" w:eastAsia="宋体" w:cs="宋体"/>
          <w:kern w:val="0"/>
          <w:sz w:val="24"/>
          <w:szCs w:val="24"/>
        </w:rPr>
        <w:t>年</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日</w:t>
      </w:r>
    </w:p>
    <w:p>
      <w:pPr>
        <w:spacing w:line="600" w:lineRule="exact"/>
        <w:rPr>
          <w:rFonts w:ascii="宋体" w:hAnsi="宋体" w:eastAsia="宋体" w:cs="宋体"/>
          <w:sz w:val="24"/>
          <w:szCs w:val="24"/>
          <w:u w:val="single"/>
        </w:rPr>
      </w:pPr>
      <w:r>
        <w:rPr>
          <w:rFonts w:hint="eastAsia" w:ascii="宋体" w:hAnsi="宋体" w:eastAsia="宋体" w:cs="宋体"/>
          <w:sz w:val="24"/>
          <w:szCs w:val="24"/>
        </w:rPr>
        <w:t>经营期限：</w:t>
      </w:r>
      <w:r>
        <w:rPr>
          <w:rFonts w:hint="eastAsia" w:ascii="宋体" w:hAnsi="宋体" w:eastAsia="宋体" w:cs="宋体"/>
          <w:sz w:val="24"/>
          <w:szCs w:val="24"/>
          <w:u w:val="single"/>
        </w:rPr>
        <w:t xml:space="preserve">                       </w:t>
      </w:r>
    </w:p>
    <w:p>
      <w:pPr>
        <w:autoSpaceDE w:val="0"/>
        <w:autoSpaceDN w:val="0"/>
        <w:adjustRightInd w:val="0"/>
        <w:snapToGrid w:val="0"/>
        <w:spacing w:line="600" w:lineRule="exact"/>
        <w:jc w:val="left"/>
        <w:rPr>
          <w:rFonts w:ascii="宋体" w:hAnsi="宋体" w:eastAsia="宋体" w:cs="宋体"/>
          <w:kern w:val="0"/>
          <w:sz w:val="24"/>
          <w:szCs w:val="24"/>
        </w:rPr>
      </w:pPr>
      <w:r>
        <w:rPr>
          <w:rFonts w:hint="eastAsia" w:ascii="宋体" w:hAnsi="宋体" w:eastAsia="宋体" w:cs="宋体"/>
          <w:kern w:val="0"/>
          <w:sz w:val="24"/>
          <w:szCs w:val="24"/>
        </w:rPr>
        <w:t>姓名：</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性别：</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年龄：</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职务：</w:t>
      </w:r>
      <w:r>
        <w:rPr>
          <w:rFonts w:hint="eastAsia" w:ascii="宋体" w:hAnsi="宋体" w:eastAsia="宋体" w:cs="宋体"/>
          <w:kern w:val="0"/>
          <w:sz w:val="24"/>
          <w:szCs w:val="24"/>
          <w:u w:val="single"/>
        </w:rPr>
        <w:t xml:space="preserve">     </w:t>
      </w:r>
    </w:p>
    <w:p>
      <w:pPr>
        <w:spacing w:line="600" w:lineRule="exact"/>
        <w:rPr>
          <w:rFonts w:ascii="宋体" w:hAnsi="宋体" w:eastAsia="宋体" w:cs="宋体"/>
          <w:sz w:val="24"/>
          <w:szCs w:val="24"/>
        </w:rPr>
      </w:pPr>
      <w:r>
        <w:rPr>
          <w:rFonts w:hint="eastAsia" w:ascii="宋体" w:hAnsi="宋体" w:eastAsia="宋体" w:cs="宋体"/>
          <w:sz w:val="24"/>
          <w:szCs w:val="24"/>
        </w:rPr>
        <w:t>系</w:t>
      </w:r>
      <w:r>
        <w:rPr>
          <w:rFonts w:hint="eastAsia" w:ascii="宋体" w:hAnsi="宋体" w:eastAsia="宋体" w:cs="宋体"/>
          <w:sz w:val="24"/>
          <w:szCs w:val="24"/>
          <w:u w:val="single"/>
        </w:rPr>
        <w:t xml:space="preserve">              </w:t>
      </w:r>
      <w:r>
        <w:rPr>
          <w:rFonts w:hint="eastAsia" w:ascii="宋体" w:hAnsi="宋体" w:eastAsia="宋体" w:cs="宋体"/>
          <w:sz w:val="24"/>
          <w:szCs w:val="24"/>
        </w:rPr>
        <w:t>（供应商名称）的法定代表人。</w:t>
      </w:r>
    </w:p>
    <w:p>
      <w:pPr>
        <w:spacing w:line="600" w:lineRule="exact"/>
        <w:ind w:firstLine="480" w:firstLineChars="200"/>
        <w:rPr>
          <w:rFonts w:ascii="宋体" w:hAnsi="宋体" w:eastAsia="宋体" w:cs="宋体"/>
          <w:sz w:val="24"/>
          <w:szCs w:val="24"/>
        </w:rPr>
      </w:pPr>
      <w:r>
        <w:rPr>
          <w:rFonts w:hint="eastAsia" w:ascii="宋体" w:hAnsi="宋体" w:eastAsia="宋体" w:cs="宋体"/>
          <w:sz w:val="24"/>
          <w:szCs w:val="24"/>
        </w:rPr>
        <w:t>特此证明。</w:t>
      </w:r>
    </w:p>
    <w:p>
      <w:pPr>
        <w:spacing w:line="600" w:lineRule="exact"/>
        <w:ind w:firstLine="480" w:firstLineChars="200"/>
        <w:jc w:val="right"/>
        <w:rPr>
          <w:rFonts w:ascii="宋体" w:hAnsi="宋体" w:eastAsia="宋体" w:cs="宋体"/>
          <w:sz w:val="24"/>
          <w:szCs w:val="24"/>
        </w:rPr>
      </w:pPr>
    </w:p>
    <w:p>
      <w:pPr>
        <w:spacing w:line="600" w:lineRule="exact"/>
        <w:ind w:firstLine="480" w:firstLineChars="200"/>
        <w:jc w:val="right"/>
        <w:rPr>
          <w:rFonts w:ascii="宋体" w:hAnsi="宋体" w:eastAsia="宋体" w:cs="宋体"/>
          <w:sz w:val="24"/>
          <w:szCs w:val="24"/>
        </w:rPr>
      </w:pPr>
    </w:p>
    <w:p>
      <w:pPr>
        <w:spacing w:line="600" w:lineRule="exact"/>
        <w:ind w:firstLine="480" w:firstLineChars="200"/>
        <w:jc w:val="right"/>
        <w:rPr>
          <w:rFonts w:ascii="宋体" w:hAnsi="宋体" w:eastAsia="宋体" w:cs="宋体"/>
          <w:sz w:val="24"/>
          <w:szCs w:val="24"/>
        </w:rPr>
      </w:pPr>
    </w:p>
    <w:p>
      <w:pPr>
        <w:spacing w:line="600" w:lineRule="exact"/>
        <w:ind w:firstLine="480" w:firstLineChars="200"/>
        <w:jc w:val="right"/>
        <w:rPr>
          <w:rFonts w:ascii="宋体" w:hAnsi="宋体" w:eastAsia="宋体" w:cs="宋体"/>
          <w:sz w:val="24"/>
          <w:szCs w:val="24"/>
          <w:u w:val="single"/>
        </w:rPr>
      </w:pPr>
      <w:r>
        <w:rPr>
          <w:rFonts w:hint="eastAsia" w:ascii="宋体" w:hAnsi="宋体" w:eastAsia="宋体" w:cs="宋体"/>
          <w:sz w:val="24"/>
          <w:szCs w:val="24"/>
        </w:rPr>
        <w:t>供应商名称：</w:t>
      </w:r>
      <w:r>
        <w:rPr>
          <w:rFonts w:hint="eastAsia" w:ascii="宋体" w:hAnsi="宋体" w:eastAsia="宋体" w:cs="宋体"/>
          <w:sz w:val="24"/>
          <w:szCs w:val="24"/>
          <w:u w:val="single"/>
        </w:rPr>
        <w:t xml:space="preserve">                         </w:t>
      </w:r>
      <w:r>
        <w:rPr>
          <w:rFonts w:hint="eastAsia" w:ascii="宋体" w:hAnsi="宋体" w:eastAsia="宋体" w:cs="宋体"/>
          <w:sz w:val="24"/>
          <w:szCs w:val="24"/>
        </w:rPr>
        <w:t>（盖章）</w:t>
      </w:r>
    </w:p>
    <w:p>
      <w:pPr>
        <w:spacing w:line="560" w:lineRule="exact"/>
        <w:jc w:val="center"/>
        <w:rPr>
          <w:rFonts w:ascii="宋体" w:hAnsi="宋体" w:eastAsia="宋体" w:cs="宋体"/>
          <w:sz w:val="24"/>
          <w:szCs w:val="24"/>
        </w:rPr>
      </w:pPr>
      <w:r>
        <w:rPr>
          <w:rFonts w:hint="eastAsia" w:ascii="宋体" w:hAnsi="宋体" w:eastAsia="宋体" w:cs="宋体"/>
          <w:sz w:val="24"/>
          <w:szCs w:val="24"/>
        </w:rPr>
        <w:t xml:space="preserve">    日期：   年  月   日</w:t>
      </w:r>
      <w:r>
        <w:rPr>
          <w:rFonts w:hint="eastAsia" w:ascii="宋体" w:hAnsi="宋体" w:eastAsia="宋体" w:cs="宋体"/>
          <w:sz w:val="24"/>
          <w:szCs w:val="24"/>
        </w:rPr>
        <w:tab/>
      </w:r>
    </w:p>
    <w:p>
      <w:pPr>
        <w:spacing w:line="600" w:lineRule="exact"/>
        <w:ind w:firstLine="420" w:firstLineChars="200"/>
        <w:rPr>
          <w:rFonts w:ascii="宋体" w:hAnsi="宋体" w:eastAsia="宋体" w:cs="宋体"/>
          <w:szCs w:val="21"/>
        </w:rPr>
      </w:pPr>
    </w:p>
    <w:p>
      <w:pPr>
        <w:spacing w:line="480" w:lineRule="exact"/>
        <w:jc w:val="right"/>
        <w:rPr>
          <w:rFonts w:ascii="宋体" w:hAnsi="宋体" w:eastAsia="宋体" w:cs="宋体"/>
          <w:szCs w:val="21"/>
        </w:rPr>
      </w:pPr>
      <w:r>
        <w:rPr>
          <w:rFonts w:hint="eastAsia" w:ascii="宋体" w:hAnsi="宋体" w:eastAsia="宋体" w:cs="宋体"/>
          <w:szCs w:val="21"/>
        </w:rPr>
        <w:br w:type="page"/>
      </w:r>
    </w:p>
    <w:p>
      <w:pPr>
        <w:tabs>
          <w:tab w:val="left" w:pos="2520"/>
          <w:tab w:val="center" w:pos="4479"/>
        </w:tabs>
        <w:autoSpaceDE w:val="0"/>
        <w:autoSpaceDN w:val="0"/>
        <w:adjustRightInd w:val="0"/>
        <w:spacing w:line="600" w:lineRule="exact"/>
        <w:jc w:val="center"/>
        <w:outlineLvl w:val="1"/>
        <w:rPr>
          <w:rFonts w:ascii="宋体" w:hAnsi="宋体" w:eastAsia="宋体" w:cs="宋体"/>
          <w:b/>
          <w:sz w:val="24"/>
          <w:szCs w:val="24"/>
        </w:rPr>
      </w:pPr>
      <w:bookmarkStart w:id="140" w:name="_Toc353108370"/>
      <w:bookmarkStart w:id="141" w:name="_Toc29384"/>
      <w:r>
        <w:rPr>
          <w:rFonts w:hint="eastAsia" w:ascii="宋体" w:hAnsi="宋体" w:eastAsia="宋体" w:cs="宋体"/>
          <w:b/>
          <w:sz w:val="24"/>
          <w:szCs w:val="24"/>
        </w:rPr>
        <w:t>（二）授权委托书</w:t>
      </w:r>
      <w:bookmarkEnd w:id="140"/>
      <w:bookmarkEnd w:id="141"/>
    </w:p>
    <w:p>
      <w:pPr>
        <w:rPr>
          <w:rFonts w:ascii="宋体" w:hAnsi="宋体" w:eastAsia="宋体" w:cs="宋体"/>
          <w:szCs w:val="24"/>
        </w:rPr>
      </w:pPr>
    </w:p>
    <w:p>
      <w:pPr>
        <w:spacing w:line="600" w:lineRule="exact"/>
        <w:ind w:firstLine="600" w:firstLineChars="250"/>
        <w:jc w:val="left"/>
        <w:rPr>
          <w:rFonts w:ascii="宋体" w:hAnsi="宋体" w:eastAsia="宋体" w:cs="宋体"/>
          <w:sz w:val="24"/>
          <w:szCs w:val="24"/>
        </w:rPr>
      </w:pPr>
      <w:r>
        <w:rPr>
          <w:rFonts w:hint="eastAsia" w:ascii="宋体" w:hAnsi="宋体" w:eastAsia="宋体" w:cs="宋体"/>
          <w:sz w:val="24"/>
          <w:szCs w:val="24"/>
        </w:rPr>
        <w:t>本人</w:t>
      </w:r>
      <w:r>
        <w:rPr>
          <w:rFonts w:hint="eastAsia" w:ascii="宋体" w:hAnsi="宋体" w:eastAsia="宋体" w:cs="宋体"/>
          <w:sz w:val="24"/>
          <w:szCs w:val="24"/>
          <w:u w:val="single"/>
        </w:rPr>
        <w:t xml:space="preserve">          </w:t>
      </w:r>
      <w:r>
        <w:rPr>
          <w:rFonts w:hint="eastAsia" w:ascii="宋体" w:hAnsi="宋体" w:eastAsia="宋体" w:cs="宋体"/>
          <w:sz w:val="24"/>
          <w:szCs w:val="24"/>
        </w:rPr>
        <w:t>（姓名）系</w:t>
      </w:r>
      <w:r>
        <w:rPr>
          <w:rFonts w:hint="eastAsia" w:ascii="宋体" w:hAnsi="宋体" w:eastAsia="宋体" w:cs="宋体"/>
          <w:sz w:val="24"/>
          <w:szCs w:val="24"/>
          <w:u w:val="single"/>
        </w:rPr>
        <w:t xml:space="preserve">             </w:t>
      </w:r>
      <w:r>
        <w:rPr>
          <w:rFonts w:hint="eastAsia" w:ascii="宋体" w:hAnsi="宋体" w:eastAsia="宋体" w:cs="宋体"/>
          <w:sz w:val="24"/>
          <w:szCs w:val="24"/>
        </w:rPr>
        <w:t>（供应商名称）的法定代表人，现委托</w:t>
      </w:r>
      <w:r>
        <w:rPr>
          <w:rFonts w:hint="eastAsia" w:ascii="宋体" w:hAnsi="宋体" w:eastAsia="宋体" w:cs="宋体"/>
          <w:sz w:val="24"/>
          <w:szCs w:val="24"/>
          <w:u w:val="single"/>
        </w:rPr>
        <w:t xml:space="preserve">               </w:t>
      </w:r>
      <w:r>
        <w:rPr>
          <w:rFonts w:hint="eastAsia" w:ascii="宋体" w:hAnsi="宋体" w:eastAsia="宋体" w:cs="宋体"/>
          <w:sz w:val="24"/>
          <w:szCs w:val="24"/>
        </w:rPr>
        <w:t>（姓名）为我方代理人。代理人根据授权，以我方名义签署、澄清、说明、补正、递交、撤回、 修改响应文件、签订合同和处理有关事宜，其法律后果由我方承担。</w:t>
      </w:r>
    </w:p>
    <w:p>
      <w:pPr>
        <w:spacing w:line="600" w:lineRule="exact"/>
        <w:ind w:firstLine="480" w:firstLineChars="200"/>
        <w:rPr>
          <w:rFonts w:ascii="宋体" w:hAnsi="宋体" w:eastAsia="宋体" w:cs="宋体"/>
          <w:sz w:val="24"/>
          <w:szCs w:val="24"/>
        </w:rPr>
      </w:pPr>
      <w:r>
        <w:rPr>
          <w:rFonts w:hint="eastAsia" w:ascii="宋体" w:hAnsi="宋体" w:eastAsia="宋体" w:cs="宋体"/>
          <w:sz w:val="24"/>
          <w:szCs w:val="24"/>
        </w:rPr>
        <w:t>委托期限：</w:t>
      </w:r>
      <w:r>
        <w:rPr>
          <w:rFonts w:hint="eastAsia" w:ascii="宋体" w:hAnsi="宋体" w:eastAsia="宋体" w:cs="宋体"/>
          <w:sz w:val="24"/>
          <w:szCs w:val="24"/>
          <w:u w:val="single"/>
        </w:rPr>
        <w:t>60日历天</w:t>
      </w:r>
      <w:r>
        <w:rPr>
          <w:rFonts w:hint="eastAsia" w:ascii="宋体" w:hAnsi="宋体" w:eastAsia="宋体" w:cs="宋体"/>
          <w:sz w:val="24"/>
          <w:szCs w:val="24"/>
        </w:rPr>
        <w:t xml:space="preserve">。 代理人无转委托权。 </w:t>
      </w:r>
    </w:p>
    <w:p>
      <w:pPr>
        <w:spacing w:line="600" w:lineRule="exact"/>
        <w:ind w:firstLine="480" w:firstLineChars="200"/>
        <w:rPr>
          <w:rFonts w:ascii="宋体" w:hAnsi="宋体" w:eastAsia="宋体" w:cs="宋体"/>
          <w:sz w:val="24"/>
          <w:szCs w:val="24"/>
        </w:rPr>
      </w:pPr>
      <w:r>
        <w:rPr>
          <w:rFonts w:hint="eastAsia" w:ascii="宋体" w:hAnsi="宋体" w:eastAsia="宋体" w:cs="宋体"/>
          <w:sz w:val="24"/>
          <w:szCs w:val="24"/>
        </w:rPr>
        <w:t>附：法定代表人身份证复印件及委托代理人的身份证复印件</w:t>
      </w:r>
    </w:p>
    <w:p>
      <w:pPr>
        <w:spacing w:line="600" w:lineRule="exact"/>
        <w:rPr>
          <w:rFonts w:ascii="宋体" w:hAnsi="宋体" w:eastAsia="宋体" w:cs="宋体"/>
          <w:sz w:val="24"/>
          <w:szCs w:val="24"/>
        </w:rPr>
      </w:pPr>
    </w:p>
    <w:p>
      <w:pPr>
        <w:spacing w:line="600" w:lineRule="exact"/>
        <w:rPr>
          <w:rFonts w:ascii="宋体" w:hAnsi="宋体" w:eastAsia="宋体" w:cs="宋体"/>
          <w:sz w:val="24"/>
          <w:szCs w:val="24"/>
        </w:rPr>
      </w:pPr>
    </w:p>
    <w:p>
      <w:pPr>
        <w:spacing w:line="600" w:lineRule="exact"/>
        <w:rPr>
          <w:rFonts w:ascii="宋体" w:hAnsi="宋体" w:eastAsia="宋体" w:cs="宋体"/>
          <w:sz w:val="24"/>
          <w:szCs w:val="24"/>
        </w:rPr>
      </w:pPr>
    </w:p>
    <w:p>
      <w:pPr>
        <w:spacing w:line="600" w:lineRule="exact"/>
        <w:rPr>
          <w:rFonts w:ascii="宋体" w:hAnsi="宋体" w:eastAsia="宋体" w:cs="宋体"/>
          <w:sz w:val="24"/>
          <w:szCs w:val="24"/>
        </w:rPr>
      </w:pPr>
    </w:p>
    <w:p>
      <w:pPr>
        <w:spacing w:line="600" w:lineRule="exact"/>
        <w:ind w:right="240"/>
        <w:jc w:val="center"/>
        <w:rPr>
          <w:rFonts w:ascii="宋体" w:hAnsi="宋体" w:eastAsia="宋体" w:cs="宋体"/>
          <w:sz w:val="24"/>
          <w:szCs w:val="24"/>
        </w:rPr>
      </w:pPr>
      <w:r>
        <w:rPr>
          <w:rFonts w:hint="eastAsia" w:ascii="宋体" w:hAnsi="宋体" w:eastAsia="宋体" w:cs="宋体"/>
          <w:sz w:val="24"/>
          <w:szCs w:val="24"/>
        </w:rPr>
        <w:t xml:space="preserve">                                                   供应商：（盖单位章）</w:t>
      </w:r>
    </w:p>
    <w:p>
      <w:pPr>
        <w:spacing w:line="600" w:lineRule="exact"/>
        <w:ind w:firstLine="6324" w:firstLineChars="2635"/>
        <w:rPr>
          <w:rFonts w:ascii="宋体" w:hAnsi="宋体" w:eastAsia="宋体" w:cs="宋体"/>
          <w:sz w:val="24"/>
          <w:szCs w:val="24"/>
        </w:rPr>
      </w:pPr>
      <w:r>
        <w:rPr>
          <w:rFonts w:hint="eastAsia" w:ascii="宋体" w:hAnsi="宋体" w:eastAsia="宋体" w:cs="宋体"/>
          <w:sz w:val="24"/>
          <w:szCs w:val="24"/>
        </w:rPr>
        <w:t>法定代表人：（签字）</w:t>
      </w:r>
    </w:p>
    <w:p>
      <w:pPr>
        <w:spacing w:line="600" w:lineRule="exact"/>
        <w:ind w:firstLine="6312" w:firstLineChars="2630"/>
        <w:rPr>
          <w:rFonts w:ascii="宋体" w:hAnsi="宋体" w:eastAsia="宋体" w:cs="宋体"/>
          <w:sz w:val="24"/>
          <w:szCs w:val="24"/>
        </w:rPr>
      </w:pPr>
      <w:r>
        <w:rPr>
          <w:rFonts w:hint="eastAsia" w:ascii="宋体" w:hAnsi="宋体" w:eastAsia="宋体" w:cs="宋体"/>
          <w:sz w:val="24"/>
          <w:szCs w:val="24"/>
        </w:rPr>
        <w:t>身份证号码：</w:t>
      </w:r>
    </w:p>
    <w:p>
      <w:pPr>
        <w:wordWrap w:val="0"/>
        <w:spacing w:line="600" w:lineRule="exact"/>
        <w:ind w:right="360"/>
        <w:jc w:val="right"/>
        <w:rPr>
          <w:rFonts w:ascii="宋体" w:hAnsi="宋体" w:eastAsia="宋体" w:cs="宋体"/>
          <w:sz w:val="24"/>
          <w:szCs w:val="24"/>
        </w:rPr>
      </w:pPr>
      <w:r>
        <w:rPr>
          <w:rFonts w:hint="eastAsia" w:ascii="宋体" w:hAnsi="宋体" w:eastAsia="宋体" w:cs="宋体"/>
          <w:sz w:val="24"/>
          <w:szCs w:val="24"/>
        </w:rPr>
        <w:t>委托代理人：（签字）</w:t>
      </w:r>
    </w:p>
    <w:p>
      <w:pPr>
        <w:spacing w:line="600" w:lineRule="exact"/>
        <w:ind w:firstLine="6297" w:firstLineChars="2624"/>
        <w:rPr>
          <w:rFonts w:ascii="宋体" w:hAnsi="宋体" w:eastAsia="宋体" w:cs="宋体"/>
          <w:sz w:val="24"/>
          <w:szCs w:val="24"/>
        </w:rPr>
      </w:pPr>
      <w:r>
        <w:rPr>
          <w:rFonts w:hint="eastAsia" w:ascii="宋体" w:hAnsi="宋体" w:eastAsia="宋体" w:cs="宋体"/>
          <w:sz w:val="24"/>
          <w:szCs w:val="24"/>
        </w:rPr>
        <w:t>身份证号码：</w:t>
      </w:r>
    </w:p>
    <w:p>
      <w:pPr>
        <w:spacing w:line="600" w:lineRule="exact"/>
        <w:rPr>
          <w:rFonts w:ascii="宋体" w:hAnsi="宋体" w:eastAsia="宋体" w:cs="宋体"/>
          <w:sz w:val="24"/>
          <w:szCs w:val="24"/>
          <w:u w:val="single"/>
        </w:rPr>
      </w:pPr>
    </w:p>
    <w:p>
      <w:pPr>
        <w:spacing w:line="600" w:lineRule="exact"/>
        <w:ind w:firstLine="6000" w:firstLineChars="2500"/>
        <w:rPr>
          <w:rFonts w:ascii="宋体" w:hAnsi="宋体" w:eastAsia="宋体" w:cs="宋体"/>
          <w:sz w:val="24"/>
          <w:szCs w:val="24"/>
        </w:rPr>
      </w:pPr>
      <w:r>
        <w:rPr>
          <w:rFonts w:hint="eastAsia" w:ascii="宋体" w:hAnsi="宋体" w:eastAsia="宋体" w:cs="宋体"/>
          <w:sz w:val="24"/>
          <w:szCs w:val="24"/>
        </w:rPr>
        <w:t>年    月   日</w:t>
      </w:r>
    </w:p>
    <w:p>
      <w:pPr>
        <w:spacing w:line="360" w:lineRule="auto"/>
        <w:rPr>
          <w:rFonts w:ascii="宋体" w:hAnsi="宋体" w:eastAsia="宋体" w:cs="宋体"/>
          <w:szCs w:val="21"/>
        </w:rPr>
      </w:pPr>
      <w:r>
        <w:rPr>
          <w:rFonts w:hint="eastAsia" w:ascii="宋体" w:hAnsi="宋体" w:eastAsia="宋体" w:cs="宋体"/>
          <w:b/>
          <w:sz w:val="24"/>
          <w:szCs w:val="24"/>
        </w:rPr>
        <w:br w:type="page"/>
      </w:r>
    </w:p>
    <w:p>
      <w:pPr>
        <w:outlineLvl w:val="1"/>
        <w:rPr>
          <w:rFonts w:ascii="宋体" w:hAnsi="宋体" w:eastAsia="宋体" w:cs="宋体"/>
          <w:b/>
          <w:sz w:val="24"/>
          <w:szCs w:val="24"/>
        </w:rPr>
      </w:pPr>
      <w:bookmarkStart w:id="142" w:name="_Toc18505"/>
      <w:r>
        <w:rPr>
          <w:rFonts w:hint="eastAsia" w:ascii="宋体" w:hAnsi="宋体" w:eastAsia="宋体" w:cs="宋体"/>
          <w:b/>
          <w:sz w:val="24"/>
          <w:szCs w:val="24"/>
        </w:rPr>
        <w:t>附件3 投标保证金</w:t>
      </w:r>
      <w:bookmarkEnd w:id="142"/>
    </w:p>
    <w:p>
      <w:pPr>
        <w:rPr>
          <w:rFonts w:ascii="宋体" w:hAnsi="宋体" w:eastAsia="宋体" w:cs="宋体"/>
          <w:szCs w:val="24"/>
        </w:rPr>
      </w:pPr>
    </w:p>
    <w:p>
      <w:pPr>
        <w:widowControl/>
        <w:overflowPunct w:val="0"/>
        <w:autoSpaceDE w:val="0"/>
        <w:autoSpaceDN w:val="0"/>
        <w:adjustRightInd w:val="0"/>
        <w:spacing w:line="400" w:lineRule="atLeast"/>
        <w:jc w:val="left"/>
        <w:textAlignment w:val="baseline"/>
        <w:rPr>
          <w:rFonts w:ascii="宋体" w:hAnsi="宋体" w:eastAsia="宋体" w:cs="宋体"/>
          <w:b/>
          <w:bCs/>
          <w:kern w:val="0"/>
          <w:szCs w:val="20"/>
        </w:rPr>
      </w:pPr>
    </w:p>
    <w:p>
      <w:pPr>
        <w:widowControl/>
        <w:overflowPunct w:val="0"/>
        <w:autoSpaceDE w:val="0"/>
        <w:autoSpaceDN w:val="0"/>
        <w:adjustRightInd w:val="0"/>
        <w:spacing w:line="400" w:lineRule="atLeast"/>
        <w:jc w:val="left"/>
        <w:textAlignment w:val="baseline"/>
        <w:rPr>
          <w:rFonts w:ascii="宋体" w:hAnsi="宋体" w:eastAsia="宋体" w:cs="宋体"/>
          <w:b/>
          <w:bCs/>
          <w:kern w:val="0"/>
          <w:szCs w:val="20"/>
        </w:rPr>
      </w:pPr>
      <w:r>
        <w:rPr>
          <w:rFonts w:hint="eastAsia" w:ascii="宋体" w:hAnsi="宋体" w:eastAsia="宋体" w:cs="宋体"/>
          <w:kern w:val="0"/>
          <w:szCs w:val="20"/>
        </w:rPr>
        <mc:AlternateContent>
          <mc:Choice Requires="wps">
            <w:drawing>
              <wp:anchor distT="0" distB="0" distL="114300" distR="114300" simplePos="0" relativeHeight="251660288" behindDoc="0" locked="0" layoutInCell="1" allowOverlap="1">
                <wp:simplePos x="0" y="0"/>
                <wp:positionH relativeFrom="column">
                  <wp:posOffset>1188085</wp:posOffset>
                </wp:positionH>
                <wp:positionV relativeFrom="paragraph">
                  <wp:posOffset>12700</wp:posOffset>
                </wp:positionV>
                <wp:extent cx="3400425" cy="1509395"/>
                <wp:effectExtent l="17145" t="17145" r="24130" b="2286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400425" cy="1509395"/>
                        </a:xfrm>
                        <a:prstGeom prst="rect">
                          <a:avLst/>
                        </a:prstGeom>
                        <a:noFill/>
                        <a:ln w="34925" cmpd="thickThin">
                          <a:solidFill>
                            <a:srgbClr val="000000"/>
                          </a:solidFill>
                          <a:miter lim="800000"/>
                        </a:ln>
                        <a:effectLst/>
                      </wps:spPr>
                      <wps:txbx>
                        <w:txbxContent>
                          <w:p>
                            <w:pPr>
                              <w:spacing w:line="360" w:lineRule="auto"/>
                              <w:jc w:val="center"/>
                              <w:rPr>
                                <w:rFonts w:ascii="华文新魏" w:hAnsi="宋体" w:eastAsia="华文新魏"/>
                                <w:b/>
                                <w:szCs w:val="21"/>
                              </w:rPr>
                            </w:pPr>
                          </w:p>
                          <w:p>
                            <w:pPr>
                              <w:spacing w:line="360" w:lineRule="auto"/>
                              <w:jc w:val="center"/>
                              <w:rPr>
                                <w:rFonts w:ascii="宋体"/>
                                <w:b/>
                                <w:color w:val="000000"/>
                                <w:sz w:val="32"/>
                                <w:szCs w:val="32"/>
                              </w:rPr>
                            </w:pPr>
                            <w:r>
                              <w:rPr>
                                <w:rFonts w:hint="eastAsia" w:ascii="宋体" w:hAnsi="宋体"/>
                                <w:b/>
                                <w:color w:val="000000"/>
                                <w:sz w:val="32"/>
                                <w:szCs w:val="32"/>
                              </w:rPr>
                              <w:t>附投标保证金支付凭证及基本帐户开户许可证</w:t>
                            </w:r>
                          </w:p>
                          <w:p>
                            <w:pPr>
                              <w:rPr>
                                <w:rFonts w:ascii="楷体_GB2312" w:eastAsia="楷体_GB231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3.55pt;margin-top:1pt;height:118.85pt;width:267.75pt;z-index:251660288;mso-width-relative:page;mso-height-relative:page;" filled="f" stroked="t" coordsize="21600,21600" o:gfxdata="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qmOQXXAAAACQEAAA8AAAAAAAAAAQAgAAAAIgAAAGRycy9kb3ducmV2LnhtbFBL&#10;AQIUABQAAAAIAIdO4kCRmWIYMAIAADEEAAAOAAAAAAAAAAEAIAAAACYBAABkcnMvZTJvRG9jLnht&#10;bFBLBQYAAAAABgAGAFkBAADIBQAAAAA=&#10;">
                <v:fill on="f" focussize="0,0"/>
                <v:stroke weight="2.75pt" color="#000000" linestyle="thickThin" miterlimit="8" joinstyle="miter"/>
                <v:imagedata o:title=""/>
                <o:lock v:ext="edit" aspectratio="f"/>
                <v:textbox>
                  <w:txbxContent>
                    <w:p>
                      <w:pPr>
                        <w:spacing w:line="360" w:lineRule="auto"/>
                        <w:jc w:val="center"/>
                        <w:rPr>
                          <w:rFonts w:ascii="华文新魏" w:hAnsi="宋体" w:eastAsia="华文新魏"/>
                          <w:b/>
                          <w:szCs w:val="21"/>
                        </w:rPr>
                      </w:pPr>
                    </w:p>
                    <w:p>
                      <w:pPr>
                        <w:spacing w:line="360" w:lineRule="auto"/>
                        <w:jc w:val="center"/>
                        <w:rPr>
                          <w:rFonts w:ascii="宋体"/>
                          <w:b/>
                          <w:color w:val="000000"/>
                          <w:sz w:val="32"/>
                          <w:szCs w:val="32"/>
                        </w:rPr>
                      </w:pPr>
                      <w:r>
                        <w:rPr>
                          <w:rFonts w:hint="eastAsia" w:ascii="宋体" w:hAnsi="宋体"/>
                          <w:b/>
                          <w:color w:val="000000"/>
                          <w:sz w:val="32"/>
                          <w:szCs w:val="32"/>
                        </w:rPr>
                        <w:t>附投标保证金支付凭证及基本帐户开户许可证</w:t>
                      </w:r>
                    </w:p>
                    <w:p>
                      <w:pPr>
                        <w:rPr>
                          <w:rFonts w:ascii="楷体_GB2312" w:eastAsia="楷体_GB2312"/>
                        </w:rPr>
                      </w:pPr>
                    </w:p>
                  </w:txbxContent>
                </v:textbox>
              </v:shape>
            </w:pict>
          </mc:Fallback>
        </mc:AlternateContent>
      </w:r>
    </w:p>
    <w:p>
      <w:pPr>
        <w:widowControl/>
        <w:overflowPunct w:val="0"/>
        <w:autoSpaceDE w:val="0"/>
        <w:autoSpaceDN w:val="0"/>
        <w:adjustRightInd w:val="0"/>
        <w:spacing w:line="400" w:lineRule="atLeast"/>
        <w:jc w:val="left"/>
        <w:textAlignment w:val="baseline"/>
        <w:rPr>
          <w:rFonts w:ascii="宋体" w:hAnsi="宋体" w:eastAsia="宋体" w:cs="宋体"/>
          <w:b/>
          <w:bCs/>
          <w:kern w:val="0"/>
          <w:szCs w:val="20"/>
        </w:rPr>
      </w:pPr>
    </w:p>
    <w:p>
      <w:pPr>
        <w:widowControl/>
        <w:overflowPunct w:val="0"/>
        <w:autoSpaceDE w:val="0"/>
        <w:autoSpaceDN w:val="0"/>
        <w:adjustRightInd w:val="0"/>
        <w:spacing w:line="400" w:lineRule="atLeast"/>
        <w:jc w:val="left"/>
        <w:textAlignment w:val="baseline"/>
        <w:rPr>
          <w:rFonts w:ascii="宋体" w:hAnsi="宋体" w:eastAsia="宋体" w:cs="宋体"/>
          <w:b/>
          <w:bCs/>
          <w:kern w:val="0"/>
          <w:szCs w:val="20"/>
        </w:rPr>
      </w:pPr>
    </w:p>
    <w:p>
      <w:pPr>
        <w:widowControl/>
        <w:overflowPunct w:val="0"/>
        <w:autoSpaceDE w:val="0"/>
        <w:autoSpaceDN w:val="0"/>
        <w:adjustRightInd w:val="0"/>
        <w:spacing w:line="400" w:lineRule="atLeast"/>
        <w:jc w:val="left"/>
        <w:textAlignment w:val="baseline"/>
        <w:rPr>
          <w:rFonts w:ascii="宋体" w:hAnsi="宋体" w:eastAsia="宋体" w:cs="宋体"/>
          <w:b/>
          <w:bCs/>
          <w:kern w:val="0"/>
          <w:szCs w:val="20"/>
        </w:rPr>
      </w:pPr>
    </w:p>
    <w:p>
      <w:pPr>
        <w:widowControl/>
        <w:overflowPunct w:val="0"/>
        <w:autoSpaceDE w:val="0"/>
        <w:autoSpaceDN w:val="0"/>
        <w:adjustRightInd w:val="0"/>
        <w:spacing w:line="400" w:lineRule="atLeast"/>
        <w:jc w:val="left"/>
        <w:textAlignment w:val="baseline"/>
        <w:rPr>
          <w:rFonts w:ascii="宋体" w:hAnsi="宋体" w:eastAsia="宋体" w:cs="宋体"/>
          <w:b/>
          <w:bCs/>
          <w:kern w:val="0"/>
          <w:szCs w:val="20"/>
        </w:rPr>
      </w:pPr>
    </w:p>
    <w:p>
      <w:pPr>
        <w:widowControl/>
        <w:overflowPunct w:val="0"/>
        <w:autoSpaceDE w:val="0"/>
        <w:autoSpaceDN w:val="0"/>
        <w:adjustRightInd w:val="0"/>
        <w:spacing w:line="400" w:lineRule="atLeast"/>
        <w:jc w:val="left"/>
        <w:textAlignment w:val="baseline"/>
        <w:rPr>
          <w:rFonts w:ascii="宋体" w:hAnsi="宋体" w:eastAsia="宋体" w:cs="宋体"/>
          <w:b/>
          <w:bCs/>
          <w:kern w:val="0"/>
          <w:szCs w:val="20"/>
        </w:rPr>
      </w:pPr>
    </w:p>
    <w:p>
      <w:pPr>
        <w:widowControl/>
        <w:overflowPunct w:val="0"/>
        <w:autoSpaceDE w:val="0"/>
        <w:autoSpaceDN w:val="0"/>
        <w:adjustRightInd w:val="0"/>
        <w:spacing w:line="400" w:lineRule="atLeast"/>
        <w:jc w:val="left"/>
        <w:textAlignment w:val="baseline"/>
        <w:rPr>
          <w:rFonts w:ascii="宋体" w:hAnsi="宋体" w:eastAsia="宋体" w:cs="宋体"/>
          <w:b/>
          <w:bCs/>
          <w:kern w:val="0"/>
          <w:szCs w:val="20"/>
        </w:rPr>
      </w:pPr>
    </w:p>
    <w:p>
      <w:pPr>
        <w:spacing w:line="560" w:lineRule="exact"/>
        <w:ind w:firstLine="3840" w:firstLineChars="1600"/>
        <w:jc w:val="left"/>
        <w:rPr>
          <w:rFonts w:ascii="宋体" w:hAnsi="宋体" w:eastAsia="宋体" w:cs="宋体"/>
          <w:sz w:val="24"/>
          <w:szCs w:val="24"/>
        </w:rPr>
      </w:pPr>
    </w:p>
    <w:p>
      <w:pPr>
        <w:spacing w:line="560" w:lineRule="exact"/>
        <w:ind w:firstLine="3840" w:firstLineChars="1600"/>
        <w:jc w:val="left"/>
        <w:rPr>
          <w:rFonts w:ascii="宋体" w:hAnsi="宋体" w:eastAsia="宋体" w:cs="宋体"/>
          <w:sz w:val="24"/>
          <w:szCs w:val="24"/>
        </w:rPr>
      </w:pPr>
    </w:p>
    <w:p>
      <w:pPr>
        <w:spacing w:line="560" w:lineRule="exact"/>
        <w:ind w:firstLine="3840" w:firstLineChars="1600"/>
        <w:jc w:val="left"/>
        <w:rPr>
          <w:rFonts w:ascii="宋体" w:hAnsi="宋体" w:eastAsia="宋体" w:cs="宋体"/>
          <w:sz w:val="24"/>
          <w:szCs w:val="24"/>
        </w:rPr>
      </w:pPr>
      <w:r>
        <w:rPr>
          <w:rFonts w:hint="eastAsia" w:ascii="宋体" w:hAnsi="宋体" w:eastAsia="宋体" w:cs="宋体"/>
          <w:sz w:val="24"/>
          <w:szCs w:val="24"/>
        </w:rPr>
        <w:t xml:space="preserve">供应商名称：（盖章）        </w:t>
      </w:r>
    </w:p>
    <w:p>
      <w:pPr>
        <w:spacing w:line="560" w:lineRule="exact"/>
        <w:jc w:val="center"/>
        <w:rPr>
          <w:rFonts w:ascii="宋体" w:hAnsi="宋体" w:eastAsia="宋体" w:cs="宋体"/>
          <w:sz w:val="24"/>
          <w:szCs w:val="24"/>
        </w:rPr>
      </w:pPr>
      <w:r>
        <w:rPr>
          <w:rFonts w:hint="eastAsia" w:ascii="宋体" w:hAnsi="宋体" w:eastAsia="宋体" w:cs="宋体"/>
          <w:sz w:val="24"/>
          <w:szCs w:val="24"/>
        </w:rPr>
        <w:t xml:space="preserve">                    法定代表人或委托代理人(签字)：</w:t>
      </w:r>
    </w:p>
    <w:p>
      <w:pPr>
        <w:spacing w:line="560" w:lineRule="exact"/>
        <w:jc w:val="center"/>
        <w:rPr>
          <w:rFonts w:ascii="宋体" w:hAnsi="宋体" w:eastAsia="宋体" w:cs="宋体"/>
          <w:sz w:val="24"/>
          <w:szCs w:val="24"/>
        </w:rPr>
      </w:pPr>
      <w:r>
        <w:rPr>
          <w:rFonts w:hint="eastAsia" w:ascii="宋体" w:hAnsi="宋体" w:eastAsia="宋体" w:cs="宋体"/>
          <w:sz w:val="24"/>
          <w:szCs w:val="24"/>
        </w:rPr>
        <w:t xml:space="preserve">           日期：   年  月   日</w:t>
      </w:r>
      <w:r>
        <w:rPr>
          <w:rFonts w:hint="eastAsia" w:ascii="宋体" w:hAnsi="宋体" w:eastAsia="宋体" w:cs="宋体"/>
          <w:sz w:val="24"/>
          <w:szCs w:val="24"/>
        </w:rPr>
        <w:tab/>
      </w:r>
    </w:p>
    <w:p>
      <w:pPr>
        <w:tabs>
          <w:tab w:val="left" w:pos="3150"/>
        </w:tabs>
        <w:spacing w:line="560" w:lineRule="exact"/>
        <w:jc w:val="left"/>
        <w:rPr>
          <w:rFonts w:ascii="宋体" w:hAnsi="宋体" w:eastAsia="宋体" w:cs="宋体"/>
          <w:b/>
          <w:sz w:val="24"/>
          <w:szCs w:val="24"/>
        </w:rPr>
      </w:pPr>
    </w:p>
    <w:p>
      <w:pPr>
        <w:widowControl/>
        <w:overflowPunct w:val="0"/>
        <w:autoSpaceDE w:val="0"/>
        <w:autoSpaceDN w:val="0"/>
        <w:adjustRightInd w:val="0"/>
        <w:spacing w:line="400" w:lineRule="atLeast"/>
        <w:jc w:val="left"/>
        <w:textAlignment w:val="baseline"/>
        <w:rPr>
          <w:rFonts w:ascii="宋体" w:hAnsi="宋体" w:eastAsia="宋体" w:cs="宋体"/>
          <w:b/>
          <w:bCs/>
          <w:kern w:val="0"/>
          <w:szCs w:val="20"/>
        </w:rPr>
      </w:pPr>
    </w:p>
    <w:p>
      <w:pPr>
        <w:widowControl/>
        <w:overflowPunct w:val="0"/>
        <w:autoSpaceDE w:val="0"/>
        <w:autoSpaceDN w:val="0"/>
        <w:adjustRightInd w:val="0"/>
        <w:spacing w:line="400" w:lineRule="atLeast"/>
        <w:jc w:val="left"/>
        <w:textAlignment w:val="baseline"/>
        <w:rPr>
          <w:rFonts w:ascii="宋体" w:hAnsi="宋体" w:eastAsia="宋体" w:cs="宋体"/>
          <w:b/>
          <w:bCs/>
          <w:kern w:val="0"/>
          <w:szCs w:val="20"/>
        </w:rPr>
      </w:pPr>
    </w:p>
    <w:p>
      <w:pPr>
        <w:widowControl/>
        <w:overflowPunct w:val="0"/>
        <w:autoSpaceDE w:val="0"/>
        <w:autoSpaceDN w:val="0"/>
        <w:adjustRightInd w:val="0"/>
        <w:spacing w:line="400" w:lineRule="atLeast"/>
        <w:jc w:val="left"/>
        <w:textAlignment w:val="baseline"/>
        <w:rPr>
          <w:rFonts w:ascii="宋体" w:hAnsi="宋体" w:eastAsia="宋体" w:cs="宋体"/>
          <w:b/>
          <w:bCs/>
          <w:kern w:val="0"/>
          <w:szCs w:val="20"/>
        </w:rPr>
      </w:pPr>
    </w:p>
    <w:p>
      <w:pPr>
        <w:widowControl/>
        <w:overflowPunct w:val="0"/>
        <w:autoSpaceDE w:val="0"/>
        <w:autoSpaceDN w:val="0"/>
        <w:adjustRightInd w:val="0"/>
        <w:spacing w:line="400" w:lineRule="atLeast"/>
        <w:jc w:val="left"/>
        <w:textAlignment w:val="baseline"/>
        <w:rPr>
          <w:rFonts w:ascii="宋体" w:hAnsi="宋体" w:eastAsia="宋体" w:cs="宋体"/>
          <w:b/>
          <w:bCs/>
          <w:kern w:val="0"/>
          <w:szCs w:val="20"/>
        </w:rPr>
      </w:pPr>
    </w:p>
    <w:p>
      <w:pPr>
        <w:widowControl/>
        <w:overflowPunct w:val="0"/>
        <w:autoSpaceDE w:val="0"/>
        <w:autoSpaceDN w:val="0"/>
        <w:adjustRightInd w:val="0"/>
        <w:spacing w:line="400" w:lineRule="atLeast"/>
        <w:jc w:val="left"/>
        <w:textAlignment w:val="baseline"/>
        <w:rPr>
          <w:rFonts w:ascii="宋体" w:hAnsi="宋体" w:eastAsia="宋体" w:cs="宋体"/>
          <w:b/>
          <w:bCs/>
          <w:kern w:val="0"/>
          <w:szCs w:val="20"/>
        </w:rPr>
      </w:pPr>
    </w:p>
    <w:p>
      <w:pPr>
        <w:widowControl/>
        <w:overflowPunct w:val="0"/>
        <w:autoSpaceDE w:val="0"/>
        <w:autoSpaceDN w:val="0"/>
        <w:adjustRightInd w:val="0"/>
        <w:spacing w:line="400" w:lineRule="atLeast"/>
        <w:jc w:val="left"/>
        <w:textAlignment w:val="baseline"/>
        <w:rPr>
          <w:rFonts w:ascii="宋体" w:hAnsi="宋体" w:eastAsia="宋体" w:cs="宋体"/>
          <w:b/>
          <w:bCs/>
          <w:kern w:val="0"/>
          <w:szCs w:val="20"/>
        </w:rPr>
      </w:pPr>
    </w:p>
    <w:p>
      <w:pPr>
        <w:widowControl/>
        <w:overflowPunct w:val="0"/>
        <w:autoSpaceDE w:val="0"/>
        <w:autoSpaceDN w:val="0"/>
        <w:adjustRightInd w:val="0"/>
        <w:spacing w:line="400" w:lineRule="atLeast"/>
        <w:jc w:val="left"/>
        <w:textAlignment w:val="baseline"/>
        <w:rPr>
          <w:rFonts w:ascii="宋体" w:hAnsi="宋体" w:eastAsia="宋体" w:cs="宋体"/>
          <w:b/>
          <w:bCs/>
          <w:kern w:val="0"/>
          <w:szCs w:val="20"/>
        </w:rPr>
      </w:pPr>
    </w:p>
    <w:p>
      <w:pPr>
        <w:widowControl/>
        <w:overflowPunct w:val="0"/>
        <w:autoSpaceDE w:val="0"/>
        <w:autoSpaceDN w:val="0"/>
        <w:adjustRightInd w:val="0"/>
        <w:spacing w:line="400" w:lineRule="atLeast"/>
        <w:jc w:val="left"/>
        <w:textAlignment w:val="baseline"/>
        <w:rPr>
          <w:rFonts w:ascii="宋体" w:hAnsi="宋体" w:eastAsia="宋体" w:cs="宋体"/>
          <w:b/>
          <w:bCs/>
          <w:kern w:val="0"/>
          <w:szCs w:val="20"/>
        </w:rPr>
      </w:pPr>
    </w:p>
    <w:p>
      <w:pPr>
        <w:widowControl/>
        <w:overflowPunct w:val="0"/>
        <w:autoSpaceDE w:val="0"/>
        <w:autoSpaceDN w:val="0"/>
        <w:adjustRightInd w:val="0"/>
        <w:spacing w:line="400" w:lineRule="atLeast"/>
        <w:jc w:val="left"/>
        <w:textAlignment w:val="baseline"/>
        <w:rPr>
          <w:rFonts w:ascii="宋体" w:hAnsi="宋体" w:eastAsia="宋体" w:cs="宋体"/>
          <w:b/>
          <w:bCs/>
          <w:kern w:val="0"/>
          <w:szCs w:val="20"/>
        </w:rPr>
      </w:pPr>
    </w:p>
    <w:p>
      <w:pPr>
        <w:widowControl/>
        <w:overflowPunct w:val="0"/>
        <w:autoSpaceDE w:val="0"/>
        <w:autoSpaceDN w:val="0"/>
        <w:adjustRightInd w:val="0"/>
        <w:spacing w:line="400" w:lineRule="atLeast"/>
        <w:jc w:val="left"/>
        <w:textAlignment w:val="baseline"/>
        <w:rPr>
          <w:rFonts w:ascii="宋体" w:hAnsi="宋体" w:eastAsia="宋体" w:cs="宋体"/>
          <w:b/>
          <w:bCs/>
          <w:kern w:val="0"/>
          <w:szCs w:val="20"/>
        </w:rPr>
      </w:pPr>
    </w:p>
    <w:p>
      <w:pPr>
        <w:widowControl/>
        <w:overflowPunct w:val="0"/>
        <w:autoSpaceDE w:val="0"/>
        <w:autoSpaceDN w:val="0"/>
        <w:adjustRightInd w:val="0"/>
        <w:spacing w:line="400" w:lineRule="atLeast"/>
        <w:jc w:val="left"/>
        <w:textAlignment w:val="baseline"/>
        <w:rPr>
          <w:rFonts w:ascii="宋体" w:hAnsi="宋体" w:eastAsia="宋体" w:cs="宋体"/>
          <w:b/>
          <w:bCs/>
          <w:kern w:val="0"/>
          <w:szCs w:val="20"/>
        </w:rPr>
      </w:pPr>
    </w:p>
    <w:p>
      <w:pPr>
        <w:widowControl/>
        <w:overflowPunct w:val="0"/>
        <w:autoSpaceDE w:val="0"/>
        <w:autoSpaceDN w:val="0"/>
        <w:adjustRightInd w:val="0"/>
        <w:spacing w:line="400" w:lineRule="atLeast"/>
        <w:jc w:val="left"/>
        <w:textAlignment w:val="baseline"/>
        <w:rPr>
          <w:rFonts w:ascii="宋体" w:hAnsi="宋体" w:eastAsia="宋体" w:cs="宋体"/>
          <w:b/>
          <w:bCs/>
          <w:kern w:val="0"/>
          <w:szCs w:val="20"/>
        </w:rPr>
      </w:pPr>
    </w:p>
    <w:p>
      <w:pPr>
        <w:widowControl/>
        <w:overflowPunct w:val="0"/>
        <w:autoSpaceDE w:val="0"/>
        <w:autoSpaceDN w:val="0"/>
        <w:adjustRightInd w:val="0"/>
        <w:spacing w:line="400" w:lineRule="atLeast"/>
        <w:jc w:val="left"/>
        <w:textAlignment w:val="baseline"/>
        <w:rPr>
          <w:rFonts w:ascii="宋体" w:hAnsi="宋体" w:eastAsia="宋体" w:cs="宋体"/>
          <w:b/>
          <w:bCs/>
          <w:kern w:val="0"/>
          <w:szCs w:val="20"/>
        </w:rPr>
      </w:pPr>
    </w:p>
    <w:p>
      <w:pPr>
        <w:widowControl/>
        <w:overflowPunct w:val="0"/>
        <w:autoSpaceDE w:val="0"/>
        <w:autoSpaceDN w:val="0"/>
        <w:adjustRightInd w:val="0"/>
        <w:spacing w:line="400" w:lineRule="atLeast"/>
        <w:jc w:val="left"/>
        <w:textAlignment w:val="baseline"/>
        <w:rPr>
          <w:rFonts w:ascii="宋体" w:hAnsi="宋体" w:eastAsia="宋体" w:cs="宋体"/>
          <w:b/>
          <w:bCs/>
          <w:kern w:val="0"/>
          <w:szCs w:val="20"/>
        </w:rPr>
      </w:pPr>
    </w:p>
    <w:p>
      <w:pPr>
        <w:widowControl/>
        <w:overflowPunct w:val="0"/>
        <w:autoSpaceDE w:val="0"/>
        <w:autoSpaceDN w:val="0"/>
        <w:adjustRightInd w:val="0"/>
        <w:spacing w:line="400" w:lineRule="atLeast"/>
        <w:jc w:val="left"/>
        <w:textAlignment w:val="baseline"/>
        <w:rPr>
          <w:rFonts w:ascii="宋体" w:hAnsi="宋体" w:eastAsia="宋体" w:cs="宋体"/>
          <w:b/>
          <w:bCs/>
          <w:kern w:val="0"/>
          <w:szCs w:val="20"/>
        </w:rPr>
      </w:pPr>
    </w:p>
    <w:p>
      <w:pPr>
        <w:widowControl/>
        <w:overflowPunct w:val="0"/>
        <w:autoSpaceDE w:val="0"/>
        <w:autoSpaceDN w:val="0"/>
        <w:adjustRightInd w:val="0"/>
        <w:spacing w:line="400" w:lineRule="atLeast"/>
        <w:jc w:val="left"/>
        <w:textAlignment w:val="baseline"/>
        <w:rPr>
          <w:rFonts w:ascii="宋体" w:hAnsi="宋体" w:eastAsia="宋体" w:cs="宋体"/>
          <w:b/>
          <w:bCs/>
          <w:kern w:val="0"/>
          <w:szCs w:val="20"/>
        </w:rPr>
      </w:pPr>
    </w:p>
    <w:p>
      <w:pPr>
        <w:widowControl/>
        <w:overflowPunct w:val="0"/>
        <w:autoSpaceDE w:val="0"/>
        <w:autoSpaceDN w:val="0"/>
        <w:adjustRightInd w:val="0"/>
        <w:spacing w:line="400" w:lineRule="atLeast"/>
        <w:jc w:val="left"/>
        <w:textAlignment w:val="baseline"/>
        <w:rPr>
          <w:rFonts w:ascii="宋体" w:hAnsi="宋体" w:eastAsia="宋体" w:cs="宋体"/>
          <w:b/>
          <w:bCs/>
          <w:kern w:val="0"/>
          <w:szCs w:val="20"/>
        </w:rPr>
      </w:pPr>
    </w:p>
    <w:p>
      <w:pPr>
        <w:outlineLvl w:val="1"/>
        <w:rPr>
          <w:rFonts w:ascii="宋体" w:hAnsi="宋体" w:eastAsia="宋体" w:cs="宋体"/>
          <w:b/>
          <w:sz w:val="24"/>
          <w:szCs w:val="24"/>
        </w:rPr>
      </w:pPr>
      <w:bookmarkStart w:id="143" w:name="_Toc26938"/>
      <w:r>
        <w:rPr>
          <w:rFonts w:hint="eastAsia" w:ascii="宋体" w:hAnsi="宋体" w:eastAsia="宋体" w:cs="宋体"/>
          <w:b/>
          <w:sz w:val="24"/>
          <w:szCs w:val="24"/>
        </w:rPr>
        <w:t>附件4 供应商情况</w:t>
      </w:r>
      <w:bookmarkEnd w:id="143"/>
    </w:p>
    <w:p>
      <w:bookmarkStart w:id="144" w:name="_Toc14462"/>
    </w:p>
    <w:p>
      <w:pPr>
        <w:jc w:val="center"/>
        <w:outlineLvl w:val="1"/>
        <w:rPr>
          <w:rFonts w:ascii="宋体" w:hAnsi="宋体" w:eastAsia="宋体" w:cs="宋体"/>
          <w:b/>
          <w:sz w:val="24"/>
          <w:szCs w:val="24"/>
        </w:rPr>
      </w:pPr>
      <w:r>
        <w:rPr>
          <w:rFonts w:hint="eastAsia" w:ascii="宋体" w:hAnsi="宋体" w:eastAsia="宋体" w:cs="宋体"/>
          <w:b/>
          <w:sz w:val="24"/>
          <w:szCs w:val="24"/>
        </w:rPr>
        <w:t>（一）基本情况表</w:t>
      </w:r>
      <w:bookmarkEnd w:id="144"/>
    </w:p>
    <w:tbl>
      <w:tblPr>
        <w:tblStyle w:val="27"/>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0"/>
        <w:gridCol w:w="2156"/>
        <w:gridCol w:w="1241"/>
        <w:gridCol w:w="1241"/>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2760" w:type="dxa"/>
            <w:vAlign w:val="center"/>
          </w:tcPr>
          <w:p>
            <w:pPr>
              <w:jc w:val="center"/>
              <w:rPr>
                <w:rFonts w:ascii="宋体" w:hAnsi="宋体" w:eastAsia="宋体" w:cs="宋体"/>
                <w:sz w:val="24"/>
                <w:szCs w:val="24"/>
              </w:rPr>
            </w:pPr>
            <w:r>
              <w:rPr>
                <w:rFonts w:hint="eastAsia" w:ascii="宋体" w:hAnsi="宋体" w:eastAsia="宋体" w:cs="宋体"/>
                <w:sz w:val="24"/>
                <w:szCs w:val="24"/>
              </w:rPr>
              <w:t>供应商名称</w:t>
            </w:r>
          </w:p>
        </w:tc>
        <w:tc>
          <w:tcPr>
            <w:tcW w:w="6528" w:type="dxa"/>
            <w:gridSpan w:val="4"/>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2760" w:type="dxa"/>
            <w:vAlign w:val="center"/>
          </w:tcPr>
          <w:p>
            <w:pPr>
              <w:jc w:val="center"/>
              <w:rPr>
                <w:rFonts w:ascii="宋体" w:hAnsi="宋体" w:eastAsia="宋体" w:cs="宋体"/>
                <w:sz w:val="24"/>
                <w:szCs w:val="24"/>
              </w:rPr>
            </w:pPr>
            <w:r>
              <w:rPr>
                <w:rFonts w:hint="eastAsia" w:ascii="宋体" w:hAnsi="宋体" w:eastAsia="宋体" w:cs="宋体"/>
                <w:sz w:val="24"/>
                <w:szCs w:val="24"/>
              </w:rPr>
              <w:t>注册地址</w:t>
            </w:r>
          </w:p>
        </w:tc>
        <w:tc>
          <w:tcPr>
            <w:tcW w:w="3397" w:type="dxa"/>
            <w:gridSpan w:val="2"/>
            <w:vAlign w:val="center"/>
          </w:tcPr>
          <w:p>
            <w:pPr>
              <w:jc w:val="center"/>
              <w:rPr>
                <w:rFonts w:ascii="宋体" w:hAnsi="宋体" w:eastAsia="宋体" w:cs="宋体"/>
                <w:sz w:val="24"/>
                <w:szCs w:val="24"/>
              </w:rPr>
            </w:pPr>
          </w:p>
        </w:tc>
        <w:tc>
          <w:tcPr>
            <w:tcW w:w="1241" w:type="dxa"/>
            <w:vAlign w:val="center"/>
          </w:tcPr>
          <w:p>
            <w:pPr>
              <w:jc w:val="center"/>
              <w:rPr>
                <w:rFonts w:ascii="宋体" w:hAnsi="宋体" w:eastAsia="宋体" w:cs="宋体"/>
                <w:sz w:val="24"/>
                <w:szCs w:val="24"/>
              </w:rPr>
            </w:pPr>
            <w:r>
              <w:rPr>
                <w:rFonts w:hint="eastAsia" w:ascii="宋体" w:hAnsi="宋体" w:eastAsia="宋体" w:cs="宋体"/>
                <w:sz w:val="24"/>
                <w:szCs w:val="24"/>
              </w:rPr>
              <w:t>成立时间</w:t>
            </w:r>
          </w:p>
        </w:tc>
        <w:tc>
          <w:tcPr>
            <w:tcW w:w="1890"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2760" w:type="dxa"/>
            <w:vAlign w:val="center"/>
          </w:tcPr>
          <w:p>
            <w:pPr>
              <w:jc w:val="center"/>
              <w:rPr>
                <w:rFonts w:ascii="宋体" w:hAnsi="宋体" w:eastAsia="宋体" w:cs="宋体"/>
                <w:sz w:val="24"/>
                <w:szCs w:val="24"/>
              </w:rPr>
            </w:pPr>
            <w:r>
              <w:rPr>
                <w:rFonts w:hint="eastAsia" w:ascii="宋体" w:hAnsi="宋体" w:eastAsia="宋体" w:cs="宋体"/>
                <w:sz w:val="24"/>
                <w:szCs w:val="24"/>
              </w:rPr>
              <w:t>法定代表人</w:t>
            </w:r>
          </w:p>
        </w:tc>
        <w:tc>
          <w:tcPr>
            <w:tcW w:w="6528" w:type="dxa"/>
            <w:gridSpan w:val="4"/>
            <w:vAlign w:val="center"/>
          </w:tcPr>
          <w:p>
            <w:pPr>
              <w:jc w:val="center"/>
              <w:rPr>
                <w:rFonts w:ascii="宋体" w:hAnsi="宋体" w:eastAsia="宋体" w:cs="宋体"/>
                <w:sz w:val="24"/>
                <w:szCs w:val="24"/>
              </w:rPr>
            </w:pPr>
            <w:r>
              <w:rPr>
                <w:rFonts w:hint="eastAsia" w:ascii="宋体" w:hAnsi="宋体" w:eastAsia="宋体" w:cs="宋体"/>
                <w:sz w:val="24"/>
                <w:szCs w:val="24"/>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2760" w:type="dxa"/>
            <w:vAlign w:val="center"/>
          </w:tcPr>
          <w:p>
            <w:pPr>
              <w:jc w:val="center"/>
              <w:rPr>
                <w:rFonts w:ascii="宋体" w:hAnsi="宋体" w:eastAsia="宋体" w:cs="宋体"/>
                <w:sz w:val="24"/>
                <w:szCs w:val="24"/>
              </w:rPr>
            </w:pPr>
            <w:r>
              <w:rPr>
                <w:rFonts w:hint="eastAsia" w:ascii="宋体" w:hAnsi="宋体" w:eastAsia="宋体" w:cs="宋体"/>
                <w:sz w:val="24"/>
                <w:szCs w:val="24"/>
              </w:rPr>
              <w:t>技术负责人</w:t>
            </w:r>
          </w:p>
        </w:tc>
        <w:tc>
          <w:tcPr>
            <w:tcW w:w="6528" w:type="dxa"/>
            <w:gridSpan w:val="4"/>
            <w:vAlign w:val="center"/>
          </w:tcPr>
          <w:p>
            <w:pPr>
              <w:jc w:val="center"/>
              <w:rPr>
                <w:rFonts w:ascii="宋体" w:hAnsi="宋体" w:eastAsia="宋体" w:cs="宋体"/>
                <w:sz w:val="24"/>
                <w:szCs w:val="24"/>
              </w:rPr>
            </w:pPr>
            <w:r>
              <w:rPr>
                <w:rFonts w:hint="eastAsia" w:ascii="宋体" w:hAnsi="宋体" w:eastAsia="宋体" w:cs="宋体"/>
                <w:sz w:val="24"/>
                <w:szCs w:val="24"/>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2760" w:type="dxa"/>
            <w:vAlign w:val="center"/>
          </w:tcPr>
          <w:p>
            <w:pPr>
              <w:jc w:val="center"/>
              <w:rPr>
                <w:rFonts w:ascii="宋体" w:hAnsi="宋体" w:eastAsia="宋体" w:cs="宋体"/>
                <w:sz w:val="24"/>
                <w:szCs w:val="24"/>
              </w:rPr>
            </w:pPr>
            <w:r>
              <w:rPr>
                <w:rFonts w:hint="eastAsia" w:ascii="宋体" w:hAnsi="宋体" w:eastAsia="宋体" w:cs="宋体"/>
                <w:sz w:val="24"/>
                <w:szCs w:val="24"/>
              </w:rPr>
              <w:t>注册资金</w:t>
            </w:r>
          </w:p>
        </w:tc>
        <w:tc>
          <w:tcPr>
            <w:tcW w:w="6528" w:type="dxa"/>
            <w:gridSpan w:val="4"/>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51" w:hRule="exact"/>
          <w:jc w:val="center"/>
        </w:trPr>
        <w:tc>
          <w:tcPr>
            <w:tcW w:w="2760" w:type="dxa"/>
            <w:vAlign w:val="center"/>
          </w:tcPr>
          <w:p>
            <w:pPr>
              <w:jc w:val="center"/>
              <w:rPr>
                <w:rFonts w:ascii="宋体" w:hAnsi="宋体" w:eastAsia="宋体" w:cs="宋体"/>
                <w:sz w:val="24"/>
                <w:szCs w:val="24"/>
              </w:rPr>
            </w:pPr>
            <w:r>
              <w:rPr>
                <w:rFonts w:hint="eastAsia" w:ascii="宋体" w:hAnsi="宋体" w:eastAsia="宋体" w:cs="宋体"/>
                <w:sz w:val="24"/>
                <w:szCs w:val="24"/>
              </w:rPr>
              <w:t>营业执照号</w:t>
            </w:r>
          </w:p>
        </w:tc>
        <w:tc>
          <w:tcPr>
            <w:tcW w:w="2156" w:type="dxa"/>
            <w:vAlign w:val="center"/>
          </w:tcPr>
          <w:p>
            <w:pPr>
              <w:jc w:val="center"/>
              <w:rPr>
                <w:rFonts w:ascii="宋体" w:hAnsi="宋体" w:eastAsia="宋体" w:cs="宋体"/>
                <w:sz w:val="24"/>
                <w:szCs w:val="24"/>
              </w:rPr>
            </w:pPr>
          </w:p>
        </w:tc>
        <w:tc>
          <w:tcPr>
            <w:tcW w:w="1241" w:type="dxa"/>
            <w:vAlign w:val="center"/>
          </w:tcPr>
          <w:p>
            <w:pPr>
              <w:jc w:val="center"/>
              <w:rPr>
                <w:rFonts w:ascii="宋体" w:hAnsi="宋体" w:eastAsia="宋体" w:cs="宋体"/>
                <w:sz w:val="24"/>
                <w:szCs w:val="24"/>
              </w:rPr>
            </w:pPr>
            <w:r>
              <w:rPr>
                <w:rFonts w:hint="eastAsia" w:ascii="宋体" w:hAnsi="宋体" w:eastAsia="宋体" w:cs="宋体"/>
                <w:sz w:val="24"/>
                <w:szCs w:val="24"/>
              </w:rPr>
              <w:t>认证情况</w:t>
            </w:r>
          </w:p>
        </w:tc>
        <w:tc>
          <w:tcPr>
            <w:tcW w:w="3131" w:type="dxa"/>
            <w:gridSpan w:val="2"/>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3" w:hRule="atLeast"/>
          <w:jc w:val="center"/>
        </w:trPr>
        <w:tc>
          <w:tcPr>
            <w:tcW w:w="9288" w:type="dxa"/>
            <w:gridSpan w:val="5"/>
            <w:vAlign w:val="center"/>
          </w:tcPr>
          <w:p>
            <w:pPr>
              <w:jc w:val="center"/>
              <w:rPr>
                <w:rFonts w:ascii="宋体" w:hAnsi="宋体" w:eastAsia="宋体" w:cs="宋体"/>
                <w:sz w:val="24"/>
                <w:szCs w:val="24"/>
              </w:rPr>
            </w:pPr>
            <w:r>
              <w:rPr>
                <w:rFonts w:hint="eastAsia" w:ascii="宋体" w:hAnsi="宋体" w:eastAsia="宋体" w:cs="宋体"/>
                <w:sz w:val="24"/>
                <w:szCs w:val="24"/>
              </w:rPr>
              <w:t>公司简介</w:t>
            </w:r>
          </w:p>
          <w:p>
            <w:pPr>
              <w:jc w:val="center"/>
              <w:rPr>
                <w:rFonts w:ascii="宋体" w:hAnsi="宋体" w:eastAsia="宋体" w:cs="宋体"/>
                <w:sz w:val="24"/>
                <w:szCs w:val="24"/>
              </w:rPr>
            </w:pPr>
          </w:p>
          <w:p>
            <w:pPr>
              <w:jc w:val="center"/>
              <w:rPr>
                <w:rFonts w:ascii="宋体" w:hAnsi="宋体" w:eastAsia="宋体" w:cs="宋体"/>
                <w:sz w:val="24"/>
                <w:szCs w:val="24"/>
              </w:rPr>
            </w:pPr>
          </w:p>
          <w:p>
            <w:pPr>
              <w:jc w:val="center"/>
              <w:rPr>
                <w:rFonts w:ascii="宋体" w:hAnsi="宋体" w:eastAsia="宋体" w:cs="宋体"/>
                <w:sz w:val="24"/>
                <w:szCs w:val="24"/>
              </w:rPr>
            </w:pPr>
          </w:p>
          <w:p>
            <w:pPr>
              <w:rPr>
                <w:rFonts w:ascii="宋体" w:hAnsi="宋体" w:eastAsia="宋体" w:cs="宋体"/>
                <w:sz w:val="24"/>
                <w:szCs w:val="24"/>
              </w:rPr>
            </w:pPr>
          </w:p>
        </w:tc>
      </w:tr>
    </w:tbl>
    <w:p>
      <w:pPr>
        <w:rPr>
          <w:rFonts w:ascii="宋体" w:hAnsi="宋体" w:eastAsia="宋体" w:cs="宋体"/>
          <w:sz w:val="24"/>
          <w:szCs w:val="24"/>
        </w:rPr>
      </w:pPr>
      <w:r>
        <w:rPr>
          <w:rFonts w:hint="eastAsia" w:ascii="宋体" w:hAnsi="宋体" w:eastAsia="宋体" w:cs="宋体"/>
          <w:b/>
          <w:szCs w:val="24"/>
        </w:rPr>
        <w:t>注：此表后应附营业执照等企业证明材料复印件。</w:t>
      </w:r>
    </w:p>
    <w:p>
      <w:pPr>
        <w:spacing w:line="560" w:lineRule="exact"/>
        <w:ind w:firstLine="4320" w:firstLineChars="1800"/>
        <w:jc w:val="left"/>
        <w:rPr>
          <w:rFonts w:ascii="宋体" w:hAnsi="宋体" w:eastAsia="宋体" w:cs="宋体"/>
          <w:sz w:val="24"/>
          <w:szCs w:val="24"/>
        </w:rPr>
      </w:pPr>
      <w:r>
        <w:rPr>
          <w:rFonts w:hint="eastAsia" w:ascii="宋体" w:hAnsi="宋体" w:eastAsia="宋体" w:cs="宋体"/>
          <w:sz w:val="24"/>
          <w:szCs w:val="24"/>
        </w:rPr>
        <w:t xml:space="preserve">供应商名称：（盖章）        </w:t>
      </w:r>
    </w:p>
    <w:p>
      <w:pPr>
        <w:spacing w:line="560" w:lineRule="exact"/>
        <w:jc w:val="left"/>
        <w:rPr>
          <w:rFonts w:ascii="宋体" w:hAnsi="宋体" w:eastAsia="宋体" w:cs="宋体"/>
          <w:sz w:val="24"/>
          <w:szCs w:val="24"/>
        </w:rPr>
      </w:pPr>
      <w:r>
        <w:rPr>
          <w:rFonts w:hint="eastAsia" w:ascii="宋体" w:hAnsi="宋体" w:eastAsia="宋体" w:cs="宋体"/>
          <w:sz w:val="24"/>
          <w:szCs w:val="24"/>
        </w:rPr>
        <w:t xml:space="preserve">                                    法定代表人或委托代理人(签字)：</w:t>
      </w:r>
    </w:p>
    <w:p>
      <w:pPr>
        <w:spacing w:line="560" w:lineRule="exact"/>
        <w:jc w:val="center"/>
        <w:rPr>
          <w:rFonts w:ascii="宋体" w:hAnsi="宋体" w:eastAsia="宋体" w:cs="宋体"/>
          <w:sz w:val="24"/>
          <w:szCs w:val="24"/>
        </w:rPr>
      </w:pPr>
      <w:r>
        <w:rPr>
          <w:rFonts w:hint="eastAsia" w:ascii="宋体" w:hAnsi="宋体" w:eastAsia="宋体" w:cs="宋体"/>
          <w:sz w:val="24"/>
          <w:szCs w:val="24"/>
        </w:rPr>
        <w:t xml:space="preserve">                      日  期：   年  月   日</w:t>
      </w:r>
      <w:r>
        <w:rPr>
          <w:rFonts w:hint="eastAsia" w:ascii="宋体" w:hAnsi="宋体" w:eastAsia="宋体" w:cs="宋体"/>
          <w:sz w:val="24"/>
          <w:szCs w:val="24"/>
        </w:rPr>
        <w:tab/>
      </w:r>
    </w:p>
    <w:p>
      <w:pPr>
        <w:tabs>
          <w:tab w:val="left" w:pos="3150"/>
        </w:tabs>
        <w:spacing w:line="560" w:lineRule="exact"/>
        <w:jc w:val="left"/>
        <w:rPr>
          <w:rFonts w:ascii="宋体" w:hAnsi="宋体" w:eastAsia="宋体" w:cs="宋体"/>
          <w:b/>
          <w:sz w:val="24"/>
          <w:szCs w:val="24"/>
        </w:rPr>
        <w:sectPr>
          <w:pgSz w:w="11906" w:h="16838"/>
          <w:pgMar w:top="1587" w:right="1587" w:bottom="1587" w:left="1587" w:header="1247" w:footer="992" w:gutter="0"/>
          <w:cols w:space="0" w:num="1"/>
          <w:docGrid w:linePitch="312" w:charSpace="0"/>
        </w:sectPr>
      </w:pPr>
    </w:p>
    <w:p>
      <w:pPr>
        <w:jc w:val="center"/>
        <w:outlineLvl w:val="1"/>
        <w:rPr>
          <w:rFonts w:ascii="宋体" w:hAnsi="宋体" w:eastAsia="宋体" w:cs="宋体"/>
          <w:b/>
          <w:sz w:val="24"/>
          <w:szCs w:val="24"/>
        </w:rPr>
      </w:pPr>
      <w:bookmarkStart w:id="145" w:name="_Toc12570"/>
      <w:r>
        <w:rPr>
          <w:rFonts w:hint="eastAsia" w:ascii="宋体" w:hAnsi="宋体" w:eastAsia="宋体" w:cs="宋体"/>
          <w:b/>
          <w:sz w:val="24"/>
          <w:szCs w:val="24"/>
        </w:rPr>
        <w:t>（二）拟派本项目负责人情况表</w:t>
      </w:r>
      <w:bookmarkEnd w:id="145"/>
    </w:p>
    <w:p>
      <w:pPr>
        <w:spacing w:line="400" w:lineRule="exact"/>
        <w:jc w:val="center"/>
        <w:rPr>
          <w:rFonts w:ascii="宋体" w:hAnsi="宋体" w:eastAsia="宋体" w:cs="宋体"/>
          <w:b/>
          <w:sz w:val="24"/>
          <w:szCs w:val="24"/>
        </w:rPr>
      </w:pPr>
    </w:p>
    <w:tbl>
      <w:tblPr>
        <w:tblStyle w:val="27"/>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573"/>
        <w:gridCol w:w="2351"/>
        <w:gridCol w:w="2426"/>
        <w:gridCol w:w="2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2223" w:type="dxa"/>
            <w:gridSpan w:val="2"/>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姓  名</w:t>
            </w:r>
          </w:p>
        </w:tc>
        <w:tc>
          <w:tcPr>
            <w:tcW w:w="2351" w:type="dxa"/>
            <w:vAlign w:val="center"/>
          </w:tcPr>
          <w:p>
            <w:pPr>
              <w:spacing w:line="360" w:lineRule="auto"/>
              <w:jc w:val="center"/>
              <w:rPr>
                <w:rFonts w:ascii="宋体" w:hAnsi="宋体" w:eastAsia="宋体" w:cs="宋体"/>
                <w:sz w:val="24"/>
                <w:szCs w:val="24"/>
              </w:rPr>
            </w:pPr>
          </w:p>
        </w:tc>
        <w:tc>
          <w:tcPr>
            <w:tcW w:w="2426"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年  龄</w:t>
            </w:r>
          </w:p>
        </w:tc>
        <w:tc>
          <w:tcPr>
            <w:tcW w:w="2639" w:type="dxa"/>
            <w:vAlign w:val="center"/>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2223" w:type="dxa"/>
            <w:gridSpan w:val="2"/>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学  历</w:t>
            </w:r>
          </w:p>
        </w:tc>
        <w:tc>
          <w:tcPr>
            <w:tcW w:w="7416" w:type="dxa"/>
            <w:gridSpan w:val="3"/>
            <w:vAlign w:val="center"/>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2223" w:type="dxa"/>
            <w:gridSpan w:val="2"/>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职  务</w:t>
            </w:r>
          </w:p>
        </w:tc>
        <w:tc>
          <w:tcPr>
            <w:tcW w:w="7416" w:type="dxa"/>
            <w:gridSpan w:val="3"/>
            <w:vAlign w:val="center"/>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4574" w:type="dxa"/>
            <w:gridSpan w:val="3"/>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从事咨询服务工作年限</w:t>
            </w:r>
          </w:p>
        </w:tc>
        <w:tc>
          <w:tcPr>
            <w:tcW w:w="5065" w:type="dxa"/>
            <w:gridSpan w:val="2"/>
            <w:vAlign w:val="center"/>
          </w:tcPr>
          <w:p>
            <w:pPr>
              <w:spacing w:line="360" w:lineRule="auto"/>
              <w:ind w:firstLine="48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4574" w:type="dxa"/>
            <w:gridSpan w:val="3"/>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在本项目中拟担任的职务</w:t>
            </w:r>
          </w:p>
        </w:tc>
        <w:tc>
          <w:tcPr>
            <w:tcW w:w="5065" w:type="dxa"/>
            <w:gridSpan w:val="2"/>
            <w:vAlign w:val="center"/>
          </w:tcPr>
          <w:p>
            <w:pPr>
              <w:spacing w:line="360" w:lineRule="auto"/>
              <w:ind w:firstLine="48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37" w:hRule="atLeast"/>
          <w:jc w:val="center"/>
        </w:trPr>
        <w:tc>
          <w:tcPr>
            <w:tcW w:w="4574" w:type="dxa"/>
            <w:gridSpan w:val="3"/>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负责人资格证书</w:t>
            </w:r>
          </w:p>
        </w:tc>
        <w:tc>
          <w:tcPr>
            <w:tcW w:w="5065" w:type="dxa"/>
            <w:gridSpan w:val="2"/>
            <w:vAlign w:val="center"/>
          </w:tcPr>
          <w:p>
            <w:pPr>
              <w:spacing w:line="360" w:lineRule="auto"/>
              <w:ind w:firstLine="48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4574" w:type="dxa"/>
            <w:gridSpan w:val="3"/>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负责人参与财政部评审专家</w:t>
            </w:r>
          </w:p>
        </w:tc>
        <w:tc>
          <w:tcPr>
            <w:tcW w:w="5065" w:type="dxa"/>
            <w:gridSpan w:val="2"/>
            <w:vAlign w:val="center"/>
          </w:tcPr>
          <w:p>
            <w:pPr>
              <w:spacing w:line="360" w:lineRule="auto"/>
              <w:ind w:firstLine="48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2223" w:type="dxa"/>
            <w:gridSpan w:val="2"/>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联系方式</w:t>
            </w:r>
          </w:p>
        </w:tc>
        <w:tc>
          <w:tcPr>
            <w:tcW w:w="7416" w:type="dxa"/>
            <w:gridSpan w:val="3"/>
            <w:vAlign w:val="center"/>
          </w:tcPr>
          <w:p>
            <w:pPr>
              <w:spacing w:line="360" w:lineRule="auto"/>
              <w:ind w:firstLine="48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639" w:type="dxa"/>
            <w:gridSpan w:val="5"/>
            <w:vAlign w:val="center"/>
          </w:tcPr>
          <w:p>
            <w:pPr>
              <w:spacing w:line="360" w:lineRule="auto"/>
              <w:ind w:firstLine="480"/>
              <w:jc w:val="center"/>
              <w:rPr>
                <w:rFonts w:ascii="宋体" w:hAnsi="宋体" w:eastAsia="宋体" w:cs="宋体"/>
                <w:sz w:val="24"/>
                <w:szCs w:val="24"/>
              </w:rPr>
            </w:pPr>
            <w:r>
              <w:rPr>
                <w:rFonts w:hint="eastAsia" w:ascii="宋体" w:hAnsi="宋体" w:eastAsia="宋体" w:cs="宋体"/>
                <w:sz w:val="24"/>
                <w:szCs w:val="24"/>
              </w:rPr>
              <w:t>2014年1月1日以来承担过的咨询服务项目业绩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50"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时间</w:t>
            </w:r>
          </w:p>
        </w:tc>
        <w:tc>
          <w:tcPr>
            <w:tcW w:w="7989" w:type="dxa"/>
            <w:gridSpan w:val="4"/>
            <w:vAlign w:val="center"/>
          </w:tcPr>
          <w:p>
            <w:pPr>
              <w:spacing w:line="360" w:lineRule="auto"/>
              <w:ind w:firstLine="480"/>
              <w:jc w:val="center"/>
              <w:rPr>
                <w:rFonts w:ascii="宋体" w:hAnsi="宋体" w:eastAsia="宋体" w:cs="宋体"/>
                <w:sz w:val="24"/>
                <w:szCs w:val="24"/>
              </w:rPr>
            </w:pPr>
            <w:r>
              <w:rPr>
                <w:rFonts w:hint="eastAsia" w:ascii="宋体" w:hAnsi="宋体" w:eastAsia="宋体" w:cs="宋体"/>
                <w:sz w:val="24"/>
                <w:szCs w:val="24"/>
              </w:rPr>
              <w:t>（咨询服务内容及本人承担工作）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50" w:type="dxa"/>
            <w:vAlign w:val="center"/>
          </w:tcPr>
          <w:p>
            <w:pPr>
              <w:jc w:val="center"/>
              <w:rPr>
                <w:rFonts w:ascii="宋体" w:hAnsi="宋体" w:eastAsia="宋体" w:cs="宋体"/>
                <w:b/>
                <w:bCs/>
                <w:szCs w:val="21"/>
              </w:rPr>
            </w:pPr>
          </w:p>
        </w:tc>
        <w:tc>
          <w:tcPr>
            <w:tcW w:w="7989" w:type="dxa"/>
            <w:gridSpan w:val="4"/>
          </w:tcPr>
          <w:p>
            <w:pP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1650" w:type="dxa"/>
            <w:vAlign w:val="center"/>
          </w:tcPr>
          <w:p>
            <w:pPr>
              <w:jc w:val="center"/>
              <w:rPr>
                <w:rFonts w:ascii="宋体" w:hAnsi="宋体" w:eastAsia="宋体" w:cs="宋体"/>
                <w:b/>
                <w:bCs/>
                <w:szCs w:val="21"/>
              </w:rPr>
            </w:pPr>
          </w:p>
        </w:tc>
        <w:tc>
          <w:tcPr>
            <w:tcW w:w="7989" w:type="dxa"/>
            <w:gridSpan w:val="4"/>
          </w:tcPr>
          <w:p>
            <w:pP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50" w:type="dxa"/>
            <w:vAlign w:val="center"/>
          </w:tcPr>
          <w:p>
            <w:pPr>
              <w:jc w:val="center"/>
              <w:rPr>
                <w:rFonts w:ascii="宋体" w:hAnsi="宋体" w:eastAsia="宋体" w:cs="宋体"/>
                <w:b/>
                <w:bCs/>
                <w:szCs w:val="21"/>
              </w:rPr>
            </w:pPr>
          </w:p>
        </w:tc>
        <w:tc>
          <w:tcPr>
            <w:tcW w:w="7989" w:type="dxa"/>
            <w:gridSpan w:val="4"/>
          </w:tcPr>
          <w:p>
            <w:pP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50" w:type="dxa"/>
            <w:vAlign w:val="center"/>
          </w:tcPr>
          <w:p>
            <w:pPr>
              <w:jc w:val="center"/>
              <w:rPr>
                <w:rFonts w:ascii="宋体" w:hAnsi="宋体" w:eastAsia="宋体" w:cs="宋体"/>
                <w:b/>
                <w:bCs/>
                <w:szCs w:val="21"/>
              </w:rPr>
            </w:pPr>
          </w:p>
        </w:tc>
        <w:tc>
          <w:tcPr>
            <w:tcW w:w="7989" w:type="dxa"/>
            <w:gridSpan w:val="4"/>
          </w:tcPr>
          <w:p>
            <w:pP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50" w:type="dxa"/>
            <w:vAlign w:val="center"/>
          </w:tcPr>
          <w:p>
            <w:pPr>
              <w:jc w:val="center"/>
              <w:rPr>
                <w:rFonts w:ascii="宋体" w:hAnsi="宋体" w:eastAsia="宋体" w:cs="宋体"/>
                <w:b/>
                <w:bCs/>
                <w:szCs w:val="21"/>
              </w:rPr>
            </w:pPr>
          </w:p>
        </w:tc>
        <w:tc>
          <w:tcPr>
            <w:tcW w:w="7989" w:type="dxa"/>
            <w:gridSpan w:val="4"/>
          </w:tcPr>
          <w:p>
            <w:pPr>
              <w:rPr>
                <w:rFonts w:ascii="宋体" w:hAnsi="宋体" w:eastAsia="宋体" w:cs="宋体"/>
                <w:b/>
                <w:bCs/>
                <w:szCs w:val="21"/>
              </w:rPr>
            </w:pPr>
          </w:p>
        </w:tc>
      </w:tr>
    </w:tbl>
    <w:p>
      <w:pPr>
        <w:spacing w:line="400" w:lineRule="exact"/>
        <w:jc w:val="left"/>
        <w:rPr>
          <w:rFonts w:ascii="宋体" w:hAnsi="宋体" w:eastAsia="宋体" w:cs="宋体"/>
          <w:b/>
          <w:bCs/>
          <w:sz w:val="30"/>
          <w:szCs w:val="24"/>
        </w:rPr>
      </w:pPr>
      <w:r>
        <w:rPr>
          <w:rFonts w:hint="eastAsia" w:ascii="宋体" w:hAnsi="宋体" w:eastAsia="宋体" w:cs="宋体"/>
          <w:sz w:val="24"/>
          <w:szCs w:val="24"/>
        </w:rPr>
        <w:t>注：后附证件、合同等相关材料复印件。</w:t>
      </w:r>
    </w:p>
    <w:p>
      <w:pPr>
        <w:spacing w:line="400" w:lineRule="exact"/>
        <w:jc w:val="center"/>
        <w:rPr>
          <w:rFonts w:ascii="宋体" w:hAnsi="宋体" w:eastAsia="宋体" w:cs="宋体"/>
          <w:b/>
          <w:bCs/>
          <w:sz w:val="30"/>
          <w:szCs w:val="24"/>
        </w:rPr>
      </w:pPr>
    </w:p>
    <w:p>
      <w:pPr>
        <w:spacing w:line="560" w:lineRule="exact"/>
        <w:ind w:firstLine="3840" w:firstLineChars="1600"/>
        <w:jc w:val="left"/>
        <w:rPr>
          <w:rFonts w:ascii="宋体" w:hAnsi="宋体" w:eastAsia="宋体" w:cs="宋体"/>
          <w:sz w:val="24"/>
          <w:szCs w:val="24"/>
        </w:rPr>
      </w:pPr>
      <w:r>
        <w:rPr>
          <w:rFonts w:hint="eastAsia" w:ascii="宋体" w:hAnsi="宋体" w:eastAsia="宋体" w:cs="宋体"/>
          <w:sz w:val="24"/>
          <w:szCs w:val="24"/>
        </w:rPr>
        <w:t xml:space="preserve">供应商名称：（盖章）        </w:t>
      </w:r>
    </w:p>
    <w:p>
      <w:pPr>
        <w:spacing w:line="560" w:lineRule="exact"/>
        <w:jc w:val="center"/>
        <w:rPr>
          <w:rFonts w:ascii="宋体" w:hAnsi="宋体" w:eastAsia="宋体" w:cs="宋体"/>
          <w:sz w:val="24"/>
          <w:szCs w:val="24"/>
        </w:rPr>
      </w:pPr>
      <w:r>
        <w:rPr>
          <w:rFonts w:hint="eastAsia" w:ascii="宋体" w:hAnsi="宋体" w:eastAsia="宋体" w:cs="宋体"/>
          <w:sz w:val="24"/>
          <w:szCs w:val="24"/>
        </w:rPr>
        <w:t xml:space="preserve">                 法定代表人或委托代理人(签字)</w:t>
      </w:r>
    </w:p>
    <w:p>
      <w:pPr>
        <w:spacing w:line="560" w:lineRule="exact"/>
        <w:jc w:val="center"/>
        <w:rPr>
          <w:rFonts w:ascii="宋体" w:hAnsi="宋体" w:eastAsia="宋体" w:cs="宋体"/>
          <w:sz w:val="24"/>
          <w:szCs w:val="24"/>
        </w:rPr>
      </w:pPr>
      <w:r>
        <w:rPr>
          <w:rFonts w:hint="eastAsia" w:ascii="宋体" w:hAnsi="宋体" w:eastAsia="宋体" w:cs="宋体"/>
          <w:sz w:val="24"/>
          <w:szCs w:val="24"/>
        </w:rPr>
        <w:t xml:space="preserve">           日期：   年  月   日</w:t>
      </w:r>
      <w:r>
        <w:rPr>
          <w:rFonts w:hint="eastAsia" w:ascii="宋体" w:hAnsi="宋体" w:eastAsia="宋体" w:cs="宋体"/>
          <w:sz w:val="24"/>
          <w:szCs w:val="24"/>
        </w:rPr>
        <w:tab/>
      </w:r>
    </w:p>
    <w:p>
      <w:pPr>
        <w:tabs>
          <w:tab w:val="left" w:pos="3150"/>
        </w:tabs>
        <w:spacing w:line="560" w:lineRule="exact"/>
        <w:jc w:val="left"/>
        <w:rPr>
          <w:rFonts w:ascii="宋体" w:hAnsi="宋体" w:eastAsia="宋体" w:cs="宋体"/>
          <w:b/>
          <w:sz w:val="24"/>
          <w:szCs w:val="24"/>
        </w:rPr>
      </w:pPr>
    </w:p>
    <w:p>
      <w:pPr>
        <w:jc w:val="center"/>
        <w:outlineLvl w:val="1"/>
        <w:rPr>
          <w:rFonts w:ascii="宋体" w:hAnsi="宋体" w:eastAsia="宋体" w:cs="宋体"/>
          <w:b/>
          <w:sz w:val="24"/>
          <w:szCs w:val="24"/>
        </w:rPr>
      </w:pPr>
      <w:bookmarkStart w:id="146" w:name="_Toc24058"/>
      <w:r>
        <w:rPr>
          <w:rFonts w:hint="eastAsia" w:ascii="宋体" w:hAnsi="宋体" w:eastAsia="宋体" w:cs="宋体"/>
          <w:b/>
          <w:sz w:val="24"/>
          <w:szCs w:val="24"/>
        </w:rPr>
        <w:t>（三）拟派本项目组成员情况一览表</w:t>
      </w:r>
      <w:bookmarkEnd w:id="146"/>
    </w:p>
    <w:p>
      <w:pPr>
        <w:rPr>
          <w:rFonts w:ascii="宋体" w:hAnsi="宋体"/>
          <w:b/>
          <w:sz w:val="28"/>
          <w:szCs w:val="28"/>
        </w:rPr>
      </w:pPr>
    </w:p>
    <w:tbl>
      <w:tblPr>
        <w:tblStyle w:val="27"/>
        <w:tblW w:w="958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0"/>
        <w:gridCol w:w="1478"/>
        <w:gridCol w:w="1155"/>
        <w:gridCol w:w="840"/>
        <w:gridCol w:w="1500"/>
        <w:gridCol w:w="1500"/>
        <w:gridCol w:w="1559"/>
        <w:gridCol w:w="8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2"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pStyle w:val="13"/>
              <w:spacing w:before="120" w:beforeLines="50" w:after="120" w:afterLines="50" w:line="300" w:lineRule="auto"/>
              <w:jc w:val="center"/>
              <w:rPr>
                <w:sz w:val="24"/>
                <w:szCs w:val="24"/>
              </w:rPr>
            </w:pPr>
            <w:r>
              <w:rPr>
                <w:sz w:val="24"/>
                <w:szCs w:val="24"/>
              </w:rPr>
              <w:t>序号</w:t>
            </w:r>
          </w:p>
        </w:tc>
        <w:tc>
          <w:tcPr>
            <w:tcW w:w="1478" w:type="dxa"/>
            <w:tcBorders>
              <w:top w:val="single" w:color="auto" w:sz="4" w:space="0"/>
              <w:left w:val="single" w:color="auto" w:sz="4" w:space="0"/>
              <w:bottom w:val="single" w:color="auto" w:sz="4" w:space="0"/>
              <w:right w:val="single" w:color="auto" w:sz="4" w:space="0"/>
            </w:tcBorders>
            <w:vAlign w:val="center"/>
          </w:tcPr>
          <w:p>
            <w:pPr>
              <w:pStyle w:val="13"/>
              <w:spacing w:before="120" w:beforeLines="50" w:after="120" w:afterLines="50" w:line="300" w:lineRule="auto"/>
              <w:jc w:val="center"/>
              <w:rPr>
                <w:sz w:val="24"/>
                <w:szCs w:val="24"/>
              </w:rPr>
            </w:pPr>
            <w:r>
              <w:rPr>
                <w:sz w:val="24"/>
                <w:szCs w:val="24"/>
              </w:rPr>
              <w:t>姓名</w:t>
            </w:r>
          </w:p>
        </w:tc>
        <w:tc>
          <w:tcPr>
            <w:tcW w:w="1155" w:type="dxa"/>
            <w:tcBorders>
              <w:top w:val="single" w:color="auto" w:sz="4" w:space="0"/>
              <w:left w:val="single" w:color="auto" w:sz="4" w:space="0"/>
              <w:bottom w:val="single" w:color="auto" w:sz="4" w:space="0"/>
              <w:right w:val="single" w:color="auto" w:sz="4" w:space="0"/>
            </w:tcBorders>
            <w:vAlign w:val="center"/>
          </w:tcPr>
          <w:p>
            <w:pPr>
              <w:pStyle w:val="13"/>
              <w:spacing w:before="120" w:beforeLines="50" w:after="120" w:afterLines="50" w:line="300" w:lineRule="auto"/>
              <w:jc w:val="center"/>
              <w:rPr>
                <w:sz w:val="24"/>
                <w:szCs w:val="24"/>
              </w:rPr>
            </w:pPr>
            <w:r>
              <w:rPr>
                <w:sz w:val="24"/>
                <w:szCs w:val="24"/>
              </w:rPr>
              <w:t>性别</w:t>
            </w:r>
          </w:p>
        </w:tc>
        <w:tc>
          <w:tcPr>
            <w:tcW w:w="840" w:type="dxa"/>
            <w:tcBorders>
              <w:top w:val="single" w:color="auto" w:sz="4" w:space="0"/>
              <w:left w:val="single" w:color="auto" w:sz="4" w:space="0"/>
              <w:bottom w:val="single" w:color="auto" w:sz="4" w:space="0"/>
              <w:right w:val="single" w:color="auto" w:sz="4" w:space="0"/>
            </w:tcBorders>
            <w:vAlign w:val="center"/>
          </w:tcPr>
          <w:p>
            <w:pPr>
              <w:pStyle w:val="13"/>
              <w:spacing w:before="120" w:beforeLines="50" w:after="120" w:afterLines="50" w:line="300" w:lineRule="auto"/>
              <w:jc w:val="center"/>
              <w:rPr>
                <w:sz w:val="24"/>
                <w:szCs w:val="24"/>
              </w:rPr>
            </w:pPr>
            <w:r>
              <w:rPr>
                <w:sz w:val="24"/>
                <w:szCs w:val="24"/>
              </w:rPr>
              <w:t>年龄</w:t>
            </w:r>
          </w:p>
        </w:tc>
        <w:tc>
          <w:tcPr>
            <w:tcW w:w="1500" w:type="dxa"/>
            <w:tcBorders>
              <w:top w:val="single" w:color="auto" w:sz="4" w:space="0"/>
              <w:left w:val="single" w:color="auto" w:sz="4" w:space="0"/>
              <w:bottom w:val="single" w:color="auto" w:sz="4" w:space="0"/>
              <w:right w:val="single" w:color="auto" w:sz="4" w:space="0"/>
            </w:tcBorders>
            <w:vAlign w:val="center"/>
          </w:tcPr>
          <w:p>
            <w:pPr>
              <w:pStyle w:val="13"/>
              <w:spacing w:before="120" w:beforeLines="50" w:after="120" w:afterLines="50" w:line="300" w:lineRule="auto"/>
              <w:jc w:val="center"/>
              <w:rPr>
                <w:sz w:val="24"/>
                <w:szCs w:val="24"/>
              </w:rPr>
            </w:pPr>
            <w:r>
              <w:rPr>
                <w:sz w:val="24"/>
                <w:szCs w:val="24"/>
              </w:rPr>
              <w:t>职称</w:t>
            </w:r>
          </w:p>
        </w:tc>
        <w:tc>
          <w:tcPr>
            <w:tcW w:w="1500" w:type="dxa"/>
            <w:tcBorders>
              <w:top w:val="single" w:color="auto" w:sz="4" w:space="0"/>
              <w:left w:val="single" w:color="auto" w:sz="4" w:space="0"/>
              <w:bottom w:val="single" w:color="auto" w:sz="4" w:space="0"/>
              <w:right w:val="single" w:color="auto" w:sz="4" w:space="0"/>
            </w:tcBorders>
            <w:vAlign w:val="center"/>
          </w:tcPr>
          <w:p>
            <w:pPr>
              <w:pStyle w:val="13"/>
              <w:spacing w:before="120" w:beforeLines="50" w:after="120" w:afterLines="50" w:line="300" w:lineRule="auto"/>
              <w:jc w:val="center"/>
              <w:rPr>
                <w:sz w:val="24"/>
                <w:szCs w:val="24"/>
              </w:rPr>
            </w:pPr>
            <w:r>
              <w:rPr>
                <w:sz w:val="24"/>
                <w:szCs w:val="24"/>
              </w:rPr>
              <w:t>执业资格</w:t>
            </w:r>
          </w:p>
          <w:p>
            <w:pPr>
              <w:pStyle w:val="13"/>
              <w:spacing w:before="120" w:beforeLines="50" w:after="120" w:afterLines="50" w:line="300" w:lineRule="auto"/>
              <w:jc w:val="center"/>
              <w:rPr>
                <w:sz w:val="24"/>
                <w:szCs w:val="24"/>
              </w:rPr>
            </w:pPr>
            <w:r>
              <w:rPr>
                <w:sz w:val="24"/>
                <w:szCs w:val="24"/>
              </w:rPr>
              <w:t>名称</w:t>
            </w:r>
          </w:p>
        </w:tc>
        <w:tc>
          <w:tcPr>
            <w:tcW w:w="1559" w:type="dxa"/>
            <w:tcBorders>
              <w:top w:val="single" w:color="auto" w:sz="4" w:space="0"/>
              <w:left w:val="single" w:color="auto" w:sz="4" w:space="0"/>
              <w:bottom w:val="single" w:color="auto" w:sz="4" w:space="0"/>
              <w:right w:val="single" w:color="auto" w:sz="4" w:space="0"/>
            </w:tcBorders>
            <w:vAlign w:val="center"/>
          </w:tcPr>
          <w:p>
            <w:pPr>
              <w:pStyle w:val="13"/>
              <w:spacing w:before="120" w:beforeLines="50" w:after="120" w:afterLines="50" w:line="300" w:lineRule="auto"/>
              <w:jc w:val="center"/>
              <w:rPr>
                <w:sz w:val="24"/>
                <w:szCs w:val="24"/>
              </w:rPr>
            </w:pPr>
            <w:r>
              <w:rPr>
                <w:sz w:val="24"/>
                <w:szCs w:val="24"/>
              </w:rPr>
              <w:t>在本项目</w:t>
            </w:r>
          </w:p>
          <w:p>
            <w:pPr>
              <w:pStyle w:val="13"/>
              <w:spacing w:before="120" w:beforeLines="50" w:after="120" w:afterLines="50" w:line="300" w:lineRule="auto"/>
              <w:jc w:val="center"/>
              <w:rPr>
                <w:sz w:val="24"/>
                <w:szCs w:val="24"/>
              </w:rPr>
            </w:pPr>
            <w:r>
              <w:rPr>
                <w:sz w:val="24"/>
                <w:szCs w:val="24"/>
              </w:rPr>
              <w:t>担任职务</w:t>
            </w:r>
          </w:p>
        </w:tc>
        <w:tc>
          <w:tcPr>
            <w:tcW w:w="826" w:type="dxa"/>
            <w:tcBorders>
              <w:top w:val="single" w:color="auto" w:sz="4" w:space="0"/>
              <w:left w:val="single" w:color="auto" w:sz="4" w:space="0"/>
              <w:bottom w:val="single" w:color="auto" w:sz="4" w:space="0"/>
              <w:right w:val="single" w:color="auto" w:sz="4" w:space="0"/>
            </w:tcBorders>
            <w:vAlign w:val="center"/>
          </w:tcPr>
          <w:p>
            <w:pPr>
              <w:pStyle w:val="13"/>
              <w:spacing w:before="120" w:beforeLines="50" w:after="120" w:afterLines="50" w:line="300" w:lineRule="auto"/>
              <w:jc w:val="center"/>
              <w:rPr>
                <w:sz w:val="24"/>
                <w:szCs w:val="24"/>
              </w:rPr>
            </w:pPr>
            <w:r>
              <w:rPr>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2" w:hRule="atLeast"/>
          <w:jc w:val="center"/>
        </w:trPr>
        <w:tc>
          <w:tcPr>
            <w:tcW w:w="730" w:type="dxa"/>
            <w:tcBorders>
              <w:top w:val="single" w:color="auto" w:sz="4" w:space="0"/>
              <w:left w:val="single" w:color="auto" w:sz="4" w:space="0"/>
              <w:bottom w:val="single" w:color="auto" w:sz="4" w:space="0"/>
              <w:right w:val="single" w:color="auto" w:sz="4" w:space="0"/>
            </w:tcBorders>
          </w:tcPr>
          <w:p>
            <w:pPr>
              <w:pStyle w:val="13"/>
              <w:spacing w:before="120" w:beforeLines="50" w:after="120" w:afterLines="50" w:line="300" w:lineRule="auto"/>
              <w:rPr>
                <w:sz w:val="24"/>
                <w:szCs w:val="24"/>
              </w:rPr>
            </w:pPr>
          </w:p>
        </w:tc>
        <w:tc>
          <w:tcPr>
            <w:tcW w:w="1478" w:type="dxa"/>
            <w:tcBorders>
              <w:top w:val="single" w:color="auto" w:sz="4" w:space="0"/>
              <w:left w:val="single" w:color="auto" w:sz="4" w:space="0"/>
              <w:bottom w:val="single" w:color="auto" w:sz="4" w:space="0"/>
              <w:right w:val="single" w:color="auto" w:sz="4" w:space="0"/>
            </w:tcBorders>
          </w:tcPr>
          <w:p>
            <w:pPr>
              <w:pStyle w:val="13"/>
              <w:spacing w:before="120" w:beforeLines="50" w:after="120" w:afterLines="50" w:line="300" w:lineRule="auto"/>
              <w:rPr>
                <w:sz w:val="24"/>
                <w:szCs w:val="24"/>
              </w:rPr>
            </w:pPr>
          </w:p>
        </w:tc>
        <w:tc>
          <w:tcPr>
            <w:tcW w:w="1155" w:type="dxa"/>
            <w:tcBorders>
              <w:top w:val="single" w:color="auto" w:sz="4" w:space="0"/>
              <w:left w:val="single" w:color="auto" w:sz="4" w:space="0"/>
              <w:bottom w:val="single" w:color="auto" w:sz="4" w:space="0"/>
              <w:right w:val="single" w:color="auto" w:sz="4" w:space="0"/>
            </w:tcBorders>
          </w:tcPr>
          <w:p>
            <w:pPr>
              <w:pStyle w:val="13"/>
              <w:spacing w:before="120" w:beforeLines="50" w:after="120" w:afterLines="50" w:line="300" w:lineRule="auto"/>
              <w:rPr>
                <w:sz w:val="24"/>
                <w:szCs w:val="24"/>
              </w:rPr>
            </w:pPr>
          </w:p>
        </w:tc>
        <w:tc>
          <w:tcPr>
            <w:tcW w:w="840" w:type="dxa"/>
            <w:tcBorders>
              <w:top w:val="single" w:color="auto" w:sz="4" w:space="0"/>
              <w:left w:val="single" w:color="auto" w:sz="4" w:space="0"/>
              <w:bottom w:val="single" w:color="auto" w:sz="4" w:space="0"/>
              <w:right w:val="single" w:color="auto" w:sz="4" w:space="0"/>
            </w:tcBorders>
          </w:tcPr>
          <w:p>
            <w:pPr>
              <w:pStyle w:val="13"/>
              <w:spacing w:before="120" w:beforeLines="50" w:after="120" w:afterLines="50" w:line="300" w:lineRule="auto"/>
              <w:rPr>
                <w:sz w:val="24"/>
                <w:szCs w:val="24"/>
              </w:rPr>
            </w:pPr>
          </w:p>
        </w:tc>
        <w:tc>
          <w:tcPr>
            <w:tcW w:w="1500" w:type="dxa"/>
            <w:tcBorders>
              <w:top w:val="single" w:color="auto" w:sz="4" w:space="0"/>
              <w:left w:val="single" w:color="auto" w:sz="4" w:space="0"/>
              <w:bottom w:val="single" w:color="auto" w:sz="4" w:space="0"/>
              <w:right w:val="single" w:color="auto" w:sz="4" w:space="0"/>
            </w:tcBorders>
          </w:tcPr>
          <w:p>
            <w:pPr>
              <w:pStyle w:val="13"/>
              <w:spacing w:before="120" w:beforeLines="50" w:after="120" w:afterLines="50" w:line="300" w:lineRule="auto"/>
              <w:rPr>
                <w:sz w:val="24"/>
                <w:szCs w:val="24"/>
              </w:rPr>
            </w:pPr>
          </w:p>
        </w:tc>
        <w:tc>
          <w:tcPr>
            <w:tcW w:w="1500" w:type="dxa"/>
            <w:tcBorders>
              <w:top w:val="single" w:color="auto" w:sz="4" w:space="0"/>
              <w:left w:val="single" w:color="auto" w:sz="4" w:space="0"/>
              <w:bottom w:val="single" w:color="auto" w:sz="4" w:space="0"/>
              <w:right w:val="single" w:color="auto" w:sz="4" w:space="0"/>
            </w:tcBorders>
          </w:tcPr>
          <w:p>
            <w:pPr>
              <w:pStyle w:val="13"/>
              <w:spacing w:before="120" w:beforeLines="50" w:after="120" w:afterLines="50" w:line="300" w:lineRule="auto"/>
              <w:rPr>
                <w:sz w:val="24"/>
                <w:szCs w:val="24"/>
              </w:rPr>
            </w:pPr>
          </w:p>
        </w:tc>
        <w:tc>
          <w:tcPr>
            <w:tcW w:w="1559" w:type="dxa"/>
            <w:tcBorders>
              <w:top w:val="single" w:color="auto" w:sz="4" w:space="0"/>
              <w:left w:val="single" w:color="auto" w:sz="4" w:space="0"/>
              <w:bottom w:val="single" w:color="auto" w:sz="4" w:space="0"/>
              <w:right w:val="single" w:color="auto" w:sz="4" w:space="0"/>
            </w:tcBorders>
          </w:tcPr>
          <w:p>
            <w:pPr>
              <w:pStyle w:val="13"/>
              <w:spacing w:before="120" w:beforeLines="50" w:after="120" w:afterLines="50" w:line="300" w:lineRule="auto"/>
              <w:rPr>
                <w:sz w:val="24"/>
                <w:szCs w:val="24"/>
              </w:rPr>
            </w:pPr>
          </w:p>
        </w:tc>
        <w:tc>
          <w:tcPr>
            <w:tcW w:w="826" w:type="dxa"/>
            <w:tcBorders>
              <w:top w:val="single" w:color="auto" w:sz="4" w:space="0"/>
              <w:left w:val="single" w:color="auto" w:sz="4" w:space="0"/>
              <w:bottom w:val="single" w:color="auto" w:sz="4" w:space="0"/>
              <w:right w:val="single" w:color="auto" w:sz="4" w:space="0"/>
            </w:tcBorders>
          </w:tcPr>
          <w:p>
            <w:pPr>
              <w:pStyle w:val="13"/>
              <w:spacing w:before="120" w:beforeLines="50" w:after="120" w:afterLines="50" w:line="30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jc w:val="center"/>
        </w:trPr>
        <w:tc>
          <w:tcPr>
            <w:tcW w:w="730" w:type="dxa"/>
            <w:tcBorders>
              <w:top w:val="single" w:color="auto" w:sz="4" w:space="0"/>
              <w:left w:val="single" w:color="auto" w:sz="4" w:space="0"/>
              <w:bottom w:val="single" w:color="auto" w:sz="4" w:space="0"/>
              <w:right w:val="single" w:color="auto" w:sz="4" w:space="0"/>
            </w:tcBorders>
          </w:tcPr>
          <w:p>
            <w:pPr>
              <w:pStyle w:val="13"/>
              <w:spacing w:before="120" w:beforeLines="50" w:after="120" w:afterLines="50" w:line="300" w:lineRule="auto"/>
              <w:rPr>
                <w:sz w:val="24"/>
                <w:szCs w:val="24"/>
              </w:rPr>
            </w:pPr>
          </w:p>
        </w:tc>
        <w:tc>
          <w:tcPr>
            <w:tcW w:w="1478" w:type="dxa"/>
            <w:tcBorders>
              <w:top w:val="single" w:color="auto" w:sz="4" w:space="0"/>
              <w:left w:val="single" w:color="auto" w:sz="4" w:space="0"/>
              <w:bottom w:val="single" w:color="auto" w:sz="4" w:space="0"/>
              <w:right w:val="single" w:color="auto" w:sz="4" w:space="0"/>
            </w:tcBorders>
          </w:tcPr>
          <w:p>
            <w:pPr>
              <w:pStyle w:val="13"/>
              <w:spacing w:before="120" w:beforeLines="50" w:after="120" w:afterLines="50" w:line="300" w:lineRule="auto"/>
              <w:rPr>
                <w:sz w:val="24"/>
                <w:szCs w:val="24"/>
              </w:rPr>
            </w:pPr>
          </w:p>
        </w:tc>
        <w:tc>
          <w:tcPr>
            <w:tcW w:w="1155" w:type="dxa"/>
            <w:tcBorders>
              <w:top w:val="single" w:color="auto" w:sz="4" w:space="0"/>
              <w:left w:val="single" w:color="auto" w:sz="4" w:space="0"/>
              <w:bottom w:val="single" w:color="auto" w:sz="4" w:space="0"/>
              <w:right w:val="single" w:color="auto" w:sz="4" w:space="0"/>
            </w:tcBorders>
          </w:tcPr>
          <w:p>
            <w:pPr>
              <w:pStyle w:val="13"/>
              <w:spacing w:before="120" w:beforeLines="50" w:after="120" w:afterLines="50" w:line="300" w:lineRule="auto"/>
              <w:rPr>
                <w:sz w:val="24"/>
                <w:szCs w:val="24"/>
              </w:rPr>
            </w:pPr>
          </w:p>
        </w:tc>
        <w:tc>
          <w:tcPr>
            <w:tcW w:w="840" w:type="dxa"/>
            <w:tcBorders>
              <w:top w:val="single" w:color="auto" w:sz="4" w:space="0"/>
              <w:left w:val="single" w:color="auto" w:sz="4" w:space="0"/>
              <w:bottom w:val="single" w:color="auto" w:sz="4" w:space="0"/>
              <w:right w:val="single" w:color="auto" w:sz="4" w:space="0"/>
            </w:tcBorders>
          </w:tcPr>
          <w:p>
            <w:pPr>
              <w:pStyle w:val="13"/>
              <w:spacing w:before="120" w:beforeLines="50" w:after="120" w:afterLines="50" w:line="300" w:lineRule="auto"/>
              <w:rPr>
                <w:sz w:val="24"/>
                <w:szCs w:val="24"/>
              </w:rPr>
            </w:pPr>
          </w:p>
        </w:tc>
        <w:tc>
          <w:tcPr>
            <w:tcW w:w="1500" w:type="dxa"/>
            <w:tcBorders>
              <w:top w:val="single" w:color="auto" w:sz="4" w:space="0"/>
              <w:left w:val="single" w:color="auto" w:sz="4" w:space="0"/>
              <w:bottom w:val="single" w:color="auto" w:sz="4" w:space="0"/>
              <w:right w:val="single" w:color="auto" w:sz="4" w:space="0"/>
            </w:tcBorders>
          </w:tcPr>
          <w:p>
            <w:pPr>
              <w:pStyle w:val="13"/>
              <w:spacing w:before="120" w:beforeLines="50" w:after="120" w:afterLines="50" w:line="300" w:lineRule="auto"/>
              <w:rPr>
                <w:sz w:val="24"/>
                <w:szCs w:val="24"/>
              </w:rPr>
            </w:pPr>
          </w:p>
        </w:tc>
        <w:tc>
          <w:tcPr>
            <w:tcW w:w="1500" w:type="dxa"/>
            <w:tcBorders>
              <w:top w:val="single" w:color="auto" w:sz="4" w:space="0"/>
              <w:left w:val="single" w:color="auto" w:sz="4" w:space="0"/>
              <w:bottom w:val="single" w:color="auto" w:sz="4" w:space="0"/>
              <w:right w:val="single" w:color="auto" w:sz="4" w:space="0"/>
            </w:tcBorders>
          </w:tcPr>
          <w:p>
            <w:pPr>
              <w:pStyle w:val="13"/>
              <w:spacing w:before="120" w:beforeLines="50" w:after="120" w:afterLines="50" w:line="300" w:lineRule="auto"/>
              <w:rPr>
                <w:sz w:val="24"/>
                <w:szCs w:val="24"/>
              </w:rPr>
            </w:pPr>
          </w:p>
        </w:tc>
        <w:tc>
          <w:tcPr>
            <w:tcW w:w="1559" w:type="dxa"/>
            <w:tcBorders>
              <w:top w:val="single" w:color="auto" w:sz="4" w:space="0"/>
              <w:left w:val="single" w:color="auto" w:sz="4" w:space="0"/>
              <w:bottom w:val="single" w:color="auto" w:sz="4" w:space="0"/>
              <w:right w:val="single" w:color="auto" w:sz="4" w:space="0"/>
            </w:tcBorders>
          </w:tcPr>
          <w:p>
            <w:pPr>
              <w:pStyle w:val="13"/>
              <w:spacing w:before="120" w:beforeLines="50" w:after="120" w:afterLines="50" w:line="300" w:lineRule="auto"/>
              <w:rPr>
                <w:sz w:val="24"/>
                <w:szCs w:val="24"/>
              </w:rPr>
            </w:pPr>
          </w:p>
        </w:tc>
        <w:tc>
          <w:tcPr>
            <w:tcW w:w="826" w:type="dxa"/>
            <w:tcBorders>
              <w:top w:val="single" w:color="auto" w:sz="4" w:space="0"/>
              <w:left w:val="single" w:color="auto" w:sz="4" w:space="0"/>
              <w:bottom w:val="single" w:color="auto" w:sz="4" w:space="0"/>
              <w:right w:val="single" w:color="auto" w:sz="4" w:space="0"/>
            </w:tcBorders>
          </w:tcPr>
          <w:p>
            <w:pPr>
              <w:pStyle w:val="13"/>
              <w:spacing w:before="120" w:beforeLines="50" w:after="120" w:afterLines="50" w:line="30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jc w:val="center"/>
        </w:trPr>
        <w:tc>
          <w:tcPr>
            <w:tcW w:w="730" w:type="dxa"/>
            <w:tcBorders>
              <w:top w:val="single" w:color="auto" w:sz="4" w:space="0"/>
              <w:left w:val="single" w:color="auto" w:sz="4" w:space="0"/>
              <w:bottom w:val="single" w:color="auto" w:sz="4" w:space="0"/>
              <w:right w:val="single" w:color="auto" w:sz="4" w:space="0"/>
            </w:tcBorders>
          </w:tcPr>
          <w:p>
            <w:pPr>
              <w:pStyle w:val="13"/>
              <w:spacing w:before="120" w:beforeLines="50" w:after="120" w:afterLines="50" w:line="300" w:lineRule="auto"/>
              <w:rPr>
                <w:sz w:val="24"/>
                <w:szCs w:val="24"/>
              </w:rPr>
            </w:pPr>
          </w:p>
        </w:tc>
        <w:tc>
          <w:tcPr>
            <w:tcW w:w="1478" w:type="dxa"/>
            <w:tcBorders>
              <w:top w:val="single" w:color="auto" w:sz="4" w:space="0"/>
              <w:left w:val="single" w:color="auto" w:sz="4" w:space="0"/>
              <w:bottom w:val="single" w:color="auto" w:sz="4" w:space="0"/>
              <w:right w:val="single" w:color="auto" w:sz="4" w:space="0"/>
            </w:tcBorders>
          </w:tcPr>
          <w:p>
            <w:pPr>
              <w:pStyle w:val="13"/>
              <w:spacing w:before="120" w:beforeLines="50" w:after="120" w:afterLines="50" w:line="300" w:lineRule="auto"/>
              <w:rPr>
                <w:sz w:val="24"/>
                <w:szCs w:val="24"/>
              </w:rPr>
            </w:pPr>
          </w:p>
        </w:tc>
        <w:tc>
          <w:tcPr>
            <w:tcW w:w="1155" w:type="dxa"/>
            <w:tcBorders>
              <w:top w:val="single" w:color="auto" w:sz="4" w:space="0"/>
              <w:left w:val="single" w:color="auto" w:sz="4" w:space="0"/>
              <w:bottom w:val="single" w:color="auto" w:sz="4" w:space="0"/>
              <w:right w:val="single" w:color="auto" w:sz="4" w:space="0"/>
            </w:tcBorders>
          </w:tcPr>
          <w:p>
            <w:pPr>
              <w:pStyle w:val="13"/>
              <w:spacing w:before="120" w:beforeLines="50" w:after="120" w:afterLines="50" w:line="300" w:lineRule="auto"/>
              <w:rPr>
                <w:sz w:val="24"/>
                <w:szCs w:val="24"/>
              </w:rPr>
            </w:pPr>
          </w:p>
        </w:tc>
        <w:tc>
          <w:tcPr>
            <w:tcW w:w="840" w:type="dxa"/>
            <w:tcBorders>
              <w:top w:val="single" w:color="auto" w:sz="4" w:space="0"/>
              <w:left w:val="single" w:color="auto" w:sz="4" w:space="0"/>
              <w:bottom w:val="single" w:color="auto" w:sz="4" w:space="0"/>
              <w:right w:val="single" w:color="auto" w:sz="4" w:space="0"/>
            </w:tcBorders>
          </w:tcPr>
          <w:p>
            <w:pPr>
              <w:pStyle w:val="13"/>
              <w:spacing w:before="120" w:beforeLines="50" w:after="120" w:afterLines="50" w:line="300" w:lineRule="auto"/>
              <w:rPr>
                <w:sz w:val="24"/>
                <w:szCs w:val="24"/>
              </w:rPr>
            </w:pPr>
          </w:p>
        </w:tc>
        <w:tc>
          <w:tcPr>
            <w:tcW w:w="1500" w:type="dxa"/>
            <w:tcBorders>
              <w:top w:val="single" w:color="auto" w:sz="4" w:space="0"/>
              <w:left w:val="single" w:color="auto" w:sz="4" w:space="0"/>
              <w:bottom w:val="single" w:color="auto" w:sz="4" w:space="0"/>
              <w:right w:val="single" w:color="auto" w:sz="4" w:space="0"/>
            </w:tcBorders>
          </w:tcPr>
          <w:p>
            <w:pPr>
              <w:pStyle w:val="13"/>
              <w:spacing w:before="120" w:beforeLines="50" w:after="120" w:afterLines="50" w:line="300" w:lineRule="auto"/>
              <w:rPr>
                <w:sz w:val="24"/>
                <w:szCs w:val="24"/>
              </w:rPr>
            </w:pPr>
          </w:p>
        </w:tc>
        <w:tc>
          <w:tcPr>
            <w:tcW w:w="1500" w:type="dxa"/>
            <w:tcBorders>
              <w:top w:val="single" w:color="auto" w:sz="4" w:space="0"/>
              <w:left w:val="single" w:color="auto" w:sz="4" w:space="0"/>
              <w:bottom w:val="single" w:color="auto" w:sz="4" w:space="0"/>
              <w:right w:val="single" w:color="auto" w:sz="4" w:space="0"/>
            </w:tcBorders>
          </w:tcPr>
          <w:p>
            <w:pPr>
              <w:pStyle w:val="13"/>
              <w:spacing w:before="120" w:beforeLines="50" w:after="120" w:afterLines="50" w:line="300" w:lineRule="auto"/>
              <w:rPr>
                <w:sz w:val="24"/>
                <w:szCs w:val="24"/>
              </w:rPr>
            </w:pPr>
          </w:p>
        </w:tc>
        <w:tc>
          <w:tcPr>
            <w:tcW w:w="1559" w:type="dxa"/>
            <w:tcBorders>
              <w:top w:val="single" w:color="auto" w:sz="4" w:space="0"/>
              <w:left w:val="single" w:color="auto" w:sz="4" w:space="0"/>
              <w:bottom w:val="single" w:color="auto" w:sz="4" w:space="0"/>
              <w:right w:val="single" w:color="auto" w:sz="4" w:space="0"/>
            </w:tcBorders>
          </w:tcPr>
          <w:p>
            <w:pPr>
              <w:pStyle w:val="13"/>
              <w:spacing w:before="120" w:beforeLines="50" w:after="120" w:afterLines="50" w:line="300" w:lineRule="auto"/>
              <w:rPr>
                <w:sz w:val="24"/>
                <w:szCs w:val="24"/>
              </w:rPr>
            </w:pPr>
          </w:p>
        </w:tc>
        <w:tc>
          <w:tcPr>
            <w:tcW w:w="826" w:type="dxa"/>
            <w:tcBorders>
              <w:top w:val="single" w:color="auto" w:sz="4" w:space="0"/>
              <w:left w:val="single" w:color="auto" w:sz="4" w:space="0"/>
              <w:bottom w:val="single" w:color="auto" w:sz="4" w:space="0"/>
              <w:right w:val="single" w:color="auto" w:sz="4" w:space="0"/>
            </w:tcBorders>
          </w:tcPr>
          <w:p>
            <w:pPr>
              <w:pStyle w:val="13"/>
              <w:spacing w:before="120" w:beforeLines="50" w:after="120" w:afterLines="50" w:line="30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jc w:val="center"/>
        </w:trPr>
        <w:tc>
          <w:tcPr>
            <w:tcW w:w="730" w:type="dxa"/>
            <w:tcBorders>
              <w:top w:val="single" w:color="auto" w:sz="4" w:space="0"/>
              <w:left w:val="single" w:color="auto" w:sz="4" w:space="0"/>
              <w:bottom w:val="single" w:color="auto" w:sz="4" w:space="0"/>
              <w:right w:val="single" w:color="auto" w:sz="4" w:space="0"/>
            </w:tcBorders>
          </w:tcPr>
          <w:p>
            <w:pPr>
              <w:pStyle w:val="13"/>
              <w:spacing w:before="120" w:beforeLines="50" w:after="120" w:afterLines="50" w:line="300" w:lineRule="auto"/>
              <w:rPr>
                <w:sz w:val="24"/>
                <w:szCs w:val="24"/>
              </w:rPr>
            </w:pPr>
          </w:p>
        </w:tc>
        <w:tc>
          <w:tcPr>
            <w:tcW w:w="1478" w:type="dxa"/>
            <w:tcBorders>
              <w:top w:val="single" w:color="auto" w:sz="4" w:space="0"/>
              <w:left w:val="single" w:color="auto" w:sz="4" w:space="0"/>
              <w:bottom w:val="single" w:color="auto" w:sz="4" w:space="0"/>
              <w:right w:val="single" w:color="auto" w:sz="4" w:space="0"/>
            </w:tcBorders>
          </w:tcPr>
          <w:p>
            <w:pPr>
              <w:pStyle w:val="13"/>
              <w:spacing w:before="120" w:beforeLines="50" w:after="120" w:afterLines="50" w:line="300" w:lineRule="auto"/>
              <w:rPr>
                <w:sz w:val="24"/>
                <w:szCs w:val="24"/>
              </w:rPr>
            </w:pPr>
          </w:p>
        </w:tc>
        <w:tc>
          <w:tcPr>
            <w:tcW w:w="1155" w:type="dxa"/>
            <w:tcBorders>
              <w:top w:val="single" w:color="auto" w:sz="4" w:space="0"/>
              <w:left w:val="single" w:color="auto" w:sz="4" w:space="0"/>
              <w:bottom w:val="single" w:color="auto" w:sz="4" w:space="0"/>
              <w:right w:val="single" w:color="auto" w:sz="4" w:space="0"/>
            </w:tcBorders>
          </w:tcPr>
          <w:p>
            <w:pPr>
              <w:pStyle w:val="13"/>
              <w:spacing w:before="120" w:beforeLines="50" w:after="120" w:afterLines="50" w:line="300" w:lineRule="auto"/>
              <w:rPr>
                <w:sz w:val="24"/>
                <w:szCs w:val="24"/>
              </w:rPr>
            </w:pPr>
          </w:p>
        </w:tc>
        <w:tc>
          <w:tcPr>
            <w:tcW w:w="840" w:type="dxa"/>
            <w:tcBorders>
              <w:top w:val="single" w:color="auto" w:sz="4" w:space="0"/>
              <w:left w:val="single" w:color="auto" w:sz="4" w:space="0"/>
              <w:bottom w:val="single" w:color="auto" w:sz="4" w:space="0"/>
              <w:right w:val="single" w:color="auto" w:sz="4" w:space="0"/>
            </w:tcBorders>
          </w:tcPr>
          <w:p>
            <w:pPr>
              <w:pStyle w:val="13"/>
              <w:spacing w:before="120" w:beforeLines="50" w:after="120" w:afterLines="50" w:line="300" w:lineRule="auto"/>
              <w:rPr>
                <w:sz w:val="24"/>
                <w:szCs w:val="24"/>
              </w:rPr>
            </w:pPr>
          </w:p>
        </w:tc>
        <w:tc>
          <w:tcPr>
            <w:tcW w:w="1500" w:type="dxa"/>
            <w:tcBorders>
              <w:top w:val="single" w:color="auto" w:sz="4" w:space="0"/>
              <w:left w:val="single" w:color="auto" w:sz="4" w:space="0"/>
              <w:bottom w:val="single" w:color="auto" w:sz="4" w:space="0"/>
              <w:right w:val="single" w:color="auto" w:sz="4" w:space="0"/>
            </w:tcBorders>
          </w:tcPr>
          <w:p>
            <w:pPr>
              <w:pStyle w:val="13"/>
              <w:spacing w:before="120" w:beforeLines="50" w:after="120" w:afterLines="50" w:line="300" w:lineRule="auto"/>
              <w:rPr>
                <w:sz w:val="24"/>
                <w:szCs w:val="24"/>
              </w:rPr>
            </w:pPr>
          </w:p>
        </w:tc>
        <w:tc>
          <w:tcPr>
            <w:tcW w:w="1500" w:type="dxa"/>
            <w:tcBorders>
              <w:top w:val="single" w:color="auto" w:sz="4" w:space="0"/>
              <w:left w:val="single" w:color="auto" w:sz="4" w:space="0"/>
              <w:bottom w:val="single" w:color="auto" w:sz="4" w:space="0"/>
              <w:right w:val="single" w:color="auto" w:sz="4" w:space="0"/>
            </w:tcBorders>
          </w:tcPr>
          <w:p>
            <w:pPr>
              <w:pStyle w:val="13"/>
              <w:spacing w:before="120" w:beforeLines="50" w:after="120" w:afterLines="50" w:line="300" w:lineRule="auto"/>
              <w:rPr>
                <w:sz w:val="24"/>
                <w:szCs w:val="24"/>
              </w:rPr>
            </w:pPr>
          </w:p>
        </w:tc>
        <w:tc>
          <w:tcPr>
            <w:tcW w:w="1559" w:type="dxa"/>
            <w:tcBorders>
              <w:top w:val="single" w:color="auto" w:sz="4" w:space="0"/>
              <w:left w:val="single" w:color="auto" w:sz="4" w:space="0"/>
              <w:bottom w:val="single" w:color="auto" w:sz="4" w:space="0"/>
              <w:right w:val="single" w:color="auto" w:sz="4" w:space="0"/>
            </w:tcBorders>
          </w:tcPr>
          <w:p>
            <w:pPr>
              <w:pStyle w:val="13"/>
              <w:spacing w:before="120" w:beforeLines="50" w:after="120" w:afterLines="50" w:line="300" w:lineRule="auto"/>
              <w:rPr>
                <w:sz w:val="24"/>
                <w:szCs w:val="24"/>
              </w:rPr>
            </w:pPr>
          </w:p>
        </w:tc>
        <w:tc>
          <w:tcPr>
            <w:tcW w:w="826" w:type="dxa"/>
            <w:tcBorders>
              <w:top w:val="single" w:color="auto" w:sz="4" w:space="0"/>
              <w:left w:val="single" w:color="auto" w:sz="4" w:space="0"/>
              <w:bottom w:val="single" w:color="auto" w:sz="4" w:space="0"/>
              <w:right w:val="single" w:color="auto" w:sz="4" w:space="0"/>
            </w:tcBorders>
          </w:tcPr>
          <w:p>
            <w:pPr>
              <w:pStyle w:val="13"/>
              <w:spacing w:before="120" w:beforeLines="50" w:after="120" w:afterLines="50" w:line="30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432" w:hRule="atLeast"/>
          <w:jc w:val="center"/>
        </w:trPr>
        <w:tc>
          <w:tcPr>
            <w:tcW w:w="730" w:type="dxa"/>
            <w:tcBorders>
              <w:top w:val="single" w:color="auto" w:sz="4" w:space="0"/>
              <w:left w:val="single" w:color="auto" w:sz="4" w:space="0"/>
              <w:bottom w:val="single" w:color="auto" w:sz="4" w:space="0"/>
              <w:right w:val="single" w:color="auto" w:sz="4" w:space="0"/>
            </w:tcBorders>
          </w:tcPr>
          <w:p>
            <w:pPr>
              <w:pStyle w:val="13"/>
              <w:spacing w:before="120" w:beforeLines="50" w:after="120" w:afterLines="50" w:line="300" w:lineRule="auto"/>
              <w:rPr>
                <w:sz w:val="24"/>
                <w:szCs w:val="24"/>
              </w:rPr>
            </w:pPr>
          </w:p>
        </w:tc>
        <w:tc>
          <w:tcPr>
            <w:tcW w:w="1478" w:type="dxa"/>
            <w:tcBorders>
              <w:top w:val="single" w:color="auto" w:sz="4" w:space="0"/>
              <w:left w:val="single" w:color="auto" w:sz="4" w:space="0"/>
              <w:bottom w:val="single" w:color="auto" w:sz="4" w:space="0"/>
              <w:right w:val="single" w:color="auto" w:sz="4" w:space="0"/>
            </w:tcBorders>
          </w:tcPr>
          <w:p>
            <w:pPr>
              <w:pStyle w:val="13"/>
              <w:spacing w:before="120" w:beforeLines="50" w:after="120" w:afterLines="50" w:line="300" w:lineRule="auto"/>
              <w:rPr>
                <w:sz w:val="24"/>
                <w:szCs w:val="24"/>
              </w:rPr>
            </w:pPr>
          </w:p>
        </w:tc>
        <w:tc>
          <w:tcPr>
            <w:tcW w:w="1155" w:type="dxa"/>
            <w:tcBorders>
              <w:top w:val="single" w:color="auto" w:sz="4" w:space="0"/>
              <w:left w:val="single" w:color="auto" w:sz="4" w:space="0"/>
              <w:bottom w:val="single" w:color="auto" w:sz="4" w:space="0"/>
              <w:right w:val="single" w:color="auto" w:sz="4" w:space="0"/>
            </w:tcBorders>
          </w:tcPr>
          <w:p>
            <w:pPr>
              <w:pStyle w:val="13"/>
              <w:spacing w:before="120" w:beforeLines="50" w:after="120" w:afterLines="50" w:line="300" w:lineRule="auto"/>
              <w:rPr>
                <w:sz w:val="24"/>
                <w:szCs w:val="24"/>
              </w:rPr>
            </w:pPr>
          </w:p>
        </w:tc>
        <w:tc>
          <w:tcPr>
            <w:tcW w:w="840" w:type="dxa"/>
            <w:tcBorders>
              <w:top w:val="single" w:color="auto" w:sz="4" w:space="0"/>
              <w:left w:val="single" w:color="auto" w:sz="4" w:space="0"/>
              <w:bottom w:val="single" w:color="auto" w:sz="4" w:space="0"/>
              <w:right w:val="single" w:color="auto" w:sz="4" w:space="0"/>
            </w:tcBorders>
          </w:tcPr>
          <w:p>
            <w:pPr>
              <w:pStyle w:val="13"/>
              <w:spacing w:before="120" w:beforeLines="50" w:after="120" w:afterLines="50" w:line="300" w:lineRule="auto"/>
              <w:rPr>
                <w:sz w:val="24"/>
                <w:szCs w:val="24"/>
              </w:rPr>
            </w:pPr>
          </w:p>
        </w:tc>
        <w:tc>
          <w:tcPr>
            <w:tcW w:w="1500" w:type="dxa"/>
            <w:tcBorders>
              <w:top w:val="single" w:color="auto" w:sz="4" w:space="0"/>
              <w:left w:val="single" w:color="auto" w:sz="4" w:space="0"/>
              <w:bottom w:val="single" w:color="auto" w:sz="4" w:space="0"/>
              <w:right w:val="single" w:color="auto" w:sz="4" w:space="0"/>
            </w:tcBorders>
          </w:tcPr>
          <w:p>
            <w:pPr>
              <w:pStyle w:val="13"/>
              <w:spacing w:before="120" w:beforeLines="50" w:after="120" w:afterLines="50" w:line="300" w:lineRule="auto"/>
              <w:rPr>
                <w:sz w:val="24"/>
                <w:szCs w:val="24"/>
              </w:rPr>
            </w:pPr>
          </w:p>
        </w:tc>
        <w:tc>
          <w:tcPr>
            <w:tcW w:w="1500" w:type="dxa"/>
            <w:tcBorders>
              <w:top w:val="single" w:color="auto" w:sz="4" w:space="0"/>
              <w:left w:val="single" w:color="auto" w:sz="4" w:space="0"/>
              <w:bottom w:val="single" w:color="auto" w:sz="4" w:space="0"/>
              <w:right w:val="single" w:color="auto" w:sz="4" w:space="0"/>
            </w:tcBorders>
          </w:tcPr>
          <w:p>
            <w:pPr>
              <w:pStyle w:val="13"/>
              <w:spacing w:before="120" w:beforeLines="50" w:after="120" w:afterLines="50" w:line="300" w:lineRule="auto"/>
              <w:rPr>
                <w:sz w:val="24"/>
                <w:szCs w:val="24"/>
              </w:rPr>
            </w:pPr>
          </w:p>
        </w:tc>
        <w:tc>
          <w:tcPr>
            <w:tcW w:w="1559" w:type="dxa"/>
            <w:tcBorders>
              <w:top w:val="single" w:color="auto" w:sz="4" w:space="0"/>
              <w:left w:val="single" w:color="auto" w:sz="4" w:space="0"/>
              <w:bottom w:val="single" w:color="auto" w:sz="4" w:space="0"/>
              <w:right w:val="single" w:color="auto" w:sz="4" w:space="0"/>
            </w:tcBorders>
          </w:tcPr>
          <w:p>
            <w:pPr>
              <w:pStyle w:val="13"/>
              <w:spacing w:before="120" w:beforeLines="50" w:after="120" w:afterLines="50" w:line="300" w:lineRule="auto"/>
              <w:rPr>
                <w:sz w:val="24"/>
                <w:szCs w:val="24"/>
              </w:rPr>
            </w:pPr>
          </w:p>
        </w:tc>
        <w:tc>
          <w:tcPr>
            <w:tcW w:w="826" w:type="dxa"/>
            <w:tcBorders>
              <w:top w:val="single" w:color="auto" w:sz="4" w:space="0"/>
              <w:left w:val="single" w:color="auto" w:sz="4" w:space="0"/>
              <w:bottom w:val="single" w:color="auto" w:sz="4" w:space="0"/>
              <w:right w:val="single" w:color="auto" w:sz="4" w:space="0"/>
            </w:tcBorders>
          </w:tcPr>
          <w:p>
            <w:pPr>
              <w:pStyle w:val="13"/>
              <w:spacing w:before="120" w:beforeLines="50" w:after="120" w:afterLines="50" w:line="30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6" w:hRule="atLeast"/>
          <w:jc w:val="center"/>
        </w:trPr>
        <w:tc>
          <w:tcPr>
            <w:tcW w:w="730" w:type="dxa"/>
            <w:tcBorders>
              <w:top w:val="single" w:color="auto" w:sz="4" w:space="0"/>
              <w:left w:val="single" w:color="auto" w:sz="4" w:space="0"/>
              <w:bottom w:val="single" w:color="auto" w:sz="4" w:space="0"/>
              <w:right w:val="single" w:color="auto" w:sz="4" w:space="0"/>
            </w:tcBorders>
          </w:tcPr>
          <w:p>
            <w:pPr>
              <w:pStyle w:val="13"/>
              <w:spacing w:before="120" w:beforeLines="50" w:after="120" w:afterLines="50" w:line="300" w:lineRule="auto"/>
              <w:rPr>
                <w:sz w:val="24"/>
                <w:szCs w:val="24"/>
              </w:rPr>
            </w:pPr>
          </w:p>
        </w:tc>
        <w:tc>
          <w:tcPr>
            <w:tcW w:w="1478" w:type="dxa"/>
            <w:tcBorders>
              <w:top w:val="single" w:color="auto" w:sz="4" w:space="0"/>
              <w:left w:val="single" w:color="auto" w:sz="4" w:space="0"/>
              <w:bottom w:val="single" w:color="auto" w:sz="4" w:space="0"/>
              <w:right w:val="single" w:color="auto" w:sz="4" w:space="0"/>
            </w:tcBorders>
          </w:tcPr>
          <w:p>
            <w:pPr>
              <w:pStyle w:val="13"/>
              <w:spacing w:before="120" w:beforeLines="50" w:after="120" w:afterLines="50" w:line="300" w:lineRule="auto"/>
              <w:rPr>
                <w:sz w:val="24"/>
                <w:szCs w:val="24"/>
              </w:rPr>
            </w:pPr>
          </w:p>
        </w:tc>
        <w:tc>
          <w:tcPr>
            <w:tcW w:w="1155" w:type="dxa"/>
            <w:tcBorders>
              <w:top w:val="single" w:color="auto" w:sz="4" w:space="0"/>
              <w:left w:val="single" w:color="auto" w:sz="4" w:space="0"/>
              <w:bottom w:val="single" w:color="auto" w:sz="4" w:space="0"/>
              <w:right w:val="single" w:color="auto" w:sz="4" w:space="0"/>
            </w:tcBorders>
          </w:tcPr>
          <w:p>
            <w:pPr>
              <w:pStyle w:val="13"/>
              <w:spacing w:before="120" w:beforeLines="50" w:after="120" w:afterLines="50" w:line="300" w:lineRule="auto"/>
              <w:rPr>
                <w:sz w:val="24"/>
                <w:szCs w:val="24"/>
              </w:rPr>
            </w:pPr>
          </w:p>
        </w:tc>
        <w:tc>
          <w:tcPr>
            <w:tcW w:w="840" w:type="dxa"/>
            <w:tcBorders>
              <w:top w:val="single" w:color="auto" w:sz="4" w:space="0"/>
              <w:left w:val="single" w:color="auto" w:sz="4" w:space="0"/>
              <w:bottom w:val="single" w:color="auto" w:sz="4" w:space="0"/>
              <w:right w:val="single" w:color="auto" w:sz="4" w:space="0"/>
            </w:tcBorders>
          </w:tcPr>
          <w:p>
            <w:pPr>
              <w:pStyle w:val="13"/>
              <w:spacing w:before="120" w:beforeLines="50" w:after="120" w:afterLines="50" w:line="300" w:lineRule="auto"/>
              <w:rPr>
                <w:sz w:val="24"/>
                <w:szCs w:val="24"/>
              </w:rPr>
            </w:pPr>
          </w:p>
        </w:tc>
        <w:tc>
          <w:tcPr>
            <w:tcW w:w="1500" w:type="dxa"/>
            <w:tcBorders>
              <w:top w:val="single" w:color="auto" w:sz="4" w:space="0"/>
              <w:left w:val="single" w:color="auto" w:sz="4" w:space="0"/>
              <w:bottom w:val="single" w:color="auto" w:sz="4" w:space="0"/>
              <w:right w:val="single" w:color="auto" w:sz="4" w:space="0"/>
            </w:tcBorders>
          </w:tcPr>
          <w:p>
            <w:pPr>
              <w:pStyle w:val="13"/>
              <w:spacing w:before="120" w:beforeLines="50" w:after="120" w:afterLines="50" w:line="300" w:lineRule="auto"/>
              <w:rPr>
                <w:sz w:val="24"/>
                <w:szCs w:val="24"/>
              </w:rPr>
            </w:pPr>
          </w:p>
        </w:tc>
        <w:tc>
          <w:tcPr>
            <w:tcW w:w="1500" w:type="dxa"/>
            <w:tcBorders>
              <w:top w:val="single" w:color="auto" w:sz="4" w:space="0"/>
              <w:left w:val="single" w:color="auto" w:sz="4" w:space="0"/>
              <w:bottom w:val="single" w:color="auto" w:sz="4" w:space="0"/>
              <w:right w:val="single" w:color="auto" w:sz="4" w:space="0"/>
            </w:tcBorders>
          </w:tcPr>
          <w:p>
            <w:pPr>
              <w:pStyle w:val="13"/>
              <w:spacing w:before="120" w:beforeLines="50" w:after="120" w:afterLines="50" w:line="300" w:lineRule="auto"/>
              <w:rPr>
                <w:sz w:val="24"/>
                <w:szCs w:val="24"/>
              </w:rPr>
            </w:pPr>
          </w:p>
        </w:tc>
        <w:tc>
          <w:tcPr>
            <w:tcW w:w="1559" w:type="dxa"/>
            <w:tcBorders>
              <w:top w:val="single" w:color="auto" w:sz="4" w:space="0"/>
              <w:left w:val="single" w:color="auto" w:sz="4" w:space="0"/>
              <w:bottom w:val="single" w:color="auto" w:sz="4" w:space="0"/>
              <w:right w:val="single" w:color="auto" w:sz="4" w:space="0"/>
            </w:tcBorders>
          </w:tcPr>
          <w:p>
            <w:pPr>
              <w:pStyle w:val="13"/>
              <w:spacing w:before="120" w:beforeLines="50" w:after="120" w:afterLines="50" w:line="300" w:lineRule="auto"/>
              <w:rPr>
                <w:sz w:val="24"/>
                <w:szCs w:val="24"/>
              </w:rPr>
            </w:pPr>
          </w:p>
        </w:tc>
        <w:tc>
          <w:tcPr>
            <w:tcW w:w="826" w:type="dxa"/>
            <w:tcBorders>
              <w:top w:val="single" w:color="auto" w:sz="4" w:space="0"/>
              <w:left w:val="single" w:color="auto" w:sz="4" w:space="0"/>
              <w:bottom w:val="single" w:color="auto" w:sz="4" w:space="0"/>
              <w:right w:val="single" w:color="auto" w:sz="4" w:space="0"/>
            </w:tcBorders>
          </w:tcPr>
          <w:p>
            <w:pPr>
              <w:pStyle w:val="13"/>
              <w:spacing w:before="120" w:beforeLines="50" w:after="120" w:afterLines="50" w:line="30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6" w:hRule="atLeast"/>
          <w:jc w:val="center"/>
        </w:trPr>
        <w:tc>
          <w:tcPr>
            <w:tcW w:w="730" w:type="dxa"/>
            <w:tcBorders>
              <w:top w:val="single" w:color="auto" w:sz="4" w:space="0"/>
              <w:left w:val="single" w:color="auto" w:sz="4" w:space="0"/>
              <w:bottom w:val="single" w:color="auto" w:sz="4" w:space="0"/>
              <w:right w:val="single" w:color="auto" w:sz="4" w:space="0"/>
            </w:tcBorders>
          </w:tcPr>
          <w:p>
            <w:pPr>
              <w:pStyle w:val="13"/>
              <w:spacing w:before="120" w:beforeLines="50" w:after="120" w:afterLines="50" w:line="300" w:lineRule="auto"/>
              <w:rPr>
                <w:sz w:val="24"/>
                <w:szCs w:val="24"/>
              </w:rPr>
            </w:pPr>
          </w:p>
        </w:tc>
        <w:tc>
          <w:tcPr>
            <w:tcW w:w="1478" w:type="dxa"/>
            <w:tcBorders>
              <w:top w:val="single" w:color="auto" w:sz="4" w:space="0"/>
              <w:left w:val="single" w:color="auto" w:sz="4" w:space="0"/>
              <w:bottom w:val="single" w:color="auto" w:sz="4" w:space="0"/>
              <w:right w:val="single" w:color="auto" w:sz="4" w:space="0"/>
            </w:tcBorders>
          </w:tcPr>
          <w:p>
            <w:pPr>
              <w:pStyle w:val="13"/>
              <w:spacing w:before="120" w:beforeLines="50" w:after="120" w:afterLines="50" w:line="300" w:lineRule="auto"/>
              <w:rPr>
                <w:sz w:val="24"/>
                <w:szCs w:val="24"/>
              </w:rPr>
            </w:pPr>
          </w:p>
        </w:tc>
        <w:tc>
          <w:tcPr>
            <w:tcW w:w="1155" w:type="dxa"/>
            <w:tcBorders>
              <w:top w:val="single" w:color="auto" w:sz="4" w:space="0"/>
              <w:left w:val="single" w:color="auto" w:sz="4" w:space="0"/>
              <w:bottom w:val="single" w:color="auto" w:sz="4" w:space="0"/>
              <w:right w:val="single" w:color="auto" w:sz="4" w:space="0"/>
            </w:tcBorders>
          </w:tcPr>
          <w:p>
            <w:pPr>
              <w:pStyle w:val="13"/>
              <w:spacing w:before="120" w:beforeLines="50" w:after="120" w:afterLines="50" w:line="300" w:lineRule="auto"/>
              <w:rPr>
                <w:sz w:val="24"/>
                <w:szCs w:val="24"/>
              </w:rPr>
            </w:pPr>
          </w:p>
        </w:tc>
        <w:tc>
          <w:tcPr>
            <w:tcW w:w="840" w:type="dxa"/>
            <w:tcBorders>
              <w:top w:val="single" w:color="auto" w:sz="4" w:space="0"/>
              <w:left w:val="single" w:color="auto" w:sz="4" w:space="0"/>
              <w:bottom w:val="single" w:color="auto" w:sz="4" w:space="0"/>
              <w:right w:val="single" w:color="auto" w:sz="4" w:space="0"/>
            </w:tcBorders>
          </w:tcPr>
          <w:p>
            <w:pPr>
              <w:pStyle w:val="13"/>
              <w:spacing w:before="120" w:beforeLines="50" w:after="120" w:afterLines="50" w:line="300" w:lineRule="auto"/>
              <w:rPr>
                <w:sz w:val="24"/>
                <w:szCs w:val="24"/>
              </w:rPr>
            </w:pPr>
          </w:p>
        </w:tc>
        <w:tc>
          <w:tcPr>
            <w:tcW w:w="1500" w:type="dxa"/>
            <w:tcBorders>
              <w:top w:val="single" w:color="auto" w:sz="4" w:space="0"/>
              <w:left w:val="single" w:color="auto" w:sz="4" w:space="0"/>
              <w:bottom w:val="single" w:color="auto" w:sz="4" w:space="0"/>
              <w:right w:val="single" w:color="auto" w:sz="4" w:space="0"/>
            </w:tcBorders>
          </w:tcPr>
          <w:p>
            <w:pPr>
              <w:pStyle w:val="13"/>
              <w:spacing w:before="120" w:beforeLines="50" w:after="120" w:afterLines="50" w:line="300" w:lineRule="auto"/>
              <w:rPr>
                <w:sz w:val="24"/>
                <w:szCs w:val="24"/>
              </w:rPr>
            </w:pPr>
          </w:p>
        </w:tc>
        <w:tc>
          <w:tcPr>
            <w:tcW w:w="1500" w:type="dxa"/>
            <w:tcBorders>
              <w:top w:val="single" w:color="auto" w:sz="4" w:space="0"/>
              <w:left w:val="single" w:color="auto" w:sz="4" w:space="0"/>
              <w:bottom w:val="single" w:color="auto" w:sz="4" w:space="0"/>
              <w:right w:val="single" w:color="auto" w:sz="4" w:space="0"/>
            </w:tcBorders>
          </w:tcPr>
          <w:p>
            <w:pPr>
              <w:pStyle w:val="13"/>
              <w:spacing w:before="120" w:beforeLines="50" w:after="120" w:afterLines="50" w:line="300" w:lineRule="auto"/>
              <w:rPr>
                <w:sz w:val="24"/>
                <w:szCs w:val="24"/>
              </w:rPr>
            </w:pPr>
          </w:p>
        </w:tc>
        <w:tc>
          <w:tcPr>
            <w:tcW w:w="1559" w:type="dxa"/>
            <w:tcBorders>
              <w:top w:val="single" w:color="auto" w:sz="4" w:space="0"/>
              <w:left w:val="single" w:color="auto" w:sz="4" w:space="0"/>
              <w:bottom w:val="single" w:color="auto" w:sz="4" w:space="0"/>
              <w:right w:val="single" w:color="auto" w:sz="4" w:space="0"/>
            </w:tcBorders>
          </w:tcPr>
          <w:p>
            <w:pPr>
              <w:pStyle w:val="13"/>
              <w:spacing w:before="120" w:beforeLines="50" w:after="120" w:afterLines="50" w:line="300" w:lineRule="auto"/>
              <w:rPr>
                <w:sz w:val="24"/>
                <w:szCs w:val="24"/>
              </w:rPr>
            </w:pPr>
          </w:p>
        </w:tc>
        <w:tc>
          <w:tcPr>
            <w:tcW w:w="826" w:type="dxa"/>
            <w:tcBorders>
              <w:top w:val="single" w:color="auto" w:sz="4" w:space="0"/>
              <w:left w:val="single" w:color="auto" w:sz="4" w:space="0"/>
              <w:bottom w:val="single" w:color="auto" w:sz="4" w:space="0"/>
              <w:right w:val="single" w:color="auto" w:sz="4" w:space="0"/>
            </w:tcBorders>
          </w:tcPr>
          <w:p>
            <w:pPr>
              <w:pStyle w:val="13"/>
              <w:spacing w:before="120" w:beforeLines="50" w:after="120" w:afterLines="50" w:line="300" w:lineRule="auto"/>
              <w:rPr>
                <w:sz w:val="24"/>
                <w:szCs w:val="24"/>
              </w:rPr>
            </w:pPr>
          </w:p>
        </w:tc>
      </w:tr>
    </w:tbl>
    <w:p>
      <w:pPr>
        <w:pStyle w:val="7"/>
        <w:spacing w:before="120" w:beforeLines="50" w:after="120" w:afterLines="50" w:line="300" w:lineRule="auto"/>
        <w:rPr>
          <w:sz w:val="24"/>
        </w:rPr>
      </w:pPr>
    </w:p>
    <w:p>
      <w:pPr>
        <w:pStyle w:val="7"/>
        <w:spacing w:before="120" w:beforeLines="50" w:after="120" w:afterLines="50" w:line="300" w:lineRule="auto"/>
        <w:rPr>
          <w:sz w:val="24"/>
        </w:rPr>
      </w:pPr>
      <w:r>
        <w:rPr>
          <w:sz w:val="24"/>
        </w:rPr>
        <w:t>注：</w:t>
      </w:r>
      <w:r>
        <w:rPr>
          <w:rFonts w:hint="eastAsia"/>
          <w:sz w:val="24"/>
        </w:rPr>
        <w:t>需提供相应的证明材料，详见招标文件第四部分评标办法中“评分标准”要求。</w:t>
      </w:r>
    </w:p>
    <w:p>
      <w:pPr>
        <w:tabs>
          <w:tab w:val="left" w:pos="3150"/>
        </w:tabs>
        <w:spacing w:line="560" w:lineRule="exact"/>
        <w:jc w:val="left"/>
        <w:rPr>
          <w:rFonts w:ascii="宋体" w:hAnsi="宋体" w:eastAsia="宋体" w:cs="宋体"/>
          <w:b/>
          <w:sz w:val="24"/>
          <w:szCs w:val="24"/>
        </w:rPr>
        <w:sectPr>
          <w:pgSz w:w="11906" w:h="16838"/>
          <w:pgMar w:top="1587" w:right="1587" w:bottom="1587" w:left="1587" w:header="1247" w:footer="992" w:gutter="0"/>
          <w:cols w:space="0" w:num="1"/>
          <w:docGrid w:linePitch="312" w:charSpace="0"/>
        </w:sectPr>
      </w:pPr>
    </w:p>
    <w:p>
      <w:pPr>
        <w:jc w:val="center"/>
        <w:outlineLvl w:val="1"/>
        <w:rPr>
          <w:rFonts w:ascii="宋体" w:hAnsi="宋体" w:eastAsia="宋体" w:cs="宋体"/>
          <w:b/>
          <w:sz w:val="24"/>
          <w:szCs w:val="24"/>
        </w:rPr>
      </w:pPr>
      <w:bookmarkStart w:id="147" w:name="_Toc30066"/>
      <w:r>
        <w:rPr>
          <w:rFonts w:hint="eastAsia" w:ascii="宋体" w:hAnsi="宋体" w:eastAsia="宋体" w:cs="宋体"/>
          <w:b/>
          <w:sz w:val="24"/>
          <w:szCs w:val="24"/>
        </w:rPr>
        <w:t>（四）其他企业相关资料</w:t>
      </w:r>
      <w:bookmarkEnd w:id="147"/>
    </w:p>
    <w:p>
      <w:pPr>
        <w:spacing w:line="360" w:lineRule="auto"/>
        <w:rPr>
          <w:rFonts w:ascii="宋体" w:hAnsi="宋体" w:eastAsia="宋体" w:cs="宋体"/>
          <w:sz w:val="24"/>
          <w:szCs w:val="24"/>
        </w:rPr>
      </w:pPr>
      <w:r>
        <w:rPr>
          <w:rFonts w:hint="eastAsia" w:ascii="宋体" w:hAnsi="宋体" w:eastAsia="宋体" w:cs="宋体"/>
          <w:sz w:val="24"/>
          <w:szCs w:val="24"/>
        </w:rPr>
        <w:t xml:space="preserve">       </w:t>
      </w:r>
    </w:p>
    <w:p>
      <w:pPr>
        <w:numPr>
          <w:ilvl w:val="0"/>
          <w:numId w:val="10"/>
        </w:numPr>
        <w:spacing w:line="360" w:lineRule="auto"/>
        <w:ind w:firstLine="960" w:firstLineChars="400"/>
        <w:rPr>
          <w:rFonts w:ascii="宋体" w:hAnsi="宋体" w:eastAsia="宋体" w:cs="宋体"/>
          <w:sz w:val="24"/>
          <w:szCs w:val="24"/>
        </w:rPr>
      </w:pPr>
      <w:r>
        <w:rPr>
          <w:rFonts w:hint="eastAsia" w:ascii="宋体" w:hAnsi="宋体" w:eastAsia="宋体" w:cs="宋体"/>
          <w:sz w:val="24"/>
          <w:szCs w:val="24"/>
        </w:rPr>
        <w:t>检察机关出具的行贿犯罪档案查询结果告知函复印件。</w:t>
      </w:r>
    </w:p>
    <w:p>
      <w:pPr>
        <w:numPr>
          <w:ilvl w:val="0"/>
          <w:numId w:val="10"/>
        </w:numPr>
        <w:spacing w:line="360" w:lineRule="auto"/>
        <w:ind w:firstLine="960" w:firstLineChars="400"/>
        <w:rPr>
          <w:rFonts w:ascii="宋体" w:hAnsi="宋体" w:eastAsia="宋体" w:cs="宋体"/>
          <w:sz w:val="24"/>
          <w:szCs w:val="24"/>
        </w:rPr>
      </w:pPr>
      <w:r>
        <w:rPr>
          <w:rFonts w:hint="eastAsia" w:ascii="宋体" w:hAnsi="宋体" w:eastAsia="宋体" w:cs="宋体"/>
          <w:sz w:val="24"/>
          <w:szCs w:val="24"/>
        </w:rPr>
        <w:t>未被列入失信被执行人、政府采购严重违法失信行为记录名单的供应商【通过“信用中国”网站（http://www.ccgp.gov.cn）</w:t>
      </w:r>
      <w:r>
        <w:rPr>
          <w:rFonts w:hint="eastAsia" w:ascii="宋体" w:hAnsi="宋体" w:eastAsia="宋体" w:cs="宋体"/>
          <w:sz w:val="24"/>
          <w:szCs w:val="24"/>
          <w:lang w:eastAsia="zh-CN"/>
        </w:rPr>
        <w:t>或</w:t>
      </w:r>
      <w:r>
        <w:rPr>
          <w:rFonts w:hint="eastAsia" w:ascii="宋体" w:hAnsi="宋体" w:eastAsia="宋体" w:cs="宋体"/>
          <w:sz w:val="24"/>
          <w:szCs w:val="24"/>
        </w:rPr>
        <w:t>河南省政府采购网（http://hngp.gov.cn）查询其信用记录】网页版截图。</w:t>
      </w:r>
    </w:p>
    <w:p>
      <w:pPr>
        <w:numPr>
          <w:ilvl w:val="0"/>
          <w:numId w:val="10"/>
        </w:numPr>
        <w:spacing w:line="360" w:lineRule="auto"/>
        <w:ind w:firstLine="960" w:firstLineChars="400"/>
        <w:rPr>
          <w:rFonts w:ascii="宋体" w:hAnsi="宋体" w:eastAsia="宋体" w:cs="宋体"/>
          <w:color w:val="auto"/>
          <w:sz w:val="24"/>
          <w:szCs w:val="24"/>
          <w:highlight w:val="yellow"/>
        </w:rPr>
      </w:pPr>
      <w:r>
        <w:rPr>
          <w:rFonts w:hint="eastAsia" w:ascii="宋体" w:hAnsi="宋体" w:eastAsia="宋体" w:cs="宋体"/>
          <w:color w:val="auto"/>
          <w:sz w:val="24"/>
          <w:szCs w:val="24"/>
          <w:highlight w:val="yellow"/>
        </w:rPr>
        <w:t>没有财务被接管、冻结、破产状态，提供</w:t>
      </w:r>
      <w:r>
        <w:rPr>
          <w:rFonts w:hint="eastAsia" w:ascii="宋体" w:hAnsi="宋体" w:eastAsia="宋体" w:cs="宋体"/>
          <w:color w:val="auto"/>
          <w:sz w:val="24"/>
          <w:szCs w:val="24"/>
          <w:highlight w:val="yellow"/>
          <w:lang w:eastAsia="zh-CN"/>
        </w:rPr>
        <w:t>近年度</w:t>
      </w:r>
      <w:r>
        <w:rPr>
          <w:rFonts w:hint="eastAsia" w:ascii="宋体" w:hAnsi="宋体" w:eastAsia="宋体" w:cs="宋体"/>
          <w:color w:val="auto"/>
          <w:sz w:val="24"/>
          <w:szCs w:val="24"/>
          <w:highlight w:val="yellow"/>
        </w:rPr>
        <w:t>经审计的财务状况报告（</w:t>
      </w:r>
      <w:r>
        <w:rPr>
          <w:rFonts w:hint="eastAsia" w:ascii="宋体" w:hAnsi="宋体" w:cs="宋体"/>
          <w:color w:val="auto"/>
          <w:kern w:val="0"/>
          <w:sz w:val="24"/>
          <w:szCs w:val="24"/>
          <w:highlight w:val="yellow"/>
          <w:shd w:val="clear" w:color="auto" w:fill="FFFFFF"/>
          <w:lang w:bidi="ar"/>
        </w:rPr>
        <w:t>新成立企业</w:t>
      </w:r>
      <w:r>
        <w:rPr>
          <w:rFonts w:hint="eastAsia" w:ascii="宋体" w:hAnsi="宋体"/>
          <w:color w:val="auto"/>
          <w:sz w:val="24"/>
          <w:szCs w:val="24"/>
          <w:highlight w:val="yellow"/>
          <w:lang w:eastAsia="zh-CN"/>
        </w:rPr>
        <w:t>按已有年份提供</w:t>
      </w:r>
      <w:r>
        <w:rPr>
          <w:rFonts w:hint="eastAsia" w:ascii="宋体" w:hAnsi="宋体" w:eastAsia="宋体" w:cs="宋体"/>
          <w:color w:val="auto"/>
          <w:sz w:val="24"/>
          <w:szCs w:val="24"/>
          <w:highlight w:val="yellow"/>
        </w:rPr>
        <w:t>）复印件</w:t>
      </w:r>
      <w:bookmarkStart w:id="158" w:name="_GoBack"/>
      <w:bookmarkEnd w:id="158"/>
      <w:r>
        <w:rPr>
          <w:rFonts w:hint="eastAsia" w:ascii="宋体" w:hAnsi="宋体" w:eastAsia="宋体" w:cs="宋体"/>
          <w:color w:val="auto"/>
          <w:sz w:val="24"/>
          <w:szCs w:val="24"/>
          <w:highlight w:val="yellow"/>
        </w:rPr>
        <w:t>。</w:t>
      </w:r>
    </w:p>
    <w:p>
      <w:pPr>
        <w:numPr>
          <w:ilvl w:val="0"/>
          <w:numId w:val="10"/>
        </w:numPr>
        <w:spacing w:line="360" w:lineRule="auto"/>
        <w:ind w:firstLine="960" w:firstLineChars="400"/>
        <w:rPr>
          <w:rFonts w:ascii="宋体" w:hAnsi="宋体" w:eastAsia="宋体" w:cs="宋体"/>
          <w:color w:val="FF0000"/>
          <w:sz w:val="24"/>
          <w:szCs w:val="24"/>
          <w:highlight w:val="yellow"/>
        </w:rPr>
      </w:pPr>
      <w:r>
        <w:rPr>
          <w:rFonts w:hint="eastAsia" w:ascii="宋体" w:hAnsi="宋体" w:eastAsia="宋体" w:cs="宋体"/>
          <w:color w:val="auto"/>
          <w:sz w:val="24"/>
          <w:szCs w:val="24"/>
          <w:highlight w:val="yellow"/>
          <w:lang w:eastAsia="zh-CN"/>
        </w:rPr>
        <w:t>企业</w:t>
      </w:r>
      <w:r>
        <w:rPr>
          <w:rFonts w:hint="eastAsia" w:ascii="宋体" w:hAnsi="宋体" w:eastAsia="宋体" w:cs="宋体"/>
          <w:color w:val="auto"/>
          <w:sz w:val="24"/>
          <w:szCs w:val="24"/>
          <w:highlight w:val="yellow"/>
        </w:rPr>
        <w:t>依法缴纳税收</w:t>
      </w:r>
      <w:r>
        <w:rPr>
          <w:rFonts w:hint="eastAsia" w:ascii="宋体" w:hAnsi="宋体" w:eastAsia="宋体" w:cs="宋体"/>
          <w:color w:val="FF0000"/>
          <w:sz w:val="24"/>
          <w:szCs w:val="24"/>
          <w:highlight w:val="yellow"/>
          <w:lang w:eastAsia="zh-CN"/>
        </w:rPr>
        <w:t>及</w:t>
      </w:r>
      <w:r>
        <w:rPr>
          <w:rFonts w:hint="eastAsia" w:ascii="宋体" w:hAnsi="宋体" w:eastAsia="宋体" w:cs="宋体"/>
          <w:color w:val="FF0000"/>
          <w:sz w:val="24"/>
          <w:szCs w:val="24"/>
          <w:highlight w:val="yellow"/>
        </w:rPr>
        <w:t>社会保障资金证明</w:t>
      </w:r>
      <w:r>
        <w:rPr>
          <w:rFonts w:hint="eastAsia" w:ascii="宋体" w:hAnsi="宋体" w:eastAsia="宋体" w:cs="宋体"/>
          <w:color w:val="FF0000"/>
          <w:sz w:val="24"/>
          <w:szCs w:val="24"/>
          <w:highlight w:val="yellow"/>
          <w:lang w:eastAsia="zh-CN"/>
        </w:rPr>
        <w:t>材料</w:t>
      </w:r>
      <w:r>
        <w:rPr>
          <w:rFonts w:hint="eastAsia" w:ascii="宋体" w:hAnsi="宋体" w:eastAsia="宋体" w:cs="宋体"/>
          <w:color w:val="FF0000"/>
          <w:sz w:val="24"/>
          <w:szCs w:val="24"/>
          <w:highlight w:val="yellow"/>
        </w:rPr>
        <w:t>。</w:t>
      </w:r>
    </w:p>
    <w:p>
      <w:pPr>
        <w:spacing w:line="360" w:lineRule="auto"/>
        <w:ind w:firstLine="960" w:firstLineChars="400"/>
        <w:rPr>
          <w:rFonts w:ascii="宋体" w:hAnsi="宋体" w:eastAsia="宋体" w:cs="宋体"/>
          <w:sz w:val="24"/>
          <w:szCs w:val="24"/>
        </w:rPr>
      </w:pPr>
      <w:r>
        <w:rPr>
          <w:rFonts w:hint="eastAsia" w:ascii="宋体" w:hAnsi="宋体" w:eastAsia="宋体" w:cs="宋体"/>
          <w:sz w:val="24"/>
          <w:szCs w:val="24"/>
        </w:rPr>
        <w:t>5.其他供应商认为应附的相关材料。</w:t>
      </w:r>
    </w:p>
    <w:p>
      <w:pPr>
        <w:widowControl/>
        <w:overflowPunct w:val="0"/>
        <w:autoSpaceDE w:val="0"/>
        <w:autoSpaceDN w:val="0"/>
        <w:adjustRightInd w:val="0"/>
        <w:spacing w:line="400" w:lineRule="atLeast"/>
        <w:jc w:val="left"/>
        <w:textAlignment w:val="baseline"/>
        <w:rPr>
          <w:rFonts w:ascii="宋体" w:hAnsi="宋体" w:eastAsia="宋体" w:cs="宋体"/>
          <w:b/>
          <w:bCs/>
          <w:kern w:val="0"/>
          <w:szCs w:val="20"/>
        </w:rPr>
      </w:pPr>
    </w:p>
    <w:p>
      <w:pPr>
        <w:widowControl/>
        <w:overflowPunct w:val="0"/>
        <w:autoSpaceDE w:val="0"/>
        <w:autoSpaceDN w:val="0"/>
        <w:adjustRightInd w:val="0"/>
        <w:spacing w:line="400" w:lineRule="atLeast"/>
        <w:jc w:val="center"/>
        <w:textAlignment w:val="baseline"/>
        <w:rPr>
          <w:rFonts w:ascii="宋体" w:hAnsi="宋体" w:eastAsia="宋体" w:cs="宋体"/>
          <w:b/>
          <w:bCs/>
          <w:kern w:val="0"/>
          <w:sz w:val="28"/>
          <w:szCs w:val="28"/>
        </w:rPr>
      </w:pPr>
      <w:r>
        <w:rPr>
          <w:rFonts w:hint="eastAsia" w:ascii="宋体" w:hAnsi="宋体" w:eastAsia="宋体" w:cs="宋体"/>
          <w:b/>
          <w:bCs/>
          <w:kern w:val="0"/>
          <w:sz w:val="28"/>
          <w:szCs w:val="28"/>
        </w:rPr>
        <w:t>（以上资料</w:t>
      </w:r>
      <w:r>
        <w:rPr>
          <w:rFonts w:hint="eastAsia" w:ascii="宋体" w:hAnsi="宋体" w:eastAsia="宋体" w:cs="宋体"/>
          <w:b/>
          <w:bCs/>
          <w:kern w:val="0"/>
          <w:sz w:val="28"/>
          <w:szCs w:val="28"/>
          <w:lang w:eastAsia="zh-CN"/>
        </w:rPr>
        <w:t>提供</w:t>
      </w:r>
      <w:r>
        <w:rPr>
          <w:rFonts w:hint="eastAsia" w:ascii="宋体" w:hAnsi="宋体" w:eastAsia="宋体" w:cs="宋体"/>
          <w:b/>
          <w:bCs/>
          <w:kern w:val="0"/>
          <w:sz w:val="28"/>
          <w:szCs w:val="28"/>
        </w:rPr>
        <w:t>复印件</w:t>
      </w:r>
      <w:r>
        <w:rPr>
          <w:rFonts w:hint="eastAsia" w:ascii="宋体" w:hAnsi="宋体" w:eastAsia="宋体" w:cs="宋体"/>
          <w:b/>
          <w:bCs/>
          <w:kern w:val="0"/>
          <w:sz w:val="28"/>
          <w:szCs w:val="28"/>
          <w:lang w:eastAsia="zh-CN"/>
        </w:rPr>
        <w:t>并</w:t>
      </w:r>
      <w:r>
        <w:rPr>
          <w:rFonts w:hint="eastAsia" w:ascii="宋体" w:hAnsi="宋体" w:eastAsia="宋体" w:cs="宋体"/>
          <w:b/>
          <w:bCs/>
          <w:kern w:val="0"/>
          <w:sz w:val="28"/>
          <w:szCs w:val="28"/>
        </w:rPr>
        <w:t>加盖公章附在投标文件中）</w:t>
      </w:r>
    </w:p>
    <w:p>
      <w:pPr>
        <w:widowControl/>
        <w:overflowPunct w:val="0"/>
        <w:autoSpaceDE w:val="0"/>
        <w:autoSpaceDN w:val="0"/>
        <w:adjustRightInd w:val="0"/>
        <w:spacing w:line="400" w:lineRule="atLeast"/>
        <w:jc w:val="left"/>
        <w:textAlignment w:val="baseline"/>
        <w:rPr>
          <w:rFonts w:ascii="宋体" w:hAnsi="宋体" w:eastAsia="宋体" w:cs="宋体"/>
          <w:b/>
          <w:bCs/>
          <w:kern w:val="0"/>
          <w:sz w:val="28"/>
          <w:szCs w:val="28"/>
        </w:rPr>
      </w:pPr>
    </w:p>
    <w:p>
      <w:pPr>
        <w:widowControl/>
        <w:overflowPunct w:val="0"/>
        <w:autoSpaceDE w:val="0"/>
        <w:autoSpaceDN w:val="0"/>
        <w:adjustRightInd w:val="0"/>
        <w:spacing w:line="400" w:lineRule="atLeast"/>
        <w:jc w:val="left"/>
        <w:textAlignment w:val="baseline"/>
        <w:rPr>
          <w:rFonts w:ascii="宋体" w:hAnsi="宋体" w:eastAsia="宋体" w:cs="宋体"/>
          <w:b/>
          <w:bCs/>
          <w:kern w:val="0"/>
          <w:szCs w:val="20"/>
        </w:rPr>
      </w:pPr>
    </w:p>
    <w:p>
      <w:pPr>
        <w:widowControl/>
        <w:overflowPunct w:val="0"/>
        <w:autoSpaceDE w:val="0"/>
        <w:autoSpaceDN w:val="0"/>
        <w:adjustRightInd w:val="0"/>
        <w:spacing w:line="400" w:lineRule="atLeast"/>
        <w:jc w:val="left"/>
        <w:textAlignment w:val="baseline"/>
        <w:rPr>
          <w:rFonts w:ascii="宋体" w:hAnsi="宋体" w:eastAsia="宋体" w:cs="宋体"/>
          <w:b/>
          <w:bCs/>
          <w:kern w:val="0"/>
          <w:szCs w:val="20"/>
        </w:rPr>
      </w:pPr>
    </w:p>
    <w:p>
      <w:pPr>
        <w:widowControl/>
        <w:overflowPunct w:val="0"/>
        <w:autoSpaceDE w:val="0"/>
        <w:autoSpaceDN w:val="0"/>
        <w:adjustRightInd w:val="0"/>
        <w:spacing w:line="400" w:lineRule="atLeast"/>
        <w:jc w:val="left"/>
        <w:textAlignment w:val="baseline"/>
        <w:rPr>
          <w:rFonts w:ascii="宋体" w:hAnsi="宋体" w:eastAsia="宋体" w:cs="宋体"/>
          <w:b/>
          <w:bCs/>
          <w:kern w:val="0"/>
          <w:szCs w:val="20"/>
        </w:rPr>
      </w:pPr>
    </w:p>
    <w:p>
      <w:pPr>
        <w:widowControl/>
        <w:overflowPunct w:val="0"/>
        <w:autoSpaceDE w:val="0"/>
        <w:autoSpaceDN w:val="0"/>
        <w:adjustRightInd w:val="0"/>
        <w:spacing w:line="400" w:lineRule="atLeast"/>
        <w:jc w:val="left"/>
        <w:textAlignment w:val="baseline"/>
        <w:rPr>
          <w:rFonts w:ascii="宋体" w:hAnsi="宋体" w:eastAsia="宋体" w:cs="宋体"/>
          <w:b/>
          <w:bCs/>
          <w:kern w:val="0"/>
          <w:szCs w:val="20"/>
        </w:rPr>
      </w:pPr>
    </w:p>
    <w:p>
      <w:pPr>
        <w:widowControl/>
        <w:overflowPunct w:val="0"/>
        <w:autoSpaceDE w:val="0"/>
        <w:autoSpaceDN w:val="0"/>
        <w:adjustRightInd w:val="0"/>
        <w:spacing w:line="400" w:lineRule="atLeast"/>
        <w:jc w:val="left"/>
        <w:textAlignment w:val="baseline"/>
        <w:rPr>
          <w:rFonts w:ascii="宋体" w:hAnsi="宋体" w:eastAsia="宋体" w:cs="宋体"/>
          <w:b/>
          <w:bCs/>
          <w:kern w:val="0"/>
          <w:szCs w:val="20"/>
        </w:rPr>
      </w:pPr>
    </w:p>
    <w:p>
      <w:pPr>
        <w:widowControl/>
        <w:overflowPunct w:val="0"/>
        <w:autoSpaceDE w:val="0"/>
        <w:autoSpaceDN w:val="0"/>
        <w:adjustRightInd w:val="0"/>
        <w:spacing w:line="400" w:lineRule="atLeast"/>
        <w:jc w:val="left"/>
        <w:textAlignment w:val="baseline"/>
        <w:rPr>
          <w:rFonts w:ascii="宋体" w:hAnsi="宋体" w:eastAsia="宋体" w:cs="宋体"/>
          <w:b/>
          <w:bCs/>
          <w:kern w:val="0"/>
          <w:szCs w:val="20"/>
        </w:rPr>
      </w:pPr>
    </w:p>
    <w:p>
      <w:pPr>
        <w:widowControl/>
        <w:overflowPunct w:val="0"/>
        <w:autoSpaceDE w:val="0"/>
        <w:autoSpaceDN w:val="0"/>
        <w:adjustRightInd w:val="0"/>
        <w:spacing w:line="400" w:lineRule="atLeast"/>
        <w:jc w:val="left"/>
        <w:textAlignment w:val="baseline"/>
        <w:rPr>
          <w:rFonts w:ascii="宋体" w:hAnsi="宋体" w:eastAsia="宋体" w:cs="宋体"/>
          <w:b/>
          <w:bCs/>
          <w:kern w:val="0"/>
          <w:szCs w:val="20"/>
        </w:rPr>
      </w:pPr>
    </w:p>
    <w:p>
      <w:pPr>
        <w:widowControl/>
        <w:overflowPunct w:val="0"/>
        <w:autoSpaceDE w:val="0"/>
        <w:autoSpaceDN w:val="0"/>
        <w:adjustRightInd w:val="0"/>
        <w:spacing w:line="400" w:lineRule="atLeast"/>
        <w:jc w:val="left"/>
        <w:textAlignment w:val="baseline"/>
        <w:rPr>
          <w:rFonts w:ascii="宋体" w:hAnsi="宋体" w:eastAsia="宋体" w:cs="宋体"/>
          <w:b/>
          <w:bCs/>
          <w:kern w:val="0"/>
          <w:szCs w:val="20"/>
        </w:rPr>
      </w:pPr>
    </w:p>
    <w:p>
      <w:pPr>
        <w:widowControl/>
        <w:overflowPunct w:val="0"/>
        <w:autoSpaceDE w:val="0"/>
        <w:autoSpaceDN w:val="0"/>
        <w:adjustRightInd w:val="0"/>
        <w:spacing w:line="400" w:lineRule="atLeast"/>
        <w:jc w:val="left"/>
        <w:textAlignment w:val="baseline"/>
        <w:rPr>
          <w:rFonts w:ascii="宋体" w:hAnsi="宋体" w:eastAsia="宋体" w:cs="宋体"/>
          <w:b/>
          <w:bCs/>
          <w:kern w:val="0"/>
          <w:szCs w:val="20"/>
        </w:rPr>
      </w:pPr>
    </w:p>
    <w:p>
      <w:pPr>
        <w:widowControl/>
        <w:overflowPunct w:val="0"/>
        <w:autoSpaceDE w:val="0"/>
        <w:autoSpaceDN w:val="0"/>
        <w:adjustRightInd w:val="0"/>
        <w:spacing w:line="400" w:lineRule="atLeast"/>
        <w:jc w:val="left"/>
        <w:textAlignment w:val="baseline"/>
        <w:rPr>
          <w:rFonts w:ascii="宋体" w:hAnsi="宋体" w:eastAsia="宋体" w:cs="宋体"/>
          <w:b/>
          <w:bCs/>
          <w:kern w:val="0"/>
          <w:szCs w:val="20"/>
        </w:rPr>
      </w:pPr>
    </w:p>
    <w:p>
      <w:pPr>
        <w:widowControl/>
        <w:overflowPunct w:val="0"/>
        <w:autoSpaceDE w:val="0"/>
        <w:autoSpaceDN w:val="0"/>
        <w:adjustRightInd w:val="0"/>
        <w:spacing w:line="400" w:lineRule="atLeast"/>
        <w:jc w:val="left"/>
        <w:textAlignment w:val="baseline"/>
        <w:rPr>
          <w:rFonts w:ascii="宋体" w:hAnsi="宋体" w:eastAsia="宋体" w:cs="宋体"/>
          <w:b/>
          <w:bCs/>
          <w:kern w:val="0"/>
          <w:szCs w:val="20"/>
        </w:rPr>
      </w:pPr>
    </w:p>
    <w:p>
      <w:pPr>
        <w:widowControl/>
        <w:overflowPunct w:val="0"/>
        <w:autoSpaceDE w:val="0"/>
        <w:autoSpaceDN w:val="0"/>
        <w:adjustRightInd w:val="0"/>
        <w:spacing w:line="400" w:lineRule="atLeast"/>
        <w:jc w:val="left"/>
        <w:textAlignment w:val="baseline"/>
        <w:rPr>
          <w:rFonts w:ascii="宋体" w:hAnsi="宋体" w:eastAsia="宋体" w:cs="宋体"/>
          <w:b/>
          <w:bCs/>
          <w:kern w:val="0"/>
          <w:szCs w:val="20"/>
        </w:rPr>
      </w:pPr>
    </w:p>
    <w:p>
      <w:pPr>
        <w:widowControl/>
        <w:overflowPunct w:val="0"/>
        <w:autoSpaceDE w:val="0"/>
        <w:autoSpaceDN w:val="0"/>
        <w:adjustRightInd w:val="0"/>
        <w:spacing w:line="400" w:lineRule="atLeast"/>
        <w:jc w:val="left"/>
        <w:textAlignment w:val="baseline"/>
        <w:rPr>
          <w:rFonts w:ascii="宋体" w:hAnsi="宋体" w:eastAsia="宋体" w:cs="宋体"/>
          <w:b/>
          <w:bCs/>
          <w:kern w:val="0"/>
          <w:szCs w:val="20"/>
        </w:rPr>
      </w:pPr>
    </w:p>
    <w:p>
      <w:pPr>
        <w:widowControl/>
        <w:overflowPunct w:val="0"/>
        <w:autoSpaceDE w:val="0"/>
        <w:autoSpaceDN w:val="0"/>
        <w:adjustRightInd w:val="0"/>
        <w:spacing w:line="400" w:lineRule="atLeast"/>
        <w:jc w:val="left"/>
        <w:textAlignment w:val="baseline"/>
        <w:rPr>
          <w:rFonts w:ascii="宋体" w:hAnsi="宋体" w:eastAsia="宋体" w:cs="宋体"/>
          <w:b/>
          <w:bCs/>
          <w:kern w:val="0"/>
          <w:szCs w:val="20"/>
        </w:rPr>
      </w:pPr>
    </w:p>
    <w:p>
      <w:pPr>
        <w:widowControl/>
        <w:overflowPunct w:val="0"/>
        <w:autoSpaceDE w:val="0"/>
        <w:autoSpaceDN w:val="0"/>
        <w:adjustRightInd w:val="0"/>
        <w:spacing w:line="400" w:lineRule="atLeast"/>
        <w:jc w:val="left"/>
        <w:textAlignment w:val="baseline"/>
        <w:rPr>
          <w:rFonts w:ascii="宋体" w:hAnsi="宋体" w:eastAsia="宋体" w:cs="宋体"/>
          <w:b/>
          <w:bCs/>
          <w:kern w:val="0"/>
          <w:szCs w:val="20"/>
        </w:rPr>
      </w:pPr>
    </w:p>
    <w:p>
      <w:pPr>
        <w:widowControl/>
        <w:overflowPunct w:val="0"/>
        <w:autoSpaceDE w:val="0"/>
        <w:autoSpaceDN w:val="0"/>
        <w:adjustRightInd w:val="0"/>
        <w:spacing w:line="400" w:lineRule="atLeast"/>
        <w:jc w:val="left"/>
        <w:textAlignment w:val="baseline"/>
        <w:rPr>
          <w:rFonts w:ascii="宋体" w:hAnsi="宋体" w:eastAsia="宋体" w:cs="宋体"/>
          <w:b/>
          <w:bCs/>
          <w:kern w:val="0"/>
          <w:szCs w:val="20"/>
        </w:rPr>
      </w:pPr>
    </w:p>
    <w:p>
      <w:pPr>
        <w:widowControl/>
        <w:overflowPunct w:val="0"/>
        <w:autoSpaceDE w:val="0"/>
        <w:autoSpaceDN w:val="0"/>
        <w:adjustRightInd w:val="0"/>
        <w:spacing w:line="400" w:lineRule="atLeast"/>
        <w:jc w:val="left"/>
        <w:textAlignment w:val="baseline"/>
        <w:rPr>
          <w:rFonts w:ascii="宋体" w:hAnsi="宋体" w:eastAsia="宋体" w:cs="宋体"/>
          <w:b/>
          <w:bCs/>
          <w:kern w:val="0"/>
          <w:szCs w:val="20"/>
        </w:rPr>
      </w:pPr>
    </w:p>
    <w:p>
      <w:pPr>
        <w:outlineLvl w:val="1"/>
        <w:rPr>
          <w:rFonts w:hint="eastAsia" w:ascii="宋体" w:hAnsi="宋体" w:eastAsia="宋体" w:cs="宋体"/>
          <w:b/>
          <w:sz w:val="24"/>
          <w:szCs w:val="24"/>
        </w:rPr>
      </w:pPr>
      <w:bookmarkStart w:id="148" w:name="_Toc28212"/>
    </w:p>
    <w:p>
      <w:pPr>
        <w:outlineLvl w:val="1"/>
        <w:rPr>
          <w:rFonts w:hint="eastAsia" w:ascii="宋体" w:hAnsi="宋体" w:eastAsia="宋体" w:cs="宋体"/>
          <w:b/>
          <w:sz w:val="24"/>
          <w:szCs w:val="24"/>
        </w:rPr>
      </w:pPr>
    </w:p>
    <w:p>
      <w:pPr>
        <w:outlineLvl w:val="1"/>
        <w:rPr>
          <w:rFonts w:hint="eastAsia" w:ascii="宋体" w:hAnsi="宋体" w:eastAsia="宋体" w:cs="宋体"/>
          <w:b/>
          <w:sz w:val="24"/>
          <w:szCs w:val="24"/>
        </w:rPr>
      </w:pPr>
    </w:p>
    <w:p>
      <w:pPr>
        <w:outlineLvl w:val="1"/>
        <w:rPr>
          <w:rFonts w:ascii="宋体" w:hAnsi="宋体" w:eastAsia="宋体" w:cs="宋体"/>
          <w:b/>
          <w:sz w:val="24"/>
          <w:szCs w:val="24"/>
        </w:rPr>
      </w:pPr>
      <w:r>
        <w:rPr>
          <w:rFonts w:hint="eastAsia" w:ascii="宋体" w:hAnsi="宋体" w:eastAsia="宋体" w:cs="宋体"/>
          <w:b/>
          <w:sz w:val="24"/>
          <w:szCs w:val="24"/>
        </w:rPr>
        <w:t>附件5 PPP项目业绩</w:t>
      </w:r>
      <w:bookmarkEnd w:id="148"/>
    </w:p>
    <w:p>
      <w:pPr>
        <w:spacing w:before="120" w:beforeLines="50" w:after="120" w:afterLines="50" w:line="300" w:lineRule="auto"/>
        <w:rPr>
          <w:sz w:val="24"/>
        </w:rPr>
      </w:pPr>
      <w:r>
        <w:rPr>
          <w:rFonts w:hint="eastAsia"/>
          <w:sz w:val="24"/>
        </w:rPr>
        <w:t>（一）市政工程项目业绩</w:t>
      </w:r>
    </w:p>
    <w:tbl>
      <w:tblPr>
        <w:tblStyle w:val="27"/>
        <w:tblW w:w="8387"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2"/>
        <w:gridCol w:w="2462"/>
        <w:gridCol w:w="1678"/>
        <w:gridCol w:w="1677"/>
        <w:gridCol w:w="16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2" w:hRule="atLeast"/>
          <w:jc w:val="center"/>
        </w:trPr>
        <w:tc>
          <w:tcPr>
            <w:tcW w:w="892" w:type="dxa"/>
            <w:tcBorders>
              <w:top w:val="single" w:color="auto" w:sz="4" w:space="0"/>
              <w:left w:val="single" w:color="auto" w:sz="4" w:space="0"/>
              <w:bottom w:val="single" w:color="auto" w:sz="4" w:space="0"/>
              <w:right w:val="single" w:color="auto" w:sz="4" w:space="0"/>
            </w:tcBorders>
            <w:vAlign w:val="center"/>
          </w:tcPr>
          <w:p>
            <w:pPr>
              <w:pStyle w:val="13"/>
              <w:spacing w:before="120" w:beforeLines="50" w:after="120" w:afterLines="50" w:line="300" w:lineRule="auto"/>
              <w:jc w:val="center"/>
              <w:rPr>
                <w:sz w:val="24"/>
                <w:szCs w:val="24"/>
              </w:rPr>
            </w:pPr>
            <w:r>
              <w:rPr>
                <w:sz w:val="24"/>
                <w:szCs w:val="24"/>
              </w:rPr>
              <w:t>序号</w:t>
            </w:r>
          </w:p>
        </w:tc>
        <w:tc>
          <w:tcPr>
            <w:tcW w:w="2462" w:type="dxa"/>
            <w:tcBorders>
              <w:top w:val="single" w:color="auto" w:sz="4" w:space="0"/>
              <w:left w:val="single" w:color="auto" w:sz="4" w:space="0"/>
              <w:bottom w:val="single" w:color="auto" w:sz="4" w:space="0"/>
              <w:right w:val="single" w:color="auto" w:sz="4" w:space="0"/>
            </w:tcBorders>
            <w:vAlign w:val="center"/>
          </w:tcPr>
          <w:p>
            <w:pPr>
              <w:pStyle w:val="13"/>
              <w:spacing w:before="120" w:beforeLines="50" w:after="120" w:afterLines="50" w:line="300" w:lineRule="auto"/>
              <w:jc w:val="center"/>
              <w:rPr>
                <w:sz w:val="24"/>
                <w:szCs w:val="24"/>
              </w:rPr>
            </w:pPr>
            <w:r>
              <w:rPr>
                <w:sz w:val="24"/>
                <w:szCs w:val="24"/>
              </w:rPr>
              <w:t>委托单位</w:t>
            </w:r>
          </w:p>
        </w:tc>
        <w:tc>
          <w:tcPr>
            <w:tcW w:w="1678" w:type="dxa"/>
            <w:tcBorders>
              <w:top w:val="single" w:color="auto" w:sz="4" w:space="0"/>
              <w:left w:val="single" w:color="auto" w:sz="4" w:space="0"/>
              <w:bottom w:val="single" w:color="auto" w:sz="4" w:space="0"/>
              <w:right w:val="single" w:color="auto" w:sz="4" w:space="0"/>
            </w:tcBorders>
            <w:vAlign w:val="center"/>
          </w:tcPr>
          <w:p>
            <w:pPr>
              <w:pStyle w:val="13"/>
              <w:spacing w:before="120" w:beforeLines="50" w:after="120" w:afterLines="50" w:line="300" w:lineRule="auto"/>
              <w:jc w:val="center"/>
              <w:rPr>
                <w:sz w:val="24"/>
                <w:szCs w:val="24"/>
              </w:rPr>
            </w:pPr>
            <w:r>
              <w:rPr>
                <w:sz w:val="24"/>
                <w:szCs w:val="24"/>
              </w:rPr>
              <w:t>项目名称</w:t>
            </w:r>
          </w:p>
        </w:tc>
        <w:tc>
          <w:tcPr>
            <w:tcW w:w="1677" w:type="dxa"/>
            <w:tcBorders>
              <w:top w:val="single" w:color="auto" w:sz="4" w:space="0"/>
              <w:left w:val="single" w:color="auto" w:sz="4" w:space="0"/>
              <w:bottom w:val="single" w:color="auto" w:sz="4" w:space="0"/>
              <w:right w:val="single" w:color="auto" w:sz="4" w:space="0"/>
            </w:tcBorders>
            <w:vAlign w:val="center"/>
          </w:tcPr>
          <w:p>
            <w:pPr>
              <w:pStyle w:val="13"/>
              <w:spacing w:before="120" w:beforeLines="50" w:after="120" w:afterLines="50" w:line="300" w:lineRule="auto"/>
              <w:jc w:val="center"/>
              <w:rPr>
                <w:sz w:val="24"/>
                <w:szCs w:val="24"/>
              </w:rPr>
            </w:pPr>
            <w:r>
              <w:rPr>
                <w:sz w:val="24"/>
                <w:szCs w:val="24"/>
              </w:rPr>
              <w:t>总投资(万元)</w:t>
            </w:r>
          </w:p>
        </w:tc>
        <w:tc>
          <w:tcPr>
            <w:tcW w:w="1678" w:type="dxa"/>
            <w:tcBorders>
              <w:top w:val="single" w:color="auto" w:sz="4" w:space="0"/>
              <w:left w:val="single" w:color="auto" w:sz="4" w:space="0"/>
              <w:bottom w:val="single" w:color="auto" w:sz="4" w:space="0"/>
              <w:right w:val="single" w:color="auto" w:sz="4" w:space="0"/>
            </w:tcBorders>
            <w:vAlign w:val="center"/>
          </w:tcPr>
          <w:p>
            <w:pPr>
              <w:pStyle w:val="13"/>
              <w:spacing w:before="120" w:beforeLines="50" w:after="120" w:afterLines="50" w:line="300" w:lineRule="auto"/>
              <w:jc w:val="center"/>
              <w:rPr>
                <w:sz w:val="24"/>
                <w:szCs w:val="24"/>
              </w:rPr>
            </w:pPr>
            <w:r>
              <w:rPr>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2" w:hRule="atLeast"/>
          <w:jc w:val="center"/>
        </w:trPr>
        <w:tc>
          <w:tcPr>
            <w:tcW w:w="892" w:type="dxa"/>
            <w:tcBorders>
              <w:top w:val="single" w:color="auto" w:sz="4" w:space="0"/>
              <w:left w:val="single" w:color="auto" w:sz="4" w:space="0"/>
              <w:bottom w:val="single" w:color="auto" w:sz="4" w:space="0"/>
              <w:right w:val="single" w:color="auto" w:sz="4" w:space="0"/>
            </w:tcBorders>
            <w:vAlign w:val="center"/>
          </w:tcPr>
          <w:p>
            <w:pPr>
              <w:pStyle w:val="13"/>
              <w:spacing w:before="120" w:beforeLines="50" w:after="120" w:afterLines="50" w:line="300" w:lineRule="auto"/>
              <w:jc w:val="center"/>
              <w:rPr>
                <w:sz w:val="24"/>
                <w:szCs w:val="24"/>
              </w:rPr>
            </w:pPr>
            <w:r>
              <w:rPr>
                <w:rFonts w:hint="eastAsia"/>
                <w:sz w:val="24"/>
                <w:szCs w:val="24"/>
              </w:rPr>
              <w:t>1</w:t>
            </w:r>
          </w:p>
        </w:tc>
        <w:tc>
          <w:tcPr>
            <w:tcW w:w="2462" w:type="dxa"/>
            <w:tcBorders>
              <w:top w:val="single" w:color="auto" w:sz="4" w:space="0"/>
              <w:left w:val="single" w:color="auto" w:sz="4" w:space="0"/>
              <w:bottom w:val="single" w:color="auto" w:sz="4" w:space="0"/>
              <w:right w:val="single" w:color="auto" w:sz="4" w:space="0"/>
            </w:tcBorders>
          </w:tcPr>
          <w:p>
            <w:pPr>
              <w:pStyle w:val="13"/>
              <w:spacing w:before="120" w:beforeLines="50" w:after="120" w:afterLines="50" w:line="300" w:lineRule="auto"/>
              <w:rPr>
                <w:sz w:val="24"/>
                <w:szCs w:val="24"/>
              </w:rPr>
            </w:pPr>
          </w:p>
        </w:tc>
        <w:tc>
          <w:tcPr>
            <w:tcW w:w="1678" w:type="dxa"/>
            <w:tcBorders>
              <w:top w:val="single" w:color="auto" w:sz="4" w:space="0"/>
              <w:left w:val="single" w:color="auto" w:sz="4" w:space="0"/>
              <w:bottom w:val="single" w:color="auto" w:sz="4" w:space="0"/>
              <w:right w:val="single" w:color="auto" w:sz="4" w:space="0"/>
            </w:tcBorders>
          </w:tcPr>
          <w:p>
            <w:pPr>
              <w:pStyle w:val="13"/>
              <w:spacing w:before="120" w:beforeLines="50" w:after="120" w:afterLines="50" w:line="300" w:lineRule="auto"/>
              <w:rPr>
                <w:sz w:val="24"/>
                <w:szCs w:val="24"/>
              </w:rPr>
            </w:pPr>
          </w:p>
        </w:tc>
        <w:tc>
          <w:tcPr>
            <w:tcW w:w="1677" w:type="dxa"/>
            <w:tcBorders>
              <w:top w:val="single" w:color="auto" w:sz="4" w:space="0"/>
              <w:left w:val="single" w:color="auto" w:sz="4" w:space="0"/>
              <w:bottom w:val="single" w:color="auto" w:sz="4" w:space="0"/>
              <w:right w:val="single" w:color="auto" w:sz="4" w:space="0"/>
            </w:tcBorders>
          </w:tcPr>
          <w:p>
            <w:pPr>
              <w:pStyle w:val="13"/>
              <w:spacing w:before="120" w:beforeLines="50" w:after="120" w:afterLines="50" w:line="300" w:lineRule="auto"/>
              <w:rPr>
                <w:sz w:val="24"/>
                <w:szCs w:val="24"/>
              </w:rPr>
            </w:pPr>
          </w:p>
        </w:tc>
        <w:tc>
          <w:tcPr>
            <w:tcW w:w="1678" w:type="dxa"/>
            <w:tcBorders>
              <w:top w:val="single" w:color="auto" w:sz="4" w:space="0"/>
              <w:left w:val="single" w:color="auto" w:sz="4" w:space="0"/>
              <w:bottom w:val="single" w:color="auto" w:sz="4" w:space="0"/>
              <w:right w:val="single" w:color="auto" w:sz="4" w:space="0"/>
            </w:tcBorders>
          </w:tcPr>
          <w:p>
            <w:pPr>
              <w:pStyle w:val="13"/>
              <w:spacing w:before="120" w:beforeLines="50" w:after="120" w:afterLines="50" w:line="30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jc w:val="center"/>
        </w:trPr>
        <w:tc>
          <w:tcPr>
            <w:tcW w:w="892" w:type="dxa"/>
            <w:tcBorders>
              <w:top w:val="single" w:color="auto" w:sz="4" w:space="0"/>
              <w:left w:val="single" w:color="auto" w:sz="4" w:space="0"/>
              <w:bottom w:val="single" w:color="auto" w:sz="4" w:space="0"/>
              <w:right w:val="single" w:color="auto" w:sz="4" w:space="0"/>
            </w:tcBorders>
            <w:vAlign w:val="center"/>
          </w:tcPr>
          <w:p>
            <w:pPr>
              <w:pStyle w:val="13"/>
              <w:spacing w:before="120" w:beforeLines="50" w:after="120" w:afterLines="50" w:line="300" w:lineRule="auto"/>
              <w:jc w:val="center"/>
              <w:rPr>
                <w:sz w:val="24"/>
                <w:szCs w:val="24"/>
              </w:rPr>
            </w:pPr>
            <w:r>
              <w:rPr>
                <w:rFonts w:hint="eastAsia"/>
                <w:sz w:val="24"/>
                <w:szCs w:val="24"/>
              </w:rPr>
              <w:t>2</w:t>
            </w:r>
          </w:p>
        </w:tc>
        <w:tc>
          <w:tcPr>
            <w:tcW w:w="2462" w:type="dxa"/>
            <w:tcBorders>
              <w:top w:val="single" w:color="auto" w:sz="4" w:space="0"/>
              <w:left w:val="single" w:color="auto" w:sz="4" w:space="0"/>
              <w:bottom w:val="single" w:color="auto" w:sz="4" w:space="0"/>
              <w:right w:val="single" w:color="auto" w:sz="4" w:space="0"/>
            </w:tcBorders>
          </w:tcPr>
          <w:p>
            <w:pPr>
              <w:pStyle w:val="13"/>
              <w:spacing w:before="120" w:beforeLines="50" w:after="120" w:afterLines="50" w:line="300" w:lineRule="auto"/>
              <w:rPr>
                <w:sz w:val="24"/>
                <w:szCs w:val="24"/>
              </w:rPr>
            </w:pPr>
          </w:p>
        </w:tc>
        <w:tc>
          <w:tcPr>
            <w:tcW w:w="1678" w:type="dxa"/>
            <w:tcBorders>
              <w:top w:val="single" w:color="auto" w:sz="4" w:space="0"/>
              <w:left w:val="single" w:color="auto" w:sz="4" w:space="0"/>
              <w:bottom w:val="single" w:color="auto" w:sz="4" w:space="0"/>
              <w:right w:val="single" w:color="auto" w:sz="4" w:space="0"/>
            </w:tcBorders>
          </w:tcPr>
          <w:p>
            <w:pPr>
              <w:pStyle w:val="13"/>
              <w:spacing w:before="120" w:beforeLines="50" w:after="120" w:afterLines="50" w:line="300" w:lineRule="auto"/>
              <w:rPr>
                <w:sz w:val="24"/>
                <w:szCs w:val="24"/>
              </w:rPr>
            </w:pPr>
          </w:p>
        </w:tc>
        <w:tc>
          <w:tcPr>
            <w:tcW w:w="1677" w:type="dxa"/>
            <w:tcBorders>
              <w:top w:val="single" w:color="auto" w:sz="4" w:space="0"/>
              <w:left w:val="single" w:color="auto" w:sz="4" w:space="0"/>
              <w:bottom w:val="single" w:color="auto" w:sz="4" w:space="0"/>
              <w:right w:val="single" w:color="auto" w:sz="4" w:space="0"/>
            </w:tcBorders>
          </w:tcPr>
          <w:p>
            <w:pPr>
              <w:pStyle w:val="13"/>
              <w:spacing w:before="120" w:beforeLines="50" w:after="120" w:afterLines="50" w:line="300" w:lineRule="auto"/>
              <w:rPr>
                <w:sz w:val="24"/>
                <w:szCs w:val="24"/>
              </w:rPr>
            </w:pPr>
          </w:p>
        </w:tc>
        <w:tc>
          <w:tcPr>
            <w:tcW w:w="1678" w:type="dxa"/>
            <w:tcBorders>
              <w:top w:val="single" w:color="auto" w:sz="4" w:space="0"/>
              <w:left w:val="single" w:color="auto" w:sz="4" w:space="0"/>
              <w:bottom w:val="single" w:color="auto" w:sz="4" w:space="0"/>
              <w:right w:val="single" w:color="auto" w:sz="4" w:space="0"/>
            </w:tcBorders>
          </w:tcPr>
          <w:p>
            <w:pPr>
              <w:pStyle w:val="13"/>
              <w:spacing w:before="120" w:beforeLines="50" w:after="120" w:afterLines="50" w:line="30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jc w:val="center"/>
        </w:trPr>
        <w:tc>
          <w:tcPr>
            <w:tcW w:w="892" w:type="dxa"/>
            <w:tcBorders>
              <w:top w:val="single" w:color="auto" w:sz="4" w:space="0"/>
              <w:left w:val="single" w:color="auto" w:sz="4" w:space="0"/>
              <w:bottom w:val="single" w:color="auto" w:sz="4" w:space="0"/>
              <w:right w:val="single" w:color="auto" w:sz="4" w:space="0"/>
            </w:tcBorders>
            <w:vAlign w:val="center"/>
          </w:tcPr>
          <w:p>
            <w:pPr>
              <w:pStyle w:val="13"/>
              <w:spacing w:before="120" w:beforeLines="50" w:after="120" w:afterLines="50" w:line="300" w:lineRule="auto"/>
              <w:jc w:val="center"/>
              <w:rPr>
                <w:sz w:val="24"/>
                <w:szCs w:val="24"/>
              </w:rPr>
            </w:pPr>
            <w:r>
              <w:rPr>
                <w:rFonts w:hint="eastAsia"/>
                <w:sz w:val="24"/>
                <w:szCs w:val="24"/>
              </w:rPr>
              <w:t>3</w:t>
            </w:r>
          </w:p>
        </w:tc>
        <w:tc>
          <w:tcPr>
            <w:tcW w:w="2462" w:type="dxa"/>
            <w:tcBorders>
              <w:top w:val="single" w:color="auto" w:sz="4" w:space="0"/>
              <w:left w:val="single" w:color="auto" w:sz="4" w:space="0"/>
              <w:bottom w:val="single" w:color="auto" w:sz="4" w:space="0"/>
              <w:right w:val="single" w:color="auto" w:sz="4" w:space="0"/>
            </w:tcBorders>
          </w:tcPr>
          <w:p>
            <w:pPr>
              <w:pStyle w:val="13"/>
              <w:spacing w:before="120" w:beforeLines="50" w:after="120" w:afterLines="50" w:line="300" w:lineRule="auto"/>
              <w:rPr>
                <w:sz w:val="24"/>
                <w:szCs w:val="24"/>
              </w:rPr>
            </w:pPr>
          </w:p>
        </w:tc>
        <w:tc>
          <w:tcPr>
            <w:tcW w:w="1678" w:type="dxa"/>
            <w:tcBorders>
              <w:top w:val="single" w:color="auto" w:sz="4" w:space="0"/>
              <w:left w:val="single" w:color="auto" w:sz="4" w:space="0"/>
              <w:bottom w:val="single" w:color="auto" w:sz="4" w:space="0"/>
              <w:right w:val="single" w:color="auto" w:sz="4" w:space="0"/>
            </w:tcBorders>
          </w:tcPr>
          <w:p>
            <w:pPr>
              <w:pStyle w:val="13"/>
              <w:spacing w:before="120" w:beforeLines="50" w:after="120" w:afterLines="50" w:line="300" w:lineRule="auto"/>
              <w:rPr>
                <w:sz w:val="24"/>
                <w:szCs w:val="24"/>
              </w:rPr>
            </w:pPr>
          </w:p>
        </w:tc>
        <w:tc>
          <w:tcPr>
            <w:tcW w:w="1677" w:type="dxa"/>
            <w:tcBorders>
              <w:top w:val="single" w:color="auto" w:sz="4" w:space="0"/>
              <w:left w:val="single" w:color="auto" w:sz="4" w:space="0"/>
              <w:bottom w:val="single" w:color="auto" w:sz="4" w:space="0"/>
              <w:right w:val="single" w:color="auto" w:sz="4" w:space="0"/>
            </w:tcBorders>
          </w:tcPr>
          <w:p>
            <w:pPr>
              <w:pStyle w:val="13"/>
              <w:spacing w:before="120" w:beforeLines="50" w:after="120" w:afterLines="50" w:line="300" w:lineRule="auto"/>
              <w:rPr>
                <w:sz w:val="24"/>
                <w:szCs w:val="24"/>
              </w:rPr>
            </w:pPr>
          </w:p>
        </w:tc>
        <w:tc>
          <w:tcPr>
            <w:tcW w:w="1678" w:type="dxa"/>
            <w:tcBorders>
              <w:top w:val="single" w:color="auto" w:sz="4" w:space="0"/>
              <w:left w:val="single" w:color="auto" w:sz="4" w:space="0"/>
              <w:bottom w:val="single" w:color="auto" w:sz="4" w:space="0"/>
              <w:right w:val="single" w:color="auto" w:sz="4" w:space="0"/>
            </w:tcBorders>
          </w:tcPr>
          <w:p>
            <w:pPr>
              <w:pStyle w:val="13"/>
              <w:spacing w:before="120" w:beforeLines="50" w:after="120" w:afterLines="50" w:line="30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jc w:val="center"/>
        </w:trPr>
        <w:tc>
          <w:tcPr>
            <w:tcW w:w="892" w:type="dxa"/>
            <w:tcBorders>
              <w:top w:val="single" w:color="auto" w:sz="4" w:space="0"/>
              <w:left w:val="single" w:color="auto" w:sz="4" w:space="0"/>
              <w:bottom w:val="single" w:color="auto" w:sz="4" w:space="0"/>
              <w:right w:val="single" w:color="auto" w:sz="4" w:space="0"/>
            </w:tcBorders>
            <w:vAlign w:val="center"/>
          </w:tcPr>
          <w:p>
            <w:pPr>
              <w:pStyle w:val="13"/>
              <w:spacing w:before="120" w:beforeLines="50" w:after="120" w:afterLines="50" w:line="300" w:lineRule="auto"/>
              <w:jc w:val="center"/>
              <w:rPr>
                <w:sz w:val="24"/>
                <w:szCs w:val="24"/>
              </w:rPr>
            </w:pPr>
            <w:r>
              <w:rPr>
                <w:rFonts w:hint="eastAsia"/>
                <w:sz w:val="24"/>
                <w:szCs w:val="24"/>
              </w:rPr>
              <w:t>4</w:t>
            </w:r>
          </w:p>
        </w:tc>
        <w:tc>
          <w:tcPr>
            <w:tcW w:w="2462" w:type="dxa"/>
            <w:tcBorders>
              <w:top w:val="single" w:color="auto" w:sz="4" w:space="0"/>
              <w:left w:val="single" w:color="auto" w:sz="4" w:space="0"/>
              <w:bottom w:val="single" w:color="auto" w:sz="4" w:space="0"/>
              <w:right w:val="single" w:color="auto" w:sz="4" w:space="0"/>
            </w:tcBorders>
          </w:tcPr>
          <w:p>
            <w:pPr>
              <w:pStyle w:val="13"/>
              <w:spacing w:before="120" w:beforeLines="50" w:after="120" w:afterLines="50" w:line="300" w:lineRule="auto"/>
              <w:rPr>
                <w:sz w:val="24"/>
                <w:szCs w:val="24"/>
              </w:rPr>
            </w:pPr>
          </w:p>
        </w:tc>
        <w:tc>
          <w:tcPr>
            <w:tcW w:w="1678" w:type="dxa"/>
            <w:tcBorders>
              <w:top w:val="single" w:color="auto" w:sz="4" w:space="0"/>
              <w:left w:val="single" w:color="auto" w:sz="4" w:space="0"/>
              <w:bottom w:val="single" w:color="auto" w:sz="4" w:space="0"/>
              <w:right w:val="single" w:color="auto" w:sz="4" w:space="0"/>
            </w:tcBorders>
          </w:tcPr>
          <w:p>
            <w:pPr>
              <w:pStyle w:val="13"/>
              <w:spacing w:before="120" w:beforeLines="50" w:after="120" w:afterLines="50" w:line="300" w:lineRule="auto"/>
              <w:rPr>
                <w:sz w:val="24"/>
                <w:szCs w:val="24"/>
              </w:rPr>
            </w:pPr>
          </w:p>
        </w:tc>
        <w:tc>
          <w:tcPr>
            <w:tcW w:w="1677" w:type="dxa"/>
            <w:tcBorders>
              <w:top w:val="single" w:color="auto" w:sz="4" w:space="0"/>
              <w:left w:val="single" w:color="auto" w:sz="4" w:space="0"/>
              <w:bottom w:val="single" w:color="auto" w:sz="4" w:space="0"/>
              <w:right w:val="single" w:color="auto" w:sz="4" w:space="0"/>
            </w:tcBorders>
          </w:tcPr>
          <w:p>
            <w:pPr>
              <w:pStyle w:val="13"/>
              <w:spacing w:before="120" w:beforeLines="50" w:after="120" w:afterLines="50" w:line="300" w:lineRule="auto"/>
              <w:rPr>
                <w:sz w:val="24"/>
                <w:szCs w:val="24"/>
              </w:rPr>
            </w:pPr>
          </w:p>
        </w:tc>
        <w:tc>
          <w:tcPr>
            <w:tcW w:w="1678" w:type="dxa"/>
            <w:tcBorders>
              <w:top w:val="single" w:color="auto" w:sz="4" w:space="0"/>
              <w:left w:val="single" w:color="auto" w:sz="4" w:space="0"/>
              <w:bottom w:val="single" w:color="auto" w:sz="4" w:space="0"/>
              <w:right w:val="single" w:color="auto" w:sz="4" w:space="0"/>
            </w:tcBorders>
          </w:tcPr>
          <w:p>
            <w:pPr>
              <w:pStyle w:val="13"/>
              <w:spacing w:before="120" w:beforeLines="50" w:after="120" w:afterLines="50" w:line="30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432" w:hRule="atLeast"/>
          <w:jc w:val="center"/>
        </w:trPr>
        <w:tc>
          <w:tcPr>
            <w:tcW w:w="892" w:type="dxa"/>
            <w:tcBorders>
              <w:top w:val="single" w:color="auto" w:sz="4" w:space="0"/>
              <w:left w:val="single" w:color="auto" w:sz="4" w:space="0"/>
              <w:bottom w:val="single" w:color="auto" w:sz="4" w:space="0"/>
              <w:right w:val="single" w:color="auto" w:sz="4" w:space="0"/>
            </w:tcBorders>
          </w:tcPr>
          <w:p>
            <w:pPr>
              <w:pStyle w:val="13"/>
              <w:spacing w:before="120" w:beforeLines="50" w:after="120" w:afterLines="50" w:line="300" w:lineRule="auto"/>
              <w:rPr>
                <w:sz w:val="24"/>
                <w:szCs w:val="24"/>
              </w:rPr>
            </w:pPr>
          </w:p>
        </w:tc>
        <w:tc>
          <w:tcPr>
            <w:tcW w:w="2462" w:type="dxa"/>
            <w:tcBorders>
              <w:top w:val="single" w:color="auto" w:sz="4" w:space="0"/>
              <w:left w:val="single" w:color="auto" w:sz="4" w:space="0"/>
              <w:bottom w:val="single" w:color="auto" w:sz="4" w:space="0"/>
              <w:right w:val="single" w:color="auto" w:sz="4" w:space="0"/>
            </w:tcBorders>
          </w:tcPr>
          <w:p>
            <w:pPr>
              <w:pStyle w:val="13"/>
              <w:spacing w:before="120" w:beforeLines="50" w:after="120" w:afterLines="50" w:line="300" w:lineRule="auto"/>
              <w:rPr>
                <w:sz w:val="24"/>
                <w:szCs w:val="24"/>
              </w:rPr>
            </w:pPr>
            <w:r>
              <w:rPr>
                <w:rFonts w:hint="eastAsia"/>
                <w:sz w:val="24"/>
                <w:szCs w:val="24"/>
              </w:rPr>
              <w:t>……</w:t>
            </w:r>
          </w:p>
        </w:tc>
        <w:tc>
          <w:tcPr>
            <w:tcW w:w="1678" w:type="dxa"/>
            <w:tcBorders>
              <w:top w:val="single" w:color="auto" w:sz="4" w:space="0"/>
              <w:left w:val="single" w:color="auto" w:sz="4" w:space="0"/>
              <w:bottom w:val="single" w:color="auto" w:sz="4" w:space="0"/>
              <w:right w:val="single" w:color="auto" w:sz="4" w:space="0"/>
            </w:tcBorders>
          </w:tcPr>
          <w:p>
            <w:pPr>
              <w:pStyle w:val="13"/>
              <w:spacing w:before="120" w:beforeLines="50" w:after="120" w:afterLines="50" w:line="300" w:lineRule="auto"/>
              <w:rPr>
                <w:sz w:val="24"/>
                <w:szCs w:val="24"/>
              </w:rPr>
            </w:pPr>
          </w:p>
        </w:tc>
        <w:tc>
          <w:tcPr>
            <w:tcW w:w="1677" w:type="dxa"/>
            <w:tcBorders>
              <w:top w:val="single" w:color="auto" w:sz="4" w:space="0"/>
              <w:left w:val="single" w:color="auto" w:sz="4" w:space="0"/>
              <w:bottom w:val="single" w:color="auto" w:sz="4" w:space="0"/>
              <w:right w:val="single" w:color="auto" w:sz="4" w:space="0"/>
            </w:tcBorders>
          </w:tcPr>
          <w:p>
            <w:pPr>
              <w:pStyle w:val="13"/>
              <w:spacing w:before="120" w:beforeLines="50" w:after="120" w:afterLines="50" w:line="300" w:lineRule="auto"/>
              <w:rPr>
                <w:sz w:val="24"/>
                <w:szCs w:val="24"/>
              </w:rPr>
            </w:pPr>
          </w:p>
        </w:tc>
        <w:tc>
          <w:tcPr>
            <w:tcW w:w="1678" w:type="dxa"/>
            <w:tcBorders>
              <w:top w:val="single" w:color="auto" w:sz="4" w:space="0"/>
              <w:left w:val="single" w:color="auto" w:sz="4" w:space="0"/>
              <w:bottom w:val="single" w:color="auto" w:sz="4" w:space="0"/>
              <w:right w:val="single" w:color="auto" w:sz="4" w:space="0"/>
            </w:tcBorders>
          </w:tcPr>
          <w:p>
            <w:pPr>
              <w:pStyle w:val="13"/>
              <w:spacing w:before="120" w:beforeLines="50" w:after="120" w:afterLines="50" w:line="300" w:lineRule="auto"/>
              <w:rPr>
                <w:sz w:val="24"/>
                <w:szCs w:val="24"/>
              </w:rPr>
            </w:pPr>
          </w:p>
        </w:tc>
      </w:tr>
    </w:tbl>
    <w:p>
      <w:pPr>
        <w:spacing w:before="120" w:beforeLines="50" w:after="120" w:afterLines="50" w:line="300" w:lineRule="auto"/>
        <w:rPr>
          <w:sz w:val="24"/>
        </w:rPr>
      </w:pPr>
      <w:r>
        <w:rPr>
          <w:sz w:val="24"/>
        </w:rPr>
        <w:t>注：</w:t>
      </w:r>
      <w:r>
        <w:rPr>
          <w:rFonts w:hint="eastAsia"/>
          <w:sz w:val="24"/>
        </w:rPr>
        <w:t>需提供相应的证明材料，详见招标文件第四部分评标办法中“评分标准”要求。</w:t>
      </w:r>
    </w:p>
    <w:p>
      <w:pPr>
        <w:spacing w:before="120" w:beforeLines="50" w:after="120" w:afterLines="50" w:line="300" w:lineRule="auto"/>
        <w:rPr>
          <w:sz w:val="24"/>
        </w:rPr>
      </w:pPr>
    </w:p>
    <w:p>
      <w:pPr>
        <w:spacing w:before="120" w:beforeLines="50" w:after="120" w:afterLines="50" w:line="300" w:lineRule="auto"/>
        <w:rPr>
          <w:sz w:val="24"/>
        </w:rPr>
      </w:pPr>
      <w:r>
        <w:rPr>
          <w:sz w:val="24"/>
        </w:rPr>
        <w:br w:type="page"/>
      </w:r>
      <w:r>
        <w:rPr>
          <w:rFonts w:hint="eastAsia"/>
          <w:sz w:val="24"/>
        </w:rPr>
        <w:t>（二）财政部PPP示范项目业绩</w:t>
      </w:r>
    </w:p>
    <w:tbl>
      <w:tblPr>
        <w:tblStyle w:val="27"/>
        <w:tblW w:w="8522"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2"/>
        <w:gridCol w:w="1738"/>
        <w:gridCol w:w="1761"/>
        <w:gridCol w:w="1984"/>
        <w:gridCol w:w="1212"/>
        <w:gridCol w:w="9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2"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pStyle w:val="13"/>
              <w:spacing w:before="120" w:beforeLines="50" w:after="120" w:afterLines="50" w:line="300" w:lineRule="auto"/>
              <w:jc w:val="center"/>
              <w:rPr>
                <w:sz w:val="24"/>
                <w:szCs w:val="24"/>
              </w:rPr>
            </w:pPr>
            <w:r>
              <w:rPr>
                <w:sz w:val="24"/>
                <w:szCs w:val="24"/>
              </w:rPr>
              <w:t>序号</w:t>
            </w:r>
          </w:p>
        </w:tc>
        <w:tc>
          <w:tcPr>
            <w:tcW w:w="1738" w:type="dxa"/>
            <w:tcBorders>
              <w:top w:val="single" w:color="auto" w:sz="4" w:space="0"/>
              <w:left w:val="single" w:color="auto" w:sz="4" w:space="0"/>
              <w:bottom w:val="single" w:color="auto" w:sz="4" w:space="0"/>
              <w:right w:val="single" w:color="auto" w:sz="4" w:space="0"/>
            </w:tcBorders>
            <w:vAlign w:val="center"/>
          </w:tcPr>
          <w:p>
            <w:pPr>
              <w:pStyle w:val="13"/>
              <w:spacing w:before="120" w:beforeLines="50" w:after="120" w:afterLines="50" w:line="300" w:lineRule="auto"/>
              <w:jc w:val="center"/>
              <w:rPr>
                <w:sz w:val="24"/>
                <w:szCs w:val="24"/>
              </w:rPr>
            </w:pPr>
            <w:r>
              <w:rPr>
                <w:sz w:val="24"/>
                <w:szCs w:val="24"/>
              </w:rPr>
              <w:t>委托单位</w:t>
            </w:r>
          </w:p>
        </w:tc>
        <w:tc>
          <w:tcPr>
            <w:tcW w:w="1761" w:type="dxa"/>
            <w:tcBorders>
              <w:top w:val="single" w:color="auto" w:sz="4" w:space="0"/>
              <w:left w:val="single" w:color="auto" w:sz="4" w:space="0"/>
              <w:bottom w:val="single" w:color="auto" w:sz="4" w:space="0"/>
              <w:right w:val="single" w:color="auto" w:sz="4" w:space="0"/>
            </w:tcBorders>
            <w:vAlign w:val="center"/>
          </w:tcPr>
          <w:p>
            <w:pPr>
              <w:pStyle w:val="13"/>
              <w:spacing w:before="120" w:beforeLines="50" w:after="120" w:afterLines="50" w:line="300" w:lineRule="auto"/>
              <w:jc w:val="center"/>
              <w:rPr>
                <w:sz w:val="24"/>
                <w:szCs w:val="24"/>
              </w:rPr>
            </w:pPr>
            <w:r>
              <w:rPr>
                <w:sz w:val="24"/>
                <w:szCs w:val="24"/>
              </w:rPr>
              <w:t>项目名称</w:t>
            </w:r>
          </w:p>
        </w:tc>
        <w:tc>
          <w:tcPr>
            <w:tcW w:w="1984" w:type="dxa"/>
            <w:tcBorders>
              <w:top w:val="single" w:color="auto" w:sz="4" w:space="0"/>
              <w:left w:val="single" w:color="auto" w:sz="4" w:space="0"/>
              <w:bottom w:val="single" w:color="auto" w:sz="4" w:space="0"/>
              <w:right w:val="single" w:color="auto" w:sz="4" w:space="0"/>
            </w:tcBorders>
            <w:vAlign w:val="center"/>
          </w:tcPr>
          <w:p>
            <w:pPr>
              <w:pStyle w:val="13"/>
              <w:spacing w:before="120" w:beforeLines="50" w:after="120" w:afterLines="50" w:line="300" w:lineRule="auto"/>
              <w:jc w:val="center"/>
              <w:rPr>
                <w:sz w:val="24"/>
                <w:szCs w:val="24"/>
              </w:rPr>
            </w:pPr>
            <w:r>
              <w:rPr>
                <w:rFonts w:hint="eastAsia"/>
                <w:sz w:val="24"/>
                <w:szCs w:val="24"/>
              </w:rPr>
              <w:t>项目类型</w:t>
            </w:r>
          </w:p>
        </w:tc>
        <w:tc>
          <w:tcPr>
            <w:tcW w:w="1212" w:type="dxa"/>
            <w:tcBorders>
              <w:top w:val="single" w:color="auto" w:sz="4" w:space="0"/>
              <w:left w:val="single" w:color="auto" w:sz="4" w:space="0"/>
              <w:bottom w:val="single" w:color="auto" w:sz="4" w:space="0"/>
              <w:right w:val="single" w:color="auto" w:sz="4" w:space="0"/>
            </w:tcBorders>
            <w:vAlign w:val="center"/>
          </w:tcPr>
          <w:p>
            <w:pPr>
              <w:pStyle w:val="13"/>
              <w:spacing w:before="120" w:beforeLines="50" w:after="120" w:afterLines="50" w:line="300" w:lineRule="auto"/>
              <w:jc w:val="center"/>
              <w:rPr>
                <w:sz w:val="24"/>
                <w:szCs w:val="24"/>
              </w:rPr>
            </w:pPr>
            <w:r>
              <w:rPr>
                <w:sz w:val="24"/>
                <w:szCs w:val="24"/>
              </w:rPr>
              <w:t>总投资</w:t>
            </w:r>
          </w:p>
          <w:p>
            <w:pPr>
              <w:pStyle w:val="13"/>
              <w:spacing w:before="120" w:beforeLines="50" w:after="120" w:afterLines="50" w:line="300" w:lineRule="auto"/>
              <w:jc w:val="center"/>
              <w:rPr>
                <w:sz w:val="24"/>
                <w:szCs w:val="24"/>
              </w:rPr>
            </w:pPr>
            <w:r>
              <w:rPr>
                <w:sz w:val="24"/>
                <w:szCs w:val="24"/>
              </w:rPr>
              <w:t>(万元)</w:t>
            </w:r>
          </w:p>
        </w:tc>
        <w:tc>
          <w:tcPr>
            <w:tcW w:w="965" w:type="dxa"/>
            <w:tcBorders>
              <w:top w:val="single" w:color="auto" w:sz="4" w:space="0"/>
              <w:left w:val="single" w:color="auto" w:sz="4" w:space="0"/>
              <w:bottom w:val="single" w:color="auto" w:sz="4" w:space="0"/>
              <w:right w:val="single" w:color="auto" w:sz="4" w:space="0"/>
            </w:tcBorders>
            <w:vAlign w:val="center"/>
          </w:tcPr>
          <w:p>
            <w:pPr>
              <w:pStyle w:val="13"/>
              <w:spacing w:before="120" w:beforeLines="50" w:after="120" w:afterLines="50" w:line="300" w:lineRule="auto"/>
              <w:jc w:val="center"/>
              <w:rPr>
                <w:sz w:val="24"/>
                <w:szCs w:val="24"/>
              </w:rPr>
            </w:pPr>
            <w:r>
              <w:rPr>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2"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pStyle w:val="13"/>
              <w:spacing w:before="120" w:beforeLines="50" w:after="120" w:afterLines="50" w:line="300" w:lineRule="auto"/>
              <w:jc w:val="center"/>
              <w:rPr>
                <w:sz w:val="24"/>
                <w:szCs w:val="24"/>
              </w:rPr>
            </w:pPr>
            <w:r>
              <w:rPr>
                <w:rFonts w:hint="eastAsia"/>
                <w:sz w:val="24"/>
                <w:szCs w:val="24"/>
              </w:rPr>
              <w:t>1</w:t>
            </w:r>
          </w:p>
        </w:tc>
        <w:tc>
          <w:tcPr>
            <w:tcW w:w="1738" w:type="dxa"/>
            <w:tcBorders>
              <w:top w:val="single" w:color="auto" w:sz="4" w:space="0"/>
              <w:left w:val="single" w:color="auto" w:sz="4" w:space="0"/>
              <w:bottom w:val="single" w:color="auto" w:sz="4" w:space="0"/>
              <w:right w:val="single" w:color="auto" w:sz="4" w:space="0"/>
            </w:tcBorders>
          </w:tcPr>
          <w:p>
            <w:pPr>
              <w:pStyle w:val="13"/>
              <w:spacing w:before="120" w:beforeLines="50" w:after="120" w:afterLines="50" w:line="300" w:lineRule="auto"/>
              <w:rPr>
                <w:sz w:val="24"/>
                <w:szCs w:val="24"/>
              </w:rPr>
            </w:pPr>
          </w:p>
        </w:tc>
        <w:tc>
          <w:tcPr>
            <w:tcW w:w="1761" w:type="dxa"/>
            <w:tcBorders>
              <w:top w:val="single" w:color="auto" w:sz="4" w:space="0"/>
              <w:left w:val="single" w:color="auto" w:sz="4" w:space="0"/>
              <w:bottom w:val="single" w:color="auto" w:sz="4" w:space="0"/>
              <w:right w:val="single" w:color="auto" w:sz="4" w:space="0"/>
            </w:tcBorders>
          </w:tcPr>
          <w:p>
            <w:pPr>
              <w:pStyle w:val="13"/>
              <w:spacing w:before="120" w:beforeLines="50" w:after="120" w:afterLines="50" w:line="300" w:lineRule="auto"/>
              <w:rPr>
                <w:sz w:val="24"/>
                <w:szCs w:val="24"/>
              </w:rPr>
            </w:pPr>
          </w:p>
        </w:tc>
        <w:tc>
          <w:tcPr>
            <w:tcW w:w="1984" w:type="dxa"/>
            <w:tcBorders>
              <w:top w:val="single" w:color="auto" w:sz="4" w:space="0"/>
              <w:left w:val="single" w:color="auto" w:sz="4" w:space="0"/>
              <w:bottom w:val="single" w:color="auto" w:sz="4" w:space="0"/>
              <w:right w:val="single" w:color="auto" w:sz="4" w:space="0"/>
            </w:tcBorders>
          </w:tcPr>
          <w:p>
            <w:pPr>
              <w:pStyle w:val="13"/>
              <w:spacing w:before="120" w:beforeLines="50" w:after="120" w:afterLines="50" w:line="300" w:lineRule="auto"/>
              <w:rPr>
                <w:sz w:val="24"/>
                <w:szCs w:val="24"/>
              </w:rPr>
            </w:pPr>
          </w:p>
        </w:tc>
        <w:tc>
          <w:tcPr>
            <w:tcW w:w="1212" w:type="dxa"/>
            <w:tcBorders>
              <w:top w:val="single" w:color="auto" w:sz="4" w:space="0"/>
              <w:left w:val="single" w:color="auto" w:sz="4" w:space="0"/>
              <w:bottom w:val="single" w:color="auto" w:sz="4" w:space="0"/>
              <w:right w:val="single" w:color="auto" w:sz="4" w:space="0"/>
            </w:tcBorders>
          </w:tcPr>
          <w:p>
            <w:pPr>
              <w:pStyle w:val="13"/>
              <w:spacing w:before="120" w:beforeLines="50" w:after="120" w:afterLines="50" w:line="300" w:lineRule="auto"/>
              <w:rPr>
                <w:sz w:val="24"/>
                <w:szCs w:val="24"/>
              </w:rPr>
            </w:pPr>
          </w:p>
        </w:tc>
        <w:tc>
          <w:tcPr>
            <w:tcW w:w="965" w:type="dxa"/>
            <w:tcBorders>
              <w:top w:val="single" w:color="auto" w:sz="4" w:space="0"/>
              <w:left w:val="single" w:color="auto" w:sz="4" w:space="0"/>
              <w:bottom w:val="single" w:color="auto" w:sz="4" w:space="0"/>
              <w:right w:val="single" w:color="auto" w:sz="4" w:space="0"/>
            </w:tcBorders>
          </w:tcPr>
          <w:p>
            <w:pPr>
              <w:pStyle w:val="13"/>
              <w:spacing w:before="120" w:beforeLines="50" w:after="120" w:afterLines="50" w:line="30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pStyle w:val="13"/>
              <w:spacing w:before="120" w:beforeLines="50" w:after="120" w:afterLines="50" w:line="300" w:lineRule="auto"/>
              <w:jc w:val="center"/>
              <w:rPr>
                <w:sz w:val="24"/>
                <w:szCs w:val="24"/>
              </w:rPr>
            </w:pPr>
            <w:r>
              <w:rPr>
                <w:rFonts w:hint="eastAsia"/>
                <w:sz w:val="24"/>
                <w:szCs w:val="24"/>
              </w:rPr>
              <w:t>2</w:t>
            </w:r>
          </w:p>
        </w:tc>
        <w:tc>
          <w:tcPr>
            <w:tcW w:w="1738" w:type="dxa"/>
            <w:tcBorders>
              <w:top w:val="single" w:color="auto" w:sz="4" w:space="0"/>
              <w:left w:val="single" w:color="auto" w:sz="4" w:space="0"/>
              <w:bottom w:val="single" w:color="auto" w:sz="4" w:space="0"/>
              <w:right w:val="single" w:color="auto" w:sz="4" w:space="0"/>
            </w:tcBorders>
          </w:tcPr>
          <w:p>
            <w:pPr>
              <w:pStyle w:val="13"/>
              <w:spacing w:before="120" w:beforeLines="50" w:after="120" w:afterLines="50" w:line="300" w:lineRule="auto"/>
              <w:rPr>
                <w:sz w:val="24"/>
                <w:szCs w:val="24"/>
              </w:rPr>
            </w:pPr>
          </w:p>
        </w:tc>
        <w:tc>
          <w:tcPr>
            <w:tcW w:w="1761" w:type="dxa"/>
            <w:tcBorders>
              <w:top w:val="single" w:color="auto" w:sz="4" w:space="0"/>
              <w:left w:val="single" w:color="auto" w:sz="4" w:space="0"/>
              <w:bottom w:val="single" w:color="auto" w:sz="4" w:space="0"/>
              <w:right w:val="single" w:color="auto" w:sz="4" w:space="0"/>
            </w:tcBorders>
          </w:tcPr>
          <w:p>
            <w:pPr>
              <w:pStyle w:val="13"/>
              <w:spacing w:before="120" w:beforeLines="50" w:after="120" w:afterLines="50" w:line="300" w:lineRule="auto"/>
              <w:rPr>
                <w:sz w:val="24"/>
                <w:szCs w:val="24"/>
              </w:rPr>
            </w:pPr>
          </w:p>
        </w:tc>
        <w:tc>
          <w:tcPr>
            <w:tcW w:w="1984" w:type="dxa"/>
            <w:tcBorders>
              <w:top w:val="single" w:color="auto" w:sz="4" w:space="0"/>
              <w:left w:val="single" w:color="auto" w:sz="4" w:space="0"/>
              <w:bottom w:val="single" w:color="auto" w:sz="4" w:space="0"/>
              <w:right w:val="single" w:color="auto" w:sz="4" w:space="0"/>
            </w:tcBorders>
          </w:tcPr>
          <w:p>
            <w:pPr>
              <w:pStyle w:val="13"/>
              <w:spacing w:before="120" w:beforeLines="50" w:after="120" w:afterLines="50" w:line="300" w:lineRule="auto"/>
              <w:rPr>
                <w:sz w:val="24"/>
                <w:szCs w:val="24"/>
              </w:rPr>
            </w:pPr>
          </w:p>
        </w:tc>
        <w:tc>
          <w:tcPr>
            <w:tcW w:w="1212" w:type="dxa"/>
            <w:tcBorders>
              <w:top w:val="single" w:color="auto" w:sz="4" w:space="0"/>
              <w:left w:val="single" w:color="auto" w:sz="4" w:space="0"/>
              <w:bottom w:val="single" w:color="auto" w:sz="4" w:space="0"/>
              <w:right w:val="single" w:color="auto" w:sz="4" w:space="0"/>
            </w:tcBorders>
          </w:tcPr>
          <w:p>
            <w:pPr>
              <w:pStyle w:val="13"/>
              <w:spacing w:before="120" w:beforeLines="50" w:after="120" w:afterLines="50" w:line="300" w:lineRule="auto"/>
              <w:rPr>
                <w:sz w:val="24"/>
                <w:szCs w:val="24"/>
              </w:rPr>
            </w:pPr>
          </w:p>
        </w:tc>
        <w:tc>
          <w:tcPr>
            <w:tcW w:w="965" w:type="dxa"/>
            <w:tcBorders>
              <w:top w:val="single" w:color="auto" w:sz="4" w:space="0"/>
              <w:left w:val="single" w:color="auto" w:sz="4" w:space="0"/>
              <w:bottom w:val="single" w:color="auto" w:sz="4" w:space="0"/>
              <w:right w:val="single" w:color="auto" w:sz="4" w:space="0"/>
            </w:tcBorders>
          </w:tcPr>
          <w:p>
            <w:pPr>
              <w:pStyle w:val="13"/>
              <w:spacing w:before="120" w:beforeLines="50" w:after="120" w:afterLines="50" w:line="30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pStyle w:val="13"/>
              <w:spacing w:before="120" w:beforeLines="50" w:after="120" w:afterLines="50" w:line="300" w:lineRule="auto"/>
              <w:jc w:val="center"/>
              <w:rPr>
                <w:sz w:val="24"/>
                <w:szCs w:val="24"/>
              </w:rPr>
            </w:pPr>
            <w:r>
              <w:rPr>
                <w:rFonts w:hint="eastAsia"/>
                <w:sz w:val="24"/>
                <w:szCs w:val="24"/>
              </w:rPr>
              <w:t>3</w:t>
            </w:r>
          </w:p>
        </w:tc>
        <w:tc>
          <w:tcPr>
            <w:tcW w:w="1738" w:type="dxa"/>
            <w:tcBorders>
              <w:top w:val="single" w:color="auto" w:sz="4" w:space="0"/>
              <w:left w:val="single" w:color="auto" w:sz="4" w:space="0"/>
              <w:bottom w:val="single" w:color="auto" w:sz="4" w:space="0"/>
              <w:right w:val="single" w:color="auto" w:sz="4" w:space="0"/>
            </w:tcBorders>
          </w:tcPr>
          <w:p>
            <w:pPr>
              <w:pStyle w:val="13"/>
              <w:spacing w:before="120" w:beforeLines="50" w:after="120" w:afterLines="50" w:line="300" w:lineRule="auto"/>
              <w:rPr>
                <w:sz w:val="24"/>
                <w:szCs w:val="24"/>
              </w:rPr>
            </w:pPr>
          </w:p>
        </w:tc>
        <w:tc>
          <w:tcPr>
            <w:tcW w:w="1761" w:type="dxa"/>
            <w:tcBorders>
              <w:top w:val="single" w:color="auto" w:sz="4" w:space="0"/>
              <w:left w:val="single" w:color="auto" w:sz="4" w:space="0"/>
              <w:bottom w:val="single" w:color="auto" w:sz="4" w:space="0"/>
              <w:right w:val="single" w:color="auto" w:sz="4" w:space="0"/>
            </w:tcBorders>
          </w:tcPr>
          <w:p>
            <w:pPr>
              <w:pStyle w:val="13"/>
              <w:spacing w:before="120" w:beforeLines="50" w:after="120" w:afterLines="50" w:line="300" w:lineRule="auto"/>
              <w:rPr>
                <w:sz w:val="24"/>
                <w:szCs w:val="24"/>
              </w:rPr>
            </w:pPr>
          </w:p>
        </w:tc>
        <w:tc>
          <w:tcPr>
            <w:tcW w:w="1984" w:type="dxa"/>
            <w:tcBorders>
              <w:top w:val="single" w:color="auto" w:sz="4" w:space="0"/>
              <w:left w:val="single" w:color="auto" w:sz="4" w:space="0"/>
              <w:bottom w:val="single" w:color="auto" w:sz="4" w:space="0"/>
              <w:right w:val="single" w:color="auto" w:sz="4" w:space="0"/>
            </w:tcBorders>
          </w:tcPr>
          <w:p>
            <w:pPr>
              <w:pStyle w:val="13"/>
              <w:spacing w:before="120" w:beforeLines="50" w:after="120" w:afterLines="50" w:line="300" w:lineRule="auto"/>
              <w:rPr>
                <w:sz w:val="24"/>
                <w:szCs w:val="24"/>
              </w:rPr>
            </w:pPr>
          </w:p>
        </w:tc>
        <w:tc>
          <w:tcPr>
            <w:tcW w:w="1212" w:type="dxa"/>
            <w:tcBorders>
              <w:top w:val="single" w:color="auto" w:sz="4" w:space="0"/>
              <w:left w:val="single" w:color="auto" w:sz="4" w:space="0"/>
              <w:bottom w:val="single" w:color="auto" w:sz="4" w:space="0"/>
              <w:right w:val="single" w:color="auto" w:sz="4" w:space="0"/>
            </w:tcBorders>
          </w:tcPr>
          <w:p>
            <w:pPr>
              <w:pStyle w:val="13"/>
              <w:spacing w:before="120" w:beforeLines="50" w:after="120" w:afterLines="50" w:line="300" w:lineRule="auto"/>
              <w:rPr>
                <w:sz w:val="24"/>
                <w:szCs w:val="24"/>
              </w:rPr>
            </w:pPr>
          </w:p>
        </w:tc>
        <w:tc>
          <w:tcPr>
            <w:tcW w:w="965" w:type="dxa"/>
            <w:tcBorders>
              <w:top w:val="single" w:color="auto" w:sz="4" w:space="0"/>
              <w:left w:val="single" w:color="auto" w:sz="4" w:space="0"/>
              <w:bottom w:val="single" w:color="auto" w:sz="4" w:space="0"/>
              <w:right w:val="single" w:color="auto" w:sz="4" w:space="0"/>
            </w:tcBorders>
          </w:tcPr>
          <w:p>
            <w:pPr>
              <w:pStyle w:val="13"/>
              <w:spacing w:before="120" w:beforeLines="50" w:after="120" w:afterLines="50" w:line="30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pStyle w:val="13"/>
              <w:spacing w:before="120" w:beforeLines="50" w:after="120" w:afterLines="50" w:line="300" w:lineRule="auto"/>
              <w:jc w:val="center"/>
              <w:rPr>
                <w:sz w:val="24"/>
                <w:szCs w:val="24"/>
              </w:rPr>
            </w:pPr>
            <w:r>
              <w:rPr>
                <w:rFonts w:hint="eastAsia"/>
                <w:sz w:val="24"/>
                <w:szCs w:val="24"/>
              </w:rPr>
              <w:t>4</w:t>
            </w:r>
          </w:p>
        </w:tc>
        <w:tc>
          <w:tcPr>
            <w:tcW w:w="1738" w:type="dxa"/>
            <w:tcBorders>
              <w:top w:val="single" w:color="auto" w:sz="4" w:space="0"/>
              <w:left w:val="single" w:color="auto" w:sz="4" w:space="0"/>
              <w:bottom w:val="single" w:color="auto" w:sz="4" w:space="0"/>
              <w:right w:val="single" w:color="auto" w:sz="4" w:space="0"/>
            </w:tcBorders>
          </w:tcPr>
          <w:p>
            <w:pPr>
              <w:pStyle w:val="13"/>
              <w:spacing w:before="120" w:beforeLines="50" w:after="120" w:afterLines="50" w:line="300" w:lineRule="auto"/>
              <w:rPr>
                <w:sz w:val="24"/>
                <w:szCs w:val="24"/>
              </w:rPr>
            </w:pPr>
          </w:p>
        </w:tc>
        <w:tc>
          <w:tcPr>
            <w:tcW w:w="1761" w:type="dxa"/>
            <w:tcBorders>
              <w:top w:val="single" w:color="auto" w:sz="4" w:space="0"/>
              <w:left w:val="single" w:color="auto" w:sz="4" w:space="0"/>
              <w:bottom w:val="single" w:color="auto" w:sz="4" w:space="0"/>
              <w:right w:val="single" w:color="auto" w:sz="4" w:space="0"/>
            </w:tcBorders>
          </w:tcPr>
          <w:p>
            <w:pPr>
              <w:pStyle w:val="13"/>
              <w:spacing w:before="120" w:beforeLines="50" w:after="120" w:afterLines="50" w:line="300" w:lineRule="auto"/>
              <w:rPr>
                <w:sz w:val="24"/>
                <w:szCs w:val="24"/>
              </w:rPr>
            </w:pPr>
          </w:p>
        </w:tc>
        <w:tc>
          <w:tcPr>
            <w:tcW w:w="1984" w:type="dxa"/>
            <w:tcBorders>
              <w:top w:val="single" w:color="auto" w:sz="4" w:space="0"/>
              <w:left w:val="single" w:color="auto" w:sz="4" w:space="0"/>
              <w:bottom w:val="single" w:color="auto" w:sz="4" w:space="0"/>
              <w:right w:val="single" w:color="auto" w:sz="4" w:space="0"/>
            </w:tcBorders>
          </w:tcPr>
          <w:p>
            <w:pPr>
              <w:pStyle w:val="13"/>
              <w:spacing w:before="120" w:beforeLines="50" w:after="120" w:afterLines="50" w:line="300" w:lineRule="auto"/>
              <w:rPr>
                <w:sz w:val="24"/>
                <w:szCs w:val="24"/>
              </w:rPr>
            </w:pPr>
          </w:p>
        </w:tc>
        <w:tc>
          <w:tcPr>
            <w:tcW w:w="1212" w:type="dxa"/>
            <w:tcBorders>
              <w:top w:val="single" w:color="auto" w:sz="4" w:space="0"/>
              <w:left w:val="single" w:color="auto" w:sz="4" w:space="0"/>
              <w:bottom w:val="single" w:color="auto" w:sz="4" w:space="0"/>
              <w:right w:val="single" w:color="auto" w:sz="4" w:space="0"/>
            </w:tcBorders>
          </w:tcPr>
          <w:p>
            <w:pPr>
              <w:pStyle w:val="13"/>
              <w:spacing w:before="120" w:beforeLines="50" w:after="120" w:afterLines="50" w:line="300" w:lineRule="auto"/>
              <w:rPr>
                <w:sz w:val="24"/>
                <w:szCs w:val="24"/>
              </w:rPr>
            </w:pPr>
          </w:p>
        </w:tc>
        <w:tc>
          <w:tcPr>
            <w:tcW w:w="965" w:type="dxa"/>
            <w:tcBorders>
              <w:top w:val="single" w:color="auto" w:sz="4" w:space="0"/>
              <w:left w:val="single" w:color="auto" w:sz="4" w:space="0"/>
              <w:bottom w:val="single" w:color="auto" w:sz="4" w:space="0"/>
              <w:right w:val="single" w:color="auto" w:sz="4" w:space="0"/>
            </w:tcBorders>
          </w:tcPr>
          <w:p>
            <w:pPr>
              <w:pStyle w:val="13"/>
              <w:spacing w:before="120" w:beforeLines="50" w:after="120" w:afterLines="50" w:line="30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432" w:hRule="atLeast"/>
          <w:jc w:val="center"/>
        </w:trPr>
        <w:tc>
          <w:tcPr>
            <w:tcW w:w="862" w:type="dxa"/>
            <w:tcBorders>
              <w:top w:val="single" w:color="auto" w:sz="4" w:space="0"/>
              <w:left w:val="single" w:color="auto" w:sz="4" w:space="0"/>
              <w:bottom w:val="single" w:color="auto" w:sz="4" w:space="0"/>
              <w:right w:val="single" w:color="auto" w:sz="4" w:space="0"/>
            </w:tcBorders>
          </w:tcPr>
          <w:p>
            <w:pPr>
              <w:pStyle w:val="13"/>
              <w:spacing w:before="120" w:beforeLines="50" w:after="120" w:afterLines="50" w:line="300" w:lineRule="auto"/>
              <w:rPr>
                <w:sz w:val="24"/>
                <w:szCs w:val="24"/>
              </w:rPr>
            </w:pPr>
          </w:p>
        </w:tc>
        <w:tc>
          <w:tcPr>
            <w:tcW w:w="1738" w:type="dxa"/>
            <w:tcBorders>
              <w:top w:val="single" w:color="auto" w:sz="4" w:space="0"/>
              <w:left w:val="single" w:color="auto" w:sz="4" w:space="0"/>
              <w:bottom w:val="single" w:color="auto" w:sz="4" w:space="0"/>
              <w:right w:val="single" w:color="auto" w:sz="4" w:space="0"/>
            </w:tcBorders>
          </w:tcPr>
          <w:p>
            <w:pPr>
              <w:pStyle w:val="13"/>
              <w:spacing w:before="120" w:beforeLines="50" w:after="120" w:afterLines="50" w:line="300" w:lineRule="auto"/>
              <w:rPr>
                <w:sz w:val="24"/>
                <w:szCs w:val="24"/>
              </w:rPr>
            </w:pPr>
            <w:r>
              <w:rPr>
                <w:rFonts w:hint="eastAsia"/>
                <w:sz w:val="24"/>
                <w:szCs w:val="24"/>
              </w:rPr>
              <w:t>……</w:t>
            </w:r>
          </w:p>
        </w:tc>
        <w:tc>
          <w:tcPr>
            <w:tcW w:w="1761" w:type="dxa"/>
            <w:tcBorders>
              <w:top w:val="single" w:color="auto" w:sz="4" w:space="0"/>
              <w:left w:val="single" w:color="auto" w:sz="4" w:space="0"/>
              <w:bottom w:val="single" w:color="auto" w:sz="4" w:space="0"/>
              <w:right w:val="single" w:color="auto" w:sz="4" w:space="0"/>
            </w:tcBorders>
          </w:tcPr>
          <w:p>
            <w:pPr>
              <w:pStyle w:val="13"/>
              <w:spacing w:before="120" w:beforeLines="50" w:after="120" w:afterLines="50" w:line="300" w:lineRule="auto"/>
              <w:rPr>
                <w:sz w:val="24"/>
                <w:szCs w:val="24"/>
              </w:rPr>
            </w:pPr>
          </w:p>
        </w:tc>
        <w:tc>
          <w:tcPr>
            <w:tcW w:w="1984" w:type="dxa"/>
            <w:tcBorders>
              <w:top w:val="single" w:color="auto" w:sz="4" w:space="0"/>
              <w:left w:val="single" w:color="auto" w:sz="4" w:space="0"/>
              <w:bottom w:val="single" w:color="auto" w:sz="4" w:space="0"/>
              <w:right w:val="single" w:color="auto" w:sz="4" w:space="0"/>
            </w:tcBorders>
          </w:tcPr>
          <w:p>
            <w:pPr>
              <w:pStyle w:val="13"/>
              <w:spacing w:before="120" w:beforeLines="50" w:after="120" w:afterLines="50" w:line="300" w:lineRule="auto"/>
              <w:rPr>
                <w:sz w:val="24"/>
                <w:szCs w:val="24"/>
              </w:rPr>
            </w:pPr>
          </w:p>
        </w:tc>
        <w:tc>
          <w:tcPr>
            <w:tcW w:w="1212" w:type="dxa"/>
            <w:tcBorders>
              <w:top w:val="single" w:color="auto" w:sz="4" w:space="0"/>
              <w:left w:val="single" w:color="auto" w:sz="4" w:space="0"/>
              <w:bottom w:val="single" w:color="auto" w:sz="4" w:space="0"/>
              <w:right w:val="single" w:color="auto" w:sz="4" w:space="0"/>
            </w:tcBorders>
          </w:tcPr>
          <w:p>
            <w:pPr>
              <w:pStyle w:val="13"/>
              <w:spacing w:before="120" w:beforeLines="50" w:after="120" w:afterLines="50" w:line="300" w:lineRule="auto"/>
              <w:rPr>
                <w:sz w:val="24"/>
                <w:szCs w:val="24"/>
              </w:rPr>
            </w:pPr>
          </w:p>
        </w:tc>
        <w:tc>
          <w:tcPr>
            <w:tcW w:w="965" w:type="dxa"/>
            <w:tcBorders>
              <w:top w:val="single" w:color="auto" w:sz="4" w:space="0"/>
              <w:left w:val="single" w:color="auto" w:sz="4" w:space="0"/>
              <w:bottom w:val="single" w:color="auto" w:sz="4" w:space="0"/>
              <w:right w:val="single" w:color="auto" w:sz="4" w:space="0"/>
            </w:tcBorders>
          </w:tcPr>
          <w:p>
            <w:pPr>
              <w:pStyle w:val="13"/>
              <w:spacing w:before="120" w:beforeLines="50" w:after="120" w:afterLines="50" w:line="300" w:lineRule="auto"/>
              <w:rPr>
                <w:sz w:val="24"/>
                <w:szCs w:val="24"/>
              </w:rPr>
            </w:pPr>
          </w:p>
        </w:tc>
      </w:tr>
    </w:tbl>
    <w:p>
      <w:pPr>
        <w:spacing w:before="120" w:beforeLines="50" w:after="120" w:afterLines="50" w:line="300" w:lineRule="auto"/>
        <w:rPr>
          <w:sz w:val="24"/>
        </w:rPr>
      </w:pPr>
      <w:r>
        <w:rPr>
          <w:sz w:val="24"/>
        </w:rPr>
        <w:t>注：</w:t>
      </w:r>
      <w:r>
        <w:rPr>
          <w:rFonts w:hint="eastAsia"/>
          <w:sz w:val="24"/>
        </w:rPr>
        <w:t>需提供相应的证明材料，详见招标文件第四部分评标办法中“评分标准”要求。</w:t>
      </w:r>
    </w:p>
    <w:p>
      <w:pPr>
        <w:spacing w:line="360" w:lineRule="auto"/>
        <w:rPr>
          <w:sz w:val="24"/>
        </w:rPr>
        <w:sectPr>
          <w:pgSz w:w="11906" w:h="16838"/>
          <w:pgMar w:top="1587" w:right="1587" w:bottom="1587" w:left="1587" w:header="1247" w:footer="992" w:gutter="0"/>
          <w:cols w:space="0" w:num="1"/>
          <w:docGrid w:linePitch="312" w:charSpace="0"/>
        </w:sectPr>
      </w:pPr>
    </w:p>
    <w:p>
      <w:pPr>
        <w:spacing w:line="360" w:lineRule="auto"/>
        <w:rPr>
          <w:sz w:val="24"/>
        </w:rPr>
      </w:pPr>
    </w:p>
    <w:p>
      <w:pPr>
        <w:spacing w:line="360" w:lineRule="auto"/>
        <w:rPr>
          <w:rFonts w:ascii="宋体" w:hAnsi="宋体" w:eastAsia="宋体" w:cs="宋体"/>
          <w:sz w:val="24"/>
          <w:szCs w:val="24"/>
        </w:rPr>
      </w:pPr>
      <w:r>
        <w:rPr>
          <w:sz w:val="24"/>
        </w:rPr>
        <w:t>（三）</w:t>
      </w:r>
      <w:r>
        <w:rPr>
          <w:rFonts w:hint="eastAsia"/>
          <w:sz w:val="24"/>
        </w:rPr>
        <w:t>投标人担任国家发改委或财政部或住建部PPP规范文件（政策法规）起草或课题编制的相关业绩</w: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sectPr>
          <w:pgSz w:w="11906" w:h="16838"/>
          <w:pgMar w:top="1587" w:right="1587" w:bottom="1587" w:left="1587" w:header="1247" w:footer="992" w:gutter="0"/>
          <w:cols w:space="0" w:num="1"/>
          <w:docGrid w:linePitch="312" w:charSpace="0"/>
        </w:sectPr>
      </w:pPr>
    </w:p>
    <w:p>
      <w:pPr>
        <w:outlineLvl w:val="1"/>
        <w:rPr>
          <w:rFonts w:ascii="宋体" w:hAnsi="宋体" w:eastAsia="宋体" w:cs="宋体"/>
          <w:b/>
          <w:sz w:val="24"/>
          <w:szCs w:val="24"/>
        </w:rPr>
      </w:pPr>
      <w:bookmarkStart w:id="149" w:name="_Toc14881"/>
      <w:r>
        <w:rPr>
          <w:rFonts w:hint="eastAsia" w:ascii="宋体" w:hAnsi="宋体" w:eastAsia="宋体" w:cs="宋体"/>
          <w:b/>
          <w:sz w:val="24"/>
          <w:szCs w:val="24"/>
        </w:rPr>
        <w:t xml:space="preserve">附件6 </w:t>
      </w:r>
      <w:bookmarkEnd w:id="149"/>
      <w:r>
        <w:rPr>
          <w:rFonts w:hint="eastAsia" w:ascii="宋体" w:hAnsi="宋体" w:eastAsia="宋体" w:cs="宋体"/>
          <w:b/>
          <w:sz w:val="24"/>
          <w:szCs w:val="24"/>
        </w:rPr>
        <w:t>咨询服务方案</w:t>
      </w:r>
    </w:p>
    <w:p>
      <w:pPr>
        <w:spacing w:line="400" w:lineRule="exact"/>
        <w:rPr>
          <w:rFonts w:ascii="宋体" w:hAnsi="宋体" w:eastAsia="宋体" w:cs="宋体"/>
          <w:sz w:val="24"/>
          <w:szCs w:val="24"/>
        </w:rPr>
      </w:pPr>
    </w:p>
    <w:p>
      <w:pPr>
        <w:spacing w:line="400" w:lineRule="exact"/>
        <w:ind w:firstLine="1320" w:firstLineChars="550"/>
        <w:rPr>
          <w:rFonts w:ascii="宋体" w:hAnsi="宋体" w:eastAsia="宋体" w:cs="宋体"/>
          <w:sz w:val="24"/>
          <w:szCs w:val="24"/>
        </w:rPr>
      </w:pPr>
      <w:r>
        <w:rPr>
          <w:rFonts w:hint="eastAsia" w:ascii="宋体" w:hAnsi="宋体" w:eastAsia="宋体" w:cs="宋体"/>
          <w:sz w:val="24"/>
          <w:szCs w:val="24"/>
        </w:rPr>
        <w:t>此项格式自理，内容应包括但不限制于评分办法提到的内容。</w:t>
      </w:r>
    </w:p>
    <w:p>
      <w:pPr>
        <w:widowControl/>
        <w:overflowPunct w:val="0"/>
        <w:autoSpaceDE w:val="0"/>
        <w:autoSpaceDN w:val="0"/>
        <w:adjustRightInd w:val="0"/>
        <w:spacing w:line="400" w:lineRule="atLeast"/>
        <w:jc w:val="left"/>
        <w:textAlignment w:val="baseline"/>
        <w:rPr>
          <w:rFonts w:ascii="宋体" w:hAnsi="宋体" w:eastAsia="宋体" w:cs="宋体"/>
          <w:b/>
          <w:bCs/>
          <w:kern w:val="0"/>
          <w:szCs w:val="20"/>
        </w:rPr>
        <w:sectPr>
          <w:pgSz w:w="11906" w:h="16838"/>
          <w:pgMar w:top="1587" w:right="1587" w:bottom="1587" w:left="1587" w:header="1247" w:footer="992" w:gutter="0"/>
          <w:cols w:space="0" w:num="1"/>
          <w:docGrid w:linePitch="312" w:charSpace="0"/>
        </w:sectPr>
      </w:pPr>
    </w:p>
    <w:bookmarkEnd w:id="138"/>
    <w:p>
      <w:pPr>
        <w:outlineLvl w:val="1"/>
        <w:rPr>
          <w:rFonts w:ascii="宋体" w:hAnsi="宋体" w:eastAsia="宋体" w:cs="宋体"/>
          <w:b/>
          <w:sz w:val="24"/>
          <w:szCs w:val="24"/>
        </w:rPr>
      </w:pPr>
      <w:bookmarkStart w:id="150" w:name="_Toc6318"/>
      <w:bookmarkStart w:id="151" w:name="_Toc275431239"/>
      <w:r>
        <w:rPr>
          <w:rFonts w:hint="eastAsia" w:ascii="宋体" w:hAnsi="宋体" w:eastAsia="宋体" w:cs="宋体"/>
          <w:b/>
          <w:sz w:val="24"/>
          <w:szCs w:val="24"/>
        </w:rPr>
        <w:t>附件7 中标服务费承诺书格式</w:t>
      </w:r>
      <w:bookmarkEnd w:id="150"/>
      <w:bookmarkEnd w:id="151"/>
    </w:p>
    <w:p>
      <w:pPr>
        <w:widowControl/>
        <w:overflowPunct w:val="0"/>
        <w:autoSpaceDE w:val="0"/>
        <w:autoSpaceDN w:val="0"/>
        <w:adjustRightInd w:val="0"/>
        <w:spacing w:line="400" w:lineRule="atLeast"/>
        <w:jc w:val="left"/>
        <w:textAlignment w:val="baseline"/>
        <w:rPr>
          <w:rFonts w:ascii="宋体" w:hAnsi="宋体" w:eastAsia="宋体" w:cs="宋体"/>
          <w:b/>
          <w:bCs/>
          <w:kern w:val="0"/>
          <w:szCs w:val="20"/>
        </w:rPr>
      </w:pPr>
    </w:p>
    <w:p>
      <w:pPr>
        <w:keepNext/>
        <w:keepLines/>
        <w:spacing w:before="20" w:after="20" w:line="415" w:lineRule="auto"/>
        <w:jc w:val="center"/>
        <w:rPr>
          <w:rFonts w:ascii="宋体" w:hAnsi="宋体" w:eastAsia="宋体" w:cs="宋体"/>
          <w:b/>
          <w:bCs/>
          <w:sz w:val="28"/>
          <w:szCs w:val="32"/>
        </w:rPr>
      </w:pPr>
      <w:r>
        <w:rPr>
          <w:rFonts w:hint="eastAsia" w:ascii="宋体" w:hAnsi="宋体" w:eastAsia="宋体" w:cs="宋体"/>
          <w:b/>
          <w:bCs/>
          <w:sz w:val="28"/>
          <w:szCs w:val="32"/>
        </w:rPr>
        <w:t>中标服务费承诺书</w:t>
      </w:r>
    </w:p>
    <w:p>
      <w:pPr>
        <w:spacing w:line="360" w:lineRule="auto"/>
        <w:rPr>
          <w:rFonts w:ascii="宋体" w:hAnsi="宋体" w:eastAsia="宋体" w:cs="宋体"/>
          <w:szCs w:val="21"/>
        </w:rPr>
      </w:pPr>
    </w:p>
    <w:p>
      <w:pPr>
        <w:spacing w:line="360" w:lineRule="auto"/>
        <w:rPr>
          <w:rFonts w:ascii="宋体" w:hAnsi="宋体" w:eastAsia="宋体" w:cs="宋体"/>
          <w:sz w:val="24"/>
          <w:szCs w:val="24"/>
          <w:u w:val="single"/>
        </w:rPr>
      </w:pPr>
      <w:r>
        <w:rPr>
          <w:rFonts w:hint="eastAsia" w:ascii="宋体" w:hAnsi="宋体" w:eastAsia="宋体" w:cs="宋体"/>
          <w:sz w:val="24"/>
          <w:szCs w:val="24"/>
        </w:rPr>
        <w:t>致：</w:t>
      </w:r>
      <w:r>
        <w:rPr>
          <w:rFonts w:hint="eastAsia" w:ascii="宋体" w:hAnsi="宋体" w:eastAsia="宋体" w:cs="宋体"/>
          <w:i/>
          <w:sz w:val="24"/>
          <w:szCs w:val="24"/>
          <w:u w:val="single"/>
        </w:rPr>
        <w:t>（采购代理机构 ）</w:t>
      </w:r>
    </w:p>
    <w:p>
      <w:pPr>
        <w:spacing w:line="360" w:lineRule="auto"/>
        <w:rPr>
          <w:rFonts w:ascii="宋体" w:hAnsi="宋体" w:eastAsia="宋体" w:cs="宋体"/>
          <w:sz w:val="24"/>
          <w:szCs w:val="24"/>
        </w:rPr>
      </w:pPr>
    </w:p>
    <w:p>
      <w:pPr>
        <w:spacing w:line="360" w:lineRule="auto"/>
        <w:ind w:firstLine="480"/>
        <w:rPr>
          <w:rFonts w:ascii="宋体" w:hAnsi="宋体" w:eastAsia="宋体" w:cs="宋体"/>
          <w:sz w:val="24"/>
          <w:szCs w:val="24"/>
        </w:rPr>
      </w:pPr>
      <w:r>
        <w:rPr>
          <w:rFonts w:hint="eastAsia" w:ascii="宋体" w:hAnsi="宋体" w:eastAsia="宋体" w:cs="宋体"/>
          <w:sz w:val="24"/>
          <w:szCs w:val="24"/>
        </w:rPr>
        <w:t>我们在贵公司组织的</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项目（项目名称）招标中若获中标（项目编号：           ），我们保证在领取《中标通知书》5日内，按招标文件的规定向贵公司一次性支付应该交纳的中标服务费用。</w:t>
      </w:r>
    </w:p>
    <w:p>
      <w:pPr>
        <w:spacing w:line="360" w:lineRule="auto"/>
        <w:rPr>
          <w:rFonts w:ascii="宋体" w:hAnsi="宋体" w:eastAsia="宋体" w:cs="宋体"/>
          <w:sz w:val="24"/>
          <w:szCs w:val="24"/>
        </w:rPr>
      </w:pP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特此承诺！</w:t>
      </w:r>
    </w:p>
    <w:p>
      <w:pPr>
        <w:spacing w:line="360" w:lineRule="auto"/>
        <w:rPr>
          <w:rFonts w:ascii="宋体" w:hAnsi="宋体" w:eastAsia="宋体" w:cs="宋体"/>
          <w:sz w:val="24"/>
          <w:szCs w:val="24"/>
        </w:rPr>
      </w:pP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承诺方法定名称：</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（承诺方盖章）</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电话：</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传真：</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邮编：</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承诺方授权代表签字：</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承诺日期：</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　　</w:t>
      </w:r>
    </w:p>
    <w:p>
      <w:pPr>
        <w:spacing w:line="360" w:lineRule="auto"/>
        <w:ind w:firstLine="420" w:firstLineChars="200"/>
        <w:rPr>
          <w:rFonts w:ascii="宋体" w:hAnsi="宋体" w:eastAsia="宋体" w:cs="宋体"/>
          <w:szCs w:val="21"/>
          <w:u w:val="single"/>
        </w:rPr>
      </w:pPr>
    </w:p>
    <w:p>
      <w:pPr>
        <w:spacing w:line="360" w:lineRule="auto"/>
        <w:ind w:firstLine="420" w:firstLineChars="200"/>
        <w:rPr>
          <w:rFonts w:ascii="宋体" w:hAnsi="宋体" w:eastAsia="宋体" w:cs="宋体"/>
          <w:szCs w:val="21"/>
          <w:u w:val="single"/>
        </w:rPr>
      </w:pPr>
    </w:p>
    <w:p>
      <w:pPr>
        <w:spacing w:line="360" w:lineRule="auto"/>
        <w:ind w:firstLine="420" w:firstLineChars="200"/>
        <w:rPr>
          <w:rFonts w:ascii="宋体" w:hAnsi="宋体" w:eastAsia="宋体" w:cs="宋体"/>
          <w:szCs w:val="21"/>
          <w:u w:val="single"/>
        </w:rPr>
      </w:pPr>
    </w:p>
    <w:p>
      <w:pPr>
        <w:spacing w:line="360" w:lineRule="auto"/>
        <w:ind w:firstLine="420" w:firstLineChars="200"/>
        <w:rPr>
          <w:rFonts w:ascii="宋体" w:hAnsi="宋体" w:eastAsia="宋体" w:cs="宋体"/>
          <w:szCs w:val="21"/>
          <w:u w:val="single"/>
        </w:rPr>
      </w:pPr>
    </w:p>
    <w:p>
      <w:pPr>
        <w:spacing w:line="360" w:lineRule="auto"/>
        <w:ind w:firstLine="420" w:firstLineChars="200"/>
        <w:rPr>
          <w:rFonts w:ascii="宋体" w:hAnsi="宋体" w:eastAsia="宋体" w:cs="宋体"/>
          <w:szCs w:val="21"/>
          <w:u w:val="single"/>
        </w:rPr>
      </w:pPr>
    </w:p>
    <w:p>
      <w:pPr>
        <w:spacing w:line="360" w:lineRule="auto"/>
        <w:ind w:firstLine="420" w:firstLineChars="200"/>
        <w:rPr>
          <w:rFonts w:ascii="宋体" w:hAnsi="宋体" w:eastAsia="宋体" w:cs="宋体"/>
          <w:szCs w:val="21"/>
          <w:u w:val="single"/>
        </w:rPr>
      </w:pPr>
    </w:p>
    <w:p>
      <w:pPr>
        <w:spacing w:line="360" w:lineRule="auto"/>
        <w:rPr>
          <w:rFonts w:ascii="宋体" w:hAnsi="宋体" w:eastAsia="宋体" w:cs="宋体"/>
          <w:sz w:val="24"/>
          <w:szCs w:val="24"/>
          <w:u w:val="single"/>
        </w:rPr>
        <w:sectPr>
          <w:pgSz w:w="11906" w:h="16838"/>
          <w:pgMar w:top="1587" w:right="1587" w:bottom="1587" w:left="1587" w:header="1247" w:footer="992" w:gutter="0"/>
          <w:cols w:space="0" w:num="1"/>
          <w:docGrid w:linePitch="312" w:charSpace="0"/>
        </w:sectPr>
      </w:pPr>
    </w:p>
    <w:p>
      <w:pPr>
        <w:outlineLvl w:val="1"/>
        <w:rPr>
          <w:rFonts w:ascii="宋体" w:hAnsi="宋体" w:eastAsia="宋体" w:cs="宋体"/>
          <w:b/>
          <w:sz w:val="24"/>
          <w:szCs w:val="24"/>
        </w:rPr>
      </w:pPr>
      <w:bookmarkStart w:id="152" w:name="_Toc270946251"/>
      <w:bookmarkStart w:id="153" w:name="_Toc267574184"/>
      <w:bookmarkStart w:id="154" w:name="_Toc18239"/>
      <w:r>
        <w:rPr>
          <w:rFonts w:hint="eastAsia" w:ascii="宋体" w:hAnsi="宋体" w:eastAsia="宋体" w:cs="宋体"/>
          <w:b/>
          <w:sz w:val="24"/>
          <w:szCs w:val="24"/>
        </w:rPr>
        <w:t>附件</w:t>
      </w:r>
      <w:bookmarkEnd w:id="152"/>
      <w:bookmarkEnd w:id="153"/>
      <w:r>
        <w:rPr>
          <w:rFonts w:hint="eastAsia" w:ascii="宋体" w:hAnsi="宋体" w:eastAsia="宋体" w:cs="宋体"/>
          <w:b/>
          <w:sz w:val="24"/>
          <w:szCs w:val="24"/>
        </w:rPr>
        <w:t>8 反商业贿赂承诺书</w:t>
      </w:r>
      <w:bookmarkEnd w:id="154"/>
    </w:p>
    <w:p>
      <w:pPr>
        <w:widowControl/>
        <w:overflowPunct w:val="0"/>
        <w:autoSpaceDE w:val="0"/>
        <w:autoSpaceDN w:val="0"/>
        <w:adjustRightInd w:val="0"/>
        <w:spacing w:line="360" w:lineRule="auto"/>
        <w:jc w:val="left"/>
        <w:textAlignment w:val="baseline"/>
        <w:rPr>
          <w:rFonts w:ascii="宋体" w:hAnsi="宋体" w:eastAsia="宋体" w:cs="宋体"/>
          <w:b/>
          <w:bCs/>
          <w:kern w:val="0"/>
          <w:szCs w:val="20"/>
        </w:rPr>
      </w:pPr>
    </w:p>
    <w:p>
      <w:pPr>
        <w:keepNext/>
        <w:keepLines/>
        <w:spacing w:before="20" w:after="20" w:line="415" w:lineRule="auto"/>
        <w:jc w:val="center"/>
        <w:rPr>
          <w:rFonts w:ascii="宋体" w:hAnsi="宋体" w:eastAsia="宋体" w:cs="宋体"/>
          <w:b/>
          <w:bCs/>
          <w:sz w:val="28"/>
          <w:szCs w:val="32"/>
        </w:rPr>
      </w:pPr>
      <w:r>
        <w:rPr>
          <w:rFonts w:hint="eastAsia" w:ascii="宋体" w:hAnsi="宋体" w:eastAsia="宋体" w:cs="宋体"/>
          <w:b/>
          <w:bCs/>
          <w:sz w:val="28"/>
          <w:szCs w:val="32"/>
        </w:rPr>
        <w:t>反商业贿赂承诺书</w:t>
      </w:r>
    </w:p>
    <w:p>
      <w:pPr>
        <w:widowControl/>
        <w:spacing w:line="360" w:lineRule="auto"/>
        <w:rPr>
          <w:rFonts w:ascii="宋体" w:hAnsi="宋体" w:eastAsia="宋体" w:cs="宋体"/>
          <w:sz w:val="24"/>
          <w:szCs w:val="24"/>
        </w:rPr>
      </w:pPr>
      <w:r>
        <w:rPr>
          <w:rFonts w:hint="eastAsia" w:ascii="宋体" w:hAnsi="宋体" w:eastAsia="宋体" w:cs="宋体"/>
          <w:sz w:val="24"/>
          <w:szCs w:val="24"/>
        </w:rPr>
        <w:t xml:space="preserve">我公司承诺：  </w:t>
      </w:r>
    </w:p>
    <w:p>
      <w:pPr>
        <w:widowControl/>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在采购项目（项目编号：）招标活动中，我公司保证做到：</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一、公平竞争参加本次招标活动。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三、若出现上述行为，我公司及参与投标的工作人员愿意接受按照国家法律法规等有关规定给予的处罚。</w:t>
      </w:r>
    </w:p>
    <w:p>
      <w:pPr>
        <w:spacing w:line="360" w:lineRule="auto"/>
        <w:ind w:firstLine="480" w:firstLineChars="200"/>
        <w:rPr>
          <w:rFonts w:ascii="宋体" w:hAnsi="宋体" w:eastAsia="宋体" w:cs="宋体"/>
          <w:sz w:val="24"/>
          <w:szCs w:val="24"/>
        </w:rPr>
      </w:pPr>
    </w:p>
    <w:p>
      <w:pPr>
        <w:spacing w:line="360" w:lineRule="auto"/>
        <w:ind w:firstLine="480" w:firstLineChars="200"/>
        <w:rPr>
          <w:rFonts w:ascii="宋体" w:hAnsi="宋体" w:eastAsia="宋体" w:cs="宋体"/>
          <w:sz w:val="24"/>
          <w:szCs w:val="24"/>
        </w:rPr>
      </w:pPr>
    </w:p>
    <w:p>
      <w:pPr>
        <w:spacing w:line="360" w:lineRule="auto"/>
        <w:ind w:right="561" w:firstLine="5040" w:firstLineChars="2100"/>
        <w:rPr>
          <w:rFonts w:ascii="宋体" w:hAnsi="宋体" w:eastAsia="宋体" w:cs="宋体"/>
          <w:sz w:val="24"/>
          <w:szCs w:val="24"/>
        </w:rPr>
      </w:pPr>
      <w:r>
        <w:rPr>
          <w:rFonts w:hint="eastAsia" w:ascii="宋体" w:hAnsi="宋体" w:eastAsia="宋体" w:cs="宋体"/>
          <w:sz w:val="24"/>
          <w:szCs w:val="24"/>
        </w:rPr>
        <w:t>公司法人代表（签字）：</w:t>
      </w:r>
    </w:p>
    <w:p>
      <w:pPr>
        <w:spacing w:line="360" w:lineRule="auto"/>
        <w:ind w:right="561" w:firstLine="5040" w:firstLineChars="2100"/>
        <w:rPr>
          <w:rFonts w:ascii="宋体" w:hAnsi="宋体" w:eastAsia="宋体" w:cs="宋体"/>
          <w:sz w:val="24"/>
          <w:szCs w:val="24"/>
        </w:rPr>
      </w:pPr>
      <w:r>
        <w:rPr>
          <w:rFonts w:hint="eastAsia" w:ascii="宋体" w:hAnsi="宋体" w:eastAsia="宋体" w:cs="宋体"/>
          <w:sz w:val="24"/>
          <w:szCs w:val="24"/>
        </w:rPr>
        <w:t>委托代理人人（签字）：</w:t>
      </w:r>
    </w:p>
    <w:p>
      <w:pPr>
        <w:spacing w:line="360" w:lineRule="auto"/>
        <w:ind w:right="560" w:firstLine="5280" w:firstLineChars="2200"/>
        <w:rPr>
          <w:rFonts w:ascii="宋体" w:hAnsi="宋体" w:eastAsia="宋体" w:cs="宋体"/>
          <w:sz w:val="24"/>
          <w:szCs w:val="24"/>
        </w:rPr>
      </w:pPr>
    </w:p>
    <w:p>
      <w:pPr>
        <w:spacing w:line="360" w:lineRule="auto"/>
        <w:ind w:right="560" w:firstLine="5280" w:firstLineChars="2200"/>
        <w:rPr>
          <w:rFonts w:ascii="宋体" w:hAnsi="宋体" w:eastAsia="宋体" w:cs="宋体"/>
          <w:sz w:val="24"/>
          <w:szCs w:val="24"/>
        </w:rPr>
      </w:pPr>
      <w:r>
        <w:rPr>
          <w:rFonts w:hint="eastAsia" w:ascii="宋体" w:hAnsi="宋体" w:eastAsia="宋体" w:cs="宋体"/>
          <w:sz w:val="24"/>
          <w:szCs w:val="24"/>
        </w:rPr>
        <w:t>承诺人（公章）：</w:t>
      </w:r>
    </w:p>
    <w:p>
      <w:pPr>
        <w:spacing w:line="360" w:lineRule="auto"/>
        <w:ind w:right="560" w:firstLine="5160" w:firstLineChars="2150"/>
        <w:rPr>
          <w:rFonts w:ascii="宋体" w:hAnsi="宋体" w:eastAsia="宋体" w:cs="宋体"/>
          <w:sz w:val="24"/>
          <w:szCs w:val="24"/>
        </w:rPr>
      </w:pPr>
      <w:r>
        <w:rPr>
          <w:rFonts w:hint="eastAsia" w:ascii="宋体" w:hAnsi="宋体" w:eastAsia="宋体" w:cs="宋体"/>
          <w:sz w:val="24"/>
          <w:szCs w:val="24"/>
        </w:rPr>
        <w:t xml:space="preserve">  年  月  日</w:t>
      </w:r>
    </w:p>
    <w:p>
      <w:pPr>
        <w:spacing w:before="48" w:beforeLines="20" w:after="48" w:afterLines="20" w:line="360" w:lineRule="auto"/>
        <w:ind w:firstLine="2940" w:firstLineChars="1400"/>
        <w:rPr>
          <w:rFonts w:ascii="宋体" w:hAnsi="宋体" w:eastAsia="宋体" w:cs="宋体"/>
          <w:szCs w:val="21"/>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widowControl/>
        <w:overflowPunct w:val="0"/>
        <w:autoSpaceDE w:val="0"/>
        <w:autoSpaceDN w:val="0"/>
        <w:adjustRightInd w:val="0"/>
        <w:spacing w:line="400" w:lineRule="atLeast"/>
        <w:jc w:val="left"/>
        <w:textAlignment w:val="baseline"/>
        <w:rPr>
          <w:rFonts w:ascii="宋体" w:hAnsi="宋体" w:eastAsia="宋体" w:cs="宋体"/>
          <w:b/>
          <w:bCs/>
          <w:kern w:val="0"/>
          <w:szCs w:val="20"/>
        </w:rPr>
      </w:pPr>
    </w:p>
    <w:p>
      <w:pPr>
        <w:widowControl/>
        <w:overflowPunct w:val="0"/>
        <w:autoSpaceDE w:val="0"/>
        <w:autoSpaceDN w:val="0"/>
        <w:adjustRightInd w:val="0"/>
        <w:spacing w:line="400" w:lineRule="atLeast"/>
        <w:jc w:val="left"/>
        <w:textAlignment w:val="baseline"/>
        <w:rPr>
          <w:rFonts w:ascii="宋体" w:hAnsi="宋体" w:eastAsia="宋体" w:cs="宋体"/>
          <w:b/>
          <w:bCs/>
          <w:kern w:val="0"/>
          <w:sz w:val="24"/>
          <w:szCs w:val="24"/>
        </w:rPr>
      </w:pPr>
      <w:r>
        <w:rPr>
          <w:rFonts w:hint="eastAsia" w:ascii="宋体" w:hAnsi="宋体" w:eastAsia="宋体" w:cs="宋体"/>
          <w:b/>
          <w:bCs/>
          <w:kern w:val="0"/>
          <w:sz w:val="24"/>
          <w:szCs w:val="24"/>
        </w:rPr>
        <w:br w:type="page"/>
      </w:r>
    </w:p>
    <w:p>
      <w:pPr>
        <w:outlineLvl w:val="1"/>
        <w:rPr>
          <w:rFonts w:ascii="宋体" w:hAnsi="宋体" w:eastAsia="宋体" w:cs="宋体"/>
          <w:b/>
          <w:sz w:val="24"/>
          <w:szCs w:val="24"/>
        </w:rPr>
      </w:pPr>
      <w:bookmarkStart w:id="155" w:name="_Toc26963"/>
      <w:r>
        <w:rPr>
          <w:rFonts w:hint="eastAsia" w:ascii="宋体" w:hAnsi="宋体" w:eastAsia="宋体" w:cs="宋体"/>
          <w:b/>
          <w:sz w:val="24"/>
          <w:szCs w:val="24"/>
        </w:rPr>
        <w:t>附件9 供应商资格声明</w:t>
      </w:r>
      <w:bookmarkEnd w:id="155"/>
    </w:p>
    <w:p>
      <w:pPr>
        <w:spacing w:line="360" w:lineRule="auto"/>
        <w:jc w:val="center"/>
        <w:rPr>
          <w:rFonts w:ascii="宋体" w:hAnsi="宋体" w:eastAsia="宋体" w:cs="宋体"/>
          <w:b/>
          <w:szCs w:val="21"/>
        </w:rPr>
      </w:pPr>
    </w:p>
    <w:p>
      <w:pPr>
        <w:keepNext/>
        <w:keepLines/>
        <w:spacing w:before="20" w:after="20" w:line="415" w:lineRule="auto"/>
        <w:jc w:val="center"/>
        <w:rPr>
          <w:rFonts w:ascii="宋体" w:hAnsi="宋体" w:eastAsia="宋体" w:cs="宋体"/>
          <w:b/>
          <w:bCs/>
          <w:sz w:val="24"/>
          <w:szCs w:val="24"/>
        </w:rPr>
      </w:pPr>
      <w:r>
        <w:rPr>
          <w:rFonts w:hint="eastAsia" w:ascii="宋体" w:hAnsi="宋体" w:eastAsia="宋体" w:cs="宋体"/>
          <w:b/>
          <w:bCs/>
          <w:sz w:val="24"/>
          <w:szCs w:val="24"/>
        </w:rPr>
        <w:t>关于资格的声明函</w:t>
      </w:r>
    </w:p>
    <w:p>
      <w:pPr>
        <w:spacing w:line="360" w:lineRule="auto"/>
        <w:rPr>
          <w:rFonts w:ascii="宋体" w:hAnsi="宋体" w:eastAsia="宋体" w:cs="宋体"/>
          <w:b/>
          <w:sz w:val="24"/>
          <w:szCs w:val="24"/>
        </w:rPr>
      </w:pPr>
    </w:p>
    <w:p>
      <w:pPr>
        <w:spacing w:line="360" w:lineRule="auto"/>
        <w:rPr>
          <w:rFonts w:ascii="宋体" w:hAnsi="宋体" w:eastAsia="宋体" w:cs="宋体"/>
          <w:sz w:val="24"/>
          <w:szCs w:val="24"/>
          <w:u w:val="single"/>
        </w:rPr>
      </w:pPr>
      <w:r>
        <w:rPr>
          <w:rFonts w:hint="eastAsia" w:ascii="宋体" w:hAnsi="宋体" w:eastAsia="宋体" w:cs="宋体"/>
          <w:sz w:val="24"/>
          <w:szCs w:val="24"/>
          <w:u w:val="single"/>
        </w:rPr>
        <w:t xml:space="preserve">      （采购人）：</w:t>
      </w:r>
    </w:p>
    <w:p>
      <w:pPr>
        <w:spacing w:line="360" w:lineRule="auto"/>
        <w:ind w:firstLine="555"/>
        <w:rPr>
          <w:rFonts w:ascii="宋体" w:hAnsi="宋体" w:eastAsia="宋体" w:cs="宋体"/>
          <w:sz w:val="24"/>
          <w:szCs w:val="24"/>
        </w:rPr>
      </w:pPr>
      <w:r>
        <w:rPr>
          <w:rFonts w:hint="eastAsia" w:ascii="宋体" w:hAnsi="宋体" w:eastAsia="宋体" w:cs="宋体"/>
          <w:sz w:val="24"/>
          <w:szCs w:val="24"/>
        </w:rPr>
        <w:t>关于贵方项目编号为</w:t>
      </w:r>
      <w:r>
        <w:rPr>
          <w:rFonts w:hint="eastAsia" w:ascii="宋体" w:hAnsi="宋体" w:eastAsia="宋体" w:cs="宋体"/>
          <w:sz w:val="24"/>
          <w:szCs w:val="24"/>
          <w:u w:val="single"/>
        </w:rPr>
        <w:t xml:space="preserve">       </w:t>
      </w:r>
      <w:r>
        <w:rPr>
          <w:rFonts w:hint="eastAsia" w:ascii="宋体" w:hAnsi="宋体" w:eastAsia="宋体" w:cs="宋体"/>
          <w:sz w:val="24"/>
          <w:szCs w:val="24"/>
        </w:rPr>
        <w:t>项目的招标，本签字人愿意参加投标，提供采购需求中规定的内容，并声明提交的下列文件是准确和真实的。</w:t>
      </w:r>
    </w:p>
    <w:p>
      <w:pPr>
        <w:spacing w:line="360" w:lineRule="auto"/>
        <w:ind w:right="-11" w:firstLine="630"/>
        <w:rPr>
          <w:rFonts w:ascii="宋体" w:hAnsi="宋体" w:eastAsia="宋体" w:cs="宋体"/>
          <w:sz w:val="24"/>
          <w:szCs w:val="24"/>
        </w:rPr>
      </w:pPr>
      <w:r>
        <w:rPr>
          <w:rFonts w:hint="eastAsia" w:ascii="宋体" w:hAnsi="宋体" w:eastAsia="宋体" w:cs="宋体"/>
          <w:sz w:val="24"/>
          <w:szCs w:val="24"/>
        </w:rPr>
        <w:t>1、三证合一的法人营业执照副本</w:t>
      </w:r>
    </w:p>
    <w:p>
      <w:pPr>
        <w:spacing w:line="360" w:lineRule="auto"/>
        <w:ind w:right="-11" w:firstLine="630"/>
        <w:rPr>
          <w:rFonts w:ascii="宋体" w:hAnsi="宋体" w:eastAsia="宋体" w:cs="宋体"/>
          <w:sz w:val="24"/>
          <w:szCs w:val="24"/>
        </w:rPr>
      </w:pPr>
      <w:r>
        <w:rPr>
          <w:rFonts w:hint="eastAsia" w:ascii="宋体" w:hAnsi="宋体" w:eastAsia="宋体" w:cs="宋体"/>
          <w:sz w:val="24"/>
          <w:szCs w:val="24"/>
        </w:rPr>
        <w:t>2、相关证件</w:t>
      </w:r>
    </w:p>
    <w:p>
      <w:pPr>
        <w:spacing w:line="360" w:lineRule="auto"/>
        <w:ind w:right="-11" w:firstLine="630"/>
        <w:rPr>
          <w:rFonts w:ascii="宋体" w:hAnsi="宋体" w:eastAsia="宋体" w:cs="宋体"/>
          <w:sz w:val="24"/>
          <w:szCs w:val="24"/>
        </w:rPr>
      </w:pPr>
      <w:r>
        <w:rPr>
          <w:rFonts w:hint="eastAsia" w:ascii="宋体" w:hAnsi="宋体" w:eastAsia="宋体" w:cs="宋体"/>
          <w:sz w:val="24"/>
          <w:szCs w:val="24"/>
        </w:rPr>
        <w:t>4、法定代表人身份证复印件</w:t>
      </w:r>
    </w:p>
    <w:p>
      <w:pPr>
        <w:spacing w:line="360" w:lineRule="auto"/>
        <w:ind w:right="-11" w:firstLine="630"/>
        <w:rPr>
          <w:rFonts w:ascii="宋体" w:hAnsi="宋体" w:eastAsia="宋体" w:cs="宋体"/>
          <w:sz w:val="24"/>
          <w:szCs w:val="24"/>
        </w:rPr>
      </w:pPr>
      <w:r>
        <w:rPr>
          <w:rFonts w:hint="eastAsia" w:ascii="宋体" w:hAnsi="宋体" w:eastAsia="宋体" w:cs="宋体"/>
          <w:sz w:val="24"/>
          <w:szCs w:val="24"/>
        </w:rPr>
        <w:t>5、被授权委托人身份证</w:t>
      </w:r>
    </w:p>
    <w:p>
      <w:pPr>
        <w:spacing w:line="360" w:lineRule="auto"/>
        <w:ind w:right="-11" w:firstLine="630"/>
        <w:rPr>
          <w:rFonts w:ascii="宋体" w:hAnsi="宋体" w:eastAsia="宋体" w:cs="宋体"/>
          <w:sz w:val="24"/>
          <w:szCs w:val="24"/>
        </w:rPr>
      </w:pPr>
      <w:r>
        <w:rPr>
          <w:rFonts w:hint="eastAsia" w:ascii="宋体" w:hAnsi="宋体" w:eastAsia="宋体" w:cs="宋体"/>
          <w:sz w:val="24"/>
          <w:szCs w:val="24"/>
        </w:rPr>
        <w:t>6、业绩证明文件</w:t>
      </w:r>
    </w:p>
    <w:p>
      <w:pPr>
        <w:spacing w:line="360" w:lineRule="auto"/>
        <w:ind w:right="-11" w:firstLine="630"/>
        <w:rPr>
          <w:rFonts w:ascii="宋体" w:hAnsi="宋体" w:eastAsia="宋体" w:cs="宋体"/>
          <w:sz w:val="24"/>
          <w:szCs w:val="24"/>
        </w:rPr>
      </w:pPr>
      <w:r>
        <w:rPr>
          <w:rFonts w:hint="eastAsia" w:ascii="宋体" w:hAnsi="宋体" w:eastAsia="宋体" w:cs="宋体"/>
          <w:sz w:val="24"/>
          <w:szCs w:val="24"/>
        </w:rPr>
        <w:t>7、法定代表人授权书和相关授权书</w:t>
      </w:r>
    </w:p>
    <w:p>
      <w:pPr>
        <w:spacing w:line="360" w:lineRule="auto"/>
        <w:ind w:right="-11" w:firstLine="630"/>
        <w:rPr>
          <w:rFonts w:ascii="宋体" w:hAnsi="宋体" w:eastAsia="宋体" w:cs="宋体"/>
          <w:sz w:val="24"/>
          <w:szCs w:val="24"/>
        </w:rPr>
      </w:pPr>
      <w:r>
        <w:rPr>
          <w:rFonts w:hint="eastAsia" w:ascii="宋体" w:hAnsi="宋体" w:eastAsia="宋体" w:cs="宋体"/>
          <w:sz w:val="24"/>
          <w:szCs w:val="24"/>
        </w:rPr>
        <w:t>8、其他有关资料、证明文件</w:t>
      </w:r>
    </w:p>
    <w:p>
      <w:pPr>
        <w:spacing w:line="360" w:lineRule="auto"/>
        <w:ind w:right="-11" w:firstLine="630"/>
        <w:rPr>
          <w:rFonts w:ascii="宋体" w:hAnsi="宋体" w:eastAsia="宋体" w:cs="宋体"/>
          <w:sz w:val="24"/>
          <w:szCs w:val="24"/>
        </w:rPr>
      </w:pPr>
      <w:r>
        <w:rPr>
          <w:rFonts w:hint="eastAsia" w:ascii="宋体" w:hAnsi="宋体" w:eastAsia="宋体" w:cs="宋体"/>
          <w:sz w:val="24"/>
          <w:szCs w:val="24"/>
        </w:rPr>
        <w:t>9、本签字人确认资格文件中的说明是真实的、准确的。</w:t>
      </w:r>
    </w:p>
    <w:p>
      <w:pPr>
        <w:spacing w:line="360" w:lineRule="auto"/>
        <w:ind w:right="-11" w:firstLine="630"/>
        <w:rPr>
          <w:rFonts w:ascii="宋体" w:hAnsi="宋体" w:eastAsia="宋体" w:cs="宋体"/>
          <w:sz w:val="24"/>
          <w:szCs w:val="24"/>
        </w:rPr>
      </w:pPr>
      <w:r>
        <w:rPr>
          <w:rFonts w:hint="eastAsia" w:ascii="宋体" w:hAnsi="宋体" w:eastAsia="宋体" w:cs="宋体"/>
          <w:sz w:val="24"/>
          <w:szCs w:val="24"/>
        </w:rPr>
        <w:t>10、我方理解，</w:t>
      </w:r>
      <w:r>
        <w:rPr>
          <w:rFonts w:hint="eastAsia" w:ascii="宋体" w:hAnsi="宋体" w:eastAsia="宋体" w:cs="宋体"/>
          <w:sz w:val="24"/>
          <w:szCs w:val="24"/>
          <w:u w:val="single"/>
        </w:rPr>
        <w:t>（采购人名称）</w:t>
      </w:r>
      <w:r>
        <w:rPr>
          <w:rFonts w:hint="eastAsia" w:ascii="宋体" w:hAnsi="宋体" w:eastAsia="宋体" w:cs="宋体"/>
          <w:sz w:val="24"/>
          <w:szCs w:val="24"/>
        </w:rPr>
        <w:t>对资格审查所做的决定，是最终的。</w:t>
      </w:r>
      <w:r>
        <w:rPr>
          <w:rFonts w:hint="eastAsia" w:ascii="宋体" w:hAnsi="宋体" w:eastAsia="宋体" w:cs="宋体"/>
          <w:sz w:val="24"/>
          <w:szCs w:val="24"/>
          <w:u w:val="single"/>
        </w:rPr>
        <w:t>（采购人名称）</w:t>
      </w:r>
      <w:r>
        <w:rPr>
          <w:rFonts w:hint="eastAsia" w:ascii="宋体" w:hAnsi="宋体" w:eastAsia="宋体" w:cs="宋体"/>
          <w:sz w:val="24"/>
          <w:szCs w:val="24"/>
        </w:rPr>
        <w:t>对任何投标者不承担任何责任，也无义务将其决定的原因通知供应商。</w:t>
      </w:r>
    </w:p>
    <w:p>
      <w:pPr>
        <w:spacing w:line="360" w:lineRule="auto"/>
        <w:ind w:right="-11" w:firstLine="630"/>
        <w:rPr>
          <w:rFonts w:ascii="宋体" w:hAnsi="宋体" w:eastAsia="宋体" w:cs="宋体"/>
          <w:sz w:val="24"/>
          <w:szCs w:val="24"/>
        </w:rPr>
      </w:pPr>
    </w:p>
    <w:p>
      <w:pPr>
        <w:spacing w:line="360" w:lineRule="auto"/>
        <w:ind w:right="-11" w:firstLine="630"/>
        <w:rPr>
          <w:rFonts w:ascii="宋体" w:hAnsi="宋体" w:eastAsia="宋体" w:cs="宋体"/>
          <w:sz w:val="24"/>
          <w:szCs w:val="24"/>
        </w:rPr>
      </w:pPr>
    </w:p>
    <w:p>
      <w:pPr>
        <w:spacing w:line="360" w:lineRule="auto"/>
        <w:ind w:right="-11" w:firstLine="630"/>
        <w:rPr>
          <w:rFonts w:ascii="宋体" w:hAnsi="宋体" w:eastAsia="宋体" w:cs="宋体"/>
          <w:sz w:val="24"/>
          <w:szCs w:val="24"/>
        </w:rPr>
      </w:pPr>
      <w:r>
        <w:rPr>
          <w:rFonts w:hint="eastAsia" w:ascii="宋体" w:hAnsi="宋体" w:eastAsia="宋体" w:cs="宋体"/>
          <w:sz w:val="24"/>
          <w:szCs w:val="24"/>
        </w:rPr>
        <w:t>单位名称：（签章）                  法定代表人（签字）：</w:t>
      </w:r>
    </w:p>
    <w:p>
      <w:pPr>
        <w:spacing w:line="360" w:lineRule="auto"/>
        <w:ind w:right="-11" w:firstLine="630"/>
        <w:rPr>
          <w:rFonts w:ascii="宋体" w:hAnsi="宋体" w:eastAsia="宋体" w:cs="宋体"/>
          <w:sz w:val="24"/>
          <w:szCs w:val="24"/>
        </w:rPr>
      </w:pPr>
      <w:r>
        <w:rPr>
          <w:rFonts w:hint="eastAsia" w:ascii="宋体" w:hAnsi="宋体" w:eastAsia="宋体" w:cs="宋体"/>
          <w:sz w:val="24"/>
          <w:szCs w:val="24"/>
        </w:rPr>
        <w:t>地址：                              邮政编码：</w:t>
      </w:r>
    </w:p>
    <w:p>
      <w:pPr>
        <w:spacing w:line="360" w:lineRule="auto"/>
        <w:ind w:right="-11" w:firstLine="630"/>
        <w:rPr>
          <w:rFonts w:ascii="宋体" w:hAnsi="宋体" w:eastAsia="宋体" w:cs="宋体"/>
          <w:sz w:val="24"/>
          <w:szCs w:val="24"/>
        </w:rPr>
      </w:pPr>
      <w:r>
        <w:rPr>
          <w:rFonts w:hint="eastAsia" w:ascii="宋体" w:hAnsi="宋体" w:eastAsia="宋体" w:cs="宋体"/>
          <w:sz w:val="24"/>
          <w:szCs w:val="24"/>
        </w:rPr>
        <w:t>被授权委托人（签字）：</w:t>
      </w:r>
    </w:p>
    <w:p>
      <w:pPr>
        <w:spacing w:line="360" w:lineRule="auto"/>
        <w:ind w:right="-11" w:firstLine="630"/>
        <w:rPr>
          <w:rFonts w:ascii="宋体" w:hAnsi="宋体" w:eastAsia="宋体" w:cs="宋体"/>
          <w:sz w:val="24"/>
          <w:szCs w:val="24"/>
        </w:rPr>
      </w:pPr>
      <w:r>
        <w:rPr>
          <w:rFonts w:hint="eastAsia" w:ascii="宋体" w:hAnsi="宋体" w:eastAsia="宋体" w:cs="宋体"/>
          <w:sz w:val="24"/>
          <w:szCs w:val="24"/>
        </w:rPr>
        <w:t xml:space="preserve">电话：                              传真： </w:t>
      </w:r>
    </w:p>
    <w:p>
      <w:pPr>
        <w:widowControl/>
        <w:overflowPunct w:val="0"/>
        <w:autoSpaceDE w:val="0"/>
        <w:autoSpaceDN w:val="0"/>
        <w:adjustRightInd w:val="0"/>
        <w:spacing w:line="400" w:lineRule="atLeast"/>
        <w:jc w:val="left"/>
        <w:textAlignment w:val="baseline"/>
        <w:rPr>
          <w:rFonts w:ascii="宋体" w:hAnsi="宋体" w:eastAsia="宋体" w:cs="宋体"/>
          <w:kern w:val="0"/>
          <w:sz w:val="24"/>
          <w:szCs w:val="24"/>
        </w:rPr>
      </w:pPr>
      <w:r>
        <w:rPr>
          <w:rFonts w:hint="eastAsia" w:ascii="宋体" w:hAnsi="宋体" w:eastAsia="宋体" w:cs="宋体"/>
          <w:kern w:val="0"/>
          <w:sz w:val="24"/>
          <w:szCs w:val="24"/>
        </w:rPr>
        <w:t xml:space="preserve">     日期：</w: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br w:type="page"/>
      </w:r>
    </w:p>
    <w:p>
      <w:pPr>
        <w:outlineLvl w:val="1"/>
        <w:rPr>
          <w:rFonts w:ascii="宋体" w:hAnsi="宋体" w:eastAsia="宋体" w:cs="宋体"/>
          <w:b/>
          <w:sz w:val="24"/>
          <w:szCs w:val="24"/>
        </w:rPr>
      </w:pPr>
      <w:r>
        <w:rPr>
          <w:rFonts w:hint="eastAsia" w:ascii="宋体" w:hAnsi="宋体" w:eastAsia="宋体" w:cs="宋体"/>
          <w:b/>
          <w:sz w:val="24"/>
          <w:szCs w:val="24"/>
        </w:rPr>
        <w:t>附件10</w:t>
      </w:r>
    </w:p>
    <w:p/>
    <w:p>
      <w:pPr>
        <w:jc w:val="center"/>
        <w:outlineLvl w:val="1"/>
        <w:rPr>
          <w:rFonts w:ascii="宋体" w:hAnsi="宋体" w:eastAsia="宋体" w:cs="宋体"/>
          <w:b/>
          <w:sz w:val="24"/>
          <w:szCs w:val="24"/>
        </w:rPr>
      </w:pPr>
      <w:r>
        <w:rPr>
          <w:rFonts w:hint="eastAsia" w:ascii="宋体" w:hAnsi="宋体" w:eastAsia="宋体" w:cs="宋体"/>
          <w:b/>
          <w:sz w:val="24"/>
          <w:szCs w:val="24"/>
        </w:rPr>
        <w:t>参加政府采购活动前</w:t>
      </w:r>
      <w:r>
        <w:rPr>
          <w:rFonts w:ascii="宋体" w:hAnsi="宋体" w:eastAsia="宋体" w:cs="宋体"/>
          <w:b/>
          <w:sz w:val="24"/>
          <w:szCs w:val="24"/>
        </w:rPr>
        <w:t>3年内在经营活动中</w:t>
      </w:r>
    </w:p>
    <w:p>
      <w:pPr>
        <w:jc w:val="center"/>
        <w:outlineLvl w:val="1"/>
        <w:rPr>
          <w:rFonts w:ascii="宋体" w:hAnsi="宋体" w:eastAsia="宋体" w:cs="宋体"/>
          <w:b/>
          <w:sz w:val="24"/>
          <w:szCs w:val="24"/>
        </w:rPr>
      </w:pPr>
      <w:r>
        <w:rPr>
          <w:rFonts w:hint="eastAsia" w:ascii="宋体" w:hAnsi="宋体" w:eastAsia="宋体" w:cs="宋体"/>
          <w:b/>
          <w:sz w:val="24"/>
          <w:szCs w:val="24"/>
        </w:rPr>
        <w:t>没有重大违法记录的书面声明（格式）</w:t>
      </w:r>
    </w:p>
    <w:p>
      <w:pPr>
        <w:jc w:val="center"/>
        <w:outlineLvl w:val="1"/>
        <w:rPr>
          <w:rFonts w:ascii="宋体" w:hAnsi="宋体" w:eastAsia="宋体" w:cs="宋体"/>
          <w:b/>
          <w:sz w:val="24"/>
          <w:szCs w:val="24"/>
        </w:rPr>
      </w:pPr>
    </w:p>
    <w:p>
      <w:pPr>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bookmarkStart w:id="156" w:name="OLE_LINK15"/>
      <w:r>
        <w:rPr>
          <w:rFonts w:hint="eastAsia" w:ascii="宋体" w:hAnsi="宋体" w:cs="宋体"/>
          <w:sz w:val="24"/>
          <w:u w:val="single"/>
        </w:rPr>
        <w:t xml:space="preserve">           </w:t>
      </w:r>
      <w:bookmarkEnd w:id="156"/>
      <w:r>
        <w:rPr>
          <w:rFonts w:hint="eastAsia" w:ascii="宋体" w:hAnsi="宋体" w:cs="宋体"/>
          <w:sz w:val="24"/>
          <w:u w:val="single"/>
        </w:rPr>
        <w:t xml:space="preserve"> </w:t>
      </w:r>
      <w:r>
        <w:rPr>
          <w:rFonts w:hint="eastAsia" w:ascii="宋体" w:hAnsi="宋体" w:cs="宋体"/>
          <w:sz w:val="24"/>
        </w:rPr>
        <w:t>（采购人名称）</w:t>
      </w:r>
    </w:p>
    <w:p>
      <w:pPr>
        <w:spacing w:line="360" w:lineRule="auto"/>
        <w:rPr>
          <w:rFonts w:ascii="宋体" w:hAnsi="宋体" w:cs="宋体"/>
          <w:sz w:val="24"/>
        </w:rPr>
      </w:pPr>
      <w:r>
        <w:rPr>
          <w:rFonts w:hint="eastAsia" w:ascii="宋体" w:hAnsi="宋体" w:cs="宋体"/>
          <w:sz w:val="24"/>
        </w:rPr>
        <w:t xml:space="preserve">    我单位</w:t>
      </w:r>
      <w:r>
        <w:rPr>
          <w:rFonts w:hint="eastAsia" w:ascii="宋体" w:hAnsi="宋体" w:cs="宋体"/>
          <w:sz w:val="24"/>
          <w:u w:val="single"/>
        </w:rPr>
        <w:t xml:space="preserve">           </w:t>
      </w:r>
      <w:r>
        <w:rPr>
          <w:rFonts w:hint="eastAsia" w:ascii="宋体" w:hAnsi="宋体" w:cs="宋体"/>
          <w:sz w:val="24"/>
        </w:rPr>
        <w:t>（供应商名称）近三年内，在参加政府采购活动中没有重大违法记录，特此声明。</w:t>
      </w:r>
    </w:p>
    <w:p>
      <w:pPr>
        <w:topLinePunct/>
        <w:spacing w:line="360" w:lineRule="auto"/>
        <w:ind w:firstLine="500"/>
        <w:rPr>
          <w:rFonts w:ascii="宋体" w:hAnsi="宋体" w:cs="宋体"/>
          <w:sz w:val="24"/>
        </w:rPr>
      </w:pPr>
      <w:r>
        <w:rPr>
          <w:rFonts w:hint="eastAsia" w:ascii="宋体" w:hAnsi="宋体" w:cs="宋体"/>
          <w:sz w:val="24"/>
        </w:rPr>
        <w:t>若招标采购单位在本项目采购过程中发现我单位近三年内在政府采购活动中有重大违法记录，我单位将无条件地退出本项目的招标，并承担因此引起的一切后果。</w:t>
      </w:r>
    </w:p>
    <w:p>
      <w:pPr>
        <w:topLinePunct/>
        <w:spacing w:line="360" w:lineRule="auto"/>
        <w:ind w:firstLine="500"/>
        <w:rPr>
          <w:rFonts w:ascii="宋体" w:hAnsi="宋体" w:cs="宋体"/>
          <w:sz w:val="24"/>
        </w:rPr>
      </w:pPr>
    </w:p>
    <w:p>
      <w:pPr>
        <w:topLinePunct/>
        <w:spacing w:line="360" w:lineRule="auto"/>
        <w:ind w:firstLine="500"/>
        <w:rPr>
          <w:rFonts w:ascii="宋体" w:hAnsi="宋体" w:cs="宋体"/>
          <w:sz w:val="24"/>
        </w:rPr>
      </w:pPr>
    </w:p>
    <w:p>
      <w:pPr>
        <w:topLinePunct/>
        <w:spacing w:line="360" w:lineRule="auto"/>
        <w:ind w:firstLine="500"/>
        <w:rPr>
          <w:rFonts w:ascii="宋体" w:hAnsi="宋体" w:cs="宋体"/>
          <w:sz w:val="24"/>
        </w:rPr>
      </w:pPr>
      <w:r>
        <w:rPr>
          <w:rFonts w:hint="eastAsia" w:ascii="宋体" w:hAnsi="宋体" w:cs="宋体"/>
          <w:sz w:val="24"/>
        </w:rPr>
        <w:t xml:space="preserve">                        供应商：</w:t>
      </w:r>
      <w:r>
        <w:rPr>
          <w:rFonts w:hint="eastAsia" w:ascii="宋体" w:hAnsi="宋体" w:cs="宋体"/>
          <w:sz w:val="24"/>
          <w:u w:val="single"/>
        </w:rPr>
        <w:t xml:space="preserve">              （盖章）         </w:t>
      </w:r>
    </w:p>
    <w:p>
      <w:pPr>
        <w:topLinePunct/>
        <w:spacing w:line="360" w:lineRule="auto"/>
        <w:rPr>
          <w:rFonts w:ascii="宋体" w:hAnsi="宋体" w:cs="宋体"/>
          <w:sz w:val="24"/>
        </w:rPr>
      </w:pPr>
      <w:r>
        <w:rPr>
          <w:rFonts w:hint="eastAsia" w:ascii="宋体" w:hAnsi="宋体" w:cs="宋体"/>
          <w:sz w:val="24"/>
        </w:rPr>
        <w:t xml:space="preserve">                            法定代表人或授权代理人：</w:t>
      </w:r>
      <w:r>
        <w:rPr>
          <w:rFonts w:hint="eastAsia" w:ascii="宋体" w:hAnsi="宋体" w:cs="宋体"/>
          <w:sz w:val="24"/>
          <w:u w:val="single"/>
        </w:rPr>
        <w:t xml:space="preserve">   （签字）             </w:t>
      </w:r>
    </w:p>
    <w:p>
      <w:pPr>
        <w:autoSpaceDE w:val="0"/>
        <w:autoSpaceDN w:val="0"/>
        <w:adjustRightInd w:val="0"/>
        <w:spacing w:line="480" w:lineRule="auto"/>
        <w:ind w:firstLine="240" w:firstLineChars="100"/>
        <w:jc w:val="left"/>
        <w:rPr>
          <w:rFonts w:ascii="宋体" w:hAnsi="宋体"/>
          <w:spacing w:val="10"/>
          <w:kern w:val="0"/>
          <w:sz w:val="24"/>
        </w:rPr>
      </w:pPr>
      <w:r>
        <w:rPr>
          <w:rFonts w:hint="eastAsia" w:ascii="宋体" w:hAnsi="宋体" w:cs="宋体"/>
          <w:sz w:val="24"/>
        </w:rPr>
        <w:t xml:space="preserve">                </w:t>
      </w:r>
      <w:r>
        <w:rPr>
          <w:rFonts w:hint="eastAsia" w:ascii="宋体" w:hAnsi="宋体" w:cs="宋体"/>
          <w:bCs/>
          <w:sz w:val="24"/>
        </w:rPr>
        <w:t xml:space="preserve">           日   期：</w:t>
      </w:r>
      <w:r>
        <w:rPr>
          <w:rFonts w:hint="eastAsia" w:ascii="宋体" w:hAnsi="宋体" w:cs="宋体"/>
          <w:bCs/>
          <w:sz w:val="24"/>
          <w:u w:val="single"/>
        </w:rPr>
        <w:t xml:space="preserve">     </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hint="eastAsia" w:ascii="宋体" w:hAnsi="宋体" w:cs="宋体"/>
          <w:bCs/>
          <w:sz w:val="24"/>
        </w:rPr>
        <w:t>日</w:t>
      </w:r>
    </w:p>
    <w:p>
      <w:pPr>
        <w:spacing w:line="360" w:lineRule="auto"/>
        <w:rPr>
          <w:rFonts w:ascii="宋体" w:hAnsi="宋体" w:eastAsia="宋体" w:cs="宋体"/>
          <w:sz w:val="24"/>
          <w:szCs w:val="24"/>
        </w:rPr>
      </w:pPr>
    </w:p>
    <w:p>
      <w:pPr>
        <w:tabs>
          <w:tab w:val="left" w:pos="0"/>
        </w:tabs>
        <w:spacing w:line="480" w:lineRule="auto"/>
        <w:rPr>
          <w:rFonts w:ascii="宋体" w:hAnsi="宋体" w:eastAsia="宋体" w:cs="宋体"/>
          <w:b/>
          <w:sz w:val="24"/>
          <w:szCs w:val="24"/>
        </w:rPr>
      </w:pPr>
      <w:r>
        <w:rPr>
          <w:rFonts w:hint="eastAsia" w:ascii="宋体" w:hAnsi="宋体" w:eastAsia="宋体" w:cs="宋体"/>
          <w:b/>
          <w:sz w:val="24"/>
          <w:szCs w:val="24"/>
        </w:rPr>
        <w:br w:type="page"/>
      </w:r>
    </w:p>
    <w:p>
      <w:bookmarkStart w:id="157" w:name="_Toc5235"/>
    </w:p>
    <w:p>
      <w:pPr>
        <w:outlineLvl w:val="1"/>
        <w:rPr>
          <w:rFonts w:ascii="宋体" w:hAnsi="宋体" w:eastAsia="宋体" w:cs="宋体"/>
          <w:b/>
          <w:sz w:val="24"/>
          <w:szCs w:val="24"/>
        </w:rPr>
      </w:pPr>
      <w:r>
        <w:rPr>
          <w:rFonts w:hint="eastAsia" w:ascii="宋体" w:hAnsi="宋体" w:eastAsia="宋体" w:cs="宋体"/>
          <w:b/>
          <w:sz w:val="24"/>
          <w:szCs w:val="24"/>
        </w:rPr>
        <w:t>附件11 其它相关资料</w:t>
      </w:r>
      <w:bookmarkEnd w:id="157"/>
    </w:p>
    <w:p>
      <w:pPr>
        <w:outlineLvl w:val="1"/>
        <w:rPr>
          <w:rFonts w:ascii="宋体" w:hAnsi="宋体" w:eastAsia="宋体" w:cs="宋体"/>
        </w:rPr>
      </w:pPr>
    </w:p>
    <w:sectPr>
      <w:pgSz w:w="11906" w:h="16838"/>
      <w:pgMar w:top="1587" w:right="1587" w:bottom="1587" w:left="1587" w:header="1247"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Courier New">
    <w:panose1 w:val="02070309020205020404"/>
    <w:charset w:val="00"/>
    <w:family w:val="modern"/>
    <w:pitch w:val="default"/>
    <w:sig w:usb0="00007A87" w:usb1="80000000" w:usb2="00000008" w:usb3="00000000" w:csb0="400001FF" w:csb1="FFFF0000"/>
  </w:font>
  <w:font w:name="Verdana">
    <w:panose1 w:val="020B0604030504040204"/>
    <w:charset w:val="00"/>
    <w:family w:val="swiss"/>
    <w:pitch w:val="default"/>
    <w:sig w:usb0="00000287" w:usb1="00000000" w:usb2="00000000" w:usb3="00000000" w:csb0="2000019F" w:csb1="00000000"/>
  </w:font>
  <w:font w:name="仿宋">
    <w:altName w:val="宋体"/>
    <w:panose1 w:val="02010609060101010101"/>
    <w:charset w:val="86"/>
    <w:family w:val="modern"/>
    <w:pitch w:val="default"/>
    <w:sig w:usb0="00000000" w:usb1="00000000" w:usb2="00000016" w:usb3="00000000" w:csb0="00040001" w:csb1="00000000"/>
  </w:font>
  <w:font w:name="华文细黑">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61007A87" w:usb1="80000000" w:usb2="00000008" w:usb3="00000000" w:csb0="200101FF" w:csb1="20280000"/>
  </w:font>
  <w:font w:name="楷体_GB2312">
    <w:panose1 w:val="02010609030101010101"/>
    <w:charset w:val="86"/>
    <w:family w:val="modern"/>
    <w:pitch w:val="default"/>
    <w:sig w:usb0="00000001" w:usb1="080E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
    <w:altName w:val="Times New Roman"/>
    <w:panose1 w:val="00000000000000000000"/>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080E0000" w:usb2="00000000"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Dotum">
    <w:panose1 w:val="020B0600000101010101"/>
    <w:charset w:val="81"/>
    <w:family w:val="swiss"/>
    <w:pitch w:val="default"/>
    <w:sig w:usb0="B00002AF" w:usb1="69D77CFB" w:usb2="00000030" w:usb3="00000000" w:csb0="4008009F" w:csb1="DFD70000"/>
  </w:font>
  <w:font w:name="楷体">
    <w:altName w:val="楷体_GB2312"/>
    <w:panose1 w:val="02010609060101010101"/>
    <w:charset w:val="86"/>
    <w:family w:val="auto"/>
    <w:pitch w:val="default"/>
    <w:sig w:usb0="00000000" w:usb1="00000000" w:usb2="00000016" w:usb3="00000000" w:csb0="00040001" w:csb1="00000000"/>
  </w:font>
  <w:font w:name="Malgun Gothic">
    <w:altName w:val="Gulim"/>
    <w:panose1 w:val="020B0503020000020004"/>
    <w:charset w:val="81"/>
    <w:family w:val="auto"/>
    <w:pitch w:val="default"/>
    <w:sig w:usb0="00000000" w:usb1="00000000" w:usb2="00000012" w:usb3="00000000" w:csb0="00080001"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MingLiU">
    <w:panose1 w:val="02020309000000000000"/>
    <w:charset w:val="88"/>
    <w:family w:val="modern"/>
    <w:pitch w:val="default"/>
    <w:sig w:usb0="00000003" w:usb1="082E0000" w:usb2="00000016" w:usb3="00000000" w:csb0="00100001" w:csb1="00000000"/>
  </w:font>
  <w:font w:name="PMingLiU-ExtB">
    <w:altName w:val="PMingLiU"/>
    <w:panose1 w:val="02020500000000000000"/>
    <w:charset w:val="88"/>
    <w:family w:val="auto"/>
    <w:pitch w:val="default"/>
    <w:sig w:usb0="00000000" w:usb1="00000000" w:usb2="00000000" w:usb3="00000000" w:csb0="00100001" w:csb1="00000000"/>
  </w:font>
  <w:font w:name="_x000B__x000C_">
    <w:altName w:val="Times New Roman"/>
    <w:panose1 w:val="00000000000000000000"/>
    <w:charset w:val="00"/>
    <w:family w:val="roman"/>
    <w:pitch w:val="default"/>
    <w:sig w:usb0="00000000" w:usb1="00000000" w:usb2="00000000"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Calibri Light">
    <w:altName w:val="Calibri"/>
    <w:panose1 w:val="020F0302020204030204"/>
    <w:charset w:val="00"/>
    <w:family w:val="swiss"/>
    <w:pitch w:val="default"/>
    <w:sig w:usb0="00000000" w:usb1="00000000" w:usb2="00000000" w:usb3="00000000" w:csb0="2000019F" w:csb1="00000000"/>
  </w:font>
  <w:font w:name="Calisto MT">
    <w:altName w:val="Cambria Math"/>
    <w:panose1 w:val="02040603050505030304"/>
    <w:charset w:val="00"/>
    <w:family w:val="roman"/>
    <w:pitch w:val="default"/>
    <w:sig w:usb0="00000000" w:usb1="00000000" w:usb2="00000000" w:usb3="00000000" w:csb0="20000001"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隶书">
    <w:altName w:val="宋体"/>
    <w:panose1 w:val="02010509060101010101"/>
    <w:charset w:val="86"/>
    <w:family w:val="modern"/>
    <w:pitch w:val="default"/>
    <w:sig w:usb0="00000000" w:usb1="00000000" w:usb2="00000000" w:usb3="00000000" w:csb0="00040000" w:csb1="00000000"/>
  </w:font>
  <w:font w:name="Segoe Print">
    <w:altName w:val="Verdana"/>
    <w:panose1 w:val="02000600000000000000"/>
    <w:charset w:val="00"/>
    <w:family w:val="auto"/>
    <w:pitch w:val="default"/>
    <w:sig w:usb0="00000000" w:usb1="00000000" w:usb2="00000000" w:usb3="00000000" w:csb0="2000009F" w:csb1="47010000"/>
  </w:font>
  <w:font w:name="Gulim">
    <w:panose1 w:val="020B0600000101010101"/>
    <w:charset w:val="81"/>
    <w:family w:val="auto"/>
    <w:pitch w:val="default"/>
    <w:sig w:usb0="B00002AF" w:usb1="69D77CFB" w:usb2="00000030" w:usb3="00000000" w:csb0="4008009F" w:csb1="DFD70000"/>
  </w:font>
  <w:font w:name="PMingLiU">
    <w:panose1 w:val="02020300000000000000"/>
    <w:charset w:val="88"/>
    <w:family w:val="auto"/>
    <w:pitch w:val="default"/>
    <w:sig w:usb0="00000003" w:usb1="082E0000" w:usb2="00000016" w:usb3="00000000" w:csb0="00100001" w:csb1="00000000"/>
  </w:font>
  <w:font w:name="Cambria Math">
    <w:panose1 w:val="02040503050406030204"/>
    <w:charset w:val="00"/>
    <w:family w:val="auto"/>
    <w:pitch w:val="default"/>
    <w:sig w:usb0="A00002EF" w:usb1="420020EB" w:usb2="00000000" w:usb3="00000000" w:csb0="2000009F" w:csb1="00000000"/>
  </w:font>
  <w:font w:name="华文中宋">
    <w:altName w:val="宋体"/>
    <w:panose1 w:val="02010600040101010101"/>
    <w:charset w:val="86"/>
    <w:family w:val="auto"/>
    <w:pitch w:val="default"/>
    <w:sig w:usb0="00000000" w:usb1="00000000" w:usb2="00000000" w:usb3="00000000" w:csb0="0004009F" w:csb1="DFD70000"/>
  </w:font>
  <w:font w:name="Mongolian Baiti">
    <w:altName w:val="Monotype Corsiva"/>
    <w:panose1 w:val="03000500000000000000"/>
    <w:charset w:val="00"/>
    <w:family w:val="auto"/>
    <w:pitch w:val="default"/>
    <w:sig w:usb0="00000000" w:usb1="00000000" w:usb2="00020000" w:usb3="00000000" w:csb0="00000001" w:csb1="00000000"/>
  </w:font>
  <w:font w:name="Monospac821 BT">
    <w:altName w:val="Consolas"/>
    <w:panose1 w:val="020B0609020202020204"/>
    <w:charset w:val="00"/>
    <w:family w:val="auto"/>
    <w:pitch w:val="default"/>
    <w:sig w:usb0="00000000" w:usb1="00000000" w:usb2="00000000" w:usb3="00000000" w:csb0="00000000" w:csb1="00000000"/>
  </w:font>
  <w:font w:name="Monotype Corsiva">
    <w:panose1 w:val="03010101010201010101"/>
    <w:charset w:val="00"/>
    <w:family w:val="auto"/>
    <w:pitch w:val="default"/>
    <w:sig w:usb0="00000287" w:usb1="00000000" w:usb2="00000000" w:usb3="00000000" w:csb0="2000009F" w:csb1="DFD70000"/>
  </w:font>
  <w:font w:name="Arial Black">
    <w:panose1 w:val="020B0A04020102020204"/>
    <w:charset w:val="00"/>
    <w:family w:val="auto"/>
    <w:pitch w:val="default"/>
    <w:sig w:usb0="00000287" w:usb1="00000000" w:usb2="00000000" w:usb3="00000000" w:csb0="2000009F" w:csb1="DFD70000"/>
  </w:font>
  <w:font w:name="华文行楷">
    <w:altName w:val="宋体"/>
    <w:panose1 w:val="02010800040101010101"/>
    <w:charset w:val="86"/>
    <w:family w:val="auto"/>
    <w:pitch w:val="default"/>
    <w:sig w:usb0="00000000" w:usb1="00000000" w:usb2="00000000" w:usb3="00000000" w:csb0="00040000" w:csb1="00000000"/>
  </w:font>
  <w:font w:name="华文仿宋">
    <w:altName w:val="仿宋_GB2312"/>
    <w:panose1 w:val="02010600040101010101"/>
    <w:charset w:val="86"/>
    <w:family w:val="auto"/>
    <w:pitch w:val="default"/>
    <w:sig w:usb0="00000000" w:usb1="00000000" w:usb2="00000000" w:usb3="00000000" w:csb0="0004009F" w:csb1="DFD70000"/>
  </w:font>
  <w:font w:name="华文彩云">
    <w:altName w:val="宋体"/>
    <w:panose1 w:val="02010800040101010101"/>
    <w:charset w:val="86"/>
    <w:family w:val="auto"/>
    <w:pitch w:val="default"/>
    <w:sig w:usb0="00000000" w:usb1="0000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altName w:val="MingLiU"/>
    <w:panose1 w:val="03000509000000000000"/>
    <w:charset w:val="88"/>
    <w:family w:val="auto"/>
    <w:pitch w:val="default"/>
    <w:sig w:usb0="00000000" w:usb1="00000000" w:usb2="00000016" w:usb3="00000000" w:csb0="00100001" w:csb1="0000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eiryo">
    <w:altName w:val="MS UI Gothic"/>
    <w:panose1 w:val="020B0604030504040204"/>
    <w:charset w:val="80"/>
    <w:family w:val="auto"/>
    <w:pitch w:val="default"/>
    <w:sig w:usb0="00000000" w:usb1="00000000" w:usb2="00010012" w:usb3="00000000" w:csb0="6002009F" w:csb1="DFD70000"/>
  </w:font>
  <w:font w:name="Microsoft JhengHei">
    <w:altName w:val="PMingLiU"/>
    <w:panose1 w:val="020B0604030504040204"/>
    <w:charset w:val="88"/>
    <w:family w:val="auto"/>
    <w:pitch w:val="default"/>
    <w:sig w:usb0="00000000" w:usb1="00000000" w:usb2="00000016" w:usb3="00000000" w:csb0="00100009" w:csb1="00000000"/>
  </w:font>
  <w:font w:name="MS Mincho">
    <w:panose1 w:val="02020609040205080304"/>
    <w:charset w:val="80"/>
    <w:family w:val="auto"/>
    <w:pitch w:val="default"/>
    <w:sig w:usb0="A00002BF" w:usb1="68C7FCFB" w:usb2="00000010" w:usb3="00000000" w:csb0="4002009F" w:csb1="DFD70000"/>
  </w:font>
  <w:font w:name="MS PGothic">
    <w:panose1 w:val="020B0600070205080204"/>
    <w:charset w:val="80"/>
    <w:family w:val="auto"/>
    <w:pitch w:val="default"/>
    <w:sig w:usb0="A00002BF" w:usb1="68C7FCFB" w:usb2="00000010" w:usb3="00000000" w:csb0="4002009F" w:csb1="DFD70000"/>
  </w:font>
  <w:font w:name="SimSun-ExtB">
    <w:altName w:val="宋体"/>
    <w:panose1 w:val="02010609060101010101"/>
    <w:charset w:val="86"/>
    <w:family w:val="auto"/>
    <w:pitch w:val="default"/>
    <w:sig w:usb0="00000000" w:usb1="00000000" w:usb2="00000000" w:usb3="00000000" w:csb0="00040001" w:csb1="00000000"/>
  </w:font>
  <w:font w:name="04b_21">
    <w:altName w:val="Courier New"/>
    <w:panose1 w:val="00000400000000000000"/>
    <w:charset w:val="00"/>
    <w:family w:val="auto"/>
    <w:pitch w:val="default"/>
    <w:sig w:usb0="00000000" w:usb1="00000000" w:usb2="00000000" w:usb3="00000000" w:csb0="00000000" w:csb1="00000000"/>
  </w:font>
  <w:font w:name="AmdtSymbols">
    <w:altName w:val="Corbel"/>
    <w:panose1 w:val="02000500000000020004"/>
    <w:charset w:val="00"/>
    <w:family w:val="auto"/>
    <w:pitch w:val="default"/>
    <w:sig w:usb0="00000000" w:usb1="00000000" w:usb2="00000000" w:usb3="00000000" w:csb0="00000001" w:csb1="00000000"/>
  </w:font>
  <w:font w:name="AMGDT">
    <w:altName w:val="Courier New"/>
    <w:panose1 w:val="00000400000000000000"/>
    <w:charset w:val="00"/>
    <w:family w:val="auto"/>
    <w:pitch w:val="default"/>
    <w:sig w:usb0="00000000" w:usb1="00000000" w:usb2="00000000" w:usb3="00000000" w:csb0="00000001" w:csb1="0000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Monotype Corsiva"/>
    <w:panose1 w:val="03020402040406030203"/>
    <w:charset w:val="00"/>
    <w:family w:val="auto"/>
    <w:pitch w:val="default"/>
    <w:sig w:usb0="00000000" w:usb1="00000000" w:usb2="00000008" w:usb3="00000000" w:csb0="200000D3" w:csb1="00000000"/>
  </w:font>
  <w:font w:name="Andalus">
    <w:altName w:val="Times New Roman"/>
    <w:panose1 w:val="02020603050405020304"/>
    <w:charset w:val="00"/>
    <w:family w:val="auto"/>
    <w:pitch w:val="default"/>
    <w:sig w:usb0="00000000" w:usb1="00000000" w:usb2="00000008" w:usb3="00000000" w:csb0="00000041" w:csb1="20080000"/>
  </w:font>
  <w:font w:name="Aharoni">
    <w:altName w:val="Tahoma"/>
    <w:panose1 w:val="02010803020104030203"/>
    <w:charset w:val="00"/>
    <w:family w:val="auto"/>
    <w:pitch w:val="default"/>
    <w:sig w:usb0="00000000" w:usb1="00000000" w:usb2="00000000" w:usb3="00000000" w:csb0="00000020" w:csb1="00200000"/>
  </w:font>
  <w:font w:name="AcadEref">
    <w:altName w:val="Gost"/>
    <w:panose1 w:val="02000500000000020003"/>
    <w:charset w:val="00"/>
    <w:family w:val="auto"/>
    <w:pitch w:val="default"/>
    <w:sig w:usb0="00000000" w:usb1="00000000" w:usb2="00000000" w:usb3="00000000" w:csb0="00000001" w:csb1="00000000"/>
  </w:font>
  <w:font w:name="MS UI Gothic">
    <w:panose1 w:val="020B0600070205080204"/>
    <w:charset w:val="80"/>
    <w:family w:val="auto"/>
    <w:pitch w:val="default"/>
    <w:sig w:usb0="A00002BF" w:usb1="68C7FCFB" w:usb2="00000010" w:usb3="00000000" w:csb0="4002009F" w:csb1="DFD70000"/>
  </w:font>
  <w:font w:name="MS PMincho">
    <w:panose1 w:val="02020600040205080304"/>
    <w:charset w:val="80"/>
    <w:family w:val="auto"/>
    <w:pitch w:val="default"/>
    <w:sig w:usb0="A00002BF" w:usb1="68C7FCFB" w:usb2="00000010" w:usb3="00000000" w:csb0="4002009F" w:csb1="DFD70000"/>
  </w:font>
  <w:font w:name="MS Gothic">
    <w:panose1 w:val="020B0609070205080204"/>
    <w:charset w:val="80"/>
    <w:family w:val="auto"/>
    <w:pitch w:val="default"/>
    <w:sig w:usb0="A00002BF" w:usb1="68C7FCFB" w:usb2="00000010" w:usb3="00000000" w:csb0="4002009F" w:csb1="DFD70000"/>
  </w:font>
  <w:font w:name="MingLiU_HKSCS-ExtB">
    <w:altName w:val="PMingLiU"/>
    <w:panose1 w:val="02020500000000000000"/>
    <w:charset w:val="88"/>
    <w:family w:val="auto"/>
    <w:pitch w:val="default"/>
    <w:sig w:usb0="00000000" w:usb1="00000000" w:usb2="00000000" w:usb3="00000000" w:csb0="00100001" w:csb1="00000000"/>
  </w:font>
  <w:font w:name="MingLiU_HKSCS">
    <w:altName w:val="PMingLiU"/>
    <w:panose1 w:val="02020500000000000000"/>
    <w:charset w:val="88"/>
    <w:family w:val="auto"/>
    <w:pitch w:val="default"/>
    <w:sig w:usb0="00000000" w:usb1="00000000" w:usb2="00000016" w:usb3="00000000" w:csb0="00100001" w:csb1="00000000"/>
  </w:font>
  <w:font w:name="MingLiU-ExtB">
    <w:altName w:val="PMingLiU"/>
    <w:panose1 w:val="02020500000000000000"/>
    <w:charset w:val="88"/>
    <w:family w:val="auto"/>
    <w:pitch w:val="default"/>
    <w:sig w:usb0="00000000" w:usb1="00000000" w:usb2="00000000" w:usb3="00000000" w:csb0="00100001" w:csb1="00000000"/>
  </w:font>
  <w:font w:name="Meiryo UI">
    <w:altName w:val="MS UI Gothic"/>
    <w:panose1 w:val="020B0604030504040204"/>
    <w:charset w:val="80"/>
    <w:family w:val="auto"/>
    <w:pitch w:val="default"/>
    <w:sig w:usb0="00000000" w:usb1="00000000" w:usb2="00010012" w:usb3="00000000" w:csb0="6002009F" w:csb1="DFD70000"/>
  </w:font>
  <w:font w:name="Corbel">
    <w:panose1 w:val="020B0503020204020204"/>
    <w:charset w:val="00"/>
    <w:family w:val="auto"/>
    <w:pitch w:val="default"/>
    <w:sig w:usb0="A00002EF" w:usb1="4000204B" w:usb2="00000000" w:usb3="00000000" w:csb0="2000009F" w:csb1="00000000"/>
  </w:font>
  <w:font w:name="Vrinda">
    <w:altName w:val="Lucida Sans Unicode"/>
    <w:panose1 w:val="020B0502040204020203"/>
    <w:charset w:val="00"/>
    <w:family w:val="auto"/>
    <w:pitch w:val="default"/>
    <w:sig w:usb0="00000000" w:usb1="00000000" w:usb2="00000000" w:usb3="00000000" w:csb0="00000001" w:csb1="00000000"/>
  </w:font>
  <w:font w:name="华文楷体">
    <w:altName w:val="楷体_GB2312"/>
    <w:panose1 w:val="02010600040101010101"/>
    <w:charset w:val="86"/>
    <w:family w:val="auto"/>
    <w:pitch w:val="default"/>
    <w:sig w:usb0="00000000" w:usb1="00000000" w:usb2="00000000" w:usb3="00000000" w:csb0="0004009F" w:csb1="DFD70000"/>
  </w:font>
  <w:font w:name="Traditional Arabic">
    <w:altName w:val="Times New Roman"/>
    <w:panose1 w:val="02020603050405020304"/>
    <w:charset w:val="00"/>
    <w:family w:val="auto"/>
    <w:pitch w:val="default"/>
    <w:sig w:usb0="00000000" w:usb1="00000000" w:usb2="00000008" w:usb3="00000000" w:csb0="00000041" w:csb1="20080000"/>
  </w:font>
  <w:font w:name="Symbol">
    <w:panose1 w:val="05050102010706020507"/>
    <w:charset w:val="00"/>
    <w:family w:val="auto"/>
    <w:pitch w:val="default"/>
    <w:sig w:usb0="00000000" w:usb1="00000000" w:usb2="00000000" w:usb3="00000000" w:csb0="80000000" w:csb1="00000000"/>
  </w:font>
  <w:font w:name="Sylfaen">
    <w:panose1 w:val="010A0502050306030303"/>
    <w:charset w:val="00"/>
    <w:family w:val="auto"/>
    <w:pitch w:val="default"/>
    <w:sig w:usb0="04000687" w:usb1="00000000" w:usb2="00000000" w:usb3="00000000" w:csb0="2000009F" w:csb1="00000000"/>
  </w:font>
  <w:font w:name="Simplified Arabic Fixed">
    <w:altName w:val="Courier New"/>
    <w:panose1 w:val="02070309020205020404"/>
    <w:charset w:val="00"/>
    <w:family w:val="auto"/>
    <w:pitch w:val="default"/>
    <w:sig w:usb0="00000000" w:usb1="00000000" w:usb2="00000000" w:usb3="00000000" w:csb0="00000041" w:csb1="20080000"/>
  </w:font>
  <w:font w:name="̥_GB2312">
    <w:altName w:val="仿宋_GB2312"/>
    <w:panose1 w:val="00000000000000000000"/>
    <w:charset w:val="00"/>
    <w:family w:val="auto"/>
    <w:pitch w:val="default"/>
    <w:sig w:usb0="00000000" w:usb1="00000000" w:usb2="00000000" w:usb3="00000000" w:csb0="00040001" w:csb1="00000000"/>
  </w:font>
  <w:font w:name="Consolas">
    <w:panose1 w:val="020B0609020204030204"/>
    <w:charset w:val="00"/>
    <w:family w:val="auto"/>
    <w:pitch w:val="default"/>
    <w:sig w:usb0="A00002EF" w:usb1="4000204B" w:usb2="00000000" w:usb3="00000000" w:csb0="2000009F" w:csb1="00000000"/>
  </w:font>
  <w:font w:name="Microsoft Sans Serif">
    <w:panose1 w:val="020B0604020202020204"/>
    <w:charset w:val="00"/>
    <w:family w:val="auto"/>
    <w:pitch w:val="default"/>
    <w:sig w:usb0="61007BDF" w:usb1="80000000" w:usb2="00000008" w:usb3="00000000" w:csb0="200101FF" w:csb1="20280000"/>
  </w:font>
  <w:font w:name="Georgia">
    <w:panose1 w:val="02040502050405020303"/>
    <w:charset w:val="00"/>
    <w:family w:val="auto"/>
    <w:pitch w:val="default"/>
    <w:sig w:usb0="00000287" w:usb1="00000000" w:usb2="00000000" w:usb3="00000000" w:csb0="2000009F" w:csb1="00000000"/>
  </w:font>
  <w:font w:name="Lucida Sans Unicode">
    <w:panose1 w:val="020B0602030504020204"/>
    <w:charset w:val="00"/>
    <w:family w:val="auto"/>
    <w:pitch w:val="default"/>
    <w:sig w:usb0="80001AFF" w:usb1="0000396B" w:usb2="00000000" w:usb3="00000000" w:csb0="0000003F" w:csb1="D7F70000"/>
  </w:font>
  <w:font w:name="宋体-PUA">
    <w:panose1 w:val="02010600030101010101"/>
    <w:charset w:val="86"/>
    <w:family w:val="auto"/>
    <w:pitch w:val="default"/>
    <w:sig w:usb0="00000000" w:usb1="10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Arial Unicode MS">
    <w:altName w:val="宋体"/>
    <w:panose1 w:val="020B0604020202020204"/>
    <w:charset w:val="86"/>
    <w:family w:val="auto"/>
    <w:pitch w:val="default"/>
    <w:sig w:usb0="00000000" w:usb1="00000000" w:usb2="0000003F" w:usb3="00000000" w:csb0="603F01FF" w:csb1="FFFF0000"/>
  </w:font>
  <w:font w:name="宋体-18030">
    <w:altName w:val="宋体"/>
    <w:panose1 w:val="00000000000000000000"/>
    <w:charset w:val="86"/>
    <w:family w:val="modern"/>
    <w:pitch w:val="default"/>
    <w:sig w:usb0="00000000" w:usb1="00000000" w:usb2="000A005E" w:usb3="00000000" w:csb0="00040001" w:csb1="00000000"/>
  </w:font>
  <w:font w:name="hakuyoxingshu7000">
    <w:altName w:val="宋体"/>
    <w:panose1 w:val="02000600000000000000"/>
    <w:charset w:val="86"/>
    <w:family w:val="auto"/>
    <w:pitch w:val="default"/>
    <w:sig w:usb0="00000000" w:usb1="00000000" w:usb2="0000003F" w:usb3="00000000" w:csb0="603F00FF" w:csb1="FFFF0000"/>
  </w:font>
  <w:font w:name="Gost">
    <w:panose1 w:val="02000507000000020003"/>
    <w:charset w:val="00"/>
    <w:family w:val="auto"/>
    <w:pitch w:val="default"/>
    <w:sig w:usb0="00000287" w:usb1="000024E8" w:usb2="00000000" w:usb3="00000000" w:csb0="00000001" w:csb1="00000000"/>
  </w:font>
  <w:font w:name="微软简隶书">
    <w:altName w:val="宋体"/>
    <w:panose1 w:val="00000000000000000000"/>
    <w:charset w:val="86"/>
    <w:family w:val="auto"/>
    <w:pitch w:val="default"/>
    <w:sig w:usb0="00000000" w:usb1="00000000" w:usb2="00000000" w:usb3="00000000" w:csb0="00000000" w:csb1="00000000"/>
  </w:font>
  <w:font w:name="华文隶书">
    <w:altName w:val="宋体"/>
    <w:panose1 w:val="02010800040101010101"/>
    <w:charset w:val="86"/>
    <w:family w:val="auto"/>
    <w:pitch w:val="default"/>
    <w:sig w:usb0="00000000" w:usb1="00000000" w:usb2="00000000" w:usb3="00000000" w:csb0="00040000" w:csb1="00000000"/>
  </w:font>
  <w:font w:name="QualityControl">
    <w:altName w:val="Palatino Linotype"/>
    <w:panose1 w:val="02000500000000000000"/>
    <w:charset w:val="00"/>
    <w:family w:val="auto"/>
    <w:pitch w:val="default"/>
    <w:sig w:usb0="00000000" w:usb1="00000000" w:usb2="00000000" w:usb3="00000000" w:csb0="20000111" w:csb1="4100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w:t>
                          </w:r>
                          <w:r>
                            <w:rPr>
                              <w:rFonts w:hint="eastAsia"/>
                              <w:sz w:val="18"/>
                            </w:rPr>
                            <w:fldChar w:fldCharType="end"/>
                          </w:r>
                        </w:p>
                      </w:txbxContent>
                    </wps:txbx>
                    <wps:bodyPr wrap="none" lIns="0" tIns="0" rIns="0" bIns="0" upright="1">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V&#10;d8DutwEAAFUDAAAOAAAAAAAAAAEAIAAAAB4BAABkcnMvZTJvRG9jLnhtbFBLBQYAAAAABgAGAFkB&#10;AABH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1</w:t>
                          </w:r>
                          <w:r>
                            <w:rPr>
                              <w:rFonts w:hint="eastAsia" w:ascii="宋体" w:hAnsi="宋体" w:eastAsia="宋体" w:cs="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qDMrwO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&#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GoMyvA4CAAAJBAAADgAAAAAAAAABACAAAAAf&#10;AQAAZHJzL2Uyb0RvYy54bWxQSwUGAAAAAAYABgBZAQAAnwUAAAAA&#10;">
              <v:fill on="f" focussize="0,0"/>
              <v:stroke on="f" weight="0.5pt"/>
              <v:imagedata o:title=""/>
              <o:lock v:ext="edit" aspectratio="f"/>
              <v:textbox inset="0mm,0mm,0mm,0mm" style="mso-fit-shape-to-text:t;">
                <w:txbxContent>
                  <w:p>
                    <w:pPr>
                      <w:pStyle w:val="14"/>
                      <w:rPr>
                        <w:rFonts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1</w:t>
                    </w:r>
                    <w:r>
                      <w:rPr>
                        <w:rFonts w:hint="eastAsia" w:ascii="宋体" w:hAnsi="宋体" w:eastAsia="宋体" w:cs="宋体"/>
                        <w:sz w:val="21"/>
                        <w:szCs w:val="21"/>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i/>
      </w:rPr>
    </w:pPr>
    <w: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t>50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JVx3w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OJVx3wPAgAACQQAAA4AAAAAAAAAAQAgAAAA&#10;HwEAAGRycy9lMm9Eb2MueG1sUEsFBgAAAAAGAAYAWQEAAKAFA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50</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wps:txbx>
                    <wps:bodyPr wrap="none" lIns="0" tIns="0" rIns="0" bIns="0" upright="1">
                      <a:spAutoFit/>
                    </wps:bodyPr>
                  </wps:wsp>
                </a:graphicData>
              </a:graphic>
            </wp:anchor>
          </w:drawing>
        </mc:Choice>
        <mc:Fallback>
          <w:pict>
            <v:shape id="文本框 27"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AGHf2K5AQAAVQMAAA4AAAAAAAAAAQAgAAAAHgEAAGRycy9lMm9Eb2MueG1sUEsFBgAAAAAGAAYA&#10;WQEAAEk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181" w:firstLineChars="100"/>
      <w:jc w:val="both"/>
      <w:rPr>
        <w:rFonts w:ascii="楷体_GB2312" w:hAnsi="楷体_GB2312" w:eastAsia="楷体_GB2312" w:cs="楷体_GB2312"/>
        <w:b/>
        <w:bCs/>
        <w:i/>
        <w:iCs/>
      </w:rPr>
    </w:pPr>
    <w:r>
      <w:rPr>
        <w:rFonts w:hint="eastAsia" w:ascii="楷体_GB2312" w:hAnsi="楷体_GB2312" w:eastAsia="楷体_GB2312" w:cs="楷体_GB2312"/>
        <w:b/>
        <w:bCs/>
        <w:i/>
        <w:iCs/>
        <w:kern w:val="0"/>
      </w:rPr>
      <w:t>★郑阜高铁鄢陵南站站前广场及市政配套设施PPP咨询机构采购项目(二次)★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A51D6"/>
    <w:multiLevelType w:val="multilevel"/>
    <w:tmpl w:val="0E5A51D6"/>
    <w:lvl w:ilvl="0" w:tentative="0">
      <w:start w:val="1"/>
      <w:numFmt w:val="decimal"/>
      <w:lvlText w:val="%1."/>
      <w:lvlJc w:val="left"/>
      <w:pPr>
        <w:ind w:left="960" w:hanging="480"/>
      </w:pPr>
    </w:lvl>
    <w:lvl w:ilvl="1" w:tentative="0">
      <w:start w:val="1"/>
      <w:numFmt w:val="lowerLetter"/>
      <w:lvlText w:val="%2)"/>
      <w:lvlJc w:val="left"/>
      <w:pPr>
        <w:ind w:left="1440" w:hanging="480"/>
      </w:pPr>
    </w:lvl>
    <w:lvl w:ilvl="2" w:tentative="0">
      <w:start w:val="1"/>
      <w:numFmt w:val="lowerRoman"/>
      <w:lvlText w:val="%3."/>
      <w:lvlJc w:val="right"/>
      <w:pPr>
        <w:ind w:left="1920" w:hanging="480"/>
      </w:pPr>
    </w:lvl>
    <w:lvl w:ilvl="3" w:tentative="0">
      <w:start w:val="1"/>
      <w:numFmt w:val="decimal"/>
      <w:lvlText w:val="%4."/>
      <w:lvlJc w:val="left"/>
      <w:pPr>
        <w:ind w:left="2400" w:hanging="480"/>
      </w:pPr>
    </w:lvl>
    <w:lvl w:ilvl="4" w:tentative="0">
      <w:start w:val="1"/>
      <w:numFmt w:val="lowerLetter"/>
      <w:lvlText w:val="%5)"/>
      <w:lvlJc w:val="left"/>
      <w:pPr>
        <w:ind w:left="2880" w:hanging="480"/>
      </w:pPr>
    </w:lvl>
    <w:lvl w:ilvl="5" w:tentative="0">
      <w:start w:val="1"/>
      <w:numFmt w:val="lowerRoman"/>
      <w:lvlText w:val="%6."/>
      <w:lvlJc w:val="right"/>
      <w:pPr>
        <w:ind w:left="3360" w:hanging="480"/>
      </w:pPr>
    </w:lvl>
    <w:lvl w:ilvl="6" w:tentative="0">
      <w:start w:val="1"/>
      <w:numFmt w:val="decimal"/>
      <w:lvlText w:val="%7."/>
      <w:lvlJc w:val="left"/>
      <w:pPr>
        <w:ind w:left="3840" w:hanging="480"/>
      </w:pPr>
    </w:lvl>
    <w:lvl w:ilvl="7" w:tentative="0">
      <w:start w:val="1"/>
      <w:numFmt w:val="lowerLetter"/>
      <w:lvlText w:val="%8)"/>
      <w:lvlJc w:val="left"/>
      <w:pPr>
        <w:ind w:left="4320" w:hanging="480"/>
      </w:pPr>
    </w:lvl>
    <w:lvl w:ilvl="8" w:tentative="0">
      <w:start w:val="1"/>
      <w:numFmt w:val="lowerRoman"/>
      <w:lvlText w:val="%9."/>
      <w:lvlJc w:val="right"/>
      <w:pPr>
        <w:ind w:left="4800" w:hanging="480"/>
      </w:pPr>
    </w:lvl>
  </w:abstractNum>
  <w:abstractNum w:abstractNumId="1">
    <w:nsid w:val="122721D3"/>
    <w:multiLevelType w:val="multilevel"/>
    <w:tmpl w:val="122721D3"/>
    <w:lvl w:ilvl="0" w:tentative="0">
      <w:start w:val="1"/>
      <w:numFmt w:val="decimal"/>
      <w:lvlText w:val="第%1条"/>
      <w:lvlJc w:val="left"/>
      <w:pPr>
        <w:ind w:left="975" w:hanging="975"/>
      </w:pPr>
      <w:rPr>
        <w:rFonts w:cs="Times New Roman"/>
      </w:rPr>
    </w:lvl>
    <w:lvl w:ilvl="1" w:tentative="0">
      <w:start w:val="1"/>
      <w:numFmt w:val="japaneseCounting"/>
      <w:lvlText w:val="（%2）"/>
      <w:lvlJc w:val="left"/>
      <w:pPr>
        <w:ind w:left="1140" w:hanging="720"/>
      </w:pPr>
    </w:lvl>
    <w:lvl w:ilvl="2" w:tentative="0">
      <w:start w:val="1"/>
      <w:numFmt w:val="decimal"/>
      <w:lvlText w:val="（%3）"/>
      <w:lvlJc w:val="left"/>
      <w:pPr>
        <w:ind w:left="1560" w:hanging="720"/>
      </w:p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1A2E1593"/>
    <w:multiLevelType w:val="multilevel"/>
    <w:tmpl w:val="1A2E1593"/>
    <w:lvl w:ilvl="0" w:tentative="0">
      <w:start w:val="1"/>
      <w:numFmt w:val="decimal"/>
      <w:lvlText w:val="%1."/>
      <w:lvlJc w:val="left"/>
      <w:pPr>
        <w:ind w:left="960" w:hanging="480"/>
      </w:pPr>
    </w:lvl>
    <w:lvl w:ilvl="1" w:tentative="0">
      <w:start w:val="1"/>
      <w:numFmt w:val="lowerLetter"/>
      <w:lvlText w:val="%2)"/>
      <w:lvlJc w:val="left"/>
      <w:pPr>
        <w:ind w:left="1440" w:hanging="480"/>
      </w:pPr>
    </w:lvl>
    <w:lvl w:ilvl="2" w:tentative="0">
      <w:start w:val="1"/>
      <w:numFmt w:val="decimal"/>
      <w:lvlText w:val="%3."/>
      <w:lvlJc w:val="left"/>
      <w:pPr>
        <w:ind w:left="960" w:hanging="480"/>
      </w:pPr>
    </w:lvl>
    <w:lvl w:ilvl="3" w:tentative="0">
      <w:start w:val="1"/>
      <w:numFmt w:val="decimal"/>
      <w:lvlText w:val="%4."/>
      <w:lvlJc w:val="left"/>
      <w:pPr>
        <w:ind w:left="2400" w:hanging="480"/>
      </w:pPr>
    </w:lvl>
    <w:lvl w:ilvl="4" w:tentative="0">
      <w:start w:val="1"/>
      <w:numFmt w:val="lowerLetter"/>
      <w:lvlText w:val="%5)"/>
      <w:lvlJc w:val="left"/>
      <w:pPr>
        <w:ind w:left="2880" w:hanging="480"/>
      </w:pPr>
    </w:lvl>
    <w:lvl w:ilvl="5" w:tentative="0">
      <w:start w:val="1"/>
      <w:numFmt w:val="lowerRoman"/>
      <w:lvlText w:val="%6."/>
      <w:lvlJc w:val="right"/>
      <w:pPr>
        <w:ind w:left="3360" w:hanging="480"/>
      </w:pPr>
    </w:lvl>
    <w:lvl w:ilvl="6" w:tentative="0">
      <w:start w:val="1"/>
      <w:numFmt w:val="decimal"/>
      <w:lvlText w:val="%7."/>
      <w:lvlJc w:val="left"/>
      <w:pPr>
        <w:ind w:left="3840" w:hanging="480"/>
      </w:pPr>
    </w:lvl>
    <w:lvl w:ilvl="7" w:tentative="0">
      <w:start w:val="1"/>
      <w:numFmt w:val="lowerLetter"/>
      <w:lvlText w:val="%8)"/>
      <w:lvlJc w:val="left"/>
      <w:pPr>
        <w:ind w:left="4320" w:hanging="480"/>
      </w:pPr>
    </w:lvl>
    <w:lvl w:ilvl="8" w:tentative="0">
      <w:start w:val="1"/>
      <w:numFmt w:val="lowerRoman"/>
      <w:lvlText w:val="%9."/>
      <w:lvlJc w:val="right"/>
      <w:pPr>
        <w:ind w:left="4800" w:hanging="480"/>
      </w:pPr>
    </w:lvl>
  </w:abstractNum>
  <w:abstractNum w:abstractNumId="3">
    <w:nsid w:val="4AF03017"/>
    <w:multiLevelType w:val="multilevel"/>
    <w:tmpl w:val="4AF03017"/>
    <w:lvl w:ilvl="0" w:tentative="0">
      <w:start w:val="1"/>
      <w:numFmt w:val="decimal"/>
      <w:lvlText w:val="%1."/>
      <w:lvlJc w:val="left"/>
      <w:pPr>
        <w:ind w:left="960" w:hanging="480"/>
      </w:pPr>
    </w:lvl>
    <w:lvl w:ilvl="1" w:tentative="0">
      <w:start w:val="1"/>
      <w:numFmt w:val="lowerLetter"/>
      <w:lvlText w:val="%2)"/>
      <w:lvlJc w:val="left"/>
      <w:pPr>
        <w:ind w:left="1440" w:hanging="480"/>
      </w:pPr>
    </w:lvl>
    <w:lvl w:ilvl="2" w:tentative="0">
      <w:start w:val="1"/>
      <w:numFmt w:val="lowerRoman"/>
      <w:lvlText w:val="%3."/>
      <w:lvlJc w:val="right"/>
      <w:pPr>
        <w:ind w:left="1920" w:hanging="480"/>
      </w:pPr>
    </w:lvl>
    <w:lvl w:ilvl="3" w:tentative="0">
      <w:start w:val="1"/>
      <w:numFmt w:val="decimal"/>
      <w:lvlText w:val="%4."/>
      <w:lvlJc w:val="left"/>
      <w:pPr>
        <w:ind w:left="2400" w:hanging="480"/>
      </w:pPr>
    </w:lvl>
    <w:lvl w:ilvl="4" w:tentative="0">
      <w:start w:val="1"/>
      <w:numFmt w:val="lowerLetter"/>
      <w:lvlText w:val="%5)"/>
      <w:lvlJc w:val="left"/>
      <w:pPr>
        <w:ind w:left="2880" w:hanging="480"/>
      </w:pPr>
    </w:lvl>
    <w:lvl w:ilvl="5" w:tentative="0">
      <w:start w:val="1"/>
      <w:numFmt w:val="lowerRoman"/>
      <w:lvlText w:val="%6."/>
      <w:lvlJc w:val="right"/>
      <w:pPr>
        <w:ind w:left="3360" w:hanging="480"/>
      </w:pPr>
    </w:lvl>
    <w:lvl w:ilvl="6" w:tentative="0">
      <w:start w:val="1"/>
      <w:numFmt w:val="decimal"/>
      <w:lvlText w:val="%7."/>
      <w:lvlJc w:val="left"/>
      <w:pPr>
        <w:ind w:left="3840" w:hanging="480"/>
      </w:pPr>
    </w:lvl>
    <w:lvl w:ilvl="7" w:tentative="0">
      <w:start w:val="1"/>
      <w:numFmt w:val="lowerLetter"/>
      <w:lvlText w:val="%8)"/>
      <w:lvlJc w:val="left"/>
      <w:pPr>
        <w:ind w:left="4320" w:hanging="480"/>
      </w:pPr>
    </w:lvl>
    <w:lvl w:ilvl="8" w:tentative="0">
      <w:start w:val="1"/>
      <w:numFmt w:val="lowerRoman"/>
      <w:lvlText w:val="%9."/>
      <w:lvlJc w:val="right"/>
      <w:pPr>
        <w:ind w:left="4800" w:hanging="480"/>
      </w:pPr>
    </w:lvl>
  </w:abstractNum>
  <w:abstractNum w:abstractNumId="4">
    <w:nsid w:val="534B18FA"/>
    <w:multiLevelType w:val="multilevel"/>
    <w:tmpl w:val="534B18FA"/>
    <w:lvl w:ilvl="0" w:tentative="0">
      <w:start w:val="1"/>
      <w:numFmt w:val="decimalEnclosedCircle"/>
      <w:lvlText w:val="%1"/>
      <w:lvlJc w:val="left"/>
      <w:pPr>
        <w:ind w:left="360" w:hanging="360"/>
      </w:pPr>
    </w:lvl>
    <w:lvl w:ilvl="1" w:tentative="0">
      <w:start w:val="1"/>
      <w:numFmt w:val="decimalEnclosedCircle"/>
      <w:lvlText w:val="%2"/>
      <w:lvlJc w:val="left"/>
      <w:pPr>
        <w:ind w:left="780" w:hanging="36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9E45AA2"/>
    <w:multiLevelType w:val="singleLevel"/>
    <w:tmpl w:val="59E45AA2"/>
    <w:lvl w:ilvl="0" w:tentative="0">
      <w:start w:val="1"/>
      <w:numFmt w:val="decimal"/>
      <w:lvlText w:val="%1."/>
      <w:lvlJc w:val="left"/>
      <w:pPr>
        <w:tabs>
          <w:tab w:val="left" w:pos="312"/>
        </w:tabs>
      </w:pPr>
    </w:lvl>
  </w:abstractNum>
  <w:abstractNum w:abstractNumId="6">
    <w:nsid w:val="5DA67678"/>
    <w:multiLevelType w:val="multilevel"/>
    <w:tmpl w:val="5DA67678"/>
    <w:lvl w:ilvl="0" w:tentative="0">
      <w:start w:val="1"/>
      <w:numFmt w:val="decimal"/>
      <w:lvlText w:val="%1."/>
      <w:lvlJc w:val="left"/>
      <w:pPr>
        <w:ind w:left="960" w:hanging="480"/>
      </w:pPr>
    </w:lvl>
    <w:lvl w:ilvl="1" w:tentative="0">
      <w:start w:val="1"/>
      <w:numFmt w:val="lowerLetter"/>
      <w:lvlText w:val="%2)"/>
      <w:lvlJc w:val="left"/>
      <w:pPr>
        <w:ind w:left="1440" w:hanging="480"/>
      </w:pPr>
    </w:lvl>
    <w:lvl w:ilvl="2" w:tentative="0">
      <w:start w:val="1"/>
      <w:numFmt w:val="lowerRoman"/>
      <w:lvlText w:val="%3."/>
      <w:lvlJc w:val="right"/>
      <w:pPr>
        <w:ind w:left="1920" w:hanging="480"/>
      </w:pPr>
    </w:lvl>
    <w:lvl w:ilvl="3" w:tentative="0">
      <w:start w:val="1"/>
      <w:numFmt w:val="decimal"/>
      <w:lvlText w:val="%4."/>
      <w:lvlJc w:val="left"/>
      <w:pPr>
        <w:ind w:left="2400" w:hanging="480"/>
      </w:pPr>
    </w:lvl>
    <w:lvl w:ilvl="4" w:tentative="0">
      <w:start w:val="1"/>
      <w:numFmt w:val="lowerLetter"/>
      <w:lvlText w:val="%5)"/>
      <w:lvlJc w:val="left"/>
      <w:pPr>
        <w:ind w:left="2880" w:hanging="480"/>
      </w:pPr>
    </w:lvl>
    <w:lvl w:ilvl="5" w:tentative="0">
      <w:start w:val="1"/>
      <w:numFmt w:val="lowerRoman"/>
      <w:lvlText w:val="%6."/>
      <w:lvlJc w:val="right"/>
      <w:pPr>
        <w:ind w:left="3360" w:hanging="480"/>
      </w:pPr>
    </w:lvl>
    <w:lvl w:ilvl="6" w:tentative="0">
      <w:start w:val="1"/>
      <w:numFmt w:val="decimal"/>
      <w:lvlText w:val="%7."/>
      <w:lvlJc w:val="left"/>
      <w:pPr>
        <w:ind w:left="3840" w:hanging="480"/>
      </w:pPr>
    </w:lvl>
    <w:lvl w:ilvl="7" w:tentative="0">
      <w:start w:val="1"/>
      <w:numFmt w:val="lowerLetter"/>
      <w:lvlText w:val="%8)"/>
      <w:lvlJc w:val="left"/>
      <w:pPr>
        <w:ind w:left="4320" w:hanging="480"/>
      </w:pPr>
    </w:lvl>
    <w:lvl w:ilvl="8" w:tentative="0">
      <w:start w:val="1"/>
      <w:numFmt w:val="lowerRoman"/>
      <w:lvlText w:val="%9."/>
      <w:lvlJc w:val="right"/>
      <w:pPr>
        <w:ind w:left="4800" w:hanging="480"/>
      </w:pPr>
    </w:lvl>
  </w:abstractNum>
  <w:abstractNum w:abstractNumId="7">
    <w:nsid w:val="5F4C3333"/>
    <w:multiLevelType w:val="multilevel"/>
    <w:tmpl w:val="5F4C3333"/>
    <w:lvl w:ilvl="0" w:tentative="0">
      <w:start w:val="1"/>
      <w:numFmt w:val="decimal"/>
      <w:suff w:val="space"/>
      <w:lvlText w:val="%1."/>
      <w:lvlJc w:val="left"/>
      <w:pPr>
        <w:ind w:left="482" w:firstLine="23"/>
      </w:pPr>
    </w:lvl>
    <w:lvl w:ilvl="1" w:tentative="0">
      <w:start w:val="1"/>
      <w:numFmt w:val="lowerLetter"/>
      <w:lvlText w:val="%2)"/>
      <w:lvlJc w:val="left"/>
      <w:pPr>
        <w:ind w:left="2034" w:hanging="480"/>
      </w:pPr>
    </w:lvl>
    <w:lvl w:ilvl="2" w:tentative="0">
      <w:start w:val="1"/>
      <w:numFmt w:val="lowerRoman"/>
      <w:lvlText w:val="%3."/>
      <w:lvlJc w:val="right"/>
      <w:pPr>
        <w:ind w:left="2514" w:hanging="480"/>
      </w:pPr>
    </w:lvl>
    <w:lvl w:ilvl="3" w:tentative="0">
      <w:start w:val="1"/>
      <w:numFmt w:val="decimal"/>
      <w:lvlText w:val="%4."/>
      <w:lvlJc w:val="left"/>
      <w:pPr>
        <w:ind w:left="2994" w:hanging="480"/>
      </w:pPr>
    </w:lvl>
    <w:lvl w:ilvl="4" w:tentative="0">
      <w:start w:val="1"/>
      <w:numFmt w:val="lowerLetter"/>
      <w:lvlText w:val="%5)"/>
      <w:lvlJc w:val="left"/>
      <w:pPr>
        <w:ind w:left="3474" w:hanging="480"/>
      </w:pPr>
    </w:lvl>
    <w:lvl w:ilvl="5" w:tentative="0">
      <w:start w:val="1"/>
      <w:numFmt w:val="lowerRoman"/>
      <w:lvlText w:val="%6."/>
      <w:lvlJc w:val="right"/>
      <w:pPr>
        <w:ind w:left="3954" w:hanging="480"/>
      </w:pPr>
    </w:lvl>
    <w:lvl w:ilvl="6" w:tentative="0">
      <w:start w:val="1"/>
      <w:numFmt w:val="decimal"/>
      <w:lvlText w:val="%7."/>
      <w:lvlJc w:val="left"/>
      <w:pPr>
        <w:ind w:left="4434" w:hanging="480"/>
      </w:pPr>
    </w:lvl>
    <w:lvl w:ilvl="7" w:tentative="0">
      <w:start w:val="1"/>
      <w:numFmt w:val="lowerLetter"/>
      <w:lvlText w:val="%8)"/>
      <w:lvlJc w:val="left"/>
      <w:pPr>
        <w:ind w:left="4914" w:hanging="480"/>
      </w:pPr>
    </w:lvl>
    <w:lvl w:ilvl="8" w:tentative="0">
      <w:start w:val="1"/>
      <w:numFmt w:val="lowerRoman"/>
      <w:lvlText w:val="%9."/>
      <w:lvlJc w:val="right"/>
      <w:pPr>
        <w:ind w:left="5394" w:hanging="480"/>
      </w:pPr>
    </w:lvl>
  </w:abstractNum>
  <w:abstractNum w:abstractNumId="8">
    <w:nsid w:val="61B80B2E"/>
    <w:multiLevelType w:val="multilevel"/>
    <w:tmpl w:val="61B80B2E"/>
    <w:lvl w:ilvl="0" w:tentative="0">
      <w:start w:val="1"/>
      <w:numFmt w:val="decimal"/>
      <w:lvlText w:val="%1."/>
      <w:lvlJc w:val="left"/>
      <w:pPr>
        <w:ind w:left="900" w:hanging="480"/>
      </w:pPr>
    </w:lvl>
    <w:lvl w:ilvl="1" w:tentative="0">
      <w:start w:val="1"/>
      <w:numFmt w:val="lowerLetter"/>
      <w:lvlText w:val="%2)"/>
      <w:lvlJc w:val="left"/>
      <w:pPr>
        <w:ind w:left="1380" w:hanging="480"/>
      </w:pPr>
    </w:lvl>
    <w:lvl w:ilvl="2" w:tentative="0">
      <w:start w:val="1"/>
      <w:numFmt w:val="lowerRoman"/>
      <w:lvlText w:val="%3."/>
      <w:lvlJc w:val="right"/>
      <w:pPr>
        <w:ind w:left="1860" w:hanging="480"/>
      </w:pPr>
    </w:lvl>
    <w:lvl w:ilvl="3" w:tentative="0">
      <w:start w:val="1"/>
      <w:numFmt w:val="decimal"/>
      <w:lvlText w:val="%4."/>
      <w:lvlJc w:val="left"/>
      <w:pPr>
        <w:ind w:left="2340" w:hanging="480"/>
      </w:pPr>
    </w:lvl>
    <w:lvl w:ilvl="4" w:tentative="0">
      <w:start w:val="1"/>
      <w:numFmt w:val="lowerLetter"/>
      <w:lvlText w:val="%5)"/>
      <w:lvlJc w:val="left"/>
      <w:pPr>
        <w:ind w:left="2820" w:hanging="480"/>
      </w:pPr>
    </w:lvl>
    <w:lvl w:ilvl="5" w:tentative="0">
      <w:start w:val="1"/>
      <w:numFmt w:val="lowerRoman"/>
      <w:lvlText w:val="%6."/>
      <w:lvlJc w:val="right"/>
      <w:pPr>
        <w:ind w:left="3300" w:hanging="480"/>
      </w:pPr>
    </w:lvl>
    <w:lvl w:ilvl="6" w:tentative="0">
      <w:start w:val="1"/>
      <w:numFmt w:val="decimal"/>
      <w:lvlText w:val="%7."/>
      <w:lvlJc w:val="left"/>
      <w:pPr>
        <w:ind w:left="3780" w:hanging="480"/>
      </w:pPr>
    </w:lvl>
    <w:lvl w:ilvl="7" w:tentative="0">
      <w:start w:val="1"/>
      <w:numFmt w:val="lowerLetter"/>
      <w:lvlText w:val="%8)"/>
      <w:lvlJc w:val="left"/>
      <w:pPr>
        <w:ind w:left="4260" w:hanging="480"/>
      </w:pPr>
    </w:lvl>
    <w:lvl w:ilvl="8" w:tentative="0">
      <w:start w:val="1"/>
      <w:numFmt w:val="lowerRoman"/>
      <w:lvlText w:val="%9."/>
      <w:lvlJc w:val="right"/>
      <w:pPr>
        <w:ind w:left="4740" w:hanging="480"/>
      </w:pPr>
    </w:lvl>
  </w:abstractNum>
  <w:abstractNum w:abstractNumId="9">
    <w:nsid w:val="792B2E14"/>
    <w:multiLevelType w:val="multilevel"/>
    <w:tmpl w:val="792B2E14"/>
    <w:lvl w:ilvl="0" w:tentative="0">
      <w:start w:val="1"/>
      <w:numFmt w:val="decimal"/>
      <w:lvlText w:val="（%1）"/>
      <w:lvlJc w:val="left"/>
      <w:pPr>
        <w:ind w:left="720" w:hanging="7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DFF"/>
    <w:rsid w:val="000C415A"/>
    <w:rsid w:val="000C6E48"/>
    <w:rsid w:val="000F0441"/>
    <w:rsid w:val="00103957"/>
    <w:rsid w:val="001452E6"/>
    <w:rsid w:val="00146378"/>
    <w:rsid w:val="00164957"/>
    <w:rsid w:val="00193AC0"/>
    <w:rsid w:val="001B6065"/>
    <w:rsid w:val="001C6E49"/>
    <w:rsid w:val="001F5134"/>
    <w:rsid w:val="00214F74"/>
    <w:rsid w:val="0023062C"/>
    <w:rsid w:val="00252E2E"/>
    <w:rsid w:val="00264A39"/>
    <w:rsid w:val="002A0EA5"/>
    <w:rsid w:val="002C2C60"/>
    <w:rsid w:val="002E418C"/>
    <w:rsid w:val="002F0B6B"/>
    <w:rsid w:val="002F2706"/>
    <w:rsid w:val="00326876"/>
    <w:rsid w:val="0033435F"/>
    <w:rsid w:val="00344418"/>
    <w:rsid w:val="003A515F"/>
    <w:rsid w:val="0043346C"/>
    <w:rsid w:val="00497F9D"/>
    <w:rsid w:val="004F14B2"/>
    <w:rsid w:val="005371E5"/>
    <w:rsid w:val="00544D08"/>
    <w:rsid w:val="005529D7"/>
    <w:rsid w:val="0056489D"/>
    <w:rsid w:val="005B086C"/>
    <w:rsid w:val="005C62A8"/>
    <w:rsid w:val="00612D27"/>
    <w:rsid w:val="00614CBB"/>
    <w:rsid w:val="00641537"/>
    <w:rsid w:val="00645956"/>
    <w:rsid w:val="006909FD"/>
    <w:rsid w:val="006F2ACD"/>
    <w:rsid w:val="0071471F"/>
    <w:rsid w:val="0073244E"/>
    <w:rsid w:val="007819DE"/>
    <w:rsid w:val="0078362D"/>
    <w:rsid w:val="007B4202"/>
    <w:rsid w:val="007E042E"/>
    <w:rsid w:val="007E1780"/>
    <w:rsid w:val="00823127"/>
    <w:rsid w:val="008374EC"/>
    <w:rsid w:val="0085034C"/>
    <w:rsid w:val="00871348"/>
    <w:rsid w:val="00895997"/>
    <w:rsid w:val="008D5753"/>
    <w:rsid w:val="008E03A3"/>
    <w:rsid w:val="009C083A"/>
    <w:rsid w:val="009C60E8"/>
    <w:rsid w:val="00A1669F"/>
    <w:rsid w:val="00A54E26"/>
    <w:rsid w:val="00A762E2"/>
    <w:rsid w:val="00A80660"/>
    <w:rsid w:val="00AB5C8A"/>
    <w:rsid w:val="00AF6377"/>
    <w:rsid w:val="00B22E7A"/>
    <w:rsid w:val="00B331FC"/>
    <w:rsid w:val="00C16165"/>
    <w:rsid w:val="00C2583C"/>
    <w:rsid w:val="00C91D45"/>
    <w:rsid w:val="00CC1018"/>
    <w:rsid w:val="00CC4E3B"/>
    <w:rsid w:val="00D02881"/>
    <w:rsid w:val="00D123D1"/>
    <w:rsid w:val="00D311C9"/>
    <w:rsid w:val="00D32E46"/>
    <w:rsid w:val="00D41D94"/>
    <w:rsid w:val="00D61DFF"/>
    <w:rsid w:val="00D80347"/>
    <w:rsid w:val="00DD0B8A"/>
    <w:rsid w:val="00DD5553"/>
    <w:rsid w:val="00E32E64"/>
    <w:rsid w:val="00E47BBA"/>
    <w:rsid w:val="00E6440C"/>
    <w:rsid w:val="00E95C94"/>
    <w:rsid w:val="00F24285"/>
    <w:rsid w:val="00F33EA1"/>
    <w:rsid w:val="00F5123A"/>
    <w:rsid w:val="00F77855"/>
    <w:rsid w:val="00FD187D"/>
    <w:rsid w:val="01081AAF"/>
    <w:rsid w:val="01287825"/>
    <w:rsid w:val="013430BF"/>
    <w:rsid w:val="016213AF"/>
    <w:rsid w:val="01871EC1"/>
    <w:rsid w:val="019E7927"/>
    <w:rsid w:val="01B013A7"/>
    <w:rsid w:val="01EF7FD6"/>
    <w:rsid w:val="01F43CB4"/>
    <w:rsid w:val="026C0406"/>
    <w:rsid w:val="028D71F6"/>
    <w:rsid w:val="02905A7B"/>
    <w:rsid w:val="02B708FF"/>
    <w:rsid w:val="034D61D7"/>
    <w:rsid w:val="03A315DA"/>
    <w:rsid w:val="03B76909"/>
    <w:rsid w:val="03BC6247"/>
    <w:rsid w:val="03CE4A99"/>
    <w:rsid w:val="03D21A9B"/>
    <w:rsid w:val="03E16848"/>
    <w:rsid w:val="043B129B"/>
    <w:rsid w:val="045106FD"/>
    <w:rsid w:val="045423D8"/>
    <w:rsid w:val="047B7FBE"/>
    <w:rsid w:val="04E262EC"/>
    <w:rsid w:val="04F85BBC"/>
    <w:rsid w:val="05004C21"/>
    <w:rsid w:val="056B38FD"/>
    <w:rsid w:val="057B557C"/>
    <w:rsid w:val="05CF4015"/>
    <w:rsid w:val="06125AC8"/>
    <w:rsid w:val="061951C9"/>
    <w:rsid w:val="061D76FF"/>
    <w:rsid w:val="062301F9"/>
    <w:rsid w:val="062F2B6C"/>
    <w:rsid w:val="063F248E"/>
    <w:rsid w:val="06C47939"/>
    <w:rsid w:val="070B71FC"/>
    <w:rsid w:val="070F76CF"/>
    <w:rsid w:val="074460F3"/>
    <w:rsid w:val="07983430"/>
    <w:rsid w:val="07A92392"/>
    <w:rsid w:val="07CE0C02"/>
    <w:rsid w:val="07D516E6"/>
    <w:rsid w:val="07E04E72"/>
    <w:rsid w:val="07F44A95"/>
    <w:rsid w:val="08411D2F"/>
    <w:rsid w:val="085E0108"/>
    <w:rsid w:val="08796AF0"/>
    <w:rsid w:val="088518C0"/>
    <w:rsid w:val="08886D31"/>
    <w:rsid w:val="08AE1C81"/>
    <w:rsid w:val="08DB5E42"/>
    <w:rsid w:val="09D219E0"/>
    <w:rsid w:val="09E42157"/>
    <w:rsid w:val="0A0E3A6C"/>
    <w:rsid w:val="0A33218F"/>
    <w:rsid w:val="0A6E32F6"/>
    <w:rsid w:val="0A9F2DF7"/>
    <w:rsid w:val="0AB5207D"/>
    <w:rsid w:val="0AB6201D"/>
    <w:rsid w:val="0AB92537"/>
    <w:rsid w:val="0ADB2098"/>
    <w:rsid w:val="0AFF43CE"/>
    <w:rsid w:val="0B0A5F2A"/>
    <w:rsid w:val="0B6E7CC0"/>
    <w:rsid w:val="0B702585"/>
    <w:rsid w:val="0B8476B4"/>
    <w:rsid w:val="0BB338ED"/>
    <w:rsid w:val="0BBE37A9"/>
    <w:rsid w:val="0BCD59D1"/>
    <w:rsid w:val="0BFE378B"/>
    <w:rsid w:val="0C0D00AF"/>
    <w:rsid w:val="0C2F08B1"/>
    <w:rsid w:val="0C9E41EA"/>
    <w:rsid w:val="0CA01DCB"/>
    <w:rsid w:val="0CF95484"/>
    <w:rsid w:val="0CFF33C6"/>
    <w:rsid w:val="0D2A707D"/>
    <w:rsid w:val="0D315842"/>
    <w:rsid w:val="0D4A1F73"/>
    <w:rsid w:val="0D926CCA"/>
    <w:rsid w:val="0DC247F1"/>
    <w:rsid w:val="0DD85279"/>
    <w:rsid w:val="0E1C29CF"/>
    <w:rsid w:val="0E290F42"/>
    <w:rsid w:val="0E2B05C8"/>
    <w:rsid w:val="0E2D4B24"/>
    <w:rsid w:val="0E63316C"/>
    <w:rsid w:val="0E897215"/>
    <w:rsid w:val="0E905EE9"/>
    <w:rsid w:val="0EB24DDD"/>
    <w:rsid w:val="0EB308DD"/>
    <w:rsid w:val="0F117F01"/>
    <w:rsid w:val="0F4938A8"/>
    <w:rsid w:val="0FC97394"/>
    <w:rsid w:val="10073852"/>
    <w:rsid w:val="10320C9B"/>
    <w:rsid w:val="103235EB"/>
    <w:rsid w:val="10475995"/>
    <w:rsid w:val="105E01A5"/>
    <w:rsid w:val="10682D0A"/>
    <w:rsid w:val="106A40C4"/>
    <w:rsid w:val="10821853"/>
    <w:rsid w:val="10861390"/>
    <w:rsid w:val="108B1847"/>
    <w:rsid w:val="109169F2"/>
    <w:rsid w:val="10AD615C"/>
    <w:rsid w:val="10BE57AD"/>
    <w:rsid w:val="10EB7A5B"/>
    <w:rsid w:val="1133515E"/>
    <w:rsid w:val="11760265"/>
    <w:rsid w:val="117A4139"/>
    <w:rsid w:val="11A11122"/>
    <w:rsid w:val="11F2608A"/>
    <w:rsid w:val="12176A4F"/>
    <w:rsid w:val="125D6B8E"/>
    <w:rsid w:val="126D3E2F"/>
    <w:rsid w:val="12E7568A"/>
    <w:rsid w:val="132C3AF1"/>
    <w:rsid w:val="1342022D"/>
    <w:rsid w:val="134D37F9"/>
    <w:rsid w:val="13B47B82"/>
    <w:rsid w:val="13C10E2C"/>
    <w:rsid w:val="13FD7A46"/>
    <w:rsid w:val="14490DC8"/>
    <w:rsid w:val="14D46C6E"/>
    <w:rsid w:val="14E36B8C"/>
    <w:rsid w:val="15066CE8"/>
    <w:rsid w:val="15094488"/>
    <w:rsid w:val="153128B7"/>
    <w:rsid w:val="15605CBD"/>
    <w:rsid w:val="15837B09"/>
    <w:rsid w:val="158C059C"/>
    <w:rsid w:val="15981484"/>
    <w:rsid w:val="15B45A99"/>
    <w:rsid w:val="160F3F34"/>
    <w:rsid w:val="16154D42"/>
    <w:rsid w:val="16653E52"/>
    <w:rsid w:val="168E06F8"/>
    <w:rsid w:val="16CE0415"/>
    <w:rsid w:val="16D0705E"/>
    <w:rsid w:val="16ED40F3"/>
    <w:rsid w:val="1711715C"/>
    <w:rsid w:val="171F05A9"/>
    <w:rsid w:val="17204099"/>
    <w:rsid w:val="17672FF0"/>
    <w:rsid w:val="17AD169A"/>
    <w:rsid w:val="17B6505E"/>
    <w:rsid w:val="17C827E2"/>
    <w:rsid w:val="18573016"/>
    <w:rsid w:val="187B6EE7"/>
    <w:rsid w:val="18E8628D"/>
    <w:rsid w:val="19074CE7"/>
    <w:rsid w:val="195304BA"/>
    <w:rsid w:val="19AF6788"/>
    <w:rsid w:val="1A082103"/>
    <w:rsid w:val="1A2D167E"/>
    <w:rsid w:val="1A7A5788"/>
    <w:rsid w:val="1A84414E"/>
    <w:rsid w:val="1AAE3BA3"/>
    <w:rsid w:val="1AEA590E"/>
    <w:rsid w:val="1AF938EA"/>
    <w:rsid w:val="1B322643"/>
    <w:rsid w:val="1B624E1E"/>
    <w:rsid w:val="1B7974A7"/>
    <w:rsid w:val="1B8648E5"/>
    <w:rsid w:val="1B92048B"/>
    <w:rsid w:val="1BA62729"/>
    <w:rsid w:val="1BC80FDD"/>
    <w:rsid w:val="1BEB359B"/>
    <w:rsid w:val="1C0502ED"/>
    <w:rsid w:val="1C4C2AD8"/>
    <w:rsid w:val="1C935CF5"/>
    <w:rsid w:val="1C9B034A"/>
    <w:rsid w:val="1CC844FB"/>
    <w:rsid w:val="1CEC0682"/>
    <w:rsid w:val="1CEE396B"/>
    <w:rsid w:val="1CF815B6"/>
    <w:rsid w:val="1D1836D7"/>
    <w:rsid w:val="1D360FD6"/>
    <w:rsid w:val="1DB71F7A"/>
    <w:rsid w:val="1DE72F6B"/>
    <w:rsid w:val="1E2E68D4"/>
    <w:rsid w:val="1E4C6F5D"/>
    <w:rsid w:val="1EC27117"/>
    <w:rsid w:val="1EFB4146"/>
    <w:rsid w:val="1F5315B4"/>
    <w:rsid w:val="1F970756"/>
    <w:rsid w:val="1F986C91"/>
    <w:rsid w:val="1FB00AD6"/>
    <w:rsid w:val="1FFB3173"/>
    <w:rsid w:val="200A0A50"/>
    <w:rsid w:val="200B6D2F"/>
    <w:rsid w:val="202C184B"/>
    <w:rsid w:val="20C94858"/>
    <w:rsid w:val="20F92B43"/>
    <w:rsid w:val="21125681"/>
    <w:rsid w:val="213B6760"/>
    <w:rsid w:val="213D767F"/>
    <w:rsid w:val="214708A1"/>
    <w:rsid w:val="2158597C"/>
    <w:rsid w:val="21864CAA"/>
    <w:rsid w:val="21FF1868"/>
    <w:rsid w:val="22544B54"/>
    <w:rsid w:val="227B5A50"/>
    <w:rsid w:val="227F3C0B"/>
    <w:rsid w:val="22850418"/>
    <w:rsid w:val="22873452"/>
    <w:rsid w:val="22A80E89"/>
    <w:rsid w:val="22B564C9"/>
    <w:rsid w:val="22D03BFF"/>
    <w:rsid w:val="230D6577"/>
    <w:rsid w:val="230F707A"/>
    <w:rsid w:val="232048CE"/>
    <w:rsid w:val="23271E32"/>
    <w:rsid w:val="233A1F37"/>
    <w:rsid w:val="233C1AE7"/>
    <w:rsid w:val="23557A3E"/>
    <w:rsid w:val="23996FFF"/>
    <w:rsid w:val="23AE4238"/>
    <w:rsid w:val="23B42CDB"/>
    <w:rsid w:val="24142DF7"/>
    <w:rsid w:val="24473175"/>
    <w:rsid w:val="245C71F1"/>
    <w:rsid w:val="24777A1C"/>
    <w:rsid w:val="247D55BE"/>
    <w:rsid w:val="24804D9D"/>
    <w:rsid w:val="2499195B"/>
    <w:rsid w:val="24B04701"/>
    <w:rsid w:val="24FB4079"/>
    <w:rsid w:val="25343ED2"/>
    <w:rsid w:val="2540746A"/>
    <w:rsid w:val="25695AC5"/>
    <w:rsid w:val="25A9198D"/>
    <w:rsid w:val="25BD7CDA"/>
    <w:rsid w:val="25D63F50"/>
    <w:rsid w:val="25E00CF7"/>
    <w:rsid w:val="26774A6A"/>
    <w:rsid w:val="26993919"/>
    <w:rsid w:val="26A54B75"/>
    <w:rsid w:val="26B23649"/>
    <w:rsid w:val="26CD411D"/>
    <w:rsid w:val="26D7265E"/>
    <w:rsid w:val="26F57102"/>
    <w:rsid w:val="274C42B5"/>
    <w:rsid w:val="276F3ECD"/>
    <w:rsid w:val="27C10184"/>
    <w:rsid w:val="27C8494D"/>
    <w:rsid w:val="27E04F9A"/>
    <w:rsid w:val="281048A0"/>
    <w:rsid w:val="281F04D4"/>
    <w:rsid w:val="28232F01"/>
    <w:rsid w:val="283D13B9"/>
    <w:rsid w:val="28412097"/>
    <w:rsid w:val="28890E28"/>
    <w:rsid w:val="28956BD6"/>
    <w:rsid w:val="28B30A39"/>
    <w:rsid w:val="28BB1706"/>
    <w:rsid w:val="28F1212D"/>
    <w:rsid w:val="290D6A4E"/>
    <w:rsid w:val="29166E07"/>
    <w:rsid w:val="292E29B8"/>
    <w:rsid w:val="29420B3E"/>
    <w:rsid w:val="29435655"/>
    <w:rsid w:val="29437385"/>
    <w:rsid w:val="294F74B1"/>
    <w:rsid w:val="298F3CE3"/>
    <w:rsid w:val="29F657C1"/>
    <w:rsid w:val="2A03378C"/>
    <w:rsid w:val="2A162814"/>
    <w:rsid w:val="2A6E0602"/>
    <w:rsid w:val="2AB05D94"/>
    <w:rsid w:val="2AB15D62"/>
    <w:rsid w:val="2ADC181B"/>
    <w:rsid w:val="2AF56177"/>
    <w:rsid w:val="2B5077A7"/>
    <w:rsid w:val="2B543861"/>
    <w:rsid w:val="2B624E19"/>
    <w:rsid w:val="2BB948C1"/>
    <w:rsid w:val="2BD416FE"/>
    <w:rsid w:val="2BF75A9E"/>
    <w:rsid w:val="2C1373CA"/>
    <w:rsid w:val="2C28498D"/>
    <w:rsid w:val="2C384E3D"/>
    <w:rsid w:val="2C4B71A9"/>
    <w:rsid w:val="2C6F131B"/>
    <w:rsid w:val="2C7052F9"/>
    <w:rsid w:val="2C7D5E70"/>
    <w:rsid w:val="2CC83D31"/>
    <w:rsid w:val="2CDC4265"/>
    <w:rsid w:val="2CF21ADA"/>
    <w:rsid w:val="2D1E5315"/>
    <w:rsid w:val="2D694E90"/>
    <w:rsid w:val="2D7B2735"/>
    <w:rsid w:val="2DAD30EA"/>
    <w:rsid w:val="2EA76DF3"/>
    <w:rsid w:val="2ECE3C88"/>
    <w:rsid w:val="2F1A7A6A"/>
    <w:rsid w:val="2F543754"/>
    <w:rsid w:val="2F54515D"/>
    <w:rsid w:val="2F6B3FA6"/>
    <w:rsid w:val="2F841200"/>
    <w:rsid w:val="2FE01D10"/>
    <w:rsid w:val="300C2640"/>
    <w:rsid w:val="302A4D2A"/>
    <w:rsid w:val="30396FF7"/>
    <w:rsid w:val="306540BB"/>
    <w:rsid w:val="30A1482F"/>
    <w:rsid w:val="30AB70E1"/>
    <w:rsid w:val="30CE0515"/>
    <w:rsid w:val="30F50368"/>
    <w:rsid w:val="31195999"/>
    <w:rsid w:val="312919E8"/>
    <w:rsid w:val="313C7D0D"/>
    <w:rsid w:val="31796D61"/>
    <w:rsid w:val="318033A0"/>
    <w:rsid w:val="31993B62"/>
    <w:rsid w:val="31994CD5"/>
    <w:rsid w:val="32002E68"/>
    <w:rsid w:val="32011CD0"/>
    <w:rsid w:val="322D2F62"/>
    <w:rsid w:val="32350D2C"/>
    <w:rsid w:val="32371780"/>
    <w:rsid w:val="323A13CB"/>
    <w:rsid w:val="323D029C"/>
    <w:rsid w:val="326D1546"/>
    <w:rsid w:val="32707112"/>
    <w:rsid w:val="32A157D4"/>
    <w:rsid w:val="32C408AF"/>
    <w:rsid w:val="32EA4D7D"/>
    <w:rsid w:val="33291D99"/>
    <w:rsid w:val="336756B9"/>
    <w:rsid w:val="33706EE5"/>
    <w:rsid w:val="33720CE3"/>
    <w:rsid w:val="33805B67"/>
    <w:rsid w:val="33940D90"/>
    <w:rsid w:val="33AE4FC4"/>
    <w:rsid w:val="33BF4EA7"/>
    <w:rsid w:val="33C40D10"/>
    <w:rsid w:val="33CC02F0"/>
    <w:rsid w:val="33D03749"/>
    <w:rsid w:val="33FC41BF"/>
    <w:rsid w:val="34097076"/>
    <w:rsid w:val="34356556"/>
    <w:rsid w:val="34847B3D"/>
    <w:rsid w:val="34FB4CE4"/>
    <w:rsid w:val="35096B2A"/>
    <w:rsid w:val="35187171"/>
    <w:rsid w:val="353E7BE0"/>
    <w:rsid w:val="35697FE7"/>
    <w:rsid w:val="358D4A79"/>
    <w:rsid w:val="35A92DD5"/>
    <w:rsid w:val="35AA2AF7"/>
    <w:rsid w:val="35AF1DAF"/>
    <w:rsid w:val="35C95A1B"/>
    <w:rsid w:val="35EB02D7"/>
    <w:rsid w:val="363A007B"/>
    <w:rsid w:val="36407F93"/>
    <w:rsid w:val="36594A21"/>
    <w:rsid w:val="367A72AD"/>
    <w:rsid w:val="36B87E22"/>
    <w:rsid w:val="36EA1275"/>
    <w:rsid w:val="36FD767A"/>
    <w:rsid w:val="37234492"/>
    <w:rsid w:val="37351398"/>
    <w:rsid w:val="37376E65"/>
    <w:rsid w:val="37736B8D"/>
    <w:rsid w:val="37DA340E"/>
    <w:rsid w:val="381448E6"/>
    <w:rsid w:val="38463CAF"/>
    <w:rsid w:val="38630719"/>
    <w:rsid w:val="38A648B5"/>
    <w:rsid w:val="38AB5491"/>
    <w:rsid w:val="399A2423"/>
    <w:rsid w:val="39A66A9C"/>
    <w:rsid w:val="39C453ED"/>
    <w:rsid w:val="39D23572"/>
    <w:rsid w:val="39DC7C88"/>
    <w:rsid w:val="3A341DD7"/>
    <w:rsid w:val="3A596083"/>
    <w:rsid w:val="3A5D4212"/>
    <w:rsid w:val="3A6D15AA"/>
    <w:rsid w:val="3AD34F20"/>
    <w:rsid w:val="3B3A45D7"/>
    <w:rsid w:val="3B580809"/>
    <w:rsid w:val="3B68527B"/>
    <w:rsid w:val="3B796D4B"/>
    <w:rsid w:val="3B8A1A8A"/>
    <w:rsid w:val="3B8E7284"/>
    <w:rsid w:val="3B940803"/>
    <w:rsid w:val="3BC30141"/>
    <w:rsid w:val="3C2F1E12"/>
    <w:rsid w:val="3C3058EC"/>
    <w:rsid w:val="3C3B0DF0"/>
    <w:rsid w:val="3C5E1147"/>
    <w:rsid w:val="3C7924E8"/>
    <w:rsid w:val="3CA146A4"/>
    <w:rsid w:val="3DB6238D"/>
    <w:rsid w:val="3DD278BE"/>
    <w:rsid w:val="3DD94E22"/>
    <w:rsid w:val="3E3C2321"/>
    <w:rsid w:val="3E491475"/>
    <w:rsid w:val="3E693070"/>
    <w:rsid w:val="3E783125"/>
    <w:rsid w:val="3E8E6DE0"/>
    <w:rsid w:val="3EB97D30"/>
    <w:rsid w:val="3EC172F4"/>
    <w:rsid w:val="3EC63DEA"/>
    <w:rsid w:val="3EDF3845"/>
    <w:rsid w:val="3EE130B9"/>
    <w:rsid w:val="3EE15550"/>
    <w:rsid w:val="3F1B6BFA"/>
    <w:rsid w:val="3F635193"/>
    <w:rsid w:val="3F783C51"/>
    <w:rsid w:val="3F89129F"/>
    <w:rsid w:val="3FD80832"/>
    <w:rsid w:val="3FE62258"/>
    <w:rsid w:val="3FF024D2"/>
    <w:rsid w:val="3FF11DC5"/>
    <w:rsid w:val="3FF20FF8"/>
    <w:rsid w:val="400679B6"/>
    <w:rsid w:val="40453507"/>
    <w:rsid w:val="40685AF2"/>
    <w:rsid w:val="40955E6F"/>
    <w:rsid w:val="41087E6F"/>
    <w:rsid w:val="41123F18"/>
    <w:rsid w:val="414C3DD8"/>
    <w:rsid w:val="41803FE3"/>
    <w:rsid w:val="4189796B"/>
    <w:rsid w:val="41A04D8F"/>
    <w:rsid w:val="41DA1181"/>
    <w:rsid w:val="421A6454"/>
    <w:rsid w:val="42204C96"/>
    <w:rsid w:val="422C4D77"/>
    <w:rsid w:val="423D56C9"/>
    <w:rsid w:val="428E215F"/>
    <w:rsid w:val="42BC076A"/>
    <w:rsid w:val="42BC6E00"/>
    <w:rsid w:val="42D4079A"/>
    <w:rsid w:val="42DC6230"/>
    <w:rsid w:val="42DD7590"/>
    <w:rsid w:val="43292B49"/>
    <w:rsid w:val="435243DA"/>
    <w:rsid w:val="437C3977"/>
    <w:rsid w:val="43C517A2"/>
    <w:rsid w:val="43D90C25"/>
    <w:rsid w:val="43F13A4B"/>
    <w:rsid w:val="44222466"/>
    <w:rsid w:val="44582CEB"/>
    <w:rsid w:val="44853290"/>
    <w:rsid w:val="449E2B1E"/>
    <w:rsid w:val="44B02741"/>
    <w:rsid w:val="451966A5"/>
    <w:rsid w:val="45401357"/>
    <w:rsid w:val="454C268F"/>
    <w:rsid w:val="45BA0D99"/>
    <w:rsid w:val="45CD3B72"/>
    <w:rsid w:val="460F75B7"/>
    <w:rsid w:val="46237AE0"/>
    <w:rsid w:val="4697474B"/>
    <w:rsid w:val="46BD161B"/>
    <w:rsid w:val="47631827"/>
    <w:rsid w:val="47695031"/>
    <w:rsid w:val="476C09E5"/>
    <w:rsid w:val="477B4829"/>
    <w:rsid w:val="47AC210C"/>
    <w:rsid w:val="47BA7585"/>
    <w:rsid w:val="47C65D7B"/>
    <w:rsid w:val="48190DD4"/>
    <w:rsid w:val="482A3259"/>
    <w:rsid w:val="489C2968"/>
    <w:rsid w:val="48F9057D"/>
    <w:rsid w:val="49242666"/>
    <w:rsid w:val="4954686F"/>
    <w:rsid w:val="495D32FF"/>
    <w:rsid w:val="496C16CC"/>
    <w:rsid w:val="49C4366C"/>
    <w:rsid w:val="4A20224C"/>
    <w:rsid w:val="4A512156"/>
    <w:rsid w:val="4A811D85"/>
    <w:rsid w:val="4ACA57BF"/>
    <w:rsid w:val="4B224237"/>
    <w:rsid w:val="4B2D0A46"/>
    <w:rsid w:val="4BC53F13"/>
    <w:rsid w:val="4C293477"/>
    <w:rsid w:val="4C3E3503"/>
    <w:rsid w:val="4C46798C"/>
    <w:rsid w:val="4C584996"/>
    <w:rsid w:val="4C986BD8"/>
    <w:rsid w:val="4C9F277C"/>
    <w:rsid w:val="4CA77FBC"/>
    <w:rsid w:val="4CCD06E5"/>
    <w:rsid w:val="4CD255E2"/>
    <w:rsid w:val="4CDF3DB9"/>
    <w:rsid w:val="4D113578"/>
    <w:rsid w:val="4D1E2C70"/>
    <w:rsid w:val="4D27064B"/>
    <w:rsid w:val="4D272879"/>
    <w:rsid w:val="4D3C1D35"/>
    <w:rsid w:val="4D784CF2"/>
    <w:rsid w:val="4D807CEF"/>
    <w:rsid w:val="4DAE26DA"/>
    <w:rsid w:val="4DE41F0C"/>
    <w:rsid w:val="4DE935F9"/>
    <w:rsid w:val="4E420A17"/>
    <w:rsid w:val="4E663ED5"/>
    <w:rsid w:val="4E6F4AB4"/>
    <w:rsid w:val="4EE71F52"/>
    <w:rsid w:val="4F396583"/>
    <w:rsid w:val="4F543278"/>
    <w:rsid w:val="4F694072"/>
    <w:rsid w:val="4F7343DF"/>
    <w:rsid w:val="4F757F0E"/>
    <w:rsid w:val="4FC06F44"/>
    <w:rsid w:val="4FE66FC2"/>
    <w:rsid w:val="50103F96"/>
    <w:rsid w:val="501A6F64"/>
    <w:rsid w:val="50495A49"/>
    <w:rsid w:val="5088586E"/>
    <w:rsid w:val="508D4541"/>
    <w:rsid w:val="50C7752D"/>
    <w:rsid w:val="50D31173"/>
    <w:rsid w:val="50E657C1"/>
    <w:rsid w:val="50F844DC"/>
    <w:rsid w:val="50FA454B"/>
    <w:rsid w:val="51082FB0"/>
    <w:rsid w:val="514F2C0F"/>
    <w:rsid w:val="51513431"/>
    <w:rsid w:val="51521993"/>
    <w:rsid w:val="51644C68"/>
    <w:rsid w:val="51943C45"/>
    <w:rsid w:val="51E10963"/>
    <w:rsid w:val="52403C07"/>
    <w:rsid w:val="52AB2992"/>
    <w:rsid w:val="52B0291F"/>
    <w:rsid w:val="52B07F75"/>
    <w:rsid w:val="52C71DFD"/>
    <w:rsid w:val="52DD42CE"/>
    <w:rsid w:val="53224A1D"/>
    <w:rsid w:val="53755F0E"/>
    <w:rsid w:val="53A80B60"/>
    <w:rsid w:val="540A3B6B"/>
    <w:rsid w:val="540A53FD"/>
    <w:rsid w:val="540E4D5A"/>
    <w:rsid w:val="545D5F5C"/>
    <w:rsid w:val="54BA6747"/>
    <w:rsid w:val="54DF3373"/>
    <w:rsid w:val="55252EF6"/>
    <w:rsid w:val="55410ABB"/>
    <w:rsid w:val="55832738"/>
    <w:rsid w:val="55940499"/>
    <w:rsid w:val="55DA0A05"/>
    <w:rsid w:val="55E4462B"/>
    <w:rsid w:val="55E6391D"/>
    <w:rsid w:val="5613202A"/>
    <w:rsid w:val="562E4A76"/>
    <w:rsid w:val="56426F9E"/>
    <w:rsid w:val="566825F3"/>
    <w:rsid w:val="56D92D7A"/>
    <w:rsid w:val="57076AA5"/>
    <w:rsid w:val="571E33F8"/>
    <w:rsid w:val="575C0F05"/>
    <w:rsid w:val="575E14FF"/>
    <w:rsid w:val="577A2D73"/>
    <w:rsid w:val="577B2792"/>
    <w:rsid w:val="577D68A5"/>
    <w:rsid w:val="57B1424B"/>
    <w:rsid w:val="57B5786C"/>
    <w:rsid w:val="57DF52B9"/>
    <w:rsid w:val="582B0CFF"/>
    <w:rsid w:val="584E4D1F"/>
    <w:rsid w:val="586C3B8C"/>
    <w:rsid w:val="586D03E2"/>
    <w:rsid w:val="588809FA"/>
    <w:rsid w:val="58A31175"/>
    <w:rsid w:val="58A34C68"/>
    <w:rsid w:val="58BC1716"/>
    <w:rsid w:val="58CA68D4"/>
    <w:rsid w:val="58CC1456"/>
    <w:rsid w:val="58EA4762"/>
    <w:rsid w:val="58FE4948"/>
    <w:rsid w:val="592F16B0"/>
    <w:rsid w:val="59400FE6"/>
    <w:rsid w:val="59C36B8C"/>
    <w:rsid w:val="59CC4680"/>
    <w:rsid w:val="5A345120"/>
    <w:rsid w:val="5A6C47FC"/>
    <w:rsid w:val="5A973806"/>
    <w:rsid w:val="5AA64F6E"/>
    <w:rsid w:val="5AE74B19"/>
    <w:rsid w:val="5AEC732D"/>
    <w:rsid w:val="5AF304B0"/>
    <w:rsid w:val="5B4A773C"/>
    <w:rsid w:val="5B6F64A7"/>
    <w:rsid w:val="5B9102FF"/>
    <w:rsid w:val="5B943477"/>
    <w:rsid w:val="5B9B3F82"/>
    <w:rsid w:val="5BA53A03"/>
    <w:rsid w:val="5BFD11DC"/>
    <w:rsid w:val="5C244D79"/>
    <w:rsid w:val="5C4D09CE"/>
    <w:rsid w:val="5C4E1AFA"/>
    <w:rsid w:val="5D0A2523"/>
    <w:rsid w:val="5D13524D"/>
    <w:rsid w:val="5D3C21F3"/>
    <w:rsid w:val="5D5C27F8"/>
    <w:rsid w:val="5D6F48AB"/>
    <w:rsid w:val="5DF07911"/>
    <w:rsid w:val="5DF270CF"/>
    <w:rsid w:val="5E0D39B6"/>
    <w:rsid w:val="5E264FB6"/>
    <w:rsid w:val="5E7408E5"/>
    <w:rsid w:val="5EAD17C1"/>
    <w:rsid w:val="5EB127F3"/>
    <w:rsid w:val="5ED267C6"/>
    <w:rsid w:val="5EF5786E"/>
    <w:rsid w:val="5F480486"/>
    <w:rsid w:val="5F6B618D"/>
    <w:rsid w:val="5F7D46A4"/>
    <w:rsid w:val="5F977321"/>
    <w:rsid w:val="5F9B0254"/>
    <w:rsid w:val="5FF9642F"/>
    <w:rsid w:val="600B13E0"/>
    <w:rsid w:val="601B4BC2"/>
    <w:rsid w:val="60234132"/>
    <w:rsid w:val="60611F9E"/>
    <w:rsid w:val="60B37B38"/>
    <w:rsid w:val="60B556E3"/>
    <w:rsid w:val="60B976C1"/>
    <w:rsid w:val="60F83F37"/>
    <w:rsid w:val="613259E0"/>
    <w:rsid w:val="61384D5D"/>
    <w:rsid w:val="615B34E0"/>
    <w:rsid w:val="61614D00"/>
    <w:rsid w:val="618A06FE"/>
    <w:rsid w:val="61A029F6"/>
    <w:rsid w:val="61B13183"/>
    <w:rsid w:val="61CB5894"/>
    <w:rsid w:val="61CD4B84"/>
    <w:rsid w:val="61DF2A22"/>
    <w:rsid w:val="624E3384"/>
    <w:rsid w:val="62546E9A"/>
    <w:rsid w:val="629E509D"/>
    <w:rsid w:val="62A70025"/>
    <w:rsid w:val="62B53FAE"/>
    <w:rsid w:val="62D52459"/>
    <w:rsid w:val="62DB0665"/>
    <w:rsid w:val="63011900"/>
    <w:rsid w:val="63294660"/>
    <w:rsid w:val="635C6675"/>
    <w:rsid w:val="63AC4B14"/>
    <w:rsid w:val="63C0112D"/>
    <w:rsid w:val="63EF0EB8"/>
    <w:rsid w:val="64210ABC"/>
    <w:rsid w:val="644524CA"/>
    <w:rsid w:val="64537E05"/>
    <w:rsid w:val="648C5666"/>
    <w:rsid w:val="64A12ABA"/>
    <w:rsid w:val="64A3797E"/>
    <w:rsid w:val="64AB0674"/>
    <w:rsid w:val="64B24316"/>
    <w:rsid w:val="64D14096"/>
    <w:rsid w:val="64E21C84"/>
    <w:rsid w:val="64E228FA"/>
    <w:rsid w:val="64F10824"/>
    <w:rsid w:val="655A4B10"/>
    <w:rsid w:val="65782120"/>
    <w:rsid w:val="65855A82"/>
    <w:rsid w:val="65AD4B33"/>
    <w:rsid w:val="65FF1AB6"/>
    <w:rsid w:val="66057EDF"/>
    <w:rsid w:val="661131A2"/>
    <w:rsid w:val="666216B8"/>
    <w:rsid w:val="6677202A"/>
    <w:rsid w:val="6687310A"/>
    <w:rsid w:val="669B41ED"/>
    <w:rsid w:val="66D6444F"/>
    <w:rsid w:val="67021592"/>
    <w:rsid w:val="67287452"/>
    <w:rsid w:val="676B0327"/>
    <w:rsid w:val="679B254A"/>
    <w:rsid w:val="679F0341"/>
    <w:rsid w:val="687A78FE"/>
    <w:rsid w:val="687B0FCF"/>
    <w:rsid w:val="68B622FB"/>
    <w:rsid w:val="68CB7FA0"/>
    <w:rsid w:val="694C2F62"/>
    <w:rsid w:val="69634730"/>
    <w:rsid w:val="69692809"/>
    <w:rsid w:val="698215FF"/>
    <w:rsid w:val="69876A1A"/>
    <w:rsid w:val="69910B92"/>
    <w:rsid w:val="69AB59AC"/>
    <w:rsid w:val="69CA0911"/>
    <w:rsid w:val="6A151815"/>
    <w:rsid w:val="6A576807"/>
    <w:rsid w:val="6AA509E7"/>
    <w:rsid w:val="6ACB4B1D"/>
    <w:rsid w:val="6B193E25"/>
    <w:rsid w:val="6B3176C3"/>
    <w:rsid w:val="6B3854E5"/>
    <w:rsid w:val="6B3F71D0"/>
    <w:rsid w:val="6B512709"/>
    <w:rsid w:val="6B8B6C9C"/>
    <w:rsid w:val="6BAB03D5"/>
    <w:rsid w:val="6BB93A24"/>
    <w:rsid w:val="6BD8291D"/>
    <w:rsid w:val="6BE63D39"/>
    <w:rsid w:val="6BEF3BF3"/>
    <w:rsid w:val="6BF158F5"/>
    <w:rsid w:val="6C0D2AA9"/>
    <w:rsid w:val="6C593D24"/>
    <w:rsid w:val="6CD37D25"/>
    <w:rsid w:val="6CD5479D"/>
    <w:rsid w:val="6CD66949"/>
    <w:rsid w:val="6CEE0DF6"/>
    <w:rsid w:val="6CF92A75"/>
    <w:rsid w:val="6D020E44"/>
    <w:rsid w:val="6D457E09"/>
    <w:rsid w:val="6D67652A"/>
    <w:rsid w:val="6DC45773"/>
    <w:rsid w:val="6DFE2097"/>
    <w:rsid w:val="6E4E1776"/>
    <w:rsid w:val="6EA55477"/>
    <w:rsid w:val="6ED25EC0"/>
    <w:rsid w:val="6EF6417A"/>
    <w:rsid w:val="6F612C7C"/>
    <w:rsid w:val="6F7A4BA3"/>
    <w:rsid w:val="6F7B33DD"/>
    <w:rsid w:val="6F976AB6"/>
    <w:rsid w:val="6FF11F1E"/>
    <w:rsid w:val="70056342"/>
    <w:rsid w:val="700C2B0A"/>
    <w:rsid w:val="70123625"/>
    <w:rsid w:val="703121EA"/>
    <w:rsid w:val="7054096F"/>
    <w:rsid w:val="70B97295"/>
    <w:rsid w:val="70C5495C"/>
    <w:rsid w:val="70C57924"/>
    <w:rsid w:val="70CD580C"/>
    <w:rsid w:val="70D9220B"/>
    <w:rsid w:val="71071E91"/>
    <w:rsid w:val="71195DBC"/>
    <w:rsid w:val="714B2A2D"/>
    <w:rsid w:val="71734959"/>
    <w:rsid w:val="7174118F"/>
    <w:rsid w:val="719B30E2"/>
    <w:rsid w:val="719D76E5"/>
    <w:rsid w:val="71B47D6B"/>
    <w:rsid w:val="720E120C"/>
    <w:rsid w:val="72491522"/>
    <w:rsid w:val="724F49B4"/>
    <w:rsid w:val="728308F3"/>
    <w:rsid w:val="72850FBD"/>
    <w:rsid w:val="72897737"/>
    <w:rsid w:val="72C36A2D"/>
    <w:rsid w:val="72D5208E"/>
    <w:rsid w:val="72DD52DE"/>
    <w:rsid w:val="73107891"/>
    <w:rsid w:val="7319341C"/>
    <w:rsid w:val="73402EA5"/>
    <w:rsid w:val="73600C1B"/>
    <w:rsid w:val="73A471A4"/>
    <w:rsid w:val="73BA4E0E"/>
    <w:rsid w:val="73C23EE0"/>
    <w:rsid w:val="73D920FF"/>
    <w:rsid w:val="742958E7"/>
    <w:rsid w:val="74461A4C"/>
    <w:rsid w:val="744F0396"/>
    <w:rsid w:val="747F6DB8"/>
    <w:rsid w:val="74D242FB"/>
    <w:rsid w:val="75676A9A"/>
    <w:rsid w:val="75702984"/>
    <w:rsid w:val="75860479"/>
    <w:rsid w:val="75A844A6"/>
    <w:rsid w:val="75AB0FD0"/>
    <w:rsid w:val="75AE6722"/>
    <w:rsid w:val="75D254C5"/>
    <w:rsid w:val="75E729CB"/>
    <w:rsid w:val="75E82EE3"/>
    <w:rsid w:val="75FE0042"/>
    <w:rsid w:val="760E7754"/>
    <w:rsid w:val="761F5A5A"/>
    <w:rsid w:val="762D6C70"/>
    <w:rsid w:val="763A562B"/>
    <w:rsid w:val="765D0566"/>
    <w:rsid w:val="76D2313C"/>
    <w:rsid w:val="76F627F7"/>
    <w:rsid w:val="771E20D8"/>
    <w:rsid w:val="77830589"/>
    <w:rsid w:val="778F1DD7"/>
    <w:rsid w:val="77C8178A"/>
    <w:rsid w:val="78111775"/>
    <w:rsid w:val="78235D11"/>
    <w:rsid w:val="78534AB2"/>
    <w:rsid w:val="785F5CD7"/>
    <w:rsid w:val="785F7446"/>
    <w:rsid w:val="78A53909"/>
    <w:rsid w:val="78C0746C"/>
    <w:rsid w:val="78F50F22"/>
    <w:rsid w:val="79275F46"/>
    <w:rsid w:val="793A046B"/>
    <w:rsid w:val="79603932"/>
    <w:rsid w:val="797E260C"/>
    <w:rsid w:val="79BE2FD0"/>
    <w:rsid w:val="79C87387"/>
    <w:rsid w:val="79F858DB"/>
    <w:rsid w:val="79FA54ED"/>
    <w:rsid w:val="79FA61E9"/>
    <w:rsid w:val="7A5054E6"/>
    <w:rsid w:val="7A8B12FA"/>
    <w:rsid w:val="7A997E24"/>
    <w:rsid w:val="7AE93360"/>
    <w:rsid w:val="7B0D0F81"/>
    <w:rsid w:val="7B6D5ED6"/>
    <w:rsid w:val="7B9024A9"/>
    <w:rsid w:val="7BA91D9F"/>
    <w:rsid w:val="7BB81B97"/>
    <w:rsid w:val="7C266B6F"/>
    <w:rsid w:val="7C494829"/>
    <w:rsid w:val="7C63488F"/>
    <w:rsid w:val="7C9308F6"/>
    <w:rsid w:val="7C9C10F2"/>
    <w:rsid w:val="7CB041A3"/>
    <w:rsid w:val="7CC74E01"/>
    <w:rsid w:val="7CE32801"/>
    <w:rsid w:val="7CF43A31"/>
    <w:rsid w:val="7D153429"/>
    <w:rsid w:val="7D4B3324"/>
    <w:rsid w:val="7DA21284"/>
    <w:rsid w:val="7DA54466"/>
    <w:rsid w:val="7DDF3E51"/>
    <w:rsid w:val="7DF80132"/>
    <w:rsid w:val="7DFC4F83"/>
    <w:rsid w:val="7E067274"/>
    <w:rsid w:val="7E0D5FAD"/>
    <w:rsid w:val="7E104CF2"/>
    <w:rsid w:val="7E357857"/>
    <w:rsid w:val="7E592769"/>
    <w:rsid w:val="7E7114E7"/>
    <w:rsid w:val="7EA91E4A"/>
    <w:rsid w:val="7EC41333"/>
    <w:rsid w:val="7EC9361F"/>
    <w:rsid w:val="7ECD0FF9"/>
    <w:rsid w:val="7EF95560"/>
    <w:rsid w:val="7F072AC6"/>
    <w:rsid w:val="7F0B32CF"/>
    <w:rsid w:val="7F1B63F9"/>
    <w:rsid w:val="7F46087C"/>
    <w:rsid w:val="7F6507CD"/>
    <w:rsid w:val="7F7E2533"/>
    <w:rsid w:val="7FD72195"/>
    <w:rsid w:val="7FFF61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1"/>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3">
    <w:name w:val="heading 2"/>
    <w:basedOn w:val="1"/>
    <w:next w:val="1"/>
    <w:link w:val="32"/>
    <w:qFormat/>
    <w:uiPriority w:val="0"/>
    <w:pPr>
      <w:keepNext/>
      <w:keepLines/>
      <w:spacing w:before="260" w:after="260" w:line="415" w:lineRule="auto"/>
      <w:outlineLvl w:val="1"/>
    </w:pPr>
    <w:rPr>
      <w:rFonts w:ascii="Arial" w:hAnsi="Arial" w:eastAsia="黑体" w:cs="Times New Roman"/>
      <w:b/>
      <w:bCs/>
      <w:sz w:val="32"/>
      <w:szCs w:val="32"/>
    </w:rPr>
  </w:style>
  <w:style w:type="paragraph" w:styleId="4">
    <w:name w:val="heading 3"/>
    <w:basedOn w:val="1"/>
    <w:next w:val="1"/>
    <w:link w:val="33"/>
    <w:qFormat/>
    <w:uiPriority w:val="0"/>
    <w:pPr>
      <w:keepNext/>
      <w:keepLines/>
      <w:spacing w:before="20" w:after="20" w:line="415" w:lineRule="auto"/>
      <w:jc w:val="left"/>
      <w:outlineLvl w:val="2"/>
    </w:pPr>
    <w:rPr>
      <w:rFonts w:ascii="Times New Roman" w:hAnsi="Times New Roman" w:eastAsia="宋体" w:cs="Times New Roman"/>
      <w:b/>
      <w:bCs/>
      <w:sz w:val="28"/>
      <w:szCs w:val="32"/>
    </w:rPr>
  </w:style>
  <w:style w:type="paragraph" w:styleId="5">
    <w:name w:val="heading 4"/>
    <w:basedOn w:val="1"/>
    <w:next w:val="1"/>
    <w:link w:val="34"/>
    <w:qFormat/>
    <w:uiPriority w:val="0"/>
    <w:pPr>
      <w:keepNext/>
      <w:keepLines/>
      <w:spacing w:before="280" w:after="290" w:line="374" w:lineRule="auto"/>
      <w:outlineLvl w:val="3"/>
    </w:pPr>
    <w:rPr>
      <w:rFonts w:ascii="Arial" w:hAnsi="Arial" w:eastAsia="黑体" w:cs="Times New Roman"/>
      <w:b/>
      <w:bCs/>
      <w:sz w:val="28"/>
      <w:szCs w:val="28"/>
    </w:rPr>
  </w:style>
  <w:style w:type="character" w:default="1" w:styleId="21">
    <w:name w:val="Default Paragraph Font"/>
    <w:unhideWhenUsed/>
    <w:uiPriority w:val="1"/>
  </w:style>
  <w:style w:type="table" w:default="1" w:styleId="27">
    <w:name w:val="Normal Table"/>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65"/>
    <w:semiHidden/>
    <w:qFormat/>
    <w:uiPriority w:val="0"/>
    <w:rPr>
      <w:b/>
      <w:bCs/>
    </w:rPr>
  </w:style>
  <w:style w:type="paragraph" w:styleId="7">
    <w:name w:val="annotation text"/>
    <w:basedOn w:val="1"/>
    <w:link w:val="63"/>
    <w:qFormat/>
    <w:uiPriority w:val="0"/>
    <w:pPr>
      <w:jc w:val="left"/>
    </w:pPr>
    <w:rPr>
      <w:rFonts w:ascii="Times New Roman" w:hAnsi="Times New Roman" w:eastAsia="宋体" w:cs="Times New Roman"/>
      <w:szCs w:val="24"/>
    </w:rPr>
  </w:style>
  <w:style w:type="paragraph" w:styleId="8">
    <w:name w:val="Normal Indent"/>
    <w:basedOn w:val="1"/>
    <w:link w:val="40"/>
    <w:qFormat/>
    <w:uiPriority w:val="0"/>
    <w:pPr>
      <w:ind w:firstLine="420"/>
    </w:pPr>
  </w:style>
  <w:style w:type="paragraph" w:styleId="9">
    <w:name w:val="Document Map"/>
    <w:basedOn w:val="1"/>
    <w:link w:val="60"/>
    <w:qFormat/>
    <w:uiPriority w:val="0"/>
    <w:rPr>
      <w:rFonts w:ascii="宋体"/>
      <w:sz w:val="18"/>
      <w:szCs w:val="18"/>
    </w:rPr>
  </w:style>
  <w:style w:type="paragraph" w:styleId="10">
    <w:name w:val="Body Text"/>
    <w:basedOn w:val="1"/>
    <w:link w:val="61"/>
    <w:qFormat/>
    <w:uiPriority w:val="0"/>
    <w:pPr>
      <w:spacing w:after="120"/>
    </w:pPr>
    <w:rPr>
      <w:rFonts w:ascii="Times New Roman" w:hAnsi="Times New Roman" w:eastAsia="宋体" w:cs="Times New Roman"/>
      <w:szCs w:val="24"/>
    </w:rPr>
  </w:style>
  <w:style w:type="paragraph" w:styleId="11">
    <w:name w:val="Plain Text"/>
    <w:basedOn w:val="1"/>
    <w:link w:val="62"/>
    <w:qFormat/>
    <w:uiPriority w:val="0"/>
    <w:pPr>
      <w:widowControl/>
      <w:overflowPunct w:val="0"/>
      <w:autoSpaceDE w:val="0"/>
      <w:autoSpaceDN w:val="0"/>
      <w:adjustRightInd w:val="0"/>
      <w:jc w:val="left"/>
      <w:textAlignment w:val="baseline"/>
    </w:pPr>
    <w:rPr>
      <w:rFonts w:ascii="宋体" w:hAnsi="Courier New"/>
    </w:rPr>
  </w:style>
  <w:style w:type="paragraph" w:styleId="12">
    <w:name w:val="Date"/>
    <w:basedOn w:val="1"/>
    <w:next w:val="1"/>
    <w:link w:val="66"/>
    <w:qFormat/>
    <w:uiPriority w:val="0"/>
    <w:pPr>
      <w:ind w:left="100" w:leftChars="2500"/>
    </w:pPr>
    <w:rPr>
      <w:rFonts w:ascii="Times New Roman" w:hAnsi="Times New Roman" w:eastAsia="宋体" w:cs="Times New Roman"/>
      <w:szCs w:val="24"/>
    </w:rPr>
  </w:style>
  <w:style w:type="paragraph" w:styleId="13">
    <w:name w:val="Balloon Text"/>
    <w:basedOn w:val="1"/>
    <w:link w:val="67"/>
    <w:qFormat/>
    <w:uiPriority w:val="99"/>
    <w:rPr>
      <w:rFonts w:ascii="Calibri" w:hAnsi="Calibri"/>
      <w:sz w:val="18"/>
      <w:szCs w:val="18"/>
    </w:rPr>
  </w:style>
  <w:style w:type="paragraph" w:styleId="14">
    <w:name w:val="footer"/>
    <w:basedOn w:val="1"/>
    <w:link w:val="30"/>
    <w:unhideWhenUsed/>
    <w:qFormat/>
    <w:uiPriority w:val="99"/>
    <w:pPr>
      <w:tabs>
        <w:tab w:val="center" w:pos="4153"/>
        <w:tab w:val="right" w:pos="8306"/>
      </w:tabs>
      <w:snapToGrid w:val="0"/>
      <w:jc w:val="left"/>
    </w:pPr>
    <w:rPr>
      <w:sz w:val="18"/>
      <w:szCs w:val="18"/>
    </w:rPr>
  </w:style>
  <w:style w:type="paragraph" w:styleId="15">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Body Text Indent 3"/>
    <w:basedOn w:val="1"/>
    <w:link w:val="84"/>
    <w:unhideWhenUsed/>
    <w:qFormat/>
    <w:uiPriority w:val="99"/>
    <w:pPr>
      <w:spacing w:after="120"/>
      <w:ind w:left="420" w:leftChars="200"/>
    </w:pPr>
    <w:rPr>
      <w:sz w:val="16"/>
      <w:szCs w:val="16"/>
    </w:rPr>
  </w:style>
  <w:style w:type="paragraph" w:styleId="18">
    <w:name w:val="toc 2"/>
    <w:basedOn w:val="1"/>
    <w:next w:val="1"/>
    <w:unhideWhenUsed/>
    <w:qFormat/>
    <w:uiPriority w:val="39"/>
    <w:pPr>
      <w:ind w:left="420" w:leftChars="200"/>
    </w:pPr>
  </w:style>
  <w:style w:type="paragraph" w:styleId="19">
    <w:name w:val="Normal (Web)"/>
    <w:basedOn w:val="1"/>
    <w:qFormat/>
    <w:uiPriority w:val="99"/>
    <w:pPr>
      <w:jc w:val="left"/>
    </w:pPr>
    <w:rPr>
      <w:rFonts w:ascii="Times New Roman" w:hAnsi="Times New Roman" w:eastAsia="宋体" w:cs="Times New Roman"/>
      <w:kern w:val="0"/>
      <w:sz w:val="18"/>
      <w:szCs w:val="18"/>
    </w:rPr>
  </w:style>
  <w:style w:type="paragraph" w:styleId="20">
    <w:name w:val="Title"/>
    <w:basedOn w:val="1"/>
    <w:next w:val="1"/>
    <w:link w:val="64"/>
    <w:qFormat/>
    <w:uiPriority w:val="10"/>
    <w:pPr>
      <w:spacing w:before="240" w:after="60"/>
      <w:jc w:val="center"/>
      <w:outlineLvl w:val="0"/>
    </w:pPr>
    <w:rPr>
      <w:rFonts w:ascii="Cambria" w:hAnsi="Cambria"/>
      <w:b/>
      <w:bCs/>
      <w:sz w:val="32"/>
      <w:szCs w:val="32"/>
    </w:rPr>
  </w:style>
  <w:style w:type="character" w:styleId="22">
    <w:name w:val="Strong"/>
    <w:qFormat/>
    <w:uiPriority w:val="22"/>
    <w:rPr>
      <w:b/>
      <w:bCs/>
    </w:rPr>
  </w:style>
  <w:style w:type="character" w:styleId="23">
    <w:name w:val="page number"/>
    <w:basedOn w:val="21"/>
    <w:qFormat/>
    <w:uiPriority w:val="0"/>
  </w:style>
  <w:style w:type="character" w:styleId="24">
    <w:name w:val="FollowedHyperlink"/>
    <w:qFormat/>
    <w:uiPriority w:val="0"/>
    <w:rPr>
      <w:color w:val="555555"/>
      <w:sz w:val="18"/>
      <w:szCs w:val="18"/>
      <w:u w:val="none"/>
    </w:rPr>
  </w:style>
  <w:style w:type="character" w:styleId="25">
    <w:name w:val="Hyperlink"/>
    <w:qFormat/>
    <w:uiPriority w:val="0"/>
    <w:rPr>
      <w:color w:val="000000"/>
      <w:u w:val="none"/>
    </w:rPr>
  </w:style>
  <w:style w:type="character" w:styleId="26">
    <w:name w:val="annotation reference"/>
    <w:qFormat/>
    <w:uiPriority w:val="0"/>
    <w:rPr>
      <w:sz w:val="21"/>
      <w:szCs w:val="21"/>
    </w:rPr>
  </w:style>
  <w:style w:type="table" w:styleId="28">
    <w:name w:val="Table Grid"/>
    <w:basedOn w:val="27"/>
    <w:qFormat/>
    <w:uiPriority w:val="9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9">
    <w:name w:val="页眉 Char"/>
    <w:basedOn w:val="21"/>
    <w:link w:val="15"/>
    <w:qFormat/>
    <w:uiPriority w:val="99"/>
    <w:rPr>
      <w:sz w:val="18"/>
      <w:szCs w:val="18"/>
    </w:rPr>
  </w:style>
  <w:style w:type="character" w:customStyle="1" w:styleId="30">
    <w:name w:val="页脚 Char"/>
    <w:basedOn w:val="21"/>
    <w:link w:val="14"/>
    <w:qFormat/>
    <w:uiPriority w:val="99"/>
    <w:rPr>
      <w:sz w:val="18"/>
      <w:szCs w:val="18"/>
    </w:rPr>
  </w:style>
  <w:style w:type="character" w:customStyle="1" w:styleId="31">
    <w:name w:val="标题 1 Char"/>
    <w:basedOn w:val="21"/>
    <w:link w:val="2"/>
    <w:qFormat/>
    <w:uiPriority w:val="0"/>
    <w:rPr>
      <w:rFonts w:ascii="Times New Roman" w:hAnsi="Times New Roman" w:eastAsia="宋体" w:cs="Times New Roman"/>
      <w:b/>
      <w:bCs/>
      <w:kern w:val="44"/>
      <w:sz w:val="44"/>
      <w:szCs w:val="44"/>
    </w:rPr>
  </w:style>
  <w:style w:type="character" w:customStyle="1" w:styleId="32">
    <w:name w:val="标题 2 Char"/>
    <w:basedOn w:val="21"/>
    <w:link w:val="3"/>
    <w:qFormat/>
    <w:uiPriority w:val="0"/>
    <w:rPr>
      <w:rFonts w:ascii="Arial" w:hAnsi="Arial" w:eastAsia="黑体" w:cs="Times New Roman"/>
      <w:b/>
      <w:bCs/>
      <w:sz w:val="32"/>
      <w:szCs w:val="32"/>
    </w:rPr>
  </w:style>
  <w:style w:type="character" w:customStyle="1" w:styleId="33">
    <w:name w:val="标题 3 Char"/>
    <w:basedOn w:val="21"/>
    <w:link w:val="4"/>
    <w:qFormat/>
    <w:uiPriority w:val="0"/>
    <w:rPr>
      <w:rFonts w:ascii="Times New Roman" w:hAnsi="Times New Roman" w:eastAsia="宋体" w:cs="Times New Roman"/>
      <w:b/>
      <w:bCs/>
      <w:sz w:val="28"/>
      <w:szCs w:val="32"/>
    </w:rPr>
  </w:style>
  <w:style w:type="character" w:customStyle="1" w:styleId="34">
    <w:name w:val="标题 4 Char"/>
    <w:basedOn w:val="21"/>
    <w:link w:val="5"/>
    <w:qFormat/>
    <w:uiPriority w:val="0"/>
    <w:rPr>
      <w:rFonts w:ascii="Arial" w:hAnsi="Arial" w:eastAsia="黑体" w:cs="Times New Roman"/>
      <w:b/>
      <w:bCs/>
      <w:sz w:val="28"/>
      <w:szCs w:val="28"/>
    </w:rPr>
  </w:style>
  <w:style w:type="character" w:customStyle="1" w:styleId="35">
    <w:name w:val="apple-converted-space"/>
    <w:basedOn w:val="21"/>
    <w:qFormat/>
    <w:uiPriority w:val="0"/>
  </w:style>
  <w:style w:type="character" w:customStyle="1" w:styleId="36">
    <w:name w:val="login"/>
    <w:qFormat/>
    <w:uiPriority w:val="0"/>
    <w:rPr>
      <w:color w:val="000000"/>
      <w:sz w:val="21"/>
      <w:szCs w:val="21"/>
    </w:rPr>
  </w:style>
  <w:style w:type="character" w:customStyle="1" w:styleId="37">
    <w:name w:val="标题 Char"/>
    <w:qFormat/>
    <w:uiPriority w:val="10"/>
    <w:rPr>
      <w:rFonts w:ascii="Cambria" w:hAnsi="Cambria"/>
      <w:b/>
      <w:bCs/>
      <w:sz w:val="32"/>
      <w:szCs w:val="32"/>
    </w:rPr>
  </w:style>
  <w:style w:type="character" w:customStyle="1" w:styleId="38">
    <w:name w:val="font21"/>
    <w:qFormat/>
    <w:uiPriority w:val="0"/>
    <w:rPr>
      <w:rFonts w:ascii="Verdana" w:hAnsi="Verdana" w:cs="Verdana"/>
      <w:color w:val="000000"/>
      <w:sz w:val="20"/>
      <w:szCs w:val="20"/>
      <w:u w:val="none"/>
    </w:rPr>
  </w:style>
  <w:style w:type="character" w:customStyle="1" w:styleId="39">
    <w:name w:val="文档结构图 Char"/>
    <w:qFormat/>
    <w:uiPriority w:val="0"/>
    <w:rPr>
      <w:rFonts w:ascii="宋体"/>
      <w:sz w:val="18"/>
      <w:szCs w:val="18"/>
    </w:rPr>
  </w:style>
  <w:style w:type="character" w:customStyle="1" w:styleId="40">
    <w:name w:val="正文缩进 Char"/>
    <w:link w:val="8"/>
    <w:qFormat/>
    <w:uiPriority w:val="0"/>
  </w:style>
  <w:style w:type="character" w:customStyle="1" w:styleId="41">
    <w:name w:val="color_11"/>
    <w:qFormat/>
    <w:uiPriority w:val="0"/>
    <w:rPr>
      <w:color w:val="FF0000"/>
    </w:rPr>
  </w:style>
  <w:style w:type="character" w:customStyle="1" w:styleId="42">
    <w:name w:val="numtype"/>
    <w:basedOn w:val="21"/>
    <w:qFormat/>
    <w:uiPriority w:val="0"/>
  </w:style>
  <w:style w:type="character" w:customStyle="1" w:styleId="43">
    <w:name w:val="font11"/>
    <w:qFormat/>
    <w:uiPriority w:val="0"/>
    <w:rPr>
      <w:rFonts w:hint="eastAsia" w:ascii="宋体" w:hAnsi="宋体" w:eastAsia="宋体" w:cs="宋体"/>
      <w:color w:val="000000"/>
      <w:sz w:val="20"/>
      <w:szCs w:val="20"/>
      <w:u w:val="none"/>
      <w:vertAlign w:val="superscript"/>
    </w:rPr>
  </w:style>
  <w:style w:type="character" w:customStyle="1" w:styleId="44">
    <w:name w:val="赵的正文 Char"/>
    <w:link w:val="45"/>
    <w:qFormat/>
    <w:locked/>
    <w:uiPriority w:val="0"/>
    <w:rPr>
      <w:rFonts w:ascii="Calibri" w:hAnsi="Calibri" w:eastAsia="仿宋"/>
      <w:sz w:val="22"/>
    </w:rPr>
  </w:style>
  <w:style w:type="paragraph" w:customStyle="1" w:styleId="45">
    <w:name w:val="赵的正文"/>
    <w:basedOn w:val="1"/>
    <w:link w:val="44"/>
    <w:qFormat/>
    <w:uiPriority w:val="0"/>
    <w:pPr>
      <w:widowControl/>
      <w:spacing w:before="200" w:after="200" w:line="300" w:lineRule="auto"/>
      <w:ind w:firstLine="200" w:firstLineChars="200"/>
    </w:pPr>
    <w:rPr>
      <w:rFonts w:ascii="Calibri" w:hAnsi="Calibri" w:eastAsia="仿宋"/>
      <w:sz w:val="22"/>
    </w:rPr>
  </w:style>
  <w:style w:type="character" w:customStyle="1" w:styleId="46">
    <w:name w:val="font61"/>
    <w:qFormat/>
    <w:uiPriority w:val="0"/>
    <w:rPr>
      <w:rFonts w:hint="eastAsia" w:ascii="宋体" w:hAnsi="宋体" w:eastAsia="宋体" w:cs="宋体"/>
      <w:color w:val="000000"/>
      <w:sz w:val="20"/>
      <w:szCs w:val="20"/>
      <w:u w:val="none"/>
    </w:rPr>
  </w:style>
  <w:style w:type="character" w:customStyle="1" w:styleId="47">
    <w:name w:val="color_2"/>
    <w:qFormat/>
    <w:uiPriority w:val="0"/>
    <w:rPr>
      <w:b/>
      <w:color w:val="666666"/>
    </w:rPr>
  </w:style>
  <w:style w:type="character" w:customStyle="1" w:styleId="48">
    <w:name w:val="孙普文字 Char"/>
    <w:qFormat/>
    <w:uiPriority w:val="0"/>
    <w:rPr>
      <w:rFonts w:ascii="宋体" w:hAnsi="Courier New" w:eastAsia="宋体"/>
      <w:sz w:val="21"/>
      <w:lang w:val="en-US" w:eastAsia="zh-CN" w:bidi="ar-SA"/>
    </w:rPr>
  </w:style>
  <w:style w:type="character" w:customStyle="1" w:styleId="49">
    <w:name w:val="样式1 Char Char"/>
    <w:link w:val="50"/>
    <w:qFormat/>
    <w:uiPriority w:val="0"/>
    <w:rPr>
      <w:szCs w:val="24"/>
    </w:rPr>
  </w:style>
  <w:style w:type="paragraph" w:customStyle="1" w:styleId="50">
    <w:name w:val="样式1"/>
    <w:basedOn w:val="1"/>
    <w:link w:val="49"/>
    <w:qFormat/>
    <w:uiPriority w:val="0"/>
    <w:pPr>
      <w:tabs>
        <w:tab w:val="left" w:leader="hyphen" w:pos="8400"/>
      </w:tabs>
    </w:pPr>
    <w:rPr>
      <w:szCs w:val="24"/>
    </w:rPr>
  </w:style>
  <w:style w:type="character" w:customStyle="1" w:styleId="51">
    <w:name w:val="font31"/>
    <w:qFormat/>
    <w:uiPriority w:val="0"/>
    <w:rPr>
      <w:rFonts w:hint="eastAsia" w:ascii="宋体" w:hAnsi="宋体" w:eastAsia="宋体" w:cs="宋体"/>
      <w:color w:val="000000"/>
      <w:sz w:val="20"/>
      <w:szCs w:val="20"/>
      <w:u w:val="none"/>
    </w:rPr>
  </w:style>
  <w:style w:type="character" w:customStyle="1" w:styleId="52">
    <w:name w:val="纯文本 Char"/>
    <w:qFormat/>
    <w:uiPriority w:val="0"/>
    <w:rPr>
      <w:rFonts w:ascii="宋体" w:hAnsi="Courier New"/>
    </w:rPr>
  </w:style>
  <w:style w:type="character" w:customStyle="1" w:styleId="53">
    <w:name w:val="color_1"/>
    <w:qFormat/>
    <w:uiPriority w:val="0"/>
    <w:rPr>
      <w:b/>
      <w:color w:val="444444"/>
    </w:rPr>
  </w:style>
  <w:style w:type="character" w:customStyle="1" w:styleId="54">
    <w:name w:val="font01"/>
    <w:qFormat/>
    <w:uiPriority w:val="0"/>
    <w:rPr>
      <w:rFonts w:hint="default" w:ascii="Times New Roman" w:hAnsi="Times New Roman" w:cs="Times New Roman"/>
      <w:color w:val="000000"/>
      <w:sz w:val="20"/>
      <w:szCs w:val="20"/>
      <w:u w:val="none"/>
    </w:rPr>
  </w:style>
  <w:style w:type="character" w:customStyle="1" w:styleId="55">
    <w:name w:val="批注框文本 Char"/>
    <w:qFormat/>
    <w:uiPriority w:val="99"/>
    <w:rPr>
      <w:rFonts w:ascii="Calibri" w:hAnsi="Calibri"/>
      <w:sz w:val="18"/>
      <w:szCs w:val="18"/>
    </w:rPr>
  </w:style>
  <w:style w:type="character" w:customStyle="1" w:styleId="56">
    <w:name w:val="RDD正文 Char Char"/>
    <w:link w:val="57"/>
    <w:qFormat/>
    <w:uiPriority w:val="0"/>
    <w:rPr>
      <w:rFonts w:ascii="宋体" w:hAnsi="宋体"/>
      <w:sz w:val="28"/>
      <w:szCs w:val="24"/>
    </w:rPr>
  </w:style>
  <w:style w:type="paragraph" w:customStyle="1" w:styleId="57">
    <w:name w:val="RDD正文"/>
    <w:basedOn w:val="1"/>
    <w:link w:val="56"/>
    <w:qFormat/>
    <w:uiPriority w:val="0"/>
    <w:pPr>
      <w:adjustRightInd w:val="0"/>
      <w:snapToGrid w:val="0"/>
      <w:spacing w:line="480" w:lineRule="auto"/>
      <w:ind w:firstLine="480" w:firstLineChars="200"/>
    </w:pPr>
    <w:rPr>
      <w:rFonts w:ascii="宋体" w:hAnsi="宋体"/>
      <w:sz w:val="28"/>
      <w:szCs w:val="24"/>
    </w:rPr>
  </w:style>
  <w:style w:type="character" w:customStyle="1" w:styleId="58">
    <w:name w:val="页眉 Char1"/>
    <w:basedOn w:val="21"/>
    <w:semiHidden/>
    <w:qFormat/>
    <w:uiPriority w:val="99"/>
    <w:rPr>
      <w:kern w:val="2"/>
      <w:sz w:val="18"/>
      <w:szCs w:val="18"/>
    </w:rPr>
  </w:style>
  <w:style w:type="character" w:customStyle="1" w:styleId="59">
    <w:name w:val="页脚 Char1"/>
    <w:basedOn w:val="21"/>
    <w:semiHidden/>
    <w:qFormat/>
    <w:uiPriority w:val="99"/>
    <w:rPr>
      <w:kern w:val="2"/>
      <w:sz w:val="18"/>
      <w:szCs w:val="18"/>
    </w:rPr>
  </w:style>
  <w:style w:type="character" w:customStyle="1" w:styleId="60">
    <w:name w:val="文档结构图 Char1"/>
    <w:basedOn w:val="21"/>
    <w:link w:val="9"/>
    <w:semiHidden/>
    <w:qFormat/>
    <w:uiPriority w:val="99"/>
    <w:rPr>
      <w:rFonts w:ascii="宋体" w:eastAsia="宋体"/>
      <w:sz w:val="18"/>
      <w:szCs w:val="18"/>
    </w:rPr>
  </w:style>
  <w:style w:type="character" w:customStyle="1" w:styleId="61">
    <w:name w:val="正文文本 Char"/>
    <w:basedOn w:val="21"/>
    <w:link w:val="10"/>
    <w:qFormat/>
    <w:uiPriority w:val="0"/>
    <w:rPr>
      <w:rFonts w:ascii="Times New Roman" w:hAnsi="Times New Roman" w:eastAsia="宋体" w:cs="Times New Roman"/>
      <w:szCs w:val="24"/>
    </w:rPr>
  </w:style>
  <w:style w:type="character" w:customStyle="1" w:styleId="62">
    <w:name w:val="纯文本 Char1"/>
    <w:basedOn w:val="21"/>
    <w:link w:val="11"/>
    <w:semiHidden/>
    <w:qFormat/>
    <w:uiPriority w:val="99"/>
    <w:rPr>
      <w:rFonts w:ascii="宋体" w:hAnsi="Courier New" w:eastAsia="宋体" w:cs="Courier New"/>
      <w:szCs w:val="21"/>
    </w:rPr>
  </w:style>
  <w:style w:type="character" w:customStyle="1" w:styleId="63">
    <w:name w:val="批注文字 Char"/>
    <w:basedOn w:val="21"/>
    <w:link w:val="7"/>
    <w:qFormat/>
    <w:uiPriority w:val="0"/>
    <w:rPr>
      <w:rFonts w:ascii="Times New Roman" w:hAnsi="Times New Roman" w:eastAsia="宋体" w:cs="Times New Roman"/>
      <w:szCs w:val="24"/>
    </w:rPr>
  </w:style>
  <w:style w:type="character" w:customStyle="1" w:styleId="64">
    <w:name w:val="标题 Char1"/>
    <w:basedOn w:val="21"/>
    <w:link w:val="20"/>
    <w:qFormat/>
    <w:uiPriority w:val="10"/>
    <w:rPr>
      <w:rFonts w:eastAsia="宋体" w:asciiTheme="majorHAnsi" w:hAnsiTheme="majorHAnsi" w:cstheme="majorBidi"/>
      <w:b/>
      <w:bCs/>
      <w:sz w:val="32"/>
      <w:szCs w:val="32"/>
    </w:rPr>
  </w:style>
  <w:style w:type="character" w:customStyle="1" w:styleId="65">
    <w:name w:val="批注主题 Char"/>
    <w:basedOn w:val="63"/>
    <w:link w:val="6"/>
    <w:semiHidden/>
    <w:qFormat/>
    <w:uiPriority w:val="0"/>
    <w:rPr>
      <w:rFonts w:ascii="Times New Roman" w:hAnsi="Times New Roman" w:eastAsia="宋体" w:cs="Times New Roman"/>
      <w:b/>
      <w:bCs/>
      <w:szCs w:val="24"/>
    </w:rPr>
  </w:style>
  <w:style w:type="character" w:customStyle="1" w:styleId="66">
    <w:name w:val="日期 Char"/>
    <w:basedOn w:val="21"/>
    <w:link w:val="12"/>
    <w:qFormat/>
    <w:uiPriority w:val="0"/>
    <w:rPr>
      <w:rFonts w:ascii="Times New Roman" w:hAnsi="Times New Roman" w:eastAsia="宋体" w:cs="Times New Roman"/>
      <w:szCs w:val="24"/>
    </w:rPr>
  </w:style>
  <w:style w:type="character" w:customStyle="1" w:styleId="67">
    <w:name w:val="批注框文本 Char1"/>
    <w:basedOn w:val="21"/>
    <w:link w:val="13"/>
    <w:semiHidden/>
    <w:qFormat/>
    <w:uiPriority w:val="99"/>
    <w:rPr>
      <w:sz w:val="18"/>
      <w:szCs w:val="18"/>
    </w:rPr>
  </w:style>
  <w:style w:type="paragraph" w:customStyle="1" w:styleId="68">
    <w:name w:val="报告正文"/>
    <w:basedOn w:val="1"/>
    <w:qFormat/>
    <w:uiPriority w:val="99"/>
    <w:pPr>
      <w:adjustRightInd w:val="0"/>
      <w:snapToGrid w:val="0"/>
      <w:spacing w:line="288" w:lineRule="auto"/>
      <w:ind w:left="1700" w:leftChars="1700"/>
    </w:pPr>
    <w:rPr>
      <w:rFonts w:ascii="华文细黑" w:hAnsi="华文细黑" w:eastAsia="华文细黑" w:cs="宋体"/>
      <w:szCs w:val="20"/>
    </w:rPr>
  </w:style>
  <w:style w:type="paragraph" w:customStyle="1" w:styleId="69">
    <w:name w:val="列出段落1"/>
    <w:basedOn w:val="1"/>
    <w:qFormat/>
    <w:uiPriority w:val="34"/>
    <w:pPr>
      <w:ind w:firstLine="420" w:firstLineChars="200"/>
    </w:pPr>
    <w:rPr>
      <w:rFonts w:ascii="Times New Roman" w:hAnsi="Times New Roman" w:eastAsia="宋体" w:cs="Times New Roman"/>
      <w:szCs w:val="24"/>
    </w:rPr>
  </w:style>
  <w:style w:type="paragraph" w:customStyle="1" w:styleId="70">
    <w:name w:val="_Style 1"/>
    <w:basedOn w:val="1"/>
    <w:qFormat/>
    <w:uiPriority w:val="99"/>
    <w:pPr>
      <w:adjustRightInd w:val="0"/>
      <w:snapToGrid w:val="0"/>
      <w:spacing w:line="360" w:lineRule="auto"/>
      <w:ind w:firstLine="420" w:firstLineChars="200"/>
    </w:pPr>
    <w:rPr>
      <w:rFonts w:ascii="Times New Roman" w:hAnsi="Times New Roman" w:eastAsia="宋体" w:cs="Times New Roman"/>
      <w:color w:val="000000"/>
      <w:szCs w:val="21"/>
    </w:rPr>
  </w:style>
  <w:style w:type="paragraph" w:customStyle="1" w:styleId="71">
    <w:name w:val="p0"/>
    <w:basedOn w:val="1"/>
    <w:qFormat/>
    <w:uiPriority w:val="0"/>
    <w:pPr>
      <w:widowControl/>
    </w:pPr>
    <w:rPr>
      <w:rFonts w:ascii="Times New Roman" w:hAnsi="Times New Roman" w:eastAsia="宋体" w:cs="Times New Roman"/>
      <w:kern w:val="0"/>
      <w:szCs w:val="21"/>
    </w:rPr>
  </w:style>
  <w:style w:type="paragraph" w:customStyle="1" w:styleId="72">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74">
    <w:name w:val="普通(网站)1"/>
    <w:basedOn w:val="1"/>
    <w:qFormat/>
    <w:uiPriority w:val="0"/>
    <w:pPr>
      <w:widowControl/>
      <w:spacing w:before="100" w:beforeAutospacing="1" w:after="100" w:afterAutospacing="1"/>
      <w:jc w:val="left"/>
    </w:pPr>
    <w:rPr>
      <w:rFonts w:ascii="Arial" w:hAnsi="Arial" w:eastAsia="宋体" w:cs="Arial"/>
      <w:kern w:val="0"/>
      <w:sz w:val="18"/>
      <w:szCs w:val="18"/>
    </w:rPr>
  </w:style>
  <w:style w:type="paragraph" w:customStyle="1" w:styleId="75">
    <w:name w:val="列出段落2"/>
    <w:basedOn w:val="1"/>
    <w:qFormat/>
    <w:uiPriority w:val="99"/>
    <w:pPr>
      <w:adjustRightInd w:val="0"/>
      <w:snapToGrid w:val="0"/>
      <w:spacing w:line="360" w:lineRule="auto"/>
      <w:ind w:firstLine="420" w:firstLineChars="200"/>
    </w:pPr>
    <w:rPr>
      <w:rFonts w:ascii="Times New Roman" w:hAnsi="Times New Roman" w:eastAsia="宋体" w:cs="Times New Roman"/>
      <w:color w:val="000000"/>
      <w:szCs w:val="21"/>
    </w:rPr>
  </w:style>
  <w:style w:type="paragraph" w:customStyle="1" w:styleId="76">
    <w:name w:val="_Style 2"/>
    <w:basedOn w:val="1"/>
    <w:qFormat/>
    <w:uiPriority w:val="99"/>
    <w:pPr>
      <w:adjustRightInd w:val="0"/>
      <w:snapToGrid w:val="0"/>
      <w:spacing w:line="360" w:lineRule="auto"/>
      <w:ind w:firstLine="420" w:firstLineChars="200"/>
    </w:pPr>
    <w:rPr>
      <w:rFonts w:ascii="Times New Roman" w:hAnsi="Times New Roman" w:eastAsia="宋体" w:cs="Times New Roman"/>
      <w:color w:val="000000"/>
      <w:szCs w:val="21"/>
    </w:rPr>
  </w:style>
  <w:style w:type="paragraph" w:customStyle="1" w:styleId="77">
    <w:name w:val="Char Char Char Char"/>
    <w:basedOn w:val="1"/>
    <w:qFormat/>
    <w:uiPriority w:val="0"/>
    <w:rPr>
      <w:rFonts w:ascii="Times New Roman" w:hAnsi="Times New Roman" w:eastAsia="宋体" w:cs="Times New Roman"/>
      <w:szCs w:val="24"/>
    </w:rPr>
  </w:style>
  <w:style w:type="paragraph" w:customStyle="1" w:styleId="78">
    <w:name w:val="文档正文"/>
    <w:basedOn w:val="1"/>
    <w:qFormat/>
    <w:uiPriority w:val="0"/>
    <w:pPr>
      <w:tabs>
        <w:tab w:val="left" w:pos="5460"/>
        <w:tab w:val="left" w:pos="8770"/>
      </w:tabs>
      <w:adjustRightInd w:val="0"/>
      <w:spacing w:line="360" w:lineRule="auto"/>
      <w:ind w:right="210" w:rightChars="100" w:firstLine="420" w:firstLineChars="200"/>
      <w:textAlignment w:val="baseline"/>
    </w:pPr>
    <w:rPr>
      <w:rFonts w:ascii="宋体" w:hAnsi="宋体" w:eastAsia="宋体" w:cs="Times New Roman"/>
      <w:kern w:val="0"/>
      <w:szCs w:val="21"/>
    </w:rPr>
  </w:style>
  <w:style w:type="paragraph" w:customStyle="1" w:styleId="79">
    <w:name w:val="p15"/>
    <w:basedOn w:val="1"/>
    <w:qFormat/>
    <w:uiPriority w:val="0"/>
    <w:pPr>
      <w:widowControl/>
      <w:pBdr>
        <w:bottom w:val="single" w:color="000000" w:sz="6" w:space="1"/>
      </w:pBdr>
      <w:jc w:val="center"/>
    </w:pPr>
    <w:rPr>
      <w:rFonts w:ascii="Times New Roman" w:hAnsi="Times New Roman" w:eastAsia="宋体" w:cs="Times New Roman"/>
      <w:kern w:val="0"/>
      <w:sz w:val="18"/>
      <w:szCs w:val="18"/>
    </w:rPr>
  </w:style>
  <w:style w:type="paragraph" w:customStyle="1" w:styleId="80">
    <w:name w:val="1 Char"/>
    <w:basedOn w:val="1"/>
    <w:qFormat/>
    <w:uiPriority w:val="99"/>
    <w:rPr>
      <w:rFonts w:ascii="Tahoma" w:hAnsi="Tahoma" w:eastAsia="宋体" w:cs="Times New Roman"/>
      <w:sz w:val="24"/>
      <w:szCs w:val="20"/>
    </w:rPr>
  </w:style>
  <w:style w:type="paragraph" w:customStyle="1" w:styleId="81">
    <w:name w:val="WPS Plain"/>
    <w:qFormat/>
    <w:uiPriority w:val="0"/>
    <w:rPr>
      <w:rFonts w:ascii="Times New Roman" w:hAnsi="Times New Roman" w:eastAsia="宋体" w:cs="Times New Roman"/>
      <w:sz w:val="21"/>
      <w:szCs w:val="22"/>
      <w:lang w:val="en-US" w:eastAsia="zh-CN" w:bidi="ar-SA"/>
    </w:rPr>
  </w:style>
  <w:style w:type="paragraph" w:customStyle="1" w:styleId="82">
    <w:name w:val="Revision"/>
    <w:hidden/>
    <w:unhideWhenUsed/>
    <w:qFormat/>
    <w:uiPriority w:val="99"/>
    <w:rPr>
      <w:rFonts w:asciiTheme="minorHAnsi" w:hAnsiTheme="minorHAnsi" w:eastAsiaTheme="minorEastAsia" w:cstheme="minorBidi"/>
      <w:kern w:val="2"/>
      <w:sz w:val="21"/>
      <w:szCs w:val="22"/>
      <w:lang w:val="en-US" w:eastAsia="zh-CN" w:bidi="ar-SA"/>
    </w:rPr>
  </w:style>
  <w:style w:type="paragraph" w:styleId="83">
    <w:name w:val="List Paragraph"/>
    <w:basedOn w:val="1"/>
    <w:qFormat/>
    <w:uiPriority w:val="34"/>
    <w:pPr>
      <w:ind w:firstLine="420" w:firstLineChars="200"/>
    </w:pPr>
    <w:rPr>
      <w:rFonts w:ascii="宋体" w:hAnsi="宋体" w:eastAsia="宋体" w:cs="Times New Roman"/>
      <w:sz w:val="18"/>
      <w:szCs w:val="18"/>
    </w:rPr>
  </w:style>
  <w:style w:type="character" w:customStyle="1" w:styleId="84">
    <w:name w:val="正文文本缩进 3 Char"/>
    <w:basedOn w:val="21"/>
    <w:link w:val="17"/>
    <w:semiHidden/>
    <w:qFormat/>
    <w:uiPriority w:val="99"/>
    <w:rPr>
      <w:rFonts w:asciiTheme="minorHAnsi" w:hAnsiTheme="minorHAnsi" w:eastAsiaTheme="minorEastAsia" w:cstheme="minorBidi"/>
      <w:kern w:val="2"/>
      <w:sz w:val="16"/>
      <w:szCs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676AEE-B645-41A6-AE00-D4F205DDBA4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52</Pages>
  <Words>3998</Words>
  <Characters>22794</Characters>
  <Lines>189</Lines>
  <Paragraphs>53</Paragraphs>
  <ScaleCrop>false</ScaleCrop>
  <LinksUpToDate>false</LinksUpToDate>
  <CharactersWithSpaces>26739</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2017-12-07T09:10:00Z</dcterms:created>
  <dc:creator>微软用户</dc:creator>
  <cp:lastModifiedBy>Administrator</cp:lastModifiedBy>
  <cp:lastPrinted>2018-01-02T09:33:20Z</cp:lastPrinted>
  <dcterms:modified xsi:type="dcterms:W3CDTF">2018-01-02T09:33:27Z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