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autoSpaceDE w:val="0"/>
        <w:autoSpaceDN w:val="0"/>
        <w:adjustRightInd w:val="0"/>
        <w:snapToGrid w:val="0"/>
        <w:spacing w:line="360" w:lineRule="auto"/>
        <w:jc w:val="center"/>
        <w:rPr>
          <w:rFonts w:hint="eastAsia" w:ascii="宋体" w:hAnsi="宋体" w:eastAsia="宋体" w:cs="宋体"/>
          <w:b/>
          <w:color w:val="000000"/>
          <w:spacing w:val="0"/>
          <w:sz w:val="36"/>
          <w:szCs w:val="36"/>
          <w:u w:val="none"/>
          <w:shd w:val="clear" w:fill="FFFFFF"/>
          <w:lang w:val="zh-CN"/>
        </w:rPr>
      </w:pPr>
      <w:r>
        <w:rPr>
          <w:rFonts w:hint="eastAsia" w:ascii="宋体" w:hAnsi="宋体" w:eastAsia="宋体" w:cs="宋体"/>
          <w:b/>
          <w:color w:val="000000"/>
          <w:spacing w:val="0"/>
          <w:sz w:val="36"/>
          <w:szCs w:val="36"/>
          <w:u w:val="none"/>
          <w:shd w:val="clear" w:fill="FFFFFF"/>
        </w:rPr>
        <w:t>YLZB-G201</w:t>
      </w:r>
      <w:r>
        <w:rPr>
          <w:rFonts w:hint="eastAsia" w:ascii="宋体" w:hAnsi="宋体" w:eastAsia="宋体" w:cs="宋体"/>
          <w:b/>
          <w:color w:val="000000"/>
          <w:spacing w:val="0"/>
          <w:sz w:val="36"/>
          <w:szCs w:val="36"/>
          <w:u w:val="none"/>
          <w:shd w:val="clear" w:fill="FFFFFF"/>
          <w:lang w:val="en-US" w:eastAsia="zh-CN"/>
        </w:rPr>
        <w:t>8002</w:t>
      </w:r>
      <w:r>
        <w:rPr>
          <w:rFonts w:hint="eastAsia" w:ascii="宋体" w:hAnsi="宋体" w:eastAsia="宋体" w:cs="宋体"/>
          <w:b/>
          <w:color w:val="000000"/>
          <w:spacing w:val="0"/>
          <w:sz w:val="36"/>
          <w:szCs w:val="36"/>
          <w:u w:val="none"/>
          <w:shd w:val="clear" w:fill="FFFFFF"/>
        </w:rPr>
        <w:t>号长葛市妇幼保健院所需“生物物理治疗仪（进口）等医疗设备采购”项目</w:t>
      </w:r>
      <w:r>
        <w:rPr>
          <w:rFonts w:hint="eastAsia" w:ascii="宋体" w:hAnsi="宋体" w:eastAsia="宋体" w:cs="宋体"/>
          <w:b/>
          <w:color w:val="000000"/>
          <w:spacing w:val="0"/>
          <w:sz w:val="36"/>
          <w:szCs w:val="36"/>
          <w:u w:val="none"/>
          <w:shd w:val="clear" w:fill="FFFFFF"/>
          <w:lang w:val="zh-CN"/>
        </w:rPr>
        <w:t>采购需求</w:t>
      </w:r>
    </w:p>
    <w:p>
      <w:pPr>
        <w:wordWrap w:val="0"/>
        <w:topLinePunct/>
        <w:autoSpaceDE w:val="0"/>
        <w:autoSpaceDN w:val="0"/>
        <w:adjustRightInd w:val="0"/>
        <w:snapToGrid w:val="0"/>
        <w:spacing w:line="360" w:lineRule="auto"/>
        <w:rPr>
          <w:rFonts w:hint="eastAsia" w:ascii="宋体" w:hAnsi="宋体" w:eastAsia="宋体" w:cs="宋体"/>
          <w:color w:val="auto"/>
          <w:sz w:val="24"/>
          <w:szCs w:val="24"/>
          <w:lang w:val="zh-CN"/>
        </w:rPr>
      </w:pPr>
    </w:p>
    <w:p>
      <w:pPr>
        <w:wordWrap w:val="0"/>
        <w:topLinePunct/>
        <w:autoSpaceDE w:val="0"/>
        <w:autoSpaceDN w:val="0"/>
        <w:adjustRightInd w:val="0"/>
        <w:snapToGrid w:val="0"/>
        <w:spacing w:line="360" w:lineRule="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一、项目基本情况</w:t>
      </w:r>
      <w:bookmarkStart w:id="2" w:name="_GoBack"/>
      <w:bookmarkEnd w:id="2"/>
    </w:p>
    <w:p>
      <w:pPr>
        <w:pStyle w:val="7"/>
        <w:widowControl/>
        <w:shd w:val="clear" w:color="auto" w:fill="FFFFFF"/>
        <w:spacing w:before="0" w:beforeLines="0" w:beforeAutospacing="0" w:after="0" w:afterLines="0" w:afterAutospacing="0" w:line="360" w:lineRule="auto"/>
        <w:ind w:firstLine="480" w:firstLineChars="200"/>
        <w:jc w:val="left"/>
        <w:rPr>
          <w:rFonts w:hint="eastAsia" w:eastAsia="宋体"/>
          <w:color w:val="auto"/>
          <w:highlight w:val="none"/>
          <w:shd w:val="clear" w:color="auto" w:fill="FFFFFF"/>
        </w:rPr>
      </w:pPr>
      <w:r>
        <w:rPr>
          <w:rFonts w:hint="eastAsia"/>
          <w:color w:val="auto"/>
          <w:highlight w:val="none"/>
          <w:shd w:val="clear" w:color="auto" w:fill="FFFFFF"/>
          <w:lang w:eastAsia="zh-CN"/>
        </w:rPr>
        <w:t>（一）</w:t>
      </w:r>
      <w:r>
        <w:rPr>
          <w:rFonts w:hint="eastAsia" w:eastAsia="宋体"/>
          <w:color w:val="auto"/>
          <w:highlight w:val="none"/>
          <w:shd w:val="clear" w:color="auto" w:fill="FFFFFF"/>
        </w:rPr>
        <w:t>项目名称：长葛市妇幼保健院所需“生物物理治疗仪（进口）等医疗设备采购”项目</w:t>
      </w:r>
    </w:p>
    <w:p>
      <w:pPr>
        <w:pStyle w:val="7"/>
        <w:widowControl/>
        <w:shd w:val="clear" w:color="auto" w:fill="FFFFFF"/>
        <w:spacing w:before="0" w:beforeLines="0" w:beforeAutospacing="0" w:after="0" w:afterLines="0" w:afterAutospacing="0" w:line="360" w:lineRule="auto"/>
        <w:ind w:firstLine="480" w:firstLineChars="200"/>
        <w:jc w:val="left"/>
        <w:rPr>
          <w:rFonts w:hint="eastAsia" w:ascii="宋体" w:hAnsi="宋体" w:eastAsia="宋体" w:cs="宋体"/>
          <w:color w:val="auto"/>
          <w:sz w:val="24"/>
          <w:szCs w:val="22"/>
          <w:highlight w:val="none"/>
          <w:shd w:val="clear" w:color="auto" w:fill="FFFFFF"/>
        </w:rPr>
      </w:pPr>
      <w:r>
        <w:rPr>
          <w:rFonts w:hint="eastAsia" w:ascii="宋体" w:hAnsi="宋体" w:eastAsia="宋体" w:cs="宋体"/>
          <w:color w:val="auto"/>
          <w:sz w:val="24"/>
          <w:szCs w:val="22"/>
          <w:highlight w:val="none"/>
          <w:shd w:val="clear" w:color="auto" w:fill="FFFFFF"/>
          <w:lang w:eastAsia="zh-CN"/>
        </w:rPr>
        <w:t>（二）</w:t>
      </w:r>
      <w:r>
        <w:rPr>
          <w:rFonts w:hint="eastAsia" w:ascii="宋体" w:hAnsi="宋体" w:eastAsia="宋体" w:cs="宋体"/>
          <w:color w:val="auto"/>
          <w:sz w:val="24"/>
          <w:szCs w:val="22"/>
          <w:highlight w:val="none"/>
          <w:shd w:val="clear" w:color="auto" w:fill="FFFFFF"/>
        </w:rPr>
        <w:t>招标编号：YLZB-G201</w:t>
      </w:r>
      <w:r>
        <w:rPr>
          <w:rFonts w:hint="eastAsia" w:eastAsia="宋体" w:cs="宋体"/>
          <w:color w:val="auto"/>
          <w:sz w:val="24"/>
          <w:szCs w:val="22"/>
          <w:highlight w:val="none"/>
          <w:shd w:val="clear" w:color="auto" w:fill="FFFFFF"/>
          <w:lang w:val="en-US" w:eastAsia="zh-CN"/>
        </w:rPr>
        <w:t>8002</w:t>
      </w:r>
      <w:r>
        <w:rPr>
          <w:rFonts w:hint="eastAsia" w:ascii="宋体" w:hAnsi="宋体" w:eastAsia="宋体" w:cs="宋体"/>
          <w:color w:val="auto"/>
          <w:sz w:val="24"/>
          <w:szCs w:val="22"/>
          <w:highlight w:val="none"/>
          <w:shd w:val="clear" w:color="auto" w:fill="FFFFFF"/>
        </w:rPr>
        <w:t>号</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eastAsia="宋体" w:cs="宋体"/>
          <w:color w:val="auto"/>
          <w:sz w:val="24"/>
          <w:szCs w:val="22"/>
          <w:highlight w:val="none"/>
          <w:shd w:val="clear" w:color="auto" w:fill="FFFFFF"/>
          <w:lang w:eastAsia="zh-CN"/>
        </w:rPr>
        <w:t>（三）</w:t>
      </w:r>
      <w:r>
        <w:rPr>
          <w:rFonts w:hint="eastAsia" w:ascii="宋体" w:hAnsi="宋体"/>
          <w:sz w:val="24"/>
        </w:rPr>
        <w:t>项目需求：</w:t>
      </w:r>
    </w:p>
    <w:p>
      <w:pPr>
        <w:pStyle w:val="7"/>
        <w:widowControl/>
        <w:shd w:val="clear" w:color="auto" w:fill="FFFFFF"/>
        <w:spacing w:before="0" w:beforeLines="0" w:beforeAutospacing="0" w:after="0" w:afterLines="0" w:afterAutospacing="0" w:line="360" w:lineRule="auto"/>
        <w:ind w:firstLine="720" w:firstLineChars="300"/>
        <w:jc w:val="left"/>
        <w:rPr>
          <w:rFonts w:hint="eastAsia" w:ascii="宋体" w:hAnsi="宋体" w:eastAsia="宋体" w:cs="宋体"/>
          <w:color w:val="auto"/>
          <w:sz w:val="24"/>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A包：生物物理治疗仪1套（进口）。</w:t>
      </w:r>
    </w:p>
    <w:p>
      <w:pPr>
        <w:pStyle w:val="7"/>
        <w:widowControl/>
        <w:shd w:val="clear" w:color="auto" w:fill="FFFFFF"/>
        <w:spacing w:before="0" w:beforeLines="0" w:beforeAutospacing="0" w:after="0" w:afterLines="0" w:afterAutospacing="0" w:line="360" w:lineRule="auto"/>
        <w:ind w:firstLine="720" w:firstLineChars="300"/>
        <w:jc w:val="left"/>
        <w:rPr>
          <w:rFonts w:hint="eastAsia" w:ascii="宋体" w:hAnsi="宋体" w:eastAsia="宋体" w:cs="宋体"/>
          <w:color w:val="auto"/>
          <w:sz w:val="24"/>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B包：多波长光纤耦合激光治疗仪1套（国产）；</w:t>
      </w:r>
    </w:p>
    <w:p>
      <w:pPr>
        <w:pStyle w:val="7"/>
        <w:widowControl/>
        <w:shd w:val="clear" w:color="auto" w:fill="FFFFFF"/>
        <w:spacing w:before="0" w:beforeLines="0" w:beforeAutospacing="0" w:after="0" w:afterLines="0" w:afterAutospacing="0" w:line="360" w:lineRule="auto"/>
        <w:ind w:firstLine="720" w:firstLineChars="300"/>
        <w:jc w:val="left"/>
        <w:rPr>
          <w:rFonts w:hint="eastAsia" w:ascii="宋体" w:hAnsi="宋体" w:eastAsia="宋体" w:cs="宋体"/>
          <w:color w:val="auto"/>
          <w:sz w:val="24"/>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C包：早期语言评估干预仪1套（国产）。</w:t>
      </w:r>
    </w:p>
    <w:p>
      <w:pPr>
        <w:pStyle w:val="7"/>
        <w:widowControl/>
        <w:shd w:val="clear" w:color="auto" w:fill="FFFFFF"/>
        <w:spacing w:before="0" w:beforeLines="0" w:beforeAutospacing="0" w:after="0" w:afterLines="0" w:afterAutospacing="0" w:line="360" w:lineRule="auto"/>
        <w:ind w:firstLine="480" w:firstLineChars="200"/>
        <w:jc w:val="left"/>
        <w:rPr>
          <w:rFonts w:hint="eastAsia" w:ascii="宋体" w:hAnsi="宋体" w:eastAsia="宋体" w:cs="宋体"/>
          <w:color w:val="auto"/>
          <w:sz w:val="24"/>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（四）采购预算：</w:t>
      </w:r>
      <w:r>
        <w:rPr>
          <w:rFonts w:hint="eastAsia" w:cs="仿宋_GB2312" w:asciiTheme="minorEastAsia" w:hAnsiTheme="minorEastAsia" w:eastAsiaTheme="minorEastAsia"/>
          <w:color w:val="000000"/>
          <w:shd w:val="clear" w:color="auto" w:fill="FFFFFF"/>
        </w:rPr>
        <w:t>A包：86.6万元</w:t>
      </w:r>
      <w:bookmarkStart w:id="0" w:name="_Hlk502063624"/>
      <w:r>
        <w:rPr>
          <w:rFonts w:hint="eastAsia" w:cs="仿宋_GB2312" w:asciiTheme="minorEastAsia" w:hAnsiTheme="minorEastAsia" w:eastAsiaTheme="minorEastAsia"/>
          <w:color w:val="000000"/>
          <w:shd w:val="clear" w:color="auto" w:fill="FFFFFF"/>
        </w:rPr>
        <w:t>；B包：2</w:t>
      </w:r>
      <w:r>
        <w:rPr>
          <w:rFonts w:cs="仿宋_GB2312" w:asciiTheme="minorEastAsia" w:hAnsiTheme="minorEastAsia" w:eastAsiaTheme="minorEastAsia"/>
          <w:color w:val="000000"/>
          <w:shd w:val="clear" w:color="auto" w:fill="FFFFFF"/>
        </w:rPr>
        <w:t>4.5</w:t>
      </w:r>
      <w:r>
        <w:rPr>
          <w:rFonts w:hint="eastAsia" w:cs="仿宋_GB2312" w:asciiTheme="minorEastAsia" w:hAnsiTheme="minorEastAsia" w:eastAsiaTheme="minorEastAsia"/>
          <w:color w:val="000000"/>
          <w:shd w:val="clear" w:color="auto" w:fill="FFFFFF"/>
        </w:rPr>
        <w:t>万元；</w:t>
      </w:r>
      <w:r>
        <w:rPr>
          <w:rFonts w:cs="仿宋_GB2312" w:asciiTheme="minorEastAsia" w:hAnsiTheme="minorEastAsia" w:eastAsiaTheme="minorEastAsia"/>
          <w:color w:val="000000"/>
          <w:shd w:val="clear" w:color="auto" w:fill="FFFFFF"/>
        </w:rPr>
        <w:t>C</w:t>
      </w:r>
      <w:r>
        <w:rPr>
          <w:rFonts w:hint="eastAsia" w:cs="仿宋_GB2312" w:asciiTheme="minorEastAsia" w:hAnsiTheme="minorEastAsia" w:eastAsiaTheme="minorEastAsia"/>
          <w:color w:val="000000"/>
          <w:shd w:val="clear" w:color="auto" w:fill="FFFFFF"/>
        </w:rPr>
        <w:t>包：2</w:t>
      </w:r>
      <w:r>
        <w:rPr>
          <w:rFonts w:cs="仿宋_GB2312" w:asciiTheme="minorEastAsia" w:hAnsiTheme="minorEastAsia" w:eastAsiaTheme="minorEastAsia"/>
          <w:color w:val="000000"/>
          <w:shd w:val="clear" w:color="auto" w:fill="FFFFFF"/>
        </w:rPr>
        <w:t>3.5</w:t>
      </w:r>
      <w:r>
        <w:rPr>
          <w:rFonts w:hint="eastAsia" w:cs="仿宋_GB2312" w:asciiTheme="minorEastAsia" w:hAnsiTheme="minorEastAsia" w:eastAsiaTheme="minorEastAsia"/>
          <w:color w:val="000000"/>
          <w:shd w:val="clear" w:color="auto" w:fill="FFFFFF"/>
        </w:rPr>
        <w:t>万元。</w:t>
      </w:r>
      <w:bookmarkEnd w:id="0"/>
    </w:p>
    <w:p>
      <w:pPr>
        <w:pStyle w:val="7"/>
        <w:widowControl/>
        <w:shd w:val="clear" w:color="auto" w:fill="FFFFFF"/>
        <w:spacing w:before="0" w:beforeLines="0" w:beforeAutospacing="0" w:after="0" w:afterLines="0" w:afterAutospacing="0" w:line="360" w:lineRule="auto"/>
        <w:ind w:firstLine="1200" w:firstLineChars="500"/>
        <w:jc w:val="left"/>
        <w:rPr>
          <w:rFonts w:hint="eastAsia" w:ascii="宋体" w:hAnsi="宋体" w:eastAsia="宋体" w:cs="宋体"/>
          <w:color w:val="auto"/>
          <w:sz w:val="24"/>
          <w:szCs w:val="22"/>
          <w:highlight w:val="none"/>
          <w:shd w:val="clear" w:color="auto" w:fill="FFFFFF"/>
          <w:lang w:val="en-US" w:eastAsia="zh-CN"/>
        </w:rPr>
      </w:pPr>
      <w:r>
        <w:rPr>
          <w:rFonts w:hint="eastAsia" w:cs="仿宋_GB2312" w:asciiTheme="minorEastAsia" w:hAnsiTheme="minorEastAsia" w:eastAsiaTheme="minorEastAsia"/>
          <w:color w:val="000000"/>
          <w:shd w:val="clear" w:color="auto" w:fill="FFFFFF"/>
        </w:rPr>
        <w:t>最高限价：A包：86.6万元；B包：24.5万元；C包：23.5万元。</w:t>
      </w:r>
    </w:p>
    <w:p>
      <w:pPr>
        <w:pStyle w:val="7"/>
        <w:widowControl/>
        <w:shd w:val="clear" w:color="auto" w:fill="FFFFFF"/>
        <w:spacing w:before="0" w:beforeLines="0" w:beforeAutospacing="0" w:after="0" w:afterLines="0" w:afterAutospacing="0" w:line="360" w:lineRule="auto"/>
        <w:ind w:firstLine="480" w:firstLineChars="200"/>
        <w:jc w:val="left"/>
        <w:rPr>
          <w:rFonts w:hint="eastAsia"/>
          <w:b w:val="0"/>
          <w:bCs w:val="0"/>
          <w:color w:val="auto"/>
          <w:szCs w:val="22"/>
          <w:highlight w:val="none"/>
          <w:shd w:val="clear" w:color="auto" w:fill="FFFFFF"/>
          <w:lang w:val="en-US" w:eastAsia="zh-CN"/>
        </w:rPr>
      </w:pPr>
      <w:r>
        <w:rPr>
          <w:rFonts w:hint="eastAsia" w:ascii="宋体" w:hAnsi="宋体" w:eastAsia="宋体" w:cs="宋体"/>
          <w:color w:val="auto"/>
          <w:sz w:val="24"/>
          <w:szCs w:val="22"/>
          <w:highlight w:val="none"/>
          <w:shd w:val="clear" w:color="auto" w:fill="FFFFFF"/>
          <w:lang w:val="en-US" w:eastAsia="zh-CN"/>
        </w:rPr>
        <w:t>（</w:t>
      </w:r>
      <w:r>
        <w:rPr>
          <w:rFonts w:hint="eastAsia" w:eastAsia="宋体" w:cs="宋体"/>
          <w:color w:val="auto"/>
          <w:sz w:val="24"/>
          <w:szCs w:val="22"/>
          <w:highlight w:val="none"/>
          <w:shd w:val="clear" w:color="auto" w:fill="FFFFFF"/>
          <w:lang w:val="en-US" w:eastAsia="zh-CN"/>
        </w:rPr>
        <w:t>五</w:t>
      </w:r>
      <w:r>
        <w:rPr>
          <w:rFonts w:hint="eastAsia" w:ascii="宋体" w:hAnsi="宋体" w:eastAsia="宋体" w:cs="宋体"/>
          <w:color w:val="auto"/>
          <w:sz w:val="24"/>
          <w:szCs w:val="22"/>
          <w:highlight w:val="none"/>
          <w:shd w:val="clear" w:color="auto" w:fill="FFFFFF"/>
          <w:lang w:val="en-US" w:eastAsia="zh-CN"/>
        </w:rPr>
        <w:t>）</w:t>
      </w:r>
      <w:r>
        <w:rPr>
          <w:rFonts w:hint="eastAsia"/>
          <w:b w:val="0"/>
          <w:bCs w:val="0"/>
          <w:color w:val="auto"/>
          <w:szCs w:val="22"/>
          <w:highlight w:val="none"/>
          <w:shd w:val="clear" w:color="auto" w:fill="FFFFFF"/>
          <w:lang w:val="en-US" w:eastAsia="zh-CN"/>
        </w:rPr>
        <w:t>交付时间：</w:t>
      </w:r>
      <w:r>
        <w:rPr>
          <w:rFonts w:hint="eastAsia" w:cs="仿宋_GB2312" w:asciiTheme="minorEastAsia" w:hAnsiTheme="minorEastAsia" w:eastAsiaTheme="minorEastAsia"/>
          <w:color w:val="000000"/>
          <w:shd w:val="clear" w:color="auto" w:fill="FFFFFF"/>
        </w:rPr>
        <w:t>合同签订后30天内交货</w:t>
      </w:r>
      <w:r>
        <w:rPr>
          <w:rFonts w:hint="eastAsia"/>
          <w:b w:val="0"/>
          <w:bCs w:val="0"/>
          <w:color w:val="auto"/>
          <w:szCs w:val="22"/>
          <w:highlight w:val="none"/>
          <w:shd w:val="clear" w:color="auto" w:fill="FFFFFF"/>
          <w:lang w:val="en-US" w:eastAsia="zh-CN"/>
        </w:rPr>
        <w:t>。</w:t>
      </w:r>
    </w:p>
    <w:p>
      <w:pPr>
        <w:pStyle w:val="7"/>
        <w:widowControl/>
        <w:shd w:val="clear" w:color="auto" w:fill="FFFFFF"/>
        <w:spacing w:before="0" w:beforeLines="0" w:beforeAutospacing="0" w:after="0" w:afterLines="0" w:afterAutospacing="0" w:line="360" w:lineRule="auto"/>
        <w:ind w:firstLine="480" w:firstLineChars="200"/>
        <w:jc w:val="left"/>
        <w:rPr>
          <w:rFonts w:hint="eastAsia"/>
          <w:b w:val="0"/>
          <w:bCs w:val="0"/>
          <w:color w:val="auto"/>
          <w:szCs w:val="22"/>
          <w:highlight w:val="none"/>
          <w:shd w:val="clear" w:color="auto" w:fill="FFFFFF"/>
          <w:lang w:val="en-US" w:eastAsia="zh-CN"/>
        </w:rPr>
      </w:pPr>
      <w:r>
        <w:rPr>
          <w:rFonts w:hint="eastAsia"/>
          <w:b w:val="0"/>
          <w:bCs w:val="0"/>
          <w:color w:val="auto"/>
          <w:szCs w:val="22"/>
          <w:highlight w:val="none"/>
          <w:shd w:val="clear" w:color="auto" w:fill="FFFFFF"/>
          <w:lang w:val="en-US" w:eastAsia="zh-CN"/>
        </w:rPr>
        <w:t>（六）交付地点：长葛市妇幼保健院。</w:t>
      </w:r>
    </w:p>
    <w:p>
      <w:pPr>
        <w:pStyle w:val="7"/>
        <w:widowControl/>
        <w:shd w:val="clear" w:color="auto" w:fill="FFFFFF"/>
        <w:spacing w:before="0" w:beforeLines="0" w:beforeAutospacing="0" w:after="0" w:afterLines="0" w:afterAutospacing="0" w:line="360" w:lineRule="auto"/>
        <w:ind w:firstLine="480" w:firstLineChars="200"/>
        <w:jc w:val="left"/>
        <w:rPr>
          <w:rFonts w:hint="eastAsia"/>
          <w:b w:val="0"/>
          <w:bCs w:val="0"/>
          <w:color w:val="auto"/>
          <w:szCs w:val="22"/>
          <w:highlight w:val="none"/>
          <w:shd w:val="clear" w:color="auto" w:fill="FFFFFF"/>
          <w:lang w:val="en-US" w:eastAsia="zh-CN"/>
        </w:rPr>
      </w:pPr>
      <w:r>
        <w:rPr>
          <w:rFonts w:hint="eastAsia"/>
          <w:b w:val="0"/>
          <w:bCs w:val="0"/>
          <w:color w:val="auto"/>
          <w:szCs w:val="22"/>
          <w:highlight w:val="none"/>
          <w:shd w:val="clear" w:color="auto" w:fill="FFFFFF"/>
          <w:lang w:val="en-US" w:eastAsia="zh-CN"/>
        </w:rPr>
        <w:t>（七）采购方式：公开招标</w:t>
      </w:r>
    </w:p>
    <w:p>
      <w:pPr>
        <w:pStyle w:val="7"/>
        <w:widowControl/>
        <w:shd w:val="clear" w:color="auto" w:fill="FFFFFF"/>
        <w:spacing w:before="0" w:beforeLines="0" w:beforeAutospacing="0" w:after="0" w:afterLines="0" w:afterAutospacing="0" w:line="360" w:lineRule="auto"/>
        <w:jc w:val="left"/>
        <w:rPr>
          <w:rFonts w:hint="eastAsia" w:eastAsia="宋体"/>
          <w:b/>
          <w:bCs/>
          <w:color w:val="auto"/>
          <w:szCs w:val="22"/>
          <w:highlight w:val="none"/>
          <w:shd w:val="clear" w:color="auto" w:fill="FFFFFF"/>
          <w:lang w:val="en-US" w:eastAsia="zh-CN"/>
        </w:rPr>
      </w:pPr>
      <w:r>
        <w:rPr>
          <w:rFonts w:hint="eastAsia" w:eastAsia="宋体"/>
          <w:b/>
          <w:bCs/>
          <w:color w:val="auto"/>
          <w:szCs w:val="22"/>
          <w:highlight w:val="none"/>
          <w:shd w:val="clear" w:color="auto" w:fill="FFFFFF"/>
          <w:lang w:val="en-US" w:eastAsia="zh-CN"/>
        </w:rPr>
        <w:t>二、需要落实的政府采购政策</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本项目落实节能环保、中小微型企业、监狱企业、残疾人福利性单位扶持等相关政府采购政策。</w:t>
      </w:r>
    </w:p>
    <w:p>
      <w:pPr>
        <w:pStyle w:val="7"/>
        <w:widowControl/>
        <w:shd w:val="clear" w:color="auto" w:fill="FFFFFF"/>
        <w:spacing w:before="0" w:beforeLines="0" w:beforeAutospacing="0" w:after="0" w:afterLines="0" w:afterAutospacing="0" w:line="360" w:lineRule="auto"/>
        <w:jc w:val="left"/>
        <w:rPr>
          <w:rFonts w:hint="eastAsia" w:eastAsia="宋体"/>
          <w:b/>
          <w:bCs/>
          <w:color w:val="auto"/>
          <w:szCs w:val="22"/>
          <w:highlight w:val="none"/>
          <w:shd w:val="clear" w:color="auto" w:fill="FFFFFF"/>
          <w:lang w:val="en-US" w:eastAsia="zh-CN"/>
        </w:rPr>
      </w:pPr>
      <w:r>
        <w:rPr>
          <w:rFonts w:hint="eastAsia" w:eastAsia="宋体"/>
          <w:b/>
          <w:bCs/>
          <w:color w:val="auto"/>
          <w:szCs w:val="22"/>
          <w:highlight w:val="none"/>
          <w:shd w:val="clear" w:color="auto" w:fill="FFFFFF"/>
          <w:lang w:val="en-US" w:eastAsia="zh-CN"/>
        </w:rPr>
        <w:t>三、投标条件</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（二）A包如是经销商须提供制造商针对本项目所投产品授权委托书（如果厂商或代理商出具的产品授权，是英文格式的，投标人提供一套内容一致的中文翻译的授权）；</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pPr>
        <w:pStyle w:val="7"/>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（五）本次招标不接受联合体投标。</w:t>
      </w:r>
    </w:p>
    <w:p>
      <w:pPr>
        <w:pStyle w:val="7"/>
        <w:widowControl/>
        <w:shd w:val="clear" w:color="auto" w:fill="FFFFFF"/>
        <w:spacing w:before="0" w:beforeLines="0" w:beforeAutospacing="0" w:after="0" w:afterLines="0" w:afterAutospacing="0" w:line="360" w:lineRule="auto"/>
        <w:ind w:firstLine="482" w:firstLineChars="200"/>
        <w:jc w:val="left"/>
        <w:rPr>
          <w:rFonts w:hint="eastAsia" w:eastAsia="宋体"/>
          <w:b/>
          <w:bCs/>
          <w:color w:val="auto"/>
          <w:szCs w:val="22"/>
          <w:highlight w:val="none"/>
          <w:shd w:val="clear" w:color="auto" w:fill="FFFFFF"/>
          <w:lang w:val="en-US" w:eastAsia="zh-CN"/>
        </w:rPr>
      </w:pPr>
      <w:r>
        <w:rPr>
          <w:rFonts w:hint="eastAsia" w:eastAsia="宋体"/>
          <w:b/>
          <w:bCs/>
          <w:color w:val="auto"/>
          <w:szCs w:val="22"/>
          <w:highlight w:val="none"/>
          <w:shd w:val="clear" w:color="auto" w:fill="FFFFFF"/>
          <w:lang w:val="en-US" w:eastAsia="zh-CN"/>
        </w:rPr>
        <w:t>四、项目需求</w:t>
      </w:r>
    </w:p>
    <w:p>
      <w:pPr>
        <w:spacing w:line="360" w:lineRule="auto"/>
        <w:jc w:val="center"/>
        <w:rPr>
          <w:rFonts w:ascii="宋体" w:hAnsi="宋体" w:eastAsia="宋体"/>
          <w:sz w:val="28"/>
          <w:szCs w:val="28"/>
        </w:rPr>
      </w:pPr>
      <w:r>
        <w:rPr>
          <w:rFonts w:hint="eastAsia" w:ascii="宋体" w:hAnsi="宋体" w:eastAsia="宋体"/>
          <w:b/>
          <w:sz w:val="30"/>
          <w:szCs w:val="30"/>
        </w:rPr>
        <w:t>A包招标用设备基本情况介绍及技术参数设置</w:t>
      </w:r>
    </w:p>
    <w:p>
      <w:pPr>
        <w:spacing w:line="360" w:lineRule="auto"/>
        <w:ind w:left="270"/>
        <w:rPr>
          <w:rFonts w:ascii="宋体" w:hAnsi="宋体" w:eastAsia="宋体"/>
          <w:sz w:val="24"/>
        </w:rPr>
      </w:pPr>
      <w:r>
        <w:rPr>
          <w:rFonts w:hint="eastAsia" w:ascii="宋体" w:hAnsi="宋体" w:eastAsia="宋体"/>
          <w:sz w:val="24"/>
        </w:rPr>
        <w:t>一、设备名称：生物物理治疗仪</w:t>
      </w:r>
    </w:p>
    <w:p>
      <w:pPr>
        <w:spacing w:line="360" w:lineRule="auto"/>
        <w:ind w:left="270"/>
        <w:rPr>
          <w:rFonts w:ascii="宋体" w:hAnsi="宋体" w:eastAsia="宋体"/>
          <w:sz w:val="24"/>
        </w:rPr>
      </w:pPr>
      <w:r>
        <w:rPr>
          <w:rFonts w:hint="eastAsia" w:ascii="宋体" w:hAnsi="宋体" w:eastAsia="宋体"/>
          <w:sz w:val="24"/>
        </w:rPr>
        <w:t>二、主要性能：临床用于过敏性疾病的辅助治疗.</w:t>
      </w:r>
    </w:p>
    <w:p>
      <w:pPr>
        <w:spacing w:line="360" w:lineRule="auto"/>
        <w:ind w:left="270"/>
        <w:rPr>
          <w:rFonts w:ascii="宋体" w:hAnsi="宋体" w:eastAsia="宋体"/>
          <w:sz w:val="24"/>
        </w:rPr>
      </w:pPr>
      <w:r>
        <w:rPr>
          <w:rFonts w:hint="eastAsia" w:ascii="宋体" w:hAnsi="宋体" w:eastAsia="宋体"/>
          <w:sz w:val="24"/>
        </w:rPr>
        <w:t>三、功能要求：</w:t>
      </w:r>
    </w:p>
    <w:p>
      <w:pPr>
        <w:numPr>
          <w:ilvl w:val="0"/>
          <w:numId w:val="1"/>
        </w:numPr>
        <w:spacing w:line="360" w:lineRule="auto"/>
        <w:rPr>
          <w:rFonts w:ascii="宋体" w:hAnsi="宋体" w:eastAsia="宋体"/>
          <w:sz w:val="24"/>
        </w:rPr>
      </w:pPr>
      <w:r>
        <w:rPr>
          <w:rFonts w:hint="eastAsia" w:ascii="宋体" w:hAnsi="宋体" w:eastAsia="宋体"/>
          <w:sz w:val="24"/>
        </w:rPr>
        <w:t>采用量子物理与生物共振理论和方法检测和辅助治疗过敏性疾病；</w:t>
      </w:r>
    </w:p>
    <w:p>
      <w:pPr>
        <w:numPr>
          <w:ilvl w:val="0"/>
          <w:numId w:val="1"/>
        </w:numPr>
        <w:spacing w:line="360" w:lineRule="auto"/>
        <w:rPr>
          <w:rFonts w:ascii="宋体" w:hAnsi="宋体" w:eastAsia="宋体"/>
          <w:sz w:val="24"/>
        </w:rPr>
      </w:pPr>
      <w:r>
        <w:rPr>
          <w:rFonts w:hint="eastAsia" w:ascii="宋体" w:hAnsi="宋体" w:eastAsia="宋体"/>
          <w:sz w:val="24"/>
        </w:rPr>
        <w:t>无痛、无创、无需抽血、无副作用；</w:t>
      </w:r>
    </w:p>
    <w:p>
      <w:pPr>
        <w:numPr>
          <w:ilvl w:val="0"/>
          <w:numId w:val="1"/>
        </w:numPr>
        <w:spacing w:line="360" w:lineRule="auto"/>
        <w:rPr>
          <w:rFonts w:ascii="宋体" w:hAnsi="宋体" w:eastAsia="宋体"/>
          <w:sz w:val="24"/>
        </w:rPr>
      </w:pPr>
      <w:r>
        <w:rPr>
          <w:rFonts w:hint="eastAsia" w:ascii="宋体" w:hAnsi="宋体" w:eastAsia="宋体"/>
          <w:sz w:val="24"/>
        </w:rPr>
        <w:t>无需药物和消耗品；</w:t>
      </w:r>
    </w:p>
    <w:p>
      <w:pPr>
        <w:numPr>
          <w:ilvl w:val="0"/>
          <w:numId w:val="1"/>
        </w:numPr>
        <w:spacing w:line="360" w:lineRule="auto"/>
        <w:rPr>
          <w:rFonts w:ascii="宋体" w:hAnsi="宋体" w:eastAsia="宋体"/>
          <w:sz w:val="24"/>
        </w:rPr>
      </w:pPr>
      <w:r>
        <w:rPr>
          <w:rFonts w:hint="eastAsia" w:ascii="宋体" w:hAnsi="宋体" w:eastAsia="宋体"/>
          <w:sz w:val="24"/>
        </w:rPr>
        <w:t>可检测及治疗各种湿疹、荨麻疹、接触性皮炎、哮喘等常见过敏性疾病；</w:t>
      </w:r>
    </w:p>
    <w:p>
      <w:pPr>
        <w:numPr>
          <w:ilvl w:val="0"/>
          <w:numId w:val="1"/>
        </w:numPr>
        <w:spacing w:line="360" w:lineRule="auto"/>
        <w:rPr>
          <w:rFonts w:ascii="宋体" w:hAnsi="宋体" w:eastAsia="宋体"/>
          <w:sz w:val="24"/>
        </w:rPr>
      </w:pPr>
      <w:r>
        <w:rPr>
          <w:rFonts w:hint="eastAsia" w:ascii="宋体" w:hAnsi="宋体" w:eastAsia="宋体"/>
          <w:sz w:val="24"/>
        </w:rPr>
        <w:t>针对过敏物质，进行脱敏治疗；</w:t>
      </w:r>
    </w:p>
    <w:p>
      <w:pPr>
        <w:numPr>
          <w:ilvl w:val="0"/>
          <w:numId w:val="1"/>
        </w:numPr>
        <w:spacing w:line="360" w:lineRule="auto"/>
        <w:rPr>
          <w:rFonts w:ascii="宋体" w:hAnsi="宋体" w:eastAsia="宋体"/>
          <w:sz w:val="24"/>
        </w:rPr>
      </w:pPr>
      <w:r>
        <w:rPr>
          <w:rFonts w:hint="eastAsia" w:ascii="宋体" w:hAnsi="宋体" w:eastAsia="宋体"/>
          <w:sz w:val="24"/>
        </w:rPr>
        <w:t>适应人群广泛：所有过敏及过敏疾病潜在人群，儿童至老年均可。</w:t>
      </w:r>
    </w:p>
    <w:p>
      <w:pPr>
        <w:spacing w:line="360" w:lineRule="auto"/>
        <w:ind w:left="270"/>
        <w:rPr>
          <w:rFonts w:ascii="宋体" w:hAnsi="宋体" w:eastAsia="宋体"/>
          <w:sz w:val="24"/>
        </w:rPr>
      </w:pPr>
      <w:r>
        <w:rPr>
          <w:rFonts w:hint="eastAsia" w:ascii="宋体" w:hAnsi="宋体" w:eastAsia="宋体"/>
          <w:sz w:val="24"/>
        </w:rPr>
        <w:t>四、技术参数：</w:t>
      </w:r>
    </w:p>
    <w:p>
      <w:pPr>
        <w:spacing w:line="360" w:lineRule="auto"/>
        <w:ind w:left="760" w:leftChars="76" w:hanging="600" w:hangingChars="250"/>
        <w:rPr>
          <w:rFonts w:ascii="宋体" w:hAnsi="宋体" w:eastAsia="宋体"/>
          <w:sz w:val="24"/>
        </w:rPr>
      </w:pPr>
      <w:r>
        <w:rPr>
          <w:rFonts w:hint="eastAsia" w:ascii="宋体" w:hAnsi="宋体" w:eastAsia="宋体"/>
          <w:sz w:val="24"/>
        </w:rPr>
        <w:t>1、检测项目：提供5大类、近500多种常见过敏原样本的快速检测，也可根据怀疑过敏物质进行实物检测，过敏原种类无限量。</w:t>
      </w:r>
    </w:p>
    <w:p>
      <w:pPr>
        <w:spacing w:line="360" w:lineRule="auto"/>
        <w:ind w:left="240"/>
        <w:rPr>
          <w:rFonts w:ascii="宋体" w:hAnsi="宋体" w:eastAsia="宋体"/>
          <w:sz w:val="24"/>
        </w:rPr>
      </w:pPr>
      <w:r>
        <w:rPr>
          <w:rFonts w:hint="eastAsia" w:ascii="宋体" w:hAnsi="宋体" w:eastAsia="宋体"/>
          <w:sz w:val="24"/>
        </w:rPr>
        <w:t>*2、过敏原样本：国家食品药品监督管理局注册认可的致敏实物立体样本。</w:t>
      </w:r>
    </w:p>
    <w:p>
      <w:pPr>
        <w:spacing w:line="360" w:lineRule="auto"/>
        <w:ind w:firstLine="199" w:firstLineChars="83"/>
        <w:rPr>
          <w:rFonts w:ascii="宋体" w:hAnsi="宋体" w:eastAsia="宋体"/>
          <w:sz w:val="24"/>
        </w:rPr>
      </w:pPr>
      <w:r>
        <w:rPr>
          <w:rFonts w:hint="eastAsia" w:ascii="宋体" w:hAnsi="宋体" w:eastAsia="宋体"/>
          <w:sz w:val="24"/>
        </w:rPr>
        <w:t>*3，治疗类型：A、H、Ai、H+Di、Di、Ai+A六种治疗模式，可将致病致敏信号进行分离、放大等处理并逆转为磁频治疗信号输入人体，多种治疗模式。</w:t>
      </w:r>
    </w:p>
    <w:p>
      <w:pPr>
        <w:tabs>
          <w:tab w:val="left" w:pos="4600"/>
        </w:tabs>
        <w:autoSpaceDE w:val="0"/>
        <w:autoSpaceDN w:val="0"/>
        <w:adjustRightInd w:val="0"/>
        <w:spacing w:line="230" w:lineRule="exact"/>
        <w:ind w:right="-20" w:firstLine="316" w:firstLineChars="132"/>
        <w:jc w:val="left"/>
        <w:rPr>
          <w:rFonts w:ascii="宋体" w:hAnsi="宋体" w:eastAsia="宋体"/>
          <w:sz w:val="24"/>
        </w:rPr>
      </w:pPr>
      <w:r>
        <w:rPr>
          <w:rFonts w:hint="eastAsia" w:ascii="宋体" w:hAnsi="宋体" w:eastAsia="宋体"/>
          <w:sz w:val="24"/>
        </w:rPr>
        <w:t>4，治疗频率范围：</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w:t>
      </w:r>
    </w:p>
    <w:p>
      <w:pPr>
        <w:spacing w:line="360" w:lineRule="auto"/>
        <w:ind w:left="837" w:leftChars="113" w:hanging="600" w:hangingChars="250"/>
        <w:rPr>
          <w:rFonts w:ascii="宋体" w:hAnsi="宋体" w:eastAsia="宋体"/>
          <w:sz w:val="24"/>
        </w:rPr>
      </w:pPr>
      <w:r>
        <w:rPr>
          <w:rFonts w:hint="eastAsia" w:ascii="宋体" w:hAnsi="宋体" w:eastAsia="宋体"/>
          <w:sz w:val="24"/>
        </w:rPr>
        <w:t xml:space="preserve">5治疗程序：通过2位数-3位数的数字代码可进入已储存的治疗程序. </w:t>
      </w:r>
    </w:p>
    <w:p>
      <w:pPr>
        <w:spacing w:line="360" w:lineRule="auto"/>
        <w:ind w:left="960" w:hanging="960" w:hangingChars="400"/>
        <w:rPr>
          <w:rFonts w:ascii="宋体" w:hAnsi="宋体" w:eastAsia="宋体"/>
          <w:sz w:val="24"/>
        </w:rPr>
      </w:pPr>
      <w:r>
        <w:rPr>
          <w:rFonts w:hint="eastAsia" w:ascii="宋体" w:hAnsi="宋体" w:eastAsia="宋体"/>
          <w:sz w:val="24"/>
        </w:rPr>
        <w:t xml:space="preserve">  6、DMI技术：DMI（动态多脉冲磁频舒曼波）技术，可将人体不可缺少的地磁波（舒曼波）以动态多脉冲形式输出到调节垫上并向人体组织输送治疗信号，补充调节机体能量，提高脱敏疗效，缩短治疗时间。</w:t>
      </w:r>
    </w:p>
    <w:p>
      <w:pPr>
        <w:spacing w:line="360" w:lineRule="auto"/>
        <w:ind w:left="800" w:leftChars="38" w:hanging="720" w:hangingChars="300"/>
        <w:rPr>
          <w:rFonts w:ascii="宋体" w:hAnsi="宋体" w:eastAsia="宋体"/>
          <w:sz w:val="24"/>
        </w:rPr>
      </w:pPr>
      <w:r>
        <w:rPr>
          <w:rFonts w:hint="eastAsia" w:ascii="宋体" w:hAnsi="宋体" w:eastAsia="宋体"/>
          <w:sz w:val="24"/>
        </w:rPr>
        <w:t>7、BMF（量子磁频信号）：可将致病致敏信息转换为磁频治疗信号输入到人体，通过调节垫扩散作用使治疗信号穿透人体组织器官，完成有效的脱敏治疗。</w:t>
      </w:r>
    </w:p>
    <w:p>
      <w:pPr>
        <w:spacing w:line="360" w:lineRule="auto"/>
        <w:ind w:left="837" w:leftChars="113" w:hanging="600" w:hangingChars="250"/>
        <w:rPr>
          <w:rFonts w:ascii="宋体" w:hAnsi="宋体" w:eastAsia="宋体"/>
          <w:sz w:val="24"/>
        </w:rPr>
      </w:pPr>
      <w:r>
        <w:rPr>
          <w:rFonts w:hint="eastAsia" w:ascii="宋体" w:hAnsi="宋体" w:eastAsia="宋体"/>
          <w:sz w:val="24"/>
        </w:rPr>
        <w:t>8、放大方式：连续稳定放大；呈阶梯状递增式放大；呈阶梯状递减式放大；递增式扫描放大；递减式扫描放大；递增和递减式扫描放大；连续放大每步治疗时间：1∽300秒。</w:t>
      </w:r>
    </w:p>
    <w:p>
      <w:pPr>
        <w:spacing w:line="360" w:lineRule="auto"/>
        <w:ind w:left="837" w:leftChars="113" w:hanging="600" w:hangingChars="250"/>
        <w:rPr>
          <w:rFonts w:ascii="宋体" w:hAnsi="宋体" w:eastAsia="宋体"/>
          <w:sz w:val="24"/>
        </w:rPr>
      </w:pPr>
      <w:r>
        <w:rPr>
          <w:rFonts w:hint="eastAsia" w:ascii="宋体" w:hAnsi="宋体" w:eastAsia="宋体"/>
          <w:sz w:val="24"/>
        </w:rPr>
        <w:t>9、完美的电磁屏蔽：通过点对点或点对面精确定位，对操作者无任何电磁辐射伤害，设备自身信号的精确性不受其他辐射影响。</w:t>
      </w:r>
    </w:p>
    <w:p>
      <w:pPr>
        <w:spacing w:line="360" w:lineRule="auto"/>
        <w:ind w:left="837" w:leftChars="113" w:hanging="600" w:hangingChars="250"/>
        <w:rPr>
          <w:rFonts w:ascii="宋体" w:hAnsi="宋体" w:eastAsia="宋体"/>
          <w:sz w:val="24"/>
        </w:rPr>
      </w:pPr>
      <w:r>
        <w:rPr>
          <w:rFonts w:hint="eastAsia" w:ascii="宋体" w:hAnsi="宋体" w:eastAsia="宋体"/>
          <w:sz w:val="24"/>
        </w:rPr>
        <w:t>10、红外线发送接收技术：配备红外线发送接收传感系统，采集量子共振信号并快速输入设备，适用于各种过敏性疾病的辅助治疗，确保脱敏迅速有效。</w:t>
      </w:r>
    </w:p>
    <w:p>
      <w:pPr>
        <w:spacing w:line="360" w:lineRule="auto"/>
        <w:ind w:left="717" w:leftChars="113" w:hanging="480" w:hangingChars="200"/>
        <w:rPr>
          <w:rFonts w:ascii="宋体" w:hAnsi="宋体" w:eastAsia="宋体"/>
          <w:sz w:val="24"/>
        </w:rPr>
      </w:pPr>
      <w:r>
        <w:rPr>
          <w:rFonts w:hint="eastAsia" w:ascii="宋体" w:hAnsi="宋体" w:eastAsia="宋体"/>
          <w:sz w:val="24"/>
        </w:rPr>
        <w:t>11、存储功能：主机储存近600种以上标准治疗程序，软件可升级。</w:t>
      </w:r>
    </w:p>
    <w:p>
      <w:pPr>
        <w:spacing w:line="360" w:lineRule="auto"/>
        <w:ind w:firstLine="480"/>
        <w:rPr>
          <w:rFonts w:ascii="宋体" w:hAnsi="宋体" w:eastAsia="宋体"/>
          <w:sz w:val="24"/>
        </w:rPr>
      </w:pPr>
      <w:r>
        <w:rPr>
          <w:rFonts w:hint="eastAsia" w:ascii="宋体" w:hAnsi="宋体" w:eastAsia="宋体"/>
          <w:sz w:val="24"/>
        </w:rPr>
        <w:t>12、</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范围内的频率步骤：</w:t>
      </w:r>
      <w:r>
        <w:rPr>
          <w:rFonts w:ascii="宋体" w:hAnsi="宋体" w:eastAsia="宋体"/>
          <w:sz w:val="24"/>
        </w:rPr>
        <w:t>10 Hz</w:t>
      </w:r>
      <w:r>
        <w:rPr>
          <w:rFonts w:hint="eastAsia" w:ascii="宋体" w:hAnsi="宋体" w:eastAsia="宋体"/>
          <w:sz w:val="24"/>
        </w:rPr>
        <w:t>-</w:t>
      </w:r>
      <w:r>
        <w:rPr>
          <w:rFonts w:ascii="宋体" w:hAnsi="宋体" w:eastAsia="宋体"/>
          <w:sz w:val="24"/>
        </w:rPr>
        <w:t>1 000 Hz</w:t>
      </w:r>
      <w:r>
        <w:rPr>
          <w:rFonts w:hint="eastAsia" w:ascii="宋体" w:hAnsi="宋体" w:eastAsia="宋体"/>
          <w:sz w:val="24"/>
        </w:rPr>
        <w:t>，每步</w:t>
      </w:r>
      <w:r>
        <w:rPr>
          <w:rFonts w:ascii="宋体" w:hAnsi="宋体" w:eastAsia="宋体"/>
          <w:sz w:val="24"/>
        </w:rPr>
        <w:t>1 Hz</w:t>
      </w:r>
      <w:r>
        <w:rPr>
          <w:rFonts w:hint="eastAsia" w:ascii="宋体" w:hAnsi="宋体" w:eastAsia="宋体"/>
          <w:sz w:val="24"/>
        </w:rPr>
        <w:t>；</w:t>
      </w:r>
    </w:p>
    <w:p>
      <w:pPr>
        <w:spacing w:line="360" w:lineRule="auto"/>
        <w:ind w:left="633" w:leftChars="187" w:hanging="240" w:hangingChars="100"/>
        <w:rPr>
          <w:rFonts w:ascii="宋体" w:hAnsi="宋体" w:eastAsia="宋体"/>
          <w:sz w:val="24"/>
        </w:rPr>
      </w:pPr>
      <w:r>
        <w:rPr>
          <w:rFonts w:ascii="宋体" w:hAnsi="宋体" w:eastAsia="宋体"/>
          <w:sz w:val="24"/>
        </w:rPr>
        <w:t>1 000 Hz</w:t>
      </w:r>
      <w:r>
        <w:rPr>
          <w:rFonts w:hint="eastAsia" w:ascii="宋体" w:hAnsi="宋体" w:eastAsia="宋体"/>
          <w:sz w:val="24"/>
        </w:rPr>
        <w:t>-</w:t>
      </w:r>
      <w:r>
        <w:rPr>
          <w:rFonts w:ascii="宋体" w:hAnsi="宋体" w:eastAsia="宋体"/>
          <w:sz w:val="24"/>
        </w:rPr>
        <w:t>10 kHz</w:t>
      </w:r>
      <w:r>
        <w:rPr>
          <w:rFonts w:hint="eastAsia" w:ascii="宋体" w:hAnsi="宋体" w:eastAsia="宋体"/>
          <w:sz w:val="24"/>
        </w:rPr>
        <w:t>，每步</w:t>
      </w:r>
      <w:r>
        <w:rPr>
          <w:rFonts w:ascii="宋体" w:hAnsi="宋体" w:eastAsia="宋体"/>
          <w:sz w:val="24"/>
        </w:rPr>
        <w:t>10 Hz</w:t>
      </w:r>
      <w:r>
        <w:rPr>
          <w:rFonts w:hint="eastAsia" w:ascii="宋体" w:hAnsi="宋体" w:eastAsia="宋体"/>
          <w:sz w:val="24"/>
        </w:rPr>
        <w:t>；</w:t>
      </w:r>
      <w:r>
        <w:rPr>
          <w:rFonts w:ascii="宋体" w:hAnsi="宋体" w:eastAsia="宋体"/>
          <w:sz w:val="24"/>
        </w:rPr>
        <w:t>10 kHz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，每步</w:t>
      </w:r>
      <w:r>
        <w:rPr>
          <w:rFonts w:ascii="宋体" w:hAnsi="宋体" w:eastAsia="宋体"/>
          <w:sz w:val="24"/>
        </w:rPr>
        <w:t>1 kHz</w:t>
      </w:r>
      <w:r>
        <w:rPr>
          <w:rFonts w:hint="eastAsia" w:ascii="宋体" w:hAnsi="宋体" w:eastAsia="宋体"/>
          <w:sz w:val="24"/>
        </w:rPr>
        <w:t>。</w:t>
      </w:r>
      <w:r>
        <w:rPr>
          <w:rFonts w:ascii="宋体" w:hAnsi="宋体" w:eastAsia="宋体"/>
          <w:sz w:val="24"/>
        </w:rPr>
        <w:t xml:space="preserve">1 Hz </w:t>
      </w:r>
      <w:r>
        <w:rPr>
          <w:rFonts w:hint="eastAsia" w:ascii="宋体" w:hAnsi="宋体" w:eastAsia="宋体"/>
          <w:sz w:val="24"/>
        </w:rPr>
        <w:t>-</w:t>
      </w:r>
      <w:r>
        <w:rPr>
          <w:rFonts w:ascii="宋体" w:hAnsi="宋体" w:eastAsia="宋体"/>
          <w:sz w:val="24"/>
        </w:rPr>
        <w:t>25 Hz</w:t>
      </w:r>
      <w:r>
        <w:rPr>
          <w:rFonts w:hint="eastAsia" w:ascii="宋体" w:hAnsi="宋体" w:eastAsia="宋体"/>
          <w:sz w:val="24"/>
        </w:rPr>
        <w:t>范围内的频率步骤；每步</w:t>
      </w:r>
      <w:r>
        <w:rPr>
          <w:rFonts w:ascii="宋体" w:hAnsi="宋体" w:eastAsia="宋体"/>
          <w:sz w:val="24"/>
        </w:rPr>
        <w:t>0,1 Hz</w:t>
      </w:r>
      <w:r>
        <w:rPr>
          <w:rFonts w:hint="eastAsia" w:ascii="宋体" w:hAnsi="宋体" w:eastAsia="宋体"/>
          <w:sz w:val="24"/>
        </w:rPr>
        <w:t>。</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13、测试功能：采用EAP技术，进行传导值测试、象限值测试、信息点测试、环境测试、过敏原测试、药剂测试、点治疗等。</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14、治疗周期：间歇（治疗3秒钟+暂停1秒钟）或连续操作。</w:t>
      </w:r>
    </w:p>
    <w:p>
      <w:pPr>
        <w:spacing w:line="360" w:lineRule="auto"/>
        <w:ind w:left="633" w:leftChars="187" w:hanging="240" w:hangingChars="100"/>
        <w:rPr>
          <w:rFonts w:ascii="宋体" w:hAnsi="宋体" w:eastAsia="宋体"/>
          <w:sz w:val="24"/>
        </w:rPr>
      </w:pPr>
      <w:r>
        <w:rPr>
          <w:rFonts w:hint="eastAsia" w:ascii="宋体" w:hAnsi="宋体" w:eastAsia="宋体"/>
          <w:sz w:val="24"/>
        </w:rPr>
        <w:t>15、带宽扫描速度：频率范围在</w:t>
      </w:r>
      <w:r>
        <w:rPr>
          <w:rFonts w:ascii="宋体" w:hAnsi="宋体" w:eastAsia="宋体"/>
          <w:sz w:val="24"/>
        </w:rPr>
        <w:t>10 Hz</w:t>
      </w:r>
      <w:r>
        <w:rPr>
          <w:rFonts w:hint="eastAsia" w:ascii="宋体" w:hAnsi="宋体" w:eastAsia="宋体"/>
          <w:sz w:val="24"/>
        </w:rPr>
        <w:t>-</w:t>
      </w:r>
      <w:r>
        <w:rPr>
          <w:rFonts w:ascii="宋体" w:hAnsi="宋体" w:eastAsia="宋体"/>
          <w:sz w:val="24"/>
        </w:rPr>
        <w:t>152 kHz</w:t>
      </w:r>
      <w:r>
        <w:rPr>
          <w:rFonts w:hint="eastAsia" w:ascii="宋体" w:hAnsi="宋体" w:eastAsia="宋体"/>
          <w:sz w:val="24"/>
        </w:rPr>
        <w:t>的扫描速度为</w:t>
      </w:r>
      <w:r>
        <w:rPr>
          <w:rFonts w:ascii="宋体" w:hAnsi="宋体" w:eastAsia="宋体"/>
          <w:sz w:val="24"/>
        </w:rPr>
        <w:t>3</w:t>
      </w:r>
      <w:r>
        <w:rPr>
          <w:rFonts w:hint="eastAsia" w:ascii="宋体" w:hAnsi="宋体" w:eastAsia="宋体"/>
          <w:sz w:val="24"/>
        </w:rPr>
        <w:t>-</w:t>
      </w:r>
      <w:r>
        <w:rPr>
          <w:rFonts w:ascii="宋体" w:hAnsi="宋体" w:eastAsia="宋体"/>
          <w:sz w:val="24"/>
        </w:rPr>
        <w:t>180</w:t>
      </w:r>
      <w:r>
        <w:rPr>
          <w:rFonts w:hint="eastAsia" w:ascii="宋体" w:hAnsi="宋体" w:eastAsia="宋体"/>
          <w:sz w:val="24"/>
        </w:rPr>
        <w:t>秒；</w:t>
      </w:r>
    </w:p>
    <w:p>
      <w:pPr>
        <w:spacing w:line="360" w:lineRule="auto"/>
        <w:ind w:left="633" w:leftChars="187" w:hanging="240" w:hangingChars="100"/>
        <w:rPr>
          <w:rFonts w:ascii="宋体" w:hAnsi="宋体" w:eastAsia="宋体"/>
          <w:sz w:val="24"/>
        </w:rPr>
      </w:pPr>
      <w:r>
        <w:rPr>
          <w:rFonts w:hint="eastAsia" w:ascii="宋体" w:hAnsi="宋体" w:eastAsia="宋体"/>
          <w:sz w:val="24"/>
        </w:rPr>
        <w:t>频率范围在</w:t>
      </w:r>
      <w:r>
        <w:rPr>
          <w:rFonts w:ascii="宋体" w:hAnsi="宋体" w:eastAsia="宋体"/>
          <w:sz w:val="24"/>
        </w:rPr>
        <w:t>1 Hz</w:t>
      </w:r>
      <w:r>
        <w:rPr>
          <w:rFonts w:hint="eastAsia" w:ascii="宋体" w:hAnsi="宋体" w:eastAsia="宋体"/>
          <w:sz w:val="24"/>
        </w:rPr>
        <w:t>-</w:t>
      </w:r>
      <w:r>
        <w:rPr>
          <w:rFonts w:ascii="宋体" w:hAnsi="宋体" w:eastAsia="宋体"/>
          <w:sz w:val="24"/>
        </w:rPr>
        <w:t>25 Hz</w:t>
      </w:r>
      <w:r>
        <w:rPr>
          <w:rFonts w:hint="eastAsia" w:ascii="宋体" w:hAnsi="宋体" w:eastAsia="宋体"/>
          <w:sz w:val="24"/>
        </w:rPr>
        <w:t>的扫描速度为</w:t>
      </w:r>
      <w:r>
        <w:rPr>
          <w:rFonts w:ascii="宋体" w:hAnsi="宋体" w:eastAsia="宋体"/>
          <w:sz w:val="24"/>
        </w:rPr>
        <w:t>120</w:t>
      </w:r>
      <w:r>
        <w:rPr>
          <w:rFonts w:hint="eastAsia" w:ascii="宋体" w:hAnsi="宋体" w:eastAsia="宋体"/>
          <w:sz w:val="24"/>
        </w:rPr>
        <w:t>-</w:t>
      </w:r>
      <w:r>
        <w:rPr>
          <w:rFonts w:ascii="宋体" w:hAnsi="宋体" w:eastAsia="宋体"/>
          <w:sz w:val="24"/>
        </w:rPr>
        <w:t>240</w:t>
      </w:r>
      <w:r>
        <w:rPr>
          <w:rFonts w:hint="eastAsia" w:ascii="宋体" w:hAnsi="宋体" w:eastAsia="宋体"/>
          <w:sz w:val="24"/>
        </w:rPr>
        <w:t>秒</w:t>
      </w:r>
    </w:p>
    <w:p>
      <w:pPr>
        <w:spacing w:line="360" w:lineRule="auto"/>
        <w:ind w:left="717" w:leftChars="113" w:hanging="480" w:hangingChars="200"/>
        <w:rPr>
          <w:rFonts w:ascii="宋体" w:hAnsi="宋体" w:eastAsia="宋体"/>
          <w:sz w:val="24"/>
        </w:rPr>
      </w:pPr>
      <w:r>
        <w:rPr>
          <w:rFonts w:hint="eastAsia" w:ascii="宋体" w:hAnsi="宋体" w:eastAsia="宋体"/>
          <w:sz w:val="24"/>
        </w:rPr>
        <w:t>16、频谱与带宽的设置：通过整个频率范围的高频边缘峰值带宽；宽度±平均频率4%；频率范围10Hz~-152KHz，其放大倍数为1:15,000</w:t>
      </w:r>
    </w:p>
    <w:p>
      <w:pPr>
        <w:spacing w:line="360" w:lineRule="auto"/>
        <w:ind w:left="717" w:leftChars="113" w:hanging="480" w:hangingChars="200"/>
        <w:rPr>
          <w:rFonts w:ascii="宋体" w:hAnsi="宋体" w:eastAsia="宋体"/>
          <w:sz w:val="24"/>
        </w:rPr>
      </w:pPr>
      <w:r>
        <w:rPr>
          <w:rFonts w:hint="eastAsia" w:ascii="宋体" w:hAnsi="宋体" w:eastAsia="宋体"/>
          <w:sz w:val="24"/>
        </w:rPr>
        <w:t>17、带宽摇摆：WOBBLE.ON/WOBBLE.OFF摇摆功能开启/关闭。</w:t>
      </w:r>
    </w:p>
    <w:p>
      <w:pPr>
        <w:spacing w:line="360" w:lineRule="auto"/>
        <w:ind w:left="717" w:leftChars="113" w:hanging="480" w:hangingChars="200"/>
        <w:rPr>
          <w:rFonts w:ascii="宋体" w:hAnsi="宋体" w:eastAsia="宋体"/>
          <w:sz w:val="24"/>
        </w:rPr>
      </w:pPr>
      <w:r>
        <w:rPr>
          <w:rFonts w:hint="eastAsia" w:ascii="宋体" w:hAnsi="宋体" w:eastAsia="宋体"/>
          <w:sz w:val="24"/>
        </w:rPr>
        <w:t>*18、自检功能：可自动测试整个电子系统，可进行电池、电缆和调节垫自动测试功能。</w:t>
      </w:r>
    </w:p>
    <w:p>
      <w:pPr>
        <w:spacing w:line="360" w:lineRule="auto"/>
        <w:ind w:left="717" w:leftChars="113" w:hanging="480" w:hangingChars="200"/>
        <w:rPr>
          <w:rFonts w:ascii="宋体" w:hAnsi="宋体" w:eastAsia="宋体"/>
          <w:sz w:val="24"/>
        </w:rPr>
      </w:pPr>
      <w:r>
        <w:rPr>
          <w:rFonts w:hint="eastAsia" w:ascii="宋体" w:hAnsi="宋体" w:eastAsia="宋体"/>
          <w:sz w:val="24"/>
        </w:rPr>
        <w:t>19、特殊过滤：BICOM过滤器H+Di隔离物。</w:t>
      </w:r>
    </w:p>
    <w:p>
      <w:pPr>
        <w:spacing w:line="360" w:lineRule="auto"/>
        <w:ind w:left="717" w:leftChars="113" w:hanging="480" w:hangingChars="200"/>
        <w:rPr>
          <w:rFonts w:ascii="宋体" w:hAnsi="宋体" w:eastAsia="宋体"/>
          <w:sz w:val="24"/>
        </w:rPr>
      </w:pPr>
      <w:r>
        <w:rPr>
          <w:rFonts w:hint="eastAsia" w:ascii="宋体" w:hAnsi="宋体" w:eastAsia="宋体"/>
          <w:sz w:val="24"/>
        </w:rPr>
        <w:t>*20、界面：全汉化操作界面，支持包括中文在内的多种语言。6个</w:t>
      </w:r>
      <w:r>
        <w:rPr>
          <w:rFonts w:ascii="宋体" w:hAnsi="宋体" w:eastAsia="宋体"/>
          <w:sz w:val="24"/>
        </w:rPr>
        <w:t>ODU-</w:t>
      </w:r>
      <w:r>
        <w:rPr>
          <w:rFonts w:hint="eastAsia" w:ascii="宋体" w:hAnsi="宋体" w:eastAsia="宋体"/>
          <w:sz w:val="24"/>
        </w:rPr>
        <w:t>专用插座</w:t>
      </w:r>
      <w:r>
        <w:rPr>
          <w:rFonts w:ascii="宋体" w:hAnsi="宋体" w:eastAsia="宋体"/>
          <w:sz w:val="24"/>
        </w:rPr>
        <w:t xml:space="preserve"> </w:t>
      </w:r>
      <w:r>
        <w:rPr>
          <w:rFonts w:hint="eastAsia" w:ascii="宋体" w:hAnsi="宋体" w:eastAsia="宋体"/>
          <w:sz w:val="24"/>
        </w:rPr>
        <w:t>和3个</w:t>
      </w:r>
      <w:r>
        <w:rPr>
          <w:rFonts w:ascii="宋体" w:hAnsi="宋体" w:eastAsia="宋体"/>
          <w:sz w:val="24"/>
        </w:rPr>
        <w:t>USB</w:t>
      </w:r>
      <w:r>
        <w:rPr>
          <w:rFonts w:hint="eastAsia" w:ascii="宋体" w:hAnsi="宋体" w:eastAsia="宋体"/>
          <w:sz w:val="24"/>
        </w:rPr>
        <w:t>接口可与外部PC或MRT2设备相连。</w:t>
      </w:r>
    </w:p>
    <w:p>
      <w:pPr>
        <w:spacing w:line="360" w:lineRule="auto"/>
        <w:ind w:left="717" w:leftChars="113" w:hanging="480" w:hangingChars="200"/>
        <w:rPr>
          <w:rFonts w:ascii="宋体" w:hAnsi="宋体" w:eastAsia="宋体"/>
          <w:sz w:val="24"/>
        </w:rPr>
      </w:pPr>
      <w:r>
        <w:rPr>
          <w:rFonts w:hint="eastAsia" w:ascii="宋体" w:hAnsi="宋体" w:eastAsia="宋体"/>
          <w:sz w:val="24"/>
        </w:rPr>
        <w:t>21、充电器：主充电器：110-240V，50-60Hz，</w:t>
      </w:r>
      <w:r>
        <w:rPr>
          <w:rFonts w:ascii="宋体" w:hAnsi="宋体" w:eastAsia="宋体"/>
          <w:sz w:val="24"/>
        </w:rPr>
        <w:t>250 mA</w:t>
      </w:r>
      <w:r>
        <w:rPr>
          <w:rFonts w:hint="eastAsia" w:ascii="宋体" w:hAnsi="宋体" w:eastAsia="宋体"/>
          <w:sz w:val="24"/>
        </w:rPr>
        <w:t>，45VA；</w:t>
      </w:r>
    </w:p>
    <w:p>
      <w:pPr>
        <w:spacing w:line="360" w:lineRule="auto"/>
        <w:ind w:left="717" w:leftChars="113" w:hanging="480" w:hangingChars="200"/>
        <w:rPr>
          <w:rFonts w:ascii="宋体" w:hAnsi="宋体" w:eastAsia="宋体"/>
          <w:sz w:val="24"/>
        </w:rPr>
      </w:pPr>
      <w:r>
        <w:rPr>
          <w:rFonts w:hint="eastAsia" w:ascii="宋体" w:hAnsi="宋体" w:eastAsia="宋体"/>
          <w:sz w:val="24"/>
        </w:rPr>
        <w:t xml:space="preserve">       辅充电器：12V，20A，24VA</w:t>
      </w:r>
    </w:p>
    <w:p>
      <w:pPr>
        <w:widowControl/>
        <w:shd w:val="clear" w:color="auto" w:fill="FFFFFF"/>
        <w:spacing w:line="360" w:lineRule="auto"/>
        <w:ind w:firstLine="643" w:firstLineChars="200"/>
        <w:contextualSpacing/>
        <w:jc w:val="center"/>
        <w:rPr>
          <w:rFonts w:ascii="宋体" w:cs="宋体"/>
          <w:b/>
          <w:bCs/>
          <w:kern w:val="0"/>
          <w:sz w:val="32"/>
          <w:szCs w:val="32"/>
          <w:lang w:val="zh-CN"/>
        </w:rPr>
      </w:pPr>
      <w:r>
        <w:rPr>
          <w:rFonts w:hint="eastAsia" w:ascii="宋体" w:cs="宋体"/>
          <w:b/>
          <w:bCs/>
          <w:kern w:val="0"/>
          <w:sz w:val="32"/>
          <w:szCs w:val="32"/>
        </w:rPr>
        <w:t>B包：</w:t>
      </w:r>
      <w:r>
        <w:rPr>
          <w:rFonts w:hint="eastAsia" w:ascii="宋体" w:cs="宋体"/>
          <w:b/>
          <w:bCs/>
          <w:kern w:val="0"/>
          <w:sz w:val="32"/>
          <w:szCs w:val="32"/>
          <w:lang w:val="zh-CN"/>
        </w:rPr>
        <w:t>多波长光纤耦合激光治疗机技术参数</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1.</w:t>
      </w:r>
      <w:r>
        <w:rPr>
          <w:rFonts w:hint="eastAsia" w:ascii="宋体" w:cs="宋体"/>
          <w:kern w:val="0"/>
          <w:sz w:val="24"/>
          <w:lang w:val="zh-CN"/>
        </w:rPr>
        <w:t>激光波长：固态高密度、高光功率多波长光纤激光发生器</w:t>
      </w:r>
      <w:r>
        <w:rPr>
          <w:rFonts w:ascii="宋体" w:cs="宋体"/>
          <w:kern w:val="0"/>
          <w:sz w:val="24"/>
          <w:lang w:val="zh-CN"/>
        </w:rPr>
        <w:t>650mm/810mm/980mm</w:t>
      </w:r>
      <w:r>
        <w:rPr>
          <w:rFonts w:hint="eastAsia" w:ascii="宋体" w:cs="宋体"/>
          <w:kern w:val="0"/>
          <w:sz w:val="24"/>
          <w:lang w:val="zh-CN"/>
        </w:rPr>
        <w:t>多波长光纤耦合输出；</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2</w:t>
      </w:r>
      <w:r>
        <w:rPr>
          <w:rFonts w:hint="eastAsia" w:ascii="宋体" w:cs="宋体"/>
          <w:kern w:val="0"/>
          <w:sz w:val="24"/>
          <w:lang w:val="zh-CN"/>
        </w:rPr>
        <w:t>，激光功率：</w:t>
      </w:r>
      <w:r>
        <w:rPr>
          <w:rFonts w:ascii="宋体" w:cs="宋体"/>
          <w:kern w:val="0"/>
          <w:sz w:val="24"/>
          <w:lang w:val="zh-CN"/>
        </w:rPr>
        <w:t xml:space="preserve">650mm </w:t>
      </w:r>
      <w:r>
        <w:rPr>
          <w:rFonts w:hint="eastAsia" w:ascii="宋体" w:cs="宋体"/>
          <w:kern w:val="0"/>
          <w:sz w:val="24"/>
          <w:lang w:val="zh-CN"/>
        </w:rPr>
        <w:t>激光末端单路输出</w:t>
      </w:r>
      <w:r>
        <w:rPr>
          <w:rFonts w:ascii="宋体" w:cs="宋体"/>
          <w:kern w:val="0"/>
          <w:sz w:val="24"/>
          <w:lang w:val="zh-CN"/>
        </w:rPr>
        <w:t>200mw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810mm </w:t>
      </w:r>
      <w:r>
        <w:rPr>
          <w:rFonts w:hint="eastAsia" w:ascii="宋体" w:cs="宋体"/>
          <w:kern w:val="0"/>
          <w:sz w:val="24"/>
          <w:lang w:val="zh-CN"/>
        </w:rPr>
        <w:t>激光末端单路输出</w:t>
      </w:r>
      <w:r>
        <w:rPr>
          <w:rFonts w:ascii="宋体" w:cs="宋体"/>
          <w:kern w:val="0"/>
          <w:sz w:val="24"/>
          <w:lang w:val="zh-CN"/>
        </w:rPr>
        <w:t>2000mw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980mm </w:t>
      </w:r>
      <w:r>
        <w:rPr>
          <w:rFonts w:hint="eastAsia" w:ascii="宋体" w:cs="宋体"/>
          <w:kern w:val="0"/>
          <w:sz w:val="24"/>
          <w:lang w:val="zh-CN"/>
        </w:rPr>
        <w:t>激光末端单路输出</w:t>
      </w:r>
      <w:r>
        <w:rPr>
          <w:rFonts w:ascii="宋体" w:cs="宋体"/>
          <w:kern w:val="0"/>
          <w:sz w:val="24"/>
          <w:lang w:val="zh-CN"/>
        </w:rPr>
        <w:t>2000mw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w:t>
      </w:r>
      <w:r>
        <w:rPr>
          <w:rFonts w:hint="eastAsia" w:ascii="宋体" w:cs="宋体"/>
          <w:kern w:val="0"/>
          <w:sz w:val="24"/>
          <w:lang w:val="zh-CN"/>
        </w:rPr>
        <w:t>复合输出总功率：</w:t>
      </w:r>
      <w:r>
        <w:rPr>
          <w:rFonts w:ascii="宋体" w:cs="宋体"/>
          <w:kern w:val="0"/>
          <w:sz w:val="24"/>
          <w:lang w:val="zh-CN"/>
        </w:rPr>
        <w:t>4200mw</w:t>
      </w:r>
      <w:r>
        <w:rPr>
          <w:rFonts w:hint="eastAsia" w:ascii="宋体" w:cs="宋体"/>
          <w:kern w:val="0"/>
          <w:sz w:val="24"/>
          <w:lang w:val="zh-CN"/>
        </w:rPr>
        <w:t>。</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3</w:t>
      </w:r>
      <w:r>
        <w:rPr>
          <w:rFonts w:hint="eastAsia" w:ascii="宋体" w:cs="宋体"/>
          <w:kern w:val="0"/>
          <w:sz w:val="24"/>
          <w:lang w:val="zh-CN"/>
        </w:rPr>
        <w:t>，激光输出方式：三种波长同事合束耦合光纤复合准直扩束（散焦）、连续</w:t>
      </w:r>
      <w:r>
        <w:rPr>
          <w:rFonts w:ascii="宋体" w:cs="宋体"/>
          <w:kern w:val="0"/>
          <w:sz w:val="24"/>
          <w:lang w:val="zh-CN"/>
        </w:rPr>
        <w:t>/</w:t>
      </w:r>
      <w:r>
        <w:rPr>
          <w:rFonts w:hint="eastAsia" w:ascii="宋体" w:cs="宋体"/>
          <w:kern w:val="0"/>
          <w:sz w:val="24"/>
          <w:lang w:val="zh-CN"/>
        </w:rPr>
        <w:t>脉冲输出</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4</w:t>
      </w:r>
      <w:r>
        <w:rPr>
          <w:rFonts w:hint="eastAsia" w:ascii="宋体" w:cs="宋体"/>
          <w:kern w:val="0"/>
          <w:sz w:val="24"/>
          <w:lang w:val="zh-CN"/>
        </w:rPr>
        <w:t>。治疗方式：</w:t>
      </w:r>
      <w:r>
        <w:rPr>
          <w:rFonts w:ascii="宋体" w:cs="宋体"/>
          <w:kern w:val="0"/>
          <w:sz w:val="24"/>
          <w:lang w:val="zh-CN"/>
        </w:rPr>
        <w:t>1</w:t>
      </w:r>
      <w:r>
        <w:rPr>
          <w:rFonts w:hint="eastAsia" w:ascii="宋体" w:cs="宋体"/>
          <w:kern w:val="0"/>
          <w:sz w:val="24"/>
          <w:lang w:val="zh-CN"/>
        </w:rPr>
        <w:t>）、手持或万向臂支架固定照射；</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 xml:space="preserve">         2</w:t>
      </w:r>
      <w:r>
        <w:rPr>
          <w:rFonts w:hint="eastAsia" w:ascii="宋体" w:cs="宋体"/>
          <w:kern w:val="0"/>
          <w:sz w:val="24"/>
          <w:lang w:val="zh-CN"/>
        </w:rPr>
        <w:t>）、配有具有防护装置的大小两种治疗头、可根据治疗部位的狭窄程度更换治疗头，使用更换方便。</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5</w:t>
      </w:r>
      <w:r>
        <w:rPr>
          <w:rFonts w:hint="eastAsia" w:ascii="宋体" w:cs="宋体"/>
          <w:kern w:val="0"/>
          <w:sz w:val="24"/>
          <w:lang w:val="zh-CN"/>
        </w:rPr>
        <w:t>，光斑适配器：科持续调节光斑大小，最大可调节到</w:t>
      </w:r>
      <w:r>
        <w:rPr>
          <w:rFonts w:ascii="宋体" w:cs="宋体"/>
          <w:kern w:val="0"/>
          <w:sz w:val="24"/>
          <w:lang w:val="zh-CN"/>
        </w:rPr>
        <w:t>200mm</w:t>
      </w:r>
    </w:p>
    <w:p>
      <w:pPr>
        <w:autoSpaceDE w:val="0"/>
        <w:autoSpaceDN w:val="0"/>
        <w:adjustRightInd w:val="0"/>
        <w:spacing w:after="200" w:line="600" w:lineRule="atLeast"/>
        <w:jc w:val="left"/>
        <w:rPr>
          <w:rFonts w:ascii="宋体" w:cs="宋体"/>
          <w:kern w:val="0"/>
          <w:sz w:val="24"/>
        </w:rPr>
      </w:pPr>
      <w:r>
        <w:rPr>
          <w:rFonts w:ascii="宋体" w:cs="宋体"/>
          <w:kern w:val="0"/>
          <w:sz w:val="24"/>
          <w:lang w:val="zh-CN"/>
        </w:rPr>
        <w:t>6</w:t>
      </w:r>
      <w:r>
        <w:rPr>
          <w:rFonts w:hint="eastAsia" w:ascii="宋体" w:cs="宋体"/>
          <w:kern w:val="0"/>
          <w:sz w:val="24"/>
          <w:lang w:val="zh-CN"/>
        </w:rPr>
        <w:t>，输出激光功率调节方式：步进</w:t>
      </w:r>
      <w:r>
        <w:rPr>
          <w:rFonts w:ascii="宋体" w:cs="宋体"/>
          <w:kern w:val="0"/>
          <w:sz w:val="24"/>
          <w:lang w:val="zh-CN"/>
        </w:rPr>
        <w:t>1</w:t>
      </w:r>
      <w:r>
        <w:rPr>
          <w:rFonts w:hint="eastAsia" w:ascii="宋体" w:cs="宋体"/>
          <w:kern w:val="0"/>
          <w:sz w:val="24"/>
          <w:lang w:val="zh-CN"/>
        </w:rPr>
        <w:t>毫瓦调节输出；光功率输出误差精度</w:t>
      </w:r>
      <w:r>
        <w:rPr>
          <w:rFonts w:hint="eastAsia" w:ascii="宋体" w:cs="宋体"/>
          <w:kern w:val="0"/>
          <w:sz w:val="24"/>
        </w:rPr>
        <w:t>±</w:t>
      </w:r>
      <w:r>
        <w:rPr>
          <w:rFonts w:ascii="宋体" w:cs="宋体"/>
          <w:kern w:val="0"/>
          <w:sz w:val="24"/>
        </w:rPr>
        <w:t>5%</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7</w:t>
      </w:r>
      <w:r>
        <w:rPr>
          <w:rFonts w:hint="eastAsia" w:ascii="宋体" w:cs="宋体"/>
          <w:kern w:val="0"/>
          <w:sz w:val="24"/>
          <w:lang w:val="zh-CN"/>
        </w:rPr>
        <w:t>，控制方式：双</w:t>
      </w:r>
      <w:r>
        <w:rPr>
          <w:rFonts w:ascii="宋体" w:cs="宋体"/>
          <w:kern w:val="0"/>
          <w:sz w:val="24"/>
          <w:lang w:val="zh-CN"/>
        </w:rPr>
        <w:t>CPU</w:t>
      </w:r>
      <w:r>
        <w:rPr>
          <w:rFonts w:hint="eastAsia" w:ascii="宋体" w:cs="宋体"/>
          <w:kern w:val="0"/>
          <w:sz w:val="24"/>
          <w:lang w:val="zh-CN"/>
        </w:rPr>
        <w:t>危机程序控制、高可靠性程序控制电路、具有记忆功能、</w:t>
      </w:r>
      <w:r>
        <w:rPr>
          <w:rFonts w:ascii="宋体" w:cs="宋体"/>
          <w:kern w:val="0"/>
          <w:sz w:val="24"/>
          <w:lang w:val="zh-CN"/>
        </w:rPr>
        <w:t>8</w:t>
      </w:r>
      <w:r>
        <w:rPr>
          <w:rFonts w:hint="eastAsia" w:ascii="宋体" w:cs="宋体"/>
          <w:kern w:val="0"/>
          <w:sz w:val="24"/>
          <w:lang w:val="zh-CN"/>
        </w:rPr>
        <w:t>，故障报警和诊断功能、软件升级功能。并具备先进的</w:t>
      </w:r>
      <w:r>
        <w:rPr>
          <w:rFonts w:ascii="宋体" w:cs="宋体"/>
          <w:kern w:val="0"/>
          <w:sz w:val="24"/>
          <w:lang w:val="zh-CN"/>
        </w:rPr>
        <w:t>TEC</w:t>
      </w:r>
      <w:r>
        <w:rPr>
          <w:rFonts w:hint="eastAsia" w:ascii="宋体" w:cs="宋体"/>
          <w:kern w:val="0"/>
          <w:sz w:val="24"/>
          <w:lang w:val="zh-CN"/>
        </w:rPr>
        <w:t>制冷方式。</w:t>
      </w:r>
    </w:p>
    <w:p>
      <w:pPr>
        <w:autoSpaceDE w:val="0"/>
        <w:autoSpaceDN w:val="0"/>
        <w:adjustRightInd w:val="0"/>
        <w:spacing w:after="200" w:line="600" w:lineRule="atLeast"/>
        <w:jc w:val="left"/>
        <w:rPr>
          <w:rFonts w:ascii="宋体" w:cs="宋体"/>
          <w:kern w:val="0"/>
          <w:sz w:val="24"/>
          <w:lang w:val="zh-CN"/>
        </w:rPr>
      </w:pPr>
      <w:r>
        <w:rPr>
          <w:rFonts w:ascii="宋体" w:cs="宋体"/>
          <w:kern w:val="0"/>
          <w:sz w:val="24"/>
          <w:lang w:val="zh-CN"/>
        </w:rPr>
        <w:t>9</w:t>
      </w:r>
      <w:r>
        <w:rPr>
          <w:rFonts w:hint="eastAsia" w:ascii="宋体" w:cs="宋体"/>
          <w:kern w:val="0"/>
          <w:sz w:val="24"/>
          <w:lang w:val="zh-CN"/>
        </w:rPr>
        <w:t>，显示方式：</w:t>
      </w:r>
      <w:r>
        <w:rPr>
          <w:rFonts w:ascii="宋体" w:cs="宋体"/>
          <w:kern w:val="0"/>
          <w:sz w:val="24"/>
          <w:lang w:val="zh-CN"/>
        </w:rPr>
        <w:t>7</w:t>
      </w:r>
      <w:r>
        <w:rPr>
          <w:rFonts w:hint="eastAsia" w:ascii="宋体" w:cs="宋体"/>
          <w:kern w:val="0"/>
          <w:sz w:val="24"/>
          <w:lang w:val="zh-CN"/>
        </w:rPr>
        <w:t>英寸</w:t>
      </w:r>
      <w:r>
        <w:rPr>
          <w:rFonts w:ascii="宋体" w:cs="宋体"/>
          <w:kern w:val="0"/>
          <w:sz w:val="24"/>
          <w:lang w:val="zh-CN"/>
        </w:rPr>
        <w:t>TFT</w:t>
      </w:r>
      <w:r>
        <w:rPr>
          <w:rFonts w:hint="eastAsia" w:ascii="宋体" w:cs="宋体"/>
          <w:kern w:val="0"/>
          <w:sz w:val="24"/>
          <w:lang w:val="zh-CN"/>
        </w:rPr>
        <w:t>彩色液晶显示器。</w:t>
      </w:r>
    </w:p>
    <w:p>
      <w:pPr>
        <w:widowControl/>
        <w:shd w:val="clear" w:color="auto" w:fill="FFFFFF"/>
        <w:spacing w:line="360" w:lineRule="auto"/>
        <w:ind w:firstLine="643" w:firstLineChars="200"/>
        <w:contextualSpacing/>
        <w:jc w:val="center"/>
        <w:rPr>
          <w:rFonts w:ascii="宋体" w:cs="宋体"/>
          <w:b/>
          <w:bCs/>
          <w:kern w:val="0"/>
          <w:sz w:val="32"/>
          <w:szCs w:val="32"/>
          <w:lang w:val="zh-CN"/>
        </w:rPr>
      </w:pPr>
      <w:r>
        <w:rPr>
          <w:rFonts w:hint="eastAsia" w:ascii="宋体" w:cs="宋体"/>
          <w:b/>
          <w:bCs/>
          <w:kern w:val="0"/>
          <w:sz w:val="32"/>
          <w:szCs w:val="32"/>
        </w:rPr>
        <w:t>C包：早期语言评估与干预仪功能用途</w:t>
      </w:r>
    </w:p>
    <w:tbl>
      <w:tblPr>
        <w:tblStyle w:val="10"/>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ascii="宋体" w:cs="宋体"/>
                <w:kern w:val="0"/>
                <w:sz w:val="24"/>
                <w:lang w:val="zh-CN"/>
              </w:rPr>
              <w:br w:type="page"/>
            </w:r>
            <w:r>
              <w:rPr>
                <w:rFonts w:hint="eastAsia" w:ascii="宋体" w:cs="宋体"/>
                <w:kern w:val="0"/>
                <w:sz w:val="24"/>
                <w:lang w:val="zh-CN"/>
              </w:rPr>
              <w:t>名称</w:t>
            </w:r>
          </w:p>
        </w:tc>
        <w:tc>
          <w:tcPr>
            <w:tcW w:w="75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hint="eastAsia" w:ascii="宋体" w:cs="宋体"/>
                <w:kern w:val="0"/>
                <w:sz w:val="24"/>
                <w:lang w:val="zh-CN"/>
              </w:rPr>
              <w:t>早期语言评估与干预仪功能用途 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8" w:lineRule="auto"/>
              <w:jc w:val="center"/>
              <w:rPr>
                <w:rFonts w:ascii="宋体" w:cs="宋体"/>
                <w:kern w:val="0"/>
                <w:sz w:val="24"/>
                <w:lang w:val="zh-CN"/>
              </w:rPr>
            </w:pPr>
            <w:r>
              <w:rPr>
                <w:rFonts w:hint="eastAsia" w:ascii="宋体" w:cs="宋体"/>
                <w:kern w:val="0"/>
                <w:sz w:val="24"/>
                <w:lang w:val="zh-CN"/>
              </w:rPr>
              <w:t>早期语言障碍评估与干预仪</w:t>
            </w:r>
          </w:p>
          <w:p>
            <w:pPr>
              <w:spacing w:line="288" w:lineRule="auto"/>
              <w:jc w:val="center"/>
              <w:rPr>
                <w:rFonts w:ascii="宋体" w:cs="宋体"/>
                <w:kern w:val="0"/>
                <w:sz w:val="24"/>
                <w:lang w:val="zh-CN"/>
              </w:rPr>
            </w:pPr>
          </w:p>
        </w:tc>
        <w:tc>
          <w:tcPr>
            <w:tcW w:w="7595" w:type="dxa"/>
            <w:tcBorders>
              <w:top w:val="single" w:color="auto" w:sz="4" w:space="0"/>
              <w:left w:val="single" w:color="auto" w:sz="4" w:space="0"/>
              <w:bottom w:val="single" w:color="auto" w:sz="4" w:space="0"/>
              <w:right w:val="single" w:color="auto" w:sz="4" w:space="0"/>
            </w:tcBorders>
            <w:shd w:val="clear" w:color="auto" w:fill="auto"/>
          </w:tcPr>
          <w:p>
            <w:pPr>
              <w:spacing w:line="288" w:lineRule="auto"/>
              <w:rPr>
                <w:rFonts w:ascii="宋体" w:cs="宋体"/>
                <w:kern w:val="0"/>
                <w:sz w:val="24"/>
                <w:lang w:val="zh-CN"/>
              </w:rPr>
            </w:pPr>
            <w:r>
              <w:rPr>
                <w:rFonts w:hint="eastAsia" w:ascii="宋体" w:cs="宋体"/>
                <w:kern w:val="0"/>
                <w:sz w:val="24"/>
                <w:lang w:val="zh-CN"/>
              </w:rPr>
              <w:t>一、主要用途：</w:t>
            </w:r>
          </w:p>
          <w:p>
            <w:pPr>
              <w:spacing w:line="288" w:lineRule="auto"/>
              <w:ind w:firstLine="440"/>
              <w:rPr>
                <w:rFonts w:ascii="宋体" w:cs="宋体"/>
                <w:kern w:val="0"/>
                <w:sz w:val="24"/>
                <w:lang w:val="zh-CN"/>
              </w:rPr>
            </w:pPr>
            <w:r>
              <w:rPr>
                <w:rFonts w:hint="eastAsia" w:ascii="宋体" w:cs="宋体"/>
                <w:kern w:val="0"/>
                <w:sz w:val="24"/>
                <w:lang w:val="zh-CN"/>
              </w:rPr>
              <w:t>用于早期语言障碍评估和干预。通过对实时语言（构音、语音、鼻音）、电声门图信号进行基频、谐波、FFT、LPC、语谱图的检测、处理，为早期语言障碍提供评估诊断和康复训练。</w:t>
            </w:r>
          </w:p>
          <w:p>
            <w:pPr>
              <w:spacing w:line="288" w:lineRule="auto"/>
              <w:ind w:firstLine="440"/>
              <w:rPr>
                <w:rFonts w:ascii="宋体" w:cs="宋体"/>
                <w:kern w:val="0"/>
                <w:sz w:val="24"/>
                <w:lang w:val="zh-CN"/>
              </w:rPr>
            </w:pPr>
          </w:p>
          <w:p>
            <w:pPr>
              <w:spacing w:line="288" w:lineRule="auto"/>
              <w:rPr>
                <w:rFonts w:ascii="宋体" w:cs="宋体"/>
                <w:kern w:val="0"/>
                <w:sz w:val="24"/>
                <w:lang w:val="zh-CN"/>
              </w:rPr>
            </w:pPr>
            <w:r>
              <w:rPr>
                <w:rFonts w:hint="eastAsia" w:ascii="宋体" w:cs="宋体"/>
                <w:kern w:val="0"/>
                <w:sz w:val="24"/>
                <w:lang w:val="zh-CN"/>
              </w:rPr>
              <w:t>二、主要功能：</w:t>
            </w:r>
          </w:p>
          <w:p>
            <w:pPr>
              <w:spacing w:after="120" w:line="360" w:lineRule="exact"/>
              <w:rPr>
                <w:rFonts w:ascii="宋体" w:cs="宋体"/>
                <w:kern w:val="0"/>
                <w:sz w:val="24"/>
                <w:lang w:val="zh-CN"/>
              </w:rPr>
            </w:pPr>
            <w:r>
              <w:rPr>
                <w:rFonts w:ascii="宋体" w:cs="宋体"/>
                <w:kern w:val="0"/>
                <w:sz w:val="24"/>
                <w:lang w:val="zh-CN"/>
              </w:rPr>
              <w:t>1</w:t>
            </w:r>
            <w:r>
              <w:rPr>
                <w:rFonts w:hint="eastAsia" w:ascii="宋体" w:cs="宋体"/>
                <w:kern w:val="0"/>
                <w:sz w:val="24"/>
                <w:lang w:val="zh-CN"/>
              </w:rPr>
              <w:t>）早期语言障碍评估，包含非言语功能测量与评估、前语言能力的测量评估、语言理解与表达能力测量与发展水平评估、语言韵律能力的测量评估；</w:t>
            </w:r>
          </w:p>
          <w:p>
            <w:pPr>
              <w:spacing w:after="120" w:line="360" w:lineRule="exact"/>
              <w:rPr>
                <w:rFonts w:ascii="宋体" w:cs="宋体"/>
                <w:kern w:val="0"/>
                <w:sz w:val="24"/>
                <w:lang w:val="zh-CN"/>
              </w:rPr>
            </w:pPr>
            <w:r>
              <w:rPr>
                <w:rFonts w:ascii="宋体" w:cs="宋体"/>
                <w:kern w:val="0"/>
                <w:sz w:val="24"/>
                <w:lang w:val="zh-CN"/>
              </w:rPr>
              <w:t>2</w:t>
            </w:r>
            <w:r>
              <w:rPr>
                <w:rFonts w:hint="eastAsia" w:ascii="宋体" w:cs="宋体"/>
                <w:kern w:val="0"/>
                <w:sz w:val="24"/>
                <w:lang w:val="zh-CN"/>
              </w:rPr>
              <w:t>）早期语言障碍干预，包含非语言沟通能力的训练、前语言阶段的辅助沟通能力训练功能、语言理解与表达能力训练；</w:t>
            </w:r>
          </w:p>
          <w:p>
            <w:pPr>
              <w:spacing w:after="120" w:line="360" w:lineRule="exact"/>
              <w:rPr>
                <w:rFonts w:ascii="宋体" w:cs="宋体"/>
                <w:kern w:val="0"/>
                <w:sz w:val="24"/>
                <w:lang w:val="zh-CN"/>
              </w:rPr>
            </w:pPr>
            <w:r>
              <w:rPr>
                <w:rFonts w:ascii="宋体" w:cs="宋体"/>
                <w:kern w:val="0"/>
                <w:sz w:val="24"/>
                <w:lang w:val="zh-CN"/>
              </w:rPr>
              <w:t>3</w:t>
            </w:r>
            <w:r>
              <w:rPr>
                <w:rFonts w:hint="eastAsia" w:ascii="宋体" w:cs="宋体"/>
                <w:kern w:val="0"/>
                <w:sz w:val="24"/>
                <w:lang w:val="zh-CN"/>
              </w:rPr>
              <w:t>）言语语言综合能力测试与评估，包含言语语言功能实时测量评估、语言功能的测量评估；</w:t>
            </w:r>
          </w:p>
          <w:p>
            <w:pPr>
              <w:spacing w:after="120" w:line="360" w:lineRule="exact"/>
              <w:rPr>
                <w:rFonts w:ascii="宋体" w:cs="宋体"/>
                <w:kern w:val="0"/>
                <w:sz w:val="24"/>
                <w:lang w:val="zh-CN"/>
              </w:rPr>
            </w:pPr>
            <w:r>
              <w:rPr>
                <w:rFonts w:ascii="宋体" w:cs="宋体"/>
                <w:kern w:val="0"/>
                <w:sz w:val="24"/>
                <w:lang w:val="zh-CN"/>
              </w:rPr>
              <w:t>4</w:t>
            </w:r>
            <w:r>
              <w:rPr>
                <w:rFonts w:hint="eastAsia" w:ascii="宋体" w:cs="宋体"/>
                <w:kern w:val="0"/>
                <w:sz w:val="24"/>
                <w:lang w:val="zh-CN"/>
              </w:rPr>
              <w:t>）语言语言综合能力实时视听自反馈的康复训练，包括四窗口交互式实时言语语言自反馈训练、★实时言语语言电声门图综合测量和显示、实时言语语言电声门图综合视听自反馈发声训练；</w:t>
            </w:r>
          </w:p>
          <w:p>
            <w:pPr>
              <w:spacing w:after="120" w:line="360" w:lineRule="exact"/>
              <w:rPr>
                <w:rFonts w:ascii="宋体" w:cs="宋体"/>
                <w:kern w:val="0"/>
                <w:sz w:val="24"/>
                <w:lang w:val="zh-CN"/>
              </w:rPr>
            </w:pPr>
            <w:r>
              <w:rPr>
                <w:rFonts w:ascii="宋体" w:cs="宋体"/>
                <w:kern w:val="0"/>
                <w:sz w:val="24"/>
                <w:lang w:val="zh-CN"/>
              </w:rPr>
              <w:t>5</w:t>
            </w:r>
            <w:r>
              <w:rPr>
                <w:rFonts w:hint="eastAsia" w:ascii="宋体" w:cs="宋体"/>
                <w:kern w:val="0"/>
                <w:sz w:val="24"/>
                <w:lang w:val="zh-CN"/>
              </w:rPr>
              <w:t>）具有语言康复效果监控模拟、综合康复支持、以及实时语言测量功能；</w:t>
            </w:r>
          </w:p>
          <w:p>
            <w:pPr>
              <w:spacing w:line="288" w:lineRule="auto"/>
              <w:rPr>
                <w:rFonts w:ascii="宋体" w:cs="宋体"/>
                <w:kern w:val="0"/>
                <w:sz w:val="24"/>
                <w:lang w:val="zh-CN"/>
              </w:rPr>
            </w:pPr>
            <w:r>
              <w:rPr>
                <w:rFonts w:hint="eastAsia" w:ascii="宋体" w:cs="宋体"/>
                <w:kern w:val="0"/>
                <w:sz w:val="24"/>
                <w:lang w:val="zh-CN"/>
              </w:rPr>
              <w:t>三、主要组成：</w:t>
            </w:r>
          </w:p>
          <w:p>
            <w:pPr>
              <w:spacing w:line="288" w:lineRule="auto"/>
              <w:ind w:firstLine="240" w:firstLineChars="100"/>
              <w:rPr>
                <w:rFonts w:ascii="宋体" w:cs="宋体"/>
                <w:kern w:val="0"/>
                <w:sz w:val="24"/>
                <w:lang w:val="zh-CN"/>
              </w:rPr>
            </w:pPr>
            <w:r>
              <w:rPr>
                <w:rFonts w:hint="eastAsia" w:ascii="宋体" w:cs="宋体"/>
                <w:kern w:val="0"/>
                <w:sz w:val="24"/>
                <w:lang w:val="zh-CN"/>
              </w:rPr>
              <w:t>配有台车、专用主机、单向型专业话筒、有源音箱、彩色液晶宽屏显示器、彩色喷墨打印机、语言功能评估与训练用具，★电声门图仪、电声门图电极、早期语言障碍评估与干预仪专用软件包。</w:t>
            </w:r>
          </w:p>
          <w:p>
            <w:pPr>
              <w:spacing w:line="288" w:lineRule="auto"/>
              <w:ind w:firstLine="240" w:firstLineChars="100"/>
              <w:rPr>
                <w:rFonts w:ascii="宋体" w:cs="宋体"/>
                <w:kern w:val="0"/>
                <w:sz w:val="24"/>
                <w:lang w:val="zh-CN"/>
              </w:rPr>
            </w:pPr>
          </w:p>
          <w:p>
            <w:pPr>
              <w:pStyle w:val="11"/>
              <w:spacing w:line="288" w:lineRule="auto"/>
              <w:ind w:firstLine="480"/>
              <w:rPr>
                <w:rFonts w:ascii="宋体" w:cs="宋体"/>
                <w:kern w:val="0"/>
                <w:sz w:val="24"/>
                <w:lang w:val="zh-CN"/>
              </w:rPr>
            </w:pPr>
            <w:r>
              <w:rPr>
                <w:rFonts w:hint="eastAsia" w:ascii="宋体" w:cs="宋体"/>
                <w:kern w:val="0"/>
                <w:sz w:val="24"/>
                <w:lang w:val="zh-CN"/>
              </w:rPr>
              <w:t>四</w:t>
            </w:r>
            <w:r>
              <w:rPr>
                <w:rFonts w:ascii="宋体" w:cs="宋体"/>
                <w:kern w:val="0"/>
                <w:sz w:val="24"/>
                <w:lang w:val="zh-CN"/>
              </w:rPr>
              <w:t>、</w:t>
            </w:r>
            <w:r>
              <w:rPr>
                <w:rFonts w:hint="eastAsia" w:ascii="宋体" w:cs="宋体"/>
                <w:kern w:val="0"/>
                <w:sz w:val="24"/>
                <w:lang w:val="zh-CN"/>
              </w:rPr>
              <w:t>主要技术指标：</w:t>
            </w:r>
          </w:p>
          <w:p>
            <w:pPr>
              <w:spacing w:line="288" w:lineRule="auto"/>
              <w:rPr>
                <w:rFonts w:ascii="宋体" w:cs="宋体"/>
                <w:kern w:val="0"/>
                <w:sz w:val="24"/>
                <w:lang w:val="zh-CN"/>
              </w:rPr>
            </w:pPr>
            <w:r>
              <w:rPr>
                <w:rFonts w:hint="eastAsia" w:ascii="宋体" w:cs="宋体"/>
                <w:kern w:val="0"/>
                <w:sz w:val="24"/>
                <w:lang w:val="zh-CN"/>
              </w:rPr>
              <w:t>1、早期语言障碍评估与干预仪用于早期语言障碍的功能评估与康复训练，其主要技术指标：</w:t>
            </w:r>
          </w:p>
          <w:p>
            <w:pPr>
              <w:spacing w:line="288" w:lineRule="auto"/>
              <w:ind w:left="210"/>
              <w:rPr>
                <w:rFonts w:ascii="宋体" w:cs="宋体"/>
                <w:kern w:val="0"/>
                <w:sz w:val="24"/>
                <w:lang w:val="zh-CN"/>
              </w:rPr>
            </w:pPr>
            <w:r>
              <w:rPr>
                <w:rFonts w:hint="eastAsia" w:ascii="宋体" w:cs="宋体"/>
                <w:kern w:val="0"/>
                <w:sz w:val="24"/>
                <w:lang w:val="zh-CN"/>
              </w:rPr>
              <w:t>（1）实时语言信号：</w:t>
            </w:r>
          </w:p>
          <w:p>
            <w:pPr>
              <w:spacing w:line="288" w:lineRule="auto"/>
              <w:ind w:firstLine="480" w:firstLineChars="200"/>
              <w:rPr>
                <w:rFonts w:ascii="宋体" w:cs="宋体"/>
                <w:kern w:val="0"/>
                <w:sz w:val="24"/>
                <w:lang w:val="zh-CN"/>
              </w:rPr>
            </w:pPr>
            <w:r>
              <w:rPr>
                <w:rFonts w:hint="eastAsia" w:ascii="宋体" w:cs="宋体"/>
                <w:kern w:val="0"/>
                <w:sz w:val="24"/>
                <w:lang w:val="zh-CN"/>
              </w:rPr>
              <w:t>1）谐波频率误差：±4%；</w:t>
            </w:r>
          </w:p>
          <w:p>
            <w:pPr>
              <w:spacing w:line="288" w:lineRule="auto"/>
              <w:ind w:firstLine="480" w:firstLineChars="200"/>
              <w:rPr>
                <w:rFonts w:ascii="宋体" w:cs="宋体"/>
                <w:kern w:val="0"/>
                <w:sz w:val="24"/>
                <w:lang w:val="zh-CN"/>
              </w:rPr>
            </w:pPr>
            <w:r>
              <w:rPr>
                <w:rFonts w:hint="eastAsia" w:ascii="宋体" w:cs="宋体"/>
                <w:kern w:val="0"/>
                <w:sz w:val="24"/>
                <w:lang w:val="zh-CN"/>
              </w:rPr>
              <w:t>2）基频实时响应速率：≤6ms；</w:t>
            </w:r>
          </w:p>
          <w:p>
            <w:pPr>
              <w:spacing w:line="288" w:lineRule="auto"/>
              <w:ind w:firstLine="480" w:firstLineChars="200"/>
              <w:rPr>
                <w:rFonts w:ascii="宋体" w:cs="宋体"/>
                <w:kern w:val="0"/>
                <w:sz w:val="24"/>
                <w:lang w:val="zh-CN"/>
              </w:rPr>
            </w:pPr>
            <w:r>
              <w:rPr>
                <w:rFonts w:hint="eastAsia" w:ascii="宋体" w:cs="宋体"/>
                <w:kern w:val="0"/>
                <w:sz w:val="24"/>
                <w:lang w:val="zh-CN"/>
              </w:rPr>
              <w:t>3）FFT实时响应速率：≤48ms；</w:t>
            </w:r>
          </w:p>
          <w:p>
            <w:pPr>
              <w:spacing w:line="288" w:lineRule="auto"/>
              <w:ind w:firstLine="480" w:firstLineChars="200"/>
              <w:rPr>
                <w:rFonts w:ascii="宋体" w:cs="宋体"/>
                <w:kern w:val="0"/>
                <w:sz w:val="24"/>
                <w:lang w:val="zh-CN"/>
              </w:rPr>
            </w:pPr>
            <w:r>
              <w:rPr>
                <w:rFonts w:hint="eastAsia" w:ascii="宋体" w:cs="宋体"/>
                <w:kern w:val="0"/>
                <w:sz w:val="24"/>
                <w:lang w:val="zh-CN"/>
              </w:rPr>
              <w:t>4）LPC实时响应速率：≤45ms；</w:t>
            </w:r>
          </w:p>
          <w:p>
            <w:pPr>
              <w:spacing w:line="288" w:lineRule="auto"/>
              <w:ind w:firstLine="480" w:firstLineChars="200"/>
              <w:rPr>
                <w:rFonts w:ascii="宋体" w:cs="宋体"/>
                <w:kern w:val="0"/>
                <w:sz w:val="24"/>
                <w:lang w:val="zh-CN"/>
              </w:rPr>
            </w:pPr>
            <w:r>
              <w:rPr>
                <w:rFonts w:hint="eastAsia" w:ascii="宋体" w:cs="宋体"/>
                <w:kern w:val="0"/>
                <w:sz w:val="24"/>
                <w:lang w:val="zh-CN"/>
              </w:rPr>
              <w:t>5）语谱图实时分辨率：窄带60Hz、中带120Hz、宽带240Hz：12.7ms±4%；</w:t>
            </w:r>
          </w:p>
          <w:p>
            <w:pPr>
              <w:pStyle w:val="11"/>
              <w:spacing w:line="288" w:lineRule="auto"/>
              <w:ind w:firstLine="480"/>
              <w:rPr>
                <w:rFonts w:ascii="宋体" w:cs="宋体"/>
                <w:kern w:val="0"/>
                <w:sz w:val="24"/>
                <w:lang w:val="zh-CN"/>
              </w:rPr>
            </w:pPr>
            <w:r>
              <w:rPr>
                <w:rFonts w:ascii="宋体" w:cs="宋体"/>
                <w:kern w:val="0"/>
                <w:sz w:val="24"/>
                <w:lang w:val="zh-CN"/>
              </w:rPr>
              <w:t>2</w:t>
            </w:r>
            <w:r>
              <w:rPr>
                <w:rFonts w:hint="eastAsia" w:ascii="宋体" w:cs="宋体"/>
                <w:kern w:val="0"/>
                <w:sz w:val="24"/>
                <w:lang w:val="zh-CN"/>
              </w:rPr>
              <w:t>、电声门图用于对语言信号的实时采样，其主要技术指标：</w:t>
            </w:r>
          </w:p>
          <w:p>
            <w:pPr>
              <w:spacing w:line="288" w:lineRule="auto"/>
              <w:ind w:firstLine="240" w:firstLineChars="100"/>
              <w:rPr>
                <w:rFonts w:ascii="宋体" w:cs="宋体"/>
                <w:kern w:val="0"/>
                <w:sz w:val="24"/>
                <w:lang w:val="zh-CN"/>
              </w:rPr>
            </w:pPr>
            <w:r>
              <w:rPr>
                <w:rFonts w:hint="eastAsia" w:ascii="宋体" w:cs="宋体"/>
                <w:kern w:val="0"/>
                <w:sz w:val="24"/>
                <w:lang w:val="zh-CN"/>
              </w:rPr>
              <w:t>（1）电声门图信号：</w:t>
            </w:r>
          </w:p>
          <w:p>
            <w:pPr>
              <w:spacing w:line="288" w:lineRule="auto"/>
              <w:ind w:firstLine="480" w:firstLineChars="200"/>
              <w:rPr>
                <w:rFonts w:ascii="宋体" w:cs="宋体"/>
                <w:kern w:val="0"/>
                <w:sz w:val="24"/>
                <w:lang w:val="zh-CN"/>
              </w:rPr>
            </w:pPr>
            <w:r>
              <w:rPr>
                <w:rFonts w:hint="eastAsia" w:ascii="宋体" w:cs="宋体"/>
                <w:kern w:val="0"/>
                <w:sz w:val="24"/>
                <w:lang w:val="zh-CN"/>
              </w:rPr>
              <w:t>1）增益：共三档：-6dB，0dB，6dB，误差±1.0dB；</w:t>
            </w:r>
          </w:p>
          <w:p>
            <w:pPr>
              <w:spacing w:line="288" w:lineRule="auto"/>
              <w:ind w:firstLine="480" w:firstLineChars="200"/>
              <w:rPr>
                <w:rFonts w:ascii="宋体" w:cs="宋体"/>
                <w:kern w:val="0"/>
                <w:sz w:val="24"/>
                <w:lang w:val="zh-CN"/>
              </w:rPr>
            </w:pPr>
            <w:r>
              <w:rPr>
                <w:rFonts w:hint="eastAsia" w:ascii="宋体" w:cs="宋体"/>
                <w:kern w:val="0"/>
                <w:sz w:val="24"/>
                <w:lang w:val="zh-CN"/>
              </w:rPr>
              <w:t>2）频响：在70Hz～500Hz频率范围内0dB～-3dB；</w:t>
            </w:r>
          </w:p>
          <w:p>
            <w:pPr>
              <w:spacing w:line="288" w:lineRule="auto"/>
              <w:ind w:firstLine="480" w:firstLineChars="200"/>
              <w:rPr>
                <w:rFonts w:ascii="宋体" w:cs="宋体"/>
                <w:kern w:val="0"/>
                <w:sz w:val="24"/>
                <w:lang w:val="zh-CN"/>
              </w:rPr>
            </w:pPr>
            <w:r>
              <w:rPr>
                <w:rFonts w:hint="eastAsia" w:ascii="宋体" w:cs="宋体"/>
                <w:kern w:val="0"/>
                <w:sz w:val="24"/>
                <w:lang w:val="zh-CN"/>
              </w:rPr>
              <w:t>3）静止噪声≤5mV；</w:t>
            </w:r>
          </w:p>
          <w:p>
            <w:pPr>
              <w:spacing w:line="288" w:lineRule="auto"/>
              <w:ind w:firstLine="240" w:firstLineChars="100"/>
              <w:rPr>
                <w:rFonts w:ascii="宋体" w:cs="宋体"/>
                <w:kern w:val="0"/>
                <w:sz w:val="24"/>
                <w:lang w:val="zh-CN"/>
              </w:rPr>
            </w:pPr>
            <w:r>
              <w:rPr>
                <w:rFonts w:hint="eastAsia" w:ascii="宋体" w:cs="宋体"/>
                <w:kern w:val="0"/>
                <w:sz w:val="24"/>
                <w:lang w:val="zh-CN"/>
              </w:rPr>
              <w:t>（2）口鼻混合式单通道低通滤波：</w:t>
            </w:r>
          </w:p>
          <w:p>
            <w:pPr>
              <w:spacing w:line="288" w:lineRule="auto"/>
              <w:ind w:firstLine="480" w:firstLineChars="200"/>
              <w:rPr>
                <w:rFonts w:ascii="宋体" w:cs="宋体"/>
                <w:kern w:val="0"/>
                <w:sz w:val="24"/>
                <w:lang w:val="zh-CN"/>
              </w:rPr>
            </w:pPr>
            <w:r>
              <w:rPr>
                <w:rFonts w:hint="eastAsia" w:ascii="宋体" w:cs="宋体"/>
                <w:kern w:val="0"/>
                <w:sz w:val="24"/>
                <w:lang w:val="zh-CN"/>
              </w:rPr>
              <w:t>1）增益：共四档：25dB，30dB，35dB，40dB，每档误差±1.0dB</w:t>
            </w:r>
          </w:p>
          <w:p>
            <w:pPr>
              <w:spacing w:line="288" w:lineRule="auto"/>
              <w:ind w:firstLine="480" w:firstLineChars="200"/>
              <w:rPr>
                <w:rFonts w:ascii="宋体" w:cs="宋体"/>
                <w:kern w:val="0"/>
                <w:sz w:val="24"/>
                <w:lang w:val="zh-CN"/>
              </w:rPr>
            </w:pPr>
            <w:r>
              <w:rPr>
                <w:rFonts w:hint="eastAsia" w:ascii="宋体" w:cs="宋体"/>
                <w:kern w:val="0"/>
                <w:sz w:val="24"/>
                <w:lang w:val="zh-CN"/>
              </w:rPr>
              <w:t>2）频响：在100Hz～700Hz频率范围内为-1.0dB～+1.0dB</w:t>
            </w:r>
          </w:p>
          <w:p>
            <w:pPr>
              <w:spacing w:line="288" w:lineRule="auto"/>
              <w:ind w:firstLine="480" w:firstLineChars="200"/>
              <w:rPr>
                <w:rFonts w:ascii="宋体" w:cs="宋体"/>
                <w:kern w:val="0"/>
                <w:sz w:val="24"/>
                <w:lang w:val="zh-CN"/>
              </w:rPr>
            </w:pPr>
            <w:r>
              <w:rPr>
                <w:rFonts w:hint="eastAsia" w:ascii="宋体" w:cs="宋体"/>
                <w:kern w:val="0"/>
                <w:sz w:val="24"/>
                <w:lang w:val="zh-CN"/>
              </w:rPr>
              <w:t>3）静止噪声≤2mV</w:t>
            </w:r>
          </w:p>
          <w:p>
            <w:pPr>
              <w:spacing w:line="288" w:lineRule="auto"/>
              <w:ind w:firstLine="480" w:firstLineChars="200"/>
              <w:rPr>
                <w:rFonts w:ascii="宋体" w:cs="宋体"/>
                <w:kern w:val="0"/>
                <w:sz w:val="24"/>
                <w:lang w:val="zh-CN"/>
              </w:rPr>
            </w:pPr>
            <w:r>
              <w:rPr>
                <w:rFonts w:hint="eastAsia" w:ascii="宋体" w:cs="宋体"/>
                <w:kern w:val="0"/>
                <w:sz w:val="24"/>
                <w:lang w:val="zh-CN"/>
              </w:rPr>
              <w:t>4）低通滤波：共三档：5kHz，10kHz，20kHz，截止频率处衰减≥50dB</w:t>
            </w:r>
          </w:p>
        </w:tc>
      </w:tr>
    </w:tbl>
    <w:p>
      <w:pPr>
        <w:rPr>
          <w:rFonts w:hint="eastAsia" w:ascii="宋体" w:hAnsi="宋体"/>
          <w:b/>
          <w:bCs/>
          <w:sz w:val="28"/>
          <w:szCs w:val="28"/>
          <w:lang w:eastAsia="zh-CN"/>
        </w:rPr>
      </w:pPr>
    </w:p>
    <w:p>
      <w:pPr>
        <w:rPr>
          <w:rFonts w:cs="宋体" w:asciiTheme="majorEastAsia" w:hAnsiTheme="majorEastAsia" w:eastAsiaTheme="majorEastAsia"/>
          <w:b/>
          <w:kern w:val="0"/>
          <w:sz w:val="32"/>
          <w:szCs w:val="32"/>
        </w:rPr>
      </w:pPr>
      <w:r>
        <w:rPr>
          <w:rFonts w:hint="eastAsia" w:ascii="宋体" w:hAnsi="宋体"/>
          <w:b/>
          <w:bCs/>
          <w:sz w:val="28"/>
          <w:szCs w:val="28"/>
          <w:lang w:eastAsia="zh-CN"/>
        </w:rPr>
        <w:t>五</w:t>
      </w:r>
      <w:r>
        <w:rPr>
          <w:rFonts w:hint="eastAsia" w:ascii="宋体" w:hAnsi="宋体"/>
          <w:b/>
          <w:bCs/>
          <w:sz w:val="28"/>
          <w:szCs w:val="28"/>
        </w:rPr>
        <w:t>、</w:t>
      </w:r>
      <w:r>
        <w:rPr>
          <w:rFonts w:hint="eastAsia" w:cs="宋体" w:asciiTheme="majorEastAsia" w:hAnsiTheme="majorEastAsia" w:eastAsiaTheme="majorEastAsia"/>
          <w:b/>
          <w:kern w:val="0"/>
          <w:sz w:val="32"/>
          <w:szCs w:val="32"/>
        </w:rPr>
        <w:t>产品要求</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（一）对投标人所投产品的要求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1、技术服务要求：中标人对所投仪器设备需提供一套完整的中文技术资料：包括操作手册、使用说明、维修保养操作手册、操作指南、安装手册、产品合格证等。</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2、安装调试：在货物到达使用单位后，</w:t>
      </w:r>
      <w:r>
        <w:rPr>
          <w:rFonts w:hint="eastAsia" w:asciiTheme="minorEastAsia" w:hAnsiTheme="minorEastAsia" w:cstheme="minorEastAsia"/>
          <w:color w:val="000000"/>
          <w:sz w:val="24"/>
          <w:szCs w:val="24"/>
          <w:lang w:eastAsia="zh-CN"/>
        </w:rPr>
        <w:t>中标方</w:t>
      </w:r>
      <w:r>
        <w:rPr>
          <w:rFonts w:hint="eastAsia" w:asciiTheme="minorEastAsia" w:hAnsiTheme="minorEastAsia" w:cstheme="minorEastAsia"/>
          <w:color w:val="000000"/>
          <w:sz w:val="24"/>
          <w:szCs w:val="24"/>
        </w:rPr>
        <w:t>应在7天内派工程技术人员到达现场，在</w:t>
      </w:r>
      <w:r>
        <w:rPr>
          <w:rFonts w:hint="eastAsia" w:asciiTheme="minorEastAsia" w:hAnsiTheme="minorEastAsia" w:cstheme="minorEastAsia"/>
          <w:color w:val="000000"/>
          <w:sz w:val="24"/>
          <w:szCs w:val="24"/>
          <w:lang w:eastAsia="zh-CN"/>
        </w:rPr>
        <w:t>采购方</w:t>
      </w:r>
      <w:r>
        <w:rPr>
          <w:rFonts w:hint="eastAsia" w:asciiTheme="minorEastAsia" w:hAnsiTheme="minorEastAsia" w:cstheme="minorEastAsia"/>
          <w:color w:val="000000"/>
          <w:sz w:val="24"/>
          <w:szCs w:val="24"/>
        </w:rPr>
        <w:t>技术人员在场的情况下开箱清点货物，组织安装、调试，并承担由此发生一切费用；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3、设备安装后，采购方将按国际和国家标准及厂方标准进行质量验收。</w:t>
      </w:r>
      <w:r>
        <w:rPr>
          <w:rFonts w:hint="eastAsia" w:asciiTheme="minorEastAsia" w:hAnsiTheme="minorEastAsia" w:cstheme="minorEastAsia"/>
          <w:color w:val="000000"/>
          <w:sz w:val="24"/>
          <w:szCs w:val="24"/>
          <w:lang w:eastAsia="zh-CN"/>
        </w:rPr>
        <w:t>中标方</w:t>
      </w:r>
      <w:r>
        <w:rPr>
          <w:rFonts w:hint="eastAsia" w:asciiTheme="minorEastAsia" w:hAnsiTheme="minorEastAsia" w:cstheme="minorEastAsia"/>
          <w:color w:val="000000"/>
          <w:sz w:val="24"/>
          <w:szCs w:val="24"/>
        </w:rPr>
        <w:t>应向</w:t>
      </w:r>
      <w:r>
        <w:rPr>
          <w:rFonts w:hint="eastAsia" w:asciiTheme="minorEastAsia" w:hAnsiTheme="minorEastAsia" w:cstheme="minorEastAsia"/>
          <w:color w:val="000000"/>
          <w:sz w:val="24"/>
          <w:szCs w:val="24"/>
          <w:lang w:eastAsia="zh-CN"/>
        </w:rPr>
        <w:t>采购方</w:t>
      </w:r>
      <w:r>
        <w:rPr>
          <w:rFonts w:hint="eastAsia" w:asciiTheme="minorEastAsia" w:hAnsiTheme="minorEastAsia" w:cstheme="minorEastAsia"/>
          <w:color w:val="000000"/>
          <w:sz w:val="24"/>
          <w:szCs w:val="24"/>
        </w:rPr>
        <w:t>提供详细的验收标准、验收手册和部分验收专用仪器，并承担相关费用；</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4、技术培训：设备正常运行验收后，中标</w:t>
      </w:r>
      <w:r>
        <w:rPr>
          <w:rFonts w:hint="eastAsia" w:asciiTheme="minorEastAsia" w:hAnsiTheme="minorEastAsia" w:cstheme="minorEastAsia"/>
          <w:color w:val="000000"/>
          <w:sz w:val="24"/>
          <w:szCs w:val="24"/>
          <w:lang w:eastAsia="zh-CN"/>
        </w:rPr>
        <w:t>方</w:t>
      </w:r>
      <w:r>
        <w:rPr>
          <w:rFonts w:hint="eastAsia" w:asciiTheme="minorEastAsia" w:hAnsiTheme="minorEastAsia" w:cstheme="minorEastAsia"/>
          <w:color w:val="000000"/>
          <w:sz w:val="24"/>
          <w:szCs w:val="24"/>
        </w:rPr>
        <w:t>负责在项目现场免费为所投项目培训2名以上技术人员，使培训人员达到熟练掌握、灵活应用的程度。</w:t>
      </w:r>
    </w:p>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（二）重要提示</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招标内容及技术规格要求中，所描述的品牌、型号、生产厂商等，仅为说明。投标人所投设备应等同或相当于或高于上述所描述的品牌、型号、生产厂商的设备。</w:t>
      </w:r>
      <w:bookmarkStart w:id="1" w:name="_Hlk499978049"/>
    </w:p>
    <w:bookmarkEnd w:id="1"/>
    <w:p>
      <w:pPr>
        <w:autoSpaceDE w:val="0"/>
        <w:autoSpaceDN w:val="0"/>
        <w:adjustRightInd w:val="0"/>
        <w:snapToGrid w:val="0"/>
        <w:spacing w:line="360" w:lineRule="auto"/>
        <w:ind w:firstLine="472" w:firstLineChars="196"/>
        <w:rPr>
          <w:rFonts w:ascii="宋体" w:hAnsi="宋体"/>
          <w:b/>
          <w:bCs/>
          <w:sz w:val="24"/>
          <w:szCs w:val="24"/>
        </w:rPr>
      </w:pPr>
      <w:r>
        <w:rPr>
          <w:rFonts w:hint="eastAsia" w:ascii="宋体" w:hAnsi="宋体"/>
          <w:b/>
          <w:bCs/>
          <w:sz w:val="24"/>
          <w:szCs w:val="24"/>
        </w:rPr>
        <w:t>（三）招标人要求</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1、本次招标所采购的设备和服务，投标人需以包为单位，报出总价。并按要求分项报价。</w:t>
      </w:r>
    </w:p>
    <w:p>
      <w:pPr>
        <w:spacing w:line="360" w:lineRule="auto"/>
        <w:ind w:firstLine="480" w:firstLineChars="200"/>
        <w:rPr>
          <w:rFonts w:cs="宋体" w:asciiTheme="majorEastAsia" w:hAnsiTheme="majorEastAsia" w:eastAsiaTheme="majorEastAsia"/>
          <w:b/>
          <w:kern w:val="0"/>
          <w:sz w:val="32"/>
          <w:szCs w:val="32"/>
        </w:rPr>
      </w:pPr>
      <w:r>
        <w:rPr>
          <w:rFonts w:hint="eastAsia" w:asciiTheme="minorEastAsia" w:hAnsiTheme="minorEastAsia" w:cstheme="minorEastAsia"/>
          <w:color w:val="000000"/>
          <w:sz w:val="24"/>
          <w:szCs w:val="24"/>
        </w:rPr>
        <w:t>2、投标人对所投设备，应包括设备安装、调试、运行正常后交付使用。主机（产品）抵达用户目的地1个月内，若出现整机（产品）故障，投标人必须整机（产品）调换。投标人应提供终身上门维修服务，且质量保证期外只收零配件费，其它免费。</w:t>
      </w: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lang w:eastAsia="zh-CN"/>
        </w:rPr>
        <w:t>六</w:t>
      </w:r>
      <w:r>
        <w:rPr>
          <w:rFonts w:hint="eastAsia" w:cs="宋体" w:asciiTheme="majorEastAsia" w:hAnsiTheme="majorEastAsia" w:eastAsiaTheme="majorEastAsia"/>
          <w:b/>
          <w:kern w:val="0"/>
          <w:sz w:val="32"/>
          <w:szCs w:val="32"/>
        </w:rPr>
        <w:t>、其他要求：</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（一）其他要求</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1、无效投标情况：</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 投标人须明确投标产品的厂家、品牌、型号、详细参数，否则为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 投标人应就该项目完整投标，否则为无效投标。</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 本采购文件所列需求为最低要求，投标产品不得低于最低要求，否则为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 “*或★”实质性要求条款、指标全部响应，无偏离，否则为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1.4付款方式： </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安装调试正常使用后首付80%，余款一年后付清，否则为</w:t>
      </w:r>
      <w:r>
        <w:rPr>
          <w:rFonts w:hint="eastAsia" w:asciiTheme="minorEastAsia" w:hAnsiTheme="minorEastAsia" w:cstheme="minorEastAsia"/>
          <w:b/>
          <w:color w:val="000000"/>
          <w:sz w:val="24"/>
          <w:szCs w:val="24"/>
        </w:rPr>
        <w:t>无效投标</w:t>
      </w:r>
      <w:r>
        <w:rPr>
          <w:rFonts w:hint="eastAsia" w:asciiTheme="minorEastAsia" w:hAnsiTheme="minorEastAsia" w:cstheme="minorEastAsia"/>
          <w:color w:val="000000"/>
          <w:sz w:val="24"/>
          <w:szCs w:val="24"/>
        </w:rPr>
        <w:t>。</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2、售后服务：</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2.1投标人须明确免费包修期，同时应提出故障响应时间，在免费包修期内，同一质量问题连续多次维修仍无法正常使用，投标人必须予以更换同品牌、同型号的全新产品，超过保修期发生故障，用户可自由选择维修单位，如委托给投标人，投标人不得借故推诿，并且维修费不能超过市场平均价格。本项目售后服务期限为验收合格之日起12个月, 在交货期间如发现货物有质量问题，应在15天内无条件免费更换。</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2.2投标人必须明确维修点地址、负责人、联系人和联系电话，维修点具备什么样的维修能力等详细资料。</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（二）核心产品</w:t>
      </w:r>
    </w:p>
    <w:p>
      <w:pPr>
        <w:pStyle w:val="7"/>
        <w:widowControl/>
        <w:shd w:val="clear" w:color="auto" w:fill="FFFFFF"/>
        <w:spacing w:line="315" w:lineRule="atLeast"/>
        <w:jc w:val="left"/>
        <w:rPr>
          <w:rFonts w:ascii="宋体" w:hAnsi="宋体" w:eastAsiaTheme="minorEastAsia" w:cstheme="minorBidi"/>
        </w:rPr>
      </w:pPr>
      <w:r>
        <w:rPr>
          <w:rFonts w:hint="eastAsia" w:ascii="宋体" w:hAnsi="宋体" w:eastAsiaTheme="minorEastAsia" w:cstheme="minorBidi"/>
        </w:rPr>
        <w:t>A包：生物物理治疗仪（进口）、B包：多波长光纤耦合激光治疗仪（国产）；C包：早期语言评估干预仪（国产）。</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（三）预算金额（最高限价）：</w:t>
      </w:r>
    </w:p>
    <w:p>
      <w:pPr>
        <w:autoSpaceDE w:val="0"/>
        <w:autoSpaceDN w:val="0"/>
        <w:adjustRightInd w:val="0"/>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rPr>
        <w:t>A包：86.6万元；B包：24.5万元；C包：23.5万元</w:t>
      </w:r>
      <w:r>
        <w:rPr>
          <w:rFonts w:hint="eastAsia" w:ascii="宋体" w:hAnsi="宋体"/>
          <w:color w:val="000000"/>
          <w:sz w:val="24"/>
          <w:szCs w:val="24"/>
          <w:lang w:val="zh-CN"/>
        </w:rPr>
        <w:t>。超出者为</w:t>
      </w:r>
      <w:r>
        <w:rPr>
          <w:rFonts w:hint="eastAsia" w:ascii="宋体" w:hAnsi="宋体"/>
          <w:b/>
          <w:color w:val="000000"/>
          <w:sz w:val="24"/>
          <w:szCs w:val="24"/>
          <w:lang w:val="zh-CN"/>
        </w:rPr>
        <w:t>无效投标</w:t>
      </w:r>
      <w:r>
        <w:rPr>
          <w:rFonts w:hint="eastAsia" w:ascii="宋体" w:hAnsi="宋体"/>
          <w:color w:val="000000"/>
          <w:sz w:val="24"/>
          <w:szCs w:val="24"/>
          <w:lang w:val="zh-CN"/>
        </w:rPr>
        <w:t>。</w:t>
      </w:r>
    </w:p>
    <w:p>
      <w:pPr>
        <w:autoSpaceDE w:val="0"/>
        <w:autoSpaceDN w:val="0"/>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（四）验收标准</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2、本项目为交钥匙工程（包括设计、采购、制作、运输、安装、验收等产生的所有费用）。</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3</w:t>
      </w:r>
      <w:r>
        <w:rPr>
          <w:rFonts w:hint="eastAsia" w:asciiTheme="minorEastAsia" w:hAnsiTheme="minorEastAsia" w:cstheme="minorEastAsia"/>
          <w:color w:val="000000"/>
          <w:sz w:val="24"/>
          <w:szCs w:val="24"/>
        </w:rPr>
        <w:t>、交货时须同时提供与招标技术规格要求相符的产品质量检测报告或产品合格证书及其它相关质量证明文件，如不提供，采购人有权拒绝收货。</w:t>
      </w:r>
    </w:p>
    <w:p>
      <w:pPr>
        <w:autoSpaceDE w:val="0"/>
        <w:autoSpaceDN w:val="0"/>
        <w:adjustRightInd w:val="0"/>
        <w:snapToGrid w:val="0"/>
        <w:spacing w:line="360" w:lineRule="auto"/>
        <w:ind w:firstLine="480" w:firstLineChars="200"/>
        <w:rPr>
          <w:rFonts w:asciiTheme="minorEastAsia" w:hAnsiTheme="minorEastAsia" w:cstheme="minorEastAsia"/>
          <w:color w:val="000000"/>
          <w:sz w:val="24"/>
          <w:szCs w:val="24"/>
        </w:rPr>
      </w:pPr>
      <w:r>
        <w:rPr>
          <w:rFonts w:asciiTheme="minorEastAsia" w:hAnsiTheme="minorEastAsia" w:cstheme="minorEastAsia"/>
          <w:color w:val="000000"/>
          <w:sz w:val="24"/>
          <w:szCs w:val="24"/>
        </w:rPr>
        <w:t>4</w:t>
      </w:r>
      <w:r>
        <w:rPr>
          <w:rFonts w:hint="eastAsia" w:asciiTheme="minorEastAsia" w:hAnsiTheme="minorEastAsia" w:cstheme="minorEastAsia"/>
          <w:color w:val="000000"/>
          <w:sz w:val="24"/>
          <w:szCs w:val="24"/>
        </w:rPr>
        <w:t>、质量完全符合国家标准、行业标准或地方标准，均有标准的以高（严格）者为准。没有国家标准、行业标准和企业标准的，按照通常标准或者符合采购目的的特定标准确定。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firstLine="482" w:firstLineChars="200"/>
        <w:rPr>
          <w:rFonts w:ascii="宋体" w:hAnsi="宋体"/>
          <w:sz w:val="24"/>
          <w:szCs w:val="24"/>
        </w:rPr>
      </w:pPr>
      <w:r>
        <w:rPr>
          <w:rFonts w:hint="eastAsia" w:asciiTheme="minorEastAsia" w:hAnsiTheme="minorEastAsia" w:cstheme="minorEastAsia"/>
          <w:b/>
          <w:color w:val="000000"/>
          <w:sz w:val="24"/>
          <w:szCs w:val="24"/>
        </w:rPr>
        <w:t>（五）特别提示</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1.1、货物技术证明文件：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1.1.1、货物功能性能详细介绍；</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1.1.2、投标人所投产品必须具备国家规定的资格，需提供下列证件（如有）：</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医疗器械注册证、注册表、生产许可证（国产）、经营许可证、准产注册检验报告（国产）、注册检验报告（进口）、中国国家强制性产品认证（CCC）或SDA认证等复印件。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1.1.3、提供原始的详细描述货物性能特点的技术文件（产品准产/注册检验报告）及产品彩页并以技术文件、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1.2货物技术文件：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1.2.1、所投设备均应提供配置明细表并且配置明细表中的所有配件必须是唯一的，不得有选择性配置，所提供配件必须是正规厂家生产的原装正品；</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1.2.2、产品需有生产许可证、注册证，经营许可证、产品合格证；</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1.2.3、提供有关投标货物符合招标文件要求的相关证明文件；</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1.2.4、投标货物的制造、安装和检验标准；</w:t>
      </w: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5</w:t>
      </w:r>
      <w:r>
        <w:rPr>
          <w:rFonts w:hint="eastAsia" w:ascii="宋体" w:hAnsi="宋体"/>
          <w:sz w:val="24"/>
          <w:szCs w:val="24"/>
        </w:rPr>
        <w:t>、按技术规格规定提供备件和专用工具，其价格包括在投标报价中。但用户的这项选择并不能免除中标方在合同保证期内所承担的义务。</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2、专利权：投标人应保证用户在使用该货物或其任何一部分时不受第三方提出</w:t>
      </w:r>
    </w:p>
    <w:p>
      <w:pPr>
        <w:autoSpaceDE w:val="0"/>
        <w:autoSpaceDN w:val="0"/>
        <w:adjustRightInd w:val="0"/>
        <w:snapToGrid w:val="0"/>
        <w:spacing w:line="360" w:lineRule="auto"/>
        <w:ind w:firstLine="480" w:firstLineChars="200"/>
        <w:rPr>
          <w:rFonts w:hint="eastAsia" w:ascii="宋体" w:hAnsi="宋体"/>
          <w:sz w:val="24"/>
          <w:szCs w:val="24"/>
        </w:rPr>
      </w:pPr>
    </w:p>
    <w:p>
      <w:pPr>
        <w:autoSpaceDE w:val="0"/>
        <w:autoSpaceDN w:val="0"/>
        <w:adjustRightInd w:val="0"/>
        <w:snapToGrid w:val="0"/>
        <w:spacing w:line="360" w:lineRule="auto"/>
        <w:ind w:firstLine="480" w:firstLineChars="200"/>
        <w:rPr>
          <w:rFonts w:hint="eastAsia" w:ascii="宋体" w:hAnsi="宋体"/>
          <w:sz w:val="24"/>
          <w:szCs w:val="24"/>
        </w:rPr>
      </w:pPr>
    </w:p>
    <w:p>
      <w:pPr>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侵犯其专利权、商标权和工业设计权等的起诉。</w:t>
      </w:r>
    </w:p>
    <w:p>
      <w:pPr>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3、C包需提供早期语言障碍评估与干预仪软件的计算机软件著作权登记证书，且为保障仪器设备的可靠性和安全性，所提供的计算机软件必须与产品为同一品牌或同一厂家。</w:t>
      </w:r>
    </w:p>
    <w:p>
      <w:pPr>
        <w:autoSpaceDE w:val="0"/>
        <w:autoSpaceDN w:val="0"/>
        <w:adjustRightInd w:val="0"/>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、各供应商在报价时，应充分考虑供货及售后服务所发生的费用，如果中标，不得再以任何理由要求追加费用。</w:t>
      </w:r>
    </w:p>
    <w:p>
      <w:pPr>
        <w:autoSpaceDE w:val="0"/>
        <w:autoSpaceDN w:val="0"/>
        <w:adjustRightInd w:val="0"/>
        <w:snapToGrid w:val="0"/>
        <w:spacing w:line="360" w:lineRule="auto"/>
        <w:ind w:firstLine="480" w:firstLineChars="200"/>
        <w:rPr>
          <w:rFonts w:cs="宋体" w:asciiTheme="majorEastAsia" w:hAnsiTheme="majorEastAsia" w:eastAsiaTheme="majorEastAsia"/>
          <w:b/>
          <w:kern w:val="0"/>
          <w:sz w:val="36"/>
          <w:szCs w:val="36"/>
        </w:rPr>
      </w:pPr>
      <w:r>
        <w:rPr>
          <w:rFonts w:ascii="宋体" w:hAnsi="宋体"/>
          <w:sz w:val="24"/>
          <w:szCs w:val="24"/>
        </w:rPr>
        <w:t>5</w:t>
      </w:r>
      <w:r>
        <w:rPr>
          <w:rFonts w:hint="eastAsia" w:ascii="宋体" w:hAnsi="宋体"/>
          <w:sz w:val="24"/>
          <w:szCs w:val="24"/>
        </w:rPr>
        <w:t>、本采购文件的最终解释权归采购人所有。</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left"/>
        <w:textAlignment w:val="auto"/>
        <w:outlineLvl w:val="9"/>
        <w:rPr>
          <w:rFonts w:ascii="Calibri" w:hAnsi="宋体" w:cs="仿宋_GB2312"/>
          <w:b/>
          <w:szCs w:val="21"/>
          <w:lang w:val="zh-CN"/>
        </w:rPr>
      </w:pPr>
      <w:r>
        <w:rPr>
          <w:rFonts w:hint="eastAsia" w:ascii="Calibri" w:hAnsi="宋体" w:cs="仿宋_GB2312"/>
          <w:b/>
          <w:szCs w:val="21"/>
          <w:lang w:val="zh-CN"/>
        </w:rPr>
        <w:t>七、评分方法</w:t>
      </w:r>
    </w:p>
    <w:p>
      <w:pPr>
        <w:autoSpaceDE w:val="0"/>
        <w:autoSpaceDN w:val="0"/>
        <w:adjustRightInd w:val="0"/>
        <w:snapToGrid w:val="0"/>
        <w:spacing w:line="360" w:lineRule="auto"/>
        <w:ind w:firstLine="480" w:firstLineChars="200"/>
        <w:rPr>
          <w:rFonts w:hint="eastAsia" w:ascii="宋体" w:hAnsi="宋体"/>
          <w:color w:val="000000"/>
          <w:sz w:val="24"/>
          <w:szCs w:val="24"/>
          <w:lang w:val="zh-CN"/>
        </w:rPr>
      </w:pPr>
      <w:r>
        <w:rPr>
          <w:rFonts w:hint="eastAsia" w:ascii="宋体" w:hAnsi="宋体"/>
          <w:color w:val="000000"/>
          <w:sz w:val="24"/>
          <w:szCs w:val="24"/>
          <w:lang w:val="zh-CN"/>
        </w:rPr>
        <w:t>综合评分法</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left"/>
        <w:textAlignment w:val="auto"/>
        <w:outlineLvl w:val="9"/>
        <w:rPr>
          <w:rFonts w:hint="eastAsia" w:ascii="Calibri" w:hAnsi="宋体" w:cs="仿宋_GB2312"/>
          <w:b/>
          <w:szCs w:val="21"/>
          <w:lang w:val="zh-CN"/>
        </w:rPr>
      </w:pPr>
      <w:r>
        <w:rPr>
          <w:rFonts w:hint="eastAsia" w:ascii="Calibri" w:hAnsi="宋体" w:cs="仿宋_GB2312"/>
          <w:b/>
          <w:szCs w:val="21"/>
          <w:lang w:val="zh-CN"/>
        </w:rPr>
        <w:t>八、评标标准</w:t>
      </w:r>
    </w:p>
    <w:p>
      <w:pPr>
        <w:snapToGrid w:val="0"/>
        <w:spacing w:line="300" w:lineRule="auto"/>
        <w:jc w:val="center"/>
        <w:rPr>
          <w:rFonts w:ascii="宋体" w:hAnsi="宋体"/>
          <w:b/>
          <w:sz w:val="24"/>
        </w:rPr>
      </w:pPr>
      <w:r>
        <w:rPr>
          <w:rFonts w:hint="eastAsia" w:ascii="宋体" w:hAnsi="宋体"/>
          <w:b/>
          <w:sz w:val="24"/>
        </w:rPr>
        <w:t>综合评分法详细评审标准</w:t>
      </w:r>
    </w:p>
    <w:p>
      <w:pPr>
        <w:snapToGrid w:val="0"/>
        <w:spacing w:line="300" w:lineRule="auto"/>
        <w:ind w:left="151" w:leftChars="72" w:right="267" w:rightChars="127"/>
        <w:rPr>
          <w:rFonts w:ascii="宋体" w:hAnsi="宋体"/>
          <w:b/>
          <w:bCs/>
          <w:sz w:val="24"/>
        </w:rPr>
      </w:pPr>
      <w:r>
        <w:rPr>
          <w:rFonts w:ascii="宋体" w:hAnsi="宋体"/>
          <w:b/>
          <w:bCs/>
          <w:sz w:val="24"/>
        </w:rPr>
        <w:t>1</w:t>
      </w:r>
      <w:r>
        <w:rPr>
          <w:rFonts w:hint="eastAsia" w:ascii="宋体" w:hAnsi="宋体"/>
          <w:b/>
          <w:bCs/>
          <w:sz w:val="24"/>
        </w:rPr>
        <w:t>、评分因素及分值分配</w:t>
      </w:r>
    </w:p>
    <w:tbl>
      <w:tblPr>
        <w:tblStyle w:val="10"/>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0"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4</w:t>
            </w:r>
            <w:r>
              <w:rPr>
                <w:rFonts w:hint="eastAsia" w:ascii="宋体" w:hAnsi="宋体"/>
                <w:bCs/>
                <w:sz w:val="24"/>
              </w:rPr>
              <w:t>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5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57"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right="267" w:rightChars="127"/>
              <w:rPr>
                <w:rFonts w:ascii="宋体" w:hAnsi="宋体"/>
                <w:bCs/>
                <w:sz w:val="24"/>
              </w:rPr>
            </w:pPr>
            <w:r>
              <w:rPr>
                <w:rFonts w:hint="eastAsia" w:ascii="宋体" w:hAnsi="宋体"/>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p>
        </w:tc>
      </w:tr>
    </w:tbl>
    <w:p>
      <w:pPr>
        <w:spacing w:line="360" w:lineRule="auto"/>
        <w:ind w:firstLine="480" w:firstLineChars="200"/>
        <w:contextualSpacing/>
        <w:rPr>
          <w:rFonts w:eastAsia="宋体" w:cs="仿宋_GB2312" w:asciiTheme="minorEastAsia" w:hAnsiTheme="minorEastAsia"/>
          <w:sz w:val="24"/>
          <w:lang w:val="zh-CN"/>
        </w:rPr>
      </w:pPr>
    </w:p>
    <w:p>
      <w:pPr>
        <w:snapToGrid w:val="0"/>
        <w:spacing w:line="300" w:lineRule="auto"/>
        <w:ind w:left="151" w:leftChars="72" w:right="267" w:rightChars="127"/>
        <w:rPr>
          <w:rFonts w:ascii="宋体" w:hAnsi="宋体"/>
          <w:b/>
          <w:bCs/>
          <w:sz w:val="24"/>
        </w:rPr>
      </w:pPr>
      <w:r>
        <w:rPr>
          <w:rFonts w:ascii="宋体" w:hAnsi="宋体"/>
          <w:b/>
          <w:bCs/>
          <w:sz w:val="24"/>
        </w:rPr>
        <w:t>2</w:t>
      </w:r>
      <w:r>
        <w:rPr>
          <w:rFonts w:hint="eastAsia" w:ascii="宋体" w:hAnsi="宋体"/>
          <w:b/>
          <w:bCs/>
          <w:sz w:val="24"/>
        </w:rPr>
        <w:t>、评分因素及分值确定</w:t>
      </w:r>
    </w:p>
    <w:p>
      <w:pPr>
        <w:snapToGrid w:val="0"/>
        <w:spacing w:line="300" w:lineRule="auto"/>
        <w:ind w:left="151" w:leftChars="72" w:right="267" w:rightChars="127"/>
        <w:rPr>
          <w:rFonts w:ascii="宋体" w:hAnsi="宋体"/>
          <w:b/>
          <w:bCs/>
          <w:sz w:val="24"/>
        </w:rPr>
      </w:pPr>
      <w:r>
        <w:rPr>
          <w:rFonts w:hint="eastAsia" w:ascii="宋体" w:hAnsi="宋体"/>
          <w:b/>
          <w:bCs/>
          <w:sz w:val="24"/>
        </w:rPr>
        <w:t>A、投标报价：</w:t>
      </w:r>
      <w:r>
        <w:rPr>
          <w:rFonts w:ascii="宋体" w:hAnsi="宋体"/>
          <w:b/>
          <w:bCs/>
          <w:sz w:val="24"/>
        </w:rPr>
        <w:t>3</w:t>
      </w:r>
      <w:r>
        <w:rPr>
          <w:rFonts w:hint="eastAsia" w:ascii="宋体" w:hAnsi="宋体"/>
          <w:b/>
          <w:bCs/>
          <w:sz w:val="24"/>
        </w:rPr>
        <w:t>0分</w:t>
      </w:r>
    </w:p>
    <w:tbl>
      <w:tblPr>
        <w:tblStyle w:val="10"/>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3</w:t>
            </w:r>
            <w:r>
              <w:rPr>
                <w:rFonts w:hint="eastAsia" w:ascii="宋体" w:hAnsi="宋体"/>
                <w:bCs/>
                <w:sz w:val="24"/>
              </w:rPr>
              <w:t>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见注</w:t>
            </w:r>
          </w:p>
        </w:tc>
      </w:tr>
    </w:tbl>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rPr>
          <w:rFonts w:ascii="宋体" w:hAnsi="宋体"/>
          <w:bCs/>
          <w:sz w:val="24"/>
        </w:rPr>
      </w:pPr>
      <w:r>
        <w:rPr>
          <w:rFonts w:hint="eastAsia" w:ascii="宋体" w:hAnsi="宋体"/>
          <w:bCs/>
          <w:sz w:val="24"/>
        </w:rPr>
        <w:t>注：</w:t>
      </w:r>
    </w:p>
    <w:p>
      <w:pPr>
        <w:snapToGrid w:val="0"/>
        <w:spacing w:line="300" w:lineRule="auto"/>
        <w:ind w:left="151" w:leftChars="72" w:right="267" w:rightChars="127"/>
        <w:rPr>
          <w:rFonts w:ascii="宋体" w:hAnsi="宋体"/>
          <w:bCs/>
          <w:sz w:val="24"/>
        </w:rPr>
      </w:pPr>
      <w:r>
        <w:rPr>
          <w:rFonts w:hint="eastAsia" w:ascii="宋体" w:hAnsi="宋体"/>
          <w:bCs/>
          <w:sz w:val="24"/>
        </w:rPr>
        <w:t>报价得分=最低有效投标报价/有效投标报价×30</w:t>
      </w:r>
    </w:p>
    <w:p>
      <w:pPr>
        <w:snapToGrid w:val="0"/>
        <w:spacing w:line="300" w:lineRule="auto"/>
        <w:ind w:left="151" w:leftChars="72" w:right="267" w:rightChars="127"/>
        <w:rPr>
          <w:rFonts w:ascii="宋体" w:hAnsi="宋体"/>
          <w:bCs/>
          <w:sz w:val="24"/>
        </w:rPr>
      </w:pPr>
      <w:r>
        <w:rPr>
          <w:rFonts w:hint="eastAsia" w:ascii="宋体" w:hAnsi="宋体"/>
          <w:bCs/>
          <w:sz w:val="24"/>
        </w:rPr>
        <w:t>计算按四舍五入法则，保留小数点后两位。</w:t>
      </w:r>
    </w:p>
    <w:p>
      <w:pPr>
        <w:snapToGrid w:val="0"/>
        <w:spacing w:line="300" w:lineRule="auto"/>
        <w:ind w:left="151" w:leftChars="72" w:right="267" w:rightChars="127"/>
        <w:rPr>
          <w:rFonts w:ascii="宋体" w:hAnsi="宋体"/>
          <w:bCs/>
          <w:sz w:val="24"/>
        </w:rPr>
      </w:pPr>
      <w:r>
        <w:rPr>
          <w:rFonts w:hint="eastAsia" w:ascii="宋体" w:hAnsi="宋体"/>
          <w:bCs/>
          <w:sz w:val="24"/>
        </w:rPr>
        <w:t>所有未进入详细评审的投标作为无效投标，其报价不作为评分依据。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经评标委员会认定具有下述情况之一的投标，其报价不作为评分依据。</w:t>
      </w:r>
    </w:p>
    <w:p>
      <w:pPr>
        <w:snapToGrid w:val="0"/>
        <w:spacing w:line="300" w:lineRule="auto"/>
        <w:ind w:left="151" w:leftChars="72" w:right="267" w:rightChars="127"/>
        <w:rPr>
          <w:rFonts w:ascii="宋体" w:hAnsi="宋体"/>
          <w:bCs/>
          <w:sz w:val="24"/>
        </w:rPr>
      </w:pPr>
      <w:r>
        <w:rPr>
          <w:rFonts w:hint="eastAsia" w:ascii="宋体" w:hAnsi="宋体"/>
          <w:bCs/>
          <w:sz w:val="24"/>
        </w:rPr>
        <w:t>（1）报价明显低于其他通过符合性审查投标人的报价，有可能影响产品质量或者不能诚信履约的，其在评标现场合理的时间内提供书面说明和提交相关证明材料不能证明其报价合理性的。</w:t>
      </w:r>
    </w:p>
    <w:p>
      <w:pPr>
        <w:snapToGrid w:val="0"/>
        <w:spacing w:line="300" w:lineRule="auto"/>
        <w:ind w:left="151" w:leftChars="72" w:right="267" w:rightChars="127"/>
        <w:rPr>
          <w:rFonts w:ascii="宋体" w:hAnsi="宋体"/>
          <w:bCs/>
          <w:sz w:val="24"/>
        </w:rPr>
      </w:pPr>
      <w:r>
        <w:rPr>
          <w:rFonts w:hint="eastAsia" w:ascii="宋体" w:hAnsi="宋体"/>
          <w:bCs/>
          <w:sz w:val="24"/>
        </w:rPr>
        <w:t>（2）虚假投标。</w:t>
      </w:r>
    </w:p>
    <w:p>
      <w:pPr>
        <w:snapToGrid w:val="0"/>
        <w:spacing w:line="300" w:lineRule="auto"/>
        <w:ind w:left="151" w:leftChars="72" w:right="267" w:rightChars="127"/>
        <w:rPr>
          <w:rFonts w:ascii="宋体" w:hAnsi="宋体"/>
          <w:bCs/>
          <w:sz w:val="24"/>
        </w:rPr>
      </w:pPr>
      <w:r>
        <w:rPr>
          <w:rFonts w:hint="eastAsia" w:ascii="宋体" w:hAnsi="宋体"/>
          <w:bCs/>
          <w:sz w:val="24"/>
        </w:rPr>
        <w:t>（3）未满足招标文件实质性要求的投标。</w:t>
      </w:r>
    </w:p>
    <w:p>
      <w:pPr>
        <w:snapToGrid w:val="0"/>
        <w:spacing w:line="300" w:lineRule="auto"/>
        <w:ind w:left="151" w:leftChars="72" w:right="267" w:rightChars="127"/>
        <w:rPr>
          <w:rFonts w:ascii="宋体" w:hAnsi="宋体"/>
          <w:b/>
          <w:bCs/>
          <w:sz w:val="24"/>
        </w:rPr>
      </w:pPr>
      <w:r>
        <w:rPr>
          <w:rFonts w:hint="eastAsia" w:ascii="宋体" w:hAnsi="宋体"/>
          <w:b/>
          <w:bCs/>
          <w:sz w:val="24"/>
        </w:rPr>
        <w:t>B、技术部分：</w:t>
      </w:r>
      <w:r>
        <w:rPr>
          <w:rFonts w:ascii="宋体" w:hAnsi="宋体"/>
          <w:b/>
          <w:bCs/>
          <w:sz w:val="24"/>
        </w:rPr>
        <w:t>4</w:t>
      </w:r>
      <w:r>
        <w:rPr>
          <w:rFonts w:hint="eastAsia" w:ascii="宋体" w:hAnsi="宋体"/>
          <w:b/>
          <w:bCs/>
          <w:sz w:val="24"/>
        </w:rPr>
        <w:t>0分</w:t>
      </w:r>
    </w:p>
    <w:tbl>
      <w:tblPr>
        <w:tblStyle w:val="10"/>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B1</w:t>
            </w:r>
          </w:p>
        </w:tc>
        <w:tc>
          <w:tcPr>
            <w:tcW w:w="2053" w:type="dxa"/>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技术工艺水平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1</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根据所投产品的品牌、是否最新发布产品（注册证到期续证除外）技术参数和数量等进行评价，分四档进行评价打分：优秀（</w:t>
            </w:r>
            <w:r>
              <w:rPr>
                <w:rFonts w:ascii="宋体" w:hAnsi="宋体"/>
                <w:bCs/>
                <w:sz w:val="24"/>
              </w:rPr>
              <w:t>1</w:t>
            </w:r>
            <w:r>
              <w:rPr>
                <w:rFonts w:hint="eastAsia" w:ascii="宋体" w:hAnsi="宋体"/>
                <w:bCs/>
                <w:sz w:val="24"/>
              </w:rPr>
              <w:t>5分）；较好（</w:t>
            </w:r>
            <w:r>
              <w:rPr>
                <w:rFonts w:ascii="宋体" w:hAnsi="宋体"/>
                <w:bCs/>
                <w:sz w:val="24"/>
              </w:rPr>
              <w:t>10</w:t>
            </w:r>
            <w:r>
              <w:rPr>
                <w:rFonts w:hint="eastAsia" w:ascii="宋体" w:hAnsi="宋体"/>
                <w:bCs/>
                <w:sz w:val="24"/>
              </w:rPr>
              <w:t>分）；一般（</w:t>
            </w:r>
            <w:r>
              <w:rPr>
                <w:rFonts w:ascii="宋体" w:hAnsi="宋体"/>
                <w:bCs/>
                <w:sz w:val="24"/>
              </w:rPr>
              <w:t>5</w:t>
            </w:r>
            <w:r>
              <w:rPr>
                <w:rFonts w:hint="eastAsia" w:ascii="宋体" w:hAnsi="宋体"/>
                <w:bCs/>
                <w:sz w:val="24"/>
              </w:rPr>
              <w:t>分）；较差（2分）。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B2</w:t>
            </w:r>
          </w:p>
        </w:tc>
        <w:tc>
          <w:tcPr>
            <w:tcW w:w="2053"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根据所投产品的性能、精度分三档进行评价打分：优秀（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根据所投产品的可靠性、稳定性等是否优良分三档进行评价打分：优秀（10分）；较好（5分）；一般（</w:t>
            </w:r>
            <w:r>
              <w:rPr>
                <w:rFonts w:ascii="宋体" w:hAnsi="宋体"/>
                <w:bCs/>
                <w:sz w:val="24"/>
              </w:rPr>
              <w:t>2</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300" w:lineRule="auto"/>
              <w:ind w:left="151" w:leftChars="72" w:right="267" w:rightChars="127"/>
              <w:rPr>
                <w:rFonts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根据所投产品的功能是否齐全，是否完全满足招标文件要求，是否有偏离分三档进行评价打分：优秀（</w:t>
            </w:r>
            <w:r>
              <w:rPr>
                <w:rFonts w:ascii="宋体" w:hAnsi="宋体"/>
                <w:bCs/>
                <w:sz w:val="24"/>
              </w:rPr>
              <w:t>5</w:t>
            </w:r>
            <w:r>
              <w:rPr>
                <w:rFonts w:hint="eastAsia" w:ascii="宋体" w:hAnsi="宋体"/>
                <w:bCs/>
                <w:sz w:val="24"/>
              </w:rPr>
              <w:t>分）；较好（</w:t>
            </w:r>
            <w:r>
              <w:rPr>
                <w:rFonts w:ascii="宋体" w:hAnsi="宋体"/>
                <w:bCs/>
                <w:sz w:val="24"/>
              </w:rPr>
              <w:t>3</w:t>
            </w:r>
            <w:r>
              <w:rPr>
                <w:rFonts w:hint="eastAsia" w:ascii="宋体" w:hAnsi="宋体"/>
                <w:bCs/>
                <w:sz w:val="24"/>
              </w:rPr>
              <w:t>分）；一般（1分）。</w:t>
            </w:r>
          </w:p>
        </w:tc>
      </w:tr>
    </w:tbl>
    <w:p>
      <w:pPr>
        <w:snapToGrid w:val="0"/>
        <w:spacing w:line="300" w:lineRule="auto"/>
        <w:ind w:right="267" w:rightChars="127"/>
        <w:rPr>
          <w:rFonts w:ascii="宋体" w:hAnsi="宋体"/>
          <w:bCs/>
          <w:sz w:val="24"/>
        </w:rPr>
      </w:pPr>
    </w:p>
    <w:p>
      <w:pPr>
        <w:snapToGrid w:val="0"/>
        <w:spacing w:line="300" w:lineRule="auto"/>
        <w:ind w:left="151" w:leftChars="72" w:right="267" w:rightChars="127"/>
        <w:rPr>
          <w:rFonts w:ascii="宋体" w:hAnsi="宋体"/>
          <w:b/>
          <w:bCs/>
          <w:sz w:val="24"/>
        </w:rPr>
      </w:pPr>
      <w:r>
        <w:rPr>
          <w:rFonts w:hint="eastAsia" w:ascii="宋体" w:hAnsi="宋体"/>
          <w:b/>
          <w:bCs/>
          <w:sz w:val="24"/>
        </w:rPr>
        <w:t>C、商务部分：30分</w:t>
      </w:r>
    </w:p>
    <w:tbl>
      <w:tblPr>
        <w:tblStyle w:val="10"/>
        <w:tblW w:w="927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00"/>
        <w:gridCol w:w="1723"/>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548" w:hRule="atLeast"/>
          <w:jc w:val="center"/>
        </w:trPr>
        <w:tc>
          <w:tcPr>
            <w:tcW w:w="600" w:type="dxa"/>
            <w:tcBorders>
              <w:top w:val="single" w:color="auto" w:sz="12" w:space="0"/>
              <w:left w:val="single" w:color="auto" w:sz="12"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序号</w:t>
            </w:r>
          </w:p>
        </w:tc>
        <w:tc>
          <w:tcPr>
            <w:tcW w:w="1723"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rPr>
                <w:rFonts w:ascii="宋体" w:hAnsi="宋体"/>
                <w:bCs/>
                <w:sz w:val="24"/>
              </w:rPr>
            </w:pPr>
          </w:p>
          <w:p>
            <w:pPr>
              <w:snapToGrid w:val="0"/>
              <w:spacing w:line="300" w:lineRule="auto"/>
              <w:ind w:left="151" w:leftChars="72" w:right="267" w:rightChars="127"/>
              <w:jc w:val="center"/>
              <w:rPr>
                <w:rFonts w:ascii="宋体" w:hAnsi="宋体"/>
                <w:bCs/>
                <w:sz w:val="24"/>
              </w:rPr>
            </w:pPr>
            <w:r>
              <w:rPr>
                <w:rFonts w:hint="eastAsia" w:ascii="宋体" w:hAnsi="宋体"/>
                <w:bCs/>
                <w:sz w:val="24"/>
              </w:rPr>
              <w:t>评分标准说明</w:t>
            </w:r>
          </w:p>
          <w:p>
            <w:pPr>
              <w:snapToGrid w:val="0"/>
              <w:spacing w:line="300" w:lineRule="auto"/>
              <w:ind w:left="151" w:leftChars="72" w:right="267" w:rightChars="127"/>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45" w:hRule="atLeast"/>
          <w:jc w:val="center"/>
        </w:trPr>
        <w:tc>
          <w:tcPr>
            <w:tcW w:w="600" w:type="dxa"/>
            <w:tcBorders>
              <w:top w:val="single" w:color="auto" w:sz="6" w:space="0"/>
              <w:left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1</w:t>
            </w:r>
          </w:p>
        </w:tc>
        <w:tc>
          <w:tcPr>
            <w:tcW w:w="1723" w:type="dxa"/>
            <w:tcBorders>
              <w:top w:val="single" w:color="auto" w:sz="6" w:space="0"/>
              <w:left w:val="single" w:color="auto" w:sz="4"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销售业绩</w:t>
            </w:r>
          </w:p>
        </w:tc>
        <w:tc>
          <w:tcPr>
            <w:tcW w:w="797" w:type="dxa"/>
            <w:tcBorders>
              <w:top w:val="single" w:color="auto" w:sz="6" w:space="0"/>
              <w:left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投标人2014年1月1日以来，具有类似项目业绩、所投项目业绩单次合同金额在:A包：</w:t>
            </w:r>
            <w:r>
              <w:rPr>
                <w:rFonts w:ascii="宋体" w:hAnsi="宋体"/>
                <w:bCs/>
                <w:sz w:val="24"/>
              </w:rPr>
              <w:t>86.6</w:t>
            </w:r>
            <w:r>
              <w:rPr>
                <w:rFonts w:hint="eastAsia" w:ascii="宋体" w:hAnsi="宋体"/>
                <w:bCs/>
                <w:sz w:val="24"/>
              </w:rPr>
              <w:t>万元以上（含</w:t>
            </w:r>
            <w:r>
              <w:rPr>
                <w:rFonts w:ascii="宋体" w:hAnsi="宋体"/>
                <w:bCs/>
                <w:sz w:val="24"/>
              </w:rPr>
              <w:t>86.6</w:t>
            </w:r>
            <w:r>
              <w:rPr>
                <w:rFonts w:hint="eastAsia" w:ascii="宋体" w:hAnsi="宋体"/>
                <w:bCs/>
                <w:sz w:val="24"/>
              </w:rPr>
              <w:t>万元）B包：</w:t>
            </w:r>
            <w:r>
              <w:rPr>
                <w:rFonts w:ascii="宋体" w:hAnsi="宋体"/>
                <w:bCs/>
                <w:sz w:val="24"/>
              </w:rPr>
              <w:t>24.5</w:t>
            </w:r>
            <w:r>
              <w:rPr>
                <w:rFonts w:hint="eastAsia" w:ascii="宋体" w:hAnsi="宋体"/>
                <w:bCs/>
                <w:sz w:val="24"/>
              </w:rPr>
              <w:t>万元以上（含</w:t>
            </w:r>
            <w:r>
              <w:rPr>
                <w:rFonts w:ascii="宋体" w:hAnsi="宋体"/>
                <w:bCs/>
                <w:sz w:val="24"/>
              </w:rPr>
              <w:t>24.5</w:t>
            </w:r>
            <w:r>
              <w:rPr>
                <w:rFonts w:hint="eastAsia" w:ascii="宋体" w:hAnsi="宋体"/>
                <w:bCs/>
                <w:sz w:val="24"/>
              </w:rPr>
              <w:t>万元）C包2</w:t>
            </w:r>
            <w:r>
              <w:rPr>
                <w:rFonts w:ascii="宋体" w:hAnsi="宋体"/>
                <w:bCs/>
                <w:sz w:val="24"/>
              </w:rPr>
              <w:t>3.5</w:t>
            </w:r>
            <w:r>
              <w:rPr>
                <w:rFonts w:hint="eastAsia" w:ascii="宋体" w:hAnsi="宋体"/>
                <w:bCs/>
                <w:sz w:val="24"/>
              </w:rPr>
              <w:t>万元（含2</w:t>
            </w:r>
            <w:r>
              <w:rPr>
                <w:rFonts w:ascii="宋体" w:hAnsi="宋体"/>
                <w:bCs/>
                <w:sz w:val="24"/>
              </w:rPr>
              <w:t>3.5</w:t>
            </w:r>
            <w:r>
              <w:rPr>
                <w:rFonts w:hint="eastAsia" w:ascii="宋体" w:hAnsi="宋体"/>
                <w:bCs/>
                <w:sz w:val="24"/>
              </w:rPr>
              <w:t>万元）;合同及验收报告齐全，每提供一份得</w:t>
            </w:r>
            <w:r>
              <w:rPr>
                <w:rFonts w:ascii="宋体" w:hAnsi="宋体"/>
                <w:bCs/>
                <w:sz w:val="24"/>
              </w:rPr>
              <w:t>1</w:t>
            </w:r>
            <w:r>
              <w:rPr>
                <w:rFonts w:hint="eastAsia" w:ascii="宋体" w:hAnsi="宋体"/>
                <w:bCs/>
                <w:sz w:val="24"/>
              </w:rPr>
              <w:t>分，最多得</w:t>
            </w:r>
            <w:r>
              <w:rPr>
                <w:rFonts w:ascii="宋体" w:hAnsi="宋体"/>
                <w:bCs/>
                <w:sz w:val="24"/>
              </w:rPr>
              <w:t>2</w:t>
            </w:r>
            <w:r>
              <w:rPr>
                <w:rFonts w:hint="eastAsia" w:ascii="宋体" w:hAnsi="宋体"/>
                <w:bCs/>
                <w:sz w:val="24"/>
              </w:rPr>
              <w:t>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2</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符合招标文件质保期要求的不加分，每增加一年加1分，最高加3分。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078"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3</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装订规范得1分；文字清晰、无差错得1分；所提供资料准确完整得1分。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00" w:type="dxa"/>
            <w:tcBorders>
              <w:top w:val="single" w:color="auto" w:sz="6" w:space="0"/>
              <w:left w:val="single" w:color="auto" w:sz="12" w:space="0"/>
              <w:bottom w:val="single" w:color="auto" w:sz="6"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4</w:t>
            </w:r>
          </w:p>
        </w:tc>
        <w:tc>
          <w:tcPr>
            <w:tcW w:w="1723" w:type="dxa"/>
            <w:tcBorders>
              <w:top w:val="single" w:color="auto" w:sz="6" w:space="0"/>
              <w:left w:val="single" w:color="auto" w:sz="4"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300" w:lineRule="auto"/>
              <w:ind w:left="151" w:leftChars="72" w:right="267" w:rightChars="127"/>
              <w:rPr>
                <w:rFonts w:ascii="宋体" w:hAnsi="宋体"/>
                <w:bCs/>
                <w:sz w:val="24"/>
              </w:rPr>
            </w:pPr>
            <w:r>
              <w:rPr>
                <w:rFonts w:ascii="宋体" w:hAnsi="宋体"/>
                <w:bCs/>
                <w:sz w:val="24"/>
              </w:rPr>
              <w:t>20</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根据售后服务方案，搭建科学合理的售后服务体系，组织结构合理、施工质量优秀、协同机制完备、服务流程科学、质量保障充分分四档进行评价打分：优秀（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w:t>
            </w:r>
            <w:r>
              <w:rPr>
                <w:rFonts w:ascii="宋体" w:hAnsi="宋体"/>
                <w:bCs/>
                <w:sz w:val="24"/>
              </w:rPr>
              <w:t>3</w:t>
            </w:r>
            <w:r>
              <w:rPr>
                <w:rFonts w:hint="eastAsia" w:ascii="宋体" w:hAnsi="宋体"/>
                <w:bCs/>
                <w:sz w:val="24"/>
              </w:rPr>
              <w:t>分）；差或者不提供者不得分。</w:t>
            </w:r>
          </w:p>
          <w:p>
            <w:pPr>
              <w:adjustRightInd w:val="0"/>
              <w:snapToGrid w:val="0"/>
              <w:spacing w:line="440" w:lineRule="exact"/>
              <w:ind w:firstLine="480" w:firstLineChars="200"/>
              <w:rPr>
                <w:rFonts w:ascii="宋体" w:hAnsi="宋体"/>
                <w:bCs/>
                <w:sz w:val="24"/>
              </w:rPr>
            </w:pPr>
            <w:r>
              <w:rPr>
                <w:rFonts w:hint="eastAsia" w:ascii="宋体" w:hAnsi="宋体"/>
                <w:bCs/>
                <w:sz w:val="24"/>
              </w:rPr>
              <w:t>根据招标内容，提供系统、全面、可行的培训方案，多维度、多层次提供系统培训分四档进行评价打分：优秀（</w:t>
            </w:r>
            <w:r>
              <w:rPr>
                <w:rFonts w:ascii="宋体" w:hAnsi="宋体"/>
                <w:bCs/>
                <w:sz w:val="24"/>
              </w:rPr>
              <w:t>10</w:t>
            </w:r>
            <w:r>
              <w:rPr>
                <w:rFonts w:hint="eastAsia" w:ascii="宋体" w:hAnsi="宋体"/>
                <w:bCs/>
                <w:sz w:val="24"/>
              </w:rPr>
              <w:t>分）；较好（</w:t>
            </w:r>
            <w:r>
              <w:rPr>
                <w:rFonts w:ascii="宋体" w:hAnsi="宋体"/>
                <w:bCs/>
                <w:sz w:val="24"/>
              </w:rPr>
              <w:t>5</w:t>
            </w:r>
            <w:r>
              <w:rPr>
                <w:rFonts w:hint="eastAsia" w:ascii="宋体" w:hAnsi="宋体"/>
                <w:bCs/>
                <w:sz w:val="24"/>
              </w:rPr>
              <w:t>分）；一般（3分）；差或者不提供者不得分。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00" w:type="dxa"/>
            <w:tcBorders>
              <w:top w:val="single" w:color="auto" w:sz="6" w:space="0"/>
              <w:left w:val="single" w:color="auto" w:sz="12" w:space="0"/>
              <w:bottom w:val="single" w:color="auto" w:sz="12" w:space="0"/>
              <w:right w:val="single" w:color="auto" w:sz="4"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C</w:t>
            </w:r>
            <w:r>
              <w:rPr>
                <w:rFonts w:ascii="宋体" w:hAnsi="宋体"/>
                <w:bCs/>
                <w:sz w:val="24"/>
              </w:rPr>
              <w:t>5</w:t>
            </w:r>
          </w:p>
        </w:tc>
        <w:tc>
          <w:tcPr>
            <w:tcW w:w="1723" w:type="dxa"/>
            <w:tcBorders>
              <w:top w:val="single" w:color="auto" w:sz="6" w:space="0"/>
              <w:left w:val="single" w:color="auto" w:sz="4"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300" w:lineRule="auto"/>
              <w:ind w:left="151" w:leftChars="72" w:right="267" w:rightChars="127"/>
              <w:rPr>
                <w:rFonts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300" w:lineRule="auto"/>
              <w:ind w:left="151" w:leftChars="72" w:right="267" w:rightChars="127" w:firstLine="480" w:firstLineChars="200"/>
              <w:rPr>
                <w:rFonts w:ascii="宋体" w:hAnsi="宋体"/>
                <w:bCs/>
                <w:sz w:val="24"/>
              </w:rPr>
            </w:pPr>
            <w:r>
              <w:rPr>
                <w:rFonts w:hint="eastAsia" w:ascii="宋体" w:hAnsi="宋体"/>
                <w:bCs/>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r>
    </w:tbl>
    <w:p>
      <w:pPr>
        <w:wordWrap w:val="0"/>
        <w:topLinePunct/>
        <w:snapToGrid w:val="0"/>
        <w:spacing w:line="360" w:lineRule="auto"/>
        <w:ind w:firstLine="482" w:firstLineChars="200"/>
        <w:rPr>
          <w:rFonts w:ascii="宋体" w:hAnsi="宋体"/>
          <w:b/>
          <w:bCs/>
          <w:sz w:val="24"/>
        </w:rPr>
      </w:pPr>
      <w:r>
        <w:rPr>
          <w:rFonts w:hint="eastAsia" w:ascii="宋体" w:hAnsi="宋体"/>
          <w:b/>
          <w:bCs/>
          <w:sz w:val="24"/>
        </w:rPr>
        <w:t>3、</w:t>
      </w:r>
      <w:r>
        <w:rPr>
          <w:rFonts w:hint="eastAsia" w:ascii="宋体" w:hAnsi="宋体"/>
          <w:b/>
          <w:bCs/>
          <w:sz w:val="24"/>
          <w:lang w:val="zh-CN"/>
        </w:rPr>
        <w:t>各投标人的最终得分：评标委员会成员对上述各项分别打分、汇总后的算术平均值，采用四舍五入法，保留小数点后二位</w:t>
      </w:r>
      <w:r>
        <w:rPr>
          <w:rFonts w:hint="eastAsia" w:ascii="宋体" w:hAnsi="宋体"/>
          <w:b/>
          <w:bCs/>
          <w:sz w:val="24"/>
        </w:rPr>
        <w:t>。</w:t>
      </w:r>
    </w:p>
    <w:p>
      <w:pPr>
        <w:wordWrap w:val="0"/>
        <w:topLinePunct/>
        <w:snapToGrid w:val="0"/>
        <w:spacing w:line="360" w:lineRule="auto"/>
        <w:ind w:firstLine="482" w:firstLineChars="200"/>
        <w:rPr>
          <w:rFonts w:ascii="宋体" w:hAnsi="宋体"/>
          <w:b/>
          <w:bCs/>
          <w:sz w:val="24"/>
        </w:rPr>
      </w:pPr>
      <w:r>
        <w:rPr>
          <w:rFonts w:hint="eastAsia" w:ascii="宋体" w:hAnsi="宋体"/>
          <w:b/>
          <w:bCs/>
          <w:sz w:val="24"/>
        </w:rPr>
        <w:t>4、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pPr>
        <w:adjustRightInd w:val="0"/>
        <w:snapToGrid w:val="0"/>
        <w:spacing w:line="360" w:lineRule="auto"/>
        <w:ind w:firstLine="482" w:firstLineChars="200"/>
        <w:rPr>
          <w:rFonts w:ascii="宋体" w:hAnsi="宋体" w:cs="Courier New"/>
          <w:szCs w:val="21"/>
        </w:rPr>
      </w:pPr>
      <w:r>
        <w:rPr>
          <w:rFonts w:hint="eastAsia" w:ascii="宋体" w:hAnsi="宋体"/>
          <w:b/>
          <w:bCs/>
          <w:sz w:val="24"/>
        </w:rPr>
        <w:t>5、本评分办法中涉及提供人员相关情况的，均须同时提供投标截止时间前三个月内任何一个月本单位为其缴纳社会保险的证明材料，否则不得分。</w:t>
      </w:r>
    </w:p>
    <w:p>
      <w:pPr>
        <w:adjustRightInd w:val="0"/>
        <w:snapToGrid w:val="0"/>
        <w:spacing w:line="360" w:lineRule="auto"/>
        <w:ind w:firstLine="420" w:firstLineChars="200"/>
        <w:rPr>
          <w:rFonts w:ascii="宋体" w:hAnsi="宋体" w:cs="Courier New"/>
          <w:szCs w:val="21"/>
        </w:rPr>
      </w:pP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contextualSpacing/>
        <w:jc w:val="left"/>
        <w:textAlignment w:val="auto"/>
        <w:outlineLvl w:val="9"/>
        <w:rPr>
          <w:rFonts w:hint="eastAsia" w:ascii="Calibri" w:hAnsi="宋体" w:cs="仿宋_GB2312"/>
          <w:b/>
          <w:szCs w:val="21"/>
          <w:lang w:val="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71706"/>
    <w:multiLevelType w:val="multilevel"/>
    <w:tmpl w:val="56E71706"/>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4522E"/>
    <w:rsid w:val="027E7671"/>
    <w:rsid w:val="02B87E86"/>
    <w:rsid w:val="031F393C"/>
    <w:rsid w:val="03F03233"/>
    <w:rsid w:val="0497030D"/>
    <w:rsid w:val="058D028A"/>
    <w:rsid w:val="0607480E"/>
    <w:rsid w:val="06B27A65"/>
    <w:rsid w:val="083418ED"/>
    <w:rsid w:val="0836698C"/>
    <w:rsid w:val="087B76FB"/>
    <w:rsid w:val="08BC0C3D"/>
    <w:rsid w:val="0A2051AB"/>
    <w:rsid w:val="0B25022E"/>
    <w:rsid w:val="0BF6779E"/>
    <w:rsid w:val="0CA51880"/>
    <w:rsid w:val="0D0C22F2"/>
    <w:rsid w:val="0DD910FC"/>
    <w:rsid w:val="0DFB1E19"/>
    <w:rsid w:val="0E1275B6"/>
    <w:rsid w:val="0F335FDD"/>
    <w:rsid w:val="110371A0"/>
    <w:rsid w:val="112A6F88"/>
    <w:rsid w:val="11A34D43"/>
    <w:rsid w:val="11CB6095"/>
    <w:rsid w:val="122118B5"/>
    <w:rsid w:val="1251066A"/>
    <w:rsid w:val="15136BCF"/>
    <w:rsid w:val="151D3851"/>
    <w:rsid w:val="153B03A1"/>
    <w:rsid w:val="15D90CDD"/>
    <w:rsid w:val="16157F3C"/>
    <w:rsid w:val="179058BF"/>
    <w:rsid w:val="184E6C29"/>
    <w:rsid w:val="186D7D7D"/>
    <w:rsid w:val="188561B4"/>
    <w:rsid w:val="18F56608"/>
    <w:rsid w:val="19262D98"/>
    <w:rsid w:val="193C1468"/>
    <w:rsid w:val="19F265E1"/>
    <w:rsid w:val="1A9562B2"/>
    <w:rsid w:val="1C4A774A"/>
    <w:rsid w:val="1C807F77"/>
    <w:rsid w:val="1CCB5858"/>
    <w:rsid w:val="1D0F588B"/>
    <w:rsid w:val="1EB36D79"/>
    <w:rsid w:val="1ECD4ABF"/>
    <w:rsid w:val="202730CC"/>
    <w:rsid w:val="20C23599"/>
    <w:rsid w:val="21031A82"/>
    <w:rsid w:val="241341C9"/>
    <w:rsid w:val="24894F31"/>
    <w:rsid w:val="24BB4877"/>
    <w:rsid w:val="24DA751C"/>
    <w:rsid w:val="24E81EA4"/>
    <w:rsid w:val="25750BE8"/>
    <w:rsid w:val="26C36B2C"/>
    <w:rsid w:val="26CE3EA0"/>
    <w:rsid w:val="299937A6"/>
    <w:rsid w:val="2A1855BF"/>
    <w:rsid w:val="2A381B2E"/>
    <w:rsid w:val="2A803058"/>
    <w:rsid w:val="2AAB4061"/>
    <w:rsid w:val="2B967707"/>
    <w:rsid w:val="2BA37BFC"/>
    <w:rsid w:val="2C08781F"/>
    <w:rsid w:val="2C174F5D"/>
    <w:rsid w:val="2D6058CD"/>
    <w:rsid w:val="2D990C63"/>
    <w:rsid w:val="2D9E50E9"/>
    <w:rsid w:val="2E184F9F"/>
    <w:rsid w:val="2EDB6C90"/>
    <w:rsid w:val="313D5C46"/>
    <w:rsid w:val="31755ADE"/>
    <w:rsid w:val="31AC27B6"/>
    <w:rsid w:val="32C14A03"/>
    <w:rsid w:val="32E2350C"/>
    <w:rsid w:val="33807776"/>
    <w:rsid w:val="34B52C60"/>
    <w:rsid w:val="352425C3"/>
    <w:rsid w:val="35524DD7"/>
    <w:rsid w:val="3633060E"/>
    <w:rsid w:val="377634E0"/>
    <w:rsid w:val="38B15E14"/>
    <w:rsid w:val="39C45BA9"/>
    <w:rsid w:val="39F97D44"/>
    <w:rsid w:val="39FA10D2"/>
    <w:rsid w:val="3A172054"/>
    <w:rsid w:val="3BF43BDC"/>
    <w:rsid w:val="3D4B4598"/>
    <w:rsid w:val="3D906A97"/>
    <w:rsid w:val="3DC44E62"/>
    <w:rsid w:val="3EAA2C45"/>
    <w:rsid w:val="3FE47D13"/>
    <w:rsid w:val="40F953FB"/>
    <w:rsid w:val="42462777"/>
    <w:rsid w:val="433C31D7"/>
    <w:rsid w:val="44751EFA"/>
    <w:rsid w:val="44985A4A"/>
    <w:rsid w:val="45297030"/>
    <w:rsid w:val="478563FF"/>
    <w:rsid w:val="478C4BE3"/>
    <w:rsid w:val="4826203F"/>
    <w:rsid w:val="48477D77"/>
    <w:rsid w:val="48D507A8"/>
    <w:rsid w:val="48E72D2F"/>
    <w:rsid w:val="4A287129"/>
    <w:rsid w:val="4B693195"/>
    <w:rsid w:val="4B7D1D06"/>
    <w:rsid w:val="4D587649"/>
    <w:rsid w:val="4DA330FB"/>
    <w:rsid w:val="4E4F6D9B"/>
    <w:rsid w:val="4F052091"/>
    <w:rsid w:val="4F2049B6"/>
    <w:rsid w:val="4FF83355"/>
    <w:rsid w:val="500C0661"/>
    <w:rsid w:val="50AC691A"/>
    <w:rsid w:val="526B173B"/>
    <w:rsid w:val="54DD6565"/>
    <w:rsid w:val="563413AB"/>
    <w:rsid w:val="57885E81"/>
    <w:rsid w:val="5879167C"/>
    <w:rsid w:val="58DD1B76"/>
    <w:rsid w:val="597E24E9"/>
    <w:rsid w:val="59841879"/>
    <w:rsid w:val="59E63691"/>
    <w:rsid w:val="5A572AE2"/>
    <w:rsid w:val="5A9235FE"/>
    <w:rsid w:val="5B5C5D02"/>
    <w:rsid w:val="5BDE0D92"/>
    <w:rsid w:val="5C5B1784"/>
    <w:rsid w:val="5C7F67ED"/>
    <w:rsid w:val="60F20B42"/>
    <w:rsid w:val="63334EF3"/>
    <w:rsid w:val="63966C71"/>
    <w:rsid w:val="647F7375"/>
    <w:rsid w:val="649D4E47"/>
    <w:rsid w:val="666A55D1"/>
    <w:rsid w:val="67404ADF"/>
    <w:rsid w:val="68F57D30"/>
    <w:rsid w:val="695B1169"/>
    <w:rsid w:val="699850D4"/>
    <w:rsid w:val="6B881214"/>
    <w:rsid w:val="6C7C682E"/>
    <w:rsid w:val="6E7A1863"/>
    <w:rsid w:val="6EE76249"/>
    <w:rsid w:val="6F743B98"/>
    <w:rsid w:val="6F902EFA"/>
    <w:rsid w:val="6FF44523"/>
    <w:rsid w:val="728F6C89"/>
    <w:rsid w:val="73B52D03"/>
    <w:rsid w:val="74D663B2"/>
    <w:rsid w:val="755408CD"/>
    <w:rsid w:val="76ED4D0A"/>
    <w:rsid w:val="772944B3"/>
    <w:rsid w:val="777508FA"/>
    <w:rsid w:val="77E42C11"/>
    <w:rsid w:val="78A478BB"/>
    <w:rsid w:val="7C971E11"/>
    <w:rsid w:val="7D1E27B9"/>
    <w:rsid w:val="7DD30DD7"/>
    <w:rsid w:val="7E156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ody Text Indent"/>
    <w:basedOn w:val="1"/>
    <w:qFormat/>
    <w:uiPriority w:val="0"/>
    <w:pPr>
      <w:ind w:left="-170" w:hanging="170"/>
      <w:jc w:val="center"/>
    </w:pPr>
    <w:rPr>
      <w:b/>
      <w:sz w:val="52"/>
      <w:szCs w:val="20"/>
    </w:rPr>
  </w:style>
  <w:style w:type="paragraph" w:styleId="5">
    <w:name w:val="Plain Text"/>
    <w:basedOn w:val="1"/>
    <w:qFormat/>
    <w:uiPriority w:val="0"/>
    <w:rPr>
      <w:rFonts w:asciiTheme="minorHAnsi" w:hAnsiTheme="minorHAnsi" w:cstheme="minorBidi"/>
      <w:sz w:val="24"/>
      <w:szCs w:val="22"/>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rFonts w:cs="Times New Roman"/>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北京华采招标代理有限公司:北京华采招标代理有限公司</cp:lastModifiedBy>
  <dcterms:modified xsi:type="dcterms:W3CDTF">2017-12-29T04:01:29Z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