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许昌市城乡一体化示范区管理委员会“公务用车”</w:t>
      </w:r>
    </w:p>
    <w:p>
      <w:pPr>
        <w:jc w:val="center"/>
        <w:rPr>
          <w:rFonts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项目编号：JZFCG－D2017</w:t>
      </w:r>
      <w:r>
        <w:rPr>
          <w:rFonts w:hint="eastAsia" w:ascii="宋体" w:hAnsi="宋体"/>
          <w:b/>
          <w:bCs/>
          <w:sz w:val="36"/>
          <w:szCs w:val="36"/>
          <w:lang w:val="en-US" w:eastAsia="zh-CN"/>
        </w:rPr>
        <w:t>011</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ascii="宋体" w:hAnsi="宋体"/>
          <w:b/>
          <w:bCs/>
          <w:sz w:val="32"/>
          <w:szCs w:val="32"/>
        </w:rPr>
      </w:pPr>
      <w:r>
        <w:rPr>
          <w:rFonts w:hint="eastAsia" w:ascii="宋体" w:hAnsi="宋体"/>
          <w:b/>
          <w:bCs/>
          <w:sz w:val="32"/>
          <w:szCs w:val="32"/>
        </w:rPr>
        <w:t>项目名称：许昌市城乡一体化示范区管理委员会“公务用车”</w:t>
      </w:r>
    </w:p>
    <w:p>
      <w:pPr>
        <w:snapToGrid w:val="0"/>
        <w:spacing w:line="360" w:lineRule="auto"/>
        <w:ind w:firstLine="964" w:firstLineChars="300"/>
        <w:rPr>
          <w:b/>
          <w:sz w:val="36"/>
          <w:szCs w:val="36"/>
        </w:rPr>
      </w:pPr>
      <w:r>
        <w:rPr>
          <w:rFonts w:hint="eastAsia" w:ascii="宋体" w:hAnsi="宋体"/>
          <w:b/>
          <w:bCs/>
          <w:sz w:val="32"/>
          <w:szCs w:val="32"/>
        </w:rPr>
        <w:t>采 购 人：许昌市东城区城中村改造管理办公室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代理机构：河南鼎华招标代理有限公司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eastAsia="zh-CN"/>
        </w:rPr>
        <w:t>七</w:t>
      </w:r>
      <w:r>
        <w:rPr>
          <w:rFonts w:hint="eastAsia" w:ascii="宋体" w:hAnsi="宋体"/>
          <w:b/>
          <w:bCs/>
          <w:sz w:val="32"/>
          <w:szCs w:val="32"/>
        </w:rPr>
        <w:t>年</w:t>
      </w:r>
      <w:r>
        <w:rPr>
          <w:rFonts w:hint="eastAsia" w:ascii="宋体" w:hAnsi="宋体"/>
          <w:b/>
          <w:bCs/>
          <w:sz w:val="32"/>
          <w:szCs w:val="32"/>
          <w:lang w:eastAsia="zh-CN"/>
        </w:rPr>
        <w:t>十二</w:t>
      </w:r>
      <w:r>
        <w:rPr>
          <w:rFonts w:hint="eastAsia" w:ascii="宋体" w:hAnsi="宋体"/>
          <w:b/>
          <w:bCs/>
          <w:sz w:val="32"/>
          <w:szCs w:val="32"/>
        </w:rPr>
        <w:t>月</w:t>
      </w:r>
    </w:p>
    <w:p>
      <w:pPr>
        <w:pStyle w:val="14"/>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4"/>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4"/>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4"/>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采购文件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35"/>
        <w:spacing w:line="408" w:lineRule="auto"/>
        <w:ind w:firstLine="643" w:firstLineChars="200"/>
      </w:pPr>
    </w:p>
    <w:p>
      <w:pPr>
        <w:pStyle w:val="35"/>
        <w:spacing w:line="408" w:lineRule="auto"/>
        <w:ind w:firstLine="643" w:firstLineChars="200"/>
      </w:pPr>
    </w:p>
    <w:p>
      <w:pPr>
        <w:pStyle w:val="35"/>
        <w:spacing w:line="408" w:lineRule="auto"/>
        <w:ind w:firstLine="643" w:firstLineChars="200"/>
      </w:pPr>
    </w:p>
    <w:p>
      <w:pPr>
        <w:pStyle w:val="35"/>
        <w:spacing w:line="408" w:lineRule="auto"/>
        <w:jc w:val="both"/>
      </w:pPr>
    </w:p>
    <w:p>
      <w:pPr>
        <w:pStyle w:val="35"/>
        <w:spacing w:line="408" w:lineRule="auto"/>
        <w:rPr>
          <w:rFonts w:ascii="宋体" w:cs="宋体"/>
          <w:sz w:val="28"/>
        </w:rPr>
      </w:pPr>
      <w:r>
        <w:rPr>
          <w:rFonts w:hint="eastAsia"/>
        </w:rPr>
        <w:t>第一章</w:t>
      </w:r>
      <w:r>
        <w:rPr>
          <w:rFonts w:hint="eastAsia"/>
          <w:lang w:val="en-US"/>
        </w:rPr>
        <w:t xml:space="preserve">  </w:t>
      </w:r>
      <w:r>
        <w:rPr>
          <w:rFonts w:hint="eastAsia"/>
        </w:rPr>
        <w:t>单一来源邀请函</w:t>
      </w:r>
    </w:p>
    <w:p>
      <w:pPr>
        <w:autoSpaceDE w:val="0"/>
        <w:autoSpaceDN w:val="0"/>
        <w:adjustRightInd w:val="0"/>
        <w:snapToGrid w:val="0"/>
        <w:spacing w:line="408" w:lineRule="auto"/>
        <w:ind w:firstLine="562" w:firstLineChars="200"/>
        <w:rPr>
          <w:rFonts w:ascii="宋体" w:cs="宋体"/>
          <w:b/>
          <w:bCs/>
          <w:sz w:val="28"/>
          <w:szCs w:val="28"/>
          <w:lang w:val="zh-CN"/>
        </w:rPr>
      </w:pPr>
      <w:r>
        <w:rPr>
          <w:rFonts w:hint="eastAsia" w:ascii="宋体" w:cs="宋体"/>
          <w:b/>
          <w:bCs/>
          <w:sz w:val="28"/>
          <w:szCs w:val="28"/>
          <w:lang w:val="zh-CN"/>
        </w:rPr>
        <w:t>郑州宇通客车股份有限公司：</w:t>
      </w:r>
    </w:p>
    <w:p>
      <w:pPr>
        <w:autoSpaceDE w:val="0"/>
        <w:autoSpaceDN w:val="0"/>
        <w:adjustRightInd w:val="0"/>
        <w:snapToGrid w:val="0"/>
        <w:spacing w:line="408" w:lineRule="auto"/>
        <w:ind w:firstLine="480" w:firstLineChars="200"/>
        <w:rPr>
          <w:rFonts w:ascii="宋体" w:cs="宋体"/>
          <w:sz w:val="24"/>
          <w:lang w:val="zh-CN"/>
        </w:rPr>
      </w:pPr>
      <w:r>
        <w:rPr>
          <w:rFonts w:hint="eastAsia" w:ascii="宋体" w:cs="宋体"/>
          <w:sz w:val="24"/>
          <w:lang w:val="zh-CN"/>
        </w:rPr>
        <w:t>受许昌市城乡一体化示范区管理委员会的委托，河南鼎华招标代理有限公司就许昌市城乡一体化示范区管理委员会“公务用车”采购项目进行单一来源采购，现邀请贵公司前来谈判。</w:t>
      </w:r>
    </w:p>
    <w:p>
      <w:pPr>
        <w:autoSpaceDE w:val="0"/>
        <w:autoSpaceDN w:val="0"/>
        <w:adjustRightInd w:val="0"/>
        <w:snapToGrid w:val="0"/>
        <w:spacing w:line="408" w:lineRule="auto"/>
        <w:ind w:firstLine="482" w:firstLineChars="200"/>
        <w:rPr>
          <w:rFonts w:ascii="宋体" w:cs="宋体"/>
          <w:b/>
          <w:bCs/>
          <w:sz w:val="24"/>
          <w:lang w:val="zh-CN"/>
        </w:rPr>
      </w:pPr>
      <w:r>
        <w:rPr>
          <w:rFonts w:hint="eastAsia" w:ascii="宋体" w:cs="宋体"/>
          <w:b/>
          <w:bCs/>
          <w:sz w:val="24"/>
          <w:lang w:val="zh-CN"/>
        </w:rPr>
        <w:t>一、项目基本情况</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（一）项目名称：许昌市城乡一体化示范区管理委员会“公务用车”采购项目</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（二）项目编号：JZFCG-D2017</w:t>
      </w:r>
      <w:r>
        <w:rPr>
          <w:rFonts w:hint="eastAsia" w:ascii="宋体" w:cs="宋体"/>
          <w:sz w:val="24"/>
          <w:lang w:val="en-US" w:eastAsia="zh-CN"/>
        </w:rPr>
        <w:t>011</w:t>
      </w:r>
      <w:r>
        <w:rPr>
          <w:rFonts w:hint="eastAsia" w:ascii="宋体" w:cs="宋体"/>
          <w:sz w:val="24"/>
          <w:lang w:val="zh-CN"/>
        </w:rPr>
        <w:t>号</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（三）项目需求：购买公务用车一辆。</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（四）预算金额：</w:t>
      </w:r>
      <w:r>
        <w:rPr>
          <w:rFonts w:hint="eastAsia" w:ascii="宋体" w:cs="宋体"/>
          <w:sz w:val="24"/>
        </w:rPr>
        <w:t>550000</w:t>
      </w:r>
      <w:r>
        <w:rPr>
          <w:rFonts w:hint="eastAsia" w:ascii="宋体" w:cs="宋体"/>
          <w:sz w:val="24"/>
          <w:lang w:val="zh-CN"/>
        </w:rPr>
        <w:t>元；最高限价：</w:t>
      </w:r>
      <w:r>
        <w:rPr>
          <w:rFonts w:hint="eastAsia" w:ascii="宋体" w:cs="宋体"/>
          <w:sz w:val="24"/>
        </w:rPr>
        <w:t>550000元</w:t>
      </w:r>
    </w:p>
    <w:p>
      <w:pPr>
        <w:pStyle w:val="14"/>
        <w:widowControl/>
        <w:shd w:val="clear" w:color="auto" w:fill="FFFFFF"/>
        <w:spacing w:line="360" w:lineRule="auto"/>
        <w:ind w:firstLine="420"/>
        <w:jc w:val="left"/>
        <w:rPr>
          <w:rFonts w:ascii="宋体" w:cs="宋体" w:hAnsiTheme="minorHAnsi" w:eastAsiaTheme="minorEastAsia"/>
          <w:szCs w:val="22"/>
          <w:lang w:val="zh-CN"/>
        </w:rPr>
      </w:pPr>
      <w:r>
        <w:rPr>
          <w:rFonts w:hint="eastAsia" w:ascii="宋体" w:cs="宋体" w:hAnsiTheme="minorHAnsi" w:eastAsiaTheme="minorEastAsia"/>
          <w:szCs w:val="22"/>
          <w:lang w:val="zh-CN"/>
        </w:rPr>
        <w:t>（五）交付时间 ：合同签订后30天内交货</w:t>
      </w:r>
    </w:p>
    <w:p>
      <w:pPr>
        <w:pStyle w:val="14"/>
        <w:widowControl/>
        <w:shd w:val="clear" w:color="auto" w:fill="FFFFFF"/>
        <w:spacing w:line="360" w:lineRule="auto"/>
        <w:ind w:firstLine="420"/>
        <w:jc w:val="left"/>
        <w:rPr>
          <w:rFonts w:ascii="宋体" w:cs="宋体"/>
          <w:b/>
          <w:bCs/>
          <w:lang w:val="zh-CN"/>
        </w:rPr>
      </w:pPr>
      <w:r>
        <w:rPr>
          <w:rFonts w:hint="eastAsia" w:ascii="宋体" w:cs="宋体" w:hAnsiTheme="minorHAnsi" w:eastAsiaTheme="minorEastAsia"/>
          <w:szCs w:val="22"/>
          <w:lang w:val="zh-CN"/>
        </w:rPr>
        <w:t>（六）交付地点：</w:t>
      </w:r>
      <w:r>
        <w:rPr>
          <w:rFonts w:hint="eastAsia" w:ascii="宋体" w:cs="宋体"/>
          <w:lang w:val="zh-CN"/>
        </w:rPr>
        <w:t>许昌市城乡一体化示范区管理委员会</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（七）进口产品：不允许</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二、需要落实的政府采购政策</w:t>
      </w:r>
    </w:p>
    <w:p>
      <w:pPr>
        <w:autoSpaceDE w:val="0"/>
        <w:autoSpaceDN w:val="0"/>
        <w:adjustRightInd w:val="0"/>
        <w:snapToGrid w:val="0"/>
        <w:spacing w:line="408" w:lineRule="auto"/>
        <w:ind w:firstLine="594"/>
        <w:rPr>
          <w:rFonts w:hint="eastAsia" w:ascii="宋体" w:cs="宋体"/>
          <w:sz w:val="24"/>
          <w:lang w:val="zh-CN"/>
        </w:rPr>
      </w:pPr>
      <w:r>
        <w:rPr>
          <w:rFonts w:hint="eastAsia" w:ascii="宋体" w:cs="宋体"/>
          <w:sz w:val="24"/>
          <w:lang w:val="zh-CN"/>
        </w:rPr>
        <w:t>本项目落实节能环保、中小微型企业、监狱企业、残疾人福利性单位扶持等相关政府采购政策。</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二、</w:t>
      </w:r>
      <w:r>
        <w:rPr>
          <w:rFonts w:hint="eastAsia" w:ascii="宋体" w:hAnsi="宋体" w:cs="宋体"/>
          <w:b/>
          <w:sz w:val="24"/>
          <w:lang w:val="zh-CN"/>
        </w:rPr>
        <w:t>供应商资格要求</w:t>
      </w:r>
    </w:p>
    <w:p>
      <w:pPr>
        <w:autoSpaceDE w:val="0"/>
        <w:autoSpaceDN w:val="0"/>
        <w:adjustRightInd w:val="0"/>
        <w:snapToGrid w:val="0"/>
        <w:spacing w:line="408" w:lineRule="auto"/>
        <w:ind w:firstLine="480" w:firstLineChars="200"/>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autoSpaceDE w:val="0"/>
        <w:autoSpaceDN w:val="0"/>
        <w:adjustRightInd w:val="0"/>
        <w:snapToGrid w:val="0"/>
        <w:spacing w:line="408" w:lineRule="auto"/>
        <w:ind w:firstLine="480" w:firstLineChars="200"/>
        <w:rPr>
          <w:rFonts w:ascii="宋体" w:cs="宋体"/>
          <w:color w:val="000000" w:themeColor="text1"/>
          <w:sz w:val="24"/>
          <w:lang w:val="zh-CN"/>
        </w:rPr>
      </w:pPr>
      <w:r>
        <w:rPr>
          <w:rFonts w:hint="eastAsia" w:ascii="宋体" w:cs="宋体"/>
          <w:color w:val="000000" w:themeColor="text1"/>
          <w:sz w:val="24"/>
          <w:lang w:val="zh-CN"/>
        </w:rPr>
        <w:t>（二）未被列入“信用中国”网站(www.creditchina.gov.cn)、信用记录失信被执行人、重大税收违法案件当事人名单、政府采购严重违法记录名单的投标人；中国政府采购网(www.ccgp.gov.cn)政府采购严重违法失信行为记录名单的投标人。</w:t>
      </w:r>
    </w:p>
    <w:p>
      <w:pPr>
        <w:autoSpaceDE w:val="0"/>
        <w:autoSpaceDN w:val="0"/>
        <w:adjustRightInd w:val="0"/>
        <w:snapToGrid w:val="0"/>
        <w:spacing w:line="408" w:lineRule="auto"/>
        <w:ind w:firstLine="480" w:firstLineChars="200"/>
        <w:rPr>
          <w:rFonts w:ascii="宋体" w:hAnsi="宋体"/>
          <w:bCs/>
          <w:sz w:val="24"/>
          <w:lang w:val="zh-CN"/>
        </w:rPr>
      </w:pPr>
      <w:r>
        <w:rPr>
          <w:rFonts w:hint="eastAsia" w:ascii="宋体" w:hAnsi="宋体"/>
          <w:bCs/>
          <w:sz w:val="24"/>
          <w:lang w:val="zh-CN"/>
        </w:rPr>
        <w:t>（三）本次招标不接受联合体投标。</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三、获取招标文件的时间、地点、方式</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（一）网上下载招标文件</w:t>
      </w:r>
    </w:p>
    <w:p>
      <w:pPr>
        <w:autoSpaceDE w:val="0"/>
        <w:autoSpaceDN w:val="0"/>
        <w:adjustRightInd w:val="0"/>
        <w:snapToGrid w:val="0"/>
        <w:spacing w:line="408" w:lineRule="auto"/>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四、投标截止时间、开标时间及地点：</w:t>
      </w:r>
    </w:p>
    <w:p>
      <w:pPr>
        <w:autoSpaceDE w:val="0"/>
        <w:autoSpaceDN w:val="0"/>
        <w:adjustRightInd w:val="0"/>
        <w:snapToGrid w:val="0"/>
        <w:spacing w:line="408" w:lineRule="auto"/>
        <w:ind w:firstLine="594"/>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2017年</w:t>
      </w:r>
      <w:r>
        <w:rPr>
          <w:rFonts w:hint="eastAsia" w:ascii="宋体" w:cs="宋体"/>
          <w:color w:val="000000" w:themeColor="text1"/>
          <w:sz w:val="24"/>
          <w:lang w:val="en-US" w:eastAsia="zh-CN"/>
        </w:rPr>
        <w:t>12</w:t>
      </w:r>
      <w:r>
        <w:rPr>
          <w:rFonts w:hint="eastAsia" w:ascii="宋体" w:cs="宋体"/>
          <w:color w:val="000000" w:themeColor="text1"/>
          <w:sz w:val="24"/>
          <w:lang w:val="zh-CN"/>
        </w:rPr>
        <w:t>月</w:t>
      </w:r>
      <w:r>
        <w:rPr>
          <w:rFonts w:hint="eastAsia" w:ascii="宋体" w:cs="宋体"/>
          <w:color w:val="000000" w:themeColor="text1"/>
          <w:sz w:val="24"/>
          <w:lang w:val="en-US" w:eastAsia="zh-CN"/>
        </w:rPr>
        <w:t>28</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00</w:t>
      </w:r>
      <w:r>
        <w:rPr>
          <w:rFonts w:hint="eastAsia" w:ascii="宋体" w:cs="宋体"/>
          <w:color w:val="000000" w:themeColor="text1"/>
          <w:sz w:val="24"/>
          <w:lang w:val="zh-CN"/>
        </w:rPr>
        <w:t>分（北京时间），逾期送达或不符合规定的投标文件不予接受。</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二</w:t>
      </w:r>
      <w:r>
        <w:rPr>
          <w:rFonts w:hint="eastAsia" w:ascii="宋体" w:cs="宋体"/>
          <w:sz w:val="24"/>
          <w:lang w:val="zh-CN"/>
        </w:rPr>
        <w:t>室。</w:t>
      </w:r>
    </w:p>
    <w:p>
      <w:pPr>
        <w:autoSpaceDE w:val="0"/>
        <w:autoSpaceDN w:val="0"/>
        <w:adjustRightInd w:val="0"/>
        <w:snapToGrid w:val="0"/>
        <w:spacing w:line="408" w:lineRule="auto"/>
        <w:ind w:firstLine="594"/>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autoSpaceDE w:val="0"/>
        <w:autoSpaceDN w:val="0"/>
        <w:adjustRightInd w:val="0"/>
        <w:snapToGrid w:val="0"/>
        <w:spacing w:line="408" w:lineRule="auto"/>
        <w:ind w:firstLine="594"/>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人：许昌市城乡一体化示范区管理委员会</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地    址：许昌市城乡一体化示范区</w:t>
      </w:r>
    </w:p>
    <w:p>
      <w:pPr>
        <w:autoSpaceDE w:val="0"/>
        <w:autoSpaceDN w:val="0"/>
        <w:adjustRightInd w:val="0"/>
        <w:snapToGrid w:val="0"/>
        <w:spacing w:line="408" w:lineRule="auto"/>
        <w:ind w:firstLine="594"/>
        <w:rPr>
          <w:rFonts w:hint="eastAsia" w:ascii="宋体" w:cs="宋体"/>
          <w:sz w:val="24"/>
          <w:lang w:val="zh-CN"/>
        </w:rPr>
      </w:pPr>
      <w:r>
        <w:rPr>
          <w:rFonts w:hint="eastAsia" w:ascii="宋体" w:cs="宋体"/>
          <w:sz w:val="24"/>
          <w:lang w:val="zh-CN"/>
        </w:rPr>
        <w:t>联 系 人：马鹏飞</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联系电话：18737412369</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代理机构：河南鼎华招标代理有限公司</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地    址：许昌市帝豪花园24号楼</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 xml:space="preserve">联 系 人：冯建伟  </w:t>
      </w:r>
    </w:p>
    <w:p>
      <w:pPr>
        <w:autoSpaceDE w:val="0"/>
        <w:autoSpaceDN w:val="0"/>
        <w:adjustRightInd w:val="0"/>
        <w:snapToGrid w:val="0"/>
        <w:spacing w:line="408" w:lineRule="auto"/>
        <w:ind w:firstLine="594"/>
        <w:rPr>
          <w:rFonts w:ascii="宋体" w:cs="宋体"/>
          <w:sz w:val="24"/>
          <w:lang w:val="zh-CN"/>
        </w:rPr>
      </w:pPr>
      <w:r>
        <w:rPr>
          <w:rFonts w:hint="eastAsia" w:ascii="宋体" w:cs="宋体"/>
          <w:sz w:val="24"/>
          <w:lang w:val="zh-CN"/>
        </w:rPr>
        <w:t>联系电话：13633749696</w:t>
      </w:r>
    </w:p>
    <w:p>
      <w:pPr>
        <w:autoSpaceDE w:val="0"/>
        <w:autoSpaceDN w:val="0"/>
        <w:adjustRightInd w:val="0"/>
        <w:snapToGrid w:val="0"/>
        <w:spacing w:line="408" w:lineRule="auto"/>
        <w:ind w:firstLine="594"/>
        <w:rPr>
          <w:rFonts w:ascii="宋体" w:cs="宋体"/>
          <w:sz w:val="24"/>
          <w:lang w:val="zh-CN"/>
        </w:rPr>
      </w:pPr>
    </w:p>
    <w:p>
      <w:pPr>
        <w:tabs>
          <w:tab w:val="left" w:pos="7371"/>
          <w:tab w:val="right" w:pos="9192"/>
        </w:tabs>
        <w:autoSpaceDE w:val="0"/>
        <w:autoSpaceDN w:val="0"/>
        <w:adjustRightInd w:val="0"/>
        <w:snapToGrid w:val="0"/>
        <w:spacing w:line="408" w:lineRule="auto"/>
        <w:jc w:val="right"/>
        <w:rPr>
          <w:rFonts w:ascii="宋体" w:cs="宋体"/>
          <w:sz w:val="24"/>
          <w:lang w:val="zh-CN"/>
        </w:rPr>
      </w:pPr>
      <w:r>
        <w:rPr>
          <w:rFonts w:hint="eastAsia" w:ascii="宋体" w:cs="宋体"/>
          <w:sz w:val="24"/>
          <w:lang w:val="zh-CN"/>
        </w:rPr>
        <w:t>许昌市城乡一体化示范区管理委员会</w:t>
      </w:r>
    </w:p>
    <w:p>
      <w:pPr>
        <w:tabs>
          <w:tab w:val="left" w:pos="7371"/>
          <w:tab w:val="right" w:pos="9192"/>
        </w:tabs>
        <w:autoSpaceDE w:val="0"/>
        <w:autoSpaceDN w:val="0"/>
        <w:adjustRightInd w:val="0"/>
        <w:snapToGrid w:val="0"/>
        <w:spacing w:line="408" w:lineRule="auto"/>
        <w:jc w:val="right"/>
      </w:pPr>
      <w:r>
        <w:rPr>
          <w:rFonts w:hint="eastAsia" w:ascii="宋体" w:cs="宋体"/>
          <w:sz w:val="24"/>
          <w:lang w:val="zh-CN"/>
        </w:rPr>
        <w:t>二〇一七年十二月</w:t>
      </w:r>
    </w:p>
    <w:p>
      <w:pPr>
        <w:pStyle w:val="35"/>
        <w:spacing w:line="408" w:lineRule="auto"/>
      </w:pPr>
    </w:p>
    <w:p>
      <w:pPr>
        <w:pStyle w:val="35"/>
        <w:spacing w:line="408" w:lineRule="auto"/>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r>
        <w:rPr>
          <w:rFonts w:hint="eastAsia"/>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pStyle w:val="11"/>
        <w:spacing w:line="360" w:lineRule="auto"/>
        <w:ind w:firstLine="560" w:firstLineChars="200"/>
        <w:rPr>
          <w:rFonts w:hAnsi="宋体"/>
          <w:color w:val="000080"/>
          <w:kern w:val="0"/>
          <w:szCs w:val="21"/>
        </w:rPr>
      </w:pPr>
      <w:r>
        <w:rPr>
          <w:rFonts w:hint="eastAsia" w:hAnsi="宋体" w:cs="宋体"/>
          <w:color w:val="000000"/>
          <w:kern w:val="0"/>
          <w:sz w:val="28"/>
          <w:szCs w:val="24"/>
        </w:rPr>
        <w:t>中巴车一辆（根据法律法规，本项目采购产品须为中华人民共和国境内（不含港、澳、台）生产或组装）。</w:t>
      </w:r>
    </w:p>
    <w:p>
      <w:pPr>
        <w:spacing w:line="360" w:lineRule="auto"/>
        <w:ind w:left="472"/>
        <w:rPr>
          <w:rFonts w:asciiTheme="minorEastAsia" w:hAnsiTheme="minorEastAsia" w:cstheme="minorEastAsia"/>
          <w:b/>
          <w:color w:val="000000" w:themeColor="text1"/>
          <w:sz w:val="28"/>
          <w:szCs w:val="28"/>
        </w:rPr>
      </w:pPr>
      <w:bookmarkStart w:id="0" w:name="_Toc464124183"/>
      <w:r>
        <w:rPr>
          <w:rFonts w:hint="eastAsia" w:asciiTheme="minorEastAsia" w:hAnsiTheme="minorEastAsia" w:cstheme="minorEastAsia"/>
          <w:b/>
          <w:color w:val="000000" w:themeColor="text1"/>
          <w:sz w:val="28"/>
          <w:szCs w:val="28"/>
        </w:rPr>
        <w:t>二、采购需求</w:t>
      </w:r>
      <w:bookmarkEnd w:id="0"/>
    </w:p>
    <w:p>
      <w:pPr>
        <w:spacing w:line="360" w:lineRule="auto"/>
        <w:rPr>
          <w:rFonts w:ascii="仿宋_GB2312" w:eastAsia="仿宋_GB2312"/>
          <w:b/>
          <w:szCs w:val="21"/>
        </w:rPr>
      </w:pPr>
      <w:r>
        <w:rPr>
          <w:rFonts w:hint="eastAsia" w:ascii="仿宋_GB2312" w:eastAsia="仿宋_GB2312" w:cs="宋体"/>
          <w:b/>
          <w:szCs w:val="21"/>
        </w:rPr>
        <w:t>技术参数配置要求：见下表</w:t>
      </w:r>
    </w:p>
    <w:tbl>
      <w:tblPr>
        <w:tblStyle w:val="20"/>
        <w:tblW w:w="9108" w:type="dxa"/>
        <w:jc w:val="center"/>
        <w:tblInd w:w="0" w:type="dxa"/>
        <w:tblLayout w:type="fixed"/>
        <w:tblCellMar>
          <w:top w:w="0" w:type="dxa"/>
          <w:left w:w="108" w:type="dxa"/>
          <w:bottom w:w="0" w:type="dxa"/>
          <w:right w:w="108" w:type="dxa"/>
        </w:tblCellMar>
      </w:tblPr>
      <w:tblGrid>
        <w:gridCol w:w="648"/>
        <w:gridCol w:w="340"/>
        <w:gridCol w:w="1974"/>
        <w:gridCol w:w="6146"/>
      </w:tblGrid>
      <w:tr>
        <w:tblPrEx>
          <w:tblLayout w:type="fixed"/>
          <w:tblCellMar>
            <w:top w:w="0" w:type="dxa"/>
            <w:left w:w="108" w:type="dxa"/>
            <w:bottom w:w="0" w:type="dxa"/>
            <w:right w:w="108" w:type="dxa"/>
          </w:tblCellMar>
        </w:tblPrEx>
        <w:trPr>
          <w:trHeight w:val="454"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车型基本信息</w:t>
            </w:r>
          </w:p>
        </w:tc>
        <w:tc>
          <w:tcPr>
            <w:tcW w:w="812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型号：ZK6710Q1T</w:t>
            </w:r>
          </w:p>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额定载客人数：17人 　</w:t>
            </w:r>
          </w:p>
        </w:tc>
      </w:tr>
      <w:tr>
        <w:tblPrEx>
          <w:tblLayout w:type="fixed"/>
          <w:tblCellMar>
            <w:top w:w="0" w:type="dxa"/>
            <w:left w:w="108" w:type="dxa"/>
            <w:bottom w:w="0" w:type="dxa"/>
            <w:right w:w="108" w:type="dxa"/>
          </w:tblCellMar>
        </w:tblPrEx>
        <w:trPr>
          <w:trHeight w:val="454" w:hRule="atLeast"/>
          <w:jc w:val="center"/>
        </w:trPr>
        <w:tc>
          <w:tcPr>
            <w:tcW w:w="910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b/>
                <w:bCs/>
                <w:color w:val="000000"/>
                <w:kern w:val="0"/>
                <w:sz w:val="24"/>
              </w:rPr>
              <w:t>标准化配置</w:t>
            </w:r>
          </w:p>
        </w:tc>
      </w:tr>
      <w:tr>
        <w:tblPrEx>
          <w:tblLayout w:type="fixed"/>
          <w:tblCellMar>
            <w:top w:w="0" w:type="dxa"/>
            <w:left w:w="108" w:type="dxa"/>
            <w:bottom w:w="0" w:type="dxa"/>
            <w:right w:w="108" w:type="dxa"/>
          </w:tblCellMar>
        </w:tblPrEx>
        <w:trPr>
          <w:trHeight w:val="454" w:hRule="atLeast"/>
          <w:jc w:val="center"/>
        </w:trPr>
        <w:tc>
          <w:tcPr>
            <w:tcW w:w="2962" w:type="dxa"/>
            <w:gridSpan w:val="3"/>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color w:val="000000"/>
                <w:kern w:val="0"/>
                <w:sz w:val="24"/>
              </w:rPr>
            </w:pPr>
            <w:r>
              <w:rPr>
                <w:rFonts w:hint="eastAsia" w:ascii="仿宋_GB2312" w:hAnsi="宋体" w:eastAsia="仿宋_GB2312" w:cs="宋体"/>
                <w:b/>
                <w:color w:val="000000"/>
                <w:kern w:val="0"/>
                <w:sz w:val="24"/>
              </w:rPr>
              <w:t>配置项</w:t>
            </w:r>
          </w:p>
        </w:tc>
        <w:tc>
          <w:tcPr>
            <w:tcW w:w="6146" w:type="dxa"/>
            <w:tcBorders>
              <w:top w:val="nil"/>
              <w:left w:val="nil"/>
              <w:bottom w:val="single" w:color="auto" w:sz="4" w:space="0"/>
              <w:right w:val="single" w:color="auto" w:sz="4" w:space="0"/>
            </w:tcBorders>
            <w:vAlign w:val="center"/>
          </w:tcPr>
          <w:p>
            <w:pPr>
              <w:widowControl/>
              <w:jc w:val="center"/>
              <w:rPr>
                <w:rFonts w:ascii="仿宋_GB2312" w:eastAsia="仿宋_GB2312"/>
                <w:b/>
                <w:color w:val="000000"/>
                <w:kern w:val="0"/>
                <w:sz w:val="24"/>
              </w:rPr>
            </w:pPr>
            <w:r>
              <w:rPr>
                <w:rFonts w:hint="eastAsia" w:ascii="仿宋_GB2312" w:hAnsi="宋体" w:eastAsia="仿宋_GB2312" w:cs="宋体"/>
                <w:b/>
                <w:color w:val="000000"/>
                <w:kern w:val="0"/>
                <w:sz w:val="24"/>
              </w:rPr>
              <w:t>配置标准</w:t>
            </w:r>
          </w:p>
        </w:tc>
      </w:tr>
      <w:tr>
        <w:tblPrEx>
          <w:tblLayout w:type="fixed"/>
          <w:tblCellMar>
            <w:top w:w="0" w:type="dxa"/>
            <w:left w:w="108" w:type="dxa"/>
            <w:bottom w:w="0" w:type="dxa"/>
            <w:right w:w="108" w:type="dxa"/>
          </w:tblCellMar>
        </w:tblPrEx>
        <w:trPr>
          <w:trHeight w:val="454" w:hRule="atLeast"/>
          <w:jc w:val="center"/>
        </w:trPr>
        <w:tc>
          <w:tcPr>
            <w:tcW w:w="9108"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b/>
                <w:bCs/>
                <w:color w:val="000000"/>
                <w:kern w:val="0"/>
                <w:sz w:val="24"/>
              </w:rPr>
              <w:t>底盘</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发动机</w:t>
            </w:r>
          </w:p>
        </w:tc>
        <w:tc>
          <w:tcPr>
            <w:tcW w:w="614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GM L96 V8 6.0L汽油发动机</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2</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变速器</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ALLISON自动档变速箱</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3</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车桥</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前盘、后盘制动器　</w:t>
            </w:r>
          </w:p>
        </w:tc>
      </w:tr>
      <w:tr>
        <w:tblPrEx>
          <w:tblLayout w:type="fixed"/>
          <w:tblCellMar>
            <w:top w:w="0" w:type="dxa"/>
            <w:left w:w="108" w:type="dxa"/>
            <w:bottom w:w="0" w:type="dxa"/>
            <w:right w:w="108" w:type="dxa"/>
          </w:tblCellMar>
        </w:tblPrEx>
        <w:trPr>
          <w:trHeight w:val="454" w:hRule="atLeast"/>
          <w:jc w:val="center"/>
        </w:trPr>
        <w:tc>
          <w:tcPr>
            <w:tcW w:w="9108"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b/>
                <w:bCs/>
                <w:color w:val="000000"/>
                <w:kern w:val="0"/>
                <w:sz w:val="24"/>
              </w:rPr>
              <w:t>整车</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1</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公告车型</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ZK6710Q1T</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2</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车长</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7148mm</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3</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车宽</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2075mm</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4</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车高</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2820mm</w:t>
            </w:r>
          </w:p>
        </w:tc>
      </w:tr>
      <w:tr>
        <w:tblPrEx>
          <w:tblLayout w:type="fixed"/>
          <w:tblCellMar>
            <w:top w:w="0" w:type="dxa"/>
            <w:left w:w="108" w:type="dxa"/>
            <w:bottom w:w="0" w:type="dxa"/>
            <w:right w:w="108" w:type="dxa"/>
          </w:tblCellMar>
        </w:tblPrEx>
        <w:trPr>
          <w:trHeight w:val="454" w:hRule="atLeast"/>
          <w:jc w:val="center"/>
        </w:trPr>
        <w:tc>
          <w:tcPr>
            <w:tcW w:w="64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hAnsi="宋体" w:eastAsia="仿宋_GB2312" w:cs="宋体"/>
                <w:color w:val="000000"/>
                <w:kern w:val="0"/>
                <w:sz w:val="24"/>
              </w:rPr>
              <w:t>5</w:t>
            </w:r>
          </w:p>
        </w:tc>
        <w:tc>
          <w:tcPr>
            <w:tcW w:w="2314" w:type="dxa"/>
            <w:gridSpan w:val="2"/>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整车总质量</w:t>
            </w:r>
          </w:p>
        </w:tc>
        <w:tc>
          <w:tcPr>
            <w:tcW w:w="6146"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rPr>
            </w:pPr>
            <w:r>
              <w:rPr>
                <w:rFonts w:hint="eastAsia" w:ascii="仿宋_GB2312" w:hAnsi="宋体" w:eastAsia="仿宋_GB2312" w:cs="宋体"/>
                <w:color w:val="000000"/>
                <w:kern w:val="0"/>
                <w:sz w:val="24"/>
              </w:rPr>
              <w:t>6000Kg</w:t>
            </w:r>
          </w:p>
        </w:tc>
      </w:tr>
    </w:tbl>
    <w:p>
      <w:pPr>
        <w:autoSpaceDE w:val="0"/>
        <w:autoSpaceDN w:val="0"/>
        <w:adjustRightInd w:val="0"/>
        <w:rPr>
          <w:color w:val="000000"/>
        </w:rPr>
      </w:pPr>
    </w:p>
    <w:p>
      <w:pPr>
        <w:spacing w:line="360" w:lineRule="auto"/>
        <w:ind w:firstLine="560" w:firstLineChars="200"/>
        <w:rPr>
          <w:rFonts w:asciiTheme="minorEastAsia" w:hAnsiTheme="minorEastAsia" w:cstheme="minorEastAsia"/>
          <w:color w:val="000000" w:themeColor="text1"/>
          <w:sz w:val="28"/>
          <w:szCs w:val="28"/>
        </w:rPr>
      </w:pP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三、其它要求</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（一）无效投标情况</w:t>
      </w:r>
    </w:p>
    <w:p>
      <w:pPr>
        <w:spacing w:line="360" w:lineRule="auto"/>
        <w:ind w:firstLine="640" w:firstLineChars="200"/>
        <w:rPr>
          <w:rFonts w:cs="宋体" w:asciiTheme="majorEastAsia" w:hAnsiTheme="majorEastAsia" w:eastAsiaTheme="majorEastAsia"/>
          <w:b/>
          <w:kern w:val="0"/>
          <w:sz w:val="36"/>
          <w:szCs w:val="36"/>
        </w:rPr>
      </w:pPr>
      <w:r>
        <w:rPr>
          <w:rFonts w:hint="eastAsia" w:ascii="仿宋_GB2312" w:hAnsi="仿宋_GB2312" w:eastAsia="仿宋_GB2312" w:cs="仿宋_GB2312"/>
          <w:color w:val="000000"/>
          <w:sz w:val="32"/>
          <w:szCs w:val="32"/>
        </w:rPr>
        <w:t>1、投标人须明确投标产品的厂家、产地、品牌、型号、详细参数，</w:t>
      </w:r>
      <w:r>
        <w:rPr>
          <w:rFonts w:hint="eastAsia" w:ascii="仿宋_GB2312" w:hAnsi="仿宋_GB2312" w:eastAsia="仿宋_GB2312" w:cs="仿宋_GB2312"/>
          <w:b/>
          <w:bCs/>
          <w:color w:val="000000"/>
          <w:sz w:val="32"/>
          <w:szCs w:val="32"/>
        </w:rPr>
        <w:t>否则为无效投标</w:t>
      </w:r>
      <w:r>
        <w:rPr>
          <w:rFonts w:hint="eastAsia" w:ascii="仿宋_GB2312" w:hAnsi="仿宋_GB2312" w:eastAsia="仿宋_GB2312" w:cs="仿宋_GB2312"/>
          <w:color w:val="000000"/>
          <w:sz w:val="32"/>
          <w:szCs w:val="32"/>
        </w:rPr>
        <w:t>。</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2、本招标文件所列需求为最低要求，投标产品不得低于最低要求，</w:t>
      </w:r>
      <w:r>
        <w:rPr>
          <w:rFonts w:hint="eastAsia" w:ascii="仿宋_GB2312" w:hAnsi="仿宋_GB2312" w:eastAsia="仿宋_GB2312" w:cs="仿宋_GB2312"/>
          <w:b/>
          <w:bCs/>
          <w:color w:val="000000"/>
          <w:sz w:val="32"/>
          <w:szCs w:val="32"/>
          <w:lang w:val="zh-CN"/>
        </w:rPr>
        <w:t>否则为无效投标。</w:t>
      </w:r>
    </w:p>
    <w:p>
      <w:pPr>
        <w:spacing w:line="360" w:lineRule="auto"/>
        <w:ind w:firstLine="640" w:firstLineChars="200"/>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、投标人应就该项目完整投标，</w:t>
      </w:r>
      <w:r>
        <w:rPr>
          <w:rFonts w:hint="eastAsia" w:ascii="仿宋_GB2312" w:hAnsi="仿宋_GB2312" w:eastAsia="仿宋_GB2312" w:cs="仿宋_GB2312"/>
          <w:b/>
          <w:bCs/>
          <w:color w:val="000000"/>
          <w:sz w:val="32"/>
          <w:szCs w:val="32"/>
          <w:lang w:val="zh-CN"/>
        </w:rPr>
        <w:t>否则为无效投标。</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（二）核心产品</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中巴车一辆。</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（三）售后服务</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投标人须明确免费保修期，同时应提出故障响应时间，在免费保修期内，投标产品若出现故障投标人应根据实际情况进行维修或更换，超过保修期发生故障，用户可自由选择维修单位，如委托给投标人，投标人不得借故推诿，并且维修费不能超过市场平均价格。</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2、投标人须明确维修点地址、负责人、联系人和联系电话等详细资料。</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3、提供设备使用说明书等资料。</w:t>
      </w:r>
    </w:p>
    <w:p>
      <w:pPr>
        <w:spacing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（四）验收标准</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960" w:firstLineChars="3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2、按照招标文件要求、投标文件响应和承诺验收；</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（五）</w:t>
      </w:r>
      <w:r>
        <w:rPr>
          <w:rFonts w:hint="eastAsia" w:ascii="仿宋_GB2312" w:hAnsi="仿宋_GB2312" w:eastAsia="仿宋_GB2312" w:cs="仿宋_GB2312"/>
          <w:b/>
          <w:bCs/>
          <w:color w:val="000000"/>
          <w:sz w:val="32"/>
          <w:szCs w:val="32"/>
        </w:rPr>
        <w:t>最高限价</w:t>
      </w:r>
    </w:p>
    <w:p>
      <w:pPr>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本项目采购预算：</w:t>
      </w:r>
      <w:r>
        <w:rPr>
          <w:rFonts w:hint="eastAsia"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lang w:val="zh-CN"/>
        </w:rPr>
        <w:t>万元（最高限价：</w:t>
      </w:r>
      <w:r>
        <w:rPr>
          <w:rFonts w:hint="eastAsia"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lang w:val="zh-CN"/>
        </w:rPr>
        <w:t>万元），</w:t>
      </w:r>
      <w:r>
        <w:rPr>
          <w:rFonts w:hint="eastAsia" w:ascii="仿宋_GB2312" w:hAnsi="仿宋_GB2312" w:eastAsia="仿宋_GB2312" w:cs="仿宋_GB2312"/>
          <w:b/>
          <w:bCs/>
          <w:color w:val="000000"/>
          <w:sz w:val="32"/>
          <w:szCs w:val="32"/>
          <w:lang w:val="zh-CN"/>
        </w:rPr>
        <w:t>超出者为无效投标。</w:t>
      </w:r>
    </w:p>
    <w:p>
      <w:pPr>
        <w:spacing w:line="360" w:lineRule="auto"/>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（六）付款方式</w:t>
      </w:r>
    </w:p>
    <w:p>
      <w:pPr>
        <w:spacing w:line="360" w:lineRule="auto"/>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采购人应将定金及购车款汇入中标人指定账户。采购人应于合同签订当日向中标人支付定金拾万元，剩余购车款提车前一次性付清。</w:t>
      </w:r>
    </w:p>
    <w:p>
      <w:pPr>
        <w:spacing w:line="360" w:lineRule="auto"/>
        <w:ind w:firstLine="640" w:firstLineChars="200"/>
        <w:rPr>
          <w:rFonts w:hint="eastAsia" w:ascii="仿宋_GB2312" w:hAnsi="仿宋_GB2312" w:eastAsia="仿宋_GB2312" w:cs="仿宋_GB2312"/>
          <w:color w:val="000000"/>
          <w:sz w:val="32"/>
          <w:szCs w:val="32"/>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项目名称：许昌市城乡一体化示范区管理委员会“公务用车”采购项目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项目编号：JZFCG－D2017</w:t>
            </w:r>
            <w:r>
              <w:rPr>
                <w:rFonts w:hint="eastAsia" w:hAnsi="宋体" w:cs="仿宋_GB2312"/>
                <w:sz w:val="24"/>
                <w:lang w:val="en-US" w:eastAsia="zh-CN"/>
              </w:rPr>
              <w:t>011</w:t>
            </w:r>
            <w:r>
              <w:rPr>
                <w:rFonts w:hint="eastAsia" w:hAnsi="宋体" w:cs="仿宋_GB2312"/>
                <w:sz w:val="24"/>
              </w:rPr>
              <w:t>号</w:t>
            </w:r>
          </w:p>
          <w:p>
            <w:pPr>
              <w:autoSpaceDE w:val="0"/>
              <w:autoSpaceDN w:val="0"/>
              <w:adjustRightInd w:val="0"/>
              <w:spacing w:line="360" w:lineRule="auto"/>
              <w:jc w:val="left"/>
              <w:rPr>
                <w:rFonts w:hAnsi="宋体" w:cs="仿宋_GB2312"/>
                <w:sz w:val="24"/>
              </w:rPr>
            </w:pPr>
            <w:r>
              <w:rPr>
                <w:rFonts w:hint="eastAsia" w:hAnsi="宋体" w:cs="仿宋_GB2312"/>
                <w:sz w:val="24"/>
              </w:rPr>
              <w:t>项目需求：中巴车一辆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名称：许昌市城乡一体化示范区管理委员会</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许昌市城乡一体化示范区</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sz w:val="24"/>
                <w:lang w:val="zh-CN"/>
              </w:rPr>
              <w:t>马鹏飞</w:t>
            </w:r>
            <w:r>
              <w:rPr>
                <w:rFonts w:hint="eastAsia" w:hAnsi="宋体" w:cs="仿宋_GB2312"/>
                <w:sz w:val="24"/>
              </w:rPr>
              <w:t xml:space="preserve">           电话：18737412369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代理机构：河南鼎华招标代理有限公司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址：许昌市帝豪花园24号楼</w:t>
            </w:r>
          </w:p>
          <w:p>
            <w:pPr>
              <w:autoSpaceDE w:val="0"/>
              <w:autoSpaceDN w:val="0"/>
              <w:adjustRightInd w:val="0"/>
              <w:spacing w:line="360" w:lineRule="auto"/>
              <w:jc w:val="left"/>
              <w:rPr>
                <w:rFonts w:hAnsi="宋体" w:cs="仿宋_GB2312"/>
                <w:sz w:val="24"/>
              </w:rPr>
            </w:pPr>
            <w:r>
              <w:rPr>
                <w:rFonts w:hint="eastAsia" w:hAnsi="宋体" w:cs="仿宋_GB2312"/>
                <w:sz w:val="24"/>
              </w:rPr>
              <w:t xml:space="preserve">联系人：冯建伟  </w:t>
            </w:r>
            <w:r>
              <w:rPr>
                <w:rFonts w:hint="eastAsia" w:hAnsi="宋体" w:cs="仿宋_GB2312"/>
                <w:sz w:val="24"/>
                <w:lang w:val="en-US" w:eastAsia="zh-CN"/>
              </w:rPr>
              <w:t xml:space="preserve">         </w:t>
            </w:r>
            <w:r>
              <w:rPr>
                <w:rFonts w:hint="eastAsia" w:hAnsi="宋体" w:cs="仿宋_GB2312"/>
                <w:sz w:val="24"/>
              </w:rPr>
              <w:t>电话：13633749696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投标人须符合《中华人民共和国政府采购法》第二十二条之规定，并具备以下条件：</w:t>
            </w:r>
          </w:p>
          <w:p>
            <w:pPr>
              <w:autoSpaceDE w:val="0"/>
              <w:autoSpaceDN w:val="0"/>
              <w:adjustRightInd w:val="0"/>
              <w:spacing w:line="360" w:lineRule="auto"/>
              <w:jc w:val="left"/>
              <w:rPr>
                <w:rFonts w:hint="eastAsia" w:hAnsi="宋体" w:cs="仿宋_GB2312"/>
                <w:sz w:val="24"/>
              </w:rPr>
            </w:pPr>
            <w:r>
              <w:rPr>
                <w:rFonts w:hint="eastAsia" w:hAnsi="宋体" w:cs="仿宋_GB2312"/>
                <w:sz w:val="24"/>
                <w:lang w:val="en-US" w:eastAsia="zh-CN"/>
              </w:rPr>
              <w:t>1.</w:t>
            </w:r>
            <w:r>
              <w:rPr>
                <w:rFonts w:hint="eastAsia" w:hAnsi="宋体" w:cs="仿宋_GB2312"/>
                <w:sz w:val="24"/>
              </w:rPr>
              <w:t>具备中华人民共和国独立法人资格；具有有效的营业执照（营业范围内包含本次采购内容，并具有经营能力及售后服务能力）、税务登记证、组织机构代码证（或三证合一）；</w:t>
            </w:r>
          </w:p>
          <w:p>
            <w:pPr>
              <w:autoSpaceDE w:val="0"/>
              <w:autoSpaceDN w:val="0"/>
              <w:adjustRightInd w:val="0"/>
              <w:spacing w:line="360" w:lineRule="auto"/>
              <w:jc w:val="left"/>
              <w:rPr>
                <w:rFonts w:hint="eastAsia" w:hAnsi="宋体" w:cs="仿宋_GB2312"/>
                <w:sz w:val="24"/>
              </w:rPr>
            </w:pPr>
            <w:r>
              <w:rPr>
                <w:rFonts w:hint="eastAsia" w:hAnsi="宋体" w:cs="仿宋_GB2312"/>
                <w:sz w:val="24"/>
                <w:lang w:val="en-US" w:eastAsia="zh-CN"/>
              </w:rPr>
              <w:t>2.</w:t>
            </w:r>
            <w:r>
              <w:rPr>
                <w:rFonts w:hint="eastAsia" w:hAnsi="宋体" w:cs="仿宋_GB2312"/>
                <w:sz w:val="24"/>
              </w:rPr>
              <w:t>投标人须是生产厂商或授权经销商，授权经销商还需提供生产厂商针对本项目的产品授权书。</w:t>
            </w:r>
          </w:p>
          <w:p>
            <w:pPr>
              <w:autoSpaceDE w:val="0"/>
              <w:autoSpaceDN w:val="0"/>
              <w:adjustRightInd w:val="0"/>
              <w:spacing w:line="360" w:lineRule="auto"/>
              <w:jc w:val="left"/>
              <w:rPr>
                <w:rFonts w:hint="eastAsia" w:hAnsi="宋体" w:cs="仿宋_GB2312"/>
                <w:sz w:val="24"/>
              </w:rPr>
            </w:pPr>
            <w:r>
              <w:rPr>
                <w:rFonts w:hint="eastAsia" w:hAnsi="宋体" w:cs="仿宋_GB2312"/>
                <w:sz w:val="24"/>
              </w:rPr>
              <w:t>3.参加本次政府采购活动前3年内在经营活动中没有重大违法记录的书面声明；</w:t>
            </w:r>
          </w:p>
          <w:p>
            <w:pPr>
              <w:autoSpaceDE w:val="0"/>
              <w:autoSpaceDN w:val="0"/>
              <w:adjustRightInd w:val="0"/>
              <w:spacing w:line="360" w:lineRule="auto"/>
              <w:jc w:val="left"/>
              <w:rPr>
                <w:rFonts w:hint="eastAsia" w:hAnsi="宋体" w:cs="仿宋_GB2312"/>
                <w:sz w:val="24"/>
              </w:rPr>
            </w:pPr>
            <w:r>
              <w:rPr>
                <w:rFonts w:hint="eastAsia" w:hAnsi="宋体" w:cs="仿宋_GB2312"/>
                <w:sz w:val="24"/>
              </w:rPr>
              <w:t>4.投标人需通过“信用中国”网站（www.creditchina.gov.cn）或中国政府采购网（www.ccgp.gov.cn）等渠道查询主体信用记录，并打印网页复印件（加盖公章）如有不良记录取消投标资格；</w:t>
            </w:r>
          </w:p>
          <w:p>
            <w:pPr>
              <w:autoSpaceDE w:val="0"/>
              <w:autoSpaceDN w:val="0"/>
              <w:adjustRightInd w:val="0"/>
              <w:spacing w:line="360" w:lineRule="auto"/>
              <w:jc w:val="left"/>
              <w:rPr>
                <w:rFonts w:hAnsi="宋体" w:cs="仿宋_GB2312"/>
                <w:sz w:val="24"/>
              </w:rPr>
            </w:pPr>
            <w:r>
              <w:rPr>
                <w:rFonts w:hint="eastAsia" w:hAnsi="宋体" w:cs="仿宋_GB2312"/>
                <w:sz w:val="24"/>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rPr>
              <w:t>2017</w:t>
            </w:r>
            <w:r>
              <w:rPr>
                <w:rFonts w:hint="eastAsia" w:ascii="宋体" w:cs="宋体"/>
                <w:bCs/>
                <w:sz w:val="24"/>
                <w:lang w:val="zh-CN"/>
              </w:rPr>
              <w:t>年</w:t>
            </w:r>
            <w:r>
              <w:rPr>
                <w:rFonts w:hint="eastAsia" w:ascii="宋体" w:cs="宋体"/>
                <w:bCs/>
                <w:sz w:val="24"/>
                <w:lang w:val="en-US" w:eastAsia="zh-CN"/>
              </w:rPr>
              <w:t>12</w:t>
            </w:r>
            <w:r>
              <w:rPr>
                <w:rFonts w:hint="eastAsia" w:ascii="宋体" w:cs="宋体"/>
                <w:bCs/>
                <w:sz w:val="24"/>
                <w:lang w:val="zh-CN"/>
              </w:rPr>
              <w:t>月</w:t>
            </w:r>
            <w:r>
              <w:rPr>
                <w:rFonts w:hint="eastAsia" w:ascii="宋体" w:cs="宋体"/>
                <w:bCs/>
                <w:sz w:val="24"/>
                <w:lang w:val="en-US" w:eastAsia="zh-CN"/>
              </w:rPr>
              <w:t>28</w:t>
            </w:r>
            <w:r>
              <w:rPr>
                <w:rFonts w:hint="eastAsia" w:ascii="宋体" w:cs="宋体"/>
                <w:bCs/>
                <w:sz w:val="24"/>
                <w:lang w:val="zh-CN"/>
              </w:rPr>
              <w:t>日</w:t>
            </w:r>
            <w:r>
              <w:rPr>
                <w:rFonts w:hint="eastAsia" w:ascii="宋体" w:cs="宋体"/>
                <w:bCs/>
                <w:sz w:val="24"/>
                <w:lang w:val="en-US" w:eastAsia="zh-CN"/>
              </w:rPr>
              <w:t>14</w:t>
            </w:r>
            <w:r>
              <w:rPr>
                <w:rFonts w:hint="eastAsia" w:ascii="宋体" w:cs="宋体"/>
                <w:bCs/>
                <w:sz w:val="24"/>
                <w:lang w:val="zh-CN"/>
              </w:rPr>
              <w:t>时</w:t>
            </w:r>
            <w:r>
              <w:rPr>
                <w:rFonts w:hint="eastAsia" w:ascii="宋体" w:cs="宋体"/>
                <w:bCs/>
                <w:sz w:val="24"/>
                <w:lang w:val="en-US" w:eastAsia="zh-CN"/>
              </w:rPr>
              <w:t>00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lang w:eastAsia="zh-CN"/>
              </w:rPr>
              <w:t>二</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三</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cs="仿宋_GB2312" w:asciiTheme="minorEastAsia" w:hAnsiTheme="minorEastAsia"/>
                <w:sz w:val="24"/>
                <w:lang w:val="zh-CN"/>
              </w:rPr>
            </w:pPr>
            <w:r>
              <w:rPr>
                <w:rFonts w:hint="eastAsia" w:cs="仿宋_GB2312" w:asciiTheme="minorEastAsia" w:hAnsiTheme="minorEastAsia"/>
                <w:sz w:val="24"/>
                <w:lang w:val="zh-CN"/>
              </w:rPr>
              <w:t>授权函</w:t>
            </w:r>
          </w:p>
        </w:tc>
        <w:tc>
          <w:tcPr>
            <w:tcW w:w="6813" w:type="dxa"/>
            <w:vAlign w:val="center"/>
          </w:tcPr>
          <w:p>
            <w:pPr>
              <w:autoSpaceDE w:val="0"/>
              <w:autoSpaceDN w:val="0"/>
              <w:adjustRightInd w:val="0"/>
              <w:spacing w:line="276" w:lineRule="auto"/>
              <w:jc w:val="left"/>
              <w:rPr>
                <w:rFonts w:cs="仿宋_GB2312" w:asciiTheme="minorEastAsia" w:hAnsiTheme="minorEastAsia"/>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wordWrap w:val="0"/>
        <w:topLinePunct/>
        <w:snapToGrid w:val="0"/>
        <w:spacing w:line="360" w:lineRule="auto"/>
        <w:rPr>
          <w:rFonts w:ascii="宋体" w:hAnsi="宋体"/>
          <w:sz w:val="24"/>
        </w:rPr>
      </w:pPr>
      <w:r>
        <w:rPr>
          <w:rFonts w:hint="eastAsia" w:ascii="宋体" w:hAnsi="宋体"/>
          <w:sz w:val="24"/>
        </w:rPr>
        <w:t>1.1本招标文件仅适用于本次投标邀请中所述的货物、服务及工程。</w:t>
      </w:r>
    </w:p>
    <w:p>
      <w:pPr>
        <w:wordWrap w:val="0"/>
        <w:topLinePunct/>
        <w:snapToGrid w:val="0"/>
        <w:spacing w:line="360" w:lineRule="auto"/>
        <w:rPr>
          <w:rFonts w:ascii="宋体" w:hAnsi="宋体"/>
          <w:sz w:val="24"/>
        </w:rPr>
      </w:pPr>
      <w:r>
        <w:rPr>
          <w:rFonts w:hint="eastAsia" w:ascii="宋体" w:hAnsi="宋体"/>
          <w:sz w:val="24"/>
        </w:rPr>
        <w:t>1.2本招标文件最终解释权归河南鼎华招标代理有限公司所有。</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系指组织本次招标的许昌市城乡一体化示范区管理委员会。</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autoSpaceDE w:val="0"/>
        <w:autoSpaceDN w:val="0"/>
        <w:spacing w:line="360" w:lineRule="auto"/>
        <w:contextualSpacing/>
        <w:rPr>
          <w:rFonts w:cs="宋体" w:asciiTheme="minorEastAsia" w:hAnsiTheme="minorEastAsia"/>
          <w:kern w:val="0"/>
          <w:sz w:val="24"/>
          <w:szCs w:val="24"/>
        </w:rPr>
      </w:pPr>
      <w:r>
        <w:rPr>
          <w:rFonts w:hint="eastAsia" w:ascii="宋体" w:cs="宋体"/>
          <w:sz w:val="24"/>
        </w:rPr>
        <w:t>1</w:t>
      </w:r>
      <w:r>
        <w:rPr>
          <w:rFonts w:ascii="宋体" w:cs="宋体"/>
          <w:sz w:val="24"/>
          <w:lang w:val="zh-CN"/>
        </w:rPr>
        <w:t>.</w:t>
      </w:r>
      <w:r>
        <w:rPr>
          <w:rFonts w:hint="eastAsia" w:ascii="宋体" w:cs="宋体"/>
          <w:sz w:val="24"/>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货物、服务及工程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本采购项目需要发布的有关信息，包括采购公告、招标文件澄清或修改公告、成交公告以及延长投标截止时间等与采购活动有关的通知，采购人均将通过在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 2 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10.4 </w:t>
      </w:r>
      <w:r>
        <w:rPr>
          <w:rFonts w:hint="eastAsia" w:ascii="宋体" w:cs="宋体"/>
          <w:bCs/>
          <w:sz w:val="24"/>
          <w:lang w:val="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投标文件应参照招标文件第七章（投标文件有关格式）的内容要求、编排顺序和格式要求，投标人应按照以上要求将投标文件编上唯一的连贯页码并以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12</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三份副本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12.4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2</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13</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14</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14.1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14.2 采购人收到投标文件后，应当如实记载投标文件的送达时间和密封情况，并签收保存，任何单位和个人不得在谈判协商前开启投标文件。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 xml:space="preserve">.3 </w:t>
      </w:r>
      <w:r>
        <w:rPr>
          <w:rFonts w:hint="eastAsia" w:ascii="宋体" w:hAnsi="宋体" w:eastAsia="新宋体"/>
          <w:bCs/>
          <w:sz w:val="24"/>
        </w:rPr>
        <w:t>采购</w:t>
      </w:r>
      <w:r>
        <w:rPr>
          <w:rFonts w:hint="eastAsia" w:ascii="宋体" w:hAnsi="宋体"/>
          <w:bCs/>
          <w:sz w:val="24"/>
        </w:rPr>
        <w:t>人可以按本须知第7条规定，通过修改招标文件自行决定酌情延长投标截止期。在此情况下，采购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15</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16</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16</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16</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16</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17</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ascii="宋体" w:hAnsi="宋体"/>
          <w:bCs/>
          <w:sz w:val="24"/>
        </w:rPr>
      </w:pPr>
      <w:r>
        <w:rPr>
          <w:rFonts w:hint="eastAsia" w:ascii="宋体" w:hAnsi="宋体"/>
          <w:bCs/>
          <w:sz w:val="24"/>
        </w:rPr>
        <w:t>投标人在邀请函规定的时间和地点，由法定代表人或其委托代理人参加谈判协商；同时由采购人代表对投标人进行资格审查。</w:t>
      </w:r>
    </w:p>
    <w:p>
      <w:pPr>
        <w:spacing w:line="360" w:lineRule="auto"/>
        <w:ind w:firstLine="482" w:firstLineChars="200"/>
        <w:rPr>
          <w:rFonts w:ascii="宋体" w:hAnsi="宋体"/>
          <w:b/>
          <w:sz w:val="24"/>
        </w:rPr>
      </w:pPr>
      <w:r>
        <w:rPr>
          <w:rFonts w:hint="eastAsia" w:ascii="宋体" w:hAnsi="宋体"/>
          <w:b/>
          <w:sz w:val="24"/>
        </w:rPr>
        <w:t>18、谈判协商小组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18.1</w:t>
      </w:r>
      <w:r>
        <w:rPr>
          <w:rFonts w:hint="eastAsia" w:ascii="宋体" w:hAnsi="宋体"/>
          <w:sz w:val="24"/>
        </w:rPr>
        <w:t>采购人将根据招标项目的特点组建谈判协商小组，其成员由采购人代表和经济、技术、商务等方面的专家组成。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rPr>
        <w:t>18.2谈判协商期间，投标人法定代表人或其委托代理人必须等候,与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ascii="宋体" w:hAnsi="宋体"/>
          <w:b/>
          <w:sz w:val="24"/>
        </w:rPr>
      </w:pPr>
      <w:r>
        <w:rPr>
          <w:rFonts w:hint="eastAsia" w:ascii="宋体" w:hAnsi="宋体"/>
          <w:b/>
          <w:sz w:val="24"/>
        </w:rPr>
        <w:t>19、响应文件的审查</w:t>
      </w:r>
    </w:p>
    <w:p>
      <w:pPr>
        <w:spacing w:line="360" w:lineRule="auto"/>
        <w:ind w:firstLine="480" w:firstLineChars="200"/>
        <w:rPr>
          <w:rFonts w:ascii="宋体" w:hAnsi="宋体"/>
          <w:bCs/>
          <w:sz w:val="24"/>
        </w:rPr>
      </w:pPr>
      <w:r>
        <w:rPr>
          <w:rFonts w:hint="eastAsia" w:ascii="宋体" w:hAnsi="宋体"/>
          <w:bCs/>
          <w:sz w:val="24"/>
        </w:rPr>
        <w:t>19.1谈判协商小组审查响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rPr>
        <w:t>19.2谈判协商小组将确定投标人是否对招标文件的要求作出实质性的响应，而没有重大偏离。</w:t>
      </w:r>
    </w:p>
    <w:p>
      <w:pPr>
        <w:spacing w:line="360" w:lineRule="auto"/>
        <w:ind w:firstLine="482" w:firstLineChars="200"/>
        <w:rPr>
          <w:rFonts w:ascii="宋体" w:hAnsi="宋体"/>
          <w:b/>
          <w:sz w:val="24"/>
        </w:rPr>
      </w:pPr>
      <w:r>
        <w:rPr>
          <w:rFonts w:hint="eastAsia" w:ascii="宋体" w:hAnsi="宋体"/>
          <w:b/>
          <w:sz w:val="24"/>
        </w:rPr>
        <w:t>20、响应文件的澄清</w:t>
      </w:r>
    </w:p>
    <w:p>
      <w:pPr>
        <w:spacing w:line="360" w:lineRule="auto"/>
        <w:ind w:firstLine="480" w:firstLineChars="200"/>
        <w:rPr>
          <w:rFonts w:ascii="宋体" w:hAnsi="宋体"/>
          <w:bCs/>
          <w:sz w:val="24"/>
        </w:rPr>
      </w:pPr>
      <w:r>
        <w:rPr>
          <w:rFonts w:hint="eastAsia" w:ascii="宋体" w:hAnsi="宋体"/>
          <w:bCs/>
          <w:sz w:val="24"/>
        </w:rPr>
        <w:t>20.1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文件进行审查、评估和比较，并有权向投标人质疑，请投标人澄清、补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内容。投标人必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rPr>
        <w:t>20.2</w:t>
      </w:r>
      <w:r>
        <w:rPr>
          <w:rFonts w:ascii="宋体" w:hAnsi="宋体"/>
          <w:bCs/>
          <w:sz w:val="24"/>
        </w:rPr>
        <w:t xml:space="preserve">  </w:t>
      </w:r>
      <w:r>
        <w:rPr>
          <w:rFonts w:hint="eastAsia" w:ascii="宋体" w:hAnsi="宋体"/>
          <w:bCs/>
          <w:sz w:val="24"/>
        </w:rPr>
        <w:t>协商谈判记录和投标人补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ascii="宋体" w:hAnsi="宋体"/>
          <w:b/>
          <w:sz w:val="24"/>
        </w:rPr>
      </w:pPr>
      <w:r>
        <w:rPr>
          <w:rFonts w:hint="eastAsia" w:ascii="宋体" w:hAnsi="宋体"/>
          <w:b/>
          <w:sz w:val="24"/>
        </w:rPr>
        <w:t>21、成交原则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21.</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21.2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报价填写（请投标人自行提前准备报价表（见附件14），每轮报价限时10分钟，如未按时填写报价以第一轮报价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在规定的时间内报出不再更改的报价。</w:t>
      </w:r>
    </w:p>
    <w:p>
      <w:pPr>
        <w:spacing w:line="360" w:lineRule="auto"/>
        <w:ind w:firstLine="480" w:firstLineChars="200"/>
        <w:rPr>
          <w:rFonts w:ascii="宋体" w:hAnsi="宋体"/>
          <w:b/>
          <w:sz w:val="24"/>
        </w:rPr>
      </w:pPr>
      <w:r>
        <w:rPr>
          <w:rFonts w:hint="eastAsia" w:ascii="宋体" w:hAnsi="宋体"/>
          <w:bCs/>
          <w:color w:val="000000" w:themeColor="text1"/>
          <w:sz w:val="24"/>
        </w:rPr>
        <w:t>21.3采购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投标报价；</w:t>
      </w:r>
      <w:r>
        <w:rPr>
          <w:rFonts w:hint="eastAsia" w:ascii="宋体" w:hAnsi="宋体"/>
          <w:sz w:val="24"/>
        </w:rPr>
        <w:t>能够最大限度的满足招标文件要求，价格合理（低于市场平均价）。</w:t>
      </w:r>
    </w:p>
    <w:p>
      <w:pPr>
        <w:spacing w:line="360" w:lineRule="auto"/>
        <w:ind w:firstLine="482" w:firstLineChars="200"/>
        <w:rPr>
          <w:rFonts w:ascii="宋体" w:hAnsi="宋体"/>
          <w:b/>
          <w:sz w:val="24"/>
        </w:rPr>
      </w:pPr>
      <w:r>
        <w:rPr>
          <w:rFonts w:hint="eastAsia" w:ascii="宋体" w:hAnsi="宋体"/>
          <w:b/>
          <w:sz w:val="24"/>
        </w:rPr>
        <w:t>22、成交通知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谈判成功，确定本项目的成交人，按照《政府采购法》在规定时间内由许昌市城乡一体化示范区管理委员会向成交人签发成交通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23、授予合同时变更数量的权力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24、签定合同</w:t>
      </w:r>
    </w:p>
    <w:p>
      <w:pPr>
        <w:spacing w:line="360" w:lineRule="auto"/>
        <w:rPr>
          <w:rFonts w:ascii="宋体" w:hAnsi="宋体"/>
          <w:sz w:val="24"/>
        </w:rPr>
      </w:pPr>
      <w:r>
        <w:rPr>
          <w:rFonts w:hint="eastAsia" w:ascii="宋体" w:hAnsi="宋体"/>
          <w:sz w:val="24"/>
        </w:rPr>
        <w:t xml:space="preserve">    24.1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sz w:val="24"/>
        </w:rPr>
        <w:t xml:space="preserve">    24.2 成交通知书、招标文件、投标文件及其澄清文件等，均为签定合同的依据。</w:t>
      </w:r>
    </w:p>
    <w:p>
      <w:pPr>
        <w:adjustRightInd w:val="0"/>
        <w:snapToGrid w:val="0"/>
        <w:spacing w:line="360" w:lineRule="auto"/>
        <w:rPr>
          <w:rFonts w:ascii="宋体" w:hAnsi="宋体" w:cs="Courier New"/>
          <w:szCs w:val="21"/>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合同条款及格式</w:t>
      </w:r>
    </w:p>
    <w:p>
      <w:pPr>
        <w:pStyle w:val="9"/>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35"/>
      </w:pPr>
      <w:bookmarkStart w:id="1" w:name="_Toc30341"/>
      <w:r>
        <w:rPr>
          <w:rFonts w:hint="eastAsia"/>
        </w:rPr>
        <w:t>第五章</w:t>
      </w:r>
      <w:r>
        <w:t xml:space="preserve"> </w:t>
      </w:r>
      <w:r>
        <w:rPr>
          <w:rFonts w:hint="eastAsia"/>
          <w:lang w:val="en-US"/>
        </w:rPr>
        <w:t xml:space="preserve">  </w:t>
      </w:r>
      <w:r>
        <w:rPr>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9"/>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21"/>
        </w:rPr>
      </w:pPr>
      <w:bookmarkStart w:id="2" w:name="_Toc2524"/>
      <w:r>
        <w:rPr>
          <w:rStyle w:val="21"/>
          <w:rFonts w:hint="eastAsia"/>
        </w:rPr>
        <w:t xml:space="preserve">     </w:t>
      </w:r>
    </w:p>
    <w:p>
      <w:pPr>
        <w:autoSpaceDE w:val="0"/>
        <w:autoSpaceDN w:val="0"/>
        <w:adjustRightInd w:val="0"/>
        <w:spacing w:line="360" w:lineRule="auto"/>
        <w:jc w:val="center"/>
        <w:outlineLvl w:val="0"/>
        <w:rPr>
          <w:rStyle w:val="21"/>
        </w:rPr>
      </w:pPr>
    </w:p>
    <w:p>
      <w:pPr>
        <w:autoSpaceDE w:val="0"/>
        <w:autoSpaceDN w:val="0"/>
        <w:adjustRightInd w:val="0"/>
        <w:spacing w:line="360" w:lineRule="auto"/>
        <w:jc w:val="center"/>
        <w:outlineLvl w:val="0"/>
        <w:rPr>
          <w:rStyle w:val="21"/>
          <w:lang w:val="zh-CN"/>
        </w:rPr>
      </w:pPr>
      <w:r>
        <w:rPr>
          <w:rStyle w:val="21"/>
          <w:rFonts w:hint="eastAsia"/>
        </w:rPr>
        <w:t xml:space="preserve"> </w:t>
      </w:r>
      <w:r>
        <w:rPr>
          <w:rStyle w:val="21"/>
          <w:rFonts w:hint="eastAsia"/>
          <w:lang w:val="zh-CN"/>
        </w:rPr>
        <w:t>第六章</w:t>
      </w:r>
      <w:r>
        <w:rPr>
          <w:rStyle w:val="21"/>
          <w:lang w:val="zh-CN"/>
        </w:rPr>
        <w:t xml:space="preserve"> </w:t>
      </w:r>
      <w:r>
        <w:rPr>
          <w:rStyle w:val="21"/>
          <w:rFonts w:hint="eastAsia"/>
        </w:rPr>
        <w:t xml:space="preserve">  </w:t>
      </w:r>
      <w:r>
        <w:rPr>
          <w:rStyle w:val="21"/>
          <w:rFonts w:hint="eastAsia"/>
          <w:lang w:val="zh-CN"/>
        </w:rPr>
        <w:t>合同书</w:t>
      </w:r>
      <w:r>
        <w:rPr>
          <w:rStyle w:val="21"/>
          <w:lang w:val="zh-CN"/>
        </w:rPr>
        <w:t xml:space="preserve"> </w:t>
      </w:r>
      <w:r>
        <w:rPr>
          <w:rStyle w:val="21"/>
          <w:rFonts w:hint="eastAsia"/>
          <w:lang w:val="zh-CN"/>
        </w:rPr>
        <w:t>（参考样本）</w:t>
      </w:r>
      <w:bookmarkEnd w:id="2"/>
    </w:p>
    <w:p>
      <w:pPr>
        <w:jc w:val="center"/>
      </w:pPr>
      <w:r>
        <w:rPr>
          <w:rFonts w:ascii="仿宋_GB2312" w:eastAsia="仿宋_GB2312" w:cs="仿宋_GB2312"/>
          <w:sz w:val="24"/>
          <w:lang w:val="zh-CN"/>
        </w:rPr>
        <w:t xml:space="preserve">                                                                                        </w:t>
      </w:r>
    </w:p>
    <w:p>
      <w:pPr>
        <w:jc w:val="center"/>
      </w:pP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ascii="黑体" w:eastAsia="黑体" w:cs="黑体"/>
          <w:b/>
          <w:bCs/>
          <w:sz w:val="28"/>
          <w:szCs w:val="28"/>
          <w:lang w:val="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黑体" w:hAnsi="黑体" w:eastAsia="黑体" w:cs="黑体"/>
          <w:b/>
          <w:sz w:val="72"/>
          <w:szCs w:val="72"/>
        </w:rPr>
      </w:pPr>
    </w:p>
    <w:p>
      <w:pPr>
        <w:jc w:val="center"/>
        <w:rPr>
          <w:rFonts w:ascii="黑体" w:hAnsi="黑体" w:eastAsia="黑体" w:cs="黑体"/>
          <w:b/>
          <w:sz w:val="72"/>
          <w:szCs w:val="72"/>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rPr>
          <w:rFonts w:ascii="宋体" w:hAnsi="宋体"/>
          <w:b/>
          <w:bCs/>
          <w:sz w:val="24"/>
          <w:szCs w:val="24"/>
        </w:rPr>
      </w:pPr>
      <w:r>
        <w:rPr>
          <w:rFonts w:hint="eastAsia" w:ascii="宋体" w:hAnsi="宋体"/>
          <w:b/>
          <w:bCs/>
          <w:sz w:val="24"/>
          <w:szCs w:val="24"/>
        </w:rPr>
        <w:t>附件1</w:t>
      </w:r>
    </w:p>
    <w:p>
      <w:pPr>
        <w:autoSpaceDE w:val="0"/>
        <w:autoSpaceDN w:val="0"/>
        <w:adjustRightInd w:val="0"/>
        <w:spacing w:line="360" w:lineRule="auto"/>
        <w:jc w:val="center"/>
        <w:outlineLvl w:val="0"/>
        <w:rPr>
          <w:rFonts w:ascii="宋体" w:cs="宋体"/>
          <w:b/>
          <w:bCs/>
          <w:sz w:val="24"/>
          <w:lang w:val="zh-CN"/>
        </w:rPr>
      </w:pPr>
      <w:r>
        <w:rPr>
          <w:rFonts w:hint="eastAsia" w:ascii="宋体" w:cs="宋体"/>
          <w:b/>
          <w:bCs/>
          <w:sz w:val="24"/>
          <w:lang w:val="zh-CN"/>
        </w:rPr>
        <w:t>开标一览表</w:t>
      </w:r>
    </w:p>
    <w:p>
      <w:pPr>
        <w:autoSpaceDE w:val="0"/>
        <w:autoSpaceDN w:val="0"/>
        <w:adjustRightInd w:val="0"/>
        <w:spacing w:line="140" w:lineRule="exact"/>
        <w:rPr>
          <w:rFonts w:ascii="宋体" w:cs="宋体"/>
          <w:b/>
          <w:bCs/>
          <w:sz w:val="24"/>
          <w:lang w:val="zh-CN"/>
        </w:rPr>
      </w:pPr>
    </w:p>
    <w:tbl>
      <w:tblPr>
        <w:tblStyle w:val="20"/>
        <w:tblW w:w="9513" w:type="dxa"/>
        <w:tblInd w:w="0" w:type="dxa"/>
        <w:tblLayout w:type="fixed"/>
        <w:tblCellMar>
          <w:top w:w="0" w:type="dxa"/>
          <w:left w:w="108" w:type="dxa"/>
          <w:bottom w:w="0" w:type="dxa"/>
          <w:right w:w="108" w:type="dxa"/>
        </w:tblCellMar>
      </w:tblPr>
      <w:tblGrid>
        <w:gridCol w:w="1970"/>
        <w:gridCol w:w="4791"/>
        <w:gridCol w:w="1727"/>
        <w:gridCol w:w="1025"/>
      </w:tblGrid>
      <w:tr>
        <w:tblPrEx>
          <w:tblLayout w:type="fixed"/>
          <w:tblCellMar>
            <w:top w:w="0" w:type="dxa"/>
            <w:left w:w="108" w:type="dxa"/>
            <w:bottom w:w="0" w:type="dxa"/>
            <w:right w:w="108" w:type="dxa"/>
          </w:tblCellMar>
        </w:tblPrEx>
        <w:trPr>
          <w:trHeight w:val="486" w:hRule="atLeast"/>
        </w:trPr>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4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交付时间</w:t>
            </w:r>
          </w:p>
        </w:tc>
        <w:tc>
          <w:tcPr>
            <w:tcW w:w="10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4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10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36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360" w:lineRule="auto"/>
        <w:rPr>
          <w:rFonts w:ascii="宋体" w:cs="宋体"/>
          <w:sz w:val="24"/>
          <w:lang w:val="zh-CN"/>
        </w:rPr>
      </w:pPr>
      <w:r>
        <w:rPr>
          <w:rFonts w:hint="eastAsia" w:ascii="宋体" w:cs="宋体"/>
          <w:sz w:val="24"/>
          <w:lang w:val="zh-CN"/>
        </w:rPr>
        <w:t>投标人法定代表人</w:t>
      </w:r>
      <w:r>
        <w:rPr>
          <w:rFonts w:ascii="宋体" w:cs="宋体"/>
          <w:sz w:val="24"/>
          <w:lang w:val="zh-CN"/>
        </w:rPr>
        <w:t xml:space="preserve"> </w:t>
      </w:r>
      <w:r>
        <w:rPr>
          <w:rFonts w:hint="eastAsia" w:ascii="宋体" w:cs="宋体"/>
          <w:sz w:val="24"/>
          <w:lang w:val="zh-CN"/>
        </w:rPr>
        <w:t>（或代理人）签字：</w:t>
      </w:r>
    </w:p>
    <w:p>
      <w:pPr>
        <w:autoSpaceDE w:val="0"/>
        <w:autoSpaceDN w:val="0"/>
        <w:adjustRightInd w:val="0"/>
        <w:spacing w:line="360" w:lineRule="auto"/>
        <w:rPr>
          <w:rFonts w:ascii="宋体" w:cs="宋体"/>
          <w:sz w:val="24"/>
          <w:lang w:val="zh-CN"/>
        </w:rPr>
      </w:pPr>
      <w:r>
        <w:rPr>
          <w:rFonts w:hint="eastAsia" w:ascii="宋体" w:cs="宋体"/>
          <w:sz w:val="24"/>
          <w:lang w:val="zh-CN"/>
        </w:rPr>
        <w:t>日期：</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w:t>
      </w:r>
    </w:p>
    <w:p>
      <w:pPr>
        <w:autoSpaceDE w:val="0"/>
        <w:autoSpaceDN w:val="0"/>
        <w:adjustRightInd w:val="0"/>
        <w:spacing w:line="360" w:lineRule="auto"/>
        <w:rPr>
          <w:rFonts w:ascii="宋体" w:cs="宋体"/>
          <w:sz w:val="24"/>
          <w:lang w:val="zh-CN"/>
        </w:rPr>
      </w:pPr>
      <w:r>
        <w:rPr>
          <w:rFonts w:hint="eastAsia" w:ascii="宋体" w:cs="宋体"/>
          <w:sz w:val="24"/>
          <w:lang w:val="zh-CN"/>
        </w:rPr>
        <w:t>注：交付时间指最终交货时间或工期（日历天）。</w:t>
      </w:r>
    </w:p>
    <w:p>
      <w:pPr>
        <w:jc w:val="right"/>
        <w:rPr>
          <w:rFonts w:ascii="宋体" w:hAnsi="宋体"/>
          <w:b/>
          <w:bCs/>
          <w:sz w:val="24"/>
          <w:szCs w:val="24"/>
        </w:rPr>
      </w:pPr>
      <w:r>
        <w:rPr>
          <w:rFonts w:hint="eastAsia" w:ascii="宋体" w:hAnsi="宋体"/>
        </w:rPr>
        <w:t xml:space="preserve">  </w:t>
      </w:r>
    </w:p>
    <w:p>
      <w:pPr>
        <w:pStyle w:val="6"/>
        <w:ind w:firstLine="240"/>
        <w:rPr>
          <w:rFonts w:ascii="宋体" w:cs="宋体"/>
          <w:sz w:val="24"/>
          <w:lang w:val="zh-CN"/>
        </w:rPr>
      </w:pPr>
    </w:p>
    <w:p>
      <w:pPr>
        <w:pStyle w:val="6"/>
        <w:ind w:firstLine="240"/>
        <w:rPr>
          <w:rFonts w:ascii="宋体" w:cs="宋体"/>
          <w:sz w:val="24"/>
          <w:lang w:val="zh-CN"/>
        </w:rPr>
      </w:pPr>
    </w:p>
    <w:p>
      <w:pPr>
        <w:rPr>
          <w:rFonts w:ascii="宋体" w:hAnsi="宋体"/>
          <w:b/>
          <w:bCs/>
          <w:color w:val="000000" w:themeColor="text1"/>
          <w:sz w:val="24"/>
          <w:szCs w:val="24"/>
        </w:rPr>
      </w:pPr>
      <w:r>
        <w:rPr>
          <w:rFonts w:hint="eastAsia" w:ascii="宋体" w:hAnsi="宋体"/>
          <w:b/>
          <w:bCs/>
          <w:color w:val="000000" w:themeColor="text1"/>
          <w:sz w:val="24"/>
          <w:szCs w:val="24"/>
        </w:rPr>
        <w:t>附件2</w:t>
      </w:r>
    </w:p>
    <w:p>
      <w:pPr>
        <w:pStyle w:val="6"/>
        <w:ind w:firstLine="0" w:firstLineChars="0"/>
        <w:jc w:val="center"/>
        <w:rPr>
          <w:rFonts w:ascii="宋体" w:hAnsi="宋体" w:cs="宋体"/>
          <w:b/>
          <w:bCs/>
          <w:color w:val="000000" w:themeColor="text1"/>
          <w:sz w:val="28"/>
          <w:szCs w:val="28"/>
          <w:lang w:val="zh-CN"/>
        </w:rPr>
      </w:pPr>
      <w:r>
        <w:rPr>
          <w:rFonts w:hint="eastAsia" w:ascii="宋体" w:hAnsi="宋体" w:cs="宋体"/>
          <w:b/>
          <w:bCs/>
          <w:color w:val="000000" w:themeColor="text1"/>
          <w:sz w:val="28"/>
          <w:szCs w:val="28"/>
          <w:lang w:val="zh-CN"/>
        </w:rPr>
        <w:t>企业资格证明资料</w:t>
      </w:r>
    </w:p>
    <w:p>
      <w:pPr>
        <w:adjustRightInd w:val="0"/>
        <w:spacing w:line="360" w:lineRule="auto"/>
        <w:contextualSpacing/>
        <w:outlineLvl w:val="0"/>
        <w:rPr>
          <w:rFonts w:hint="eastAsia"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（一）具备中华人民共和国独立法人资格；具有有效的营业执照（营业范围内包含本次采购内容，并具有经营能力及售后服务能力）、税务登记证、组织机构代码证（或三证合一）；</w:t>
      </w:r>
    </w:p>
    <w:p>
      <w:pPr>
        <w:adjustRightInd w:val="0"/>
        <w:spacing w:line="360" w:lineRule="auto"/>
        <w:contextualSpacing/>
        <w:outlineLvl w:val="0"/>
        <w:rPr>
          <w:rFonts w:hint="eastAsia"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（二）投标人须是生产厂商或授权经销商，授权经销商还需提供生产厂商针对本项目的产品授权书。</w:t>
      </w:r>
    </w:p>
    <w:p>
      <w:pPr>
        <w:adjustRightInd w:val="0"/>
        <w:spacing w:line="360" w:lineRule="auto"/>
        <w:contextualSpacing/>
        <w:outlineLvl w:val="0"/>
        <w:rPr>
          <w:rFonts w:hint="eastAsia"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（三）参加本次政府采购活动前3年内在经营活动中没有重大违法记录的书面声明；</w:t>
      </w:r>
    </w:p>
    <w:p>
      <w:pPr>
        <w:adjustRightInd w:val="0"/>
        <w:spacing w:line="360" w:lineRule="auto"/>
        <w:contextualSpacing/>
        <w:outlineLvl w:val="0"/>
        <w:rPr>
          <w:rFonts w:hAnsi="宋体" w:eastAsia="宋体"/>
          <w:snapToGrid w:val="0"/>
          <w:color w:val="000000" w:themeColor="text1"/>
          <w:kern w:val="0"/>
          <w:sz w:val="24"/>
          <w:szCs w:val="24"/>
          <w:lang w:val="zh-CN"/>
        </w:rPr>
      </w:pPr>
      <w:r>
        <w:rPr>
          <w:rFonts w:hint="eastAsia" w:hAnsi="宋体" w:eastAsia="宋体"/>
          <w:snapToGrid w:val="0"/>
          <w:color w:val="000000" w:themeColor="text1"/>
          <w:kern w:val="0"/>
          <w:sz w:val="24"/>
          <w:szCs w:val="24"/>
          <w:lang w:val="zh-CN"/>
        </w:rPr>
        <w:t>（四）投标人需通过“信用中国”网站（www.creditchina.gov.cn）或中国政府采购网（www.ccgp.gov.cn）等渠道查询主体信用记录，并打印网页复印件（加盖公章）如有不良记录取消投标资格；；</w:t>
      </w:r>
    </w:p>
    <w:p>
      <w:pPr>
        <w:adjustRightInd w:val="0"/>
        <w:spacing w:line="360" w:lineRule="auto"/>
        <w:contextualSpacing/>
        <w:outlineLvl w:val="0"/>
        <w:rPr>
          <w:rFonts w:ascii="宋体" w:hAnsi="宋体" w:cs="宋体"/>
          <w:b/>
          <w:bCs/>
          <w:color w:val="000000" w:themeColor="text1"/>
          <w:sz w:val="28"/>
          <w:szCs w:val="28"/>
          <w:lang w:val="zh-CN"/>
        </w:rPr>
      </w:pPr>
      <w:r>
        <w:rPr>
          <w:rFonts w:hint="eastAsia" w:hAnsi="宋体" w:eastAsia="宋体"/>
          <w:snapToGrid w:val="0"/>
          <w:color w:val="000000" w:themeColor="text1"/>
          <w:kern w:val="0"/>
          <w:sz w:val="24"/>
          <w:szCs w:val="24"/>
        </w:rPr>
        <w:t>（</w:t>
      </w:r>
      <w:r>
        <w:rPr>
          <w:rFonts w:hint="eastAsia" w:hAnsi="宋体" w:eastAsia="宋体"/>
          <w:snapToGrid w:val="0"/>
          <w:color w:val="000000" w:themeColor="text1"/>
          <w:kern w:val="0"/>
          <w:sz w:val="24"/>
          <w:szCs w:val="24"/>
          <w:lang w:eastAsia="zh-CN"/>
        </w:rPr>
        <w:t>五</w:t>
      </w:r>
      <w:r>
        <w:rPr>
          <w:rFonts w:hint="eastAsia" w:hAnsi="宋体" w:eastAsia="宋体"/>
          <w:snapToGrid w:val="0"/>
          <w:color w:val="000000" w:themeColor="text1"/>
          <w:kern w:val="0"/>
          <w:sz w:val="24"/>
          <w:szCs w:val="24"/>
        </w:rPr>
        <w:t>）、法定代表人授权书及被授权人身份证明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资格审查中所涉及到的证书及材料，需在投标文件中附完整的复印件，否则为无效投标。</w:t>
      </w:r>
    </w:p>
    <w:p>
      <w:pPr>
        <w:pStyle w:val="6"/>
        <w:ind w:firstLine="0" w:firstLineChars="0"/>
        <w:rPr>
          <w:rFonts w:ascii="宋体" w:cs="宋体"/>
          <w:sz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河南鼎华招标代理有限公司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hint="eastAsia" w:ascii="宋体" w:cs="宋体"/>
          <w:sz w:val="24"/>
          <w:lang w:val="zh-CN"/>
        </w:rPr>
      </w:pPr>
      <w:r>
        <w:rPr>
          <w:rFonts w:hint="eastAsia" w:ascii="宋体" w:cs="宋体"/>
          <w:sz w:val="24"/>
        </w:rPr>
        <w:t xml:space="preserve">  </w:t>
      </w:r>
      <w:r>
        <w:rPr>
          <w:rFonts w:hint="eastAsia" w:ascii="宋体" w:cs="宋体"/>
          <w:sz w:val="24"/>
          <w:lang w:val="zh-CN"/>
        </w:rPr>
        <w:t xml:space="preserve">  1、法人营业执照副本</w:t>
      </w:r>
    </w:p>
    <w:p>
      <w:pPr>
        <w:autoSpaceDE w:val="0"/>
        <w:autoSpaceDN w:val="0"/>
        <w:adjustRightInd w:val="0"/>
        <w:spacing w:line="360" w:lineRule="auto"/>
        <w:ind w:right="-11"/>
        <w:rPr>
          <w:rFonts w:hint="eastAsia" w:ascii="宋体" w:cs="宋体"/>
          <w:sz w:val="24"/>
          <w:lang w:val="zh-CN"/>
        </w:rPr>
      </w:pPr>
      <w:r>
        <w:rPr>
          <w:rFonts w:hint="eastAsia" w:ascii="宋体" w:cs="宋体"/>
          <w:sz w:val="24"/>
          <w:lang w:val="zh-CN"/>
        </w:rPr>
        <w:t xml:space="preserve">    2、税务登记证副本（或三证合一）</w:t>
      </w:r>
    </w:p>
    <w:p>
      <w:pPr>
        <w:autoSpaceDE w:val="0"/>
        <w:autoSpaceDN w:val="0"/>
        <w:adjustRightInd w:val="0"/>
        <w:spacing w:line="360" w:lineRule="auto"/>
        <w:ind w:right="-11"/>
        <w:rPr>
          <w:rFonts w:hint="eastAsia" w:ascii="宋体" w:cs="宋体"/>
          <w:sz w:val="24"/>
          <w:lang w:val="zh-CN"/>
        </w:rPr>
      </w:pPr>
      <w:r>
        <w:rPr>
          <w:rFonts w:hint="eastAsia" w:ascii="宋体" w:cs="宋体"/>
          <w:sz w:val="24"/>
          <w:lang w:val="zh-CN"/>
        </w:rPr>
        <w:t xml:space="preserve">    3、法定代表人授权书及被授权人身份证明</w:t>
      </w:r>
    </w:p>
    <w:p>
      <w:pPr>
        <w:autoSpaceDE w:val="0"/>
        <w:autoSpaceDN w:val="0"/>
        <w:adjustRightInd w:val="0"/>
        <w:spacing w:line="360" w:lineRule="auto"/>
        <w:ind w:right="-11"/>
        <w:rPr>
          <w:rFonts w:hint="eastAsia" w:ascii="宋体" w:cs="宋体"/>
          <w:sz w:val="24"/>
          <w:lang w:val="zh-CN"/>
        </w:rPr>
      </w:pPr>
      <w:r>
        <w:rPr>
          <w:rFonts w:hint="eastAsia" w:ascii="宋体" w:cs="宋体"/>
          <w:sz w:val="24"/>
          <w:lang w:val="zh-CN"/>
        </w:rPr>
        <w:t xml:space="preserve">    4、 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w:t>
      </w:r>
      <w:bookmarkStart w:id="6" w:name="_GoBack"/>
      <w:bookmarkEnd w:id="6"/>
      <w:r>
        <w:rPr>
          <w:rFonts w:hint="eastAsia" w:ascii="宋体" w:cs="宋体"/>
          <w:sz w:val="24"/>
          <w:lang w:val="zh-CN"/>
        </w:rPr>
        <w:t>，也无义务将评标委员会所做决定的原因通知投标人。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hint="eastAsia" w:ascii="宋体" w:hAnsi="宋体"/>
          <w:b/>
          <w:bCs/>
          <w:sz w:val="24"/>
          <w:szCs w:val="24"/>
        </w:rPr>
      </w:pPr>
    </w:p>
    <w:p>
      <w:pPr>
        <w:rPr>
          <w:rFonts w:hint="eastAsia" w:ascii="宋体" w:hAnsi="宋体"/>
          <w:b/>
          <w:bCs/>
          <w:sz w:val="24"/>
          <w:szCs w:val="24"/>
        </w:rPr>
      </w:pPr>
    </w:p>
    <w:p>
      <w:pPr>
        <w:rPr>
          <w:rFonts w:ascii="宋体" w:hAnsi="宋体"/>
          <w:b/>
          <w:bCs/>
          <w:sz w:val="24"/>
          <w:szCs w:val="24"/>
        </w:rPr>
      </w:pPr>
      <w:r>
        <w:rPr>
          <w:rFonts w:hint="eastAsia" w:ascii="宋体" w:hAnsi="宋体"/>
          <w:b/>
          <w:bCs/>
          <w:sz w:val="24"/>
          <w:szCs w:val="24"/>
        </w:rPr>
        <w:t>附件4</w:t>
      </w:r>
    </w:p>
    <w:p>
      <w:pPr>
        <w:pStyle w:val="9"/>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9"/>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9"/>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在此提交的投标文件，正本一份，副本三份。</w:t>
      </w:r>
    </w:p>
    <w:p>
      <w:pPr>
        <w:pStyle w:val="14"/>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4"/>
        <w:adjustRightInd w:val="0"/>
        <w:spacing w:line="360" w:lineRule="auto"/>
        <w:ind w:firstLine="420"/>
        <w:contextualSpacing/>
        <w:rPr>
          <w:rFonts w:cs="Courier New"/>
        </w:rPr>
      </w:pPr>
      <w:r>
        <w:rPr>
          <w:rFonts w:hint="eastAsia" w:cs="Courier New"/>
        </w:rPr>
        <w:t>（一）按招标文件提供的相关服务承诺详见《开标一览表》。</w:t>
      </w:r>
    </w:p>
    <w:p>
      <w:pPr>
        <w:pStyle w:val="14"/>
        <w:adjustRightInd w:val="0"/>
        <w:spacing w:line="360" w:lineRule="auto"/>
        <w:ind w:firstLine="420"/>
        <w:contextualSpacing/>
        <w:rPr>
          <w:rFonts w:cs="Courier New"/>
        </w:rPr>
      </w:pPr>
      <w:r>
        <w:rPr>
          <w:rFonts w:hint="eastAsia" w:cs="Courier New"/>
        </w:rPr>
        <w:t>（二）本投标文件的有效期为投标截止时间起60天。在此提交的资格证明文件均至投标截止日有效，如有在投标有效期内失效的，我方承诺在中标后补齐一切手续，保证所有资格证明文件能在签订合同时直至合同终止日有效。</w:t>
      </w:r>
    </w:p>
    <w:p>
      <w:pPr>
        <w:pStyle w:val="14"/>
        <w:adjustRightInd w:val="0"/>
        <w:spacing w:line="360" w:lineRule="auto"/>
        <w:ind w:firstLine="420"/>
        <w:contextualSpacing/>
        <w:rPr>
          <w:rFonts w:cs="Courier New"/>
        </w:rPr>
      </w:pPr>
      <w:r>
        <w:rPr>
          <w:rFonts w:hint="eastAsia" w:cs="Courier New"/>
        </w:rPr>
        <w:t>（三）我方同意按照贵方可能提出的要求而提供与投标有关的任何其它数据、信息或资料。</w:t>
      </w:r>
    </w:p>
    <w:p>
      <w:pPr>
        <w:pStyle w:val="14"/>
        <w:adjustRightInd w:val="0"/>
        <w:spacing w:line="360" w:lineRule="auto"/>
        <w:ind w:firstLine="420"/>
        <w:contextualSpacing/>
        <w:rPr>
          <w:rFonts w:cs="Courier New"/>
        </w:rPr>
      </w:pPr>
      <w:r>
        <w:rPr>
          <w:rFonts w:hint="eastAsia" w:cs="Courier New"/>
        </w:rPr>
        <w:t>（四）我方理解贵方不一定接受所做出的服务承诺或任何贵方可能收到的投标。</w:t>
      </w:r>
    </w:p>
    <w:p>
      <w:pPr>
        <w:pStyle w:val="14"/>
        <w:adjustRightInd w:val="0"/>
        <w:spacing w:line="360" w:lineRule="auto"/>
        <w:ind w:firstLine="420"/>
        <w:contextualSpacing/>
        <w:rPr>
          <w:rFonts w:cs="Courier New"/>
        </w:rPr>
      </w:pPr>
      <w:r>
        <w:rPr>
          <w:rFonts w:hint="eastAsia" w:cs="Courier New"/>
        </w:rPr>
        <w:t>（五）我方如果中标，将保证履行招标文件及其澄清、修改文件（如果有）中的全部责任和义务，按质、按量、按期完成《项目需求》及《合同书》中的全部任务。</w:t>
      </w:r>
    </w:p>
    <w:p>
      <w:pPr>
        <w:pStyle w:val="14"/>
        <w:adjustRightInd w:val="0"/>
        <w:spacing w:line="360" w:lineRule="auto"/>
        <w:ind w:firstLine="420"/>
        <w:contextualSpacing/>
        <w:rPr>
          <w:rFonts w:cs="宋体"/>
        </w:rPr>
      </w:pPr>
      <w:r>
        <w:rPr>
          <w:rFonts w:hint="eastAsia" w:cs="Courier New"/>
        </w:rPr>
        <w:t>（六）我方在此保证所提交的所有文件和全部说明是真实的和正确的。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（七）我方具备《政府采购法》第二十二条规定的条件；承诺如下：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9"/>
        <w:adjustRightInd w:val="0"/>
        <w:spacing w:line="360" w:lineRule="auto"/>
        <w:ind w:firstLine="480" w:firstLineChars="200"/>
        <w:contextualSpacing/>
        <w:rPr>
          <w:szCs w:val="24"/>
        </w:rPr>
      </w:pPr>
      <w:r>
        <w:rPr>
          <w:rFonts w:hint="eastAsia"/>
          <w:szCs w:val="24"/>
        </w:rPr>
        <w:t>（八）我方具备履行合同所必需的设备和专业技术能力。</w:t>
      </w:r>
    </w:p>
    <w:p>
      <w:pPr>
        <w:pStyle w:val="9"/>
        <w:adjustRightInd w:val="0"/>
        <w:spacing w:line="360" w:lineRule="auto"/>
        <w:ind w:firstLine="480" w:firstLineChars="200"/>
        <w:contextualSpacing/>
        <w:rPr>
          <w:szCs w:val="24"/>
        </w:rPr>
      </w:pPr>
      <w:r>
        <w:rPr>
          <w:rFonts w:hint="eastAsia"/>
          <w:snapToGrid w:val="0"/>
          <w:kern w:val="0"/>
          <w:szCs w:val="24"/>
        </w:rPr>
        <w:t>（九</w:t>
      </w:r>
      <w:r>
        <w:rPr>
          <w:snapToGrid w:val="0"/>
          <w:kern w:val="0"/>
          <w:szCs w:val="24"/>
        </w:rPr>
        <w:t>）</w:t>
      </w:r>
      <w:r>
        <w:rPr>
          <w:rFonts w:hint="eastAsia"/>
          <w:szCs w:val="24"/>
        </w:rPr>
        <w:t>我方对在本函及投标文件中所作的所有承诺承担法律责任。</w:t>
      </w:r>
    </w:p>
    <w:p>
      <w:pPr>
        <w:pStyle w:val="9"/>
        <w:adjustRightInd w:val="0"/>
        <w:snapToGrid w:val="0"/>
        <w:spacing w:line="360" w:lineRule="auto"/>
        <w:rPr>
          <w:szCs w:val="24"/>
        </w:rPr>
      </w:pPr>
    </w:p>
    <w:p>
      <w:pPr>
        <w:pStyle w:val="9"/>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附件5</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3" w:name="_资格证明文件"/>
            <w:bookmarkEnd w:id="3"/>
            <w:bookmarkStart w:id="4" w:name="_Toc364329026"/>
            <w:r>
              <w:rPr>
                <w:rFonts w:hint="eastAsia"/>
              </w:rPr>
              <w:t>法定代表人授权代表身份证（正面）</w:t>
            </w:r>
            <w:bookmarkEnd w:id="4"/>
          </w:p>
        </w:tc>
        <w:tc>
          <w:tcPr>
            <w:tcW w:w="4492" w:type="dxa"/>
            <w:vAlign w:val="center"/>
          </w:tcPr>
          <w:p>
            <w:pPr>
              <w:jc w:val="center"/>
            </w:pPr>
            <w:bookmarkStart w:id="5" w:name="_Toc364329027"/>
            <w:r>
              <w:rPr>
                <w:rFonts w:hint="eastAsia"/>
              </w:rPr>
              <w:t>法定代表人授权代表身份证（反面）</w:t>
            </w:r>
            <w:bookmarkEnd w:id="5"/>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附件6</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napToGrid w:val="0"/>
        <w:spacing w:line="360" w:lineRule="auto"/>
        <w:ind w:firstLine="482" w:firstLineChars="200"/>
        <w:jc w:val="left"/>
        <w:rPr>
          <w:rFonts w:ascii="宋体" w:hAnsi="宋体"/>
          <w:b/>
          <w:bCs/>
          <w:sz w:val="24"/>
          <w:szCs w:val="24"/>
        </w:rPr>
      </w:pPr>
    </w:p>
    <w:p>
      <w:pPr>
        <w:snapToGrid w:val="0"/>
        <w:spacing w:line="360" w:lineRule="auto"/>
        <w:ind w:firstLine="482" w:firstLineChars="200"/>
        <w:jc w:val="left"/>
        <w:rPr>
          <w:rFonts w:ascii="宋体" w:hAnsi="宋体"/>
          <w:b/>
          <w:bCs/>
          <w:sz w:val="24"/>
          <w:szCs w:val="24"/>
        </w:rPr>
      </w:pPr>
    </w:p>
    <w:p>
      <w:pPr>
        <w:spacing w:line="360" w:lineRule="auto"/>
        <w:jc w:val="left"/>
        <w:rPr>
          <w:rFonts w:ascii="宋体" w:hAnsi="宋体"/>
          <w:b/>
          <w:bCs/>
          <w:sz w:val="24"/>
          <w:szCs w:val="24"/>
        </w:rPr>
      </w:pPr>
    </w:p>
    <w:p>
      <w:pPr>
        <w:spacing w:line="360" w:lineRule="auto"/>
        <w:jc w:val="left"/>
        <w:rPr>
          <w:rFonts w:ascii="宋体" w:hAnsi="宋体"/>
          <w:b/>
          <w:bCs/>
          <w:sz w:val="24"/>
          <w:szCs w:val="24"/>
        </w:rPr>
      </w:pPr>
    </w:p>
    <w:p>
      <w:pPr>
        <w:spacing w:line="360" w:lineRule="auto"/>
        <w:jc w:val="left"/>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河南鼎华招标代理有限公司：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r>
        <w:rPr>
          <w:rFonts w:hint="eastAsia" w:ascii="宋体" w:hAnsi="宋体"/>
          <w:b/>
          <w:bCs/>
          <w:sz w:val="24"/>
          <w:szCs w:val="24"/>
        </w:rPr>
        <w:t>附件8</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第   轮报价表（仅限于协商现场填写）</w:t>
      </w:r>
    </w:p>
    <w:p>
      <w:pPr>
        <w:rPr>
          <w:rFonts w:ascii="宋体" w:hAnsi="宋体" w:cs="宋体"/>
        </w:rPr>
      </w:pPr>
    </w:p>
    <w:p>
      <w:pPr>
        <w:spacing w:line="360" w:lineRule="exact"/>
        <w:jc w:val="center"/>
        <w:rPr>
          <w:rFonts w:ascii="宋体" w:hAnsi="宋体" w:cs="宋体"/>
          <w:b/>
          <w:sz w:val="28"/>
          <w:szCs w:val="28"/>
        </w:rPr>
      </w:pPr>
    </w:p>
    <w:tbl>
      <w:tblPr>
        <w:tblStyle w:val="20"/>
        <w:tblW w:w="8838" w:type="dxa"/>
        <w:tblInd w:w="0" w:type="dxa"/>
        <w:tblLayout w:type="fixed"/>
        <w:tblCellMar>
          <w:top w:w="0" w:type="dxa"/>
          <w:left w:w="0" w:type="dxa"/>
          <w:bottom w:w="0" w:type="dxa"/>
          <w:right w:w="0" w:type="dxa"/>
        </w:tblCellMar>
      </w:tblPr>
      <w:tblGrid>
        <w:gridCol w:w="1409"/>
        <w:gridCol w:w="3824"/>
        <w:gridCol w:w="1322"/>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项目名称</w:t>
            </w:r>
          </w:p>
        </w:tc>
        <w:tc>
          <w:tcPr>
            <w:tcW w:w="3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p>
        </w:tc>
      </w:tr>
      <w:tr>
        <w:tblPrEx>
          <w:tblLayout w:type="fixed"/>
          <w:tblCellMar>
            <w:top w:w="0" w:type="dxa"/>
            <w:left w:w="0" w:type="dxa"/>
            <w:bottom w:w="0" w:type="dxa"/>
            <w:right w:w="0" w:type="dxa"/>
          </w:tblCellMar>
        </w:tblPrEx>
        <w:trPr>
          <w:cantSplit/>
          <w:trHeight w:val="195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投标总报价</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p>
          <w:p>
            <w:pPr>
              <w:spacing w:line="360" w:lineRule="exact"/>
              <w:ind w:firstLine="1575" w:firstLineChars="750"/>
              <w:rPr>
                <w:rFonts w:ascii="宋体" w:hAnsi="宋体" w:cs="宋体"/>
                <w:szCs w:val="21"/>
                <w:u w:val="single"/>
              </w:rPr>
            </w:pPr>
            <w:r>
              <w:rPr>
                <w:rFonts w:hint="eastAsia" w:ascii="宋体" w:hAnsi="宋体" w:cs="宋体"/>
                <w:szCs w:val="21"/>
              </w:rPr>
              <w:t>人民币小写：</w:t>
            </w:r>
            <w:r>
              <w:rPr>
                <w:rFonts w:hint="eastAsia" w:ascii="宋体" w:hAnsi="宋体" w:cs="宋体"/>
                <w:szCs w:val="21"/>
                <w:u w:val="single"/>
              </w:rPr>
              <w:t xml:space="preserve">             </w:t>
            </w: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交货期</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ascii="宋体" w:hAnsi="宋体" w:cs="宋体"/>
                <w:szCs w:val="21"/>
              </w:rPr>
            </w:pPr>
            <w:r>
              <w:rPr>
                <w:rFonts w:hint="eastAsia" w:ascii="宋体" w:hAnsi="宋体" w:cs="宋体"/>
                <w:szCs w:val="21"/>
              </w:rPr>
              <w:t>其他声明</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宋体" w:hAnsi="宋体" w:cs="宋体"/>
                <w:szCs w:val="21"/>
              </w:rPr>
            </w:pPr>
          </w:p>
        </w:tc>
      </w:tr>
    </w:tbl>
    <w:p>
      <w:pPr>
        <w:pStyle w:val="8"/>
        <w:spacing w:line="520" w:lineRule="exact"/>
        <w:ind w:firstLine="210" w:firstLineChars="100"/>
        <w:rPr>
          <w:rFonts w:ascii="宋体" w:eastAsia="宋体" w:cs="宋体"/>
          <w:szCs w:val="21"/>
        </w:rPr>
      </w:pPr>
      <w:r>
        <w:rPr>
          <w:rFonts w:hint="eastAsia" w:ascii="宋体" w:eastAsia="宋体" w:cs="宋体"/>
          <w:szCs w:val="21"/>
        </w:rPr>
        <w:t>投标人名称（公章）：</w:t>
      </w:r>
    </w:p>
    <w:p>
      <w:pPr>
        <w:pStyle w:val="8"/>
        <w:spacing w:line="520" w:lineRule="exact"/>
        <w:ind w:firstLine="210" w:firstLineChars="100"/>
        <w:rPr>
          <w:rFonts w:ascii="宋体" w:eastAsia="宋体" w:cs="宋体"/>
          <w:szCs w:val="21"/>
        </w:rPr>
      </w:pPr>
      <w:r>
        <w:rPr>
          <w:rFonts w:hint="eastAsia" w:ascii="宋体" w:eastAsia="宋体" w:cs="宋体"/>
          <w:szCs w:val="21"/>
        </w:rPr>
        <w:t>法定代表人或授权委托人签字:</w:t>
      </w:r>
    </w:p>
    <w:p>
      <w:pPr>
        <w:spacing w:line="560" w:lineRule="exact"/>
        <w:ind w:firstLine="315" w:firstLineChars="150"/>
        <w:rPr>
          <w:rFonts w:ascii="宋体" w:hAnsi="宋体" w:cs="宋体"/>
        </w:rPr>
      </w:pPr>
      <w:r>
        <w:rPr>
          <w:rFonts w:hint="eastAsia" w:ascii="宋体" w:hAnsi="宋体" w:cs="宋体"/>
          <w:szCs w:val="21"/>
        </w:rPr>
        <w:t xml:space="preserve">                                                          年    月   日</w:t>
      </w:r>
    </w:p>
    <w:p>
      <w:pPr>
        <w:spacing w:line="560" w:lineRule="exact"/>
        <w:ind w:firstLine="316" w:firstLineChars="150"/>
        <w:rPr>
          <w:rFonts w:ascii="宋体" w:hAnsi="宋体" w:cs="宋体"/>
          <w:b/>
          <w:bCs/>
        </w:rPr>
      </w:pPr>
      <w:r>
        <w:rPr>
          <w:rFonts w:hint="eastAsia" w:ascii="宋体" w:hAnsi="宋体" w:cs="宋体"/>
          <w:b/>
          <w:bCs/>
        </w:rPr>
        <w:t>说明：此报价表加盖公章后现场填写（此报价表应单独准备3份，供多次报价使用），然后交与协商小组。</w:t>
      </w:r>
    </w:p>
    <w:p>
      <w:pPr>
        <w:autoSpaceDE w:val="0"/>
        <w:autoSpaceDN w:val="0"/>
        <w:adjustRightInd w:val="0"/>
        <w:snapToGrid w:val="0"/>
        <w:spacing w:line="360" w:lineRule="auto"/>
        <w:ind w:firstLine="600" w:firstLineChars="250"/>
        <w:rPr>
          <w:rFonts w:ascii="宋体" w:cs="宋体"/>
          <w:sz w:val="24"/>
        </w:rPr>
      </w:pPr>
    </w:p>
    <w:p>
      <w:pPr>
        <w:autoSpaceDE w:val="0"/>
        <w:autoSpaceDN w:val="0"/>
        <w:adjustRightInd w:val="0"/>
        <w:spacing w:line="360" w:lineRule="auto"/>
        <w:jc w:val="left"/>
        <w:rPr>
          <w:rFonts w:ascii="宋体" w:hAnsi="宋体" w:cs="宋体"/>
          <w:bCs/>
          <w:sz w:val="24"/>
        </w:rPr>
      </w:pP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436"/>
    <w:rsid w:val="00140CA1"/>
    <w:rsid w:val="0016596A"/>
    <w:rsid w:val="001A1AAC"/>
    <w:rsid w:val="001F6436"/>
    <w:rsid w:val="0022720D"/>
    <w:rsid w:val="003123FB"/>
    <w:rsid w:val="00314BA8"/>
    <w:rsid w:val="003536B8"/>
    <w:rsid w:val="003C685D"/>
    <w:rsid w:val="003D5AB7"/>
    <w:rsid w:val="003E07DB"/>
    <w:rsid w:val="003E689A"/>
    <w:rsid w:val="00496B00"/>
    <w:rsid w:val="004D5FD1"/>
    <w:rsid w:val="005B3DFA"/>
    <w:rsid w:val="005C6EE0"/>
    <w:rsid w:val="00686D3C"/>
    <w:rsid w:val="00721189"/>
    <w:rsid w:val="00784380"/>
    <w:rsid w:val="0081281A"/>
    <w:rsid w:val="0088079F"/>
    <w:rsid w:val="008C29C3"/>
    <w:rsid w:val="008F6807"/>
    <w:rsid w:val="009F5F0D"/>
    <w:rsid w:val="00A26EA4"/>
    <w:rsid w:val="00B02FE9"/>
    <w:rsid w:val="00BB3E09"/>
    <w:rsid w:val="00BF37CC"/>
    <w:rsid w:val="00D67064"/>
    <w:rsid w:val="00E11BEF"/>
    <w:rsid w:val="00EE081C"/>
    <w:rsid w:val="00F13BC4"/>
    <w:rsid w:val="00F87B16"/>
    <w:rsid w:val="00FC53B3"/>
    <w:rsid w:val="014463F3"/>
    <w:rsid w:val="019D6D75"/>
    <w:rsid w:val="01BA2104"/>
    <w:rsid w:val="01DA479D"/>
    <w:rsid w:val="02054927"/>
    <w:rsid w:val="02056D53"/>
    <w:rsid w:val="02115BF3"/>
    <w:rsid w:val="021D7D30"/>
    <w:rsid w:val="023938BF"/>
    <w:rsid w:val="02740402"/>
    <w:rsid w:val="02930D3A"/>
    <w:rsid w:val="02A24FAC"/>
    <w:rsid w:val="02AE75BA"/>
    <w:rsid w:val="02F67853"/>
    <w:rsid w:val="03291403"/>
    <w:rsid w:val="038E6D45"/>
    <w:rsid w:val="03B8162E"/>
    <w:rsid w:val="03D06BC1"/>
    <w:rsid w:val="04BD059E"/>
    <w:rsid w:val="04E87D86"/>
    <w:rsid w:val="04F64B96"/>
    <w:rsid w:val="05004239"/>
    <w:rsid w:val="05362581"/>
    <w:rsid w:val="05714DCC"/>
    <w:rsid w:val="057B2D01"/>
    <w:rsid w:val="05955210"/>
    <w:rsid w:val="05D66787"/>
    <w:rsid w:val="06256B51"/>
    <w:rsid w:val="065763F5"/>
    <w:rsid w:val="065C5666"/>
    <w:rsid w:val="067A5783"/>
    <w:rsid w:val="06912889"/>
    <w:rsid w:val="06980CAB"/>
    <w:rsid w:val="06D93263"/>
    <w:rsid w:val="0722467E"/>
    <w:rsid w:val="072340DB"/>
    <w:rsid w:val="074F02D6"/>
    <w:rsid w:val="076B2C38"/>
    <w:rsid w:val="07B45F29"/>
    <w:rsid w:val="07BA0297"/>
    <w:rsid w:val="07F971CE"/>
    <w:rsid w:val="08101D02"/>
    <w:rsid w:val="082E3049"/>
    <w:rsid w:val="08793825"/>
    <w:rsid w:val="087F25F1"/>
    <w:rsid w:val="08841F7F"/>
    <w:rsid w:val="08913EAD"/>
    <w:rsid w:val="08C260DB"/>
    <w:rsid w:val="08DE565B"/>
    <w:rsid w:val="091C3AC7"/>
    <w:rsid w:val="091C6BF1"/>
    <w:rsid w:val="091E0CE8"/>
    <w:rsid w:val="09243C12"/>
    <w:rsid w:val="092E3208"/>
    <w:rsid w:val="096310B7"/>
    <w:rsid w:val="09BE5384"/>
    <w:rsid w:val="09C939E4"/>
    <w:rsid w:val="09EE6155"/>
    <w:rsid w:val="09F2616B"/>
    <w:rsid w:val="09F84CC5"/>
    <w:rsid w:val="0A2E75B9"/>
    <w:rsid w:val="0A84056C"/>
    <w:rsid w:val="0AD02E99"/>
    <w:rsid w:val="0B705A3A"/>
    <w:rsid w:val="0BB703E5"/>
    <w:rsid w:val="0BD82E8F"/>
    <w:rsid w:val="0BFA1735"/>
    <w:rsid w:val="0BFB5052"/>
    <w:rsid w:val="0C202505"/>
    <w:rsid w:val="0C2027AF"/>
    <w:rsid w:val="0C2B0281"/>
    <w:rsid w:val="0C9566CF"/>
    <w:rsid w:val="0CD27295"/>
    <w:rsid w:val="0D0F739E"/>
    <w:rsid w:val="0D515531"/>
    <w:rsid w:val="0D546088"/>
    <w:rsid w:val="0D6D426C"/>
    <w:rsid w:val="0D6E32A9"/>
    <w:rsid w:val="0D855CB9"/>
    <w:rsid w:val="0D932338"/>
    <w:rsid w:val="0DE31558"/>
    <w:rsid w:val="0E133B57"/>
    <w:rsid w:val="0E205BDF"/>
    <w:rsid w:val="0E385522"/>
    <w:rsid w:val="0E510864"/>
    <w:rsid w:val="0E5C7BF8"/>
    <w:rsid w:val="0E6F2604"/>
    <w:rsid w:val="0E766FE6"/>
    <w:rsid w:val="0EFF27A8"/>
    <w:rsid w:val="0EFF284B"/>
    <w:rsid w:val="0F1E4783"/>
    <w:rsid w:val="0F2B662C"/>
    <w:rsid w:val="0F7C58EE"/>
    <w:rsid w:val="0FEF6E6C"/>
    <w:rsid w:val="10092209"/>
    <w:rsid w:val="102A528F"/>
    <w:rsid w:val="102E45CB"/>
    <w:rsid w:val="1109447B"/>
    <w:rsid w:val="110B6BEA"/>
    <w:rsid w:val="11153051"/>
    <w:rsid w:val="111E13E8"/>
    <w:rsid w:val="11273899"/>
    <w:rsid w:val="117B0B25"/>
    <w:rsid w:val="118178F3"/>
    <w:rsid w:val="11EE5F9F"/>
    <w:rsid w:val="121C2FB8"/>
    <w:rsid w:val="126C7960"/>
    <w:rsid w:val="126D4EE9"/>
    <w:rsid w:val="12707650"/>
    <w:rsid w:val="12742B6B"/>
    <w:rsid w:val="12881EA4"/>
    <w:rsid w:val="12A17ECC"/>
    <w:rsid w:val="12FD7773"/>
    <w:rsid w:val="131F4F5E"/>
    <w:rsid w:val="134F1E3A"/>
    <w:rsid w:val="13541FC6"/>
    <w:rsid w:val="138C5C58"/>
    <w:rsid w:val="13AC20CA"/>
    <w:rsid w:val="140A1000"/>
    <w:rsid w:val="14745111"/>
    <w:rsid w:val="14C278A7"/>
    <w:rsid w:val="159E5504"/>
    <w:rsid w:val="15C71B40"/>
    <w:rsid w:val="16005CCB"/>
    <w:rsid w:val="160C5D63"/>
    <w:rsid w:val="161676BF"/>
    <w:rsid w:val="162B092B"/>
    <w:rsid w:val="164000FA"/>
    <w:rsid w:val="16646CE0"/>
    <w:rsid w:val="168B4CE7"/>
    <w:rsid w:val="16C04B07"/>
    <w:rsid w:val="16F4280C"/>
    <w:rsid w:val="170C6A8F"/>
    <w:rsid w:val="17293128"/>
    <w:rsid w:val="17715C67"/>
    <w:rsid w:val="17745BAF"/>
    <w:rsid w:val="17A43BF8"/>
    <w:rsid w:val="17E6266A"/>
    <w:rsid w:val="17E6549B"/>
    <w:rsid w:val="18051ABA"/>
    <w:rsid w:val="180C5095"/>
    <w:rsid w:val="18130A89"/>
    <w:rsid w:val="181D5CAE"/>
    <w:rsid w:val="181F67EE"/>
    <w:rsid w:val="182E0C52"/>
    <w:rsid w:val="185D22BF"/>
    <w:rsid w:val="1881612A"/>
    <w:rsid w:val="18AC4DFA"/>
    <w:rsid w:val="18D30F72"/>
    <w:rsid w:val="18DA3DD8"/>
    <w:rsid w:val="1913299C"/>
    <w:rsid w:val="199856B5"/>
    <w:rsid w:val="19B965BF"/>
    <w:rsid w:val="19E06A04"/>
    <w:rsid w:val="19EB58EE"/>
    <w:rsid w:val="19EE385C"/>
    <w:rsid w:val="1A4F2112"/>
    <w:rsid w:val="1A5A5E34"/>
    <w:rsid w:val="1A8C0F27"/>
    <w:rsid w:val="1A9477BB"/>
    <w:rsid w:val="1ABB7907"/>
    <w:rsid w:val="1AC64F7F"/>
    <w:rsid w:val="1AE23AC1"/>
    <w:rsid w:val="1AE7373B"/>
    <w:rsid w:val="1B0D00D4"/>
    <w:rsid w:val="1B177AE3"/>
    <w:rsid w:val="1B1E40A6"/>
    <w:rsid w:val="1B24650C"/>
    <w:rsid w:val="1B3E323E"/>
    <w:rsid w:val="1B422B04"/>
    <w:rsid w:val="1B6A7785"/>
    <w:rsid w:val="1B85250E"/>
    <w:rsid w:val="1C72663E"/>
    <w:rsid w:val="1C7C60FC"/>
    <w:rsid w:val="1CBE6ED7"/>
    <w:rsid w:val="1CF3643E"/>
    <w:rsid w:val="1D165B53"/>
    <w:rsid w:val="1D1B16CB"/>
    <w:rsid w:val="1D251A55"/>
    <w:rsid w:val="1D290914"/>
    <w:rsid w:val="1D740EF1"/>
    <w:rsid w:val="1D935D61"/>
    <w:rsid w:val="1D971B3B"/>
    <w:rsid w:val="1DA3398E"/>
    <w:rsid w:val="1DD01B61"/>
    <w:rsid w:val="1DE41098"/>
    <w:rsid w:val="1E0357EF"/>
    <w:rsid w:val="1E2073B7"/>
    <w:rsid w:val="1E7D7599"/>
    <w:rsid w:val="1E9F31E7"/>
    <w:rsid w:val="1F263C73"/>
    <w:rsid w:val="1F6113FE"/>
    <w:rsid w:val="1F9870C2"/>
    <w:rsid w:val="1FB02913"/>
    <w:rsid w:val="1FDF4577"/>
    <w:rsid w:val="20355A08"/>
    <w:rsid w:val="208E72D9"/>
    <w:rsid w:val="20C53D87"/>
    <w:rsid w:val="213F59F7"/>
    <w:rsid w:val="21487FDF"/>
    <w:rsid w:val="216F6236"/>
    <w:rsid w:val="218E7FC0"/>
    <w:rsid w:val="21BC1B1C"/>
    <w:rsid w:val="222E6E1F"/>
    <w:rsid w:val="22340605"/>
    <w:rsid w:val="22470FB5"/>
    <w:rsid w:val="225303F8"/>
    <w:rsid w:val="22735D41"/>
    <w:rsid w:val="22A2560C"/>
    <w:rsid w:val="22A56C2F"/>
    <w:rsid w:val="22D249B6"/>
    <w:rsid w:val="22E90A7D"/>
    <w:rsid w:val="2304579E"/>
    <w:rsid w:val="23124730"/>
    <w:rsid w:val="231252E1"/>
    <w:rsid w:val="23520090"/>
    <w:rsid w:val="236140F7"/>
    <w:rsid w:val="23767861"/>
    <w:rsid w:val="23B16591"/>
    <w:rsid w:val="23BD2A86"/>
    <w:rsid w:val="2445429E"/>
    <w:rsid w:val="24C40904"/>
    <w:rsid w:val="25071888"/>
    <w:rsid w:val="252320CD"/>
    <w:rsid w:val="253B32CE"/>
    <w:rsid w:val="2549386F"/>
    <w:rsid w:val="25513F45"/>
    <w:rsid w:val="25BE12BF"/>
    <w:rsid w:val="25CE78DA"/>
    <w:rsid w:val="25E5518E"/>
    <w:rsid w:val="26202CEF"/>
    <w:rsid w:val="26373F68"/>
    <w:rsid w:val="266A1BAF"/>
    <w:rsid w:val="269C0DE1"/>
    <w:rsid w:val="26C455DA"/>
    <w:rsid w:val="26E26A64"/>
    <w:rsid w:val="26E3404E"/>
    <w:rsid w:val="26E42687"/>
    <w:rsid w:val="271D7544"/>
    <w:rsid w:val="2720503D"/>
    <w:rsid w:val="272C2BC7"/>
    <w:rsid w:val="274419B7"/>
    <w:rsid w:val="275D7E0C"/>
    <w:rsid w:val="276D121C"/>
    <w:rsid w:val="279642E1"/>
    <w:rsid w:val="27CA623E"/>
    <w:rsid w:val="27D822E8"/>
    <w:rsid w:val="281B5560"/>
    <w:rsid w:val="282A504D"/>
    <w:rsid w:val="284762E7"/>
    <w:rsid w:val="28627203"/>
    <w:rsid w:val="2869040B"/>
    <w:rsid w:val="28CC5799"/>
    <w:rsid w:val="28E42F73"/>
    <w:rsid w:val="28F37457"/>
    <w:rsid w:val="29184D87"/>
    <w:rsid w:val="293311A5"/>
    <w:rsid w:val="2975224E"/>
    <w:rsid w:val="29E2236A"/>
    <w:rsid w:val="2A1C2339"/>
    <w:rsid w:val="2A391C65"/>
    <w:rsid w:val="2A472C96"/>
    <w:rsid w:val="2A57483D"/>
    <w:rsid w:val="2A92599C"/>
    <w:rsid w:val="2AD60A57"/>
    <w:rsid w:val="2B325E58"/>
    <w:rsid w:val="2B360ABE"/>
    <w:rsid w:val="2B885EB0"/>
    <w:rsid w:val="2B89451C"/>
    <w:rsid w:val="2BA26B94"/>
    <w:rsid w:val="2BCC0896"/>
    <w:rsid w:val="2BCF6E29"/>
    <w:rsid w:val="2BE356DB"/>
    <w:rsid w:val="2C371FF9"/>
    <w:rsid w:val="2C596150"/>
    <w:rsid w:val="2C5D66B2"/>
    <w:rsid w:val="2C9854F7"/>
    <w:rsid w:val="2CA26BEC"/>
    <w:rsid w:val="2CAE482F"/>
    <w:rsid w:val="2CBD0C6C"/>
    <w:rsid w:val="2D354997"/>
    <w:rsid w:val="2D3C3024"/>
    <w:rsid w:val="2D4B3ED0"/>
    <w:rsid w:val="2E0A4F5A"/>
    <w:rsid w:val="2E683577"/>
    <w:rsid w:val="2E715D80"/>
    <w:rsid w:val="2EAE0E9A"/>
    <w:rsid w:val="2EBF14F4"/>
    <w:rsid w:val="2EF23AE6"/>
    <w:rsid w:val="2F212E78"/>
    <w:rsid w:val="2F2F42BE"/>
    <w:rsid w:val="2F346F66"/>
    <w:rsid w:val="2F4E4171"/>
    <w:rsid w:val="2F5761AE"/>
    <w:rsid w:val="2F5A1052"/>
    <w:rsid w:val="2FA838C9"/>
    <w:rsid w:val="2FA93EB5"/>
    <w:rsid w:val="2FAB7BEE"/>
    <w:rsid w:val="2FE33147"/>
    <w:rsid w:val="2FE84B2B"/>
    <w:rsid w:val="2FF849B8"/>
    <w:rsid w:val="30042CBE"/>
    <w:rsid w:val="301D7AEC"/>
    <w:rsid w:val="30713320"/>
    <w:rsid w:val="308F3D77"/>
    <w:rsid w:val="30CD4B2F"/>
    <w:rsid w:val="31792BB7"/>
    <w:rsid w:val="31C6691D"/>
    <w:rsid w:val="31FE61E0"/>
    <w:rsid w:val="32044CEE"/>
    <w:rsid w:val="32426ED3"/>
    <w:rsid w:val="324827F7"/>
    <w:rsid w:val="32725E06"/>
    <w:rsid w:val="328D16DA"/>
    <w:rsid w:val="32A42C66"/>
    <w:rsid w:val="32DD080C"/>
    <w:rsid w:val="332172B3"/>
    <w:rsid w:val="335E76D6"/>
    <w:rsid w:val="336B4C6B"/>
    <w:rsid w:val="33827A81"/>
    <w:rsid w:val="339C7A8B"/>
    <w:rsid w:val="33F151B4"/>
    <w:rsid w:val="33F8132E"/>
    <w:rsid w:val="342B245F"/>
    <w:rsid w:val="34313FDB"/>
    <w:rsid w:val="34322222"/>
    <w:rsid w:val="34654D88"/>
    <w:rsid w:val="346A0B53"/>
    <w:rsid w:val="34777DD3"/>
    <w:rsid w:val="349304C9"/>
    <w:rsid w:val="34B94619"/>
    <w:rsid w:val="34DD732F"/>
    <w:rsid w:val="35CB4218"/>
    <w:rsid w:val="366B0438"/>
    <w:rsid w:val="36BA59F1"/>
    <w:rsid w:val="36EB2E5B"/>
    <w:rsid w:val="36F14F79"/>
    <w:rsid w:val="36FD2995"/>
    <w:rsid w:val="370610C1"/>
    <w:rsid w:val="37312868"/>
    <w:rsid w:val="376B0180"/>
    <w:rsid w:val="37D2005A"/>
    <w:rsid w:val="37D40A7B"/>
    <w:rsid w:val="388154B5"/>
    <w:rsid w:val="388630BA"/>
    <w:rsid w:val="38995A84"/>
    <w:rsid w:val="389B66E6"/>
    <w:rsid w:val="38CB7FCC"/>
    <w:rsid w:val="38D72D03"/>
    <w:rsid w:val="39272B14"/>
    <w:rsid w:val="397F5172"/>
    <w:rsid w:val="3991576F"/>
    <w:rsid w:val="39CA4794"/>
    <w:rsid w:val="39E128FB"/>
    <w:rsid w:val="39F95152"/>
    <w:rsid w:val="3A19347C"/>
    <w:rsid w:val="3A4347FA"/>
    <w:rsid w:val="3AD520F6"/>
    <w:rsid w:val="3AEF743E"/>
    <w:rsid w:val="3AFE11B6"/>
    <w:rsid w:val="3B83387A"/>
    <w:rsid w:val="3BC310BB"/>
    <w:rsid w:val="3BC65C62"/>
    <w:rsid w:val="3C050882"/>
    <w:rsid w:val="3C736BEE"/>
    <w:rsid w:val="3D090E86"/>
    <w:rsid w:val="3D0D2A98"/>
    <w:rsid w:val="3D0F3245"/>
    <w:rsid w:val="3D4849D9"/>
    <w:rsid w:val="3D4B4C0D"/>
    <w:rsid w:val="3D8B087E"/>
    <w:rsid w:val="3DD36EB9"/>
    <w:rsid w:val="3DF711CA"/>
    <w:rsid w:val="3E2276DF"/>
    <w:rsid w:val="3E485D55"/>
    <w:rsid w:val="3E600F4D"/>
    <w:rsid w:val="3E604D1C"/>
    <w:rsid w:val="3E8311BF"/>
    <w:rsid w:val="3E8B2EDC"/>
    <w:rsid w:val="3EA2071F"/>
    <w:rsid w:val="3EB96D68"/>
    <w:rsid w:val="3EC14D4F"/>
    <w:rsid w:val="3EC7614F"/>
    <w:rsid w:val="3EEF31C9"/>
    <w:rsid w:val="3F2D7F1D"/>
    <w:rsid w:val="3F5625F5"/>
    <w:rsid w:val="3F884607"/>
    <w:rsid w:val="3F8B126D"/>
    <w:rsid w:val="3F8C670F"/>
    <w:rsid w:val="3FFE24BF"/>
    <w:rsid w:val="402C7EB9"/>
    <w:rsid w:val="406719BC"/>
    <w:rsid w:val="40830896"/>
    <w:rsid w:val="40831992"/>
    <w:rsid w:val="4094194B"/>
    <w:rsid w:val="409D27C1"/>
    <w:rsid w:val="40A727B3"/>
    <w:rsid w:val="40EA497B"/>
    <w:rsid w:val="411628FE"/>
    <w:rsid w:val="41297B0A"/>
    <w:rsid w:val="419171E9"/>
    <w:rsid w:val="41BA3200"/>
    <w:rsid w:val="41BF3F13"/>
    <w:rsid w:val="41C939F0"/>
    <w:rsid w:val="425F66B9"/>
    <w:rsid w:val="427A53B5"/>
    <w:rsid w:val="42AE6E29"/>
    <w:rsid w:val="42DB0237"/>
    <w:rsid w:val="43201E2B"/>
    <w:rsid w:val="43282A85"/>
    <w:rsid w:val="432A25D1"/>
    <w:rsid w:val="434F54E0"/>
    <w:rsid w:val="43802A98"/>
    <w:rsid w:val="43C17EB8"/>
    <w:rsid w:val="43DD2658"/>
    <w:rsid w:val="4420086F"/>
    <w:rsid w:val="44416A11"/>
    <w:rsid w:val="44491F28"/>
    <w:rsid w:val="446A2DC4"/>
    <w:rsid w:val="44755F6D"/>
    <w:rsid w:val="4481170B"/>
    <w:rsid w:val="448C265E"/>
    <w:rsid w:val="44922ECA"/>
    <w:rsid w:val="44D24DCF"/>
    <w:rsid w:val="44FB2C8E"/>
    <w:rsid w:val="45351EEF"/>
    <w:rsid w:val="457A0A90"/>
    <w:rsid w:val="45DF0CF5"/>
    <w:rsid w:val="46067A28"/>
    <w:rsid w:val="463C7304"/>
    <w:rsid w:val="46770C22"/>
    <w:rsid w:val="46775E84"/>
    <w:rsid w:val="468B79EE"/>
    <w:rsid w:val="46986D2E"/>
    <w:rsid w:val="469A4E9B"/>
    <w:rsid w:val="46AE1070"/>
    <w:rsid w:val="46C247A0"/>
    <w:rsid w:val="46F3568F"/>
    <w:rsid w:val="47160070"/>
    <w:rsid w:val="47540B46"/>
    <w:rsid w:val="47616086"/>
    <w:rsid w:val="478A6FA4"/>
    <w:rsid w:val="47B37E7C"/>
    <w:rsid w:val="47F023A4"/>
    <w:rsid w:val="483277B0"/>
    <w:rsid w:val="484877C3"/>
    <w:rsid w:val="484B026A"/>
    <w:rsid w:val="4863249D"/>
    <w:rsid w:val="48686FC2"/>
    <w:rsid w:val="489406EF"/>
    <w:rsid w:val="48B84735"/>
    <w:rsid w:val="48DA6828"/>
    <w:rsid w:val="490B17D1"/>
    <w:rsid w:val="493E56BD"/>
    <w:rsid w:val="494973C5"/>
    <w:rsid w:val="494B16F8"/>
    <w:rsid w:val="496967CB"/>
    <w:rsid w:val="496C22AA"/>
    <w:rsid w:val="496D5E0F"/>
    <w:rsid w:val="49C12329"/>
    <w:rsid w:val="49E419DE"/>
    <w:rsid w:val="49FE37F0"/>
    <w:rsid w:val="4A0170E7"/>
    <w:rsid w:val="4A14595B"/>
    <w:rsid w:val="4A246765"/>
    <w:rsid w:val="4A4869CB"/>
    <w:rsid w:val="4A646F95"/>
    <w:rsid w:val="4A9222EE"/>
    <w:rsid w:val="4AB9165B"/>
    <w:rsid w:val="4AE26F66"/>
    <w:rsid w:val="4AF6759F"/>
    <w:rsid w:val="4B5F6967"/>
    <w:rsid w:val="4B605965"/>
    <w:rsid w:val="4B625875"/>
    <w:rsid w:val="4B6A438E"/>
    <w:rsid w:val="4B986834"/>
    <w:rsid w:val="4BB81A8B"/>
    <w:rsid w:val="4BF60E6E"/>
    <w:rsid w:val="4C0445A4"/>
    <w:rsid w:val="4C104BEA"/>
    <w:rsid w:val="4C9B2C4E"/>
    <w:rsid w:val="4CBA647E"/>
    <w:rsid w:val="4CDB5FE9"/>
    <w:rsid w:val="4CF4784A"/>
    <w:rsid w:val="4D251C32"/>
    <w:rsid w:val="4D6B793A"/>
    <w:rsid w:val="4DB07A6F"/>
    <w:rsid w:val="4DFE13D6"/>
    <w:rsid w:val="4DFF3061"/>
    <w:rsid w:val="4E0C2E71"/>
    <w:rsid w:val="4E3E4EDB"/>
    <w:rsid w:val="4E555B85"/>
    <w:rsid w:val="4ED221F9"/>
    <w:rsid w:val="4EE745A2"/>
    <w:rsid w:val="4EF463C6"/>
    <w:rsid w:val="4F1C60B0"/>
    <w:rsid w:val="4F2D42A4"/>
    <w:rsid w:val="4F7543D9"/>
    <w:rsid w:val="4F9836C5"/>
    <w:rsid w:val="4FB44FB3"/>
    <w:rsid w:val="500B0BF4"/>
    <w:rsid w:val="50557555"/>
    <w:rsid w:val="50655FE3"/>
    <w:rsid w:val="50712DDA"/>
    <w:rsid w:val="50812BCA"/>
    <w:rsid w:val="509414F1"/>
    <w:rsid w:val="50A52903"/>
    <w:rsid w:val="50C11943"/>
    <w:rsid w:val="50E312AD"/>
    <w:rsid w:val="511405A5"/>
    <w:rsid w:val="511C6D99"/>
    <w:rsid w:val="513C03C5"/>
    <w:rsid w:val="51401B56"/>
    <w:rsid w:val="5145165F"/>
    <w:rsid w:val="514E654C"/>
    <w:rsid w:val="517E3342"/>
    <w:rsid w:val="51B723A6"/>
    <w:rsid w:val="51CE7881"/>
    <w:rsid w:val="51D72758"/>
    <w:rsid w:val="52583916"/>
    <w:rsid w:val="525922B8"/>
    <w:rsid w:val="52795F11"/>
    <w:rsid w:val="52B9160A"/>
    <w:rsid w:val="52EC50E0"/>
    <w:rsid w:val="537F5F1B"/>
    <w:rsid w:val="53ED4B80"/>
    <w:rsid w:val="54290CD1"/>
    <w:rsid w:val="54661223"/>
    <w:rsid w:val="54AE5E87"/>
    <w:rsid w:val="555D42B3"/>
    <w:rsid w:val="556442EF"/>
    <w:rsid w:val="55832BDF"/>
    <w:rsid w:val="558F6533"/>
    <w:rsid w:val="55BB62F8"/>
    <w:rsid w:val="55BE18F6"/>
    <w:rsid w:val="55CB4F5E"/>
    <w:rsid w:val="55F31252"/>
    <w:rsid w:val="55FE5199"/>
    <w:rsid w:val="567329FD"/>
    <w:rsid w:val="5687132D"/>
    <w:rsid w:val="56A910AF"/>
    <w:rsid w:val="56DD5323"/>
    <w:rsid w:val="572C5554"/>
    <w:rsid w:val="57401F95"/>
    <w:rsid w:val="57413F59"/>
    <w:rsid w:val="576A68FE"/>
    <w:rsid w:val="57894F27"/>
    <w:rsid w:val="58636056"/>
    <w:rsid w:val="586B69E7"/>
    <w:rsid w:val="587135F6"/>
    <w:rsid w:val="5882493E"/>
    <w:rsid w:val="58924084"/>
    <w:rsid w:val="58A4387B"/>
    <w:rsid w:val="58C84CF9"/>
    <w:rsid w:val="58D0372A"/>
    <w:rsid w:val="58FD584A"/>
    <w:rsid w:val="59184267"/>
    <w:rsid w:val="591C3D97"/>
    <w:rsid w:val="593918CF"/>
    <w:rsid w:val="59550215"/>
    <w:rsid w:val="59574779"/>
    <w:rsid w:val="59AC4A7D"/>
    <w:rsid w:val="59B16E7C"/>
    <w:rsid w:val="59CE5C81"/>
    <w:rsid w:val="59FD451A"/>
    <w:rsid w:val="5A4862B5"/>
    <w:rsid w:val="5A6F5C7A"/>
    <w:rsid w:val="5A875FAE"/>
    <w:rsid w:val="5AD231B6"/>
    <w:rsid w:val="5AE03FD6"/>
    <w:rsid w:val="5AFE010A"/>
    <w:rsid w:val="5B04552A"/>
    <w:rsid w:val="5B27577B"/>
    <w:rsid w:val="5B5D0486"/>
    <w:rsid w:val="5C2717CE"/>
    <w:rsid w:val="5C3F4B8E"/>
    <w:rsid w:val="5C535341"/>
    <w:rsid w:val="5C866785"/>
    <w:rsid w:val="5C9547EF"/>
    <w:rsid w:val="5CC73DEB"/>
    <w:rsid w:val="5CEA0C3E"/>
    <w:rsid w:val="5D5476C5"/>
    <w:rsid w:val="5D5F1EAA"/>
    <w:rsid w:val="5D756002"/>
    <w:rsid w:val="5D7867A7"/>
    <w:rsid w:val="5DC533F2"/>
    <w:rsid w:val="5DE82F92"/>
    <w:rsid w:val="5DEC5812"/>
    <w:rsid w:val="5E282F60"/>
    <w:rsid w:val="5E424F60"/>
    <w:rsid w:val="5E4A1E54"/>
    <w:rsid w:val="5E504417"/>
    <w:rsid w:val="5E832877"/>
    <w:rsid w:val="5EB85B24"/>
    <w:rsid w:val="5ED8005F"/>
    <w:rsid w:val="5EFD5086"/>
    <w:rsid w:val="5EFD7A39"/>
    <w:rsid w:val="5F021CFF"/>
    <w:rsid w:val="5F105A0C"/>
    <w:rsid w:val="5F121831"/>
    <w:rsid w:val="5F254FAE"/>
    <w:rsid w:val="5F2C6569"/>
    <w:rsid w:val="5F3A409A"/>
    <w:rsid w:val="5F53522E"/>
    <w:rsid w:val="5F954B21"/>
    <w:rsid w:val="5FE759B4"/>
    <w:rsid w:val="5FFF0BDE"/>
    <w:rsid w:val="602D6A10"/>
    <w:rsid w:val="604A2DC7"/>
    <w:rsid w:val="608664CE"/>
    <w:rsid w:val="60E24304"/>
    <w:rsid w:val="60E95E90"/>
    <w:rsid w:val="60FB3F1F"/>
    <w:rsid w:val="61153745"/>
    <w:rsid w:val="61575DFD"/>
    <w:rsid w:val="61A50E3B"/>
    <w:rsid w:val="61D04437"/>
    <w:rsid w:val="61E72D7F"/>
    <w:rsid w:val="623B484F"/>
    <w:rsid w:val="624F0BF1"/>
    <w:rsid w:val="62C83AB2"/>
    <w:rsid w:val="62CF297E"/>
    <w:rsid w:val="6325537A"/>
    <w:rsid w:val="63635AF3"/>
    <w:rsid w:val="64152B5B"/>
    <w:rsid w:val="648722C2"/>
    <w:rsid w:val="64961181"/>
    <w:rsid w:val="64993898"/>
    <w:rsid w:val="64CC0E88"/>
    <w:rsid w:val="64EA5BA9"/>
    <w:rsid w:val="65823414"/>
    <w:rsid w:val="659C5182"/>
    <w:rsid w:val="65BC7428"/>
    <w:rsid w:val="65C20B2F"/>
    <w:rsid w:val="65E7257F"/>
    <w:rsid w:val="666174A1"/>
    <w:rsid w:val="666A4B95"/>
    <w:rsid w:val="66D52045"/>
    <w:rsid w:val="66DB6531"/>
    <w:rsid w:val="670E4EE6"/>
    <w:rsid w:val="678437CB"/>
    <w:rsid w:val="67AE6D66"/>
    <w:rsid w:val="67C14857"/>
    <w:rsid w:val="67C61E3A"/>
    <w:rsid w:val="67D2516A"/>
    <w:rsid w:val="680D1730"/>
    <w:rsid w:val="681E6040"/>
    <w:rsid w:val="682D2C45"/>
    <w:rsid w:val="68FF7450"/>
    <w:rsid w:val="69055427"/>
    <w:rsid w:val="6914490F"/>
    <w:rsid w:val="69152812"/>
    <w:rsid w:val="694A0E8E"/>
    <w:rsid w:val="696D2F38"/>
    <w:rsid w:val="69867695"/>
    <w:rsid w:val="69B7239F"/>
    <w:rsid w:val="69E036F1"/>
    <w:rsid w:val="69EA7A2D"/>
    <w:rsid w:val="69F73FD1"/>
    <w:rsid w:val="6A2E57F1"/>
    <w:rsid w:val="6A8E7077"/>
    <w:rsid w:val="6A9047C4"/>
    <w:rsid w:val="6BD34BE1"/>
    <w:rsid w:val="6BE33E79"/>
    <w:rsid w:val="6C032F08"/>
    <w:rsid w:val="6C04546E"/>
    <w:rsid w:val="6C065E35"/>
    <w:rsid w:val="6C4341D3"/>
    <w:rsid w:val="6C634170"/>
    <w:rsid w:val="6C7C519F"/>
    <w:rsid w:val="6C802085"/>
    <w:rsid w:val="6C9218B2"/>
    <w:rsid w:val="6CFB5804"/>
    <w:rsid w:val="6D1B0C98"/>
    <w:rsid w:val="6D4C24A8"/>
    <w:rsid w:val="6D9A75FB"/>
    <w:rsid w:val="6D9B7D4C"/>
    <w:rsid w:val="6DB51520"/>
    <w:rsid w:val="6DEA1196"/>
    <w:rsid w:val="6E6365A8"/>
    <w:rsid w:val="6E6F4973"/>
    <w:rsid w:val="6F1525E2"/>
    <w:rsid w:val="6F2E7519"/>
    <w:rsid w:val="6F3166E8"/>
    <w:rsid w:val="6F4577C0"/>
    <w:rsid w:val="6F617591"/>
    <w:rsid w:val="6F7D4923"/>
    <w:rsid w:val="6F814A5F"/>
    <w:rsid w:val="6FBA6196"/>
    <w:rsid w:val="6FC733EC"/>
    <w:rsid w:val="70011AFB"/>
    <w:rsid w:val="700571D7"/>
    <w:rsid w:val="70181189"/>
    <w:rsid w:val="702F4CBA"/>
    <w:rsid w:val="70CE328E"/>
    <w:rsid w:val="70F26533"/>
    <w:rsid w:val="71044241"/>
    <w:rsid w:val="714F661C"/>
    <w:rsid w:val="716B76B7"/>
    <w:rsid w:val="719D34AA"/>
    <w:rsid w:val="72032E54"/>
    <w:rsid w:val="728A021A"/>
    <w:rsid w:val="728D7DB1"/>
    <w:rsid w:val="72BB5291"/>
    <w:rsid w:val="72D222F7"/>
    <w:rsid w:val="72DF291A"/>
    <w:rsid w:val="72FA666D"/>
    <w:rsid w:val="7308525A"/>
    <w:rsid w:val="73111C47"/>
    <w:rsid w:val="733346AB"/>
    <w:rsid w:val="73F67605"/>
    <w:rsid w:val="74237FFF"/>
    <w:rsid w:val="745878DC"/>
    <w:rsid w:val="7466694E"/>
    <w:rsid w:val="749650EA"/>
    <w:rsid w:val="74BC7849"/>
    <w:rsid w:val="751E0B4E"/>
    <w:rsid w:val="75635073"/>
    <w:rsid w:val="75833071"/>
    <w:rsid w:val="75AC4147"/>
    <w:rsid w:val="75C300D0"/>
    <w:rsid w:val="75CF3A82"/>
    <w:rsid w:val="75EB5E17"/>
    <w:rsid w:val="760D1619"/>
    <w:rsid w:val="761027D1"/>
    <w:rsid w:val="76160225"/>
    <w:rsid w:val="761E5B8F"/>
    <w:rsid w:val="7638389D"/>
    <w:rsid w:val="767F0C45"/>
    <w:rsid w:val="769D75B9"/>
    <w:rsid w:val="76B00150"/>
    <w:rsid w:val="76C10C7C"/>
    <w:rsid w:val="76C5547B"/>
    <w:rsid w:val="76CC6DFB"/>
    <w:rsid w:val="776932D3"/>
    <w:rsid w:val="776F134B"/>
    <w:rsid w:val="777A18E1"/>
    <w:rsid w:val="777E54A2"/>
    <w:rsid w:val="77A37BC1"/>
    <w:rsid w:val="77D73A72"/>
    <w:rsid w:val="77EF3291"/>
    <w:rsid w:val="78357336"/>
    <w:rsid w:val="785356DB"/>
    <w:rsid w:val="786956E6"/>
    <w:rsid w:val="789D3EFA"/>
    <w:rsid w:val="78A528A6"/>
    <w:rsid w:val="78BB3293"/>
    <w:rsid w:val="78DB4A6A"/>
    <w:rsid w:val="799E5663"/>
    <w:rsid w:val="79C16513"/>
    <w:rsid w:val="79CE5393"/>
    <w:rsid w:val="7A0646AE"/>
    <w:rsid w:val="7A2C5922"/>
    <w:rsid w:val="7A5440EE"/>
    <w:rsid w:val="7ABA3A16"/>
    <w:rsid w:val="7AD83200"/>
    <w:rsid w:val="7B187EA9"/>
    <w:rsid w:val="7B5F44B5"/>
    <w:rsid w:val="7B687BF2"/>
    <w:rsid w:val="7B7D2EBE"/>
    <w:rsid w:val="7BAC74B3"/>
    <w:rsid w:val="7C32402C"/>
    <w:rsid w:val="7C983821"/>
    <w:rsid w:val="7CFF40E6"/>
    <w:rsid w:val="7D220B90"/>
    <w:rsid w:val="7D2E1F2F"/>
    <w:rsid w:val="7D380293"/>
    <w:rsid w:val="7D3A06C3"/>
    <w:rsid w:val="7DA87DC9"/>
    <w:rsid w:val="7DBA55A6"/>
    <w:rsid w:val="7DBF49F8"/>
    <w:rsid w:val="7E3E3A76"/>
    <w:rsid w:val="7E5A5D27"/>
    <w:rsid w:val="7E7440E9"/>
    <w:rsid w:val="7E8712CC"/>
    <w:rsid w:val="7F034CBE"/>
    <w:rsid w:val="7F8F5FAE"/>
    <w:rsid w:val="7FC66BBB"/>
    <w:rsid w:val="7FD302A8"/>
    <w:rsid w:val="7FD32E50"/>
    <w:rsid w:val="7FE7211A"/>
    <w:rsid w:val="7FFD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unhideWhenUsed/>
    <w:qFormat/>
    <w:uiPriority w:val="9"/>
    <w:pPr>
      <w:keepNext/>
      <w:keepLines/>
      <w:spacing w:line="416" w:lineRule="auto"/>
      <w:jc w:val="center"/>
      <w:outlineLvl w:val="1"/>
    </w:pPr>
    <w:rPr>
      <w:rFonts w:ascii="Arial" w:hAnsi="Arial" w:eastAsia="黑体"/>
      <w:b/>
      <w:bCs/>
      <w:sz w:val="32"/>
      <w:szCs w:val="32"/>
    </w:rPr>
  </w:style>
  <w:style w:type="paragraph" w:styleId="4">
    <w:name w:val="heading 3"/>
    <w:basedOn w:val="1"/>
    <w:next w:val="5"/>
    <w:unhideWhenUsed/>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5">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2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Normal Indent"/>
    <w:basedOn w:val="1"/>
    <w:unhideWhenUsed/>
    <w:qFormat/>
    <w:uiPriority w:val="0"/>
    <w:pPr>
      <w:ind w:firstLine="420"/>
    </w:pPr>
    <w:rPr>
      <w:szCs w:val="20"/>
    </w:rPr>
  </w:style>
  <w:style w:type="paragraph" w:styleId="6">
    <w:name w:val="Body Text First Indent"/>
    <w:basedOn w:val="7"/>
    <w:link w:val="24"/>
    <w:unhideWhenUsed/>
    <w:qFormat/>
    <w:uiPriority w:val="99"/>
    <w:pPr>
      <w:spacing w:after="0"/>
      <w:ind w:firstLine="420" w:firstLineChars="100"/>
    </w:pPr>
  </w:style>
  <w:style w:type="paragraph" w:styleId="7">
    <w:name w:val="Body Text"/>
    <w:basedOn w:val="1"/>
    <w:link w:val="23"/>
    <w:unhideWhenUsed/>
    <w:qFormat/>
    <w:uiPriority w:val="99"/>
    <w:pPr>
      <w:spacing w:after="120"/>
    </w:pPr>
  </w:style>
  <w:style w:type="paragraph" w:styleId="8">
    <w:name w:val="Body Text Indent"/>
    <w:basedOn w:val="1"/>
    <w:link w:val="25"/>
    <w:unhideWhenUsed/>
    <w:qFormat/>
    <w:uiPriority w:val="99"/>
    <w:pPr>
      <w:spacing w:line="400" w:lineRule="exact"/>
      <w:ind w:left="630"/>
    </w:pPr>
    <w:rPr>
      <w:rFonts w:ascii="楷体_GB2312"/>
      <w:szCs w:val="20"/>
    </w:rPr>
  </w:style>
  <w:style w:type="paragraph" w:styleId="9">
    <w:name w:val="Plain Text"/>
    <w:basedOn w:val="1"/>
    <w:link w:val="26"/>
    <w:qFormat/>
    <w:uiPriority w:val="0"/>
    <w:rPr>
      <w:rFonts w:eastAsia="宋体"/>
      <w:sz w:val="24"/>
    </w:rPr>
  </w:style>
  <w:style w:type="paragraph" w:styleId="10">
    <w:name w:val="Date"/>
    <w:basedOn w:val="1"/>
    <w:next w:val="1"/>
    <w:link w:val="27"/>
    <w:unhideWhenUsed/>
    <w:qFormat/>
    <w:uiPriority w:val="99"/>
    <w:pPr>
      <w:ind w:left="100" w:leftChars="2500"/>
    </w:pPr>
  </w:style>
  <w:style w:type="paragraph" w:styleId="11">
    <w:name w:val="Body Text Indent 2"/>
    <w:basedOn w:val="1"/>
    <w:link w:val="28"/>
    <w:unhideWhenUsed/>
    <w:qFormat/>
    <w:uiPriority w:val="99"/>
    <w:pPr>
      <w:ind w:firstLine="630"/>
    </w:pPr>
    <w:rPr>
      <w:rFonts w:ascii="仿宋_GB2312" w:eastAsia="仿宋_GB2312"/>
      <w:sz w:val="32"/>
      <w:szCs w:val="20"/>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rFonts w:ascii="Calibri" w:hAnsi="Calibri" w:eastAsia="宋体" w:cs="Times New Roman"/>
      <w:sz w:val="24"/>
      <w:szCs w:val="24"/>
    </w:rPr>
  </w:style>
  <w:style w:type="character" w:styleId="16">
    <w:name w:val="page number"/>
    <w:basedOn w:val="15"/>
    <w:unhideWhenUsed/>
    <w:qFormat/>
    <w:uiPriority w:val="99"/>
  </w:style>
  <w:style w:type="character" w:styleId="17">
    <w:name w:val="FollowedHyperlink"/>
    <w:basedOn w:val="15"/>
    <w:unhideWhenUsed/>
    <w:qFormat/>
    <w:uiPriority w:val="99"/>
    <w:rPr>
      <w:color w:val="000000"/>
      <w:u w:val="none"/>
    </w:rPr>
  </w:style>
  <w:style w:type="character" w:styleId="18">
    <w:name w:val="Emphasis"/>
    <w:basedOn w:val="15"/>
    <w:qFormat/>
    <w:uiPriority w:val="20"/>
  </w:style>
  <w:style w:type="character" w:styleId="19">
    <w:name w:val="Hyperlink"/>
    <w:basedOn w:val="15"/>
    <w:unhideWhenUsed/>
    <w:qFormat/>
    <w:uiPriority w:val="99"/>
    <w:rPr>
      <w:color w:val="000000"/>
      <w:u w:val="none"/>
    </w:rPr>
  </w:style>
  <w:style w:type="character" w:customStyle="1" w:styleId="21">
    <w:name w:val="标题 2 Char"/>
    <w:basedOn w:val="15"/>
    <w:link w:val="3"/>
    <w:qFormat/>
    <w:uiPriority w:val="9"/>
    <w:rPr>
      <w:rFonts w:ascii="Arial" w:hAnsi="Arial" w:eastAsia="黑体"/>
      <w:b/>
      <w:bCs/>
      <w:sz w:val="32"/>
      <w:szCs w:val="32"/>
    </w:rPr>
  </w:style>
  <w:style w:type="character" w:customStyle="1" w:styleId="22">
    <w:name w:val="信息标题 Char"/>
    <w:basedOn w:val="15"/>
    <w:link w:val="2"/>
    <w:qFormat/>
    <w:uiPriority w:val="99"/>
    <w:rPr>
      <w:rFonts w:ascii="Arial" w:hAnsi="Arial"/>
      <w:sz w:val="24"/>
      <w:shd w:val="pct20" w:color="auto" w:fill="auto"/>
    </w:rPr>
  </w:style>
  <w:style w:type="character" w:customStyle="1" w:styleId="23">
    <w:name w:val="正文文本 Char"/>
    <w:basedOn w:val="15"/>
    <w:link w:val="7"/>
    <w:semiHidden/>
    <w:qFormat/>
    <w:uiPriority w:val="99"/>
  </w:style>
  <w:style w:type="character" w:customStyle="1" w:styleId="24">
    <w:name w:val="正文首行缩进 Char"/>
    <w:basedOn w:val="23"/>
    <w:link w:val="6"/>
    <w:qFormat/>
    <w:uiPriority w:val="99"/>
  </w:style>
  <w:style w:type="character" w:customStyle="1" w:styleId="25">
    <w:name w:val="正文文本缩进 Char"/>
    <w:basedOn w:val="15"/>
    <w:link w:val="8"/>
    <w:qFormat/>
    <w:uiPriority w:val="99"/>
    <w:rPr>
      <w:rFonts w:ascii="楷体_GB2312"/>
      <w:szCs w:val="20"/>
    </w:rPr>
  </w:style>
  <w:style w:type="character" w:customStyle="1" w:styleId="26">
    <w:name w:val="纯文本 Char"/>
    <w:basedOn w:val="15"/>
    <w:link w:val="9"/>
    <w:qFormat/>
    <w:uiPriority w:val="0"/>
    <w:rPr>
      <w:rFonts w:eastAsia="宋体"/>
      <w:sz w:val="24"/>
    </w:rPr>
  </w:style>
  <w:style w:type="character" w:customStyle="1" w:styleId="27">
    <w:name w:val="日期 Char"/>
    <w:basedOn w:val="15"/>
    <w:link w:val="10"/>
    <w:qFormat/>
    <w:uiPriority w:val="99"/>
  </w:style>
  <w:style w:type="character" w:customStyle="1" w:styleId="28">
    <w:name w:val="正文文本缩进 2 Char"/>
    <w:basedOn w:val="15"/>
    <w:link w:val="11"/>
    <w:qFormat/>
    <w:uiPriority w:val="99"/>
    <w:rPr>
      <w:rFonts w:ascii="仿宋_GB2312" w:eastAsia="仿宋_GB2312"/>
      <w:sz w:val="32"/>
      <w:szCs w:val="20"/>
    </w:rPr>
  </w:style>
  <w:style w:type="character" w:customStyle="1" w:styleId="29">
    <w:name w:val="页脚 Char"/>
    <w:basedOn w:val="15"/>
    <w:link w:val="12"/>
    <w:qFormat/>
    <w:uiPriority w:val="99"/>
    <w:rPr>
      <w:sz w:val="18"/>
      <w:szCs w:val="18"/>
    </w:rPr>
  </w:style>
  <w:style w:type="character" w:customStyle="1" w:styleId="30">
    <w:name w:val="页眉 Char"/>
    <w:basedOn w:val="15"/>
    <w:link w:val="13"/>
    <w:qFormat/>
    <w:uiPriority w:val="99"/>
    <w:rPr>
      <w:sz w:val="18"/>
      <w:szCs w:val="18"/>
    </w:rPr>
  </w:style>
  <w:style w:type="character" w:customStyle="1" w:styleId="31">
    <w:name w:val="正文文本缩进 Char Char"/>
    <w:link w:val="32"/>
    <w:qFormat/>
    <w:uiPriority w:val="0"/>
    <w:rPr>
      <w:rFonts w:ascii="宋体"/>
      <w:sz w:val="24"/>
    </w:rPr>
  </w:style>
  <w:style w:type="paragraph" w:customStyle="1" w:styleId="32">
    <w:name w:val="正文文本缩进1"/>
    <w:basedOn w:val="1"/>
    <w:link w:val="31"/>
    <w:qFormat/>
    <w:uiPriority w:val="0"/>
    <w:pPr>
      <w:spacing w:line="360" w:lineRule="auto"/>
      <w:ind w:firstLine="480" w:firstLineChars="200"/>
    </w:pPr>
    <w:rPr>
      <w:rFonts w:ascii="宋体"/>
      <w:sz w:val="24"/>
    </w:rPr>
  </w:style>
  <w:style w:type="character" w:customStyle="1" w:styleId="33">
    <w:name w:val="日期 Char Char"/>
    <w:link w:val="34"/>
    <w:qFormat/>
    <w:uiPriority w:val="0"/>
    <w:rPr>
      <w:sz w:val="24"/>
    </w:rPr>
  </w:style>
  <w:style w:type="paragraph" w:customStyle="1" w:styleId="34">
    <w:name w:val="日期1"/>
    <w:basedOn w:val="1"/>
    <w:next w:val="1"/>
    <w:link w:val="33"/>
    <w:qFormat/>
    <w:uiPriority w:val="0"/>
    <w:rPr>
      <w:sz w:val="24"/>
    </w:rPr>
  </w:style>
  <w:style w:type="paragraph" w:customStyle="1" w:styleId="35">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styleId="38">
    <w:name w:val="List Paragraph"/>
    <w:basedOn w:val="1"/>
    <w:qFormat/>
    <w:uiPriority w:val="0"/>
    <w:pPr>
      <w:ind w:firstLine="420" w:firstLineChars="200"/>
    </w:pPr>
  </w:style>
  <w:style w:type="character" w:customStyle="1" w:styleId="39">
    <w:name w:val="hover25"/>
    <w:basedOn w:val="15"/>
    <w:qFormat/>
    <w:uiPriority w:val="0"/>
  </w:style>
  <w:style w:type="character" w:customStyle="1" w:styleId="40">
    <w:name w:val="red"/>
    <w:basedOn w:val="15"/>
    <w:qFormat/>
    <w:uiPriority w:val="0"/>
    <w:rPr>
      <w:color w:val="FF0000"/>
      <w:sz w:val="18"/>
      <w:szCs w:val="18"/>
    </w:rPr>
  </w:style>
  <w:style w:type="character" w:customStyle="1" w:styleId="41">
    <w:name w:val="red1"/>
    <w:basedOn w:val="15"/>
    <w:qFormat/>
    <w:uiPriority w:val="0"/>
    <w:rPr>
      <w:color w:val="FF0000"/>
      <w:sz w:val="18"/>
      <w:szCs w:val="18"/>
    </w:rPr>
  </w:style>
  <w:style w:type="character" w:customStyle="1" w:styleId="42">
    <w:name w:val="red2"/>
    <w:basedOn w:val="15"/>
    <w:qFormat/>
    <w:uiPriority w:val="0"/>
    <w:rPr>
      <w:color w:val="FF0000"/>
    </w:rPr>
  </w:style>
  <w:style w:type="character" w:customStyle="1" w:styleId="43">
    <w:name w:val="green"/>
    <w:basedOn w:val="15"/>
    <w:uiPriority w:val="0"/>
    <w:rPr>
      <w:color w:val="66AE00"/>
      <w:sz w:val="18"/>
      <w:szCs w:val="18"/>
    </w:rPr>
  </w:style>
  <w:style w:type="character" w:customStyle="1" w:styleId="44">
    <w:name w:val="green1"/>
    <w:basedOn w:val="15"/>
    <w:qFormat/>
    <w:uiPriority w:val="0"/>
    <w:rPr>
      <w:color w:val="66AE00"/>
      <w:sz w:val="18"/>
      <w:szCs w:val="18"/>
    </w:rPr>
  </w:style>
  <w:style w:type="character" w:customStyle="1" w:styleId="45">
    <w:name w:val="gb-jt"/>
    <w:basedOn w:val="15"/>
    <w:uiPriority w:val="0"/>
  </w:style>
  <w:style w:type="character" w:customStyle="1" w:styleId="46">
    <w:name w:val="right"/>
    <w:basedOn w:val="15"/>
    <w:qFormat/>
    <w:uiPriority w:val="0"/>
    <w:rPr>
      <w:color w:val="999999"/>
      <w:sz w:val="18"/>
      <w:szCs w:val="18"/>
    </w:rPr>
  </w:style>
  <w:style w:type="character" w:customStyle="1" w:styleId="47">
    <w:name w:val="blue"/>
    <w:basedOn w:val="15"/>
    <w:qFormat/>
    <w:uiPriority w:val="0"/>
    <w:rPr>
      <w:color w:val="0371C6"/>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Surface Deployment Accelerator</Company>
  <Pages>1</Pages>
  <Words>2151</Words>
  <Characters>12267</Characters>
  <Lines>102</Lines>
  <Paragraphs>28</Paragraphs>
  <ScaleCrop>false</ScaleCrop>
  <LinksUpToDate>false</LinksUpToDate>
  <CharactersWithSpaces>14390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Administrator</dc:creator>
  <cp:lastModifiedBy>Administrator</cp:lastModifiedBy>
  <cp:lastPrinted>2017-12-26T00:30:00Z</cp:lastPrinted>
  <dcterms:modified xsi:type="dcterms:W3CDTF">2017-12-27T07:49:58Z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