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wordWrap w:val="0"/>
        <w:spacing w:line="270" w:lineRule="atLeast"/>
        <w:jc w:val="center"/>
        <w:rPr>
          <w:rStyle w:val="10"/>
          <w:rFonts w:ascii="宋体" w:hAnsi="宋体" w:eastAsia="宋体" w:cs="宋体"/>
          <w:sz w:val="43"/>
          <w:szCs w:val="43"/>
          <w:shd w:val="clear" w:color="auto" w:fill="FFFFFF"/>
        </w:rPr>
      </w:pPr>
      <w:r>
        <w:rPr>
          <w:rStyle w:val="10"/>
          <w:rFonts w:hint="eastAsia" w:ascii="宋体" w:hAnsi="宋体" w:eastAsia="宋体" w:cs="宋体"/>
          <w:sz w:val="43"/>
          <w:szCs w:val="43"/>
          <w:shd w:val="clear" w:color="auto" w:fill="FFFFFF"/>
        </w:rPr>
        <w:t>许昌市住房和城乡建设局“瑞贝卡大道与阳光大道连通工程铁路单元工程监理”</w:t>
      </w:r>
    </w:p>
    <w:p>
      <w:pPr>
        <w:pStyle w:val="8"/>
        <w:widowControl/>
        <w:shd w:val="clear" w:color="auto" w:fill="FFFFFF"/>
        <w:wordWrap w:val="0"/>
        <w:spacing w:line="270" w:lineRule="atLeast"/>
        <w:jc w:val="center"/>
        <w:rPr>
          <w:rFonts w:ascii="����" w:hAnsi="����" w:eastAsia="����" w:cs="����"/>
          <w:sz w:val="18"/>
          <w:szCs w:val="18"/>
        </w:rPr>
      </w:pPr>
      <w:r>
        <w:rPr>
          <w:rStyle w:val="10"/>
          <w:rFonts w:hint="eastAsia" w:ascii="宋体" w:hAnsi="宋体" w:eastAsia="宋体" w:cs="宋体"/>
          <w:sz w:val="43"/>
          <w:szCs w:val="43"/>
          <w:shd w:val="clear" w:color="auto" w:fill="FFFFFF"/>
        </w:rPr>
        <w:t>采购需求</w:t>
      </w:r>
    </w:p>
    <w:p>
      <w:pPr>
        <w:spacing w:line="360" w:lineRule="auto"/>
        <w:ind w:firstLine="602" w:firstLineChars="200"/>
        <w:rPr>
          <w:rFonts w:ascii="黑体" w:hAnsi="宋体" w:eastAsia="黑体" w:cs="黑体"/>
          <w:sz w:val="31"/>
          <w:szCs w:val="31"/>
          <w:shd w:val="clear" w:color="auto" w:fill="FFFFFF"/>
        </w:rPr>
      </w:pPr>
      <w:r>
        <w:rPr>
          <w:rFonts w:hint="eastAsia" w:ascii="宋体" w:hAnsi="宋体"/>
          <w:b/>
          <w:sz w:val="30"/>
          <w:szCs w:val="30"/>
        </w:rPr>
        <w:t>一、</w:t>
      </w:r>
      <w:r>
        <w:rPr>
          <w:rFonts w:ascii="黑体" w:hAnsi="宋体" w:eastAsia="黑体" w:cs="黑体"/>
          <w:sz w:val="31"/>
          <w:szCs w:val="31"/>
          <w:shd w:val="clear" w:color="auto" w:fill="FFFFFF"/>
        </w:rPr>
        <w:t>投标条件</w:t>
      </w:r>
    </w:p>
    <w:p>
      <w:pPr>
        <w:snapToGrid w:val="0"/>
        <w:spacing w:line="360" w:lineRule="auto"/>
        <w:ind w:firstLine="560" w:firstLineChars="200"/>
        <w:rPr>
          <w:rFonts w:ascii="宋体" w:hAnsi="宋体"/>
          <w:sz w:val="28"/>
          <w:szCs w:val="28"/>
        </w:rPr>
      </w:pPr>
      <w:r>
        <w:rPr>
          <w:rFonts w:hint="eastAsia" w:ascii="宋体" w:hAnsi="宋体"/>
          <w:sz w:val="28"/>
          <w:szCs w:val="28"/>
        </w:rPr>
        <w:t>1.符合《政府采购法》第二十二条之规定；</w:t>
      </w:r>
    </w:p>
    <w:p>
      <w:pPr>
        <w:snapToGrid w:val="0"/>
        <w:spacing w:line="360" w:lineRule="auto"/>
        <w:ind w:firstLine="560" w:firstLineChars="200"/>
        <w:rPr>
          <w:rFonts w:ascii="宋体" w:hAnsi="宋体"/>
          <w:sz w:val="28"/>
          <w:szCs w:val="28"/>
        </w:rPr>
      </w:pPr>
      <w:r>
        <w:rPr>
          <w:rFonts w:hint="eastAsia" w:ascii="宋体" w:hAnsi="宋体"/>
          <w:sz w:val="28"/>
          <w:szCs w:val="28"/>
        </w:rPr>
        <w:t>2.要求投标人须具备建设主管部门核发的铁路工程乙级及以上监理企业资质或工程监理综合资质；</w:t>
      </w:r>
    </w:p>
    <w:p>
      <w:pPr>
        <w:snapToGrid w:val="0"/>
        <w:spacing w:line="360" w:lineRule="auto"/>
        <w:ind w:firstLine="560" w:firstLineChars="200"/>
        <w:rPr>
          <w:rFonts w:ascii="宋体" w:hAnsi="宋体"/>
          <w:sz w:val="28"/>
          <w:szCs w:val="28"/>
        </w:rPr>
      </w:pPr>
      <w:r>
        <w:rPr>
          <w:rFonts w:hint="eastAsia" w:ascii="宋体" w:hAnsi="宋体"/>
          <w:sz w:val="28"/>
          <w:szCs w:val="28"/>
        </w:rPr>
        <w:t>3.拟派项目总监（以下简称“总监”）须具备铁路工程专业或市政公用工程国家注册监理工程师执业资格且其注册单位与拟投标单位一致；</w:t>
      </w:r>
    </w:p>
    <w:p>
      <w:pPr>
        <w:snapToGrid w:val="0"/>
        <w:spacing w:line="360" w:lineRule="auto"/>
        <w:ind w:firstLine="560" w:firstLineChars="200"/>
        <w:rPr>
          <w:rFonts w:ascii="宋体" w:hAnsi="宋体"/>
          <w:sz w:val="28"/>
          <w:szCs w:val="28"/>
        </w:rPr>
      </w:pPr>
      <w:r>
        <w:rPr>
          <w:rFonts w:hint="eastAsia" w:ascii="宋体" w:hAnsi="宋体"/>
          <w:sz w:val="28"/>
          <w:szCs w:val="28"/>
        </w:rPr>
        <w:t>4.拟派项目总监不允许有其他在监项目</w:t>
      </w:r>
    </w:p>
    <w:p>
      <w:pPr>
        <w:snapToGrid w:val="0"/>
        <w:spacing w:line="360" w:lineRule="auto"/>
        <w:ind w:firstLine="560" w:firstLineChars="200"/>
        <w:rPr>
          <w:rFonts w:ascii="宋体" w:hAnsi="宋体"/>
          <w:sz w:val="28"/>
          <w:szCs w:val="28"/>
        </w:rPr>
      </w:pPr>
      <w:r>
        <w:rPr>
          <w:rFonts w:hint="eastAsia" w:ascii="宋体" w:hAnsi="宋体"/>
          <w:sz w:val="28"/>
          <w:szCs w:val="28"/>
        </w:rPr>
        <w:t>5.本项目不接受联合体投标；</w:t>
      </w:r>
    </w:p>
    <w:p>
      <w:pPr>
        <w:spacing w:line="360" w:lineRule="auto"/>
        <w:ind w:firstLine="602" w:firstLineChars="200"/>
        <w:rPr>
          <w:rFonts w:ascii="宋体" w:hAnsi="宋体"/>
          <w:b/>
          <w:sz w:val="30"/>
          <w:szCs w:val="30"/>
        </w:rPr>
      </w:pPr>
      <w:r>
        <w:rPr>
          <w:rFonts w:hint="eastAsia" w:ascii="宋体" w:hAnsi="宋体"/>
          <w:b/>
          <w:sz w:val="30"/>
          <w:szCs w:val="30"/>
        </w:rPr>
        <w:t>二、</w:t>
      </w:r>
      <w:r>
        <w:rPr>
          <w:rFonts w:hint="eastAsia" w:ascii="宋体" w:hAnsi="宋体"/>
          <w:b/>
          <w:sz w:val="30"/>
          <w:szCs w:val="30"/>
          <w:lang w:val="en-US" w:eastAsia="zh-CN"/>
        </w:rPr>
        <w:t>项目需求</w:t>
      </w:r>
      <w:r>
        <w:rPr>
          <w:rFonts w:hint="eastAsia" w:ascii="宋体" w:hAnsi="宋体"/>
          <w:b/>
          <w:sz w:val="30"/>
          <w:szCs w:val="30"/>
        </w:rPr>
        <w:t>及其它要求</w:t>
      </w:r>
    </w:p>
    <w:p>
      <w:pPr>
        <w:spacing w:line="360" w:lineRule="auto"/>
        <w:ind w:firstLine="602" w:firstLineChars="200"/>
        <w:rPr>
          <w:rFonts w:ascii="宋体" w:hAnsi="宋体"/>
          <w:b/>
          <w:sz w:val="30"/>
          <w:szCs w:val="30"/>
        </w:rPr>
      </w:pPr>
      <w:r>
        <w:rPr>
          <w:rFonts w:hint="eastAsia" w:ascii="宋体" w:hAnsi="宋体"/>
          <w:b/>
          <w:sz w:val="30"/>
          <w:szCs w:val="30"/>
        </w:rPr>
        <w:t>（一）</w:t>
      </w:r>
      <w:r>
        <w:rPr>
          <w:rFonts w:hint="eastAsia" w:ascii="宋体" w:hAnsi="宋体"/>
          <w:b/>
          <w:sz w:val="30"/>
          <w:szCs w:val="30"/>
          <w:lang w:val="en-US" w:eastAsia="zh-CN"/>
        </w:rPr>
        <w:t>项目需求</w:t>
      </w:r>
      <w:bookmarkStart w:id="0" w:name="_GoBack"/>
      <w:bookmarkEnd w:id="0"/>
    </w:p>
    <w:p>
      <w:pPr>
        <w:spacing w:line="360" w:lineRule="auto"/>
        <w:ind w:firstLine="560" w:firstLineChars="200"/>
        <w:rPr>
          <w:rFonts w:ascii="宋体" w:hAnsi="宋体"/>
          <w:sz w:val="28"/>
          <w:szCs w:val="28"/>
        </w:rPr>
      </w:pPr>
      <w:r>
        <w:rPr>
          <w:rFonts w:hint="eastAsia" w:ascii="宋体" w:hAnsi="宋体"/>
          <w:sz w:val="28"/>
          <w:szCs w:val="28"/>
        </w:rPr>
        <w:t>1、项目概况：瑞贝卡大道与阳光大道连通工程铁路单元位于许昌市魏都区、经济开发区，规划为城市主干路。道路西起兴华路，向东分别与五里岗路、丰产路、京广铁路、仓库路相交，全长1.296km。本项目实施时，按照铁路与市政两个单元来划分，本次工程范围为铁路单元，起讫桩号：KO+942.5~K1+021.88，包含路基路面、下穿京广铁路框架桥主体、防护涵、防护工程及铁路通信、信号、电力、电气化等铁路设备的改迁、防护和过渡等工程；</w:t>
      </w:r>
    </w:p>
    <w:p>
      <w:pPr>
        <w:spacing w:line="360" w:lineRule="auto"/>
        <w:ind w:firstLine="560" w:firstLineChars="200"/>
        <w:rPr>
          <w:rFonts w:ascii="宋体" w:hAnsi="宋体"/>
          <w:sz w:val="28"/>
          <w:szCs w:val="28"/>
        </w:rPr>
      </w:pPr>
      <w:r>
        <w:rPr>
          <w:rFonts w:hint="eastAsia" w:ascii="宋体" w:hAnsi="宋体"/>
          <w:sz w:val="28"/>
          <w:szCs w:val="28"/>
        </w:rPr>
        <w:t>2、项目需求：本工程项目施工准备期、施工期、竣工验收结算期、质量保修期全过程监理服务（包含质量、进度、投资及安全控制，信息和合同管理及组织协调等相关工作）；</w:t>
      </w:r>
    </w:p>
    <w:p>
      <w:pPr>
        <w:autoSpaceDE w:val="0"/>
        <w:autoSpaceDN w:val="0"/>
        <w:adjustRightInd w:val="0"/>
        <w:snapToGrid w:val="0"/>
        <w:spacing w:line="360" w:lineRule="auto"/>
        <w:ind w:firstLine="643" w:firstLineChars="200"/>
        <w:rPr>
          <w:rFonts w:ascii="仿宋" w:hAnsi="仿宋" w:eastAsia="仿宋" w:cs="仿宋_GB2312"/>
          <w:b/>
          <w:color w:val="000000"/>
          <w:sz w:val="32"/>
          <w:szCs w:val="32"/>
        </w:rPr>
      </w:pPr>
      <w:r>
        <w:rPr>
          <w:rFonts w:hint="eastAsia" w:ascii="仿宋" w:hAnsi="仿宋" w:eastAsia="仿宋" w:cs="仿宋_GB2312"/>
          <w:b/>
          <w:color w:val="000000"/>
          <w:sz w:val="32"/>
          <w:szCs w:val="32"/>
        </w:rPr>
        <w:t>（</w:t>
      </w:r>
      <w:r>
        <w:rPr>
          <w:rFonts w:hint="eastAsia" w:ascii="仿宋" w:hAnsi="仿宋" w:eastAsia="仿宋" w:cs="仿宋_GB2312"/>
          <w:b/>
          <w:color w:val="000000"/>
          <w:sz w:val="32"/>
          <w:szCs w:val="32"/>
          <w:lang w:val="en-US" w:eastAsia="zh-CN"/>
        </w:rPr>
        <w:t>二</w:t>
      </w:r>
      <w:r>
        <w:rPr>
          <w:rFonts w:hint="eastAsia" w:ascii="仿宋" w:hAnsi="仿宋" w:eastAsia="仿宋" w:cs="仿宋_GB2312"/>
          <w:b/>
          <w:color w:val="000000"/>
          <w:sz w:val="32"/>
          <w:szCs w:val="32"/>
        </w:rPr>
        <w:t>）其他要求</w:t>
      </w:r>
    </w:p>
    <w:p>
      <w:pPr>
        <w:spacing w:line="360" w:lineRule="auto"/>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、项目实施地点：瑞贝卡大道与阳光大道连通处；</w:t>
      </w:r>
    </w:p>
    <w:p>
      <w:pPr>
        <w:spacing w:line="360" w:lineRule="auto"/>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、监理服务期：接招标单位书面通知起至质量保修期结束；</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、踏勘现场</w:t>
      </w:r>
      <w:r>
        <w:rPr>
          <w:rFonts w:hint="eastAsia" w:ascii="宋体" w:hAnsi="宋体"/>
          <w:sz w:val="28"/>
          <w:szCs w:val="28"/>
          <w:lang w:eastAsia="zh-CN"/>
        </w:rPr>
        <w:t>：</w:t>
      </w:r>
      <w:r>
        <w:rPr>
          <w:rFonts w:hint="eastAsia" w:ascii="宋体" w:hAnsi="宋体"/>
          <w:sz w:val="28"/>
          <w:szCs w:val="28"/>
          <w:lang w:val="en-US" w:eastAsia="zh-CN"/>
        </w:rPr>
        <w:t>由投标人自行勘察。</w:t>
      </w:r>
    </w:p>
    <w:p>
      <w:pPr>
        <w:spacing w:line="360" w:lineRule="auto"/>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预算金额：490000元（</w:t>
      </w:r>
      <w:r>
        <w:rPr>
          <w:rFonts w:hint="eastAsia" w:ascii="宋体" w:hAnsi="宋体"/>
          <w:sz w:val="28"/>
          <w:szCs w:val="28"/>
        </w:rPr>
        <w:t>最高限价：490000元</w:t>
      </w:r>
      <w:r>
        <w:rPr>
          <w:rFonts w:hint="eastAsia" w:ascii="宋体" w:hAnsi="宋体"/>
          <w:sz w:val="28"/>
          <w:szCs w:val="28"/>
          <w:lang w:val="en-US" w:eastAsia="zh-CN"/>
        </w:rPr>
        <w:t>）</w:t>
      </w:r>
      <w:r>
        <w:rPr>
          <w:rFonts w:hint="eastAsia" w:ascii="宋体" w:hAnsi="宋体"/>
          <w:sz w:val="28"/>
          <w:szCs w:val="28"/>
        </w:rPr>
        <w:t>，超出者为无效投标。</w:t>
      </w:r>
    </w:p>
    <w:p>
      <w:pPr>
        <w:spacing w:line="360" w:lineRule="auto"/>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、付款方式（不响应者为无效投标）</w:t>
      </w:r>
    </w:p>
    <w:p>
      <w:pPr>
        <w:spacing w:line="360" w:lineRule="auto"/>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.1工程完成50%，支付合同总价款的50%；</w:t>
      </w:r>
    </w:p>
    <w:p>
      <w:pPr>
        <w:spacing w:line="360" w:lineRule="auto"/>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.2 工程完成100%，支付合同总价款的40%；</w:t>
      </w:r>
    </w:p>
    <w:p>
      <w:pPr>
        <w:pStyle w:val="26"/>
        <w:numPr>
          <w:ilvl w:val="0"/>
          <w:numId w:val="0"/>
        </w:numPr>
        <w:spacing w:line="360" w:lineRule="auto"/>
        <w:ind w:left="560" w:leftChars="0"/>
        <w:rPr>
          <w:rFonts w:ascii="宋体" w:hAnsi="宋体"/>
          <w:sz w:val="28"/>
          <w:szCs w:val="28"/>
        </w:rPr>
      </w:pPr>
      <w:r>
        <w:rPr>
          <w:rFonts w:hint="eastAsia" w:ascii="宋体" w:hAnsi="宋体"/>
          <w:sz w:val="28"/>
          <w:szCs w:val="28"/>
          <w:lang w:val="en-US" w:eastAsia="zh-CN"/>
        </w:rPr>
        <w:t>5.3</w:t>
      </w:r>
      <w:r>
        <w:rPr>
          <w:rFonts w:hint="eastAsia" w:ascii="宋体" w:hAnsi="宋体"/>
          <w:sz w:val="28"/>
          <w:szCs w:val="28"/>
        </w:rPr>
        <w:t>本项目缺陷责任期满1年后30日内，支付剩余的监理服务费。</w:t>
      </w:r>
    </w:p>
    <w:p>
      <w:pPr>
        <w:autoSpaceDE w:val="0"/>
        <w:autoSpaceDN w:val="0"/>
        <w:adjustRightInd w:val="0"/>
        <w:snapToGrid w:val="0"/>
        <w:spacing w:line="360" w:lineRule="auto"/>
        <w:ind w:firstLine="560" w:firstLineChars="200"/>
        <w:rPr>
          <w:rFonts w:hint="eastAsia" w:ascii="宋体" w:hAnsi="宋体" w:eastAsiaTheme="minorEastAsia" w:cstheme="minorBidi"/>
          <w:kern w:val="2"/>
          <w:sz w:val="28"/>
          <w:szCs w:val="28"/>
          <w:lang w:val="en-US" w:eastAsia="zh-CN" w:bidi="ar-SA"/>
        </w:rPr>
      </w:pPr>
      <w:r>
        <w:rPr>
          <w:rFonts w:hint="eastAsia" w:ascii="宋体" w:hAnsi="宋体" w:cstheme="minorBidi"/>
          <w:kern w:val="2"/>
          <w:sz w:val="28"/>
          <w:szCs w:val="28"/>
          <w:lang w:val="en-US" w:eastAsia="zh-CN" w:bidi="ar-SA"/>
        </w:rPr>
        <w:t>6、</w:t>
      </w:r>
      <w:r>
        <w:rPr>
          <w:rFonts w:hint="eastAsia" w:ascii="宋体" w:hAnsi="宋体" w:eastAsiaTheme="minorEastAsia" w:cstheme="minorBidi"/>
          <w:kern w:val="2"/>
          <w:sz w:val="28"/>
          <w:szCs w:val="28"/>
          <w:lang w:val="en-US" w:eastAsia="zh-CN" w:bidi="ar-SA"/>
        </w:rPr>
        <w:t>验收标准（质量控制目标）</w:t>
      </w:r>
    </w:p>
    <w:p>
      <w:pPr>
        <w:spacing w:line="360" w:lineRule="auto"/>
        <w:ind w:firstLine="560" w:firstLineChars="200"/>
        <w:rPr>
          <w:rFonts w:hint="eastAsia" w:ascii="宋体" w:hAnsi="宋体"/>
          <w:b/>
          <w:sz w:val="28"/>
          <w:szCs w:val="28"/>
        </w:rPr>
      </w:pPr>
      <w:r>
        <w:rPr>
          <w:rFonts w:hint="eastAsia" w:ascii="宋体" w:hAnsi="宋体"/>
          <w:sz w:val="28"/>
          <w:szCs w:val="28"/>
        </w:rPr>
        <w:t>合格（符合国家现行的验收规范和标准</w:t>
      </w:r>
      <w:r>
        <w:rPr>
          <w:rFonts w:hint="eastAsia" w:ascii="宋体" w:hAnsi="宋体"/>
          <w:sz w:val="28"/>
          <w:szCs w:val="28"/>
          <w:lang w:eastAsia="zh-CN"/>
        </w:rPr>
        <w:t>，</w:t>
      </w:r>
      <w:r>
        <w:rPr>
          <w:rFonts w:hint="eastAsia" w:ascii="宋体" w:hAnsi="宋体"/>
          <w:sz w:val="28"/>
          <w:szCs w:val="28"/>
          <w:lang w:val="en-US" w:eastAsia="zh-CN"/>
        </w:rPr>
        <w:t>由采购人或采购代理机构组织项目验收，验收过程中采购人</w:t>
      </w:r>
      <w:r>
        <w:rPr>
          <w:rFonts w:hint="eastAsia" w:ascii="宋体" w:hAnsi="宋体"/>
          <w:sz w:val="28"/>
          <w:szCs w:val="28"/>
        </w:rPr>
        <w:t>将安排相关人员和纪检监察人员全程予以配合和监督）。</w:t>
      </w:r>
    </w:p>
    <w:p>
      <w:pPr>
        <w:spacing w:line="360" w:lineRule="auto"/>
        <w:ind w:firstLine="562" w:firstLineChars="200"/>
        <w:rPr>
          <w:rFonts w:ascii="宋体" w:hAnsi="宋体"/>
          <w:b/>
          <w:sz w:val="28"/>
          <w:szCs w:val="28"/>
        </w:rPr>
      </w:pPr>
      <w:r>
        <w:rPr>
          <w:rFonts w:hint="eastAsia" w:ascii="宋体" w:hAnsi="宋体"/>
          <w:b/>
          <w:sz w:val="28"/>
          <w:szCs w:val="28"/>
        </w:rPr>
        <w:t>三、评分标准</w:t>
      </w:r>
    </w:p>
    <w:p>
      <w:pPr>
        <w:spacing w:line="360" w:lineRule="auto"/>
        <w:ind w:firstLine="560" w:firstLineChars="200"/>
        <w:rPr>
          <w:rFonts w:ascii="宋体" w:hAnsi="宋体"/>
          <w:sz w:val="28"/>
          <w:szCs w:val="28"/>
        </w:rPr>
      </w:pPr>
      <w:r>
        <w:rPr>
          <w:rFonts w:hint="eastAsia" w:ascii="宋体" w:hAnsi="宋体"/>
          <w:sz w:val="28"/>
          <w:szCs w:val="28"/>
        </w:rPr>
        <w:t>采购综合评分法，满分100分。</w:t>
      </w:r>
    </w:p>
    <w:p>
      <w:pPr>
        <w:spacing w:line="360" w:lineRule="auto"/>
        <w:ind w:firstLine="482" w:firstLineChars="200"/>
        <w:rPr>
          <w:rFonts w:ascii="宋体" w:hAnsi="宋体"/>
          <w:b/>
          <w:sz w:val="24"/>
        </w:rPr>
      </w:pPr>
      <w:r>
        <w:rPr>
          <w:rFonts w:hint="eastAsia" w:ascii="宋体" w:hAnsi="宋体"/>
          <w:b/>
          <w:sz w:val="24"/>
        </w:rPr>
        <w:t>（一）信誉（10分）</w:t>
      </w:r>
    </w:p>
    <w:p>
      <w:pPr>
        <w:widowControl/>
        <w:spacing w:line="384" w:lineRule="auto"/>
        <w:ind w:firstLine="560" w:firstLineChars="200"/>
        <w:jc w:val="left"/>
        <w:rPr>
          <w:rFonts w:ascii="宋体" w:hAnsi="宋体"/>
          <w:sz w:val="28"/>
          <w:szCs w:val="28"/>
        </w:rPr>
      </w:pPr>
      <w:r>
        <w:rPr>
          <w:rFonts w:hint="eastAsia" w:ascii="宋体" w:hAnsi="宋体"/>
          <w:sz w:val="28"/>
          <w:szCs w:val="28"/>
        </w:rPr>
        <w:t>1.监理企业：2012年10月1日以来，获得过建设行政主管部门或行业协会颁发的优秀监理企业的，省级及以上的得4分，市级的得2分，本项不累计，只计最高分，最高得4分。(需提供原件，获奖工程以获奖证书或获奖文件落款日期为准，优秀监理企业的认定时间以获奖年度为准)。</w:t>
      </w:r>
    </w:p>
    <w:p>
      <w:pPr>
        <w:widowControl/>
        <w:spacing w:line="384" w:lineRule="auto"/>
        <w:ind w:firstLine="560" w:firstLineChars="200"/>
        <w:jc w:val="left"/>
        <w:rPr>
          <w:rFonts w:ascii="宋体" w:hAnsi="宋体"/>
          <w:sz w:val="28"/>
          <w:szCs w:val="28"/>
        </w:rPr>
      </w:pPr>
      <w:r>
        <w:rPr>
          <w:rFonts w:hint="eastAsia" w:ascii="宋体" w:hAnsi="宋体"/>
          <w:sz w:val="28"/>
          <w:szCs w:val="28"/>
        </w:rPr>
        <w:t>2.总监理工程师：2012年10月1日以来获得省级优秀项目总监奖项的得4分，市级的得2分，满分4分，本项不累计，只计最高分（须提供证书和同级奖励文件原件，获奖工程以获奖证书或获奖文件落款日期为准，优秀项目总监奖项的认定时间以获奖年度为准）。</w:t>
      </w:r>
    </w:p>
    <w:p>
      <w:pPr>
        <w:wordWrap w:val="0"/>
        <w:spacing w:line="360" w:lineRule="auto"/>
        <w:ind w:firstLine="700" w:firstLineChars="250"/>
        <w:rPr>
          <w:rFonts w:ascii="宋体" w:hAnsi="宋体"/>
          <w:sz w:val="28"/>
          <w:szCs w:val="28"/>
        </w:rPr>
      </w:pPr>
      <w:r>
        <w:rPr>
          <w:rFonts w:hint="eastAsia" w:ascii="宋体" w:hAnsi="宋体"/>
          <w:sz w:val="28"/>
          <w:szCs w:val="28"/>
        </w:rPr>
        <w:t>3.投标人须提供工商企业信用信息公示报告【国家企业信用信息公示系统</w:t>
      </w:r>
      <w:r>
        <w:rPr>
          <w:rFonts w:hint="eastAsia" w:ascii="宋体" w:hAnsi="宋体"/>
          <w:sz w:val="28"/>
          <w:szCs w:val="28"/>
        </w:rPr>
        <w:fldChar w:fldCharType="begin"/>
      </w:r>
      <w:r>
        <w:rPr>
          <w:rFonts w:hint="eastAsia" w:ascii="宋体" w:hAnsi="宋体"/>
          <w:sz w:val="28"/>
          <w:szCs w:val="28"/>
        </w:rPr>
        <w:instrText xml:space="preserve">HYPERLINK "http://www.gsxt.gov.cn"</w:instrText>
      </w:r>
      <w:r>
        <w:rPr>
          <w:rFonts w:hint="eastAsia" w:ascii="宋体" w:hAnsi="宋体"/>
          <w:sz w:val="28"/>
          <w:szCs w:val="28"/>
        </w:rPr>
        <w:fldChar w:fldCharType="separate"/>
      </w:r>
      <w:r>
        <w:rPr>
          <w:rFonts w:hint="eastAsia" w:ascii="宋体" w:hAnsi="宋体"/>
          <w:sz w:val="28"/>
          <w:szCs w:val="28"/>
        </w:rPr>
        <w:t>http://www.gsxt.gov.cn</w:t>
      </w:r>
      <w:r>
        <w:rPr>
          <w:rFonts w:hint="eastAsia" w:ascii="宋体" w:hAnsi="宋体"/>
          <w:sz w:val="28"/>
          <w:szCs w:val="28"/>
        </w:rPr>
        <w:fldChar w:fldCharType="end"/>
      </w:r>
      <w:r>
        <w:rPr>
          <w:rFonts w:hint="eastAsia" w:ascii="宋体" w:hAnsi="宋体"/>
          <w:sz w:val="28"/>
          <w:szCs w:val="28"/>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p>
      <w:pPr>
        <w:spacing w:line="360" w:lineRule="auto"/>
        <w:ind w:firstLine="482" w:firstLineChars="200"/>
        <w:rPr>
          <w:rFonts w:ascii="宋体" w:hAnsi="宋体"/>
          <w:b/>
          <w:sz w:val="24"/>
        </w:rPr>
      </w:pPr>
      <w:r>
        <w:rPr>
          <w:rFonts w:hint="eastAsia" w:ascii="宋体" w:hAnsi="宋体"/>
          <w:b/>
          <w:sz w:val="24"/>
        </w:rPr>
        <w:t>（二）项目管理方案（20分）</w:t>
      </w:r>
    </w:p>
    <w:p>
      <w:pPr>
        <w:widowControl/>
        <w:spacing w:line="384" w:lineRule="auto"/>
        <w:ind w:firstLine="560" w:firstLineChars="200"/>
        <w:jc w:val="left"/>
        <w:rPr>
          <w:rFonts w:ascii="宋体" w:hAnsi="宋体"/>
          <w:sz w:val="28"/>
          <w:szCs w:val="28"/>
        </w:rPr>
      </w:pPr>
      <w:r>
        <w:rPr>
          <w:rFonts w:hint="eastAsia" w:ascii="宋体" w:hAnsi="宋体"/>
          <w:sz w:val="28"/>
          <w:szCs w:val="28"/>
        </w:rPr>
        <w:t>1．质量控制（5分）</w:t>
      </w:r>
    </w:p>
    <w:p>
      <w:pPr>
        <w:pStyle w:val="3"/>
        <w:spacing w:after="0" w:line="384" w:lineRule="auto"/>
        <w:ind w:firstLine="560" w:firstLineChars="200"/>
        <w:rPr>
          <w:rFonts w:ascii="宋体" w:hAnsi="宋体"/>
          <w:sz w:val="28"/>
          <w:szCs w:val="28"/>
        </w:rPr>
      </w:pPr>
      <w:r>
        <w:rPr>
          <w:rFonts w:hint="eastAsia" w:ascii="宋体" w:hAnsi="宋体"/>
          <w:sz w:val="28"/>
          <w:szCs w:val="28"/>
        </w:rPr>
        <w:t>1.1总体质量控制目标满足招标文件要求，且对质量控制目标进行了合理分解、规划（1分）</w:t>
      </w:r>
    </w:p>
    <w:p>
      <w:pPr>
        <w:pStyle w:val="3"/>
        <w:spacing w:after="0" w:line="384" w:lineRule="auto"/>
        <w:ind w:firstLine="560" w:firstLineChars="200"/>
        <w:rPr>
          <w:rFonts w:ascii="宋体" w:hAnsi="宋体"/>
          <w:sz w:val="28"/>
          <w:szCs w:val="28"/>
        </w:rPr>
      </w:pPr>
      <w:r>
        <w:rPr>
          <w:rFonts w:hint="eastAsia" w:ascii="宋体" w:hAnsi="宋体"/>
          <w:sz w:val="28"/>
          <w:szCs w:val="28"/>
        </w:rPr>
        <w:t>1.2针对各质量控制分解目标及各施工环节提出了切实可行的控制点和控制措施（1分）</w:t>
      </w:r>
    </w:p>
    <w:p>
      <w:pPr>
        <w:pStyle w:val="3"/>
        <w:spacing w:after="0" w:line="384" w:lineRule="auto"/>
        <w:ind w:firstLine="560" w:firstLineChars="200"/>
        <w:rPr>
          <w:rFonts w:ascii="宋体" w:hAnsi="宋体"/>
          <w:sz w:val="28"/>
          <w:szCs w:val="28"/>
        </w:rPr>
      </w:pPr>
      <w:r>
        <w:rPr>
          <w:rFonts w:hint="eastAsia" w:ascii="宋体" w:hAnsi="宋体"/>
          <w:sz w:val="28"/>
          <w:szCs w:val="28"/>
        </w:rPr>
        <w:t>1.3质量控制的基本程序和手段有针对性，且能满足工程实际要求（1分）</w:t>
      </w:r>
    </w:p>
    <w:p>
      <w:pPr>
        <w:pStyle w:val="3"/>
        <w:spacing w:after="0" w:line="384" w:lineRule="auto"/>
        <w:ind w:firstLine="560" w:firstLineChars="200"/>
        <w:rPr>
          <w:rFonts w:ascii="宋体" w:hAnsi="宋体"/>
          <w:sz w:val="28"/>
          <w:szCs w:val="28"/>
        </w:rPr>
      </w:pPr>
      <w:r>
        <w:rPr>
          <w:rFonts w:hint="eastAsia" w:ascii="宋体" w:hAnsi="宋体"/>
          <w:sz w:val="28"/>
          <w:szCs w:val="28"/>
        </w:rPr>
        <w:t>1.4对分包队伍的审查、管理措施有效可行（1分）</w:t>
      </w:r>
    </w:p>
    <w:p>
      <w:pPr>
        <w:pStyle w:val="3"/>
        <w:spacing w:after="0" w:line="384" w:lineRule="auto"/>
        <w:ind w:firstLine="560" w:firstLineChars="200"/>
        <w:rPr>
          <w:rFonts w:ascii="宋体" w:hAnsi="宋体"/>
          <w:sz w:val="28"/>
          <w:szCs w:val="28"/>
        </w:rPr>
      </w:pPr>
      <w:r>
        <w:rPr>
          <w:rFonts w:hint="eastAsia" w:ascii="宋体" w:hAnsi="宋体"/>
          <w:sz w:val="28"/>
          <w:szCs w:val="28"/>
        </w:rPr>
        <w:t xml:space="preserve">1.5劳务用工持证上岗制度、劳务用工合同签订及实名制落实保障措施可行（1分）  </w:t>
      </w:r>
    </w:p>
    <w:p>
      <w:pPr>
        <w:widowControl/>
        <w:spacing w:line="384" w:lineRule="auto"/>
        <w:ind w:firstLine="560" w:firstLineChars="200"/>
        <w:jc w:val="left"/>
        <w:rPr>
          <w:rFonts w:ascii="宋体" w:hAnsi="宋体"/>
          <w:sz w:val="28"/>
          <w:szCs w:val="28"/>
        </w:rPr>
      </w:pPr>
      <w:r>
        <w:rPr>
          <w:rFonts w:hint="eastAsia" w:ascii="宋体" w:hAnsi="宋体"/>
          <w:sz w:val="28"/>
          <w:szCs w:val="28"/>
        </w:rPr>
        <w:t>2．进度控制（2分）</w:t>
      </w:r>
    </w:p>
    <w:p>
      <w:pPr>
        <w:pStyle w:val="3"/>
        <w:spacing w:after="0" w:line="384" w:lineRule="auto"/>
        <w:ind w:firstLine="560" w:firstLineChars="200"/>
        <w:rPr>
          <w:rFonts w:ascii="宋体" w:hAnsi="宋体"/>
          <w:sz w:val="28"/>
          <w:szCs w:val="28"/>
        </w:rPr>
      </w:pPr>
      <w:r>
        <w:rPr>
          <w:rFonts w:hint="eastAsia" w:ascii="宋体" w:hAnsi="宋体"/>
          <w:sz w:val="28"/>
          <w:szCs w:val="28"/>
        </w:rPr>
        <w:t>2.1.对总体进度目标分解合理，能体现预控和全面控制能力；（1分）</w:t>
      </w:r>
    </w:p>
    <w:p>
      <w:pPr>
        <w:pStyle w:val="3"/>
        <w:spacing w:after="0" w:line="384" w:lineRule="auto"/>
        <w:ind w:firstLine="560" w:firstLineChars="200"/>
        <w:rPr>
          <w:rFonts w:ascii="宋体" w:hAnsi="宋体"/>
          <w:sz w:val="28"/>
          <w:szCs w:val="28"/>
        </w:rPr>
      </w:pPr>
      <w:r>
        <w:rPr>
          <w:rFonts w:hint="eastAsia" w:ascii="宋体" w:hAnsi="宋体"/>
          <w:sz w:val="28"/>
          <w:szCs w:val="28"/>
        </w:rPr>
        <w:t>2.2.预控方法及手段明确，进度控制要点及保证措施设置合理、可行；（1分）</w:t>
      </w:r>
    </w:p>
    <w:p>
      <w:pPr>
        <w:widowControl/>
        <w:spacing w:line="384" w:lineRule="auto"/>
        <w:ind w:firstLine="560" w:firstLineChars="200"/>
        <w:jc w:val="left"/>
        <w:rPr>
          <w:rFonts w:ascii="宋体" w:hAnsi="宋体"/>
          <w:sz w:val="28"/>
          <w:szCs w:val="28"/>
        </w:rPr>
      </w:pPr>
      <w:r>
        <w:rPr>
          <w:rFonts w:hint="eastAsia" w:ascii="宋体" w:hAnsi="宋体"/>
          <w:sz w:val="28"/>
          <w:szCs w:val="28"/>
        </w:rPr>
        <w:t>3．造价控制（2分）</w:t>
      </w:r>
    </w:p>
    <w:p>
      <w:pPr>
        <w:pStyle w:val="3"/>
        <w:spacing w:after="0" w:line="384" w:lineRule="auto"/>
        <w:ind w:firstLine="560" w:firstLineChars="200"/>
        <w:rPr>
          <w:rFonts w:ascii="宋体" w:hAnsi="宋体"/>
          <w:sz w:val="28"/>
          <w:szCs w:val="28"/>
        </w:rPr>
      </w:pPr>
      <w:r>
        <w:rPr>
          <w:rFonts w:hint="eastAsia" w:ascii="宋体" w:hAnsi="宋体"/>
          <w:sz w:val="28"/>
          <w:szCs w:val="28"/>
        </w:rPr>
        <w:t>3.1工程计量、计价的控制方法可行，风险预测与防范对策有效；（1分）</w:t>
      </w:r>
    </w:p>
    <w:p>
      <w:pPr>
        <w:pStyle w:val="3"/>
        <w:spacing w:after="0" w:line="384" w:lineRule="auto"/>
        <w:ind w:firstLine="560" w:firstLineChars="200"/>
        <w:rPr>
          <w:rFonts w:ascii="宋体" w:hAnsi="宋体"/>
          <w:sz w:val="28"/>
          <w:szCs w:val="28"/>
        </w:rPr>
      </w:pPr>
      <w:r>
        <w:rPr>
          <w:rFonts w:hint="eastAsia" w:ascii="宋体" w:hAnsi="宋体"/>
          <w:sz w:val="28"/>
          <w:szCs w:val="28"/>
        </w:rPr>
        <w:t>3.2工程款支付、结算、索赔等预控措施合理健全；（0.5分）</w:t>
      </w:r>
    </w:p>
    <w:p>
      <w:pPr>
        <w:pStyle w:val="3"/>
        <w:spacing w:after="0" w:line="384" w:lineRule="auto"/>
        <w:ind w:firstLine="560" w:firstLineChars="200"/>
        <w:rPr>
          <w:rFonts w:ascii="宋体" w:hAnsi="宋体"/>
          <w:sz w:val="28"/>
          <w:szCs w:val="28"/>
        </w:rPr>
      </w:pPr>
      <w:r>
        <w:rPr>
          <w:rFonts w:hint="eastAsia" w:ascii="宋体" w:hAnsi="宋体"/>
          <w:sz w:val="28"/>
          <w:szCs w:val="28"/>
        </w:rPr>
        <w:t>3.3.劳务用工的工资发放情况督查措施得力；（0.5分）</w:t>
      </w:r>
    </w:p>
    <w:p>
      <w:pPr>
        <w:widowControl/>
        <w:spacing w:line="384" w:lineRule="auto"/>
        <w:ind w:firstLine="560" w:firstLineChars="200"/>
        <w:jc w:val="left"/>
        <w:rPr>
          <w:rFonts w:ascii="宋体" w:hAnsi="宋体"/>
          <w:sz w:val="28"/>
          <w:szCs w:val="28"/>
        </w:rPr>
      </w:pPr>
      <w:r>
        <w:rPr>
          <w:rFonts w:hint="eastAsia" w:ascii="宋体" w:hAnsi="宋体"/>
          <w:sz w:val="28"/>
          <w:szCs w:val="28"/>
        </w:rPr>
        <w:t>4．安全措施（3分）</w:t>
      </w:r>
    </w:p>
    <w:p>
      <w:pPr>
        <w:widowControl/>
        <w:spacing w:line="384" w:lineRule="auto"/>
        <w:ind w:firstLine="560" w:firstLineChars="200"/>
        <w:jc w:val="left"/>
        <w:rPr>
          <w:rFonts w:ascii="宋体" w:hAnsi="宋体"/>
          <w:sz w:val="28"/>
          <w:szCs w:val="28"/>
        </w:rPr>
      </w:pPr>
      <w:r>
        <w:rPr>
          <w:rFonts w:hint="eastAsia" w:ascii="宋体" w:hAnsi="宋体"/>
          <w:sz w:val="28"/>
          <w:szCs w:val="28"/>
        </w:rPr>
        <w:t>4.1安全措施满足招标文件要求，能结合工程环境、特点有针对性的分析安全隐患；（1分）</w:t>
      </w:r>
    </w:p>
    <w:p>
      <w:pPr>
        <w:widowControl/>
        <w:spacing w:line="384" w:lineRule="auto"/>
        <w:ind w:firstLine="560" w:firstLineChars="200"/>
        <w:jc w:val="left"/>
        <w:rPr>
          <w:rFonts w:ascii="宋体" w:hAnsi="宋体"/>
          <w:sz w:val="28"/>
          <w:szCs w:val="28"/>
        </w:rPr>
      </w:pPr>
      <w:r>
        <w:rPr>
          <w:rFonts w:hint="eastAsia" w:ascii="宋体" w:hAnsi="宋体"/>
          <w:sz w:val="28"/>
          <w:szCs w:val="28"/>
        </w:rPr>
        <w:t>4.2安全保证体系组织机构和控制点设置合理；（1分）</w:t>
      </w:r>
    </w:p>
    <w:p>
      <w:pPr>
        <w:widowControl/>
        <w:spacing w:line="384" w:lineRule="auto"/>
        <w:ind w:firstLine="560" w:firstLineChars="200"/>
        <w:jc w:val="left"/>
        <w:rPr>
          <w:rFonts w:ascii="宋体" w:hAnsi="宋体"/>
          <w:sz w:val="28"/>
          <w:szCs w:val="28"/>
        </w:rPr>
      </w:pPr>
      <w:r>
        <w:rPr>
          <w:rFonts w:hint="eastAsia" w:ascii="宋体" w:hAnsi="宋体"/>
          <w:sz w:val="28"/>
          <w:szCs w:val="28"/>
        </w:rPr>
        <w:t>4.3安全控制措施周密，安全控制手段合理；（1分）</w:t>
      </w:r>
    </w:p>
    <w:p>
      <w:pPr>
        <w:widowControl/>
        <w:spacing w:line="384" w:lineRule="auto"/>
        <w:ind w:firstLine="560" w:firstLineChars="200"/>
        <w:jc w:val="left"/>
        <w:rPr>
          <w:rFonts w:ascii="宋体" w:hAnsi="宋体"/>
          <w:sz w:val="28"/>
          <w:szCs w:val="28"/>
        </w:rPr>
      </w:pPr>
      <w:r>
        <w:rPr>
          <w:rFonts w:hint="eastAsia" w:ascii="宋体" w:hAnsi="宋体"/>
          <w:sz w:val="28"/>
          <w:szCs w:val="28"/>
        </w:rPr>
        <w:t>5．旁站监理措施（4分）</w:t>
      </w:r>
    </w:p>
    <w:p>
      <w:pPr>
        <w:widowControl/>
        <w:spacing w:line="384" w:lineRule="auto"/>
        <w:ind w:firstLine="560" w:firstLineChars="200"/>
        <w:jc w:val="left"/>
        <w:rPr>
          <w:rFonts w:ascii="宋体" w:hAnsi="宋体"/>
          <w:sz w:val="28"/>
          <w:szCs w:val="28"/>
        </w:rPr>
      </w:pPr>
      <w:r>
        <w:rPr>
          <w:rFonts w:hint="eastAsia" w:ascii="宋体" w:hAnsi="宋体"/>
          <w:sz w:val="28"/>
          <w:szCs w:val="28"/>
        </w:rPr>
        <w:t>5.1按照国家旁站监理规定，对相应部位或施工过程设置旁站；（2分）</w:t>
      </w:r>
    </w:p>
    <w:p>
      <w:pPr>
        <w:widowControl/>
        <w:spacing w:line="384" w:lineRule="auto"/>
        <w:ind w:firstLine="560" w:firstLineChars="200"/>
        <w:jc w:val="left"/>
        <w:rPr>
          <w:rFonts w:ascii="宋体" w:hAnsi="宋体"/>
          <w:sz w:val="28"/>
          <w:szCs w:val="28"/>
        </w:rPr>
      </w:pPr>
      <w:r>
        <w:rPr>
          <w:rFonts w:hint="eastAsia" w:ascii="宋体" w:hAnsi="宋体"/>
          <w:sz w:val="28"/>
          <w:szCs w:val="28"/>
        </w:rPr>
        <w:t>5.2有监理细则和方案；（1分）</w:t>
      </w:r>
    </w:p>
    <w:p>
      <w:pPr>
        <w:widowControl/>
        <w:spacing w:line="384" w:lineRule="auto"/>
        <w:ind w:firstLine="560" w:firstLineChars="200"/>
        <w:jc w:val="left"/>
        <w:rPr>
          <w:rFonts w:ascii="宋体" w:hAnsi="宋体"/>
          <w:sz w:val="28"/>
          <w:szCs w:val="28"/>
        </w:rPr>
      </w:pPr>
      <w:r>
        <w:rPr>
          <w:rFonts w:hint="eastAsia" w:ascii="宋体" w:hAnsi="宋体"/>
          <w:sz w:val="28"/>
          <w:szCs w:val="28"/>
        </w:rPr>
        <w:t>5.3制定旁站措施（人员有上岗证、记录表等）；（1分）</w:t>
      </w:r>
    </w:p>
    <w:p>
      <w:pPr>
        <w:widowControl/>
        <w:spacing w:line="384" w:lineRule="auto"/>
        <w:ind w:firstLine="560" w:firstLineChars="200"/>
        <w:jc w:val="left"/>
        <w:rPr>
          <w:rFonts w:ascii="宋体" w:hAnsi="宋体"/>
          <w:sz w:val="28"/>
          <w:szCs w:val="28"/>
        </w:rPr>
      </w:pPr>
      <w:r>
        <w:rPr>
          <w:rFonts w:hint="eastAsia" w:ascii="宋体" w:hAnsi="宋体"/>
          <w:sz w:val="28"/>
          <w:szCs w:val="28"/>
        </w:rPr>
        <w:t>6．档案及合同管理（2分）</w:t>
      </w:r>
    </w:p>
    <w:p>
      <w:pPr>
        <w:widowControl/>
        <w:spacing w:line="384" w:lineRule="auto"/>
        <w:ind w:firstLine="560" w:firstLineChars="200"/>
        <w:jc w:val="left"/>
        <w:rPr>
          <w:rFonts w:ascii="宋体" w:hAnsi="宋体"/>
          <w:sz w:val="28"/>
          <w:szCs w:val="28"/>
        </w:rPr>
      </w:pPr>
      <w:r>
        <w:rPr>
          <w:rFonts w:hint="eastAsia" w:ascii="宋体" w:hAnsi="宋体"/>
          <w:sz w:val="28"/>
          <w:szCs w:val="28"/>
        </w:rPr>
        <w:t>6.1有保障合同履行的可靠措施，制定了索赔与反索赔措施；（1分）</w:t>
      </w:r>
    </w:p>
    <w:p>
      <w:pPr>
        <w:widowControl/>
        <w:spacing w:line="384" w:lineRule="auto"/>
        <w:ind w:firstLine="560" w:firstLineChars="200"/>
        <w:jc w:val="left"/>
        <w:rPr>
          <w:rFonts w:ascii="宋体" w:hAnsi="宋体"/>
          <w:sz w:val="28"/>
          <w:szCs w:val="28"/>
        </w:rPr>
      </w:pPr>
      <w:r>
        <w:rPr>
          <w:rFonts w:hint="eastAsia" w:ascii="宋体" w:hAnsi="宋体"/>
          <w:sz w:val="28"/>
          <w:szCs w:val="28"/>
        </w:rPr>
        <w:t>6.2工程档案管理措施切实可行，并设置专职人员进行管理；（1分</w:t>
      </w:r>
    </w:p>
    <w:p>
      <w:pPr>
        <w:widowControl/>
        <w:spacing w:line="384" w:lineRule="auto"/>
        <w:ind w:firstLine="560" w:firstLineChars="200"/>
        <w:jc w:val="left"/>
        <w:rPr>
          <w:rFonts w:ascii="宋体" w:hAnsi="宋体"/>
          <w:sz w:val="28"/>
          <w:szCs w:val="28"/>
        </w:rPr>
      </w:pPr>
      <w:r>
        <w:rPr>
          <w:rFonts w:hint="eastAsia" w:ascii="宋体" w:hAnsi="宋体"/>
          <w:sz w:val="28"/>
          <w:szCs w:val="28"/>
        </w:rPr>
        <w:t>7．工作制度（1分）</w:t>
      </w:r>
    </w:p>
    <w:p>
      <w:pPr>
        <w:widowControl/>
        <w:spacing w:line="384" w:lineRule="auto"/>
        <w:ind w:firstLine="560" w:firstLineChars="200"/>
        <w:jc w:val="left"/>
        <w:rPr>
          <w:rFonts w:ascii="宋体" w:hAnsi="宋体"/>
          <w:sz w:val="28"/>
          <w:szCs w:val="28"/>
        </w:rPr>
      </w:pPr>
      <w:r>
        <w:rPr>
          <w:rFonts w:hint="eastAsia" w:ascii="宋体" w:hAnsi="宋体"/>
          <w:sz w:val="28"/>
          <w:szCs w:val="28"/>
        </w:rPr>
        <w:t>7.1根据验收制度、签证制度、会议制度、公司对项目监理机构的监控制度、季报（月报）制度、公司对项目监理机构的奖惩考核制度等各项制度健全完善情况，酌情打分；（1分）</w:t>
      </w:r>
    </w:p>
    <w:p>
      <w:pPr>
        <w:widowControl/>
        <w:spacing w:line="384" w:lineRule="auto"/>
        <w:ind w:firstLine="560" w:firstLineChars="200"/>
        <w:jc w:val="left"/>
        <w:rPr>
          <w:rFonts w:ascii="宋体" w:hAnsi="宋体"/>
          <w:sz w:val="28"/>
          <w:szCs w:val="28"/>
        </w:rPr>
      </w:pPr>
      <w:r>
        <w:rPr>
          <w:rFonts w:hint="eastAsia" w:ascii="宋体" w:hAnsi="宋体"/>
          <w:sz w:val="28"/>
          <w:szCs w:val="28"/>
        </w:rPr>
        <w:t>8．组织协调及合理化建议（1分）</w:t>
      </w:r>
    </w:p>
    <w:p>
      <w:pPr>
        <w:widowControl/>
        <w:spacing w:line="384" w:lineRule="auto"/>
        <w:ind w:firstLine="560" w:firstLineChars="200"/>
        <w:jc w:val="left"/>
        <w:rPr>
          <w:rFonts w:ascii="宋体" w:hAnsi="宋体"/>
          <w:sz w:val="28"/>
          <w:szCs w:val="28"/>
        </w:rPr>
      </w:pPr>
      <w:r>
        <w:rPr>
          <w:rFonts w:hint="eastAsia" w:ascii="宋体" w:hAnsi="宋体"/>
          <w:sz w:val="28"/>
          <w:szCs w:val="28"/>
        </w:rPr>
        <w:t>8.1协调工作措施得当、有针对性；（0.5分）</w:t>
      </w:r>
    </w:p>
    <w:p>
      <w:pPr>
        <w:widowControl/>
        <w:spacing w:line="384" w:lineRule="auto"/>
        <w:ind w:firstLine="560" w:firstLineChars="200"/>
        <w:jc w:val="left"/>
        <w:rPr>
          <w:rFonts w:ascii="宋体" w:hAnsi="宋体"/>
          <w:sz w:val="28"/>
          <w:szCs w:val="28"/>
        </w:rPr>
      </w:pPr>
      <w:r>
        <w:rPr>
          <w:rFonts w:hint="eastAsia" w:ascii="宋体" w:hAnsi="宋体"/>
          <w:sz w:val="28"/>
          <w:szCs w:val="28"/>
        </w:rPr>
        <w:t>8.2合理化建议能解决工程实际问题或有利于进度控制或造价控制。（0.5分）</w:t>
      </w:r>
    </w:p>
    <w:p>
      <w:pPr>
        <w:spacing w:line="360" w:lineRule="auto"/>
        <w:ind w:firstLine="482" w:firstLineChars="200"/>
        <w:rPr>
          <w:rFonts w:ascii="宋体" w:hAnsi="宋体"/>
          <w:b/>
          <w:sz w:val="24"/>
        </w:rPr>
      </w:pPr>
      <w:r>
        <w:rPr>
          <w:rFonts w:hint="eastAsia" w:ascii="宋体" w:hAnsi="宋体"/>
          <w:b/>
          <w:sz w:val="24"/>
        </w:rPr>
        <w:t>（三）业绩（10分）</w:t>
      </w:r>
    </w:p>
    <w:p>
      <w:pPr>
        <w:widowControl/>
        <w:spacing w:line="384" w:lineRule="auto"/>
        <w:ind w:firstLine="560" w:firstLineChars="200"/>
        <w:jc w:val="left"/>
        <w:rPr>
          <w:rFonts w:ascii="宋体" w:hAnsi="宋体"/>
          <w:sz w:val="28"/>
          <w:szCs w:val="28"/>
        </w:rPr>
      </w:pPr>
      <w:r>
        <w:rPr>
          <w:rFonts w:hint="eastAsia" w:ascii="宋体" w:hAnsi="宋体"/>
          <w:sz w:val="28"/>
          <w:szCs w:val="28"/>
        </w:rPr>
        <w:t>1.监理企业：2012年10月1日以来：企业监理过的类似工程项目的，一个项目得2.5分，最多得5分；（工程业绩的竣工日期以行业主管部门在工程竣工验收文件中的验收日期为准或备案文件的备案日期为准）</w:t>
      </w:r>
    </w:p>
    <w:p>
      <w:pPr>
        <w:widowControl/>
        <w:spacing w:line="384" w:lineRule="auto"/>
        <w:ind w:firstLine="560" w:firstLineChars="200"/>
        <w:jc w:val="left"/>
        <w:rPr>
          <w:rFonts w:ascii="宋体" w:hAnsi="宋体"/>
          <w:sz w:val="28"/>
          <w:szCs w:val="28"/>
        </w:rPr>
      </w:pPr>
      <w:r>
        <w:rPr>
          <w:rFonts w:hint="eastAsia" w:ascii="宋体" w:hAnsi="宋体"/>
          <w:sz w:val="28"/>
          <w:szCs w:val="28"/>
        </w:rPr>
        <w:t>2.总监理工程师：2012年10月1日以来总监理工程师有担任过类似项目工程总监的得2.5分，最高得5分；（工程业绩的竣工日期以行业主管部门在工程竣工验收文件中的验收日期为准或备案文件的备案日期为准）</w:t>
      </w:r>
    </w:p>
    <w:p>
      <w:pPr>
        <w:spacing w:line="360" w:lineRule="auto"/>
        <w:ind w:firstLine="482" w:firstLineChars="200"/>
        <w:rPr>
          <w:rFonts w:ascii="宋体" w:hAnsi="宋体"/>
          <w:sz w:val="28"/>
          <w:szCs w:val="28"/>
        </w:rPr>
      </w:pPr>
      <w:r>
        <w:rPr>
          <w:rFonts w:hint="eastAsia" w:ascii="宋体" w:hAnsi="宋体"/>
          <w:b/>
          <w:sz w:val="24"/>
        </w:rPr>
        <w:t xml:space="preserve">（四）荣誉 （8分） </w:t>
      </w:r>
      <w:r>
        <w:rPr>
          <w:rFonts w:hint="eastAsia" w:ascii="宋体" w:hAnsi="宋体"/>
          <w:sz w:val="28"/>
          <w:szCs w:val="28"/>
        </w:rPr>
        <w:t xml:space="preserve"> </w:t>
      </w:r>
    </w:p>
    <w:p>
      <w:pPr>
        <w:widowControl/>
        <w:spacing w:line="384" w:lineRule="auto"/>
        <w:ind w:firstLine="560" w:firstLineChars="200"/>
        <w:jc w:val="left"/>
        <w:rPr>
          <w:rFonts w:ascii="宋体" w:hAnsi="宋体"/>
          <w:sz w:val="28"/>
          <w:szCs w:val="28"/>
        </w:rPr>
      </w:pPr>
      <w:r>
        <w:rPr>
          <w:rFonts w:hint="eastAsia" w:ascii="宋体" w:hAnsi="宋体"/>
          <w:sz w:val="28"/>
          <w:szCs w:val="28"/>
        </w:rPr>
        <w:t xml:space="preserve">1.监理企业：2012年10月1日以来企业监理过的的类似项目工程获得省级奖项的得4分，市级得1分，本项最多得4分，本项不累计，只计最高分（须提供获奖证书及同级奖励文件原件，不提供或缺一项不得分；以国家、省、市建设行政主管部门（含其建筑行业协会颁发的获奖证书、获奖文件为准）） </w:t>
      </w:r>
    </w:p>
    <w:p>
      <w:pPr>
        <w:widowControl/>
        <w:spacing w:line="384" w:lineRule="auto"/>
        <w:ind w:firstLine="560" w:firstLineChars="200"/>
        <w:jc w:val="left"/>
        <w:rPr>
          <w:rFonts w:ascii="宋体" w:hAnsi="宋体"/>
          <w:sz w:val="28"/>
          <w:szCs w:val="28"/>
        </w:rPr>
      </w:pPr>
      <w:r>
        <w:rPr>
          <w:rFonts w:hint="eastAsia" w:ascii="宋体" w:hAnsi="宋体"/>
          <w:sz w:val="28"/>
          <w:szCs w:val="28"/>
        </w:rPr>
        <w:t>2.总监理工程师：2012年10月1日以来拟派总监理工程师监理过的类似项目工程获得省级奖项的得4分，市级得1分，本项不累计，只计最高分（须提供获奖证书及同级奖励文件原件，不提供或缺一项不得分，以国家、省、市建设行政主管部门（含其建筑行业协会颁发的获奖证书、获奖文件为准）。</w:t>
      </w:r>
    </w:p>
    <w:p>
      <w:pPr>
        <w:widowControl/>
        <w:spacing w:line="384" w:lineRule="auto"/>
        <w:ind w:firstLine="560" w:firstLineChars="200"/>
        <w:jc w:val="left"/>
        <w:rPr>
          <w:rFonts w:ascii="宋体" w:hAnsi="宋体"/>
          <w:sz w:val="28"/>
          <w:szCs w:val="28"/>
        </w:rPr>
      </w:pPr>
      <w:r>
        <w:rPr>
          <w:rFonts w:hint="eastAsia" w:ascii="宋体" w:hAnsi="宋体"/>
          <w:sz w:val="28"/>
          <w:szCs w:val="28"/>
        </w:rPr>
        <w:t>注：类似工程是指铁路（或公路）桥梁、箱涵工程等。</w:t>
      </w:r>
    </w:p>
    <w:p>
      <w:pPr>
        <w:spacing w:line="360" w:lineRule="auto"/>
        <w:ind w:firstLine="482" w:firstLineChars="200"/>
        <w:rPr>
          <w:rFonts w:ascii="宋体" w:hAnsi="宋体"/>
          <w:b/>
          <w:sz w:val="24"/>
        </w:rPr>
      </w:pPr>
      <w:r>
        <w:rPr>
          <w:rFonts w:hint="eastAsia" w:ascii="宋体" w:hAnsi="宋体"/>
          <w:b/>
          <w:sz w:val="24"/>
        </w:rPr>
        <w:t>（五）项目监理机构人员（7分）</w:t>
      </w:r>
    </w:p>
    <w:p>
      <w:pPr>
        <w:widowControl/>
        <w:spacing w:line="384" w:lineRule="auto"/>
        <w:ind w:firstLine="560" w:firstLineChars="200"/>
        <w:jc w:val="left"/>
        <w:rPr>
          <w:rFonts w:ascii="宋体" w:hAnsi="宋体"/>
          <w:sz w:val="28"/>
          <w:szCs w:val="28"/>
        </w:rPr>
      </w:pPr>
      <w:r>
        <w:rPr>
          <w:rFonts w:hint="eastAsia" w:ascii="宋体" w:hAnsi="宋体"/>
          <w:sz w:val="28"/>
          <w:szCs w:val="28"/>
        </w:rPr>
        <w:t>1．拟配备的监理人员配备齐全，专业监理工程师、监理员、安全员、资料员及见证员齐全者得5分。缺一项扣1分。</w:t>
      </w:r>
    </w:p>
    <w:p>
      <w:pPr>
        <w:pStyle w:val="3"/>
        <w:spacing w:after="0" w:line="384" w:lineRule="auto"/>
        <w:ind w:firstLine="560" w:firstLineChars="200"/>
        <w:rPr>
          <w:rFonts w:ascii="宋体" w:hAnsi="宋体"/>
          <w:sz w:val="28"/>
          <w:szCs w:val="28"/>
        </w:rPr>
      </w:pPr>
      <w:r>
        <w:rPr>
          <w:rFonts w:hint="eastAsia" w:ascii="宋体" w:hAnsi="宋体"/>
          <w:sz w:val="28"/>
          <w:szCs w:val="28"/>
        </w:rPr>
        <w:t>2．拟派项目监理部成员中，获得省级及以上优秀监理工程师奖项的加2分，本项最高得2分。</w:t>
      </w:r>
    </w:p>
    <w:p>
      <w:pPr>
        <w:spacing w:line="360" w:lineRule="auto"/>
        <w:ind w:firstLine="482" w:firstLineChars="200"/>
        <w:rPr>
          <w:rFonts w:ascii="宋体" w:hAnsi="宋体"/>
          <w:b/>
          <w:sz w:val="24"/>
        </w:rPr>
      </w:pPr>
      <w:r>
        <w:rPr>
          <w:rFonts w:hint="eastAsia" w:ascii="宋体" w:hAnsi="宋体"/>
          <w:b/>
          <w:sz w:val="24"/>
        </w:rPr>
        <w:t>（六）投标文件规范程度（2分）</w:t>
      </w:r>
    </w:p>
    <w:p>
      <w:pPr>
        <w:pStyle w:val="3"/>
        <w:spacing w:after="0" w:line="384" w:lineRule="auto"/>
        <w:ind w:firstLine="560" w:firstLineChars="200"/>
        <w:rPr>
          <w:rFonts w:ascii="宋体" w:hAnsi="宋体"/>
          <w:sz w:val="28"/>
          <w:szCs w:val="28"/>
        </w:rPr>
      </w:pPr>
      <w:r>
        <w:rPr>
          <w:rFonts w:hint="eastAsia" w:ascii="宋体" w:hAnsi="宋体"/>
          <w:sz w:val="28"/>
          <w:szCs w:val="28"/>
        </w:rPr>
        <w:t xml:space="preserve"> 1.装订规范、文字清晰、无差错1分；</w:t>
      </w:r>
    </w:p>
    <w:p>
      <w:pPr>
        <w:pStyle w:val="3"/>
        <w:spacing w:after="0" w:line="384" w:lineRule="auto"/>
        <w:ind w:firstLine="700" w:firstLineChars="250"/>
        <w:rPr>
          <w:rFonts w:ascii="宋体" w:hAnsi="宋体"/>
          <w:sz w:val="28"/>
          <w:szCs w:val="28"/>
        </w:rPr>
      </w:pPr>
      <w:r>
        <w:rPr>
          <w:rFonts w:hint="eastAsia" w:ascii="宋体" w:hAnsi="宋体"/>
          <w:sz w:val="28"/>
          <w:szCs w:val="28"/>
        </w:rPr>
        <w:t>2.所提供资料准确完整1分。</w:t>
      </w:r>
    </w:p>
    <w:p>
      <w:pPr>
        <w:spacing w:line="360" w:lineRule="auto"/>
        <w:ind w:firstLine="482" w:firstLineChars="200"/>
        <w:rPr>
          <w:rFonts w:ascii="宋体" w:hAnsi="宋体"/>
          <w:b/>
          <w:sz w:val="24"/>
        </w:rPr>
      </w:pPr>
      <w:r>
        <w:rPr>
          <w:rFonts w:hint="eastAsia" w:ascii="宋体" w:hAnsi="宋体"/>
          <w:b/>
          <w:sz w:val="24"/>
        </w:rPr>
        <w:t>（七）服务承诺（13分）</w:t>
      </w:r>
    </w:p>
    <w:p>
      <w:pPr>
        <w:pStyle w:val="3"/>
        <w:spacing w:after="0" w:line="384" w:lineRule="auto"/>
        <w:ind w:firstLine="560" w:firstLineChars="200"/>
        <w:rPr>
          <w:rFonts w:ascii="宋体" w:hAnsi="宋体"/>
          <w:sz w:val="28"/>
          <w:szCs w:val="28"/>
        </w:rPr>
      </w:pPr>
      <w:r>
        <w:rPr>
          <w:rFonts w:ascii="宋体" w:hAnsi="宋体"/>
          <w:sz w:val="28"/>
          <w:szCs w:val="28"/>
        </w:rPr>
        <w:t>投标人针对招标项目的特点和要求，结合自身条件和潜力为招标人排忧解难</w:t>
      </w:r>
      <w:r>
        <w:rPr>
          <w:rFonts w:hint="eastAsia" w:ascii="宋体" w:hAnsi="宋体"/>
          <w:sz w:val="28"/>
          <w:szCs w:val="28"/>
        </w:rPr>
        <w:t>，</w:t>
      </w:r>
      <w:r>
        <w:rPr>
          <w:rFonts w:ascii="宋体" w:hAnsi="宋体"/>
          <w:sz w:val="28"/>
          <w:szCs w:val="28"/>
        </w:rPr>
        <w:t>由评委根据</w:t>
      </w:r>
      <w:r>
        <w:rPr>
          <w:rFonts w:hint="eastAsia" w:ascii="宋体" w:hAnsi="宋体"/>
          <w:sz w:val="28"/>
          <w:szCs w:val="28"/>
        </w:rPr>
        <w:t>服务承诺</w:t>
      </w:r>
      <w:r>
        <w:rPr>
          <w:rFonts w:ascii="宋体" w:hAnsi="宋体"/>
          <w:sz w:val="28"/>
          <w:szCs w:val="28"/>
        </w:rPr>
        <w:t>的具体内容酌情打分</w:t>
      </w:r>
      <w:r>
        <w:rPr>
          <w:rFonts w:hint="eastAsia" w:ascii="宋体" w:hAnsi="宋体"/>
          <w:sz w:val="28"/>
          <w:szCs w:val="28"/>
        </w:rPr>
        <w:t>；</w:t>
      </w:r>
    </w:p>
    <w:p>
      <w:pPr>
        <w:spacing w:line="384" w:lineRule="auto"/>
        <w:ind w:firstLine="840" w:firstLineChars="300"/>
        <w:rPr>
          <w:rFonts w:ascii="宋体" w:hAnsi="宋体"/>
          <w:sz w:val="28"/>
          <w:szCs w:val="28"/>
        </w:rPr>
      </w:pPr>
      <w:r>
        <w:rPr>
          <w:rFonts w:hint="eastAsia" w:ascii="宋体" w:hAnsi="宋体"/>
          <w:sz w:val="28"/>
          <w:szCs w:val="28"/>
        </w:rPr>
        <w:t>1.现场监理人员到位上岗及不准兼职，且有处罚措施的承诺；（好：3；较好：2；一般：1分）</w:t>
      </w:r>
    </w:p>
    <w:p>
      <w:pPr>
        <w:spacing w:line="384" w:lineRule="auto"/>
        <w:ind w:firstLine="840" w:firstLineChars="300"/>
        <w:rPr>
          <w:rFonts w:ascii="宋体" w:hAnsi="宋体"/>
          <w:sz w:val="28"/>
          <w:szCs w:val="28"/>
        </w:rPr>
      </w:pPr>
      <w:r>
        <w:rPr>
          <w:rFonts w:hint="eastAsia" w:ascii="宋体" w:hAnsi="宋体"/>
          <w:sz w:val="28"/>
          <w:szCs w:val="28"/>
        </w:rPr>
        <w:t>2.因监理失职，在质量管理、投资控制、进度控制等方面给招标人带来损失的，有处罚措施的承诺；（好：3；较好：2；一般：1分）</w:t>
      </w:r>
    </w:p>
    <w:p>
      <w:pPr>
        <w:spacing w:line="384" w:lineRule="auto"/>
        <w:ind w:firstLine="840" w:firstLineChars="300"/>
        <w:rPr>
          <w:rFonts w:ascii="宋体" w:hAnsi="宋体"/>
          <w:sz w:val="28"/>
          <w:szCs w:val="28"/>
        </w:rPr>
      </w:pPr>
      <w:r>
        <w:rPr>
          <w:rFonts w:hint="eastAsia" w:ascii="宋体" w:hAnsi="宋体"/>
          <w:sz w:val="28"/>
          <w:szCs w:val="28"/>
        </w:rPr>
        <w:t>3.企业在人员、管理技术等方面的实质性服务承诺；（好：3；较好：2；一般：1分）</w:t>
      </w:r>
    </w:p>
    <w:p>
      <w:pPr>
        <w:spacing w:line="384" w:lineRule="auto"/>
        <w:ind w:firstLine="840" w:firstLineChars="300"/>
        <w:rPr>
          <w:rFonts w:ascii="宋体" w:hAnsi="宋体"/>
          <w:sz w:val="28"/>
          <w:szCs w:val="28"/>
        </w:rPr>
      </w:pPr>
      <w:r>
        <w:rPr>
          <w:rFonts w:hint="eastAsia" w:ascii="宋体" w:hAnsi="宋体"/>
          <w:sz w:val="28"/>
          <w:szCs w:val="28"/>
        </w:rPr>
        <w:t>4.对业主的其他实质性承诺（如按施工阶段不同配备满足要求的响应专业监理技术人员）。（好：4；较好：2；一般：1分）</w:t>
      </w:r>
    </w:p>
    <w:p>
      <w:pPr>
        <w:spacing w:line="360" w:lineRule="auto"/>
        <w:ind w:firstLine="482" w:firstLineChars="200"/>
        <w:rPr>
          <w:rFonts w:ascii="宋体" w:hAnsi="宋体"/>
          <w:b/>
          <w:sz w:val="24"/>
        </w:rPr>
      </w:pPr>
      <w:r>
        <w:rPr>
          <w:rFonts w:hint="eastAsia" w:ascii="宋体" w:hAnsi="宋体"/>
          <w:b/>
          <w:sz w:val="24"/>
        </w:rPr>
        <w:t>（八）投标报价（30分）</w:t>
      </w:r>
    </w:p>
    <w:p>
      <w:pPr>
        <w:spacing w:line="384" w:lineRule="auto"/>
        <w:ind w:firstLine="560" w:firstLineChars="200"/>
        <w:rPr>
          <w:rFonts w:ascii="宋体" w:hAnsi="宋体"/>
          <w:sz w:val="28"/>
          <w:szCs w:val="28"/>
        </w:rPr>
      </w:pPr>
      <w:r>
        <w:rPr>
          <w:rFonts w:hint="eastAsia" w:ascii="宋体" w:hAnsi="宋体"/>
          <w:sz w:val="28"/>
          <w:szCs w:val="28"/>
        </w:rPr>
        <w:t>投标报价得分=（最低有效投标报价/有效投标报价）</w:t>
      </w:r>
      <w:r>
        <w:rPr>
          <w:rFonts w:ascii="宋体" w:hAnsi="宋体"/>
          <w:sz w:val="28"/>
          <w:szCs w:val="28"/>
        </w:rPr>
        <w:t>×</w:t>
      </w:r>
      <w:r>
        <w:rPr>
          <w:rFonts w:hint="eastAsia" w:ascii="宋体" w:hAnsi="宋体"/>
          <w:sz w:val="28"/>
          <w:szCs w:val="28"/>
        </w:rPr>
        <w:t>30</w:t>
      </w:r>
    </w:p>
    <w:p>
      <w:pPr>
        <w:snapToGrid w:val="0"/>
        <w:spacing w:line="360" w:lineRule="auto"/>
        <w:ind w:firstLine="560" w:firstLineChars="20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宋体..">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1E"/>
    <w:rsid w:val="000E2D1E"/>
    <w:rsid w:val="003D5CC9"/>
    <w:rsid w:val="00633835"/>
    <w:rsid w:val="00B32227"/>
    <w:rsid w:val="00E747BF"/>
    <w:rsid w:val="04000304"/>
    <w:rsid w:val="04D20747"/>
    <w:rsid w:val="053F0265"/>
    <w:rsid w:val="06BB6F54"/>
    <w:rsid w:val="08756BBC"/>
    <w:rsid w:val="0A883FA5"/>
    <w:rsid w:val="0B001F8C"/>
    <w:rsid w:val="0C236E63"/>
    <w:rsid w:val="0CB365A5"/>
    <w:rsid w:val="0EEC4893"/>
    <w:rsid w:val="0EF66CEF"/>
    <w:rsid w:val="0F060C1A"/>
    <w:rsid w:val="0F666D43"/>
    <w:rsid w:val="0FB70237"/>
    <w:rsid w:val="104115A3"/>
    <w:rsid w:val="110B349D"/>
    <w:rsid w:val="123424C5"/>
    <w:rsid w:val="13444258"/>
    <w:rsid w:val="13857A3B"/>
    <w:rsid w:val="147B233F"/>
    <w:rsid w:val="16D77B87"/>
    <w:rsid w:val="179A38C3"/>
    <w:rsid w:val="181B3428"/>
    <w:rsid w:val="18E336B8"/>
    <w:rsid w:val="1A574F84"/>
    <w:rsid w:val="1B9B0CC5"/>
    <w:rsid w:val="1C2A1929"/>
    <w:rsid w:val="1C4F53BD"/>
    <w:rsid w:val="1C5D6EF2"/>
    <w:rsid w:val="1D0B1BD2"/>
    <w:rsid w:val="1DC70FF7"/>
    <w:rsid w:val="1E5E4924"/>
    <w:rsid w:val="1EA25973"/>
    <w:rsid w:val="1EF066BC"/>
    <w:rsid w:val="1F454DB2"/>
    <w:rsid w:val="205D0B0A"/>
    <w:rsid w:val="20DB0022"/>
    <w:rsid w:val="20F6060F"/>
    <w:rsid w:val="21673958"/>
    <w:rsid w:val="217A0822"/>
    <w:rsid w:val="21BD77BC"/>
    <w:rsid w:val="221372C1"/>
    <w:rsid w:val="22865854"/>
    <w:rsid w:val="229E2E56"/>
    <w:rsid w:val="237E6282"/>
    <w:rsid w:val="23B84FF9"/>
    <w:rsid w:val="281175AA"/>
    <w:rsid w:val="29C46FCD"/>
    <w:rsid w:val="2A437473"/>
    <w:rsid w:val="2A7D3AD1"/>
    <w:rsid w:val="2AF0150A"/>
    <w:rsid w:val="2BE803CD"/>
    <w:rsid w:val="2FCD2076"/>
    <w:rsid w:val="303325BD"/>
    <w:rsid w:val="30FA636B"/>
    <w:rsid w:val="311E56F1"/>
    <w:rsid w:val="31E84A96"/>
    <w:rsid w:val="32F226FA"/>
    <w:rsid w:val="359E2A54"/>
    <w:rsid w:val="36BD58D9"/>
    <w:rsid w:val="37E509F8"/>
    <w:rsid w:val="380336E2"/>
    <w:rsid w:val="392C25C1"/>
    <w:rsid w:val="395C7B1C"/>
    <w:rsid w:val="398F1578"/>
    <w:rsid w:val="3A4932C8"/>
    <w:rsid w:val="3BD2303B"/>
    <w:rsid w:val="3E16185E"/>
    <w:rsid w:val="3F336BEF"/>
    <w:rsid w:val="3F632ACB"/>
    <w:rsid w:val="3FAE2E62"/>
    <w:rsid w:val="3FBF4FC3"/>
    <w:rsid w:val="40467668"/>
    <w:rsid w:val="40DB1691"/>
    <w:rsid w:val="42E17B1F"/>
    <w:rsid w:val="45CD598B"/>
    <w:rsid w:val="47F34156"/>
    <w:rsid w:val="49EE06E8"/>
    <w:rsid w:val="4AE64EDD"/>
    <w:rsid w:val="4B5F3058"/>
    <w:rsid w:val="4D502B7F"/>
    <w:rsid w:val="4D815452"/>
    <w:rsid w:val="4FBB4611"/>
    <w:rsid w:val="50381299"/>
    <w:rsid w:val="50806FEB"/>
    <w:rsid w:val="51616E8A"/>
    <w:rsid w:val="518E2EAD"/>
    <w:rsid w:val="52C27E9A"/>
    <w:rsid w:val="52CA5326"/>
    <w:rsid w:val="52CF4409"/>
    <w:rsid w:val="544A0DDA"/>
    <w:rsid w:val="555242D1"/>
    <w:rsid w:val="565F13F5"/>
    <w:rsid w:val="577221C1"/>
    <w:rsid w:val="58181EA3"/>
    <w:rsid w:val="598D49A9"/>
    <w:rsid w:val="5A2C2381"/>
    <w:rsid w:val="5E091FCC"/>
    <w:rsid w:val="5ECB5B20"/>
    <w:rsid w:val="5F7F1E14"/>
    <w:rsid w:val="61BF46A7"/>
    <w:rsid w:val="630C42A3"/>
    <w:rsid w:val="631D3FDF"/>
    <w:rsid w:val="63A76046"/>
    <w:rsid w:val="644609D3"/>
    <w:rsid w:val="65634613"/>
    <w:rsid w:val="65785679"/>
    <w:rsid w:val="68374B0A"/>
    <w:rsid w:val="68533809"/>
    <w:rsid w:val="68D0061A"/>
    <w:rsid w:val="68F015A9"/>
    <w:rsid w:val="692D3ACF"/>
    <w:rsid w:val="69F12B1F"/>
    <w:rsid w:val="6A9748D4"/>
    <w:rsid w:val="6C2E0735"/>
    <w:rsid w:val="6D39123C"/>
    <w:rsid w:val="70364A28"/>
    <w:rsid w:val="70550CC4"/>
    <w:rsid w:val="737A408B"/>
    <w:rsid w:val="73D836ED"/>
    <w:rsid w:val="754033B6"/>
    <w:rsid w:val="754E4B5F"/>
    <w:rsid w:val="7667162E"/>
    <w:rsid w:val="77B65FBA"/>
    <w:rsid w:val="794C4AE0"/>
    <w:rsid w:val="7A5E1FF1"/>
    <w:rsid w:val="7A795183"/>
    <w:rsid w:val="7B413C96"/>
    <w:rsid w:val="7B6277C2"/>
    <w:rsid w:val="7C8256E2"/>
    <w:rsid w:val="7D50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5">
    <w:name w:val="Plain Text"/>
    <w:basedOn w:val="1"/>
    <w:link w:val="25"/>
    <w:qFormat/>
    <w:uiPriority w:val="0"/>
    <w:rPr>
      <w:rFonts w:eastAsia="宋体"/>
      <w:sz w:val="24"/>
      <w:szCs w:val="22"/>
    </w:rPr>
  </w:style>
  <w:style w:type="paragraph" w:styleId="6">
    <w:name w:val="footer"/>
    <w:basedOn w:val="1"/>
    <w:link w:val="24"/>
    <w:qFormat/>
    <w:uiPriority w:val="0"/>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4">
    <w:name w:val="down"/>
    <w:basedOn w:val="9"/>
    <w:qFormat/>
    <w:uiPriority w:val="0"/>
    <w:rPr>
      <w:shd w:val="clear" w:color="auto" w:fill="DAEEF9"/>
    </w:rPr>
  </w:style>
  <w:style w:type="character" w:customStyle="1" w:styleId="15">
    <w:name w:val="sl"/>
    <w:basedOn w:val="9"/>
    <w:qFormat/>
    <w:uiPriority w:val="0"/>
  </w:style>
  <w:style w:type="character" w:customStyle="1" w:styleId="16">
    <w:name w:val="tit1"/>
    <w:basedOn w:val="9"/>
    <w:qFormat/>
    <w:uiPriority w:val="0"/>
  </w:style>
  <w:style w:type="character" w:customStyle="1" w:styleId="17">
    <w:name w:val="sr"/>
    <w:basedOn w:val="9"/>
    <w:qFormat/>
    <w:uiPriority w:val="0"/>
  </w:style>
  <w:style w:type="character" w:customStyle="1" w:styleId="18">
    <w:name w:val="tit"/>
    <w:basedOn w:val="9"/>
    <w:qFormat/>
    <w:uiPriority w:val="0"/>
  </w:style>
  <w:style w:type="character" w:customStyle="1" w:styleId="19">
    <w:name w:val="lsl"/>
    <w:basedOn w:val="9"/>
    <w:qFormat/>
    <w:uiPriority w:val="0"/>
  </w:style>
  <w:style w:type="character" w:customStyle="1" w:styleId="20">
    <w:name w:val="lsr"/>
    <w:basedOn w:val="9"/>
    <w:qFormat/>
    <w:uiPriority w:val="0"/>
  </w:style>
  <w:style w:type="character" w:customStyle="1" w:styleId="21">
    <w:name w:val="down1"/>
    <w:basedOn w:val="9"/>
    <w:qFormat/>
    <w:uiPriority w:val="0"/>
    <w:rPr>
      <w:shd w:val="clear" w:color="auto" w:fill="DAEEF9"/>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页眉 Char"/>
    <w:basedOn w:val="9"/>
    <w:link w:val="7"/>
    <w:qFormat/>
    <w:uiPriority w:val="0"/>
    <w:rPr>
      <w:rFonts w:asciiTheme="minorHAnsi" w:hAnsiTheme="minorHAnsi" w:eastAsiaTheme="minorEastAsia" w:cstheme="minorBidi"/>
      <w:kern w:val="2"/>
      <w:sz w:val="18"/>
      <w:szCs w:val="18"/>
    </w:rPr>
  </w:style>
  <w:style w:type="character" w:customStyle="1" w:styleId="24">
    <w:name w:val="页脚 Char"/>
    <w:basedOn w:val="9"/>
    <w:link w:val="6"/>
    <w:qFormat/>
    <w:uiPriority w:val="0"/>
    <w:rPr>
      <w:rFonts w:asciiTheme="minorHAnsi" w:hAnsiTheme="minorHAnsi" w:eastAsiaTheme="minorEastAsia" w:cstheme="minorBidi"/>
      <w:kern w:val="2"/>
      <w:sz w:val="18"/>
      <w:szCs w:val="18"/>
    </w:rPr>
  </w:style>
  <w:style w:type="character" w:customStyle="1" w:styleId="25">
    <w:name w:val="纯文本 Char"/>
    <w:basedOn w:val="9"/>
    <w:link w:val="5"/>
    <w:qFormat/>
    <w:uiPriority w:val="0"/>
    <w:rPr>
      <w:rFonts w:asciiTheme="minorHAnsi" w:hAnsiTheme="minorHAnsi" w:cstheme="minorBidi"/>
      <w:kern w:val="2"/>
      <w:sz w:val="24"/>
      <w:szCs w:val="22"/>
    </w:rPr>
  </w:style>
  <w:style w:type="paragraph" w:customStyle="1" w:styleId="26">
    <w:name w:val="List Paragraph"/>
    <w:basedOn w:val="1"/>
    <w:unhideWhenUsed/>
    <w:uiPriority w:val="99"/>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594</Words>
  <Characters>3390</Characters>
  <Lines>28</Lines>
  <Paragraphs>7</Paragraphs>
  <ScaleCrop>false</ScaleCrop>
  <LinksUpToDate>false</LinksUpToDate>
  <CharactersWithSpaces>3977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许昌市公共资源交易中心:杨丹丹</cp:lastModifiedBy>
  <dcterms:modified xsi:type="dcterms:W3CDTF">2017-11-14T00:33:54Z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