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 w:cs="黑体"/>
          <w:b/>
          <w:bCs/>
          <w:sz w:val="44"/>
          <w:szCs w:val="44"/>
          <w:lang w:val="zh-CN"/>
        </w:rPr>
      </w:pPr>
      <w:r>
        <w:rPr>
          <w:rFonts w:hint="eastAsia" w:ascii="楷体" w:hAnsi="楷体" w:eastAsia="楷体" w:cs="宋体"/>
          <w:b/>
          <w:bCs/>
          <w:sz w:val="44"/>
          <w:szCs w:val="44"/>
          <w:lang w:val="zh-CN"/>
        </w:rPr>
        <w:t>许昌市规划展览馆</w:t>
      </w:r>
      <w:r>
        <w:rPr>
          <w:rFonts w:hint="eastAsia" w:ascii="楷体" w:hAnsi="楷体" w:eastAsia="楷体" w:cs="宋体"/>
          <w:b/>
          <w:bCs/>
          <w:sz w:val="44"/>
          <w:szCs w:val="44"/>
          <w:lang w:val="en-US" w:eastAsia="zh-CN"/>
        </w:rPr>
        <w:t>总规沙盘模型</w:t>
      </w:r>
      <w:r>
        <w:rPr>
          <w:rFonts w:hint="eastAsia" w:ascii="楷体" w:hAnsi="楷体" w:eastAsia="楷体" w:cs="宋体"/>
          <w:b/>
          <w:bCs/>
          <w:sz w:val="44"/>
          <w:szCs w:val="44"/>
          <w:lang w:val="zh-CN"/>
        </w:rPr>
        <w:t>提升项目采购需求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8"/>
          <w:szCs w:val="28"/>
          <w:lang w:val="zh-CN"/>
        </w:rPr>
      </w:pPr>
      <w:r>
        <w:rPr>
          <w:rFonts w:hint="eastAsia" w:ascii="黑体" w:hAnsi="黑体" w:eastAsia="黑体" w:cs="宋体"/>
          <w:sz w:val="28"/>
          <w:szCs w:val="28"/>
          <w:lang w:val="zh-CN"/>
        </w:rPr>
        <w:t>一、项目基本情况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（一）项目名称：许昌市规划展览馆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总规沙盘模型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提升项目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（二）采购预算：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55.14万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元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）采购方式：竞争性谈判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黑体" w:eastAsia="黑体" w:cs="宋体"/>
          <w:sz w:val="28"/>
          <w:szCs w:val="28"/>
          <w:lang w:val="zh-CN"/>
        </w:rPr>
      </w:pPr>
      <w:r>
        <w:rPr>
          <w:rFonts w:hint="eastAsia" w:ascii="黑体" w:eastAsia="黑体" w:cs="宋体"/>
          <w:sz w:val="28"/>
          <w:szCs w:val="28"/>
          <w:lang w:val="zh-CN"/>
        </w:rPr>
        <w:t>二、供应商资格要求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（一）符合《政府采购法》第二十二条之规定；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（二）本项目不接受联合体投标;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、项目需求</w:t>
      </w:r>
    </w:p>
    <w:tbl>
      <w:tblPr>
        <w:tblStyle w:val="5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86"/>
        <w:gridCol w:w="4799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名称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效果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数量（平方米）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1、总规沙盘整体灯光制作安装</w:t>
            </w:r>
          </w:p>
        </w:tc>
        <w:tc>
          <w:tcPr>
            <w:tcW w:w="17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拆除原有模型灯光</w:t>
            </w:r>
          </w:p>
        </w:tc>
        <w:tc>
          <w:tcPr>
            <w:tcW w:w="47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结合总规大沙盘影片，做好声光电的互动，如下：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1、六大片区片区的分割；（建安区、魏都区、经开区、示范区、东城区、东南片区）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2、城市水系、绿地建设的凸显；（五湖四海三川及城市景观廊道的亮化、凸显和互动）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3、城市道路的亮化和互动；（具体包括城市主干道和次干道及铁路、高速、国道、高铁、快轨的亮化、增加和互动）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重要景观节点的单独显示和配合互动；（城市标志性建筑物、标志性景观如中轴线及四个节点、市政府、各区政府、曹魏古城、曹魏中轴、高铁北组团及保税物流园区、东站组团、邓庄组团、城市公共建筑、学校、医院等）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5、灯光要和建筑功能相匹配，整体协调，观感舒适。</w:t>
            </w:r>
          </w:p>
          <w:p>
            <w:pPr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6、模型所有灯光采用多点互动，能够随着影片内容准确结合。</w:t>
            </w:r>
          </w:p>
          <w:p>
            <w:pPr>
              <w:jc w:val="both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7、沙盘所有灯光全部使用用电电压不超过12伏的灯具，在确保效果的同时，确保用电安全。所有强电电路必须按照消防等相关规范严格执行，强弱电线路排布整齐有序，以便后期灯光调试方便易行。</w:t>
            </w:r>
          </w:p>
        </w:tc>
        <w:tc>
          <w:tcPr>
            <w:tcW w:w="9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依据最新总体规划重新安装沙盘所有灯光，并重新布置线路，按照最新沙盘影片的要求调试灯光，达到良好的互动效果。</w:t>
            </w:r>
          </w:p>
        </w:tc>
        <w:tc>
          <w:tcPr>
            <w:tcW w:w="47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2、总规沙盘部分模型的制作</w:t>
            </w:r>
          </w:p>
        </w:tc>
        <w:tc>
          <w:tcPr>
            <w:tcW w:w="1786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主要包括：城市中轴线（局部）、高铁北组团及保税物流园区、许东生态城（局部）、万达广场、东站航站楼及标志性建筑、体育中心、各区（政府）管委会周边建筑、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各区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其他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高层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建筑等</w:t>
            </w:r>
          </w:p>
        </w:tc>
        <w:tc>
          <w:tcPr>
            <w:tcW w:w="4799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表面拆除。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2、在原有位置上重新设计制作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1:80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的等比例缩小模型，所有模型按照城市设计制作，要求所有建筑物模型安装灯光，商业区域与住宅区域在表现手法上有所区分。采用电脑制图、雕刻，ABS工程塑料、高精密亚克力等材质，确保模型色彩真实、防火、耐高温、不易变形等。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3、总规沙盘模型绿化、水系提升及整体模型修补更新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总体规划大沙盘草地铲除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重新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制作</w:t>
            </w:r>
          </w:p>
        </w:tc>
        <w:tc>
          <w:tcPr>
            <w:tcW w:w="4799" w:type="dxa"/>
            <w:vMerge w:val="restart"/>
            <w:vAlign w:val="center"/>
          </w:tcPr>
          <w:p>
            <w:pPr>
              <w:ind w:firstLine="180" w:firstLineChars="10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城市沙盘景观绿化更新置换，颜色协调能够凸显以“绿”荫城特色，具体如下：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1、结合2015-2030年许昌市总体规划，重新设计总体景观；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2、五湖四海三川及城市景观廊道的绿化（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包括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芙蓉湖、鹿鸣湖、秋湖湿地、霸陵湖、北海、西北林海、北部林海、西南林海、东南林海、霸陵河、饮马河、清潩河、京广高铁周边城市绿廊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3、沙盘绿地铲除和重新制作；</w:t>
            </w:r>
          </w:p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4、沙盘所有园林环境和道路绿化等重新清洗、修补和制作；</w:t>
            </w:r>
          </w:p>
          <w:p>
            <w:pPr>
              <w:jc w:val="both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5、沙盘所有建筑的修复、清洗、颜色恢复如新；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园林环境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重新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制作</w:t>
            </w:r>
          </w:p>
        </w:tc>
        <w:tc>
          <w:tcPr>
            <w:tcW w:w="4799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建筑修补、清洗和色彩恢复</w:t>
            </w:r>
          </w:p>
        </w:tc>
        <w:tc>
          <w:tcPr>
            <w:tcW w:w="479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4、声光电控制程序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声光电多体互动控制系统</w:t>
            </w:r>
          </w:p>
        </w:tc>
        <w:tc>
          <w:tcPr>
            <w:tcW w:w="4799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根据最新影片内容控制整个沙盘灯光、舞台灯光、影片、音响等配套设施的互动、实现声光电的完美配合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1套</w:t>
            </w:r>
          </w:p>
        </w:tc>
      </w:tr>
    </w:tbl>
    <w:p>
      <w:pPr>
        <w:pStyle w:val="2"/>
        <w:shd w:val="clear" w:color="auto" w:fill="FFFFFF"/>
        <w:spacing w:beforeAutospacing="0" w:afterAutospacing="0" w:line="440" w:lineRule="exact"/>
        <w:ind w:firstLine="503"/>
        <w:rPr>
          <w:rFonts w:hint="eastAsia" w:ascii="宋体" w:cs="宋体"/>
          <w:b/>
          <w:bCs/>
          <w:lang w:val="zh-CN"/>
        </w:rPr>
      </w:pPr>
      <w:r>
        <w:rPr>
          <w:rFonts w:hint="eastAsia" w:ascii="宋体" w:cs="宋体"/>
          <w:b/>
          <w:bCs/>
          <w:lang w:val="zh-CN"/>
        </w:rPr>
        <w:t>四、其它要求</w:t>
      </w:r>
    </w:p>
    <w:p>
      <w:pPr>
        <w:pStyle w:val="2"/>
        <w:shd w:val="clear" w:color="auto" w:fill="FFFFFF"/>
        <w:spacing w:beforeAutospacing="0" w:afterAutospacing="0" w:line="440" w:lineRule="exact"/>
        <w:ind w:firstLine="503"/>
        <w:rPr>
          <w:rFonts w:hint="eastAsia" w:ascii="宋体" w:hAnsi="宋体"/>
          <w:b/>
          <w:bCs/>
        </w:rPr>
      </w:pPr>
      <w:r>
        <w:rPr>
          <w:rFonts w:hint="eastAsia" w:ascii="宋体" w:cs="宋体"/>
          <w:lang w:val="en-US" w:eastAsia="zh-CN"/>
        </w:rPr>
        <w:t>1</w:t>
      </w:r>
      <w:r>
        <w:rPr>
          <w:rFonts w:hint="eastAsia" w:ascii="宋体" w:cs="宋体"/>
          <w:lang w:val="zh-CN"/>
        </w:rPr>
        <w:t>、</w:t>
      </w:r>
      <w:r>
        <w:rPr>
          <w:rFonts w:hint="eastAsia" w:ascii="宋体" w:hAnsi="宋体"/>
        </w:rPr>
        <w:t>付款方式</w:t>
      </w:r>
      <w:r>
        <w:rPr>
          <w:rFonts w:hint="eastAsia" w:ascii="宋体" w:hAnsi="宋体"/>
          <w:b/>
          <w:bCs/>
        </w:rPr>
        <w:t>（不响应者为无效投标）</w:t>
      </w:r>
    </w:p>
    <w:p>
      <w:pPr>
        <w:pStyle w:val="2"/>
        <w:shd w:val="clear" w:color="auto" w:fill="FFFFFF"/>
        <w:spacing w:beforeAutospacing="0" w:afterAutospacing="0" w:line="440" w:lineRule="exact"/>
        <w:ind w:firstLine="503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>经验收合格付合同总价款的90%剩余10%满一年无质量问题一次付清。</w:t>
      </w:r>
    </w:p>
    <w:p>
      <w:pPr>
        <w:pStyle w:val="2"/>
        <w:numPr>
          <w:ilvl w:val="0"/>
          <w:numId w:val="2"/>
        </w:numPr>
        <w:shd w:val="clear" w:color="auto" w:fill="FFFFFF"/>
        <w:spacing w:beforeAutospacing="0" w:afterAutospacing="0" w:line="440" w:lineRule="exact"/>
        <w:ind w:firstLine="503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>采购预算：</w:t>
      </w:r>
      <w:r>
        <w:rPr>
          <w:rFonts w:hint="eastAsia" w:ascii="宋体" w:hAnsi="宋体"/>
          <w:szCs w:val="22"/>
          <w:lang w:val="en-US" w:eastAsia="zh-CN"/>
        </w:rPr>
        <w:t>55.14</w:t>
      </w:r>
      <w:r>
        <w:rPr>
          <w:rFonts w:hint="eastAsia" w:ascii="宋体" w:hAnsi="宋体"/>
          <w:szCs w:val="22"/>
        </w:rPr>
        <w:t>万元；超出者为无效投标。</w:t>
      </w:r>
    </w:p>
    <w:p>
      <w:pPr>
        <w:pStyle w:val="2"/>
        <w:numPr>
          <w:ilvl w:val="0"/>
          <w:numId w:val="0"/>
        </w:numPr>
        <w:shd w:val="clear" w:color="auto" w:fill="FFFFFF"/>
        <w:spacing w:beforeAutospacing="0" w:afterAutospacing="0" w:line="440" w:lineRule="exact"/>
        <w:rPr>
          <w:rFonts w:hint="eastAsia" w:ascii="宋体" w:hAnsi="宋体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7106"/>
    <w:multiLevelType w:val="singleLevel"/>
    <w:tmpl w:val="59E471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11191"/>
    <w:multiLevelType w:val="singleLevel"/>
    <w:tmpl w:val="5A01119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03FFD"/>
    <w:rsid w:val="03C03FFD"/>
    <w:rsid w:val="04001E98"/>
    <w:rsid w:val="053642EA"/>
    <w:rsid w:val="068D0C00"/>
    <w:rsid w:val="08570231"/>
    <w:rsid w:val="0A1B7AA6"/>
    <w:rsid w:val="0D8F4D08"/>
    <w:rsid w:val="0E2224C0"/>
    <w:rsid w:val="0F495B88"/>
    <w:rsid w:val="114879E8"/>
    <w:rsid w:val="1B1C0DEA"/>
    <w:rsid w:val="1DBF7764"/>
    <w:rsid w:val="2B1D709B"/>
    <w:rsid w:val="2C7751FD"/>
    <w:rsid w:val="31C11E71"/>
    <w:rsid w:val="34D330DA"/>
    <w:rsid w:val="36624068"/>
    <w:rsid w:val="380A1C44"/>
    <w:rsid w:val="3B021A74"/>
    <w:rsid w:val="3BFE7338"/>
    <w:rsid w:val="4279730D"/>
    <w:rsid w:val="481D1F10"/>
    <w:rsid w:val="4D8E4E5D"/>
    <w:rsid w:val="52845D0A"/>
    <w:rsid w:val="5C207B6D"/>
    <w:rsid w:val="67127649"/>
    <w:rsid w:val="76F55C36"/>
    <w:rsid w:val="7D8C20BA"/>
    <w:rsid w:val="7DE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2017-10-23T08:12:00Z</dcterms:created>
  <dc:creator>dell</dc:creator>
  <cp:lastModifiedBy>dell</cp:lastModifiedBy>
  <cp:lastPrinted>2017-11-07T04:00:00Z</cp:lastPrinted>
  <dcterms:modified xsi:type="dcterms:W3CDTF">2017-11-07T07:12:03Z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