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480" w:firstLine="2150" w:firstLineChars="595"/>
        <w:rPr>
          <w:rFonts w:ascii="黑体" w:hAnsi="宋体" w:eastAsia="黑体"/>
          <w:b/>
          <w:sz w:val="36"/>
          <w:szCs w:val="28"/>
        </w:rPr>
      </w:pPr>
      <w:r>
        <w:rPr>
          <w:rFonts w:hint="eastAsia" w:ascii="黑体" w:hAnsi="宋体" w:eastAsia="黑体"/>
          <w:b/>
          <w:sz w:val="36"/>
          <w:szCs w:val="28"/>
        </w:rPr>
        <w:t>健身器材采购项目</w:t>
      </w:r>
      <w:bookmarkStart w:id="0" w:name="_Toc171762333"/>
      <w:bookmarkStart w:id="1" w:name="_Toc277945144"/>
      <w:bookmarkStart w:id="2" w:name="_Toc165271805"/>
      <w:bookmarkStart w:id="3" w:name="_Toc215222885"/>
      <w:bookmarkStart w:id="4" w:name="_Toc213257067"/>
      <w:bookmarkStart w:id="5" w:name="_Toc165272715"/>
      <w:r>
        <w:rPr>
          <w:rFonts w:hint="eastAsia" w:ascii="黑体" w:hAnsi="宋体" w:eastAsia="黑体"/>
          <w:b/>
          <w:sz w:val="36"/>
          <w:szCs w:val="28"/>
        </w:rPr>
        <w:t>招标</w:t>
      </w:r>
    </w:p>
    <w:p>
      <w:pPr>
        <w:snapToGrid w:val="0"/>
        <w:spacing w:line="360" w:lineRule="auto"/>
        <w:ind w:right="480" w:firstLine="2150" w:firstLineChars="595"/>
        <w:rPr>
          <w:rFonts w:ascii="黑体" w:hAnsi="宋体" w:eastAsia="黑体"/>
          <w:b/>
          <w:sz w:val="36"/>
          <w:szCs w:val="28"/>
        </w:rPr>
      </w:pPr>
    </w:p>
    <w:p>
      <w:pPr>
        <w:pStyle w:val="85"/>
        <w:numPr>
          <w:ilvl w:val="0"/>
          <w:numId w:val="1"/>
        </w:numPr>
        <w:snapToGrid w:val="0"/>
        <w:spacing w:line="360" w:lineRule="auto"/>
        <w:ind w:right="480" w:firstLineChars="0"/>
        <w:rPr>
          <w:rFonts w:ascii="黑体" w:hAnsi="宋体" w:eastAsia="黑体"/>
          <w:b/>
          <w:sz w:val="24"/>
        </w:rPr>
      </w:pPr>
      <w:r>
        <w:rPr>
          <w:rFonts w:hint="eastAsia" w:ascii="黑体" w:hAnsi="宋体" w:eastAsia="黑体"/>
          <w:b/>
          <w:sz w:val="24"/>
        </w:rPr>
        <w:t>供应商资格要求</w:t>
      </w:r>
    </w:p>
    <w:p>
      <w:pPr>
        <w:spacing w:line="360" w:lineRule="auto"/>
        <w:rPr>
          <w:rFonts w:ascii="楷体" w:hAnsi="楷体" w:eastAsia="楷体"/>
          <w:sz w:val="28"/>
          <w:szCs w:val="32"/>
        </w:rPr>
      </w:pPr>
      <w:r>
        <w:rPr>
          <w:rFonts w:hint="eastAsia" w:ascii="楷体" w:hAnsi="楷体" w:eastAsia="楷体"/>
          <w:sz w:val="28"/>
          <w:szCs w:val="32"/>
        </w:rPr>
        <w:t>（一）符合《政府采购法》第二十二条之规定；</w:t>
      </w:r>
    </w:p>
    <w:p>
      <w:pPr>
        <w:spacing w:line="360" w:lineRule="auto"/>
        <w:rPr>
          <w:rFonts w:ascii="楷体" w:hAnsi="楷体" w:eastAsia="楷体"/>
          <w:sz w:val="28"/>
          <w:szCs w:val="32"/>
        </w:rPr>
      </w:pPr>
      <w:r>
        <w:rPr>
          <w:rFonts w:hint="eastAsia" w:ascii="楷体" w:hAnsi="楷体" w:eastAsia="楷体"/>
          <w:sz w:val="28"/>
          <w:szCs w:val="32"/>
        </w:rPr>
        <w:t>（二）投标人必须是生产厂家，且所投产品是本生产厂家的产品（灯柱、灯除外）；</w:t>
      </w:r>
    </w:p>
    <w:p>
      <w:pPr>
        <w:spacing w:line="360" w:lineRule="auto"/>
        <w:rPr>
          <w:rFonts w:ascii="楷体" w:hAnsi="楷体" w:eastAsia="楷体"/>
          <w:sz w:val="28"/>
          <w:szCs w:val="32"/>
        </w:rPr>
      </w:pPr>
      <w:r>
        <w:rPr>
          <w:rFonts w:hint="eastAsia" w:ascii="楷体" w:hAnsi="楷体" w:eastAsia="楷体"/>
          <w:sz w:val="28"/>
          <w:szCs w:val="32"/>
        </w:rPr>
        <w:t>（三）不接受联合体投标。</w:t>
      </w:r>
    </w:p>
    <w:p>
      <w:pPr>
        <w:spacing w:line="360" w:lineRule="auto"/>
        <w:rPr>
          <w:rFonts w:ascii="楷体" w:hAnsi="楷体" w:eastAsia="楷体"/>
          <w:sz w:val="28"/>
          <w:szCs w:val="32"/>
        </w:rPr>
      </w:pPr>
      <w:r>
        <w:rPr>
          <w:rFonts w:hint="eastAsia" w:ascii="楷体" w:hAnsi="楷体" w:eastAsia="楷体"/>
          <w:sz w:val="28"/>
          <w:szCs w:val="32"/>
        </w:rPr>
        <w:t>（四）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加本项目政府采购活动。</w:t>
      </w:r>
    </w:p>
    <w:p>
      <w:pPr>
        <w:spacing w:line="360" w:lineRule="auto"/>
        <w:rPr>
          <w:rFonts w:ascii="楷体" w:hAnsi="楷体" w:eastAsia="楷体"/>
          <w:sz w:val="28"/>
          <w:szCs w:val="32"/>
        </w:rPr>
      </w:pPr>
    </w:p>
    <w:p>
      <w:pPr>
        <w:autoSpaceDE w:val="0"/>
        <w:autoSpaceDN w:val="0"/>
        <w:adjustRightInd w:val="0"/>
        <w:snapToGrid w:val="0"/>
        <w:spacing w:line="360" w:lineRule="auto"/>
        <w:rPr>
          <w:rFonts w:ascii="黑体" w:hAnsi="黑体" w:eastAsia="黑体" w:cs="宋体"/>
          <w:b/>
          <w:sz w:val="24"/>
          <w:lang w:val="zh-CN"/>
        </w:rPr>
      </w:pPr>
      <w:r>
        <w:rPr>
          <w:rFonts w:hint="eastAsia" w:ascii="黑体" w:hAnsi="黑体" w:eastAsia="黑体" w:cs="宋体"/>
          <w:b/>
          <w:sz w:val="24"/>
          <w:lang w:val="zh-CN"/>
        </w:rPr>
        <w:t>二、货物需求和其他要求</w:t>
      </w:r>
    </w:p>
    <w:p>
      <w:pPr>
        <w:autoSpaceDE w:val="0"/>
        <w:autoSpaceDN w:val="0"/>
        <w:adjustRightInd w:val="0"/>
        <w:snapToGrid w:val="0"/>
        <w:spacing w:line="360" w:lineRule="auto"/>
        <w:rPr>
          <w:rFonts w:ascii="黑体" w:hAnsi="黑体" w:eastAsia="黑体" w:cs="宋体"/>
          <w:b/>
          <w:sz w:val="24"/>
          <w:lang w:val="zh-CN"/>
        </w:rPr>
      </w:pPr>
      <w:r>
        <w:rPr>
          <w:rFonts w:hint="eastAsia" w:ascii="黑体" w:hAnsi="黑体" w:eastAsia="黑体" w:cs="宋体"/>
          <w:b/>
          <w:sz w:val="24"/>
          <w:lang w:val="zh-CN"/>
        </w:rPr>
        <w:t>（一）货物需求</w:t>
      </w:r>
    </w:p>
    <w:p>
      <w:pPr>
        <w:autoSpaceDE w:val="0"/>
        <w:autoSpaceDN w:val="0"/>
        <w:adjustRightInd w:val="0"/>
        <w:snapToGrid w:val="0"/>
        <w:spacing w:line="360" w:lineRule="auto"/>
        <w:ind w:left="510"/>
        <w:rPr>
          <w:rFonts w:cs="宋体" w:asciiTheme="minorEastAsia" w:hAnsiTheme="minorEastAsia" w:eastAsiaTheme="minorEastAsia"/>
          <w:b/>
          <w:sz w:val="24"/>
          <w:lang w:val="zh-CN"/>
        </w:rPr>
      </w:pPr>
      <w:r>
        <w:rPr>
          <w:rFonts w:hint="eastAsia" w:cs="宋体" w:asciiTheme="minorEastAsia" w:hAnsiTheme="minorEastAsia" w:eastAsiaTheme="minorEastAsia"/>
          <w:b/>
          <w:sz w:val="24"/>
          <w:lang w:val="zh-CN"/>
        </w:rPr>
        <w:t>A包：农民体育健身工程</w:t>
      </w:r>
    </w:p>
    <w:tbl>
      <w:tblPr>
        <w:tblStyle w:val="37"/>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50"/>
        <w:gridCol w:w="6662"/>
        <w:gridCol w:w="85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序号</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名称</w:t>
            </w:r>
          </w:p>
        </w:tc>
        <w:tc>
          <w:tcPr>
            <w:tcW w:w="6662"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主要技术参数及规格</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单位</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150" w:type="dxa"/>
            <w:vAlign w:val="center"/>
          </w:tcPr>
          <w:p>
            <w:pPr>
              <w:widowControl/>
              <w:spacing w:line="360" w:lineRule="auto"/>
              <w:jc w:val="center"/>
              <w:textAlignment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篮球架</w:t>
            </w:r>
          </w:p>
          <w:p>
            <w:pPr>
              <w:widowControl/>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color w:val="000000"/>
                <w:sz w:val="24"/>
              </w:rPr>
              <w:t>(一套2支)</w:t>
            </w:r>
          </w:p>
        </w:tc>
        <w:tc>
          <w:tcPr>
            <w:tcW w:w="6662" w:type="dxa"/>
            <w:vAlign w:val="bottom"/>
          </w:tcPr>
          <w:p>
            <w:pPr>
              <w:pStyle w:val="30"/>
              <w:spacing w:before="0" w:after="0" w:line="360" w:lineRule="auto"/>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1.</w:t>
            </w:r>
            <w:r>
              <w:rPr>
                <w:rFonts w:hint="eastAsia" w:asciiTheme="minorEastAsia" w:hAnsiTheme="minorEastAsia" w:eastAsiaTheme="minorEastAsia"/>
                <w:b w:val="0"/>
                <w:bCs w:val="0"/>
                <w:color w:val="000000"/>
                <w:sz w:val="24"/>
                <w:szCs w:val="24"/>
              </w:rPr>
              <w:t>主要承载立柱尺寸不小于φ</w:t>
            </w:r>
            <w:r>
              <w:rPr>
                <w:rFonts w:asciiTheme="minorEastAsia" w:hAnsiTheme="minorEastAsia" w:eastAsiaTheme="minorEastAsia"/>
                <w:b w:val="0"/>
                <w:bCs w:val="0"/>
                <w:color w:val="000000"/>
                <w:sz w:val="24"/>
                <w:szCs w:val="24"/>
              </w:rPr>
              <w:t>165mm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4mm</w:t>
            </w:r>
            <w:r>
              <w:rPr>
                <w:rFonts w:hint="eastAsia" w:asciiTheme="minorEastAsia" w:hAnsiTheme="minorEastAsia" w:eastAsiaTheme="minorEastAsia"/>
                <w:b w:val="0"/>
                <w:bCs w:val="0"/>
                <w:color w:val="000000"/>
                <w:sz w:val="24"/>
                <w:szCs w:val="24"/>
              </w:rPr>
              <w:t>定制的优质圆钢管整体弯制而成；</w:t>
            </w:r>
          </w:p>
          <w:p>
            <w:pPr>
              <w:pStyle w:val="30"/>
              <w:spacing w:before="0" w:after="0" w:line="360" w:lineRule="auto"/>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2.</w:t>
            </w:r>
            <w:r>
              <w:rPr>
                <w:rFonts w:hint="eastAsia" w:asciiTheme="minorEastAsia" w:hAnsiTheme="minorEastAsia" w:eastAsiaTheme="minorEastAsia"/>
                <w:b w:val="0"/>
                <w:bCs w:val="0"/>
                <w:color w:val="000000"/>
                <w:sz w:val="24"/>
                <w:szCs w:val="24"/>
              </w:rPr>
              <w:t>篮板符合</w:t>
            </w:r>
            <w:r>
              <w:rPr>
                <w:rFonts w:asciiTheme="minorEastAsia" w:hAnsiTheme="minorEastAsia" w:eastAsiaTheme="minorEastAsia"/>
                <w:b w:val="0"/>
                <w:bCs w:val="0"/>
                <w:color w:val="000000"/>
                <w:sz w:val="24"/>
                <w:szCs w:val="24"/>
              </w:rPr>
              <w:t>GB 19272-2011</w:t>
            </w:r>
            <w:r>
              <w:rPr>
                <w:rFonts w:hint="eastAsia" w:asciiTheme="minorEastAsia" w:hAnsiTheme="minorEastAsia" w:eastAsiaTheme="minorEastAsia"/>
                <w:b w:val="0"/>
                <w:bCs w:val="0"/>
                <w:color w:val="000000"/>
                <w:sz w:val="24"/>
                <w:szCs w:val="24"/>
              </w:rPr>
              <w:t>中</w:t>
            </w:r>
            <w:r>
              <w:rPr>
                <w:rFonts w:asciiTheme="minorEastAsia" w:hAnsiTheme="minorEastAsia" w:eastAsiaTheme="minorEastAsia"/>
                <w:b w:val="0"/>
                <w:bCs w:val="0"/>
                <w:color w:val="000000"/>
                <w:sz w:val="24"/>
                <w:szCs w:val="24"/>
              </w:rPr>
              <w:t>5.12.1.3</w:t>
            </w:r>
            <w:r>
              <w:rPr>
                <w:rFonts w:hint="eastAsia" w:asciiTheme="minorEastAsia" w:hAnsiTheme="minorEastAsia" w:eastAsiaTheme="minorEastAsia"/>
                <w:b w:val="0"/>
                <w:bCs w:val="0"/>
                <w:color w:val="000000"/>
                <w:sz w:val="24"/>
                <w:szCs w:val="24"/>
              </w:rPr>
              <w:t>的要求：</w:t>
            </w:r>
            <w:r>
              <w:rPr>
                <w:rFonts w:hint="eastAsia" w:asciiTheme="minorEastAsia" w:hAnsiTheme="minorEastAsia" w:eastAsiaTheme="minorEastAsia"/>
                <w:b w:val="0"/>
                <w:sz w:val="24"/>
                <w:szCs w:val="24"/>
              </w:rPr>
              <w:t>篮板应选用</w:t>
            </w:r>
            <w:r>
              <w:rPr>
                <w:rFonts w:asciiTheme="minorEastAsia" w:hAnsiTheme="minorEastAsia" w:eastAsiaTheme="minorEastAsia"/>
                <w:b w:val="0"/>
                <w:sz w:val="24"/>
                <w:szCs w:val="24"/>
              </w:rPr>
              <w:t>GB19272-2011</w:t>
            </w:r>
            <w:r>
              <w:rPr>
                <w:rFonts w:hint="eastAsia" w:asciiTheme="minorEastAsia" w:hAnsiTheme="minorEastAsia" w:eastAsiaTheme="minorEastAsia"/>
                <w:b w:val="0"/>
                <w:sz w:val="24"/>
                <w:szCs w:val="24"/>
              </w:rPr>
              <w:t>中</w:t>
            </w:r>
            <w:r>
              <w:rPr>
                <w:rFonts w:asciiTheme="minorEastAsia" w:hAnsiTheme="minorEastAsia" w:eastAsiaTheme="minorEastAsia"/>
                <w:b w:val="0"/>
                <w:sz w:val="24"/>
                <w:szCs w:val="24"/>
              </w:rPr>
              <w:t>5.12.1.3.2</w:t>
            </w:r>
            <w:r>
              <w:rPr>
                <w:rFonts w:hint="eastAsia" w:asciiTheme="minorEastAsia" w:hAnsiTheme="minorEastAsia" w:eastAsiaTheme="minorEastAsia"/>
                <w:b w:val="0"/>
                <w:sz w:val="24"/>
                <w:szCs w:val="24"/>
              </w:rPr>
              <w:t>规定的</w:t>
            </w:r>
            <w:r>
              <w:rPr>
                <w:rFonts w:asciiTheme="minorEastAsia" w:hAnsiTheme="minorEastAsia" w:eastAsiaTheme="minorEastAsia"/>
                <w:b w:val="0"/>
                <w:sz w:val="24"/>
                <w:szCs w:val="24"/>
              </w:rPr>
              <w:t>1800mm</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1050mm</w:t>
            </w:r>
            <w:r>
              <w:rPr>
                <w:rFonts w:hint="eastAsia" w:asciiTheme="minorEastAsia" w:hAnsiTheme="minorEastAsia" w:eastAsiaTheme="minorEastAsia"/>
                <w:b w:val="0"/>
                <w:sz w:val="24"/>
                <w:szCs w:val="24"/>
              </w:rPr>
              <w:t>的矩形篮板（材质为</w:t>
            </w:r>
            <w:r>
              <w:rPr>
                <w:rFonts w:asciiTheme="minorEastAsia" w:hAnsiTheme="minorEastAsia" w:eastAsiaTheme="minorEastAsia"/>
                <w:b w:val="0"/>
                <w:sz w:val="24"/>
                <w:szCs w:val="24"/>
              </w:rPr>
              <w:t>SMC</w:t>
            </w:r>
            <w:r>
              <w:rPr>
                <w:rFonts w:hint="eastAsia" w:asciiTheme="minorEastAsia" w:hAnsiTheme="minorEastAsia" w:eastAsiaTheme="minorEastAsia"/>
                <w:b w:val="0"/>
                <w:sz w:val="24"/>
                <w:szCs w:val="24"/>
              </w:rPr>
              <w:t>），篮板面板厚度为</w:t>
            </w:r>
            <w:r>
              <w:rPr>
                <w:rFonts w:asciiTheme="minorEastAsia" w:hAnsiTheme="minorEastAsia" w:eastAsiaTheme="minorEastAsia"/>
                <w:b w:val="0"/>
                <w:sz w:val="24"/>
                <w:szCs w:val="24"/>
              </w:rPr>
              <w:t>5mm</w:t>
            </w:r>
            <w:r>
              <w:rPr>
                <w:rFonts w:hint="eastAsia" w:asciiTheme="minorEastAsia" w:hAnsiTheme="minorEastAsia" w:eastAsiaTheme="minorEastAsia"/>
                <w:b w:val="0"/>
                <w:sz w:val="24"/>
                <w:szCs w:val="24"/>
              </w:rPr>
              <w:t>，翻边宽度为</w:t>
            </w:r>
            <w:r>
              <w:rPr>
                <w:rFonts w:asciiTheme="minorEastAsia" w:hAnsiTheme="minorEastAsia" w:eastAsiaTheme="minorEastAsia"/>
                <w:b w:val="0"/>
                <w:sz w:val="24"/>
                <w:szCs w:val="24"/>
              </w:rPr>
              <w:t>50mm</w:t>
            </w:r>
            <w:r>
              <w:rPr>
                <w:rFonts w:hint="eastAsia" w:asciiTheme="minorEastAsia" w:hAnsiTheme="minorEastAsia" w:eastAsiaTheme="minorEastAsia"/>
                <w:b w:val="0"/>
                <w:sz w:val="24"/>
                <w:szCs w:val="24"/>
              </w:rPr>
              <w:t>，翻边厚度为</w:t>
            </w:r>
            <w:r>
              <w:rPr>
                <w:rFonts w:asciiTheme="minorEastAsia" w:hAnsiTheme="minorEastAsia" w:eastAsiaTheme="minorEastAsia"/>
                <w:b w:val="0"/>
                <w:sz w:val="24"/>
                <w:szCs w:val="24"/>
              </w:rPr>
              <w:t>7.8mm</w:t>
            </w:r>
            <w:r>
              <w:rPr>
                <w:rFonts w:hint="eastAsia" w:asciiTheme="minorEastAsia" w:hAnsiTheme="minorEastAsia" w:eastAsiaTheme="minorEastAsia"/>
                <w:b w:val="0"/>
                <w:sz w:val="24"/>
                <w:szCs w:val="24"/>
              </w:rPr>
              <w:t>，背面用“井”字形加强筋，加强筋厚度为不低于</w:t>
            </w:r>
            <w:r>
              <w:rPr>
                <w:rFonts w:asciiTheme="minorEastAsia" w:hAnsiTheme="minorEastAsia" w:eastAsiaTheme="minorEastAsia"/>
                <w:b w:val="0"/>
                <w:sz w:val="24"/>
                <w:szCs w:val="24"/>
              </w:rPr>
              <w:t>5mm</w:t>
            </w:r>
            <w:r>
              <w:rPr>
                <w:rFonts w:hint="eastAsia" w:asciiTheme="minorEastAsia" w:hAnsiTheme="minorEastAsia" w:eastAsiaTheme="minorEastAsia"/>
                <w:b w:val="0"/>
                <w:sz w:val="24"/>
                <w:szCs w:val="24"/>
              </w:rPr>
              <w:t>；篮板的质量应满足</w:t>
            </w:r>
            <w:r>
              <w:rPr>
                <w:rFonts w:asciiTheme="minorEastAsia" w:hAnsiTheme="minorEastAsia" w:eastAsiaTheme="minorEastAsia"/>
                <w:b w:val="0"/>
                <w:sz w:val="24"/>
                <w:szCs w:val="24"/>
              </w:rPr>
              <w:t>GB19272-2011</w:t>
            </w:r>
            <w:r>
              <w:rPr>
                <w:rFonts w:hint="eastAsia" w:asciiTheme="minorEastAsia" w:hAnsiTheme="minorEastAsia" w:eastAsiaTheme="minorEastAsia"/>
                <w:b w:val="0"/>
                <w:sz w:val="24"/>
                <w:szCs w:val="24"/>
              </w:rPr>
              <w:t>中</w:t>
            </w:r>
            <w:r>
              <w:rPr>
                <w:rFonts w:asciiTheme="minorEastAsia" w:hAnsiTheme="minorEastAsia" w:eastAsiaTheme="minorEastAsia"/>
                <w:b w:val="0"/>
                <w:sz w:val="24"/>
                <w:szCs w:val="24"/>
              </w:rPr>
              <w:t>5.12.1.3.3</w:t>
            </w:r>
            <w:r>
              <w:rPr>
                <w:rFonts w:hint="eastAsia" w:asciiTheme="minorEastAsia" w:hAnsiTheme="minorEastAsia" w:eastAsiaTheme="minorEastAsia"/>
                <w:b w:val="0"/>
                <w:sz w:val="24"/>
                <w:szCs w:val="24"/>
              </w:rPr>
              <w:t>条至</w:t>
            </w:r>
            <w:r>
              <w:rPr>
                <w:rFonts w:asciiTheme="minorEastAsia" w:hAnsiTheme="minorEastAsia" w:eastAsiaTheme="minorEastAsia"/>
                <w:b w:val="0"/>
                <w:sz w:val="24"/>
                <w:szCs w:val="24"/>
              </w:rPr>
              <w:t>5.12.1.3.6</w:t>
            </w:r>
            <w:r>
              <w:rPr>
                <w:rFonts w:hint="eastAsia" w:asciiTheme="minorEastAsia" w:hAnsiTheme="minorEastAsia" w:eastAsiaTheme="minorEastAsia"/>
                <w:b w:val="0"/>
                <w:sz w:val="24"/>
                <w:szCs w:val="24"/>
              </w:rPr>
              <w:t>条的要求；矩形篮板背部连接有不少于</w:t>
            </w:r>
            <w:r>
              <w:rPr>
                <w:rFonts w:asciiTheme="minorEastAsia" w:hAnsiTheme="minorEastAsia" w:eastAsiaTheme="minorEastAsia"/>
                <w:b w:val="0"/>
                <w:sz w:val="24"/>
                <w:szCs w:val="24"/>
              </w:rPr>
              <w:t>5</w:t>
            </w:r>
            <w:r>
              <w:rPr>
                <w:rFonts w:hint="eastAsia" w:asciiTheme="minorEastAsia" w:hAnsiTheme="minorEastAsia" w:eastAsiaTheme="minorEastAsia"/>
                <w:b w:val="0"/>
                <w:sz w:val="24"/>
                <w:szCs w:val="24"/>
              </w:rPr>
              <w:t>点的连接安装位置，且安装位置尺寸符合</w:t>
            </w:r>
            <w:r>
              <w:rPr>
                <w:rFonts w:asciiTheme="minorEastAsia" w:hAnsiTheme="minorEastAsia" w:eastAsiaTheme="minorEastAsia"/>
                <w:b w:val="0"/>
                <w:sz w:val="24"/>
                <w:szCs w:val="24"/>
              </w:rPr>
              <w:t>GB19272-2011</w:t>
            </w:r>
            <w:r>
              <w:rPr>
                <w:rFonts w:hint="eastAsia" w:asciiTheme="minorEastAsia" w:hAnsiTheme="minorEastAsia" w:eastAsiaTheme="minorEastAsia"/>
                <w:b w:val="0"/>
                <w:sz w:val="24"/>
                <w:szCs w:val="24"/>
              </w:rPr>
              <w:t>中图</w:t>
            </w:r>
            <w:r>
              <w:rPr>
                <w:rFonts w:asciiTheme="minorEastAsia" w:hAnsiTheme="minorEastAsia" w:eastAsiaTheme="minorEastAsia"/>
                <w:b w:val="0"/>
                <w:sz w:val="24"/>
                <w:szCs w:val="24"/>
              </w:rPr>
              <w:t>21a</w:t>
            </w:r>
            <w:r>
              <w:rPr>
                <w:rFonts w:hint="eastAsia" w:asciiTheme="minorEastAsia" w:hAnsiTheme="minorEastAsia" w:eastAsiaTheme="minorEastAsia"/>
                <w:b w:val="0"/>
                <w:sz w:val="24"/>
                <w:szCs w:val="24"/>
              </w:rPr>
              <w:t>）的要求；</w:t>
            </w:r>
          </w:p>
          <w:p>
            <w:pPr>
              <w:pStyle w:val="30"/>
              <w:spacing w:before="0" w:after="0" w:line="360" w:lineRule="auto"/>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3.</w:t>
            </w:r>
            <w:r>
              <w:rPr>
                <w:rFonts w:hint="eastAsia" w:asciiTheme="minorEastAsia" w:hAnsiTheme="minorEastAsia" w:eastAsiaTheme="minorEastAsia"/>
                <w:b w:val="0"/>
                <w:bCs w:val="0"/>
                <w:color w:val="000000"/>
                <w:sz w:val="24"/>
                <w:szCs w:val="24"/>
              </w:rPr>
              <w:t>具有调节篮板垂直度的结构：</w:t>
            </w:r>
            <w:r>
              <w:rPr>
                <w:rFonts w:hint="eastAsia" w:asciiTheme="minorEastAsia" w:hAnsiTheme="minorEastAsia" w:eastAsiaTheme="minorEastAsia"/>
                <w:b w:val="0"/>
                <w:sz w:val="24"/>
                <w:szCs w:val="24"/>
              </w:rPr>
              <w:t>篮架上、下拉杆采用不小于Φ</w:t>
            </w:r>
            <w:r>
              <w:rPr>
                <w:rFonts w:asciiTheme="minorEastAsia" w:hAnsiTheme="minorEastAsia" w:eastAsiaTheme="minorEastAsia"/>
                <w:b w:val="0"/>
                <w:sz w:val="24"/>
                <w:szCs w:val="24"/>
              </w:rPr>
              <w:t>32</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2.5mm</w:t>
            </w:r>
            <w:r>
              <w:rPr>
                <w:rFonts w:hint="eastAsia" w:asciiTheme="minorEastAsia" w:hAnsiTheme="minorEastAsia" w:eastAsiaTheme="minorEastAsia"/>
                <w:b w:val="0"/>
                <w:sz w:val="24"/>
                <w:szCs w:val="24"/>
              </w:rPr>
              <w:t>优质钢管在弯管机上一次成型。通过调节上下拉杆可调节篮板的平面度和垂直度；</w:t>
            </w:r>
          </w:p>
          <w:p>
            <w:pPr>
              <w:pStyle w:val="30"/>
              <w:spacing w:before="0" w:after="0" w:line="360" w:lineRule="auto"/>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4.</w:t>
            </w:r>
            <w:r>
              <w:rPr>
                <w:rFonts w:hint="eastAsia" w:asciiTheme="minorEastAsia" w:hAnsiTheme="minorEastAsia" w:eastAsiaTheme="minorEastAsia"/>
                <w:b w:val="0"/>
                <w:bCs w:val="0"/>
                <w:color w:val="000000"/>
                <w:sz w:val="24"/>
                <w:szCs w:val="24"/>
              </w:rPr>
              <w:t>篮板投篮区背面应有不小于</w:t>
            </w:r>
            <w:r>
              <w:rPr>
                <w:rFonts w:asciiTheme="minorEastAsia" w:hAnsiTheme="minorEastAsia" w:eastAsiaTheme="minorEastAsia"/>
                <w:b w:val="0"/>
                <w:bCs w:val="0"/>
                <w:color w:val="000000"/>
                <w:sz w:val="24"/>
                <w:szCs w:val="24"/>
              </w:rPr>
              <w:t>570mm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150mm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5mm</w:t>
            </w:r>
            <w:r>
              <w:rPr>
                <w:rFonts w:hint="eastAsia" w:asciiTheme="minorEastAsia" w:hAnsiTheme="minorEastAsia" w:eastAsiaTheme="minorEastAsia"/>
                <w:b w:val="0"/>
                <w:bCs w:val="0"/>
                <w:color w:val="000000"/>
                <w:sz w:val="24"/>
                <w:szCs w:val="24"/>
              </w:rPr>
              <w:t>的加强钢板；</w:t>
            </w:r>
          </w:p>
          <w:p>
            <w:pPr>
              <w:pStyle w:val="30"/>
              <w:spacing w:before="0" w:after="0" w:line="360" w:lineRule="auto"/>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5.</w:t>
            </w:r>
            <w:r>
              <w:rPr>
                <w:rFonts w:hint="eastAsia" w:asciiTheme="minorEastAsia" w:hAnsiTheme="minorEastAsia" w:eastAsiaTheme="minorEastAsia"/>
                <w:b w:val="0"/>
                <w:bCs w:val="0"/>
                <w:color w:val="000000"/>
                <w:sz w:val="24"/>
                <w:szCs w:val="24"/>
              </w:rPr>
              <w:t>篮圈：优质圆钢，呈橙色，弹簧篮圈；</w:t>
            </w:r>
          </w:p>
          <w:p>
            <w:pPr>
              <w:pStyle w:val="95"/>
              <w:spacing w:line="360" w:lineRule="auto"/>
              <w:ind w:firstLine="0" w:firstLineChars="0"/>
              <w:rPr>
                <w:rFonts w:asciiTheme="minorEastAsia" w:hAnsiTheme="minorEastAsia" w:eastAsiaTheme="minorEastAsia"/>
                <w:sz w:val="24"/>
                <w:szCs w:val="24"/>
              </w:rPr>
            </w:pPr>
            <w:r>
              <w:rPr>
                <w:rFonts w:asciiTheme="minorEastAsia" w:hAnsiTheme="minorEastAsia" w:eastAsiaTheme="minorEastAsia"/>
                <w:color w:val="000000"/>
                <w:sz w:val="24"/>
                <w:szCs w:val="24"/>
              </w:rPr>
              <w:t>6 .</w:t>
            </w:r>
            <w:r>
              <w:rPr>
                <w:rFonts w:hint="eastAsia" w:asciiTheme="minorEastAsia" w:hAnsiTheme="minorEastAsia" w:eastAsiaTheme="minorEastAsia"/>
                <w:color w:val="000000"/>
                <w:sz w:val="24"/>
                <w:szCs w:val="24"/>
              </w:rPr>
              <w:t>固定方式：采用直埋式</w:t>
            </w:r>
            <w:r>
              <w:rPr>
                <w:rFonts w:hint="eastAsia" w:asciiTheme="minorEastAsia" w:hAnsiTheme="minorEastAsia" w:eastAsiaTheme="minorEastAsia"/>
                <w:sz w:val="24"/>
                <w:szCs w:val="24"/>
              </w:rPr>
              <w:t>：安装技术参数：篮圈上沿距地面高度</w:t>
            </w:r>
            <w:r>
              <w:rPr>
                <w:rFonts w:asciiTheme="minorEastAsia" w:hAnsiTheme="minorEastAsia" w:eastAsiaTheme="minorEastAsia"/>
                <w:sz w:val="24"/>
                <w:szCs w:val="24"/>
              </w:rPr>
              <w:t>3050mm</w:t>
            </w:r>
            <w:r>
              <w:rPr>
                <w:rFonts w:hint="eastAsia" w:asciiTheme="minorEastAsia" w:hAnsiTheme="minorEastAsia" w:eastAsiaTheme="minorEastAsia"/>
                <w:sz w:val="24"/>
                <w:szCs w:val="24"/>
              </w:rPr>
              <w:t>，悬臂长度不低于</w:t>
            </w:r>
            <w:r>
              <w:rPr>
                <w:rFonts w:asciiTheme="minorEastAsia" w:hAnsiTheme="minorEastAsia" w:eastAsiaTheme="minorEastAsia"/>
                <w:sz w:val="24"/>
                <w:szCs w:val="24"/>
              </w:rPr>
              <w:t>1800mm</w:t>
            </w:r>
            <w:r>
              <w:rPr>
                <w:rFonts w:hint="eastAsia" w:asciiTheme="minorEastAsia" w:hAnsiTheme="minorEastAsia" w:eastAsiaTheme="minorEastAsia"/>
                <w:sz w:val="24"/>
                <w:szCs w:val="24"/>
              </w:rPr>
              <w:t>；主要承载立柱应采用直接埋入地下的结构，立柱埋入深度</w:t>
            </w:r>
            <w:r>
              <w:rPr>
                <w:rFonts w:asciiTheme="minorEastAsia" w:hAnsiTheme="minorEastAsia" w:eastAsiaTheme="minorEastAsia"/>
                <w:sz w:val="24"/>
                <w:szCs w:val="24"/>
              </w:rPr>
              <w:t>900mm</w:t>
            </w:r>
            <w:r>
              <w:rPr>
                <w:rFonts w:hint="eastAsia" w:asciiTheme="minorEastAsia" w:hAnsiTheme="minorEastAsia" w:eastAsiaTheme="minorEastAsia"/>
                <w:sz w:val="24"/>
                <w:szCs w:val="24"/>
              </w:rPr>
              <w:t>，地埋尺寸</w:t>
            </w:r>
            <w:r>
              <w:rPr>
                <w:rFonts w:asciiTheme="minorEastAsia" w:hAnsiTheme="minorEastAsia" w:eastAsiaTheme="minorEastAsia"/>
                <w:sz w:val="24"/>
                <w:szCs w:val="24"/>
              </w:rPr>
              <w:t>800mm</w:t>
            </w:r>
            <w:r>
              <w:rPr>
                <w:rFonts w:hint="eastAsia" w:asciiTheme="minorEastAsia" w:hAnsiTheme="minorEastAsia" w:eastAsiaTheme="minorEastAsia"/>
                <w:sz w:val="24"/>
                <w:szCs w:val="24"/>
              </w:rPr>
              <w:t>×</w:t>
            </w:r>
            <w:r>
              <w:rPr>
                <w:rFonts w:asciiTheme="minorEastAsia" w:hAnsiTheme="minorEastAsia" w:eastAsiaTheme="minorEastAsia"/>
                <w:sz w:val="24"/>
                <w:szCs w:val="24"/>
              </w:rPr>
              <w:t>800mm</w:t>
            </w:r>
            <w:r>
              <w:rPr>
                <w:rFonts w:hint="eastAsia" w:asciiTheme="minorEastAsia" w:hAnsiTheme="minorEastAsia" w:eastAsiaTheme="minorEastAsia"/>
                <w:sz w:val="24"/>
                <w:szCs w:val="24"/>
              </w:rPr>
              <w:t>×</w:t>
            </w:r>
            <w:r>
              <w:rPr>
                <w:rFonts w:asciiTheme="minorEastAsia" w:hAnsiTheme="minorEastAsia" w:eastAsiaTheme="minorEastAsia"/>
                <w:sz w:val="24"/>
                <w:szCs w:val="24"/>
              </w:rPr>
              <w:t>1000mm</w:t>
            </w:r>
            <w:r>
              <w:rPr>
                <w:rFonts w:hint="eastAsia" w:asciiTheme="minorEastAsia" w:hAnsiTheme="minorEastAsia" w:eastAsiaTheme="minorEastAsia"/>
                <w:sz w:val="24"/>
                <w:szCs w:val="24"/>
              </w:rPr>
              <w:t>。</w:t>
            </w:r>
            <w:r>
              <w:rPr>
                <w:rFonts w:hint="eastAsia" w:cs="黑体" w:asciiTheme="minorEastAsia" w:hAnsiTheme="minorEastAsia" w:eastAsiaTheme="minorEastAsia"/>
                <w:sz w:val="24"/>
                <w:szCs w:val="24"/>
              </w:rPr>
              <w:t>各连接部位采用螺栓、螺钉紧固，防松、防盗、防锈。（篮球架</w:t>
            </w:r>
            <w:r>
              <w:rPr>
                <w:rFonts w:hint="eastAsia" w:cs="宋体" w:asciiTheme="minorEastAsia" w:hAnsiTheme="minorEastAsia" w:eastAsiaTheme="minorEastAsia"/>
                <w:color w:val="000000"/>
                <w:kern w:val="0"/>
                <w:sz w:val="24"/>
                <w:szCs w:val="24"/>
              </w:rPr>
              <w:t>产品样式见下图）。</w:t>
            </w:r>
          </w:p>
        </w:tc>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支</w:t>
            </w:r>
          </w:p>
        </w:tc>
        <w:tc>
          <w:tcPr>
            <w:tcW w:w="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color w:val="000000"/>
                <w:sz w:val="24"/>
              </w:rPr>
              <w:t>腹肌版</w:t>
            </w:r>
          </w:p>
        </w:tc>
        <w:tc>
          <w:tcPr>
            <w:tcW w:w="6662" w:type="dxa"/>
            <w:vAlign w:val="bottom"/>
          </w:tcPr>
          <w:p>
            <w:pPr>
              <w:pStyle w:val="95"/>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主要承载立柱尺寸不小于φ3</w:t>
            </w:r>
            <w:r>
              <w:rPr>
                <w:rFonts w:asciiTheme="minorEastAsia" w:hAnsiTheme="minorEastAsia" w:eastAsiaTheme="minorEastAsia"/>
                <w:color w:val="000000"/>
                <w:sz w:val="24"/>
                <w:szCs w:val="24"/>
              </w:rPr>
              <w:t>2mm</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3mm</w:t>
            </w:r>
            <w:r>
              <w:rPr>
                <w:rFonts w:hint="eastAsia" w:asciiTheme="minorEastAsia" w:hAnsiTheme="minorEastAsia" w:eastAsiaTheme="minorEastAsia"/>
                <w:color w:val="000000"/>
                <w:sz w:val="24"/>
                <w:szCs w:val="24"/>
              </w:rPr>
              <w:t>，其他管材壁厚不小于2</w:t>
            </w:r>
            <w:r>
              <w:rPr>
                <w:rFonts w:asciiTheme="minorEastAsia" w:hAnsiTheme="minorEastAsia" w:eastAsiaTheme="minorEastAsia"/>
                <w:color w:val="000000"/>
                <w:sz w:val="24"/>
                <w:szCs w:val="24"/>
              </w:rPr>
              <w:t>mm</w:t>
            </w:r>
            <w:r>
              <w:rPr>
                <w:rFonts w:hint="eastAsia" w:asciiTheme="minorEastAsia" w:hAnsiTheme="minorEastAsia" w:eastAsiaTheme="minorEastAsia"/>
                <w:color w:val="000000"/>
                <w:sz w:val="24"/>
                <w:szCs w:val="24"/>
              </w:rPr>
              <w:t>。</w:t>
            </w:r>
          </w:p>
        </w:tc>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cs="宋体" w:asciiTheme="minorEastAsia" w:hAnsiTheme="minorEastAsia" w:eastAsiaTheme="minorEastAsia"/>
                <w:kern w:val="0"/>
                <w:sz w:val="24"/>
              </w:rPr>
              <w:t>肋木架</w:t>
            </w:r>
          </w:p>
        </w:tc>
        <w:tc>
          <w:tcPr>
            <w:tcW w:w="6662" w:type="dxa"/>
            <w:vAlign w:val="bottom"/>
          </w:tcPr>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，其外形尺寸不小于1230</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×122</w:t>
            </w:r>
            <w:r>
              <w:rPr>
                <w:rFonts w:asciiTheme="minorEastAsia" w:hAnsiTheme="minorEastAsia" w:eastAsiaTheme="minorEastAsia"/>
                <w:b w:val="0"/>
                <w:bCs w:val="0"/>
                <w:color w:val="000000"/>
                <w:sz w:val="24"/>
                <w:szCs w:val="24"/>
              </w:rPr>
              <w:t xml:space="preserve">mm </w:t>
            </w:r>
            <w:r>
              <w:rPr>
                <w:rFonts w:hint="eastAsia" w:asciiTheme="minorEastAsia" w:hAnsiTheme="minorEastAsia" w:eastAsiaTheme="minorEastAsia"/>
                <w:b w:val="0"/>
                <w:bCs w:val="0"/>
                <w:color w:val="000000"/>
                <w:sz w:val="24"/>
                <w:szCs w:val="24"/>
              </w:rPr>
              <w:t>×2500</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，主要承载横梁尺寸不小于</w:t>
            </w:r>
            <w:r>
              <w:rPr>
                <w:rFonts w:hint="eastAsia" w:asciiTheme="minorEastAsia" w:hAnsiTheme="minorEastAsia" w:eastAsiaTheme="minorEastAsia"/>
                <w:b w:val="0"/>
                <w:bCs w:val="0"/>
                <w:kern w:val="0"/>
                <w:sz w:val="24"/>
                <w:szCs w:val="24"/>
              </w:rPr>
              <w:t>φ</w:t>
            </w:r>
            <w:r>
              <w:rPr>
                <w:rFonts w:hint="eastAsia" w:asciiTheme="minorEastAsia" w:hAnsiTheme="minorEastAsia" w:eastAsiaTheme="minorEastAsia"/>
                <w:b w:val="0"/>
                <w:bCs w:val="0"/>
                <w:color w:val="000000"/>
                <w:sz w:val="24"/>
                <w:szCs w:val="24"/>
              </w:rPr>
              <w:t>32</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或32</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×32</w:t>
            </w:r>
            <w:r>
              <w:rPr>
                <w:rFonts w:asciiTheme="minorEastAsia" w:hAnsiTheme="minorEastAsia" w:eastAsiaTheme="minorEastAsia"/>
                <w:b w:val="0"/>
                <w:bCs w:val="0"/>
                <w:color w:val="000000"/>
                <w:sz w:val="24"/>
                <w:szCs w:val="24"/>
              </w:rPr>
              <w:t xml:space="preserve">mm </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不允许存在和使用功能无关的突出物</w:t>
            </w:r>
            <w:r>
              <w:rPr>
                <w:rFonts w:hint="eastAsia" w:asciiTheme="minorEastAsia" w:hAnsiTheme="minorEastAsia" w:eastAsiaTheme="minorEastAsia"/>
                <w:b w:val="0"/>
                <w:bCs w:val="0"/>
                <w:color w:val="000000"/>
                <w:sz w:val="24"/>
                <w:szCs w:val="24"/>
              </w:rPr>
              <w:t>。</w:t>
            </w:r>
          </w:p>
        </w:tc>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color w:val="000000"/>
                <w:sz w:val="24"/>
              </w:rPr>
              <w:t>上肢牵引器</w:t>
            </w:r>
          </w:p>
        </w:tc>
        <w:tc>
          <w:tcPr>
            <w:tcW w:w="6662" w:type="dxa"/>
            <w:vAlign w:val="bottom"/>
          </w:tcPr>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主立柱壁厚不小</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，主要承载横梁尺寸不小于</w:t>
            </w:r>
            <w:r>
              <w:rPr>
                <w:rFonts w:hint="eastAsia" w:asciiTheme="minorEastAsia" w:hAnsiTheme="minorEastAsia" w:eastAsiaTheme="minorEastAsia"/>
                <w:b w:val="0"/>
                <w:bCs w:val="0"/>
                <w:kern w:val="0"/>
                <w:sz w:val="24"/>
                <w:szCs w:val="24"/>
              </w:rPr>
              <w:t>φ</w:t>
            </w:r>
            <w:r>
              <w:rPr>
                <w:rFonts w:hint="eastAsia" w:asciiTheme="minorEastAsia" w:hAnsiTheme="minorEastAsia" w:eastAsiaTheme="minorEastAsia"/>
                <w:b w:val="0"/>
                <w:bCs w:val="0"/>
                <w:color w:val="000000"/>
                <w:sz w:val="24"/>
                <w:szCs w:val="24"/>
              </w:rPr>
              <w:t>45</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其他管材壁厚不小于</w:t>
            </w:r>
            <w:r>
              <w:rPr>
                <w:rFonts w:asciiTheme="minorEastAsia" w:hAnsiTheme="minorEastAsia" w:eastAsiaTheme="minorEastAsia"/>
                <w:b w:val="0"/>
                <w:bCs w:val="0"/>
                <w:color w:val="000000"/>
                <w:sz w:val="24"/>
                <w:szCs w:val="24"/>
              </w:rPr>
              <w:t>2.5mm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活动把手（不含柔性部件）质量不大于</w:t>
            </w:r>
            <w:r>
              <w:rPr>
                <w:rFonts w:asciiTheme="minorEastAsia" w:hAnsiTheme="minorEastAsia" w:eastAsiaTheme="minorEastAsia"/>
                <w:b w:val="0"/>
                <w:bCs w:val="0"/>
                <w:color w:val="000000"/>
                <w:sz w:val="24"/>
                <w:szCs w:val="24"/>
              </w:rPr>
              <w:t>600g</w:t>
            </w:r>
            <w:r>
              <w:rPr>
                <w:rFonts w:hint="eastAsia" w:asciiTheme="minorEastAsia" w:hAnsiTheme="minorEastAsia" w:eastAsiaTheme="minorEastAsia"/>
                <w:b w:val="0"/>
                <w:bCs w:val="0"/>
                <w:color w:val="000000"/>
                <w:sz w:val="24"/>
                <w:szCs w:val="24"/>
              </w:rPr>
              <w:t>，且端部直径大于</w:t>
            </w:r>
            <w:r>
              <w:rPr>
                <w:rFonts w:asciiTheme="minorEastAsia" w:hAnsiTheme="minorEastAsia" w:eastAsiaTheme="minorEastAsia"/>
                <w:b w:val="0"/>
                <w:bCs w:val="0"/>
                <w:color w:val="000000"/>
                <w:sz w:val="24"/>
                <w:szCs w:val="24"/>
              </w:rPr>
              <w:t>50mm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kern w:val="0"/>
                <w:sz w:val="24"/>
                <w:szCs w:val="24"/>
              </w:rPr>
            </w:pPr>
            <w:r>
              <w:rPr>
                <w:rFonts w:hint="eastAsia" w:asciiTheme="minorEastAsia" w:hAnsiTheme="minorEastAsia" w:eastAsiaTheme="minorEastAsia"/>
                <w:b w:val="0"/>
                <w:bCs w:val="0"/>
                <w:color w:val="000000"/>
                <w:sz w:val="24"/>
                <w:szCs w:val="24"/>
              </w:rPr>
              <w:t>若使用链环结构时，链扣之间最大间隙小于</w:t>
            </w:r>
            <w:r>
              <w:rPr>
                <w:rFonts w:asciiTheme="minorEastAsia" w:hAnsiTheme="minorEastAsia" w:eastAsiaTheme="minorEastAsia"/>
                <w:b w:val="0"/>
                <w:bCs w:val="0"/>
                <w:color w:val="000000"/>
                <w:sz w:val="24"/>
                <w:szCs w:val="24"/>
              </w:rPr>
              <w:t>8mm</w:t>
            </w:r>
            <w:r>
              <w:rPr>
                <w:rFonts w:hint="eastAsia" w:asciiTheme="minorEastAsia" w:hAnsiTheme="minorEastAsia" w:eastAsiaTheme="minorEastAsia"/>
                <w:b w:val="0"/>
                <w:bCs w:val="0"/>
                <w:color w:val="000000"/>
                <w:sz w:val="24"/>
                <w:szCs w:val="24"/>
              </w:rPr>
              <w:t>；</w:t>
            </w:r>
          </w:p>
          <w:p>
            <w:pPr>
              <w:pStyle w:val="95"/>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摆杆应有限位结构，摆杆运动至极限位置时，摆杆最低点与地面的距离应不小于</w:t>
            </w:r>
            <w:r>
              <w:rPr>
                <w:rFonts w:asciiTheme="minorEastAsia" w:hAnsiTheme="minorEastAsia" w:eastAsiaTheme="minorEastAsia"/>
                <w:color w:val="000000"/>
                <w:sz w:val="24"/>
                <w:szCs w:val="24"/>
              </w:rPr>
              <w:t>1850mm</w:t>
            </w:r>
            <w:r>
              <w:rPr>
                <w:rFonts w:hint="eastAsia" w:asciiTheme="minorEastAsia" w:hAnsiTheme="minorEastAsia" w:eastAsiaTheme="minorEastAsia"/>
                <w:color w:val="000000"/>
                <w:sz w:val="24"/>
                <w:szCs w:val="24"/>
              </w:rPr>
              <w:t>。</w:t>
            </w:r>
          </w:p>
        </w:tc>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color w:val="000000"/>
                <w:sz w:val="24"/>
              </w:rPr>
              <w:t>坐立腰背按摩器</w:t>
            </w:r>
          </w:p>
        </w:tc>
        <w:tc>
          <w:tcPr>
            <w:tcW w:w="6662" w:type="dxa"/>
            <w:vAlign w:val="bottom"/>
          </w:tcPr>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按摩轮与刚性固定部件间最小距离应大于</w:t>
            </w:r>
            <w:r>
              <w:rPr>
                <w:rFonts w:asciiTheme="minorEastAsia" w:hAnsiTheme="minorEastAsia" w:eastAsiaTheme="minorEastAsia"/>
                <w:b w:val="0"/>
                <w:bCs w:val="0"/>
                <w:color w:val="000000"/>
                <w:sz w:val="24"/>
                <w:szCs w:val="24"/>
              </w:rPr>
              <w:t>30mm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不允许存在剪切点、挤压点、引入点，不允许存在刚性碰撞；</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，主要承载横梁尺寸不小于</w:t>
            </w:r>
            <w:r>
              <w:rPr>
                <w:rFonts w:hint="eastAsia" w:asciiTheme="minorEastAsia" w:hAnsiTheme="minorEastAsia" w:eastAsiaTheme="minorEastAsia"/>
                <w:b w:val="0"/>
                <w:bCs w:val="0"/>
                <w:kern w:val="0"/>
                <w:sz w:val="24"/>
                <w:szCs w:val="24"/>
              </w:rPr>
              <w:t>φ</w:t>
            </w:r>
            <w:r>
              <w:rPr>
                <w:rFonts w:asciiTheme="minorEastAsia" w:hAnsiTheme="minorEastAsia" w:eastAsiaTheme="minorEastAsia"/>
                <w:b w:val="0"/>
                <w:bCs w:val="0"/>
                <w:color w:val="000000"/>
                <w:sz w:val="24"/>
                <w:szCs w:val="24"/>
              </w:rPr>
              <w:t>48mm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主立柱以外其他各连接管实际壁厚不小于</w:t>
            </w:r>
            <w:r>
              <w:rPr>
                <w:rFonts w:asciiTheme="minorEastAsia" w:hAnsiTheme="minorEastAsia" w:eastAsiaTheme="minorEastAsia"/>
                <w:b w:val="0"/>
                <w:bCs w:val="0"/>
                <w:color w:val="000000"/>
                <w:sz w:val="24"/>
                <w:szCs w:val="24"/>
              </w:rPr>
              <w:t>2.5mm,</w:t>
            </w:r>
            <w:r>
              <w:rPr>
                <w:rFonts w:hint="eastAsia" w:asciiTheme="minorEastAsia" w:hAnsiTheme="minorEastAsia" w:eastAsiaTheme="minorEastAsia"/>
                <w:b w:val="0"/>
                <w:bCs w:val="0"/>
                <w:color w:val="000000"/>
                <w:sz w:val="24"/>
                <w:szCs w:val="24"/>
              </w:rPr>
              <w:t>各连接片、耳片实际壁厚不小于</w:t>
            </w:r>
            <w:r>
              <w:rPr>
                <w:rFonts w:asciiTheme="minorEastAsia" w:hAnsiTheme="minorEastAsia" w:eastAsiaTheme="minorEastAsia"/>
                <w:b w:val="0"/>
                <w:bCs w:val="0"/>
                <w:color w:val="000000"/>
                <w:sz w:val="24"/>
                <w:szCs w:val="24"/>
              </w:rPr>
              <w:t>5mm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腰部按摩轮可以上下移动，并采取限位措施；</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按摩轮转轴直径不小于</w:t>
            </w:r>
            <w:r>
              <w:rPr>
                <w:rFonts w:asciiTheme="minorEastAsia" w:hAnsiTheme="minorEastAsia" w:eastAsiaTheme="minorEastAsia"/>
                <w:b w:val="0"/>
                <w:bCs w:val="0"/>
                <w:color w:val="000000"/>
                <w:sz w:val="24"/>
                <w:szCs w:val="24"/>
              </w:rPr>
              <w:t>15mm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座椅表面边缘应以</w:t>
            </w:r>
            <w:r>
              <w:rPr>
                <w:rFonts w:asciiTheme="minorEastAsia" w:hAnsiTheme="minorEastAsia" w:eastAsiaTheme="minorEastAsia"/>
                <w:b w:val="0"/>
                <w:bCs w:val="0"/>
                <w:color w:val="000000"/>
                <w:sz w:val="24"/>
                <w:szCs w:val="24"/>
              </w:rPr>
              <w:t>R</w:t>
            </w:r>
            <w:r>
              <w:rPr>
                <w:rFonts w:hint="eastAsia" w:asciiTheme="minorEastAsia" w:hAnsiTheme="minorEastAsia" w:eastAsiaTheme="minorEastAsia"/>
                <w:b w:val="0"/>
                <w:bCs w:val="0"/>
                <w:color w:val="000000"/>
                <w:sz w:val="24"/>
                <w:szCs w:val="24"/>
              </w:rPr>
              <w:t>不小于</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的圆弧过渡；</w:t>
            </w:r>
          </w:p>
          <w:p>
            <w:pPr>
              <w:pStyle w:val="95"/>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按摩轮转动轴心处应采用滚动轴承，轴承选用不小于</w:t>
            </w:r>
            <w:r>
              <w:rPr>
                <w:rFonts w:asciiTheme="minorEastAsia" w:hAnsiTheme="minorEastAsia" w:eastAsiaTheme="minorEastAsia"/>
                <w:color w:val="000000"/>
                <w:sz w:val="24"/>
                <w:szCs w:val="24"/>
              </w:rPr>
              <w:t>6002</w:t>
            </w:r>
            <w:r>
              <w:rPr>
                <w:rFonts w:hint="eastAsia" w:asciiTheme="minorEastAsia" w:hAnsiTheme="minorEastAsia" w:eastAsiaTheme="minorEastAsia"/>
                <w:color w:val="000000"/>
                <w:sz w:val="24"/>
                <w:szCs w:val="24"/>
              </w:rPr>
              <w:t>承载能力的深沟球轴。</w:t>
            </w:r>
          </w:p>
        </w:tc>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cs="宋体" w:asciiTheme="minorEastAsia" w:hAnsiTheme="minorEastAsia" w:eastAsiaTheme="minorEastAsia"/>
                <w:color w:val="000000"/>
                <w:kern w:val="0"/>
                <w:sz w:val="24"/>
              </w:rPr>
              <w:t>棋牌桌</w:t>
            </w:r>
          </w:p>
        </w:tc>
        <w:tc>
          <w:tcPr>
            <w:tcW w:w="6662" w:type="dxa"/>
            <w:vAlign w:val="bottom"/>
          </w:tcPr>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桌面采用不锈钢面板，耐蚀性能相当于</w:t>
            </w:r>
            <w:r>
              <w:rPr>
                <w:rFonts w:asciiTheme="minorEastAsia" w:hAnsiTheme="minorEastAsia" w:eastAsiaTheme="minorEastAsia"/>
                <w:b w:val="0"/>
                <w:bCs w:val="0"/>
                <w:color w:val="000000"/>
                <w:sz w:val="24"/>
                <w:szCs w:val="24"/>
              </w:rPr>
              <w:t>0Cr18Ni9</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SUS304</w:t>
            </w:r>
            <w:r>
              <w:rPr>
                <w:rFonts w:hint="eastAsia" w:asciiTheme="minorEastAsia" w:hAnsiTheme="minorEastAsia" w:eastAsiaTheme="minorEastAsia"/>
                <w:b w:val="0"/>
                <w:bCs w:val="0"/>
                <w:color w:val="000000"/>
                <w:sz w:val="24"/>
                <w:szCs w:val="24"/>
              </w:rPr>
              <w:t>），板材厚度不小于</w:t>
            </w:r>
            <w:r>
              <w:rPr>
                <w:rFonts w:asciiTheme="minorEastAsia" w:hAnsiTheme="minorEastAsia" w:eastAsiaTheme="minorEastAsia"/>
                <w:b w:val="0"/>
                <w:bCs w:val="0"/>
                <w:color w:val="000000"/>
                <w:sz w:val="24"/>
                <w:szCs w:val="24"/>
              </w:rPr>
              <w:t>1.2mm</w:t>
            </w:r>
            <w:r>
              <w:rPr>
                <w:rFonts w:hint="eastAsia" w:asciiTheme="minorEastAsia" w:hAnsiTheme="minorEastAsia" w:eastAsiaTheme="minorEastAsia"/>
                <w:b w:val="0"/>
                <w:bCs w:val="0"/>
                <w:color w:val="000000"/>
                <w:sz w:val="24"/>
                <w:szCs w:val="24"/>
              </w:rPr>
              <w:t>；面板边缘及尖角不得翘起，图样及字样蚀刻处理；</w:t>
            </w:r>
          </w:p>
          <w:p>
            <w:pPr>
              <w:pStyle w:val="30"/>
              <w:spacing w:before="0" w:after="0" w:line="360" w:lineRule="auto"/>
              <w:jc w:val="both"/>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台面边框及加强管管材壁厚不小于</w:t>
            </w:r>
            <w:r>
              <w:rPr>
                <w:rFonts w:asciiTheme="minorEastAsia" w:hAnsiTheme="minorEastAsia" w:eastAsiaTheme="minorEastAsia"/>
                <w:b w:val="0"/>
                <w:bCs w:val="0"/>
                <w:sz w:val="24"/>
                <w:szCs w:val="24"/>
              </w:rPr>
              <w:t>2mm</w:t>
            </w:r>
            <w:r>
              <w:rPr>
                <w:rFonts w:hint="eastAsia" w:asciiTheme="minorEastAsia" w:hAnsiTheme="minorEastAsia" w:eastAsiaTheme="minorEastAsia"/>
                <w:b w:val="0"/>
                <w:bCs w:val="0"/>
                <w:sz w:val="24"/>
                <w:szCs w:val="24"/>
              </w:rPr>
              <w:t>，四周圆角不小于</w:t>
            </w:r>
            <w:r>
              <w:rPr>
                <w:rFonts w:asciiTheme="minorEastAsia" w:hAnsiTheme="minorEastAsia" w:eastAsiaTheme="minorEastAsia"/>
                <w:b w:val="0"/>
                <w:bCs w:val="0"/>
                <w:sz w:val="24"/>
                <w:szCs w:val="24"/>
              </w:rPr>
              <w:t>R20mm</w:t>
            </w:r>
            <w:r>
              <w:rPr>
                <w:rFonts w:hint="eastAsia" w:asciiTheme="minorEastAsia" w:hAnsiTheme="minorEastAsia" w:eastAsiaTheme="minorEastAsia"/>
                <w:b w:val="0"/>
                <w:bCs w:val="0"/>
                <w:sz w:val="24"/>
                <w:szCs w:val="24"/>
              </w:rPr>
              <w:t>；</w:t>
            </w:r>
          </w:p>
          <w:p>
            <w:pPr>
              <w:pStyle w:val="95"/>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主立柱壁厚</w:t>
            </w:r>
            <w:r>
              <w:rPr>
                <w:rFonts w:asciiTheme="minorEastAsia" w:hAnsiTheme="minorEastAsia" w:eastAsiaTheme="minorEastAsia"/>
                <w:color w:val="000000"/>
                <w:sz w:val="24"/>
                <w:szCs w:val="24"/>
              </w:rPr>
              <w:t>3mm</w:t>
            </w:r>
            <w:r>
              <w:rPr>
                <w:rFonts w:hint="eastAsia" w:asciiTheme="minorEastAsia" w:hAnsiTheme="minorEastAsia" w:eastAsiaTheme="minorEastAsia"/>
                <w:color w:val="000000"/>
                <w:sz w:val="24"/>
                <w:szCs w:val="24"/>
              </w:rPr>
              <w:t>，采用单一钢管时，主要承载立柱尺寸不小于φ</w:t>
            </w:r>
            <w:r>
              <w:rPr>
                <w:rFonts w:asciiTheme="minorEastAsia" w:hAnsiTheme="minorEastAsia" w:eastAsiaTheme="minorEastAsia"/>
                <w:color w:val="000000"/>
                <w:sz w:val="24"/>
                <w:szCs w:val="24"/>
              </w:rPr>
              <w:t>114mm</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3mm</w:t>
            </w:r>
            <w:r>
              <w:rPr>
                <w:rFonts w:hint="eastAsia" w:asciiTheme="minorEastAsia" w:hAnsiTheme="minorEastAsia" w:eastAsiaTheme="minorEastAsia"/>
                <w:color w:val="000000"/>
                <w:sz w:val="24"/>
                <w:szCs w:val="24"/>
              </w:rPr>
              <w:t>，采用复合结构立柱时，其外形尺寸不小于</w:t>
            </w:r>
            <w:r>
              <w:rPr>
                <w:rFonts w:asciiTheme="minorEastAsia" w:hAnsiTheme="minorEastAsia" w:eastAsiaTheme="minorEastAsia"/>
                <w:color w:val="000000"/>
                <w:sz w:val="24"/>
                <w:szCs w:val="24"/>
              </w:rPr>
              <w:t>114mm</w:t>
            </w:r>
            <w:r>
              <w:rPr>
                <w:rFonts w:hint="eastAsia" w:asciiTheme="minorEastAsia" w:hAnsiTheme="minorEastAsia" w:eastAsiaTheme="minorEastAsia"/>
                <w:color w:val="000000"/>
                <w:sz w:val="24"/>
                <w:szCs w:val="24"/>
              </w:rPr>
              <w:t>，主要承载横梁尺寸不小于</w:t>
            </w:r>
            <w:r>
              <w:rPr>
                <w:rFonts w:asciiTheme="minorEastAsia" w:hAnsiTheme="minorEastAsia" w:eastAsiaTheme="minorEastAsia"/>
                <w:color w:val="000000"/>
                <w:sz w:val="24"/>
                <w:szCs w:val="24"/>
              </w:rPr>
              <w:t>40mm</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40mm</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2.5mm</w:t>
            </w:r>
            <w:r>
              <w:rPr>
                <w:rFonts w:hint="eastAsia" w:asciiTheme="minorEastAsia" w:hAnsiTheme="minorEastAsia" w:eastAsiaTheme="minorEastAsia"/>
                <w:color w:val="000000"/>
                <w:sz w:val="24"/>
                <w:szCs w:val="24"/>
              </w:rPr>
              <w:t>；</w:t>
            </w:r>
          </w:p>
        </w:tc>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asciiTheme="minorEastAsia" w:hAnsiTheme="minorEastAsia" w:eastAsiaTheme="minorEastAsia"/>
                <w:color w:val="000000"/>
                <w:sz w:val="24"/>
              </w:rPr>
              <w:t>直埋双位漫步机</w:t>
            </w:r>
          </w:p>
        </w:tc>
        <w:tc>
          <w:tcPr>
            <w:tcW w:w="6662" w:type="dxa"/>
            <w:vAlign w:val="bottom"/>
          </w:tcPr>
          <w:p>
            <w:pPr>
              <w:pStyle w:val="30"/>
              <w:spacing w:before="0" w:after="0" w:line="360" w:lineRule="auto"/>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pacing w:val="-4"/>
                <w:sz w:val="24"/>
                <w:szCs w:val="24"/>
              </w:rPr>
              <w:t>摆杆应有可靠限位装置，且单侧摆动幅度不大于</w:t>
            </w:r>
            <w:r>
              <w:rPr>
                <w:rFonts w:asciiTheme="minorEastAsia" w:hAnsiTheme="minorEastAsia" w:eastAsiaTheme="minorEastAsia"/>
                <w:b w:val="0"/>
                <w:bCs w:val="0"/>
                <w:color w:val="000000"/>
                <w:spacing w:val="-4"/>
                <w:sz w:val="24"/>
                <w:szCs w:val="24"/>
              </w:rPr>
              <w:t>65</w:t>
            </w:r>
            <w:r>
              <w:rPr>
                <w:rFonts w:hint="eastAsia" w:asciiTheme="minorEastAsia" w:hAnsiTheme="minorEastAsia" w:eastAsiaTheme="minorEastAsia"/>
                <w:b w:val="0"/>
                <w:bCs w:val="0"/>
                <w:color w:val="000000"/>
                <w:spacing w:val="-4"/>
                <w:sz w:val="24"/>
                <w:szCs w:val="24"/>
              </w:rPr>
              <w:t>°，</w:t>
            </w:r>
            <w:r>
              <w:rPr>
                <w:rFonts w:hint="eastAsia" w:asciiTheme="minorEastAsia" w:hAnsiTheme="minorEastAsia" w:eastAsiaTheme="minorEastAsia"/>
                <w:b w:val="0"/>
                <w:bCs w:val="0"/>
                <w:color w:val="000000"/>
                <w:sz w:val="24"/>
                <w:szCs w:val="24"/>
              </w:rPr>
              <w:t>摆杆选用不小于φ</w:t>
            </w:r>
            <w:r>
              <w:rPr>
                <w:rFonts w:asciiTheme="minorEastAsia" w:hAnsiTheme="minorEastAsia" w:eastAsiaTheme="minorEastAsia"/>
                <w:b w:val="0"/>
                <w:bCs w:val="0"/>
                <w:color w:val="000000"/>
                <w:sz w:val="24"/>
                <w:szCs w:val="24"/>
              </w:rPr>
              <w:t>60mm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或等强度规格的管材，扶手管材实际壁厚不小于</w:t>
            </w:r>
            <w:r>
              <w:rPr>
                <w:rFonts w:asciiTheme="minorEastAsia" w:hAnsiTheme="minorEastAsia" w:eastAsiaTheme="minorEastAsia"/>
                <w:b w:val="0"/>
                <w:bCs w:val="0"/>
                <w:color w:val="000000"/>
                <w:sz w:val="24"/>
                <w:szCs w:val="24"/>
              </w:rPr>
              <w:t>2.5mm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，主要承载横梁尺寸不小于φ3</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pacing w:val="-4"/>
                <w:sz w:val="24"/>
                <w:szCs w:val="24"/>
              </w:rPr>
              <w:t>摆杆与主立柱内侧的最小距离应大于</w:t>
            </w:r>
            <w:r>
              <w:rPr>
                <w:rFonts w:asciiTheme="minorEastAsia" w:hAnsiTheme="minorEastAsia" w:eastAsiaTheme="minorEastAsia"/>
                <w:b w:val="0"/>
                <w:bCs w:val="0"/>
                <w:color w:val="000000"/>
                <w:spacing w:val="-4"/>
                <w:sz w:val="24"/>
                <w:szCs w:val="24"/>
              </w:rPr>
              <w:t>65mm</w:t>
            </w:r>
            <w:r>
              <w:rPr>
                <w:rFonts w:hint="eastAsia" w:asciiTheme="minorEastAsia" w:hAnsiTheme="minorEastAsia" w:eastAsiaTheme="minorEastAsia"/>
                <w:b w:val="0"/>
                <w:bCs w:val="0"/>
                <w:color w:val="000000"/>
                <w:spacing w:val="-4"/>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踏板的主运动方向和易滑脱方向应设置高度不小于</w:t>
            </w:r>
            <w:r>
              <w:rPr>
                <w:rFonts w:asciiTheme="minorEastAsia" w:hAnsiTheme="minorEastAsia" w:eastAsiaTheme="minorEastAsia"/>
                <w:b w:val="0"/>
                <w:bCs w:val="0"/>
                <w:color w:val="000000"/>
                <w:sz w:val="24"/>
                <w:szCs w:val="24"/>
              </w:rPr>
              <w:t>30mm</w:t>
            </w:r>
            <w:r>
              <w:rPr>
                <w:rFonts w:hint="eastAsia" w:asciiTheme="minorEastAsia" w:hAnsiTheme="minorEastAsia" w:eastAsiaTheme="minorEastAsia"/>
                <w:b w:val="0"/>
                <w:bCs w:val="0"/>
                <w:color w:val="000000"/>
                <w:sz w:val="24"/>
                <w:szCs w:val="24"/>
              </w:rPr>
              <w:t>、长度大于踏板周长</w:t>
            </w:r>
            <w:r>
              <w:rPr>
                <w:rFonts w:asciiTheme="minorEastAsia" w:hAnsiTheme="minorEastAsia" w:eastAsiaTheme="minorEastAsia"/>
                <w:b w:val="0"/>
                <w:bCs w:val="0"/>
                <w:color w:val="000000"/>
                <w:sz w:val="24"/>
                <w:szCs w:val="24"/>
              </w:rPr>
              <w:t>2/3</w:t>
            </w:r>
            <w:r>
              <w:rPr>
                <w:rFonts w:hint="eastAsia" w:asciiTheme="minorEastAsia" w:hAnsiTheme="minorEastAsia" w:eastAsiaTheme="minorEastAsia"/>
                <w:b w:val="0"/>
                <w:bCs w:val="0"/>
                <w:color w:val="000000"/>
                <w:sz w:val="24"/>
                <w:szCs w:val="24"/>
              </w:rPr>
              <w:t>的防滑脱的凸台或护板；凸台顶部棱边</w:t>
            </w:r>
            <w:r>
              <w:rPr>
                <w:rFonts w:asciiTheme="minorEastAsia" w:hAnsiTheme="minorEastAsia" w:eastAsiaTheme="minorEastAsia"/>
                <w:b w:val="0"/>
                <w:bCs w:val="0"/>
                <w:color w:val="000000"/>
                <w:sz w:val="24"/>
                <w:szCs w:val="24"/>
              </w:rPr>
              <w:t>R</w:t>
            </w:r>
            <w:r>
              <w:rPr>
                <w:rFonts w:hint="eastAsia" w:asciiTheme="minorEastAsia" w:hAnsiTheme="minorEastAsia" w:eastAsiaTheme="minorEastAsia"/>
                <w:b w:val="0"/>
                <w:bCs w:val="0"/>
                <w:color w:val="000000"/>
                <w:sz w:val="24"/>
                <w:szCs w:val="24"/>
              </w:rPr>
              <w:t>弧应不小于</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脚踏部位应有防滑措施，站立使用的单脚防滑面应不小于（</w:t>
            </w:r>
            <w:r>
              <w:rPr>
                <w:rFonts w:asciiTheme="minorEastAsia" w:hAnsiTheme="minorEastAsia" w:eastAsiaTheme="minorEastAsia"/>
                <w:b w:val="0"/>
                <w:bCs w:val="0"/>
                <w:color w:val="000000"/>
                <w:sz w:val="24"/>
                <w:szCs w:val="24"/>
              </w:rPr>
              <w:t>3</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104</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²，摩擦系数应不小于</w:t>
            </w:r>
            <w:r>
              <w:rPr>
                <w:rFonts w:asciiTheme="minorEastAsia" w:hAnsiTheme="minorEastAsia" w:eastAsiaTheme="minorEastAsia"/>
                <w:b w:val="0"/>
                <w:bCs w:val="0"/>
                <w:color w:val="000000"/>
                <w:sz w:val="24"/>
                <w:szCs w:val="24"/>
              </w:rPr>
              <w:t>0.5</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摆动部件下缘距地面或底面最小高度应不小于</w:t>
            </w:r>
            <w:r>
              <w:rPr>
                <w:rFonts w:asciiTheme="minorEastAsia" w:hAnsiTheme="minorEastAsia" w:eastAsiaTheme="minorEastAsia"/>
                <w:b w:val="0"/>
                <w:bCs w:val="0"/>
                <w:color w:val="000000"/>
                <w:sz w:val="24"/>
                <w:szCs w:val="24"/>
              </w:rPr>
              <w:t>100mm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相邻运动的两踏板的间距应不小于</w:t>
            </w:r>
            <w:r>
              <w:rPr>
                <w:rFonts w:asciiTheme="minorEastAsia" w:hAnsiTheme="minorEastAsia" w:eastAsiaTheme="minorEastAsia"/>
                <w:b w:val="0"/>
                <w:bCs w:val="0"/>
                <w:color w:val="000000"/>
                <w:sz w:val="24"/>
                <w:szCs w:val="24"/>
              </w:rPr>
              <w:t>115mm</w:t>
            </w:r>
            <w:r>
              <w:rPr>
                <w:rFonts w:hint="eastAsia" w:asciiTheme="minorEastAsia" w:hAnsiTheme="minorEastAsia" w:eastAsiaTheme="minorEastAsia"/>
                <w:b w:val="0"/>
                <w:bCs w:val="0"/>
                <w:color w:val="000000"/>
                <w:sz w:val="24"/>
                <w:szCs w:val="24"/>
              </w:rPr>
              <w:t>；</w:t>
            </w:r>
          </w:p>
          <w:p>
            <w:pPr>
              <w:pStyle w:val="30"/>
              <w:spacing w:before="0" w:after="0" w:line="360" w:lineRule="auto"/>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转轴直径不小于</w:t>
            </w:r>
            <w:r>
              <w:rPr>
                <w:rFonts w:asciiTheme="minorEastAsia" w:hAnsiTheme="minorEastAsia" w:eastAsiaTheme="minorEastAsia"/>
                <w:b w:val="0"/>
                <w:bCs w:val="0"/>
                <w:color w:val="000000"/>
                <w:sz w:val="24"/>
                <w:szCs w:val="24"/>
              </w:rPr>
              <w:t>30mm</w:t>
            </w:r>
            <w:r>
              <w:rPr>
                <w:rFonts w:hint="eastAsia" w:asciiTheme="minorEastAsia" w:hAnsiTheme="minorEastAsia" w:eastAsiaTheme="minorEastAsia"/>
                <w:b w:val="0"/>
                <w:bCs w:val="0"/>
                <w:color w:val="000000"/>
                <w:sz w:val="24"/>
                <w:szCs w:val="24"/>
              </w:rPr>
              <w:t>并辅以调质热处理，或选用直径不小于</w:t>
            </w:r>
            <w:r>
              <w:rPr>
                <w:rFonts w:asciiTheme="minorEastAsia" w:hAnsiTheme="minorEastAsia" w:eastAsiaTheme="minorEastAsia"/>
                <w:b w:val="0"/>
                <w:bCs w:val="0"/>
                <w:color w:val="000000"/>
                <w:sz w:val="24"/>
                <w:szCs w:val="24"/>
              </w:rPr>
              <w:t>35mm</w:t>
            </w:r>
            <w:r>
              <w:rPr>
                <w:rFonts w:hint="eastAsia" w:asciiTheme="minorEastAsia" w:hAnsiTheme="minorEastAsia" w:eastAsiaTheme="minorEastAsia"/>
                <w:b w:val="0"/>
                <w:bCs w:val="0"/>
                <w:color w:val="000000"/>
                <w:sz w:val="24"/>
                <w:szCs w:val="24"/>
              </w:rPr>
              <w:t>；轴承座最薄处壁厚不小于</w:t>
            </w:r>
            <w:r>
              <w:rPr>
                <w:rFonts w:asciiTheme="minorEastAsia" w:hAnsiTheme="minorEastAsia" w:eastAsiaTheme="minorEastAsia"/>
                <w:b w:val="0"/>
                <w:bCs w:val="0"/>
                <w:color w:val="000000"/>
                <w:sz w:val="24"/>
                <w:szCs w:val="24"/>
              </w:rPr>
              <w:t>6mm</w:t>
            </w:r>
            <w:r>
              <w:rPr>
                <w:rFonts w:hint="eastAsia" w:asciiTheme="minorEastAsia" w:hAnsiTheme="minorEastAsia" w:eastAsiaTheme="minorEastAsia"/>
                <w:b w:val="0"/>
                <w:bCs w:val="0"/>
                <w:color w:val="000000"/>
                <w:sz w:val="24"/>
                <w:szCs w:val="24"/>
              </w:rPr>
              <w:t>，轴承选用不小于</w:t>
            </w:r>
            <w:r>
              <w:rPr>
                <w:rFonts w:asciiTheme="minorEastAsia" w:hAnsiTheme="minorEastAsia" w:eastAsiaTheme="minorEastAsia"/>
                <w:b w:val="0"/>
                <w:bCs w:val="0"/>
                <w:color w:val="000000"/>
                <w:sz w:val="24"/>
                <w:szCs w:val="24"/>
              </w:rPr>
              <w:t>6206</w:t>
            </w:r>
            <w:r>
              <w:rPr>
                <w:rFonts w:hint="eastAsia" w:asciiTheme="minorEastAsia" w:hAnsiTheme="minorEastAsia" w:eastAsiaTheme="minorEastAsia"/>
                <w:b w:val="0"/>
                <w:bCs w:val="0"/>
                <w:color w:val="000000"/>
                <w:sz w:val="24"/>
                <w:szCs w:val="24"/>
              </w:rPr>
              <w:t>承载能力的深沟球轴；</w:t>
            </w:r>
          </w:p>
          <w:p>
            <w:pPr>
              <w:pStyle w:val="30"/>
              <w:spacing w:before="0" w:after="0" w:line="360" w:lineRule="auto"/>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踏板前后应采取防止碰撞第三者的缓冲措施；</w:t>
            </w:r>
          </w:p>
          <w:p>
            <w:pPr>
              <w:pStyle w:val="95"/>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不允许存在衣服、头发钩挂或缠绕危险。</w:t>
            </w:r>
          </w:p>
        </w:tc>
        <w:tc>
          <w:tcPr>
            <w:tcW w:w="85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个</w:t>
            </w:r>
          </w:p>
        </w:tc>
        <w:tc>
          <w:tcPr>
            <w:tcW w:w="749"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176</w:t>
            </w:r>
          </w:p>
        </w:tc>
      </w:tr>
    </w:tbl>
    <w:p>
      <w:pPr>
        <w:pStyle w:val="30"/>
        <w:spacing w:before="0" w:after="0"/>
        <w:jc w:val="both"/>
        <w:outlineLvl w:val="9"/>
        <w:rPr>
          <w:rFonts w:ascii="仿宋_GB2312" w:hAnsi="仿宋"/>
          <w:bCs w:val="0"/>
        </w:rPr>
      </w:pPr>
      <w:r>
        <w:rPr>
          <w:rFonts w:hint="eastAsia" w:ascii="仿宋_GB2312" w:hAnsi="仿宋" w:cs="黑体"/>
          <w:bCs w:val="0"/>
        </w:rPr>
        <w:t>篮球架产品样式图：（如下图）</w:t>
      </w:r>
    </w:p>
    <w:p>
      <w:pPr>
        <w:autoSpaceDE w:val="0"/>
        <w:autoSpaceDN w:val="0"/>
        <w:adjustRightInd w:val="0"/>
        <w:snapToGrid w:val="0"/>
        <w:spacing w:line="360" w:lineRule="auto"/>
        <w:rPr>
          <w:rFonts w:ascii="宋体" w:hAnsi="宋体" w:cs="宋体"/>
          <w:b/>
          <w:sz w:val="24"/>
        </w:rPr>
      </w:pPr>
      <w:r>
        <w:rPr>
          <w:rFonts w:ascii="宋体" w:hAnsi="宋体" w:cs="宋体"/>
          <w:b/>
          <w:sz w:val="24"/>
        </w:rPr>
        <w:drawing>
          <wp:inline distT="0" distB="0" distL="0" distR="0">
            <wp:extent cx="3695700" cy="5981700"/>
            <wp:effectExtent l="19050" t="0" r="0" b="0"/>
            <wp:docPr id="19" name="图片 1" descr="篮球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篮球架"/>
                    <pic:cNvPicPr>
                      <a:picLocks noChangeAspect="1" noChangeArrowheads="1"/>
                    </pic:cNvPicPr>
                  </pic:nvPicPr>
                  <pic:blipFill>
                    <a:blip r:embed="rId5" cstate="print"/>
                    <a:srcRect/>
                    <a:stretch>
                      <a:fillRect/>
                    </a:stretch>
                  </pic:blipFill>
                  <pic:spPr>
                    <a:xfrm>
                      <a:off x="0" y="0"/>
                      <a:ext cx="3695700" cy="5981700"/>
                    </a:xfrm>
                    <a:prstGeom prst="rect">
                      <a:avLst/>
                    </a:prstGeom>
                    <a:noFill/>
                    <a:ln w="9525">
                      <a:noFill/>
                      <a:miter lim="800000"/>
                      <a:headEnd/>
                      <a:tailEnd/>
                    </a:ln>
                  </pic:spPr>
                </pic:pic>
              </a:graphicData>
            </a:graphic>
          </wp:inline>
        </w:drawing>
      </w:r>
    </w:p>
    <w:p>
      <w:pPr>
        <w:autoSpaceDE w:val="0"/>
        <w:autoSpaceDN w:val="0"/>
        <w:adjustRightInd w:val="0"/>
        <w:snapToGrid w:val="0"/>
        <w:spacing w:line="360" w:lineRule="auto"/>
        <w:rPr>
          <w:rFonts w:ascii="宋体" w:hAnsi="宋体" w:cs="宋体"/>
          <w:b/>
          <w:sz w:val="24"/>
          <w:lang w:val="zh-CN"/>
        </w:rPr>
      </w:pPr>
    </w:p>
    <w:p>
      <w:pPr>
        <w:autoSpaceDE w:val="0"/>
        <w:autoSpaceDN w:val="0"/>
        <w:adjustRightInd w:val="0"/>
        <w:snapToGrid w:val="0"/>
        <w:spacing w:line="360" w:lineRule="auto"/>
        <w:rPr>
          <w:rFonts w:ascii="宋体" w:hAnsi="宋体" w:cs="宋体"/>
          <w:b/>
          <w:color w:val="000000"/>
          <w:kern w:val="0"/>
          <w:sz w:val="24"/>
        </w:rPr>
      </w:pPr>
      <w:r>
        <w:rPr>
          <w:rFonts w:hint="eastAsia" w:ascii="宋体" w:hAnsi="宋体" w:cs="宋体"/>
          <w:b/>
          <w:sz w:val="24"/>
          <w:lang w:val="zh-CN"/>
        </w:rPr>
        <w:t>B包：</w:t>
      </w:r>
      <w:r>
        <w:rPr>
          <w:rFonts w:hint="eastAsia" w:ascii="宋体" w:hAnsi="宋体" w:cs="宋体"/>
          <w:b/>
          <w:color w:val="000000"/>
          <w:kern w:val="0"/>
          <w:sz w:val="24"/>
        </w:rPr>
        <w:t>健身路径</w:t>
      </w:r>
    </w:p>
    <w:tbl>
      <w:tblPr>
        <w:tblStyle w:val="37"/>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50"/>
        <w:gridCol w:w="6662"/>
        <w:gridCol w:w="85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序号</w:t>
            </w:r>
          </w:p>
        </w:tc>
        <w:tc>
          <w:tcPr>
            <w:tcW w:w="1150" w:type="dxa"/>
            <w:vAlign w:val="center"/>
          </w:tcPr>
          <w:p>
            <w:pPr>
              <w:autoSpaceDE w:val="0"/>
              <w:autoSpaceDN w:val="0"/>
              <w:adjustRightInd w:val="0"/>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名称</w:t>
            </w:r>
          </w:p>
        </w:tc>
        <w:tc>
          <w:tcPr>
            <w:tcW w:w="6662" w:type="dxa"/>
            <w:vAlign w:val="center"/>
          </w:tcPr>
          <w:p>
            <w:pPr>
              <w:autoSpaceDE w:val="0"/>
              <w:autoSpaceDN w:val="0"/>
              <w:adjustRightInd w:val="0"/>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主要技术参数及规格</w:t>
            </w:r>
          </w:p>
        </w:tc>
        <w:tc>
          <w:tcPr>
            <w:tcW w:w="851" w:type="dxa"/>
            <w:vAlign w:val="center"/>
          </w:tcPr>
          <w:p>
            <w:pPr>
              <w:autoSpaceDE w:val="0"/>
              <w:autoSpaceDN w:val="0"/>
              <w:adjustRightInd w:val="0"/>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单位</w:t>
            </w:r>
          </w:p>
        </w:tc>
        <w:tc>
          <w:tcPr>
            <w:tcW w:w="749" w:type="dxa"/>
            <w:vAlign w:val="center"/>
          </w:tcPr>
          <w:p>
            <w:pPr>
              <w:autoSpaceDE w:val="0"/>
              <w:autoSpaceDN w:val="0"/>
              <w:adjustRightInd w:val="0"/>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w:t>
            </w:r>
          </w:p>
        </w:tc>
        <w:tc>
          <w:tcPr>
            <w:tcW w:w="1150" w:type="dxa"/>
            <w:vAlign w:val="center"/>
          </w:tcPr>
          <w:p>
            <w:pPr>
              <w:autoSpaceDE w:val="0"/>
              <w:autoSpaceDN w:val="0"/>
              <w:adjustRightInd w:val="0"/>
              <w:jc w:val="left"/>
              <w:rPr>
                <w:rFonts w:cs="宋体" w:asciiTheme="minorEastAsia" w:hAnsiTheme="minorEastAsia" w:eastAsiaTheme="minorEastAsia"/>
                <w:b/>
                <w:kern w:val="0"/>
                <w:sz w:val="24"/>
                <w:lang w:val="zh-CN"/>
              </w:rPr>
            </w:pPr>
            <w:r>
              <w:rPr>
                <w:rFonts w:hint="eastAsia" w:asciiTheme="minorEastAsia" w:hAnsiTheme="minorEastAsia" w:eastAsiaTheme="minorEastAsia"/>
                <w:color w:val="000000"/>
                <w:sz w:val="24"/>
              </w:rPr>
              <w:t>两位蹬力训练器</w:t>
            </w:r>
          </w:p>
        </w:tc>
        <w:tc>
          <w:tcPr>
            <w:tcW w:w="6662" w:type="dxa"/>
            <w:vAlign w:val="center"/>
          </w:tcPr>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座椅、靠背上表面边缘应以R不小于3mm的圆弧过渡；座椅下部、靠背后侧棱边R不小于2mm；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主要承载立柱尺寸规格不小于φ114mm×3mm；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蹬力器摆杆应有限制摆幅的限位装置，蹬力器摆杆规格不小于φ60mm×3mm；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坐板采用一次冲压成形，板材壁厚不小于4mm；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轴承座支架、耳片壁厚不小于8mm；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采用轴承结构的，轴承座壁厚不小于6mm；轴承规格不小于6205深沟球轴承；</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不允许存在剪切点、挤压点、引入点，不允许存在刚性碰撞；</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脚踏部位应有防滑措施；摩擦系数应不小于0.5；</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蹬力器摆杆与立柱之间的最小距离应大于230mm；</w:t>
            </w:r>
          </w:p>
          <w:p>
            <w:pPr>
              <w:autoSpaceDE w:val="0"/>
              <w:autoSpaceDN w:val="0"/>
              <w:adjustRightInd w:val="0"/>
              <w:jc w:val="left"/>
              <w:rPr>
                <w:rFonts w:cs="宋体" w:asciiTheme="minorEastAsia" w:hAnsiTheme="minorEastAsia" w:eastAsiaTheme="minorEastAsia"/>
                <w:b/>
                <w:kern w:val="0"/>
                <w:sz w:val="24"/>
                <w:lang w:val="zh-CN"/>
              </w:rPr>
            </w:pPr>
            <w:r>
              <w:rPr>
                <w:rFonts w:hint="eastAsia" w:asciiTheme="minorEastAsia" w:hAnsiTheme="minorEastAsia" w:eastAsiaTheme="minorEastAsia"/>
                <w:color w:val="000000"/>
                <w:sz w:val="24"/>
              </w:rPr>
              <w:t>不允许存在衣服、头发钩挂或缠绕危险。</w:t>
            </w:r>
          </w:p>
        </w:tc>
        <w:tc>
          <w:tcPr>
            <w:tcW w:w="851" w:type="dxa"/>
            <w:vAlign w:val="center"/>
          </w:tcPr>
          <w:p>
            <w:pPr>
              <w:autoSpaceDE w:val="0"/>
              <w:autoSpaceDN w:val="0"/>
              <w:adjustRightInd w:val="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w:t>
            </w:r>
          </w:p>
        </w:tc>
        <w:tc>
          <w:tcPr>
            <w:tcW w:w="1150" w:type="dxa"/>
            <w:vAlign w:val="center"/>
          </w:tcPr>
          <w:p>
            <w:pPr>
              <w:autoSpaceDE w:val="0"/>
              <w:autoSpaceDN w:val="0"/>
              <w:adjustRightInd w:val="0"/>
              <w:jc w:val="left"/>
              <w:rPr>
                <w:rFonts w:cs="宋体" w:asciiTheme="minorEastAsia" w:hAnsiTheme="minorEastAsia" w:eastAsiaTheme="minorEastAsia"/>
                <w:b/>
                <w:kern w:val="0"/>
                <w:sz w:val="24"/>
                <w:lang w:val="zh-CN"/>
              </w:rPr>
            </w:pPr>
            <w:r>
              <w:rPr>
                <w:rFonts w:hint="eastAsia" w:asciiTheme="minorEastAsia" w:hAnsiTheme="minorEastAsia" w:eastAsiaTheme="minorEastAsia"/>
                <w:color w:val="000000"/>
                <w:sz w:val="24"/>
              </w:rPr>
              <w:t>上肢牵引器</w:t>
            </w:r>
          </w:p>
        </w:tc>
        <w:tc>
          <w:tcPr>
            <w:tcW w:w="6662" w:type="dxa"/>
            <w:vAlign w:val="center"/>
          </w:tcPr>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主立柱壁厚不小3mm，采用单一钢管时，主要承载立柱尺寸不小于φ114mm×3mm，采用复合结构立柱时，其外形尺寸不小于114mm，主要承载横梁尺寸不小于φ45mm×3mm；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其他管材壁厚不小于2.5mm；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活动把手（不含柔性部件）质量不大于600g，且端部直径大于50mm；</w:t>
            </w:r>
          </w:p>
          <w:p>
            <w:pPr>
              <w:pStyle w:val="30"/>
              <w:spacing w:before="0" w:after="0" w:line="480" w:lineRule="exact"/>
              <w:rPr>
                <w:rFonts w:asciiTheme="minorEastAsia" w:hAnsiTheme="minorEastAsia" w:eastAsiaTheme="minorEastAsia"/>
                <w:b w:val="0"/>
                <w:bCs w:val="0"/>
                <w:color w:val="000000"/>
                <w:kern w:val="0"/>
                <w:sz w:val="24"/>
                <w:szCs w:val="24"/>
              </w:rPr>
            </w:pPr>
            <w:r>
              <w:rPr>
                <w:rFonts w:hint="eastAsia" w:asciiTheme="minorEastAsia" w:hAnsiTheme="minorEastAsia" w:eastAsiaTheme="minorEastAsia"/>
                <w:b w:val="0"/>
                <w:bCs w:val="0"/>
                <w:color w:val="000000"/>
                <w:sz w:val="24"/>
                <w:szCs w:val="24"/>
              </w:rPr>
              <w:t>若使用链环结构时，链扣之间最大间隙小于8mm；</w:t>
            </w:r>
          </w:p>
          <w:p>
            <w:pPr>
              <w:autoSpaceDE w:val="0"/>
              <w:autoSpaceDN w:val="0"/>
              <w:adjustRightInd w:val="0"/>
              <w:jc w:val="left"/>
              <w:rPr>
                <w:rFonts w:cs="宋体" w:asciiTheme="minorEastAsia" w:hAnsiTheme="minorEastAsia" w:eastAsiaTheme="minorEastAsia"/>
                <w:kern w:val="0"/>
                <w:sz w:val="24"/>
                <w:lang w:val="zh-CN"/>
              </w:rPr>
            </w:pPr>
            <w:r>
              <w:rPr>
                <w:rFonts w:hint="eastAsia" w:asciiTheme="minorEastAsia" w:hAnsiTheme="minorEastAsia" w:eastAsiaTheme="minorEastAsia"/>
                <w:color w:val="000000"/>
                <w:sz w:val="24"/>
              </w:rPr>
              <w:t>摆杆应有限位结构，摆杆运动至极限位置时，摆杆最低点与地面的距离应不小于1850mm。</w:t>
            </w:r>
          </w:p>
        </w:tc>
        <w:tc>
          <w:tcPr>
            <w:tcW w:w="851" w:type="dxa"/>
            <w:vAlign w:val="center"/>
          </w:tcPr>
          <w:p>
            <w:pPr>
              <w:autoSpaceDE w:val="0"/>
              <w:autoSpaceDN w:val="0"/>
              <w:adjustRightInd w:val="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w:t>
            </w:r>
          </w:p>
        </w:tc>
        <w:tc>
          <w:tcPr>
            <w:tcW w:w="1150" w:type="dxa"/>
            <w:vAlign w:val="center"/>
          </w:tcPr>
          <w:p>
            <w:pPr>
              <w:autoSpaceDE w:val="0"/>
              <w:autoSpaceDN w:val="0"/>
              <w:adjustRightInd w:val="0"/>
              <w:jc w:val="left"/>
              <w:rPr>
                <w:rFonts w:cs="宋体" w:asciiTheme="minorEastAsia" w:hAnsiTheme="minorEastAsia" w:eastAsiaTheme="minorEastAsia"/>
                <w:b/>
                <w:kern w:val="0"/>
                <w:sz w:val="24"/>
                <w:lang w:val="zh-CN"/>
              </w:rPr>
            </w:pPr>
            <w:r>
              <w:rPr>
                <w:rFonts w:hint="eastAsia" w:asciiTheme="minorEastAsia" w:hAnsiTheme="minorEastAsia" w:eastAsiaTheme="minorEastAsia"/>
                <w:color w:val="000000"/>
                <w:sz w:val="24"/>
              </w:rPr>
              <w:t>腹肌板</w:t>
            </w:r>
          </w:p>
        </w:tc>
        <w:tc>
          <w:tcPr>
            <w:tcW w:w="6662" w:type="dxa"/>
            <w:vAlign w:val="center"/>
          </w:tcPr>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主要承载立柱尺寸不小于φ32mm×3mm，其他管材壁厚不小于2mm；</w:t>
            </w:r>
            <w:r>
              <w:rPr>
                <w:rFonts w:hint="eastAsia" w:asciiTheme="minorEastAsia" w:hAnsiTheme="minorEastAsia" w:eastAsiaTheme="minorEastAsia"/>
                <w:color w:val="000000"/>
                <w:sz w:val="24"/>
              </w:rPr>
              <w:t>腹肌板采取整体式板面。</w:t>
            </w: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50" w:type="dxa"/>
            <w:vAlign w:val="center"/>
          </w:tcPr>
          <w:p>
            <w:pPr>
              <w:autoSpaceDE w:val="0"/>
              <w:autoSpaceDN w:val="0"/>
              <w:adjustRightInd w:val="0"/>
              <w:jc w:val="left"/>
              <w:rPr>
                <w:rFonts w:cs="宋体" w:asciiTheme="minorEastAsia" w:hAnsiTheme="minorEastAsia" w:eastAsiaTheme="minorEastAsia"/>
                <w:b/>
                <w:kern w:val="0"/>
                <w:sz w:val="24"/>
              </w:rPr>
            </w:pPr>
            <w:r>
              <w:rPr>
                <w:rFonts w:hint="eastAsia" w:asciiTheme="minorEastAsia" w:hAnsiTheme="minorEastAsia" w:eastAsiaTheme="minorEastAsia"/>
                <w:color w:val="000000"/>
                <w:sz w:val="24"/>
              </w:rPr>
              <w:t>直埋双位漫步机</w:t>
            </w:r>
          </w:p>
        </w:tc>
        <w:tc>
          <w:tcPr>
            <w:tcW w:w="6662" w:type="dxa"/>
            <w:vAlign w:val="center"/>
          </w:tcPr>
          <w:p>
            <w:pPr>
              <w:pStyle w:val="30"/>
              <w:spacing w:before="0" w:after="0" w:line="480" w:lineRule="exact"/>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pacing w:val="-4"/>
                <w:sz w:val="24"/>
                <w:szCs w:val="24"/>
              </w:rPr>
              <w:t>摆杆应有可靠限位装置，且单侧摆动幅度不大于65°，</w:t>
            </w:r>
            <w:r>
              <w:rPr>
                <w:rFonts w:hint="eastAsia" w:asciiTheme="minorEastAsia" w:hAnsiTheme="minorEastAsia" w:eastAsiaTheme="minorEastAsia"/>
                <w:b w:val="0"/>
                <w:bCs w:val="0"/>
                <w:color w:val="000000"/>
                <w:sz w:val="24"/>
                <w:szCs w:val="24"/>
              </w:rPr>
              <w:t>摆杆选用不小于φ60mm×3mm或等强度规格的管材，扶手管材实际壁厚不小于2.5mm；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主立柱壁厚3mm，采用单一钢管时，主要承载立柱尺寸不小于φ114mm×3mm，采用复合结构立柱时，其外形尺寸不小于114mm，主要承载横梁尺寸不小于φ32mm×3mm；</w:t>
            </w:r>
          </w:p>
          <w:p>
            <w:pPr>
              <w:pStyle w:val="30"/>
              <w:spacing w:before="0" w:after="0" w:line="480" w:lineRule="exact"/>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pacing w:val="-4"/>
                <w:sz w:val="24"/>
                <w:szCs w:val="24"/>
              </w:rPr>
              <w:t>摆杆与主立柱内侧的最小距离应大于65mm；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踏板的主运动方向和易滑脱方向应设置高度不小于30mm、长度大于踏板周长2/3的防滑脱的凸台或护板；凸台顶部棱边R弧应不小于2mm；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脚踏部位应有防滑措施，站立使用的单脚防滑面应不小于（3×104）mm²，摩擦系数应不小于0.5；</w:t>
            </w:r>
          </w:p>
          <w:p>
            <w:pPr>
              <w:pStyle w:val="30"/>
              <w:spacing w:before="0" w:after="0" w:line="480" w:lineRule="exact"/>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摆动部件下缘距地面或底面最小高度应不小于105mm；</w:t>
            </w:r>
          </w:p>
          <w:p>
            <w:pPr>
              <w:pStyle w:val="30"/>
              <w:spacing w:before="0" w:after="0" w:line="480" w:lineRule="exact"/>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相邻运动的两踏板的间距应不小于118mm；</w:t>
            </w:r>
          </w:p>
          <w:p>
            <w:pPr>
              <w:pStyle w:val="30"/>
              <w:spacing w:before="0" w:after="0" w:line="480" w:lineRule="exact"/>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转轴直径不小于30mm并辅以调质热处理，或选用直径不小于35mm；轴承座最薄处壁厚不小于6mm，轴承选用不小于6206承载能力的深沟球轴；</w:t>
            </w:r>
          </w:p>
          <w:p>
            <w:pPr>
              <w:pStyle w:val="30"/>
              <w:spacing w:before="0" w:after="0" w:line="480" w:lineRule="exact"/>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踏板前后应采取防止碰撞第三者的缓冲措施；</w:t>
            </w:r>
          </w:p>
          <w:p>
            <w:pPr>
              <w:autoSpaceDE w:val="0"/>
              <w:autoSpaceDN w:val="0"/>
              <w:adjustRightInd w:val="0"/>
              <w:jc w:val="left"/>
              <w:rPr>
                <w:rFonts w:cs="宋体" w:asciiTheme="minorEastAsia" w:hAnsiTheme="minorEastAsia" w:eastAsiaTheme="minorEastAsia"/>
                <w:b/>
                <w:kern w:val="0"/>
                <w:sz w:val="24"/>
              </w:rPr>
            </w:pPr>
            <w:r>
              <w:rPr>
                <w:rFonts w:hint="eastAsia" w:asciiTheme="minorEastAsia" w:hAnsiTheme="minorEastAsia" w:eastAsiaTheme="minorEastAsia"/>
                <w:color w:val="000000"/>
                <w:sz w:val="24"/>
              </w:rPr>
              <w:t>不允许存在衣服、头发钩挂或缠绕危险。</w:t>
            </w: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50" w:type="dxa"/>
            <w:vAlign w:val="center"/>
          </w:tcPr>
          <w:p>
            <w:pPr>
              <w:autoSpaceDE w:val="0"/>
              <w:autoSpaceDN w:val="0"/>
              <w:adjustRightInd w:val="0"/>
              <w:jc w:val="left"/>
              <w:rPr>
                <w:rFonts w:cs="宋体" w:asciiTheme="minorEastAsia" w:hAnsiTheme="minorEastAsia" w:eastAsiaTheme="minorEastAsia"/>
                <w:b/>
                <w:kern w:val="0"/>
                <w:sz w:val="24"/>
              </w:rPr>
            </w:pPr>
            <w:r>
              <w:rPr>
                <w:rFonts w:hint="eastAsia" w:asciiTheme="minorEastAsia" w:hAnsiTheme="minorEastAsia" w:eastAsiaTheme="minorEastAsia"/>
                <w:color w:val="000000"/>
                <w:sz w:val="24"/>
              </w:rPr>
              <w:t>坐立腰背按摩器</w:t>
            </w:r>
          </w:p>
        </w:tc>
        <w:tc>
          <w:tcPr>
            <w:tcW w:w="6662" w:type="dxa"/>
            <w:vAlign w:val="center"/>
          </w:tcPr>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按摩轮与刚性固定部件间最小距离应大于30mm；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不允许存在剪切点、挤压点、引入点，不允许存在刚性碰撞；</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主立柱壁厚3mm，采用单一钢管时，主要承载立柱尺寸不小于φ114mm×3mm，采用复合结构立柱时，其外形尺寸不小于114mm，主要承载横梁尺寸不小于φ48mm×3mm；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主立柱以外其他各连接管实际壁厚不小于2.5mm,各连接片、耳片实际壁厚不小于5mm；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腰部按摩轮可以上下移动，并采取限位措施；</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按摩轮转轴直径不小于15mm；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 xml:space="preserve">座椅表面边缘应以R不小于3mm的圆弧过渡； </w:t>
            </w:r>
          </w:p>
          <w:p>
            <w:pPr>
              <w:autoSpaceDE w:val="0"/>
              <w:autoSpaceDN w:val="0"/>
              <w:adjustRightInd w:val="0"/>
              <w:jc w:val="left"/>
              <w:rPr>
                <w:rFonts w:cs="宋体" w:asciiTheme="minorEastAsia" w:hAnsiTheme="minorEastAsia" w:eastAsiaTheme="minorEastAsia"/>
                <w:b/>
                <w:kern w:val="0"/>
                <w:sz w:val="24"/>
              </w:rPr>
            </w:pPr>
            <w:r>
              <w:rPr>
                <w:rFonts w:hint="eastAsia" w:asciiTheme="minorEastAsia" w:hAnsiTheme="minorEastAsia" w:eastAsiaTheme="minorEastAsia"/>
                <w:color w:val="000000"/>
                <w:sz w:val="24"/>
              </w:rPr>
              <w:t>按摩轮转动轴心处应采用滚动轴承，轴承选用不小于6002承载能力的深沟球轴。</w:t>
            </w: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cs="宋体" w:asciiTheme="minorEastAsia" w:hAnsiTheme="minorEastAsia" w:eastAsiaTheme="minorEastAsia"/>
                <w:color w:val="000000"/>
                <w:kern w:val="0"/>
                <w:sz w:val="24"/>
              </w:rPr>
              <w:t>扭腰踏步机</w:t>
            </w:r>
          </w:p>
        </w:tc>
        <w:tc>
          <w:tcPr>
            <w:tcW w:w="6662" w:type="dxa"/>
            <w:vAlign w:val="bottom"/>
          </w:tcPr>
          <w:p>
            <w:pPr>
              <w:spacing w:line="0" w:lineRule="atLeast"/>
              <w:jc w:val="left"/>
              <w:rPr>
                <w:rFonts w:ascii="宋体" w:hAnsi="宋体"/>
                <w:szCs w:val="21"/>
              </w:rPr>
            </w:pPr>
            <w:r>
              <w:rPr>
                <w:rFonts w:hint="eastAsia" w:ascii="宋体" w:hAnsi="宋体"/>
                <w:szCs w:val="21"/>
              </w:rPr>
              <w:t>1.产品规格：</w:t>
            </w:r>
          </w:p>
          <w:p>
            <w:pPr>
              <w:spacing w:line="0" w:lineRule="atLeast"/>
              <w:jc w:val="left"/>
              <w:rPr>
                <w:rFonts w:ascii="宋体" w:hAnsi="宋体"/>
                <w:szCs w:val="21"/>
              </w:rPr>
            </w:pPr>
            <w:r>
              <w:rPr>
                <w:rFonts w:hint="eastAsia" w:ascii="宋体" w:hAnsi="宋体"/>
                <w:szCs w:val="21"/>
              </w:rPr>
              <w:t>①主要承载立柱尺寸为：Q235/ø114mm×3mm；</w:t>
            </w:r>
          </w:p>
          <w:p>
            <w:pPr>
              <w:spacing w:line="0" w:lineRule="atLeast"/>
              <w:jc w:val="left"/>
              <w:rPr>
                <w:rFonts w:ascii="宋体" w:hAnsi="宋体"/>
                <w:szCs w:val="21"/>
              </w:rPr>
            </w:pPr>
            <w:r>
              <w:rPr>
                <w:rFonts w:hint="eastAsia" w:ascii="宋体" w:hAnsi="宋体"/>
                <w:szCs w:val="21"/>
              </w:rPr>
              <w:t>②主要承载横梁尺寸为：钢管70mm×50mm×3mm；</w:t>
            </w:r>
          </w:p>
          <w:p>
            <w:pPr>
              <w:spacing w:line="0" w:lineRule="atLeast"/>
              <w:jc w:val="left"/>
              <w:rPr>
                <w:rFonts w:ascii="宋体" w:hAnsi="宋体" w:cs="宋体"/>
                <w:kern w:val="0"/>
                <w:szCs w:val="21"/>
              </w:rPr>
            </w:pPr>
            <w:r>
              <w:rPr>
                <w:rFonts w:hint="eastAsia" w:ascii="宋体" w:hAnsi="宋体"/>
                <w:szCs w:val="21"/>
              </w:rPr>
              <w:t>③轴直径ø35mm，配置深沟球轴承6007,</w:t>
            </w:r>
            <w:r>
              <w:rPr>
                <w:rFonts w:hint="eastAsia" w:ascii="宋体" w:hAnsi="宋体" w:cs="宋体"/>
                <w:kern w:val="0"/>
                <w:szCs w:val="21"/>
              </w:rPr>
              <w:t>骨架油封防水、防尘。</w:t>
            </w:r>
          </w:p>
          <w:p>
            <w:pPr>
              <w:spacing w:line="0" w:lineRule="atLeast"/>
              <w:jc w:val="left"/>
              <w:rPr>
                <w:rFonts w:ascii="宋体" w:hAnsi="宋体" w:cs="宋体"/>
                <w:kern w:val="0"/>
                <w:szCs w:val="21"/>
              </w:rPr>
            </w:pPr>
            <w:r>
              <w:rPr>
                <w:rFonts w:hint="eastAsia" w:ascii="宋体" w:hAnsi="宋体"/>
                <w:szCs w:val="21"/>
              </w:rPr>
              <w:t>④把手端头焊接球头，球头材质规格为Q235/δ2.5mm,球头直径50mm，</w:t>
            </w:r>
            <w:r>
              <w:rPr>
                <w:rFonts w:hint="eastAsia" w:ascii="宋体" w:hAnsi="宋体" w:cs="宋体"/>
                <w:kern w:val="0"/>
                <w:szCs w:val="21"/>
              </w:rPr>
              <w:t>有效防止使用者在使用过程中手从把手上滑脱。</w:t>
            </w:r>
          </w:p>
          <w:p>
            <w:pPr>
              <w:spacing w:line="0" w:lineRule="atLeast"/>
              <w:jc w:val="left"/>
              <w:rPr>
                <w:rFonts w:ascii="宋体" w:hAnsi="宋体"/>
                <w:szCs w:val="21"/>
              </w:rPr>
            </w:pPr>
            <w:r>
              <w:rPr>
                <w:rFonts w:hint="eastAsia" w:ascii="宋体" w:hAnsi="宋体"/>
                <w:szCs w:val="21"/>
              </w:rPr>
              <w:t>2产品特点：</w:t>
            </w:r>
          </w:p>
          <w:p>
            <w:pPr>
              <w:spacing w:line="0" w:lineRule="atLeast"/>
              <w:jc w:val="left"/>
              <w:rPr>
                <w:rFonts w:ascii="宋体" w:hAnsi="宋体"/>
                <w:szCs w:val="21"/>
              </w:rPr>
            </w:pPr>
            <w:r>
              <w:rPr>
                <w:rFonts w:hint="eastAsia" w:ascii="宋体" w:hAnsi="宋体"/>
                <w:szCs w:val="21"/>
              </w:rPr>
              <w:t>①转动部位有限位装置。</w:t>
            </w:r>
          </w:p>
          <w:p>
            <w:pPr>
              <w:spacing w:line="0" w:lineRule="atLeast"/>
              <w:jc w:val="left"/>
              <w:rPr>
                <w:rFonts w:ascii="宋体" w:hAnsi="宋体" w:cs="宋体"/>
                <w:color w:val="000000"/>
                <w:kern w:val="0"/>
                <w:szCs w:val="21"/>
              </w:rPr>
            </w:pPr>
            <w:r>
              <w:rPr>
                <w:rFonts w:hint="eastAsia" w:ascii="宋体" w:hAnsi="宋体"/>
                <w:szCs w:val="21"/>
              </w:rPr>
              <w:t>②</w:t>
            </w:r>
            <w:r>
              <w:rPr>
                <w:rFonts w:hint="eastAsia" w:ascii="宋体" w:hAnsi="宋体" w:cs="宋体"/>
                <w:color w:val="000000"/>
                <w:kern w:val="0"/>
                <w:szCs w:val="21"/>
              </w:rPr>
              <w:t>踏板的主运动方向和易滑脱方向高度为41mm、长度大于踏板周长2/3的防滑脱的凸台；凸台顶部棱边全部以2mm的R圆弧过渡；脚踏部位有防滑措施，站立使用的单脚防滑面为（254</w:t>
            </w:r>
            <w:r>
              <w:rPr>
                <w:rFonts w:hint="eastAsia" w:ascii="宋体" w:hAnsi="宋体"/>
                <w:szCs w:val="21"/>
              </w:rPr>
              <w:t>×</w:t>
            </w:r>
            <w:r>
              <w:rPr>
                <w:rFonts w:hint="eastAsia" w:ascii="宋体" w:hAnsi="宋体" w:cs="宋体"/>
                <w:color w:val="000000"/>
                <w:kern w:val="0"/>
                <w:szCs w:val="21"/>
              </w:rPr>
              <w:t>307）mm²；</w:t>
            </w:r>
          </w:p>
          <w:p>
            <w:pPr>
              <w:spacing w:line="0" w:lineRule="atLeast"/>
              <w:jc w:val="left"/>
              <w:rPr>
                <w:rFonts w:ascii="宋体" w:hAnsi="宋体" w:cs="宋体"/>
                <w:color w:val="000000"/>
                <w:kern w:val="0"/>
                <w:szCs w:val="21"/>
              </w:rPr>
            </w:pPr>
            <w:r>
              <w:rPr>
                <w:rFonts w:hint="eastAsia" w:ascii="宋体" w:hAnsi="宋体"/>
                <w:szCs w:val="21"/>
              </w:rPr>
              <w:t>③</w:t>
            </w:r>
            <w:r>
              <w:rPr>
                <w:rFonts w:hint="eastAsia" w:ascii="宋体" w:hAnsi="宋体" w:cs="宋体"/>
                <w:color w:val="000000"/>
                <w:kern w:val="0"/>
                <w:szCs w:val="21"/>
              </w:rPr>
              <w:t>踏板两侧装有防碰撞件，防止碰撞第三者.</w:t>
            </w:r>
          </w:p>
          <w:p>
            <w:pPr>
              <w:spacing w:line="0" w:lineRule="atLeast"/>
              <w:jc w:val="left"/>
              <w:rPr>
                <w:rFonts w:ascii="宋体" w:hAnsi="宋体" w:cs="宋体"/>
                <w:color w:val="000000"/>
                <w:kern w:val="0"/>
                <w:szCs w:val="21"/>
              </w:rPr>
            </w:pPr>
            <w:r>
              <w:rPr>
                <w:rFonts w:hint="eastAsia" w:ascii="宋体" w:hAnsi="宋体"/>
                <w:szCs w:val="21"/>
              </w:rPr>
              <w:t>④</w:t>
            </w:r>
            <w:r>
              <w:rPr>
                <w:rFonts w:hint="eastAsia" w:ascii="宋体" w:hAnsi="宋体" w:cs="宋体"/>
                <w:color w:val="000000"/>
                <w:kern w:val="0"/>
                <w:szCs w:val="21"/>
              </w:rPr>
              <w:t>摆杆与主立柱内侧的最小距离为63mm</w:t>
            </w:r>
          </w:p>
          <w:p>
            <w:pPr>
              <w:spacing w:line="0" w:lineRule="atLeast"/>
              <w:jc w:val="left"/>
              <w:rPr>
                <w:rFonts w:ascii="宋体" w:hAnsi="宋体"/>
                <w:szCs w:val="21"/>
              </w:rPr>
            </w:pPr>
            <w:r>
              <w:rPr>
                <w:rFonts w:hint="eastAsia" w:ascii="宋体" w:hAnsi="宋体"/>
                <w:szCs w:val="21"/>
              </w:rPr>
              <w:t>⑤产品结构性能均符合GB19272-2011《室外健身器的安全通用要求》的有关规定。</w:t>
            </w:r>
          </w:p>
          <w:p>
            <w:pPr>
              <w:rPr>
                <w:rFonts w:asciiTheme="minorEastAsia" w:hAnsiTheme="minorEastAsia" w:eastAsiaTheme="minorEastAsia"/>
                <w:sz w:val="24"/>
              </w:rPr>
            </w:pP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1150" w:type="dxa"/>
            <w:vAlign w:val="center"/>
          </w:tcPr>
          <w:p>
            <w:pPr>
              <w:autoSpaceDE w:val="0"/>
              <w:autoSpaceDN w:val="0"/>
              <w:adjustRightInd w:val="0"/>
              <w:jc w:val="left"/>
              <w:rPr>
                <w:rFonts w:cs="宋体" w:asciiTheme="minorEastAsia" w:hAnsiTheme="minorEastAsia" w:eastAsiaTheme="minorEastAsia"/>
                <w:b/>
                <w:kern w:val="0"/>
                <w:sz w:val="24"/>
              </w:rPr>
            </w:pPr>
            <w:r>
              <w:rPr>
                <w:rFonts w:hint="eastAsia" w:cs="宋体" w:asciiTheme="minorEastAsia" w:hAnsiTheme="minorEastAsia" w:eastAsiaTheme="minorEastAsia"/>
                <w:color w:val="000000"/>
                <w:kern w:val="0"/>
                <w:sz w:val="24"/>
              </w:rPr>
              <w:t>棋牌桌</w:t>
            </w:r>
          </w:p>
        </w:tc>
        <w:tc>
          <w:tcPr>
            <w:tcW w:w="6662" w:type="dxa"/>
            <w:vAlign w:val="center"/>
          </w:tcPr>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桌面采用不锈钢面板，耐蚀性能相当于0Cr18Ni9（SUS304），板材厚度不小于1.2mm；面板边缘及尖角不得翘起，图样及字样蚀刻处理；</w:t>
            </w:r>
          </w:p>
          <w:p>
            <w:pPr>
              <w:pStyle w:val="30"/>
              <w:spacing w:before="0" w:after="0" w:line="360" w:lineRule="auto"/>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台面边框及加强管管材壁厚不小于2mm，四周圆角不小于R20mm；</w:t>
            </w:r>
          </w:p>
          <w:p>
            <w:pPr>
              <w:autoSpaceDE w:val="0"/>
              <w:autoSpaceDN w:val="0"/>
              <w:adjustRightInd w:val="0"/>
              <w:spacing w:line="360" w:lineRule="auto"/>
              <w:jc w:val="left"/>
              <w:rPr>
                <w:rFonts w:cs="宋体" w:asciiTheme="minorEastAsia" w:hAnsiTheme="minorEastAsia" w:eastAsiaTheme="minorEastAsia"/>
                <w:b/>
                <w:kern w:val="0"/>
                <w:sz w:val="24"/>
              </w:rPr>
            </w:pPr>
            <w:r>
              <w:rPr>
                <w:rFonts w:hint="eastAsia" w:asciiTheme="minorEastAsia" w:hAnsiTheme="minorEastAsia" w:eastAsiaTheme="minorEastAsia"/>
                <w:color w:val="000000"/>
                <w:sz w:val="24"/>
              </w:rPr>
              <w:t>主立柱壁厚3mm，采用单一钢管时，主要承载立柱尺寸不小于φ114mm×3mm，采用复合结构立柱时，其外形尺寸不小于114mm，主要承载横梁尺寸不小于40mm×40mm×2.5mm。</w:t>
            </w: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1150" w:type="dxa"/>
            <w:vAlign w:val="center"/>
          </w:tcPr>
          <w:p>
            <w:pPr>
              <w:pStyle w:val="85"/>
              <w:widowControl/>
              <w:spacing w:line="360" w:lineRule="auto"/>
              <w:ind w:left="420" w:firstLine="0" w:firstLineChars="0"/>
              <w:jc w:val="center"/>
              <w:textAlignment w:val="center"/>
              <w:rPr>
                <w:rFonts w:asciiTheme="minorEastAsia" w:hAnsiTheme="minorEastAsia" w:eastAsiaTheme="minorEastAsia"/>
                <w:sz w:val="24"/>
              </w:rPr>
            </w:pPr>
            <w:r>
              <w:rPr>
                <w:rFonts w:hint="eastAsia" w:asciiTheme="minorEastAsia" w:hAnsiTheme="minorEastAsia" w:eastAsiaTheme="minorEastAsia"/>
                <w:color w:val="000000"/>
                <w:sz w:val="24"/>
              </w:rPr>
              <w:t>环形天梯</w:t>
            </w:r>
          </w:p>
        </w:tc>
        <w:tc>
          <w:tcPr>
            <w:tcW w:w="6662" w:type="dxa"/>
            <w:vAlign w:val="bottom"/>
          </w:tcPr>
          <w:p>
            <w:pPr>
              <w:rPr>
                <w:rFonts w:ascii="宋体" w:hAnsi="宋体"/>
                <w:szCs w:val="21"/>
              </w:rPr>
            </w:pPr>
            <w:r>
              <w:rPr>
                <w:rFonts w:hint="eastAsia" w:ascii="宋体" w:hAnsi="宋体"/>
                <w:szCs w:val="21"/>
              </w:rPr>
              <w:t>主要承载立柱材尺寸不小于：Φ114mm×3.0mm，立柱具有美观、耐冲击和抗老化的作用；主要承载横梁不小于Φ48×3mm；立柱采用外扣式金属封头，可防止雨水流入。</w:t>
            </w:r>
          </w:p>
          <w:p>
            <w:pPr>
              <w:rPr>
                <w:rFonts w:ascii="宋体" w:hAnsi="宋体"/>
                <w:szCs w:val="21"/>
              </w:rPr>
            </w:pPr>
            <w:r>
              <w:rPr>
                <w:rFonts w:hint="eastAsia" w:ascii="宋体" w:hAnsi="宋体"/>
                <w:szCs w:val="21"/>
              </w:rPr>
              <w:t>产品说明：产品完全遵照GB19272-2011标准生产。</w:t>
            </w:r>
          </w:p>
          <w:p>
            <w:pPr>
              <w:pStyle w:val="95"/>
              <w:spacing w:line="360" w:lineRule="auto"/>
              <w:ind w:firstLine="0" w:firstLineChars="0"/>
              <w:rPr>
                <w:rFonts w:asciiTheme="minorEastAsia" w:hAnsiTheme="minorEastAsia" w:eastAsiaTheme="minorEastAsia"/>
                <w:sz w:val="24"/>
                <w:szCs w:val="24"/>
              </w:rPr>
            </w:pP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ind w:firstLine="117" w:firstLineChars="49"/>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p>
        </w:tc>
        <w:tc>
          <w:tcPr>
            <w:tcW w:w="1150" w:type="dxa"/>
            <w:vAlign w:val="center"/>
          </w:tcPr>
          <w:p>
            <w:pPr>
              <w:autoSpaceDE w:val="0"/>
              <w:autoSpaceDN w:val="0"/>
              <w:adjustRightInd w:val="0"/>
              <w:jc w:val="left"/>
              <w:rPr>
                <w:rFonts w:cs="宋体" w:asciiTheme="minorEastAsia" w:hAnsiTheme="minorEastAsia" w:eastAsiaTheme="minorEastAsia"/>
                <w:b/>
                <w:kern w:val="0"/>
                <w:sz w:val="24"/>
              </w:rPr>
            </w:pPr>
            <w:r>
              <w:rPr>
                <w:rFonts w:hint="eastAsia" w:asciiTheme="minorEastAsia" w:hAnsiTheme="minorEastAsia" w:eastAsiaTheme="minorEastAsia"/>
                <w:sz w:val="24"/>
              </w:rPr>
              <w:t>健骑机</w:t>
            </w:r>
          </w:p>
        </w:tc>
        <w:tc>
          <w:tcPr>
            <w:tcW w:w="6662" w:type="dxa"/>
            <w:vAlign w:val="center"/>
          </w:tcPr>
          <w:p>
            <w:pPr>
              <w:pStyle w:val="30"/>
              <w:spacing w:before="0" w:after="0" w:line="480" w:lineRule="exac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主要承载立柱尺寸</w:t>
            </w:r>
            <w:r>
              <w:rPr>
                <w:rFonts w:hint="eastAsia" w:asciiTheme="minorEastAsia" w:hAnsiTheme="minorEastAsia" w:eastAsiaTheme="minorEastAsia"/>
                <w:b w:val="0"/>
                <w:bCs w:val="0"/>
                <w:color w:val="000000"/>
                <w:sz w:val="24"/>
                <w:szCs w:val="24"/>
              </w:rPr>
              <w:t>不小于φ</w:t>
            </w:r>
            <w:r>
              <w:rPr>
                <w:rFonts w:hint="eastAsia" w:asciiTheme="minorEastAsia" w:hAnsiTheme="minorEastAsia" w:eastAsiaTheme="minorEastAsia"/>
                <w:b w:val="0"/>
                <w:color w:val="000000"/>
                <w:sz w:val="24"/>
                <w:szCs w:val="24"/>
              </w:rPr>
              <w:t>114mm×</w:t>
            </w:r>
            <w:r>
              <w:rPr>
                <w:rFonts w:hint="eastAsia" w:asciiTheme="minorEastAsia" w:hAnsiTheme="minorEastAsia" w:eastAsiaTheme="minorEastAsia"/>
                <w:b w:val="0"/>
                <w:sz w:val="24"/>
                <w:szCs w:val="24"/>
              </w:rPr>
              <w:t>3.0mm，并与其他管材同时满足GB19272—2011标准中相关静载荷、稳定性要求；</w:t>
            </w:r>
          </w:p>
          <w:p>
            <w:pPr>
              <w:pStyle w:val="30"/>
              <w:spacing w:before="0" w:after="0" w:line="480" w:lineRule="exac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主要承载横梁尺寸</w:t>
            </w:r>
            <w:r>
              <w:rPr>
                <w:rFonts w:hint="eastAsia" w:asciiTheme="minorEastAsia" w:hAnsiTheme="minorEastAsia" w:eastAsiaTheme="minorEastAsia"/>
                <w:b w:val="0"/>
                <w:bCs w:val="0"/>
                <w:color w:val="000000"/>
                <w:sz w:val="24"/>
                <w:szCs w:val="24"/>
              </w:rPr>
              <w:t>不小于φ</w:t>
            </w:r>
            <w:r>
              <w:rPr>
                <w:rFonts w:hint="eastAsia" w:asciiTheme="minorEastAsia" w:hAnsiTheme="minorEastAsia" w:eastAsiaTheme="minorEastAsia"/>
                <w:b w:val="0"/>
                <w:sz w:val="24"/>
                <w:szCs w:val="24"/>
              </w:rPr>
              <w:t>60mm×3.0mm；</w:t>
            </w:r>
          </w:p>
          <w:p>
            <w:pPr>
              <w:pStyle w:val="30"/>
              <w:tabs>
                <w:tab w:val="left" w:pos="3332"/>
              </w:tabs>
              <w:spacing w:before="0" w:after="0" w:line="480" w:lineRule="exact"/>
              <w:rPr>
                <w:rFonts w:cs="黑体" w:asciiTheme="minorEastAsia" w:hAnsiTheme="minorEastAsia" w:eastAsiaTheme="minorEastAsia"/>
                <w:b w:val="0"/>
                <w:sz w:val="24"/>
                <w:szCs w:val="24"/>
              </w:rPr>
            </w:pPr>
            <w:r>
              <w:rPr>
                <w:rFonts w:hint="eastAsia" w:cs="黑体" w:asciiTheme="minorEastAsia" w:hAnsiTheme="minorEastAsia" w:eastAsiaTheme="minorEastAsia"/>
                <w:b w:val="0"/>
                <w:sz w:val="24"/>
                <w:szCs w:val="24"/>
              </w:rPr>
              <w:t>转轴直径不小于</w:t>
            </w:r>
            <w:r>
              <w:rPr>
                <w:rFonts w:hint="eastAsia" w:asciiTheme="minorEastAsia" w:hAnsiTheme="minorEastAsia" w:eastAsiaTheme="minorEastAsia"/>
                <w:b w:val="0"/>
                <w:bCs w:val="0"/>
                <w:color w:val="000000"/>
                <w:sz w:val="24"/>
                <w:szCs w:val="24"/>
              </w:rPr>
              <w:t>φ</w:t>
            </w:r>
            <w:r>
              <w:rPr>
                <w:rFonts w:hint="eastAsia" w:cs="黑体" w:asciiTheme="minorEastAsia" w:hAnsiTheme="minorEastAsia" w:eastAsiaTheme="minorEastAsia"/>
                <w:b w:val="0"/>
                <w:sz w:val="24"/>
                <w:szCs w:val="24"/>
              </w:rPr>
              <w:t>25mm；</w:t>
            </w:r>
            <w:r>
              <w:rPr>
                <w:rFonts w:hint="eastAsia" w:cs="黑体" w:asciiTheme="minorEastAsia" w:hAnsiTheme="minorEastAsia" w:eastAsiaTheme="minorEastAsia"/>
                <w:b w:val="0"/>
                <w:kern w:val="0"/>
                <w:sz w:val="24"/>
                <w:szCs w:val="24"/>
              </w:rPr>
              <w:tab/>
            </w:r>
          </w:p>
          <w:p>
            <w:pPr>
              <w:pStyle w:val="30"/>
              <w:spacing w:before="0" w:after="0" w:line="480" w:lineRule="exact"/>
              <w:rPr>
                <w:rFonts w:cs="黑体" w:asciiTheme="minorEastAsia" w:hAnsiTheme="minorEastAsia" w:eastAsiaTheme="minorEastAsia"/>
                <w:b w:val="0"/>
                <w:bCs w:val="0"/>
                <w:sz w:val="24"/>
                <w:szCs w:val="24"/>
                <w:lang w:val="zh-CN"/>
              </w:rPr>
            </w:pPr>
            <w:r>
              <w:rPr>
                <w:rFonts w:hint="eastAsia" w:cs="黑体" w:asciiTheme="minorEastAsia" w:hAnsiTheme="minorEastAsia" w:eastAsiaTheme="minorEastAsia"/>
                <w:b w:val="0"/>
                <w:bCs w:val="0"/>
                <w:sz w:val="24"/>
                <w:szCs w:val="24"/>
                <w:lang w:val="zh-CN"/>
              </w:rPr>
              <w:t>不存在卡夹，衣服、头发钩挂或缠绕结构；</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转动部位采用国家标准轴承，并采用有效的防水和防尘措施；</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有内置限位装置，摆动件与立柱内侧距离及在使用中各结构件的内侧距离大于230mm防止产生挤压、卡夹、碰撞的伤害可能；</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摆动部件下边缘距地面或底面最小高度大于120mm；</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脚踏位有防滑措施，摩擦系数应大于0.5；</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不存在卡夹，衣服、头发钩挂或缠绕结构；</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连接板厚度为5mm；</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棱边和棱角半径为3.0mm；</w:t>
            </w:r>
          </w:p>
          <w:p>
            <w:pPr>
              <w:pStyle w:val="30"/>
              <w:spacing w:before="0" w:after="0" w:line="480" w:lineRule="exact"/>
              <w:rPr>
                <w:rFonts w:asciiTheme="minorEastAsia" w:hAnsiTheme="minorEastAsia" w:eastAsiaTheme="minorEastAsia"/>
                <w:b w:val="0"/>
                <w:sz w:val="24"/>
                <w:szCs w:val="24"/>
                <w:lang w:val="zh-CN"/>
              </w:rPr>
            </w:pPr>
            <w:r>
              <w:rPr>
                <w:rFonts w:hint="eastAsia" w:asciiTheme="minorEastAsia" w:hAnsiTheme="minorEastAsia" w:eastAsiaTheme="minorEastAsia"/>
                <w:b w:val="0"/>
                <w:sz w:val="24"/>
                <w:szCs w:val="24"/>
                <w:lang w:val="zh-CN"/>
              </w:rPr>
              <w:t>涂层、橡胶、塑料件有害物质限量符合GB 19272-2011中5.2.6的要求；</w:t>
            </w:r>
          </w:p>
          <w:p>
            <w:pPr>
              <w:autoSpaceDE w:val="0"/>
              <w:autoSpaceDN w:val="0"/>
              <w:adjustRightInd w:val="0"/>
              <w:jc w:val="left"/>
              <w:rPr>
                <w:rFonts w:asciiTheme="minorEastAsia" w:hAnsiTheme="minorEastAsia" w:eastAsiaTheme="minorEastAsia"/>
                <w:sz w:val="24"/>
                <w:lang w:val="zh-CN"/>
              </w:rPr>
            </w:pPr>
            <w:r>
              <w:rPr>
                <w:rFonts w:hint="eastAsia" w:asciiTheme="minorEastAsia" w:hAnsiTheme="minorEastAsia" w:eastAsiaTheme="minorEastAsia"/>
                <w:sz w:val="24"/>
                <w:lang w:val="zh-CN"/>
              </w:rPr>
              <w:t>器材安全警示采用图示方式提示使用者可能存在风险；</w:t>
            </w:r>
          </w:p>
          <w:p>
            <w:pPr>
              <w:autoSpaceDE w:val="0"/>
              <w:autoSpaceDN w:val="0"/>
              <w:adjustRightInd w:val="0"/>
              <w:jc w:val="left"/>
              <w:rPr>
                <w:rFonts w:cs="宋体" w:asciiTheme="minorEastAsia" w:hAnsiTheme="minorEastAsia" w:eastAsiaTheme="minorEastAsia"/>
                <w:b/>
                <w:kern w:val="0"/>
                <w:sz w:val="24"/>
              </w:rPr>
            </w:pPr>
            <w:r>
              <w:rPr>
                <w:rFonts w:hint="eastAsia" w:asciiTheme="minorEastAsia" w:hAnsiTheme="minorEastAsia" w:eastAsiaTheme="minorEastAsia"/>
                <w:sz w:val="24"/>
              </w:rPr>
              <w:t>立柱采用外扣式钢制封头，可防止雨水流入。</w:t>
            </w: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1150" w:type="dxa"/>
            <w:vAlign w:val="center"/>
          </w:tcPr>
          <w:p>
            <w:pPr>
              <w:autoSpaceDE w:val="0"/>
              <w:autoSpaceDN w:val="0"/>
              <w:adjustRightInd w:val="0"/>
              <w:jc w:val="left"/>
              <w:rPr>
                <w:rFonts w:cs="宋体" w:asciiTheme="minorEastAsia" w:hAnsiTheme="minorEastAsia" w:eastAsiaTheme="minorEastAsia"/>
                <w:b/>
                <w:kern w:val="0"/>
                <w:sz w:val="24"/>
              </w:rPr>
            </w:pPr>
            <w:r>
              <w:rPr>
                <w:rFonts w:hint="eastAsia" w:cs="宋体" w:asciiTheme="minorEastAsia" w:hAnsiTheme="minorEastAsia" w:eastAsiaTheme="minorEastAsia"/>
                <w:color w:val="000000"/>
                <w:kern w:val="0"/>
                <w:sz w:val="24"/>
              </w:rPr>
              <w:t>告示牌</w:t>
            </w:r>
          </w:p>
        </w:tc>
        <w:tc>
          <w:tcPr>
            <w:tcW w:w="6662" w:type="dxa"/>
            <w:vAlign w:val="center"/>
          </w:tcPr>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主立柱壁厚3mm，采用单一钢管时，</w:t>
            </w:r>
            <w:r>
              <w:rPr>
                <w:rFonts w:hint="eastAsia" w:asciiTheme="minorEastAsia" w:hAnsiTheme="minorEastAsia" w:eastAsiaTheme="minorEastAsia"/>
                <w:b w:val="0"/>
                <w:sz w:val="24"/>
                <w:szCs w:val="24"/>
              </w:rPr>
              <w:t>主要承载立柱尺寸</w:t>
            </w:r>
            <w:r>
              <w:rPr>
                <w:rFonts w:hint="eastAsia" w:asciiTheme="minorEastAsia" w:hAnsiTheme="minorEastAsia" w:eastAsiaTheme="minorEastAsia"/>
                <w:b w:val="0"/>
                <w:bCs w:val="0"/>
                <w:color w:val="000000"/>
                <w:sz w:val="24"/>
                <w:szCs w:val="24"/>
              </w:rPr>
              <w:t>不小于φ</w:t>
            </w:r>
            <w:r>
              <w:rPr>
                <w:rFonts w:hint="eastAsia" w:asciiTheme="minorEastAsia" w:hAnsiTheme="minorEastAsia" w:eastAsiaTheme="minorEastAsia"/>
                <w:b w:val="0"/>
                <w:color w:val="000000"/>
                <w:sz w:val="24"/>
                <w:szCs w:val="24"/>
              </w:rPr>
              <w:t>114mm×</w:t>
            </w:r>
            <w:r>
              <w:rPr>
                <w:rFonts w:hint="eastAsia" w:asciiTheme="minorEastAsia" w:hAnsiTheme="minorEastAsia" w:eastAsiaTheme="minorEastAsia"/>
                <w:b w:val="0"/>
                <w:sz w:val="24"/>
                <w:szCs w:val="24"/>
              </w:rPr>
              <w:t>3.0mm</w:t>
            </w:r>
            <w:r>
              <w:rPr>
                <w:rFonts w:hint="eastAsia" w:asciiTheme="minorEastAsia" w:hAnsiTheme="minorEastAsia" w:eastAsiaTheme="minorEastAsia"/>
                <w:b w:val="0"/>
                <w:bCs w:val="0"/>
                <w:color w:val="000000"/>
                <w:sz w:val="24"/>
                <w:szCs w:val="24"/>
              </w:rPr>
              <w:t>，采用复合结构立柱时，其外形尺寸不小于110mm，主要承载横梁尺寸不小于32mm×32mm×2mm或φ32mm×2mm；</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告示牌面板采用不锈钢材质，耐蚀性能相当于0Cr18Ni9（SUS304），厚度不小于1mm，面板边缘及尖角不得翘起，图样及字样蚀刻处理；</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告示牌内容至少包含以下内容：</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简明的热身运动说明或图示；</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以图示方式介绍健身器材正确的锻炼方法,须有中国体育彩票标示；</w:t>
            </w:r>
          </w:p>
          <w:p>
            <w:pPr>
              <w:pStyle w:val="30"/>
              <w:spacing w:before="0" w:after="0" w:line="480" w:lineRule="exac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简明的安全警示说明包括发现器材有缺陷应立即停止使用直到修复的说明；</w:t>
            </w:r>
          </w:p>
          <w:p>
            <w:pPr>
              <w:autoSpaceDE w:val="0"/>
              <w:autoSpaceDN w:val="0"/>
              <w:adjustRightInd w:val="0"/>
              <w:jc w:val="left"/>
              <w:rPr>
                <w:rFonts w:cs="宋体" w:asciiTheme="minorEastAsia" w:hAnsiTheme="minorEastAsia" w:eastAsiaTheme="minorEastAsia"/>
                <w:b/>
                <w:kern w:val="0"/>
                <w:sz w:val="24"/>
              </w:rPr>
            </w:pPr>
            <w:r>
              <w:rPr>
                <w:rFonts w:hint="eastAsia" w:asciiTheme="minorEastAsia" w:hAnsiTheme="minorEastAsia" w:eastAsiaTheme="minorEastAsia"/>
                <w:color w:val="000000"/>
                <w:sz w:val="24"/>
              </w:rPr>
              <w:t>器材供应商的全称，售后服务电话及督查电话（器材供应商的全称，售后服务电话及督查电话，样品暂不显示）。管理维护单位及联系电话。</w:t>
            </w:r>
          </w:p>
        </w:tc>
        <w:tc>
          <w:tcPr>
            <w:tcW w:w="851"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个</w:t>
            </w:r>
          </w:p>
        </w:tc>
        <w:tc>
          <w:tcPr>
            <w:tcW w:w="749" w:type="dxa"/>
            <w:vAlign w:val="center"/>
          </w:tcPr>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125</w:t>
            </w:r>
          </w:p>
        </w:tc>
      </w:tr>
    </w:tbl>
    <w:p>
      <w:pPr>
        <w:autoSpaceDE w:val="0"/>
        <w:autoSpaceDN w:val="0"/>
        <w:adjustRightInd w:val="0"/>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C包：乡镇体育健身工程</w:t>
      </w:r>
    </w:p>
    <w:tbl>
      <w:tblPr>
        <w:tblStyle w:val="37"/>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50"/>
        <w:gridCol w:w="6662"/>
        <w:gridCol w:w="85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序号</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名称</w:t>
            </w:r>
          </w:p>
        </w:tc>
        <w:tc>
          <w:tcPr>
            <w:tcW w:w="6662"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主要技术参数及规格</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单位</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乒乓球台</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乒乓球台侧面、要设有标识，标识须采用拉丝印刷内容要突出“中国体育彩票捐赠、许昌市体育局监制”字样，乒乒球台支架显著位置需设置标志牌；</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1.</w:t>
            </w:r>
            <w:r>
              <w:rPr>
                <w:rFonts w:hint="eastAsia" w:asciiTheme="minorEastAsia" w:hAnsiTheme="minorEastAsia" w:eastAsiaTheme="minorEastAsia"/>
                <w:b w:val="0"/>
                <w:bCs w:val="0"/>
                <w:color w:val="000000"/>
                <w:sz w:val="24"/>
                <w:szCs w:val="24"/>
              </w:rPr>
              <w:t>主要承载立柱尺寸不小于φ</w:t>
            </w:r>
            <w:r>
              <w:rPr>
                <w:rFonts w:asciiTheme="minorEastAsia" w:hAnsiTheme="minorEastAsia" w:eastAsiaTheme="minorEastAsia"/>
                <w:b w:val="0"/>
                <w:bCs w:val="0"/>
                <w:color w:val="000000"/>
                <w:sz w:val="24"/>
                <w:szCs w:val="24"/>
              </w:rPr>
              <w:t>60mm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2.</w:t>
            </w:r>
            <w:r>
              <w:rPr>
                <w:rFonts w:hint="eastAsia" w:asciiTheme="minorEastAsia" w:hAnsiTheme="minorEastAsia" w:eastAsiaTheme="minorEastAsia"/>
                <w:b w:val="0"/>
                <w:bCs w:val="0"/>
                <w:color w:val="000000"/>
                <w:sz w:val="24"/>
                <w:szCs w:val="24"/>
              </w:rPr>
              <w:t>乒乓球台面符合</w:t>
            </w:r>
            <w:r>
              <w:rPr>
                <w:rFonts w:asciiTheme="minorEastAsia" w:hAnsiTheme="minorEastAsia" w:eastAsiaTheme="minorEastAsia"/>
                <w:b w:val="0"/>
                <w:bCs w:val="0"/>
                <w:color w:val="000000"/>
                <w:sz w:val="24"/>
                <w:szCs w:val="24"/>
              </w:rPr>
              <w:t>GB 19272-2011</w:t>
            </w:r>
            <w:r>
              <w:rPr>
                <w:rFonts w:hint="eastAsia" w:asciiTheme="minorEastAsia" w:hAnsiTheme="minorEastAsia" w:eastAsiaTheme="minorEastAsia"/>
                <w:b w:val="0"/>
                <w:bCs w:val="0"/>
                <w:color w:val="000000"/>
                <w:sz w:val="24"/>
                <w:szCs w:val="24"/>
              </w:rPr>
              <w:t>中</w:t>
            </w:r>
            <w:r>
              <w:rPr>
                <w:rFonts w:asciiTheme="minorEastAsia" w:hAnsiTheme="minorEastAsia" w:eastAsiaTheme="minorEastAsia"/>
                <w:b w:val="0"/>
                <w:bCs w:val="0"/>
                <w:color w:val="000000"/>
                <w:sz w:val="24"/>
                <w:szCs w:val="24"/>
              </w:rPr>
              <w:t>5.12.1.4</w:t>
            </w:r>
            <w:r>
              <w:rPr>
                <w:rFonts w:hint="eastAsia" w:asciiTheme="minorEastAsia" w:hAnsiTheme="minorEastAsia" w:eastAsiaTheme="minorEastAsia"/>
                <w:b w:val="0"/>
                <w:bCs w:val="0"/>
                <w:color w:val="000000"/>
                <w:sz w:val="24"/>
                <w:szCs w:val="24"/>
              </w:rPr>
              <w:t>的要求：台面尺寸：</w:t>
            </w:r>
            <w:r>
              <w:rPr>
                <w:rFonts w:asciiTheme="minorEastAsia" w:hAnsiTheme="minorEastAsia" w:eastAsiaTheme="minorEastAsia"/>
                <w:b w:val="0"/>
                <w:bCs w:val="0"/>
                <w:color w:val="000000"/>
                <w:sz w:val="24"/>
                <w:szCs w:val="24"/>
              </w:rPr>
              <w:t>2740</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1525</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910</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）；台高：</w:t>
            </w:r>
            <w:r>
              <w:rPr>
                <w:rFonts w:asciiTheme="minorEastAsia" w:hAnsiTheme="minorEastAsia" w:eastAsiaTheme="minorEastAsia"/>
                <w:b w:val="0"/>
                <w:bCs w:val="0"/>
                <w:color w:val="000000"/>
                <w:sz w:val="24"/>
                <w:szCs w:val="24"/>
              </w:rPr>
              <w:t>760mm</w:t>
            </w:r>
            <w:r>
              <w:rPr>
                <w:rFonts w:hint="eastAsia" w:asciiTheme="minorEastAsia" w:hAnsiTheme="minorEastAsia" w:eastAsiaTheme="minorEastAsia"/>
                <w:b w:val="0"/>
                <w:bCs w:val="0"/>
                <w:color w:val="000000"/>
                <w:sz w:val="24"/>
                <w:szCs w:val="24"/>
              </w:rPr>
              <w:t>；</w:t>
            </w:r>
          </w:p>
          <w:p>
            <w:pPr>
              <w:spacing w:line="360" w:lineRule="auto"/>
              <w:ind w:firstLine="480" w:firstLineChars="200"/>
              <w:rPr>
                <w:rFonts w:asciiTheme="minorEastAsia" w:hAnsiTheme="minorEastAsia" w:eastAsiaTheme="minorEastAsia"/>
                <w:bCs/>
                <w:color w:val="000000"/>
                <w:sz w:val="24"/>
              </w:rPr>
            </w:pPr>
            <w:r>
              <w:rPr>
                <w:rFonts w:asciiTheme="minorEastAsia" w:hAnsiTheme="minorEastAsia" w:eastAsiaTheme="minorEastAsia"/>
                <w:bCs/>
                <w:color w:val="000000"/>
                <w:sz w:val="24"/>
              </w:rPr>
              <w:t>3.</w:t>
            </w:r>
            <w:r>
              <w:rPr>
                <w:rFonts w:hint="eastAsia" w:asciiTheme="minorEastAsia" w:hAnsiTheme="minorEastAsia" w:eastAsiaTheme="minorEastAsia"/>
                <w:bCs/>
                <w:color w:val="000000"/>
                <w:sz w:val="24"/>
              </w:rPr>
              <w:t>台面支撑框规格不小于宽</w:t>
            </w:r>
            <w:r>
              <w:rPr>
                <w:rFonts w:asciiTheme="minorEastAsia" w:hAnsiTheme="minorEastAsia" w:eastAsiaTheme="minorEastAsia"/>
                <w:bCs/>
                <w:color w:val="000000"/>
                <w:sz w:val="24"/>
              </w:rPr>
              <w:t>20mm</w:t>
            </w:r>
            <w:r>
              <w:rPr>
                <w:rFonts w:hint="eastAsia" w:asciiTheme="minorEastAsia" w:hAnsiTheme="minorEastAsia" w:eastAsiaTheme="minorEastAsia"/>
                <w:bCs/>
                <w:color w:val="000000"/>
                <w:sz w:val="24"/>
              </w:rPr>
              <w:t>×高</w:t>
            </w:r>
            <w:r>
              <w:rPr>
                <w:rFonts w:asciiTheme="minorEastAsia" w:hAnsiTheme="minorEastAsia" w:eastAsiaTheme="minorEastAsia"/>
                <w:bCs/>
                <w:color w:val="000000"/>
                <w:sz w:val="24"/>
              </w:rPr>
              <w:t>30mm</w:t>
            </w:r>
            <w:r>
              <w:rPr>
                <w:rFonts w:hint="eastAsia" w:asciiTheme="minorEastAsia" w:hAnsiTheme="minorEastAsia" w:eastAsiaTheme="minorEastAsia"/>
                <w:bCs/>
                <w:color w:val="000000"/>
                <w:sz w:val="24"/>
              </w:rPr>
              <w:t>×壁厚</w:t>
            </w:r>
            <w:r>
              <w:rPr>
                <w:rFonts w:asciiTheme="minorEastAsia" w:hAnsiTheme="minorEastAsia" w:eastAsiaTheme="minorEastAsia"/>
                <w:bCs/>
                <w:color w:val="000000"/>
                <w:sz w:val="24"/>
              </w:rPr>
              <w:t>2mm</w:t>
            </w:r>
            <w:r>
              <w:rPr>
                <w:rFonts w:hint="eastAsia" w:asciiTheme="minorEastAsia" w:hAnsiTheme="minorEastAsia" w:eastAsiaTheme="minorEastAsia"/>
                <w:bCs/>
                <w:color w:val="000000"/>
                <w:sz w:val="24"/>
              </w:rPr>
              <w:t>。</w:t>
            </w:r>
          </w:p>
          <w:p>
            <w:pPr>
              <w:spacing w:line="360" w:lineRule="auto"/>
              <w:ind w:firstLine="480" w:firstLineChars="200"/>
              <w:rPr>
                <w:rFonts w:cs="黑体" w:asciiTheme="minorEastAsia" w:hAnsiTheme="minorEastAsia" w:eastAsiaTheme="minorEastAsia"/>
                <w:bCs/>
                <w:sz w:val="24"/>
              </w:rPr>
            </w:pPr>
            <w:r>
              <w:rPr>
                <w:rFonts w:hint="eastAsia" w:cs="黑体" w:asciiTheme="minorEastAsia" w:hAnsiTheme="minorEastAsia" w:eastAsiaTheme="minorEastAsia"/>
                <w:bCs/>
                <w:sz w:val="24"/>
              </w:rPr>
              <w:t>台面采用</w:t>
            </w:r>
            <w:r>
              <w:rPr>
                <w:rFonts w:cs="黑体" w:asciiTheme="minorEastAsia" w:hAnsiTheme="minorEastAsia" w:eastAsiaTheme="minorEastAsia"/>
                <w:bCs/>
                <w:sz w:val="24"/>
              </w:rPr>
              <w:t>SMC</w:t>
            </w:r>
            <w:r>
              <w:rPr>
                <w:rFonts w:hint="eastAsia" w:cs="黑体" w:asciiTheme="minorEastAsia" w:hAnsiTheme="minorEastAsia" w:eastAsiaTheme="minorEastAsia"/>
                <w:bCs/>
                <w:sz w:val="24"/>
              </w:rPr>
              <w:t>片状模塑料，整体高温模压一次成型。台面面板厚度</w:t>
            </w:r>
            <w:r>
              <w:rPr>
                <w:rFonts w:cs="黑体" w:asciiTheme="minorEastAsia" w:hAnsiTheme="minorEastAsia" w:eastAsiaTheme="minorEastAsia"/>
                <w:bCs/>
                <w:sz w:val="24"/>
              </w:rPr>
              <w:t>4.5 mm</w:t>
            </w:r>
            <w:r>
              <w:rPr>
                <w:rFonts w:hint="eastAsia" w:cs="黑体" w:asciiTheme="minorEastAsia" w:hAnsiTheme="minorEastAsia" w:eastAsiaTheme="minorEastAsia"/>
                <w:bCs/>
                <w:sz w:val="24"/>
              </w:rPr>
              <w:t>，翻边宽度</w:t>
            </w:r>
            <w:r>
              <w:rPr>
                <w:rFonts w:cs="黑体" w:asciiTheme="minorEastAsia" w:hAnsiTheme="minorEastAsia" w:eastAsiaTheme="minorEastAsia"/>
                <w:bCs/>
                <w:sz w:val="24"/>
              </w:rPr>
              <w:t>50mm</w:t>
            </w:r>
            <w:r>
              <w:rPr>
                <w:rFonts w:hint="eastAsia" w:cs="黑体" w:asciiTheme="minorEastAsia" w:hAnsiTheme="minorEastAsia" w:eastAsiaTheme="minorEastAsia"/>
                <w:bCs/>
                <w:sz w:val="24"/>
              </w:rPr>
              <w:t>，翻边厚度</w:t>
            </w:r>
            <w:r>
              <w:rPr>
                <w:rFonts w:cs="黑体" w:asciiTheme="minorEastAsia" w:hAnsiTheme="minorEastAsia" w:eastAsiaTheme="minorEastAsia"/>
                <w:bCs/>
                <w:sz w:val="24"/>
              </w:rPr>
              <w:t>7mm</w:t>
            </w:r>
            <w:r>
              <w:rPr>
                <w:rFonts w:hint="eastAsia" w:cs="黑体" w:asciiTheme="minorEastAsia" w:hAnsiTheme="minorEastAsia" w:eastAsiaTheme="minorEastAsia"/>
                <w:bCs/>
                <w:sz w:val="24"/>
              </w:rPr>
              <w:t>。面板背面必须采用“井”字形加强筋并在内部预埋螺丝，加强筋厚度不低于</w:t>
            </w:r>
            <w:r>
              <w:rPr>
                <w:rFonts w:cs="黑体" w:asciiTheme="minorEastAsia" w:hAnsiTheme="minorEastAsia" w:eastAsiaTheme="minorEastAsia"/>
                <w:bCs/>
                <w:sz w:val="24"/>
              </w:rPr>
              <w:t>4mm</w:t>
            </w:r>
            <w:r>
              <w:rPr>
                <w:rFonts w:hint="eastAsia" w:cs="黑体" w:asciiTheme="minorEastAsia" w:hAnsiTheme="minorEastAsia" w:eastAsiaTheme="minorEastAsia"/>
                <w:bCs/>
                <w:sz w:val="24"/>
              </w:rPr>
              <w:t>，“井”字形加强筋呈小长方形均匀排列，每个小长方形尺寸不大于</w:t>
            </w:r>
            <w:r>
              <w:rPr>
                <w:rFonts w:cs="黑体" w:asciiTheme="minorEastAsia" w:hAnsiTheme="minorEastAsia" w:eastAsiaTheme="minorEastAsia"/>
                <w:bCs/>
                <w:sz w:val="24"/>
              </w:rPr>
              <w:t>160 mm</w:t>
            </w:r>
            <w:r>
              <w:rPr>
                <w:rFonts w:hint="eastAsia" w:cs="黑体" w:asciiTheme="minorEastAsia" w:hAnsiTheme="minorEastAsia" w:eastAsiaTheme="minorEastAsia"/>
                <w:bCs/>
                <w:sz w:val="24"/>
              </w:rPr>
              <w:t>×</w:t>
            </w:r>
            <w:r>
              <w:rPr>
                <w:rFonts w:cs="黑体" w:asciiTheme="minorEastAsia" w:hAnsiTheme="minorEastAsia" w:eastAsiaTheme="minorEastAsia"/>
                <w:bCs/>
                <w:sz w:val="24"/>
              </w:rPr>
              <w:t>140mm</w:t>
            </w:r>
            <w:r>
              <w:rPr>
                <w:rFonts w:hint="eastAsia" w:cs="黑体" w:asciiTheme="minorEastAsia" w:hAnsiTheme="minorEastAsia" w:eastAsiaTheme="minorEastAsia"/>
                <w:bCs/>
                <w:sz w:val="24"/>
              </w:rPr>
              <w:t>。球台与支撑框架安装位置应符合</w:t>
            </w:r>
            <w:r>
              <w:rPr>
                <w:rFonts w:cs="黑体" w:asciiTheme="minorEastAsia" w:hAnsiTheme="minorEastAsia" w:eastAsiaTheme="minorEastAsia"/>
                <w:bCs/>
                <w:sz w:val="24"/>
              </w:rPr>
              <w:t>GB9272-2011</w:t>
            </w:r>
            <w:r>
              <w:rPr>
                <w:rFonts w:hint="eastAsia" w:cs="黑体" w:asciiTheme="minorEastAsia" w:hAnsiTheme="minorEastAsia" w:eastAsiaTheme="minorEastAsia"/>
                <w:bCs/>
                <w:sz w:val="24"/>
              </w:rPr>
              <w:t>中图</w:t>
            </w:r>
            <w:r>
              <w:rPr>
                <w:rFonts w:cs="黑体" w:asciiTheme="minorEastAsia" w:hAnsiTheme="minorEastAsia" w:eastAsiaTheme="minorEastAsia"/>
                <w:bCs/>
                <w:sz w:val="24"/>
              </w:rPr>
              <w:t>22</w:t>
            </w:r>
            <w:r>
              <w:rPr>
                <w:rFonts w:hint="eastAsia" w:cs="黑体" w:asciiTheme="minorEastAsia" w:hAnsiTheme="minorEastAsia" w:eastAsiaTheme="minorEastAsia"/>
                <w:bCs/>
                <w:sz w:val="24"/>
              </w:rPr>
              <w:t>的尺寸要求，两块台板与主架的连接均采用四角连接；</w:t>
            </w:r>
          </w:p>
          <w:p>
            <w:pPr>
              <w:spacing w:line="360" w:lineRule="auto"/>
              <w:ind w:firstLine="480" w:firstLineChars="200"/>
              <w:rPr>
                <w:rFonts w:cs="黑体" w:asciiTheme="minorEastAsia" w:hAnsiTheme="minorEastAsia" w:eastAsiaTheme="minorEastAsia"/>
                <w:bCs/>
                <w:sz w:val="24"/>
              </w:rPr>
            </w:pPr>
            <w:r>
              <w:rPr>
                <w:rFonts w:cs="黑体" w:asciiTheme="minorEastAsia" w:hAnsiTheme="minorEastAsia" w:eastAsiaTheme="minorEastAsia"/>
                <w:bCs/>
                <w:sz w:val="24"/>
              </w:rPr>
              <w:t>4.</w:t>
            </w:r>
            <w:r>
              <w:rPr>
                <w:rFonts w:hint="eastAsia" w:cs="黑体" w:asciiTheme="minorEastAsia" w:hAnsiTheme="minorEastAsia" w:eastAsiaTheme="minorEastAsia"/>
                <w:bCs/>
                <w:sz w:val="24"/>
              </w:rPr>
              <w:t>采用预埋式结构，埋入深度</w:t>
            </w:r>
            <w:r>
              <w:rPr>
                <w:rFonts w:cs="黑体" w:asciiTheme="minorEastAsia" w:hAnsiTheme="minorEastAsia" w:eastAsiaTheme="minorEastAsia"/>
                <w:bCs/>
                <w:sz w:val="24"/>
              </w:rPr>
              <w:t>400mm</w:t>
            </w:r>
            <w:r>
              <w:rPr>
                <w:rFonts w:hint="eastAsia" w:cs="黑体" w:asciiTheme="minorEastAsia" w:hAnsiTheme="minorEastAsia" w:eastAsiaTheme="minorEastAsia"/>
                <w:bCs/>
                <w:sz w:val="24"/>
              </w:rPr>
              <w:t>，地埋尺寸</w:t>
            </w:r>
            <w:r>
              <w:rPr>
                <w:rFonts w:cs="黑体" w:asciiTheme="minorEastAsia" w:hAnsiTheme="minorEastAsia" w:eastAsiaTheme="minorEastAsia"/>
                <w:bCs/>
                <w:sz w:val="24"/>
              </w:rPr>
              <w:t>400mm</w:t>
            </w:r>
            <w:r>
              <w:rPr>
                <w:rFonts w:hint="eastAsia" w:cs="黑体" w:asciiTheme="minorEastAsia" w:hAnsiTheme="minorEastAsia" w:eastAsiaTheme="minorEastAsia"/>
                <w:bCs/>
                <w:sz w:val="24"/>
              </w:rPr>
              <w:t>×</w:t>
            </w:r>
            <w:r>
              <w:rPr>
                <w:rFonts w:cs="黑体" w:asciiTheme="minorEastAsia" w:hAnsiTheme="minorEastAsia" w:eastAsiaTheme="minorEastAsia"/>
                <w:bCs/>
                <w:sz w:val="24"/>
              </w:rPr>
              <w:t>400mm</w:t>
            </w:r>
            <w:r>
              <w:rPr>
                <w:rFonts w:hint="eastAsia" w:cs="黑体" w:asciiTheme="minorEastAsia" w:hAnsiTheme="minorEastAsia" w:eastAsiaTheme="minorEastAsia"/>
                <w:bCs/>
                <w:sz w:val="24"/>
              </w:rPr>
              <w:t>×</w:t>
            </w:r>
            <w:r>
              <w:rPr>
                <w:rFonts w:cs="黑体" w:asciiTheme="minorEastAsia" w:hAnsiTheme="minorEastAsia" w:eastAsiaTheme="minorEastAsia"/>
                <w:bCs/>
                <w:sz w:val="24"/>
              </w:rPr>
              <w:t>500mm</w:t>
            </w:r>
            <w:r>
              <w:rPr>
                <w:rFonts w:hint="eastAsia" w:cs="黑体" w:asciiTheme="minorEastAsia" w:hAnsiTheme="minorEastAsia" w:eastAsiaTheme="minorEastAsia"/>
                <w:bCs/>
                <w:sz w:val="24"/>
              </w:rPr>
              <w:t>。</w:t>
            </w:r>
          </w:p>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（乒乓球台产品样式见下图）</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张</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固定独臂篮球架</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1.</w:t>
            </w:r>
            <w:r>
              <w:rPr>
                <w:rFonts w:hint="eastAsia" w:asciiTheme="minorEastAsia" w:hAnsiTheme="minorEastAsia" w:eastAsiaTheme="minorEastAsia"/>
                <w:b w:val="0"/>
                <w:bCs w:val="0"/>
                <w:color w:val="000000"/>
                <w:sz w:val="24"/>
                <w:szCs w:val="24"/>
              </w:rPr>
              <w:t>产品符合</w:t>
            </w:r>
            <w:r>
              <w:rPr>
                <w:rFonts w:asciiTheme="minorEastAsia" w:hAnsiTheme="minorEastAsia" w:eastAsiaTheme="minorEastAsia"/>
                <w:b w:val="0"/>
                <w:bCs w:val="0"/>
                <w:color w:val="000000"/>
                <w:sz w:val="24"/>
                <w:szCs w:val="24"/>
              </w:rPr>
              <w:t>GB19272-2011</w:t>
            </w:r>
            <w:r>
              <w:rPr>
                <w:rFonts w:hint="eastAsia" w:asciiTheme="minorEastAsia" w:hAnsiTheme="minorEastAsia" w:eastAsiaTheme="minorEastAsia"/>
                <w:b w:val="0"/>
                <w:bCs w:val="0"/>
                <w:color w:val="000000"/>
                <w:sz w:val="24"/>
                <w:szCs w:val="24"/>
              </w:rPr>
              <w:t>《室外健身器材的安全</w:t>
            </w:r>
            <w:r>
              <w:rPr>
                <w:rFonts w:asciiTheme="minorEastAsia" w:hAnsiTheme="minorEastAsia" w:eastAsiaTheme="minorEastAsia"/>
                <w:b w:val="0"/>
                <w:bCs w:val="0"/>
                <w:color w:val="000000"/>
                <w:sz w:val="24"/>
                <w:szCs w:val="24"/>
              </w:rPr>
              <w:t xml:space="preserve">  </w:t>
            </w:r>
            <w:r>
              <w:rPr>
                <w:rFonts w:hint="eastAsia" w:asciiTheme="minorEastAsia" w:hAnsiTheme="minorEastAsia" w:eastAsiaTheme="minorEastAsia"/>
                <w:b w:val="0"/>
                <w:bCs w:val="0"/>
                <w:color w:val="000000"/>
                <w:sz w:val="24"/>
                <w:szCs w:val="24"/>
              </w:rPr>
              <w:t>通用要求》，执行标准：</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2.</w:t>
            </w:r>
            <w:r>
              <w:rPr>
                <w:rFonts w:hint="eastAsia" w:asciiTheme="minorEastAsia" w:hAnsiTheme="minorEastAsia" w:eastAsiaTheme="minorEastAsia"/>
                <w:b w:val="0"/>
                <w:bCs w:val="0"/>
                <w:color w:val="000000"/>
                <w:sz w:val="24"/>
                <w:szCs w:val="24"/>
              </w:rPr>
              <w:t>立柱采用</w:t>
            </w:r>
            <w:r>
              <w:rPr>
                <w:rFonts w:asciiTheme="minorEastAsia" w:hAnsiTheme="minorEastAsia" w:eastAsiaTheme="minorEastAsia"/>
                <w:b w:val="0"/>
                <w:bCs w:val="0"/>
                <w:color w:val="000000"/>
                <w:sz w:val="24"/>
                <w:szCs w:val="24"/>
              </w:rPr>
              <w:t xml:space="preserve"> 180 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180mm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 xml:space="preserve"> </w:t>
            </w:r>
            <w:r>
              <w:rPr>
                <w:rFonts w:hint="eastAsia" w:asciiTheme="minorEastAsia" w:hAnsiTheme="minorEastAsia" w:eastAsiaTheme="minorEastAsia"/>
                <w:b w:val="0"/>
                <w:bCs w:val="0"/>
                <w:color w:val="000000"/>
                <w:sz w:val="24"/>
                <w:szCs w:val="24"/>
              </w:rPr>
              <w:t>篮板前部到立柱尺寸不小于</w:t>
            </w:r>
            <w:r>
              <w:rPr>
                <w:rFonts w:asciiTheme="minorEastAsia" w:hAnsiTheme="minorEastAsia" w:eastAsiaTheme="minorEastAsia"/>
                <w:b w:val="0"/>
                <w:bCs w:val="0"/>
                <w:color w:val="000000"/>
                <w:sz w:val="24"/>
                <w:szCs w:val="24"/>
              </w:rPr>
              <w:t>1800m</w:t>
            </w:r>
            <w:r>
              <w:rPr>
                <w:rFonts w:hint="eastAsia" w:asciiTheme="minorEastAsia" w:hAnsiTheme="minorEastAsia" w:eastAsiaTheme="minorEastAsia"/>
                <w:b w:val="0"/>
                <w:bCs w:val="0"/>
                <w:color w:val="000000"/>
                <w:sz w:val="24"/>
                <w:szCs w:val="24"/>
              </w:rPr>
              <w:t>，</w:t>
            </w:r>
            <w:r>
              <w:rPr>
                <w:rFonts w:hint="eastAsia" w:asciiTheme="minorEastAsia" w:hAnsiTheme="minorEastAsia" w:eastAsiaTheme="minorEastAsia"/>
                <w:b w:val="0"/>
                <w:sz w:val="24"/>
                <w:szCs w:val="24"/>
              </w:rPr>
              <w:t>篮板应选用</w:t>
            </w:r>
            <w:r>
              <w:rPr>
                <w:rFonts w:asciiTheme="minorEastAsia" w:hAnsiTheme="minorEastAsia" w:eastAsiaTheme="minorEastAsia"/>
                <w:b w:val="0"/>
                <w:sz w:val="24"/>
                <w:szCs w:val="24"/>
              </w:rPr>
              <w:t>GB19272-2011</w:t>
            </w:r>
            <w:r>
              <w:rPr>
                <w:rFonts w:hint="eastAsia" w:asciiTheme="minorEastAsia" w:hAnsiTheme="minorEastAsia" w:eastAsiaTheme="minorEastAsia"/>
                <w:b w:val="0"/>
                <w:sz w:val="24"/>
                <w:szCs w:val="24"/>
              </w:rPr>
              <w:t>中</w:t>
            </w:r>
            <w:r>
              <w:rPr>
                <w:rFonts w:asciiTheme="minorEastAsia" w:hAnsiTheme="minorEastAsia" w:eastAsiaTheme="minorEastAsia"/>
                <w:b w:val="0"/>
                <w:sz w:val="24"/>
                <w:szCs w:val="24"/>
              </w:rPr>
              <w:t>5.12.1.3.2</w:t>
            </w:r>
            <w:r>
              <w:rPr>
                <w:rFonts w:hint="eastAsia" w:asciiTheme="minorEastAsia" w:hAnsiTheme="minorEastAsia" w:eastAsiaTheme="minorEastAsia"/>
                <w:b w:val="0"/>
                <w:sz w:val="24"/>
                <w:szCs w:val="24"/>
              </w:rPr>
              <w:t>规定的</w:t>
            </w:r>
            <w:r>
              <w:rPr>
                <w:rFonts w:asciiTheme="minorEastAsia" w:hAnsiTheme="minorEastAsia" w:eastAsiaTheme="minorEastAsia"/>
                <w:b w:val="0"/>
                <w:sz w:val="24"/>
                <w:szCs w:val="24"/>
              </w:rPr>
              <w:t>1800mm</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1050mm</w:t>
            </w:r>
            <w:r>
              <w:rPr>
                <w:rFonts w:hint="eastAsia" w:asciiTheme="minorEastAsia" w:hAnsiTheme="minorEastAsia" w:eastAsiaTheme="minorEastAsia"/>
                <w:b w:val="0"/>
                <w:sz w:val="24"/>
                <w:szCs w:val="24"/>
              </w:rPr>
              <w:t>的矩形篮板（材质为</w:t>
            </w:r>
            <w:r>
              <w:rPr>
                <w:rFonts w:asciiTheme="minorEastAsia" w:hAnsiTheme="minorEastAsia" w:eastAsiaTheme="minorEastAsia"/>
                <w:b w:val="0"/>
                <w:sz w:val="24"/>
                <w:szCs w:val="24"/>
              </w:rPr>
              <w:t>SMC</w:t>
            </w:r>
            <w:r>
              <w:rPr>
                <w:rFonts w:hint="eastAsia" w:asciiTheme="minorEastAsia" w:hAnsiTheme="minorEastAsia" w:eastAsiaTheme="minorEastAsia"/>
                <w:b w:val="0"/>
                <w:sz w:val="24"/>
                <w:szCs w:val="24"/>
              </w:rPr>
              <w:t>），篮板面板厚度为</w:t>
            </w:r>
            <w:r>
              <w:rPr>
                <w:rFonts w:asciiTheme="minorEastAsia" w:hAnsiTheme="minorEastAsia" w:eastAsiaTheme="minorEastAsia"/>
                <w:b w:val="0"/>
                <w:sz w:val="24"/>
                <w:szCs w:val="24"/>
              </w:rPr>
              <w:t>5mm</w:t>
            </w:r>
            <w:r>
              <w:rPr>
                <w:rFonts w:hint="eastAsia" w:asciiTheme="minorEastAsia" w:hAnsiTheme="minorEastAsia" w:eastAsiaTheme="minorEastAsia"/>
                <w:b w:val="0"/>
                <w:sz w:val="24"/>
                <w:szCs w:val="24"/>
              </w:rPr>
              <w:t>，翻边宽度为</w:t>
            </w:r>
            <w:r>
              <w:rPr>
                <w:rFonts w:asciiTheme="minorEastAsia" w:hAnsiTheme="minorEastAsia" w:eastAsiaTheme="minorEastAsia"/>
                <w:b w:val="0"/>
                <w:sz w:val="24"/>
                <w:szCs w:val="24"/>
              </w:rPr>
              <w:t>50mm</w:t>
            </w:r>
            <w:r>
              <w:rPr>
                <w:rFonts w:hint="eastAsia" w:asciiTheme="minorEastAsia" w:hAnsiTheme="minorEastAsia" w:eastAsiaTheme="minorEastAsia"/>
                <w:b w:val="0"/>
                <w:sz w:val="24"/>
                <w:szCs w:val="24"/>
              </w:rPr>
              <w:t>，翻边厚度为</w:t>
            </w:r>
            <w:r>
              <w:rPr>
                <w:rFonts w:asciiTheme="minorEastAsia" w:hAnsiTheme="minorEastAsia" w:eastAsiaTheme="minorEastAsia"/>
                <w:b w:val="0"/>
                <w:sz w:val="24"/>
                <w:szCs w:val="24"/>
              </w:rPr>
              <w:t>7.8mm</w:t>
            </w:r>
            <w:r>
              <w:rPr>
                <w:rFonts w:hint="eastAsia" w:asciiTheme="minorEastAsia" w:hAnsiTheme="minorEastAsia" w:eastAsiaTheme="minorEastAsia"/>
                <w:b w:val="0"/>
                <w:sz w:val="24"/>
                <w:szCs w:val="24"/>
              </w:rPr>
              <w:t>，背面用“井”字形加强筋，加强筋厚度为不低于</w:t>
            </w:r>
            <w:r>
              <w:rPr>
                <w:rFonts w:asciiTheme="minorEastAsia" w:hAnsiTheme="minorEastAsia" w:eastAsiaTheme="minorEastAsia"/>
                <w:b w:val="0"/>
                <w:sz w:val="24"/>
                <w:szCs w:val="24"/>
              </w:rPr>
              <w:t>5mm</w:t>
            </w:r>
            <w:r>
              <w:rPr>
                <w:rFonts w:hint="eastAsia" w:asciiTheme="minorEastAsia" w:hAnsiTheme="minorEastAsia" w:eastAsiaTheme="minorEastAsia"/>
                <w:b w:val="0"/>
                <w:sz w:val="24"/>
                <w:szCs w:val="24"/>
              </w:rPr>
              <w:t>；篮板的质量应满足</w:t>
            </w:r>
            <w:r>
              <w:rPr>
                <w:rFonts w:asciiTheme="minorEastAsia" w:hAnsiTheme="minorEastAsia" w:eastAsiaTheme="minorEastAsia"/>
                <w:b w:val="0"/>
                <w:sz w:val="24"/>
                <w:szCs w:val="24"/>
              </w:rPr>
              <w:t>GB19272-2011</w:t>
            </w:r>
            <w:r>
              <w:rPr>
                <w:rFonts w:hint="eastAsia" w:asciiTheme="minorEastAsia" w:hAnsiTheme="minorEastAsia" w:eastAsiaTheme="minorEastAsia"/>
                <w:b w:val="0"/>
                <w:sz w:val="24"/>
                <w:szCs w:val="24"/>
              </w:rPr>
              <w:t>中</w:t>
            </w:r>
            <w:r>
              <w:rPr>
                <w:rFonts w:asciiTheme="minorEastAsia" w:hAnsiTheme="minorEastAsia" w:eastAsiaTheme="minorEastAsia"/>
                <w:b w:val="0"/>
                <w:sz w:val="24"/>
                <w:szCs w:val="24"/>
              </w:rPr>
              <w:t>5.12.1.3.3</w:t>
            </w:r>
            <w:r>
              <w:rPr>
                <w:rFonts w:hint="eastAsia" w:asciiTheme="minorEastAsia" w:hAnsiTheme="minorEastAsia" w:eastAsiaTheme="minorEastAsia"/>
                <w:b w:val="0"/>
                <w:sz w:val="24"/>
                <w:szCs w:val="24"/>
              </w:rPr>
              <w:t>条至</w:t>
            </w:r>
            <w:r>
              <w:rPr>
                <w:rFonts w:asciiTheme="minorEastAsia" w:hAnsiTheme="minorEastAsia" w:eastAsiaTheme="minorEastAsia"/>
                <w:b w:val="0"/>
                <w:sz w:val="24"/>
                <w:szCs w:val="24"/>
              </w:rPr>
              <w:t>5.12.1.3.6</w:t>
            </w:r>
            <w:r>
              <w:rPr>
                <w:rFonts w:hint="eastAsia" w:asciiTheme="minorEastAsia" w:hAnsiTheme="minorEastAsia" w:eastAsiaTheme="minorEastAsia"/>
                <w:b w:val="0"/>
                <w:sz w:val="24"/>
                <w:szCs w:val="24"/>
              </w:rPr>
              <w:t>条的要求；矩形篮板背部连接有不少于</w:t>
            </w:r>
            <w:r>
              <w:rPr>
                <w:rFonts w:asciiTheme="minorEastAsia" w:hAnsiTheme="minorEastAsia" w:eastAsiaTheme="minorEastAsia"/>
                <w:b w:val="0"/>
                <w:sz w:val="24"/>
                <w:szCs w:val="24"/>
              </w:rPr>
              <w:t>5</w:t>
            </w:r>
            <w:r>
              <w:rPr>
                <w:rFonts w:hint="eastAsia" w:asciiTheme="minorEastAsia" w:hAnsiTheme="minorEastAsia" w:eastAsiaTheme="minorEastAsia"/>
                <w:b w:val="0"/>
                <w:sz w:val="24"/>
                <w:szCs w:val="24"/>
              </w:rPr>
              <w:t>点的连接安装位置，且安装位置尺寸符合</w:t>
            </w:r>
            <w:r>
              <w:rPr>
                <w:rFonts w:asciiTheme="minorEastAsia" w:hAnsiTheme="minorEastAsia" w:eastAsiaTheme="minorEastAsia"/>
                <w:b w:val="0"/>
                <w:sz w:val="24"/>
                <w:szCs w:val="24"/>
              </w:rPr>
              <w:t>GB19272-2011</w:t>
            </w:r>
            <w:r>
              <w:rPr>
                <w:rFonts w:hint="eastAsia" w:asciiTheme="minorEastAsia" w:hAnsiTheme="minorEastAsia" w:eastAsiaTheme="minorEastAsia"/>
                <w:b w:val="0"/>
                <w:sz w:val="24"/>
                <w:szCs w:val="24"/>
              </w:rPr>
              <w:t>中图</w:t>
            </w:r>
            <w:r>
              <w:rPr>
                <w:rFonts w:asciiTheme="minorEastAsia" w:hAnsiTheme="minorEastAsia" w:eastAsiaTheme="minorEastAsia"/>
                <w:b w:val="0"/>
                <w:sz w:val="24"/>
                <w:szCs w:val="24"/>
              </w:rPr>
              <w:t>21a</w:t>
            </w:r>
            <w:r>
              <w:rPr>
                <w:rFonts w:hint="eastAsia" w:asciiTheme="minorEastAsia" w:hAnsiTheme="minorEastAsia" w:eastAsiaTheme="minorEastAsia"/>
                <w:b w:val="0"/>
                <w:sz w:val="24"/>
                <w:szCs w:val="24"/>
              </w:rPr>
              <w:t>）的要求；</w:t>
            </w:r>
          </w:p>
          <w:p>
            <w:pPr>
              <w:pStyle w:val="30"/>
              <w:spacing w:before="0" w:after="0" w:line="360" w:lineRule="auto"/>
              <w:ind w:firstLine="480" w:firstLineChars="200"/>
              <w:jc w:val="both"/>
              <w:rPr>
                <w:rFonts w:asciiTheme="minorEastAsia" w:hAnsiTheme="minorEastAsia" w:eastAsiaTheme="minorEastAsia"/>
                <w:b w:val="0"/>
                <w:bCs w:val="0"/>
                <w:sz w:val="24"/>
                <w:szCs w:val="24"/>
              </w:rPr>
            </w:pPr>
            <w:r>
              <w:rPr>
                <w:rFonts w:asciiTheme="minorEastAsia" w:hAnsiTheme="minorEastAsia" w:eastAsiaTheme="minorEastAsia"/>
                <w:b w:val="0"/>
                <w:bCs w:val="0"/>
                <w:color w:val="000000"/>
                <w:sz w:val="24"/>
                <w:szCs w:val="24"/>
              </w:rPr>
              <w:t>3</w:t>
            </w:r>
            <w:r>
              <w:rPr>
                <w:rFonts w:hint="eastAsia" w:asciiTheme="minorEastAsia" w:hAnsiTheme="minorEastAsia" w:eastAsiaTheme="minorEastAsia"/>
                <w:b w:val="0"/>
                <w:bCs w:val="0"/>
                <w:color w:val="000000"/>
                <w:sz w:val="24"/>
                <w:szCs w:val="24"/>
              </w:rPr>
              <w:t>具有调节篮板垂直度的结构：</w:t>
            </w:r>
            <w:r>
              <w:rPr>
                <w:rFonts w:hint="eastAsia" w:asciiTheme="minorEastAsia" w:hAnsiTheme="minorEastAsia" w:eastAsiaTheme="minorEastAsia"/>
                <w:b w:val="0"/>
                <w:sz w:val="24"/>
                <w:szCs w:val="24"/>
              </w:rPr>
              <w:t>篮架上、下拉杆采用不小于Φ</w:t>
            </w:r>
            <w:r>
              <w:rPr>
                <w:rFonts w:asciiTheme="minorEastAsia" w:hAnsiTheme="minorEastAsia" w:eastAsiaTheme="minorEastAsia"/>
                <w:b w:val="0"/>
                <w:sz w:val="24"/>
                <w:szCs w:val="24"/>
              </w:rPr>
              <w:t>32</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2.5mm</w:t>
            </w:r>
            <w:r>
              <w:rPr>
                <w:rFonts w:hint="eastAsia" w:asciiTheme="minorEastAsia" w:hAnsiTheme="minorEastAsia" w:eastAsiaTheme="minorEastAsia"/>
                <w:b w:val="0"/>
                <w:sz w:val="24"/>
                <w:szCs w:val="24"/>
              </w:rPr>
              <w:t>优质钢管在弯管机上一次成型。通过调节上下拉杆可调节篮板的平面度和垂直度；</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4</w:t>
            </w:r>
            <w:r>
              <w:rPr>
                <w:rFonts w:hint="eastAsia" w:asciiTheme="minorEastAsia" w:hAnsiTheme="minorEastAsia" w:eastAsiaTheme="minorEastAsia"/>
                <w:b w:val="0"/>
                <w:bCs w:val="0"/>
                <w:color w:val="000000"/>
                <w:sz w:val="24"/>
                <w:szCs w:val="24"/>
              </w:rPr>
              <w:t>篮板投篮区背面应有不小于</w:t>
            </w:r>
            <w:r>
              <w:rPr>
                <w:rFonts w:asciiTheme="minorEastAsia" w:hAnsiTheme="minorEastAsia" w:eastAsiaTheme="minorEastAsia"/>
                <w:b w:val="0"/>
                <w:bCs w:val="0"/>
                <w:color w:val="000000"/>
                <w:sz w:val="24"/>
                <w:szCs w:val="24"/>
              </w:rPr>
              <w:t>570mm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150mm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5mm</w:t>
            </w:r>
            <w:r>
              <w:rPr>
                <w:rFonts w:hint="eastAsia" w:asciiTheme="minorEastAsia" w:hAnsiTheme="minorEastAsia" w:eastAsiaTheme="minorEastAsia"/>
                <w:b w:val="0"/>
                <w:bCs w:val="0"/>
                <w:color w:val="000000"/>
                <w:sz w:val="24"/>
                <w:szCs w:val="24"/>
              </w:rPr>
              <w:t>的加强钢板；</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5</w:t>
            </w:r>
            <w:r>
              <w:rPr>
                <w:rFonts w:hint="eastAsia" w:asciiTheme="minorEastAsia" w:hAnsiTheme="minorEastAsia" w:eastAsiaTheme="minorEastAsia"/>
                <w:b w:val="0"/>
                <w:bCs w:val="0"/>
                <w:color w:val="000000"/>
                <w:sz w:val="24"/>
                <w:szCs w:val="24"/>
              </w:rPr>
              <w:t>篮圈：优质圆钢，呈橙色，弹簧篮圈；</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 xml:space="preserve">6 </w:t>
            </w:r>
            <w:r>
              <w:rPr>
                <w:rFonts w:hint="eastAsia" w:asciiTheme="minorEastAsia" w:hAnsiTheme="minorEastAsia" w:eastAsiaTheme="minorEastAsia"/>
                <w:b w:val="0"/>
                <w:bCs w:val="0"/>
                <w:color w:val="000000"/>
                <w:sz w:val="24"/>
                <w:szCs w:val="24"/>
              </w:rPr>
              <w:t>固定方式：予埋件</w:t>
            </w:r>
            <w:r>
              <w:rPr>
                <w:rFonts w:hint="eastAsia" w:asciiTheme="minorEastAsia" w:hAnsiTheme="minorEastAsia" w:eastAsiaTheme="minorEastAsia"/>
                <w:b w:val="0"/>
                <w:bCs w:val="0"/>
                <w:sz w:val="24"/>
                <w:szCs w:val="24"/>
              </w:rPr>
              <w:t>：</w:t>
            </w:r>
          </w:p>
          <w:p>
            <w:pPr>
              <w:pStyle w:val="30"/>
              <w:spacing w:before="0" w:after="0" w:line="360" w:lineRule="auto"/>
              <w:ind w:firstLine="480" w:firstLineChars="200"/>
              <w:jc w:val="both"/>
              <w:rPr>
                <w:rFonts w:cs="黑体" w:asciiTheme="minorEastAsia" w:hAnsiTheme="minorEastAsia" w:eastAsiaTheme="minorEastAsia"/>
                <w:b w:val="0"/>
                <w:bCs w:val="0"/>
                <w:sz w:val="24"/>
                <w:szCs w:val="24"/>
              </w:rPr>
            </w:pPr>
            <w:r>
              <w:rPr>
                <w:rFonts w:hint="eastAsia" w:asciiTheme="minorEastAsia" w:hAnsiTheme="minorEastAsia" w:eastAsiaTheme="minorEastAsia"/>
                <w:b w:val="0"/>
                <w:sz w:val="24"/>
                <w:szCs w:val="24"/>
              </w:rPr>
              <w:t>安装技术参数：篮圈上沿距地面高度</w:t>
            </w:r>
            <w:r>
              <w:rPr>
                <w:rFonts w:asciiTheme="minorEastAsia" w:hAnsiTheme="minorEastAsia" w:eastAsiaTheme="minorEastAsia"/>
                <w:b w:val="0"/>
                <w:sz w:val="24"/>
                <w:szCs w:val="24"/>
              </w:rPr>
              <w:t>3050mm</w:t>
            </w:r>
            <w:r>
              <w:rPr>
                <w:rFonts w:hint="eastAsia" w:asciiTheme="minorEastAsia" w:hAnsiTheme="minorEastAsia" w:eastAsiaTheme="minorEastAsia"/>
                <w:b w:val="0"/>
                <w:sz w:val="24"/>
                <w:szCs w:val="24"/>
              </w:rPr>
              <w:t>，悬臂长度小于</w:t>
            </w:r>
            <w:r>
              <w:rPr>
                <w:rFonts w:asciiTheme="minorEastAsia" w:hAnsiTheme="minorEastAsia" w:eastAsiaTheme="minorEastAsia"/>
                <w:b w:val="0"/>
                <w:sz w:val="24"/>
                <w:szCs w:val="24"/>
              </w:rPr>
              <w:t>1800mm</w:t>
            </w:r>
            <w:r>
              <w:rPr>
                <w:rFonts w:hint="eastAsia" w:asciiTheme="minorEastAsia" w:hAnsiTheme="minorEastAsia" w:eastAsiaTheme="minorEastAsia"/>
                <w:b w:val="0"/>
                <w:sz w:val="24"/>
                <w:szCs w:val="24"/>
              </w:rPr>
              <w:t>；主要承载立柱应采用</w:t>
            </w:r>
            <w:r>
              <w:rPr>
                <w:rFonts w:hint="eastAsia" w:asciiTheme="minorEastAsia" w:hAnsiTheme="minorEastAsia" w:eastAsiaTheme="minorEastAsia"/>
                <w:b w:val="0"/>
                <w:bCs w:val="0"/>
                <w:color w:val="000000"/>
                <w:sz w:val="24"/>
                <w:szCs w:val="24"/>
              </w:rPr>
              <w:t>予埋</w:t>
            </w:r>
            <w:r>
              <w:rPr>
                <w:rFonts w:hint="eastAsia" w:asciiTheme="minorEastAsia" w:hAnsiTheme="minorEastAsia" w:eastAsiaTheme="minorEastAsia"/>
                <w:b w:val="0"/>
                <w:sz w:val="24"/>
                <w:szCs w:val="24"/>
              </w:rPr>
              <w:t>埋入地下的结构，</w:t>
            </w:r>
            <w:r>
              <w:rPr>
                <w:rFonts w:hint="eastAsia" w:asciiTheme="minorEastAsia" w:hAnsiTheme="minorEastAsia" w:eastAsiaTheme="minorEastAsia"/>
                <w:b w:val="0"/>
                <w:bCs w:val="0"/>
                <w:color w:val="000000"/>
                <w:sz w:val="24"/>
                <w:szCs w:val="24"/>
              </w:rPr>
              <w:t>予埋</w:t>
            </w:r>
            <w:r>
              <w:rPr>
                <w:rFonts w:hint="eastAsia" w:asciiTheme="minorEastAsia" w:hAnsiTheme="minorEastAsia" w:eastAsiaTheme="minorEastAsia"/>
                <w:b w:val="0"/>
                <w:sz w:val="24"/>
                <w:szCs w:val="24"/>
              </w:rPr>
              <w:t>埋入深度</w:t>
            </w:r>
            <w:r>
              <w:rPr>
                <w:rFonts w:asciiTheme="minorEastAsia" w:hAnsiTheme="minorEastAsia" w:eastAsiaTheme="minorEastAsia"/>
                <w:b w:val="0"/>
                <w:sz w:val="24"/>
                <w:szCs w:val="24"/>
              </w:rPr>
              <w:t>800mm</w:t>
            </w:r>
            <w:r>
              <w:rPr>
                <w:rFonts w:hint="eastAsia" w:asciiTheme="minorEastAsia" w:hAnsiTheme="minorEastAsia" w:eastAsiaTheme="minorEastAsia"/>
                <w:b w:val="0"/>
                <w:sz w:val="24"/>
                <w:szCs w:val="24"/>
              </w:rPr>
              <w:t>，地埋尺寸</w:t>
            </w:r>
            <w:r>
              <w:rPr>
                <w:rFonts w:asciiTheme="minorEastAsia" w:hAnsiTheme="minorEastAsia" w:eastAsiaTheme="minorEastAsia"/>
                <w:b w:val="0"/>
                <w:sz w:val="24"/>
                <w:szCs w:val="24"/>
              </w:rPr>
              <w:t>800mm</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800mm</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900mm</w:t>
            </w:r>
            <w:r>
              <w:rPr>
                <w:rFonts w:hint="eastAsia" w:asciiTheme="minorEastAsia" w:hAnsiTheme="minorEastAsia" w:eastAsiaTheme="minorEastAsia"/>
                <w:b w:val="0"/>
                <w:sz w:val="24"/>
                <w:szCs w:val="24"/>
              </w:rPr>
              <w:t>。</w:t>
            </w:r>
            <w:r>
              <w:rPr>
                <w:rFonts w:hint="eastAsia" w:cs="黑体" w:asciiTheme="minorEastAsia" w:hAnsiTheme="minorEastAsia" w:eastAsiaTheme="minorEastAsia"/>
                <w:b w:val="0"/>
                <w:bCs w:val="0"/>
                <w:sz w:val="24"/>
                <w:szCs w:val="24"/>
              </w:rPr>
              <w:t>各连接部位采用螺栓、螺钉紧固，防松、防盗、防锈；</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予埋件与主体连结部应有整体防护罩，厚度不小于</w:t>
            </w:r>
            <w:r>
              <w:rPr>
                <w:rFonts w:asciiTheme="minorEastAsia" w:hAnsiTheme="minorEastAsia" w:eastAsiaTheme="minorEastAsia"/>
                <w:b w:val="0"/>
                <w:bCs w:val="0"/>
                <w:color w:val="000000"/>
                <w:sz w:val="24"/>
                <w:szCs w:val="24"/>
              </w:rPr>
              <w:t>1 mm</w:t>
            </w:r>
            <w:r>
              <w:rPr>
                <w:rFonts w:hint="eastAsia" w:asciiTheme="minorEastAsia" w:hAnsiTheme="minorEastAsia" w:eastAsiaTheme="minorEastAsia"/>
                <w:b w:val="0"/>
                <w:bCs w:val="0"/>
                <w:color w:val="000000"/>
                <w:sz w:val="24"/>
                <w:szCs w:val="24"/>
              </w:rPr>
              <w:t>的钢罩；</w:t>
            </w:r>
          </w:p>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篮圈上沿距地面高度</w:t>
            </w:r>
            <w:r>
              <w:rPr>
                <w:rFonts w:cs="宋体" w:asciiTheme="minorEastAsia" w:hAnsiTheme="minorEastAsia" w:eastAsiaTheme="minorEastAsia"/>
                <w:color w:val="000000"/>
                <w:kern w:val="0"/>
                <w:sz w:val="24"/>
              </w:rPr>
              <w:t>3050mm</w:t>
            </w:r>
            <w:r>
              <w:rPr>
                <w:rFonts w:hint="eastAsia" w:cs="宋体" w:asciiTheme="minorEastAsia" w:hAnsiTheme="minorEastAsia" w:eastAsiaTheme="minorEastAsia"/>
                <w:color w:val="000000"/>
                <w:kern w:val="0"/>
                <w:sz w:val="24"/>
              </w:rPr>
              <w:t>，篮板下沿距地面高度</w:t>
            </w:r>
            <w:r>
              <w:rPr>
                <w:rFonts w:cs="宋体" w:asciiTheme="minorEastAsia" w:hAnsiTheme="minorEastAsia" w:eastAsiaTheme="minorEastAsia"/>
                <w:color w:val="000000"/>
                <w:kern w:val="0"/>
                <w:sz w:val="24"/>
              </w:rPr>
              <w:t>2900mm</w:t>
            </w:r>
            <w:r>
              <w:rPr>
                <w:rFonts w:hint="eastAsia" w:cs="宋体" w:asciiTheme="minorEastAsia" w:hAnsiTheme="minorEastAsia" w:eastAsiaTheme="minorEastAsia"/>
                <w:color w:val="000000"/>
                <w:kern w:val="0"/>
                <w:sz w:val="24"/>
              </w:rPr>
              <w:t>，篮板上沿距地面高度</w:t>
            </w:r>
            <w:r>
              <w:rPr>
                <w:rFonts w:cs="宋体" w:asciiTheme="minorEastAsia" w:hAnsiTheme="minorEastAsia" w:eastAsiaTheme="minorEastAsia"/>
                <w:color w:val="000000"/>
                <w:kern w:val="0"/>
                <w:sz w:val="24"/>
              </w:rPr>
              <w:t>3950mm</w:t>
            </w:r>
            <w:r>
              <w:rPr>
                <w:rFonts w:hint="eastAsia" w:cs="宋体" w:asciiTheme="minorEastAsia" w:hAnsiTheme="minorEastAsia" w:eastAsiaTheme="minorEastAsia"/>
                <w:color w:val="000000"/>
                <w:kern w:val="0"/>
                <w:sz w:val="24"/>
              </w:rPr>
              <w:t>，篮板前部到立柱尺寸不小于（伸臂长）</w:t>
            </w:r>
            <w:r>
              <w:rPr>
                <w:rFonts w:cs="宋体" w:asciiTheme="minorEastAsia" w:hAnsiTheme="minorEastAsia" w:eastAsiaTheme="minorEastAsia"/>
                <w:color w:val="000000"/>
                <w:kern w:val="0"/>
                <w:sz w:val="24"/>
              </w:rPr>
              <w:t>1800mm</w:t>
            </w:r>
            <w:r>
              <w:rPr>
                <w:rFonts w:hint="eastAsia" w:cs="宋体" w:asciiTheme="minorEastAsia" w:hAnsiTheme="minorEastAsia" w:eastAsiaTheme="minorEastAsia"/>
                <w:color w:val="000000"/>
                <w:kern w:val="0"/>
                <w:sz w:val="24"/>
              </w:rPr>
              <w:t>，地基尺寸</w:t>
            </w:r>
            <w:r>
              <w:rPr>
                <w:rFonts w:cs="宋体" w:asciiTheme="minorEastAsia" w:hAnsiTheme="minorEastAsia" w:eastAsiaTheme="minorEastAsia"/>
                <w:color w:val="000000"/>
                <w:kern w:val="0"/>
                <w:sz w:val="24"/>
              </w:rPr>
              <w:t>800</w:t>
            </w:r>
            <w:r>
              <w:rPr>
                <w:rFonts w:cs="黑体" w:asciiTheme="minorEastAsia" w:hAnsiTheme="minorEastAsia" w:eastAsiaTheme="minorEastAsia"/>
                <w:bCs/>
                <w:sz w:val="24"/>
              </w:rPr>
              <w:t xml:space="preserve"> mm</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800</w:t>
            </w:r>
            <w:r>
              <w:rPr>
                <w:rFonts w:cs="黑体" w:asciiTheme="minorEastAsia" w:hAnsiTheme="minorEastAsia" w:eastAsiaTheme="minorEastAsia"/>
                <w:bCs/>
                <w:sz w:val="24"/>
              </w:rPr>
              <w:t xml:space="preserve"> mm</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900 mm</w:t>
            </w:r>
            <w:r>
              <w:rPr>
                <w:rFonts w:hint="eastAsia" w:cs="宋体" w:asciiTheme="minorEastAsia" w:hAnsiTheme="minorEastAsia" w:eastAsiaTheme="minorEastAsia"/>
                <w:color w:val="000000"/>
                <w:kern w:val="0"/>
                <w:sz w:val="24"/>
              </w:rPr>
              <w:t>（深），主架与地基连接：予埋件。（篮球架及予埋件产品样式见下图）</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柱</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灯（柱</w:t>
            </w:r>
            <w:r>
              <w:rPr>
                <w:rFonts w:cs="宋体" w:asciiTheme="minorEastAsia" w:hAnsiTheme="minorEastAsia" w:eastAsiaTheme="minorEastAsia"/>
                <w:color w:val="000000"/>
                <w:kern w:val="0"/>
                <w:sz w:val="24"/>
              </w:rPr>
              <w:t>4</w:t>
            </w:r>
            <w:r>
              <w:rPr>
                <w:rFonts w:hint="eastAsia" w:cs="宋体" w:asciiTheme="minorEastAsia" w:hAnsiTheme="minorEastAsia" w:eastAsiaTheme="minorEastAsia"/>
                <w:color w:val="000000"/>
                <w:kern w:val="0"/>
                <w:sz w:val="24"/>
              </w:rPr>
              <w:t>根，灯八盏）</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1.</w:t>
            </w:r>
            <w:r>
              <w:rPr>
                <w:rFonts w:hint="eastAsia" w:asciiTheme="minorEastAsia" w:hAnsiTheme="minorEastAsia" w:eastAsiaTheme="minorEastAsia"/>
                <w:b w:val="0"/>
                <w:bCs w:val="0"/>
                <w:color w:val="000000"/>
                <w:sz w:val="24"/>
                <w:szCs w:val="24"/>
              </w:rPr>
              <w:t>尺寸，灯杆尺寸：灯杆上口径为</w:t>
            </w:r>
            <w:r>
              <w:rPr>
                <w:rFonts w:asciiTheme="minorEastAsia" w:hAnsiTheme="minorEastAsia" w:eastAsiaTheme="minorEastAsia"/>
                <w:b w:val="0"/>
                <w:bCs w:val="0"/>
                <w:color w:val="000000"/>
                <w:sz w:val="24"/>
                <w:szCs w:val="24"/>
              </w:rPr>
              <w:t>80mm</w:t>
            </w:r>
            <w:r>
              <w:rPr>
                <w:rFonts w:hint="eastAsia" w:asciiTheme="minorEastAsia" w:hAnsiTheme="minorEastAsia" w:eastAsiaTheme="minorEastAsia"/>
                <w:b w:val="0"/>
                <w:bCs w:val="0"/>
                <w:color w:val="000000"/>
                <w:sz w:val="24"/>
                <w:szCs w:val="24"/>
              </w:rPr>
              <w:t>，下口径为</w:t>
            </w:r>
            <w:r>
              <w:rPr>
                <w:rFonts w:asciiTheme="minorEastAsia" w:hAnsiTheme="minorEastAsia" w:eastAsiaTheme="minorEastAsia"/>
                <w:b w:val="0"/>
                <w:bCs w:val="0"/>
                <w:color w:val="000000"/>
                <w:sz w:val="24"/>
                <w:szCs w:val="24"/>
              </w:rPr>
              <w:t>165mm</w:t>
            </w:r>
            <w:r>
              <w:rPr>
                <w:rFonts w:hint="eastAsia" w:asciiTheme="minorEastAsia" w:hAnsiTheme="minorEastAsia" w:eastAsiaTheme="minorEastAsia"/>
                <w:b w:val="0"/>
                <w:bCs w:val="0"/>
                <w:color w:val="000000"/>
                <w:sz w:val="24"/>
                <w:szCs w:val="24"/>
              </w:rPr>
              <w:t>，壁厚为</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，法兰盘为</w:t>
            </w:r>
            <w:r>
              <w:rPr>
                <w:rFonts w:asciiTheme="minorEastAsia" w:hAnsiTheme="minorEastAsia" w:eastAsiaTheme="minorEastAsia"/>
                <w:b w:val="0"/>
                <w:bCs w:val="0"/>
                <w:color w:val="000000"/>
                <w:sz w:val="24"/>
                <w:szCs w:val="24"/>
              </w:rPr>
              <w:t>450*450mm</w:t>
            </w:r>
            <w:r>
              <w:rPr>
                <w:rFonts w:hint="eastAsia" w:asciiTheme="minorEastAsia" w:hAnsiTheme="minorEastAsia" w:eastAsiaTheme="minorEastAsia"/>
                <w:b w:val="0"/>
                <w:bCs w:val="0"/>
                <w:color w:val="000000"/>
                <w:sz w:val="24"/>
                <w:szCs w:val="24"/>
              </w:rPr>
              <w:t>，厚度为</w:t>
            </w:r>
            <w:r>
              <w:rPr>
                <w:rFonts w:asciiTheme="minorEastAsia" w:hAnsiTheme="minorEastAsia" w:eastAsiaTheme="minorEastAsia"/>
                <w:b w:val="0"/>
                <w:bCs w:val="0"/>
                <w:color w:val="000000"/>
                <w:sz w:val="24"/>
                <w:szCs w:val="24"/>
              </w:rPr>
              <w:t>14mm</w:t>
            </w:r>
            <w:r>
              <w:rPr>
                <w:rFonts w:hint="eastAsia" w:asciiTheme="minorEastAsia" w:hAnsiTheme="minorEastAsia" w:eastAsiaTheme="minorEastAsia"/>
                <w:b w:val="0"/>
                <w:bCs w:val="0"/>
                <w:color w:val="000000"/>
                <w:sz w:val="24"/>
                <w:szCs w:val="24"/>
              </w:rPr>
              <w:t>高度为</w:t>
            </w:r>
            <w:r>
              <w:rPr>
                <w:rFonts w:asciiTheme="minorEastAsia" w:hAnsiTheme="minorEastAsia" w:eastAsiaTheme="minorEastAsia"/>
                <w:b w:val="0"/>
                <w:bCs w:val="0"/>
                <w:color w:val="000000"/>
                <w:sz w:val="24"/>
                <w:szCs w:val="24"/>
              </w:rPr>
              <w:t>8m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2.</w:t>
            </w:r>
            <w:r>
              <w:rPr>
                <w:rFonts w:hint="eastAsia" w:asciiTheme="minorEastAsia" w:hAnsiTheme="minorEastAsia" w:eastAsiaTheme="minorEastAsia"/>
                <w:b w:val="0"/>
                <w:bCs w:val="0"/>
                <w:color w:val="000000"/>
                <w:sz w:val="24"/>
                <w:szCs w:val="24"/>
              </w:rPr>
              <w:t>灯杆锥形管表面进行热镀锌，高光耐久静电喷塑工艺处理（白色），经处理后耐高温、耐腐蚀应达到</w:t>
            </w:r>
            <w:r>
              <w:rPr>
                <w:rFonts w:asciiTheme="minorEastAsia" w:hAnsiTheme="minorEastAsia" w:eastAsiaTheme="minorEastAsia"/>
                <w:b w:val="0"/>
                <w:bCs w:val="0"/>
                <w:color w:val="000000"/>
                <w:sz w:val="24"/>
                <w:szCs w:val="24"/>
              </w:rPr>
              <w:t>5</w:t>
            </w:r>
            <w:r>
              <w:rPr>
                <w:rFonts w:hint="eastAsia" w:asciiTheme="minorEastAsia" w:hAnsiTheme="minorEastAsia" w:eastAsiaTheme="minorEastAsia"/>
                <w:b w:val="0"/>
                <w:bCs w:val="0"/>
                <w:color w:val="000000"/>
                <w:sz w:val="24"/>
                <w:szCs w:val="24"/>
              </w:rPr>
              <w:t>年以上，并能保证外表色彩鲜艳均匀，靓丽美观，五年以上不变色；</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asciiTheme="minorEastAsia" w:hAnsiTheme="minorEastAsia" w:eastAsiaTheme="minorEastAsia"/>
                <w:b w:val="0"/>
                <w:bCs w:val="0"/>
                <w:color w:val="000000"/>
                <w:sz w:val="24"/>
                <w:szCs w:val="24"/>
              </w:rPr>
              <w:t>3.</w:t>
            </w:r>
            <w:r>
              <w:rPr>
                <w:rFonts w:hint="eastAsia" w:asciiTheme="minorEastAsia" w:hAnsiTheme="minorEastAsia" w:eastAsiaTheme="minorEastAsia"/>
                <w:b w:val="0"/>
                <w:bCs w:val="0"/>
                <w:color w:val="000000"/>
                <w:sz w:val="24"/>
                <w:szCs w:val="24"/>
              </w:rPr>
              <w:t>采用</w:t>
            </w:r>
            <w:r>
              <w:rPr>
                <w:rFonts w:asciiTheme="minorEastAsia" w:hAnsiTheme="minorEastAsia" w:eastAsiaTheme="minorEastAsia"/>
                <w:b w:val="0"/>
                <w:bCs w:val="0"/>
                <w:color w:val="000000"/>
                <w:sz w:val="24"/>
                <w:szCs w:val="24"/>
              </w:rPr>
              <w:t>250W</w:t>
            </w:r>
            <w:r>
              <w:rPr>
                <w:rFonts w:hint="eastAsia" w:asciiTheme="minorEastAsia" w:hAnsiTheme="minorEastAsia" w:eastAsiaTheme="minorEastAsia"/>
                <w:b w:val="0"/>
                <w:bCs w:val="0"/>
                <w:color w:val="000000"/>
                <w:sz w:val="24"/>
                <w:szCs w:val="24"/>
              </w:rPr>
              <w:t>双灯头，灯头为飞利浦投光灯，其材质是高压铸铝一次压铸成型、表面喷涂抗腐蚀涂层。集成高效节能镇流器，电子触发器及电容专业设计的高纯度阳极氧化铝反射器，高强度钢化玻璃，使用安全和便捷。经过严格的防水和防尘测试，防护等级为</w:t>
            </w:r>
            <w:r>
              <w:rPr>
                <w:rFonts w:asciiTheme="minorEastAsia" w:hAnsiTheme="minorEastAsia" w:eastAsiaTheme="minorEastAsia"/>
                <w:b w:val="0"/>
                <w:bCs w:val="0"/>
                <w:color w:val="000000"/>
                <w:sz w:val="24"/>
                <w:szCs w:val="24"/>
              </w:rPr>
              <w:t>IP:65</w:t>
            </w:r>
            <w:r>
              <w:rPr>
                <w:rFonts w:hint="eastAsia" w:asciiTheme="minorEastAsia" w:hAnsiTheme="minorEastAsia" w:eastAsiaTheme="minorEastAsia"/>
                <w:b w:val="0"/>
                <w:bCs w:val="0"/>
                <w:color w:val="000000"/>
                <w:sz w:val="24"/>
                <w:szCs w:val="24"/>
              </w:rPr>
              <w:t>，光源使用寿命不得低于二年；</w:t>
            </w:r>
          </w:p>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固定方式采用地笼固定，地笼整体高度为</w:t>
            </w:r>
            <w:r>
              <w:rPr>
                <w:rFonts w:asciiTheme="minorEastAsia" w:hAnsiTheme="minorEastAsia" w:eastAsiaTheme="minorEastAsia"/>
                <w:color w:val="000000"/>
                <w:sz w:val="24"/>
              </w:rPr>
              <w:t>1m</w:t>
            </w:r>
            <w:r>
              <w:rPr>
                <w:rFonts w:hint="eastAsia" w:asciiTheme="minorEastAsia" w:hAnsiTheme="minorEastAsia" w:eastAsiaTheme="minorEastAsia"/>
                <w:color w:val="000000"/>
                <w:sz w:val="24"/>
              </w:rPr>
              <w:t>，地笼主体筋直径</w:t>
            </w:r>
            <w:r>
              <w:rPr>
                <w:rFonts w:asciiTheme="minorEastAsia" w:hAnsiTheme="minorEastAsia" w:eastAsiaTheme="minorEastAsia"/>
                <w:color w:val="000000"/>
                <w:sz w:val="24"/>
              </w:rPr>
              <w:t>22mm</w:t>
            </w:r>
            <w:r>
              <w:rPr>
                <w:rFonts w:hint="eastAsia" w:asciiTheme="minorEastAsia" w:hAnsiTheme="minorEastAsia" w:eastAsiaTheme="minorEastAsia"/>
                <w:color w:val="000000"/>
                <w:sz w:val="24"/>
              </w:rPr>
              <w:t>。加强筋厚</w:t>
            </w:r>
            <w:r>
              <w:rPr>
                <w:rFonts w:asciiTheme="minorEastAsia" w:hAnsiTheme="minorEastAsia" w:eastAsiaTheme="minorEastAsia"/>
                <w:color w:val="000000"/>
                <w:sz w:val="24"/>
              </w:rPr>
              <w:t>1.5mm</w:t>
            </w:r>
            <w:r>
              <w:rPr>
                <w:rFonts w:hint="eastAsia" w:asciiTheme="minorEastAsia" w:hAnsiTheme="minorEastAsia" w:eastAsiaTheme="minorEastAsia"/>
                <w:color w:val="000000"/>
                <w:sz w:val="24"/>
              </w:rPr>
              <w:t>，宽</w:t>
            </w:r>
            <w:r>
              <w:rPr>
                <w:rFonts w:asciiTheme="minorEastAsia" w:hAnsiTheme="minorEastAsia" w:eastAsiaTheme="minorEastAsia"/>
                <w:color w:val="000000"/>
                <w:sz w:val="24"/>
              </w:rPr>
              <w:t xml:space="preserve">2cm. </w:t>
            </w:r>
            <w:r>
              <w:rPr>
                <w:rFonts w:hint="eastAsia" w:asciiTheme="minorEastAsia" w:hAnsiTheme="minorEastAsia" w:eastAsiaTheme="minorEastAsia"/>
                <w:color w:val="000000"/>
                <w:sz w:val="24"/>
              </w:rPr>
              <w:t>法兰盘与主体连结部应有整体防护罩，厚度不小于</w:t>
            </w:r>
            <w:r>
              <w:rPr>
                <w:rFonts w:asciiTheme="minorEastAsia" w:hAnsiTheme="minorEastAsia" w:eastAsiaTheme="minorEastAsia"/>
                <w:color w:val="000000"/>
                <w:sz w:val="24"/>
              </w:rPr>
              <w:t>1mm</w:t>
            </w:r>
            <w:r>
              <w:rPr>
                <w:rFonts w:hint="eastAsia" w:asciiTheme="minorEastAsia" w:hAnsiTheme="minorEastAsia" w:eastAsiaTheme="minorEastAsia"/>
                <w:color w:val="000000"/>
                <w:sz w:val="24"/>
              </w:rPr>
              <w:t>的钢罩。</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套</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两位蹬力训练器</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座椅、靠背上表面边缘应以</w:t>
            </w:r>
            <w:r>
              <w:rPr>
                <w:rFonts w:asciiTheme="minorEastAsia" w:hAnsiTheme="minorEastAsia" w:eastAsiaTheme="minorEastAsia"/>
                <w:b w:val="0"/>
                <w:bCs w:val="0"/>
                <w:color w:val="000000"/>
                <w:sz w:val="24"/>
                <w:szCs w:val="24"/>
              </w:rPr>
              <w:t>R</w:t>
            </w:r>
            <w:r>
              <w:rPr>
                <w:rFonts w:hint="eastAsia" w:asciiTheme="minorEastAsia" w:hAnsiTheme="minorEastAsia" w:eastAsiaTheme="minorEastAsia"/>
                <w:b w:val="0"/>
                <w:bCs w:val="0"/>
                <w:color w:val="000000"/>
                <w:sz w:val="24"/>
                <w:szCs w:val="24"/>
              </w:rPr>
              <w:t>不小于</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的圆弧过渡；座椅下部、靠背后侧棱边</w:t>
            </w:r>
            <w:r>
              <w:rPr>
                <w:rFonts w:asciiTheme="minorEastAsia" w:hAnsiTheme="minorEastAsia" w:eastAsiaTheme="minorEastAsia"/>
                <w:b w:val="0"/>
                <w:bCs w:val="0"/>
                <w:color w:val="000000"/>
                <w:sz w:val="24"/>
                <w:szCs w:val="24"/>
              </w:rPr>
              <w:t>R</w:t>
            </w:r>
            <w:r>
              <w:rPr>
                <w:rFonts w:hint="eastAsia" w:asciiTheme="minorEastAsia" w:hAnsiTheme="minorEastAsia" w:eastAsiaTheme="minorEastAsia"/>
                <w:b w:val="0"/>
                <w:bCs w:val="0"/>
                <w:color w:val="000000"/>
                <w:sz w:val="24"/>
                <w:szCs w:val="24"/>
              </w:rPr>
              <w:t>不小于</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蹬力器摆杆应有限制摆幅的限位装置，蹬力器摆杆规格不小于φ</w:t>
            </w:r>
            <w:r>
              <w:rPr>
                <w:rFonts w:asciiTheme="minorEastAsia" w:hAnsiTheme="minorEastAsia" w:eastAsiaTheme="minorEastAsia"/>
                <w:b w:val="0"/>
                <w:bCs w:val="0"/>
                <w:color w:val="000000"/>
                <w:sz w:val="24"/>
                <w:szCs w:val="24"/>
              </w:rPr>
              <w:t>60mm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坐板采用一次冲压成形，板材壁厚不小于</w:t>
            </w:r>
            <w:r>
              <w:rPr>
                <w:rFonts w:asciiTheme="minorEastAsia" w:hAnsiTheme="minorEastAsia" w:eastAsiaTheme="minorEastAsia"/>
                <w:b w:val="0"/>
                <w:bCs w:val="0"/>
                <w:color w:val="000000"/>
                <w:sz w:val="24"/>
                <w:szCs w:val="24"/>
              </w:rPr>
              <w:t>4mm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轴承座支架、耳片壁厚不小于</w:t>
            </w:r>
            <w:r>
              <w:rPr>
                <w:rFonts w:asciiTheme="minorEastAsia" w:hAnsiTheme="minorEastAsia" w:eastAsiaTheme="minorEastAsia"/>
                <w:b w:val="0"/>
                <w:bCs w:val="0"/>
                <w:color w:val="000000"/>
                <w:sz w:val="24"/>
                <w:szCs w:val="24"/>
              </w:rPr>
              <w:t>8mm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采用轴承结构的，轴承座壁厚不小于</w:t>
            </w:r>
            <w:r>
              <w:rPr>
                <w:rFonts w:asciiTheme="minorEastAsia" w:hAnsiTheme="minorEastAsia" w:eastAsiaTheme="minorEastAsia"/>
                <w:b w:val="0"/>
                <w:bCs w:val="0"/>
                <w:color w:val="000000"/>
                <w:sz w:val="24"/>
                <w:szCs w:val="24"/>
              </w:rPr>
              <w:t>6mm</w:t>
            </w:r>
            <w:r>
              <w:rPr>
                <w:rFonts w:hint="eastAsia" w:asciiTheme="minorEastAsia" w:hAnsiTheme="minorEastAsia" w:eastAsiaTheme="minorEastAsia"/>
                <w:b w:val="0"/>
                <w:bCs w:val="0"/>
                <w:color w:val="000000"/>
                <w:sz w:val="24"/>
                <w:szCs w:val="24"/>
              </w:rPr>
              <w:t>；轴承规格不小于</w:t>
            </w:r>
            <w:r>
              <w:rPr>
                <w:rFonts w:asciiTheme="minorEastAsia" w:hAnsiTheme="minorEastAsia" w:eastAsiaTheme="minorEastAsia"/>
                <w:b w:val="0"/>
                <w:bCs w:val="0"/>
                <w:color w:val="000000"/>
                <w:sz w:val="24"/>
                <w:szCs w:val="24"/>
              </w:rPr>
              <w:t>6205</w:t>
            </w:r>
            <w:r>
              <w:rPr>
                <w:rFonts w:hint="eastAsia" w:asciiTheme="minorEastAsia" w:hAnsiTheme="minorEastAsia" w:eastAsiaTheme="minorEastAsia"/>
                <w:b w:val="0"/>
                <w:bCs w:val="0"/>
                <w:color w:val="000000"/>
                <w:sz w:val="24"/>
                <w:szCs w:val="24"/>
              </w:rPr>
              <w:t>深沟球轴承；</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不允许存在剪切点、挤压点、引入点，不允许存在刚性碰撞；</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脚踏部位应有防滑措施；摩擦系数应不小于</w:t>
            </w:r>
            <w:r>
              <w:rPr>
                <w:rFonts w:asciiTheme="minorEastAsia" w:hAnsiTheme="minorEastAsia" w:eastAsiaTheme="minorEastAsia"/>
                <w:b w:val="0"/>
                <w:bCs w:val="0"/>
                <w:color w:val="000000"/>
                <w:sz w:val="24"/>
                <w:szCs w:val="24"/>
              </w:rPr>
              <w:t>0.5</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蹬力器摆杆与立柱之间的最小距离应大于</w:t>
            </w:r>
            <w:r>
              <w:rPr>
                <w:rFonts w:asciiTheme="minorEastAsia" w:hAnsiTheme="minorEastAsia" w:eastAsiaTheme="minorEastAsia"/>
                <w:b w:val="0"/>
                <w:bCs w:val="0"/>
                <w:color w:val="000000"/>
                <w:sz w:val="24"/>
                <w:szCs w:val="24"/>
              </w:rPr>
              <w:t>230mm</w:t>
            </w:r>
            <w:r>
              <w:rPr>
                <w:rFonts w:hint="eastAsia" w:asciiTheme="minorEastAsia" w:hAnsiTheme="minorEastAsia" w:eastAsiaTheme="minorEastAsia"/>
                <w:b w:val="0"/>
                <w:bCs w:val="0"/>
                <w:color w:val="000000"/>
                <w:sz w:val="24"/>
                <w:szCs w:val="24"/>
              </w:rPr>
              <w:t>；</w:t>
            </w:r>
          </w:p>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color w:val="000000"/>
                <w:sz w:val="24"/>
              </w:rPr>
              <w:t>不允许存在衣服、头发钩挂或缠绕危险。</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5</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上肢牵引器</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主立柱壁厚不小</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，主要承载横梁尺寸不小于φ45</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其他管材壁厚不小于</w:t>
            </w:r>
            <w:r>
              <w:rPr>
                <w:rFonts w:asciiTheme="minorEastAsia" w:hAnsiTheme="minorEastAsia" w:eastAsiaTheme="minorEastAsia"/>
                <w:b w:val="0"/>
                <w:bCs w:val="0"/>
                <w:color w:val="000000"/>
                <w:sz w:val="24"/>
                <w:szCs w:val="24"/>
              </w:rPr>
              <w:t>2.5mm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活动把手（不含柔性部件）质量不大于</w:t>
            </w:r>
            <w:r>
              <w:rPr>
                <w:rFonts w:asciiTheme="minorEastAsia" w:hAnsiTheme="minorEastAsia" w:eastAsiaTheme="minorEastAsia"/>
                <w:b w:val="0"/>
                <w:bCs w:val="0"/>
                <w:color w:val="000000"/>
                <w:sz w:val="24"/>
                <w:szCs w:val="24"/>
              </w:rPr>
              <w:t>600g</w:t>
            </w:r>
            <w:r>
              <w:rPr>
                <w:rFonts w:hint="eastAsia" w:asciiTheme="minorEastAsia" w:hAnsiTheme="minorEastAsia" w:eastAsiaTheme="minorEastAsia"/>
                <w:b w:val="0"/>
                <w:bCs w:val="0"/>
                <w:color w:val="000000"/>
                <w:sz w:val="24"/>
                <w:szCs w:val="24"/>
              </w:rPr>
              <w:t>，且端部直径大于</w:t>
            </w:r>
            <w:r>
              <w:rPr>
                <w:rFonts w:asciiTheme="minorEastAsia" w:hAnsiTheme="minorEastAsia" w:eastAsiaTheme="minorEastAsia"/>
                <w:b w:val="0"/>
                <w:bCs w:val="0"/>
                <w:color w:val="000000"/>
                <w:sz w:val="24"/>
                <w:szCs w:val="24"/>
              </w:rPr>
              <w:t>50mm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kern w:val="0"/>
                <w:sz w:val="24"/>
                <w:szCs w:val="24"/>
              </w:rPr>
            </w:pPr>
            <w:r>
              <w:rPr>
                <w:rFonts w:hint="eastAsia" w:asciiTheme="minorEastAsia" w:hAnsiTheme="minorEastAsia" w:eastAsiaTheme="minorEastAsia"/>
                <w:b w:val="0"/>
                <w:bCs w:val="0"/>
                <w:color w:val="000000"/>
                <w:sz w:val="24"/>
                <w:szCs w:val="24"/>
              </w:rPr>
              <w:t>若使用链环结构时，链扣之间最大间隙小于</w:t>
            </w:r>
            <w:r>
              <w:rPr>
                <w:rFonts w:asciiTheme="minorEastAsia" w:hAnsiTheme="minorEastAsia" w:eastAsiaTheme="minorEastAsia"/>
                <w:b w:val="0"/>
                <w:bCs w:val="0"/>
                <w:color w:val="000000"/>
                <w:sz w:val="24"/>
                <w:szCs w:val="24"/>
              </w:rPr>
              <w:t>8mm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摆杆应有限位结构，摆杆运动至极限位置时，摆杆最低点与地面的距离应不小于</w:t>
            </w:r>
            <w:r>
              <w:rPr>
                <w:rFonts w:asciiTheme="minorEastAsia" w:hAnsiTheme="minorEastAsia" w:eastAsiaTheme="minorEastAsia"/>
                <w:b w:val="0"/>
                <w:bCs w:val="0"/>
                <w:color w:val="000000"/>
                <w:sz w:val="24"/>
                <w:szCs w:val="24"/>
              </w:rPr>
              <w:t>1850mm</w:t>
            </w:r>
            <w:r>
              <w:rPr>
                <w:rFonts w:hint="eastAsia" w:asciiTheme="minorEastAsia" w:hAnsiTheme="minorEastAsia" w:eastAsiaTheme="minorEastAsia"/>
                <w:b w:val="0"/>
                <w:bCs w:val="0"/>
                <w:color w:val="000000"/>
                <w:sz w:val="24"/>
                <w:szCs w:val="24"/>
              </w:rPr>
              <w:t>。</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6</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腹肌板</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主框架管规格不小于φ3</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，其他管材壁厚不小于2</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腹肌板采取整体式板面。</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7</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直埋双位漫步机</w:t>
            </w:r>
          </w:p>
        </w:tc>
        <w:tc>
          <w:tcPr>
            <w:tcW w:w="6662" w:type="dxa"/>
            <w:vAlign w:val="center"/>
          </w:tcPr>
          <w:p>
            <w:pPr>
              <w:pStyle w:val="30"/>
              <w:spacing w:before="0" w:after="0" w:line="360" w:lineRule="auto"/>
              <w:ind w:firstLine="464" w:firstLineChars="200"/>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pacing w:val="-4"/>
                <w:sz w:val="24"/>
                <w:szCs w:val="24"/>
              </w:rPr>
              <w:t>摆杆应有可靠限位装置，且单侧摆动幅度不大于</w:t>
            </w:r>
            <w:r>
              <w:rPr>
                <w:rFonts w:asciiTheme="minorEastAsia" w:hAnsiTheme="minorEastAsia" w:eastAsiaTheme="minorEastAsia"/>
                <w:b w:val="0"/>
                <w:bCs w:val="0"/>
                <w:color w:val="000000"/>
                <w:spacing w:val="-4"/>
                <w:sz w:val="24"/>
                <w:szCs w:val="24"/>
              </w:rPr>
              <w:t>65</w:t>
            </w:r>
            <w:r>
              <w:rPr>
                <w:rFonts w:hint="eastAsia" w:asciiTheme="minorEastAsia" w:hAnsiTheme="minorEastAsia" w:eastAsiaTheme="minorEastAsia"/>
                <w:b w:val="0"/>
                <w:bCs w:val="0"/>
                <w:color w:val="000000"/>
                <w:spacing w:val="-4"/>
                <w:sz w:val="24"/>
                <w:szCs w:val="24"/>
              </w:rPr>
              <w:t>°，</w:t>
            </w:r>
            <w:r>
              <w:rPr>
                <w:rFonts w:hint="eastAsia" w:asciiTheme="minorEastAsia" w:hAnsiTheme="minorEastAsia" w:eastAsiaTheme="minorEastAsia"/>
                <w:b w:val="0"/>
                <w:bCs w:val="0"/>
                <w:color w:val="000000"/>
                <w:sz w:val="24"/>
                <w:szCs w:val="24"/>
              </w:rPr>
              <w:t>摆杆选用不小于φ</w:t>
            </w:r>
            <w:r>
              <w:rPr>
                <w:rFonts w:asciiTheme="minorEastAsia" w:hAnsiTheme="minorEastAsia" w:eastAsiaTheme="minorEastAsia"/>
                <w:b w:val="0"/>
                <w:bCs w:val="0"/>
                <w:color w:val="000000"/>
                <w:sz w:val="24"/>
                <w:szCs w:val="24"/>
              </w:rPr>
              <w:t>60mm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或等强度规格的管材，扶手管材实际壁厚不小于</w:t>
            </w:r>
            <w:r>
              <w:rPr>
                <w:rFonts w:asciiTheme="minorEastAsia" w:hAnsiTheme="minorEastAsia" w:eastAsiaTheme="minorEastAsia"/>
                <w:b w:val="0"/>
                <w:bCs w:val="0"/>
                <w:color w:val="000000"/>
                <w:sz w:val="24"/>
                <w:szCs w:val="24"/>
              </w:rPr>
              <w:t>2.5mm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，主要承载横梁尺寸不小于φ3</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×3</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64" w:firstLineChars="200"/>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pacing w:val="-4"/>
                <w:sz w:val="24"/>
                <w:szCs w:val="24"/>
              </w:rPr>
              <w:t>摆杆与主立柱内侧的最小距离应大于</w:t>
            </w:r>
            <w:r>
              <w:rPr>
                <w:rFonts w:asciiTheme="minorEastAsia" w:hAnsiTheme="minorEastAsia" w:eastAsiaTheme="minorEastAsia"/>
                <w:b w:val="0"/>
                <w:bCs w:val="0"/>
                <w:color w:val="000000"/>
                <w:spacing w:val="-4"/>
                <w:sz w:val="24"/>
                <w:szCs w:val="24"/>
              </w:rPr>
              <w:t>60mm</w:t>
            </w:r>
            <w:r>
              <w:rPr>
                <w:rFonts w:hint="eastAsia" w:asciiTheme="minorEastAsia" w:hAnsiTheme="minorEastAsia" w:eastAsiaTheme="minorEastAsia"/>
                <w:b w:val="0"/>
                <w:bCs w:val="0"/>
                <w:color w:val="000000"/>
                <w:spacing w:val="-4"/>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踏板的主运动方向和易滑脱方向应设置高度不小于</w:t>
            </w:r>
            <w:r>
              <w:rPr>
                <w:rFonts w:asciiTheme="minorEastAsia" w:hAnsiTheme="minorEastAsia" w:eastAsiaTheme="minorEastAsia"/>
                <w:b w:val="0"/>
                <w:bCs w:val="0"/>
                <w:color w:val="000000"/>
                <w:sz w:val="24"/>
                <w:szCs w:val="24"/>
              </w:rPr>
              <w:t>30mm</w:t>
            </w:r>
            <w:r>
              <w:rPr>
                <w:rFonts w:hint="eastAsia" w:asciiTheme="minorEastAsia" w:hAnsiTheme="minorEastAsia" w:eastAsiaTheme="minorEastAsia"/>
                <w:b w:val="0"/>
                <w:bCs w:val="0"/>
                <w:color w:val="000000"/>
                <w:sz w:val="24"/>
                <w:szCs w:val="24"/>
              </w:rPr>
              <w:t>、长度大于踏板周长</w:t>
            </w:r>
            <w:r>
              <w:rPr>
                <w:rFonts w:asciiTheme="minorEastAsia" w:hAnsiTheme="minorEastAsia" w:eastAsiaTheme="minorEastAsia"/>
                <w:b w:val="0"/>
                <w:bCs w:val="0"/>
                <w:color w:val="000000"/>
                <w:sz w:val="24"/>
                <w:szCs w:val="24"/>
              </w:rPr>
              <w:t>2/3</w:t>
            </w:r>
            <w:r>
              <w:rPr>
                <w:rFonts w:hint="eastAsia" w:asciiTheme="minorEastAsia" w:hAnsiTheme="minorEastAsia" w:eastAsiaTheme="minorEastAsia"/>
                <w:b w:val="0"/>
                <w:bCs w:val="0"/>
                <w:color w:val="000000"/>
                <w:sz w:val="24"/>
                <w:szCs w:val="24"/>
              </w:rPr>
              <w:t>的防滑脱的凸台或护板；凸台顶部棱边</w:t>
            </w:r>
            <w:r>
              <w:rPr>
                <w:rFonts w:asciiTheme="minorEastAsia" w:hAnsiTheme="minorEastAsia" w:eastAsiaTheme="minorEastAsia"/>
                <w:b w:val="0"/>
                <w:bCs w:val="0"/>
                <w:color w:val="000000"/>
                <w:sz w:val="24"/>
                <w:szCs w:val="24"/>
              </w:rPr>
              <w:t>R</w:t>
            </w:r>
            <w:r>
              <w:rPr>
                <w:rFonts w:hint="eastAsia" w:asciiTheme="minorEastAsia" w:hAnsiTheme="minorEastAsia" w:eastAsiaTheme="minorEastAsia"/>
                <w:b w:val="0"/>
                <w:bCs w:val="0"/>
                <w:color w:val="000000"/>
                <w:sz w:val="24"/>
                <w:szCs w:val="24"/>
              </w:rPr>
              <w:t>弧应不小于</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脚踏部位应有防滑措施，站立使用的单脚防滑面应不小于（</w:t>
            </w:r>
            <w:r>
              <w:rPr>
                <w:rFonts w:asciiTheme="minorEastAsia" w:hAnsiTheme="minorEastAsia" w:eastAsiaTheme="minorEastAsia"/>
                <w:b w:val="0"/>
                <w:bCs w:val="0"/>
                <w:color w:val="000000"/>
                <w:sz w:val="24"/>
                <w:szCs w:val="24"/>
              </w:rPr>
              <w:t>3</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104</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²，摩擦系数应不小于</w:t>
            </w:r>
            <w:r>
              <w:rPr>
                <w:rFonts w:asciiTheme="minorEastAsia" w:hAnsiTheme="minorEastAsia" w:eastAsiaTheme="minorEastAsia"/>
                <w:b w:val="0"/>
                <w:bCs w:val="0"/>
                <w:color w:val="000000"/>
                <w:sz w:val="24"/>
                <w:szCs w:val="24"/>
              </w:rPr>
              <w:t>0.5</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摆动部件下缘距地面或底面最小高度应不小于</w:t>
            </w:r>
            <w:r>
              <w:rPr>
                <w:rFonts w:asciiTheme="minorEastAsia" w:hAnsiTheme="minorEastAsia" w:eastAsiaTheme="minorEastAsia"/>
                <w:b w:val="0"/>
                <w:bCs w:val="0"/>
                <w:color w:val="000000"/>
                <w:sz w:val="24"/>
                <w:szCs w:val="24"/>
              </w:rPr>
              <w:t>105mm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相邻运动的两踏板的间距应不小于</w:t>
            </w:r>
            <w:r>
              <w:rPr>
                <w:rFonts w:asciiTheme="minorEastAsia" w:hAnsiTheme="minorEastAsia" w:eastAsiaTheme="minorEastAsia"/>
                <w:b w:val="0"/>
                <w:bCs w:val="0"/>
                <w:color w:val="000000"/>
                <w:sz w:val="24"/>
                <w:szCs w:val="24"/>
              </w:rPr>
              <w:t>110mm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转轴直径不小于</w:t>
            </w:r>
            <w:r>
              <w:rPr>
                <w:rFonts w:asciiTheme="minorEastAsia" w:hAnsiTheme="minorEastAsia" w:eastAsiaTheme="minorEastAsia"/>
                <w:b w:val="0"/>
                <w:bCs w:val="0"/>
                <w:color w:val="000000"/>
                <w:sz w:val="24"/>
                <w:szCs w:val="24"/>
              </w:rPr>
              <w:t>30mm</w:t>
            </w:r>
            <w:r>
              <w:rPr>
                <w:rFonts w:hint="eastAsia" w:asciiTheme="minorEastAsia" w:hAnsiTheme="minorEastAsia" w:eastAsiaTheme="minorEastAsia"/>
                <w:b w:val="0"/>
                <w:bCs w:val="0"/>
                <w:color w:val="000000"/>
                <w:sz w:val="24"/>
                <w:szCs w:val="24"/>
              </w:rPr>
              <w:t>并辅以调质热处理，或选用直径不小于</w:t>
            </w:r>
            <w:r>
              <w:rPr>
                <w:rFonts w:asciiTheme="minorEastAsia" w:hAnsiTheme="minorEastAsia" w:eastAsiaTheme="minorEastAsia"/>
                <w:b w:val="0"/>
                <w:bCs w:val="0"/>
                <w:color w:val="000000"/>
                <w:sz w:val="24"/>
                <w:szCs w:val="24"/>
              </w:rPr>
              <w:t>35mm</w:t>
            </w:r>
            <w:r>
              <w:rPr>
                <w:rFonts w:hint="eastAsia" w:asciiTheme="minorEastAsia" w:hAnsiTheme="minorEastAsia" w:eastAsiaTheme="minorEastAsia"/>
                <w:b w:val="0"/>
                <w:bCs w:val="0"/>
                <w:color w:val="000000"/>
                <w:sz w:val="24"/>
                <w:szCs w:val="24"/>
              </w:rPr>
              <w:t>；轴承座最薄处壁厚不小于</w:t>
            </w:r>
            <w:r>
              <w:rPr>
                <w:rFonts w:asciiTheme="minorEastAsia" w:hAnsiTheme="minorEastAsia" w:eastAsiaTheme="minorEastAsia"/>
                <w:b w:val="0"/>
                <w:bCs w:val="0"/>
                <w:color w:val="000000"/>
                <w:sz w:val="24"/>
                <w:szCs w:val="24"/>
              </w:rPr>
              <w:t>6mm</w:t>
            </w:r>
            <w:r>
              <w:rPr>
                <w:rFonts w:hint="eastAsia" w:asciiTheme="minorEastAsia" w:hAnsiTheme="minorEastAsia" w:eastAsiaTheme="minorEastAsia"/>
                <w:b w:val="0"/>
                <w:bCs w:val="0"/>
                <w:color w:val="000000"/>
                <w:sz w:val="24"/>
                <w:szCs w:val="24"/>
              </w:rPr>
              <w:t>，轴承选用不小于</w:t>
            </w:r>
            <w:r>
              <w:rPr>
                <w:rFonts w:asciiTheme="minorEastAsia" w:hAnsiTheme="minorEastAsia" w:eastAsiaTheme="minorEastAsia"/>
                <w:b w:val="0"/>
                <w:bCs w:val="0"/>
                <w:color w:val="000000"/>
                <w:sz w:val="24"/>
                <w:szCs w:val="24"/>
              </w:rPr>
              <w:t>6206</w:t>
            </w:r>
            <w:r>
              <w:rPr>
                <w:rFonts w:hint="eastAsia" w:asciiTheme="minorEastAsia" w:hAnsiTheme="minorEastAsia" w:eastAsiaTheme="minorEastAsia"/>
                <w:b w:val="0"/>
                <w:bCs w:val="0"/>
                <w:color w:val="000000"/>
                <w:sz w:val="24"/>
                <w:szCs w:val="24"/>
              </w:rPr>
              <w:t>承载能力的深沟球轴；</w:t>
            </w:r>
          </w:p>
          <w:p>
            <w:pPr>
              <w:pStyle w:val="30"/>
              <w:spacing w:before="0" w:after="0" w:line="360" w:lineRule="auto"/>
              <w:ind w:firstLine="480" w:firstLineChars="200"/>
              <w:jc w:val="both"/>
              <w:rPr>
                <w:rFonts w:asciiTheme="minorEastAsia" w:hAnsiTheme="minorEastAsia" w:eastAsiaTheme="minorEastAsia"/>
                <w:b w:val="0"/>
                <w:bCs w:val="0"/>
                <w:color w:val="000000"/>
                <w:spacing w:val="-4"/>
                <w:sz w:val="24"/>
                <w:szCs w:val="24"/>
              </w:rPr>
            </w:pPr>
            <w:r>
              <w:rPr>
                <w:rFonts w:hint="eastAsia" w:asciiTheme="minorEastAsia" w:hAnsiTheme="minorEastAsia" w:eastAsiaTheme="minorEastAsia"/>
                <w:b w:val="0"/>
                <w:bCs w:val="0"/>
                <w:color w:val="000000"/>
                <w:sz w:val="24"/>
                <w:szCs w:val="24"/>
              </w:rPr>
              <w:t>踏板前后应采取防止碰撞第三者的缓冲措施；</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不允许存在衣服、头发钩挂或缠绕危险。</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8</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坐立式腰背按摩器</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按摩轮与刚性固定部件间最小距离应大于</w:t>
            </w:r>
            <w:r>
              <w:rPr>
                <w:rFonts w:asciiTheme="minorEastAsia" w:hAnsiTheme="minorEastAsia" w:eastAsiaTheme="minorEastAsia"/>
                <w:b w:val="0"/>
                <w:bCs w:val="0"/>
                <w:color w:val="000000"/>
                <w:sz w:val="24"/>
                <w:szCs w:val="24"/>
              </w:rPr>
              <w:t>30mm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不允许存在剪切点、挤压点、引入点，不允许存在刚性碰撞；</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，主要承载横梁尺寸不小于φ</w:t>
            </w:r>
            <w:r>
              <w:rPr>
                <w:rFonts w:asciiTheme="minorEastAsia" w:hAnsiTheme="minorEastAsia" w:eastAsiaTheme="minorEastAsia"/>
                <w:b w:val="0"/>
                <w:bCs w:val="0"/>
                <w:color w:val="000000"/>
                <w:sz w:val="24"/>
                <w:szCs w:val="24"/>
              </w:rPr>
              <w:t>48mm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主立柱以外其他各连接管实际壁厚不小于</w:t>
            </w:r>
            <w:r>
              <w:rPr>
                <w:rFonts w:asciiTheme="minorEastAsia" w:hAnsiTheme="minorEastAsia" w:eastAsiaTheme="minorEastAsia"/>
                <w:b w:val="0"/>
                <w:bCs w:val="0"/>
                <w:color w:val="000000"/>
                <w:sz w:val="24"/>
                <w:szCs w:val="24"/>
              </w:rPr>
              <w:t>2.5mm,</w:t>
            </w:r>
            <w:r>
              <w:rPr>
                <w:rFonts w:hint="eastAsia" w:asciiTheme="minorEastAsia" w:hAnsiTheme="minorEastAsia" w:eastAsiaTheme="minorEastAsia"/>
                <w:b w:val="0"/>
                <w:bCs w:val="0"/>
                <w:color w:val="000000"/>
                <w:sz w:val="24"/>
                <w:szCs w:val="24"/>
              </w:rPr>
              <w:t>各连接片、耳片实际壁厚不小于</w:t>
            </w:r>
            <w:r>
              <w:rPr>
                <w:rFonts w:asciiTheme="minorEastAsia" w:hAnsiTheme="minorEastAsia" w:eastAsiaTheme="minorEastAsia"/>
                <w:b w:val="0"/>
                <w:bCs w:val="0"/>
                <w:color w:val="000000"/>
                <w:sz w:val="24"/>
                <w:szCs w:val="24"/>
              </w:rPr>
              <w:t>5mm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腰部按摩轮可以上下移动，并采取限位措施；</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按摩轮转轴直径不小于</w:t>
            </w:r>
            <w:r>
              <w:rPr>
                <w:rFonts w:asciiTheme="minorEastAsia" w:hAnsiTheme="minorEastAsia" w:eastAsiaTheme="minorEastAsia"/>
                <w:b w:val="0"/>
                <w:bCs w:val="0"/>
                <w:color w:val="000000"/>
                <w:sz w:val="24"/>
                <w:szCs w:val="24"/>
              </w:rPr>
              <w:t>15mm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座椅表面边缘应以</w:t>
            </w:r>
            <w:r>
              <w:rPr>
                <w:rFonts w:asciiTheme="minorEastAsia" w:hAnsiTheme="minorEastAsia" w:eastAsiaTheme="minorEastAsia"/>
                <w:b w:val="0"/>
                <w:bCs w:val="0"/>
                <w:color w:val="000000"/>
                <w:sz w:val="24"/>
                <w:szCs w:val="24"/>
              </w:rPr>
              <w:t>R</w:t>
            </w:r>
            <w:r>
              <w:rPr>
                <w:rFonts w:hint="eastAsia" w:asciiTheme="minorEastAsia" w:hAnsiTheme="minorEastAsia" w:eastAsiaTheme="minorEastAsia"/>
                <w:b w:val="0"/>
                <w:bCs w:val="0"/>
                <w:color w:val="000000"/>
                <w:sz w:val="24"/>
                <w:szCs w:val="24"/>
              </w:rPr>
              <w:t>不小于</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的圆弧过渡；</w:t>
            </w:r>
            <w:r>
              <w:rPr>
                <w:rFonts w:asciiTheme="minorEastAsia" w:hAnsiTheme="minorEastAsia" w:eastAsiaTheme="minorEastAsia"/>
                <w:b w:val="0"/>
                <w:bCs w:val="0"/>
                <w:color w:val="000000"/>
                <w:sz w:val="24"/>
                <w:szCs w:val="24"/>
              </w:rPr>
              <w:t xml:space="preserve"> </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按摩轮转动轴心处应采用滚动轴承，轴承选用不小于</w:t>
            </w:r>
            <w:r>
              <w:rPr>
                <w:rFonts w:asciiTheme="minorEastAsia" w:hAnsiTheme="minorEastAsia" w:eastAsiaTheme="minorEastAsia"/>
                <w:b w:val="0"/>
                <w:bCs w:val="0"/>
                <w:color w:val="000000"/>
                <w:sz w:val="24"/>
                <w:szCs w:val="24"/>
              </w:rPr>
              <w:t>6002</w:t>
            </w:r>
            <w:r>
              <w:rPr>
                <w:rFonts w:hint="eastAsia" w:asciiTheme="minorEastAsia" w:hAnsiTheme="minorEastAsia" w:eastAsiaTheme="minorEastAsia"/>
                <w:b w:val="0"/>
                <w:bCs w:val="0"/>
                <w:color w:val="000000"/>
                <w:sz w:val="24"/>
                <w:szCs w:val="24"/>
              </w:rPr>
              <w:t>承载能力的深沟球轴。</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9</w:t>
            </w:r>
          </w:p>
        </w:tc>
        <w:tc>
          <w:tcPr>
            <w:tcW w:w="1150" w:type="dxa"/>
            <w:vAlign w:val="center"/>
          </w:tcPr>
          <w:p>
            <w:pPr>
              <w:widowControl/>
              <w:spacing w:line="360" w:lineRule="auto"/>
              <w:jc w:val="center"/>
              <w:textAlignment w:val="center"/>
              <w:rPr>
                <w:rFonts w:asciiTheme="minorEastAsia" w:hAnsiTheme="minorEastAsia" w:eastAsiaTheme="minorEastAsia"/>
                <w:sz w:val="24"/>
              </w:rPr>
            </w:pPr>
            <w:r>
              <w:rPr>
                <w:rFonts w:hint="eastAsia" w:cs="宋体" w:asciiTheme="minorEastAsia" w:hAnsiTheme="minorEastAsia" w:eastAsiaTheme="minorEastAsia"/>
                <w:color w:val="000000"/>
                <w:kern w:val="0"/>
                <w:sz w:val="24"/>
              </w:rPr>
              <w:t>扭腰踏步机</w:t>
            </w:r>
          </w:p>
        </w:tc>
        <w:tc>
          <w:tcPr>
            <w:tcW w:w="6662" w:type="dxa"/>
            <w:vAlign w:val="bottom"/>
          </w:tcPr>
          <w:p>
            <w:pPr>
              <w:spacing w:line="0" w:lineRule="atLeast"/>
              <w:jc w:val="left"/>
              <w:rPr>
                <w:rFonts w:ascii="宋体" w:hAnsi="宋体"/>
                <w:szCs w:val="21"/>
              </w:rPr>
            </w:pPr>
            <w:r>
              <w:rPr>
                <w:rFonts w:hint="eastAsia" w:ascii="宋体" w:hAnsi="宋体"/>
                <w:szCs w:val="21"/>
              </w:rPr>
              <w:t>1.产品规格：</w:t>
            </w:r>
          </w:p>
          <w:p>
            <w:pPr>
              <w:spacing w:line="0" w:lineRule="atLeast"/>
              <w:jc w:val="left"/>
              <w:rPr>
                <w:rFonts w:ascii="宋体" w:hAnsi="宋体"/>
                <w:szCs w:val="21"/>
              </w:rPr>
            </w:pPr>
            <w:r>
              <w:rPr>
                <w:rFonts w:hint="eastAsia" w:ascii="宋体" w:hAnsi="宋体"/>
                <w:szCs w:val="21"/>
              </w:rPr>
              <w:t>①主要承载立柱尺寸为：Q235/ø114mm×3mm；</w:t>
            </w:r>
          </w:p>
          <w:p>
            <w:pPr>
              <w:spacing w:line="0" w:lineRule="atLeast"/>
              <w:jc w:val="left"/>
              <w:rPr>
                <w:rFonts w:ascii="宋体" w:hAnsi="宋体"/>
                <w:szCs w:val="21"/>
              </w:rPr>
            </w:pPr>
            <w:r>
              <w:rPr>
                <w:rFonts w:hint="eastAsia" w:ascii="宋体" w:hAnsi="宋体"/>
                <w:szCs w:val="21"/>
              </w:rPr>
              <w:t>②主要承载横梁尺寸为：钢管70mm×50mm×3mm；</w:t>
            </w:r>
          </w:p>
          <w:p>
            <w:pPr>
              <w:spacing w:line="0" w:lineRule="atLeast"/>
              <w:jc w:val="left"/>
              <w:rPr>
                <w:rFonts w:ascii="宋体" w:hAnsi="宋体" w:cs="宋体"/>
                <w:kern w:val="0"/>
                <w:szCs w:val="21"/>
              </w:rPr>
            </w:pPr>
            <w:r>
              <w:rPr>
                <w:rFonts w:hint="eastAsia" w:ascii="宋体" w:hAnsi="宋体"/>
                <w:szCs w:val="21"/>
              </w:rPr>
              <w:t>③轴直径ø35mm，配置深沟球轴承6007,</w:t>
            </w:r>
            <w:r>
              <w:rPr>
                <w:rFonts w:hint="eastAsia" w:ascii="宋体" w:hAnsi="宋体" w:cs="宋体"/>
                <w:kern w:val="0"/>
                <w:szCs w:val="21"/>
              </w:rPr>
              <w:t>骨架油封防水、防尘。</w:t>
            </w:r>
          </w:p>
          <w:p>
            <w:pPr>
              <w:spacing w:line="0" w:lineRule="atLeast"/>
              <w:jc w:val="left"/>
              <w:rPr>
                <w:rFonts w:ascii="宋体" w:hAnsi="宋体" w:cs="宋体"/>
                <w:kern w:val="0"/>
                <w:szCs w:val="21"/>
              </w:rPr>
            </w:pPr>
            <w:r>
              <w:rPr>
                <w:rFonts w:hint="eastAsia" w:ascii="宋体" w:hAnsi="宋体"/>
                <w:szCs w:val="21"/>
              </w:rPr>
              <w:t>④把手端头焊接球头，球头材质规格为Q235/δ2.5mm,球头直径50mm，</w:t>
            </w:r>
            <w:r>
              <w:rPr>
                <w:rFonts w:hint="eastAsia" w:ascii="宋体" w:hAnsi="宋体" w:cs="宋体"/>
                <w:kern w:val="0"/>
                <w:szCs w:val="21"/>
              </w:rPr>
              <w:t>有效防止使用者在使用过程中手从把手上滑脱。</w:t>
            </w:r>
          </w:p>
          <w:p>
            <w:pPr>
              <w:spacing w:line="0" w:lineRule="atLeast"/>
              <w:jc w:val="left"/>
              <w:rPr>
                <w:rFonts w:ascii="宋体" w:hAnsi="宋体"/>
                <w:szCs w:val="21"/>
              </w:rPr>
            </w:pPr>
            <w:r>
              <w:rPr>
                <w:rFonts w:hint="eastAsia" w:ascii="宋体" w:hAnsi="宋体"/>
                <w:szCs w:val="21"/>
              </w:rPr>
              <w:t>2产品特点：</w:t>
            </w:r>
          </w:p>
          <w:p>
            <w:pPr>
              <w:spacing w:line="0" w:lineRule="atLeast"/>
              <w:jc w:val="left"/>
              <w:rPr>
                <w:rFonts w:ascii="宋体" w:hAnsi="宋体"/>
                <w:szCs w:val="21"/>
              </w:rPr>
            </w:pPr>
            <w:r>
              <w:rPr>
                <w:rFonts w:hint="eastAsia" w:ascii="宋体" w:hAnsi="宋体"/>
                <w:szCs w:val="21"/>
              </w:rPr>
              <w:t>①转动部位有限位装置。</w:t>
            </w:r>
          </w:p>
          <w:p>
            <w:pPr>
              <w:spacing w:line="0" w:lineRule="atLeast"/>
              <w:jc w:val="left"/>
              <w:rPr>
                <w:rFonts w:ascii="宋体" w:hAnsi="宋体" w:cs="宋体"/>
                <w:color w:val="000000"/>
                <w:kern w:val="0"/>
                <w:szCs w:val="21"/>
              </w:rPr>
            </w:pPr>
            <w:r>
              <w:rPr>
                <w:rFonts w:hint="eastAsia" w:ascii="宋体" w:hAnsi="宋体"/>
                <w:szCs w:val="21"/>
              </w:rPr>
              <w:t>②</w:t>
            </w:r>
            <w:r>
              <w:rPr>
                <w:rFonts w:hint="eastAsia" w:ascii="宋体" w:hAnsi="宋体" w:cs="宋体"/>
                <w:color w:val="000000"/>
                <w:kern w:val="0"/>
                <w:szCs w:val="21"/>
              </w:rPr>
              <w:t>踏板的主运动方向和易滑脱方向高度为41mm、长度大于踏板周长2/3的防滑脱的凸台；凸台顶部棱边全部以2mm的R圆弧过渡；脚踏部位有防滑措施，站立使用的单脚防滑面为（254</w:t>
            </w:r>
            <w:r>
              <w:rPr>
                <w:rFonts w:hint="eastAsia" w:ascii="宋体" w:hAnsi="宋体"/>
                <w:szCs w:val="21"/>
              </w:rPr>
              <w:t>×</w:t>
            </w:r>
            <w:r>
              <w:rPr>
                <w:rFonts w:hint="eastAsia" w:ascii="宋体" w:hAnsi="宋体" w:cs="宋体"/>
                <w:color w:val="000000"/>
                <w:kern w:val="0"/>
                <w:szCs w:val="21"/>
              </w:rPr>
              <w:t>307）mm²；</w:t>
            </w:r>
          </w:p>
          <w:p>
            <w:pPr>
              <w:spacing w:line="0" w:lineRule="atLeast"/>
              <w:jc w:val="left"/>
              <w:rPr>
                <w:rFonts w:ascii="宋体" w:hAnsi="宋体" w:cs="宋体"/>
                <w:color w:val="000000"/>
                <w:kern w:val="0"/>
                <w:szCs w:val="21"/>
              </w:rPr>
            </w:pPr>
            <w:r>
              <w:rPr>
                <w:rFonts w:hint="eastAsia" w:ascii="宋体" w:hAnsi="宋体"/>
                <w:szCs w:val="21"/>
              </w:rPr>
              <w:t>③</w:t>
            </w:r>
            <w:r>
              <w:rPr>
                <w:rFonts w:hint="eastAsia" w:ascii="宋体" w:hAnsi="宋体" w:cs="宋体"/>
                <w:color w:val="000000"/>
                <w:kern w:val="0"/>
                <w:szCs w:val="21"/>
              </w:rPr>
              <w:t>踏板两侧装有防碰撞件，防止碰撞第三者.</w:t>
            </w:r>
          </w:p>
          <w:p>
            <w:pPr>
              <w:spacing w:line="0" w:lineRule="atLeast"/>
              <w:jc w:val="left"/>
              <w:rPr>
                <w:rFonts w:ascii="宋体" w:hAnsi="宋体" w:cs="宋体"/>
                <w:color w:val="000000"/>
                <w:kern w:val="0"/>
                <w:szCs w:val="21"/>
              </w:rPr>
            </w:pPr>
            <w:r>
              <w:rPr>
                <w:rFonts w:hint="eastAsia" w:ascii="宋体" w:hAnsi="宋体"/>
                <w:szCs w:val="21"/>
              </w:rPr>
              <w:t>④</w:t>
            </w:r>
            <w:r>
              <w:rPr>
                <w:rFonts w:hint="eastAsia" w:ascii="宋体" w:hAnsi="宋体" w:cs="宋体"/>
                <w:color w:val="000000"/>
                <w:kern w:val="0"/>
                <w:szCs w:val="21"/>
              </w:rPr>
              <w:t>摆杆与主立柱内侧的最小距离为63mm</w:t>
            </w:r>
          </w:p>
          <w:p>
            <w:pPr>
              <w:spacing w:line="0" w:lineRule="atLeast"/>
              <w:jc w:val="left"/>
              <w:rPr>
                <w:rFonts w:ascii="宋体" w:hAnsi="宋体"/>
                <w:szCs w:val="21"/>
              </w:rPr>
            </w:pPr>
            <w:r>
              <w:rPr>
                <w:rFonts w:hint="eastAsia" w:ascii="宋体" w:hAnsi="宋体"/>
                <w:szCs w:val="21"/>
              </w:rPr>
              <w:t>⑤产品结构性能均符合GB19272-2011《室外健身器的安全通用要求》的有关规定。</w:t>
            </w:r>
          </w:p>
          <w:p>
            <w:pPr>
              <w:rPr>
                <w:rFonts w:asciiTheme="minorEastAsia" w:hAnsiTheme="minorEastAsia" w:eastAsiaTheme="minorEastAsia"/>
                <w:sz w:val="24"/>
              </w:rPr>
            </w:pP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10</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棋牌桌</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桌面采用不锈钢面板，耐蚀性能相当于</w:t>
            </w:r>
            <w:r>
              <w:rPr>
                <w:rFonts w:asciiTheme="minorEastAsia" w:hAnsiTheme="minorEastAsia" w:eastAsiaTheme="minorEastAsia"/>
                <w:b w:val="0"/>
                <w:bCs w:val="0"/>
                <w:color w:val="000000"/>
                <w:sz w:val="24"/>
                <w:szCs w:val="24"/>
              </w:rPr>
              <w:t>0Cr18Ni9</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SUS304</w:t>
            </w:r>
            <w:r>
              <w:rPr>
                <w:rFonts w:hint="eastAsia" w:asciiTheme="minorEastAsia" w:hAnsiTheme="minorEastAsia" w:eastAsiaTheme="minorEastAsia"/>
                <w:b w:val="0"/>
                <w:bCs w:val="0"/>
                <w:color w:val="000000"/>
                <w:sz w:val="24"/>
                <w:szCs w:val="24"/>
              </w:rPr>
              <w:t>），板材厚度不小于</w:t>
            </w:r>
            <w:r>
              <w:rPr>
                <w:rFonts w:asciiTheme="minorEastAsia" w:hAnsiTheme="minorEastAsia" w:eastAsiaTheme="minorEastAsia"/>
                <w:b w:val="0"/>
                <w:bCs w:val="0"/>
                <w:color w:val="000000"/>
                <w:sz w:val="24"/>
                <w:szCs w:val="24"/>
              </w:rPr>
              <w:t>1.2mm</w:t>
            </w:r>
            <w:r>
              <w:rPr>
                <w:rFonts w:hint="eastAsia" w:asciiTheme="minorEastAsia" w:hAnsiTheme="minorEastAsia" w:eastAsiaTheme="minorEastAsia"/>
                <w:b w:val="0"/>
                <w:bCs w:val="0"/>
                <w:color w:val="000000"/>
                <w:sz w:val="24"/>
                <w:szCs w:val="24"/>
              </w:rPr>
              <w:t>；面板边缘及尖角不得翘起，图样及字样蚀刻处理；</w:t>
            </w:r>
          </w:p>
          <w:p>
            <w:pPr>
              <w:pStyle w:val="30"/>
              <w:spacing w:before="0" w:after="0" w:line="360" w:lineRule="auto"/>
              <w:ind w:firstLine="480" w:firstLineChars="200"/>
              <w:jc w:val="both"/>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台面边框及加强管管材壁厚不小于</w:t>
            </w:r>
            <w:r>
              <w:rPr>
                <w:rFonts w:asciiTheme="minorEastAsia" w:hAnsiTheme="minorEastAsia" w:eastAsiaTheme="minorEastAsia"/>
                <w:b w:val="0"/>
                <w:bCs w:val="0"/>
                <w:sz w:val="24"/>
                <w:szCs w:val="24"/>
              </w:rPr>
              <w:t>2mm</w:t>
            </w:r>
            <w:r>
              <w:rPr>
                <w:rFonts w:hint="eastAsia" w:asciiTheme="minorEastAsia" w:hAnsiTheme="minorEastAsia" w:eastAsiaTheme="minorEastAsia"/>
                <w:b w:val="0"/>
                <w:bCs w:val="0"/>
                <w:sz w:val="24"/>
                <w:szCs w:val="24"/>
              </w:rPr>
              <w:t>，四周圆角不小于</w:t>
            </w:r>
            <w:r>
              <w:rPr>
                <w:rFonts w:asciiTheme="minorEastAsia" w:hAnsiTheme="minorEastAsia" w:eastAsiaTheme="minorEastAsia"/>
                <w:b w:val="0"/>
                <w:bCs w:val="0"/>
                <w:sz w:val="24"/>
                <w:szCs w:val="24"/>
              </w:rPr>
              <w:t>R20mm</w:t>
            </w:r>
            <w:r>
              <w:rPr>
                <w:rFonts w:hint="eastAsia" w:asciiTheme="minorEastAsia" w:hAnsiTheme="minorEastAsia" w:eastAsiaTheme="minorEastAsia"/>
                <w:b w:val="0"/>
                <w:bCs w:val="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，采用单一钢管时，主要承载立柱尺寸不小于φ</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，主要承载横梁尺寸不小于4</w:t>
            </w:r>
            <w:r>
              <w:rPr>
                <w:rFonts w:asciiTheme="minorEastAsia" w:hAnsiTheme="minorEastAsia" w:eastAsiaTheme="minorEastAsia"/>
                <w:b w:val="0"/>
                <w:bCs w:val="0"/>
                <w:color w:val="000000"/>
                <w:sz w:val="24"/>
                <w:szCs w:val="24"/>
              </w:rPr>
              <w:t>0mm</w:t>
            </w:r>
            <w:r>
              <w:rPr>
                <w:rFonts w:hint="eastAsia" w:asciiTheme="minorEastAsia" w:hAnsiTheme="minorEastAsia" w:eastAsiaTheme="minorEastAsia"/>
                <w:b w:val="0"/>
                <w:bCs w:val="0"/>
                <w:color w:val="000000"/>
                <w:sz w:val="24"/>
                <w:szCs w:val="24"/>
              </w:rPr>
              <w:t>×4</w:t>
            </w:r>
            <w:r>
              <w:rPr>
                <w:rFonts w:asciiTheme="minorEastAsia" w:hAnsiTheme="minorEastAsia" w:eastAsiaTheme="minorEastAsia"/>
                <w:b w:val="0"/>
                <w:bCs w:val="0"/>
                <w:color w:val="000000"/>
                <w:sz w:val="24"/>
                <w:szCs w:val="24"/>
              </w:rPr>
              <w:t>0mm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2</w:t>
            </w:r>
            <w:r>
              <w:rPr>
                <w:rFonts w:hint="eastAsia" w:asciiTheme="minorEastAsia" w:hAnsiTheme="minorEastAsia" w:eastAsiaTheme="minorEastAsia"/>
                <w:b w:val="0"/>
                <w:bCs w:val="0"/>
                <w:color w:val="000000"/>
                <w:sz w:val="24"/>
                <w:szCs w:val="24"/>
              </w:rPr>
              <w:t>.5</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11</w:t>
            </w:r>
          </w:p>
        </w:tc>
        <w:tc>
          <w:tcPr>
            <w:tcW w:w="1150" w:type="dxa"/>
            <w:vAlign w:val="center"/>
          </w:tcPr>
          <w:p>
            <w:pPr>
              <w:pStyle w:val="85"/>
              <w:widowControl/>
              <w:spacing w:line="360" w:lineRule="auto"/>
              <w:ind w:left="420" w:firstLine="0" w:firstLineChars="0"/>
              <w:jc w:val="center"/>
              <w:textAlignment w:val="center"/>
              <w:rPr>
                <w:rFonts w:asciiTheme="minorEastAsia" w:hAnsiTheme="minorEastAsia" w:eastAsiaTheme="minorEastAsia"/>
                <w:sz w:val="24"/>
              </w:rPr>
            </w:pPr>
            <w:r>
              <w:rPr>
                <w:rFonts w:hint="eastAsia" w:asciiTheme="minorEastAsia" w:hAnsiTheme="minorEastAsia" w:eastAsiaTheme="minorEastAsia"/>
                <w:color w:val="000000"/>
                <w:sz w:val="24"/>
              </w:rPr>
              <w:t>环形天梯</w:t>
            </w:r>
          </w:p>
        </w:tc>
        <w:tc>
          <w:tcPr>
            <w:tcW w:w="6662" w:type="dxa"/>
            <w:vAlign w:val="bottom"/>
          </w:tcPr>
          <w:p>
            <w:pPr>
              <w:rPr>
                <w:rFonts w:ascii="宋体" w:hAnsi="宋体"/>
                <w:szCs w:val="21"/>
              </w:rPr>
            </w:pPr>
            <w:r>
              <w:rPr>
                <w:rFonts w:hint="eastAsia" w:ascii="宋体" w:hAnsi="宋体"/>
                <w:szCs w:val="21"/>
              </w:rPr>
              <w:t>主要承载立柱材尺寸不小于：Φ114mm×3.0mm，立柱具有美观、耐冲击和抗老化的作用；主要承载横梁不小于Φ48×3mm；立柱采用外扣式金属封头，可防止雨水流入。</w:t>
            </w:r>
          </w:p>
          <w:p>
            <w:pPr>
              <w:rPr>
                <w:rFonts w:ascii="宋体" w:hAnsi="宋体"/>
                <w:szCs w:val="21"/>
              </w:rPr>
            </w:pPr>
            <w:r>
              <w:rPr>
                <w:rFonts w:hint="eastAsia" w:ascii="宋体" w:hAnsi="宋体"/>
                <w:szCs w:val="21"/>
              </w:rPr>
              <w:t>产品说明：产品完全遵照GB19272-2011标准生产。</w:t>
            </w:r>
          </w:p>
          <w:p>
            <w:pPr>
              <w:pStyle w:val="95"/>
              <w:spacing w:line="360" w:lineRule="auto"/>
              <w:ind w:firstLine="0" w:firstLineChars="0"/>
              <w:rPr>
                <w:rFonts w:asciiTheme="minorEastAsia" w:hAnsiTheme="minorEastAsia" w:eastAsiaTheme="minorEastAsia"/>
                <w:sz w:val="24"/>
                <w:szCs w:val="24"/>
              </w:rPr>
            </w:pP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休闲平凳</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采用单一钢管时，主立柱壁厚不小于</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，主要承载立柱尺寸不小于60</w:t>
            </w:r>
            <w:r>
              <w:rPr>
                <w:rFonts w:asciiTheme="minorEastAsia" w:hAnsiTheme="minorEastAsia" w:eastAsiaTheme="minorEastAsia"/>
                <w:b w:val="0"/>
                <w:bCs w:val="0"/>
                <w:color w:val="000000"/>
                <w:sz w:val="24"/>
                <w:szCs w:val="24"/>
              </w:rPr>
              <w:t>mm</w:t>
            </w:r>
            <w:r>
              <w:rPr>
                <w:rFonts w:asciiTheme="minorEastAsia" w:hAnsiTheme="minorEastAsia" w:eastAsiaTheme="minorEastAsia"/>
                <w:b w:val="0"/>
                <w:sz w:val="24"/>
                <w:szCs w:val="24"/>
              </w:rPr>
              <w:t>.</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13</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bCs/>
                <w:kern w:val="0"/>
                <w:sz w:val="24"/>
              </w:rPr>
              <w:t>健骑机</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sz w:val="24"/>
                <w:szCs w:val="24"/>
              </w:rPr>
            </w:pPr>
            <w:r>
              <w:rPr>
                <w:rFonts w:asciiTheme="minorEastAsia" w:hAnsiTheme="minorEastAsia" w:eastAsiaTheme="minorEastAsia"/>
                <w:b w:val="0"/>
                <w:sz w:val="24"/>
                <w:szCs w:val="24"/>
              </w:rPr>
              <w:t>1.</w:t>
            </w:r>
            <w:r>
              <w:rPr>
                <w:rFonts w:hint="eastAsia" w:asciiTheme="minorEastAsia" w:hAnsiTheme="minorEastAsia" w:eastAsiaTheme="minorEastAsia"/>
                <w:b w:val="0"/>
                <w:sz w:val="24"/>
                <w:szCs w:val="24"/>
              </w:rPr>
              <w:t>主要承载立柱尺寸</w:t>
            </w:r>
            <w:r>
              <w:rPr>
                <w:rFonts w:hint="eastAsia" w:asciiTheme="minorEastAsia" w:hAnsiTheme="minorEastAsia" w:eastAsiaTheme="minorEastAsia"/>
                <w:b w:val="0"/>
                <w:bCs w:val="0"/>
                <w:color w:val="000000"/>
                <w:sz w:val="24"/>
                <w:szCs w:val="24"/>
              </w:rPr>
              <w:t>不小于φ</w:t>
            </w:r>
            <w:r>
              <w:rPr>
                <w:rFonts w:asciiTheme="minorEastAsia" w:hAnsiTheme="minorEastAsia" w:eastAsiaTheme="minorEastAsia"/>
                <w:b w:val="0"/>
                <w:color w:val="000000"/>
                <w:sz w:val="24"/>
                <w:szCs w:val="24"/>
              </w:rPr>
              <w:t>114mm</w:t>
            </w:r>
            <w:r>
              <w:rPr>
                <w:rFonts w:hint="eastAsia" w:asciiTheme="minorEastAsia" w:hAnsiTheme="minorEastAsia" w:eastAsiaTheme="minorEastAsia"/>
                <w:b w:val="0"/>
                <w:color w:val="000000"/>
                <w:sz w:val="24"/>
                <w:szCs w:val="24"/>
              </w:rPr>
              <w:t>×</w:t>
            </w:r>
            <w:r>
              <w:rPr>
                <w:rFonts w:asciiTheme="minorEastAsia" w:hAnsiTheme="minorEastAsia" w:eastAsiaTheme="minorEastAsia"/>
                <w:b w:val="0"/>
                <w:sz w:val="24"/>
                <w:szCs w:val="24"/>
              </w:rPr>
              <w:t>3.0mm</w:t>
            </w:r>
            <w:r>
              <w:rPr>
                <w:rFonts w:hint="eastAsia" w:asciiTheme="minorEastAsia" w:hAnsiTheme="minorEastAsia" w:eastAsiaTheme="minorEastAsia"/>
                <w:b w:val="0"/>
                <w:sz w:val="24"/>
                <w:szCs w:val="24"/>
              </w:rPr>
              <w:t>，并与其他管材同时满足</w:t>
            </w:r>
            <w:r>
              <w:rPr>
                <w:rFonts w:asciiTheme="minorEastAsia" w:hAnsiTheme="minorEastAsia" w:eastAsiaTheme="minorEastAsia"/>
                <w:b w:val="0"/>
                <w:sz w:val="24"/>
                <w:szCs w:val="24"/>
              </w:rPr>
              <w:t>GB19272—2011</w:t>
            </w:r>
            <w:r>
              <w:rPr>
                <w:rFonts w:hint="eastAsia" w:asciiTheme="minorEastAsia" w:hAnsiTheme="minorEastAsia" w:eastAsiaTheme="minorEastAsia"/>
                <w:b w:val="0"/>
                <w:sz w:val="24"/>
                <w:szCs w:val="24"/>
              </w:rPr>
              <w:t>标准中相关静载荷、稳定性要求；</w:t>
            </w:r>
          </w:p>
          <w:p>
            <w:pPr>
              <w:pStyle w:val="30"/>
              <w:spacing w:before="0" w:after="0" w:line="360" w:lineRule="auto"/>
              <w:ind w:firstLine="480" w:firstLineChars="200"/>
              <w:jc w:val="both"/>
              <w:rPr>
                <w:rFonts w:asciiTheme="minorEastAsia" w:hAnsiTheme="minorEastAsia" w:eastAsiaTheme="minorEastAsia"/>
                <w:b w:val="0"/>
                <w:sz w:val="24"/>
                <w:szCs w:val="24"/>
              </w:rPr>
            </w:pPr>
            <w:r>
              <w:rPr>
                <w:rFonts w:asciiTheme="minorEastAsia" w:hAnsiTheme="minorEastAsia" w:eastAsiaTheme="minorEastAsia"/>
                <w:b w:val="0"/>
                <w:sz w:val="24"/>
                <w:szCs w:val="24"/>
              </w:rPr>
              <w:t>2.</w:t>
            </w:r>
            <w:r>
              <w:rPr>
                <w:rFonts w:hint="eastAsia" w:asciiTheme="minorEastAsia" w:hAnsiTheme="minorEastAsia" w:eastAsiaTheme="minorEastAsia"/>
                <w:b w:val="0"/>
                <w:sz w:val="24"/>
                <w:szCs w:val="24"/>
              </w:rPr>
              <w:t>主要承载横梁尺寸</w:t>
            </w:r>
            <w:r>
              <w:rPr>
                <w:rFonts w:hint="eastAsia" w:asciiTheme="minorEastAsia" w:hAnsiTheme="minorEastAsia" w:eastAsiaTheme="minorEastAsia"/>
                <w:b w:val="0"/>
                <w:bCs w:val="0"/>
                <w:color w:val="000000"/>
                <w:sz w:val="24"/>
                <w:szCs w:val="24"/>
              </w:rPr>
              <w:t>不小于φ</w:t>
            </w:r>
            <w:r>
              <w:rPr>
                <w:rFonts w:asciiTheme="minorEastAsia" w:hAnsiTheme="minorEastAsia" w:eastAsiaTheme="minorEastAsia"/>
                <w:b w:val="0"/>
                <w:sz w:val="24"/>
                <w:szCs w:val="24"/>
              </w:rPr>
              <w:t>60mm</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3.0mm</w:t>
            </w:r>
            <w:r>
              <w:rPr>
                <w:rFonts w:hint="eastAsia" w:asciiTheme="minorEastAsia" w:hAnsiTheme="minorEastAsia" w:eastAsiaTheme="minorEastAsia"/>
                <w:b w:val="0"/>
                <w:sz w:val="24"/>
                <w:szCs w:val="24"/>
              </w:rPr>
              <w:t>；</w:t>
            </w:r>
          </w:p>
          <w:p>
            <w:pPr>
              <w:pStyle w:val="30"/>
              <w:tabs>
                <w:tab w:val="left" w:pos="3332"/>
              </w:tabs>
              <w:spacing w:before="0" w:after="0" w:line="360" w:lineRule="auto"/>
              <w:ind w:firstLine="480" w:firstLineChars="200"/>
              <w:jc w:val="both"/>
              <w:rPr>
                <w:rFonts w:cs="黑体" w:asciiTheme="minorEastAsia" w:hAnsiTheme="minorEastAsia" w:eastAsiaTheme="minorEastAsia"/>
                <w:b w:val="0"/>
                <w:sz w:val="24"/>
                <w:szCs w:val="24"/>
              </w:rPr>
            </w:pPr>
            <w:r>
              <w:rPr>
                <w:rFonts w:asciiTheme="minorEastAsia" w:hAnsiTheme="minorEastAsia" w:eastAsiaTheme="minorEastAsia"/>
                <w:b w:val="0"/>
                <w:sz w:val="24"/>
                <w:szCs w:val="24"/>
              </w:rPr>
              <w:t>3.</w:t>
            </w:r>
            <w:r>
              <w:rPr>
                <w:rFonts w:hint="eastAsia" w:cs="黑体" w:asciiTheme="minorEastAsia" w:hAnsiTheme="minorEastAsia" w:eastAsiaTheme="minorEastAsia"/>
                <w:b w:val="0"/>
                <w:sz w:val="24"/>
                <w:szCs w:val="24"/>
              </w:rPr>
              <w:t>转轴直径不小于</w:t>
            </w:r>
            <w:r>
              <w:rPr>
                <w:rFonts w:hint="eastAsia" w:asciiTheme="minorEastAsia" w:hAnsiTheme="minorEastAsia" w:eastAsiaTheme="minorEastAsia"/>
                <w:b w:val="0"/>
                <w:bCs w:val="0"/>
                <w:color w:val="000000"/>
                <w:sz w:val="24"/>
                <w:szCs w:val="24"/>
              </w:rPr>
              <w:t>φ</w:t>
            </w:r>
            <w:r>
              <w:rPr>
                <w:rFonts w:cs="黑体" w:asciiTheme="minorEastAsia" w:hAnsiTheme="minorEastAsia" w:eastAsiaTheme="minorEastAsia"/>
                <w:b w:val="0"/>
                <w:sz w:val="24"/>
                <w:szCs w:val="24"/>
              </w:rPr>
              <w:t>25mm</w:t>
            </w:r>
            <w:r>
              <w:rPr>
                <w:rFonts w:hint="eastAsia" w:cs="黑体" w:asciiTheme="minorEastAsia" w:hAnsiTheme="minorEastAsia" w:eastAsiaTheme="minorEastAsia"/>
                <w:b w:val="0"/>
                <w:sz w:val="24"/>
                <w:szCs w:val="24"/>
              </w:rPr>
              <w:t>；</w:t>
            </w:r>
            <w:r>
              <w:rPr>
                <w:rFonts w:cs="黑体" w:asciiTheme="minorEastAsia" w:hAnsiTheme="minorEastAsia" w:eastAsiaTheme="minorEastAsia"/>
                <w:b w:val="0"/>
                <w:kern w:val="0"/>
                <w:sz w:val="24"/>
                <w:szCs w:val="24"/>
              </w:rPr>
              <w:tab/>
            </w:r>
          </w:p>
          <w:p>
            <w:pPr>
              <w:pStyle w:val="30"/>
              <w:spacing w:before="0" w:after="0" w:line="360" w:lineRule="auto"/>
              <w:ind w:firstLine="480" w:firstLineChars="200"/>
              <w:jc w:val="both"/>
              <w:rPr>
                <w:rFonts w:cs="黑体" w:asciiTheme="minorEastAsia" w:hAnsiTheme="minorEastAsia" w:eastAsiaTheme="minorEastAsia"/>
                <w:b w:val="0"/>
                <w:bCs w:val="0"/>
                <w:sz w:val="24"/>
                <w:szCs w:val="24"/>
                <w:lang w:val="zh-CN"/>
              </w:rPr>
            </w:pPr>
            <w:r>
              <w:rPr>
                <w:rFonts w:cs="黑体" w:asciiTheme="minorEastAsia" w:hAnsiTheme="minorEastAsia" w:eastAsiaTheme="minorEastAsia"/>
                <w:b w:val="0"/>
                <w:sz w:val="24"/>
                <w:szCs w:val="24"/>
              </w:rPr>
              <w:t>4.</w:t>
            </w:r>
            <w:r>
              <w:rPr>
                <w:rFonts w:hint="eastAsia" w:cs="黑体" w:asciiTheme="minorEastAsia" w:hAnsiTheme="minorEastAsia" w:eastAsiaTheme="minorEastAsia"/>
                <w:b w:val="0"/>
                <w:bCs w:val="0"/>
                <w:sz w:val="24"/>
                <w:szCs w:val="24"/>
                <w:lang w:val="zh-CN"/>
              </w:rPr>
              <w:t>不存在卡夹，衣服、头发钩挂或缠绕结构；</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5.</w:t>
            </w:r>
            <w:r>
              <w:rPr>
                <w:rFonts w:hint="eastAsia" w:asciiTheme="minorEastAsia" w:hAnsiTheme="minorEastAsia" w:eastAsiaTheme="minorEastAsia"/>
                <w:b w:val="0"/>
                <w:sz w:val="24"/>
                <w:szCs w:val="24"/>
                <w:lang w:val="zh-CN"/>
              </w:rPr>
              <w:t>转动部位采用国家标准轴承，并采用有效的防水和防尘措施；</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6.</w:t>
            </w:r>
            <w:r>
              <w:rPr>
                <w:rFonts w:hint="eastAsia" w:asciiTheme="minorEastAsia" w:hAnsiTheme="minorEastAsia" w:eastAsiaTheme="minorEastAsia"/>
                <w:b w:val="0"/>
                <w:sz w:val="24"/>
                <w:szCs w:val="24"/>
                <w:lang w:val="zh-CN"/>
              </w:rPr>
              <w:t>有内置限位装置，摆动件与立柱内侧距离及在使用中各结构件的内侧距离大于</w:t>
            </w:r>
            <w:r>
              <w:rPr>
                <w:rFonts w:asciiTheme="minorEastAsia" w:hAnsiTheme="minorEastAsia" w:eastAsiaTheme="minorEastAsia"/>
                <w:b w:val="0"/>
                <w:sz w:val="24"/>
                <w:szCs w:val="24"/>
                <w:lang w:val="zh-CN"/>
              </w:rPr>
              <w:t>230mm</w:t>
            </w:r>
            <w:r>
              <w:rPr>
                <w:rFonts w:hint="eastAsia" w:asciiTheme="minorEastAsia" w:hAnsiTheme="minorEastAsia" w:eastAsiaTheme="minorEastAsia"/>
                <w:b w:val="0"/>
                <w:sz w:val="24"/>
                <w:szCs w:val="24"/>
                <w:lang w:val="zh-CN"/>
              </w:rPr>
              <w:t>防止产生挤压、卡夹、碰撞的伤害可能；</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7.</w:t>
            </w:r>
            <w:r>
              <w:rPr>
                <w:rFonts w:hint="eastAsia" w:asciiTheme="minorEastAsia" w:hAnsiTheme="minorEastAsia" w:eastAsiaTheme="minorEastAsia"/>
                <w:b w:val="0"/>
                <w:sz w:val="24"/>
                <w:szCs w:val="24"/>
                <w:lang w:val="zh-CN"/>
              </w:rPr>
              <w:t>摆动部件下边缘距地面或底面最小高度大于</w:t>
            </w:r>
            <w:r>
              <w:rPr>
                <w:rFonts w:asciiTheme="minorEastAsia" w:hAnsiTheme="minorEastAsia" w:eastAsiaTheme="minorEastAsia"/>
                <w:b w:val="0"/>
                <w:sz w:val="24"/>
                <w:szCs w:val="24"/>
                <w:lang w:val="zh-CN"/>
              </w:rPr>
              <w:t>120mm</w:t>
            </w:r>
            <w:r>
              <w:rPr>
                <w:rFonts w:hint="eastAsia" w:asciiTheme="minorEastAsia" w:hAnsiTheme="minorEastAsia" w:eastAsiaTheme="minorEastAsia"/>
                <w:b w:val="0"/>
                <w:sz w:val="24"/>
                <w:szCs w:val="24"/>
                <w:lang w:val="zh-CN"/>
              </w:rPr>
              <w:t>；</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8.</w:t>
            </w:r>
            <w:r>
              <w:rPr>
                <w:rFonts w:hint="eastAsia" w:asciiTheme="minorEastAsia" w:hAnsiTheme="minorEastAsia" w:eastAsiaTheme="minorEastAsia"/>
                <w:b w:val="0"/>
                <w:sz w:val="24"/>
                <w:szCs w:val="24"/>
                <w:lang w:val="zh-CN"/>
              </w:rPr>
              <w:t>脚踏位有防滑措施，摩擦系数应大于</w:t>
            </w:r>
            <w:r>
              <w:rPr>
                <w:rFonts w:asciiTheme="minorEastAsia" w:hAnsiTheme="minorEastAsia" w:eastAsiaTheme="minorEastAsia"/>
                <w:b w:val="0"/>
                <w:sz w:val="24"/>
                <w:szCs w:val="24"/>
                <w:lang w:val="zh-CN"/>
              </w:rPr>
              <w:t>0.5</w:t>
            </w:r>
            <w:r>
              <w:rPr>
                <w:rFonts w:hint="eastAsia" w:asciiTheme="minorEastAsia" w:hAnsiTheme="minorEastAsia" w:eastAsiaTheme="minorEastAsia"/>
                <w:b w:val="0"/>
                <w:sz w:val="24"/>
                <w:szCs w:val="24"/>
                <w:lang w:val="zh-CN"/>
              </w:rPr>
              <w:t>；</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9.</w:t>
            </w:r>
            <w:r>
              <w:rPr>
                <w:rFonts w:hint="eastAsia" w:asciiTheme="minorEastAsia" w:hAnsiTheme="minorEastAsia" w:eastAsiaTheme="minorEastAsia"/>
                <w:b w:val="0"/>
                <w:sz w:val="24"/>
                <w:szCs w:val="24"/>
                <w:lang w:val="zh-CN"/>
              </w:rPr>
              <w:t>不存在卡夹，衣服、头发钩挂或缠绕结构；</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10.</w:t>
            </w:r>
            <w:r>
              <w:rPr>
                <w:rFonts w:hint="eastAsia" w:asciiTheme="minorEastAsia" w:hAnsiTheme="minorEastAsia" w:eastAsiaTheme="minorEastAsia"/>
                <w:b w:val="0"/>
                <w:sz w:val="24"/>
                <w:szCs w:val="24"/>
                <w:lang w:val="zh-CN"/>
              </w:rPr>
              <w:t>连接板厚度为</w:t>
            </w:r>
            <w:r>
              <w:rPr>
                <w:rFonts w:asciiTheme="minorEastAsia" w:hAnsiTheme="minorEastAsia" w:eastAsiaTheme="minorEastAsia"/>
                <w:b w:val="0"/>
                <w:sz w:val="24"/>
                <w:szCs w:val="24"/>
                <w:lang w:val="zh-CN"/>
              </w:rPr>
              <w:t>5mm</w:t>
            </w:r>
            <w:r>
              <w:rPr>
                <w:rFonts w:hint="eastAsia" w:asciiTheme="minorEastAsia" w:hAnsiTheme="minorEastAsia" w:eastAsiaTheme="minorEastAsia"/>
                <w:b w:val="0"/>
                <w:sz w:val="24"/>
                <w:szCs w:val="24"/>
                <w:lang w:val="zh-CN"/>
              </w:rPr>
              <w:t>；</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11.</w:t>
            </w:r>
            <w:r>
              <w:rPr>
                <w:rFonts w:hint="eastAsia" w:asciiTheme="minorEastAsia" w:hAnsiTheme="minorEastAsia" w:eastAsiaTheme="minorEastAsia"/>
                <w:b w:val="0"/>
                <w:sz w:val="24"/>
                <w:szCs w:val="24"/>
                <w:lang w:val="zh-CN"/>
              </w:rPr>
              <w:t>棱边和棱角半径为</w:t>
            </w:r>
            <w:r>
              <w:rPr>
                <w:rFonts w:asciiTheme="minorEastAsia" w:hAnsiTheme="minorEastAsia" w:eastAsiaTheme="minorEastAsia"/>
                <w:b w:val="0"/>
                <w:sz w:val="24"/>
                <w:szCs w:val="24"/>
                <w:lang w:val="zh-CN"/>
              </w:rPr>
              <w:t>3.0mm</w:t>
            </w:r>
            <w:r>
              <w:rPr>
                <w:rFonts w:hint="eastAsia" w:asciiTheme="minorEastAsia" w:hAnsiTheme="minorEastAsia" w:eastAsiaTheme="minorEastAsia"/>
                <w:b w:val="0"/>
                <w:sz w:val="24"/>
                <w:szCs w:val="24"/>
                <w:lang w:val="zh-CN"/>
              </w:rPr>
              <w:t>；</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12.</w:t>
            </w:r>
            <w:r>
              <w:rPr>
                <w:rFonts w:hint="eastAsia" w:asciiTheme="minorEastAsia" w:hAnsiTheme="minorEastAsia" w:eastAsiaTheme="minorEastAsia"/>
                <w:b w:val="0"/>
                <w:sz w:val="24"/>
                <w:szCs w:val="24"/>
                <w:lang w:val="zh-CN"/>
              </w:rPr>
              <w:t>涂层、橡胶、塑料件有害物质限量符合</w:t>
            </w:r>
            <w:r>
              <w:rPr>
                <w:rFonts w:asciiTheme="minorEastAsia" w:hAnsiTheme="minorEastAsia" w:eastAsiaTheme="minorEastAsia"/>
                <w:b w:val="0"/>
                <w:sz w:val="24"/>
                <w:szCs w:val="24"/>
                <w:lang w:val="zh-CN"/>
              </w:rPr>
              <w:t>GB 19272-2011</w:t>
            </w:r>
            <w:r>
              <w:rPr>
                <w:rFonts w:hint="eastAsia" w:asciiTheme="minorEastAsia" w:hAnsiTheme="minorEastAsia" w:eastAsiaTheme="minorEastAsia"/>
                <w:b w:val="0"/>
                <w:sz w:val="24"/>
                <w:szCs w:val="24"/>
                <w:lang w:val="zh-CN"/>
              </w:rPr>
              <w:t>中</w:t>
            </w:r>
            <w:r>
              <w:rPr>
                <w:rFonts w:asciiTheme="minorEastAsia" w:hAnsiTheme="minorEastAsia" w:eastAsiaTheme="minorEastAsia"/>
                <w:b w:val="0"/>
                <w:sz w:val="24"/>
                <w:szCs w:val="24"/>
                <w:lang w:val="zh-CN"/>
              </w:rPr>
              <w:t>5.2.6</w:t>
            </w:r>
            <w:r>
              <w:rPr>
                <w:rFonts w:hint="eastAsia" w:asciiTheme="minorEastAsia" w:hAnsiTheme="minorEastAsia" w:eastAsiaTheme="minorEastAsia"/>
                <w:b w:val="0"/>
                <w:sz w:val="24"/>
                <w:szCs w:val="24"/>
                <w:lang w:val="zh-CN"/>
              </w:rPr>
              <w:t>的要求；</w:t>
            </w:r>
          </w:p>
          <w:p>
            <w:pPr>
              <w:pStyle w:val="30"/>
              <w:spacing w:before="0" w:after="0" w:line="360" w:lineRule="auto"/>
              <w:ind w:firstLine="480" w:firstLineChars="200"/>
              <w:jc w:val="both"/>
              <w:rPr>
                <w:rFonts w:asciiTheme="minorEastAsia" w:hAnsiTheme="minorEastAsia" w:eastAsiaTheme="minorEastAsia"/>
                <w:b w:val="0"/>
                <w:sz w:val="24"/>
                <w:szCs w:val="24"/>
                <w:lang w:val="zh-CN"/>
              </w:rPr>
            </w:pPr>
            <w:r>
              <w:rPr>
                <w:rFonts w:asciiTheme="minorEastAsia" w:hAnsiTheme="minorEastAsia" w:eastAsiaTheme="minorEastAsia"/>
                <w:b w:val="0"/>
                <w:sz w:val="24"/>
                <w:szCs w:val="24"/>
                <w:lang w:val="zh-CN"/>
              </w:rPr>
              <w:t>13.</w:t>
            </w:r>
            <w:r>
              <w:rPr>
                <w:rFonts w:hint="eastAsia" w:asciiTheme="minorEastAsia" w:hAnsiTheme="minorEastAsia" w:eastAsiaTheme="minorEastAsia"/>
                <w:b w:val="0"/>
                <w:sz w:val="24"/>
                <w:szCs w:val="24"/>
                <w:lang w:val="zh-CN"/>
              </w:rPr>
              <w:t>器材安全警示采用图示方式提示使用者可能存在风险；</w:t>
            </w:r>
          </w:p>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asciiTheme="minorEastAsia" w:hAnsiTheme="minorEastAsia" w:eastAsiaTheme="minorEastAsia"/>
                <w:sz w:val="24"/>
                <w:lang w:val="zh-CN"/>
              </w:rPr>
              <w:t>14.</w:t>
            </w:r>
            <w:r>
              <w:rPr>
                <w:rFonts w:hint="eastAsia" w:asciiTheme="minorEastAsia" w:hAnsiTheme="minorEastAsia" w:eastAsiaTheme="minorEastAsia"/>
                <w:sz w:val="24"/>
              </w:rPr>
              <w:t>立柱采用外扣式钢制封头，可防止雨水流入。</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14</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color w:val="000000"/>
                <w:kern w:val="0"/>
                <w:sz w:val="24"/>
              </w:rPr>
              <w:t>告示牌</w:t>
            </w:r>
          </w:p>
        </w:tc>
        <w:tc>
          <w:tcPr>
            <w:tcW w:w="6662" w:type="dxa"/>
            <w:vAlign w:val="center"/>
          </w:tcPr>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主立柱壁厚</w:t>
            </w:r>
            <w:r>
              <w:rPr>
                <w:rFonts w:asciiTheme="minorEastAsia" w:hAnsiTheme="minorEastAsia" w:eastAsiaTheme="minorEastAsia"/>
                <w:b w:val="0"/>
                <w:bCs w:val="0"/>
                <w:color w:val="000000"/>
                <w:sz w:val="24"/>
                <w:szCs w:val="24"/>
              </w:rPr>
              <w:t>3mm</w:t>
            </w:r>
            <w:r>
              <w:rPr>
                <w:rFonts w:hint="eastAsia" w:asciiTheme="minorEastAsia" w:hAnsiTheme="minorEastAsia" w:eastAsiaTheme="minorEastAsia"/>
                <w:b w:val="0"/>
                <w:bCs w:val="0"/>
                <w:color w:val="000000"/>
                <w:sz w:val="24"/>
                <w:szCs w:val="24"/>
              </w:rPr>
              <w:t>，采用单一钢管时，立柱承载立柱尺寸不小于</w:t>
            </w:r>
            <w:r>
              <w:rPr>
                <w:rFonts w:asciiTheme="minorEastAsia" w:hAnsiTheme="minorEastAsia" w:eastAsiaTheme="minorEastAsia"/>
                <w:b w:val="0"/>
                <w:bCs w:val="0"/>
                <w:color w:val="000000"/>
                <w:sz w:val="24"/>
                <w:szCs w:val="24"/>
              </w:rPr>
              <w:t>114mm</w:t>
            </w:r>
            <w:r>
              <w:rPr>
                <w:rFonts w:hint="eastAsia" w:asciiTheme="minorEastAsia" w:hAnsiTheme="minorEastAsia" w:eastAsiaTheme="minorEastAsia"/>
                <w:b w:val="0"/>
                <w:bCs w:val="0"/>
                <w:color w:val="000000"/>
                <w:sz w:val="24"/>
                <w:szCs w:val="24"/>
              </w:rPr>
              <w:t>，采用复合结构立柱时，其外形尺寸不小于</w:t>
            </w:r>
            <w:r>
              <w:rPr>
                <w:rFonts w:asciiTheme="minorEastAsia" w:hAnsiTheme="minorEastAsia" w:eastAsiaTheme="minorEastAsia"/>
                <w:b w:val="0"/>
                <w:bCs w:val="0"/>
                <w:color w:val="000000"/>
                <w:sz w:val="24"/>
                <w:szCs w:val="24"/>
              </w:rPr>
              <w:t>110mm</w:t>
            </w:r>
            <w:r>
              <w:rPr>
                <w:rFonts w:hint="eastAsia" w:asciiTheme="minorEastAsia" w:hAnsiTheme="minorEastAsia" w:eastAsiaTheme="minorEastAsia"/>
                <w:b w:val="0"/>
                <w:bCs w:val="0"/>
                <w:color w:val="000000"/>
                <w:sz w:val="24"/>
                <w:szCs w:val="24"/>
              </w:rPr>
              <w:t>，主要承载横梁尺寸不小于32</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×32</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或φ32</w:t>
            </w:r>
            <w:r>
              <w:rPr>
                <w:rFonts w:asciiTheme="minorEastAsia" w:hAnsiTheme="minorEastAsia" w:eastAsiaTheme="minorEastAsia"/>
                <w:b w:val="0"/>
                <w:bCs w:val="0"/>
                <w:color w:val="000000"/>
                <w:sz w:val="24"/>
                <w:szCs w:val="24"/>
              </w:rPr>
              <w:t>mm</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2mm</w:t>
            </w:r>
            <w:r>
              <w:rPr>
                <w:rFonts w:hint="eastAsia" w:asciiTheme="minorEastAsia" w:hAnsiTheme="minorEastAsia" w:eastAsiaTheme="minorEastAsia"/>
                <w:b w:val="0"/>
                <w:bCs w:val="0"/>
                <w:color w:val="000000"/>
                <w:sz w:val="24"/>
                <w:szCs w:val="24"/>
              </w:rPr>
              <w:t>；</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告示牌面板采用不锈钢材质，耐蚀性能相当于</w:t>
            </w:r>
            <w:r>
              <w:rPr>
                <w:rFonts w:asciiTheme="minorEastAsia" w:hAnsiTheme="minorEastAsia" w:eastAsiaTheme="minorEastAsia"/>
                <w:b w:val="0"/>
                <w:bCs w:val="0"/>
                <w:color w:val="000000"/>
                <w:sz w:val="24"/>
                <w:szCs w:val="24"/>
              </w:rPr>
              <w:t>0Cr18Ni9</w:t>
            </w:r>
            <w:r>
              <w:rPr>
                <w:rFonts w:hint="eastAsia" w:asciiTheme="minorEastAsia" w:hAnsiTheme="minorEastAsia" w:eastAsiaTheme="minorEastAsia"/>
                <w:b w:val="0"/>
                <w:bCs w:val="0"/>
                <w:color w:val="000000"/>
                <w:sz w:val="24"/>
                <w:szCs w:val="24"/>
              </w:rPr>
              <w:t>（</w:t>
            </w:r>
            <w:r>
              <w:rPr>
                <w:rFonts w:asciiTheme="minorEastAsia" w:hAnsiTheme="minorEastAsia" w:eastAsiaTheme="minorEastAsia"/>
                <w:b w:val="0"/>
                <w:bCs w:val="0"/>
                <w:color w:val="000000"/>
                <w:sz w:val="24"/>
                <w:szCs w:val="24"/>
              </w:rPr>
              <w:t>SUS304</w:t>
            </w:r>
            <w:r>
              <w:rPr>
                <w:rFonts w:hint="eastAsia" w:asciiTheme="minorEastAsia" w:hAnsiTheme="minorEastAsia" w:eastAsiaTheme="minorEastAsia"/>
                <w:b w:val="0"/>
                <w:bCs w:val="0"/>
                <w:color w:val="000000"/>
                <w:sz w:val="24"/>
                <w:szCs w:val="24"/>
              </w:rPr>
              <w:t>），厚度不小于</w:t>
            </w:r>
            <w:r>
              <w:rPr>
                <w:rFonts w:asciiTheme="minorEastAsia" w:hAnsiTheme="minorEastAsia" w:eastAsiaTheme="minorEastAsia"/>
                <w:b w:val="0"/>
                <w:bCs w:val="0"/>
                <w:color w:val="000000"/>
                <w:sz w:val="24"/>
                <w:szCs w:val="24"/>
              </w:rPr>
              <w:t>1mm</w:t>
            </w:r>
            <w:r>
              <w:rPr>
                <w:rFonts w:hint="eastAsia" w:asciiTheme="minorEastAsia" w:hAnsiTheme="minorEastAsia" w:eastAsiaTheme="minorEastAsia"/>
                <w:b w:val="0"/>
                <w:bCs w:val="0"/>
                <w:color w:val="000000"/>
                <w:sz w:val="24"/>
                <w:szCs w:val="24"/>
              </w:rPr>
              <w:t>，面板边缘及尖角不得翘起，图样及字样蚀刻处理；</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告示牌内容至少包含以下内容：</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简明的的热身运动说明或图示；</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以图示方式介绍健身器材正确的锻炼方法</w:t>
            </w:r>
            <w:r>
              <w:rPr>
                <w:rFonts w:asciiTheme="minorEastAsia" w:hAnsiTheme="minorEastAsia" w:eastAsiaTheme="minorEastAsia"/>
                <w:b w:val="0"/>
                <w:bCs w:val="0"/>
                <w:color w:val="000000"/>
                <w:sz w:val="24"/>
                <w:szCs w:val="24"/>
              </w:rPr>
              <w:t>,</w:t>
            </w:r>
            <w:r>
              <w:rPr>
                <w:rFonts w:hint="eastAsia" w:asciiTheme="minorEastAsia" w:hAnsiTheme="minorEastAsia" w:eastAsiaTheme="minorEastAsia"/>
                <w:b w:val="0"/>
                <w:bCs w:val="0"/>
                <w:color w:val="000000"/>
                <w:sz w:val="24"/>
                <w:szCs w:val="24"/>
              </w:rPr>
              <w:t>须有中国体育彩票标示；</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简明的安全警示说明包括发现器材有缺陷应立即停止使用直到修复的说明；</w:t>
            </w:r>
          </w:p>
          <w:p>
            <w:pPr>
              <w:pStyle w:val="30"/>
              <w:spacing w:before="0" w:after="0" w:line="360" w:lineRule="auto"/>
              <w:ind w:firstLine="480" w:firstLineChars="200"/>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器材供应商的全称，售后服务电话及督查电话（器材供应商的全称，售后服务电话及督查电话，样品暂不显示）。</w:t>
            </w:r>
          </w:p>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color w:val="000000"/>
                <w:sz w:val="24"/>
              </w:rPr>
              <w:t>管理维护单位及联系电话。</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个</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16</w:t>
            </w:r>
          </w:p>
        </w:tc>
      </w:tr>
    </w:tbl>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乒乓球台（彩虹）产品样式图</w:t>
      </w:r>
    </w:p>
    <w:p>
      <w:pPr>
        <w:autoSpaceDE w:val="0"/>
        <w:autoSpaceDN w:val="0"/>
        <w:adjustRightInd w:val="0"/>
        <w:snapToGrid w:val="0"/>
        <w:spacing w:line="360" w:lineRule="auto"/>
        <w:rPr>
          <w:rFonts w:ascii="宋体" w:hAnsi="宋体" w:cs="宋体"/>
          <w:b/>
          <w:sz w:val="24"/>
        </w:rPr>
      </w:pPr>
      <w:r>
        <w:rPr>
          <w:rFonts w:ascii="宋体" w:hAnsi="宋体" w:cs="宋体"/>
          <w:b/>
          <w:sz w:val="24"/>
        </w:rPr>
        <w:drawing>
          <wp:inline distT="0" distB="0" distL="0" distR="0">
            <wp:extent cx="5267325" cy="3876675"/>
            <wp:effectExtent l="19050" t="0" r="9525" b="0"/>
            <wp:docPr id="18" name="图片 2" descr="乒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乒台"/>
                    <pic:cNvPicPr>
                      <a:picLocks noChangeAspect="1" noChangeArrowheads="1"/>
                    </pic:cNvPicPr>
                  </pic:nvPicPr>
                  <pic:blipFill>
                    <a:blip r:embed="rId6" cstate="print"/>
                    <a:srcRect/>
                    <a:stretch>
                      <a:fillRect/>
                    </a:stretch>
                  </pic:blipFill>
                  <pic:spPr>
                    <a:xfrm>
                      <a:off x="0" y="0"/>
                      <a:ext cx="5267325" cy="3876675"/>
                    </a:xfrm>
                    <a:prstGeom prst="rect">
                      <a:avLst/>
                    </a:prstGeom>
                    <a:noFill/>
                    <a:ln w="9525">
                      <a:noFill/>
                      <a:miter lim="800000"/>
                      <a:headEnd/>
                      <a:tailEnd/>
                    </a:ln>
                  </pic:spPr>
                </pic:pic>
              </a:graphicData>
            </a:graphic>
          </wp:inline>
        </w:drawing>
      </w:r>
    </w:p>
    <w:p>
      <w:pPr>
        <w:pStyle w:val="30"/>
        <w:tabs>
          <w:tab w:val="left" w:pos="4140"/>
        </w:tabs>
        <w:jc w:val="both"/>
        <w:rPr>
          <w:rFonts w:ascii="宋体" w:hAnsi="宋体" w:eastAsia="宋体"/>
          <w:bCs w:val="0"/>
          <w:color w:val="000000"/>
          <w:sz w:val="24"/>
          <w:szCs w:val="24"/>
        </w:rPr>
      </w:pPr>
      <w:r>
        <w:rPr>
          <w:rFonts w:hint="eastAsia" w:ascii="宋体" w:hAnsi="宋体" w:eastAsia="宋体"/>
          <w:bCs w:val="0"/>
          <w:color w:val="000000"/>
          <w:sz w:val="24"/>
          <w:szCs w:val="24"/>
        </w:rPr>
        <w:t>固定独臂篮球架</w:t>
      </w:r>
      <w:r>
        <w:rPr>
          <w:rFonts w:hint="eastAsia" w:ascii="宋体" w:hAnsi="宋体" w:eastAsia="宋体"/>
          <w:bCs w:val="0"/>
          <w:sz w:val="24"/>
          <w:szCs w:val="24"/>
        </w:rPr>
        <w:t>产品样式图</w:t>
      </w:r>
    </w:p>
    <w:p>
      <w:pPr>
        <w:autoSpaceDE w:val="0"/>
        <w:autoSpaceDN w:val="0"/>
        <w:adjustRightInd w:val="0"/>
        <w:snapToGrid w:val="0"/>
        <w:spacing w:line="360" w:lineRule="auto"/>
      </w:pPr>
      <w:r>
        <w:rPr>
          <w:rFonts w:hint="eastAsia"/>
        </w:rPr>
        <w:drawing>
          <wp:inline distT="0" distB="0" distL="0" distR="0">
            <wp:extent cx="4429125" cy="7477125"/>
            <wp:effectExtent l="19050" t="0" r="9525"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noChangeArrowheads="1"/>
                    </pic:cNvPicPr>
                  </pic:nvPicPr>
                  <pic:blipFill>
                    <a:blip r:embed="rId7" cstate="print"/>
                    <a:srcRect/>
                    <a:stretch>
                      <a:fillRect/>
                    </a:stretch>
                  </pic:blipFill>
                  <pic:spPr>
                    <a:xfrm>
                      <a:off x="0" y="0"/>
                      <a:ext cx="4429125" cy="7477259"/>
                    </a:xfrm>
                    <a:prstGeom prst="rect">
                      <a:avLst/>
                    </a:prstGeom>
                    <a:noFill/>
                    <a:ln w="9525">
                      <a:noFill/>
                      <a:miter lim="800000"/>
                      <a:headEnd/>
                      <a:tailEnd/>
                    </a:ln>
                  </pic:spPr>
                </pic:pic>
              </a:graphicData>
            </a:graphic>
          </wp:inline>
        </w:drawing>
      </w:r>
    </w:p>
    <w:p>
      <w:pPr>
        <w:autoSpaceDE w:val="0"/>
        <w:autoSpaceDN w:val="0"/>
        <w:adjustRightInd w:val="0"/>
        <w:snapToGrid w:val="0"/>
        <w:spacing w:line="360" w:lineRule="auto"/>
      </w:pPr>
    </w:p>
    <w:p>
      <w:pPr>
        <w:autoSpaceDE w:val="0"/>
        <w:autoSpaceDN w:val="0"/>
        <w:adjustRightInd w:val="0"/>
        <w:snapToGrid w:val="0"/>
        <w:spacing w:line="360" w:lineRule="auto"/>
      </w:pPr>
    </w:p>
    <w:p>
      <w:pPr>
        <w:autoSpaceDE w:val="0"/>
        <w:autoSpaceDN w:val="0"/>
        <w:adjustRightInd w:val="0"/>
        <w:snapToGrid w:val="0"/>
        <w:spacing w:line="360" w:lineRule="auto"/>
      </w:pPr>
    </w:p>
    <w:p>
      <w:pPr>
        <w:autoSpaceDE w:val="0"/>
        <w:autoSpaceDN w:val="0"/>
        <w:adjustRightInd w:val="0"/>
        <w:snapToGrid w:val="0"/>
        <w:spacing w:line="360" w:lineRule="auto"/>
      </w:pPr>
    </w:p>
    <w:p>
      <w:pPr>
        <w:autoSpaceDE w:val="0"/>
        <w:autoSpaceDN w:val="0"/>
        <w:adjustRightInd w:val="0"/>
        <w:snapToGrid w:val="0"/>
        <w:spacing w:line="360" w:lineRule="auto"/>
      </w:pPr>
    </w:p>
    <w:p>
      <w:pPr>
        <w:autoSpaceDE w:val="0"/>
        <w:autoSpaceDN w:val="0"/>
        <w:adjustRightInd w:val="0"/>
        <w:snapToGrid w:val="0"/>
        <w:spacing w:line="360" w:lineRule="auto"/>
        <w:rPr>
          <w:rFonts w:ascii="宋体" w:hAnsi="宋体" w:cs="宋体"/>
          <w:b/>
          <w:sz w:val="24"/>
          <w:lang w:val="zh-CN"/>
        </w:rPr>
      </w:pPr>
      <w:r>
        <w:rPr>
          <w:rFonts w:hint="eastAsia" w:ascii="宋体" w:hAnsi="宋体"/>
          <w:color w:val="000000"/>
          <w:sz w:val="24"/>
        </w:rPr>
        <w:t>予埋件</w:t>
      </w:r>
      <w:r>
        <w:rPr>
          <w:rFonts w:hint="eastAsia" w:ascii="宋体" w:hAnsi="宋体"/>
          <w:sz w:val="24"/>
        </w:rPr>
        <w:t>产品样式图</w:t>
      </w:r>
      <w:r>
        <w:rPr>
          <w:rFonts w:hint="eastAsia" w:ascii="宋体" w:hAnsi="宋体"/>
          <w:color w:val="000000"/>
          <w:sz w:val="24"/>
        </w:rPr>
        <w:t>：</w:t>
      </w:r>
    </w:p>
    <w:p>
      <w:pPr>
        <w:autoSpaceDE w:val="0"/>
        <w:autoSpaceDN w:val="0"/>
        <w:adjustRightInd w:val="0"/>
        <w:snapToGrid w:val="0"/>
        <w:spacing w:line="360" w:lineRule="auto"/>
        <w:rPr>
          <w:rFonts w:ascii="宋体" w:hAnsi="宋体" w:cs="宋体"/>
          <w:b/>
          <w:sz w:val="24"/>
          <w:lang w:val="zh-CN"/>
        </w:rPr>
      </w:pPr>
      <w:r>
        <w:rPr>
          <w:rFonts w:ascii="宋体" w:hAnsi="宋体" w:cs="宋体"/>
          <w:b/>
          <w:sz w:val="24"/>
        </w:rPr>
        <w:drawing>
          <wp:inline distT="0" distB="0" distL="0" distR="0">
            <wp:extent cx="4457700" cy="2847975"/>
            <wp:effectExtent l="19050" t="0" r="0" b="0"/>
            <wp:docPr id="16" name="图片 4" descr="预埋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预埋件、"/>
                    <pic:cNvPicPr>
                      <a:picLocks noChangeAspect="1" noChangeArrowheads="1"/>
                    </pic:cNvPicPr>
                  </pic:nvPicPr>
                  <pic:blipFill>
                    <a:blip r:embed="rId8" cstate="print"/>
                    <a:srcRect/>
                    <a:stretch>
                      <a:fillRect/>
                    </a:stretch>
                  </pic:blipFill>
                  <pic:spPr>
                    <a:xfrm>
                      <a:off x="0" y="0"/>
                      <a:ext cx="4457700" cy="2847975"/>
                    </a:xfrm>
                    <a:prstGeom prst="rect">
                      <a:avLst/>
                    </a:prstGeom>
                    <a:noFill/>
                    <a:ln w="9525">
                      <a:noFill/>
                      <a:miter lim="800000"/>
                      <a:headEnd/>
                      <a:tailEnd/>
                    </a:ln>
                  </pic:spPr>
                </pic:pic>
              </a:graphicData>
            </a:graphic>
          </wp:inline>
        </w:drawing>
      </w:r>
    </w:p>
    <w:p>
      <w:pPr>
        <w:pStyle w:val="30"/>
        <w:spacing w:before="0" w:after="0"/>
        <w:jc w:val="both"/>
        <w:outlineLvl w:val="9"/>
        <w:rPr>
          <w:rFonts w:ascii="宋体" w:hAnsi="宋体" w:eastAsia="宋体"/>
          <w:bCs w:val="0"/>
          <w:sz w:val="24"/>
          <w:szCs w:val="24"/>
        </w:rPr>
      </w:pPr>
      <w:r>
        <w:rPr>
          <w:rFonts w:hint="eastAsia" w:ascii="宋体" w:hAnsi="宋体" w:eastAsia="宋体"/>
          <w:bCs w:val="0"/>
          <w:color w:val="000000"/>
          <w:sz w:val="24"/>
          <w:szCs w:val="24"/>
        </w:rPr>
        <w:t>灯柱</w:t>
      </w:r>
      <w:r>
        <w:rPr>
          <w:rFonts w:hint="eastAsia" w:ascii="宋体" w:hAnsi="宋体" w:eastAsia="宋体"/>
          <w:bCs w:val="0"/>
          <w:sz w:val="24"/>
          <w:szCs w:val="24"/>
        </w:rPr>
        <w:t>产品样式图</w:t>
      </w:r>
    </w:p>
    <w:p>
      <w:pPr>
        <w:autoSpaceDE w:val="0"/>
        <w:autoSpaceDN w:val="0"/>
        <w:adjustRightInd w:val="0"/>
        <w:snapToGrid w:val="0"/>
        <w:spacing w:line="360" w:lineRule="auto"/>
        <w:rPr>
          <w:rFonts w:ascii="宋体" w:hAnsi="宋体" w:cs="宋体"/>
          <w:b/>
          <w:sz w:val="24"/>
          <w:lang w:val="zh-CN"/>
        </w:rPr>
      </w:pPr>
      <w:r>
        <w:rPr>
          <w:rFonts w:ascii="宋体" w:hAnsi="宋体" w:cs="宋体"/>
          <w:b/>
          <w:sz w:val="24"/>
        </w:rPr>
        <w:drawing>
          <wp:inline distT="0" distB="0" distL="0" distR="0">
            <wp:extent cx="3181350" cy="3000375"/>
            <wp:effectExtent l="19050" t="0" r="0" b="0"/>
            <wp:docPr id="15" name="图片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01"/>
                    <pic:cNvPicPr>
                      <a:picLocks noChangeAspect="1" noChangeArrowheads="1"/>
                    </pic:cNvPicPr>
                  </pic:nvPicPr>
                  <pic:blipFill>
                    <a:blip r:embed="rId9" cstate="print"/>
                    <a:srcRect/>
                    <a:stretch>
                      <a:fillRect/>
                    </a:stretch>
                  </pic:blipFill>
                  <pic:spPr>
                    <a:xfrm>
                      <a:off x="0" y="0"/>
                      <a:ext cx="3181350" cy="3000375"/>
                    </a:xfrm>
                    <a:prstGeom prst="rect">
                      <a:avLst/>
                    </a:prstGeom>
                    <a:noFill/>
                    <a:ln w="9525">
                      <a:noFill/>
                      <a:miter lim="800000"/>
                      <a:headEnd/>
                      <a:tailEnd/>
                    </a:ln>
                  </pic:spPr>
                </pic:pic>
              </a:graphicData>
            </a:graphic>
          </wp:inline>
        </w:drawing>
      </w:r>
      <w:r>
        <w:rPr>
          <w:rFonts w:ascii="宋体" w:hAnsi="宋体" w:cs="宋体"/>
          <w:b/>
          <w:sz w:val="24"/>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792480</wp:posOffset>
            </wp:positionV>
            <wp:extent cx="1486535" cy="1979930"/>
            <wp:effectExtent l="114300" t="76200" r="94615" b="58420"/>
            <wp:wrapSquare wrapText="bothSides"/>
            <wp:docPr id="20" name="图片 2" descr="SSL1511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SSL15114606"/>
                    <pic:cNvPicPr>
                      <a:picLocks noChangeAspect="1" noChangeArrowheads="1"/>
                    </pic:cNvPicPr>
                  </pic:nvPicPr>
                  <pic:blipFill>
                    <a:blip r:embed="rId10" cstate="print"/>
                    <a:srcRect/>
                    <a:stretch>
                      <a:fillRect/>
                    </a:stretch>
                  </pic:blipFill>
                  <pic:spPr>
                    <a:xfrm rot="-324218">
                      <a:off x="0" y="0"/>
                      <a:ext cx="1486535" cy="1979930"/>
                    </a:xfrm>
                    <a:prstGeom prst="rect">
                      <a:avLst/>
                    </a:prstGeom>
                    <a:noFill/>
                    <a:ln w="9525">
                      <a:noFill/>
                      <a:miter lim="800000"/>
                      <a:headEnd/>
                      <a:tailEnd/>
                    </a:ln>
                  </pic:spPr>
                </pic:pic>
              </a:graphicData>
            </a:graphic>
          </wp:anchor>
        </w:drawing>
      </w:r>
    </w:p>
    <w:p>
      <w:pPr>
        <w:autoSpaceDE w:val="0"/>
        <w:autoSpaceDN w:val="0"/>
        <w:adjustRightInd w:val="0"/>
        <w:snapToGrid w:val="0"/>
        <w:spacing w:line="360" w:lineRule="auto"/>
        <w:rPr>
          <w:rFonts w:ascii="宋体" w:hAnsi="宋体" w:cs="宋体"/>
          <w:b/>
          <w:sz w:val="24"/>
          <w:lang w:val="zh-CN"/>
        </w:rPr>
      </w:pPr>
    </w:p>
    <w:p>
      <w:pPr>
        <w:autoSpaceDE w:val="0"/>
        <w:autoSpaceDN w:val="0"/>
        <w:adjustRightInd w:val="0"/>
        <w:snapToGrid w:val="0"/>
        <w:spacing w:line="360" w:lineRule="auto"/>
        <w:rPr>
          <w:rFonts w:asciiTheme="minorEastAsia" w:hAnsiTheme="minorEastAsia" w:eastAsiaTheme="minorEastAsia"/>
          <w:b/>
          <w:kern w:val="0"/>
          <w:sz w:val="24"/>
        </w:rPr>
      </w:pPr>
      <w:r>
        <w:rPr>
          <w:rFonts w:hint="eastAsia" w:cs="宋体" w:asciiTheme="minorEastAsia" w:hAnsiTheme="minorEastAsia" w:eastAsiaTheme="minorEastAsia"/>
          <w:b/>
          <w:sz w:val="24"/>
          <w:lang w:val="zh-CN"/>
        </w:rPr>
        <w:t>D包：</w:t>
      </w:r>
      <w:r>
        <w:rPr>
          <w:rFonts w:hint="eastAsia" w:asciiTheme="minorEastAsia" w:hAnsiTheme="minorEastAsia" w:eastAsiaTheme="minorEastAsia"/>
          <w:b/>
          <w:kern w:val="0"/>
          <w:sz w:val="24"/>
        </w:rPr>
        <w:t>社区多功能公共运动场</w:t>
      </w:r>
    </w:p>
    <w:tbl>
      <w:tblPr>
        <w:tblStyle w:val="37"/>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50"/>
        <w:gridCol w:w="6662"/>
        <w:gridCol w:w="85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序号</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名称</w:t>
            </w:r>
          </w:p>
        </w:tc>
        <w:tc>
          <w:tcPr>
            <w:tcW w:w="6662"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主要技术参数及规格</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单位</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sz w:val="24"/>
              </w:rPr>
              <w:t>地埋式室外篮球架</w:t>
            </w:r>
          </w:p>
        </w:tc>
        <w:tc>
          <w:tcPr>
            <w:tcW w:w="6662" w:type="dxa"/>
            <w:vAlign w:val="center"/>
          </w:tcPr>
          <w:p>
            <w:pPr>
              <w:tabs>
                <w:tab w:val="left" w:pos="6240"/>
              </w:tabs>
              <w:rPr>
                <w:rFonts w:ascii="宋体" w:hAnsi="宋体"/>
                <w:color w:val="000000" w:themeColor="text1"/>
                <w:szCs w:val="21"/>
              </w:rPr>
            </w:pPr>
            <w:r>
              <w:rPr>
                <w:rFonts w:hint="eastAsia" w:ascii="宋体" w:hAnsi="宋体"/>
                <w:color w:val="000000" w:themeColor="text1"/>
                <w:szCs w:val="21"/>
              </w:rPr>
              <w:t>1、应符合GB19272-2011《室外健身器材的安全通用要求》及球架|触球竞赛规则。产品取得国体NSCC认证证书及国家体育用品质量监督检验中心检验报告。篮圈上沿距地面3050mm。篮架主立柱采用180×4mm ，横梁采用150×4mm，横臂管壁厚度不小于2.5mm。篮板应选用1800mm×1050 mm的矩形篮板（材质为SMC），其背面配置太阳能照明系统并配置弹性篮圈及优质篮网。篮架各部焊接要求严密牢固，无漏焊，虚焊，包渣，裂纹等缺陷。所有钢制件均经过酸洗，磷化，抛丸等初级处理后在喷涂线上采用不含有毒元素的涂层完成最后表面处理。</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1"/>
                <w:szCs w:val="21"/>
              </w:rPr>
              <w:t>2</w:t>
            </w:r>
            <w:r>
              <w:rPr>
                <w:rFonts w:asciiTheme="minorEastAsia" w:hAnsiTheme="minorEastAsia" w:eastAsiaTheme="minorEastAsia"/>
                <w:b w:val="0"/>
                <w:bCs w:val="0"/>
                <w:color w:val="000000"/>
                <w:sz w:val="21"/>
                <w:szCs w:val="21"/>
              </w:rPr>
              <w:t>.</w:t>
            </w:r>
            <w:r>
              <w:rPr>
                <w:rFonts w:hint="eastAsia" w:asciiTheme="minorEastAsia" w:hAnsiTheme="minorEastAsia" w:eastAsiaTheme="minorEastAsia"/>
                <w:b w:val="0"/>
                <w:bCs w:val="0"/>
                <w:color w:val="000000"/>
                <w:sz w:val="21"/>
                <w:szCs w:val="21"/>
              </w:rPr>
              <w:t>篮板投篮区背面应有不小于</w:t>
            </w:r>
            <w:r>
              <w:rPr>
                <w:rFonts w:asciiTheme="minorEastAsia" w:hAnsiTheme="minorEastAsia" w:eastAsiaTheme="minorEastAsia"/>
                <w:b w:val="0"/>
                <w:bCs w:val="0"/>
                <w:color w:val="000000"/>
                <w:sz w:val="21"/>
                <w:szCs w:val="21"/>
              </w:rPr>
              <w:t>570mm</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150mm</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5mm</w:t>
            </w:r>
            <w:r>
              <w:rPr>
                <w:rFonts w:hint="eastAsia" w:asciiTheme="minorEastAsia" w:hAnsiTheme="minorEastAsia" w:eastAsiaTheme="minorEastAsia"/>
                <w:b w:val="0"/>
                <w:bCs w:val="0"/>
                <w:color w:val="000000"/>
                <w:sz w:val="21"/>
                <w:szCs w:val="21"/>
              </w:rPr>
              <w:t>的加强钢</w:t>
            </w:r>
            <w:r>
              <w:rPr>
                <w:rFonts w:hint="eastAsia" w:asciiTheme="minorEastAsia" w:hAnsiTheme="minorEastAsia" w:eastAsiaTheme="minorEastAsia"/>
                <w:b w:val="0"/>
                <w:bCs w:val="0"/>
                <w:color w:val="000000"/>
                <w:sz w:val="24"/>
                <w:szCs w:val="24"/>
              </w:rPr>
              <w:t>板；</w:t>
            </w:r>
          </w:p>
          <w:p>
            <w:pPr>
              <w:pStyle w:val="30"/>
              <w:spacing w:before="0" w:after="0" w:line="360" w:lineRule="auto"/>
              <w:jc w:val="both"/>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3</w:t>
            </w:r>
            <w:r>
              <w:rPr>
                <w:rFonts w:asciiTheme="minorEastAsia" w:hAnsiTheme="minorEastAsia" w:eastAsiaTheme="minorEastAsia"/>
                <w:b w:val="0"/>
                <w:bCs w:val="0"/>
                <w:color w:val="000000"/>
                <w:sz w:val="24"/>
                <w:szCs w:val="24"/>
              </w:rPr>
              <w:t>.</w:t>
            </w:r>
            <w:r>
              <w:rPr>
                <w:rFonts w:hint="eastAsia" w:asciiTheme="minorEastAsia" w:hAnsiTheme="minorEastAsia" w:eastAsiaTheme="minorEastAsia"/>
                <w:b w:val="0"/>
                <w:bCs w:val="0"/>
                <w:color w:val="000000"/>
                <w:sz w:val="24"/>
                <w:szCs w:val="24"/>
              </w:rPr>
              <w:t>篮圈：优质圆钢，呈橙色，弹簧篮圈；</w:t>
            </w:r>
          </w:p>
          <w:p>
            <w:pPr>
              <w:autoSpaceDE w:val="0"/>
              <w:autoSpaceDN w:val="0"/>
              <w:adjustRightInd w:val="0"/>
              <w:spacing w:line="360" w:lineRule="auto"/>
              <w:jc w:val="center"/>
              <w:rPr>
                <w:rFonts w:cs="宋体" w:asciiTheme="minorEastAsia" w:hAnsiTheme="minorEastAsia" w:eastAsiaTheme="minorEastAsia"/>
                <w:kern w:val="0"/>
                <w:sz w:val="24"/>
              </w:rPr>
            </w:pP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支</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sz w:val="24"/>
              </w:rPr>
              <w:t>五人制足球门</w:t>
            </w:r>
          </w:p>
        </w:tc>
        <w:tc>
          <w:tcPr>
            <w:tcW w:w="6662" w:type="dxa"/>
            <w:vAlign w:val="center"/>
          </w:tcPr>
          <w:p>
            <w:pPr>
              <w:pStyle w:val="14"/>
              <w:spacing w:line="360" w:lineRule="auto"/>
              <w:rPr>
                <w:rFonts w:cs="Arial" w:asciiTheme="minorEastAsia" w:hAnsiTheme="minorEastAsia" w:eastAsiaTheme="minorEastAsia"/>
                <w:bCs/>
                <w:sz w:val="24"/>
              </w:rPr>
            </w:pPr>
            <w:r>
              <w:rPr>
                <w:rFonts w:hint="eastAsia" w:asciiTheme="minorEastAsia" w:hAnsiTheme="minorEastAsia" w:eastAsiaTheme="minorEastAsia"/>
                <w:color w:val="000000"/>
                <w:sz w:val="24"/>
              </w:rPr>
              <w:t>标准</w:t>
            </w:r>
            <w:r>
              <w:rPr>
                <w:rFonts w:asciiTheme="minorEastAsia" w:hAnsiTheme="minorEastAsia" w:eastAsiaTheme="minorEastAsia"/>
                <w:color w:val="000000"/>
                <w:sz w:val="24"/>
              </w:rPr>
              <w:t>:</w:t>
            </w:r>
            <w:r>
              <w:rPr>
                <w:rFonts w:asciiTheme="minorEastAsia" w:hAnsiTheme="minorEastAsia" w:eastAsiaTheme="minorEastAsia"/>
                <w:sz w:val="24"/>
              </w:rPr>
              <w:t xml:space="preserve"> GB/T19851.15-2007</w:t>
            </w:r>
          </w:p>
          <w:p>
            <w:pPr>
              <w:pStyle w:val="14"/>
              <w:spacing w:line="360" w:lineRule="auto"/>
              <w:rPr>
                <w:rFonts w:asciiTheme="minorEastAsia" w:hAnsiTheme="minorEastAsia" w:eastAsiaTheme="minorEastAsia"/>
                <w:bCs/>
                <w:sz w:val="24"/>
              </w:rPr>
            </w:pPr>
            <w:r>
              <w:rPr>
                <w:rFonts w:hint="eastAsia" w:asciiTheme="minorEastAsia" w:hAnsiTheme="minorEastAsia" w:eastAsiaTheme="minorEastAsia"/>
                <w:sz w:val="24"/>
              </w:rPr>
              <w:t>标准五人制足球门，球门内侧尺寸为</w:t>
            </w:r>
            <w:r>
              <w:rPr>
                <w:rFonts w:asciiTheme="minorEastAsia" w:hAnsiTheme="minorEastAsia" w:eastAsiaTheme="minorEastAsia"/>
                <w:sz w:val="24"/>
              </w:rPr>
              <w:t>3</w:t>
            </w:r>
            <w:r>
              <w:rPr>
                <w:rFonts w:hint="eastAsia" w:asciiTheme="minorEastAsia" w:hAnsiTheme="minorEastAsia" w:eastAsiaTheme="minorEastAsia"/>
                <w:sz w:val="24"/>
              </w:rPr>
              <w:t>米</w:t>
            </w:r>
            <w:r>
              <w:rPr>
                <w:rFonts w:asciiTheme="minorEastAsia" w:hAnsiTheme="minorEastAsia" w:eastAsiaTheme="minorEastAsia"/>
                <w:sz w:val="24"/>
              </w:rPr>
              <w:t>(</w:t>
            </w:r>
            <w:r>
              <w:rPr>
                <w:rFonts w:hint="eastAsia" w:asciiTheme="minorEastAsia" w:hAnsiTheme="minorEastAsia" w:eastAsiaTheme="minorEastAsia"/>
                <w:sz w:val="24"/>
              </w:rPr>
              <w:t>长</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米</w:t>
            </w:r>
            <w:r>
              <w:rPr>
                <w:rFonts w:asciiTheme="minorEastAsia" w:hAnsiTheme="minorEastAsia" w:eastAsiaTheme="minorEastAsia"/>
                <w:sz w:val="24"/>
              </w:rPr>
              <w:t>(</w:t>
            </w:r>
            <w:r>
              <w:rPr>
                <w:rFonts w:hint="eastAsia" w:asciiTheme="minorEastAsia" w:hAnsiTheme="minorEastAsia" w:eastAsiaTheme="minorEastAsia"/>
                <w:sz w:val="24"/>
              </w:rPr>
              <w:t>高</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1.5</w:t>
            </w:r>
            <w:r>
              <w:rPr>
                <w:rFonts w:hint="eastAsia" w:asciiTheme="minorEastAsia" w:hAnsiTheme="minorEastAsia" w:eastAsiaTheme="minorEastAsia"/>
                <w:sz w:val="24"/>
              </w:rPr>
              <w:t>米</w:t>
            </w:r>
            <w:r>
              <w:rPr>
                <w:rFonts w:asciiTheme="minorEastAsia" w:hAnsiTheme="minorEastAsia" w:eastAsiaTheme="minorEastAsia"/>
                <w:sz w:val="24"/>
              </w:rPr>
              <w:t>(</w:t>
            </w:r>
            <w:r>
              <w:rPr>
                <w:rFonts w:hint="eastAsia" w:asciiTheme="minorEastAsia" w:hAnsiTheme="minorEastAsia" w:eastAsiaTheme="minorEastAsia"/>
                <w:sz w:val="24"/>
              </w:rPr>
              <w:t>底部深</w:t>
            </w:r>
            <w:r>
              <w:rPr>
                <w:rFonts w:asciiTheme="minorEastAsia" w:hAnsiTheme="minorEastAsia" w:eastAsiaTheme="minorEastAsia"/>
                <w:sz w:val="24"/>
              </w:rPr>
              <w:t>)</w:t>
            </w:r>
            <w:r>
              <w:rPr>
                <w:rFonts w:hint="eastAsia" w:asciiTheme="minorEastAsia" w:hAnsiTheme="minorEastAsia" w:eastAsiaTheme="minorEastAsia"/>
                <w:sz w:val="24"/>
              </w:rPr>
              <w:t>，球门侧面为梯形结构，主立柱采用φ</w:t>
            </w:r>
            <w:r>
              <w:rPr>
                <w:rFonts w:asciiTheme="minorEastAsia" w:hAnsiTheme="minorEastAsia" w:eastAsiaTheme="minorEastAsia"/>
                <w:sz w:val="24"/>
              </w:rPr>
              <w:t>76</w:t>
            </w:r>
            <w:r>
              <w:rPr>
                <w:rFonts w:hint="eastAsia" w:asciiTheme="minorEastAsia" w:hAnsiTheme="minorEastAsia" w:eastAsiaTheme="minorEastAsia"/>
                <w:sz w:val="24"/>
              </w:rPr>
              <w:t>×</w:t>
            </w:r>
            <w:r>
              <w:rPr>
                <w:rFonts w:asciiTheme="minorEastAsia" w:hAnsiTheme="minorEastAsia" w:eastAsiaTheme="minorEastAsia"/>
                <w:sz w:val="24"/>
              </w:rPr>
              <w:t>3.0mm</w:t>
            </w:r>
            <w:r>
              <w:rPr>
                <w:rFonts w:hint="eastAsia" w:asciiTheme="minorEastAsia" w:hAnsiTheme="minorEastAsia" w:eastAsiaTheme="minorEastAsia"/>
                <w:sz w:val="24"/>
              </w:rPr>
              <w:t>圆管，球门可移动、折叠，折叠后固定于立柱</w:t>
            </w:r>
            <w:r>
              <w:rPr>
                <w:rFonts w:asciiTheme="minorEastAsia" w:hAnsiTheme="minorEastAsia" w:eastAsiaTheme="minorEastAsia"/>
                <w:sz w:val="24"/>
              </w:rPr>
              <w:t>,</w:t>
            </w:r>
            <w:r>
              <w:rPr>
                <w:rFonts w:hint="eastAsia" w:asciiTheme="minorEastAsia" w:hAnsiTheme="minorEastAsia" w:eastAsiaTheme="minorEastAsia"/>
                <w:sz w:val="24"/>
              </w:rPr>
              <w:t>与围网一体，稳固安全。</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副</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sz w:val="24"/>
              </w:rPr>
              <w:t>移动羽毛球网柱</w:t>
            </w:r>
          </w:p>
        </w:tc>
        <w:tc>
          <w:tcPr>
            <w:tcW w:w="6662" w:type="dxa"/>
            <w:vAlign w:val="center"/>
          </w:tcPr>
          <w:p>
            <w:pPr>
              <w:pStyle w:val="95"/>
              <w:spacing w:line="360" w:lineRule="auto"/>
              <w:ind w:firstLine="0" w:firstLineChars="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主管采用的是</w:t>
            </w:r>
            <w:r>
              <w:rPr>
                <w:rFonts w:hint="eastAsia" w:asciiTheme="minorEastAsia" w:hAnsiTheme="minorEastAsia" w:eastAsiaTheme="minorEastAsia"/>
                <w:sz w:val="24"/>
                <w:szCs w:val="24"/>
              </w:rPr>
              <w:t>φ</w:t>
            </w:r>
            <w:r>
              <w:rPr>
                <w:rFonts w:asciiTheme="minorEastAsia" w:hAnsiTheme="minorEastAsia" w:eastAsiaTheme="minorEastAsia"/>
                <w:sz w:val="24"/>
                <w:szCs w:val="24"/>
              </w:rPr>
              <w:t>42*3mm</w:t>
            </w:r>
            <w:r>
              <w:rPr>
                <w:rFonts w:hint="eastAsia" w:cs="仿宋_GB2312" w:asciiTheme="minorEastAsia" w:hAnsiTheme="minorEastAsia" w:eastAsiaTheme="minorEastAsia"/>
                <w:color w:val="000000"/>
                <w:sz w:val="24"/>
                <w:szCs w:val="24"/>
              </w:rPr>
              <w:t>的优质管材；</w:t>
            </w:r>
          </w:p>
          <w:p>
            <w:pPr>
              <w:pStyle w:val="95"/>
              <w:spacing w:line="360" w:lineRule="auto"/>
              <w:ind w:firstLine="0" w:firstLineChars="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底座尺寸是</w:t>
            </w:r>
            <w:r>
              <w:rPr>
                <w:rFonts w:cs="仿宋_GB2312" w:asciiTheme="minorEastAsia" w:hAnsiTheme="minorEastAsia" w:eastAsiaTheme="minorEastAsia"/>
                <w:color w:val="000000"/>
                <w:sz w:val="24"/>
                <w:szCs w:val="24"/>
              </w:rPr>
              <w:t>600*400*98mm</w:t>
            </w:r>
            <w:r>
              <w:rPr>
                <w:rFonts w:hint="eastAsia" w:cs="仿宋_GB2312" w:asciiTheme="minorEastAsia" w:hAnsiTheme="minorEastAsia" w:eastAsiaTheme="minorEastAsia"/>
                <w:color w:val="000000"/>
                <w:sz w:val="24"/>
                <w:szCs w:val="24"/>
              </w:rPr>
              <w:t>，配重为铸铁，</w:t>
            </w:r>
            <w:r>
              <w:rPr>
                <w:rFonts w:hint="eastAsia" w:cs="宋体" w:asciiTheme="minorEastAsia" w:hAnsiTheme="minorEastAsia" w:eastAsiaTheme="minorEastAsia"/>
                <w:color w:val="000000"/>
                <w:sz w:val="24"/>
                <w:szCs w:val="24"/>
              </w:rPr>
              <w:t>内置</w:t>
            </w:r>
            <w:r>
              <w:rPr>
                <w:rFonts w:hint="eastAsia" w:asciiTheme="minorEastAsia" w:hAnsiTheme="minorEastAsia" w:eastAsiaTheme="minorEastAsia"/>
                <w:color w:val="000000"/>
                <w:sz w:val="24"/>
                <w:szCs w:val="24"/>
              </w:rPr>
              <w:t>移动轮；</w:t>
            </w:r>
          </w:p>
          <w:p>
            <w:pPr>
              <w:pStyle w:val="95"/>
              <w:spacing w:line="360" w:lineRule="auto"/>
              <w:ind w:firstLine="0" w:firstLineChars="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外表采用静电喷塑工艺；可有效防晒、雨水、风沙、等自然因素造成的侵蚀。色泽均匀亮丽持久，器材配有不锈钢标识牌，提示相关注意事项和出厂日期。</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套</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sz w:val="24"/>
              </w:rPr>
              <w:t>围网系统</w:t>
            </w:r>
          </w:p>
        </w:tc>
        <w:tc>
          <w:tcPr>
            <w:tcW w:w="6662" w:type="dxa"/>
            <w:vAlign w:val="center"/>
          </w:tcPr>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a</w:t>
            </w:r>
            <w:r>
              <w:rPr>
                <w:rFonts w:hint="eastAsia" w:asciiTheme="minorEastAsia" w:hAnsiTheme="minorEastAsia" w:eastAsiaTheme="minorEastAsia"/>
                <w:color w:val="000000"/>
                <w:sz w:val="24"/>
              </w:rPr>
              <w:t>）通过国家体育用品质量监督检验中心检测；</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w:t>
            </w:r>
            <w:r>
              <w:rPr>
                <w:rFonts w:asciiTheme="minorEastAsia" w:hAnsiTheme="minorEastAsia" w:eastAsiaTheme="minorEastAsia"/>
                <w:sz w:val="24"/>
              </w:rPr>
              <w:t>b</w:t>
            </w:r>
            <w:r>
              <w:rPr>
                <w:rFonts w:hint="eastAsia" w:asciiTheme="minorEastAsia" w:hAnsiTheme="minorEastAsia" w:eastAsiaTheme="minorEastAsia"/>
                <w:sz w:val="24"/>
              </w:rPr>
              <w:t>）框架：</w:t>
            </w:r>
            <w:r>
              <w:rPr>
                <w:rFonts w:hint="eastAsia" w:asciiTheme="minorEastAsia" w:hAnsiTheme="minorEastAsia" w:eastAsiaTheme="minorEastAsia"/>
                <w:color w:val="000000"/>
                <w:sz w:val="24"/>
              </w:rPr>
              <w:t>围网立柱采用不小于（Q235B材质）Ф</w:t>
            </w: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mm</w:t>
            </w:r>
            <w:r>
              <w:rPr>
                <w:rFonts w:hint="eastAsia" w:asciiTheme="minorEastAsia" w:hAnsiTheme="minorEastAsia" w:eastAsiaTheme="minorEastAsia"/>
                <w:color w:val="000000"/>
                <w:sz w:val="24"/>
              </w:rPr>
              <w:t>，管壁厚度为不小于</w:t>
            </w:r>
            <w:r>
              <w:rPr>
                <w:rFonts w:asciiTheme="minorEastAsia" w:hAnsiTheme="minorEastAsia" w:eastAsiaTheme="minorEastAsia"/>
                <w:color w:val="000000"/>
                <w:sz w:val="24"/>
              </w:rPr>
              <w:t>3mm</w:t>
            </w:r>
            <w:r>
              <w:rPr>
                <w:rFonts w:hint="eastAsia" w:asciiTheme="minorEastAsia" w:hAnsiTheme="minorEastAsia" w:eastAsiaTheme="minorEastAsia"/>
                <w:color w:val="000000"/>
                <w:sz w:val="24"/>
              </w:rPr>
              <w:t>的优质钢管，围网采用模块拼接式，单个网片规格为</w:t>
            </w:r>
            <w:r>
              <w:rPr>
                <w:rFonts w:asciiTheme="minorEastAsia" w:hAnsiTheme="minorEastAsia" w:eastAsiaTheme="minorEastAsia"/>
                <w:color w:val="000000"/>
                <w:sz w:val="24"/>
              </w:rPr>
              <w:t>3000(</w:t>
            </w:r>
            <w:r>
              <w:rPr>
                <w:rFonts w:hint="eastAsia" w:asciiTheme="minorEastAsia" w:hAnsiTheme="minorEastAsia" w:eastAsiaTheme="minorEastAsia"/>
                <w:color w:val="000000"/>
                <w:sz w:val="24"/>
              </w:rPr>
              <w:t>长</w:t>
            </w:r>
            <w:r>
              <w:rPr>
                <w:rFonts w:asciiTheme="minorEastAsia" w:hAnsiTheme="minorEastAsia" w:eastAsiaTheme="minorEastAsia"/>
                <w:color w:val="000000"/>
                <w:sz w:val="24"/>
              </w:rPr>
              <w:t>)mm x2000</w:t>
            </w:r>
            <w:r>
              <w:rPr>
                <w:rFonts w:hint="eastAsia" w:asciiTheme="minorEastAsia" w:hAnsiTheme="minorEastAsia" w:eastAsiaTheme="minorEastAsia"/>
                <w:color w:val="000000"/>
                <w:sz w:val="24"/>
              </w:rPr>
              <w:t>（高）</w:t>
            </w:r>
            <w:r>
              <w:rPr>
                <w:rFonts w:asciiTheme="minorEastAsia" w:hAnsiTheme="minorEastAsia" w:eastAsiaTheme="minorEastAsia"/>
                <w:color w:val="000000"/>
                <w:sz w:val="24"/>
              </w:rPr>
              <w:t>mm</w:t>
            </w:r>
            <w:r>
              <w:rPr>
                <w:rFonts w:hint="eastAsia" w:asciiTheme="minorEastAsia" w:hAnsiTheme="minorEastAsia" w:eastAsiaTheme="minorEastAsia"/>
                <w:color w:val="000000"/>
                <w:sz w:val="24"/>
              </w:rPr>
              <w:t>，围网总高度不小于</w:t>
            </w:r>
            <w:r>
              <w:rPr>
                <w:rFonts w:asciiTheme="minorEastAsia" w:hAnsiTheme="minorEastAsia" w:eastAsiaTheme="minorEastAsia"/>
                <w:color w:val="000000"/>
                <w:sz w:val="24"/>
              </w:rPr>
              <w:t>4000mm</w:t>
            </w:r>
            <w:r>
              <w:rPr>
                <w:rFonts w:hint="eastAsia" w:asciiTheme="minorEastAsia" w:hAnsiTheme="minorEastAsia" w:eastAsiaTheme="minorEastAsia"/>
                <w:color w:val="000000"/>
                <w:sz w:val="24"/>
              </w:rPr>
              <w:t>，现场立柱预埋后安装网片，立柱选用</w:t>
            </w:r>
            <w:r>
              <w:rPr>
                <w:rFonts w:hint="eastAsia" w:asciiTheme="minorEastAsia" w:hAnsiTheme="minorEastAsia" w:eastAsiaTheme="minorEastAsia"/>
                <w:bCs/>
                <w:sz w:val="24"/>
              </w:rPr>
              <w:t>不少于</w:t>
            </w:r>
            <w:r>
              <w:rPr>
                <w:rFonts w:asciiTheme="minorEastAsia" w:hAnsiTheme="minorEastAsia" w:eastAsiaTheme="minorEastAsia"/>
                <w:color w:val="000000"/>
                <w:sz w:val="24"/>
              </w:rPr>
              <w:t>28</w:t>
            </w:r>
            <w:r>
              <w:rPr>
                <w:rFonts w:hint="eastAsia" w:asciiTheme="minorEastAsia" w:hAnsiTheme="minorEastAsia" w:eastAsiaTheme="minorEastAsia"/>
                <w:color w:val="000000"/>
                <w:sz w:val="24"/>
              </w:rPr>
              <w:t>个独立地埋固定方式，围网框架采用不小于（Q235B材质）Ф</w:t>
            </w:r>
            <w:r>
              <w:rPr>
                <w:rFonts w:asciiTheme="minorEastAsia" w:hAnsiTheme="minorEastAsia" w:eastAsiaTheme="minorEastAsia"/>
                <w:color w:val="000000"/>
                <w:sz w:val="24"/>
              </w:rPr>
              <w:t>40mm</w:t>
            </w:r>
            <w:r>
              <w:rPr>
                <w:rFonts w:hint="eastAsia" w:asciiTheme="minorEastAsia" w:hAnsiTheme="minorEastAsia" w:eastAsiaTheme="minorEastAsia"/>
                <w:color w:val="000000"/>
                <w:sz w:val="24"/>
              </w:rPr>
              <w:t>，管壁厚度不小于</w:t>
            </w:r>
            <w:r>
              <w:rPr>
                <w:rFonts w:asciiTheme="minorEastAsia" w:hAnsiTheme="minorEastAsia" w:eastAsiaTheme="minorEastAsia"/>
                <w:color w:val="000000"/>
                <w:sz w:val="24"/>
              </w:rPr>
              <w:t>2mm</w:t>
            </w:r>
            <w:r>
              <w:rPr>
                <w:rFonts w:hint="eastAsia" w:asciiTheme="minorEastAsia" w:hAnsiTheme="minorEastAsia" w:eastAsiaTheme="minorEastAsia"/>
                <w:color w:val="000000"/>
                <w:sz w:val="24"/>
              </w:rPr>
              <w:t>的优质钢管，立柱间隔不大于</w:t>
            </w: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ｍ，所有管材表面须经过静电粉末喷塑</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颜色为墨绿色．立柱埋入地下深度应不小于400</w:t>
            </w:r>
            <w:r>
              <w:rPr>
                <w:rFonts w:asciiTheme="minorEastAsia" w:hAnsiTheme="minorEastAsia" w:eastAsiaTheme="minorEastAsia"/>
                <w:color w:val="000000"/>
                <w:sz w:val="24"/>
              </w:rPr>
              <w:t>mm</w:t>
            </w:r>
            <w:r>
              <w:rPr>
                <w:rFonts w:hint="eastAsia" w:asciiTheme="minorEastAsia" w:hAnsiTheme="minorEastAsia" w:eastAsiaTheme="minorEastAsia"/>
                <w:color w:val="000000"/>
                <w:sz w:val="24"/>
              </w:rPr>
              <w:t>，地基尺寸应不小于400</w:t>
            </w:r>
            <w:r>
              <w:rPr>
                <w:rFonts w:asciiTheme="minorEastAsia" w:hAnsiTheme="minorEastAsia" w:eastAsiaTheme="minorEastAsia"/>
                <w:color w:val="000000"/>
                <w:sz w:val="24"/>
              </w:rPr>
              <w:t>mm</w:t>
            </w:r>
            <w:r>
              <w:rPr>
                <w:rFonts w:hint="eastAsia" w:asciiTheme="minorEastAsia" w:hAnsiTheme="minorEastAsia" w:eastAsiaTheme="minorEastAsia"/>
                <w:color w:val="000000"/>
                <w:sz w:val="24"/>
              </w:rPr>
              <w:t>ｘ400</w:t>
            </w:r>
            <w:r>
              <w:rPr>
                <w:rFonts w:asciiTheme="minorEastAsia" w:hAnsiTheme="minorEastAsia" w:eastAsiaTheme="minorEastAsia"/>
                <w:color w:val="000000"/>
                <w:sz w:val="24"/>
              </w:rPr>
              <w:t>mm</w:t>
            </w:r>
            <w:r>
              <w:rPr>
                <w:rFonts w:hint="eastAsia" w:asciiTheme="minorEastAsia" w:hAnsiTheme="minorEastAsia" w:eastAsiaTheme="minorEastAsia"/>
                <w:color w:val="000000"/>
                <w:sz w:val="24"/>
              </w:rPr>
              <w:t>；</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(c)</w:t>
            </w:r>
            <w:r>
              <w:rPr>
                <w:rFonts w:hint="eastAsia" w:asciiTheme="minorEastAsia" w:hAnsiTheme="minorEastAsia" w:eastAsiaTheme="minorEastAsia"/>
                <w:color w:val="000000"/>
                <w:sz w:val="24"/>
              </w:rPr>
              <w:t>围网带有两个</w:t>
            </w:r>
            <w:r>
              <w:rPr>
                <w:rFonts w:asciiTheme="minorEastAsia" w:hAnsiTheme="minorEastAsia" w:eastAsiaTheme="minorEastAsia"/>
                <w:color w:val="000000"/>
                <w:sz w:val="24"/>
              </w:rPr>
              <w:t>1.4</w:t>
            </w:r>
            <w:r>
              <w:rPr>
                <w:rFonts w:hint="eastAsia" w:asciiTheme="minorEastAsia" w:hAnsiTheme="minorEastAsia" w:eastAsiaTheme="minorEastAsia"/>
                <w:color w:val="000000"/>
                <w:sz w:val="24"/>
              </w:rPr>
              <w:t>米宽、</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米高的双开式框架进出口，采用□</w:t>
            </w:r>
            <w:r>
              <w:rPr>
                <w:rFonts w:asciiTheme="minorEastAsia" w:hAnsiTheme="minorEastAsia" w:eastAsiaTheme="minorEastAsia"/>
                <w:color w:val="000000"/>
                <w:sz w:val="24"/>
              </w:rPr>
              <w:t>50X50Xt2.0mm</w:t>
            </w:r>
            <w:r>
              <w:rPr>
                <w:rFonts w:hint="eastAsia" w:asciiTheme="minorEastAsia" w:hAnsiTheme="minorEastAsia" w:eastAsiaTheme="minorEastAsia"/>
                <w:color w:val="000000"/>
                <w:sz w:val="24"/>
              </w:rPr>
              <w:t>的方管。围网网片使用压框覆盖包塑网，防止刮伤。围网全部采用防盗不锈钢螺栓，并采用防松螺母防松方式，保证连接长期可靠。立柱与连接横管采用固态粉静电喷涂工艺，颜色为墨绿色，色泽保持八年不变，围网风载荷标准值应不小于0.35kn</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m2；</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d</w:t>
            </w:r>
            <w:r>
              <w:rPr>
                <w:rFonts w:hint="eastAsia" w:asciiTheme="minorEastAsia" w:hAnsiTheme="minorEastAsia" w:eastAsiaTheme="minorEastAsia"/>
                <w:color w:val="000000"/>
                <w:sz w:val="24"/>
              </w:rPr>
              <w:t>）网丝</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包塑网片丝浸塑处理后网片径不小于Ф</w:t>
            </w:r>
            <w:r>
              <w:rPr>
                <w:rFonts w:asciiTheme="minorEastAsia" w:hAnsiTheme="minorEastAsia" w:eastAsiaTheme="minorEastAsia"/>
                <w:color w:val="000000"/>
                <w:sz w:val="24"/>
              </w:rPr>
              <w:t xml:space="preserve">4mm, </w:t>
            </w:r>
            <w:r>
              <w:rPr>
                <w:rFonts w:hint="eastAsia" w:asciiTheme="minorEastAsia" w:hAnsiTheme="minorEastAsia" w:eastAsiaTheme="minorEastAsia"/>
                <w:color w:val="000000"/>
                <w:sz w:val="24"/>
              </w:rPr>
              <w:t>采用优质低碳镀锌钢丝，处理前丝</w:t>
            </w:r>
            <w:r>
              <w:rPr>
                <w:rFonts w:hint="eastAsia" w:asciiTheme="minorEastAsia" w:hAnsiTheme="minorEastAsia" w:eastAsiaTheme="minorEastAsia"/>
                <w:sz w:val="24"/>
              </w:rPr>
              <w:t>径不小于Ф</w:t>
            </w:r>
            <w:r>
              <w:rPr>
                <w:rFonts w:asciiTheme="minorEastAsia" w:hAnsiTheme="minorEastAsia" w:eastAsiaTheme="minorEastAsia"/>
                <w:sz w:val="24"/>
              </w:rPr>
              <w:t>3 mm</w:t>
            </w:r>
            <w:r>
              <w:rPr>
                <w:rFonts w:hint="eastAsia" w:asciiTheme="minorEastAsia" w:hAnsiTheme="minorEastAsia" w:eastAsiaTheme="minorEastAsia"/>
                <w:sz w:val="24"/>
              </w:rPr>
              <w:t>，网孔</w:t>
            </w:r>
            <w:r>
              <w:rPr>
                <w:rFonts w:asciiTheme="minorEastAsia" w:hAnsiTheme="minorEastAsia" w:eastAsiaTheme="minorEastAsia"/>
                <w:sz w:val="24"/>
              </w:rPr>
              <w:t>50x50 mm</w:t>
            </w:r>
            <w:r>
              <w:rPr>
                <w:rFonts w:hint="eastAsia" w:asciiTheme="minorEastAsia" w:hAnsiTheme="minorEastAsia" w:eastAsiaTheme="minorEastAsia"/>
                <w:sz w:val="24"/>
              </w:rPr>
              <w:t>，勾花网，网孔</w:t>
            </w:r>
            <w:r>
              <w:rPr>
                <w:rFonts w:asciiTheme="minorEastAsia" w:hAnsiTheme="minorEastAsia" w:eastAsiaTheme="minorEastAsia"/>
                <w:sz w:val="24"/>
              </w:rPr>
              <w:t>50</w:t>
            </w:r>
            <w:r>
              <w:rPr>
                <w:rFonts w:hint="eastAsia" w:asciiTheme="minorEastAsia" w:hAnsiTheme="minorEastAsia" w:eastAsiaTheme="minorEastAsia"/>
                <w:sz w:val="24"/>
              </w:rPr>
              <w:t>±</w:t>
            </w:r>
            <w:r>
              <w:rPr>
                <w:rFonts w:asciiTheme="minorEastAsia" w:hAnsiTheme="minorEastAsia" w:eastAsiaTheme="minorEastAsia"/>
                <w:sz w:val="24"/>
              </w:rPr>
              <w:t>3mm,</w:t>
            </w:r>
            <w:r>
              <w:rPr>
                <w:rFonts w:hint="eastAsia" w:asciiTheme="minorEastAsia" w:hAnsiTheme="minorEastAsia" w:eastAsiaTheme="minorEastAsia"/>
                <w:sz w:val="24"/>
              </w:rPr>
              <w:t>颜色为墨绿色，表面光滑细腻，各项性能指标达到</w:t>
            </w:r>
            <w:r>
              <w:rPr>
                <w:rFonts w:asciiTheme="minorEastAsia" w:hAnsiTheme="minorEastAsia" w:eastAsiaTheme="minorEastAsia"/>
                <w:sz w:val="24"/>
              </w:rPr>
              <w:t>GB15065-94</w:t>
            </w:r>
            <w:r>
              <w:rPr>
                <w:rFonts w:hint="eastAsia" w:asciiTheme="minorEastAsia" w:hAnsiTheme="minorEastAsia" w:eastAsiaTheme="minorEastAsia"/>
                <w:sz w:val="24"/>
              </w:rPr>
              <w:t>和</w:t>
            </w:r>
            <w:r>
              <w:rPr>
                <w:rFonts w:asciiTheme="minorEastAsia" w:hAnsiTheme="minorEastAsia" w:eastAsiaTheme="minorEastAsia"/>
                <w:sz w:val="24"/>
              </w:rPr>
              <w:t>IE60502</w:t>
            </w:r>
            <w:r>
              <w:rPr>
                <w:rFonts w:hint="eastAsia" w:asciiTheme="minorEastAsia" w:hAnsiTheme="minorEastAsia" w:eastAsiaTheme="minorEastAsia"/>
                <w:sz w:val="24"/>
              </w:rPr>
              <w:t>标准，吸水率为</w:t>
            </w:r>
            <w:r>
              <w:rPr>
                <w:rFonts w:asciiTheme="minorEastAsia" w:hAnsiTheme="minorEastAsia" w:eastAsiaTheme="minorEastAsia"/>
                <w:sz w:val="24"/>
              </w:rPr>
              <w:t>0%</w:t>
            </w:r>
            <w:r>
              <w:rPr>
                <w:rFonts w:hint="eastAsia" w:asciiTheme="minorEastAsia" w:hAnsiTheme="minorEastAsia" w:eastAsiaTheme="minorEastAsia"/>
                <w:sz w:val="24"/>
              </w:rPr>
              <w:t>。围网孔径应与运动功能相适应，具有防止球脱出的功能。</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套</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5</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sz w:val="24"/>
              </w:rPr>
              <w:t>悬浮式拼装地板</w:t>
            </w:r>
          </w:p>
        </w:tc>
        <w:tc>
          <w:tcPr>
            <w:tcW w:w="666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kern w:val="0"/>
                <w:sz w:val="24"/>
              </w:rPr>
              <w:t>悬浮式拼装地板一套608平方米，各项运动指标完全满足篮球、五人制足球、羽毛球等各项运动技术要求，无毒、无味、防水耐湿、抗紫外线辐射、抗氧化、抗寒、不寄生细菌、绿色环保，安全卫生。球反弹率达</w:t>
            </w:r>
            <w:r>
              <w:rPr>
                <w:rFonts w:asciiTheme="minorEastAsia" w:hAnsiTheme="minorEastAsia" w:eastAsiaTheme="minorEastAsia"/>
                <w:kern w:val="0"/>
                <w:sz w:val="24"/>
              </w:rPr>
              <w:t>95%</w:t>
            </w:r>
            <w:r>
              <w:rPr>
                <w:rFonts w:hint="eastAsia" w:asciiTheme="minorEastAsia" w:hAnsiTheme="minorEastAsia" w:eastAsiaTheme="minorEastAsia"/>
                <w:kern w:val="0"/>
                <w:sz w:val="24"/>
              </w:rPr>
              <w:t>，滑动摩擦系数</w:t>
            </w:r>
            <w:r>
              <w:rPr>
                <w:rFonts w:asciiTheme="minorEastAsia" w:hAnsiTheme="minorEastAsia" w:eastAsiaTheme="minorEastAsia"/>
                <w:kern w:val="0"/>
                <w:sz w:val="24"/>
              </w:rPr>
              <w:t>0.52</w:t>
            </w:r>
            <w:r>
              <w:rPr>
                <w:rFonts w:hint="eastAsia" w:asciiTheme="minorEastAsia" w:hAnsiTheme="minorEastAsia" w:eastAsiaTheme="minorEastAsia"/>
                <w:kern w:val="0"/>
                <w:sz w:val="24"/>
              </w:rPr>
              <w:t>，厚度为：不小于</w:t>
            </w:r>
            <w:r>
              <w:rPr>
                <w:rFonts w:asciiTheme="minorEastAsia" w:hAnsiTheme="minorEastAsia" w:eastAsiaTheme="minorEastAsia"/>
                <w:kern w:val="0"/>
                <w:sz w:val="24"/>
              </w:rPr>
              <w:t>1.27mm</w:t>
            </w:r>
            <w:r>
              <w:rPr>
                <w:rFonts w:hint="eastAsia" w:asciiTheme="minorEastAsia" w:hAnsiTheme="minorEastAsia" w:eastAsiaTheme="minorEastAsia"/>
                <w:kern w:val="0"/>
                <w:sz w:val="24"/>
              </w:rPr>
              <w:t>以上，尺寸为：</w:t>
            </w:r>
            <w:r>
              <w:rPr>
                <w:rFonts w:asciiTheme="minorEastAsia" w:hAnsiTheme="minorEastAsia" w:eastAsiaTheme="minorEastAsia"/>
                <w:kern w:val="0"/>
                <w:sz w:val="24"/>
              </w:rPr>
              <w:t>250mm x250mm</w:t>
            </w:r>
            <w:r>
              <w:rPr>
                <w:rFonts w:hint="eastAsia" w:asciiTheme="minorEastAsia" w:hAnsiTheme="minorEastAsia" w:eastAsiaTheme="minorEastAsia"/>
                <w:kern w:val="0"/>
                <w:sz w:val="24"/>
              </w:rPr>
              <w:t>，表面为米字型网格，材料硬度在邵氏</w:t>
            </w:r>
            <w:r>
              <w:rPr>
                <w:rFonts w:asciiTheme="minorEastAsia" w:hAnsiTheme="minorEastAsia" w:eastAsiaTheme="minorEastAsia"/>
                <w:kern w:val="0"/>
                <w:sz w:val="24"/>
              </w:rPr>
              <w:t>D 50</w:t>
            </w:r>
            <w:r>
              <w:rPr>
                <w:rFonts w:hint="eastAsia" w:asciiTheme="minorEastAsia" w:hAnsiTheme="minorEastAsia" w:eastAsiaTheme="minorEastAsia"/>
                <w:kern w:val="0"/>
                <w:sz w:val="24"/>
              </w:rPr>
              <w:t>度</w:t>
            </w:r>
            <w:r>
              <w:rPr>
                <w:rFonts w:asciiTheme="minorEastAsia" w:hAnsiTheme="minorEastAsia" w:eastAsiaTheme="minorEastAsia"/>
                <w:kern w:val="0"/>
                <w:sz w:val="24"/>
              </w:rPr>
              <w:t>-70</w:t>
            </w:r>
            <w:r>
              <w:rPr>
                <w:rFonts w:hint="eastAsia" w:asciiTheme="minorEastAsia" w:hAnsiTheme="minorEastAsia" w:eastAsiaTheme="minorEastAsia"/>
                <w:kern w:val="0"/>
                <w:sz w:val="24"/>
              </w:rPr>
              <w:t>度之间。</w:t>
            </w:r>
            <w:r>
              <w:rPr>
                <w:rStyle w:val="32"/>
                <w:rFonts w:hint="eastAsia" w:cs="Arial" w:asciiTheme="minorEastAsia" w:hAnsiTheme="minorEastAsia" w:eastAsiaTheme="minorEastAsia"/>
                <w:b w:val="0"/>
                <w:color w:val="000000"/>
                <w:sz w:val="24"/>
              </w:rPr>
              <w:t>连接方式：</w:t>
            </w:r>
            <w:r>
              <w:rPr>
                <w:rFonts w:hint="eastAsia" w:cs="Arial" w:asciiTheme="minorEastAsia" w:hAnsiTheme="minorEastAsia" w:eastAsiaTheme="minorEastAsia"/>
                <w:kern w:val="0"/>
                <w:sz w:val="24"/>
              </w:rPr>
              <w:t>锁扣式结构</w:t>
            </w:r>
            <w:r>
              <w:rPr>
                <w:rFonts w:cs="Arial" w:asciiTheme="minorEastAsia" w:hAnsiTheme="minorEastAsia" w:eastAsiaTheme="minorEastAsia"/>
                <w:kern w:val="0"/>
                <w:sz w:val="24"/>
              </w:rPr>
              <w:t>,</w:t>
            </w:r>
            <w:r>
              <w:rPr>
                <w:rFonts w:hint="eastAsia" w:asciiTheme="minorEastAsia" w:hAnsiTheme="minorEastAsia" w:eastAsiaTheme="minorEastAsia"/>
                <w:kern w:val="0"/>
                <w:sz w:val="24"/>
              </w:rPr>
              <w:t>使用年限</w:t>
            </w:r>
            <w:r>
              <w:rPr>
                <w:rFonts w:asciiTheme="minorEastAsia" w:hAnsiTheme="minorEastAsia" w:eastAsiaTheme="minorEastAsia"/>
                <w:kern w:val="0"/>
                <w:sz w:val="24"/>
              </w:rPr>
              <w:t>8</w:t>
            </w:r>
            <w:r>
              <w:rPr>
                <w:rFonts w:hint="eastAsia" w:asciiTheme="minorEastAsia" w:hAnsiTheme="minorEastAsia" w:eastAsiaTheme="minorEastAsia"/>
                <w:kern w:val="0"/>
                <w:sz w:val="24"/>
              </w:rPr>
              <w:t>年以上。</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套</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6</w:t>
            </w:r>
          </w:p>
        </w:tc>
        <w:tc>
          <w:tcPr>
            <w:tcW w:w="1150"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asciiTheme="minorEastAsia" w:hAnsiTheme="minorEastAsia" w:eastAsiaTheme="minorEastAsia"/>
                <w:sz w:val="24"/>
              </w:rPr>
              <w:t>场地照明系统</w:t>
            </w:r>
          </w:p>
        </w:tc>
        <w:tc>
          <w:tcPr>
            <w:tcW w:w="666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asciiTheme="minorEastAsia" w:hAnsiTheme="minorEastAsia" w:eastAsiaTheme="minorEastAsia"/>
                <w:sz w:val="24"/>
              </w:rPr>
              <w:t>(e)</w:t>
            </w:r>
            <w:r>
              <w:rPr>
                <w:rFonts w:hint="eastAsia" w:asciiTheme="minorEastAsia" w:hAnsiTheme="minorEastAsia" w:eastAsiaTheme="minorEastAsia"/>
                <w:color w:val="000000"/>
                <w:sz w:val="24"/>
              </w:rPr>
              <w:t>配套灯光系统：灯柱为围网的一部分，在整场围网中亦为围网的主立柱，增强围网的稳定性，灯柱采用直径不小于Ф</w:t>
            </w:r>
            <w:r>
              <w:rPr>
                <w:rFonts w:asciiTheme="minorEastAsia" w:hAnsiTheme="minorEastAsia" w:eastAsiaTheme="minorEastAsia"/>
                <w:color w:val="000000"/>
                <w:sz w:val="24"/>
              </w:rPr>
              <w:t>114x3.0mm</w:t>
            </w:r>
            <w:r>
              <w:rPr>
                <w:rFonts w:hint="eastAsia" w:asciiTheme="minorEastAsia" w:hAnsiTheme="minorEastAsia" w:eastAsiaTheme="minorEastAsia"/>
                <w:color w:val="000000"/>
                <w:sz w:val="24"/>
              </w:rPr>
              <w:t>的钢管，</w:t>
            </w: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米高低杆照明灯柱</w:t>
            </w:r>
            <w:r>
              <w:rPr>
                <w:rFonts w:asciiTheme="minorEastAsia" w:hAnsiTheme="minorEastAsia" w:eastAsiaTheme="minorEastAsia"/>
                <w:color w:val="000000"/>
                <w:sz w:val="24"/>
              </w:rPr>
              <w:t>8</w:t>
            </w:r>
            <w:r>
              <w:rPr>
                <w:rFonts w:hint="eastAsia" w:asciiTheme="minorEastAsia" w:hAnsiTheme="minorEastAsia" w:eastAsiaTheme="minorEastAsia"/>
                <w:color w:val="000000"/>
                <w:sz w:val="24"/>
              </w:rPr>
              <w:t>根，每根</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盏灯，球场灯25</w:t>
            </w:r>
            <w:r>
              <w:rPr>
                <w:rFonts w:asciiTheme="minorEastAsia" w:hAnsiTheme="minorEastAsia" w:eastAsiaTheme="minorEastAsia"/>
                <w:color w:val="000000"/>
                <w:sz w:val="24"/>
              </w:rPr>
              <w:t>0W</w:t>
            </w:r>
            <w:r>
              <w:rPr>
                <w:rFonts w:hint="eastAsia" w:cs="Arial" w:asciiTheme="minorEastAsia" w:hAnsiTheme="minorEastAsia" w:eastAsiaTheme="minorEastAsia"/>
                <w:color w:val="000000"/>
                <w:sz w:val="24"/>
              </w:rPr>
              <w:t>金卤灯</w:t>
            </w:r>
            <w:r>
              <w:rPr>
                <w:rFonts w:asciiTheme="minorEastAsia" w:hAnsiTheme="minorEastAsia" w:eastAsiaTheme="minorEastAsia"/>
                <w:color w:val="000000"/>
                <w:sz w:val="24"/>
              </w:rPr>
              <w:t>16</w:t>
            </w:r>
            <w:r>
              <w:rPr>
                <w:rFonts w:hint="eastAsia" w:asciiTheme="minorEastAsia" w:hAnsiTheme="minorEastAsia" w:eastAsiaTheme="minorEastAsia"/>
                <w:color w:val="000000"/>
                <w:sz w:val="24"/>
              </w:rPr>
              <w:t>个。</w:t>
            </w:r>
            <w:r>
              <w:rPr>
                <w:rFonts w:hint="eastAsia" w:cs="Arial" w:asciiTheme="minorEastAsia" w:hAnsiTheme="minorEastAsia" w:eastAsiaTheme="minorEastAsia"/>
                <w:color w:val="000000"/>
                <w:sz w:val="24"/>
              </w:rPr>
              <w:t>配电柜及线路：电线（场内</w:t>
            </w:r>
            <w:r>
              <w:rPr>
                <w:rFonts w:cs="Arial" w:asciiTheme="minorEastAsia" w:hAnsiTheme="minorEastAsia" w:eastAsiaTheme="minorEastAsia"/>
                <w:color w:val="000000"/>
                <w:sz w:val="24"/>
              </w:rPr>
              <w:t>RVV4</w:t>
            </w:r>
            <w:r>
              <w:rPr>
                <w:rFonts w:hint="eastAsia" w:cs="Arial" w:asciiTheme="minorEastAsia" w:hAnsiTheme="minorEastAsia" w:eastAsiaTheme="minorEastAsia"/>
                <w:color w:val="000000"/>
                <w:sz w:val="24"/>
              </w:rPr>
              <w:t>平方线</w:t>
            </w:r>
            <w:r>
              <w:rPr>
                <w:rFonts w:hint="eastAsia" w:asciiTheme="minorEastAsia" w:hAnsiTheme="minorEastAsia" w:eastAsiaTheme="minorEastAsia"/>
                <w:color w:val="000000"/>
                <w:sz w:val="24"/>
              </w:rPr>
              <w:t>配备</w:t>
            </w:r>
            <w:r>
              <w:rPr>
                <w:rFonts w:asciiTheme="minorEastAsia" w:hAnsiTheme="minorEastAsia" w:eastAsiaTheme="minorEastAsia"/>
                <w:color w:val="000000"/>
                <w:sz w:val="24"/>
              </w:rPr>
              <w:t>100</w:t>
            </w:r>
            <w:r>
              <w:rPr>
                <w:rFonts w:hint="eastAsia" w:asciiTheme="minorEastAsia" w:hAnsiTheme="minorEastAsia" w:eastAsiaTheme="minorEastAsia"/>
                <w:color w:val="000000"/>
                <w:sz w:val="24"/>
              </w:rPr>
              <w:t>米</w:t>
            </w:r>
            <w:r>
              <w:rPr>
                <w:rFonts w:hint="eastAsia" w:cs="Arial" w:asciiTheme="minorEastAsia" w:hAnsiTheme="minorEastAsia" w:eastAsiaTheme="minorEastAsia"/>
                <w:color w:val="000000"/>
                <w:sz w:val="24"/>
              </w:rPr>
              <w:t>，灯柱内</w:t>
            </w:r>
            <w:r>
              <w:rPr>
                <w:rFonts w:cs="Arial" w:asciiTheme="minorEastAsia" w:hAnsiTheme="minorEastAsia" w:eastAsiaTheme="minorEastAsia"/>
                <w:color w:val="000000"/>
                <w:sz w:val="24"/>
              </w:rPr>
              <w:t>RVV2.5</w:t>
            </w:r>
            <w:r>
              <w:rPr>
                <w:rFonts w:hint="eastAsia" w:cs="Arial" w:asciiTheme="minorEastAsia" w:hAnsiTheme="minorEastAsia" w:eastAsiaTheme="minorEastAsia"/>
                <w:color w:val="000000"/>
                <w:sz w:val="24"/>
              </w:rPr>
              <w:t>平方线）</w:t>
            </w:r>
            <w:r>
              <w:rPr>
                <w:rFonts w:hint="eastAsia" w:cs="宋体" w:asciiTheme="minorEastAsia" w:hAnsiTheme="minorEastAsia" w:eastAsiaTheme="minorEastAsia"/>
                <w:color w:val="000000"/>
                <w:sz w:val="24"/>
              </w:rPr>
              <w:t>，</w:t>
            </w:r>
            <w:r>
              <w:rPr>
                <w:rFonts w:hint="eastAsia" w:cs="Arial" w:asciiTheme="minorEastAsia" w:hAnsiTheme="minorEastAsia" w:eastAsiaTheme="minorEastAsia"/>
                <w:color w:val="000000"/>
                <w:sz w:val="24"/>
              </w:rPr>
              <w:t>配三相</w:t>
            </w:r>
            <w:r>
              <w:rPr>
                <w:rFonts w:cs="Arial" w:asciiTheme="minorEastAsia" w:hAnsiTheme="minorEastAsia" w:eastAsiaTheme="minorEastAsia"/>
                <w:color w:val="000000"/>
                <w:sz w:val="24"/>
              </w:rPr>
              <w:t>100A</w:t>
            </w:r>
            <w:r>
              <w:rPr>
                <w:rFonts w:hint="eastAsia" w:cs="Arial" w:asciiTheme="minorEastAsia" w:hAnsiTheme="minorEastAsia" w:eastAsiaTheme="minorEastAsia"/>
                <w:color w:val="000000"/>
                <w:sz w:val="24"/>
              </w:rPr>
              <w:t>漏电开关及双极</w:t>
            </w:r>
            <w:r>
              <w:rPr>
                <w:rFonts w:cs="Arial" w:asciiTheme="minorEastAsia" w:hAnsiTheme="minorEastAsia" w:eastAsiaTheme="minorEastAsia"/>
                <w:color w:val="000000"/>
                <w:sz w:val="24"/>
              </w:rPr>
              <w:t>15A</w:t>
            </w:r>
            <w:r>
              <w:rPr>
                <w:rFonts w:hint="eastAsia" w:cs="Arial" w:asciiTheme="minorEastAsia" w:hAnsiTheme="minorEastAsia" w:eastAsiaTheme="minorEastAsia"/>
                <w:color w:val="000000"/>
                <w:sz w:val="24"/>
              </w:rPr>
              <w:t>空气开关</w:t>
            </w:r>
            <w:r>
              <w:rPr>
                <w:rFonts w:hint="eastAsia" w:asciiTheme="minorEastAsia" w:hAnsiTheme="minorEastAsia" w:eastAsiaTheme="minorEastAsia"/>
                <w:color w:val="000000"/>
                <w:sz w:val="24"/>
              </w:rPr>
              <w:t>，分组控制，</w:t>
            </w:r>
            <w:r>
              <w:rPr>
                <w:rFonts w:hint="eastAsia" w:cs="宋体" w:asciiTheme="minorEastAsia" w:hAnsiTheme="minorEastAsia" w:eastAsiaTheme="minorEastAsia"/>
                <w:color w:val="000000"/>
                <w:sz w:val="24"/>
              </w:rPr>
              <w:t>带漏电保护（采用配电箱，</w:t>
            </w:r>
            <w:r>
              <w:rPr>
                <w:rFonts w:hint="eastAsia" w:cs="Arial" w:asciiTheme="minorEastAsia" w:hAnsiTheme="minorEastAsia" w:eastAsiaTheme="minorEastAsia"/>
                <w:color w:val="000000"/>
                <w:sz w:val="24"/>
              </w:rPr>
              <w:t>开关</w:t>
            </w:r>
            <w:r>
              <w:rPr>
                <w:rFonts w:hint="eastAsia" w:cs="宋体" w:asciiTheme="minorEastAsia" w:hAnsiTheme="minorEastAsia" w:eastAsiaTheme="minorEastAsia"/>
                <w:color w:val="000000"/>
                <w:sz w:val="24"/>
              </w:rPr>
              <w:t>、电线与电负荷</w:t>
            </w:r>
            <w:r>
              <w:rPr>
                <w:rFonts w:hint="eastAsia" w:cs="Arial" w:asciiTheme="minorEastAsia" w:hAnsiTheme="minorEastAsia" w:eastAsiaTheme="minorEastAsia"/>
                <w:color w:val="000000"/>
                <w:sz w:val="24"/>
              </w:rPr>
              <w:t>相匹配</w:t>
            </w:r>
            <w:r>
              <w:rPr>
                <w:rFonts w:hint="eastAsia" w:cs="宋体" w:asciiTheme="minorEastAsia" w:hAnsiTheme="minorEastAsia" w:eastAsiaTheme="minorEastAsia"/>
                <w:color w:val="000000"/>
                <w:sz w:val="24"/>
              </w:rPr>
              <w:t>）</w:t>
            </w:r>
            <w:r>
              <w:rPr>
                <w:rFonts w:hint="eastAsia" w:asciiTheme="minorEastAsia" w:hAnsiTheme="minorEastAsia" w:eastAsiaTheme="minorEastAsia"/>
                <w:color w:val="000000"/>
                <w:sz w:val="24"/>
              </w:rPr>
              <w:t>。灯柱采用预埋方式，预埋深度</w:t>
            </w:r>
            <w:r>
              <w:rPr>
                <w:rFonts w:asciiTheme="minorEastAsia" w:hAnsiTheme="minorEastAsia" w:eastAsiaTheme="minorEastAsia"/>
                <w:color w:val="000000"/>
                <w:sz w:val="24"/>
              </w:rPr>
              <w:t>600x600mm</w:t>
            </w:r>
            <w:r>
              <w:rPr>
                <w:rFonts w:hint="eastAsia" w:asciiTheme="minorEastAsia" w:hAnsiTheme="minorEastAsia" w:eastAsiaTheme="minorEastAsia"/>
                <w:color w:val="000000"/>
                <w:sz w:val="24"/>
              </w:rPr>
              <w:t>。</w:t>
            </w:r>
            <w:r>
              <w:rPr>
                <w:rFonts w:hint="eastAsia" w:cs="宋体" w:asciiTheme="minorEastAsia" w:hAnsiTheme="minorEastAsia" w:eastAsiaTheme="minorEastAsia"/>
                <w:color w:val="000000"/>
                <w:sz w:val="24"/>
              </w:rPr>
              <w:t>灯具：选用球场专用灯具，可</w:t>
            </w:r>
            <w:r>
              <w:rPr>
                <w:rFonts w:cs="宋体" w:asciiTheme="minorEastAsia" w:hAnsiTheme="minorEastAsia" w:eastAsiaTheme="minorEastAsia"/>
                <w:color w:val="000000"/>
                <w:sz w:val="24"/>
              </w:rPr>
              <w:t>30</w:t>
            </w:r>
            <w:r>
              <w:rPr>
                <w:rFonts w:hint="eastAsia" w:cs="宋体" w:asciiTheme="minorEastAsia" w:hAnsiTheme="minorEastAsia" w:eastAsiaTheme="minorEastAsia"/>
                <w:color w:val="000000"/>
                <w:sz w:val="24"/>
              </w:rPr>
              <w:t>°角调节</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rPr>
              <w:t>亮度符合国际标准，光照度均匀，灯光柔和不刺眼。电线、电管：</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用</w:t>
            </w:r>
            <w:r>
              <w:rPr>
                <w:rFonts w:cs="宋体" w:asciiTheme="minorEastAsia" w:hAnsiTheme="minorEastAsia" w:eastAsiaTheme="minorEastAsia"/>
                <w:color w:val="000000"/>
                <w:sz w:val="24"/>
              </w:rPr>
              <w:t>PVC</w:t>
            </w:r>
            <w:r>
              <w:rPr>
                <w:rFonts w:hint="eastAsia" w:cs="宋体" w:asciiTheme="minorEastAsia" w:hAnsiTheme="minorEastAsia" w:eastAsiaTheme="minorEastAsia"/>
                <w:color w:val="000000"/>
                <w:sz w:val="24"/>
              </w:rPr>
              <w:t>管迎网架上方铺设一周，色彩为绿色与围网同色。</w:t>
            </w: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套</w:t>
            </w: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7</w:t>
            </w:r>
          </w:p>
        </w:tc>
        <w:tc>
          <w:tcPr>
            <w:tcW w:w="1150" w:type="dxa"/>
            <w:vAlign w:val="center"/>
          </w:tcPr>
          <w:p>
            <w:pPr>
              <w:autoSpaceDE w:val="0"/>
              <w:autoSpaceDN w:val="0"/>
              <w:adjustRightIn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宣传标识牌</w:t>
            </w:r>
          </w:p>
        </w:tc>
        <w:tc>
          <w:tcPr>
            <w:tcW w:w="6662" w:type="dxa"/>
            <w:vAlign w:val="center"/>
          </w:tcPr>
          <w:p>
            <w:pPr>
              <w:pStyle w:val="95"/>
              <w:spacing w:line="360" w:lineRule="auto"/>
              <w:ind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应牢固固定于进出口区域，面板采用不锈钢材质，耐蚀性能相当于</w:t>
            </w:r>
            <w:r>
              <w:rPr>
                <w:rFonts w:asciiTheme="minorEastAsia" w:hAnsiTheme="minorEastAsia" w:eastAsiaTheme="minorEastAsia"/>
                <w:color w:val="000000"/>
                <w:sz w:val="24"/>
                <w:szCs w:val="24"/>
              </w:rPr>
              <w:t>0Cr18Ni9</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SUS304</w:t>
            </w:r>
            <w:r>
              <w:rPr>
                <w:rFonts w:hint="eastAsia" w:asciiTheme="minorEastAsia" w:hAnsiTheme="minorEastAsia" w:eastAsiaTheme="minorEastAsia"/>
                <w:color w:val="000000"/>
                <w:sz w:val="24"/>
                <w:szCs w:val="24"/>
              </w:rPr>
              <w:t>），厚度不小于</w:t>
            </w:r>
            <w:r>
              <w:rPr>
                <w:rFonts w:asciiTheme="minorEastAsia" w:hAnsiTheme="minorEastAsia" w:eastAsiaTheme="minorEastAsia"/>
                <w:color w:val="000000"/>
                <w:sz w:val="24"/>
                <w:szCs w:val="24"/>
              </w:rPr>
              <w:t>1mm</w:t>
            </w:r>
            <w:r>
              <w:rPr>
                <w:rFonts w:hint="eastAsia" w:asciiTheme="minorEastAsia" w:hAnsiTheme="minorEastAsia" w:eastAsiaTheme="minorEastAsia"/>
                <w:color w:val="000000"/>
                <w:sz w:val="24"/>
                <w:szCs w:val="24"/>
              </w:rPr>
              <w:t>，面板边缘及尖角不得翘起，图样及字样蚀刻处理；</w:t>
            </w:r>
          </w:p>
          <w:p>
            <w:pPr>
              <w:pStyle w:val="95"/>
              <w:spacing w:line="360" w:lineRule="auto"/>
              <w:ind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内容至少包含以下内容：须有中国体育彩票标示；产品名称；简明的科学健身提示，产品使用安全注意事项；产品供应商的全称，售后服务电话及督查电话；管理维护单位及联系电话。</w:t>
            </w:r>
          </w:p>
          <w:p>
            <w:pPr>
              <w:autoSpaceDE w:val="0"/>
              <w:autoSpaceDN w:val="0"/>
              <w:adjustRightInd w:val="0"/>
              <w:spacing w:line="360" w:lineRule="auto"/>
              <w:jc w:val="center"/>
              <w:rPr>
                <w:rFonts w:asciiTheme="minorEastAsia" w:hAnsiTheme="minorEastAsia" w:eastAsiaTheme="minorEastAsia"/>
                <w:sz w:val="24"/>
              </w:rPr>
            </w:pPr>
          </w:p>
        </w:tc>
        <w:tc>
          <w:tcPr>
            <w:tcW w:w="851"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p>
        </w:tc>
        <w:tc>
          <w:tcPr>
            <w:tcW w:w="749" w:type="dxa"/>
            <w:vAlign w:val="center"/>
          </w:tcPr>
          <w:p>
            <w:pPr>
              <w:autoSpaceDE w:val="0"/>
              <w:autoSpaceDN w:val="0"/>
              <w:adjustRightInd w:val="0"/>
              <w:spacing w:line="360" w:lineRule="auto"/>
              <w:jc w:val="center"/>
              <w:rPr>
                <w:rFonts w:cs="宋体" w:asciiTheme="minorEastAsia" w:hAnsiTheme="minorEastAsia" w:eastAsiaTheme="minorEastAsia"/>
                <w:kern w:val="0"/>
                <w:sz w:val="24"/>
                <w:lang w:val="zh-CN"/>
              </w:rPr>
            </w:pPr>
          </w:p>
        </w:tc>
      </w:tr>
    </w:tbl>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1、多功能运动场：</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场地尺寸：</w:t>
      </w:r>
      <w:r>
        <w:rPr>
          <w:rFonts w:hint="eastAsia" w:asciiTheme="minorEastAsia" w:hAnsiTheme="minorEastAsia" w:eastAsiaTheme="minorEastAsia"/>
          <w:sz w:val="24"/>
        </w:rPr>
        <w:t>不小于长</w:t>
      </w:r>
      <w:r>
        <w:rPr>
          <w:rFonts w:asciiTheme="minorEastAsia" w:hAnsiTheme="minorEastAsia" w:eastAsiaTheme="minorEastAsia"/>
          <w:sz w:val="24"/>
        </w:rPr>
        <w:t>28</w:t>
      </w:r>
      <w:r>
        <w:rPr>
          <w:rFonts w:hint="eastAsia" w:asciiTheme="minorEastAsia" w:hAnsiTheme="minorEastAsia" w:eastAsiaTheme="minorEastAsia"/>
          <w:sz w:val="24"/>
        </w:rPr>
        <w:t>米、宽</w:t>
      </w:r>
      <w:r>
        <w:rPr>
          <w:rFonts w:asciiTheme="minorEastAsia" w:hAnsiTheme="minorEastAsia" w:eastAsiaTheme="minorEastAsia"/>
          <w:sz w:val="24"/>
        </w:rPr>
        <w:t>15</w:t>
      </w:r>
      <w:r>
        <w:rPr>
          <w:rFonts w:hint="eastAsia" w:asciiTheme="minorEastAsia" w:hAnsiTheme="minorEastAsia" w:eastAsiaTheme="minorEastAsia"/>
          <w:sz w:val="24"/>
        </w:rPr>
        <w:t>米。合理配置</w:t>
      </w:r>
      <w:r>
        <w:rPr>
          <w:rFonts w:asciiTheme="minorEastAsia" w:hAnsiTheme="minorEastAsia" w:eastAsiaTheme="minorEastAsia"/>
          <w:sz w:val="24"/>
        </w:rPr>
        <w:t>2</w:t>
      </w:r>
      <w:r>
        <w:rPr>
          <w:rFonts w:hint="eastAsia" w:asciiTheme="minorEastAsia" w:hAnsiTheme="minorEastAsia" w:eastAsiaTheme="minorEastAsia"/>
          <w:sz w:val="24"/>
        </w:rPr>
        <w:t>个出入门。（场地基础硬化尺寸：长</w:t>
      </w:r>
      <w:r>
        <w:rPr>
          <w:rFonts w:asciiTheme="minorEastAsia" w:hAnsiTheme="minorEastAsia" w:eastAsiaTheme="minorEastAsia"/>
          <w:sz w:val="24"/>
        </w:rPr>
        <w:t>32</w:t>
      </w:r>
      <w:r>
        <w:rPr>
          <w:rFonts w:hint="eastAsia" w:asciiTheme="minorEastAsia" w:hAnsiTheme="minorEastAsia" w:eastAsiaTheme="minorEastAsia"/>
          <w:sz w:val="24"/>
        </w:rPr>
        <w:t>米，宽</w:t>
      </w:r>
      <w:r>
        <w:rPr>
          <w:rFonts w:asciiTheme="minorEastAsia" w:hAnsiTheme="minorEastAsia" w:eastAsiaTheme="minorEastAsia"/>
          <w:sz w:val="24"/>
        </w:rPr>
        <w:t>21</w:t>
      </w:r>
      <w:r>
        <w:rPr>
          <w:rFonts w:hint="eastAsia" w:asciiTheme="minorEastAsia" w:hAnsiTheme="minorEastAsia" w:eastAsiaTheme="minorEastAsia"/>
          <w:sz w:val="24"/>
        </w:rPr>
        <w:t>米）</w:t>
      </w:r>
    </w:p>
    <w:p>
      <w:pPr>
        <w:spacing w:line="360" w:lineRule="auto"/>
        <w:ind w:firstLine="472" w:firstLineChars="196"/>
        <w:rPr>
          <w:rFonts w:asciiTheme="minorEastAsia" w:hAnsiTheme="minorEastAsia" w:eastAsiaTheme="minorEastAsia"/>
          <w:b/>
          <w:sz w:val="24"/>
        </w:rPr>
      </w:pPr>
    </w:p>
    <w:p>
      <w:pPr>
        <w:spacing w:line="360" w:lineRule="auto"/>
        <w:ind w:firstLine="472" w:firstLineChars="196"/>
        <w:rPr>
          <w:rFonts w:asciiTheme="minorEastAsia" w:hAnsiTheme="minorEastAsia" w:eastAsiaTheme="minorEastAsia"/>
          <w:b/>
          <w:sz w:val="24"/>
        </w:rPr>
      </w:pPr>
    </w:p>
    <w:p>
      <w:pPr>
        <w:spacing w:line="360" w:lineRule="auto"/>
        <w:ind w:firstLine="472" w:firstLineChars="196"/>
        <w:rPr>
          <w:rFonts w:asciiTheme="minorEastAsia" w:hAnsiTheme="minorEastAsia" w:eastAsiaTheme="minorEastAsia"/>
          <w:b/>
          <w:sz w:val="24"/>
        </w:rPr>
      </w:pPr>
    </w:p>
    <w:p>
      <w:pPr>
        <w:spacing w:line="360" w:lineRule="auto"/>
        <w:ind w:firstLine="472" w:firstLineChars="196"/>
        <w:rPr>
          <w:rFonts w:asciiTheme="minorEastAsia" w:hAnsiTheme="minorEastAsia" w:eastAsiaTheme="minorEastAsia"/>
          <w:b/>
          <w:sz w:val="24"/>
        </w:rPr>
      </w:pPr>
    </w:p>
    <w:p>
      <w:pPr>
        <w:spacing w:line="360" w:lineRule="auto"/>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2、悬浮式拼装地板产品样式图</w:t>
      </w:r>
    </w:p>
    <w:p>
      <w:pPr>
        <w:autoSpaceDE w:val="0"/>
        <w:autoSpaceDN w:val="0"/>
        <w:adjustRightInd w:val="0"/>
        <w:snapToGrid w:val="0"/>
        <w:spacing w:line="360" w:lineRule="auto"/>
      </w:pPr>
      <w:r>
        <w:rPr>
          <w:rFonts w:hint="eastAsia" w:ascii="宋体" w:hAnsi="宋体" w:cs="宋体"/>
          <w:b/>
          <w:sz w:val="24"/>
        </w:rPr>
        <w:drawing>
          <wp:inline distT="0" distB="0" distL="0" distR="0">
            <wp:extent cx="2276475" cy="2095500"/>
            <wp:effectExtent l="19050" t="0" r="9525"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11" cstate="print"/>
                    <a:srcRect/>
                    <a:stretch>
                      <a:fillRect/>
                    </a:stretch>
                  </pic:blipFill>
                  <pic:spPr>
                    <a:xfrm>
                      <a:off x="0" y="0"/>
                      <a:ext cx="2276475" cy="2095500"/>
                    </a:xfrm>
                    <a:prstGeom prst="rect">
                      <a:avLst/>
                    </a:prstGeom>
                    <a:noFill/>
                    <a:ln w="9525">
                      <a:noFill/>
                      <a:miter lim="800000"/>
                      <a:headEnd/>
                      <a:tailEnd/>
                    </a:ln>
                  </pic:spPr>
                </pic:pic>
              </a:graphicData>
            </a:graphic>
          </wp:inline>
        </w:drawing>
      </w:r>
      <w:r>
        <w:drawing>
          <wp:inline distT="0" distB="0" distL="0" distR="0">
            <wp:extent cx="3648075" cy="2095500"/>
            <wp:effectExtent l="1905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12" cstate="print"/>
                    <a:srcRect/>
                    <a:stretch>
                      <a:fillRect/>
                    </a:stretch>
                  </pic:blipFill>
                  <pic:spPr>
                    <a:xfrm>
                      <a:off x="0" y="0"/>
                      <a:ext cx="3648075" cy="2095500"/>
                    </a:xfrm>
                    <a:prstGeom prst="rect">
                      <a:avLst/>
                    </a:prstGeom>
                    <a:noFill/>
                    <a:ln w="9525">
                      <a:noFill/>
                      <a:miter lim="800000"/>
                      <a:headEnd/>
                      <a:tailEnd/>
                    </a:ln>
                  </pic:spPr>
                </pic:pic>
              </a:graphicData>
            </a:graphic>
          </wp:inline>
        </w:drawing>
      </w:r>
    </w:p>
    <w:p>
      <w:pPr>
        <w:autoSpaceDE w:val="0"/>
        <w:autoSpaceDN w:val="0"/>
        <w:adjustRightInd w:val="0"/>
        <w:snapToGrid w:val="0"/>
        <w:spacing w:line="360" w:lineRule="auto"/>
        <w:ind w:firstLine="413" w:firstLineChars="196"/>
      </w:pPr>
      <w:r>
        <w:rPr>
          <w:rFonts w:hint="eastAsia"/>
          <w:b/>
        </w:rPr>
        <w:t>3、</w:t>
      </w:r>
      <w:r>
        <w:rPr>
          <w:rFonts w:hint="eastAsia" w:ascii="宋体" w:hAnsi="宋体"/>
          <w:b/>
          <w:color w:val="000000"/>
          <w:sz w:val="24"/>
        </w:rPr>
        <w:t>场地器材：</w:t>
      </w:r>
    </w:p>
    <w:p>
      <w:pPr>
        <w:spacing w:line="520" w:lineRule="exact"/>
        <w:ind w:firstLine="480" w:firstLineChars="200"/>
        <w:rPr>
          <w:rFonts w:ascii="宋体" w:hAnsi="宋体"/>
          <w:color w:val="000000"/>
          <w:sz w:val="24"/>
        </w:rPr>
      </w:pPr>
      <w:r>
        <w:rPr>
          <w:rFonts w:hint="eastAsia" w:ascii="宋体" w:hAnsi="宋体"/>
          <w:color w:val="000000"/>
          <w:sz w:val="24"/>
        </w:rPr>
        <w:t>场地内配方管地埋式篮球架一副，移动羽毛球网柱一副、五人制足球门一副，且进行单独一项运动时，与其它设施无干扰。</w:t>
      </w:r>
    </w:p>
    <w:p>
      <w:pPr>
        <w:spacing w:line="520" w:lineRule="exact"/>
        <w:ind w:firstLine="480" w:firstLineChars="200"/>
        <w:rPr>
          <w:rFonts w:ascii="宋体"/>
          <w:color w:val="000000"/>
          <w:sz w:val="24"/>
        </w:rPr>
      </w:pPr>
    </w:p>
    <w:p>
      <w:pPr>
        <w:autoSpaceDE w:val="0"/>
        <w:autoSpaceDN w:val="0"/>
        <w:adjustRightInd w:val="0"/>
        <w:snapToGrid w:val="0"/>
        <w:spacing w:line="360" w:lineRule="auto"/>
        <w:rPr>
          <w:rFonts w:ascii="宋体" w:hAnsi="宋体" w:cs="宋体"/>
          <w:b/>
          <w:sz w:val="24"/>
        </w:rPr>
      </w:pPr>
    </w:p>
    <w:p>
      <w:pPr>
        <w:spacing w:line="360" w:lineRule="auto"/>
        <w:ind w:firstLine="482" w:firstLineChars="200"/>
        <w:rPr>
          <w:rFonts w:cs="宋体" w:asciiTheme="minorEastAsia" w:hAnsiTheme="minorEastAsia" w:eastAsiaTheme="minorEastAsia"/>
          <w:b/>
          <w:sz w:val="24"/>
          <w:lang w:val="zh-CN"/>
        </w:rPr>
      </w:pPr>
      <w:r>
        <w:rPr>
          <w:rFonts w:hint="eastAsia" w:cs="宋体" w:asciiTheme="minorEastAsia" w:hAnsiTheme="minorEastAsia" w:eastAsiaTheme="minorEastAsia"/>
          <w:b/>
          <w:sz w:val="24"/>
          <w:lang w:val="zh-CN"/>
        </w:rPr>
        <w:t>4、通用要求：</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（1）器材易接触材料及其表面涂层的有害物质限量应符合</w:t>
      </w:r>
      <w:r>
        <w:rPr>
          <w:rFonts w:asciiTheme="minorEastAsia" w:hAnsiTheme="minorEastAsia" w:eastAsiaTheme="minorEastAsia"/>
          <w:bCs/>
          <w:color w:val="000000"/>
          <w:spacing w:val="-4"/>
          <w:sz w:val="24"/>
        </w:rPr>
        <w:t>GB 19272-2011</w:t>
      </w:r>
      <w:r>
        <w:rPr>
          <w:rFonts w:hint="eastAsia" w:asciiTheme="minorEastAsia" w:hAnsiTheme="minorEastAsia" w:eastAsiaTheme="minorEastAsia"/>
          <w:bCs/>
          <w:color w:val="000000"/>
          <w:spacing w:val="-4"/>
          <w:sz w:val="24"/>
        </w:rPr>
        <w:t>中</w:t>
      </w:r>
      <w:r>
        <w:rPr>
          <w:rFonts w:asciiTheme="minorEastAsia" w:hAnsiTheme="minorEastAsia" w:eastAsiaTheme="minorEastAsia"/>
          <w:bCs/>
          <w:color w:val="000000"/>
          <w:spacing w:val="-4"/>
          <w:sz w:val="24"/>
        </w:rPr>
        <w:t>5.2.6</w:t>
      </w:r>
      <w:r>
        <w:rPr>
          <w:rFonts w:hint="eastAsia" w:asciiTheme="minorEastAsia" w:hAnsiTheme="minorEastAsia" w:eastAsiaTheme="minorEastAsia"/>
          <w:bCs/>
          <w:color w:val="000000"/>
          <w:spacing w:val="-4"/>
          <w:sz w:val="24"/>
        </w:rPr>
        <w:t>的要求。</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（2）使用者或第三者易接触的管材末端应可靠封堵，除使用工具外，应不可拆卸；</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（3）螺钉、螺母应防锈、防松和防盗。使用者易接触区域应采取措施对螺栓、螺母永久覆盖，或与器材表面齐平，或覆盖件在其安装面以上直角部分的高度小于</w:t>
      </w:r>
      <w:r>
        <w:rPr>
          <w:rFonts w:asciiTheme="minorEastAsia" w:hAnsiTheme="minorEastAsia" w:eastAsiaTheme="minorEastAsia"/>
          <w:bCs/>
          <w:color w:val="000000"/>
          <w:spacing w:val="-4"/>
          <w:sz w:val="24"/>
        </w:rPr>
        <w:t>3mm</w:t>
      </w:r>
      <w:r>
        <w:rPr>
          <w:rFonts w:hint="eastAsia" w:asciiTheme="minorEastAsia" w:hAnsiTheme="minorEastAsia" w:eastAsiaTheme="minorEastAsia"/>
          <w:bCs/>
          <w:color w:val="000000"/>
          <w:spacing w:val="-4"/>
          <w:sz w:val="24"/>
        </w:rPr>
        <w:t>，或突出部分外角应不小于</w:t>
      </w:r>
      <w:r>
        <w:rPr>
          <w:rFonts w:asciiTheme="minorEastAsia" w:hAnsiTheme="minorEastAsia" w:eastAsiaTheme="minorEastAsia"/>
          <w:bCs/>
          <w:color w:val="000000"/>
          <w:spacing w:val="-4"/>
          <w:sz w:val="24"/>
        </w:rPr>
        <w:t>105</w:t>
      </w:r>
      <w:r>
        <w:rPr>
          <w:rFonts w:hint="eastAsia" w:asciiTheme="minorEastAsia" w:hAnsiTheme="minorEastAsia" w:eastAsiaTheme="minorEastAsia"/>
          <w:bCs/>
          <w:color w:val="000000"/>
          <w:spacing w:val="-4"/>
          <w:sz w:val="24"/>
        </w:rPr>
        <w:t>°，或不应有易钩挂形状；</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（4）器材各支撑人体的表面所有棱边和尖角，应使其</w:t>
      </w:r>
      <w:r>
        <w:rPr>
          <w:rFonts w:asciiTheme="minorEastAsia" w:hAnsiTheme="minorEastAsia" w:eastAsiaTheme="minorEastAsia"/>
          <w:bCs/>
          <w:color w:val="000000"/>
          <w:spacing w:val="-4"/>
          <w:sz w:val="24"/>
        </w:rPr>
        <w:t>R</w:t>
      </w:r>
      <w:r>
        <w:rPr>
          <w:rFonts w:hint="eastAsia" w:asciiTheme="minorEastAsia" w:hAnsiTheme="minorEastAsia" w:eastAsiaTheme="minorEastAsia"/>
          <w:bCs/>
          <w:color w:val="000000"/>
          <w:spacing w:val="-4"/>
          <w:sz w:val="24"/>
        </w:rPr>
        <w:t>弧大于</w:t>
      </w:r>
      <w:r>
        <w:rPr>
          <w:rFonts w:asciiTheme="minorEastAsia" w:hAnsiTheme="minorEastAsia" w:eastAsiaTheme="minorEastAsia"/>
          <w:bCs/>
          <w:color w:val="000000"/>
          <w:spacing w:val="-4"/>
          <w:sz w:val="24"/>
        </w:rPr>
        <w:t>3mm</w:t>
      </w:r>
      <w:r>
        <w:rPr>
          <w:rFonts w:hint="eastAsia" w:asciiTheme="minorEastAsia" w:hAnsiTheme="minorEastAsia" w:eastAsiaTheme="minorEastAsia"/>
          <w:bCs/>
          <w:color w:val="000000"/>
          <w:spacing w:val="-4"/>
          <w:sz w:val="24"/>
        </w:rPr>
        <w:t>；使用者或第三者易接触的零部件的其他所有棱边应予以圆滑过渡或加以防护；壁厚小于</w:t>
      </w:r>
      <w:r>
        <w:rPr>
          <w:rFonts w:asciiTheme="minorEastAsia" w:hAnsiTheme="minorEastAsia" w:eastAsiaTheme="minorEastAsia"/>
          <w:bCs/>
          <w:color w:val="000000"/>
          <w:spacing w:val="-4"/>
          <w:sz w:val="24"/>
        </w:rPr>
        <w:t>4mm</w:t>
      </w:r>
      <w:r>
        <w:rPr>
          <w:rFonts w:hint="eastAsia" w:asciiTheme="minorEastAsia" w:hAnsiTheme="minorEastAsia" w:eastAsiaTheme="minorEastAsia"/>
          <w:bCs/>
          <w:color w:val="000000"/>
          <w:spacing w:val="-4"/>
          <w:sz w:val="24"/>
        </w:rPr>
        <w:t>的易接触的金属冲压件应采用曲边或卷边工艺，使外露阳角棱边</w:t>
      </w:r>
      <w:r>
        <w:rPr>
          <w:rFonts w:asciiTheme="minorEastAsia" w:hAnsiTheme="minorEastAsia" w:eastAsiaTheme="minorEastAsia"/>
          <w:bCs/>
          <w:color w:val="000000"/>
          <w:spacing w:val="-4"/>
          <w:sz w:val="24"/>
        </w:rPr>
        <w:t>R</w:t>
      </w:r>
      <w:r>
        <w:rPr>
          <w:rFonts w:hint="eastAsia" w:asciiTheme="minorEastAsia" w:hAnsiTheme="minorEastAsia" w:eastAsiaTheme="minorEastAsia"/>
          <w:bCs/>
          <w:color w:val="000000"/>
          <w:spacing w:val="-4"/>
          <w:sz w:val="24"/>
        </w:rPr>
        <w:t>弧不小于</w:t>
      </w:r>
      <w:r>
        <w:rPr>
          <w:rFonts w:asciiTheme="minorEastAsia" w:hAnsiTheme="minorEastAsia" w:eastAsiaTheme="minorEastAsia"/>
          <w:bCs/>
          <w:color w:val="000000"/>
          <w:spacing w:val="-4"/>
          <w:sz w:val="24"/>
        </w:rPr>
        <w:t>2mm</w:t>
      </w:r>
      <w:r>
        <w:rPr>
          <w:rFonts w:hint="eastAsia" w:asciiTheme="minorEastAsia" w:hAnsiTheme="minorEastAsia" w:eastAsiaTheme="minorEastAsia"/>
          <w:bCs/>
          <w:color w:val="000000"/>
          <w:spacing w:val="-4"/>
          <w:sz w:val="24"/>
        </w:rPr>
        <w:t>；</w:t>
      </w:r>
      <w:r>
        <w:rPr>
          <w:rFonts w:asciiTheme="minorEastAsia" w:hAnsiTheme="minorEastAsia" w:eastAsiaTheme="minorEastAsia"/>
          <w:bCs/>
          <w:color w:val="000000"/>
          <w:spacing w:val="-4"/>
          <w:sz w:val="24"/>
        </w:rPr>
        <w:t xml:space="preserve"> </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（5）不允许存在与使用功能无关的凸出物或装饰物；</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（6）闭合开口、不完全闭合开口、剪切或可变开口应符合</w:t>
      </w:r>
      <w:r>
        <w:rPr>
          <w:rFonts w:asciiTheme="minorEastAsia" w:hAnsiTheme="minorEastAsia" w:eastAsiaTheme="minorEastAsia"/>
          <w:bCs/>
          <w:color w:val="000000"/>
          <w:spacing w:val="-4"/>
          <w:sz w:val="24"/>
        </w:rPr>
        <w:t>GB 19272-2011</w:t>
      </w:r>
      <w:r>
        <w:rPr>
          <w:rFonts w:hint="eastAsia" w:asciiTheme="minorEastAsia" w:hAnsiTheme="minorEastAsia" w:eastAsiaTheme="minorEastAsia"/>
          <w:bCs/>
          <w:color w:val="000000"/>
          <w:spacing w:val="-4"/>
          <w:sz w:val="24"/>
        </w:rPr>
        <w:t>中</w:t>
      </w:r>
      <w:r>
        <w:rPr>
          <w:rFonts w:asciiTheme="minorEastAsia" w:hAnsiTheme="minorEastAsia" w:eastAsiaTheme="minorEastAsia"/>
          <w:bCs/>
          <w:color w:val="000000"/>
          <w:spacing w:val="-4"/>
          <w:sz w:val="24"/>
        </w:rPr>
        <w:t>5.3.2</w:t>
      </w:r>
      <w:r>
        <w:rPr>
          <w:rFonts w:hint="eastAsia" w:asciiTheme="minorEastAsia" w:hAnsiTheme="minorEastAsia" w:eastAsiaTheme="minorEastAsia"/>
          <w:bCs/>
          <w:color w:val="000000"/>
          <w:spacing w:val="-4"/>
          <w:sz w:val="24"/>
        </w:rPr>
        <w:t>的要求；</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（7）活动式器材转动部位不应存在可能造成缠绕、挤压的引入点；</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（8）器材高于</w:t>
      </w:r>
      <w:r>
        <w:rPr>
          <w:rFonts w:asciiTheme="minorEastAsia" w:hAnsiTheme="minorEastAsia" w:eastAsiaTheme="minorEastAsia"/>
          <w:bCs/>
          <w:color w:val="000000"/>
          <w:spacing w:val="-4"/>
          <w:sz w:val="24"/>
        </w:rPr>
        <w:t>600mm</w:t>
      </w:r>
      <w:r>
        <w:rPr>
          <w:rFonts w:hint="eastAsia" w:asciiTheme="minorEastAsia" w:hAnsiTheme="minorEastAsia" w:eastAsiaTheme="minorEastAsia"/>
          <w:bCs/>
          <w:color w:val="000000"/>
          <w:spacing w:val="-4"/>
          <w:sz w:val="24"/>
        </w:rPr>
        <w:t>以上的自由空间和跌落空间内不应出现任何钩挂或缠绕结构；</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（9）器材承载主立柱的钢管直径应不小于</w:t>
      </w:r>
      <w:r>
        <w:rPr>
          <w:rFonts w:asciiTheme="minorEastAsia" w:hAnsiTheme="minorEastAsia" w:eastAsiaTheme="minorEastAsia"/>
          <w:bCs/>
          <w:color w:val="000000"/>
          <w:spacing w:val="-4"/>
          <w:sz w:val="24"/>
        </w:rPr>
        <w:t>110mm</w:t>
      </w:r>
      <w:r>
        <w:rPr>
          <w:rFonts w:hint="eastAsia" w:asciiTheme="minorEastAsia" w:hAnsiTheme="minorEastAsia" w:eastAsiaTheme="minorEastAsia"/>
          <w:bCs/>
          <w:color w:val="000000"/>
          <w:spacing w:val="-4"/>
          <w:sz w:val="24"/>
        </w:rPr>
        <w:t>，</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（10）手握持截面尺寸应不小于</w:t>
      </w:r>
      <w:r>
        <w:rPr>
          <w:rFonts w:asciiTheme="minorEastAsia" w:hAnsiTheme="minorEastAsia" w:eastAsiaTheme="minorEastAsia"/>
          <w:bCs/>
          <w:color w:val="000000"/>
          <w:spacing w:val="-4"/>
          <w:sz w:val="24"/>
        </w:rPr>
        <w:t>16mm</w:t>
      </w:r>
      <w:r>
        <w:rPr>
          <w:rFonts w:hint="eastAsia" w:asciiTheme="minorEastAsia" w:hAnsiTheme="minorEastAsia" w:eastAsiaTheme="minorEastAsia"/>
          <w:bCs/>
          <w:color w:val="000000"/>
          <w:spacing w:val="-4"/>
          <w:sz w:val="24"/>
        </w:rPr>
        <w:t>且不大于</w:t>
      </w:r>
      <w:r>
        <w:rPr>
          <w:rFonts w:asciiTheme="minorEastAsia" w:hAnsiTheme="minorEastAsia" w:eastAsiaTheme="minorEastAsia"/>
          <w:bCs/>
          <w:color w:val="000000"/>
          <w:spacing w:val="-4"/>
          <w:sz w:val="24"/>
        </w:rPr>
        <w:t>45mm</w:t>
      </w:r>
      <w:r>
        <w:rPr>
          <w:rFonts w:hint="eastAsia" w:asciiTheme="minorEastAsia" w:hAnsiTheme="minorEastAsia" w:eastAsiaTheme="minorEastAsia"/>
          <w:bCs/>
          <w:color w:val="000000"/>
          <w:spacing w:val="-4"/>
          <w:sz w:val="24"/>
        </w:rPr>
        <w:t>（双杠除外）；抓紧部位的厚度应不大于</w:t>
      </w:r>
      <w:r>
        <w:rPr>
          <w:rFonts w:asciiTheme="minorEastAsia" w:hAnsiTheme="minorEastAsia" w:eastAsiaTheme="minorEastAsia"/>
          <w:bCs/>
          <w:color w:val="000000"/>
          <w:spacing w:val="-4"/>
          <w:sz w:val="24"/>
        </w:rPr>
        <w:t>60mm</w:t>
      </w:r>
      <w:r>
        <w:rPr>
          <w:rFonts w:hint="eastAsia" w:asciiTheme="minorEastAsia" w:hAnsiTheme="minorEastAsia" w:eastAsiaTheme="minorEastAsia"/>
          <w:bCs/>
          <w:color w:val="000000"/>
          <w:spacing w:val="-4"/>
          <w:sz w:val="24"/>
        </w:rPr>
        <w:t>；</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（11）把手端部直径不小于</w:t>
      </w:r>
      <w:r>
        <w:rPr>
          <w:rFonts w:asciiTheme="minorEastAsia" w:hAnsiTheme="minorEastAsia" w:eastAsiaTheme="minorEastAsia"/>
          <w:bCs/>
          <w:color w:val="000000"/>
          <w:spacing w:val="-4"/>
          <w:sz w:val="24"/>
        </w:rPr>
        <w:t>50mm</w:t>
      </w:r>
      <w:r>
        <w:rPr>
          <w:rFonts w:hint="eastAsia" w:asciiTheme="minorEastAsia" w:hAnsiTheme="minorEastAsia" w:eastAsiaTheme="minorEastAsia"/>
          <w:bCs/>
          <w:color w:val="000000"/>
          <w:spacing w:val="-4"/>
          <w:sz w:val="24"/>
        </w:rPr>
        <w:t>；</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（12）带有轴承的器材，轴承应采取防水、防尘措施。</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（13）器材安全使用寿命不低于</w:t>
      </w:r>
      <w:r>
        <w:rPr>
          <w:rFonts w:asciiTheme="minorEastAsia" w:hAnsiTheme="minorEastAsia" w:eastAsiaTheme="minorEastAsia"/>
          <w:bCs/>
          <w:color w:val="000000"/>
          <w:spacing w:val="-4"/>
          <w:sz w:val="24"/>
        </w:rPr>
        <w:t>8</w:t>
      </w:r>
      <w:r>
        <w:rPr>
          <w:rFonts w:hint="eastAsia" w:asciiTheme="minorEastAsia" w:hAnsiTheme="minorEastAsia" w:eastAsiaTheme="minorEastAsia"/>
          <w:bCs/>
          <w:color w:val="000000"/>
          <w:spacing w:val="-4"/>
          <w:sz w:val="24"/>
        </w:rPr>
        <w:t>年；</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（14）器材地埋深度应符合</w:t>
      </w:r>
      <w:r>
        <w:rPr>
          <w:rFonts w:asciiTheme="minorEastAsia" w:hAnsiTheme="minorEastAsia" w:eastAsiaTheme="minorEastAsia"/>
          <w:bCs/>
          <w:color w:val="000000"/>
          <w:spacing w:val="-4"/>
          <w:sz w:val="24"/>
        </w:rPr>
        <w:t>GB 19272-2011</w:t>
      </w:r>
      <w:r>
        <w:rPr>
          <w:rFonts w:hint="eastAsia" w:asciiTheme="minorEastAsia" w:hAnsiTheme="minorEastAsia" w:eastAsiaTheme="minorEastAsia"/>
          <w:bCs/>
          <w:color w:val="000000"/>
          <w:spacing w:val="-4"/>
          <w:sz w:val="24"/>
        </w:rPr>
        <w:t>的要求；</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（15）钢铁制件（不锈钢除外）表面，应经过脱脂抛丸处理或磷化处理或经过表面热度锌处理后，再进行表面喷塑处理，涂层厚度不小于</w:t>
      </w:r>
      <w:r>
        <w:rPr>
          <w:rFonts w:asciiTheme="minorEastAsia" w:hAnsiTheme="minorEastAsia" w:eastAsiaTheme="minorEastAsia"/>
          <w:bCs/>
          <w:color w:val="000000"/>
          <w:spacing w:val="-4"/>
          <w:sz w:val="24"/>
        </w:rPr>
        <w:t>70</w:t>
      </w:r>
      <w:r>
        <w:rPr>
          <w:rFonts w:hint="eastAsia" w:asciiTheme="minorEastAsia" w:hAnsiTheme="minorEastAsia" w:eastAsiaTheme="minorEastAsia"/>
          <w:bCs/>
          <w:color w:val="000000"/>
          <w:spacing w:val="-4"/>
          <w:sz w:val="24"/>
        </w:rPr>
        <w:t>μ</w:t>
      </w:r>
      <w:r>
        <w:rPr>
          <w:rFonts w:asciiTheme="minorEastAsia" w:hAnsiTheme="minorEastAsia" w:eastAsiaTheme="minorEastAsia"/>
          <w:bCs/>
          <w:color w:val="000000"/>
          <w:spacing w:val="-4"/>
          <w:sz w:val="24"/>
        </w:rPr>
        <w:t>m</w:t>
      </w:r>
      <w:r>
        <w:rPr>
          <w:rFonts w:hint="eastAsia" w:asciiTheme="minorEastAsia" w:hAnsiTheme="minorEastAsia" w:eastAsiaTheme="minorEastAsia"/>
          <w:bCs/>
          <w:color w:val="000000"/>
          <w:spacing w:val="-4"/>
          <w:sz w:val="24"/>
        </w:rPr>
        <w:t>；</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（16）器材安全警示应采用图示和文字方式提示使用者可能存在风险；</w:t>
      </w:r>
    </w:p>
    <w:p>
      <w:pPr>
        <w:widowControl/>
        <w:spacing w:line="360" w:lineRule="auto"/>
        <w:ind w:firstLine="464" w:firstLineChars="200"/>
        <w:rPr>
          <w:rFonts w:asciiTheme="minorEastAsia" w:hAnsiTheme="minorEastAsia" w:eastAsiaTheme="minorEastAsia"/>
          <w:bCs/>
          <w:color w:val="000000"/>
          <w:spacing w:val="-4"/>
          <w:sz w:val="24"/>
        </w:rPr>
      </w:pPr>
      <w:r>
        <w:rPr>
          <w:rFonts w:hint="eastAsia" w:asciiTheme="minorEastAsia" w:hAnsiTheme="minorEastAsia" w:eastAsiaTheme="minorEastAsia"/>
          <w:bCs/>
          <w:color w:val="000000"/>
          <w:spacing w:val="-4"/>
          <w:sz w:val="24"/>
        </w:rPr>
        <w:t>（17）器材应符合</w:t>
      </w:r>
      <w:r>
        <w:rPr>
          <w:rFonts w:asciiTheme="minorEastAsia" w:hAnsiTheme="minorEastAsia" w:eastAsiaTheme="minorEastAsia"/>
          <w:bCs/>
          <w:color w:val="000000"/>
          <w:spacing w:val="-4"/>
          <w:sz w:val="24"/>
        </w:rPr>
        <w:t>GB 19272-2011</w:t>
      </w:r>
      <w:r>
        <w:rPr>
          <w:rFonts w:hint="eastAsia" w:asciiTheme="minorEastAsia" w:hAnsiTheme="minorEastAsia" w:eastAsiaTheme="minorEastAsia"/>
          <w:bCs/>
          <w:color w:val="000000"/>
          <w:spacing w:val="-4"/>
          <w:sz w:val="24"/>
        </w:rPr>
        <w:t>的要求，通过</w:t>
      </w:r>
      <w:r>
        <w:rPr>
          <w:rFonts w:asciiTheme="minorEastAsia" w:hAnsiTheme="minorEastAsia" w:eastAsiaTheme="minorEastAsia"/>
          <w:bCs/>
          <w:color w:val="000000"/>
          <w:spacing w:val="-4"/>
          <w:sz w:val="24"/>
        </w:rPr>
        <w:t>NSCC</w:t>
      </w:r>
      <w:r>
        <w:rPr>
          <w:rFonts w:hint="eastAsia" w:asciiTheme="minorEastAsia" w:hAnsiTheme="minorEastAsia" w:eastAsiaTheme="minorEastAsia"/>
          <w:bCs/>
          <w:color w:val="000000"/>
          <w:spacing w:val="-4"/>
          <w:sz w:val="24"/>
        </w:rPr>
        <w:t>认证。</w:t>
      </w:r>
    </w:p>
    <w:p>
      <w:pPr>
        <w:widowControl/>
        <w:spacing w:line="360" w:lineRule="auto"/>
        <w:ind w:firstLine="464" w:firstLineChars="200"/>
        <w:rPr>
          <w:rFonts w:cs="宋体" w:asciiTheme="minorEastAsia" w:hAnsiTheme="minorEastAsia" w:eastAsiaTheme="minorEastAsia"/>
          <w:bCs/>
          <w:kern w:val="0"/>
          <w:sz w:val="24"/>
        </w:rPr>
      </w:pPr>
      <w:r>
        <w:rPr>
          <w:rFonts w:hint="eastAsia" w:asciiTheme="minorEastAsia" w:hAnsiTheme="minorEastAsia" w:eastAsiaTheme="minorEastAsia"/>
          <w:color w:val="000000"/>
          <w:spacing w:val="-4"/>
          <w:sz w:val="24"/>
        </w:rPr>
        <w:t>（18）</w:t>
      </w:r>
      <w:r>
        <w:rPr>
          <w:rFonts w:asciiTheme="minorEastAsia" w:hAnsiTheme="minorEastAsia" w:eastAsiaTheme="minorEastAsia"/>
          <w:color w:val="000000"/>
          <w:spacing w:val="-4"/>
          <w:sz w:val="24"/>
        </w:rPr>
        <w:t>201</w:t>
      </w:r>
      <w:r>
        <w:rPr>
          <w:rFonts w:hint="eastAsia" w:asciiTheme="minorEastAsia" w:hAnsiTheme="minorEastAsia" w:eastAsiaTheme="minorEastAsia"/>
          <w:color w:val="000000"/>
          <w:spacing w:val="-4"/>
          <w:sz w:val="24"/>
        </w:rPr>
        <w:t>7年</w:t>
      </w:r>
      <w:r>
        <w:rPr>
          <w:rFonts w:hint="eastAsia" w:asciiTheme="minorEastAsia" w:hAnsiTheme="minorEastAsia" w:eastAsiaTheme="minorEastAsia"/>
          <w:color w:val="000000"/>
          <w:sz w:val="24"/>
        </w:rPr>
        <w:t>招标的</w:t>
      </w:r>
      <w:r>
        <w:rPr>
          <w:rFonts w:hint="eastAsia" w:asciiTheme="minorEastAsia" w:hAnsiTheme="minorEastAsia" w:eastAsiaTheme="minorEastAsia"/>
          <w:color w:val="000000"/>
          <w:spacing w:val="-4"/>
          <w:sz w:val="24"/>
        </w:rPr>
        <w:t>器材必须是直埋安装</w:t>
      </w:r>
      <w:r>
        <w:rPr>
          <w:rFonts w:hint="eastAsia" w:asciiTheme="minorEastAsia" w:hAnsiTheme="minorEastAsia" w:eastAsiaTheme="minorEastAsia"/>
          <w:spacing w:val="-4"/>
          <w:sz w:val="24"/>
        </w:rPr>
        <w:t>（</w:t>
      </w:r>
      <w:r>
        <w:rPr>
          <w:rFonts w:hint="eastAsia" w:cs="宋体" w:asciiTheme="minorEastAsia" w:hAnsiTheme="minorEastAsia" w:eastAsiaTheme="minorEastAsia"/>
          <w:bCs/>
          <w:kern w:val="0"/>
          <w:sz w:val="24"/>
        </w:rPr>
        <w:t>乒乓球台、</w:t>
      </w:r>
      <w:r>
        <w:rPr>
          <w:rFonts w:hint="eastAsia" w:asciiTheme="minorEastAsia" w:hAnsiTheme="minorEastAsia" w:eastAsiaTheme="minorEastAsia"/>
          <w:bCs/>
          <w:sz w:val="24"/>
        </w:rPr>
        <w:t>灯柱、</w:t>
      </w:r>
      <w:r>
        <w:rPr>
          <w:rFonts w:asciiTheme="minorEastAsia" w:hAnsiTheme="minorEastAsia" w:eastAsiaTheme="minorEastAsia"/>
          <w:bCs/>
          <w:sz w:val="24"/>
        </w:rPr>
        <w:t>C</w:t>
      </w:r>
      <w:r>
        <w:rPr>
          <w:rFonts w:hint="eastAsia" w:asciiTheme="minorEastAsia" w:hAnsiTheme="minorEastAsia" w:eastAsiaTheme="minorEastAsia"/>
          <w:bCs/>
          <w:sz w:val="24"/>
        </w:rPr>
        <w:t>类篮球架、采用予埋件</w:t>
      </w:r>
      <w:r>
        <w:rPr>
          <w:rFonts w:hint="eastAsia" w:cs="宋体" w:asciiTheme="minorEastAsia" w:hAnsiTheme="minorEastAsia" w:eastAsiaTheme="minorEastAsia"/>
          <w:bCs/>
          <w:kern w:val="0"/>
          <w:sz w:val="24"/>
        </w:rPr>
        <w:t>）。</w:t>
      </w:r>
    </w:p>
    <w:p>
      <w:pPr>
        <w:widowControl/>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bCs/>
          <w:kern w:val="0"/>
          <w:sz w:val="24"/>
        </w:rPr>
        <w:t>（19）</w:t>
      </w:r>
      <w:r>
        <w:rPr>
          <w:rFonts w:hint="eastAsia" w:asciiTheme="minorEastAsia" w:hAnsiTheme="minorEastAsia" w:eastAsiaTheme="minorEastAsia"/>
          <w:sz w:val="24"/>
        </w:rPr>
        <w:t>告示牌，标志牌材料为不锈钢板。版面字体工艺：版面字体经过化学腐蚀喷漆处理形成凹凸感</w:t>
      </w:r>
      <w:r>
        <w:rPr>
          <w:rFonts w:asciiTheme="minorEastAsia" w:hAnsiTheme="minorEastAsia" w:eastAsiaTheme="minorEastAsia"/>
          <w:sz w:val="24"/>
        </w:rPr>
        <w:t>,</w:t>
      </w:r>
      <w:r>
        <w:rPr>
          <w:rFonts w:hint="eastAsia" w:asciiTheme="minorEastAsia" w:hAnsiTheme="minorEastAsia" w:eastAsiaTheme="minorEastAsia"/>
          <w:sz w:val="24"/>
        </w:rPr>
        <w:t>有中国体育彩票</w:t>
      </w:r>
      <w:r>
        <w:rPr>
          <w:rFonts w:asciiTheme="minorEastAsia" w:hAnsiTheme="minorEastAsia" w:eastAsiaTheme="minorEastAsia"/>
          <w:sz w:val="24"/>
        </w:rPr>
        <w:t xml:space="preserve"> </w:t>
      </w:r>
      <w:r>
        <w:rPr>
          <w:rFonts w:hint="eastAsia" w:asciiTheme="minorEastAsia" w:hAnsiTheme="minorEastAsia" w:eastAsiaTheme="minorEastAsia"/>
          <w:sz w:val="24"/>
        </w:rPr>
        <w:t>许昌市体育局捐赠标示。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（20）所投产品（灯除外）进行了产品质量责任险、意外伤害险。</w:t>
      </w:r>
    </w:p>
    <w:p>
      <w:pPr>
        <w:autoSpaceDE w:val="0"/>
        <w:autoSpaceDN w:val="0"/>
        <w:adjustRightInd w:val="0"/>
        <w:snapToGrid w:val="0"/>
        <w:spacing w:line="360" w:lineRule="auto"/>
        <w:ind w:firstLine="472" w:firstLineChars="196"/>
        <w:rPr>
          <w:rFonts w:cs="宋体" w:asciiTheme="minorEastAsia" w:hAnsiTheme="minorEastAsia" w:eastAsiaTheme="minorEastAsia"/>
          <w:b/>
          <w:sz w:val="24"/>
          <w:lang w:val="zh-CN"/>
        </w:rPr>
      </w:pPr>
      <w:r>
        <w:rPr>
          <w:rFonts w:hint="eastAsia" w:cs="宋体" w:asciiTheme="minorEastAsia" w:hAnsiTheme="minorEastAsia" w:eastAsiaTheme="minorEastAsia"/>
          <w:b/>
          <w:sz w:val="24"/>
          <w:lang w:val="zh-CN"/>
        </w:rPr>
        <w:t>（二）其它要求</w:t>
      </w:r>
    </w:p>
    <w:p>
      <w:pPr>
        <w:autoSpaceDE w:val="0"/>
        <w:autoSpaceDN w:val="0"/>
        <w:adjustRightInd w:val="0"/>
        <w:snapToGrid w:val="0"/>
        <w:spacing w:line="360" w:lineRule="auto"/>
        <w:ind w:firstLine="480" w:firstLineChars="200"/>
        <w:rPr>
          <w:rFonts w:asciiTheme="minorEastAsia" w:hAnsiTheme="minorEastAsia" w:eastAsiaTheme="minorEastAsia"/>
          <w:b/>
          <w:bCs/>
          <w:sz w:val="24"/>
        </w:rPr>
      </w:pPr>
      <w:r>
        <w:rPr>
          <w:rFonts w:hint="eastAsia" w:cs="宋体" w:asciiTheme="minorEastAsia" w:hAnsiTheme="minorEastAsia" w:eastAsiaTheme="minorEastAsia"/>
          <w:sz w:val="24"/>
          <w:lang w:val="zh-CN"/>
        </w:rPr>
        <w:t>1、投标</w:t>
      </w:r>
      <w:r>
        <w:rPr>
          <w:rFonts w:hint="eastAsia" w:asciiTheme="minorEastAsia" w:hAnsiTheme="minorEastAsia" w:eastAsiaTheme="minorEastAsia"/>
          <w:sz w:val="24"/>
        </w:rPr>
        <w:t>文件中</w:t>
      </w:r>
      <w:r>
        <w:rPr>
          <w:rFonts w:hint="eastAsia" w:cs="宋体" w:asciiTheme="minorEastAsia" w:hAnsiTheme="minorEastAsia" w:eastAsiaTheme="minorEastAsia"/>
          <w:sz w:val="24"/>
          <w:lang w:val="zh-CN"/>
        </w:rPr>
        <w:t>须明确投标产品的厂家、产地、品牌、型号、详细参数，</w:t>
      </w:r>
      <w:r>
        <w:rPr>
          <w:rFonts w:hint="eastAsia" w:asciiTheme="minorEastAsia" w:hAnsiTheme="minorEastAsia" w:eastAsiaTheme="minorEastAsia"/>
          <w:b/>
          <w:sz w:val="24"/>
        </w:rPr>
        <w:t>否则为无效投标。</w:t>
      </w:r>
    </w:p>
    <w:p>
      <w:pPr>
        <w:autoSpaceDE w:val="0"/>
        <w:autoSpaceDN w:val="0"/>
        <w:adjustRightInd w:val="0"/>
        <w:snapToGrid w:val="0"/>
        <w:spacing w:line="360" w:lineRule="auto"/>
        <w:ind w:firstLine="480" w:firstLineChars="200"/>
        <w:rPr>
          <w:rFonts w:cs="宋体" w:asciiTheme="minorEastAsia" w:hAnsiTheme="minorEastAsia" w:eastAsiaTheme="minorEastAsia"/>
          <w:b/>
          <w:sz w:val="24"/>
          <w:lang w:val="zh-CN"/>
        </w:rPr>
      </w:pPr>
      <w:r>
        <w:rPr>
          <w:rFonts w:hint="eastAsia" w:asciiTheme="minorEastAsia" w:hAnsiTheme="minorEastAsia" w:eastAsiaTheme="minorEastAsia"/>
          <w:sz w:val="24"/>
        </w:rPr>
        <w:t>2、招标文件中所列产品参数为最低要求，投标产品不得低于最低要求，</w:t>
      </w:r>
      <w:r>
        <w:rPr>
          <w:rFonts w:hint="eastAsia" w:cs="宋体" w:asciiTheme="minorEastAsia" w:hAnsiTheme="minorEastAsia" w:eastAsiaTheme="minorEastAsia"/>
          <w:sz w:val="24"/>
        </w:rPr>
        <w:t>所有投标参数以</w:t>
      </w:r>
      <w:r>
        <w:rPr>
          <w:rFonts w:cs="宋体" w:asciiTheme="minorEastAsia" w:hAnsiTheme="minorEastAsia" w:eastAsiaTheme="minorEastAsia"/>
          <w:sz w:val="24"/>
        </w:rPr>
        <w:t>NSCC</w:t>
      </w:r>
      <w:r>
        <w:rPr>
          <w:rFonts w:hint="eastAsia" w:cs="宋体" w:asciiTheme="minorEastAsia" w:hAnsiTheme="minorEastAsia" w:eastAsiaTheme="minorEastAsia"/>
          <w:sz w:val="24"/>
        </w:rPr>
        <w:t>认证证书参数为准（认证证书发证日期和换证日期均应在招标公告发布之日前取得国体认证部门认证为有效），</w:t>
      </w:r>
      <w:r>
        <w:rPr>
          <w:rFonts w:hint="eastAsia" w:asciiTheme="minorEastAsia" w:hAnsiTheme="minorEastAsia" w:eastAsiaTheme="minorEastAsia"/>
          <w:sz w:val="24"/>
        </w:rPr>
        <w:t>投标文件不得复</w:t>
      </w:r>
      <w:r>
        <w:rPr>
          <w:rFonts w:hint="eastAsia" w:cs="宋体" w:asciiTheme="minorEastAsia" w:hAnsiTheme="minorEastAsia" w:eastAsiaTheme="minorEastAsia"/>
          <w:sz w:val="24"/>
          <w:lang w:val="zh-CN"/>
        </w:rPr>
        <w:t>制招标文件中的技术参数，</w:t>
      </w:r>
      <w:r>
        <w:rPr>
          <w:rFonts w:hint="eastAsia" w:cs="宋体" w:asciiTheme="minorEastAsia" w:hAnsiTheme="minorEastAsia" w:eastAsiaTheme="minorEastAsia"/>
          <w:b/>
          <w:sz w:val="24"/>
          <w:lang w:val="zh-CN"/>
        </w:rPr>
        <w:t>否则为无效投标。</w:t>
      </w:r>
    </w:p>
    <w:p>
      <w:pPr>
        <w:spacing w:line="360" w:lineRule="auto"/>
        <w:ind w:firstLine="480" w:firstLineChars="200"/>
        <w:rPr>
          <w:rFonts w:cs="宋体" w:asciiTheme="minorEastAsia" w:hAnsiTheme="minorEastAsia" w:eastAsiaTheme="minorEastAsia"/>
          <w:b/>
          <w:sz w:val="24"/>
          <w:lang w:val="zh-CN"/>
        </w:rPr>
      </w:pPr>
      <w:r>
        <w:rPr>
          <w:rFonts w:hint="eastAsia" w:cs="宋体" w:asciiTheme="minorEastAsia" w:hAnsiTheme="minorEastAsia" w:eastAsiaTheme="minorEastAsia"/>
          <w:sz w:val="24"/>
          <w:lang w:val="zh-CN"/>
        </w:rPr>
        <w:t>3、</w:t>
      </w:r>
      <w:r>
        <w:rPr>
          <w:rFonts w:hint="eastAsia" w:cs="宋体" w:asciiTheme="minorEastAsia" w:hAnsiTheme="minorEastAsia" w:eastAsiaTheme="minorEastAsia"/>
          <w:kern w:val="0"/>
          <w:sz w:val="24"/>
        </w:rPr>
        <w:t>投标人所投所有器材主要承载立柱和横梁应同一材质，不允许用其它材质替代，</w:t>
      </w:r>
      <w:r>
        <w:rPr>
          <w:rFonts w:hint="eastAsia" w:cs="宋体" w:asciiTheme="minorEastAsia" w:hAnsiTheme="minorEastAsia" w:eastAsiaTheme="minorEastAsia"/>
          <w:b/>
          <w:kern w:val="0"/>
          <w:sz w:val="24"/>
        </w:rPr>
        <w:t>否则为无效投标。</w:t>
      </w:r>
    </w:p>
    <w:p>
      <w:pPr>
        <w:spacing w:line="360" w:lineRule="auto"/>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sz w:val="24"/>
          <w:lang w:val="zh-CN"/>
        </w:rPr>
        <w:t>4、中标人在领取中标通知书时须向采购单位</w:t>
      </w:r>
      <w:r>
        <w:rPr>
          <w:rFonts w:hint="eastAsia" w:cs="宋体" w:asciiTheme="minorEastAsia" w:hAnsiTheme="minorEastAsia" w:eastAsiaTheme="minorEastAsia"/>
          <w:bCs/>
          <w:sz w:val="24"/>
        </w:rPr>
        <w:t>提供国家体育总局质量监督检验中心出具的符合</w:t>
      </w:r>
      <w:r>
        <w:rPr>
          <w:rFonts w:cs="宋体" w:asciiTheme="minorEastAsia" w:hAnsiTheme="minorEastAsia" w:eastAsiaTheme="minorEastAsia"/>
          <w:bCs/>
          <w:sz w:val="24"/>
        </w:rPr>
        <w:t>GB19272-2011</w:t>
      </w:r>
      <w:r>
        <w:rPr>
          <w:rFonts w:hint="eastAsia" w:cs="宋体" w:asciiTheme="minorEastAsia" w:hAnsiTheme="minorEastAsia" w:eastAsiaTheme="minorEastAsia"/>
          <w:bCs/>
          <w:sz w:val="24"/>
        </w:rPr>
        <w:t>《室外健身器材的安全通用要求》检验报告，</w:t>
      </w:r>
      <w:r>
        <w:rPr>
          <w:rFonts w:hint="eastAsia" w:cs="宋体" w:asciiTheme="minorEastAsia" w:hAnsiTheme="minorEastAsia" w:eastAsiaTheme="minorEastAsia"/>
          <w:b/>
          <w:bCs/>
          <w:sz w:val="24"/>
        </w:rPr>
        <w:t>否则取消其中标资格。</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val="zh-CN"/>
        </w:rPr>
        <w:t>专利权：供应商应保证用户在使用该货物或其任何一部分时不受第三方提出侵犯其专利权、商标权和工业设计权等的起诉。</w:t>
      </w:r>
    </w:p>
    <w:p>
      <w:pPr>
        <w:autoSpaceDE w:val="0"/>
        <w:autoSpaceDN w:val="0"/>
        <w:adjustRightInd w:val="0"/>
        <w:snapToGrid w:val="0"/>
        <w:spacing w:line="360" w:lineRule="auto"/>
        <w:ind w:firstLine="470" w:firstLineChars="196"/>
        <w:rPr>
          <w:rFonts w:cs="宋体" w:asciiTheme="minorEastAsia" w:hAnsiTheme="minorEastAsia" w:eastAsiaTheme="minorEastAsia"/>
          <w:b/>
          <w:sz w:val="24"/>
          <w:lang w:val="zh-CN"/>
        </w:rPr>
      </w:pPr>
      <w:r>
        <w:rPr>
          <w:rFonts w:hint="eastAsia" w:cs="宋体" w:asciiTheme="minorEastAsia" w:hAnsiTheme="minorEastAsia" w:eastAsiaTheme="minorEastAsia"/>
          <w:sz w:val="24"/>
          <w:lang w:val="zh-CN"/>
        </w:rPr>
        <w:t>6、设备必须符合国家质量检测标准和本招标文件规定标准的全新正品现货，提供随货物《产品合格证》及其它相关质量证明文件；进口产品须提供海关进货单（复印件备查），随机资料及附件齐全。</w:t>
      </w:r>
    </w:p>
    <w:p>
      <w:pPr>
        <w:autoSpaceDE w:val="0"/>
        <w:autoSpaceDN w:val="0"/>
        <w:adjustRightInd w:val="0"/>
        <w:snapToGrid w:val="0"/>
        <w:spacing w:line="360" w:lineRule="auto"/>
        <w:ind w:firstLine="470" w:firstLineChars="196"/>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7、履约要求：</w:t>
      </w:r>
    </w:p>
    <w:p>
      <w:pPr>
        <w:autoSpaceDE w:val="0"/>
        <w:autoSpaceDN w:val="0"/>
        <w:adjustRightInd w:val="0"/>
        <w:snapToGrid w:val="0"/>
        <w:spacing w:line="360" w:lineRule="auto"/>
        <w:ind w:firstLine="830" w:firstLineChars="346"/>
        <w:rPr>
          <w:rFonts w:asciiTheme="minorEastAsia" w:hAnsiTheme="minorEastAsia" w:eastAsiaTheme="minorEastAsia"/>
          <w:sz w:val="24"/>
        </w:rPr>
      </w:pPr>
      <w:r>
        <w:rPr>
          <w:rFonts w:hint="eastAsia" w:asciiTheme="minorEastAsia" w:hAnsiTheme="minorEastAsia" w:eastAsiaTheme="minorEastAsia"/>
          <w:sz w:val="24"/>
        </w:rPr>
        <w:t>在质量保证期内</w:t>
      </w:r>
      <w:r>
        <w:rPr>
          <w:rFonts w:asciiTheme="minorEastAsia" w:hAnsiTheme="minorEastAsia" w:eastAsiaTheme="minorEastAsia"/>
          <w:sz w:val="24"/>
        </w:rPr>
        <w:t>,</w:t>
      </w:r>
      <w:r>
        <w:rPr>
          <w:rFonts w:hint="eastAsia" w:asciiTheme="minorEastAsia" w:hAnsiTheme="minorEastAsia" w:eastAsiaTheme="minorEastAsia"/>
          <w:sz w:val="24"/>
        </w:rPr>
        <w:t>凡因正常使用出现的质量问题，供货商应提供免费维修或更换。在厂家</w:t>
      </w:r>
      <w:r>
        <w:rPr>
          <w:rFonts w:asciiTheme="minorEastAsia" w:hAnsiTheme="minorEastAsia" w:eastAsiaTheme="minorEastAsia"/>
          <w:sz w:val="24"/>
        </w:rPr>
        <w:t>(</w:t>
      </w:r>
      <w:r>
        <w:rPr>
          <w:rFonts w:hint="eastAsia" w:asciiTheme="minorEastAsia" w:hAnsiTheme="minorEastAsia" w:eastAsiaTheme="minorEastAsia"/>
          <w:sz w:val="24"/>
        </w:rPr>
        <w:t>供货商维修服务中心</w:t>
      </w:r>
      <w:r>
        <w:rPr>
          <w:rFonts w:asciiTheme="minorEastAsia" w:hAnsiTheme="minorEastAsia" w:eastAsiaTheme="minorEastAsia"/>
          <w:sz w:val="24"/>
        </w:rPr>
        <w:t>)</w:t>
      </w:r>
      <w:r>
        <w:rPr>
          <w:rFonts w:hint="eastAsia" w:asciiTheme="minorEastAsia" w:hAnsiTheme="minorEastAsia" w:eastAsiaTheme="minorEastAsia"/>
          <w:sz w:val="24"/>
        </w:rPr>
        <w:t>维修时</w:t>
      </w:r>
      <w:r>
        <w:rPr>
          <w:rFonts w:asciiTheme="minorEastAsia" w:hAnsiTheme="minorEastAsia" w:eastAsiaTheme="minorEastAsia"/>
          <w:sz w:val="24"/>
        </w:rPr>
        <w:t>,</w:t>
      </w:r>
      <w:r>
        <w:rPr>
          <w:rFonts w:hint="eastAsia" w:asciiTheme="minorEastAsia" w:hAnsiTheme="minorEastAsia" w:eastAsiaTheme="minorEastAsia"/>
          <w:sz w:val="24"/>
        </w:rPr>
        <w:t>供货商应支付设备或组件的包装和运费。并从修复或更换后重新计算质保期。</w:t>
      </w:r>
    </w:p>
    <w:p>
      <w:pPr>
        <w:autoSpaceDE w:val="0"/>
        <w:autoSpaceDN w:val="0"/>
        <w:adjustRightInd w:val="0"/>
        <w:snapToGrid w:val="0"/>
        <w:spacing w:line="360" w:lineRule="auto"/>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8、验收要求：</w:t>
      </w:r>
    </w:p>
    <w:p>
      <w:pPr>
        <w:autoSpaceDE w:val="0"/>
        <w:autoSpaceDN w:val="0"/>
        <w:adjustRightInd w:val="0"/>
        <w:snapToGrid w:val="0"/>
        <w:spacing w:line="360" w:lineRule="auto"/>
        <w:ind w:firstLine="470" w:firstLineChars="196"/>
        <w:rPr>
          <w:rFonts w:asciiTheme="minorEastAsia" w:hAnsiTheme="minorEastAsia" w:eastAsiaTheme="minorEastAsia"/>
          <w:sz w:val="24"/>
        </w:rPr>
      </w:pPr>
      <w:r>
        <w:rPr>
          <w:rFonts w:hint="eastAsia" w:cs="宋体" w:asciiTheme="minorEastAsia" w:hAnsiTheme="minorEastAsia" w:eastAsiaTheme="minorEastAsia"/>
          <w:sz w:val="24"/>
        </w:rPr>
        <w:t>（1）</w:t>
      </w:r>
      <w:r>
        <w:rPr>
          <w:rFonts w:hint="eastAsia" w:asciiTheme="minorEastAsia" w:hAnsiTheme="minorEastAsia" w:eastAsiaTheme="minorEastAsia"/>
          <w:sz w:val="24"/>
        </w:rPr>
        <w:t>检验合格后，采购人将组织有关人员进行安装工作验收。验收不合格，由中标方承担相关责任。验收合格后签署货物验收单。采购方根据验收合格单支付货款。</w:t>
      </w:r>
    </w:p>
    <w:p>
      <w:pPr>
        <w:autoSpaceDE w:val="0"/>
        <w:autoSpaceDN w:val="0"/>
        <w:adjustRightInd w:val="0"/>
        <w:snapToGrid w:val="0"/>
        <w:spacing w:line="360" w:lineRule="auto"/>
        <w:ind w:firstLine="470" w:firstLineChars="196"/>
        <w:rPr>
          <w:rFonts w:cs="宋体" w:asciiTheme="minorEastAsia" w:hAnsiTheme="minorEastAsia" w:eastAsiaTheme="minorEastAsia"/>
          <w:sz w:val="24"/>
        </w:rPr>
      </w:pPr>
      <w:r>
        <w:rPr>
          <w:rFonts w:hint="eastAsia" w:asciiTheme="minorEastAsia" w:hAnsiTheme="minorEastAsia" w:eastAsiaTheme="minorEastAsia"/>
          <w:sz w:val="24"/>
        </w:rPr>
        <w:t>（2）中标人在质量保证期内，应配合省全民健身工程质量督查指导组，每年不少两次巡回检查。</w:t>
      </w:r>
    </w:p>
    <w:p>
      <w:pPr>
        <w:autoSpaceDE w:val="0"/>
        <w:autoSpaceDN w:val="0"/>
        <w:adjustRightInd w:val="0"/>
        <w:snapToGrid w:val="0"/>
        <w:spacing w:line="360" w:lineRule="auto"/>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9、售后服务：</w:t>
      </w:r>
    </w:p>
    <w:p>
      <w:pPr>
        <w:autoSpaceDE w:val="0"/>
        <w:autoSpaceDN w:val="0"/>
        <w:adjustRightInd w:val="0"/>
        <w:snapToGrid w:val="0"/>
        <w:spacing w:line="360" w:lineRule="auto"/>
        <w:ind w:firstLine="470" w:firstLineChars="196"/>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采购产品安全使用寿命期限要求：器材安全使用寿命不低于</w:t>
      </w:r>
      <w:r>
        <w:rPr>
          <w:rFonts w:cs="宋体" w:asciiTheme="minorEastAsia" w:hAnsiTheme="minorEastAsia" w:eastAsiaTheme="minorEastAsia"/>
          <w:sz w:val="24"/>
          <w:lang w:val="zh-CN"/>
        </w:rPr>
        <w:t>8</w:t>
      </w:r>
      <w:r>
        <w:rPr>
          <w:rFonts w:hint="eastAsia" w:cs="宋体" w:asciiTheme="minorEastAsia" w:hAnsiTheme="minorEastAsia" w:eastAsiaTheme="minorEastAsia"/>
          <w:sz w:val="24"/>
          <w:lang w:val="zh-CN"/>
        </w:rPr>
        <w:t>年；质保期自验收合格之日起二年。</w:t>
      </w:r>
    </w:p>
    <w:p>
      <w:pPr>
        <w:overflowPunct w:val="0"/>
        <w:autoSpaceDE w:val="0"/>
        <w:autoSpaceDN w:val="0"/>
        <w:adjustRightInd w:val="0"/>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质量保证期内：免费维修与更换缺陷部件的期限为供应商收到采购人通知后</w:t>
      </w:r>
      <w:r>
        <w:rPr>
          <w:rFonts w:cs="宋体" w:asciiTheme="minorEastAsia" w:hAnsiTheme="minorEastAsia" w:eastAsiaTheme="minorEastAsia"/>
          <w:sz w:val="24"/>
          <w:lang w:val="zh-CN"/>
        </w:rPr>
        <w:t>5</w:t>
      </w:r>
      <w:r>
        <w:rPr>
          <w:rFonts w:hint="eastAsia" w:cs="宋体" w:asciiTheme="minorEastAsia" w:hAnsiTheme="minorEastAsia" w:eastAsiaTheme="minorEastAsia"/>
          <w:sz w:val="24"/>
          <w:lang w:val="zh-CN"/>
        </w:rPr>
        <w:t>天内完成。质量保证期自更换之日起重新计算。</w:t>
      </w:r>
    </w:p>
    <w:p>
      <w:pPr>
        <w:overflowPunct w:val="0"/>
        <w:autoSpaceDE w:val="0"/>
        <w:autoSpaceDN w:val="0"/>
        <w:adjustRightInd w:val="0"/>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（3）设备出现故障时，积极做出响应，</w:t>
      </w:r>
      <w:r>
        <w:rPr>
          <w:rFonts w:cs="宋体" w:asciiTheme="minorEastAsia" w:hAnsiTheme="minorEastAsia" w:eastAsiaTheme="minorEastAsia"/>
          <w:sz w:val="24"/>
          <w:lang w:val="zh-CN"/>
        </w:rPr>
        <w:t>4</w:t>
      </w:r>
      <w:r>
        <w:rPr>
          <w:rFonts w:hint="eastAsia" w:cs="宋体" w:asciiTheme="minorEastAsia" w:hAnsiTheme="minorEastAsia" w:eastAsiaTheme="minorEastAsia"/>
          <w:sz w:val="24"/>
          <w:lang w:val="zh-CN"/>
        </w:rPr>
        <w:t>小时内到达现场，</w:t>
      </w:r>
      <w:r>
        <w:rPr>
          <w:rFonts w:cs="宋体" w:asciiTheme="minorEastAsia" w:hAnsiTheme="minorEastAsia" w:eastAsiaTheme="minorEastAsia"/>
          <w:sz w:val="24"/>
          <w:lang w:val="zh-CN"/>
        </w:rPr>
        <w:t>24</w:t>
      </w:r>
      <w:r>
        <w:rPr>
          <w:rFonts w:hint="eastAsia" w:cs="宋体" w:asciiTheme="minorEastAsia" w:hAnsiTheme="minorEastAsia" w:eastAsiaTheme="minorEastAsia"/>
          <w:sz w:val="24"/>
          <w:lang w:val="zh-CN"/>
        </w:rPr>
        <w:t>小时内解决问题。如不能按时解决问题时提供备用设备服务。</w:t>
      </w:r>
    </w:p>
    <w:p>
      <w:pPr>
        <w:autoSpaceDE w:val="0"/>
        <w:autoSpaceDN w:val="0"/>
        <w:adjustRightInd w:val="0"/>
        <w:snapToGrid w:val="0"/>
        <w:spacing w:line="360" w:lineRule="auto"/>
        <w:ind w:firstLine="480" w:firstLineChars="200"/>
        <w:rPr>
          <w:rFonts w:cs="宋体" w:asciiTheme="minorEastAsia" w:hAnsiTheme="minorEastAsia" w:eastAsiaTheme="minorEastAsia"/>
          <w:sz w:val="24"/>
          <w:lang w:val="zh-CN"/>
        </w:rPr>
      </w:pPr>
      <w:r>
        <w:rPr>
          <w:rFonts w:hint="eastAsia" w:asciiTheme="minorEastAsia" w:hAnsiTheme="minorEastAsia" w:eastAsiaTheme="minorEastAsia"/>
          <w:sz w:val="24"/>
        </w:rPr>
        <w:t>10、投标人所投产品为节能产品、环境标志产品的，须在有效期内并提供有效的证明材料且加盖投标单位行政公章，否则不予认可。</w:t>
      </w:r>
    </w:p>
    <w:p>
      <w:pPr>
        <w:autoSpaceDE w:val="0"/>
        <w:autoSpaceDN w:val="0"/>
        <w:adjustRightInd w:val="0"/>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11、付款方式</w:t>
      </w:r>
      <w:r>
        <w:rPr>
          <w:rFonts w:hint="eastAsia" w:cs="宋体" w:asciiTheme="minorEastAsia" w:hAnsiTheme="minorEastAsia" w:eastAsiaTheme="minorEastAsia"/>
          <w:b/>
          <w:sz w:val="24"/>
          <w:lang w:val="zh-CN"/>
        </w:rPr>
        <w:t>（不响应者为无效投标）</w:t>
      </w:r>
    </w:p>
    <w:p>
      <w:pPr>
        <w:adjustRightInd w:val="0"/>
        <w:snapToGrid w:val="0"/>
        <w:spacing w:line="360" w:lineRule="auto"/>
        <w:ind w:firstLine="511" w:firstLineChars="213"/>
        <w:jc w:val="left"/>
        <w:rPr>
          <w:rFonts w:asciiTheme="minorEastAsia" w:hAnsiTheme="minorEastAsia" w:eastAsiaTheme="minorEastAsia"/>
          <w:sz w:val="24"/>
        </w:rPr>
      </w:pPr>
      <w:r>
        <w:rPr>
          <w:rFonts w:hint="eastAsia" w:asciiTheme="minorEastAsia" w:hAnsiTheme="minorEastAsia" w:eastAsiaTheme="minorEastAsia"/>
          <w:sz w:val="24"/>
        </w:rPr>
        <w:t>经验收合格付合同总价款的95</w:t>
      </w:r>
      <w:r>
        <w:rPr>
          <w:rFonts w:asciiTheme="minorEastAsia" w:hAnsiTheme="minorEastAsia" w:eastAsiaTheme="minorEastAsia"/>
          <w:sz w:val="24"/>
        </w:rPr>
        <w:t>%</w:t>
      </w:r>
      <w:r>
        <w:rPr>
          <w:rFonts w:hint="eastAsia" w:asciiTheme="minorEastAsia" w:hAnsiTheme="minorEastAsia" w:eastAsiaTheme="minorEastAsia"/>
          <w:sz w:val="24"/>
        </w:rPr>
        <w:t>，剩余5</w:t>
      </w:r>
      <w:r>
        <w:rPr>
          <w:rFonts w:asciiTheme="minorEastAsia" w:hAnsiTheme="minorEastAsia" w:eastAsiaTheme="minorEastAsia"/>
          <w:sz w:val="24"/>
        </w:rPr>
        <w:t>%</w:t>
      </w:r>
      <w:r>
        <w:rPr>
          <w:rFonts w:hint="eastAsia" w:asciiTheme="minorEastAsia" w:hAnsiTheme="minorEastAsia" w:eastAsiaTheme="minorEastAsia"/>
          <w:sz w:val="24"/>
        </w:rPr>
        <w:t>满三年无质量问题一次付清。</w:t>
      </w:r>
    </w:p>
    <w:p>
      <w:pPr>
        <w:autoSpaceDE w:val="0"/>
        <w:autoSpaceDN w:val="0"/>
        <w:adjustRightInd w:val="0"/>
        <w:snapToGrid w:val="0"/>
        <w:spacing w:line="360" w:lineRule="auto"/>
        <w:ind w:firstLine="480"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sz w:val="24"/>
          <w:lang w:val="zh-CN"/>
        </w:rPr>
        <w:t>12、采购预算：</w:t>
      </w:r>
      <w:r>
        <w:rPr>
          <w:rFonts w:hint="eastAsia" w:asciiTheme="minorEastAsia" w:hAnsiTheme="minorEastAsia" w:eastAsiaTheme="minorEastAsia"/>
          <w:sz w:val="24"/>
        </w:rPr>
        <w:t>A包：最高限价352万元，每套20000元、B包：最高限价375万元，每套30000元、C包：最高限价120万元，每套75000元、D包: 最高限价240万元，每套20000元。</w:t>
      </w:r>
      <w:r>
        <w:rPr>
          <w:rFonts w:hint="eastAsia" w:cs="宋体" w:asciiTheme="minorEastAsia" w:hAnsiTheme="minorEastAsia" w:eastAsiaTheme="minorEastAsia"/>
          <w:b/>
          <w:bCs/>
          <w:sz w:val="24"/>
          <w:lang w:val="zh-CN"/>
        </w:rPr>
        <w:t>超出者为无效投标。</w:t>
      </w:r>
    </w:p>
    <w:p>
      <w:pPr>
        <w:rPr>
          <w:rFonts w:ascii="宋体" w:hAnsi="宋体"/>
          <w:b/>
          <w:sz w:val="24"/>
        </w:rPr>
      </w:pPr>
      <w:r>
        <w:rPr>
          <w:rFonts w:hint="eastAsia" w:cs="宋体" w:asciiTheme="minorEastAsia" w:hAnsiTheme="minorEastAsia" w:eastAsiaTheme="minorEastAsia"/>
          <w:b/>
          <w:bCs/>
          <w:sz w:val="24"/>
          <w:lang w:val="zh-CN"/>
        </w:rPr>
        <w:t>13、</w:t>
      </w:r>
      <w:r>
        <w:rPr>
          <w:rFonts w:hint="eastAsia" w:ascii="宋体" w:hAnsi="宋体"/>
          <w:b/>
          <w:sz w:val="24"/>
        </w:rPr>
        <w:t>核心产品</w:t>
      </w:r>
    </w:p>
    <w:p>
      <w:pPr>
        <w:ind w:left="359" w:leftChars="171" w:firstLine="360" w:firstLineChars="150"/>
        <w:rPr>
          <w:rFonts w:ascii="宋体" w:hAnsi="宋体"/>
          <w:sz w:val="24"/>
        </w:rPr>
      </w:pPr>
      <w:r>
        <w:rPr>
          <w:rFonts w:hint="eastAsia" w:ascii="宋体" w:hAnsi="宋体"/>
          <w:sz w:val="24"/>
        </w:rPr>
        <w:t>A包的核心产品为：篮球架（A1）、直埋双位漫步机（A7）。</w:t>
      </w:r>
    </w:p>
    <w:p>
      <w:pPr>
        <w:ind w:left="359" w:leftChars="171" w:firstLine="360" w:firstLineChars="150"/>
        <w:rPr>
          <w:rFonts w:ascii="宋体" w:hAnsi="宋体"/>
          <w:sz w:val="24"/>
        </w:rPr>
      </w:pPr>
      <w:r>
        <w:rPr>
          <w:rFonts w:hint="eastAsia" w:ascii="宋体" w:hAnsi="宋体"/>
          <w:sz w:val="24"/>
        </w:rPr>
        <w:t>B包的核心产品为：直埋双位漫步机（B4）、扭腰踏步机（B6）。</w:t>
      </w:r>
    </w:p>
    <w:p>
      <w:pPr>
        <w:ind w:left="359" w:leftChars="171" w:firstLine="360" w:firstLineChars="150"/>
        <w:rPr>
          <w:rFonts w:ascii="宋体" w:hAnsi="宋体"/>
          <w:sz w:val="24"/>
        </w:rPr>
      </w:pPr>
      <w:r>
        <w:rPr>
          <w:rFonts w:hint="eastAsia" w:ascii="宋体" w:hAnsi="宋体"/>
          <w:sz w:val="24"/>
        </w:rPr>
        <w:t>C包的核心产品为：乒乓球台（C1）、篮球架（C2）。</w:t>
      </w:r>
    </w:p>
    <w:p>
      <w:pPr>
        <w:ind w:left="359" w:leftChars="171" w:firstLine="360" w:firstLineChars="150"/>
        <w:rPr>
          <w:rFonts w:ascii="宋体" w:hAnsi="宋体"/>
          <w:sz w:val="24"/>
        </w:rPr>
      </w:pPr>
      <w:r>
        <w:rPr>
          <w:rFonts w:hint="eastAsia" w:ascii="宋体" w:hAnsi="宋体"/>
          <w:sz w:val="24"/>
        </w:rPr>
        <w:t>D包的核心产品为：篮球架(D1)、围网系统(D4)。</w:t>
      </w:r>
    </w:p>
    <w:p>
      <w:pPr>
        <w:autoSpaceDE w:val="0"/>
        <w:autoSpaceDN w:val="0"/>
        <w:adjustRightInd w:val="0"/>
        <w:snapToGrid w:val="0"/>
        <w:spacing w:line="360" w:lineRule="auto"/>
        <w:rPr>
          <w:rFonts w:ascii="宋体" w:hAnsi="宋体" w:cs="宋体"/>
          <w:b/>
          <w:bCs/>
          <w:sz w:val="24"/>
          <w:lang w:val="zh-CN"/>
        </w:rPr>
      </w:pPr>
      <w:r>
        <w:rPr>
          <w:rFonts w:hint="eastAsia" w:ascii="宋体" w:hAnsi="宋体" w:cs="宋体"/>
          <w:b/>
          <w:bCs/>
          <w:sz w:val="24"/>
          <w:lang w:val="zh-CN"/>
        </w:rPr>
        <w:t>14、</w:t>
      </w:r>
      <w:r>
        <w:rPr>
          <w:rFonts w:hint="eastAsia" w:ascii="宋体" w:hAnsi="宋体"/>
          <w:b/>
          <w:sz w:val="24"/>
        </w:rPr>
        <w:t>关于投标参数和器材标准的说明和释义</w:t>
      </w:r>
    </w:p>
    <w:p>
      <w:pPr>
        <w:pStyle w:val="85"/>
        <w:ind w:left="359" w:leftChars="171" w:firstLine="236" w:firstLineChars="98"/>
        <w:jc w:val="left"/>
        <w:rPr>
          <w:rFonts w:ascii="宋体" w:hAnsi="宋体"/>
          <w:b/>
          <w:sz w:val="24"/>
          <w:szCs w:val="24"/>
        </w:rPr>
      </w:pPr>
      <w:r>
        <w:rPr>
          <w:rFonts w:hint="eastAsia" w:ascii="宋体" w:hAnsi="宋体"/>
          <w:b/>
          <w:sz w:val="24"/>
          <w:szCs w:val="24"/>
        </w:rPr>
        <w:t>1、</w:t>
      </w:r>
      <w:r>
        <w:rPr>
          <w:rFonts w:hint="eastAsia" w:ascii="宋体" w:hAnsi="宋体"/>
          <w:sz w:val="24"/>
          <w:szCs w:val="24"/>
        </w:rPr>
        <w:t xml:space="preserve"> NSCC认证（网址）</w:t>
      </w:r>
      <w:r>
        <w:rPr>
          <w:rFonts w:hint="eastAsia" w:ascii="宋体" w:hAnsi="宋体"/>
          <w:b/>
          <w:sz w:val="24"/>
          <w:szCs w:val="24"/>
        </w:rPr>
        <w:t>：</w:t>
      </w:r>
      <w:r>
        <w:fldChar w:fldCharType="begin"/>
      </w:r>
      <w:r>
        <w:instrText xml:space="preserve"> HYPERLINK "http://www.nscc.com.cn/" </w:instrText>
      </w:r>
      <w:r>
        <w:fldChar w:fldCharType="separate"/>
      </w:r>
      <w:r>
        <w:rPr>
          <w:rStyle w:val="36"/>
          <w:rFonts w:ascii="宋体" w:hAnsi="宋体"/>
          <w:sz w:val="24"/>
          <w:szCs w:val="24"/>
        </w:rPr>
        <w:t>http://www.nscc.com.cn/</w:t>
      </w:r>
      <w:r>
        <w:rPr>
          <w:rStyle w:val="36"/>
          <w:rFonts w:ascii="宋体" w:hAnsi="宋体"/>
          <w:sz w:val="24"/>
          <w:szCs w:val="24"/>
        </w:rPr>
        <w:fldChar w:fldCharType="end"/>
      </w:r>
    </w:p>
    <w:p>
      <w:pPr>
        <w:pStyle w:val="85"/>
        <w:ind w:left="359" w:leftChars="171" w:firstLine="234" w:firstLineChars="97"/>
        <w:jc w:val="left"/>
        <w:rPr>
          <w:rFonts w:ascii="宋体" w:hAnsi="宋体"/>
          <w:sz w:val="24"/>
          <w:szCs w:val="24"/>
        </w:rPr>
      </w:pPr>
      <w:r>
        <w:rPr>
          <w:rFonts w:hint="eastAsia" w:ascii="宋体" w:hAnsi="宋体"/>
          <w:b/>
          <w:sz w:val="24"/>
          <w:szCs w:val="24"/>
        </w:rPr>
        <w:t>2、</w:t>
      </w:r>
      <w:r>
        <w:rPr>
          <w:rFonts w:hint="eastAsia" w:ascii="宋体" w:hAnsi="宋体"/>
          <w:sz w:val="24"/>
          <w:szCs w:val="24"/>
        </w:rPr>
        <w:t>GB19272-2011：室外健身器材的安全通用要求（详见附件）</w:t>
      </w:r>
    </w:p>
    <w:p>
      <w:pPr>
        <w:autoSpaceDE w:val="0"/>
        <w:autoSpaceDN w:val="0"/>
        <w:adjustRightInd w:val="0"/>
        <w:snapToGrid w:val="0"/>
        <w:spacing w:line="360" w:lineRule="auto"/>
        <w:ind w:firstLine="482" w:firstLineChars="200"/>
        <w:rPr>
          <w:rFonts w:cs="宋体" w:asciiTheme="minorEastAsia" w:hAnsiTheme="minorEastAsia" w:eastAsiaTheme="minorEastAsia"/>
          <w:b/>
          <w:bCs/>
          <w:sz w:val="24"/>
          <w:lang w:val="zh-CN"/>
        </w:rPr>
      </w:pPr>
    </w:p>
    <w:p>
      <w:pPr>
        <w:autoSpaceDE w:val="0"/>
        <w:autoSpaceDN w:val="0"/>
        <w:adjustRightInd w:val="0"/>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三、评分标准</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（一）评分标准</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A、B、C、D包均采用综合评分法，满分100分。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1、信誉17分</w:t>
      </w:r>
    </w:p>
    <w:p>
      <w:pPr>
        <w:spacing w:line="360" w:lineRule="auto"/>
        <w:ind w:firstLine="480" w:firstLineChars="200"/>
        <w:rPr>
          <w:rFonts w:ascii="宋体" w:hAnsi="宋体"/>
          <w:sz w:val="24"/>
        </w:rPr>
      </w:pPr>
      <w:r>
        <w:rPr>
          <w:rFonts w:hint="eastAsia" w:asciiTheme="minorEastAsia" w:hAnsiTheme="minorEastAsia" w:eastAsiaTheme="minorEastAsia"/>
          <w:sz w:val="24"/>
        </w:rPr>
        <w:t>1.1</w:t>
      </w:r>
      <w:r>
        <w:rPr>
          <w:rFonts w:ascii="宋体" w:hAnsi="宋体"/>
          <w:sz w:val="24"/>
        </w:rPr>
        <w:t>所投室外健身路径器材品牌制造商</w:t>
      </w:r>
      <w:r>
        <w:rPr>
          <w:rFonts w:hint="eastAsia" w:ascii="宋体" w:hAnsi="宋体"/>
          <w:sz w:val="24"/>
        </w:rPr>
        <w:t>获得中国企业信用评价中心颁发的国家级AAA信用等级得3分</w:t>
      </w:r>
      <w:r>
        <w:rPr>
          <w:rFonts w:ascii="宋体" w:hAnsi="宋体"/>
          <w:sz w:val="24"/>
        </w:rPr>
        <w:t>（提供</w:t>
      </w:r>
      <w:r>
        <w:fldChar w:fldCharType="begin"/>
      </w:r>
      <w:r>
        <w:instrText xml:space="preserve"> HYPERLINK "http://www.ccbn.org.cn/" </w:instrText>
      </w:r>
      <w:r>
        <w:fldChar w:fldCharType="separate"/>
      </w:r>
      <w:r>
        <w:rPr>
          <w:rStyle w:val="36"/>
          <w:rFonts w:ascii="宋体" w:hAnsi="宋体"/>
          <w:sz w:val="24"/>
        </w:rPr>
        <w:t>http://www.ccbn.org.cn/</w:t>
      </w:r>
      <w:r>
        <w:rPr>
          <w:rStyle w:val="36"/>
          <w:rFonts w:ascii="宋体" w:hAnsi="宋体"/>
          <w:sz w:val="24"/>
        </w:rPr>
        <w:fldChar w:fldCharType="end"/>
      </w:r>
      <w:r>
        <w:rPr>
          <w:rFonts w:hint="eastAsia" w:ascii="宋体" w:hAnsi="宋体"/>
          <w:sz w:val="24"/>
        </w:rPr>
        <w:t>网址查询公告及证书</w:t>
      </w:r>
      <w:r>
        <w:rPr>
          <w:rFonts w:ascii="宋体" w:hAnsi="宋体"/>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1.2 投标人需提供工商企业信用信息公示报告【国家企业信用信息公示系统</w:t>
      </w:r>
      <w:r>
        <w:fldChar w:fldCharType="begin"/>
      </w:r>
      <w:r>
        <w:instrText xml:space="preserve"> HYPERLINK "http://www.gsxt.gov.cn" </w:instrText>
      </w:r>
      <w:r>
        <w:fldChar w:fldCharType="separate"/>
      </w:r>
      <w:r>
        <w:rPr>
          <w:rStyle w:val="36"/>
          <w:rFonts w:asciiTheme="minorEastAsia" w:hAnsiTheme="minorEastAsia" w:eastAsiaTheme="minorEastAsia"/>
          <w:sz w:val="24"/>
        </w:rPr>
        <w:t>http://www.</w:t>
      </w:r>
      <w:r>
        <w:rPr>
          <w:rStyle w:val="36"/>
          <w:rFonts w:hint="eastAsia" w:asciiTheme="minorEastAsia" w:hAnsiTheme="minorEastAsia" w:eastAsiaTheme="minorEastAsia"/>
          <w:sz w:val="24"/>
        </w:rPr>
        <w:t>gsxt</w:t>
      </w:r>
      <w:r>
        <w:rPr>
          <w:rStyle w:val="36"/>
          <w:rFonts w:asciiTheme="minorEastAsia" w:hAnsiTheme="minorEastAsia" w:eastAsiaTheme="minorEastAsia"/>
          <w:sz w:val="24"/>
        </w:rPr>
        <w:t>.</w:t>
      </w:r>
      <w:r>
        <w:rPr>
          <w:rStyle w:val="36"/>
          <w:rFonts w:hint="eastAsia" w:asciiTheme="minorEastAsia" w:hAnsiTheme="minorEastAsia" w:eastAsiaTheme="minorEastAsia"/>
          <w:sz w:val="24"/>
        </w:rPr>
        <w:t>gov</w:t>
      </w:r>
      <w:r>
        <w:rPr>
          <w:rStyle w:val="36"/>
          <w:rFonts w:asciiTheme="minorEastAsia" w:hAnsiTheme="minorEastAsia" w:eastAsiaTheme="minorEastAsia"/>
          <w:sz w:val="24"/>
        </w:rPr>
        <w:t>.cn</w:t>
      </w:r>
      <w:r>
        <w:rPr>
          <w:rStyle w:val="36"/>
          <w:rFonts w:asciiTheme="minorEastAsia" w:hAnsiTheme="minorEastAsia" w:eastAsiaTheme="minorEastAsia"/>
          <w:sz w:val="24"/>
        </w:rPr>
        <w:fldChar w:fldCharType="end"/>
      </w:r>
      <w:r>
        <w:rPr>
          <w:rFonts w:hint="eastAsia" w:asciiTheme="minorEastAsia" w:hAnsiTheme="minorEastAsia" w:eastAsiaTheme="minorEastAsia"/>
          <w:sz w:val="24"/>
        </w:rPr>
        <w:t>包括基础信息、行政许可信息、行政处罚信息、列入经营异常名录信息、列入严重违法失信企业名单（黑名单</w:t>
      </w:r>
      <w:r>
        <w:rPr>
          <w:rFonts w:asciiTheme="minorEastAsia" w:hAnsiTheme="minorEastAsia" w:eastAsiaTheme="minorEastAsia"/>
          <w:sz w:val="24"/>
        </w:rPr>
        <w:t>）</w:t>
      </w:r>
      <w:r>
        <w:rPr>
          <w:rFonts w:hint="eastAsia" w:asciiTheme="minorEastAsia" w:hAnsiTheme="minorEastAsia" w:eastAsiaTheme="minorEastAsia"/>
          <w:sz w:val="24"/>
        </w:rPr>
        <w:t>信息】（加盖投标人公章）；企业所在地税务主管部门出具的纳税情况证明等信用情况（加盖企业所在地税务主管部门公章），无不良信息者每项1分，未提供或有不良信息者不得分，满分2分。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w:t>
      </w:r>
      <w:r>
        <w:rPr>
          <w:rFonts w:hint="eastAsia" w:ascii="宋体" w:hAnsi="宋体" w:cs="宋体"/>
          <w:color w:val="000000" w:themeColor="text1"/>
          <w:sz w:val="24"/>
        </w:rPr>
        <w:t>投标产品制造商获得省级及以上体育产业示范单位的得3</w:t>
      </w:r>
      <w:r>
        <w:rPr>
          <w:rFonts w:hint="eastAsia" w:asciiTheme="minorEastAsia" w:hAnsiTheme="minorEastAsia" w:eastAsiaTheme="minorEastAsia"/>
          <w:sz w:val="24"/>
        </w:rPr>
        <w:t>分，满分3分。</w:t>
      </w:r>
    </w:p>
    <w:p>
      <w:pPr>
        <w:spacing w:line="360" w:lineRule="auto"/>
        <w:ind w:firstLine="480" w:firstLineChars="200"/>
        <w:rPr>
          <w:rFonts w:ascii="宋体" w:hAnsi="宋体"/>
          <w:sz w:val="24"/>
        </w:rPr>
      </w:pPr>
      <w:r>
        <w:rPr>
          <w:rFonts w:hint="eastAsia" w:asciiTheme="minorEastAsia" w:hAnsiTheme="minorEastAsia" w:eastAsiaTheme="minorEastAsia"/>
          <w:sz w:val="24"/>
        </w:rPr>
        <w:t>1.4</w:t>
      </w:r>
      <w:r>
        <w:rPr>
          <w:rFonts w:ascii="宋体" w:hAnsi="宋体"/>
          <w:sz w:val="24"/>
        </w:rPr>
        <w:t>所投室外健身路径器材品牌制造商自2012年新国标实施以来在河南省体育局“全民健身器材项目”中入围，且连续2年得1分，连续3年得</w:t>
      </w:r>
      <w:r>
        <w:rPr>
          <w:rFonts w:hint="eastAsia" w:ascii="宋体" w:hAnsi="宋体"/>
          <w:sz w:val="24"/>
        </w:rPr>
        <w:t>3</w:t>
      </w:r>
      <w:r>
        <w:rPr>
          <w:rFonts w:ascii="宋体" w:hAnsi="宋体"/>
          <w:sz w:val="24"/>
        </w:rPr>
        <w:t>分；本项最高得</w:t>
      </w:r>
      <w:r>
        <w:rPr>
          <w:rFonts w:hint="eastAsia" w:ascii="宋体" w:hAnsi="宋体"/>
          <w:sz w:val="24"/>
        </w:rPr>
        <w:t>3</w:t>
      </w:r>
      <w:r>
        <w:rPr>
          <w:rFonts w:ascii="宋体" w:hAnsi="宋体"/>
          <w:sz w:val="24"/>
        </w:rPr>
        <w:t>分（提供中标公告网络截图、中标通知书）</w:t>
      </w:r>
    </w:p>
    <w:p>
      <w:pPr>
        <w:spacing w:line="360" w:lineRule="auto"/>
        <w:ind w:firstLine="480" w:firstLineChars="200"/>
        <w:rPr>
          <w:rFonts w:ascii="宋体" w:hAnsi="宋体" w:cs="宋体"/>
          <w:color w:val="000000" w:themeColor="text1"/>
          <w:kern w:val="0"/>
          <w:sz w:val="24"/>
        </w:rPr>
      </w:pPr>
      <w:r>
        <w:rPr>
          <w:rFonts w:hint="eastAsia" w:ascii="宋体" w:hAnsi="宋体"/>
          <w:sz w:val="24"/>
        </w:rPr>
        <w:t>1.5</w:t>
      </w:r>
      <w:r>
        <w:rPr>
          <w:rFonts w:hint="eastAsia" w:ascii="宋体" w:hAnsi="宋体"/>
          <w:color w:val="000000" w:themeColor="text1"/>
          <w:sz w:val="24"/>
        </w:rPr>
        <w:t>投标</w:t>
      </w:r>
      <w:r>
        <w:rPr>
          <w:rFonts w:hint="eastAsia" w:ascii="宋体" w:hAnsi="宋体" w:cs="宋体"/>
          <w:color w:val="000000" w:themeColor="text1"/>
          <w:sz w:val="24"/>
        </w:rPr>
        <w:t>产品品牌</w:t>
      </w:r>
      <w:r>
        <w:rPr>
          <w:rFonts w:hint="eastAsia" w:ascii="宋体" w:hAnsi="宋体"/>
          <w:color w:val="000000" w:themeColor="text1"/>
          <w:sz w:val="24"/>
        </w:rPr>
        <w:t>制造商获得国家认定企业技术中心的或国家体育用品质量监督检验中心检测试验基地认证得3分</w:t>
      </w:r>
      <w:r>
        <w:rPr>
          <w:rFonts w:ascii="宋体" w:hAnsi="宋体" w:cs="宋体"/>
          <w:color w:val="000000" w:themeColor="text1"/>
          <w:kern w:val="0"/>
          <w:sz w:val="24"/>
        </w:rPr>
        <w:t>。</w:t>
      </w:r>
    </w:p>
    <w:p>
      <w:pPr>
        <w:spacing w:line="360" w:lineRule="auto"/>
        <w:ind w:firstLine="480" w:firstLineChars="200"/>
        <w:rPr>
          <w:rFonts w:asciiTheme="minorEastAsia" w:hAnsiTheme="minorEastAsia" w:eastAsiaTheme="minorEastAsia"/>
          <w:sz w:val="24"/>
        </w:rPr>
      </w:pPr>
      <w:r>
        <w:rPr>
          <w:rFonts w:hint="eastAsia" w:ascii="宋体" w:hAnsi="宋体" w:cs="宋体"/>
          <w:color w:val="000000" w:themeColor="text1"/>
          <w:kern w:val="0"/>
          <w:sz w:val="24"/>
        </w:rPr>
        <w:t>1.6投标产品获得2017年中国国际体育用品博览会室外健身器材“</w:t>
      </w:r>
      <w:r>
        <w:rPr>
          <w:rFonts w:ascii="宋体" w:hAnsi="宋体" w:cs="宋体"/>
          <w:color w:val="000000" w:themeColor="text1"/>
          <w:kern w:val="0"/>
          <w:sz w:val="24"/>
        </w:rPr>
        <w:t>最佳运动健康奖</w:t>
      </w:r>
      <w:r>
        <w:rPr>
          <w:rFonts w:hint="eastAsia" w:ascii="宋体" w:hAnsi="宋体" w:cs="宋体"/>
          <w:color w:val="000000" w:themeColor="text1"/>
          <w:kern w:val="0"/>
          <w:sz w:val="24"/>
        </w:rPr>
        <w:t>”得3分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2、售后服务16分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质量保证期内外服务承诺完善、有关于人员培训、设备调试、技术指导、对质保期内免费维修服务有明确描述的得3分，否则不得分。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承诺响应时间：若需方提出问题，承诺由专业人员响应，如有需要，能够在</w:t>
      </w:r>
      <w:r>
        <w:rPr>
          <w:rFonts w:asciiTheme="minorEastAsia" w:hAnsiTheme="minorEastAsia" w:eastAsiaTheme="minorEastAsia"/>
          <w:sz w:val="24"/>
        </w:rPr>
        <w:t>4</w:t>
      </w:r>
      <w:r>
        <w:rPr>
          <w:rFonts w:hint="eastAsia" w:asciiTheme="minorEastAsia" w:hAnsiTheme="minorEastAsia" w:eastAsiaTheme="minorEastAsia"/>
          <w:sz w:val="24"/>
        </w:rPr>
        <w:t>小时内赶赴现场解决问题的得4分，</w:t>
      </w:r>
      <w:r>
        <w:rPr>
          <w:rFonts w:asciiTheme="minorEastAsia" w:hAnsiTheme="minorEastAsia" w:eastAsiaTheme="minorEastAsia"/>
          <w:sz w:val="24"/>
        </w:rPr>
        <w:t>24</w:t>
      </w:r>
      <w:r>
        <w:rPr>
          <w:rFonts w:hint="eastAsia" w:asciiTheme="minorEastAsia" w:hAnsiTheme="minorEastAsia" w:eastAsiaTheme="minorEastAsia"/>
          <w:sz w:val="24"/>
        </w:rPr>
        <w:t>小时以内赶赴现场解决问题的得</w:t>
      </w:r>
      <w:r>
        <w:rPr>
          <w:rFonts w:asciiTheme="minorEastAsia" w:hAnsiTheme="minorEastAsia" w:eastAsiaTheme="minorEastAsia"/>
          <w:sz w:val="24"/>
        </w:rPr>
        <w:t>1</w:t>
      </w:r>
      <w:r>
        <w:rPr>
          <w:rFonts w:hint="eastAsia" w:asciiTheme="minorEastAsia" w:hAnsiTheme="minorEastAsia" w:eastAsiaTheme="minorEastAsia"/>
          <w:sz w:val="24"/>
        </w:rPr>
        <w:t>分，不承诺不得分。</w:t>
      </w:r>
    </w:p>
    <w:p>
      <w:pPr>
        <w:overflowPunct w:val="0"/>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2.3所投产品若能提供产品质量险（保质期内）单笔赔偿限额50</w:t>
      </w:r>
      <w:r>
        <w:rPr>
          <w:rFonts w:asciiTheme="minorEastAsia" w:hAnsiTheme="minorEastAsia" w:eastAsiaTheme="minorEastAsia"/>
          <w:sz w:val="24"/>
        </w:rPr>
        <w:t>0</w:t>
      </w:r>
      <w:r>
        <w:rPr>
          <w:rFonts w:hint="eastAsia" w:asciiTheme="minorEastAsia" w:hAnsiTheme="minorEastAsia" w:eastAsiaTheme="minorEastAsia"/>
          <w:sz w:val="24"/>
        </w:rPr>
        <w:t>万（含）以上得3分，以下的不得分。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2.4所投产品若能提供产品责任险（保质期内）单笔赔偿限额40</w:t>
      </w:r>
      <w:r>
        <w:rPr>
          <w:rFonts w:asciiTheme="minorEastAsia" w:hAnsiTheme="minorEastAsia" w:eastAsiaTheme="minorEastAsia"/>
          <w:sz w:val="24"/>
        </w:rPr>
        <w:t>0</w:t>
      </w:r>
      <w:r>
        <w:rPr>
          <w:rFonts w:hint="eastAsia" w:asciiTheme="minorEastAsia" w:hAnsiTheme="minorEastAsia" w:eastAsiaTheme="minorEastAsia"/>
          <w:sz w:val="24"/>
        </w:rPr>
        <w:t>万（含）以上的得3分，没有的不得分。</w:t>
      </w:r>
    </w:p>
    <w:p>
      <w:pPr>
        <w:overflowPunct w:val="0"/>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2.5所投产品若能提供产品责任险（保质期内）累计赔偿限额2000万（含）以上的得3分，没有的不得分。</w:t>
      </w:r>
    </w:p>
    <w:p>
      <w:pPr>
        <w:overflowPunct w:val="0"/>
        <w:autoSpaceDE w:val="0"/>
        <w:autoSpaceDN w:val="0"/>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3、业绩8分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2013年以来具有类似项目业绩，A包、B包、C包单项合同金额在300万元以上（含300万元）； D包单项合同金额在200万元以上（含200万元），合同及验收报告及中标通知书齐全的每个2分，满分8分。（以合同日期为准）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4、对招标文件的响应程度24分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不满足招标文件技术指标要求和商务条款规定的为无效投标。</w:t>
      </w:r>
    </w:p>
    <w:p>
      <w:pPr>
        <w:spacing w:line="360" w:lineRule="auto"/>
        <w:ind w:firstLine="480" w:firstLineChars="200"/>
        <w:rPr>
          <w:rFonts w:ascii="宋体" w:hAnsi="宋体" w:cs="宋体"/>
          <w:sz w:val="24"/>
        </w:rPr>
      </w:pPr>
      <w:r>
        <w:rPr>
          <w:rFonts w:hint="eastAsia" w:asciiTheme="minorEastAsia" w:hAnsiTheme="minorEastAsia" w:eastAsiaTheme="minorEastAsia"/>
          <w:sz w:val="24"/>
        </w:rPr>
        <w:t>4.2满足招标文件技术要求得12分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生产设备水平8分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4.3.1具有循环式抛丸除锈处理设备，得</w:t>
      </w:r>
      <w:r>
        <w:rPr>
          <w:rFonts w:asciiTheme="minorEastAsia" w:hAnsiTheme="minorEastAsia" w:eastAsiaTheme="minorEastAsia"/>
          <w:sz w:val="24"/>
        </w:rPr>
        <w:t>2</w:t>
      </w:r>
      <w:r>
        <w:rPr>
          <w:rFonts w:hint="eastAsia" w:asciiTheme="minorEastAsia" w:hAnsiTheme="minorEastAsia" w:eastAsiaTheme="minorEastAsia"/>
          <w:sz w:val="24"/>
        </w:rPr>
        <w:t>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4.3.2具有静电喷涂生产设备，得</w:t>
      </w:r>
      <w:r>
        <w:rPr>
          <w:rFonts w:asciiTheme="minorEastAsia" w:hAnsiTheme="minorEastAsia" w:eastAsiaTheme="minorEastAsia"/>
          <w:sz w:val="24"/>
        </w:rPr>
        <w:t>2</w:t>
      </w:r>
      <w:r>
        <w:rPr>
          <w:rFonts w:hint="eastAsia" w:asciiTheme="minorEastAsia" w:hAnsiTheme="minorEastAsia" w:eastAsiaTheme="minorEastAsia"/>
          <w:sz w:val="24"/>
        </w:rPr>
        <w:t>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4.3.3具有激光切割设备，得</w:t>
      </w:r>
      <w:r>
        <w:rPr>
          <w:rFonts w:asciiTheme="minorEastAsia" w:hAnsiTheme="minorEastAsia" w:eastAsiaTheme="minorEastAsia"/>
          <w:sz w:val="24"/>
        </w:rPr>
        <w:t>2</w:t>
      </w:r>
      <w:r>
        <w:rPr>
          <w:rFonts w:hint="eastAsia" w:asciiTheme="minorEastAsia" w:hAnsiTheme="minorEastAsia" w:eastAsiaTheme="minorEastAsia"/>
          <w:sz w:val="24"/>
        </w:rPr>
        <w:t>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4.3.4具有弯管设备。得</w:t>
      </w:r>
      <w:r>
        <w:rPr>
          <w:rFonts w:asciiTheme="minorEastAsia" w:hAnsiTheme="minorEastAsia" w:eastAsiaTheme="minorEastAsia"/>
          <w:sz w:val="24"/>
        </w:rPr>
        <w:t>2</w:t>
      </w:r>
      <w:r>
        <w:rPr>
          <w:rFonts w:hint="eastAsia" w:asciiTheme="minorEastAsia" w:hAnsiTheme="minorEastAsia" w:eastAsiaTheme="minorEastAsia"/>
          <w:sz w:val="24"/>
        </w:rPr>
        <w:t>分；</w:t>
      </w:r>
    </w:p>
    <w:p>
      <w:pPr>
        <w:overflowPunct w:val="0"/>
        <w:autoSpaceDE w:val="0"/>
        <w:autoSpaceDN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根据投标人提供的彩图并附购置设备发票复印件（评标时须提供原件，以原件为准）。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4.4安装施工组织方案</w:t>
      </w:r>
      <w:r>
        <w:rPr>
          <w:rFonts w:asciiTheme="minorEastAsia" w:hAnsiTheme="minorEastAsia" w:eastAsiaTheme="minorEastAsia"/>
          <w:sz w:val="24"/>
        </w:rPr>
        <w:t>4</w:t>
      </w:r>
      <w:r>
        <w:rPr>
          <w:rFonts w:hint="eastAsia" w:asciiTheme="minorEastAsia" w:hAnsiTheme="minorEastAsia" w:eastAsiaTheme="minorEastAsia"/>
          <w:sz w:val="24"/>
        </w:rPr>
        <w:t>分</w:t>
      </w:r>
    </w:p>
    <w:p>
      <w:pPr>
        <w:overflowPunct w:val="0"/>
        <w:autoSpaceDE w:val="0"/>
        <w:autoSpaceDN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4.4.1 具有安装施工技术方案得1分；</w:t>
      </w:r>
    </w:p>
    <w:p>
      <w:pPr>
        <w:overflowPunct w:val="0"/>
        <w:autoSpaceDE w:val="0"/>
        <w:autoSpaceDN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4.4.2具有安全文明施工控制措施得</w:t>
      </w:r>
      <w:r>
        <w:rPr>
          <w:rFonts w:asciiTheme="minorEastAsia" w:hAnsiTheme="minorEastAsia" w:eastAsiaTheme="minorEastAsia"/>
          <w:sz w:val="24"/>
        </w:rPr>
        <w:t>1</w:t>
      </w:r>
      <w:r>
        <w:rPr>
          <w:rFonts w:hint="eastAsia" w:asciiTheme="minorEastAsia" w:hAnsiTheme="minorEastAsia" w:eastAsiaTheme="minorEastAsia"/>
          <w:sz w:val="24"/>
        </w:rPr>
        <w:t>分；</w:t>
      </w:r>
    </w:p>
    <w:p>
      <w:pPr>
        <w:overflowPunct w:val="0"/>
        <w:autoSpaceDE w:val="0"/>
        <w:autoSpaceDN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4.4.3具有施工质量控制措施得</w:t>
      </w:r>
      <w:r>
        <w:rPr>
          <w:rFonts w:asciiTheme="minorEastAsia" w:hAnsiTheme="minorEastAsia" w:eastAsiaTheme="minorEastAsia"/>
          <w:sz w:val="24"/>
        </w:rPr>
        <w:t>1</w:t>
      </w:r>
      <w:r>
        <w:rPr>
          <w:rFonts w:hint="eastAsia" w:asciiTheme="minorEastAsia" w:hAnsiTheme="minorEastAsia" w:eastAsiaTheme="minorEastAsia"/>
          <w:sz w:val="24"/>
        </w:rPr>
        <w:t>分；</w:t>
      </w:r>
    </w:p>
    <w:p>
      <w:pPr>
        <w:overflowPunct w:val="0"/>
        <w:autoSpaceDE w:val="0"/>
        <w:autoSpaceDN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4.4.4整体及各阶段施工计划明确、详实，各阶段劳动力安排合理的得</w:t>
      </w:r>
      <w:r>
        <w:rPr>
          <w:rFonts w:asciiTheme="minorEastAsia" w:hAnsiTheme="minorEastAsia" w:eastAsiaTheme="minorEastAsia"/>
          <w:sz w:val="24"/>
        </w:rPr>
        <w:t>1</w:t>
      </w:r>
      <w:r>
        <w:rPr>
          <w:rFonts w:hint="eastAsia" w:asciiTheme="minorEastAsia" w:hAnsiTheme="minorEastAsia" w:eastAsiaTheme="minorEastAsia"/>
          <w:sz w:val="24"/>
        </w:rPr>
        <w:t>分；</w:t>
      </w:r>
    </w:p>
    <w:p>
      <w:pPr>
        <w:spacing w:line="360" w:lineRule="auto"/>
        <w:ind w:firstLine="470" w:firstLineChars="196"/>
        <w:rPr>
          <w:rFonts w:asciiTheme="minorEastAsia" w:hAnsiTheme="minorEastAsia" w:eastAsiaTheme="minorEastAsia"/>
          <w:color w:val="339966"/>
          <w:sz w:val="24"/>
        </w:rPr>
      </w:pPr>
      <w:r>
        <w:rPr>
          <w:rFonts w:hint="eastAsia" w:asciiTheme="minorEastAsia" w:hAnsiTheme="minorEastAsia" w:eastAsiaTheme="minorEastAsia"/>
          <w:sz w:val="24"/>
        </w:rPr>
        <w:t>5、投标报价35分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报价得分=最低有效投标报价/有效投标报价×35</w:t>
      </w:r>
    </w:p>
    <w:p>
      <w:pPr>
        <w:autoSpaceDE w:val="0"/>
        <w:autoSpaceDN w:val="0"/>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（二）本评分办法中的各种有效证明材料，投标文件中必须提供完整的复印件，且在评标时同时提供与复印件一致的原件，否则不得分。</w:t>
      </w:r>
    </w:p>
    <w:p>
      <w:pPr>
        <w:autoSpaceDE w:val="0"/>
        <w:autoSpaceDN w:val="0"/>
        <w:adjustRightInd w:val="0"/>
        <w:spacing w:line="360" w:lineRule="auto"/>
        <w:rPr>
          <w:rFonts w:cs="黑体" w:asciiTheme="minorEastAsia" w:hAnsiTheme="minorEastAsia" w:eastAsiaTheme="minorEastAsia"/>
          <w:bCs/>
          <w:sz w:val="24"/>
        </w:rPr>
      </w:pPr>
      <w:r>
        <w:rPr>
          <w:rFonts w:hint="eastAsia" w:cs="黑体" w:asciiTheme="minorEastAsia" w:hAnsiTheme="minorEastAsia" w:eastAsiaTheme="minorEastAsia"/>
          <w:bCs/>
          <w:sz w:val="24"/>
          <w:lang w:val="zh-CN"/>
        </w:rPr>
        <w:t>注</w:t>
      </w:r>
      <w:r>
        <w:rPr>
          <w:rFonts w:hint="eastAsia" w:cs="黑体" w:asciiTheme="minorEastAsia" w:hAnsiTheme="minorEastAsia" w:eastAsiaTheme="minorEastAsia"/>
          <w:bCs/>
          <w:sz w:val="24"/>
        </w:rPr>
        <w:t>：1.NSCC</w:t>
      </w:r>
      <w:r>
        <w:rPr>
          <w:rFonts w:hint="eastAsia" w:cs="黑体" w:asciiTheme="minorEastAsia" w:hAnsiTheme="minorEastAsia" w:eastAsiaTheme="minorEastAsia"/>
          <w:bCs/>
          <w:sz w:val="24"/>
          <w:lang w:val="zh-CN"/>
        </w:rPr>
        <w:t>认证</w:t>
      </w:r>
      <w:r>
        <w:rPr>
          <w:rFonts w:hint="eastAsia" w:cs="黑体" w:asciiTheme="minorEastAsia" w:hAnsiTheme="minorEastAsia" w:eastAsiaTheme="minorEastAsia"/>
          <w:bCs/>
          <w:sz w:val="24"/>
        </w:rPr>
        <w:t>（</w:t>
      </w:r>
      <w:r>
        <w:rPr>
          <w:rFonts w:hint="eastAsia" w:cs="黑体" w:asciiTheme="minorEastAsia" w:hAnsiTheme="minorEastAsia" w:eastAsiaTheme="minorEastAsia"/>
          <w:bCs/>
          <w:sz w:val="24"/>
          <w:lang w:val="zh-CN"/>
        </w:rPr>
        <w:t>网址</w:t>
      </w:r>
      <w:r>
        <w:rPr>
          <w:rFonts w:hint="eastAsia" w:cs="黑体" w:asciiTheme="minorEastAsia" w:hAnsiTheme="minorEastAsia" w:eastAsiaTheme="minorEastAsia"/>
          <w:bCs/>
          <w:sz w:val="24"/>
        </w:rPr>
        <w:t>）：</w:t>
      </w:r>
      <w:r>
        <w:fldChar w:fldCharType="begin"/>
      </w:r>
      <w:r>
        <w:instrText xml:space="preserve"> HYPERLINK "http://www.nscc.com.cn/" </w:instrText>
      </w:r>
      <w:r>
        <w:fldChar w:fldCharType="separate"/>
      </w:r>
      <w:r>
        <w:rPr>
          <w:rStyle w:val="36"/>
          <w:rFonts w:hint="eastAsia" w:cs="黑体" w:asciiTheme="minorEastAsia" w:hAnsiTheme="minorEastAsia" w:eastAsiaTheme="minorEastAsia"/>
          <w:bCs/>
          <w:sz w:val="24"/>
        </w:rPr>
        <w:t>http://www.nscc.com.cn/</w:t>
      </w:r>
      <w:r>
        <w:rPr>
          <w:rStyle w:val="36"/>
          <w:rFonts w:hint="eastAsia" w:cs="黑体" w:asciiTheme="minorEastAsia" w:hAnsiTheme="minorEastAsia" w:eastAsiaTheme="minorEastAsia"/>
          <w:bCs/>
          <w:sz w:val="24"/>
        </w:rPr>
        <w:fldChar w:fldCharType="end"/>
      </w:r>
    </w:p>
    <w:p>
      <w:pPr>
        <w:autoSpaceDE w:val="0"/>
        <w:autoSpaceDN w:val="0"/>
        <w:adjustRightInd w:val="0"/>
        <w:spacing w:line="360" w:lineRule="auto"/>
        <w:ind w:firstLine="472" w:firstLineChars="196"/>
        <w:rPr>
          <w:rFonts w:cs="黑体" w:asciiTheme="minorEastAsia" w:hAnsiTheme="minorEastAsia" w:eastAsiaTheme="minorEastAsia"/>
          <w:b/>
          <w:bCs/>
          <w:sz w:val="24"/>
        </w:rPr>
      </w:pPr>
    </w:p>
    <w:p>
      <w:pPr>
        <w:autoSpaceDE w:val="0"/>
        <w:autoSpaceDN w:val="0"/>
        <w:adjustRightInd w:val="0"/>
        <w:spacing w:line="360" w:lineRule="auto"/>
        <w:ind w:firstLine="470" w:firstLineChars="196"/>
        <w:rPr>
          <w:rFonts w:cs="黑体" w:asciiTheme="minorEastAsia" w:hAnsiTheme="minorEastAsia" w:eastAsiaTheme="minorEastAsia"/>
          <w:bCs/>
          <w:sz w:val="24"/>
          <w:lang w:val="zh-CN"/>
        </w:rPr>
      </w:pPr>
      <w:r>
        <w:rPr>
          <w:rFonts w:hint="eastAsia" w:cs="黑体" w:asciiTheme="minorEastAsia" w:hAnsiTheme="minorEastAsia" w:eastAsiaTheme="minorEastAsia"/>
          <w:bCs/>
          <w:sz w:val="24"/>
          <w:lang w:val="zh-CN"/>
        </w:rPr>
        <w:t>联系人：高鹏             电话：15737450000</w:t>
      </w:r>
    </w:p>
    <w:p>
      <w:pPr>
        <w:autoSpaceDE w:val="0"/>
        <w:autoSpaceDN w:val="0"/>
        <w:adjustRightInd w:val="0"/>
        <w:spacing w:line="360" w:lineRule="auto"/>
        <w:ind w:firstLine="470" w:firstLineChars="196"/>
        <w:rPr>
          <w:rFonts w:cs="黑体" w:asciiTheme="minorEastAsia" w:hAnsiTheme="minorEastAsia" w:eastAsiaTheme="minorEastAsia"/>
          <w:bCs/>
          <w:sz w:val="24"/>
          <w:lang w:val="zh-CN"/>
        </w:rPr>
      </w:pPr>
      <w:r>
        <w:rPr>
          <w:rFonts w:hint="eastAsia" w:cs="黑体" w:asciiTheme="minorEastAsia" w:hAnsiTheme="minorEastAsia" w:eastAsiaTheme="minorEastAsia"/>
          <w:bCs/>
          <w:sz w:val="24"/>
          <w:lang w:val="zh-CN"/>
        </w:rPr>
        <w:t>联系地址：许昌市创业服务中心B座15楼</w:t>
      </w:r>
      <w:bookmarkEnd w:id="0"/>
      <w:bookmarkEnd w:id="1"/>
      <w:bookmarkEnd w:id="2"/>
      <w:bookmarkEnd w:id="3"/>
      <w:bookmarkEnd w:id="4"/>
      <w:bookmarkEnd w:id="5"/>
    </w:p>
    <w:p>
      <w:bookmarkStart w:id="6" w:name="_GoBack"/>
      <w:bookmarkEnd w:id="6"/>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3640"/>
      <w:docPartObj>
        <w:docPartGallery w:val="AutoText"/>
      </w:docPartObj>
    </w:sdtPr>
    <w:sdtContent>
      <w:p>
        <w:pPr>
          <w:pStyle w:val="21"/>
          <w:jc w:val="center"/>
        </w:pPr>
        <w:r>
          <w:rPr>
            <w:sz w:val="22"/>
          </w:rPr>
          <w:fldChar w:fldCharType="begin"/>
        </w:r>
        <w:r>
          <w:rPr>
            <w:sz w:val="22"/>
          </w:rPr>
          <w:instrText xml:space="preserve"> PAGE   \* MERGEFORMAT </w:instrText>
        </w:r>
        <w:r>
          <w:rPr>
            <w:sz w:val="22"/>
          </w:rPr>
          <w:fldChar w:fldCharType="separate"/>
        </w:r>
        <w:r>
          <w:rPr>
            <w:sz w:val="22"/>
            <w:lang w:val="zh-CN"/>
          </w:rPr>
          <w:t>21</w:t>
        </w:r>
        <w:r>
          <w:rPr>
            <w:sz w:val="22"/>
          </w:rP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4AEB"/>
    <w:multiLevelType w:val="multilevel"/>
    <w:tmpl w:val="61694AEB"/>
    <w:lvl w:ilvl="0" w:tentative="0">
      <w:start w:val="1"/>
      <w:numFmt w:val="none"/>
      <w:lvlText w:val="一、"/>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D8B"/>
    <w:rsid w:val="00012477"/>
    <w:rsid w:val="00090920"/>
    <w:rsid w:val="00113FD9"/>
    <w:rsid w:val="00220698"/>
    <w:rsid w:val="002314DC"/>
    <w:rsid w:val="002B1688"/>
    <w:rsid w:val="00332C35"/>
    <w:rsid w:val="003B147D"/>
    <w:rsid w:val="003E0D8B"/>
    <w:rsid w:val="00475A76"/>
    <w:rsid w:val="004A20FC"/>
    <w:rsid w:val="00634A14"/>
    <w:rsid w:val="00780543"/>
    <w:rsid w:val="00784C75"/>
    <w:rsid w:val="007866CC"/>
    <w:rsid w:val="00804BB2"/>
    <w:rsid w:val="008C2510"/>
    <w:rsid w:val="008F6609"/>
    <w:rsid w:val="0091162A"/>
    <w:rsid w:val="00962AFC"/>
    <w:rsid w:val="0099679A"/>
    <w:rsid w:val="00A2796E"/>
    <w:rsid w:val="00A51D13"/>
    <w:rsid w:val="00A936A1"/>
    <w:rsid w:val="00AF43C7"/>
    <w:rsid w:val="00B209A3"/>
    <w:rsid w:val="00B34233"/>
    <w:rsid w:val="00C16761"/>
    <w:rsid w:val="00CB0244"/>
    <w:rsid w:val="00DB6E6E"/>
    <w:rsid w:val="00E71A05"/>
    <w:rsid w:val="00E91F1B"/>
    <w:rsid w:val="00EB188A"/>
    <w:rsid w:val="2809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42"/>
    <w:qFormat/>
    <w:uiPriority w:val="0"/>
    <w:pPr>
      <w:keepNext/>
      <w:keepLines/>
      <w:adjustRightInd w:val="0"/>
      <w:spacing w:before="260" w:after="260" w:line="416" w:lineRule="atLeast"/>
      <w:ind w:left="180"/>
      <w:jc w:val="left"/>
      <w:textAlignment w:val="baseline"/>
      <w:outlineLvl w:val="1"/>
    </w:pPr>
    <w:rPr>
      <w:rFonts w:ascii="Arial" w:hAnsi="Arial" w:eastAsia="黑体"/>
      <w:b/>
      <w:bCs/>
      <w:sz w:val="32"/>
      <w:szCs w:val="32"/>
    </w:rPr>
  </w:style>
  <w:style w:type="paragraph" w:styleId="4">
    <w:name w:val="heading 3"/>
    <w:basedOn w:val="1"/>
    <w:next w:val="1"/>
    <w:link w:val="43"/>
    <w:qFormat/>
    <w:uiPriority w:val="0"/>
    <w:pPr>
      <w:keepNext/>
      <w:keepLines/>
      <w:adjustRightInd w:val="0"/>
      <w:spacing w:before="260" w:after="260" w:line="416" w:lineRule="atLeast"/>
      <w:ind w:left="360"/>
      <w:jc w:val="left"/>
      <w:textAlignment w:val="baseline"/>
      <w:outlineLvl w:val="2"/>
    </w:pPr>
    <w:rPr>
      <w:b/>
      <w:bCs/>
      <w:sz w:val="32"/>
      <w:szCs w:val="32"/>
    </w:rPr>
  </w:style>
  <w:style w:type="paragraph" w:styleId="5">
    <w:name w:val="heading 4"/>
    <w:basedOn w:val="1"/>
    <w:next w:val="1"/>
    <w:link w:val="44"/>
    <w:qFormat/>
    <w:uiPriority w:val="0"/>
    <w:pPr>
      <w:keepNext/>
      <w:keepLines/>
      <w:adjustRightInd w:val="0"/>
      <w:spacing w:before="280" w:after="290" w:line="376" w:lineRule="atLeast"/>
      <w:jc w:val="left"/>
      <w:textAlignment w:val="baseline"/>
      <w:outlineLvl w:val="3"/>
    </w:pPr>
    <w:rPr>
      <w:rFonts w:ascii="Arial" w:hAnsi="Arial" w:eastAsia="黑体"/>
      <w:b/>
      <w:bCs/>
      <w:sz w:val="28"/>
      <w:szCs w:val="28"/>
    </w:rPr>
  </w:style>
  <w:style w:type="paragraph" w:styleId="6">
    <w:name w:val="heading 5"/>
    <w:basedOn w:val="1"/>
    <w:next w:val="1"/>
    <w:link w:val="45"/>
    <w:qFormat/>
    <w:uiPriority w:val="0"/>
    <w:pPr>
      <w:keepNext/>
      <w:keepLines/>
      <w:adjustRightInd w:val="0"/>
      <w:spacing w:before="280" w:after="290" w:line="376" w:lineRule="atLeast"/>
      <w:jc w:val="left"/>
      <w:textAlignment w:val="baseline"/>
      <w:outlineLvl w:val="4"/>
    </w:pPr>
    <w:rPr>
      <w:b/>
      <w:bCs/>
      <w:sz w:val="28"/>
      <w:szCs w:val="28"/>
    </w:rPr>
  </w:style>
  <w:style w:type="paragraph" w:styleId="7">
    <w:name w:val="heading 6"/>
    <w:basedOn w:val="1"/>
    <w:next w:val="1"/>
    <w:link w:val="46"/>
    <w:qFormat/>
    <w:uiPriority w:val="0"/>
    <w:pPr>
      <w:keepNext/>
      <w:keepLines/>
      <w:adjustRightInd w:val="0"/>
      <w:spacing w:before="240" w:after="64" w:line="320" w:lineRule="atLeast"/>
      <w:jc w:val="left"/>
      <w:textAlignment w:val="baseline"/>
      <w:outlineLvl w:val="5"/>
    </w:pPr>
    <w:rPr>
      <w:rFonts w:ascii="Arial" w:hAnsi="Arial" w:eastAsia="黑体"/>
      <w:b/>
      <w:bCs/>
      <w:sz w:val="24"/>
    </w:rPr>
  </w:style>
  <w:style w:type="paragraph" w:styleId="8">
    <w:name w:val="heading 7"/>
    <w:basedOn w:val="1"/>
    <w:next w:val="1"/>
    <w:link w:val="47"/>
    <w:qFormat/>
    <w:uiPriority w:val="0"/>
    <w:pPr>
      <w:keepNext/>
      <w:keepLines/>
      <w:adjustRightInd w:val="0"/>
      <w:spacing w:before="240" w:after="64" w:line="320" w:lineRule="atLeast"/>
      <w:jc w:val="left"/>
      <w:textAlignment w:val="baseline"/>
      <w:outlineLvl w:val="6"/>
    </w:pPr>
    <w:rPr>
      <w:b/>
      <w:bCs/>
      <w:sz w:val="24"/>
    </w:rPr>
  </w:style>
  <w:style w:type="paragraph" w:styleId="9">
    <w:name w:val="heading 8"/>
    <w:basedOn w:val="1"/>
    <w:next w:val="1"/>
    <w:link w:val="48"/>
    <w:qFormat/>
    <w:uiPriority w:val="0"/>
    <w:pPr>
      <w:keepNext/>
      <w:keepLines/>
      <w:adjustRightInd w:val="0"/>
      <w:spacing w:before="240" w:after="64" w:line="320" w:lineRule="atLeast"/>
      <w:jc w:val="left"/>
      <w:textAlignment w:val="baseline"/>
      <w:outlineLvl w:val="7"/>
    </w:pPr>
    <w:rPr>
      <w:rFonts w:ascii="Arial" w:hAnsi="Arial" w:eastAsia="黑体"/>
      <w:sz w:val="24"/>
    </w:rPr>
  </w:style>
  <w:style w:type="paragraph" w:styleId="10">
    <w:name w:val="heading 9"/>
    <w:basedOn w:val="1"/>
    <w:next w:val="1"/>
    <w:link w:val="49"/>
    <w:qFormat/>
    <w:uiPriority w:val="0"/>
    <w:pPr>
      <w:keepNext/>
      <w:keepLines/>
      <w:adjustRightInd w:val="0"/>
      <w:spacing w:before="240" w:after="64" w:line="320" w:lineRule="atLeast"/>
      <w:jc w:val="left"/>
      <w:textAlignment w:val="baseline"/>
      <w:outlineLvl w:val="8"/>
    </w:pPr>
    <w:rPr>
      <w:rFonts w:ascii="Arial" w:hAnsi="Arial" w:eastAsia="黑体"/>
      <w:szCs w:val="21"/>
    </w:rPr>
  </w:style>
  <w:style w:type="character" w:default="1" w:styleId="31">
    <w:name w:val="Default Paragraph Font"/>
    <w:unhideWhenUsed/>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11">
    <w:name w:val="Normal Indent"/>
    <w:basedOn w:val="1"/>
    <w:uiPriority w:val="0"/>
    <w:pPr>
      <w:ind w:firstLine="420"/>
    </w:pPr>
    <w:rPr>
      <w:szCs w:val="20"/>
    </w:rPr>
  </w:style>
  <w:style w:type="paragraph" w:styleId="12">
    <w:name w:val="caption"/>
    <w:basedOn w:val="1"/>
    <w:next w:val="1"/>
    <w:qFormat/>
    <w:uiPriority w:val="0"/>
    <w:pPr>
      <w:widowControl/>
      <w:jc w:val="left"/>
    </w:pPr>
    <w:rPr>
      <w:rFonts w:ascii="Calibri" w:hAnsi="Calibri"/>
      <w:b/>
      <w:bCs/>
      <w:color w:val="4F81BD"/>
      <w:kern w:val="0"/>
      <w:sz w:val="18"/>
      <w:szCs w:val="18"/>
      <w:lang w:eastAsia="en-US" w:bidi="en-US"/>
    </w:rPr>
  </w:style>
  <w:style w:type="paragraph" w:styleId="13">
    <w:name w:val="Document Map"/>
    <w:basedOn w:val="1"/>
    <w:link w:val="69"/>
    <w:semiHidden/>
    <w:uiPriority w:val="0"/>
    <w:pPr>
      <w:shd w:val="clear" w:color="auto" w:fill="000080"/>
    </w:pPr>
  </w:style>
  <w:style w:type="paragraph" w:styleId="14">
    <w:name w:val="Body Text"/>
    <w:basedOn w:val="1"/>
    <w:link w:val="121"/>
    <w:qFormat/>
    <w:uiPriority w:val="0"/>
    <w:pPr>
      <w:spacing w:after="120"/>
    </w:pPr>
  </w:style>
  <w:style w:type="paragraph" w:styleId="15">
    <w:name w:val="Body Text Indent"/>
    <w:basedOn w:val="1"/>
    <w:link w:val="72"/>
    <w:uiPriority w:val="0"/>
    <w:pPr>
      <w:spacing w:line="400" w:lineRule="exact"/>
      <w:ind w:left="630"/>
    </w:pPr>
    <w:rPr>
      <w:rFonts w:ascii="楷体_GB2312"/>
      <w:szCs w:val="20"/>
    </w:rPr>
  </w:style>
  <w:style w:type="paragraph" w:styleId="16">
    <w:name w:val="toc 3"/>
    <w:basedOn w:val="1"/>
    <w:next w:val="1"/>
    <w:uiPriority w:val="0"/>
    <w:pPr>
      <w:widowControl/>
      <w:spacing w:after="100" w:line="276" w:lineRule="auto"/>
      <w:ind w:left="440"/>
      <w:jc w:val="left"/>
    </w:pPr>
    <w:rPr>
      <w:rFonts w:ascii="Calibri" w:hAnsi="Calibri"/>
      <w:kern w:val="0"/>
      <w:sz w:val="22"/>
      <w:szCs w:val="22"/>
    </w:rPr>
  </w:style>
  <w:style w:type="paragraph" w:styleId="17">
    <w:name w:val="Plain Text"/>
    <w:basedOn w:val="1"/>
    <w:link w:val="68"/>
    <w:uiPriority w:val="0"/>
    <w:rPr>
      <w:rFonts w:ascii="宋体" w:hAnsi="Courier New"/>
      <w:szCs w:val="20"/>
    </w:rPr>
  </w:style>
  <w:style w:type="paragraph" w:styleId="18">
    <w:name w:val="Date"/>
    <w:basedOn w:val="1"/>
    <w:next w:val="1"/>
    <w:link w:val="70"/>
    <w:uiPriority w:val="0"/>
    <w:rPr>
      <w:rFonts w:eastAsia="楷体_GB2312"/>
      <w:sz w:val="32"/>
      <w:szCs w:val="20"/>
    </w:rPr>
  </w:style>
  <w:style w:type="paragraph" w:styleId="19">
    <w:name w:val="Body Text Indent 2"/>
    <w:basedOn w:val="1"/>
    <w:link w:val="73"/>
    <w:uiPriority w:val="0"/>
    <w:pPr>
      <w:spacing w:line="440" w:lineRule="exact"/>
      <w:ind w:firstLine="560" w:firstLineChars="200"/>
    </w:pPr>
    <w:rPr>
      <w:rFonts w:ascii="仿宋_GB2312" w:eastAsia="仿宋_GB2312"/>
      <w:sz w:val="28"/>
    </w:rPr>
  </w:style>
  <w:style w:type="paragraph" w:styleId="20">
    <w:name w:val="Balloon Text"/>
    <w:basedOn w:val="1"/>
    <w:link w:val="75"/>
    <w:qFormat/>
    <w:uiPriority w:val="0"/>
    <w:rPr>
      <w:rFonts w:asciiTheme="minorHAnsi" w:hAnsiTheme="minorHAnsi" w:cstheme="minorBidi"/>
      <w:sz w:val="18"/>
      <w:szCs w:val="18"/>
    </w:rPr>
  </w:style>
  <w:style w:type="paragraph" w:styleId="21">
    <w:name w:val="footer"/>
    <w:basedOn w:val="1"/>
    <w:link w:val="40"/>
    <w:unhideWhenUsed/>
    <w:uiPriority w:val="0"/>
    <w:pPr>
      <w:tabs>
        <w:tab w:val="center" w:pos="4153"/>
        <w:tab w:val="right" w:pos="8306"/>
      </w:tabs>
      <w:snapToGrid w:val="0"/>
      <w:jc w:val="left"/>
    </w:pPr>
    <w:rPr>
      <w:sz w:val="18"/>
      <w:szCs w:val="18"/>
    </w:rPr>
  </w:style>
  <w:style w:type="paragraph" w:styleId="22">
    <w:name w:val="header"/>
    <w:basedOn w:val="1"/>
    <w:link w:val="39"/>
    <w:unhideWhenUsed/>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widowControl/>
      <w:spacing w:after="100" w:line="276" w:lineRule="auto"/>
      <w:jc w:val="left"/>
    </w:pPr>
    <w:rPr>
      <w:rFonts w:ascii="Calibri" w:hAnsi="Calibri"/>
      <w:kern w:val="0"/>
      <w:sz w:val="22"/>
      <w:szCs w:val="22"/>
    </w:rPr>
  </w:style>
  <w:style w:type="paragraph" w:styleId="24">
    <w:name w:val="Subtitle"/>
    <w:basedOn w:val="1"/>
    <w:next w:val="1"/>
    <w:link w:val="77"/>
    <w:qFormat/>
    <w:uiPriority w:val="0"/>
    <w:pPr>
      <w:widowControl/>
      <w:spacing w:after="60"/>
      <w:jc w:val="center"/>
      <w:outlineLvl w:val="1"/>
    </w:pPr>
    <w:rPr>
      <w:rFonts w:ascii="Cambria" w:hAnsi="Cambria" w:cstheme="minorBidi"/>
      <w:sz w:val="24"/>
      <w:lang w:eastAsia="en-US" w:bidi="en-US"/>
    </w:rPr>
  </w:style>
  <w:style w:type="paragraph" w:styleId="25">
    <w:name w:val="Body Text Indent 3"/>
    <w:basedOn w:val="1"/>
    <w:link w:val="74"/>
    <w:qFormat/>
    <w:uiPriority w:val="0"/>
    <w:pPr>
      <w:spacing w:after="120"/>
      <w:ind w:left="420" w:leftChars="200"/>
    </w:pPr>
    <w:rPr>
      <w:sz w:val="16"/>
      <w:szCs w:val="16"/>
    </w:rPr>
  </w:style>
  <w:style w:type="paragraph" w:styleId="26">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27">
    <w:name w:val="Body Text 2"/>
    <w:basedOn w:val="1"/>
    <w:link w:val="76"/>
    <w:qFormat/>
    <w:uiPriority w:val="0"/>
    <w:pPr>
      <w:spacing w:after="120" w:line="480" w:lineRule="auto"/>
    </w:pPr>
  </w:style>
  <w:style w:type="paragraph" w:styleId="28">
    <w:name w:val="HTML Preformatted"/>
    <w:basedOn w:val="1"/>
    <w:link w:val="7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0">
    <w:name w:val="Title"/>
    <w:basedOn w:val="2"/>
    <w:next w:val="1"/>
    <w:link w:val="78"/>
    <w:qFormat/>
    <w:uiPriority w:val="99"/>
    <w:pPr>
      <w:keepLines w:val="0"/>
      <w:widowControl/>
      <w:adjustRightInd/>
      <w:spacing w:before="240" w:after="60" w:line="240" w:lineRule="auto"/>
      <w:ind w:firstLine="0"/>
      <w:textAlignment w:val="auto"/>
    </w:pPr>
    <w:rPr>
      <w:rFonts w:ascii="Cambria" w:hAnsi="Cambria" w:eastAsia="仿宋_GB2312" w:cstheme="minorBidi"/>
      <w:kern w:val="32"/>
      <w:sz w:val="28"/>
      <w:szCs w:val="28"/>
      <w:lang w:bidi="en-US"/>
    </w:rPr>
  </w:style>
  <w:style w:type="character" w:styleId="32">
    <w:name w:val="Strong"/>
    <w:basedOn w:val="31"/>
    <w:qFormat/>
    <w:uiPriority w:val="99"/>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Emphasis"/>
    <w:basedOn w:val="31"/>
    <w:qFormat/>
    <w:uiPriority w:val="0"/>
    <w:rPr>
      <w:rFonts w:ascii="Calibri" w:hAnsi="Calibri"/>
      <w:b/>
      <w:i/>
      <w:iCs/>
    </w:rPr>
  </w:style>
  <w:style w:type="character" w:styleId="36">
    <w:name w:val="Hyperlink"/>
    <w:basedOn w:val="31"/>
    <w:uiPriority w:val="0"/>
    <w:rPr>
      <w:color w:val="003366"/>
      <w:u w:val="none"/>
    </w:rPr>
  </w:style>
  <w:style w:type="table" w:styleId="38">
    <w:name w:val="Table Grid"/>
    <w:basedOn w:val="3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页眉 Char"/>
    <w:basedOn w:val="31"/>
    <w:link w:val="22"/>
    <w:uiPriority w:val="0"/>
    <w:rPr>
      <w:sz w:val="18"/>
      <w:szCs w:val="18"/>
    </w:rPr>
  </w:style>
  <w:style w:type="character" w:customStyle="1" w:styleId="40">
    <w:name w:val="页脚 Char"/>
    <w:basedOn w:val="31"/>
    <w:link w:val="21"/>
    <w:uiPriority w:val="0"/>
    <w:rPr>
      <w:sz w:val="18"/>
      <w:szCs w:val="18"/>
    </w:rPr>
  </w:style>
  <w:style w:type="character" w:customStyle="1" w:styleId="41">
    <w:name w:val="标题 1 Char"/>
    <w:basedOn w:val="31"/>
    <w:link w:val="2"/>
    <w:uiPriority w:val="0"/>
    <w:rPr>
      <w:rFonts w:ascii="Times New Roman" w:hAnsi="Times New Roman" w:eastAsia="宋体" w:cs="Times New Roman"/>
      <w:b/>
      <w:bCs/>
      <w:kern w:val="44"/>
      <w:sz w:val="44"/>
      <w:szCs w:val="44"/>
    </w:rPr>
  </w:style>
  <w:style w:type="character" w:customStyle="1" w:styleId="42">
    <w:name w:val="标题 2 Char"/>
    <w:basedOn w:val="31"/>
    <w:link w:val="3"/>
    <w:uiPriority w:val="0"/>
    <w:rPr>
      <w:rFonts w:ascii="Arial" w:hAnsi="Arial" w:eastAsia="黑体" w:cs="Times New Roman"/>
      <w:b/>
      <w:bCs/>
      <w:sz w:val="32"/>
      <w:szCs w:val="32"/>
    </w:rPr>
  </w:style>
  <w:style w:type="character" w:customStyle="1" w:styleId="43">
    <w:name w:val="标题 3 Char"/>
    <w:basedOn w:val="31"/>
    <w:link w:val="4"/>
    <w:uiPriority w:val="0"/>
    <w:rPr>
      <w:rFonts w:ascii="Times New Roman" w:hAnsi="Times New Roman" w:eastAsia="宋体" w:cs="Times New Roman"/>
      <w:b/>
      <w:bCs/>
      <w:sz w:val="32"/>
      <w:szCs w:val="32"/>
    </w:rPr>
  </w:style>
  <w:style w:type="character" w:customStyle="1" w:styleId="44">
    <w:name w:val="标题 4 Char"/>
    <w:basedOn w:val="31"/>
    <w:link w:val="5"/>
    <w:uiPriority w:val="0"/>
    <w:rPr>
      <w:rFonts w:ascii="Arial" w:hAnsi="Arial" w:eastAsia="黑体" w:cs="Times New Roman"/>
      <w:b/>
      <w:bCs/>
      <w:sz w:val="28"/>
      <w:szCs w:val="28"/>
    </w:rPr>
  </w:style>
  <w:style w:type="character" w:customStyle="1" w:styleId="45">
    <w:name w:val="标题 5 Char"/>
    <w:basedOn w:val="31"/>
    <w:link w:val="6"/>
    <w:uiPriority w:val="0"/>
    <w:rPr>
      <w:rFonts w:ascii="Times New Roman" w:hAnsi="Times New Roman" w:eastAsia="宋体" w:cs="Times New Roman"/>
      <w:b/>
      <w:bCs/>
      <w:sz w:val="28"/>
      <w:szCs w:val="28"/>
    </w:rPr>
  </w:style>
  <w:style w:type="character" w:customStyle="1" w:styleId="46">
    <w:name w:val="标题 6 Char"/>
    <w:basedOn w:val="31"/>
    <w:link w:val="7"/>
    <w:uiPriority w:val="0"/>
    <w:rPr>
      <w:rFonts w:ascii="Arial" w:hAnsi="Arial" w:eastAsia="黑体" w:cs="Times New Roman"/>
      <w:b/>
      <w:bCs/>
      <w:sz w:val="24"/>
      <w:szCs w:val="24"/>
    </w:rPr>
  </w:style>
  <w:style w:type="character" w:customStyle="1" w:styleId="47">
    <w:name w:val="标题 7 Char"/>
    <w:basedOn w:val="31"/>
    <w:link w:val="8"/>
    <w:uiPriority w:val="0"/>
    <w:rPr>
      <w:rFonts w:ascii="Times New Roman" w:hAnsi="Times New Roman" w:eastAsia="宋体" w:cs="Times New Roman"/>
      <w:b/>
      <w:bCs/>
      <w:sz w:val="24"/>
      <w:szCs w:val="24"/>
    </w:rPr>
  </w:style>
  <w:style w:type="character" w:customStyle="1" w:styleId="48">
    <w:name w:val="标题 8 Char"/>
    <w:basedOn w:val="31"/>
    <w:link w:val="9"/>
    <w:uiPriority w:val="0"/>
    <w:rPr>
      <w:rFonts w:ascii="Arial" w:hAnsi="Arial" w:eastAsia="黑体" w:cs="Times New Roman"/>
      <w:sz w:val="24"/>
      <w:szCs w:val="24"/>
    </w:rPr>
  </w:style>
  <w:style w:type="character" w:customStyle="1" w:styleId="49">
    <w:name w:val="标题 9 Char"/>
    <w:basedOn w:val="31"/>
    <w:link w:val="10"/>
    <w:uiPriority w:val="0"/>
    <w:rPr>
      <w:rFonts w:ascii="Arial" w:hAnsi="Arial" w:eastAsia="黑体" w:cs="Times New Roman"/>
      <w:szCs w:val="21"/>
    </w:rPr>
  </w:style>
  <w:style w:type="character" w:customStyle="1" w:styleId="50">
    <w:name w:val="副标题 Char"/>
    <w:basedOn w:val="31"/>
    <w:link w:val="24"/>
    <w:uiPriority w:val="0"/>
    <w:rPr>
      <w:rFonts w:ascii="Cambria" w:hAnsi="Cambria" w:eastAsia="宋体"/>
      <w:sz w:val="24"/>
      <w:szCs w:val="24"/>
      <w:lang w:eastAsia="en-US" w:bidi="en-US"/>
    </w:rPr>
  </w:style>
  <w:style w:type="character" w:customStyle="1" w:styleId="51">
    <w:name w:val="Subtle Emphasis"/>
    <w:qFormat/>
    <w:uiPriority w:val="0"/>
    <w:rPr>
      <w:i/>
      <w:color w:val="5A5A5A"/>
    </w:rPr>
  </w:style>
  <w:style w:type="character" w:customStyle="1" w:styleId="52">
    <w:name w:val="mark"/>
    <w:uiPriority w:val="0"/>
  </w:style>
  <w:style w:type="character" w:customStyle="1" w:styleId="53">
    <w:name w:val="引用 Char"/>
    <w:basedOn w:val="31"/>
    <w:link w:val="54"/>
    <w:uiPriority w:val="0"/>
    <w:rPr>
      <w:rFonts w:ascii="Calibri" w:hAnsi="Calibri" w:eastAsia="宋体"/>
      <w:i/>
      <w:sz w:val="24"/>
      <w:szCs w:val="24"/>
      <w:lang w:eastAsia="en-US" w:bidi="en-US"/>
    </w:rPr>
  </w:style>
  <w:style w:type="paragraph" w:styleId="54">
    <w:name w:val="Quote"/>
    <w:basedOn w:val="1"/>
    <w:next w:val="1"/>
    <w:link w:val="80"/>
    <w:qFormat/>
    <w:uiPriority w:val="0"/>
    <w:pPr>
      <w:widowControl/>
      <w:jc w:val="left"/>
    </w:pPr>
    <w:rPr>
      <w:rFonts w:ascii="Calibri" w:hAnsi="Calibri" w:cstheme="minorBidi"/>
      <w:i/>
      <w:sz w:val="24"/>
      <w:lang w:eastAsia="en-US" w:bidi="en-US"/>
    </w:rPr>
  </w:style>
  <w:style w:type="character" w:customStyle="1" w:styleId="55">
    <w:name w:val="无间隔 Char"/>
    <w:basedOn w:val="31"/>
    <w:link w:val="56"/>
    <w:uiPriority w:val="0"/>
    <w:rPr>
      <w:rFonts w:ascii="Calibri" w:hAnsi="Calibri" w:eastAsia="宋体"/>
      <w:sz w:val="24"/>
      <w:szCs w:val="32"/>
      <w:lang w:eastAsia="en-US" w:bidi="en-US"/>
    </w:rPr>
  </w:style>
  <w:style w:type="paragraph" w:styleId="56">
    <w:name w:val="No Spacing"/>
    <w:basedOn w:val="1"/>
    <w:link w:val="55"/>
    <w:qFormat/>
    <w:uiPriority w:val="0"/>
    <w:pPr>
      <w:widowControl/>
      <w:jc w:val="left"/>
    </w:pPr>
    <w:rPr>
      <w:rFonts w:ascii="Calibri" w:hAnsi="Calibri" w:cstheme="minorBidi"/>
      <w:sz w:val="24"/>
      <w:szCs w:val="32"/>
      <w:lang w:eastAsia="en-US" w:bidi="en-US"/>
    </w:rPr>
  </w:style>
  <w:style w:type="character" w:customStyle="1" w:styleId="57">
    <w:name w:val="明显引用 Char"/>
    <w:basedOn w:val="31"/>
    <w:link w:val="58"/>
    <w:uiPriority w:val="0"/>
    <w:rPr>
      <w:rFonts w:ascii="Calibri" w:hAnsi="Calibri" w:eastAsia="宋体"/>
      <w:b/>
      <w:i/>
      <w:sz w:val="24"/>
      <w:lang w:eastAsia="en-US" w:bidi="en-US"/>
    </w:rPr>
  </w:style>
  <w:style w:type="paragraph" w:styleId="58">
    <w:name w:val="Intense Quote"/>
    <w:basedOn w:val="1"/>
    <w:next w:val="1"/>
    <w:link w:val="87"/>
    <w:qFormat/>
    <w:uiPriority w:val="0"/>
    <w:pPr>
      <w:widowControl/>
      <w:ind w:left="720" w:right="720"/>
      <w:jc w:val="left"/>
    </w:pPr>
    <w:rPr>
      <w:rFonts w:ascii="Calibri" w:hAnsi="Calibri" w:cstheme="minorBidi"/>
      <w:b/>
      <w:i/>
      <w:sz w:val="24"/>
      <w:szCs w:val="22"/>
      <w:lang w:eastAsia="en-US" w:bidi="en-US"/>
    </w:rPr>
  </w:style>
  <w:style w:type="character" w:customStyle="1" w:styleId="59">
    <w:name w:val="Intense Reference"/>
    <w:basedOn w:val="31"/>
    <w:qFormat/>
    <w:uiPriority w:val="0"/>
    <w:rPr>
      <w:b/>
      <w:sz w:val="24"/>
      <w:u w:val="single"/>
    </w:rPr>
  </w:style>
  <w:style w:type="character" w:customStyle="1" w:styleId="60">
    <w:name w:val="Char Char11"/>
    <w:basedOn w:val="31"/>
    <w:qFormat/>
    <w:uiPriority w:val="0"/>
    <w:rPr>
      <w:rFonts w:ascii="Cambria" w:hAnsi="Cambria" w:eastAsia="仿宋_GB2312"/>
      <w:b/>
      <w:bCs/>
      <w:kern w:val="32"/>
      <w:sz w:val="32"/>
      <w:szCs w:val="32"/>
      <w:lang w:val="en-US" w:eastAsia="en-US" w:bidi="en-US"/>
    </w:rPr>
  </w:style>
  <w:style w:type="character" w:customStyle="1" w:styleId="61">
    <w:name w:val="批注框文本 Char"/>
    <w:basedOn w:val="31"/>
    <w:link w:val="20"/>
    <w:uiPriority w:val="0"/>
    <w:rPr>
      <w:rFonts w:eastAsia="宋体"/>
      <w:sz w:val="18"/>
      <w:szCs w:val="18"/>
    </w:rPr>
  </w:style>
  <w:style w:type="character" w:customStyle="1" w:styleId="62">
    <w:name w:val="Book Title"/>
    <w:basedOn w:val="31"/>
    <w:qFormat/>
    <w:uiPriority w:val="0"/>
    <w:rPr>
      <w:rFonts w:ascii="Cambria" w:hAnsi="Cambria" w:eastAsia="宋体"/>
      <w:b/>
      <w:i/>
      <w:sz w:val="24"/>
      <w:szCs w:val="24"/>
    </w:rPr>
  </w:style>
  <w:style w:type="character" w:customStyle="1" w:styleId="63">
    <w:name w:val="Intense Emphasis"/>
    <w:basedOn w:val="31"/>
    <w:qFormat/>
    <w:uiPriority w:val="0"/>
    <w:rPr>
      <w:b/>
      <w:i/>
      <w:sz w:val="24"/>
      <w:szCs w:val="24"/>
      <w:u w:val="single"/>
    </w:rPr>
  </w:style>
  <w:style w:type="character" w:customStyle="1" w:styleId="64">
    <w:name w:val="文档正文 Char Char"/>
    <w:basedOn w:val="31"/>
    <w:link w:val="65"/>
    <w:qFormat/>
    <w:uiPriority w:val="0"/>
    <w:rPr>
      <w:rFonts w:eastAsia="仿宋_GB2312"/>
      <w:sz w:val="28"/>
    </w:rPr>
  </w:style>
  <w:style w:type="paragraph" w:customStyle="1" w:styleId="65">
    <w:name w:val="文档正文"/>
    <w:basedOn w:val="1"/>
    <w:link w:val="64"/>
    <w:qFormat/>
    <w:uiPriority w:val="0"/>
    <w:pPr>
      <w:adjustRightInd w:val="0"/>
      <w:snapToGrid w:val="0"/>
      <w:spacing w:line="300" w:lineRule="auto"/>
      <w:ind w:firstLine="561"/>
    </w:pPr>
    <w:rPr>
      <w:rFonts w:eastAsia="仿宋_GB2312" w:asciiTheme="minorHAnsi" w:hAnsiTheme="minorHAnsi" w:cstheme="minorBidi"/>
      <w:sz w:val="28"/>
      <w:szCs w:val="22"/>
    </w:rPr>
  </w:style>
  <w:style w:type="character" w:customStyle="1" w:styleId="66">
    <w:name w:val="Subtle Reference"/>
    <w:basedOn w:val="31"/>
    <w:qFormat/>
    <w:uiPriority w:val="0"/>
    <w:rPr>
      <w:sz w:val="24"/>
      <w:szCs w:val="24"/>
      <w:u w:val="single"/>
    </w:rPr>
  </w:style>
  <w:style w:type="character" w:customStyle="1" w:styleId="67">
    <w:name w:val="标题 Char"/>
    <w:basedOn w:val="31"/>
    <w:link w:val="30"/>
    <w:uiPriority w:val="99"/>
    <w:rPr>
      <w:rFonts w:ascii="Cambria" w:hAnsi="Cambria" w:eastAsia="仿宋_GB2312"/>
      <w:b/>
      <w:bCs/>
      <w:kern w:val="32"/>
      <w:sz w:val="28"/>
      <w:szCs w:val="28"/>
      <w:lang w:bidi="en-US"/>
    </w:rPr>
  </w:style>
  <w:style w:type="character" w:customStyle="1" w:styleId="68">
    <w:name w:val="纯文本 Char"/>
    <w:basedOn w:val="31"/>
    <w:link w:val="17"/>
    <w:qFormat/>
    <w:uiPriority w:val="0"/>
    <w:rPr>
      <w:rFonts w:ascii="宋体" w:hAnsi="Courier New" w:eastAsia="宋体" w:cs="Times New Roman"/>
      <w:szCs w:val="20"/>
    </w:rPr>
  </w:style>
  <w:style w:type="character" w:customStyle="1" w:styleId="69">
    <w:name w:val="文档结构图 Char"/>
    <w:basedOn w:val="31"/>
    <w:link w:val="13"/>
    <w:semiHidden/>
    <w:uiPriority w:val="0"/>
    <w:rPr>
      <w:rFonts w:ascii="Times New Roman" w:hAnsi="Times New Roman" w:eastAsia="宋体" w:cs="Times New Roman"/>
      <w:szCs w:val="24"/>
      <w:shd w:val="clear" w:color="auto" w:fill="000080"/>
    </w:rPr>
  </w:style>
  <w:style w:type="character" w:customStyle="1" w:styleId="70">
    <w:name w:val="日期 Char"/>
    <w:basedOn w:val="31"/>
    <w:link w:val="18"/>
    <w:uiPriority w:val="0"/>
    <w:rPr>
      <w:rFonts w:ascii="Times New Roman" w:hAnsi="Times New Roman" w:eastAsia="楷体_GB2312" w:cs="Times New Roman"/>
      <w:sz w:val="32"/>
      <w:szCs w:val="20"/>
    </w:rPr>
  </w:style>
  <w:style w:type="character" w:customStyle="1" w:styleId="71">
    <w:name w:val="HTML 预设格式 Char"/>
    <w:basedOn w:val="31"/>
    <w:link w:val="28"/>
    <w:uiPriority w:val="0"/>
    <w:rPr>
      <w:rFonts w:ascii="宋体" w:hAnsi="宋体" w:eastAsia="宋体" w:cs="Times New Roman"/>
      <w:kern w:val="0"/>
      <w:sz w:val="24"/>
      <w:szCs w:val="20"/>
    </w:rPr>
  </w:style>
  <w:style w:type="character" w:customStyle="1" w:styleId="72">
    <w:name w:val="正文文本缩进 Char"/>
    <w:basedOn w:val="31"/>
    <w:link w:val="15"/>
    <w:uiPriority w:val="0"/>
    <w:rPr>
      <w:rFonts w:ascii="楷体_GB2312" w:hAnsi="Times New Roman" w:eastAsia="宋体" w:cs="Times New Roman"/>
      <w:szCs w:val="20"/>
    </w:rPr>
  </w:style>
  <w:style w:type="character" w:customStyle="1" w:styleId="73">
    <w:name w:val="正文文本缩进 2 Char"/>
    <w:basedOn w:val="31"/>
    <w:link w:val="19"/>
    <w:qFormat/>
    <w:uiPriority w:val="0"/>
    <w:rPr>
      <w:rFonts w:ascii="仿宋_GB2312" w:hAnsi="Times New Roman" w:eastAsia="仿宋_GB2312" w:cs="Times New Roman"/>
      <w:sz w:val="28"/>
      <w:szCs w:val="24"/>
    </w:rPr>
  </w:style>
  <w:style w:type="character" w:customStyle="1" w:styleId="74">
    <w:name w:val="正文文本缩进 3 Char"/>
    <w:basedOn w:val="31"/>
    <w:link w:val="25"/>
    <w:uiPriority w:val="0"/>
    <w:rPr>
      <w:rFonts w:ascii="Times New Roman" w:hAnsi="Times New Roman" w:eastAsia="宋体" w:cs="Times New Roman"/>
      <w:sz w:val="16"/>
      <w:szCs w:val="16"/>
    </w:rPr>
  </w:style>
  <w:style w:type="character" w:customStyle="1" w:styleId="75">
    <w:name w:val="批注框文本 Char1"/>
    <w:basedOn w:val="31"/>
    <w:link w:val="20"/>
    <w:semiHidden/>
    <w:qFormat/>
    <w:uiPriority w:val="99"/>
    <w:rPr>
      <w:rFonts w:ascii="Times New Roman" w:hAnsi="Times New Roman" w:eastAsia="宋体" w:cs="Times New Roman"/>
      <w:sz w:val="18"/>
      <w:szCs w:val="18"/>
    </w:rPr>
  </w:style>
  <w:style w:type="character" w:customStyle="1" w:styleId="76">
    <w:name w:val="正文文本 2 Char"/>
    <w:basedOn w:val="31"/>
    <w:link w:val="27"/>
    <w:qFormat/>
    <w:uiPriority w:val="0"/>
    <w:rPr>
      <w:rFonts w:ascii="Times New Roman" w:hAnsi="Times New Roman" w:eastAsia="宋体" w:cs="Times New Roman"/>
      <w:szCs w:val="24"/>
    </w:rPr>
  </w:style>
  <w:style w:type="character" w:customStyle="1" w:styleId="77">
    <w:name w:val="副标题 Char1"/>
    <w:basedOn w:val="31"/>
    <w:link w:val="24"/>
    <w:qFormat/>
    <w:uiPriority w:val="11"/>
    <w:rPr>
      <w:rFonts w:eastAsia="宋体" w:asciiTheme="majorHAnsi" w:hAnsiTheme="majorHAnsi" w:cstheme="majorBidi"/>
      <w:b/>
      <w:bCs/>
      <w:kern w:val="28"/>
      <w:sz w:val="32"/>
      <w:szCs w:val="32"/>
    </w:rPr>
  </w:style>
  <w:style w:type="character" w:customStyle="1" w:styleId="78">
    <w:name w:val="标题 Char1"/>
    <w:basedOn w:val="31"/>
    <w:link w:val="30"/>
    <w:qFormat/>
    <w:uiPriority w:val="10"/>
    <w:rPr>
      <w:rFonts w:eastAsia="宋体" w:asciiTheme="majorHAnsi" w:hAnsiTheme="majorHAnsi" w:cstheme="majorBidi"/>
      <w:b/>
      <w:bCs/>
      <w:sz w:val="32"/>
      <w:szCs w:val="32"/>
    </w:rPr>
  </w:style>
  <w:style w:type="paragraph" w:customStyle="1" w:styleId="79">
    <w:name w:val="Char1 Char Char Char Char Char Char"/>
    <w:basedOn w:val="1"/>
    <w:qFormat/>
    <w:uiPriority w:val="0"/>
  </w:style>
  <w:style w:type="character" w:customStyle="1" w:styleId="80">
    <w:name w:val="引用 Char1"/>
    <w:basedOn w:val="31"/>
    <w:link w:val="54"/>
    <w:qFormat/>
    <w:uiPriority w:val="29"/>
    <w:rPr>
      <w:rFonts w:ascii="Times New Roman" w:hAnsi="Times New Roman" w:eastAsia="宋体" w:cs="Times New Roman"/>
      <w:i/>
      <w:iCs/>
      <w:color w:val="000000" w:themeColor="text1"/>
      <w:szCs w:val="24"/>
    </w:rPr>
  </w:style>
  <w:style w:type="paragraph" w:customStyle="1" w:styleId="81">
    <w:name w:val="Char"/>
    <w:basedOn w:val="1"/>
    <w:qFormat/>
    <w:uiPriority w:val="0"/>
  </w:style>
  <w:style w:type="paragraph" w:customStyle="1" w:styleId="82">
    <w:name w:val="表"/>
    <w:basedOn w:val="1"/>
    <w:next w:val="65"/>
    <w:uiPriority w:val="0"/>
    <w:pPr>
      <w:tabs>
        <w:tab w:val="left" w:pos="680"/>
      </w:tabs>
      <w:adjustRightInd w:val="0"/>
      <w:spacing w:before="60" w:after="60" w:line="360" w:lineRule="atLeast"/>
      <w:jc w:val="center"/>
      <w:textAlignment w:val="baseline"/>
    </w:pPr>
    <w:rPr>
      <w:rFonts w:eastAsia="黑体"/>
      <w:b/>
      <w:kern w:val="0"/>
      <w:sz w:val="24"/>
      <w:szCs w:val="20"/>
    </w:rPr>
  </w:style>
  <w:style w:type="paragraph" w:customStyle="1" w:styleId="83">
    <w:name w:val="Char Char Char Char Char Char Char"/>
    <w:basedOn w:val="13"/>
    <w:qFormat/>
    <w:uiPriority w:val="0"/>
    <w:rPr>
      <w:szCs w:val="20"/>
    </w:rPr>
  </w:style>
  <w:style w:type="paragraph" w:customStyle="1" w:styleId="84">
    <w:name w:val="默认段落字体 Para Char Char Char Char Char Char Char Char Char Char"/>
    <w:basedOn w:val="1"/>
    <w:qFormat/>
    <w:uiPriority w:val="0"/>
    <w:pPr>
      <w:tabs>
        <w:tab w:val="right" w:pos="-2120"/>
      </w:tabs>
      <w:snapToGrid w:val="0"/>
    </w:pPr>
    <w:rPr>
      <w:rFonts w:ascii="Tahoma" w:hAnsi="Tahoma"/>
      <w:spacing w:val="6"/>
      <w:sz w:val="24"/>
      <w:szCs w:val="20"/>
    </w:rPr>
  </w:style>
  <w:style w:type="paragraph" w:styleId="85">
    <w:name w:val="List Paragraph"/>
    <w:basedOn w:val="1"/>
    <w:qFormat/>
    <w:uiPriority w:val="34"/>
    <w:pPr>
      <w:ind w:firstLine="420" w:firstLineChars="200"/>
    </w:pPr>
    <w:rPr>
      <w:rFonts w:ascii="Calibri" w:hAnsi="Calibri"/>
      <w:szCs w:val="22"/>
    </w:rPr>
  </w:style>
  <w:style w:type="paragraph" w:customStyle="1" w:styleId="86">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87">
    <w:name w:val="明显引用 Char1"/>
    <w:basedOn w:val="31"/>
    <w:link w:val="58"/>
    <w:qFormat/>
    <w:uiPriority w:val="30"/>
    <w:rPr>
      <w:rFonts w:ascii="Times New Roman" w:hAnsi="Times New Roman" w:eastAsia="宋体" w:cs="Times New Roman"/>
      <w:b/>
      <w:bCs/>
      <w:i/>
      <w:iCs/>
      <w:color w:val="4F81BD" w:themeColor="accent1"/>
      <w:szCs w:val="24"/>
    </w:rPr>
  </w:style>
  <w:style w:type="paragraph" w:customStyle="1" w:styleId="88">
    <w:name w:val="Char Char Char Char"/>
    <w:basedOn w:val="1"/>
    <w:qFormat/>
    <w:uiPriority w:val="0"/>
    <w:rPr>
      <w:rFonts w:ascii="Tahoma" w:hAnsi="Tahoma"/>
      <w:sz w:val="24"/>
      <w:szCs w:val="20"/>
    </w:rPr>
  </w:style>
  <w:style w:type="paragraph" w:customStyle="1" w:styleId="89">
    <w:name w:val="标准正文"/>
    <w:basedOn w:val="15"/>
    <w:qFormat/>
    <w:uiPriority w:val="0"/>
    <w:pPr>
      <w:spacing w:before="60" w:after="60" w:line="360" w:lineRule="auto"/>
      <w:ind w:left="0" w:firstLine="482"/>
    </w:pPr>
    <w:rPr>
      <w:rFonts w:ascii="Arial" w:hAnsi="Arial"/>
      <w:sz w:val="24"/>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1">
    <w:name w:val="TOC Heading"/>
    <w:basedOn w:val="2"/>
    <w:next w:val="1"/>
    <w:qFormat/>
    <w:uiPriority w:val="0"/>
    <w:pPr>
      <w:keepLines w:val="0"/>
      <w:widowControl/>
      <w:adjustRightInd/>
      <w:spacing w:before="240" w:after="60" w:line="240" w:lineRule="auto"/>
      <w:ind w:firstLine="0"/>
      <w:textAlignment w:val="auto"/>
      <w:outlineLvl w:val="9"/>
    </w:pPr>
    <w:rPr>
      <w:rFonts w:ascii="Cambria" w:hAnsi="Cambria" w:eastAsia="仿宋_GB2312"/>
      <w:kern w:val="32"/>
      <w:sz w:val="32"/>
      <w:szCs w:val="32"/>
      <w:lang w:eastAsia="en-US" w:bidi="en-US"/>
    </w:rPr>
  </w:style>
  <w:style w:type="paragraph" w:customStyle="1" w:styleId="92">
    <w:name w:val="Char Char2 Char"/>
    <w:basedOn w:val="1"/>
    <w:qFormat/>
    <w:uiPriority w:val="0"/>
    <w:pPr>
      <w:keepNext/>
      <w:keepLines/>
      <w:pageBreakBefore/>
      <w:tabs>
        <w:tab w:val="left" w:pos="390"/>
      </w:tabs>
      <w:ind w:left="390" w:hanging="390"/>
    </w:pPr>
    <w:rPr>
      <w:szCs w:val="20"/>
    </w:rPr>
  </w:style>
  <w:style w:type="paragraph" w:customStyle="1" w:styleId="93">
    <w:name w:val="普通正文"/>
    <w:basedOn w:val="1"/>
    <w:qFormat/>
    <w:uiPriority w:val="0"/>
    <w:pPr>
      <w:adjustRightInd w:val="0"/>
      <w:spacing w:line="360" w:lineRule="auto"/>
      <w:jc w:val="left"/>
    </w:pPr>
    <w:rPr>
      <w:rFonts w:ascii="宋体"/>
      <w:kern w:val="0"/>
      <w:sz w:val="24"/>
      <w:szCs w:val="20"/>
    </w:rPr>
  </w:style>
  <w:style w:type="paragraph" w:customStyle="1" w:styleId="94">
    <w:name w:val="p0"/>
    <w:basedOn w:val="1"/>
    <w:qFormat/>
    <w:uiPriority w:val="0"/>
    <w:pPr>
      <w:widowControl/>
      <w:jc w:val="left"/>
    </w:pPr>
    <w:rPr>
      <w:kern w:val="0"/>
      <w:sz w:val="24"/>
      <w:szCs w:val="21"/>
      <w:lang w:eastAsia="en-US" w:bidi="en-US"/>
    </w:rPr>
  </w:style>
  <w:style w:type="paragraph" w:customStyle="1" w:styleId="95">
    <w:name w:val="列出段落1"/>
    <w:basedOn w:val="1"/>
    <w:qFormat/>
    <w:uiPriority w:val="99"/>
    <w:pPr>
      <w:ind w:firstLine="420" w:firstLineChars="200"/>
    </w:pPr>
    <w:rPr>
      <w:rFonts w:ascii="Calibri" w:hAnsi="Calibri"/>
      <w:szCs w:val="22"/>
    </w:rPr>
  </w:style>
  <w:style w:type="character" w:customStyle="1" w:styleId="96">
    <w:name w:val="apple-style-span"/>
    <w:qFormat/>
    <w:uiPriority w:val="0"/>
  </w:style>
  <w:style w:type="paragraph" w:customStyle="1" w:styleId="97">
    <w:name w:val="msonormal 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标题 2 Char Char"/>
    <w:basedOn w:val="31"/>
    <w:qFormat/>
    <w:uiPriority w:val="0"/>
    <w:rPr>
      <w:rFonts w:ascii="Cambria" w:hAnsi="Cambria" w:eastAsia="宋体"/>
      <w:b/>
      <w:bCs/>
      <w:sz w:val="32"/>
      <w:szCs w:val="32"/>
    </w:rPr>
  </w:style>
  <w:style w:type="character" w:customStyle="1" w:styleId="99">
    <w:name w:val="标题 1 Char Char"/>
    <w:basedOn w:val="31"/>
    <w:uiPriority w:val="0"/>
    <w:rPr>
      <w:b/>
      <w:bCs/>
      <w:kern w:val="44"/>
      <w:sz w:val="44"/>
      <w:szCs w:val="44"/>
    </w:rPr>
  </w:style>
  <w:style w:type="character" w:customStyle="1" w:styleId="100">
    <w:name w:val="页眉 Char Char"/>
    <w:basedOn w:val="31"/>
    <w:uiPriority w:val="0"/>
    <w:rPr>
      <w:sz w:val="18"/>
      <w:szCs w:val="18"/>
    </w:rPr>
  </w:style>
  <w:style w:type="character" w:customStyle="1" w:styleId="101">
    <w:name w:val="页脚 Char Char"/>
    <w:basedOn w:val="31"/>
    <w:uiPriority w:val="0"/>
    <w:rPr>
      <w:sz w:val="18"/>
      <w:szCs w:val="18"/>
    </w:r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4">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xl79"/>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12">
    <w:name w:val="xl78"/>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113">
    <w:name w:val="xl66"/>
    <w:basedOn w:val="1"/>
    <w:uiPriority w:val="0"/>
    <w:pPr>
      <w:widowControl/>
      <w:spacing w:before="100" w:beforeAutospacing="1" w:after="100" w:afterAutospacing="1"/>
      <w:jc w:val="left"/>
    </w:pPr>
    <w:rPr>
      <w:rFonts w:ascii="宋体" w:hAnsi="宋体" w:cs="宋体"/>
      <w:kern w:val="0"/>
      <w:sz w:val="24"/>
    </w:rPr>
  </w:style>
  <w:style w:type="paragraph" w:customStyle="1" w:styleId="1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6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0">
    <w:name w:val="正文 New"/>
    <w:uiPriority w:val="99"/>
    <w:pPr>
      <w:widowControl w:val="0"/>
    </w:pPr>
    <w:rPr>
      <w:rFonts w:ascii="Calibri" w:hAnsi="Calibri" w:eastAsia="宋体" w:cs="Times New Roman"/>
      <w:kern w:val="2"/>
      <w:sz w:val="21"/>
      <w:szCs w:val="22"/>
      <w:lang w:val="en-US" w:eastAsia="zh-CN" w:bidi="ar-SA"/>
    </w:rPr>
  </w:style>
  <w:style w:type="character" w:customStyle="1" w:styleId="121">
    <w:name w:val="正文文本 Char"/>
    <w:basedOn w:val="31"/>
    <w:link w:val="14"/>
    <w:uiPriority w:val="0"/>
    <w:rPr>
      <w:rFonts w:ascii="Times New Roman" w:hAnsi="Times New Roman" w:eastAsia="宋体" w:cs="Times New Roman"/>
      <w:szCs w:val="24"/>
    </w:rPr>
  </w:style>
  <w:style w:type="paragraph" w:customStyle="1" w:styleId="122">
    <w:name w:val="列出段落2"/>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2308</Words>
  <Characters>13161</Characters>
  <Lines>109</Lines>
  <Paragraphs>30</Paragraphs>
  <TotalTime>0</TotalTime>
  <ScaleCrop>false</ScaleCrop>
  <LinksUpToDate>false</LinksUpToDate>
  <CharactersWithSpaces>15439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2017-11-08T02:13:00Z</dcterms:created>
  <dc:creator>new</dc:creator>
  <cp:lastModifiedBy>许昌市公共资源交易中心:李恒</cp:lastModifiedBy>
  <cp:lastPrinted>2017-11-10T02:48:00Z</cp:lastPrinted>
  <dcterms:modified xsi:type="dcterms:W3CDTF">2017-11-10T06:54:14Z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