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44"/>
          <w:szCs w:val="44"/>
        </w:rPr>
      </w:pPr>
      <w:r>
        <w:rPr>
          <w:rFonts w:hint="eastAsia" w:ascii="宋体" w:hAnsi="宋体" w:eastAsia="宋体" w:cs="宋体"/>
          <w:b/>
          <w:bCs/>
          <w:sz w:val="44"/>
          <w:szCs w:val="44"/>
          <w:lang w:eastAsia="zh-CN"/>
        </w:rPr>
        <w:t>鄢陵县政通投资集团有限公司企业债券发行主承销服务项目（二次）</w:t>
      </w:r>
      <w:r>
        <w:rPr>
          <w:rFonts w:hint="eastAsia" w:ascii="宋体" w:hAnsi="宋体" w:eastAsia="宋体" w:cs="宋体"/>
          <w:b/>
          <w:bCs/>
          <w:sz w:val="44"/>
          <w:szCs w:val="44"/>
        </w:rPr>
        <w:t>服务需求说明</w:t>
      </w:r>
    </w:p>
    <w:p>
      <w:pPr>
        <w:pStyle w:val="2"/>
        <w:spacing w:line="240" w:lineRule="auto"/>
        <w:rPr>
          <w:lang w:val="en-US" w:eastAsia="zh-CN"/>
        </w:rPr>
      </w:pPr>
      <w:r>
        <w:rPr>
          <w:rFonts w:hint="eastAsia"/>
          <w:lang w:val="en-US" w:eastAsia="zh-CN"/>
        </w:rPr>
        <w:t>一、项目需求：</w:t>
      </w:r>
    </w:p>
    <w:p>
      <w:pPr>
        <w:spacing w:line="240" w:lineRule="auto"/>
        <w:rPr>
          <w:lang w:val="en-US" w:eastAsia="zh-CN"/>
        </w:rPr>
      </w:pPr>
      <w:r>
        <w:rPr>
          <w:lang w:val="en-US" w:eastAsia="zh-CN"/>
        </w:rPr>
        <w:t>本项目为“</w:t>
      </w:r>
      <w:r>
        <w:rPr>
          <w:rFonts w:hint="eastAsia"/>
          <w:lang w:val="en-US" w:eastAsia="zh-CN"/>
        </w:rPr>
        <w:t>鄢陵县政通投资集团有限公司企业债券发行主承销服务项目（二次）</w:t>
      </w:r>
      <w:r>
        <w:rPr>
          <w:lang w:val="en-US" w:eastAsia="zh-CN"/>
        </w:rPr>
        <w:t>”，</w:t>
      </w:r>
      <w:r>
        <w:rPr>
          <w:rFonts w:hint="eastAsia"/>
          <w:lang w:val="en-US" w:eastAsia="zh-CN"/>
        </w:rPr>
        <w:t>首期企业债券发行规模10亿元人民币（以最终批复文件为准）</w:t>
      </w:r>
      <w:r>
        <w:rPr>
          <w:lang w:val="en-US" w:eastAsia="zh-CN"/>
        </w:rPr>
        <w:t>为准，</w:t>
      </w:r>
      <w:r>
        <w:rPr>
          <w:rFonts w:hint="eastAsia"/>
          <w:lang w:val="en-US" w:eastAsia="zh-CN"/>
        </w:rPr>
        <w:t>债券期限7年</w:t>
      </w:r>
      <w:r>
        <w:rPr>
          <w:lang w:val="en-US" w:eastAsia="zh-CN"/>
        </w:rPr>
        <w:t>。投标人须对本项目 进行整体报价,不得分拆，且要提供完整的技术和服务资料。</w:t>
      </w:r>
    </w:p>
    <w:p>
      <w:pPr>
        <w:spacing w:line="240" w:lineRule="auto"/>
        <w:rPr>
          <w:lang w:val="en-US" w:eastAsia="zh-CN"/>
        </w:rPr>
      </w:pPr>
      <w:r>
        <w:rPr>
          <w:rFonts w:hint="eastAsia"/>
          <w:lang w:val="en-US" w:eastAsia="zh-CN"/>
        </w:rPr>
        <w:t>时间要求：负责协调组建的</w:t>
      </w:r>
      <w:r>
        <w:rPr>
          <w:lang w:val="en-US" w:eastAsia="zh-CN"/>
        </w:rPr>
        <w:t>中介机构团队的各项工作，</w:t>
      </w:r>
      <w:r>
        <w:rPr>
          <w:rFonts w:hint="eastAsia"/>
          <w:lang w:val="en-US" w:eastAsia="zh-CN"/>
        </w:rPr>
        <w:t>确保国家有关债券发行审批机构于2018年</w:t>
      </w:r>
      <w:r>
        <w:rPr>
          <w:lang w:val="en-US" w:eastAsia="zh-CN"/>
        </w:rPr>
        <w:t>5</w:t>
      </w:r>
      <w:r>
        <w:rPr>
          <w:rFonts w:hint="eastAsia"/>
          <w:lang w:val="en-US" w:eastAsia="zh-CN"/>
        </w:rPr>
        <w:t>月30日前受理发行申请资料，发债时间要求：2018年</w:t>
      </w:r>
      <w:r>
        <w:rPr>
          <w:lang w:val="en-US" w:eastAsia="zh-CN"/>
        </w:rPr>
        <w:t>9</w:t>
      </w:r>
      <w:r>
        <w:rPr>
          <w:rFonts w:hint="eastAsia"/>
          <w:lang w:val="en-US" w:eastAsia="zh-CN"/>
        </w:rPr>
        <w:t>月30日前发债成功</w:t>
      </w:r>
      <w:r>
        <w:rPr>
          <w:lang w:val="en-US" w:eastAsia="zh-CN"/>
        </w:rPr>
        <w:t>。</w:t>
      </w:r>
    </w:p>
    <w:p>
      <w:pPr>
        <w:spacing w:line="240" w:lineRule="auto"/>
        <w:rPr>
          <w:lang w:val="en-US" w:eastAsia="zh-CN"/>
        </w:rPr>
      </w:pPr>
      <w:r>
        <w:rPr>
          <w:rFonts w:hint="eastAsia"/>
          <w:lang w:val="en-US" w:eastAsia="zh-CN"/>
        </w:rPr>
        <w:t>服务标准：主承销投标人中标后所提供的服务以保障本公司顺利发行企业债券为目的，设定融资方案，组织项目工作团队，制作申报材料, 国家有关债券发行审批机构要求达到的标准为提供服务的基本标准,并组建承销团进行市场询价且余额包销。</w:t>
      </w:r>
    </w:p>
    <w:p>
      <w:pPr>
        <w:spacing w:line="240" w:lineRule="auto"/>
        <w:rPr>
          <w:lang w:val="en-US" w:eastAsia="zh-CN"/>
        </w:rPr>
      </w:pPr>
      <w:r>
        <w:rPr>
          <w:rFonts w:hint="eastAsia"/>
          <w:lang w:val="en-US" w:eastAsia="zh-CN"/>
        </w:rPr>
        <w:t>服务范围：包括企业债券发行主承销服务及发行企业债券过程的全部工作内容。包括但不限于：首期企业债券的发行方案编制、报批、后续的发行承销、备案工作及债券本息的代理兑付等相关事宜；负责推荐并组建</w:t>
      </w:r>
      <w:r>
        <w:rPr>
          <w:lang w:val="en-US" w:eastAsia="zh-CN"/>
        </w:rPr>
        <w:t>中介机构团队，</w:t>
      </w:r>
      <w:r>
        <w:rPr>
          <w:rFonts w:hint="eastAsia"/>
          <w:lang w:val="en-US" w:eastAsia="zh-CN"/>
        </w:rPr>
        <w:t>主承销商推荐符合首期企业债发行要求的中介机构（会计师事务所、律师事务所、资产评估机构、信用评级机构、担保公司等）并经招标人认可；其中首期债券发行财务审计服务、律师法律服务、资产评估服务、发债主体及债项评级服务等包含在此次服务范围内。</w:t>
      </w:r>
    </w:p>
    <w:p>
      <w:pPr>
        <w:pStyle w:val="2"/>
        <w:spacing w:line="240" w:lineRule="auto"/>
        <w:rPr>
          <w:lang w:val="en-US" w:eastAsia="zh-CN"/>
        </w:rPr>
      </w:pPr>
      <w:r>
        <w:rPr>
          <w:rFonts w:hint="eastAsia"/>
          <w:lang w:val="en-US" w:eastAsia="zh-CN"/>
        </w:rPr>
        <w:t>二、主承销商职责和义务如下：</w:t>
      </w:r>
    </w:p>
    <w:p>
      <w:pPr>
        <w:spacing w:line="240" w:lineRule="auto"/>
        <w:rPr>
          <w:lang w:val="en-US" w:eastAsia="zh-CN"/>
        </w:rPr>
      </w:pPr>
      <w:r>
        <w:rPr>
          <w:rFonts w:hint="eastAsia"/>
          <w:lang w:val="en-US" w:eastAsia="zh-CN"/>
        </w:rPr>
        <w:t>1、投标人承诺：如中标，负责协助采购人前期资产注入和资产审计等前期工作（投标人出具书面承诺，装订在投标文件中，该承诺有效期为三年）。</w:t>
      </w:r>
    </w:p>
    <w:p>
      <w:pPr>
        <w:spacing w:line="240" w:lineRule="auto"/>
        <w:rPr>
          <w:lang w:val="en-US" w:eastAsia="zh-CN"/>
        </w:rPr>
      </w:pPr>
      <w:r>
        <w:rPr>
          <w:rFonts w:hint="eastAsia"/>
          <w:lang w:val="en-US" w:eastAsia="zh-CN"/>
        </w:rPr>
        <w:t>2、负责发行申请材料的编制，配合企业进行报批，组织承销团，承销发行本次企业债券，并承担承销团所有佣金及相关费用。</w:t>
      </w:r>
    </w:p>
    <w:p>
      <w:pPr>
        <w:spacing w:line="240" w:lineRule="auto"/>
        <w:rPr>
          <w:lang w:val="en-US" w:eastAsia="zh-CN"/>
        </w:rPr>
      </w:pPr>
      <w:r>
        <w:rPr>
          <w:rFonts w:hint="eastAsia"/>
          <w:lang w:val="en-US" w:eastAsia="zh-CN"/>
        </w:rPr>
        <w:t>3、负责协调政府主管部门审批发行事项、债券发行、债券上市推荐和发行后续服务，发行企业债券并承担余额包销责任。</w:t>
      </w:r>
    </w:p>
    <w:p>
      <w:pPr>
        <w:spacing w:line="240" w:lineRule="auto"/>
        <w:rPr>
          <w:lang w:val="en-US" w:eastAsia="zh-CN"/>
        </w:rPr>
      </w:pPr>
      <w:r>
        <w:rPr>
          <w:rFonts w:hint="eastAsia"/>
          <w:lang w:val="en-US" w:eastAsia="zh-CN"/>
        </w:rPr>
        <w:t>4、负责提出切实可行的发行方案，解决企业债券申报、发行过程中发生的各种问题。</w:t>
      </w:r>
    </w:p>
    <w:p>
      <w:pPr>
        <w:spacing w:line="240" w:lineRule="auto"/>
        <w:rPr>
          <w:lang w:val="en-US" w:eastAsia="zh-CN"/>
        </w:rPr>
      </w:pPr>
      <w:r>
        <w:rPr>
          <w:rFonts w:hint="eastAsia"/>
          <w:lang w:val="en-US" w:eastAsia="zh-CN"/>
        </w:rPr>
        <w:t>5、协助配合项目前期资产审计。</w:t>
      </w:r>
    </w:p>
    <w:p>
      <w:pPr>
        <w:spacing w:line="240" w:lineRule="auto"/>
        <w:rPr>
          <w:lang w:val="en-US" w:eastAsia="zh-CN"/>
        </w:rPr>
      </w:pPr>
      <w:r>
        <w:rPr>
          <w:rFonts w:hint="eastAsia"/>
          <w:lang w:val="en-US" w:eastAsia="zh-CN"/>
        </w:rPr>
        <w:t>6、代理发行人兑付本次企业债券本息。</w:t>
      </w:r>
    </w:p>
    <w:p>
      <w:pPr>
        <w:spacing w:line="240" w:lineRule="auto"/>
        <w:rPr>
          <w:lang w:val="en-US" w:eastAsia="zh-CN"/>
        </w:rPr>
      </w:pPr>
      <w:r>
        <w:rPr>
          <w:rFonts w:hint="eastAsia"/>
          <w:lang w:val="en-US" w:eastAsia="zh-CN"/>
        </w:rPr>
        <w:t>7、组建经验丰富、业绩优良的专业项目团队。</w:t>
      </w:r>
    </w:p>
    <w:p>
      <w:pPr>
        <w:spacing w:line="240" w:lineRule="auto"/>
        <w:rPr>
          <w:lang w:val="en-US" w:eastAsia="zh-CN"/>
        </w:rPr>
      </w:pPr>
      <w:r>
        <w:rPr>
          <w:rFonts w:hint="eastAsia"/>
          <w:lang w:val="en-US" w:eastAsia="zh-CN"/>
        </w:rPr>
        <w:t>8、代理或协助本次企业债券持有人依法进行债券交易。</w:t>
      </w:r>
    </w:p>
    <w:p>
      <w:pPr>
        <w:spacing w:line="240" w:lineRule="auto"/>
        <w:rPr>
          <w:lang w:val="en-US" w:eastAsia="zh-CN"/>
        </w:rPr>
      </w:pPr>
      <w:r>
        <w:rPr>
          <w:rFonts w:hint="eastAsia"/>
          <w:lang w:val="en-US" w:eastAsia="zh-CN"/>
        </w:rPr>
        <w:t>9、债券存续期间提供全程全方位的跟踪服务。</w:t>
      </w:r>
    </w:p>
    <w:p>
      <w:pPr>
        <w:spacing w:line="240" w:lineRule="auto"/>
        <w:rPr>
          <w:lang w:val="en-US" w:eastAsia="zh-CN"/>
        </w:rPr>
      </w:pPr>
      <w:r>
        <w:rPr>
          <w:rFonts w:hint="eastAsia"/>
          <w:lang w:val="en-US" w:eastAsia="zh-CN"/>
        </w:rPr>
        <w:t>10、主承销商应当全程跟踪本次企业债券，确保本期企业债券符合《证券法》、《公司法》、《企业债券管理条例》、《国家发展改革委关于推进企业债券市场发展、简化发行核准程序有关事项的通知》等法律法规及有关文件规定的条件和程序。</w:t>
      </w:r>
    </w:p>
    <w:p>
      <w:pPr>
        <w:spacing w:line="240" w:lineRule="auto"/>
        <w:rPr>
          <w:rFonts w:hint="eastAsia"/>
          <w:lang w:val="en-US" w:eastAsia="zh-CN"/>
        </w:rPr>
      </w:pPr>
      <w:r>
        <w:rPr>
          <w:rFonts w:hint="eastAsia"/>
          <w:lang w:val="en-US" w:eastAsia="zh-CN"/>
        </w:rPr>
        <w:t>11、债券发行相关中间服务费由主承销商统筹包干，但与相关中介的合同招标采购方需共同参与，并取得采购方的同意。</w:t>
      </w:r>
    </w:p>
    <w:p>
      <w:pPr>
        <w:pStyle w:val="2"/>
        <w:spacing w:line="240" w:lineRule="auto"/>
      </w:pPr>
      <w:r>
        <w:rPr>
          <w:rFonts w:hint="eastAsia"/>
          <w:lang w:val="en-US" w:eastAsia="zh-CN"/>
        </w:rPr>
        <w:t>三、投标人资格要求（公告中部分内容）</w:t>
      </w:r>
    </w:p>
    <w:p>
      <w:pPr>
        <w:spacing w:line="240" w:lineRule="auto"/>
      </w:pPr>
      <w:r>
        <w:rPr>
          <w:rFonts w:hint="eastAsia"/>
        </w:rPr>
        <w:t>3.1 具有独立承担民事责任的能力（提供营业执照或事业单位法人证书）；</w:t>
      </w:r>
    </w:p>
    <w:p>
      <w:pPr>
        <w:spacing w:line="240" w:lineRule="auto"/>
        <w:rPr>
          <w:rFonts w:hint="eastAsia"/>
        </w:rPr>
      </w:pPr>
      <w:r>
        <w:rPr>
          <w:rFonts w:hint="eastAsia"/>
        </w:rPr>
        <w:t>3.2资质要求：必须符合国家相关部门规定的担任主承销商的执业要求，具备企业债券主承销业务资格、中华人民共和国经营证券业务许可证的证券经营机构，发债相关服务机构符合国家相关部门的资质要求（提供相关资格证明资料）；</w:t>
      </w:r>
    </w:p>
    <w:p>
      <w:pPr>
        <w:spacing w:line="240" w:lineRule="auto"/>
        <w:rPr>
          <w:rFonts w:hint="eastAsia"/>
        </w:rPr>
      </w:pPr>
      <w:r>
        <w:rPr>
          <w:rFonts w:hint="eastAsia"/>
        </w:rPr>
        <w:t>3.3业绩要求：投标人须提供作为主承销商发行企业债券的成功业绩（2014年1月1日至投标截止日，提供国家有关审批机构批复文件或主承销合同）；</w:t>
      </w:r>
    </w:p>
    <w:p>
      <w:pPr>
        <w:spacing w:line="240" w:lineRule="auto"/>
        <w:rPr>
          <w:rFonts w:hint="eastAsia"/>
        </w:rPr>
      </w:pPr>
      <w:r>
        <w:rPr>
          <w:rFonts w:hint="eastAsia"/>
        </w:rPr>
        <w:t>3.4负责人要求：拟派项目负责人需要在投标单位具有作为项目负责人成功发行企业债券的业绩（投标企业出具发行文件中募集说明书相关页面及申报文件中项目负责人签署的承诺书，评标时由评标委员会验证）；</w:t>
      </w:r>
    </w:p>
    <w:p>
      <w:pPr>
        <w:spacing w:line="240" w:lineRule="auto"/>
      </w:pPr>
      <w:r>
        <w:rPr>
          <w:rFonts w:hint="eastAsia"/>
        </w:rPr>
        <w:t>3.5其它信用要求：无不良信用记录 (未列入“信用中国”&lt;www.creditchina.gov.cn&gt;网站的“失信被执行人”和“重大税收违法案件当事人名单”及“中国政府采购网”&lt;www.ccgp.gov.cn&gt;网站的“政府采购严重违法失信行为记录名单”)（提供查询页面截图）；近三年内企业、项目负责人、授权委托人无行贿犯罪记录（提供项目所在地或企业所在地检察院出具有效的《行贿犯罪档案查询结果告知书》）；</w:t>
      </w:r>
    </w:p>
    <w:p>
      <w:pPr>
        <w:spacing w:line="240" w:lineRule="auto"/>
      </w:pPr>
      <w:r>
        <w:rPr>
          <w:rFonts w:hint="eastAsia"/>
        </w:rPr>
        <w:t>3.6其他要求：本次招标不接受联合体投标。</w:t>
      </w:r>
    </w:p>
    <w:p>
      <w:pPr>
        <w:pStyle w:val="2"/>
        <w:spacing w:line="240" w:lineRule="auto"/>
        <w:rPr>
          <w:rFonts w:hint="eastAsia"/>
          <w:lang w:val="en-US" w:eastAsia="zh-CN"/>
        </w:rPr>
      </w:pPr>
      <w:r>
        <w:rPr>
          <w:rFonts w:hint="eastAsia"/>
          <w:lang w:val="en-US" w:eastAsia="zh-CN"/>
        </w:rPr>
        <w:t>四、评标办法（采用综合评估法）</w:t>
      </w:r>
    </w:p>
    <w:p>
      <w:pPr>
        <w:pStyle w:val="3"/>
        <w:spacing w:line="240" w:lineRule="auto"/>
        <w:jc w:val="center"/>
      </w:pPr>
      <w:r>
        <w:rPr>
          <w:rFonts w:hint="eastAsia"/>
        </w:rPr>
        <w:t>初</w:t>
      </w:r>
      <w:r>
        <w:rPr>
          <w:rFonts w:hint="eastAsia"/>
          <w:lang w:val="en-US" w:eastAsia="zh-CN"/>
        </w:rPr>
        <w:t>步</w:t>
      </w:r>
      <w:r>
        <w:rPr>
          <w:rFonts w:hint="eastAsia"/>
        </w:rPr>
        <w:t>评审标准评审表</w:t>
      </w:r>
    </w:p>
    <w:tbl>
      <w:tblPr>
        <w:tblStyle w:val="11"/>
        <w:tblpPr w:leftFromText="180" w:rightFromText="180" w:vertAnchor="text" w:horzAnchor="page" w:tblpX="1290" w:tblpY="318"/>
        <w:tblOverlap w:val="never"/>
        <w:tblW w:w="9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176"/>
        <w:gridCol w:w="1918"/>
        <w:gridCol w:w="5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73" w:type="dxa"/>
            <w:gridSpan w:val="2"/>
            <w:vAlign w:val="center"/>
          </w:tcPr>
          <w:p>
            <w:pPr>
              <w:spacing w:line="240" w:lineRule="auto"/>
              <w:rPr>
                <w:sz w:val="21"/>
                <w:szCs w:val="21"/>
              </w:rPr>
            </w:pPr>
            <w:r>
              <w:rPr>
                <w:rFonts w:hint="eastAsia"/>
                <w:sz w:val="21"/>
                <w:szCs w:val="21"/>
              </w:rPr>
              <w:t>条款号</w:t>
            </w:r>
          </w:p>
        </w:tc>
        <w:tc>
          <w:tcPr>
            <w:tcW w:w="1918" w:type="dxa"/>
            <w:vAlign w:val="center"/>
          </w:tcPr>
          <w:p>
            <w:pPr>
              <w:spacing w:line="240" w:lineRule="auto"/>
              <w:rPr>
                <w:sz w:val="21"/>
                <w:szCs w:val="21"/>
              </w:rPr>
            </w:pPr>
            <w:r>
              <w:rPr>
                <w:rFonts w:hint="eastAsia"/>
                <w:sz w:val="21"/>
                <w:szCs w:val="21"/>
              </w:rPr>
              <w:t>评审因素</w:t>
            </w:r>
          </w:p>
        </w:tc>
        <w:tc>
          <w:tcPr>
            <w:tcW w:w="5717" w:type="dxa"/>
            <w:vAlign w:val="center"/>
          </w:tcPr>
          <w:p>
            <w:pPr>
              <w:spacing w:line="240" w:lineRule="auto"/>
              <w:rPr>
                <w:sz w:val="21"/>
                <w:szCs w:val="21"/>
              </w:rPr>
            </w:pPr>
            <w:r>
              <w:rPr>
                <w:rFonts w:hint="eastAsia"/>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7" w:type="dxa"/>
            <w:vMerge w:val="restart"/>
            <w:vAlign w:val="center"/>
          </w:tcPr>
          <w:p>
            <w:pPr>
              <w:spacing w:line="240" w:lineRule="auto"/>
              <w:rPr>
                <w:sz w:val="21"/>
                <w:szCs w:val="21"/>
              </w:rPr>
            </w:pPr>
            <w:r>
              <w:rPr>
                <w:rFonts w:hint="eastAsia"/>
                <w:sz w:val="21"/>
                <w:szCs w:val="21"/>
              </w:rPr>
              <w:t>2.1.1</w:t>
            </w:r>
          </w:p>
        </w:tc>
        <w:tc>
          <w:tcPr>
            <w:tcW w:w="1176" w:type="dxa"/>
            <w:vMerge w:val="restart"/>
            <w:vAlign w:val="center"/>
          </w:tcPr>
          <w:p>
            <w:pPr>
              <w:spacing w:line="240" w:lineRule="auto"/>
              <w:rPr>
                <w:sz w:val="21"/>
                <w:szCs w:val="21"/>
              </w:rPr>
            </w:pPr>
            <w:r>
              <w:rPr>
                <w:rFonts w:hint="eastAsia"/>
                <w:sz w:val="21"/>
                <w:szCs w:val="21"/>
              </w:rPr>
              <w:t>形式评审标准</w:t>
            </w:r>
          </w:p>
        </w:tc>
        <w:tc>
          <w:tcPr>
            <w:tcW w:w="1918" w:type="dxa"/>
            <w:vAlign w:val="center"/>
          </w:tcPr>
          <w:p>
            <w:pPr>
              <w:spacing w:line="240" w:lineRule="auto"/>
              <w:rPr>
                <w:sz w:val="21"/>
                <w:szCs w:val="21"/>
              </w:rPr>
            </w:pPr>
            <w:r>
              <w:rPr>
                <w:rFonts w:hint="eastAsia"/>
                <w:sz w:val="21"/>
                <w:szCs w:val="21"/>
              </w:rPr>
              <w:t>投标人名称</w:t>
            </w:r>
          </w:p>
        </w:tc>
        <w:tc>
          <w:tcPr>
            <w:tcW w:w="5717" w:type="dxa"/>
            <w:vAlign w:val="center"/>
          </w:tcPr>
          <w:p>
            <w:pPr>
              <w:spacing w:line="240" w:lineRule="auto"/>
              <w:rPr>
                <w:sz w:val="21"/>
                <w:szCs w:val="21"/>
              </w:rPr>
            </w:pPr>
            <w:r>
              <w:rPr>
                <w:rFonts w:hint="eastAsia"/>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7" w:type="dxa"/>
            <w:vMerge w:val="continue"/>
            <w:vAlign w:val="center"/>
          </w:tcPr>
          <w:p>
            <w:pPr>
              <w:spacing w:line="240" w:lineRule="auto"/>
              <w:rPr>
                <w:sz w:val="21"/>
                <w:szCs w:val="21"/>
              </w:rPr>
            </w:pPr>
          </w:p>
        </w:tc>
        <w:tc>
          <w:tcPr>
            <w:tcW w:w="1176" w:type="dxa"/>
            <w:vMerge w:val="continue"/>
            <w:vAlign w:val="center"/>
          </w:tcPr>
          <w:p>
            <w:pPr>
              <w:spacing w:line="240" w:lineRule="auto"/>
              <w:rPr>
                <w:sz w:val="21"/>
                <w:szCs w:val="21"/>
              </w:rPr>
            </w:pPr>
          </w:p>
        </w:tc>
        <w:tc>
          <w:tcPr>
            <w:tcW w:w="1918" w:type="dxa"/>
            <w:vAlign w:val="center"/>
          </w:tcPr>
          <w:p>
            <w:pPr>
              <w:spacing w:line="240" w:lineRule="auto"/>
              <w:rPr>
                <w:sz w:val="21"/>
                <w:szCs w:val="21"/>
              </w:rPr>
            </w:pPr>
            <w:r>
              <w:rPr>
                <w:rFonts w:hint="eastAsia"/>
                <w:sz w:val="21"/>
                <w:szCs w:val="21"/>
              </w:rPr>
              <w:t>投标函签字盖章</w:t>
            </w:r>
          </w:p>
        </w:tc>
        <w:tc>
          <w:tcPr>
            <w:tcW w:w="5717" w:type="dxa"/>
            <w:vAlign w:val="center"/>
          </w:tcPr>
          <w:p>
            <w:pPr>
              <w:spacing w:line="240" w:lineRule="auto"/>
              <w:rPr>
                <w:sz w:val="21"/>
                <w:szCs w:val="21"/>
              </w:rPr>
            </w:pPr>
            <w:r>
              <w:rPr>
                <w:rFonts w:hint="eastAsia"/>
                <w:sz w:val="21"/>
                <w:szCs w:val="21"/>
              </w:rPr>
              <w:t>有法定代表人或其委托代理人签字或盖章并加盖单位公章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7" w:type="dxa"/>
            <w:vMerge w:val="continue"/>
            <w:vAlign w:val="center"/>
          </w:tcPr>
          <w:p>
            <w:pPr>
              <w:spacing w:line="240" w:lineRule="auto"/>
              <w:rPr>
                <w:sz w:val="21"/>
                <w:szCs w:val="21"/>
              </w:rPr>
            </w:pPr>
          </w:p>
        </w:tc>
        <w:tc>
          <w:tcPr>
            <w:tcW w:w="1176" w:type="dxa"/>
            <w:vMerge w:val="continue"/>
            <w:vAlign w:val="center"/>
          </w:tcPr>
          <w:p>
            <w:pPr>
              <w:spacing w:line="240" w:lineRule="auto"/>
              <w:rPr>
                <w:sz w:val="21"/>
                <w:szCs w:val="21"/>
              </w:rPr>
            </w:pPr>
          </w:p>
        </w:tc>
        <w:tc>
          <w:tcPr>
            <w:tcW w:w="1918" w:type="dxa"/>
            <w:vAlign w:val="center"/>
          </w:tcPr>
          <w:p>
            <w:pPr>
              <w:spacing w:line="240" w:lineRule="auto"/>
              <w:rPr>
                <w:sz w:val="21"/>
                <w:szCs w:val="21"/>
              </w:rPr>
            </w:pPr>
            <w:r>
              <w:rPr>
                <w:rFonts w:hint="eastAsia"/>
                <w:sz w:val="21"/>
                <w:szCs w:val="21"/>
              </w:rPr>
              <w:t>投标文件格式</w:t>
            </w:r>
          </w:p>
        </w:tc>
        <w:tc>
          <w:tcPr>
            <w:tcW w:w="5717" w:type="dxa"/>
            <w:vAlign w:val="center"/>
          </w:tcPr>
          <w:p>
            <w:pPr>
              <w:spacing w:line="240" w:lineRule="auto"/>
              <w:rPr>
                <w:sz w:val="21"/>
                <w:szCs w:val="21"/>
              </w:rPr>
            </w:pPr>
            <w:r>
              <w:rPr>
                <w:rFonts w:hint="eastAsia"/>
                <w:sz w:val="21"/>
                <w:szCs w:val="21"/>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7" w:type="dxa"/>
            <w:vMerge w:val="continue"/>
            <w:vAlign w:val="center"/>
          </w:tcPr>
          <w:p>
            <w:pPr>
              <w:spacing w:line="240" w:lineRule="auto"/>
              <w:rPr>
                <w:sz w:val="21"/>
                <w:szCs w:val="21"/>
              </w:rPr>
            </w:pPr>
          </w:p>
        </w:tc>
        <w:tc>
          <w:tcPr>
            <w:tcW w:w="1176" w:type="dxa"/>
            <w:vMerge w:val="continue"/>
            <w:vAlign w:val="center"/>
          </w:tcPr>
          <w:p>
            <w:pPr>
              <w:spacing w:line="240" w:lineRule="auto"/>
              <w:rPr>
                <w:sz w:val="21"/>
                <w:szCs w:val="21"/>
              </w:rPr>
            </w:pPr>
          </w:p>
        </w:tc>
        <w:tc>
          <w:tcPr>
            <w:tcW w:w="1918" w:type="dxa"/>
            <w:vAlign w:val="center"/>
          </w:tcPr>
          <w:p>
            <w:pPr>
              <w:spacing w:line="240" w:lineRule="auto"/>
              <w:rPr>
                <w:sz w:val="21"/>
                <w:szCs w:val="21"/>
              </w:rPr>
            </w:pPr>
            <w:r>
              <w:rPr>
                <w:rFonts w:hint="eastAsia"/>
                <w:sz w:val="21"/>
                <w:szCs w:val="21"/>
              </w:rPr>
              <w:t>报价唯一</w:t>
            </w:r>
          </w:p>
        </w:tc>
        <w:tc>
          <w:tcPr>
            <w:tcW w:w="5717" w:type="dxa"/>
            <w:vAlign w:val="center"/>
          </w:tcPr>
          <w:p>
            <w:pPr>
              <w:spacing w:line="240" w:lineRule="auto"/>
              <w:rPr>
                <w:sz w:val="21"/>
                <w:szCs w:val="21"/>
              </w:rPr>
            </w:pPr>
            <w:r>
              <w:rPr>
                <w:rFonts w:hint="eastAsia"/>
                <w:sz w:val="21"/>
                <w:szCs w:val="21"/>
              </w:rPr>
              <w:t>只有一个有效报价(承销服务、中介服务费各报一个价格)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7" w:type="dxa"/>
            <w:vMerge w:val="restart"/>
            <w:vAlign w:val="center"/>
          </w:tcPr>
          <w:p>
            <w:pPr>
              <w:spacing w:line="240" w:lineRule="auto"/>
              <w:rPr>
                <w:sz w:val="21"/>
                <w:szCs w:val="21"/>
              </w:rPr>
            </w:pPr>
            <w:r>
              <w:rPr>
                <w:rFonts w:hint="eastAsia"/>
                <w:sz w:val="21"/>
                <w:szCs w:val="21"/>
              </w:rPr>
              <w:t>2.1.2</w:t>
            </w:r>
          </w:p>
        </w:tc>
        <w:tc>
          <w:tcPr>
            <w:tcW w:w="1176" w:type="dxa"/>
            <w:vMerge w:val="restart"/>
            <w:vAlign w:val="center"/>
          </w:tcPr>
          <w:p>
            <w:pPr>
              <w:spacing w:line="240" w:lineRule="auto"/>
              <w:rPr>
                <w:sz w:val="21"/>
                <w:szCs w:val="21"/>
              </w:rPr>
            </w:pPr>
            <w:r>
              <w:rPr>
                <w:rFonts w:hint="eastAsia"/>
                <w:sz w:val="21"/>
                <w:szCs w:val="21"/>
              </w:rPr>
              <w:t>资格评审标准</w:t>
            </w:r>
          </w:p>
        </w:tc>
        <w:tc>
          <w:tcPr>
            <w:tcW w:w="1918" w:type="dxa"/>
            <w:vAlign w:val="center"/>
          </w:tcPr>
          <w:p>
            <w:pPr>
              <w:spacing w:line="240" w:lineRule="auto"/>
              <w:rPr>
                <w:sz w:val="21"/>
                <w:szCs w:val="21"/>
              </w:rPr>
            </w:pPr>
            <w:r>
              <w:rPr>
                <w:rFonts w:hint="eastAsia"/>
                <w:sz w:val="21"/>
                <w:szCs w:val="21"/>
              </w:rPr>
              <w:t>营业执照</w:t>
            </w:r>
          </w:p>
        </w:tc>
        <w:tc>
          <w:tcPr>
            <w:tcW w:w="5717" w:type="dxa"/>
            <w:vAlign w:val="center"/>
          </w:tcPr>
          <w:p>
            <w:pPr>
              <w:spacing w:line="240" w:lineRule="auto"/>
              <w:rPr>
                <w:sz w:val="21"/>
                <w:szCs w:val="21"/>
              </w:rPr>
            </w:pPr>
            <w:r>
              <w:rPr>
                <w:rFonts w:hint="eastAsia"/>
                <w:sz w:val="21"/>
                <w:szCs w:val="21"/>
                <w:lang w:eastAsia="zh-CN"/>
              </w:rPr>
              <w:t>（</w:t>
            </w:r>
            <w:r>
              <w:rPr>
                <w:rFonts w:hint="eastAsia"/>
                <w:sz w:val="21"/>
                <w:szCs w:val="21"/>
                <w:lang w:val="en-US" w:eastAsia="zh-CN"/>
              </w:rPr>
              <w:t>见附：</w:t>
            </w:r>
            <w:r>
              <w:rPr>
                <w:rFonts w:hint="eastAsia"/>
                <w:sz w:val="21"/>
                <w:szCs w:val="21"/>
              </w:rPr>
              <w:t>投标人资格要求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7" w:type="dxa"/>
            <w:vMerge w:val="continue"/>
            <w:vAlign w:val="center"/>
          </w:tcPr>
          <w:p>
            <w:pPr>
              <w:spacing w:line="240" w:lineRule="auto"/>
              <w:rPr>
                <w:sz w:val="21"/>
                <w:szCs w:val="21"/>
              </w:rPr>
            </w:pPr>
          </w:p>
        </w:tc>
        <w:tc>
          <w:tcPr>
            <w:tcW w:w="1176" w:type="dxa"/>
            <w:vMerge w:val="continue"/>
            <w:vAlign w:val="center"/>
          </w:tcPr>
          <w:p>
            <w:pPr>
              <w:spacing w:line="240" w:lineRule="auto"/>
              <w:rPr>
                <w:sz w:val="21"/>
                <w:szCs w:val="21"/>
              </w:rPr>
            </w:pPr>
          </w:p>
        </w:tc>
        <w:tc>
          <w:tcPr>
            <w:tcW w:w="1918" w:type="dxa"/>
            <w:vAlign w:val="center"/>
          </w:tcPr>
          <w:p>
            <w:pPr>
              <w:spacing w:line="240" w:lineRule="auto"/>
              <w:rPr>
                <w:sz w:val="21"/>
                <w:szCs w:val="21"/>
              </w:rPr>
            </w:pPr>
            <w:r>
              <w:rPr>
                <w:rFonts w:hint="eastAsia"/>
                <w:sz w:val="21"/>
                <w:szCs w:val="21"/>
              </w:rPr>
              <w:t>资质等级</w:t>
            </w:r>
          </w:p>
        </w:tc>
        <w:tc>
          <w:tcPr>
            <w:tcW w:w="5717" w:type="dxa"/>
            <w:vAlign w:val="center"/>
          </w:tcPr>
          <w:p>
            <w:pPr>
              <w:spacing w:line="240" w:lineRule="auto"/>
              <w:rPr>
                <w:sz w:val="21"/>
                <w:szCs w:val="21"/>
              </w:rPr>
            </w:pPr>
            <w:r>
              <w:rPr>
                <w:rFonts w:hint="eastAsia"/>
                <w:sz w:val="21"/>
                <w:szCs w:val="21"/>
              </w:rPr>
              <w:t>符合第一章“招标公告”第3.2项规定</w:t>
            </w:r>
            <w:r>
              <w:rPr>
                <w:rFonts w:hint="eastAsia"/>
                <w:sz w:val="21"/>
                <w:szCs w:val="21"/>
                <w:lang w:eastAsia="zh-CN"/>
              </w:rPr>
              <w:t>（</w:t>
            </w:r>
            <w:r>
              <w:rPr>
                <w:rFonts w:hint="eastAsia"/>
                <w:sz w:val="21"/>
                <w:szCs w:val="21"/>
                <w:lang w:val="en-US" w:eastAsia="zh-CN"/>
              </w:rPr>
              <w:t>见附：</w:t>
            </w:r>
            <w:r>
              <w:rPr>
                <w:rFonts w:hint="eastAsia"/>
                <w:sz w:val="21"/>
                <w:szCs w:val="21"/>
              </w:rPr>
              <w:t>投标人资格要求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7" w:type="dxa"/>
            <w:vMerge w:val="continue"/>
            <w:vAlign w:val="center"/>
          </w:tcPr>
          <w:p>
            <w:pPr>
              <w:spacing w:line="240" w:lineRule="auto"/>
              <w:rPr>
                <w:sz w:val="21"/>
                <w:szCs w:val="21"/>
              </w:rPr>
            </w:pPr>
          </w:p>
        </w:tc>
        <w:tc>
          <w:tcPr>
            <w:tcW w:w="1176" w:type="dxa"/>
            <w:vMerge w:val="continue"/>
            <w:vAlign w:val="center"/>
          </w:tcPr>
          <w:p>
            <w:pPr>
              <w:spacing w:line="240" w:lineRule="auto"/>
              <w:rPr>
                <w:sz w:val="21"/>
                <w:szCs w:val="21"/>
              </w:rPr>
            </w:pPr>
          </w:p>
        </w:tc>
        <w:tc>
          <w:tcPr>
            <w:tcW w:w="1918" w:type="dxa"/>
            <w:vAlign w:val="center"/>
          </w:tcPr>
          <w:p>
            <w:pPr>
              <w:spacing w:line="240" w:lineRule="auto"/>
              <w:rPr>
                <w:sz w:val="21"/>
                <w:szCs w:val="21"/>
              </w:rPr>
            </w:pPr>
            <w:r>
              <w:rPr>
                <w:rFonts w:hint="eastAsia"/>
                <w:sz w:val="21"/>
                <w:szCs w:val="21"/>
              </w:rPr>
              <w:t>业绩要求</w:t>
            </w:r>
          </w:p>
        </w:tc>
        <w:tc>
          <w:tcPr>
            <w:tcW w:w="5717" w:type="dxa"/>
            <w:vAlign w:val="center"/>
          </w:tcPr>
          <w:p>
            <w:pPr>
              <w:spacing w:line="240" w:lineRule="auto"/>
              <w:rPr>
                <w:sz w:val="21"/>
                <w:szCs w:val="21"/>
              </w:rPr>
            </w:pPr>
            <w:r>
              <w:rPr>
                <w:rFonts w:hint="eastAsia"/>
                <w:sz w:val="21"/>
                <w:szCs w:val="21"/>
              </w:rPr>
              <w:t>符合第一章“招标公告”第3.3项规定</w:t>
            </w:r>
            <w:r>
              <w:rPr>
                <w:rFonts w:hint="eastAsia"/>
                <w:sz w:val="21"/>
                <w:szCs w:val="21"/>
                <w:lang w:eastAsia="zh-CN"/>
              </w:rPr>
              <w:t>（</w:t>
            </w:r>
            <w:r>
              <w:rPr>
                <w:rFonts w:hint="eastAsia"/>
                <w:sz w:val="21"/>
                <w:szCs w:val="21"/>
                <w:lang w:val="en-US" w:eastAsia="zh-CN"/>
              </w:rPr>
              <w:t>见附：</w:t>
            </w:r>
            <w:r>
              <w:rPr>
                <w:rFonts w:hint="eastAsia"/>
                <w:sz w:val="21"/>
                <w:szCs w:val="21"/>
              </w:rPr>
              <w:t>投标人资格要求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7" w:type="dxa"/>
            <w:vMerge w:val="continue"/>
            <w:vAlign w:val="center"/>
          </w:tcPr>
          <w:p>
            <w:pPr>
              <w:spacing w:line="240" w:lineRule="auto"/>
              <w:rPr>
                <w:sz w:val="21"/>
                <w:szCs w:val="21"/>
              </w:rPr>
            </w:pPr>
          </w:p>
        </w:tc>
        <w:tc>
          <w:tcPr>
            <w:tcW w:w="1176" w:type="dxa"/>
            <w:vMerge w:val="continue"/>
            <w:vAlign w:val="center"/>
          </w:tcPr>
          <w:p>
            <w:pPr>
              <w:spacing w:line="240" w:lineRule="auto"/>
              <w:rPr>
                <w:sz w:val="21"/>
                <w:szCs w:val="21"/>
              </w:rPr>
            </w:pPr>
          </w:p>
        </w:tc>
        <w:tc>
          <w:tcPr>
            <w:tcW w:w="1918" w:type="dxa"/>
            <w:vAlign w:val="center"/>
          </w:tcPr>
          <w:p>
            <w:pPr>
              <w:spacing w:line="240" w:lineRule="auto"/>
              <w:rPr>
                <w:sz w:val="21"/>
                <w:szCs w:val="21"/>
              </w:rPr>
            </w:pPr>
            <w:r>
              <w:rPr>
                <w:rFonts w:hint="eastAsia"/>
                <w:sz w:val="21"/>
                <w:szCs w:val="21"/>
              </w:rPr>
              <w:t>负责人要求</w:t>
            </w:r>
          </w:p>
        </w:tc>
        <w:tc>
          <w:tcPr>
            <w:tcW w:w="5717" w:type="dxa"/>
            <w:vAlign w:val="center"/>
          </w:tcPr>
          <w:p>
            <w:pPr>
              <w:spacing w:line="240" w:lineRule="auto"/>
              <w:rPr>
                <w:sz w:val="21"/>
                <w:szCs w:val="21"/>
              </w:rPr>
            </w:pPr>
            <w:r>
              <w:rPr>
                <w:rFonts w:hint="eastAsia"/>
                <w:sz w:val="21"/>
                <w:szCs w:val="21"/>
              </w:rPr>
              <w:t>符合第一章“招标公告”第3.4项规定</w:t>
            </w:r>
            <w:r>
              <w:rPr>
                <w:rFonts w:hint="eastAsia"/>
                <w:sz w:val="21"/>
                <w:szCs w:val="21"/>
                <w:lang w:eastAsia="zh-CN"/>
              </w:rPr>
              <w:t>（</w:t>
            </w:r>
            <w:r>
              <w:rPr>
                <w:rFonts w:hint="eastAsia"/>
                <w:sz w:val="21"/>
                <w:szCs w:val="21"/>
                <w:lang w:val="en-US" w:eastAsia="zh-CN"/>
              </w:rPr>
              <w:t>见附：</w:t>
            </w:r>
            <w:r>
              <w:rPr>
                <w:rFonts w:hint="eastAsia"/>
                <w:sz w:val="21"/>
                <w:szCs w:val="21"/>
              </w:rPr>
              <w:t>投标人资格要求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7" w:type="dxa"/>
            <w:vMerge w:val="continue"/>
            <w:vAlign w:val="center"/>
          </w:tcPr>
          <w:p>
            <w:pPr>
              <w:spacing w:line="240" w:lineRule="auto"/>
              <w:rPr>
                <w:sz w:val="21"/>
                <w:szCs w:val="21"/>
              </w:rPr>
            </w:pPr>
          </w:p>
        </w:tc>
        <w:tc>
          <w:tcPr>
            <w:tcW w:w="1176" w:type="dxa"/>
            <w:vMerge w:val="continue"/>
            <w:vAlign w:val="center"/>
          </w:tcPr>
          <w:p>
            <w:pPr>
              <w:spacing w:line="240" w:lineRule="auto"/>
              <w:rPr>
                <w:sz w:val="21"/>
                <w:szCs w:val="21"/>
              </w:rPr>
            </w:pPr>
          </w:p>
        </w:tc>
        <w:tc>
          <w:tcPr>
            <w:tcW w:w="1918" w:type="dxa"/>
            <w:vAlign w:val="center"/>
          </w:tcPr>
          <w:p>
            <w:pPr>
              <w:spacing w:line="240" w:lineRule="auto"/>
              <w:rPr>
                <w:sz w:val="21"/>
                <w:szCs w:val="21"/>
              </w:rPr>
            </w:pPr>
            <w:r>
              <w:rPr>
                <w:rFonts w:hint="eastAsia"/>
                <w:sz w:val="21"/>
                <w:szCs w:val="21"/>
              </w:rPr>
              <w:t>其它信用要求</w:t>
            </w:r>
          </w:p>
        </w:tc>
        <w:tc>
          <w:tcPr>
            <w:tcW w:w="5717" w:type="dxa"/>
            <w:vAlign w:val="center"/>
          </w:tcPr>
          <w:p>
            <w:pPr>
              <w:spacing w:line="240" w:lineRule="auto"/>
              <w:rPr>
                <w:sz w:val="21"/>
                <w:szCs w:val="21"/>
              </w:rPr>
            </w:pPr>
            <w:r>
              <w:rPr>
                <w:rFonts w:hint="eastAsia"/>
                <w:sz w:val="21"/>
                <w:szCs w:val="21"/>
              </w:rPr>
              <w:t>符合第一章“招标公告”第3.5项规定</w:t>
            </w:r>
            <w:r>
              <w:rPr>
                <w:rFonts w:hint="eastAsia"/>
                <w:sz w:val="21"/>
                <w:szCs w:val="21"/>
                <w:lang w:eastAsia="zh-CN"/>
              </w:rPr>
              <w:t>（</w:t>
            </w:r>
            <w:r>
              <w:rPr>
                <w:rFonts w:hint="eastAsia"/>
                <w:sz w:val="21"/>
                <w:szCs w:val="21"/>
                <w:lang w:val="en-US" w:eastAsia="zh-CN"/>
              </w:rPr>
              <w:t>见附：</w:t>
            </w:r>
            <w:r>
              <w:rPr>
                <w:rFonts w:hint="eastAsia"/>
                <w:sz w:val="21"/>
                <w:szCs w:val="21"/>
              </w:rPr>
              <w:t>投标人资格要求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7" w:type="dxa"/>
            <w:vMerge w:val="continue"/>
            <w:vAlign w:val="center"/>
          </w:tcPr>
          <w:p>
            <w:pPr>
              <w:spacing w:line="240" w:lineRule="auto"/>
              <w:rPr>
                <w:sz w:val="21"/>
                <w:szCs w:val="21"/>
              </w:rPr>
            </w:pPr>
          </w:p>
        </w:tc>
        <w:tc>
          <w:tcPr>
            <w:tcW w:w="1176" w:type="dxa"/>
            <w:vMerge w:val="continue"/>
            <w:vAlign w:val="center"/>
          </w:tcPr>
          <w:p>
            <w:pPr>
              <w:spacing w:line="240" w:lineRule="auto"/>
              <w:rPr>
                <w:sz w:val="21"/>
                <w:szCs w:val="21"/>
              </w:rPr>
            </w:pPr>
          </w:p>
        </w:tc>
        <w:tc>
          <w:tcPr>
            <w:tcW w:w="1918" w:type="dxa"/>
            <w:vAlign w:val="center"/>
          </w:tcPr>
          <w:p>
            <w:pPr>
              <w:spacing w:line="240" w:lineRule="auto"/>
              <w:rPr>
                <w:sz w:val="21"/>
                <w:szCs w:val="21"/>
              </w:rPr>
            </w:pPr>
            <w:r>
              <w:rPr>
                <w:rFonts w:hint="eastAsia"/>
                <w:sz w:val="21"/>
                <w:szCs w:val="21"/>
              </w:rPr>
              <w:t>其他要求</w:t>
            </w:r>
          </w:p>
        </w:tc>
        <w:tc>
          <w:tcPr>
            <w:tcW w:w="5717" w:type="dxa"/>
            <w:vAlign w:val="center"/>
          </w:tcPr>
          <w:p>
            <w:pPr>
              <w:spacing w:line="240" w:lineRule="auto"/>
              <w:rPr>
                <w:sz w:val="21"/>
                <w:szCs w:val="21"/>
              </w:rPr>
            </w:pPr>
            <w:r>
              <w:rPr>
                <w:rFonts w:hint="eastAsia"/>
                <w:sz w:val="21"/>
                <w:szCs w:val="21"/>
              </w:rPr>
              <w:t>符合第一章“招标公告”第3.6项规定</w:t>
            </w:r>
            <w:r>
              <w:rPr>
                <w:rFonts w:hint="eastAsia"/>
                <w:sz w:val="21"/>
                <w:szCs w:val="21"/>
                <w:lang w:eastAsia="zh-CN"/>
              </w:rPr>
              <w:t>（</w:t>
            </w:r>
            <w:r>
              <w:rPr>
                <w:rFonts w:hint="eastAsia"/>
                <w:sz w:val="21"/>
                <w:szCs w:val="21"/>
                <w:lang w:val="en-US" w:eastAsia="zh-CN"/>
              </w:rPr>
              <w:t>见附：</w:t>
            </w:r>
            <w:r>
              <w:rPr>
                <w:rFonts w:hint="eastAsia"/>
                <w:sz w:val="21"/>
                <w:szCs w:val="21"/>
              </w:rPr>
              <w:t>投标人资格要求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7" w:type="dxa"/>
            <w:vMerge w:val="restart"/>
            <w:vAlign w:val="center"/>
          </w:tcPr>
          <w:p>
            <w:pPr>
              <w:spacing w:line="240" w:lineRule="auto"/>
              <w:rPr>
                <w:sz w:val="21"/>
                <w:szCs w:val="21"/>
              </w:rPr>
            </w:pPr>
            <w:r>
              <w:rPr>
                <w:rFonts w:hint="eastAsia"/>
                <w:sz w:val="21"/>
                <w:szCs w:val="21"/>
              </w:rPr>
              <w:t>2.1.3</w:t>
            </w:r>
          </w:p>
        </w:tc>
        <w:tc>
          <w:tcPr>
            <w:tcW w:w="1176" w:type="dxa"/>
            <w:vMerge w:val="restart"/>
            <w:vAlign w:val="center"/>
          </w:tcPr>
          <w:p>
            <w:pPr>
              <w:spacing w:line="240" w:lineRule="auto"/>
              <w:rPr>
                <w:sz w:val="21"/>
                <w:szCs w:val="21"/>
              </w:rPr>
            </w:pPr>
            <w:r>
              <w:rPr>
                <w:rFonts w:hint="eastAsia"/>
                <w:sz w:val="21"/>
                <w:szCs w:val="21"/>
              </w:rPr>
              <w:t>响应性评审标准</w:t>
            </w:r>
          </w:p>
        </w:tc>
        <w:tc>
          <w:tcPr>
            <w:tcW w:w="1918" w:type="dxa"/>
            <w:vAlign w:val="center"/>
          </w:tcPr>
          <w:p>
            <w:pPr>
              <w:spacing w:line="240" w:lineRule="auto"/>
              <w:rPr>
                <w:sz w:val="21"/>
                <w:szCs w:val="21"/>
              </w:rPr>
            </w:pPr>
            <w:r>
              <w:rPr>
                <w:rFonts w:hint="eastAsia"/>
                <w:sz w:val="21"/>
                <w:szCs w:val="21"/>
              </w:rPr>
              <w:t>投标范围</w:t>
            </w:r>
          </w:p>
        </w:tc>
        <w:tc>
          <w:tcPr>
            <w:tcW w:w="5717" w:type="dxa"/>
            <w:vAlign w:val="center"/>
          </w:tcPr>
          <w:p>
            <w:pPr>
              <w:spacing w:line="240" w:lineRule="auto"/>
              <w:rPr>
                <w:sz w:val="21"/>
                <w:szCs w:val="21"/>
              </w:rPr>
            </w:pPr>
            <w:r>
              <w:rPr>
                <w:rFonts w:hint="eastAsia"/>
                <w:sz w:val="21"/>
                <w:szCs w:val="21"/>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7" w:type="dxa"/>
            <w:vMerge w:val="continue"/>
            <w:vAlign w:val="center"/>
          </w:tcPr>
          <w:p>
            <w:pPr>
              <w:spacing w:line="240" w:lineRule="auto"/>
              <w:rPr>
                <w:sz w:val="21"/>
                <w:szCs w:val="21"/>
              </w:rPr>
            </w:pPr>
          </w:p>
        </w:tc>
        <w:tc>
          <w:tcPr>
            <w:tcW w:w="1176" w:type="dxa"/>
            <w:vMerge w:val="continue"/>
            <w:vAlign w:val="center"/>
          </w:tcPr>
          <w:p>
            <w:pPr>
              <w:spacing w:line="240" w:lineRule="auto"/>
              <w:rPr>
                <w:sz w:val="21"/>
                <w:szCs w:val="21"/>
              </w:rPr>
            </w:pPr>
          </w:p>
        </w:tc>
        <w:tc>
          <w:tcPr>
            <w:tcW w:w="1918" w:type="dxa"/>
            <w:vAlign w:val="center"/>
          </w:tcPr>
          <w:p>
            <w:pPr>
              <w:spacing w:line="240" w:lineRule="auto"/>
              <w:rPr>
                <w:sz w:val="21"/>
                <w:szCs w:val="21"/>
              </w:rPr>
            </w:pPr>
            <w:r>
              <w:rPr>
                <w:rFonts w:hint="eastAsia"/>
                <w:sz w:val="21"/>
                <w:szCs w:val="21"/>
              </w:rPr>
              <w:t>时间节点</w:t>
            </w:r>
          </w:p>
        </w:tc>
        <w:tc>
          <w:tcPr>
            <w:tcW w:w="5717" w:type="dxa"/>
            <w:vAlign w:val="center"/>
          </w:tcPr>
          <w:p>
            <w:pPr>
              <w:spacing w:line="240" w:lineRule="auto"/>
              <w:rPr>
                <w:sz w:val="21"/>
                <w:szCs w:val="21"/>
              </w:rPr>
            </w:pPr>
            <w:r>
              <w:rPr>
                <w:rFonts w:hint="eastAsia"/>
                <w:sz w:val="21"/>
                <w:szCs w:val="21"/>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7" w:type="dxa"/>
            <w:vMerge w:val="continue"/>
            <w:vAlign w:val="center"/>
          </w:tcPr>
          <w:p>
            <w:pPr>
              <w:spacing w:line="240" w:lineRule="auto"/>
              <w:rPr>
                <w:sz w:val="21"/>
                <w:szCs w:val="21"/>
              </w:rPr>
            </w:pPr>
          </w:p>
        </w:tc>
        <w:tc>
          <w:tcPr>
            <w:tcW w:w="1176" w:type="dxa"/>
            <w:vMerge w:val="continue"/>
            <w:vAlign w:val="center"/>
          </w:tcPr>
          <w:p>
            <w:pPr>
              <w:spacing w:line="240" w:lineRule="auto"/>
              <w:rPr>
                <w:sz w:val="21"/>
                <w:szCs w:val="21"/>
              </w:rPr>
            </w:pPr>
          </w:p>
        </w:tc>
        <w:tc>
          <w:tcPr>
            <w:tcW w:w="1918" w:type="dxa"/>
            <w:vAlign w:val="center"/>
          </w:tcPr>
          <w:p>
            <w:pPr>
              <w:spacing w:line="240" w:lineRule="auto"/>
              <w:rPr>
                <w:sz w:val="21"/>
                <w:szCs w:val="21"/>
              </w:rPr>
            </w:pPr>
            <w:r>
              <w:rPr>
                <w:rFonts w:hint="eastAsia"/>
                <w:sz w:val="21"/>
                <w:szCs w:val="21"/>
              </w:rPr>
              <w:t>投标有效期</w:t>
            </w:r>
          </w:p>
        </w:tc>
        <w:tc>
          <w:tcPr>
            <w:tcW w:w="5717" w:type="dxa"/>
            <w:vAlign w:val="center"/>
          </w:tcPr>
          <w:p>
            <w:pPr>
              <w:spacing w:line="240" w:lineRule="auto"/>
              <w:rPr>
                <w:sz w:val="21"/>
                <w:szCs w:val="21"/>
              </w:rPr>
            </w:pPr>
            <w:r>
              <w:rPr>
                <w:rFonts w:hint="eastAsia"/>
                <w:sz w:val="21"/>
                <w:szCs w:val="21"/>
              </w:rPr>
              <w:t>符合第二章“投标人须知”第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7" w:type="dxa"/>
            <w:vMerge w:val="continue"/>
            <w:vAlign w:val="center"/>
          </w:tcPr>
          <w:p>
            <w:pPr>
              <w:spacing w:line="240" w:lineRule="auto"/>
              <w:rPr>
                <w:sz w:val="21"/>
                <w:szCs w:val="21"/>
              </w:rPr>
            </w:pPr>
          </w:p>
        </w:tc>
        <w:tc>
          <w:tcPr>
            <w:tcW w:w="1176" w:type="dxa"/>
            <w:vMerge w:val="continue"/>
            <w:vAlign w:val="center"/>
          </w:tcPr>
          <w:p>
            <w:pPr>
              <w:spacing w:line="240" w:lineRule="auto"/>
              <w:rPr>
                <w:sz w:val="21"/>
                <w:szCs w:val="21"/>
              </w:rPr>
            </w:pPr>
          </w:p>
        </w:tc>
        <w:tc>
          <w:tcPr>
            <w:tcW w:w="1918" w:type="dxa"/>
            <w:vAlign w:val="center"/>
          </w:tcPr>
          <w:p>
            <w:pPr>
              <w:spacing w:line="240" w:lineRule="auto"/>
              <w:rPr>
                <w:sz w:val="21"/>
                <w:szCs w:val="21"/>
              </w:rPr>
            </w:pPr>
            <w:r>
              <w:rPr>
                <w:rFonts w:hint="eastAsia"/>
                <w:sz w:val="21"/>
                <w:szCs w:val="21"/>
              </w:rPr>
              <w:t>保证金</w:t>
            </w:r>
          </w:p>
        </w:tc>
        <w:tc>
          <w:tcPr>
            <w:tcW w:w="5717" w:type="dxa"/>
            <w:vAlign w:val="center"/>
          </w:tcPr>
          <w:p>
            <w:pPr>
              <w:spacing w:line="240" w:lineRule="auto"/>
              <w:rPr>
                <w:sz w:val="21"/>
                <w:szCs w:val="21"/>
              </w:rPr>
            </w:pPr>
            <w:r>
              <w:rPr>
                <w:rFonts w:hint="eastAsia"/>
                <w:sz w:val="21"/>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7" w:type="dxa"/>
            <w:vMerge w:val="continue"/>
            <w:vAlign w:val="center"/>
          </w:tcPr>
          <w:p>
            <w:pPr>
              <w:spacing w:line="240" w:lineRule="auto"/>
              <w:rPr>
                <w:sz w:val="21"/>
                <w:szCs w:val="21"/>
              </w:rPr>
            </w:pPr>
          </w:p>
        </w:tc>
        <w:tc>
          <w:tcPr>
            <w:tcW w:w="1176" w:type="dxa"/>
            <w:vMerge w:val="continue"/>
            <w:vAlign w:val="center"/>
          </w:tcPr>
          <w:p>
            <w:pPr>
              <w:spacing w:line="240" w:lineRule="auto"/>
              <w:rPr>
                <w:sz w:val="21"/>
                <w:szCs w:val="21"/>
              </w:rPr>
            </w:pPr>
          </w:p>
        </w:tc>
        <w:tc>
          <w:tcPr>
            <w:tcW w:w="1918" w:type="dxa"/>
            <w:vAlign w:val="center"/>
          </w:tcPr>
          <w:p>
            <w:pPr>
              <w:spacing w:line="240" w:lineRule="auto"/>
              <w:rPr>
                <w:sz w:val="21"/>
                <w:szCs w:val="21"/>
              </w:rPr>
            </w:pPr>
            <w:r>
              <w:rPr>
                <w:rFonts w:hint="eastAsia"/>
                <w:sz w:val="21"/>
                <w:szCs w:val="21"/>
              </w:rPr>
              <w:t>合同条款响应</w:t>
            </w:r>
          </w:p>
        </w:tc>
        <w:tc>
          <w:tcPr>
            <w:tcW w:w="5717" w:type="dxa"/>
            <w:vAlign w:val="center"/>
          </w:tcPr>
          <w:p>
            <w:pPr>
              <w:spacing w:line="240" w:lineRule="auto"/>
              <w:rPr>
                <w:sz w:val="21"/>
                <w:szCs w:val="21"/>
              </w:rPr>
            </w:pPr>
            <w:r>
              <w:rPr>
                <w:rFonts w:hint="eastAsia"/>
                <w:sz w:val="21"/>
                <w:szCs w:val="21"/>
              </w:rPr>
              <w:t>符合第四章“合同条款及格式”的相关规定</w:t>
            </w:r>
          </w:p>
        </w:tc>
      </w:tr>
    </w:tbl>
    <w:p>
      <w:pPr>
        <w:pStyle w:val="3"/>
        <w:spacing w:line="240" w:lineRule="auto"/>
        <w:jc w:val="center"/>
      </w:pPr>
      <w:r>
        <w:t>详细评审评分表</w:t>
      </w:r>
    </w:p>
    <w:tbl>
      <w:tblPr>
        <w:tblStyle w:val="11"/>
        <w:tblpPr w:leftFromText="180" w:rightFromText="180" w:vertAnchor="text" w:horzAnchor="page" w:tblpX="1065" w:tblpY="469"/>
        <w:tblOverlap w:val="never"/>
        <w:tblW w:w="9685" w:type="dxa"/>
        <w:tblInd w:w="0" w:type="dxa"/>
        <w:tblLayout w:type="fixed"/>
        <w:tblCellMar>
          <w:top w:w="0" w:type="dxa"/>
          <w:left w:w="108" w:type="dxa"/>
          <w:bottom w:w="0" w:type="dxa"/>
          <w:right w:w="108" w:type="dxa"/>
        </w:tblCellMar>
      </w:tblPr>
      <w:tblGrid>
        <w:gridCol w:w="1180"/>
        <w:gridCol w:w="2126"/>
        <w:gridCol w:w="6379"/>
      </w:tblGrid>
      <w:tr>
        <w:tblPrEx>
          <w:tblLayout w:type="fixed"/>
          <w:tblCellMar>
            <w:top w:w="0" w:type="dxa"/>
            <w:left w:w="108" w:type="dxa"/>
            <w:bottom w:w="0" w:type="dxa"/>
            <w:right w:w="108" w:type="dxa"/>
          </w:tblCellMar>
        </w:tblPrEx>
        <w:trPr>
          <w:trHeight w:val="490" w:hRule="atLeast"/>
        </w:trPr>
        <w:tc>
          <w:tcPr>
            <w:tcW w:w="1180"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评分要素</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评分项目</w:t>
            </w:r>
          </w:p>
        </w:tc>
        <w:tc>
          <w:tcPr>
            <w:tcW w:w="6379"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评分标准</w:t>
            </w:r>
          </w:p>
        </w:tc>
      </w:tr>
      <w:tr>
        <w:tblPrEx>
          <w:tblLayout w:type="fixed"/>
          <w:tblCellMar>
            <w:top w:w="0" w:type="dxa"/>
            <w:left w:w="108" w:type="dxa"/>
            <w:bottom w:w="0" w:type="dxa"/>
            <w:right w:w="108" w:type="dxa"/>
          </w:tblCellMar>
        </w:tblPrEx>
        <w:trPr>
          <w:trHeight w:val="1205" w:hRule="atLeast"/>
        </w:trPr>
        <w:tc>
          <w:tcPr>
            <w:tcW w:w="1180"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承销佣金投标报价</w:t>
            </w:r>
          </w:p>
          <w:p>
            <w:pPr>
              <w:spacing w:line="240" w:lineRule="auto"/>
              <w:rPr>
                <w:sz w:val="21"/>
                <w:szCs w:val="21"/>
              </w:rPr>
            </w:pPr>
            <w:r>
              <w:rPr>
                <w:rFonts w:hint="eastAsia"/>
                <w:sz w:val="21"/>
                <w:szCs w:val="21"/>
              </w:rPr>
              <w:t>（20分）</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价格分（20分）</w:t>
            </w:r>
          </w:p>
        </w:tc>
        <w:tc>
          <w:tcPr>
            <w:tcW w:w="6379"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取投标人报价的平均值为基准值，与基准值相同的评标价，其价格分为满分20分；报价人评标价每高于基准值1％，扣</w:t>
            </w:r>
            <w:r>
              <w:rPr>
                <w:sz w:val="21"/>
                <w:szCs w:val="21"/>
              </w:rPr>
              <w:t>0.5</w:t>
            </w:r>
            <w:r>
              <w:rPr>
                <w:rFonts w:hint="eastAsia"/>
                <w:sz w:val="21"/>
                <w:szCs w:val="21"/>
              </w:rPr>
              <w:t>分（中间值按比例内插），扣完为止；每低于基准值1％，扣0.5分（中间值按比例内插），扣完为止。</w:t>
            </w:r>
          </w:p>
        </w:tc>
      </w:tr>
      <w:tr>
        <w:tblPrEx>
          <w:tblLayout w:type="fixed"/>
          <w:tblCellMar>
            <w:top w:w="0" w:type="dxa"/>
            <w:left w:w="108" w:type="dxa"/>
            <w:bottom w:w="0" w:type="dxa"/>
            <w:right w:w="108" w:type="dxa"/>
          </w:tblCellMar>
        </w:tblPrEx>
        <w:trPr>
          <w:trHeight w:val="674" w:hRule="atLeast"/>
        </w:trPr>
        <w:tc>
          <w:tcPr>
            <w:tcW w:w="1180" w:type="dxa"/>
            <w:vMerge w:val="restart"/>
            <w:tcBorders>
              <w:top w:val="single" w:color="auto" w:sz="4" w:space="0"/>
              <w:left w:val="single" w:color="auto" w:sz="4" w:space="0"/>
              <w:right w:val="single" w:color="auto" w:sz="4" w:space="0"/>
            </w:tcBorders>
            <w:vAlign w:val="center"/>
          </w:tcPr>
          <w:p>
            <w:pPr>
              <w:spacing w:line="240" w:lineRule="auto"/>
              <w:rPr>
                <w:sz w:val="21"/>
                <w:szCs w:val="21"/>
              </w:rPr>
            </w:pPr>
            <w:r>
              <w:rPr>
                <w:rFonts w:hint="eastAsia"/>
                <w:sz w:val="21"/>
                <w:szCs w:val="21"/>
              </w:rPr>
              <w:t>证券公司综合实力（10分）</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承销商等级（5分）</w:t>
            </w:r>
          </w:p>
        </w:tc>
        <w:tc>
          <w:tcPr>
            <w:tcW w:w="6379"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根据证监会2016年证券公司分类评级结果，A类得5分，B类得2分，C类得1分。</w:t>
            </w:r>
          </w:p>
        </w:tc>
      </w:tr>
      <w:tr>
        <w:tblPrEx>
          <w:tblLayout w:type="fixed"/>
          <w:tblCellMar>
            <w:top w:w="0" w:type="dxa"/>
            <w:left w:w="108" w:type="dxa"/>
            <w:bottom w:w="0" w:type="dxa"/>
            <w:right w:w="108" w:type="dxa"/>
          </w:tblCellMar>
        </w:tblPrEx>
        <w:trPr>
          <w:trHeight w:val="889" w:hRule="atLeast"/>
        </w:trPr>
        <w:tc>
          <w:tcPr>
            <w:tcW w:w="1180" w:type="dxa"/>
            <w:vMerge w:val="continue"/>
            <w:tcBorders>
              <w:left w:val="single" w:color="auto" w:sz="4" w:space="0"/>
              <w:bottom w:val="single" w:color="auto" w:sz="4" w:space="0"/>
              <w:right w:val="single" w:color="auto" w:sz="4" w:space="0"/>
            </w:tcBorders>
            <w:vAlign w:val="center"/>
          </w:tcPr>
          <w:p>
            <w:pPr>
              <w:spacing w:line="240" w:lineRule="auto"/>
              <w:rPr>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综合类券商（5分）</w:t>
            </w:r>
          </w:p>
        </w:tc>
        <w:tc>
          <w:tcPr>
            <w:tcW w:w="6379"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是否为综合类券商：是得2分，不是不得分。是否为上市公司；是得3分，不是不得分。</w:t>
            </w:r>
          </w:p>
        </w:tc>
      </w:tr>
      <w:tr>
        <w:tblPrEx>
          <w:tblLayout w:type="fixed"/>
          <w:tblCellMar>
            <w:top w:w="0" w:type="dxa"/>
            <w:left w:w="108" w:type="dxa"/>
            <w:bottom w:w="0" w:type="dxa"/>
            <w:right w:w="108" w:type="dxa"/>
          </w:tblCellMar>
        </w:tblPrEx>
        <w:trPr>
          <w:trHeight w:val="1207" w:hRule="atLeast"/>
        </w:trPr>
        <w:tc>
          <w:tcPr>
            <w:tcW w:w="1180" w:type="dxa"/>
            <w:vMerge w:val="restart"/>
            <w:tcBorders>
              <w:top w:val="single" w:color="auto" w:sz="4" w:space="0"/>
              <w:left w:val="single" w:color="auto" w:sz="4" w:space="0"/>
              <w:right w:val="single" w:color="auto" w:sz="4" w:space="0"/>
            </w:tcBorders>
            <w:vAlign w:val="center"/>
          </w:tcPr>
          <w:p>
            <w:pPr>
              <w:spacing w:line="240" w:lineRule="auto"/>
              <w:rPr>
                <w:sz w:val="21"/>
                <w:szCs w:val="21"/>
              </w:rPr>
            </w:pPr>
            <w:r>
              <w:rPr>
                <w:rFonts w:hint="eastAsia"/>
                <w:sz w:val="21"/>
                <w:szCs w:val="21"/>
              </w:rPr>
              <w:t>企业债</w:t>
            </w:r>
          </w:p>
          <w:p>
            <w:pPr>
              <w:spacing w:line="240" w:lineRule="auto"/>
              <w:rPr>
                <w:sz w:val="21"/>
                <w:szCs w:val="21"/>
              </w:rPr>
            </w:pPr>
            <w:r>
              <w:rPr>
                <w:rFonts w:hint="eastAsia"/>
                <w:sz w:val="21"/>
                <w:szCs w:val="21"/>
              </w:rPr>
              <w:t>业绩</w:t>
            </w:r>
          </w:p>
          <w:p>
            <w:pPr>
              <w:spacing w:line="240" w:lineRule="auto"/>
              <w:rPr>
                <w:sz w:val="21"/>
                <w:szCs w:val="21"/>
              </w:rPr>
            </w:pPr>
            <w:r>
              <w:rPr>
                <w:rFonts w:hint="eastAsia"/>
                <w:sz w:val="21"/>
                <w:szCs w:val="21"/>
              </w:rPr>
              <w:t>（20分）</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承销金额（10分）</w:t>
            </w:r>
          </w:p>
        </w:tc>
        <w:tc>
          <w:tcPr>
            <w:tcW w:w="6379"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2014年至今，投标人作为主承销人累计总承销企业债金额80亿元人民币得5分，高于80亿元的每多2亿元加0.5分，最高10分；低于80亿元的，每少2亿元，减计0.5分，扣完为止。</w:t>
            </w:r>
          </w:p>
        </w:tc>
      </w:tr>
      <w:tr>
        <w:tblPrEx>
          <w:tblLayout w:type="fixed"/>
          <w:tblCellMar>
            <w:top w:w="0" w:type="dxa"/>
            <w:left w:w="108" w:type="dxa"/>
            <w:bottom w:w="0" w:type="dxa"/>
            <w:right w:w="108" w:type="dxa"/>
          </w:tblCellMar>
        </w:tblPrEx>
        <w:trPr>
          <w:trHeight w:val="871" w:hRule="atLeast"/>
        </w:trPr>
        <w:tc>
          <w:tcPr>
            <w:tcW w:w="1180" w:type="dxa"/>
            <w:vMerge w:val="continue"/>
            <w:tcBorders>
              <w:left w:val="single" w:color="auto" w:sz="4" w:space="0"/>
              <w:bottom w:val="single" w:color="auto" w:sz="4" w:space="0"/>
              <w:right w:val="single" w:color="auto" w:sz="4" w:space="0"/>
            </w:tcBorders>
            <w:vAlign w:val="center"/>
          </w:tcPr>
          <w:p>
            <w:pPr>
              <w:spacing w:line="240" w:lineRule="auto"/>
              <w:rPr>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河南区域承销单数（10分）</w:t>
            </w:r>
          </w:p>
        </w:tc>
        <w:tc>
          <w:tcPr>
            <w:tcW w:w="6379"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2014年至今，投标人作为主承销人发行企业债（河南省区域）单数，每发行一单得1分，满分10分。</w:t>
            </w:r>
          </w:p>
        </w:tc>
      </w:tr>
      <w:tr>
        <w:tblPrEx>
          <w:tblLayout w:type="fixed"/>
          <w:tblCellMar>
            <w:top w:w="0" w:type="dxa"/>
            <w:left w:w="108" w:type="dxa"/>
            <w:bottom w:w="0" w:type="dxa"/>
            <w:right w:w="108" w:type="dxa"/>
          </w:tblCellMar>
        </w:tblPrEx>
        <w:trPr>
          <w:trHeight w:val="871" w:hRule="atLeast"/>
        </w:trPr>
        <w:tc>
          <w:tcPr>
            <w:tcW w:w="1180" w:type="dxa"/>
            <w:vMerge w:val="restart"/>
            <w:tcBorders>
              <w:left w:val="single" w:color="auto" w:sz="4" w:space="0"/>
              <w:right w:val="single" w:color="auto" w:sz="4" w:space="0"/>
            </w:tcBorders>
            <w:vAlign w:val="center"/>
          </w:tcPr>
          <w:p>
            <w:pPr>
              <w:spacing w:line="240" w:lineRule="auto"/>
              <w:rPr>
                <w:sz w:val="21"/>
                <w:szCs w:val="21"/>
              </w:rPr>
            </w:pPr>
            <w:r>
              <w:rPr>
                <w:rFonts w:hint="eastAsia"/>
                <w:sz w:val="21"/>
                <w:szCs w:val="21"/>
              </w:rPr>
              <w:t>项目重视程度及投入力量（2</w:t>
            </w:r>
            <w:r>
              <w:rPr>
                <w:sz w:val="21"/>
                <w:szCs w:val="21"/>
              </w:rPr>
              <w:t>3</w:t>
            </w:r>
            <w:r>
              <w:rPr>
                <w:rFonts w:hint="eastAsia"/>
                <w:sz w:val="21"/>
                <w:szCs w:val="21"/>
              </w:rPr>
              <w:t>分）</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sz w:val="21"/>
                <w:szCs w:val="21"/>
              </w:rPr>
              <w:t>项目负责人(</w:t>
            </w:r>
            <w:r>
              <w:rPr>
                <w:rFonts w:hint="eastAsia"/>
                <w:sz w:val="21"/>
                <w:szCs w:val="21"/>
              </w:rPr>
              <w:t>5</w:t>
            </w:r>
            <w:r>
              <w:rPr>
                <w:sz w:val="21"/>
                <w:szCs w:val="21"/>
              </w:rPr>
              <w:t>分)</w:t>
            </w:r>
          </w:p>
        </w:tc>
        <w:tc>
          <w:tcPr>
            <w:tcW w:w="6379"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sz w:val="21"/>
                <w:szCs w:val="21"/>
              </w:rPr>
              <w:t>项目负责人债券发行</w:t>
            </w:r>
            <w:r>
              <w:rPr>
                <w:rFonts w:hint="eastAsia"/>
                <w:sz w:val="21"/>
                <w:szCs w:val="21"/>
              </w:rPr>
              <w:t>从业经验、</w:t>
            </w:r>
            <w:r>
              <w:rPr>
                <w:sz w:val="21"/>
                <w:szCs w:val="21"/>
              </w:rPr>
              <w:t>成功业绩、专业资格、工作经验、学历职称等综合实力。</w:t>
            </w:r>
          </w:p>
        </w:tc>
      </w:tr>
      <w:tr>
        <w:tblPrEx>
          <w:tblLayout w:type="fixed"/>
          <w:tblCellMar>
            <w:top w:w="0" w:type="dxa"/>
            <w:left w:w="108" w:type="dxa"/>
            <w:bottom w:w="0" w:type="dxa"/>
            <w:right w:w="108" w:type="dxa"/>
          </w:tblCellMar>
        </w:tblPrEx>
        <w:trPr>
          <w:trHeight w:val="871" w:hRule="atLeast"/>
        </w:trPr>
        <w:tc>
          <w:tcPr>
            <w:tcW w:w="1180" w:type="dxa"/>
            <w:vMerge w:val="continue"/>
            <w:tcBorders>
              <w:left w:val="single" w:color="auto" w:sz="4" w:space="0"/>
              <w:right w:val="single" w:color="auto" w:sz="4" w:space="0"/>
            </w:tcBorders>
            <w:vAlign w:val="center"/>
          </w:tcPr>
          <w:p>
            <w:pPr>
              <w:spacing w:line="240" w:lineRule="auto"/>
              <w:rPr>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sz w:val="21"/>
                <w:szCs w:val="21"/>
              </w:rPr>
              <w:t>项目组成人员(</w:t>
            </w:r>
            <w:r>
              <w:rPr>
                <w:rFonts w:hint="eastAsia"/>
                <w:sz w:val="21"/>
                <w:szCs w:val="21"/>
              </w:rPr>
              <w:t>10</w:t>
            </w:r>
            <w:r>
              <w:rPr>
                <w:sz w:val="21"/>
                <w:szCs w:val="21"/>
              </w:rPr>
              <w:t>分)</w:t>
            </w:r>
          </w:p>
        </w:tc>
        <w:tc>
          <w:tcPr>
            <w:tcW w:w="6379"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sz w:val="21"/>
                <w:szCs w:val="21"/>
              </w:rPr>
              <w:t>项目组人员配置齐全、合理情况、综合能力情况、团队成员稳定性、常驻人员数量及常驻时间情况综合评分。</w:t>
            </w:r>
          </w:p>
        </w:tc>
      </w:tr>
      <w:tr>
        <w:tblPrEx>
          <w:tblLayout w:type="fixed"/>
          <w:tblCellMar>
            <w:top w:w="0" w:type="dxa"/>
            <w:left w:w="108" w:type="dxa"/>
            <w:bottom w:w="0" w:type="dxa"/>
            <w:right w:w="108" w:type="dxa"/>
          </w:tblCellMar>
        </w:tblPrEx>
        <w:trPr>
          <w:trHeight w:val="871" w:hRule="atLeast"/>
        </w:trPr>
        <w:tc>
          <w:tcPr>
            <w:tcW w:w="1180" w:type="dxa"/>
            <w:vMerge w:val="continue"/>
            <w:tcBorders>
              <w:left w:val="single" w:color="auto" w:sz="4" w:space="0"/>
              <w:bottom w:val="single" w:color="auto" w:sz="4" w:space="0"/>
              <w:right w:val="single" w:color="auto" w:sz="4" w:space="0"/>
            </w:tcBorders>
            <w:vAlign w:val="center"/>
          </w:tcPr>
          <w:p>
            <w:pPr>
              <w:spacing w:line="240" w:lineRule="auto"/>
              <w:rPr>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支持性方案（</w:t>
            </w:r>
            <w:r>
              <w:rPr>
                <w:sz w:val="21"/>
                <w:szCs w:val="21"/>
              </w:rPr>
              <w:t>8</w:t>
            </w:r>
            <w:r>
              <w:rPr>
                <w:rFonts w:hint="eastAsia"/>
                <w:sz w:val="21"/>
                <w:szCs w:val="21"/>
              </w:rPr>
              <w:t>分）</w:t>
            </w:r>
          </w:p>
        </w:tc>
        <w:tc>
          <w:tcPr>
            <w:tcW w:w="6379"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因发债期限较长，投标人是否在资金未到位前提供其他合理可行方案，支持项目运作。</w:t>
            </w:r>
          </w:p>
        </w:tc>
      </w:tr>
      <w:tr>
        <w:tblPrEx>
          <w:tblLayout w:type="fixed"/>
          <w:tblCellMar>
            <w:top w:w="0" w:type="dxa"/>
            <w:left w:w="108" w:type="dxa"/>
            <w:bottom w:w="0" w:type="dxa"/>
            <w:right w:w="108" w:type="dxa"/>
          </w:tblCellMar>
        </w:tblPrEx>
        <w:trPr>
          <w:trHeight w:val="871" w:hRule="atLeast"/>
        </w:trPr>
        <w:tc>
          <w:tcPr>
            <w:tcW w:w="1180" w:type="dxa"/>
            <w:vMerge w:val="restart"/>
            <w:tcBorders>
              <w:left w:val="single" w:color="auto" w:sz="4" w:space="0"/>
              <w:right w:val="single" w:color="auto" w:sz="4" w:space="0"/>
            </w:tcBorders>
            <w:vAlign w:val="center"/>
          </w:tcPr>
          <w:p>
            <w:pPr>
              <w:spacing w:line="240" w:lineRule="auto"/>
              <w:rPr>
                <w:sz w:val="21"/>
                <w:szCs w:val="21"/>
              </w:rPr>
            </w:pPr>
            <w:r>
              <w:rPr>
                <w:rFonts w:hint="eastAsia"/>
                <w:sz w:val="21"/>
                <w:szCs w:val="21"/>
              </w:rPr>
              <w:t>方案设计（2</w:t>
            </w:r>
            <w:r>
              <w:rPr>
                <w:sz w:val="21"/>
                <w:szCs w:val="21"/>
              </w:rPr>
              <w:t>7</w:t>
            </w:r>
            <w:r>
              <w:rPr>
                <w:rFonts w:hint="eastAsia"/>
                <w:sz w:val="21"/>
                <w:szCs w:val="21"/>
              </w:rPr>
              <w:t>分）</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sz w:val="21"/>
                <w:szCs w:val="21"/>
              </w:rPr>
              <w:t>总体方案设计(</w:t>
            </w:r>
            <w:r>
              <w:rPr>
                <w:rFonts w:hint="eastAsia"/>
                <w:sz w:val="21"/>
                <w:szCs w:val="21"/>
              </w:rPr>
              <w:t>5</w:t>
            </w:r>
            <w:r>
              <w:rPr>
                <w:sz w:val="21"/>
                <w:szCs w:val="21"/>
              </w:rPr>
              <w:t>分)</w:t>
            </w:r>
          </w:p>
        </w:tc>
        <w:tc>
          <w:tcPr>
            <w:tcW w:w="6379"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sz w:val="21"/>
                <w:szCs w:val="21"/>
              </w:rPr>
              <w:t>债券发行总体方案设计是否合理、高效。</w:t>
            </w:r>
          </w:p>
        </w:tc>
      </w:tr>
      <w:tr>
        <w:tblPrEx>
          <w:tblLayout w:type="fixed"/>
          <w:tblCellMar>
            <w:top w:w="0" w:type="dxa"/>
            <w:left w:w="108" w:type="dxa"/>
            <w:bottom w:w="0" w:type="dxa"/>
            <w:right w:w="108" w:type="dxa"/>
          </w:tblCellMar>
        </w:tblPrEx>
        <w:trPr>
          <w:trHeight w:val="871" w:hRule="atLeast"/>
        </w:trPr>
        <w:tc>
          <w:tcPr>
            <w:tcW w:w="1180" w:type="dxa"/>
            <w:vMerge w:val="continue"/>
            <w:tcBorders>
              <w:left w:val="single" w:color="auto" w:sz="4" w:space="0"/>
              <w:right w:val="single" w:color="auto" w:sz="4" w:space="0"/>
            </w:tcBorders>
            <w:vAlign w:val="center"/>
          </w:tcPr>
          <w:p>
            <w:pPr>
              <w:spacing w:line="240" w:lineRule="auto"/>
              <w:rPr>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方案要素（5分）</w:t>
            </w:r>
          </w:p>
        </w:tc>
        <w:tc>
          <w:tcPr>
            <w:tcW w:w="6379"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sz w:val="21"/>
                <w:szCs w:val="21"/>
              </w:rPr>
              <w:t>要素是否齐全：规模、方式、评级、增信、利率、期限等。</w:t>
            </w:r>
          </w:p>
        </w:tc>
      </w:tr>
      <w:tr>
        <w:tblPrEx>
          <w:tblLayout w:type="fixed"/>
          <w:tblCellMar>
            <w:top w:w="0" w:type="dxa"/>
            <w:left w:w="108" w:type="dxa"/>
            <w:bottom w:w="0" w:type="dxa"/>
            <w:right w:w="108" w:type="dxa"/>
          </w:tblCellMar>
        </w:tblPrEx>
        <w:trPr>
          <w:trHeight w:val="871" w:hRule="atLeast"/>
        </w:trPr>
        <w:tc>
          <w:tcPr>
            <w:tcW w:w="1180" w:type="dxa"/>
            <w:vMerge w:val="continue"/>
            <w:tcBorders>
              <w:left w:val="single" w:color="auto" w:sz="4" w:space="0"/>
              <w:right w:val="single" w:color="auto" w:sz="4" w:space="0"/>
            </w:tcBorders>
            <w:vAlign w:val="center"/>
          </w:tcPr>
          <w:p>
            <w:pPr>
              <w:spacing w:line="240" w:lineRule="auto"/>
              <w:rPr>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sz w:val="21"/>
                <w:szCs w:val="21"/>
              </w:rPr>
              <w:t>申报流程(</w:t>
            </w:r>
            <w:r>
              <w:rPr>
                <w:rFonts w:hint="eastAsia"/>
                <w:sz w:val="21"/>
                <w:szCs w:val="21"/>
              </w:rPr>
              <w:t>5</w:t>
            </w:r>
            <w:r>
              <w:rPr>
                <w:sz w:val="21"/>
                <w:szCs w:val="21"/>
              </w:rPr>
              <w:t>分)</w:t>
            </w:r>
          </w:p>
        </w:tc>
        <w:tc>
          <w:tcPr>
            <w:tcW w:w="6379"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sz w:val="21"/>
                <w:szCs w:val="21"/>
              </w:rPr>
              <w:t>申报流程的合理性：申请发行的各个阶段（材料制作、省级初审、国家审核、</w:t>
            </w:r>
            <w:r>
              <w:rPr>
                <w:rFonts w:hint="eastAsia"/>
                <w:sz w:val="21"/>
                <w:szCs w:val="21"/>
              </w:rPr>
              <w:t>债券发行方案报批的时间进度方案</w:t>
            </w:r>
            <w:r>
              <w:rPr>
                <w:sz w:val="21"/>
                <w:szCs w:val="21"/>
              </w:rPr>
              <w:t>）是否紧凑可行。</w:t>
            </w:r>
          </w:p>
        </w:tc>
      </w:tr>
      <w:tr>
        <w:tblPrEx>
          <w:tblLayout w:type="fixed"/>
          <w:tblCellMar>
            <w:top w:w="0" w:type="dxa"/>
            <w:left w:w="108" w:type="dxa"/>
            <w:bottom w:w="0" w:type="dxa"/>
            <w:right w:w="108" w:type="dxa"/>
          </w:tblCellMar>
        </w:tblPrEx>
        <w:trPr>
          <w:trHeight w:val="871" w:hRule="atLeast"/>
        </w:trPr>
        <w:tc>
          <w:tcPr>
            <w:tcW w:w="1180" w:type="dxa"/>
            <w:vMerge w:val="continue"/>
            <w:tcBorders>
              <w:left w:val="single" w:color="auto" w:sz="4" w:space="0"/>
              <w:right w:val="single" w:color="auto" w:sz="4" w:space="0"/>
            </w:tcBorders>
            <w:vAlign w:val="center"/>
          </w:tcPr>
          <w:p>
            <w:pPr>
              <w:spacing w:line="240" w:lineRule="auto"/>
              <w:rPr>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增信</w:t>
            </w:r>
            <w:r>
              <w:rPr>
                <w:sz w:val="21"/>
                <w:szCs w:val="21"/>
              </w:rPr>
              <w:t>措施(</w:t>
            </w:r>
            <w:r>
              <w:rPr>
                <w:rFonts w:hint="eastAsia"/>
                <w:sz w:val="21"/>
                <w:szCs w:val="21"/>
              </w:rPr>
              <w:t>5</w:t>
            </w:r>
            <w:r>
              <w:rPr>
                <w:sz w:val="21"/>
                <w:szCs w:val="21"/>
              </w:rPr>
              <w:t>分)</w:t>
            </w:r>
          </w:p>
        </w:tc>
        <w:tc>
          <w:tcPr>
            <w:tcW w:w="6379"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无增信措施不得分；通过增信措施，使债券信用级别达到AA级得2分，使债券信用级别达到AA+及以上的得5分。</w:t>
            </w:r>
          </w:p>
        </w:tc>
      </w:tr>
      <w:tr>
        <w:tblPrEx>
          <w:tblLayout w:type="fixed"/>
          <w:tblCellMar>
            <w:top w:w="0" w:type="dxa"/>
            <w:left w:w="108" w:type="dxa"/>
            <w:bottom w:w="0" w:type="dxa"/>
            <w:right w:w="108" w:type="dxa"/>
          </w:tblCellMar>
        </w:tblPrEx>
        <w:trPr>
          <w:trHeight w:val="871" w:hRule="atLeast"/>
        </w:trPr>
        <w:tc>
          <w:tcPr>
            <w:tcW w:w="1180" w:type="dxa"/>
            <w:vMerge w:val="continue"/>
            <w:tcBorders>
              <w:left w:val="single" w:color="auto" w:sz="4" w:space="0"/>
              <w:bottom w:val="single" w:color="auto" w:sz="4" w:space="0"/>
              <w:right w:val="single" w:color="auto" w:sz="4" w:space="0"/>
            </w:tcBorders>
            <w:vAlign w:val="center"/>
          </w:tcPr>
          <w:p>
            <w:pPr>
              <w:spacing w:line="240" w:lineRule="auto"/>
              <w:rPr>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存续期服务承诺以及意外风险应变、备选方案等</w:t>
            </w:r>
            <w:r>
              <w:rPr>
                <w:sz w:val="21"/>
                <w:szCs w:val="21"/>
              </w:rPr>
              <w:t>(7分)</w:t>
            </w:r>
          </w:p>
        </w:tc>
        <w:tc>
          <w:tcPr>
            <w:tcW w:w="6379" w:type="dxa"/>
            <w:tcBorders>
              <w:top w:val="single" w:color="auto" w:sz="4" w:space="0"/>
              <w:left w:val="single" w:color="auto" w:sz="4" w:space="0"/>
              <w:bottom w:val="single" w:color="auto" w:sz="4" w:space="0"/>
              <w:right w:val="single" w:color="auto" w:sz="4" w:space="0"/>
            </w:tcBorders>
            <w:vAlign w:val="center"/>
          </w:tcPr>
          <w:p>
            <w:pPr>
              <w:spacing w:line="240" w:lineRule="auto"/>
              <w:rPr>
                <w:sz w:val="21"/>
                <w:szCs w:val="21"/>
              </w:rPr>
            </w:pPr>
            <w:r>
              <w:rPr>
                <w:rFonts w:hint="eastAsia"/>
                <w:sz w:val="21"/>
                <w:szCs w:val="21"/>
              </w:rPr>
              <w:t>存续期服务承诺以及意外风险应变、备选方案等。</w:t>
            </w:r>
          </w:p>
        </w:tc>
      </w:tr>
    </w:tbl>
    <w:p>
      <w:pPr>
        <w:spacing w:line="240" w:lineRule="auto"/>
      </w:pPr>
      <w:r>
        <w:rPr>
          <w:rFonts w:hint="eastAsia"/>
        </w:rPr>
        <w:t>注：</w:t>
      </w:r>
      <w:r>
        <w:t>1．所有评委打分的算术平均值，作为该投标单位的最终得分。</w:t>
      </w:r>
    </w:p>
    <w:p>
      <w:pPr>
        <w:spacing w:line="240" w:lineRule="auto"/>
      </w:pPr>
      <w:r>
        <w:t>2．计分过程中按四舍五入的法则，最终结果取至小数点后2位</w:t>
      </w:r>
      <w:r>
        <w:rPr>
          <w:rFonts w:hint="eastAsia"/>
        </w:rPr>
        <w:t>。</w:t>
      </w:r>
    </w:p>
    <w:p>
      <w:pPr>
        <w:spacing w:line="240" w:lineRule="auto"/>
      </w:pPr>
      <w:r>
        <w:t>3.评分对应项内容缺失的，该项按0分计算。</w:t>
      </w:r>
    </w:p>
    <w:p>
      <w:pPr>
        <w:spacing w:line="240" w:lineRule="auto"/>
      </w:pPr>
      <w:r>
        <w:t>4.各评委综合评分的算术平均值即为该投标单位最终得分，投标单位的排名按得分顺序从高到低排列；得分相同的，</w:t>
      </w:r>
      <w:r>
        <w:rPr>
          <w:rFonts w:hint="eastAsia"/>
        </w:rPr>
        <w:t>按投标人总体实力得分由高到低顺序排列，总体实力得分也相同的</w:t>
      </w:r>
      <w:r>
        <w:t>按发行方案得分高低顺序排列，并据此对投标单位进行排名。</w:t>
      </w:r>
      <w:bookmarkStart w:id="0" w:name="_Toc381787342"/>
      <w:bookmarkStart w:id="1" w:name="_Toc12005"/>
      <w:bookmarkStart w:id="2" w:name="_Toc439190719"/>
      <w:bookmarkStart w:id="3" w:name="_Toc405820981"/>
      <w:bookmarkStart w:id="4" w:name="_Toc191983639"/>
    </w:p>
    <w:p>
      <w:pPr>
        <w:spacing w:line="240" w:lineRule="auto"/>
      </w:pPr>
      <w:bookmarkStart w:id="5" w:name="_Toc24561"/>
      <w:bookmarkStart w:id="6" w:name="_Toc477720187"/>
      <w:r>
        <w:rPr>
          <w:rFonts w:hint="eastAsia"/>
        </w:rPr>
        <w:t>1.评标方法</w:t>
      </w:r>
      <w:bookmarkEnd w:id="0"/>
      <w:bookmarkEnd w:id="1"/>
      <w:bookmarkEnd w:id="2"/>
      <w:bookmarkEnd w:id="3"/>
      <w:bookmarkEnd w:id="5"/>
      <w:bookmarkEnd w:id="6"/>
    </w:p>
    <w:p>
      <w:pPr>
        <w:spacing w:line="240" w:lineRule="auto"/>
      </w:pPr>
      <w:r>
        <w:rPr>
          <w:rFonts w:hint="eastAsia"/>
        </w:rPr>
        <w:t>本次评标采用综合评估法。评标委员会对满足招标文件实质性要求的投标文件，按照本章规定的评分标准进行打分，并按总体实力部分得分由高到低顺序推荐中标候选人。</w:t>
      </w:r>
    </w:p>
    <w:p>
      <w:pPr>
        <w:spacing w:line="240" w:lineRule="auto"/>
      </w:pPr>
      <w:r>
        <w:rPr>
          <w:rFonts w:hint="eastAsia"/>
        </w:rPr>
        <w:t>评标办法分为初步评审和详细评审两部分，其中初步评审采用合格制，通不过初步评审的单位不再进行详细评审。</w:t>
      </w:r>
    </w:p>
    <w:p>
      <w:pPr>
        <w:spacing w:line="240" w:lineRule="auto"/>
      </w:pPr>
      <w:r>
        <w:rPr>
          <w:rFonts w:hint="eastAsia"/>
        </w:rPr>
        <w:t>本办法先对通过初步评审的单位进行详细评审；详细评审得分高低排名即为最终排名。评标结果若出现并列时，得分相同的，按投标人总体实力得分由高到低顺序排列，总体实力得分也相同的按发行方案得分高低顺序排列，并据此对投标单位进行排名。</w:t>
      </w:r>
    </w:p>
    <w:p>
      <w:pPr>
        <w:spacing w:line="240" w:lineRule="auto"/>
      </w:pPr>
      <w:bookmarkStart w:id="7" w:name="_Toc477720188"/>
      <w:bookmarkStart w:id="8" w:name="_Toc26525"/>
      <w:bookmarkStart w:id="9" w:name="_Toc439190720"/>
      <w:bookmarkStart w:id="10" w:name="_Toc31794"/>
      <w:bookmarkStart w:id="11" w:name="_Toc405820982"/>
      <w:r>
        <w:rPr>
          <w:rFonts w:hint="eastAsia"/>
        </w:rPr>
        <w:t>2.评审标准</w:t>
      </w:r>
      <w:bookmarkEnd w:id="4"/>
      <w:bookmarkEnd w:id="7"/>
      <w:bookmarkEnd w:id="8"/>
      <w:bookmarkEnd w:id="9"/>
      <w:bookmarkEnd w:id="10"/>
      <w:bookmarkEnd w:id="11"/>
    </w:p>
    <w:p>
      <w:pPr>
        <w:spacing w:line="240" w:lineRule="auto"/>
      </w:pPr>
      <w:r>
        <w:rPr>
          <w:rFonts w:hint="eastAsia"/>
        </w:rPr>
        <w:t>2.1初步评审标准</w:t>
      </w:r>
    </w:p>
    <w:p>
      <w:pPr>
        <w:spacing w:line="240" w:lineRule="auto"/>
      </w:pPr>
      <w:r>
        <w:rPr>
          <w:rFonts w:hint="eastAsia"/>
        </w:rPr>
        <w:t>2.1.1形式评审标准：初评审标准评审表。</w:t>
      </w:r>
    </w:p>
    <w:p>
      <w:pPr>
        <w:spacing w:line="240" w:lineRule="auto"/>
      </w:pPr>
      <w:r>
        <w:rPr>
          <w:rFonts w:hint="eastAsia"/>
        </w:rPr>
        <w:t>2.1.2资格评审标准：初评审标准评审表。</w:t>
      </w:r>
    </w:p>
    <w:p>
      <w:pPr>
        <w:spacing w:line="240" w:lineRule="auto"/>
      </w:pPr>
      <w:r>
        <w:rPr>
          <w:rFonts w:hint="eastAsia"/>
        </w:rPr>
        <w:t>2.1.3响应性评审标准：初评审标准评审表。</w:t>
      </w:r>
    </w:p>
    <w:p>
      <w:pPr>
        <w:spacing w:line="240" w:lineRule="auto"/>
      </w:pPr>
      <w:r>
        <w:rPr>
          <w:rFonts w:hint="eastAsia"/>
        </w:rPr>
        <w:t>2.2详细评分标准</w:t>
      </w:r>
    </w:p>
    <w:p>
      <w:pPr>
        <w:spacing w:line="240" w:lineRule="auto"/>
      </w:pPr>
      <w:bookmarkStart w:id="12" w:name="_Toc191983640"/>
      <w:r>
        <w:t>详细评审评分表</w:t>
      </w:r>
      <w:r>
        <w:rPr>
          <w:rFonts w:hint="eastAsia"/>
        </w:rPr>
        <w:t>。</w:t>
      </w:r>
    </w:p>
    <w:p>
      <w:pPr>
        <w:spacing w:line="240" w:lineRule="auto"/>
      </w:pPr>
      <w:bookmarkStart w:id="13" w:name="_Toc477720189"/>
      <w:bookmarkStart w:id="14" w:name="_Toc12425"/>
      <w:bookmarkStart w:id="15" w:name="_Toc439190721"/>
      <w:bookmarkStart w:id="16" w:name="_Toc22802"/>
      <w:bookmarkStart w:id="17" w:name="_Toc405820983"/>
      <w:r>
        <w:rPr>
          <w:rFonts w:hint="eastAsia"/>
        </w:rPr>
        <w:t>3.评标程序</w:t>
      </w:r>
      <w:bookmarkEnd w:id="12"/>
      <w:bookmarkEnd w:id="13"/>
      <w:bookmarkEnd w:id="14"/>
      <w:bookmarkEnd w:id="15"/>
      <w:bookmarkEnd w:id="16"/>
      <w:bookmarkEnd w:id="17"/>
    </w:p>
    <w:p>
      <w:pPr>
        <w:spacing w:line="240" w:lineRule="auto"/>
      </w:pPr>
      <w:r>
        <w:rPr>
          <w:rFonts w:hint="eastAsia"/>
        </w:rPr>
        <w:t>3.1初步评审</w:t>
      </w:r>
    </w:p>
    <w:p>
      <w:pPr>
        <w:spacing w:line="240" w:lineRule="auto"/>
      </w:pPr>
      <w:r>
        <w:rPr>
          <w:rFonts w:hint="eastAsia"/>
        </w:rPr>
        <w:t>3.1.1评标委员会依据本章第2.1.项规定的评审标准对投标文件进行初步评审。有一项不符合评审标准的，作废标处理。</w:t>
      </w:r>
    </w:p>
    <w:p>
      <w:pPr>
        <w:spacing w:line="240" w:lineRule="auto"/>
      </w:pPr>
      <w:r>
        <w:rPr>
          <w:rFonts w:hint="eastAsia"/>
        </w:rPr>
        <w:t>3.1.1投标人有以下情形之一的，其投标作废标处理：</w:t>
      </w:r>
    </w:p>
    <w:p>
      <w:pPr>
        <w:spacing w:line="240" w:lineRule="auto"/>
      </w:pPr>
      <w:r>
        <w:rPr>
          <w:rFonts w:hint="eastAsia"/>
        </w:rPr>
        <w:t>串通投标或弄虚作假或有其他违法行为的；</w:t>
      </w:r>
    </w:p>
    <w:p>
      <w:pPr>
        <w:spacing w:line="240" w:lineRule="auto"/>
      </w:pPr>
      <w:r>
        <w:rPr>
          <w:rFonts w:hint="eastAsia"/>
        </w:rPr>
        <w:t>不按评标委员会要求澄清、说明或补正的；</w:t>
      </w:r>
    </w:p>
    <w:p>
      <w:pPr>
        <w:spacing w:line="240" w:lineRule="auto"/>
      </w:pPr>
      <w:r>
        <w:rPr>
          <w:rFonts w:hint="eastAsia"/>
        </w:rPr>
        <w:t>没有按要求提供投标保证金的；</w:t>
      </w:r>
    </w:p>
    <w:p>
      <w:pPr>
        <w:spacing w:line="240" w:lineRule="auto"/>
      </w:pPr>
      <w:r>
        <w:rPr>
          <w:rFonts w:hint="eastAsia"/>
        </w:rPr>
        <w:t>投标文件没有投标人法定代表人或授权代表签字并加盖公章的；</w:t>
      </w:r>
    </w:p>
    <w:p>
      <w:pPr>
        <w:spacing w:line="240" w:lineRule="auto"/>
      </w:pPr>
      <w:r>
        <w:rPr>
          <w:rFonts w:hint="eastAsia"/>
        </w:rPr>
        <w:t>投标文件中没有载明招标项目完成期限或已载明的项目完成期限超过招标文件要求的期限的；</w:t>
      </w:r>
    </w:p>
    <w:p>
      <w:pPr>
        <w:spacing w:line="240" w:lineRule="auto"/>
      </w:pPr>
      <w:r>
        <w:rPr>
          <w:rFonts w:hint="eastAsia"/>
        </w:rPr>
        <w:t>投标质量不能满足招标文件要求的；</w:t>
      </w:r>
    </w:p>
    <w:p>
      <w:pPr>
        <w:spacing w:line="240" w:lineRule="auto"/>
      </w:pPr>
      <w:r>
        <w:rPr>
          <w:rFonts w:hint="eastAsia"/>
        </w:rPr>
        <w:t>投标文件未按招标文件要求格式填写或主要内容不全、字迹模糊无法辨认的；</w:t>
      </w:r>
    </w:p>
    <w:p>
      <w:pPr>
        <w:spacing w:line="240" w:lineRule="auto"/>
      </w:pPr>
      <w:r>
        <w:rPr>
          <w:rFonts w:hint="eastAsia"/>
        </w:rPr>
        <w:t>投标文件电子版不符合招标文件要求的；</w:t>
      </w:r>
    </w:p>
    <w:p>
      <w:pPr>
        <w:spacing w:line="240" w:lineRule="auto"/>
      </w:pPr>
      <w:r>
        <w:rPr>
          <w:rFonts w:hint="eastAsia"/>
        </w:rPr>
        <w:t>投标报价大于采购预算价（招标控制价）的；</w:t>
      </w:r>
    </w:p>
    <w:p>
      <w:pPr>
        <w:spacing w:line="240" w:lineRule="auto"/>
      </w:pPr>
      <w:r>
        <w:rPr>
          <w:rFonts w:hint="eastAsia"/>
        </w:rPr>
        <w:t>（10）投标文件附有招标人不能接受的条件；</w:t>
      </w:r>
    </w:p>
    <w:p>
      <w:pPr>
        <w:spacing w:line="240" w:lineRule="auto"/>
      </w:pPr>
      <w:r>
        <w:rPr>
          <w:rFonts w:hint="eastAsia"/>
        </w:rPr>
        <w:t>（11）不符合招标文件中规定的其他实质性的要求；</w:t>
      </w:r>
    </w:p>
    <w:p>
      <w:pPr>
        <w:spacing w:line="240" w:lineRule="auto"/>
      </w:pPr>
      <w:r>
        <w:rPr>
          <w:rFonts w:hint="eastAsia"/>
        </w:rPr>
        <w:t>3.1.3投标报价有算术错误的，评标委员会按以下原则对投标报价进行修正，修正的价格经投标人书面确认后具有约束力。投标人不接受修正价格的，其投标作废标处理。</w:t>
      </w:r>
    </w:p>
    <w:p>
      <w:pPr>
        <w:spacing w:line="240" w:lineRule="auto"/>
      </w:pPr>
      <w:r>
        <w:rPr>
          <w:rFonts w:hint="eastAsia"/>
        </w:rPr>
        <w:t>投标文件中的大写金额与小写金额不一致的，以大写金额为准；</w:t>
      </w:r>
    </w:p>
    <w:p>
      <w:pPr>
        <w:spacing w:line="240" w:lineRule="auto"/>
      </w:pPr>
      <w:r>
        <w:rPr>
          <w:rFonts w:hint="eastAsia"/>
        </w:rPr>
        <w:t>总价金额与依据单价计算出的结果不一致的，以单价金额为准修正总价，但单价金额小数点有明显错误的除外。</w:t>
      </w:r>
    </w:p>
    <w:p>
      <w:pPr>
        <w:spacing w:line="240" w:lineRule="auto"/>
      </w:pPr>
      <w:r>
        <w:rPr>
          <w:rFonts w:hint="eastAsia"/>
        </w:rPr>
        <w:t>3.2详细评审</w:t>
      </w:r>
    </w:p>
    <w:p>
      <w:pPr>
        <w:spacing w:line="240" w:lineRule="auto"/>
      </w:pPr>
      <w:r>
        <w:rPr>
          <w:rFonts w:hint="eastAsia"/>
        </w:rPr>
        <w:t>评标委员会按本章第2.2款规定的量化因素和分值进行打分，并计算出综合评估得分。</w:t>
      </w:r>
    </w:p>
    <w:p>
      <w:pPr>
        <w:spacing w:line="240" w:lineRule="auto"/>
      </w:pPr>
      <w:r>
        <w:rPr>
          <w:rFonts w:hint="eastAsia"/>
        </w:rPr>
        <w:t>评分分值计算保留小数点后两位，小数点后第三位“四舍五入”</w:t>
      </w:r>
    </w:p>
    <w:p>
      <w:pPr>
        <w:spacing w:line="240" w:lineRule="auto"/>
      </w:pPr>
      <w:r>
        <w:rPr>
          <w:rFonts w:hint="eastAsia"/>
        </w:rPr>
        <w:t>投标文件的澄清和补正</w:t>
      </w:r>
    </w:p>
    <w:p>
      <w:pPr>
        <w:spacing w:line="240" w:lineRule="auto"/>
      </w:pPr>
      <w:r>
        <w:rPr>
          <w:rFonts w:hint="eastAsia"/>
        </w:rPr>
        <w:t>在评标过程中，评标委员会可以书面形式要求投标人对所提交投标文件中不明确的内容进行书面澄清或说明，或者对细微偏差进行补正。评标委员会不接受投标人主动提出的澄清、说明或补正。</w:t>
      </w:r>
    </w:p>
    <w:p>
      <w:pPr>
        <w:spacing w:line="240" w:lineRule="auto"/>
      </w:pPr>
      <w:r>
        <w:rPr>
          <w:rFonts w:hint="eastAsia"/>
        </w:rPr>
        <w:t>澄清、说明和补正不得改变投标文件的实质性内容（算术性错误修正的除外）。投标人的书面澄清、说明和补正属于投标文件的组成部分。</w:t>
      </w:r>
    </w:p>
    <w:p>
      <w:pPr>
        <w:spacing w:line="240" w:lineRule="auto"/>
      </w:pPr>
      <w:r>
        <w:rPr>
          <w:rFonts w:hint="eastAsia"/>
        </w:rPr>
        <w:t>评标委员会对投标人提交的澄清、说明或补正有疑问的，可以要求投标人进一步澄清、说明或补正，直至满足评标委员会的要求。</w:t>
      </w:r>
    </w:p>
    <w:p>
      <w:pPr>
        <w:spacing w:line="240" w:lineRule="auto"/>
      </w:pPr>
      <w:r>
        <w:rPr>
          <w:rFonts w:hint="eastAsia"/>
        </w:rPr>
        <w:t>评标结果</w:t>
      </w:r>
    </w:p>
    <w:p>
      <w:pPr>
        <w:spacing w:line="240" w:lineRule="auto"/>
      </w:pPr>
      <w:r>
        <w:rPr>
          <w:rFonts w:hint="eastAsia"/>
        </w:rPr>
        <w:t>除第二章“投标人须知”前附表授权直接确定中标人外，评标委员会按照得分由高到低的顺序推荐中标候选人。</w:t>
      </w:r>
    </w:p>
    <w:p>
      <w:pPr>
        <w:spacing w:line="240" w:lineRule="auto"/>
      </w:pPr>
      <w:r>
        <w:rPr>
          <w:rFonts w:hint="eastAsia"/>
        </w:rPr>
        <w:t xml:space="preserve">    </w:t>
      </w:r>
      <w:bookmarkStart w:id="18" w:name="_GoBack"/>
      <w:bookmarkEnd w:id="18"/>
      <w:r>
        <w:rPr>
          <w:rFonts w:hint="eastAsia"/>
        </w:rPr>
        <w:t>评标委员会完成评标后，应当向招标人提交书面评标报告。</w:t>
      </w:r>
    </w:p>
    <w:p>
      <w:pPr>
        <w:spacing w:line="240" w:lineRule="auto"/>
      </w:pPr>
      <w:r>
        <w:rPr>
          <w:rFonts w:hint="eastAsia"/>
        </w:rPr>
        <w:t xml:space="preserve">    招标代理机构整理编制《招标情况报告》，同时在招标公告发布媒体发布中标公示，无异议后确定中标人。招标人将按照规定向中标人发放中标通知书。招标人将把排名第一的中标候选人定为中标人。排名第一的中标候选人若放弃中标、因不可抗力提出不能履行合同或者在规定的期限内未按照招标文件规定提交履约保证金的，招标人可以确定排名第二的中标候选人为中标人，以此类推。</w:t>
      </w:r>
    </w:p>
    <w:p>
      <w:pPr>
        <w:pStyle w:val="2"/>
        <w:spacing w:line="240" w:lineRule="auto"/>
        <w:rPr>
          <w:rFonts w:hint="eastAsia"/>
          <w:lang w:val="en-US" w:eastAsia="zh-CN"/>
        </w:rPr>
      </w:pPr>
      <w:r>
        <w:rPr>
          <w:rFonts w:hint="eastAsia"/>
          <w:lang w:val="en-US" w:eastAsia="zh-CN"/>
        </w:rPr>
        <w:t>五、付款方式：</w:t>
      </w:r>
    </w:p>
    <w:p>
      <w:pPr>
        <w:spacing w:line="240" w:lineRule="auto"/>
      </w:pPr>
      <w:r>
        <w:rPr>
          <w:rFonts w:hint="eastAsia"/>
        </w:rPr>
        <w:t>按以下原则由招标人与中标人在承销意向书中约定。</w:t>
      </w:r>
    </w:p>
    <w:p>
      <w:pPr>
        <w:spacing w:line="240" w:lineRule="auto"/>
        <w:rPr>
          <w:rFonts w:hint="eastAsia"/>
          <w:lang w:val="en-US" w:eastAsia="zh-CN"/>
        </w:rPr>
      </w:pPr>
      <w:r>
        <w:rPr>
          <w:rFonts w:hint="eastAsia"/>
        </w:rPr>
        <w:t>发行成功后，招标人支付承销服务费；如债券发行不成功，招标人仅支付财务审计服务、律师法律服务、资产评估服务、发债主体及债项评级服务四项费用，其中支付财务审计费用不超过40万元、支付律师咨询服务费用不超过10万元、支付资产评估服务20万元、支付发债主体及债项评级费用不超过25万元，并且招标人根据以上四项服务所产生的费用据实支付。发行成功后，主承销服务费招标人根据募资到位数额乘以中标费率据实支付，财务审计服务、律师法律服务、资产评估服务、发债主体及债项评级服务中介费减去前期已支付费用，全部支付；担保公司费用根据协商支付。</w:t>
      </w:r>
    </w:p>
    <w:p>
      <w:pPr>
        <w:pStyle w:val="2"/>
        <w:spacing w:line="240" w:lineRule="auto"/>
        <w:rPr>
          <w:rFonts w:hint="eastAsia"/>
          <w:lang w:val="en-US" w:eastAsia="zh-CN"/>
        </w:rPr>
      </w:pPr>
      <w:r>
        <w:rPr>
          <w:rFonts w:hint="eastAsia"/>
          <w:lang w:val="en-US" w:eastAsia="zh-CN"/>
        </w:rPr>
        <w:t>六、招标单位联系方式及地址</w:t>
      </w:r>
    </w:p>
    <w:p>
      <w:pPr>
        <w:spacing w:line="240" w:lineRule="auto"/>
      </w:pPr>
      <w:r>
        <w:rPr>
          <w:rFonts w:hint="eastAsia"/>
        </w:rPr>
        <w:t>联系人：</w:t>
      </w:r>
      <w:r>
        <w:rPr>
          <w:rFonts w:hint="eastAsia"/>
          <w:lang w:val="en-US" w:eastAsia="zh-CN"/>
        </w:rPr>
        <w:t>李先生</w:t>
      </w:r>
      <w:r>
        <w:rPr>
          <w:rFonts w:hint="eastAsia"/>
        </w:rPr>
        <w:t xml:space="preserve">          联系电话: 15290988966</w:t>
      </w:r>
    </w:p>
    <w:p>
      <w:pPr>
        <w:spacing w:line="240" w:lineRule="auto"/>
      </w:pPr>
      <w:r>
        <w:rPr>
          <w:rFonts w:hint="eastAsia"/>
        </w:rPr>
        <w:t>递交书面材料地址：</w:t>
      </w:r>
      <w:r>
        <w:rPr>
          <w:rFonts w:hint="eastAsia"/>
          <w:lang w:val="en-US" w:eastAsia="zh-CN"/>
        </w:rPr>
        <w:t>鄢陵县开发区朝阳街中段财政局四楼</w:t>
      </w:r>
      <w:r>
        <w:rPr>
          <w:rFonts w:hint="eastAsia"/>
        </w:rPr>
        <w:t>。</w:t>
      </w:r>
    </w:p>
    <w:p>
      <w:pPr>
        <w:spacing w:line="240" w:lineRule="auto"/>
      </w:pPr>
    </w:p>
    <w:p>
      <w:pPr>
        <w:spacing w:line="24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华文宋体">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F2"/>
    <w:rsid w:val="00055D8D"/>
    <w:rsid w:val="000C0D8F"/>
    <w:rsid w:val="00330CF4"/>
    <w:rsid w:val="004C6E8D"/>
    <w:rsid w:val="004D2D6E"/>
    <w:rsid w:val="005C37D7"/>
    <w:rsid w:val="00615010"/>
    <w:rsid w:val="0067798B"/>
    <w:rsid w:val="006C5930"/>
    <w:rsid w:val="006E7D2F"/>
    <w:rsid w:val="00841834"/>
    <w:rsid w:val="008675F5"/>
    <w:rsid w:val="0089217C"/>
    <w:rsid w:val="00A548F4"/>
    <w:rsid w:val="00A60FE2"/>
    <w:rsid w:val="00B800F2"/>
    <w:rsid w:val="00BD7A39"/>
    <w:rsid w:val="00BF01B7"/>
    <w:rsid w:val="00C468E0"/>
    <w:rsid w:val="00FB0CF6"/>
    <w:rsid w:val="05871B58"/>
    <w:rsid w:val="0CEC0878"/>
    <w:rsid w:val="0EF36154"/>
    <w:rsid w:val="167E2ED7"/>
    <w:rsid w:val="17ED55B9"/>
    <w:rsid w:val="18E500BF"/>
    <w:rsid w:val="22CD6D8B"/>
    <w:rsid w:val="34D12584"/>
    <w:rsid w:val="5F9B421A"/>
    <w:rsid w:val="685A074A"/>
    <w:rsid w:val="69565749"/>
    <w:rsid w:val="78520DEB"/>
    <w:rsid w:val="7C12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rFonts w:eastAsia="黑体"/>
      <w:b/>
      <w:bCs/>
      <w:kern w:val="44"/>
      <w:sz w:val="32"/>
      <w:szCs w:val="44"/>
    </w:rPr>
  </w:style>
  <w:style w:type="paragraph" w:styleId="3">
    <w:name w:val="heading 2"/>
    <w:basedOn w:val="1"/>
    <w:next w:val="1"/>
    <w:link w:val="12"/>
    <w:unhideWhenUsed/>
    <w:qFormat/>
    <w:uiPriority w:val="9"/>
    <w:pPr>
      <w:keepNext/>
      <w:keepLines/>
      <w:spacing w:before="260" w:after="260" w:line="416" w:lineRule="auto"/>
      <w:outlineLvl w:val="1"/>
    </w:pPr>
    <w:rPr>
      <w:rFonts w:eastAsia="楷体" w:asciiTheme="majorAscii" w:hAnsiTheme="majorAscii"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5"/>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6">
    <w:name w:val="Plain Text"/>
    <w:basedOn w:val="1"/>
    <w:link w:val="22"/>
    <w:uiPriority w:val="0"/>
    <w:pPr>
      <w:spacing w:line="580" w:lineRule="exact"/>
      <w:ind w:right="-197" w:firstLine="560" w:firstLineChars="200"/>
    </w:pPr>
    <w:rPr>
      <w:rFonts w:ascii="黑体" w:hAnsi="Courier New" w:eastAsia="黑体" w:cstheme="minorBidi"/>
      <w:sz w:val="28"/>
      <w:szCs w:val="22"/>
    </w:rPr>
  </w:style>
  <w:style w:type="paragraph" w:styleId="7">
    <w:name w:val="footer"/>
    <w:basedOn w:val="1"/>
    <w:link w:val="18"/>
    <w:unhideWhenUsed/>
    <w:uiPriority w:val="99"/>
    <w:pPr>
      <w:tabs>
        <w:tab w:val="center" w:pos="4153"/>
        <w:tab w:val="right" w:pos="8306"/>
      </w:tabs>
      <w:snapToGrid w:val="0"/>
      <w:jc w:val="left"/>
    </w:pPr>
    <w:rPr>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6"/>
    <w:qFormat/>
    <w:uiPriority w:val="11"/>
    <w:pPr>
      <w:spacing w:before="240" w:after="60" w:line="312" w:lineRule="auto"/>
      <w:jc w:val="center"/>
      <w:outlineLvl w:val="1"/>
    </w:pPr>
    <w:rPr>
      <w:rFonts w:asciiTheme="majorHAnsi" w:hAnsiTheme="majorHAnsi" w:cstheme="majorBidi"/>
      <w:b/>
      <w:bCs/>
      <w:kern w:val="28"/>
      <w:sz w:val="32"/>
      <w:szCs w:val="32"/>
    </w:rPr>
  </w:style>
  <w:style w:type="character" w:customStyle="1" w:styleId="12">
    <w:name w:val="标题 2 Char"/>
    <w:basedOn w:val="10"/>
    <w:link w:val="3"/>
    <w:semiHidden/>
    <w:uiPriority w:val="9"/>
    <w:rPr>
      <w:rFonts w:eastAsia="楷体" w:asciiTheme="majorAscii" w:hAnsiTheme="majorAscii" w:cstheme="majorBidi"/>
      <w:b/>
      <w:bCs/>
      <w:sz w:val="32"/>
      <w:szCs w:val="32"/>
    </w:rPr>
  </w:style>
  <w:style w:type="character" w:customStyle="1" w:styleId="13">
    <w:name w:val="标题 3 Char"/>
    <w:basedOn w:val="10"/>
    <w:link w:val="4"/>
    <w:semiHidden/>
    <w:uiPriority w:val="9"/>
    <w:rPr>
      <w:rFonts w:ascii="Times New Roman" w:hAnsi="Times New Roman" w:eastAsia="宋体" w:cs="Times New Roman"/>
      <w:b/>
      <w:bCs/>
      <w:sz w:val="32"/>
      <w:szCs w:val="32"/>
    </w:rPr>
  </w:style>
  <w:style w:type="character" w:customStyle="1" w:styleId="14">
    <w:name w:val="标题 1 Char"/>
    <w:basedOn w:val="10"/>
    <w:link w:val="2"/>
    <w:qFormat/>
    <w:uiPriority w:val="99"/>
    <w:rPr>
      <w:rFonts w:ascii="Times New Roman" w:hAnsi="Times New Roman" w:eastAsia="黑体" w:cs="Times New Roman"/>
      <w:b/>
      <w:bCs/>
      <w:kern w:val="44"/>
      <w:sz w:val="32"/>
      <w:szCs w:val="44"/>
    </w:rPr>
  </w:style>
  <w:style w:type="character" w:customStyle="1" w:styleId="15">
    <w:name w:val="标题 4 Char"/>
    <w:basedOn w:val="10"/>
    <w:link w:val="5"/>
    <w:uiPriority w:val="0"/>
    <w:rPr>
      <w:rFonts w:ascii="Cambria" w:hAnsi="Cambria" w:eastAsia="宋体" w:cs="Times New Roman"/>
      <w:b/>
      <w:bCs/>
      <w:sz w:val="28"/>
      <w:szCs w:val="28"/>
    </w:rPr>
  </w:style>
  <w:style w:type="character" w:customStyle="1" w:styleId="16">
    <w:name w:val="副标题 Char"/>
    <w:basedOn w:val="10"/>
    <w:link w:val="9"/>
    <w:uiPriority w:val="11"/>
    <w:rPr>
      <w:rFonts w:eastAsia="宋体" w:asciiTheme="majorHAnsi" w:hAnsiTheme="majorHAnsi" w:cstheme="majorBidi"/>
      <w:b/>
      <w:bCs/>
      <w:kern w:val="28"/>
      <w:sz w:val="32"/>
      <w:szCs w:val="32"/>
    </w:rPr>
  </w:style>
  <w:style w:type="character" w:customStyle="1" w:styleId="17">
    <w:name w:val="页眉 Char"/>
    <w:basedOn w:val="10"/>
    <w:link w:val="8"/>
    <w:semiHidden/>
    <w:uiPriority w:val="99"/>
    <w:rPr>
      <w:rFonts w:ascii="Times New Roman" w:hAnsi="Times New Roman" w:eastAsia="宋体" w:cs="Times New Roman"/>
      <w:sz w:val="18"/>
      <w:szCs w:val="18"/>
    </w:rPr>
  </w:style>
  <w:style w:type="character" w:customStyle="1" w:styleId="18">
    <w:name w:val="页脚 Char"/>
    <w:basedOn w:val="10"/>
    <w:link w:val="7"/>
    <w:semiHidden/>
    <w:uiPriority w:val="99"/>
    <w:rPr>
      <w:rFonts w:ascii="Times New Roman" w:hAnsi="Times New Roman" w:eastAsia="宋体" w:cs="Times New Roman"/>
      <w:sz w:val="18"/>
      <w:szCs w:val="18"/>
    </w:rPr>
  </w:style>
  <w:style w:type="paragraph" w:customStyle="1" w:styleId="19">
    <w:name w:val="Defaul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0">
    <w:name w:val="纯文本 Char"/>
    <w:link w:val="6"/>
    <w:locked/>
    <w:uiPriority w:val="0"/>
    <w:rPr>
      <w:rFonts w:ascii="黑体" w:hAnsi="Courier New" w:eastAsia="黑体"/>
      <w:sz w:val="28"/>
    </w:rPr>
  </w:style>
  <w:style w:type="character" w:customStyle="1" w:styleId="21">
    <w:name w:val="正文1"/>
    <w:uiPriority w:val="0"/>
    <w:rPr>
      <w:rFonts w:ascii="宋体" w:hAnsi="宋体"/>
      <w:color w:val="000000"/>
    </w:rPr>
  </w:style>
  <w:style w:type="character" w:customStyle="1" w:styleId="22">
    <w:name w:val="纯文本 Char1"/>
    <w:basedOn w:val="10"/>
    <w:link w:val="6"/>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1195</Words>
  <Characters>6814</Characters>
  <Lines>56</Lines>
  <Paragraphs>15</Paragraphs>
  <ScaleCrop>false</ScaleCrop>
  <LinksUpToDate>false</LinksUpToDate>
  <CharactersWithSpaces>7994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2017-11-15T00:40:00Z</dcterms:created>
  <dc:creator>admin</dc:creator>
  <cp:lastModifiedBy>刘帅</cp:lastModifiedBy>
  <dcterms:modified xsi:type="dcterms:W3CDTF">2017-11-28T02:57:47Z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