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660D" w:rsidRDefault="0004660D" w:rsidP="0004660D">
      <w:pPr>
        <w:pStyle w:val="1"/>
        <w:rPr>
          <w:rFonts w:ascii="黑体" w:eastAsia="黑体" w:hAnsi="黑体"/>
          <w:b w:val="0"/>
          <w:lang w:val="zh-CN"/>
        </w:rPr>
      </w:pPr>
      <w:bookmarkStart w:id="0" w:name="_Toc498530724"/>
      <w:bookmarkStart w:id="1" w:name="_GoBack"/>
      <w:bookmarkEnd w:id="1"/>
      <w:r w:rsidRPr="003364E4">
        <w:rPr>
          <w:rFonts w:ascii="黑体" w:eastAsia="黑体" w:hAnsi="黑体" w:hint="eastAsia"/>
          <w:b w:val="0"/>
          <w:lang w:val="zh-CN"/>
        </w:rPr>
        <w:t>技术方案</w:t>
      </w:r>
      <w:bookmarkEnd w:id="0"/>
    </w:p>
    <w:p w:rsidR="0004660D" w:rsidRPr="00A04FFC" w:rsidRDefault="0004660D" w:rsidP="0004660D">
      <w:pPr>
        <w:outlineLvl w:val="1"/>
        <w:rPr>
          <w:rFonts w:ascii="黑体" w:eastAsia="黑体" w:hAnsi="黑体"/>
          <w:sz w:val="32"/>
          <w:szCs w:val="32"/>
        </w:rPr>
      </w:pPr>
      <w:bookmarkStart w:id="2" w:name="_Toc496889823"/>
      <w:bookmarkStart w:id="3" w:name="_Toc498530725"/>
      <w:r w:rsidRPr="00A04FFC">
        <w:rPr>
          <w:rFonts w:ascii="黑体" w:eastAsia="黑体" w:hAnsi="黑体" w:hint="eastAsia"/>
          <w:sz w:val="32"/>
          <w:szCs w:val="32"/>
        </w:rPr>
        <w:t>1、培训计划</w:t>
      </w:r>
      <w:bookmarkEnd w:id="2"/>
      <w:bookmarkEnd w:id="3"/>
    </w:p>
    <w:p w:rsidR="0004660D" w:rsidRPr="002A48AB" w:rsidRDefault="0004660D" w:rsidP="0004660D">
      <w:pPr>
        <w:wordWrap w:val="0"/>
        <w:topLinePunct/>
        <w:spacing w:line="360" w:lineRule="auto"/>
        <w:ind w:firstLineChars="200" w:firstLine="600"/>
        <w:rPr>
          <w:rFonts w:ascii="仿宋" w:eastAsia="仿宋" w:hAnsi="仿宋"/>
          <w:sz w:val="30"/>
          <w:szCs w:val="30"/>
        </w:rPr>
      </w:pPr>
      <w:r w:rsidRPr="002A48AB">
        <w:rPr>
          <w:rFonts w:ascii="仿宋" w:eastAsia="仿宋" w:hAnsi="仿宋" w:hint="eastAsia"/>
          <w:sz w:val="30"/>
          <w:szCs w:val="30"/>
        </w:rPr>
        <w:t>我公司为了保证系统部署后操作人员可以熟悉各种操作，我公司承诺提供免费培训服务，确保系统管理人员和操作人员能够熟练操作系统，并且进行简单的故障排查。</w:t>
      </w:r>
    </w:p>
    <w:p w:rsidR="0004660D" w:rsidRPr="002A48AB" w:rsidRDefault="0004660D" w:rsidP="0004660D">
      <w:pPr>
        <w:wordWrap w:val="0"/>
        <w:topLinePunct/>
        <w:spacing w:line="360" w:lineRule="auto"/>
        <w:ind w:firstLineChars="200" w:firstLine="600"/>
        <w:rPr>
          <w:rFonts w:ascii="仿宋" w:eastAsia="仿宋" w:hAnsi="仿宋"/>
          <w:sz w:val="30"/>
          <w:szCs w:val="30"/>
        </w:rPr>
      </w:pPr>
      <w:r>
        <w:rPr>
          <w:rFonts w:ascii="仿宋" w:eastAsia="仿宋" w:hAnsi="仿宋" w:hint="eastAsia"/>
          <w:sz w:val="30"/>
          <w:szCs w:val="30"/>
        </w:rPr>
        <w:t>1</w:t>
      </w:r>
      <w:r w:rsidRPr="002A48AB">
        <w:rPr>
          <w:rFonts w:ascii="仿宋" w:eastAsia="仿宋" w:hAnsi="仿宋" w:hint="eastAsia"/>
          <w:sz w:val="30"/>
          <w:szCs w:val="30"/>
        </w:rPr>
        <w:t>.1、培训承诺</w:t>
      </w:r>
    </w:p>
    <w:p w:rsidR="0004660D" w:rsidRPr="002A48AB" w:rsidRDefault="0004660D" w:rsidP="0004660D">
      <w:pPr>
        <w:wordWrap w:val="0"/>
        <w:topLinePunct/>
        <w:spacing w:line="360" w:lineRule="auto"/>
        <w:ind w:firstLineChars="200" w:firstLine="600"/>
        <w:rPr>
          <w:rFonts w:ascii="仿宋" w:eastAsia="仿宋" w:hAnsi="仿宋"/>
          <w:sz w:val="30"/>
          <w:szCs w:val="30"/>
        </w:rPr>
      </w:pPr>
      <w:r w:rsidRPr="002A48AB">
        <w:rPr>
          <w:rFonts w:ascii="仿宋" w:eastAsia="仿宋" w:hAnsi="仿宋" w:hint="eastAsia"/>
          <w:sz w:val="30"/>
          <w:szCs w:val="30"/>
        </w:rPr>
        <w:t>我公司承诺派出具有相应专业的实际工作和教学经验的教师和相应的辅导人员进行培训。并在培训前提交一份详细的培训计划。培训内容包括软件产品、系统集成、开发技术及工具、应用系统和其他相关技术培训，以及现场演练。</w:t>
      </w:r>
    </w:p>
    <w:p w:rsidR="0004660D" w:rsidRPr="002A48AB" w:rsidRDefault="0004660D" w:rsidP="0004660D">
      <w:pPr>
        <w:wordWrap w:val="0"/>
        <w:topLinePunct/>
        <w:spacing w:line="360" w:lineRule="auto"/>
        <w:ind w:firstLineChars="200" w:firstLine="600"/>
        <w:rPr>
          <w:rFonts w:ascii="仿宋" w:eastAsia="仿宋" w:hAnsi="仿宋"/>
          <w:sz w:val="30"/>
          <w:szCs w:val="30"/>
        </w:rPr>
      </w:pPr>
      <w:r>
        <w:rPr>
          <w:rFonts w:ascii="仿宋" w:eastAsia="仿宋" w:hAnsi="仿宋"/>
          <w:sz w:val="30"/>
          <w:szCs w:val="30"/>
        </w:rPr>
        <w:t>1</w:t>
      </w:r>
      <w:r w:rsidRPr="002A48AB">
        <w:rPr>
          <w:rFonts w:ascii="仿宋" w:eastAsia="仿宋" w:hAnsi="仿宋"/>
          <w:sz w:val="30"/>
          <w:szCs w:val="30"/>
        </w:rPr>
        <w:t>.2、</w:t>
      </w:r>
      <w:r w:rsidRPr="002A48AB">
        <w:rPr>
          <w:rFonts w:ascii="仿宋" w:eastAsia="仿宋" w:hAnsi="仿宋" w:hint="eastAsia"/>
          <w:sz w:val="30"/>
          <w:szCs w:val="30"/>
        </w:rPr>
        <w:t>培训目标</w:t>
      </w:r>
    </w:p>
    <w:p w:rsidR="0004660D" w:rsidRPr="002A48AB" w:rsidRDefault="0004660D" w:rsidP="0004660D">
      <w:pPr>
        <w:wordWrap w:val="0"/>
        <w:topLinePunct/>
        <w:spacing w:line="360" w:lineRule="auto"/>
        <w:ind w:firstLineChars="200" w:firstLine="600"/>
        <w:rPr>
          <w:rFonts w:ascii="仿宋" w:eastAsia="仿宋" w:hAnsi="仿宋"/>
          <w:sz w:val="30"/>
          <w:szCs w:val="30"/>
        </w:rPr>
      </w:pPr>
      <w:r w:rsidRPr="002A48AB">
        <w:rPr>
          <w:rFonts w:ascii="仿宋" w:eastAsia="仿宋" w:hAnsi="仿宋" w:hint="eastAsia"/>
          <w:sz w:val="30"/>
          <w:szCs w:val="30"/>
        </w:rPr>
        <w:t>培训服务实现以下目标：</w:t>
      </w:r>
    </w:p>
    <w:p w:rsidR="0004660D" w:rsidRPr="002A48AB" w:rsidRDefault="0004660D" w:rsidP="0004660D">
      <w:pPr>
        <w:pStyle w:val="a3"/>
        <w:numPr>
          <w:ilvl w:val="0"/>
          <w:numId w:val="1"/>
        </w:numPr>
        <w:wordWrap w:val="0"/>
        <w:topLinePunct/>
        <w:spacing w:line="360" w:lineRule="auto"/>
        <w:ind w:left="0" w:firstLine="600"/>
        <w:rPr>
          <w:rFonts w:ascii="仿宋" w:eastAsia="仿宋" w:hAnsi="仿宋"/>
          <w:sz w:val="30"/>
          <w:szCs w:val="30"/>
        </w:rPr>
      </w:pPr>
      <w:r w:rsidRPr="002A48AB">
        <w:rPr>
          <w:rFonts w:ascii="仿宋" w:eastAsia="仿宋" w:hAnsi="仿宋" w:hint="eastAsia"/>
          <w:sz w:val="30"/>
          <w:szCs w:val="30"/>
        </w:rPr>
        <w:t>培训对象能够掌握培训内容，能够独立地进行相关的业务应用或系统维护工作；</w:t>
      </w:r>
    </w:p>
    <w:p w:rsidR="0004660D" w:rsidRPr="002A48AB" w:rsidRDefault="0004660D" w:rsidP="0004660D">
      <w:pPr>
        <w:pStyle w:val="a3"/>
        <w:numPr>
          <w:ilvl w:val="0"/>
          <w:numId w:val="1"/>
        </w:numPr>
        <w:wordWrap w:val="0"/>
        <w:topLinePunct/>
        <w:spacing w:line="360" w:lineRule="auto"/>
        <w:ind w:left="0" w:firstLine="600"/>
        <w:rPr>
          <w:rFonts w:ascii="仿宋" w:eastAsia="仿宋" w:hAnsi="仿宋"/>
          <w:sz w:val="30"/>
          <w:szCs w:val="30"/>
        </w:rPr>
      </w:pPr>
      <w:r w:rsidRPr="002A48AB">
        <w:rPr>
          <w:rFonts w:ascii="仿宋" w:eastAsia="仿宋" w:hAnsi="仿宋" w:hint="eastAsia"/>
          <w:sz w:val="30"/>
          <w:szCs w:val="30"/>
        </w:rPr>
        <w:t>培训对象能够掌握常见故障的诊断、报告办法，了解如何有效地向系统建设方请求技术援助。</w:t>
      </w:r>
    </w:p>
    <w:p w:rsidR="0004660D" w:rsidRPr="002A48AB" w:rsidRDefault="0004660D" w:rsidP="0004660D">
      <w:pPr>
        <w:wordWrap w:val="0"/>
        <w:topLinePunct/>
        <w:spacing w:line="360" w:lineRule="auto"/>
        <w:ind w:firstLineChars="200" w:firstLine="600"/>
        <w:rPr>
          <w:rFonts w:ascii="仿宋" w:eastAsia="仿宋" w:hAnsi="仿宋"/>
          <w:sz w:val="30"/>
          <w:szCs w:val="30"/>
        </w:rPr>
      </w:pPr>
      <w:r>
        <w:rPr>
          <w:rFonts w:ascii="仿宋" w:eastAsia="仿宋" w:hAnsi="仿宋" w:hint="eastAsia"/>
          <w:sz w:val="30"/>
          <w:szCs w:val="30"/>
        </w:rPr>
        <w:t>1</w:t>
      </w:r>
      <w:r w:rsidRPr="002A48AB">
        <w:rPr>
          <w:rFonts w:ascii="仿宋" w:eastAsia="仿宋" w:hAnsi="仿宋"/>
          <w:sz w:val="30"/>
          <w:szCs w:val="30"/>
        </w:rPr>
        <w:t>.3、</w:t>
      </w:r>
      <w:r w:rsidRPr="002A48AB">
        <w:rPr>
          <w:rFonts w:ascii="仿宋" w:eastAsia="仿宋" w:hAnsi="仿宋" w:hint="eastAsia"/>
          <w:sz w:val="30"/>
          <w:szCs w:val="30"/>
        </w:rPr>
        <w:t>培训对象：</w:t>
      </w:r>
    </w:p>
    <w:p w:rsidR="0004660D" w:rsidRPr="002A48AB" w:rsidRDefault="0004660D" w:rsidP="0004660D">
      <w:pPr>
        <w:wordWrap w:val="0"/>
        <w:topLinePunct/>
        <w:spacing w:line="360" w:lineRule="auto"/>
        <w:ind w:firstLineChars="200" w:firstLine="600"/>
        <w:rPr>
          <w:rFonts w:ascii="仿宋" w:eastAsia="仿宋" w:hAnsi="仿宋"/>
          <w:sz w:val="30"/>
          <w:szCs w:val="30"/>
        </w:rPr>
      </w:pPr>
      <w:r w:rsidRPr="002A48AB">
        <w:rPr>
          <w:rFonts w:ascii="仿宋" w:eastAsia="仿宋" w:hAnsi="仿宋" w:hint="eastAsia"/>
          <w:sz w:val="30"/>
          <w:szCs w:val="30"/>
        </w:rPr>
        <w:t>培训的对象是许昌</w:t>
      </w:r>
      <w:r>
        <w:rPr>
          <w:rFonts w:ascii="仿宋" w:eastAsia="仿宋" w:hAnsi="仿宋" w:hint="eastAsia"/>
          <w:sz w:val="30"/>
          <w:szCs w:val="30"/>
        </w:rPr>
        <w:t>职业技术</w:t>
      </w:r>
      <w:r w:rsidRPr="002A48AB">
        <w:rPr>
          <w:rFonts w:ascii="仿宋" w:eastAsia="仿宋" w:hAnsi="仿宋" w:hint="eastAsia"/>
          <w:sz w:val="30"/>
          <w:szCs w:val="30"/>
        </w:rPr>
        <w:t>学院的信息化支撑部门，以及关键系统的维护和使用人员。培训包括技术维护人员培训、业务软件培训。</w:t>
      </w:r>
    </w:p>
    <w:p w:rsidR="0004660D" w:rsidRPr="002A48AB" w:rsidRDefault="0004660D" w:rsidP="0004660D">
      <w:pPr>
        <w:wordWrap w:val="0"/>
        <w:topLinePunct/>
        <w:spacing w:line="360" w:lineRule="auto"/>
        <w:ind w:firstLineChars="200" w:firstLine="600"/>
        <w:rPr>
          <w:rFonts w:ascii="仿宋" w:eastAsia="仿宋" w:hAnsi="仿宋"/>
          <w:sz w:val="30"/>
          <w:szCs w:val="30"/>
        </w:rPr>
      </w:pPr>
      <w:r>
        <w:rPr>
          <w:rFonts w:ascii="仿宋" w:eastAsia="仿宋" w:hAnsi="仿宋"/>
          <w:sz w:val="30"/>
          <w:szCs w:val="30"/>
        </w:rPr>
        <w:t>1</w:t>
      </w:r>
      <w:r w:rsidRPr="002A48AB">
        <w:rPr>
          <w:rFonts w:ascii="仿宋" w:eastAsia="仿宋" w:hAnsi="仿宋"/>
          <w:sz w:val="30"/>
          <w:szCs w:val="30"/>
        </w:rPr>
        <w:t>.4、</w:t>
      </w:r>
      <w:r w:rsidRPr="002A48AB">
        <w:rPr>
          <w:rFonts w:ascii="仿宋" w:eastAsia="仿宋" w:hAnsi="仿宋" w:hint="eastAsia"/>
          <w:sz w:val="30"/>
          <w:szCs w:val="30"/>
        </w:rPr>
        <w:t>培训形式</w:t>
      </w:r>
    </w:p>
    <w:p w:rsidR="0004660D" w:rsidRPr="002A48AB" w:rsidRDefault="0004660D" w:rsidP="0004660D">
      <w:pPr>
        <w:wordWrap w:val="0"/>
        <w:topLinePunct/>
        <w:spacing w:line="360" w:lineRule="auto"/>
        <w:ind w:firstLineChars="200" w:firstLine="600"/>
        <w:rPr>
          <w:rFonts w:ascii="仿宋" w:eastAsia="仿宋" w:hAnsi="仿宋"/>
          <w:sz w:val="30"/>
          <w:szCs w:val="30"/>
        </w:rPr>
      </w:pPr>
      <w:r w:rsidRPr="002A48AB">
        <w:rPr>
          <w:rFonts w:ascii="仿宋" w:eastAsia="仿宋" w:hAnsi="仿宋" w:hint="eastAsia"/>
          <w:sz w:val="30"/>
          <w:szCs w:val="30"/>
        </w:rPr>
        <w:lastRenderedPageBreak/>
        <w:t>培训服务为现场集中培训。</w:t>
      </w:r>
    </w:p>
    <w:p w:rsidR="0004660D" w:rsidRPr="002A48AB" w:rsidRDefault="0004660D" w:rsidP="0004660D">
      <w:pPr>
        <w:wordWrap w:val="0"/>
        <w:topLinePunct/>
        <w:spacing w:line="360" w:lineRule="auto"/>
        <w:ind w:firstLineChars="200" w:firstLine="600"/>
        <w:rPr>
          <w:rFonts w:ascii="仿宋" w:eastAsia="仿宋" w:hAnsi="仿宋"/>
          <w:sz w:val="30"/>
          <w:szCs w:val="30"/>
        </w:rPr>
      </w:pPr>
      <w:r w:rsidRPr="002A48AB">
        <w:rPr>
          <w:rFonts w:ascii="仿宋" w:eastAsia="仿宋" w:hAnsi="仿宋" w:hint="eastAsia"/>
          <w:sz w:val="30"/>
          <w:szCs w:val="30"/>
        </w:rPr>
        <w:t>项目计划集中许昌</w:t>
      </w:r>
      <w:r>
        <w:rPr>
          <w:rFonts w:ascii="仿宋" w:eastAsia="仿宋" w:hAnsi="仿宋" w:hint="eastAsia"/>
          <w:sz w:val="30"/>
          <w:szCs w:val="30"/>
        </w:rPr>
        <w:t>职业技术</w:t>
      </w:r>
      <w:r w:rsidRPr="002A48AB">
        <w:rPr>
          <w:rFonts w:ascii="仿宋" w:eastAsia="仿宋" w:hAnsi="仿宋" w:hint="eastAsia"/>
          <w:sz w:val="30"/>
          <w:szCs w:val="30"/>
        </w:rPr>
        <w:t>学院相关人员（机构领导、业务处理人员、系统管理维护人员等）进行现场集中培训。集中培训计划采用脱产模式。</w:t>
      </w:r>
    </w:p>
    <w:p w:rsidR="0004660D" w:rsidRPr="002A48AB" w:rsidRDefault="0004660D" w:rsidP="0004660D">
      <w:pPr>
        <w:wordWrap w:val="0"/>
        <w:topLinePunct/>
        <w:spacing w:line="360" w:lineRule="auto"/>
        <w:ind w:firstLineChars="200" w:firstLine="600"/>
        <w:rPr>
          <w:rFonts w:ascii="仿宋" w:eastAsia="仿宋" w:hAnsi="仿宋"/>
          <w:sz w:val="30"/>
          <w:szCs w:val="30"/>
        </w:rPr>
      </w:pPr>
      <w:r w:rsidRPr="002A48AB">
        <w:rPr>
          <w:rFonts w:ascii="仿宋" w:eastAsia="仿宋" w:hAnsi="仿宋" w:hint="eastAsia"/>
          <w:sz w:val="30"/>
          <w:szCs w:val="30"/>
        </w:rPr>
        <w:t>培训包括三个部分：</w:t>
      </w:r>
    </w:p>
    <w:p w:rsidR="0004660D" w:rsidRPr="002A48AB" w:rsidRDefault="0004660D" w:rsidP="0004660D">
      <w:pPr>
        <w:pStyle w:val="a3"/>
        <w:numPr>
          <w:ilvl w:val="0"/>
          <w:numId w:val="2"/>
        </w:numPr>
        <w:wordWrap w:val="0"/>
        <w:topLinePunct/>
        <w:spacing w:line="360" w:lineRule="auto"/>
        <w:ind w:firstLineChars="0"/>
        <w:rPr>
          <w:rFonts w:ascii="仿宋" w:eastAsia="仿宋" w:hAnsi="仿宋"/>
          <w:sz w:val="30"/>
          <w:szCs w:val="30"/>
        </w:rPr>
      </w:pPr>
      <w:r w:rsidRPr="002A48AB">
        <w:rPr>
          <w:rFonts w:ascii="仿宋" w:eastAsia="仿宋" w:hAnsi="仿宋" w:hint="eastAsia"/>
          <w:sz w:val="30"/>
          <w:szCs w:val="30"/>
        </w:rPr>
        <w:t>理论技能部份；</w:t>
      </w:r>
    </w:p>
    <w:p w:rsidR="0004660D" w:rsidRPr="002A48AB" w:rsidRDefault="0004660D" w:rsidP="0004660D">
      <w:pPr>
        <w:pStyle w:val="a3"/>
        <w:numPr>
          <w:ilvl w:val="0"/>
          <w:numId w:val="2"/>
        </w:numPr>
        <w:wordWrap w:val="0"/>
        <w:topLinePunct/>
        <w:spacing w:line="360" w:lineRule="auto"/>
        <w:ind w:firstLineChars="0"/>
        <w:rPr>
          <w:rFonts w:ascii="仿宋" w:eastAsia="仿宋" w:hAnsi="仿宋"/>
          <w:sz w:val="30"/>
          <w:szCs w:val="30"/>
        </w:rPr>
      </w:pPr>
      <w:r w:rsidRPr="002A48AB">
        <w:rPr>
          <w:rFonts w:ascii="仿宋" w:eastAsia="仿宋" w:hAnsi="仿宋" w:hint="eastAsia"/>
          <w:sz w:val="30"/>
          <w:szCs w:val="30"/>
        </w:rPr>
        <w:t>实践上机操作及</w:t>
      </w:r>
      <w:proofErr w:type="gramStart"/>
      <w:r w:rsidRPr="002A48AB">
        <w:rPr>
          <w:rFonts w:ascii="仿宋" w:eastAsia="仿宋" w:hAnsi="仿宋" w:hint="eastAsia"/>
          <w:sz w:val="30"/>
          <w:szCs w:val="30"/>
        </w:rPr>
        <w:t>练习部</w:t>
      </w:r>
      <w:proofErr w:type="gramEnd"/>
      <w:r w:rsidRPr="002A48AB">
        <w:rPr>
          <w:rFonts w:ascii="仿宋" w:eastAsia="仿宋" w:hAnsi="仿宋" w:hint="eastAsia"/>
          <w:sz w:val="30"/>
          <w:szCs w:val="30"/>
        </w:rPr>
        <w:t>份；</w:t>
      </w:r>
    </w:p>
    <w:p w:rsidR="0004660D" w:rsidRPr="002A48AB" w:rsidRDefault="0004660D" w:rsidP="0004660D">
      <w:pPr>
        <w:pStyle w:val="a3"/>
        <w:numPr>
          <w:ilvl w:val="0"/>
          <w:numId w:val="2"/>
        </w:numPr>
        <w:wordWrap w:val="0"/>
        <w:topLinePunct/>
        <w:spacing w:line="360" w:lineRule="auto"/>
        <w:ind w:firstLineChars="0"/>
        <w:rPr>
          <w:rFonts w:ascii="仿宋" w:eastAsia="仿宋" w:hAnsi="仿宋"/>
          <w:sz w:val="30"/>
          <w:szCs w:val="30"/>
        </w:rPr>
      </w:pPr>
      <w:r w:rsidRPr="002A48AB">
        <w:rPr>
          <w:rFonts w:ascii="仿宋" w:eastAsia="仿宋" w:hAnsi="仿宋" w:hint="eastAsia"/>
          <w:sz w:val="30"/>
          <w:szCs w:val="30"/>
        </w:rPr>
        <w:t>研究讨论时间</w:t>
      </w:r>
    </w:p>
    <w:p w:rsidR="0004660D" w:rsidRPr="00987848" w:rsidRDefault="0004660D" w:rsidP="0004660D">
      <w:pPr>
        <w:rPr>
          <w:lang w:val="zh-CN"/>
        </w:rPr>
      </w:pPr>
    </w:p>
    <w:p w:rsidR="0004660D" w:rsidRPr="00A04FFC" w:rsidRDefault="0004660D" w:rsidP="0004660D">
      <w:pPr>
        <w:outlineLvl w:val="1"/>
        <w:rPr>
          <w:rFonts w:ascii="黑体" w:eastAsia="黑体" w:hAnsi="黑体"/>
          <w:sz w:val="32"/>
          <w:szCs w:val="32"/>
        </w:rPr>
      </w:pPr>
      <w:bookmarkStart w:id="4" w:name="_Toc496889824"/>
      <w:bookmarkStart w:id="5" w:name="_Toc498530726"/>
      <w:r w:rsidRPr="00A04FFC">
        <w:rPr>
          <w:rFonts w:ascii="黑体" w:eastAsia="黑体" w:hAnsi="黑体"/>
          <w:sz w:val="32"/>
          <w:szCs w:val="32"/>
        </w:rPr>
        <w:t>2、交货</w:t>
      </w:r>
      <w:r w:rsidRPr="00A04FFC">
        <w:rPr>
          <w:rFonts w:ascii="黑体" w:eastAsia="黑体" w:hAnsi="黑体" w:hint="eastAsia"/>
          <w:sz w:val="32"/>
          <w:szCs w:val="32"/>
        </w:rPr>
        <w:t>安排</w:t>
      </w:r>
      <w:bookmarkEnd w:id="4"/>
      <w:bookmarkEnd w:id="5"/>
      <w:r w:rsidRPr="00A04FFC">
        <w:rPr>
          <w:rFonts w:ascii="黑体" w:eastAsia="黑体" w:hAnsi="黑体"/>
          <w:sz w:val="32"/>
          <w:szCs w:val="32"/>
        </w:rPr>
        <w:t xml:space="preserve"> </w:t>
      </w:r>
    </w:p>
    <w:p w:rsidR="0004660D" w:rsidRPr="00A04FFC" w:rsidRDefault="0004660D" w:rsidP="0004660D">
      <w:pPr>
        <w:ind w:firstLineChars="200" w:firstLine="600"/>
        <w:rPr>
          <w:rFonts w:ascii="仿宋" w:eastAsia="仿宋" w:hAnsi="仿宋"/>
          <w:sz w:val="30"/>
          <w:szCs w:val="30"/>
        </w:rPr>
      </w:pPr>
      <w:r>
        <w:rPr>
          <w:rFonts w:ascii="仿宋" w:eastAsia="仿宋" w:hAnsi="仿宋"/>
          <w:sz w:val="30"/>
          <w:szCs w:val="30"/>
        </w:rPr>
        <w:t>2.1</w:t>
      </w:r>
      <w:r>
        <w:rPr>
          <w:rFonts w:ascii="仿宋" w:eastAsia="仿宋" w:hAnsi="仿宋" w:hint="eastAsia"/>
          <w:sz w:val="30"/>
          <w:szCs w:val="30"/>
        </w:rPr>
        <w:t>、</w:t>
      </w:r>
      <w:r w:rsidRPr="00A04FFC">
        <w:rPr>
          <w:rFonts w:ascii="仿宋" w:eastAsia="仿宋" w:hAnsi="仿宋"/>
          <w:sz w:val="30"/>
          <w:szCs w:val="30"/>
        </w:rPr>
        <w:t>交货地点：</w:t>
      </w:r>
      <w:r w:rsidRPr="00A04FFC">
        <w:rPr>
          <w:rFonts w:ascii="仿宋" w:eastAsia="仿宋" w:hAnsi="仿宋" w:hint="eastAsia"/>
          <w:sz w:val="30"/>
          <w:szCs w:val="30"/>
        </w:rPr>
        <w:t>甲方</w:t>
      </w:r>
      <w:r w:rsidRPr="00A04FFC">
        <w:rPr>
          <w:rFonts w:ascii="仿宋" w:eastAsia="仿宋" w:hAnsi="仿宋"/>
          <w:sz w:val="30"/>
          <w:szCs w:val="30"/>
        </w:rPr>
        <w:t>指定地点。</w:t>
      </w:r>
    </w:p>
    <w:p w:rsidR="0004660D" w:rsidRPr="00A04FFC" w:rsidRDefault="0004660D" w:rsidP="0004660D">
      <w:pPr>
        <w:ind w:firstLineChars="200" w:firstLine="600"/>
        <w:rPr>
          <w:rFonts w:ascii="仿宋" w:eastAsia="仿宋" w:hAnsi="仿宋"/>
          <w:sz w:val="30"/>
          <w:szCs w:val="30"/>
        </w:rPr>
      </w:pPr>
      <w:r>
        <w:rPr>
          <w:rFonts w:ascii="仿宋" w:eastAsia="仿宋" w:hAnsi="仿宋"/>
          <w:sz w:val="30"/>
          <w:szCs w:val="30"/>
        </w:rPr>
        <w:t>2.2</w:t>
      </w:r>
      <w:r>
        <w:rPr>
          <w:rFonts w:ascii="仿宋" w:eastAsia="仿宋" w:hAnsi="仿宋" w:hint="eastAsia"/>
          <w:sz w:val="30"/>
          <w:szCs w:val="30"/>
        </w:rPr>
        <w:t>、</w:t>
      </w:r>
      <w:r w:rsidRPr="00A04FFC">
        <w:rPr>
          <w:rFonts w:ascii="仿宋" w:eastAsia="仿宋" w:hAnsi="仿宋"/>
          <w:sz w:val="30"/>
          <w:szCs w:val="30"/>
        </w:rPr>
        <w:t xml:space="preserve">交货时间：合同签订后15日内交货。 </w:t>
      </w:r>
    </w:p>
    <w:p w:rsidR="0004660D" w:rsidRPr="00A04FFC" w:rsidRDefault="0004660D" w:rsidP="0004660D">
      <w:pPr>
        <w:ind w:firstLineChars="200" w:firstLine="600"/>
        <w:rPr>
          <w:rFonts w:ascii="仿宋" w:eastAsia="仿宋" w:hAnsi="仿宋"/>
          <w:sz w:val="30"/>
          <w:szCs w:val="30"/>
        </w:rPr>
      </w:pPr>
      <w:r>
        <w:rPr>
          <w:rFonts w:ascii="仿宋" w:eastAsia="仿宋" w:hAnsi="仿宋"/>
          <w:sz w:val="30"/>
          <w:szCs w:val="30"/>
        </w:rPr>
        <w:t>2</w:t>
      </w:r>
      <w:r w:rsidRPr="00A04FFC">
        <w:rPr>
          <w:rFonts w:ascii="仿宋" w:eastAsia="仿宋" w:hAnsi="仿宋"/>
          <w:sz w:val="30"/>
          <w:szCs w:val="30"/>
        </w:rPr>
        <w:t>.3</w:t>
      </w:r>
      <w:r>
        <w:rPr>
          <w:rFonts w:ascii="仿宋" w:eastAsia="仿宋" w:hAnsi="仿宋" w:hint="eastAsia"/>
          <w:sz w:val="30"/>
          <w:szCs w:val="30"/>
        </w:rPr>
        <w:t>、</w:t>
      </w:r>
      <w:r w:rsidRPr="00A04FFC">
        <w:rPr>
          <w:rFonts w:ascii="仿宋" w:eastAsia="仿宋" w:hAnsi="仿宋"/>
          <w:sz w:val="30"/>
          <w:szCs w:val="30"/>
        </w:rPr>
        <w:t xml:space="preserve">交货方式：设备到达指定的场所后经用户检验合格方可交货。 </w:t>
      </w:r>
    </w:p>
    <w:p w:rsidR="0004660D" w:rsidRPr="00A04FFC" w:rsidRDefault="0004660D" w:rsidP="0004660D">
      <w:pPr>
        <w:ind w:firstLineChars="200" w:firstLine="600"/>
        <w:rPr>
          <w:rFonts w:ascii="仿宋" w:eastAsia="仿宋" w:hAnsi="仿宋"/>
          <w:sz w:val="30"/>
          <w:szCs w:val="30"/>
        </w:rPr>
      </w:pPr>
      <w:r>
        <w:rPr>
          <w:rFonts w:ascii="仿宋" w:eastAsia="仿宋" w:hAnsi="仿宋"/>
          <w:sz w:val="30"/>
          <w:szCs w:val="30"/>
        </w:rPr>
        <w:t>2.4</w:t>
      </w:r>
      <w:r>
        <w:rPr>
          <w:rFonts w:ascii="仿宋" w:eastAsia="仿宋" w:hAnsi="仿宋" w:hint="eastAsia"/>
          <w:sz w:val="30"/>
          <w:szCs w:val="30"/>
        </w:rPr>
        <w:t>、</w:t>
      </w:r>
      <w:r w:rsidRPr="00A04FFC">
        <w:rPr>
          <w:rFonts w:ascii="仿宋" w:eastAsia="仿宋" w:hAnsi="仿宋"/>
          <w:sz w:val="30"/>
          <w:szCs w:val="30"/>
        </w:rPr>
        <w:t>运输条件：专车汽运，运费由我方承担</w:t>
      </w:r>
    </w:p>
    <w:p w:rsidR="0004660D" w:rsidRPr="00A04FFC" w:rsidRDefault="0004660D" w:rsidP="0004660D">
      <w:pPr>
        <w:outlineLvl w:val="1"/>
        <w:rPr>
          <w:rFonts w:ascii="黑体" w:eastAsia="黑体" w:hAnsi="黑体"/>
          <w:sz w:val="32"/>
          <w:szCs w:val="32"/>
        </w:rPr>
      </w:pPr>
      <w:bookmarkStart w:id="6" w:name="_Toc496889825"/>
      <w:bookmarkStart w:id="7" w:name="_Toc498530727"/>
      <w:r w:rsidRPr="00A04FFC">
        <w:rPr>
          <w:rFonts w:ascii="黑体" w:eastAsia="黑体" w:hAnsi="黑体"/>
          <w:sz w:val="32"/>
          <w:szCs w:val="32"/>
        </w:rPr>
        <w:t>3、</w:t>
      </w:r>
      <w:r w:rsidRPr="00A04FFC">
        <w:rPr>
          <w:rFonts w:ascii="黑体" w:eastAsia="黑体" w:hAnsi="黑体" w:hint="eastAsia"/>
          <w:sz w:val="32"/>
          <w:szCs w:val="32"/>
        </w:rPr>
        <w:t>验收标准</w:t>
      </w:r>
      <w:bookmarkEnd w:id="6"/>
      <w:bookmarkEnd w:id="7"/>
    </w:p>
    <w:p w:rsidR="0004660D" w:rsidRPr="00404CD8" w:rsidRDefault="0004660D" w:rsidP="0004660D">
      <w:pPr>
        <w:ind w:firstLineChars="200" w:firstLine="640"/>
        <w:rPr>
          <w:rFonts w:ascii="仿宋" w:eastAsia="仿宋" w:hAnsi="仿宋"/>
          <w:sz w:val="32"/>
          <w:szCs w:val="32"/>
        </w:rPr>
      </w:pPr>
      <w:r>
        <w:rPr>
          <w:rFonts w:ascii="仿宋" w:eastAsia="仿宋" w:hAnsi="仿宋"/>
          <w:sz w:val="32"/>
          <w:szCs w:val="32"/>
        </w:rPr>
        <w:t>3</w:t>
      </w:r>
      <w:r w:rsidRPr="00404CD8">
        <w:rPr>
          <w:rFonts w:ascii="仿宋" w:eastAsia="仿宋" w:hAnsi="仿宋"/>
          <w:sz w:val="32"/>
          <w:szCs w:val="32"/>
        </w:rPr>
        <w:t>.1</w:t>
      </w:r>
      <w:r>
        <w:rPr>
          <w:rFonts w:ascii="仿宋" w:eastAsia="仿宋" w:hAnsi="仿宋" w:hint="eastAsia"/>
          <w:sz w:val="32"/>
          <w:szCs w:val="32"/>
        </w:rPr>
        <w:t>、</w:t>
      </w:r>
      <w:r w:rsidRPr="00404CD8">
        <w:rPr>
          <w:rFonts w:ascii="仿宋" w:eastAsia="仿宋" w:hAnsi="仿宋"/>
          <w:sz w:val="32"/>
          <w:szCs w:val="32"/>
        </w:rPr>
        <w:t xml:space="preserve">质量验收方式：按照国家标准、行业规程或其他相关标准进行产品验收；按照企业产品说明书进行产品验收。 </w:t>
      </w:r>
    </w:p>
    <w:p w:rsidR="0004660D" w:rsidRPr="00404CD8" w:rsidRDefault="0004660D" w:rsidP="0004660D">
      <w:pPr>
        <w:ind w:firstLineChars="200" w:firstLine="640"/>
        <w:rPr>
          <w:rFonts w:ascii="仿宋" w:eastAsia="仿宋" w:hAnsi="仿宋"/>
          <w:sz w:val="32"/>
          <w:szCs w:val="32"/>
        </w:rPr>
      </w:pPr>
      <w:r>
        <w:rPr>
          <w:rFonts w:ascii="仿宋" w:eastAsia="仿宋" w:hAnsi="仿宋"/>
          <w:sz w:val="32"/>
          <w:szCs w:val="32"/>
        </w:rPr>
        <w:t>3.2</w:t>
      </w:r>
      <w:r>
        <w:rPr>
          <w:rFonts w:ascii="仿宋" w:eastAsia="仿宋" w:hAnsi="仿宋" w:hint="eastAsia"/>
          <w:sz w:val="32"/>
          <w:szCs w:val="32"/>
        </w:rPr>
        <w:t>、</w:t>
      </w:r>
      <w:r w:rsidRPr="00404CD8">
        <w:rPr>
          <w:rFonts w:ascii="仿宋" w:eastAsia="仿宋" w:hAnsi="仿宋"/>
          <w:sz w:val="32"/>
          <w:szCs w:val="32"/>
        </w:rPr>
        <w:t>数量验收方式：按合同要求及装箱清单、产品配置清单与产品组件三者一致并且随附产品说明书、产品出厂合格证，使用手册等全套技术资料。</w:t>
      </w:r>
    </w:p>
    <w:p w:rsidR="0004660D" w:rsidRPr="00097CEB" w:rsidRDefault="0004660D" w:rsidP="0004660D">
      <w:pPr>
        <w:outlineLvl w:val="1"/>
        <w:rPr>
          <w:rFonts w:ascii="黑体" w:eastAsia="黑体" w:hAnsi="黑体"/>
          <w:sz w:val="32"/>
          <w:szCs w:val="32"/>
        </w:rPr>
      </w:pPr>
      <w:bookmarkStart w:id="8" w:name="_Toc496889826"/>
      <w:bookmarkStart w:id="9" w:name="_Toc498530728"/>
      <w:r w:rsidRPr="00097CEB">
        <w:rPr>
          <w:rFonts w:ascii="黑体" w:eastAsia="黑体" w:hAnsi="黑体"/>
          <w:sz w:val="32"/>
          <w:szCs w:val="32"/>
        </w:rPr>
        <w:t>4、备品备件</w:t>
      </w:r>
      <w:bookmarkEnd w:id="8"/>
      <w:bookmarkEnd w:id="9"/>
    </w:p>
    <w:p w:rsidR="00B51BA8" w:rsidRPr="0004660D" w:rsidRDefault="0004660D" w:rsidP="0004660D">
      <w:r w:rsidRPr="00404CD8">
        <w:rPr>
          <w:rFonts w:ascii="仿宋" w:eastAsia="仿宋" w:hAnsi="仿宋"/>
          <w:sz w:val="32"/>
          <w:szCs w:val="32"/>
        </w:rPr>
        <w:t>设备中包含的易损、易坏的原件，备品备件由厂家在装箱清单中列出，交货时与设备一同交付；若设备中的原件是由于非正常操作仪器而损坏，公司根据实际情况保修，提供相应的备品备件，公司备有足够的易损件给用户，为用户仪器运行提供强有力的支持。</w:t>
      </w:r>
    </w:p>
    <w:sectPr w:rsidR="00B51BA8" w:rsidRPr="0004660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20059"/>
    <w:multiLevelType w:val="hybridMultilevel"/>
    <w:tmpl w:val="04A6A10E"/>
    <w:lvl w:ilvl="0" w:tplc="04090009">
      <w:start w:val="1"/>
      <w:numFmt w:val="bullet"/>
      <w:lvlText w:val=""/>
      <w:lvlJc w:val="left"/>
      <w:pPr>
        <w:ind w:left="1022" w:hanging="420"/>
      </w:pPr>
      <w:rPr>
        <w:rFonts w:ascii="Wingdings" w:hAnsi="Wingdings" w:hint="default"/>
      </w:rPr>
    </w:lvl>
    <w:lvl w:ilvl="1" w:tplc="04090003" w:tentative="1">
      <w:start w:val="1"/>
      <w:numFmt w:val="bullet"/>
      <w:lvlText w:val=""/>
      <w:lvlJc w:val="left"/>
      <w:pPr>
        <w:ind w:left="1442" w:hanging="420"/>
      </w:pPr>
      <w:rPr>
        <w:rFonts w:ascii="Wingdings" w:hAnsi="Wingdings" w:hint="default"/>
      </w:rPr>
    </w:lvl>
    <w:lvl w:ilvl="2" w:tplc="04090005" w:tentative="1">
      <w:start w:val="1"/>
      <w:numFmt w:val="bullet"/>
      <w:lvlText w:val=""/>
      <w:lvlJc w:val="left"/>
      <w:pPr>
        <w:ind w:left="1862" w:hanging="420"/>
      </w:pPr>
      <w:rPr>
        <w:rFonts w:ascii="Wingdings" w:hAnsi="Wingdings" w:hint="default"/>
      </w:rPr>
    </w:lvl>
    <w:lvl w:ilvl="3" w:tplc="04090001" w:tentative="1">
      <w:start w:val="1"/>
      <w:numFmt w:val="bullet"/>
      <w:lvlText w:val=""/>
      <w:lvlJc w:val="left"/>
      <w:pPr>
        <w:ind w:left="2282" w:hanging="420"/>
      </w:pPr>
      <w:rPr>
        <w:rFonts w:ascii="Wingdings" w:hAnsi="Wingdings" w:hint="default"/>
      </w:rPr>
    </w:lvl>
    <w:lvl w:ilvl="4" w:tplc="04090003" w:tentative="1">
      <w:start w:val="1"/>
      <w:numFmt w:val="bullet"/>
      <w:lvlText w:val=""/>
      <w:lvlJc w:val="left"/>
      <w:pPr>
        <w:ind w:left="2702" w:hanging="420"/>
      </w:pPr>
      <w:rPr>
        <w:rFonts w:ascii="Wingdings" w:hAnsi="Wingdings" w:hint="default"/>
      </w:rPr>
    </w:lvl>
    <w:lvl w:ilvl="5" w:tplc="04090005" w:tentative="1">
      <w:start w:val="1"/>
      <w:numFmt w:val="bullet"/>
      <w:lvlText w:val=""/>
      <w:lvlJc w:val="left"/>
      <w:pPr>
        <w:ind w:left="3122" w:hanging="420"/>
      </w:pPr>
      <w:rPr>
        <w:rFonts w:ascii="Wingdings" w:hAnsi="Wingdings" w:hint="default"/>
      </w:rPr>
    </w:lvl>
    <w:lvl w:ilvl="6" w:tplc="04090001" w:tentative="1">
      <w:start w:val="1"/>
      <w:numFmt w:val="bullet"/>
      <w:lvlText w:val=""/>
      <w:lvlJc w:val="left"/>
      <w:pPr>
        <w:ind w:left="3542" w:hanging="420"/>
      </w:pPr>
      <w:rPr>
        <w:rFonts w:ascii="Wingdings" w:hAnsi="Wingdings" w:hint="default"/>
      </w:rPr>
    </w:lvl>
    <w:lvl w:ilvl="7" w:tplc="04090003" w:tentative="1">
      <w:start w:val="1"/>
      <w:numFmt w:val="bullet"/>
      <w:lvlText w:val=""/>
      <w:lvlJc w:val="left"/>
      <w:pPr>
        <w:ind w:left="3962" w:hanging="420"/>
      </w:pPr>
      <w:rPr>
        <w:rFonts w:ascii="Wingdings" w:hAnsi="Wingdings" w:hint="default"/>
      </w:rPr>
    </w:lvl>
    <w:lvl w:ilvl="8" w:tplc="04090005" w:tentative="1">
      <w:start w:val="1"/>
      <w:numFmt w:val="bullet"/>
      <w:lvlText w:val=""/>
      <w:lvlJc w:val="left"/>
      <w:pPr>
        <w:ind w:left="4382" w:hanging="420"/>
      </w:pPr>
      <w:rPr>
        <w:rFonts w:ascii="Wingdings" w:hAnsi="Wingdings" w:hint="default"/>
      </w:rPr>
    </w:lvl>
  </w:abstractNum>
  <w:abstractNum w:abstractNumId="1" w15:restartNumberingAfterBreak="0">
    <w:nsid w:val="3F5D0827"/>
    <w:multiLevelType w:val="hybridMultilevel"/>
    <w:tmpl w:val="DA463442"/>
    <w:lvl w:ilvl="0" w:tplc="04090009">
      <w:start w:val="1"/>
      <w:numFmt w:val="bullet"/>
      <w:lvlText w:val=""/>
      <w:lvlJc w:val="left"/>
      <w:pPr>
        <w:ind w:left="1022" w:hanging="420"/>
      </w:pPr>
      <w:rPr>
        <w:rFonts w:ascii="Wingdings" w:hAnsi="Wingdings" w:hint="default"/>
      </w:rPr>
    </w:lvl>
    <w:lvl w:ilvl="1" w:tplc="04090003" w:tentative="1">
      <w:start w:val="1"/>
      <w:numFmt w:val="bullet"/>
      <w:lvlText w:val=""/>
      <w:lvlJc w:val="left"/>
      <w:pPr>
        <w:ind w:left="1442" w:hanging="420"/>
      </w:pPr>
      <w:rPr>
        <w:rFonts w:ascii="Wingdings" w:hAnsi="Wingdings" w:hint="default"/>
      </w:rPr>
    </w:lvl>
    <w:lvl w:ilvl="2" w:tplc="04090005" w:tentative="1">
      <w:start w:val="1"/>
      <w:numFmt w:val="bullet"/>
      <w:lvlText w:val=""/>
      <w:lvlJc w:val="left"/>
      <w:pPr>
        <w:ind w:left="1862" w:hanging="420"/>
      </w:pPr>
      <w:rPr>
        <w:rFonts w:ascii="Wingdings" w:hAnsi="Wingdings" w:hint="default"/>
      </w:rPr>
    </w:lvl>
    <w:lvl w:ilvl="3" w:tplc="04090001" w:tentative="1">
      <w:start w:val="1"/>
      <w:numFmt w:val="bullet"/>
      <w:lvlText w:val=""/>
      <w:lvlJc w:val="left"/>
      <w:pPr>
        <w:ind w:left="2282" w:hanging="420"/>
      </w:pPr>
      <w:rPr>
        <w:rFonts w:ascii="Wingdings" w:hAnsi="Wingdings" w:hint="default"/>
      </w:rPr>
    </w:lvl>
    <w:lvl w:ilvl="4" w:tplc="04090003" w:tentative="1">
      <w:start w:val="1"/>
      <w:numFmt w:val="bullet"/>
      <w:lvlText w:val=""/>
      <w:lvlJc w:val="left"/>
      <w:pPr>
        <w:ind w:left="2702" w:hanging="420"/>
      </w:pPr>
      <w:rPr>
        <w:rFonts w:ascii="Wingdings" w:hAnsi="Wingdings" w:hint="default"/>
      </w:rPr>
    </w:lvl>
    <w:lvl w:ilvl="5" w:tplc="04090005" w:tentative="1">
      <w:start w:val="1"/>
      <w:numFmt w:val="bullet"/>
      <w:lvlText w:val=""/>
      <w:lvlJc w:val="left"/>
      <w:pPr>
        <w:ind w:left="3122" w:hanging="420"/>
      </w:pPr>
      <w:rPr>
        <w:rFonts w:ascii="Wingdings" w:hAnsi="Wingdings" w:hint="default"/>
      </w:rPr>
    </w:lvl>
    <w:lvl w:ilvl="6" w:tplc="04090001" w:tentative="1">
      <w:start w:val="1"/>
      <w:numFmt w:val="bullet"/>
      <w:lvlText w:val=""/>
      <w:lvlJc w:val="left"/>
      <w:pPr>
        <w:ind w:left="3542" w:hanging="420"/>
      </w:pPr>
      <w:rPr>
        <w:rFonts w:ascii="Wingdings" w:hAnsi="Wingdings" w:hint="default"/>
      </w:rPr>
    </w:lvl>
    <w:lvl w:ilvl="7" w:tplc="04090003" w:tentative="1">
      <w:start w:val="1"/>
      <w:numFmt w:val="bullet"/>
      <w:lvlText w:val=""/>
      <w:lvlJc w:val="left"/>
      <w:pPr>
        <w:ind w:left="3962" w:hanging="420"/>
      </w:pPr>
      <w:rPr>
        <w:rFonts w:ascii="Wingdings" w:hAnsi="Wingdings" w:hint="default"/>
      </w:rPr>
    </w:lvl>
    <w:lvl w:ilvl="8" w:tplc="04090005" w:tentative="1">
      <w:start w:val="1"/>
      <w:numFmt w:val="bullet"/>
      <w:lvlText w:val=""/>
      <w:lvlJc w:val="left"/>
      <w:pPr>
        <w:ind w:left="4382"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C0D"/>
    <w:rsid w:val="0004660D"/>
    <w:rsid w:val="00B51BA8"/>
    <w:rsid w:val="00D30C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0BC4D"/>
  <w15:chartTrackingRefBased/>
  <w15:docId w15:val="{61F50692-C01A-4082-9FCE-471F3A1E3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0C0D"/>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D30C0D"/>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D30C0D"/>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D30C0D"/>
    <w:rPr>
      <w:rFonts w:ascii="Times New Roman" w:eastAsia="宋体" w:hAnsi="Times New Roman" w:cs="Times New Roman"/>
      <w:b/>
      <w:bCs/>
      <w:kern w:val="44"/>
      <w:sz w:val="44"/>
      <w:szCs w:val="44"/>
    </w:rPr>
  </w:style>
  <w:style w:type="character" w:customStyle="1" w:styleId="20">
    <w:name w:val="标题 2 字符"/>
    <w:basedOn w:val="a0"/>
    <w:link w:val="2"/>
    <w:uiPriority w:val="9"/>
    <w:rsid w:val="00D30C0D"/>
    <w:rPr>
      <w:rFonts w:asciiTheme="majorHAnsi" w:eastAsiaTheme="majorEastAsia" w:hAnsiTheme="majorHAnsi" w:cstheme="majorBidi"/>
      <w:b/>
      <w:bCs/>
      <w:sz w:val="32"/>
      <w:szCs w:val="32"/>
    </w:rPr>
  </w:style>
  <w:style w:type="paragraph" w:styleId="a3">
    <w:name w:val="List Paragraph"/>
    <w:basedOn w:val="a"/>
    <w:uiPriority w:val="34"/>
    <w:qFormat/>
    <w:rsid w:val="0004660D"/>
    <w:pPr>
      <w:ind w:firstLineChars="200" w:firstLine="42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Words>
  <Characters>719</Characters>
  <Application>Microsoft Office Word</Application>
  <DocSecurity>0</DocSecurity>
  <Lines>5</Lines>
  <Paragraphs>1</Paragraphs>
  <ScaleCrop>false</ScaleCrop>
  <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尚钰龙</dc:creator>
  <cp:keywords/>
  <dc:description/>
  <cp:lastModifiedBy>尚钰龙</cp:lastModifiedBy>
  <cp:revision>2</cp:revision>
  <dcterms:created xsi:type="dcterms:W3CDTF">2017-11-24T03:07:00Z</dcterms:created>
  <dcterms:modified xsi:type="dcterms:W3CDTF">2017-11-24T03:07:00Z</dcterms:modified>
</cp:coreProperties>
</file>