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宋体" w:hAnsi="宋体" w:eastAsia="宋体" w:cs="宋体"/>
          <w:b w:val="0"/>
          <w:color w:val="000000"/>
          <w:kern w:val="0"/>
          <w:sz w:val="32"/>
          <w:szCs w:val="32"/>
        </w:rPr>
      </w:pPr>
      <w:r>
        <w:rPr>
          <w:rFonts w:hint="eastAsia" w:ascii="宋体" w:hAnsi="宋体" w:eastAsia="宋体" w:cs="宋体"/>
          <w:b/>
          <w:bCs/>
          <w:sz w:val="32"/>
          <w:szCs w:val="32"/>
        </w:rPr>
        <w:t>鄢陵县不动产登记平台部署硬件配置项目</w:t>
      </w:r>
      <w:r>
        <w:rPr>
          <w:rFonts w:hint="eastAsia" w:ascii="宋体" w:hAnsi="宋体" w:eastAsia="宋体" w:cs="宋体"/>
          <w:b/>
          <w:bCs w:val="0"/>
          <w:color w:val="000000"/>
          <w:kern w:val="0"/>
          <w:sz w:val="32"/>
          <w:szCs w:val="32"/>
          <w:lang w:eastAsia="zh-CN"/>
        </w:rPr>
        <w:t>采购</w:t>
      </w:r>
      <w:r>
        <w:rPr>
          <w:rFonts w:hint="eastAsia" w:ascii="宋体" w:hAnsi="宋体" w:eastAsia="宋体" w:cs="宋体"/>
          <w:b/>
          <w:bCs w:val="0"/>
          <w:color w:val="000000"/>
          <w:kern w:val="0"/>
          <w:sz w:val="32"/>
          <w:szCs w:val="32"/>
        </w:rPr>
        <w:t>需求说明</w:t>
      </w:r>
    </w:p>
    <w:p>
      <w:pPr>
        <w:pStyle w:val="3"/>
        <w:spacing w:before="0" w:after="0" w:line="560" w:lineRule="exact"/>
        <w:jc w:val="left"/>
        <w:rPr>
          <w:rFonts w:cs="黑体" w:asciiTheme="minorEastAsia" w:hAnsiTheme="minorEastAsia" w:eastAsiaTheme="minorEastAsia"/>
          <w:sz w:val="28"/>
          <w:szCs w:val="24"/>
        </w:rPr>
      </w:pPr>
      <w:r>
        <w:rPr>
          <w:rFonts w:hint="eastAsia" w:cs="黑体" w:asciiTheme="minorEastAsia" w:hAnsiTheme="minorEastAsia" w:eastAsiaTheme="minorEastAsia"/>
          <w:sz w:val="28"/>
          <w:szCs w:val="24"/>
        </w:rPr>
        <w:t>一、项目概况</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shd w:val="clear" w:color="auto" w:fill="FFFFFF"/>
        </w:rPr>
        <w:t>鄢陵县不动产登记平台部署硬件配置项目</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color w:val="000000" w:themeColor="text1"/>
          <w:sz w:val="24"/>
          <w:szCs w:val="24"/>
          <w:shd w:val="clear" w:color="auto" w:fill="FFFFFF"/>
          <w14:textFill>
            <w14:solidFill>
              <w14:schemeClr w14:val="tx1"/>
            </w14:solidFill>
          </w14:textFill>
        </w:rPr>
        <w:t>Y2017HZ</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226</w:t>
      </w:r>
      <w:r>
        <w:rPr>
          <w:rFonts w:hint="eastAsia" w:ascii="宋体" w:hAnsi="宋体" w:eastAsia="宋体" w:cs="宋体"/>
          <w:sz w:val="24"/>
          <w:szCs w:val="24"/>
        </w:rPr>
        <w:t>；</w:t>
      </w:r>
    </w:p>
    <w:p>
      <w:pPr>
        <w:jc w:val="left"/>
        <w:rPr>
          <w:rFonts w:hint="eastAsia" w:ascii="宋体" w:hAnsi="宋体" w:eastAsia="宋体" w:cs="宋体"/>
          <w:sz w:val="24"/>
          <w:szCs w:val="24"/>
        </w:rPr>
      </w:pPr>
      <w:r>
        <w:rPr>
          <w:rFonts w:hint="eastAsia" w:ascii="宋体" w:hAnsi="宋体" w:eastAsia="宋体" w:cs="宋体"/>
          <w:sz w:val="24"/>
          <w:szCs w:val="24"/>
        </w:rPr>
        <w:t>招标编号：YLZFCG201708170-H</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采购内容：不动产登记</w:t>
      </w:r>
      <w:r>
        <w:rPr>
          <w:rFonts w:hint="eastAsia" w:ascii="宋体" w:hAnsi="宋体" w:eastAsia="宋体" w:cs="宋体"/>
          <w:sz w:val="24"/>
          <w:szCs w:val="24"/>
          <w:shd w:val="clear" w:color="auto" w:fill="FFFFFF"/>
        </w:rPr>
        <w:t>硬件配置</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预算金额：约3</w:t>
      </w:r>
      <w:r>
        <w:rPr>
          <w:rFonts w:hint="eastAsia" w:ascii="宋体" w:hAnsi="宋体" w:eastAsia="宋体" w:cs="宋体"/>
          <w:sz w:val="24"/>
          <w:szCs w:val="24"/>
          <w:lang w:val="en-US" w:eastAsia="zh-CN"/>
        </w:rPr>
        <w:t>8</w:t>
      </w:r>
      <w:r>
        <w:rPr>
          <w:rFonts w:hint="eastAsia" w:ascii="宋体" w:hAnsi="宋体" w:eastAsia="宋体" w:cs="宋体"/>
          <w:sz w:val="24"/>
          <w:szCs w:val="24"/>
        </w:rPr>
        <w:t>0万元；</w:t>
      </w:r>
    </w:p>
    <w:p>
      <w:pPr>
        <w:spacing w:line="360" w:lineRule="auto"/>
        <w:rPr>
          <w:rFonts w:hint="eastAsia" w:ascii="宋体" w:hAnsi="宋体" w:eastAsia="宋体" w:cs="宋体"/>
          <w:sz w:val="24"/>
          <w:szCs w:val="24"/>
        </w:rPr>
      </w:pPr>
      <w:r>
        <w:rPr>
          <w:rFonts w:hint="eastAsia" w:ascii="宋体" w:hAnsi="宋体" w:eastAsia="宋体" w:cs="宋体"/>
          <w:sz w:val="24"/>
          <w:szCs w:val="24"/>
        </w:rPr>
        <w:t>资金来源；财政出资，资金已落实</w:t>
      </w:r>
      <w:r>
        <w:rPr>
          <w:rFonts w:hint="eastAsia" w:ascii="宋体" w:hAnsi="宋体" w:cs="宋体"/>
          <w:sz w:val="24"/>
          <w:szCs w:val="24"/>
          <w:lang w:val="en-US"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FFFFFF"/>
        </w:rPr>
        <w:t>交 货 期：自合同签订后20日历天内完成硬件设备安装调试</w:t>
      </w:r>
      <w:r>
        <w:rPr>
          <w:rFonts w:hint="eastAsia" w:ascii="宋体" w:hAnsi="宋体" w:cs="宋体"/>
          <w:sz w:val="24"/>
          <w:szCs w:val="24"/>
          <w:shd w:val="clear" w:color="auto" w:fill="FFFFFF"/>
          <w:lang w:val="en-US"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质量要求:</w:t>
      </w:r>
      <w:r>
        <w:rPr>
          <w:rFonts w:hint="eastAsia" w:ascii="宋体" w:hAnsi="宋体" w:cs="宋体"/>
          <w:sz w:val="24"/>
          <w:szCs w:val="24"/>
          <w:shd w:val="clear" w:color="auto" w:fill="FFFFFF"/>
        </w:rPr>
        <w:t>符合国家相关规范合格标准</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标段划分：本项目共划分为一个标段</w:t>
      </w:r>
      <w:r>
        <w:rPr>
          <w:rFonts w:hint="eastAsia" w:ascii="宋体" w:hAnsi="宋体" w:cs="宋体"/>
          <w:sz w:val="24"/>
          <w:szCs w:val="24"/>
          <w:lang w:val="en-US" w:eastAsia="zh-CN"/>
        </w:rPr>
        <w:t>.</w:t>
      </w:r>
    </w:p>
    <w:p>
      <w:pPr>
        <w:pStyle w:val="3"/>
        <w:spacing w:before="0" w:after="0" w:line="560" w:lineRule="exact"/>
        <w:jc w:val="left"/>
        <w:rPr>
          <w:rFonts w:cs="黑体" w:asciiTheme="minorEastAsia" w:hAnsiTheme="minorEastAsia" w:eastAsiaTheme="minorEastAsia"/>
          <w:sz w:val="28"/>
          <w:szCs w:val="24"/>
        </w:rPr>
      </w:pPr>
      <w:r>
        <w:rPr>
          <w:rFonts w:hint="eastAsia" w:cs="黑体" w:asciiTheme="minorEastAsia" w:hAnsiTheme="minorEastAsia" w:eastAsiaTheme="minorEastAsia"/>
          <w:sz w:val="28"/>
          <w:szCs w:val="24"/>
        </w:rPr>
        <w:t>二、投标条件</w:t>
      </w:r>
    </w:p>
    <w:p>
      <w:pPr>
        <w:spacing w:line="220" w:lineRule="atLeast"/>
        <w:rPr>
          <w:rFonts w:hint="eastAsia" w:ascii="宋体" w:hAnsi="宋体" w:cs="宋体"/>
          <w:sz w:val="24"/>
        </w:rPr>
      </w:pPr>
      <w:r>
        <w:rPr>
          <w:rFonts w:hint="eastAsia" w:ascii="宋体" w:hAnsi="宋体" w:cs="宋体"/>
          <w:color w:val="000000"/>
          <w:sz w:val="24"/>
          <w:shd w:val="clear" w:color="auto" w:fill="FFFFFF"/>
          <w:lang w:val="en-US" w:eastAsia="zh-CN"/>
        </w:rPr>
        <w:t>2.1</w:t>
      </w:r>
      <w:r>
        <w:rPr>
          <w:rFonts w:hint="eastAsia" w:ascii="宋体" w:hAnsi="宋体" w:cs="宋体"/>
          <w:color w:val="000000"/>
          <w:sz w:val="24"/>
          <w:shd w:val="clear" w:color="auto" w:fill="FFFFFF"/>
        </w:rPr>
        <w:t>投标人须具有独立法人资格，</w:t>
      </w:r>
      <w:r>
        <w:rPr>
          <w:rFonts w:hint="eastAsia" w:ascii="宋体" w:hAnsi="宋体" w:cs="宋体"/>
          <w:sz w:val="24"/>
        </w:rPr>
        <w:t>符合《中华人民共和国政府采购法》第二十二条规定应当具备的条件；</w:t>
      </w:r>
    </w:p>
    <w:p>
      <w:pPr>
        <w:spacing w:line="220" w:lineRule="atLeas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w:t>
      </w:r>
      <w:r>
        <w:rPr>
          <w:rFonts w:hint="eastAsia" w:ascii="宋体" w:hAnsi="宋体" w:cs="宋体"/>
          <w:color w:val="000000"/>
          <w:sz w:val="24"/>
          <w:shd w:val="clear" w:color="auto" w:fill="FFFFFF"/>
        </w:rPr>
        <w:t>投标人需提供有效工商营业执照、税务登记证、组织机构代码证（或三证合一营业执照）</w:t>
      </w:r>
      <w:r>
        <w:rPr>
          <w:rFonts w:hint="eastAsia" w:ascii="宋体" w:hAnsi="宋体" w:cs="宋体"/>
          <w:sz w:val="24"/>
        </w:rPr>
        <w:t>；</w:t>
      </w:r>
    </w:p>
    <w:p>
      <w:pPr>
        <w:spacing w:line="220" w:lineRule="atLeas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.3投标企业须具有电子与智能化专业承包资质二级或者电子与智能化设计施工一体化二级和具有信息安全管理体系认证证书.</w:t>
      </w:r>
    </w:p>
    <w:p>
      <w:pPr>
        <w:spacing w:line="220" w:lineRule="atLeas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.4投标企业须提供质量管理体系认证证书、环境管理体系认证证书、职业健康管理体系认证证书；</w:t>
      </w:r>
    </w:p>
    <w:p>
      <w:pPr>
        <w:spacing w:line="360" w:lineRule="auto"/>
        <w:rPr>
          <w:kern w:val="0"/>
          <w:sz w:val="24"/>
        </w:rPr>
      </w:pPr>
      <w:r>
        <w:rPr>
          <w:rFonts w:hint="eastAsia"/>
          <w:kern w:val="0"/>
          <w:sz w:val="24"/>
        </w:rPr>
        <w:t>2.</w:t>
      </w:r>
      <w:r>
        <w:rPr>
          <w:rFonts w:hint="eastAsia"/>
          <w:kern w:val="0"/>
          <w:sz w:val="24"/>
          <w:lang w:val="en-US" w:eastAsia="zh-CN"/>
        </w:rPr>
        <w:t>5</w:t>
      </w:r>
      <w:r>
        <w:rPr>
          <w:rFonts w:hint="eastAsia"/>
          <w:kern w:val="0"/>
          <w:sz w:val="24"/>
        </w:rPr>
        <w:t>企业注册地或项目所在地检察机关开具的有效期内的《行贿犯罪档案查询结果告知函》一份；</w:t>
      </w:r>
    </w:p>
    <w:p>
      <w:pPr>
        <w:spacing w:line="360" w:lineRule="auto"/>
        <w:rPr>
          <w:kern w:val="0"/>
          <w:sz w:val="24"/>
        </w:rPr>
      </w:pPr>
      <w:r>
        <w:rPr>
          <w:rFonts w:hint="eastAsia"/>
          <w:kern w:val="0"/>
          <w:sz w:val="24"/>
        </w:rPr>
        <w:t>2.</w:t>
      </w:r>
      <w:r>
        <w:rPr>
          <w:rFonts w:hint="eastAsia"/>
          <w:kern w:val="0"/>
          <w:sz w:val="24"/>
          <w:lang w:val="en-US" w:eastAsia="zh-CN"/>
        </w:rPr>
        <w:t>6</w:t>
      </w:r>
      <w:r>
        <w:rPr>
          <w:rFonts w:hint="eastAsia"/>
          <w:kern w:val="0"/>
          <w:sz w:val="24"/>
        </w:rPr>
        <w:t>本次招标不接受联合体投标</w:t>
      </w:r>
      <w:r>
        <w:rPr>
          <w:rFonts w:hint="eastAsia"/>
          <w:kern w:val="0"/>
          <w:sz w:val="24"/>
          <w:lang w:val="en-US" w:eastAsia="zh-CN"/>
        </w:rPr>
        <w:t>;</w:t>
      </w:r>
    </w:p>
    <w:p>
      <w:pPr>
        <w:spacing w:line="360" w:lineRule="auto"/>
        <w:rPr>
          <w:rFonts w:ascii="仿宋_GB2312" w:hAnsi="Arial" w:eastAsia="仿宋_GB2312"/>
          <w:kern w:val="0"/>
          <w:sz w:val="24"/>
        </w:rPr>
      </w:pPr>
      <w:r>
        <w:rPr>
          <w:rFonts w:hint="eastAsia"/>
          <w:kern w:val="0"/>
          <w:sz w:val="24"/>
        </w:rPr>
        <w:t>2.</w:t>
      </w:r>
      <w:r>
        <w:rPr>
          <w:rFonts w:hint="eastAsia"/>
          <w:kern w:val="0"/>
          <w:sz w:val="24"/>
          <w:lang w:val="en-US" w:eastAsia="zh-CN"/>
        </w:rPr>
        <w:t>7</w:t>
      </w:r>
      <w:r>
        <w:rPr>
          <w:rFonts w:hint="eastAsia"/>
          <w:kern w:val="0"/>
          <w:sz w:val="24"/>
        </w:rPr>
        <w:t>本项目实行资格后审。</w:t>
      </w:r>
    </w:p>
    <w:p>
      <w:pPr>
        <w:rPr>
          <w:rFonts w:cs="黑体" w:asciiTheme="minorEastAsia" w:hAnsiTheme="minorEastAsia" w:eastAsiaTheme="minorEastAsia"/>
          <w:b/>
          <w:sz w:val="28"/>
        </w:rPr>
      </w:pPr>
      <w:r>
        <w:rPr>
          <w:rFonts w:hint="eastAsia" w:cs="黑体" w:asciiTheme="minorEastAsia" w:hAnsiTheme="minorEastAsia" w:eastAsiaTheme="minorEastAsia"/>
          <w:b/>
          <w:sz w:val="28"/>
        </w:rPr>
        <w:t>三、项目需求</w:t>
      </w:r>
    </w:p>
    <w:p>
      <w:pPr>
        <w:spacing w:line="360" w:lineRule="auto"/>
        <w:ind w:firstLine="480"/>
        <w:rPr>
          <w:rFonts w:ascii="宋体" w:hAnsi="宋体" w:cs="仿宋"/>
          <w:sz w:val="24"/>
        </w:rPr>
      </w:pPr>
      <w:r>
        <w:rPr>
          <w:rFonts w:hint="eastAsia" w:ascii="宋体" w:hAnsi="宋体" w:cs="仿宋"/>
          <w:sz w:val="24"/>
          <w:lang w:eastAsia="zh-CN"/>
        </w:rPr>
        <w:t>根据</w:t>
      </w:r>
      <w:r>
        <w:rPr>
          <w:rFonts w:hint="eastAsia" w:ascii="宋体" w:hAnsi="宋体" w:eastAsia="宋体" w:cs="宋体"/>
          <w:sz w:val="24"/>
          <w:lang w:eastAsia="zh-CN"/>
        </w:rPr>
        <w:t>&lt;&lt;</w:t>
      </w:r>
      <w:r>
        <w:rPr>
          <w:rFonts w:hint="eastAsia" w:ascii="宋体" w:hAnsi="宋体" w:cs="宋体"/>
          <w:sz w:val="24"/>
          <w:lang w:eastAsia="zh-CN"/>
        </w:rPr>
        <w:t>国土资源部关于做好不动产登记信息管理基础平台建设工作的通知</w:t>
      </w:r>
      <w:r>
        <w:rPr>
          <w:rFonts w:hint="eastAsia" w:ascii="宋体" w:hAnsi="宋体" w:eastAsia="宋体" w:cs="宋体"/>
          <w:sz w:val="24"/>
          <w:lang w:eastAsia="zh-CN"/>
        </w:rPr>
        <w:t>&gt;&gt;</w:t>
      </w:r>
      <w:r>
        <w:rPr>
          <w:rFonts w:hint="eastAsia" w:ascii="宋体" w:hAnsi="宋体" w:cs="宋体"/>
          <w:sz w:val="24"/>
          <w:lang w:val="en-US" w:eastAsia="zh-CN"/>
        </w:rPr>
        <w:t>(国土资发</w:t>
      </w:r>
      <w:r>
        <w:rPr>
          <w:rFonts w:hint="eastAsia" w:ascii="宋体" w:hAnsi="宋体" w:eastAsia="宋体" w:cs="宋体"/>
          <w:sz w:val="24"/>
          <w:lang w:val="en-US" w:eastAsia="zh-CN"/>
        </w:rPr>
        <w:t>[</w:t>
      </w:r>
      <w:r>
        <w:rPr>
          <w:rFonts w:hint="eastAsia" w:ascii="宋体" w:hAnsi="宋体" w:cs="宋体"/>
          <w:sz w:val="24"/>
          <w:lang w:val="en-US" w:eastAsia="zh-CN"/>
        </w:rPr>
        <w:t>2015</w:t>
      </w:r>
      <w:r>
        <w:rPr>
          <w:rFonts w:hint="eastAsia" w:ascii="宋体" w:hAnsi="宋体" w:eastAsia="宋体" w:cs="宋体"/>
          <w:sz w:val="24"/>
          <w:lang w:val="en-US" w:eastAsia="zh-CN"/>
        </w:rPr>
        <w:t>]</w:t>
      </w:r>
      <w:r>
        <w:rPr>
          <w:rFonts w:hint="eastAsia" w:ascii="宋体" w:hAnsi="宋体" w:cs="宋体"/>
          <w:sz w:val="24"/>
          <w:lang w:val="en-US" w:eastAsia="zh-CN"/>
        </w:rPr>
        <w:t>103号)和河南省国土资源厅关于印发河南省不动产登记数据整理实施方案的通知(豫国土资发</w:t>
      </w:r>
      <w:r>
        <w:rPr>
          <w:rFonts w:hint="eastAsia" w:ascii="宋体" w:hAnsi="宋体" w:eastAsia="宋体" w:cs="宋体"/>
          <w:sz w:val="24"/>
          <w:lang w:val="en-US" w:eastAsia="zh-CN"/>
        </w:rPr>
        <w:t>[</w:t>
      </w:r>
      <w:r>
        <w:rPr>
          <w:rFonts w:hint="eastAsia" w:ascii="宋体" w:hAnsi="宋体" w:cs="宋体"/>
          <w:sz w:val="24"/>
          <w:lang w:val="en-US" w:eastAsia="zh-CN"/>
        </w:rPr>
        <w:t>2016</w:t>
      </w:r>
      <w:r>
        <w:rPr>
          <w:rFonts w:hint="eastAsia" w:ascii="宋体" w:hAnsi="宋体" w:eastAsia="宋体" w:cs="宋体"/>
          <w:sz w:val="24"/>
          <w:lang w:val="en-US" w:eastAsia="zh-CN"/>
        </w:rPr>
        <w:t>]</w:t>
      </w:r>
      <w:r>
        <w:rPr>
          <w:rFonts w:hint="eastAsia" w:ascii="宋体" w:hAnsi="宋体" w:cs="宋体"/>
          <w:sz w:val="24"/>
          <w:lang w:val="en-US" w:eastAsia="zh-CN"/>
        </w:rPr>
        <w:t>112号)等有关文件要求</w:t>
      </w:r>
      <w:r>
        <w:rPr>
          <w:rFonts w:hint="eastAsia" w:ascii="宋体" w:hAnsi="宋体" w:cs="仿宋"/>
          <w:sz w:val="24"/>
        </w:rPr>
        <w:t>，</w:t>
      </w:r>
      <w:r>
        <w:rPr>
          <w:rFonts w:hint="eastAsia" w:ascii="宋体" w:hAnsi="宋体" w:cs="仿宋"/>
          <w:sz w:val="24"/>
          <w:lang w:eastAsia="zh-CN"/>
        </w:rPr>
        <w:t>我县不动产统一登记工作开展情况</w:t>
      </w:r>
      <w:r>
        <w:rPr>
          <w:rFonts w:hint="eastAsia" w:ascii="宋体" w:hAnsi="宋体" w:cs="仿宋"/>
          <w:sz w:val="24"/>
          <w:lang w:val="en-US" w:eastAsia="zh-CN"/>
        </w:rPr>
        <w:t>,现急需补充硬件设施设备,以便更好地开展我县不动产统一登记工作,进一步提高办事效率、便民利民.不动产登记平台部署硬件配置到位后,将有效使不动产登记信息与部、省、市进行数据的上报汇交,同时实现与政府部门间的协同共享和查询,以及社会公众的查询.</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四、其它要求</w:t>
      </w:r>
    </w:p>
    <w:p>
      <w:pPr>
        <w:spacing w:line="358" w:lineRule="auto"/>
        <w:rPr>
          <w:rFonts w:hint="eastAsia" w:ascii="宋体" w:hAnsi="宋体" w:cs="宋体"/>
          <w:b/>
          <w:sz w:val="24"/>
          <w:szCs w:val="24"/>
        </w:rPr>
      </w:pPr>
      <w:r>
        <w:rPr>
          <w:rFonts w:hint="eastAsia" w:ascii="宋体" w:hAnsi="宋体"/>
          <w:sz w:val="24"/>
          <w:szCs w:val="24"/>
        </w:rPr>
        <w:t xml:space="preserve">   </w:t>
      </w:r>
      <w:r>
        <w:rPr>
          <w:rFonts w:hint="eastAsia" w:ascii="宋体" w:hAnsi="宋体" w:cs="宋体"/>
          <w:b/>
          <w:sz w:val="24"/>
          <w:szCs w:val="24"/>
        </w:rPr>
        <w:t>1、有关投标报价规定：</w:t>
      </w:r>
    </w:p>
    <w:p>
      <w:pPr>
        <w:tabs>
          <w:tab w:val="left" w:pos="965"/>
        </w:tabs>
        <w:spacing w:line="348" w:lineRule="auto"/>
        <w:rPr>
          <w:rFonts w:hint="eastAsia" w:ascii="宋体" w:hAnsi="宋体" w:cs="宋体"/>
          <w:sz w:val="24"/>
          <w:szCs w:val="24"/>
        </w:rPr>
      </w:pPr>
      <w:r>
        <w:rPr>
          <w:rFonts w:hint="eastAsia" w:ascii="宋体" w:hAnsi="宋体" w:cs="宋体"/>
          <w:sz w:val="24"/>
          <w:szCs w:val="24"/>
        </w:rPr>
        <w:t xml:space="preserve">    1.1 投标价格采用方式： 固定综合单价 。供应商的综合价格在合同执行期间固定不变，成交单位不得以任何理由予以变更，除非招标人提出的需求变更。</w:t>
      </w:r>
    </w:p>
    <w:p>
      <w:pPr>
        <w:tabs>
          <w:tab w:val="left" w:pos="965"/>
        </w:tabs>
        <w:spacing w:line="348" w:lineRule="auto"/>
        <w:rPr>
          <w:rFonts w:hint="eastAsia" w:ascii="宋体" w:hAnsi="宋体" w:cs="宋体"/>
          <w:sz w:val="24"/>
          <w:szCs w:val="24"/>
        </w:rPr>
      </w:pPr>
      <w:r>
        <w:rPr>
          <w:rFonts w:hint="eastAsia" w:ascii="宋体" w:hAnsi="宋体" w:cs="宋体"/>
          <w:sz w:val="24"/>
          <w:szCs w:val="24"/>
        </w:rPr>
        <w:t xml:space="preserve">    1.2 供应商根据招标人提供的采购货物内容和数量，作出报价。供货结束后，如涉及卫生、环保、消防等部门报验验收，其费用应计入本次投标报价。</w:t>
      </w:r>
    </w:p>
    <w:p>
      <w:pPr>
        <w:tabs>
          <w:tab w:val="left" w:pos="965"/>
        </w:tabs>
        <w:spacing w:line="348" w:lineRule="auto"/>
        <w:rPr>
          <w:rFonts w:hint="eastAsia" w:ascii="宋体" w:hAnsi="宋体" w:cs="宋体"/>
          <w:sz w:val="24"/>
          <w:szCs w:val="24"/>
        </w:rPr>
      </w:pPr>
      <w:r>
        <w:rPr>
          <w:rFonts w:hint="eastAsia" w:ascii="宋体" w:hAnsi="宋体" w:cs="宋体"/>
          <w:sz w:val="24"/>
          <w:szCs w:val="24"/>
        </w:rPr>
        <w:t xml:space="preserve">    1.3供应商的报价应为承包完成本次投标需完成全部工作所发生的所有费用，并承担一切风险责任。投标报价指到工地价，应包含：①货物购置费；②包装费、运输的损耗、运杂费、装卸费、保险费；③售后服务费用；④税金等。</w:t>
      </w:r>
    </w:p>
    <w:p>
      <w:pPr>
        <w:tabs>
          <w:tab w:val="left" w:pos="965"/>
        </w:tabs>
        <w:spacing w:line="348" w:lineRule="auto"/>
        <w:rPr>
          <w:rFonts w:hint="eastAsia" w:ascii="宋体" w:hAnsi="宋体" w:cs="宋体"/>
          <w:sz w:val="24"/>
          <w:szCs w:val="24"/>
        </w:rPr>
      </w:pPr>
      <w:r>
        <w:rPr>
          <w:rFonts w:hint="eastAsia" w:ascii="宋体" w:hAnsi="宋体" w:cs="宋体"/>
          <w:sz w:val="24"/>
          <w:szCs w:val="24"/>
        </w:rPr>
        <w:t xml:space="preserve">    1.4 供应商应结合采购特点，市场行情及供应商自身的技术，管理水平，竞争能力，确定最终报价。</w:t>
      </w:r>
    </w:p>
    <w:p>
      <w:pPr>
        <w:tabs>
          <w:tab w:val="left" w:pos="965"/>
        </w:tabs>
        <w:spacing w:line="348" w:lineRule="auto"/>
        <w:rPr>
          <w:rFonts w:hint="eastAsia" w:ascii="宋体" w:hAnsi="宋体" w:cs="宋体"/>
          <w:sz w:val="24"/>
          <w:szCs w:val="24"/>
        </w:rPr>
      </w:pPr>
      <w:r>
        <w:rPr>
          <w:rFonts w:hint="eastAsia" w:ascii="宋体" w:hAnsi="宋体" w:cs="宋体"/>
          <w:sz w:val="24"/>
          <w:szCs w:val="24"/>
        </w:rPr>
        <w:t xml:space="preserve">    1.5 在满足性能技术要求的前提下，招标人可以根据实际情况和要求，对招标采购货物数量作适当的调整。引起承包总价变化，最终以成交人实际供货数量并依据成交单价按实结算。</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1.6 </w:t>
      </w:r>
      <w:r>
        <w:rPr>
          <w:rFonts w:hint="eastAsia" w:ascii="宋体" w:hAnsi="宋体" w:cs="宋体"/>
          <w:sz w:val="24"/>
          <w:szCs w:val="24"/>
          <w:u w:val="wave"/>
        </w:rPr>
        <w:t>本次招标报价过程中，只允许有一个投标报价。</w:t>
      </w:r>
    </w:p>
    <w:p>
      <w:pPr>
        <w:spacing w:line="358" w:lineRule="auto"/>
        <w:rPr>
          <w:rFonts w:hint="eastAsia" w:ascii="宋体" w:hAnsi="宋体" w:cs="宋体"/>
          <w:b/>
          <w:bCs/>
          <w:sz w:val="24"/>
          <w:szCs w:val="24"/>
        </w:rPr>
      </w:pPr>
      <w:r>
        <w:rPr>
          <w:rFonts w:hint="eastAsia" w:ascii="宋体" w:hAnsi="宋体" w:cs="宋体"/>
          <w:b/>
          <w:bCs/>
          <w:sz w:val="24"/>
          <w:szCs w:val="24"/>
        </w:rPr>
        <w:t>2、交货要求</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2.1成交供应商在合同规定的地点负责组织将货物按期运抵使用单位的工作现场，提单日期为交货日期。货物的运输和保险及中国政府根据现行税法向成交供应商征收的与履行本合同有关的一切税费均由成交供应商承担；</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2.3交货期：</w:t>
      </w:r>
      <w:r>
        <w:rPr>
          <w:rFonts w:hint="eastAsia" w:ascii="宋体" w:hAnsi="宋体" w:cs="宋体"/>
          <w:sz w:val="24"/>
          <w:szCs w:val="24"/>
          <w:u w:val="wave"/>
        </w:rPr>
        <w:t>合同签订后按投标文件中承诺的时间完成本项目的供货。</w:t>
      </w:r>
      <w:r>
        <w:rPr>
          <w:rFonts w:hint="eastAsia" w:ascii="宋体" w:hAnsi="宋体" w:cs="宋体"/>
          <w:kern w:val="0"/>
          <w:sz w:val="24"/>
          <w:szCs w:val="24"/>
          <w:u w:val="wave"/>
        </w:rPr>
        <w:t>交货地点为买方指定地点。</w:t>
      </w:r>
    </w:p>
    <w:p>
      <w:pPr>
        <w:spacing w:line="358" w:lineRule="auto"/>
        <w:rPr>
          <w:rFonts w:hint="eastAsia" w:ascii="宋体" w:hAnsi="宋体" w:cs="宋体"/>
          <w:b/>
          <w:bCs/>
          <w:sz w:val="24"/>
          <w:szCs w:val="24"/>
        </w:rPr>
      </w:pPr>
      <w:r>
        <w:rPr>
          <w:rFonts w:hint="eastAsia" w:ascii="宋体" w:hAnsi="宋体" w:cs="宋体"/>
          <w:b/>
          <w:bCs/>
          <w:sz w:val="24"/>
          <w:szCs w:val="24"/>
        </w:rPr>
        <w:t>3、 货物验收</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3.1 成交供应商交付的货物必须是全新的无缺馅的；</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3.2成交供应商应按照采购文件规定的技术要求和范围提供有关货物，并提供主要设备及产品的质量检验证明文件；</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3.3 成交供应商提供的货物运抵现场后，由成交供应商、使用单位同时在场进行现场开箱检验，检验无误后，货物移交给使用单位；</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3.4 成交供应商、买方有关人员同时在场进行现场验收，验收合格后，填具验收合格报告单，该验收报告单作为正式交付用户使用的必须文件之一，也是作为使用单位付款的必须文件之一。</w:t>
      </w:r>
    </w:p>
    <w:p>
      <w:pPr>
        <w:spacing w:line="358" w:lineRule="auto"/>
        <w:rPr>
          <w:rFonts w:hint="eastAsia" w:ascii="宋体" w:hAnsi="宋体" w:cs="宋体"/>
          <w:b/>
          <w:bCs/>
          <w:sz w:val="24"/>
          <w:szCs w:val="24"/>
        </w:rPr>
      </w:pPr>
      <w:r>
        <w:rPr>
          <w:rFonts w:hint="eastAsia" w:ascii="宋体" w:hAnsi="宋体" w:cs="宋体"/>
          <w:b/>
          <w:bCs/>
          <w:sz w:val="24"/>
          <w:szCs w:val="24"/>
        </w:rPr>
        <w:t>5、培训及技术服务</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5.1 成交人有义务对买方采购货物的正常使用和维护提供必要的培训；</w:t>
      </w:r>
    </w:p>
    <w:p>
      <w:pPr>
        <w:tabs>
          <w:tab w:val="left" w:pos="965"/>
        </w:tabs>
        <w:spacing w:line="360" w:lineRule="auto"/>
        <w:rPr>
          <w:rFonts w:hint="eastAsia" w:ascii="宋体" w:hAnsi="宋体" w:cs="宋体"/>
          <w:sz w:val="24"/>
          <w:szCs w:val="24"/>
        </w:rPr>
      </w:pPr>
      <w:r>
        <w:rPr>
          <w:rFonts w:hint="eastAsia" w:ascii="宋体" w:hAnsi="宋体" w:cs="宋体"/>
          <w:sz w:val="24"/>
          <w:szCs w:val="24"/>
        </w:rPr>
        <w:t xml:space="preserve">   5.2 培训的内容包括货物的基本维护知识。</w:t>
      </w:r>
    </w:p>
    <w:p>
      <w:pPr>
        <w:numPr>
          <w:ilvl w:val="0"/>
          <w:numId w:val="1"/>
        </w:numPr>
        <w:spacing w:line="360" w:lineRule="auto"/>
        <w:rPr>
          <w:rFonts w:hint="eastAsia" w:ascii="宋体" w:hAnsi="宋体"/>
          <w:snapToGrid w:val="0"/>
          <w:kern w:val="0"/>
          <w:sz w:val="24"/>
        </w:rPr>
      </w:pPr>
      <w:r>
        <w:rPr>
          <w:rFonts w:hint="eastAsia" w:ascii="宋体" w:hAnsi="宋体"/>
          <w:b/>
          <w:bCs/>
          <w:snapToGrid w:val="0"/>
          <w:kern w:val="0"/>
          <w:sz w:val="28"/>
          <w:szCs w:val="28"/>
        </w:rPr>
        <w:t>评标办法:本项目采用综合评分法</w:t>
      </w:r>
      <w:r>
        <w:rPr>
          <w:rFonts w:hint="eastAsia" w:ascii="宋体" w:hAnsi="宋体"/>
          <w:snapToGrid w:val="0"/>
          <w:kern w:val="0"/>
          <w:sz w:val="24"/>
        </w:rPr>
        <w:t>.具体内容如下附表1:</w:t>
      </w:r>
    </w:p>
    <w:p>
      <w:pPr>
        <w:numPr>
          <w:ilvl w:val="0"/>
          <w:numId w:val="0"/>
        </w:numPr>
        <w:spacing w:line="360" w:lineRule="auto"/>
        <w:jc w:val="center"/>
        <w:rPr>
          <w:rFonts w:hint="eastAsia" w:ascii="宋体" w:hAnsi="宋体" w:eastAsia="宋体" w:cs="宋体"/>
          <w:sz w:val="28"/>
          <w:szCs w:val="28"/>
        </w:rPr>
      </w:pPr>
      <w:r>
        <w:rPr>
          <w:rFonts w:hint="eastAsia" w:ascii="宋体" w:hAnsi="宋体" w:eastAsia="宋体" w:cs="宋体"/>
          <w:sz w:val="28"/>
          <w:szCs w:val="28"/>
        </w:rPr>
        <w:t>附表1、评标办法（综合评分法）</w:t>
      </w:r>
    </w:p>
    <w:p>
      <w:pPr>
        <w:spacing w:line="460" w:lineRule="exact"/>
        <w:ind w:firstLine="482" w:firstLineChars="200"/>
        <w:jc w:val="center"/>
        <w:rPr>
          <w:rFonts w:hint="eastAsia" w:ascii="宋体" w:hAnsi="宋体"/>
          <w:b/>
          <w:bCs/>
          <w:sz w:val="24"/>
        </w:rPr>
      </w:pPr>
      <w:bookmarkStart w:id="0" w:name="_Toc429735491"/>
      <w:bookmarkStart w:id="1" w:name="_Toc261618202"/>
      <w:bookmarkStart w:id="2" w:name="_Toc488760300"/>
      <w:bookmarkStart w:id="3" w:name="_Toc444676695"/>
      <w:bookmarkStart w:id="4" w:name="_Toc444615797"/>
      <w:bookmarkStart w:id="5" w:name="_Toc444527582"/>
      <w:bookmarkStart w:id="6" w:name="_Toc429315068"/>
      <w:r>
        <w:rPr>
          <w:rFonts w:hint="eastAsia" w:ascii="宋体" w:hAnsi="宋体"/>
          <w:b/>
          <w:bCs/>
          <w:sz w:val="24"/>
          <w:lang w:eastAsia="zh-CN"/>
        </w:rPr>
        <w:t>评标</w:t>
      </w:r>
      <w:r>
        <w:rPr>
          <w:rFonts w:hint="eastAsia" w:ascii="宋体" w:hAnsi="宋体"/>
          <w:b/>
          <w:bCs/>
          <w:sz w:val="24"/>
        </w:rPr>
        <w:t>办法</w:t>
      </w:r>
      <w:r>
        <w:rPr>
          <w:rFonts w:hint="eastAsia" w:ascii="宋体" w:hAnsi="宋体"/>
          <w:b/>
          <w:bCs/>
          <w:sz w:val="24"/>
          <w:lang w:eastAsia="zh-CN"/>
        </w:rPr>
        <w:t>前</w:t>
      </w:r>
      <w:r>
        <w:rPr>
          <w:rFonts w:hint="eastAsia" w:ascii="宋体" w:hAnsi="宋体"/>
          <w:b/>
          <w:bCs/>
          <w:sz w:val="24"/>
        </w:rPr>
        <w:t>附表</w:t>
      </w:r>
    </w:p>
    <w:tbl>
      <w:tblPr>
        <w:tblStyle w:val="13"/>
        <w:tblW w:w="9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89"/>
        <w:gridCol w:w="2376"/>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gridSpan w:val="2"/>
            <w:vAlign w:val="center"/>
          </w:tcPr>
          <w:p>
            <w:pPr>
              <w:spacing w:line="312" w:lineRule="auto"/>
              <w:jc w:val="center"/>
              <w:rPr>
                <w:rFonts w:hint="eastAsia" w:hAnsi="宋体" w:cs="宋体"/>
                <w:b/>
                <w:szCs w:val="21"/>
              </w:rPr>
            </w:pPr>
            <w:r>
              <w:rPr>
                <w:rFonts w:hint="eastAsia" w:hAnsi="宋体" w:cs="宋体"/>
                <w:b/>
                <w:szCs w:val="21"/>
              </w:rPr>
              <w:t>条款号</w:t>
            </w:r>
          </w:p>
        </w:tc>
        <w:tc>
          <w:tcPr>
            <w:tcW w:w="2376" w:type="dxa"/>
            <w:vAlign w:val="center"/>
          </w:tcPr>
          <w:p>
            <w:pPr>
              <w:spacing w:line="312" w:lineRule="auto"/>
              <w:jc w:val="center"/>
              <w:rPr>
                <w:rFonts w:hint="eastAsia" w:hAnsi="宋体" w:cs="宋体"/>
                <w:b/>
                <w:szCs w:val="21"/>
              </w:rPr>
            </w:pPr>
            <w:bookmarkStart w:id="7" w:name="_Toc221950446"/>
            <w:r>
              <w:rPr>
                <w:rFonts w:hint="eastAsia" w:hAnsi="宋体" w:cs="宋体"/>
                <w:b/>
                <w:szCs w:val="21"/>
              </w:rPr>
              <w:t>评审因素</w:t>
            </w:r>
            <w:bookmarkEnd w:id="7"/>
          </w:p>
        </w:tc>
        <w:tc>
          <w:tcPr>
            <w:tcW w:w="5655" w:type="dxa"/>
            <w:vAlign w:val="center"/>
          </w:tcPr>
          <w:p>
            <w:pPr>
              <w:spacing w:line="312" w:lineRule="auto"/>
              <w:jc w:val="center"/>
              <w:rPr>
                <w:rFonts w:hint="eastAsia" w:hAnsi="宋体" w:cs="宋体"/>
                <w:b/>
                <w:szCs w:val="21"/>
              </w:rPr>
            </w:pPr>
            <w:r>
              <w:rPr>
                <w:rFonts w:hint="eastAsia"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88" w:type="dxa"/>
            <w:vMerge w:val="restart"/>
            <w:vAlign w:val="center"/>
          </w:tcPr>
          <w:p>
            <w:pPr>
              <w:spacing w:line="312" w:lineRule="auto"/>
              <w:jc w:val="center"/>
              <w:rPr>
                <w:rFonts w:hint="eastAsia" w:hAnsi="宋体" w:cs="宋体"/>
                <w:szCs w:val="21"/>
              </w:rPr>
            </w:pPr>
            <w:bookmarkStart w:id="8" w:name="_Toc221950448"/>
            <w:r>
              <w:rPr>
                <w:rFonts w:hint="eastAsia" w:hAnsi="宋体" w:cs="宋体"/>
                <w:szCs w:val="21"/>
              </w:rPr>
              <w:t>1.1.1</w:t>
            </w:r>
            <w:bookmarkEnd w:id="8"/>
          </w:p>
        </w:tc>
        <w:tc>
          <w:tcPr>
            <w:tcW w:w="989" w:type="dxa"/>
            <w:vMerge w:val="restart"/>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形式</w:t>
            </w:r>
          </w:p>
          <w:p>
            <w:pPr>
              <w:autoSpaceDE w:val="0"/>
              <w:autoSpaceDN w:val="0"/>
              <w:spacing w:line="312" w:lineRule="auto"/>
              <w:contextualSpacing/>
              <w:jc w:val="center"/>
              <w:rPr>
                <w:rFonts w:hint="eastAsia" w:hAnsi="宋体" w:cs="宋体"/>
                <w:szCs w:val="21"/>
              </w:rPr>
            </w:pPr>
            <w:r>
              <w:rPr>
                <w:rFonts w:hint="eastAsia" w:hAnsi="宋体" w:cs="宋体"/>
                <w:szCs w:val="21"/>
              </w:rPr>
              <w:t>评审</w:t>
            </w:r>
          </w:p>
        </w:tc>
        <w:tc>
          <w:tcPr>
            <w:tcW w:w="2376" w:type="dxa"/>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投标人名称</w:t>
            </w:r>
          </w:p>
        </w:tc>
        <w:tc>
          <w:tcPr>
            <w:tcW w:w="5655" w:type="dxa"/>
            <w:vAlign w:val="center"/>
          </w:tcPr>
          <w:p>
            <w:pPr>
              <w:autoSpaceDE w:val="0"/>
              <w:autoSpaceDN w:val="0"/>
              <w:spacing w:line="312" w:lineRule="auto"/>
              <w:contextualSpacing/>
              <w:rPr>
                <w:rFonts w:hint="eastAsia" w:hAnsi="宋体" w:cs="宋体"/>
                <w:szCs w:val="21"/>
              </w:rPr>
            </w:pPr>
            <w:r>
              <w:rPr>
                <w:rFonts w:hint="eastAsia" w:hAnsi="宋体" w:cs="宋体"/>
                <w:szCs w:val="21"/>
              </w:rPr>
              <w:t xml:space="preserve">与营业执照是否一致；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投标文件的签字盖章</w:t>
            </w:r>
          </w:p>
        </w:tc>
        <w:tc>
          <w:tcPr>
            <w:tcW w:w="5655" w:type="dxa"/>
            <w:vAlign w:val="center"/>
          </w:tcPr>
          <w:p>
            <w:pPr>
              <w:spacing w:line="312" w:lineRule="auto"/>
              <w:rPr>
                <w:rFonts w:hint="eastAsia" w:hAnsi="宋体" w:cs="宋体"/>
                <w:szCs w:val="21"/>
              </w:rPr>
            </w:pPr>
            <w:r>
              <w:rPr>
                <w:rFonts w:hint="eastAsia" w:hAnsi="宋体" w:cs="宋体"/>
                <w:szCs w:val="21"/>
              </w:rPr>
              <w:t>是否符合招标文件相关要求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投标文件格式</w:t>
            </w:r>
          </w:p>
        </w:tc>
        <w:tc>
          <w:tcPr>
            <w:tcW w:w="5655" w:type="dxa"/>
            <w:vAlign w:val="center"/>
          </w:tcPr>
          <w:p>
            <w:pPr>
              <w:autoSpaceDE w:val="0"/>
              <w:autoSpaceDN w:val="0"/>
              <w:spacing w:line="312" w:lineRule="auto"/>
              <w:contextualSpacing/>
              <w:rPr>
                <w:rFonts w:hint="eastAsia" w:hAnsi="宋体" w:cs="宋体"/>
                <w:szCs w:val="21"/>
              </w:rPr>
            </w:pPr>
            <w:r>
              <w:rPr>
                <w:rFonts w:hint="eastAsia" w:hAnsi="宋体" w:cs="宋体"/>
                <w:szCs w:val="21"/>
              </w:rPr>
              <w:t>符合第五章投标文件格式的要求；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报价唯一</w:t>
            </w:r>
          </w:p>
        </w:tc>
        <w:tc>
          <w:tcPr>
            <w:tcW w:w="5655" w:type="dxa"/>
            <w:vAlign w:val="center"/>
          </w:tcPr>
          <w:p>
            <w:pPr>
              <w:autoSpaceDE w:val="0"/>
              <w:autoSpaceDN w:val="0"/>
              <w:spacing w:line="312" w:lineRule="auto"/>
              <w:contextualSpacing/>
              <w:rPr>
                <w:rFonts w:hint="eastAsia" w:hAnsi="宋体" w:cs="宋体"/>
                <w:szCs w:val="21"/>
              </w:rPr>
            </w:pPr>
            <w:r>
              <w:rPr>
                <w:rFonts w:hint="eastAsia" w:hAnsi="宋体" w:cs="宋体"/>
                <w:szCs w:val="21"/>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投标文件的份数</w:t>
            </w:r>
          </w:p>
        </w:tc>
        <w:tc>
          <w:tcPr>
            <w:tcW w:w="5655" w:type="dxa"/>
            <w:vAlign w:val="center"/>
          </w:tcPr>
          <w:p>
            <w:pPr>
              <w:autoSpaceDE w:val="0"/>
              <w:autoSpaceDN w:val="0"/>
              <w:spacing w:line="312" w:lineRule="auto"/>
              <w:contextualSpacing/>
              <w:rPr>
                <w:rFonts w:hint="eastAsia" w:hAnsi="宋体" w:cs="宋体"/>
                <w:szCs w:val="21"/>
              </w:rPr>
            </w:pPr>
            <w:r>
              <w:rPr>
                <w:rFonts w:hint="eastAsia" w:hAnsi="宋体" w:cs="宋体"/>
                <w:szCs w:val="21"/>
              </w:rPr>
              <w:t>符合第二章投标人须知第8款规定。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投标文件的印刷与装订</w:t>
            </w:r>
          </w:p>
        </w:tc>
        <w:tc>
          <w:tcPr>
            <w:tcW w:w="5655" w:type="dxa"/>
            <w:vAlign w:val="center"/>
          </w:tcPr>
          <w:p>
            <w:pPr>
              <w:autoSpaceDE w:val="0"/>
              <w:autoSpaceDN w:val="0"/>
              <w:spacing w:line="312" w:lineRule="auto"/>
              <w:contextualSpacing/>
              <w:rPr>
                <w:rFonts w:hint="eastAsia" w:hAnsi="宋体" w:cs="宋体"/>
                <w:szCs w:val="21"/>
              </w:rPr>
            </w:pPr>
            <w:r>
              <w:rPr>
                <w:rFonts w:hint="eastAsia" w:hAnsi="宋体" w:cs="宋体"/>
                <w:szCs w:val="21"/>
              </w:rPr>
              <w:t>符合第二章投标人须知第8款规定。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888" w:type="dxa"/>
            <w:vMerge w:val="restart"/>
            <w:vAlign w:val="center"/>
          </w:tcPr>
          <w:p>
            <w:pPr>
              <w:spacing w:line="312" w:lineRule="auto"/>
              <w:jc w:val="center"/>
              <w:rPr>
                <w:rFonts w:hint="eastAsia" w:hAnsi="宋体" w:cs="宋体"/>
                <w:szCs w:val="21"/>
              </w:rPr>
            </w:pPr>
            <w:r>
              <w:rPr>
                <w:rFonts w:hint="eastAsia" w:hAnsi="宋体" w:cs="宋体"/>
                <w:szCs w:val="21"/>
              </w:rPr>
              <w:t>1.1.2</w:t>
            </w:r>
          </w:p>
        </w:tc>
        <w:tc>
          <w:tcPr>
            <w:tcW w:w="989" w:type="dxa"/>
            <w:vMerge w:val="restart"/>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资格</w:t>
            </w:r>
          </w:p>
          <w:p>
            <w:pPr>
              <w:autoSpaceDE w:val="0"/>
              <w:autoSpaceDN w:val="0"/>
              <w:spacing w:line="312" w:lineRule="auto"/>
              <w:contextualSpacing/>
              <w:jc w:val="center"/>
              <w:rPr>
                <w:rFonts w:hint="eastAsia" w:hAnsi="宋体" w:cs="宋体"/>
                <w:szCs w:val="21"/>
              </w:rPr>
            </w:pPr>
            <w:r>
              <w:rPr>
                <w:rFonts w:hint="eastAsia" w:hAnsi="宋体" w:cs="宋体"/>
                <w:szCs w:val="21"/>
              </w:rPr>
              <w:t>审查</w:t>
            </w:r>
          </w:p>
        </w:tc>
        <w:tc>
          <w:tcPr>
            <w:tcW w:w="2376" w:type="dxa"/>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营业执照、开户许可证</w:t>
            </w:r>
          </w:p>
        </w:tc>
        <w:tc>
          <w:tcPr>
            <w:tcW w:w="5655" w:type="dxa"/>
            <w:vAlign w:val="center"/>
          </w:tcPr>
          <w:p>
            <w:pPr>
              <w:spacing w:line="312" w:lineRule="auto"/>
              <w:rPr>
                <w:rFonts w:hint="eastAsia" w:hAnsi="宋体" w:cs="宋体"/>
                <w:b/>
                <w:szCs w:val="21"/>
              </w:rPr>
            </w:pPr>
            <w:r>
              <w:rPr>
                <w:rFonts w:hint="eastAsia" w:hAnsi="宋体" w:cs="宋体"/>
                <w:bCs/>
                <w:szCs w:val="21"/>
              </w:rPr>
              <w:t>具有有效的营业执照、税务登记证、组织机构代码证（或三证合一的营业执照）、银行基本账户开户许可证；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法定代表人或被授权委托人</w:t>
            </w:r>
          </w:p>
        </w:tc>
        <w:tc>
          <w:tcPr>
            <w:tcW w:w="5655" w:type="dxa"/>
            <w:vAlign w:val="center"/>
          </w:tcPr>
          <w:p>
            <w:pPr>
              <w:spacing w:line="312" w:lineRule="auto"/>
              <w:rPr>
                <w:rFonts w:hint="eastAsia" w:hAnsi="宋体" w:cs="宋体"/>
                <w:szCs w:val="21"/>
              </w:rPr>
            </w:pPr>
            <w:r>
              <w:rPr>
                <w:rFonts w:hint="eastAsia" w:hAnsi="宋体" w:cs="宋体"/>
                <w:szCs w:val="21"/>
              </w:rPr>
              <w:t>法人身份证明及身份证或授权委托书、被授权人的身份证；</w:t>
            </w:r>
          </w:p>
          <w:p>
            <w:pPr>
              <w:spacing w:line="312" w:lineRule="auto"/>
              <w:rPr>
                <w:rFonts w:hint="eastAsia" w:hAnsi="宋体" w:cs="宋体"/>
                <w:bCs/>
                <w:szCs w:val="21"/>
              </w:rPr>
            </w:pPr>
            <w:r>
              <w:rPr>
                <w:rFonts w:hint="eastAsia" w:hAnsi="宋体" w:cs="宋体"/>
                <w:bCs/>
                <w:szCs w:val="21"/>
              </w:rPr>
              <w:t>主要设备（包括</w:t>
            </w:r>
            <w:r>
              <w:rPr>
                <w:rFonts w:hAnsi="宋体" w:cs="宋体"/>
                <w:bCs/>
                <w:szCs w:val="21"/>
              </w:rPr>
              <w:t>：</w:t>
            </w:r>
            <w:r>
              <w:rPr>
                <w:rFonts w:hint="eastAsia" w:hAnsi="宋体" w:cs="宋体"/>
                <w:bCs/>
                <w:szCs w:val="21"/>
              </w:rPr>
              <w:t>数据</w:t>
            </w:r>
            <w:r>
              <w:rPr>
                <w:rFonts w:hAnsi="宋体" w:cs="宋体"/>
                <w:bCs/>
                <w:szCs w:val="21"/>
              </w:rPr>
              <w:t>服务器、</w:t>
            </w:r>
            <w:r>
              <w:rPr>
                <w:rFonts w:hint="eastAsia" w:hAnsi="宋体" w:cs="宋体"/>
                <w:bCs/>
                <w:szCs w:val="21"/>
              </w:rPr>
              <w:t>虚拟化服务器</w:t>
            </w:r>
            <w:r>
              <w:rPr>
                <w:rFonts w:hAnsi="宋体" w:cs="宋体"/>
                <w:bCs/>
                <w:szCs w:val="21"/>
              </w:rPr>
              <w:t>、备份一体机、数据库审计、</w:t>
            </w:r>
            <w:r>
              <w:rPr>
                <w:rFonts w:hint="eastAsia" w:hAnsi="宋体" w:cs="宋体"/>
                <w:bCs/>
                <w:szCs w:val="21"/>
              </w:rPr>
              <w:t>接入防火墙</w:t>
            </w:r>
            <w:r>
              <w:rPr>
                <w:rFonts w:hAnsi="宋体" w:cs="宋体"/>
                <w:bCs/>
                <w:szCs w:val="21"/>
              </w:rPr>
              <w:t>、web防火墙</w:t>
            </w:r>
            <w:r>
              <w:rPr>
                <w:rFonts w:hint="eastAsia" w:hAnsi="宋体" w:cs="宋体"/>
                <w:bCs/>
                <w:szCs w:val="21"/>
              </w:rPr>
              <w:t>等）原厂授权书（如是代理商/经销商）；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Merge w:val="restart"/>
            <w:vAlign w:val="center"/>
          </w:tcPr>
          <w:p>
            <w:pPr>
              <w:spacing w:line="312" w:lineRule="auto"/>
              <w:rPr>
                <w:rFonts w:hint="eastAsia" w:hAnsi="宋体" w:cs="宋体"/>
                <w:szCs w:val="21"/>
              </w:rPr>
            </w:pPr>
            <w:r>
              <w:rPr>
                <w:rFonts w:hint="eastAsia" w:hAnsi="宋体" w:cs="宋体"/>
                <w:szCs w:val="21"/>
              </w:rPr>
              <w:t>符合政府采购法二十二条规定：</w:t>
            </w:r>
          </w:p>
          <w:p>
            <w:pPr>
              <w:autoSpaceDE w:val="0"/>
              <w:autoSpaceDN w:val="0"/>
              <w:spacing w:line="312" w:lineRule="auto"/>
              <w:contextualSpacing/>
              <w:rPr>
                <w:rFonts w:hint="eastAsia" w:hAnsi="宋体" w:cs="宋体"/>
                <w:szCs w:val="21"/>
              </w:rPr>
            </w:pPr>
          </w:p>
        </w:tc>
        <w:tc>
          <w:tcPr>
            <w:tcW w:w="5655" w:type="dxa"/>
            <w:vAlign w:val="center"/>
          </w:tcPr>
          <w:p>
            <w:pPr>
              <w:spacing w:line="312" w:lineRule="auto"/>
              <w:rPr>
                <w:rFonts w:hint="eastAsia" w:hAnsi="宋体" w:cs="宋体"/>
                <w:b/>
                <w:bCs/>
                <w:szCs w:val="21"/>
              </w:rPr>
            </w:pPr>
            <w:r>
              <w:rPr>
                <w:rFonts w:hint="eastAsia" w:hAnsi="宋体" w:cs="宋体"/>
                <w:szCs w:val="21"/>
              </w:rPr>
              <w:t>近三年财务状况良好（提供2014年度、2015年度、2016年度财务良好，若公司成立未满三年，须提供成立当年至今的财务报告）；</w:t>
            </w:r>
            <w:r>
              <w:rPr>
                <w:rFonts w:hint="eastAsia"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Merge w:val="continue"/>
            <w:vAlign w:val="center"/>
          </w:tcPr>
          <w:p>
            <w:pPr>
              <w:autoSpaceDE w:val="0"/>
              <w:autoSpaceDN w:val="0"/>
              <w:spacing w:line="312" w:lineRule="auto"/>
              <w:contextualSpacing/>
              <w:jc w:val="center"/>
              <w:rPr>
                <w:rFonts w:hint="eastAsia" w:hAnsi="宋体" w:cs="宋体"/>
                <w:szCs w:val="21"/>
              </w:rPr>
            </w:pPr>
          </w:p>
        </w:tc>
        <w:tc>
          <w:tcPr>
            <w:tcW w:w="5655" w:type="dxa"/>
            <w:vAlign w:val="center"/>
          </w:tcPr>
          <w:p>
            <w:pPr>
              <w:spacing w:line="312" w:lineRule="auto"/>
              <w:rPr>
                <w:rFonts w:hint="eastAsia" w:hAnsi="宋体" w:cs="宋体"/>
                <w:szCs w:val="21"/>
              </w:rPr>
            </w:pPr>
            <w:r>
              <w:rPr>
                <w:rFonts w:hint="eastAsia" w:hAnsi="宋体" w:cs="宋体"/>
                <w:szCs w:val="21"/>
              </w:rPr>
              <w:t>具有履行合同所必需的设备和专业技术能力(提供声明文件,加盖单位公章及法人签字）；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Merge w:val="continue"/>
            <w:vAlign w:val="center"/>
          </w:tcPr>
          <w:p>
            <w:pPr>
              <w:pStyle w:val="11"/>
              <w:widowControl/>
              <w:shd w:val="clear" w:color="auto" w:fill="FFFFFF"/>
              <w:spacing w:before="0" w:beforeAutospacing="0" w:after="0" w:afterAutospacing="0" w:line="360" w:lineRule="auto"/>
              <w:ind w:left="420" w:leftChars="200" w:firstLine="480" w:firstLineChars="200"/>
              <w:rPr>
                <w:rFonts w:hint="eastAsia" w:hAnsi="宋体" w:cs="宋体"/>
                <w:szCs w:val="21"/>
              </w:rPr>
            </w:pPr>
          </w:p>
        </w:tc>
        <w:tc>
          <w:tcPr>
            <w:tcW w:w="5655" w:type="dxa"/>
            <w:vAlign w:val="center"/>
          </w:tcPr>
          <w:p>
            <w:pPr>
              <w:spacing w:line="312" w:lineRule="auto"/>
              <w:rPr>
                <w:rFonts w:hint="eastAsia" w:hAnsi="宋体" w:cs="宋体"/>
                <w:szCs w:val="21"/>
              </w:rPr>
            </w:pPr>
            <w:r>
              <w:rPr>
                <w:rFonts w:hint="eastAsia" w:hAnsi="宋体" w:cs="宋体"/>
                <w:szCs w:val="21"/>
              </w:rPr>
              <w:t>有依法缴纳税收和社会保障资金的良好记录（须提供近三个月的完税证明和近三个月公司社保缴纳证明）；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Merge w:val="continue"/>
            <w:vAlign w:val="center"/>
          </w:tcPr>
          <w:p>
            <w:pPr>
              <w:pStyle w:val="11"/>
              <w:widowControl/>
              <w:shd w:val="clear" w:color="auto" w:fill="FFFFFF"/>
              <w:spacing w:before="0" w:beforeAutospacing="0" w:after="0" w:afterAutospacing="0" w:line="360" w:lineRule="auto"/>
              <w:ind w:left="420" w:leftChars="200" w:firstLine="480" w:firstLineChars="200"/>
              <w:rPr>
                <w:rFonts w:hint="eastAsia" w:hAnsi="宋体" w:cs="宋体"/>
                <w:szCs w:val="21"/>
              </w:rPr>
            </w:pPr>
          </w:p>
        </w:tc>
        <w:tc>
          <w:tcPr>
            <w:tcW w:w="5655" w:type="dxa"/>
            <w:vAlign w:val="center"/>
          </w:tcPr>
          <w:p>
            <w:pPr>
              <w:spacing w:line="312" w:lineRule="auto"/>
              <w:rPr>
                <w:rFonts w:hint="eastAsia" w:hAnsi="宋体" w:cs="宋体"/>
                <w:szCs w:val="21"/>
              </w:rPr>
            </w:pPr>
            <w:r>
              <w:rPr>
                <w:rFonts w:hint="eastAsia" w:hAnsi="宋体" w:cs="宋体"/>
                <w:szCs w:val="21"/>
              </w:rPr>
              <w:t>参加政府采购活动前三年内，在经营活动中没有重大违法记录（须提供近三年无重大违法记录声明,加盖单位公章及法人签字）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908" w:type="dxa"/>
            <w:gridSpan w:val="4"/>
            <w:vAlign w:val="center"/>
          </w:tcPr>
          <w:p>
            <w:pPr>
              <w:spacing w:line="312" w:lineRule="auto"/>
              <w:rPr>
                <w:rFonts w:hint="eastAsia" w:hAnsi="宋体" w:cs="宋体"/>
                <w:szCs w:val="21"/>
              </w:rPr>
            </w:pPr>
            <w:r>
              <w:rPr>
                <w:rFonts w:hint="eastAsia" w:hAnsi="宋体" w:cs="宋体"/>
                <w:szCs w:val="21"/>
              </w:rPr>
              <w:t>注：资格评审中涉及的证件评标时以原件为准，如有一处不符合投标文件将被否决；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88" w:type="dxa"/>
            <w:vMerge w:val="restart"/>
            <w:vAlign w:val="center"/>
          </w:tcPr>
          <w:p>
            <w:pPr>
              <w:spacing w:line="312" w:lineRule="auto"/>
              <w:jc w:val="center"/>
              <w:rPr>
                <w:rFonts w:hint="eastAsia" w:hAnsi="宋体" w:cs="宋体"/>
                <w:szCs w:val="21"/>
              </w:rPr>
            </w:pPr>
            <w:r>
              <w:rPr>
                <w:rFonts w:hint="eastAsia" w:hAnsi="宋体" w:cs="宋体"/>
                <w:szCs w:val="21"/>
              </w:rPr>
              <w:t>1.1.3</w:t>
            </w:r>
          </w:p>
        </w:tc>
        <w:tc>
          <w:tcPr>
            <w:tcW w:w="989" w:type="dxa"/>
            <w:vMerge w:val="restart"/>
            <w:vAlign w:val="center"/>
          </w:tcPr>
          <w:p>
            <w:pPr>
              <w:autoSpaceDE w:val="0"/>
              <w:autoSpaceDN w:val="0"/>
              <w:spacing w:line="312" w:lineRule="auto"/>
              <w:contextualSpacing/>
              <w:jc w:val="center"/>
              <w:rPr>
                <w:rFonts w:hint="eastAsia" w:hAnsi="宋体" w:cs="宋体"/>
                <w:szCs w:val="21"/>
              </w:rPr>
            </w:pPr>
            <w:r>
              <w:rPr>
                <w:rFonts w:hint="eastAsia" w:hAnsi="宋体" w:cs="宋体"/>
                <w:szCs w:val="21"/>
              </w:rPr>
              <w:t>响应性评审</w:t>
            </w:r>
          </w:p>
          <w:p>
            <w:pPr>
              <w:autoSpaceDE w:val="0"/>
              <w:autoSpaceDN w:val="0"/>
              <w:spacing w:line="312" w:lineRule="auto"/>
              <w:contextualSpacing/>
              <w:jc w:val="center"/>
              <w:rPr>
                <w:rFonts w:hint="eastAsia" w:hAnsi="宋体" w:cs="宋体"/>
                <w:szCs w:val="21"/>
              </w:rPr>
            </w:pPr>
            <w:r>
              <w:rPr>
                <w:rFonts w:hint="eastAsia" w:hAnsi="宋体" w:cs="宋体"/>
                <w:szCs w:val="21"/>
              </w:rPr>
              <w:t>标准</w:t>
            </w:r>
          </w:p>
        </w:tc>
        <w:tc>
          <w:tcPr>
            <w:tcW w:w="2376" w:type="dxa"/>
            <w:vAlign w:val="center"/>
          </w:tcPr>
          <w:p>
            <w:pPr>
              <w:pStyle w:val="21"/>
              <w:spacing w:line="440" w:lineRule="exact"/>
              <w:rPr>
                <w:rFonts w:hint="eastAsia" w:hAnsi="宋体"/>
                <w:color w:val="auto"/>
                <w:kern w:val="2"/>
                <w:sz w:val="21"/>
                <w:szCs w:val="21"/>
              </w:rPr>
            </w:pPr>
            <w:r>
              <w:rPr>
                <w:rFonts w:hint="eastAsia" w:hAnsi="宋体"/>
                <w:color w:val="auto"/>
                <w:kern w:val="2"/>
                <w:sz w:val="21"/>
                <w:szCs w:val="21"/>
              </w:rPr>
              <w:t>投标内容</w:t>
            </w:r>
          </w:p>
        </w:tc>
        <w:tc>
          <w:tcPr>
            <w:tcW w:w="5655" w:type="dxa"/>
            <w:vAlign w:val="center"/>
          </w:tcPr>
          <w:p>
            <w:pPr>
              <w:pStyle w:val="21"/>
              <w:spacing w:line="440" w:lineRule="exact"/>
              <w:jc w:val="both"/>
              <w:rPr>
                <w:rFonts w:hint="eastAsia" w:hAnsi="宋体"/>
                <w:color w:val="auto"/>
                <w:kern w:val="2"/>
                <w:sz w:val="21"/>
                <w:szCs w:val="21"/>
              </w:rPr>
            </w:pPr>
            <w:r>
              <w:rPr>
                <w:rFonts w:hint="eastAsia" w:hAnsi="宋体"/>
                <w:color w:val="auto"/>
                <w:sz w:val="21"/>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pStyle w:val="21"/>
              <w:spacing w:line="440" w:lineRule="exact"/>
              <w:rPr>
                <w:rFonts w:hint="eastAsia" w:hAnsi="宋体"/>
                <w:color w:val="auto"/>
                <w:sz w:val="21"/>
                <w:szCs w:val="21"/>
              </w:rPr>
            </w:pPr>
            <w:r>
              <w:rPr>
                <w:rFonts w:hint="eastAsia" w:hAnsi="宋体"/>
                <w:color w:val="auto"/>
                <w:sz w:val="21"/>
                <w:szCs w:val="21"/>
              </w:rPr>
              <w:t>交货期</w:t>
            </w:r>
          </w:p>
        </w:tc>
        <w:tc>
          <w:tcPr>
            <w:tcW w:w="5655" w:type="dxa"/>
            <w:vAlign w:val="center"/>
          </w:tcPr>
          <w:p>
            <w:pPr>
              <w:pStyle w:val="21"/>
              <w:spacing w:line="440" w:lineRule="exact"/>
              <w:jc w:val="both"/>
              <w:rPr>
                <w:rFonts w:hint="eastAsia" w:hAnsi="宋体"/>
                <w:color w:val="auto"/>
                <w:kern w:val="2"/>
                <w:sz w:val="21"/>
                <w:szCs w:val="21"/>
              </w:rPr>
            </w:pPr>
            <w:r>
              <w:rPr>
                <w:rFonts w:hint="eastAsia" w:hAnsi="宋体"/>
                <w:color w:val="auto"/>
                <w:sz w:val="21"/>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pStyle w:val="21"/>
              <w:spacing w:line="440" w:lineRule="exact"/>
              <w:rPr>
                <w:rFonts w:hint="eastAsia" w:hAnsi="宋体"/>
                <w:color w:val="auto"/>
                <w:sz w:val="21"/>
                <w:szCs w:val="21"/>
              </w:rPr>
            </w:pPr>
            <w:r>
              <w:rPr>
                <w:rFonts w:hint="eastAsia" w:hAnsi="宋体"/>
                <w:color w:val="auto"/>
                <w:sz w:val="21"/>
                <w:szCs w:val="21"/>
              </w:rPr>
              <w:t>投标质量</w:t>
            </w:r>
          </w:p>
        </w:tc>
        <w:tc>
          <w:tcPr>
            <w:tcW w:w="5655" w:type="dxa"/>
            <w:vAlign w:val="center"/>
          </w:tcPr>
          <w:p>
            <w:pPr>
              <w:pStyle w:val="21"/>
              <w:spacing w:line="440" w:lineRule="exact"/>
              <w:jc w:val="both"/>
              <w:rPr>
                <w:rFonts w:hint="eastAsia" w:hAnsi="宋体"/>
                <w:color w:val="auto"/>
                <w:sz w:val="21"/>
                <w:szCs w:val="21"/>
              </w:rPr>
            </w:pPr>
            <w:r>
              <w:rPr>
                <w:rFonts w:hint="eastAsia" w:hAnsi="宋体"/>
                <w:color w:val="auto"/>
                <w:sz w:val="21"/>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pStyle w:val="21"/>
              <w:spacing w:line="440" w:lineRule="exact"/>
              <w:rPr>
                <w:rFonts w:hint="eastAsia" w:hAnsi="宋体"/>
                <w:color w:val="auto"/>
                <w:sz w:val="21"/>
                <w:szCs w:val="21"/>
              </w:rPr>
            </w:pPr>
            <w:r>
              <w:rPr>
                <w:rFonts w:hint="eastAsia" w:hAnsi="宋体"/>
                <w:color w:val="auto"/>
                <w:sz w:val="21"/>
                <w:szCs w:val="21"/>
              </w:rPr>
              <w:t>投标有效期</w:t>
            </w:r>
          </w:p>
        </w:tc>
        <w:tc>
          <w:tcPr>
            <w:tcW w:w="5655" w:type="dxa"/>
            <w:vAlign w:val="center"/>
          </w:tcPr>
          <w:p>
            <w:pPr>
              <w:pStyle w:val="21"/>
              <w:spacing w:line="440" w:lineRule="exact"/>
              <w:jc w:val="both"/>
              <w:rPr>
                <w:rFonts w:hint="eastAsia" w:hAnsi="宋体"/>
                <w:color w:val="auto"/>
                <w:sz w:val="21"/>
                <w:szCs w:val="21"/>
              </w:rPr>
            </w:pPr>
            <w:r>
              <w:rPr>
                <w:rFonts w:hint="eastAsia" w:hAnsi="宋体"/>
                <w:color w:val="auto"/>
                <w:sz w:val="21"/>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pStyle w:val="21"/>
              <w:spacing w:line="440" w:lineRule="exact"/>
              <w:rPr>
                <w:rFonts w:hint="eastAsia" w:hAnsi="宋体"/>
                <w:color w:val="auto"/>
                <w:sz w:val="21"/>
                <w:szCs w:val="21"/>
              </w:rPr>
            </w:pPr>
            <w:r>
              <w:rPr>
                <w:rFonts w:hint="eastAsia" w:hAnsi="宋体"/>
                <w:color w:val="auto"/>
                <w:sz w:val="21"/>
                <w:szCs w:val="21"/>
              </w:rPr>
              <w:t>投标保证金</w:t>
            </w:r>
          </w:p>
        </w:tc>
        <w:tc>
          <w:tcPr>
            <w:tcW w:w="5655" w:type="dxa"/>
            <w:vAlign w:val="center"/>
          </w:tcPr>
          <w:p>
            <w:pPr>
              <w:pStyle w:val="21"/>
              <w:spacing w:line="440" w:lineRule="exact"/>
              <w:jc w:val="both"/>
              <w:rPr>
                <w:rFonts w:hint="eastAsia" w:hAnsi="宋体"/>
                <w:color w:val="auto"/>
                <w:sz w:val="21"/>
                <w:szCs w:val="21"/>
              </w:rPr>
            </w:pPr>
            <w:r>
              <w:rPr>
                <w:rFonts w:hint="eastAsia" w:hAnsi="宋体"/>
                <w:color w:val="auto"/>
                <w:sz w:val="21"/>
                <w:szCs w:val="21"/>
              </w:rPr>
              <w:t>符合第二章“投标人须知”前附表第3.4.1项规定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pStyle w:val="21"/>
              <w:spacing w:line="440" w:lineRule="exact"/>
              <w:rPr>
                <w:rFonts w:hint="eastAsia" w:hAnsi="宋体"/>
                <w:color w:val="auto"/>
                <w:sz w:val="21"/>
                <w:szCs w:val="21"/>
              </w:rPr>
            </w:pPr>
            <w:r>
              <w:rPr>
                <w:rFonts w:hint="eastAsia" w:hAnsi="宋体"/>
                <w:color w:val="auto"/>
                <w:sz w:val="21"/>
                <w:szCs w:val="21"/>
              </w:rPr>
              <w:t>权利义务</w:t>
            </w:r>
          </w:p>
        </w:tc>
        <w:tc>
          <w:tcPr>
            <w:tcW w:w="5655" w:type="dxa"/>
            <w:vAlign w:val="center"/>
          </w:tcPr>
          <w:p>
            <w:pPr>
              <w:pStyle w:val="21"/>
              <w:spacing w:line="440" w:lineRule="exact"/>
              <w:jc w:val="both"/>
              <w:rPr>
                <w:rFonts w:hint="eastAsia" w:hAnsi="宋体"/>
                <w:color w:val="auto"/>
                <w:sz w:val="21"/>
                <w:szCs w:val="21"/>
              </w:rPr>
            </w:pPr>
            <w:r>
              <w:rPr>
                <w:rFonts w:hint="eastAsia" w:hAnsi="宋体"/>
                <w:color w:val="auto"/>
                <w:sz w:val="21"/>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pStyle w:val="21"/>
              <w:spacing w:line="440" w:lineRule="exact"/>
              <w:rPr>
                <w:rFonts w:hint="eastAsia" w:hAnsi="宋体"/>
                <w:color w:val="auto"/>
                <w:sz w:val="21"/>
                <w:szCs w:val="21"/>
              </w:rPr>
            </w:pPr>
            <w:r>
              <w:rPr>
                <w:rFonts w:hint="eastAsia" w:hAnsi="宋体"/>
                <w:color w:val="auto"/>
                <w:sz w:val="21"/>
                <w:szCs w:val="21"/>
              </w:rPr>
              <w:t>服务期</w:t>
            </w:r>
          </w:p>
        </w:tc>
        <w:tc>
          <w:tcPr>
            <w:tcW w:w="5655" w:type="dxa"/>
            <w:vAlign w:val="center"/>
          </w:tcPr>
          <w:p>
            <w:pPr>
              <w:pStyle w:val="21"/>
              <w:spacing w:line="440" w:lineRule="exact"/>
              <w:jc w:val="both"/>
              <w:rPr>
                <w:rFonts w:hint="eastAsia" w:hAnsi="宋体"/>
                <w:color w:val="auto"/>
                <w:sz w:val="21"/>
                <w:szCs w:val="21"/>
              </w:rPr>
            </w:pPr>
            <w:r>
              <w:rPr>
                <w:rFonts w:hint="eastAsia" w:hAnsi="宋体"/>
                <w:color w:val="auto"/>
                <w:sz w:val="21"/>
                <w:szCs w:val="21"/>
              </w:rPr>
              <w:t>符合第二章“投标人须知”前附表第10.9项规定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88" w:type="dxa"/>
            <w:vMerge w:val="continue"/>
            <w:vAlign w:val="center"/>
          </w:tcPr>
          <w:p>
            <w:pPr>
              <w:spacing w:line="312" w:lineRule="auto"/>
              <w:jc w:val="center"/>
              <w:rPr>
                <w:rFonts w:hint="eastAsia" w:hAnsi="宋体" w:cs="宋体"/>
                <w:szCs w:val="21"/>
              </w:rPr>
            </w:pPr>
          </w:p>
        </w:tc>
        <w:tc>
          <w:tcPr>
            <w:tcW w:w="989" w:type="dxa"/>
            <w:vMerge w:val="continue"/>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pStyle w:val="21"/>
              <w:spacing w:line="440" w:lineRule="exact"/>
              <w:rPr>
                <w:rFonts w:hint="eastAsia" w:hAnsi="宋体"/>
                <w:color w:val="auto"/>
                <w:sz w:val="21"/>
                <w:szCs w:val="21"/>
              </w:rPr>
            </w:pPr>
            <w:r>
              <w:rPr>
                <w:rFonts w:hint="eastAsia" w:hAnsi="宋体"/>
                <w:color w:val="auto"/>
                <w:sz w:val="21"/>
                <w:szCs w:val="21"/>
              </w:rPr>
              <w:t>投标价格</w:t>
            </w:r>
          </w:p>
        </w:tc>
        <w:tc>
          <w:tcPr>
            <w:tcW w:w="5655" w:type="dxa"/>
            <w:vAlign w:val="center"/>
          </w:tcPr>
          <w:p>
            <w:pPr>
              <w:spacing w:line="440" w:lineRule="exact"/>
              <w:rPr>
                <w:rFonts w:hint="eastAsia" w:ascii="宋体" w:hAnsi="宋体" w:cs="宋体"/>
              </w:rPr>
            </w:pPr>
            <w:r>
              <w:rPr>
                <w:rFonts w:hint="eastAsia" w:ascii="宋体" w:hAnsi="宋体" w:cs="宋体"/>
              </w:rPr>
              <w:t>不高于第二章“投标人须知”前附表载明的招标控制价。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88" w:type="dxa"/>
            <w:vAlign w:val="center"/>
          </w:tcPr>
          <w:p>
            <w:pPr>
              <w:spacing w:line="312" w:lineRule="auto"/>
              <w:jc w:val="center"/>
              <w:rPr>
                <w:rFonts w:hint="eastAsia" w:hAnsi="宋体" w:cs="宋体"/>
                <w:szCs w:val="21"/>
              </w:rPr>
            </w:pPr>
          </w:p>
        </w:tc>
        <w:tc>
          <w:tcPr>
            <w:tcW w:w="989" w:type="dxa"/>
            <w:vAlign w:val="center"/>
          </w:tcPr>
          <w:p>
            <w:pPr>
              <w:autoSpaceDE w:val="0"/>
              <w:autoSpaceDN w:val="0"/>
              <w:spacing w:line="312" w:lineRule="auto"/>
              <w:contextualSpacing/>
              <w:jc w:val="center"/>
              <w:rPr>
                <w:rFonts w:hint="eastAsia" w:hAnsi="宋体" w:cs="宋体"/>
                <w:szCs w:val="21"/>
              </w:rPr>
            </w:pPr>
          </w:p>
        </w:tc>
        <w:tc>
          <w:tcPr>
            <w:tcW w:w="2376" w:type="dxa"/>
            <w:vAlign w:val="center"/>
          </w:tcPr>
          <w:p>
            <w:pPr>
              <w:pStyle w:val="21"/>
              <w:spacing w:line="440" w:lineRule="exact"/>
              <w:rPr>
                <w:rFonts w:hint="eastAsia" w:hAnsi="宋体"/>
                <w:color w:val="auto"/>
                <w:sz w:val="21"/>
                <w:szCs w:val="21"/>
              </w:rPr>
            </w:pPr>
            <w:r>
              <w:rPr>
                <w:rFonts w:hint="eastAsia" w:hAnsi="宋体"/>
                <w:color w:val="auto"/>
                <w:sz w:val="21"/>
                <w:szCs w:val="21"/>
              </w:rPr>
              <w:t>否决情形</w:t>
            </w:r>
          </w:p>
        </w:tc>
        <w:tc>
          <w:tcPr>
            <w:tcW w:w="5655" w:type="dxa"/>
            <w:vAlign w:val="center"/>
          </w:tcPr>
          <w:p>
            <w:pPr>
              <w:spacing w:line="440" w:lineRule="exact"/>
              <w:rPr>
                <w:rFonts w:hint="eastAsia" w:ascii="宋体" w:hAnsi="宋体" w:cs="宋体"/>
              </w:rPr>
            </w:pPr>
            <w:r>
              <w:rPr>
                <w:rFonts w:hint="eastAsia" w:ascii="宋体" w:hAnsi="宋体" w:cs="宋体"/>
              </w:rPr>
              <w:t>投标文件是否存在符合否决情形</w:t>
            </w:r>
          </w:p>
        </w:tc>
      </w:tr>
    </w:tbl>
    <w:p>
      <w:pPr>
        <w:spacing w:line="460" w:lineRule="exact"/>
        <w:rPr>
          <w:rFonts w:hint="eastAsia" w:ascii="宋体" w:hAnsi="宋体" w:cs="宋体"/>
          <w:szCs w:val="21"/>
        </w:rPr>
      </w:pPr>
      <w:r>
        <w:rPr>
          <w:rFonts w:hint="eastAsia" w:ascii="宋体" w:hAnsi="宋体" w:cs="宋体"/>
          <w:szCs w:val="21"/>
        </w:rPr>
        <w:t>注：上述审查如有一项不符合其投标文件将被否决，不再进行评审；以上要求证书、证明等均须提供证明性材料的原件或者公证件并保证真实性（营业执照可为加盖公章的复印件），如经查实提供虚假材料者，该公司的投标将被否决，其投标保证金将不予退还；情节严重的交有关部门依法处理。</w:t>
      </w:r>
    </w:p>
    <w:tbl>
      <w:tblPr>
        <w:tblStyle w:val="13"/>
        <w:tblW w:w="102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25"/>
        <w:gridCol w:w="1388"/>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325"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条款内容</w:t>
            </w:r>
          </w:p>
        </w:tc>
        <w:tc>
          <w:tcPr>
            <w:tcW w:w="1388"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分值</w:t>
            </w:r>
          </w:p>
        </w:tc>
        <w:tc>
          <w:tcPr>
            <w:tcW w:w="6765"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2.1.1</w:t>
            </w:r>
          </w:p>
        </w:tc>
        <w:tc>
          <w:tcPr>
            <w:tcW w:w="1325" w:type="dxa"/>
            <w:vAlign w:val="center"/>
          </w:tcPr>
          <w:p>
            <w:pPr>
              <w:spacing w:line="276" w:lineRule="auto"/>
              <w:jc w:val="center"/>
              <w:rPr>
                <w:rFonts w:ascii="宋体" w:hAnsi="宋体" w:cs="仿宋_GB2312"/>
                <w:szCs w:val="21"/>
              </w:rPr>
            </w:pPr>
            <w:r>
              <w:rPr>
                <w:rFonts w:hint="eastAsia" w:ascii="宋体" w:hAnsi="宋体" w:cs="仿宋_GB2312"/>
                <w:szCs w:val="21"/>
              </w:rPr>
              <w:t>分值构成</w:t>
            </w:r>
          </w:p>
        </w:tc>
        <w:tc>
          <w:tcPr>
            <w:tcW w:w="1388" w:type="dxa"/>
            <w:vAlign w:val="center"/>
          </w:tcPr>
          <w:p>
            <w:pPr>
              <w:spacing w:line="276" w:lineRule="auto"/>
              <w:jc w:val="both"/>
              <w:rPr>
                <w:rFonts w:hint="eastAsia" w:ascii="宋体" w:hAnsi="宋体" w:cs="仿宋_GB2312"/>
                <w:szCs w:val="21"/>
              </w:rPr>
            </w:pPr>
            <w:r>
              <w:rPr>
                <w:rFonts w:hint="eastAsia" w:ascii="宋体" w:hAnsi="宋体" w:cs="仿宋_GB2312"/>
                <w:szCs w:val="21"/>
              </w:rPr>
              <w:t>(总分</w:t>
            </w:r>
          </w:p>
          <w:p>
            <w:pPr>
              <w:spacing w:line="276" w:lineRule="auto"/>
              <w:jc w:val="both"/>
              <w:rPr>
                <w:rFonts w:ascii="宋体" w:hAnsi="宋体" w:cs="仿宋_GB2312"/>
                <w:szCs w:val="21"/>
              </w:rPr>
            </w:pPr>
            <w:r>
              <w:rPr>
                <w:rFonts w:hint="eastAsia" w:ascii="宋体" w:hAnsi="宋体" w:cs="仿宋_GB2312"/>
                <w:szCs w:val="21"/>
              </w:rPr>
              <w:t>100分)</w:t>
            </w:r>
          </w:p>
        </w:tc>
        <w:tc>
          <w:tcPr>
            <w:tcW w:w="6765" w:type="dxa"/>
            <w:vAlign w:val="center"/>
          </w:tcPr>
          <w:p>
            <w:pPr>
              <w:spacing w:line="276" w:lineRule="auto"/>
              <w:rPr>
                <w:rFonts w:ascii="宋体" w:hAnsi="宋体" w:cs="宋体"/>
                <w:kern w:val="0"/>
                <w:szCs w:val="21"/>
              </w:rPr>
            </w:pPr>
            <w:r>
              <w:rPr>
                <w:rFonts w:hint="eastAsia" w:ascii="宋体" w:hAnsi="宋体" w:cs="宋体"/>
                <w:kern w:val="0"/>
                <w:szCs w:val="21"/>
              </w:rPr>
              <w:t>报价部分：</w:t>
            </w:r>
            <w:r>
              <w:rPr>
                <w:rFonts w:ascii="宋体" w:hAnsi="宋体" w:cs="宋体"/>
                <w:kern w:val="0"/>
                <w:szCs w:val="21"/>
              </w:rPr>
              <w:t>3</w:t>
            </w:r>
            <w:r>
              <w:rPr>
                <w:rFonts w:hint="eastAsia" w:ascii="宋体" w:hAnsi="宋体" w:cs="宋体"/>
                <w:kern w:val="0"/>
                <w:szCs w:val="21"/>
              </w:rPr>
              <w:t>0分</w:t>
            </w:r>
          </w:p>
          <w:p>
            <w:pPr>
              <w:spacing w:line="276" w:lineRule="auto"/>
              <w:rPr>
                <w:rFonts w:ascii="宋体" w:hAnsi="宋体" w:cs="宋体"/>
                <w:kern w:val="0"/>
                <w:szCs w:val="21"/>
              </w:rPr>
            </w:pPr>
            <w:r>
              <w:rPr>
                <w:rFonts w:hint="eastAsia" w:ascii="宋体" w:hAnsi="宋体" w:cs="宋体"/>
                <w:kern w:val="0"/>
                <w:szCs w:val="21"/>
              </w:rPr>
              <w:t>综合实力: 30分</w:t>
            </w:r>
          </w:p>
          <w:p>
            <w:pPr>
              <w:spacing w:line="276" w:lineRule="auto"/>
              <w:rPr>
                <w:rFonts w:ascii="宋体" w:hAnsi="宋体" w:cs="宋体"/>
                <w:kern w:val="0"/>
                <w:szCs w:val="21"/>
              </w:rPr>
            </w:pPr>
            <w:r>
              <w:rPr>
                <w:rFonts w:hint="eastAsia" w:ascii="宋体" w:hAnsi="宋体" w:cs="宋体"/>
                <w:kern w:val="0"/>
                <w:szCs w:val="21"/>
              </w:rPr>
              <w:t>响应部分：</w:t>
            </w:r>
            <w:r>
              <w:rPr>
                <w:rFonts w:ascii="宋体" w:hAnsi="宋体" w:cs="宋体"/>
                <w:kern w:val="0"/>
                <w:szCs w:val="21"/>
              </w:rPr>
              <w:t>40</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325"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评分因素</w:t>
            </w:r>
          </w:p>
        </w:tc>
        <w:tc>
          <w:tcPr>
            <w:tcW w:w="1388"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分值</w:t>
            </w:r>
          </w:p>
        </w:tc>
        <w:tc>
          <w:tcPr>
            <w:tcW w:w="6765"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Align w:val="center"/>
          </w:tcPr>
          <w:p>
            <w:pPr>
              <w:widowControl/>
              <w:spacing w:line="276" w:lineRule="auto"/>
              <w:jc w:val="center"/>
              <w:rPr>
                <w:rFonts w:ascii="宋体" w:hAnsi="宋体" w:cs="宋体"/>
                <w:color w:val="000000"/>
                <w:kern w:val="0"/>
                <w:szCs w:val="21"/>
              </w:rPr>
            </w:pPr>
            <w:r>
              <w:rPr>
                <w:rFonts w:ascii="宋体" w:hAnsi="宋体" w:cs="宋体"/>
                <w:color w:val="000000"/>
                <w:kern w:val="0"/>
                <w:szCs w:val="21"/>
              </w:rPr>
              <w:t>2.1.2</w:t>
            </w:r>
          </w:p>
        </w:tc>
        <w:tc>
          <w:tcPr>
            <w:tcW w:w="1325"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投标报价</w:t>
            </w:r>
          </w:p>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（30分）</w:t>
            </w:r>
          </w:p>
        </w:tc>
        <w:tc>
          <w:tcPr>
            <w:tcW w:w="1388"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（30分）</w:t>
            </w:r>
          </w:p>
        </w:tc>
        <w:tc>
          <w:tcPr>
            <w:tcW w:w="6765"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有效报价（有效报价是指未超出采购人招标控制价的报价）相加后除于相加的个数得出的算术平均数为平均报价，以此基数为30分。其公式如下：</w:t>
            </w:r>
          </w:p>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投标报价得分＝30-∣30×(报价-平均价)÷平均价∣。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restart"/>
            <w:vAlign w:val="center"/>
          </w:tcPr>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2.1.3</w:t>
            </w:r>
          </w:p>
        </w:tc>
        <w:tc>
          <w:tcPr>
            <w:tcW w:w="1325" w:type="dxa"/>
            <w:vMerge w:val="restart"/>
            <w:vAlign w:val="center"/>
          </w:tcPr>
          <w:p>
            <w:pPr>
              <w:widowControl/>
              <w:spacing w:line="276" w:lineRule="auto"/>
              <w:jc w:val="center"/>
              <w:rPr>
                <w:rFonts w:ascii="宋体" w:hAnsi="宋体" w:cs="宋体"/>
                <w:color w:val="000000"/>
                <w:kern w:val="0"/>
                <w:szCs w:val="21"/>
              </w:rPr>
            </w:pPr>
            <w:r>
              <w:rPr>
                <w:rFonts w:hint="eastAsia" w:ascii="宋体" w:hAnsi="宋体" w:cs="Arial"/>
                <w:szCs w:val="21"/>
              </w:rPr>
              <w:t xml:space="preserve">商务部分 </w:t>
            </w:r>
            <w:r>
              <w:rPr>
                <w:rFonts w:hint="eastAsia" w:ascii="宋体" w:hAnsi="宋体" w:cs="宋体"/>
                <w:color w:val="000000"/>
                <w:kern w:val="0"/>
                <w:szCs w:val="21"/>
              </w:rPr>
              <w:t>综合实力</w:t>
            </w:r>
          </w:p>
          <w:p>
            <w:pPr>
              <w:spacing w:line="276"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分）</w:t>
            </w:r>
          </w:p>
        </w:tc>
        <w:tc>
          <w:tcPr>
            <w:tcW w:w="1388"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企业实力及信誉（2</w:t>
            </w:r>
            <w:r>
              <w:rPr>
                <w:rFonts w:ascii="宋体" w:hAnsi="宋体" w:cs="宋体"/>
                <w:color w:val="000000"/>
                <w:kern w:val="0"/>
                <w:szCs w:val="21"/>
              </w:rPr>
              <w:t>5</w:t>
            </w:r>
            <w:r>
              <w:rPr>
                <w:rFonts w:hint="eastAsia" w:ascii="宋体" w:hAnsi="宋体" w:cs="宋体"/>
                <w:color w:val="000000"/>
                <w:kern w:val="0"/>
                <w:szCs w:val="21"/>
              </w:rPr>
              <w:t>分）</w:t>
            </w:r>
          </w:p>
          <w:p>
            <w:pPr>
              <w:spacing w:line="276" w:lineRule="auto"/>
              <w:jc w:val="center"/>
              <w:rPr>
                <w:rFonts w:ascii="宋体" w:hAnsi="宋体" w:cs="宋体"/>
                <w:color w:val="000000"/>
                <w:kern w:val="0"/>
                <w:szCs w:val="21"/>
              </w:rPr>
            </w:pPr>
            <w:r>
              <w:rPr>
                <w:rFonts w:hint="eastAsia" w:ascii="宋体" w:hAnsi="宋体" w:cs="宋体"/>
                <w:color w:val="000000"/>
                <w:kern w:val="0"/>
                <w:szCs w:val="21"/>
              </w:rPr>
              <w:t>　</w:t>
            </w:r>
          </w:p>
        </w:tc>
        <w:tc>
          <w:tcPr>
            <w:tcW w:w="6765" w:type="dxa"/>
            <w:vAlign w:val="center"/>
          </w:tcPr>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1.投标人具有省级及以上高新技术企业证书得3分；（开标时提供原件）</w:t>
            </w:r>
            <w:r>
              <w:rPr>
                <w:rFonts w:hint="eastAsia" w:ascii="宋体" w:hAnsi="宋体" w:cs="宋体"/>
                <w:color w:val="000000"/>
                <w:kern w:val="0"/>
                <w:szCs w:val="21"/>
              </w:rPr>
              <w:br w:type="textWrapping"/>
            </w:r>
            <w:r>
              <w:rPr>
                <w:rFonts w:hint="eastAsia" w:ascii="宋体" w:hAnsi="宋体" w:cs="宋体"/>
                <w:color w:val="000000"/>
                <w:kern w:val="0"/>
                <w:szCs w:val="21"/>
              </w:rPr>
              <w:t>2.投标人具有软件企业产品开发成熟度CMMI3级及以上证书证书得</w:t>
            </w:r>
            <w:r>
              <w:rPr>
                <w:rFonts w:ascii="宋体" w:hAnsi="宋体" w:cs="宋体"/>
                <w:color w:val="000000"/>
                <w:kern w:val="0"/>
                <w:szCs w:val="21"/>
              </w:rPr>
              <w:t>3</w:t>
            </w:r>
            <w:r>
              <w:rPr>
                <w:rFonts w:hint="eastAsia" w:ascii="宋体" w:hAnsi="宋体" w:cs="宋体"/>
                <w:color w:val="000000"/>
                <w:kern w:val="0"/>
                <w:szCs w:val="21"/>
              </w:rPr>
              <w:t>分；（开标时提供原件）</w:t>
            </w:r>
            <w:r>
              <w:rPr>
                <w:rFonts w:hint="eastAsia" w:ascii="宋体" w:hAnsi="宋体" w:cs="宋体"/>
                <w:color w:val="000000"/>
                <w:kern w:val="0"/>
                <w:szCs w:val="21"/>
              </w:rPr>
              <w:br w:type="textWrapping"/>
            </w:r>
            <w:r>
              <w:rPr>
                <w:rFonts w:hint="eastAsia" w:ascii="宋体" w:hAnsi="宋体" w:cs="宋体"/>
                <w:color w:val="000000"/>
                <w:kern w:val="0"/>
                <w:szCs w:val="21"/>
              </w:rPr>
              <w:t>3.投标人具有软件企业认证的得</w:t>
            </w:r>
            <w:r>
              <w:rPr>
                <w:rFonts w:ascii="宋体" w:hAnsi="宋体" w:cs="宋体"/>
                <w:color w:val="000000"/>
                <w:kern w:val="0"/>
                <w:szCs w:val="21"/>
              </w:rPr>
              <w:t>2</w:t>
            </w:r>
            <w:r>
              <w:rPr>
                <w:rFonts w:hint="eastAsia" w:ascii="宋体" w:hAnsi="宋体" w:cs="宋体"/>
                <w:color w:val="000000"/>
                <w:kern w:val="0"/>
                <w:szCs w:val="21"/>
              </w:rPr>
              <w:t>分；（开标时提供原件）</w:t>
            </w:r>
            <w:r>
              <w:rPr>
                <w:rFonts w:hint="eastAsia" w:ascii="宋体" w:hAns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.投标人具有信息系统集成及服务贰级或以上资质的得2分；</w:t>
            </w:r>
          </w:p>
          <w:p>
            <w:pPr>
              <w:widowControl/>
              <w:spacing w:line="276" w:lineRule="auto"/>
              <w:jc w:val="left"/>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.投标人具有建筑智能化系统设计专项甲级得2分；</w:t>
            </w:r>
          </w:p>
          <w:p>
            <w:pPr>
              <w:widowControl/>
              <w:spacing w:line="276" w:lineRule="auto"/>
              <w:jc w:val="left"/>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.投标人具有建筑机电安装工程专业承包壹级或以上资质证书的得2分。（开标时提供原件）</w:t>
            </w:r>
            <w:r>
              <w:rPr>
                <w:rFonts w:hint="eastAsia" w:ascii="宋体" w:hAnsi="宋体" w:cs="宋体"/>
                <w:color w:val="000000"/>
                <w:kern w:val="0"/>
                <w:szCs w:val="21"/>
              </w:rPr>
              <w:br w:type="textWrapping"/>
            </w:r>
            <w:r>
              <w:rPr>
                <w:rFonts w:ascii="宋体" w:hAnsi="宋体" w:cs="宋体"/>
                <w:color w:val="000000"/>
                <w:kern w:val="0"/>
                <w:szCs w:val="21"/>
              </w:rPr>
              <w:t>7</w:t>
            </w:r>
            <w:r>
              <w:rPr>
                <w:rFonts w:hint="eastAsia" w:ascii="宋体" w:hAnsi="宋体" w:cs="宋体"/>
                <w:color w:val="000000"/>
                <w:kern w:val="0"/>
                <w:szCs w:val="21"/>
              </w:rPr>
              <w:t>.投标人具备ITSS信息技术服务运行维护标准符合性证书的得2分；（开标时提供原件）</w:t>
            </w:r>
          </w:p>
          <w:p>
            <w:pPr>
              <w:widowControl/>
              <w:spacing w:line="276" w:lineRule="auto"/>
              <w:jc w:val="left"/>
              <w:rPr>
                <w:rFonts w:ascii="宋体" w:hAnsi="宋体" w:cs="黑体"/>
                <w:color w:val="000000"/>
                <w:szCs w:val="21"/>
              </w:rPr>
            </w:pPr>
            <w:r>
              <w:rPr>
                <w:rFonts w:ascii="宋体" w:hAnsi="宋体" w:cs="黑体"/>
                <w:color w:val="000000"/>
                <w:szCs w:val="21"/>
              </w:rPr>
              <w:t>8</w:t>
            </w:r>
            <w:r>
              <w:rPr>
                <w:rFonts w:hint="eastAsia" w:ascii="宋体" w:hAnsi="宋体" w:cs="黑体"/>
                <w:color w:val="000000"/>
                <w:szCs w:val="21"/>
              </w:rPr>
              <w:t>.投标人具有质量、环境、健康管理体系认证证书的得3分，少一个扣1分；（开标时提供原件）</w:t>
            </w:r>
          </w:p>
          <w:p>
            <w:pPr>
              <w:widowControl/>
              <w:spacing w:line="276" w:lineRule="auto"/>
              <w:jc w:val="left"/>
              <w:rPr>
                <w:rFonts w:ascii="宋体" w:hAns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.投标人拟派项目负责人具备高级工程师资格职称证书得2分；（需提供证书及近六个月社保清单证明）</w:t>
            </w:r>
            <w:r>
              <w:rPr>
                <w:rFonts w:hint="eastAsia" w:ascii="宋体" w:hAnsi="宋体" w:cs="宋体"/>
                <w:color w:val="000000"/>
                <w:kern w:val="0"/>
                <w:szCs w:val="21"/>
              </w:rPr>
              <w:br w:type="textWrapping"/>
            </w:r>
            <w:r>
              <w:rPr>
                <w:rFonts w:ascii="宋体" w:hAnsi="宋体" w:cs="宋体"/>
                <w:color w:val="000000"/>
                <w:kern w:val="0"/>
                <w:szCs w:val="21"/>
              </w:rPr>
              <w:t>10</w:t>
            </w:r>
            <w:r>
              <w:rPr>
                <w:rFonts w:hint="eastAsia" w:ascii="宋体" w:hAnsi="宋体" w:cs="宋体"/>
                <w:color w:val="000000"/>
                <w:kern w:val="0"/>
                <w:szCs w:val="21"/>
              </w:rPr>
              <w:t>.投标人拟派技术负责人具备高级工程师职称得2分；（需提供证书及近六个月社保清单证明）</w:t>
            </w:r>
            <w:r>
              <w:rPr>
                <w:rFonts w:hint="eastAsia" w:ascii="宋体" w:hAnsi="宋体" w:cs="宋体"/>
                <w:color w:val="000000"/>
                <w:kern w:val="0"/>
                <w:szCs w:val="21"/>
              </w:rPr>
              <w:br w:type="textWrapping"/>
            </w: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.投标人拟派人员中具有2名（或以上）ITSS信息技术服务运行维护IT服务工程师得2分。（需提供证书及近六个月社保清单证明）                                注：以上证书需提供原件备查，同时在投标文件中提供盖章复印件。未提供原件的不得分。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widowControl/>
              <w:spacing w:line="276" w:lineRule="auto"/>
              <w:jc w:val="left"/>
              <w:rPr>
                <w:rFonts w:ascii="宋体" w:hAnsi="宋体" w:cs="宋体"/>
                <w:color w:val="000000"/>
                <w:kern w:val="0"/>
                <w:szCs w:val="21"/>
              </w:rPr>
            </w:pPr>
          </w:p>
        </w:tc>
        <w:tc>
          <w:tcPr>
            <w:tcW w:w="1325" w:type="dxa"/>
            <w:vMerge w:val="continue"/>
            <w:vAlign w:val="center"/>
          </w:tcPr>
          <w:p>
            <w:pPr>
              <w:widowControl/>
              <w:spacing w:line="276" w:lineRule="auto"/>
              <w:jc w:val="center"/>
              <w:rPr>
                <w:rFonts w:ascii="宋体" w:hAnsi="宋体" w:cs="宋体"/>
                <w:color w:val="000000"/>
                <w:kern w:val="0"/>
                <w:szCs w:val="21"/>
              </w:rPr>
            </w:pPr>
          </w:p>
        </w:tc>
        <w:tc>
          <w:tcPr>
            <w:tcW w:w="1388" w:type="dxa"/>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服务承诺</w:t>
            </w:r>
            <w:r>
              <w:rPr>
                <w:rFonts w:ascii="宋体" w:hAnsi="宋体" w:cs="宋体"/>
                <w:color w:val="000000"/>
                <w:kern w:val="0"/>
                <w:szCs w:val="21"/>
              </w:rPr>
              <w:t>（5</w:t>
            </w:r>
            <w:r>
              <w:rPr>
                <w:rFonts w:hint="eastAsia" w:ascii="宋体" w:hAnsi="宋体" w:cs="宋体"/>
                <w:color w:val="000000"/>
                <w:kern w:val="0"/>
                <w:szCs w:val="21"/>
              </w:rPr>
              <w:t>分</w:t>
            </w:r>
            <w:r>
              <w:rPr>
                <w:rFonts w:ascii="宋体" w:hAnsi="宋体" w:cs="宋体"/>
                <w:color w:val="000000"/>
                <w:kern w:val="0"/>
                <w:szCs w:val="21"/>
              </w:rPr>
              <w:t>）</w:t>
            </w:r>
          </w:p>
        </w:tc>
        <w:tc>
          <w:tcPr>
            <w:tcW w:w="6765" w:type="dxa"/>
            <w:vAlign w:val="center"/>
          </w:tcPr>
          <w:p>
            <w:pPr>
              <w:pStyle w:val="5"/>
              <w:widowControl/>
              <w:spacing w:before="120" w:after="120" w:line="276" w:lineRule="auto"/>
              <w:jc w:val="left"/>
              <w:rPr>
                <w:rFonts w:ascii="宋体" w:hAnsi="宋体" w:cs="宋体"/>
                <w:b w:val="0"/>
                <w:bCs w:val="0"/>
                <w:color w:val="000000"/>
                <w:kern w:val="0"/>
                <w:sz w:val="21"/>
                <w:szCs w:val="21"/>
                <w:lang w:val="en-US" w:eastAsia="zh-CN"/>
              </w:rPr>
            </w:pPr>
            <w:bookmarkStart w:id="9" w:name="_Toc343594776"/>
            <w:bookmarkStart w:id="10" w:name="_Toc493707479"/>
            <w:bookmarkStart w:id="11" w:name="_Toc343862020"/>
            <w:r>
              <w:rPr>
                <w:rFonts w:hint="eastAsia" w:ascii="宋体" w:hAnsi="宋体" w:cs="宋体"/>
                <w:b w:val="0"/>
                <w:bCs w:val="0"/>
                <w:color w:val="000000"/>
                <w:kern w:val="0"/>
                <w:sz w:val="21"/>
                <w:szCs w:val="21"/>
                <w:lang w:val="en-US" w:eastAsia="zh-CN"/>
              </w:rPr>
              <w:t>针对本项目提供详细合理的售后服务计划</w:t>
            </w:r>
            <w:r>
              <w:rPr>
                <w:rFonts w:ascii="宋体" w:hAnsi="宋体" w:cs="宋体"/>
                <w:b w:val="0"/>
                <w:bCs w:val="0"/>
                <w:color w:val="000000"/>
                <w:kern w:val="0"/>
                <w:sz w:val="21"/>
                <w:szCs w:val="21"/>
                <w:lang w:val="en-US" w:eastAsia="zh-CN"/>
              </w:rPr>
              <w:t>，包括（</w:t>
            </w:r>
            <w:r>
              <w:rPr>
                <w:rFonts w:hint="eastAsia" w:ascii="宋体" w:hAnsi="宋体" w:cs="宋体"/>
                <w:b w:val="0"/>
                <w:bCs w:val="0"/>
                <w:color w:val="000000"/>
                <w:kern w:val="0"/>
                <w:sz w:val="21"/>
                <w:szCs w:val="21"/>
                <w:lang w:val="en-US" w:eastAsia="zh-CN"/>
              </w:rPr>
              <w:t>供货及安装承诺</w:t>
            </w:r>
            <w:bookmarkEnd w:id="9"/>
            <w:bookmarkEnd w:id="10"/>
            <w:bookmarkEnd w:id="11"/>
            <w:r>
              <w:rPr>
                <w:rFonts w:hint="eastAsia" w:ascii="宋体" w:hAnsi="宋体" w:cs="宋体"/>
                <w:b w:val="0"/>
                <w:bCs w:val="0"/>
                <w:color w:val="000000"/>
                <w:kern w:val="0"/>
                <w:sz w:val="21"/>
                <w:szCs w:val="21"/>
                <w:lang w:val="en-US" w:eastAsia="zh-CN"/>
              </w:rPr>
              <w:t>、</w:t>
            </w:r>
            <w:bookmarkStart w:id="12" w:name="_Toc493707480"/>
            <w:r>
              <w:rPr>
                <w:rFonts w:hint="eastAsia" w:ascii="宋体" w:hAnsi="宋体" w:cs="宋体"/>
                <w:b w:val="0"/>
                <w:bCs w:val="0"/>
                <w:color w:val="000000"/>
                <w:kern w:val="0"/>
                <w:sz w:val="21"/>
                <w:szCs w:val="21"/>
                <w:lang w:val="en-US" w:eastAsia="zh-CN"/>
              </w:rPr>
              <w:t>质量承诺</w:t>
            </w:r>
            <w:bookmarkEnd w:id="12"/>
            <w:r>
              <w:rPr>
                <w:rFonts w:hint="eastAsia" w:ascii="宋体" w:hAnsi="宋体" w:cs="宋体"/>
                <w:b w:val="0"/>
                <w:bCs w:val="0"/>
                <w:color w:val="000000"/>
                <w:kern w:val="0"/>
                <w:sz w:val="21"/>
                <w:szCs w:val="21"/>
                <w:lang w:val="en-US" w:eastAsia="zh-CN"/>
              </w:rPr>
              <w:t>、</w:t>
            </w:r>
            <w:bookmarkStart w:id="13" w:name="_Toc61444216"/>
            <w:bookmarkStart w:id="14" w:name="_Toc343594781"/>
            <w:bookmarkStart w:id="15" w:name="_Toc493707481"/>
            <w:bookmarkStart w:id="16" w:name="_Toc273486238"/>
            <w:bookmarkStart w:id="17" w:name="_Toc342402225"/>
            <w:bookmarkStart w:id="18" w:name="_Toc320868435"/>
            <w:bookmarkStart w:id="19" w:name="_Toc281340192"/>
            <w:bookmarkStart w:id="20" w:name="_Toc166560388"/>
            <w:bookmarkStart w:id="21" w:name="_Toc210992667"/>
            <w:bookmarkStart w:id="22" w:name="_Toc166638616"/>
            <w:bookmarkStart w:id="23" w:name="_Toc265272090"/>
            <w:bookmarkStart w:id="24" w:name="_Toc61347167"/>
            <w:bookmarkStart w:id="25" w:name="_Toc61178471"/>
            <w:bookmarkStart w:id="26" w:name="_Toc82882267"/>
            <w:bookmarkStart w:id="27" w:name="_Toc75786077"/>
            <w:bookmarkStart w:id="28" w:name="_Toc166471949"/>
            <w:bookmarkStart w:id="29" w:name="_Toc61443936"/>
            <w:bookmarkStart w:id="30" w:name="_Toc110485341"/>
            <w:bookmarkStart w:id="31" w:name="_Toc61346617"/>
            <w:bookmarkStart w:id="32" w:name="_Toc61444632"/>
            <w:r>
              <w:rPr>
                <w:rFonts w:hint="eastAsia" w:ascii="宋体" w:hAnsi="宋体" w:cs="宋体"/>
                <w:b w:val="0"/>
                <w:bCs w:val="0"/>
                <w:color w:val="000000"/>
                <w:kern w:val="0"/>
                <w:sz w:val="21"/>
                <w:szCs w:val="21"/>
                <w:lang w:val="en-US" w:eastAsia="zh-CN"/>
              </w:rPr>
              <w:t>质量保证期承诺</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宋体" w:hAnsi="宋体" w:cs="宋体"/>
                <w:b w:val="0"/>
                <w:bCs w:val="0"/>
                <w:color w:val="000000"/>
                <w:kern w:val="0"/>
                <w:sz w:val="21"/>
                <w:szCs w:val="21"/>
                <w:lang w:val="en-US" w:eastAsia="zh-CN"/>
              </w:rPr>
              <w:t>、</w:t>
            </w:r>
            <w:bookmarkStart w:id="33" w:name="_Toc273486241"/>
            <w:bookmarkStart w:id="34" w:name="_Toc265272093"/>
            <w:bookmarkStart w:id="35" w:name="_Toc320868438"/>
            <w:bookmarkStart w:id="36" w:name="_Toc281340195"/>
            <w:bookmarkStart w:id="37" w:name="_Toc343594784"/>
            <w:bookmarkStart w:id="38" w:name="_Toc342402228"/>
            <w:bookmarkStart w:id="39" w:name="_Toc493707482"/>
            <w:r>
              <w:rPr>
                <w:rFonts w:hint="eastAsia" w:ascii="宋体" w:hAnsi="宋体" w:cs="宋体"/>
                <w:b w:val="0"/>
                <w:bCs w:val="0"/>
                <w:color w:val="000000"/>
                <w:kern w:val="0"/>
                <w:sz w:val="21"/>
                <w:szCs w:val="21"/>
                <w:lang w:val="en-US" w:eastAsia="zh-CN"/>
              </w:rPr>
              <w:t>保修期内售后服务</w:t>
            </w:r>
            <w:bookmarkEnd w:id="33"/>
            <w:bookmarkEnd w:id="34"/>
            <w:bookmarkEnd w:id="35"/>
            <w:bookmarkEnd w:id="36"/>
            <w:bookmarkEnd w:id="37"/>
            <w:bookmarkEnd w:id="38"/>
            <w:r>
              <w:rPr>
                <w:rFonts w:hint="eastAsia" w:ascii="宋体" w:hAnsi="宋体" w:cs="宋体"/>
                <w:b w:val="0"/>
                <w:bCs w:val="0"/>
                <w:color w:val="000000"/>
                <w:kern w:val="0"/>
                <w:sz w:val="21"/>
                <w:szCs w:val="21"/>
                <w:lang w:val="en-US" w:eastAsia="zh-CN"/>
              </w:rPr>
              <w:t>承诺</w:t>
            </w:r>
            <w:bookmarkEnd w:id="39"/>
            <w:r>
              <w:rPr>
                <w:rFonts w:hint="eastAsia" w:ascii="宋体" w:hAnsi="宋体" w:cs="宋体"/>
                <w:b w:val="0"/>
                <w:bCs w:val="0"/>
                <w:color w:val="000000"/>
                <w:kern w:val="0"/>
                <w:sz w:val="21"/>
                <w:szCs w:val="21"/>
                <w:lang w:val="en-US" w:eastAsia="zh-CN"/>
              </w:rPr>
              <w:t>、</w:t>
            </w:r>
            <w:bookmarkStart w:id="40" w:name="_Toc493707484"/>
            <w:r>
              <w:rPr>
                <w:rFonts w:hint="eastAsia" w:ascii="宋体" w:hAnsi="宋体" w:cs="宋体"/>
                <w:b w:val="0"/>
                <w:bCs w:val="0"/>
                <w:color w:val="000000"/>
                <w:kern w:val="0"/>
                <w:sz w:val="21"/>
                <w:szCs w:val="21"/>
                <w:lang w:val="en-US" w:eastAsia="zh-CN"/>
              </w:rPr>
              <w:t>服务响应</w:t>
            </w:r>
            <w:bookmarkEnd w:id="40"/>
            <w:r>
              <w:rPr>
                <w:rFonts w:hint="eastAsia" w:ascii="宋体" w:hAnsi="宋体" w:cs="宋体"/>
                <w:b w:val="0"/>
                <w:bCs w:val="0"/>
                <w:color w:val="000000"/>
                <w:kern w:val="0"/>
                <w:sz w:val="21"/>
                <w:szCs w:val="21"/>
                <w:lang w:val="en-US" w:eastAsia="zh-CN"/>
              </w:rPr>
              <w:t>时间</w:t>
            </w:r>
            <w:r>
              <w:rPr>
                <w:rFonts w:ascii="宋体" w:hAnsi="宋体" w:cs="宋体"/>
                <w:b w:val="0"/>
                <w:bCs w:val="0"/>
                <w:color w:val="000000"/>
                <w:kern w:val="0"/>
                <w:sz w:val="21"/>
                <w:szCs w:val="21"/>
                <w:lang w:val="en-US" w:eastAsia="zh-CN"/>
              </w:rPr>
              <w:t>承诺、</w:t>
            </w:r>
            <w:bookmarkStart w:id="41" w:name="_Toc273486242"/>
            <w:bookmarkStart w:id="42" w:name="_Toc343594785"/>
            <w:bookmarkStart w:id="43" w:name="_Toc320868439"/>
            <w:bookmarkStart w:id="44" w:name="_Toc342402229"/>
            <w:bookmarkStart w:id="45" w:name="_Toc281340196"/>
            <w:bookmarkStart w:id="46" w:name="_Toc265272094"/>
            <w:bookmarkStart w:id="47" w:name="_Toc493707487"/>
            <w:r>
              <w:rPr>
                <w:rFonts w:hint="eastAsia" w:ascii="宋体" w:hAnsi="宋体" w:cs="宋体"/>
                <w:b w:val="0"/>
                <w:bCs w:val="0"/>
                <w:color w:val="000000"/>
                <w:kern w:val="0"/>
                <w:sz w:val="21"/>
                <w:szCs w:val="21"/>
                <w:lang w:val="en-US" w:eastAsia="zh-CN"/>
              </w:rPr>
              <w:t>保修期外售后服务</w:t>
            </w:r>
            <w:bookmarkEnd w:id="41"/>
            <w:bookmarkEnd w:id="42"/>
            <w:bookmarkEnd w:id="43"/>
            <w:bookmarkEnd w:id="44"/>
            <w:bookmarkEnd w:id="45"/>
            <w:bookmarkEnd w:id="46"/>
            <w:bookmarkEnd w:id="47"/>
            <w:r>
              <w:rPr>
                <w:rFonts w:ascii="宋体" w:hAnsi="宋体" w:cs="宋体"/>
                <w:b w:val="0"/>
                <w:bCs w:val="0"/>
                <w:color w:val="000000"/>
                <w:kern w:val="0"/>
                <w:sz w:val="21"/>
                <w:szCs w:val="21"/>
                <w:lang w:val="en-US" w:eastAsia="zh-CN"/>
              </w:rPr>
              <w:t>承诺</w:t>
            </w:r>
            <w:r>
              <w:rPr>
                <w:rFonts w:hint="eastAsia" w:ascii="宋体" w:hAnsi="宋体" w:cs="宋体"/>
                <w:b w:val="0"/>
                <w:bCs w:val="0"/>
                <w:color w:val="000000"/>
                <w:kern w:val="0"/>
                <w:sz w:val="21"/>
                <w:szCs w:val="21"/>
                <w:lang w:val="en-US" w:eastAsia="zh-CN"/>
              </w:rPr>
              <w:t>、技术培训、质量保证措施等）。由评标专家组对比各投标方售后服务条款给予评分；条款对比最优的得</w:t>
            </w:r>
            <w:r>
              <w:rPr>
                <w:rFonts w:ascii="宋体" w:hAnsi="宋体" w:cs="宋体"/>
                <w:b w:val="0"/>
                <w:bCs w:val="0"/>
                <w:color w:val="000000"/>
                <w:kern w:val="0"/>
                <w:sz w:val="21"/>
                <w:szCs w:val="21"/>
                <w:lang w:val="en-US" w:eastAsia="zh-CN"/>
              </w:rPr>
              <w:t>5</w:t>
            </w:r>
            <w:r>
              <w:rPr>
                <w:rFonts w:hint="eastAsia" w:ascii="宋体" w:hAnsi="宋体" w:cs="宋体"/>
                <w:b w:val="0"/>
                <w:bCs w:val="0"/>
                <w:color w:val="000000"/>
                <w:kern w:val="0"/>
                <w:sz w:val="21"/>
                <w:szCs w:val="21"/>
                <w:lang w:val="en-US" w:eastAsia="zh-CN"/>
              </w:rPr>
              <w:t>分；条款对比适中的得</w:t>
            </w:r>
            <w:r>
              <w:rPr>
                <w:rFonts w:ascii="宋体" w:hAnsi="宋体" w:cs="宋体"/>
                <w:b w:val="0"/>
                <w:bCs w:val="0"/>
                <w:color w:val="000000"/>
                <w:kern w:val="0"/>
                <w:sz w:val="21"/>
                <w:szCs w:val="21"/>
                <w:lang w:val="en-US" w:eastAsia="zh-CN"/>
              </w:rPr>
              <w:t>3</w:t>
            </w:r>
            <w:r>
              <w:rPr>
                <w:rFonts w:hint="eastAsia" w:ascii="宋体" w:hAnsi="宋体" w:cs="宋体"/>
                <w:b w:val="0"/>
                <w:bCs w:val="0"/>
                <w:color w:val="000000"/>
                <w:kern w:val="0"/>
                <w:sz w:val="21"/>
                <w:szCs w:val="21"/>
                <w:lang w:val="en-US" w:eastAsia="zh-CN"/>
              </w:rPr>
              <w:t>分；条款对比一般的得1分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restart"/>
            <w:vAlign w:val="center"/>
          </w:tcPr>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2.1.</w:t>
            </w:r>
            <w:r>
              <w:rPr>
                <w:rFonts w:ascii="宋体" w:hAnsi="宋体" w:cs="宋体"/>
                <w:color w:val="000000"/>
                <w:kern w:val="0"/>
                <w:szCs w:val="21"/>
              </w:rPr>
              <w:t>4</w:t>
            </w:r>
          </w:p>
        </w:tc>
        <w:tc>
          <w:tcPr>
            <w:tcW w:w="1325" w:type="dxa"/>
            <w:vMerge w:val="restart"/>
            <w:vAlign w:val="center"/>
          </w:tcPr>
          <w:p>
            <w:pPr>
              <w:widowControl/>
              <w:spacing w:line="276" w:lineRule="auto"/>
              <w:rPr>
                <w:rFonts w:ascii="宋体" w:hAnsi="宋体" w:cs="宋体"/>
                <w:color w:val="000000"/>
                <w:kern w:val="0"/>
                <w:szCs w:val="21"/>
              </w:rPr>
            </w:pPr>
            <w:r>
              <w:rPr>
                <w:rFonts w:hint="eastAsia" w:ascii="宋体" w:hAnsi="宋体" w:cs="Arial"/>
                <w:szCs w:val="21"/>
              </w:rPr>
              <w:t xml:space="preserve">技术部分 </w:t>
            </w:r>
            <w:r>
              <w:rPr>
                <w:rFonts w:hint="eastAsia" w:ascii="宋体" w:hAnsi="宋体" w:cs="黑体"/>
                <w:szCs w:val="21"/>
              </w:rPr>
              <w:t>响应程度</w:t>
            </w:r>
            <w:r>
              <w:rPr>
                <w:rFonts w:hint="eastAsia" w:ascii="宋体" w:hAnsi="宋体" w:cs="宋体"/>
                <w:color w:val="000000"/>
                <w:kern w:val="0"/>
                <w:szCs w:val="21"/>
              </w:rPr>
              <w:t>（</w:t>
            </w:r>
            <w:r>
              <w:rPr>
                <w:rFonts w:ascii="宋体" w:hAnsi="宋体" w:cs="宋体"/>
                <w:color w:val="000000"/>
                <w:kern w:val="0"/>
                <w:szCs w:val="21"/>
              </w:rPr>
              <w:t>40</w:t>
            </w:r>
            <w:r>
              <w:rPr>
                <w:rFonts w:hint="eastAsia" w:ascii="宋体" w:hAnsi="宋体" w:cs="宋体"/>
                <w:color w:val="000000"/>
                <w:kern w:val="0"/>
                <w:szCs w:val="21"/>
              </w:rPr>
              <w:t>分）</w:t>
            </w:r>
          </w:p>
        </w:tc>
        <w:tc>
          <w:tcPr>
            <w:tcW w:w="1388" w:type="dxa"/>
            <w:vAlign w:val="center"/>
          </w:tcPr>
          <w:p>
            <w:pPr>
              <w:pStyle w:val="25"/>
              <w:spacing w:line="276" w:lineRule="auto"/>
              <w:ind w:left="0" w:firstLine="0" w:firstLineChars="0"/>
              <w:jc w:val="center"/>
              <w:rPr>
                <w:rFonts w:hAnsi="宋体" w:cs="黑体"/>
                <w:bCs/>
                <w:sz w:val="21"/>
                <w:szCs w:val="21"/>
              </w:rPr>
            </w:pPr>
            <w:r>
              <w:rPr>
                <w:rFonts w:hint="eastAsia" w:hAnsi="宋体" w:cs="黑体"/>
                <w:bCs/>
                <w:sz w:val="21"/>
                <w:szCs w:val="21"/>
              </w:rPr>
              <w:t>设备技术指标（10分）</w:t>
            </w:r>
          </w:p>
        </w:tc>
        <w:tc>
          <w:tcPr>
            <w:tcW w:w="6765" w:type="dxa"/>
            <w:vAlign w:val="top"/>
          </w:tcPr>
          <w:p>
            <w:pPr>
              <w:pStyle w:val="25"/>
              <w:spacing w:line="276" w:lineRule="auto"/>
              <w:ind w:left="0" w:firstLine="0" w:firstLineChars="0"/>
              <w:jc w:val="left"/>
              <w:rPr>
                <w:rFonts w:hAnsi="宋体" w:cs="黑体"/>
                <w:sz w:val="21"/>
                <w:szCs w:val="21"/>
              </w:rPr>
            </w:pPr>
            <w:r>
              <w:rPr>
                <w:rFonts w:hint="eastAsia" w:hAnsi="宋体" w:cs="黑体"/>
                <w:bCs/>
                <w:sz w:val="21"/>
                <w:szCs w:val="21"/>
              </w:rPr>
              <w:t>投标主要设备的技术参数标★部分能提供的相应技术证明文件的每提供一项得1分，最多得1</w:t>
            </w:r>
            <w:r>
              <w:rPr>
                <w:rFonts w:hAnsi="宋体" w:cs="黑体"/>
                <w:bCs/>
                <w:sz w:val="21"/>
                <w:szCs w:val="21"/>
              </w:rPr>
              <w:t>0</w:t>
            </w:r>
            <w:r>
              <w:rPr>
                <w:rFonts w:hint="eastAsia" w:hAnsi="宋体" w:cs="黑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Merge w:val="restart"/>
            <w:vAlign w:val="center"/>
          </w:tcPr>
          <w:p>
            <w:pPr>
              <w:widowControl/>
              <w:spacing w:line="276" w:lineRule="auto"/>
              <w:rPr>
                <w:rFonts w:ascii="宋体" w:hAnsi="宋体" w:cs="宋体"/>
                <w:color w:val="000000"/>
                <w:kern w:val="0"/>
                <w:szCs w:val="21"/>
              </w:rPr>
            </w:pPr>
            <w:r>
              <w:rPr>
                <w:rFonts w:hint="eastAsia" w:ascii="宋体" w:hAnsi="宋体"/>
                <w:color w:val="000000"/>
                <w:szCs w:val="21"/>
              </w:rPr>
              <w:t>数据服务器、虚拟化服务器</w:t>
            </w:r>
            <w:r>
              <w:rPr>
                <w:rFonts w:ascii="宋体" w:hAnsi="宋体"/>
                <w:color w:val="000000"/>
                <w:szCs w:val="21"/>
              </w:rPr>
              <w:t xml:space="preserve">    </w:t>
            </w:r>
            <w:r>
              <w:rPr>
                <w:rFonts w:hint="eastAsia" w:ascii="宋体" w:hAnsi="宋体"/>
                <w:color w:val="000000"/>
                <w:szCs w:val="21"/>
              </w:rPr>
              <w:t>产品</w:t>
            </w:r>
            <w:r>
              <w:rPr>
                <w:rFonts w:ascii="宋体" w:hAnsi="宋体"/>
                <w:color w:val="000000"/>
                <w:szCs w:val="21"/>
              </w:rPr>
              <w:t>响应</w:t>
            </w:r>
            <w:r>
              <w:rPr>
                <w:rFonts w:hint="eastAsia" w:ascii="宋体" w:hAnsi="宋体"/>
                <w:color w:val="000000"/>
                <w:szCs w:val="21"/>
              </w:rPr>
              <w:t>（12分）</w:t>
            </w:r>
          </w:p>
        </w:tc>
        <w:tc>
          <w:tcPr>
            <w:tcW w:w="6765" w:type="dxa"/>
            <w:vAlign w:val="center"/>
          </w:tcPr>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黑体"/>
                <w:szCs w:val="21"/>
              </w:rPr>
              <w:t>中国X86服务器市场IDC排名前三名的第一名得3分，第二名及以下得1分（2015年、2016年全年销售排名），不在前三名的不得分，提供IDC数据引用授权书复印件并加盖生产厂商公章或者投标专用章。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Merge w:val="continue"/>
            <w:vAlign w:val="center"/>
          </w:tcPr>
          <w:p>
            <w:pPr>
              <w:spacing w:line="276" w:lineRule="auto"/>
              <w:jc w:val="center"/>
              <w:rPr>
                <w:rFonts w:ascii="宋体" w:hAnsi="宋体" w:cs="宋体"/>
                <w:color w:val="000000"/>
                <w:kern w:val="0"/>
                <w:szCs w:val="21"/>
              </w:rPr>
            </w:pPr>
          </w:p>
        </w:tc>
        <w:tc>
          <w:tcPr>
            <w:tcW w:w="6765" w:type="dxa"/>
            <w:vAlign w:val="center"/>
          </w:tcPr>
          <w:p>
            <w:pPr>
              <w:widowControl/>
              <w:spacing w:line="276"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服务</w:t>
            </w:r>
            <w:r>
              <w:rPr>
                <w:rFonts w:hint="eastAsia" w:ascii="宋体" w:hAnsi="宋体" w:cs="黑体"/>
                <w:szCs w:val="21"/>
              </w:rPr>
              <w:t>器厂商具备《信息安全服务资质》安全工程一级，中国质量认证中心颁发的CCC现场检测实验室证书，装备承制单位注册证书，武器装备质量体系GJB9001B-2009、</w:t>
            </w:r>
            <w:r>
              <w:rPr>
                <w:rFonts w:ascii="宋体" w:hAnsi="宋体"/>
                <w:color w:val="000000"/>
                <w:szCs w:val="21"/>
              </w:rPr>
              <w:t>ISO/IEC 170252005</w:t>
            </w:r>
            <w:r>
              <w:rPr>
                <w:rFonts w:hint="eastAsia" w:ascii="宋体" w:hAnsi="宋体"/>
                <w:color w:val="000000"/>
                <w:szCs w:val="21"/>
              </w:rPr>
              <w:t>、</w:t>
            </w:r>
            <w:r>
              <w:rPr>
                <w:rFonts w:hint="eastAsia" w:ascii="宋体" w:hAnsi="宋体" w:cs="黑体"/>
                <w:szCs w:val="21"/>
              </w:rPr>
              <w:t>CNAS实验室认可证书，生产厂商售后服务体系通过CCCS客户联络中心标准体系认证的证书复印件加盖生产厂商公章或投标专用章者得</w:t>
            </w:r>
            <w:r>
              <w:rPr>
                <w:rFonts w:ascii="宋体" w:hAnsi="宋体" w:cs="黑体"/>
                <w:szCs w:val="21"/>
              </w:rPr>
              <w:t>3</w:t>
            </w:r>
            <w:r>
              <w:rPr>
                <w:rFonts w:hint="eastAsia" w:ascii="宋体" w:hAnsi="宋体" w:cs="黑体"/>
                <w:szCs w:val="21"/>
              </w:rPr>
              <w:t>分，提供不全或者不能提供的不得分。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Merge w:val="continue"/>
            <w:vAlign w:val="center"/>
          </w:tcPr>
          <w:p>
            <w:pPr>
              <w:widowControl/>
              <w:spacing w:line="276" w:lineRule="auto"/>
              <w:jc w:val="center"/>
              <w:rPr>
                <w:rFonts w:ascii="宋体" w:hAnsi="宋体" w:cs="宋体"/>
                <w:color w:val="000000"/>
                <w:kern w:val="0"/>
                <w:szCs w:val="21"/>
              </w:rPr>
            </w:pPr>
          </w:p>
        </w:tc>
        <w:tc>
          <w:tcPr>
            <w:tcW w:w="6765" w:type="dxa"/>
            <w:vAlign w:val="center"/>
          </w:tcPr>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黑体"/>
                <w:szCs w:val="21"/>
              </w:rPr>
              <w:t>硬件厂商可提供专业的上门数据拯救服务，帮助用户拯救故障设备硬盘上的数据。需提供硬件厂商数据拯救服务工程师的【全工业和信息化岗位技能水平考试证书—数据恢复高级工程师认证】证书复印件及加盖硬件厂商公章者得3分，提供不全或者不能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Merge w:val="continue"/>
            <w:vAlign w:val="center"/>
          </w:tcPr>
          <w:p>
            <w:pPr>
              <w:widowControl/>
              <w:spacing w:line="276" w:lineRule="auto"/>
              <w:jc w:val="center"/>
              <w:rPr>
                <w:rFonts w:ascii="宋体" w:hAnsi="宋体" w:cs="宋体"/>
                <w:color w:val="000000"/>
                <w:kern w:val="0"/>
                <w:szCs w:val="21"/>
              </w:rPr>
            </w:pPr>
          </w:p>
        </w:tc>
        <w:tc>
          <w:tcPr>
            <w:tcW w:w="6765" w:type="dxa"/>
            <w:vAlign w:val="center"/>
          </w:tcPr>
          <w:p>
            <w:pPr>
              <w:spacing w:line="276" w:lineRule="auto"/>
              <w:rPr>
                <w:rFonts w:ascii="宋体" w:hAnsi="宋体" w:cs="宋体"/>
                <w:color w:val="000000"/>
                <w:kern w:val="0"/>
                <w:szCs w:val="21"/>
              </w:rPr>
            </w:pPr>
            <w:r>
              <w:rPr>
                <w:rFonts w:hint="eastAsia" w:ascii="宋体" w:hAnsi="宋体"/>
                <w:color w:val="000000"/>
                <w:szCs w:val="21"/>
              </w:rPr>
              <w:t>要求所提供的X86服务器的可靠性在业界排名前三</w:t>
            </w:r>
            <w:r>
              <w:rPr>
                <w:rFonts w:hint="eastAsia" w:ascii="宋体" w:hAnsi="宋体" w:cs="黑体"/>
                <w:szCs w:val="21"/>
              </w:rPr>
              <w:t>的第一名得3分，第二名及以下得1分</w:t>
            </w:r>
            <w:r>
              <w:rPr>
                <w:rFonts w:hint="eastAsia" w:ascii="宋体" w:hAnsi="宋体"/>
                <w:color w:val="000000"/>
                <w:szCs w:val="21"/>
              </w:rPr>
              <w:t>，</w:t>
            </w:r>
            <w:r>
              <w:rPr>
                <w:rFonts w:hint="eastAsia" w:ascii="宋体" w:hAnsi="宋体" w:cs="黑体"/>
                <w:szCs w:val="21"/>
              </w:rPr>
              <w:t>（</w:t>
            </w:r>
            <w:r>
              <w:rPr>
                <w:rFonts w:hint="eastAsia" w:ascii="宋体" w:hAnsi="宋体"/>
                <w:color w:val="000000"/>
                <w:szCs w:val="21"/>
              </w:rPr>
              <w:t>2014-2015年全球服务器硬件可靠性官方报告排名</w:t>
            </w:r>
            <w:r>
              <w:rPr>
                <w:rFonts w:hint="eastAsia" w:ascii="宋体" w:hAnsi="宋体" w:cs="黑体"/>
                <w:szCs w:val="21"/>
              </w:rPr>
              <w:t>）不在前三名的不得分；</w:t>
            </w:r>
            <w:r>
              <w:rPr>
                <w:rFonts w:hint="eastAsia" w:ascii="宋体" w:hAnsi="宋体"/>
                <w:color w:val="000000"/>
                <w:szCs w:val="21"/>
              </w:rPr>
              <w:t>提供权威机构ITIC的2014-2015年全球服务器硬件可靠性官方报告复印件</w:t>
            </w:r>
            <w:r>
              <w:rPr>
                <w:rFonts w:hint="eastAsia" w:ascii="宋体" w:hAnsi="宋体" w:cs="黑体"/>
                <w:szCs w:val="21"/>
              </w:rPr>
              <w:t>加盖硬件厂商公章。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Align w:val="center"/>
          </w:tcPr>
          <w:p>
            <w:pPr>
              <w:widowControl/>
              <w:spacing w:line="276" w:lineRule="auto"/>
              <w:jc w:val="center"/>
              <w:rPr>
                <w:rFonts w:ascii="宋体" w:hAnsi="宋体" w:cs="宋体"/>
                <w:color w:val="000000"/>
                <w:kern w:val="0"/>
                <w:szCs w:val="21"/>
              </w:rPr>
            </w:pPr>
            <w:r>
              <w:rPr>
                <w:rFonts w:hint="eastAsia" w:ascii="宋体" w:hAnsi="宋体"/>
                <w:color w:val="000000"/>
                <w:szCs w:val="21"/>
              </w:rPr>
              <w:t>数据库审计产品</w:t>
            </w:r>
            <w:r>
              <w:rPr>
                <w:rFonts w:ascii="宋体" w:hAnsi="宋体"/>
                <w:color w:val="000000"/>
                <w:szCs w:val="21"/>
              </w:rPr>
              <w:t>响应</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分）</w:t>
            </w:r>
          </w:p>
        </w:tc>
        <w:tc>
          <w:tcPr>
            <w:tcW w:w="6765" w:type="dxa"/>
            <w:vAlign w:val="center"/>
          </w:tcPr>
          <w:p>
            <w:pPr>
              <w:widowControl/>
              <w:spacing w:line="276" w:lineRule="auto"/>
              <w:ind w:firstLine="420" w:firstLineChars="200"/>
              <w:jc w:val="left"/>
              <w:rPr>
                <w:rFonts w:ascii="宋体" w:hAnsi="宋体" w:cs="宋体"/>
                <w:color w:val="000000"/>
                <w:kern w:val="0"/>
                <w:szCs w:val="21"/>
              </w:rPr>
            </w:pPr>
            <w:r>
              <w:rPr>
                <w:rFonts w:hint="eastAsia" w:ascii="宋体" w:hAnsi="宋体"/>
                <w:color w:val="000000"/>
                <w:szCs w:val="21"/>
              </w:rPr>
              <w:t>所投产品生产厂家须为国家级网络安全应急服务支撑单位；公司研发体系需通过国际认证</w:t>
            </w:r>
            <w:r>
              <w:rPr>
                <w:rFonts w:ascii="宋体" w:hAnsi="宋体"/>
                <w:color w:val="000000"/>
                <w:szCs w:val="21"/>
              </w:rPr>
              <w:t>CMMI5</w:t>
            </w:r>
            <w:r>
              <w:rPr>
                <w:rFonts w:hint="eastAsia" w:ascii="宋体" w:hAnsi="宋体"/>
                <w:color w:val="000000"/>
                <w:szCs w:val="21"/>
              </w:rPr>
              <w:t>；售后服务体系通过</w:t>
            </w:r>
            <w:r>
              <w:rPr>
                <w:rFonts w:ascii="宋体" w:hAnsi="宋体"/>
                <w:color w:val="000000"/>
                <w:szCs w:val="21"/>
              </w:rPr>
              <w:t>ISO9001</w:t>
            </w:r>
            <w:r>
              <w:rPr>
                <w:rFonts w:hint="eastAsia" w:ascii="宋体" w:hAnsi="宋体"/>
                <w:color w:val="000000"/>
                <w:szCs w:val="21"/>
              </w:rPr>
              <w:t>认证</w:t>
            </w:r>
            <w:r>
              <w:rPr>
                <w:rFonts w:hint="eastAsia" w:ascii="宋体" w:hAnsi="宋体" w:cs="黑体"/>
                <w:szCs w:val="21"/>
              </w:rPr>
              <w:t>证书复印件并加盖厂商公章的得3分，提供不全或者不能提供的不得分。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Align w:val="center"/>
          </w:tcPr>
          <w:p>
            <w:pPr>
              <w:widowControl/>
              <w:spacing w:line="276" w:lineRule="auto"/>
              <w:rPr>
                <w:rFonts w:ascii="宋体" w:hAnsi="宋体" w:cs="宋体"/>
                <w:color w:val="000000"/>
                <w:kern w:val="0"/>
                <w:szCs w:val="21"/>
              </w:rPr>
            </w:pPr>
            <w:r>
              <w:rPr>
                <w:rFonts w:hint="eastAsia" w:ascii="宋体" w:hAnsi="宋体"/>
                <w:color w:val="000000"/>
                <w:szCs w:val="21"/>
              </w:rPr>
              <w:t>接入防火墙、</w:t>
            </w:r>
            <w:r>
              <w:rPr>
                <w:rFonts w:ascii="宋体" w:hAnsi="宋体"/>
                <w:color w:val="000000"/>
                <w:szCs w:val="21"/>
              </w:rPr>
              <w:t>Web</w:t>
            </w:r>
            <w:r>
              <w:rPr>
                <w:rFonts w:hint="eastAsia" w:ascii="宋体" w:hAnsi="宋体"/>
                <w:color w:val="000000"/>
                <w:szCs w:val="21"/>
              </w:rPr>
              <w:t>防火墙产品</w:t>
            </w:r>
            <w:r>
              <w:rPr>
                <w:rFonts w:ascii="宋体" w:hAnsi="宋体"/>
                <w:color w:val="000000"/>
                <w:szCs w:val="21"/>
              </w:rPr>
              <w:t>响应</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分）</w:t>
            </w:r>
          </w:p>
        </w:tc>
        <w:tc>
          <w:tcPr>
            <w:tcW w:w="6765" w:type="dxa"/>
            <w:vAlign w:val="center"/>
          </w:tcPr>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黑体"/>
                <w:szCs w:val="21"/>
              </w:rPr>
              <w:t>为保证防火墙产品的先进性，接入防火墙要求通过ICSA Labs认证</w:t>
            </w:r>
            <w:r>
              <w:rPr>
                <w:rFonts w:hint="eastAsia" w:ascii="宋体" w:hAnsi="宋体"/>
                <w:color w:val="000000"/>
                <w:szCs w:val="21"/>
              </w:rPr>
              <w:t>，提供相关</w:t>
            </w:r>
            <w:r>
              <w:rPr>
                <w:rFonts w:hint="eastAsia" w:ascii="宋体" w:hAnsi="宋体" w:cs="黑体"/>
                <w:szCs w:val="21"/>
              </w:rPr>
              <w:t>证书复印件并加盖厂商公章者得3分，提供不全或者不能提供的不得分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Align w:val="center"/>
          </w:tcPr>
          <w:p>
            <w:pPr>
              <w:widowControl/>
              <w:spacing w:line="276" w:lineRule="auto"/>
              <w:rPr>
                <w:rFonts w:ascii="宋体" w:hAnsi="宋体"/>
                <w:color w:val="000000"/>
                <w:szCs w:val="21"/>
              </w:rPr>
            </w:pPr>
            <w:r>
              <w:rPr>
                <w:rFonts w:hint="eastAsia" w:ascii="宋体" w:hAnsi="宋体"/>
                <w:color w:val="000000"/>
                <w:szCs w:val="21"/>
              </w:rPr>
              <w:t>入侵防御系统产品</w:t>
            </w:r>
            <w:r>
              <w:rPr>
                <w:rFonts w:ascii="宋体" w:hAnsi="宋体"/>
                <w:color w:val="000000"/>
                <w:szCs w:val="21"/>
              </w:rPr>
              <w:t>响应</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分）</w:t>
            </w:r>
          </w:p>
        </w:tc>
        <w:tc>
          <w:tcPr>
            <w:tcW w:w="6765" w:type="dxa"/>
            <w:vAlign w:val="center"/>
          </w:tcPr>
          <w:p>
            <w:pPr>
              <w:widowControl/>
              <w:spacing w:line="276" w:lineRule="auto"/>
              <w:ind w:firstLine="420" w:firstLineChars="200"/>
              <w:jc w:val="left"/>
              <w:rPr>
                <w:rFonts w:ascii="宋体" w:hAnsi="宋体" w:cs="宋体"/>
                <w:color w:val="000000"/>
                <w:kern w:val="0"/>
                <w:szCs w:val="21"/>
              </w:rPr>
            </w:pPr>
            <w:r>
              <w:rPr>
                <w:rFonts w:hint="eastAsia" w:ascii="宋体" w:hAnsi="宋体"/>
                <w:color w:val="000000"/>
                <w:szCs w:val="21"/>
              </w:rPr>
              <w:t>所投产品生产厂家具备中国公安部颁发的计算机信息系统安全专用产品销售许可证；公司研发体系通过国际认证CMMI5的证书复印件并加盖厂商公章者得3分，提供不全或者不能提供的不得分。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Align w:val="center"/>
          </w:tcPr>
          <w:p>
            <w:pPr>
              <w:widowControl/>
              <w:spacing w:line="276" w:lineRule="auto"/>
              <w:jc w:val="center"/>
              <w:rPr>
                <w:rFonts w:ascii="宋体" w:hAnsi="宋体" w:cs="宋体"/>
                <w:color w:val="000000"/>
                <w:kern w:val="0"/>
                <w:szCs w:val="21"/>
              </w:rPr>
            </w:pPr>
            <w:r>
              <w:rPr>
                <w:rFonts w:hint="eastAsia" w:ascii="宋体" w:hAnsi="宋体"/>
                <w:color w:val="000000"/>
                <w:szCs w:val="21"/>
              </w:rPr>
              <w:t>单向网闸产品</w:t>
            </w:r>
            <w:r>
              <w:rPr>
                <w:rFonts w:ascii="宋体" w:hAnsi="宋体"/>
                <w:color w:val="000000"/>
                <w:szCs w:val="21"/>
              </w:rPr>
              <w:t>响应</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分）</w:t>
            </w:r>
          </w:p>
        </w:tc>
        <w:tc>
          <w:tcPr>
            <w:tcW w:w="6765" w:type="dxa"/>
            <w:vAlign w:val="center"/>
          </w:tcPr>
          <w:p>
            <w:pPr>
              <w:widowControl/>
              <w:spacing w:line="276" w:lineRule="auto"/>
              <w:ind w:firstLine="420" w:firstLineChars="200"/>
              <w:jc w:val="left"/>
              <w:rPr>
                <w:rFonts w:ascii="宋体" w:hAnsi="宋体" w:cs="宋体"/>
                <w:color w:val="000000"/>
                <w:kern w:val="0"/>
                <w:szCs w:val="21"/>
              </w:rPr>
            </w:pPr>
            <w:r>
              <w:rPr>
                <w:rFonts w:hint="eastAsia" w:ascii="宋体" w:hAnsi="宋体"/>
                <w:color w:val="000000"/>
                <w:szCs w:val="21"/>
              </w:rPr>
              <w:t>所投产品</w:t>
            </w:r>
            <w:r>
              <w:rPr>
                <w:rFonts w:hint="eastAsia" w:ascii="宋体" w:hAnsi="宋体" w:cs="黑体"/>
                <w:szCs w:val="21"/>
              </w:rPr>
              <w:t>厂商</w:t>
            </w:r>
            <w:r>
              <w:rPr>
                <w:rFonts w:hint="eastAsia" w:ascii="宋体" w:hAnsi="宋体"/>
                <w:color w:val="000000"/>
                <w:szCs w:val="21"/>
              </w:rPr>
              <w:t>具有计算机信息系统安全专用产品销售许可证及国家保密局提供的涉密信息系统产品检测证书； 国家密码管理局颁发的商用密码产品销售许可证；软件著作权登记证书；</w:t>
            </w:r>
            <w:r>
              <w:rPr>
                <w:rFonts w:hint="eastAsia" w:ascii="宋体" w:hAnsi="宋体" w:cs="黑体"/>
                <w:szCs w:val="21"/>
              </w:rPr>
              <w:t>软件产品质量检测检验中心提供的质量检测登记测试报告</w:t>
            </w:r>
            <w:r>
              <w:rPr>
                <w:rFonts w:hint="eastAsia" w:ascii="宋体" w:hAnsi="宋体"/>
                <w:color w:val="000000"/>
                <w:szCs w:val="21"/>
              </w:rPr>
              <w:t>的</w:t>
            </w:r>
            <w:r>
              <w:rPr>
                <w:rFonts w:hint="eastAsia" w:ascii="宋体" w:hAnsi="宋体" w:cs="黑体"/>
                <w:szCs w:val="21"/>
              </w:rPr>
              <w:t>证书复印件并加盖厂商公章者得3</w:t>
            </w:r>
            <w:bookmarkStart w:id="48" w:name="_GoBack"/>
            <w:bookmarkEnd w:id="48"/>
            <w:r>
              <w:rPr>
                <w:rFonts w:hint="eastAsia" w:ascii="宋体" w:hAnsi="宋体" w:cs="黑体"/>
                <w:szCs w:val="21"/>
              </w:rPr>
              <w:t>分，提供不全或者不能提供的不得分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spacing w:line="276" w:lineRule="auto"/>
              <w:jc w:val="left"/>
              <w:rPr>
                <w:rFonts w:ascii="宋体" w:hAnsi="宋体" w:cs="宋体"/>
                <w:color w:val="000000"/>
                <w:kern w:val="0"/>
                <w:szCs w:val="21"/>
              </w:rPr>
            </w:pPr>
          </w:p>
        </w:tc>
        <w:tc>
          <w:tcPr>
            <w:tcW w:w="1325" w:type="dxa"/>
            <w:vMerge w:val="continue"/>
            <w:vAlign w:val="center"/>
          </w:tcPr>
          <w:p>
            <w:pPr>
              <w:spacing w:line="276" w:lineRule="auto"/>
              <w:jc w:val="center"/>
              <w:rPr>
                <w:rFonts w:ascii="宋体" w:hAnsi="宋体" w:cs="宋体"/>
                <w:color w:val="000000"/>
                <w:kern w:val="0"/>
                <w:szCs w:val="21"/>
              </w:rPr>
            </w:pPr>
          </w:p>
        </w:tc>
        <w:tc>
          <w:tcPr>
            <w:tcW w:w="1388" w:type="dxa"/>
            <w:vMerge w:val="restart"/>
            <w:vAlign w:val="center"/>
          </w:tcPr>
          <w:p>
            <w:pPr>
              <w:widowControl/>
              <w:spacing w:line="276" w:lineRule="auto"/>
              <w:jc w:val="center"/>
              <w:rPr>
                <w:rFonts w:ascii="宋体" w:hAnsi="宋体" w:cs="宋体"/>
                <w:color w:val="000000"/>
                <w:kern w:val="0"/>
                <w:szCs w:val="21"/>
              </w:rPr>
            </w:pPr>
            <w:r>
              <w:rPr>
                <w:rFonts w:hint="eastAsia" w:ascii="宋体" w:hAnsi="宋体"/>
                <w:szCs w:val="21"/>
              </w:rPr>
              <w:t>虚拟化管理软件</w:t>
            </w:r>
            <w:r>
              <w:rPr>
                <w:rFonts w:hint="eastAsia" w:ascii="宋体" w:hAnsi="宋体"/>
                <w:color w:val="000000"/>
                <w:szCs w:val="21"/>
              </w:rPr>
              <w:t>产品</w:t>
            </w:r>
            <w:r>
              <w:rPr>
                <w:rFonts w:ascii="宋体" w:hAnsi="宋体"/>
                <w:color w:val="000000"/>
                <w:szCs w:val="21"/>
              </w:rPr>
              <w:t>响应</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6765" w:type="dxa"/>
            <w:vAlign w:val="center"/>
          </w:tcPr>
          <w:p>
            <w:pPr>
              <w:widowControl/>
              <w:spacing w:line="276" w:lineRule="auto"/>
              <w:ind w:firstLine="450"/>
              <w:jc w:val="left"/>
              <w:rPr>
                <w:rFonts w:hint="eastAsia" w:ascii="宋体" w:hAnsi="宋体" w:cs="黑体"/>
                <w:szCs w:val="21"/>
              </w:rPr>
            </w:pPr>
            <w:r>
              <w:rPr>
                <w:rFonts w:hint="eastAsia" w:ascii="宋体" w:hAnsi="宋体"/>
                <w:color w:val="000000"/>
                <w:szCs w:val="21"/>
              </w:rPr>
              <w:t>所投产品</w:t>
            </w:r>
            <w:r>
              <w:rPr>
                <w:rFonts w:hint="eastAsia" w:ascii="宋体" w:hAnsi="宋体" w:cs="黑体"/>
                <w:szCs w:val="21"/>
              </w:rPr>
              <w:t>厂商</w:t>
            </w:r>
            <w:r>
              <w:rPr>
                <w:rFonts w:hint="eastAsia" w:ascii="宋体" w:hAnsi="宋体"/>
                <w:szCs w:val="21"/>
              </w:rPr>
              <w:t>具有国产自主知识产权，虚拟化软件平台生产厂家需通过《云计算超融合架构可信评估方法》测试并取得相应资格认证、软件著作权登记证书的</w:t>
            </w:r>
            <w:r>
              <w:rPr>
                <w:rFonts w:hint="eastAsia" w:ascii="宋体" w:hAnsi="宋体" w:cs="黑体"/>
                <w:szCs w:val="21"/>
              </w:rPr>
              <w:t>证书复印件并加盖厂商公章者得3分，否则不得分；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6" w:type="dxa"/>
            <w:vMerge w:val="continue"/>
            <w:vAlign w:val="center"/>
          </w:tcPr>
          <w:p>
            <w:pPr>
              <w:widowControl/>
              <w:spacing w:line="276" w:lineRule="auto"/>
              <w:jc w:val="left"/>
              <w:rPr>
                <w:rFonts w:ascii="宋体" w:hAnsi="宋体" w:cs="宋体"/>
                <w:color w:val="000000"/>
                <w:kern w:val="0"/>
                <w:szCs w:val="21"/>
              </w:rPr>
            </w:pPr>
          </w:p>
        </w:tc>
        <w:tc>
          <w:tcPr>
            <w:tcW w:w="1325" w:type="dxa"/>
            <w:vMerge w:val="continue"/>
            <w:vAlign w:val="center"/>
          </w:tcPr>
          <w:p>
            <w:pPr>
              <w:widowControl/>
              <w:spacing w:line="276" w:lineRule="auto"/>
              <w:jc w:val="center"/>
              <w:rPr>
                <w:rFonts w:ascii="宋体" w:hAnsi="宋体" w:cs="宋体"/>
                <w:color w:val="000000"/>
                <w:kern w:val="0"/>
                <w:szCs w:val="21"/>
              </w:rPr>
            </w:pPr>
          </w:p>
        </w:tc>
        <w:tc>
          <w:tcPr>
            <w:tcW w:w="1388" w:type="dxa"/>
            <w:vMerge w:val="continue"/>
            <w:vAlign w:val="center"/>
          </w:tcPr>
          <w:p>
            <w:pPr>
              <w:widowControl/>
              <w:spacing w:line="276" w:lineRule="auto"/>
              <w:jc w:val="center"/>
              <w:rPr>
                <w:rFonts w:ascii="宋体" w:hAnsi="宋体" w:cs="宋体"/>
                <w:color w:val="000000"/>
                <w:kern w:val="0"/>
                <w:szCs w:val="21"/>
              </w:rPr>
            </w:pPr>
          </w:p>
        </w:tc>
        <w:tc>
          <w:tcPr>
            <w:tcW w:w="6765" w:type="dxa"/>
            <w:vAlign w:val="center"/>
          </w:tcPr>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黑体"/>
                <w:szCs w:val="21"/>
              </w:rPr>
              <w:t>为保证设备运行的稳定性，数据库审计、接入防火墙、</w:t>
            </w:r>
            <w:r>
              <w:rPr>
                <w:rFonts w:ascii="宋体" w:hAnsi="宋体" w:cs="黑体"/>
                <w:szCs w:val="21"/>
              </w:rPr>
              <w:t>Web</w:t>
            </w:r>
            <w:r>
              <w:rPr>
                <w:rFonts w:hint="eastAsia" w:ascii="宋体" w:hAnsi="宋体" w:cs="黑体"/>
                <w:szCs w:val="21"/>
              </w:rPr>
              <w:t>防火墙、虚拟化管理软件需为同一品牌，需提供厂家证件复印件并加盖生产厂商公章的得3分；未提供或者提供不全的不得分。</w:t>
            </w:r>
          </w:p>
        </w:tc>
      </w:tr>
      <w:bookmarkEnd w:id="0"/>
      <w:bookmarkEnd w:id="1"/>
      <w:bookmarkEnd w:id="2"/>
      <w:bookmarkEnd w:id="3"/>
      <w:bookmarkEnd w:id="4"/>
      <w:bookmarkEnd w:id="5"/>
      <w:bookmarkEnd w:id="6"/>
    </w:tbl>
    <w:p>
      <w:pPr>
        <w:snapToGrid w:val="0"/>
        <w:spacing w:line="360" w:lineRule="auto"/>
        <w:rPr>
          <w:rFonts w:ascii="宋体" w:hAnsi="宋体"/>
          <w:b/>
          <w:bCs/>
        </w:rPr>
      </w:pPr>
      <w:r>
        <w:rPr>
          <w:rFonts w:hint="eastAsia" w:ascii="宋体" w:hAnsi="宋体"/>
          <w:b/>
          <w:bCs/>
        </w:rPr>
        <w:t>六、招标单位联系方式及地址</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color w:val="000000"/>
          <w:sz w:val="24"/>
          <w:szCs w:val="24"/>
        </w:rPr>
        <w:t>张主任</w:t>
      </w:r>
      <w:r>
        <w:rPr>
          <w:rFonts w:hint="eastAsia" w:ascii="宋体" w:hAnsi="宋体" w:eastAsia="宋体" w:cs="宋体"/>
          <w:sz w:val="24"/>
          <w:szCs w:val="24"/>
        </w:rPr>
        <w:t xml:space="preserve">          联系电话: 0374-7160625、7766096</w:t>
      </w:r>
    </w:p>
    <w:p>
      <w:pPr>
        <w:widowControl/>
        <w:shd w:val="clear" w:color="auto" w:fill="FFFFFF"/>
        <w:wordWrap w:val="0"/>
        <w:spacing w:line="525" w:lineRule="atLeast"/>
        <w:ind w:left="2520" w:hanging="2160" w:hangingChars="900"/>
        <w:jc w:val="left"/>
        <w:rPr>
          <w:rFonts w:hint="eastAsia" w:ascii="宋体" w:hAnsi="宋体" w:eastAsia="宋体" w:cs="宋体"/>
          <w:color w:val="000000"/>
          <w:kern w:val="0"/>
          <w:sz w:val="24"/>
          <w:szCs w:val="24"/>
        </w:rPr>
      </w:pPr>
      <w:r>
        <w:rPr>
          <w:rFonts w:hint="eastAsia" w:ascii="宋体" w:hAnsi="宋体" w:eastAsia="宋体" w:cs="宋体"/>
          <w:sz w:val="24"/>
          <w:szCs w:val="24"/>
        </w:rPr>
        <w:t>递交书面材料地址：</w:t>
      </w:r>
      <w:r>
        <w:rPr>
          <w:rFonts w:hint="eastAsia" w:ascii="宋体" w:hAnsi="宋体" w:eastAsia="宋体" w:cs="宋体"/>
          <w:color w:val="000000"/>
          <w:sz w:val="24"/>
          <w:szCs w:val="24"/>
        </w:rPr>
        <w:t>鄢陵县花都大道</w:t>
      </w:r>
      <w:r>
        <w:rPr>
          <w:rFonts w:hint="eastAsia" w:ascii="宋体" w:hAnsi="宋体" w:eastAsia="宋体" w:cs="宋体"/>
          <w:color w:val="000000"/>
          <w:sz w:val="24"/>
          <w:szCs w:val="24"/>
          <w:lang w:eastAsia="zh-CN"/>
        </w:rPr>
        <w:t>西段</w:t>
      </w:r>
      <w:r>
        <w:rPr>
          <w:rFonts w:hint="eastAsia" w:ascii="宋体" w:hAnsi="宋体" w:eastAsia="宋体" w:cs="宋体"/>
          <w:color w:val="000000"/>
          <w:sz w:val="24"/>
          <w:szCs w:val="24"/>
        </w:rPr>
        <w:t>869号</w:t>
      </w:r>
      <w:r>
        <w:rPr>
          <w:rFonts w:hint="eastAsia" w:ascii="宋体" w:hAnsi="宋体" w:eastAsia="宋体" w:cs="宋体"/>
          <w:color w:val="000000"/>
          <w:sz w:val="24"/>
          <w:szCs w:val="24"/>
          <w:lang w:eastAsia="zh-CN"/>
        </w:rPr>
        <w:t>国土资源局四楼不动产办公室</w:t>
      </w:r>
    </w:p>
    <w:p>
      <w:pPr>
        <w:snapToGrid w:val="0"/>
        <w:spacing w:line="360" w:lineRule="auto"/>
        <w:rPr>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CEE3B"/>
    <w:multiLevelType w:val="singleLevel"/>
    <w:tmpl w:val="5A0CEE3B"/>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F2"/>
    <w:rsid w:val="000C0D8F"/>
    <w:rsid w:val="00140185"/>
    <w:rsid w:val="004729A8"/>
    <w:rsid w:val="004C6E8D"/>
    <w:rsid w:val="004D2D6E"/>
    <w:rsid w:val="0067798B"/>
    <w:rsid w:val="006C5930"/>
    <w:rsid w:val="006E7D2F"/>
    <w:rsid w:val="00841834"/>
    <w:rsid w:val="008675F5"/>
    <w:rsid w:val="0089217C"/>
    <w:rsid w:val="008F32EB"/>
    <w:rsid w:val="00A548F4"/>
    <w:rsid w:val="00B800F2"/>
    <w:rsid w:val="00BD7A39"/>
    <w:rsid w:val="00BF01B7"/>
    <w:rsid w:val="00FB0CF6"/>
    <w:rsid w:val="036F70DC"/>
    <w:rsid w:val="040B012B"/>
    <w:rsid w:val="06834037"/>
    <w:rsid w:val="0E1147EC"/>
    <w:rsid w:val="13F275F4"/>
    <w:rsid w:val="161213B3"/>
    <w:rsid w:val="1AB9330C"/>
    <w:rsid w:val="1B6B237C"/>
    <w:rsid w:val="29BC5895"/>
    <w:rsid w:val="2B1629EF"/>
    <w:rsid w:val="303E1A6D"/>
    <w:rsid w:val="30465CA0"/>
    <w:rsid w:val="311C251C"/>
    <w:rsid w:val="379A09F4"/>
    <w:rsid w:val="4A4814FD"/>
    <w:rsid w:val="4BD6462D"/>
    <w:rsid w:val="4EFD2898"/>
    <w:rsid w:val="5A072F26"/>
    <w:rsid w:val="60506216"/>
    <w:rsid w:val="630E3DF7"/>
    <w:rsid w:val="727D409F"/>
    <w:rsid w:val="7CA16DB4"/>
    <w:rsid w:val="7DD2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7"/>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Plain Text"/>
    <w:basedOn w:val="1"/>
    <w:link w:val="24"/>
    <w:qFormat/>
    <w:uiPriority w:val="0"/>
    <w:pPr>
      <w:spacing w:line="580" w:lineRule="exact"/>
      <w:ind w:right="-197" w:firstLine="560" w:firstLineChars="200"/>
    </w:pPr>
    <w:rPr>
      <w:rFonts w:ascii="黑体" w:hAnsi="Courier New" w:eastAsia="黑体" w:cstheme="minorBidi"/>
      <w:sz w:val="28"/>
      <w:szCs w:val="22"/>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1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1">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SA"/>
    </w:rPr>
  </w:style>
  <w:style w:type="character" w:customStyle="1" w:styleId="14">
    <w:name w:val="标题 1 Char"/>
    <w:basedOn w:val="12"/>
    <w:link w:val="3"/>
    <w:qFormat/>
    <w:uiPriority w:val="99"/>
    <w:rPr>
      <w:rFonts w:ascii="Times New Roman" w:hAnsi="Times New Roman" w:eastAsia="宋体" w:cs="Times New Roman"/>
      <w:b/>
      <w:bCs/>
      <w:kern w:val="44"/>
      <w:sz w:val="44"/>
      <w:szCs w:val="44"/>
    </w:rPr>
  </w:style>
  <w:style w:type="character" w:customStyle="1" w:styleId="15">
    <w:name w:val="标题 2 Char"/>
    <w:basedOn w:val="12"/>
    <w:link w:val="4"/>
    <w:semiHidden/>
    <w:qFormat/>
    <w:uiPriority w:val="9"/>
    <w:rPr>
      <w:rFonts w:asciiTheme="majorHAnsi" w:hAnsiTheme="majorHAnsi" w:eastAsiaTheme="majorEastAsia" w:cstheme="majorBidi"/>
      <w:b/>
      <w:bCs/>
      <w:sz w:val="32"/>
      <w:szCs w:val="32"/>
    </w:rPr>
  </w:style>
  <w:style w:type="character" w:customStyle="1" w:styleId="16">
    <w:name w:val="标题 3 Char"/>
    <w:basedOn w:val="12"/>
    <w:link w:val="5"/>
    <w:semiHidden/>
    <w:qFormat/>
    <w:uiPriority w:val="9"/>
    <w:rPr>
      <w:rFonts w:ascii="Times New Roman" w:hAnsi="Times New Roman" w:eastAsia="宋体" w:cs="Times New Roman"/>
      <w:b/>
      <w:bCs/>
      <w:sz w:val="32"/>
      <w:szCs w:val="32"/>
    </w:rPr>
  </w:style>
  <w:style w:type="character" w:customStyle="1" w:styleId="17">
    <w:name w:val="标题 4 Char"/>
    <w:basedOn w:val="12"/>
    <w:link w:val="6"/>
    <w:qFormat/>
    <w:uiPriority w:val="0"/>
    <w:rPr>
      <w:rFonts w:ascii="Cambria" w:hAnsi="Cambria" w:eastAsia="宋体" w:cs="Times New Roman"/>
      <w:b/>
      <w:bCs/>
      <w:sz w:val="28"/>
      <w:szCs w:val="28"/>
    </w:rPr>
  </w:style>
  <w:style w:type="character" w:customStyle="1" w:styleId="18">
    <w:name w:val="副标题 Char"/>
    <w:basedOn w:val="12"/>
    <w:link w:val="10"/>
    <w:qFormat/>
    <w:uiPriority w:val="11"/>
    <w:rPr>
      <w:rFonts w:eastAsia="宋体" w:asciiTheme="majorHAnsi" w:hAnsiTheme="majorHAnsi" w:cstheme="majorBidi"/>
      <w:b/>
      <w:bCs/>
      <w:kern w:val="28"/>
      <w:sz w:val="32"/>
      <w:szCs w:val="32"/>
    </w:rPr>
  </w:style>
  <w:style w:type="character" w:customStyle="1" w:styleId="19">
    <w:name w:val="页眉 Char"/>
    <w:basedOn w:val="12"/>
    <w:link w:val="9"/>
    <w:semiHidden/>
    <w:qFormat/>
    <w:uiPriority w:val="99"/>
    <w:rPr>
      <w:rFonts w:ascii="Times New Roman" w:hAnsi="Times New Roman" w:eastAsia="宋体" w:cs="Times New Roman"/>
      <w:sz w:val="18"/>
      <w:szCs w:val="18"/>
    </w:rPr>
  </w:style>
  <w:style w:type="character" w:customStyle="1" w:styleId="20">
    <w:name w:val="页脚 Char"/>
    <w:basedOn w:val="12"/>
    <w:link w:val="8"/>
    <w:semiHidden/>
    <w:qFormat/>
    <w:uiPriority w:val="99"/>
    <w:rPr>
      <w:rFonts w:ascii="Times New Roman" w:hAnsi="Times New Roman" w:eastAsia="宋体" w:cs="Times New Roman"/>
      <w:sz w:val="18"/>
      <w:szCs w:val="18"/>
    </w:rPr>
  </w:style>
  <w:style w:type="paragraph" w:customStyle="1" w:styleId="21">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2">
    <w:name w:val="纯文本 Char"/>
    <w:link w:val="7"/>
    <w:qFormat/>
    <w:locked/>
    <w:uiPriority w:val="0"/>
    <w:rPr>
      <w:rFonts w:ascii="黑体" w:hAnsi="Courier New" w:eastAsia="黑体"/>
      <w:sz w:val="28"/>
    </w:rPr>
  </w:style>
  <w:style w:type="character" w:customStyle="1" w:styleId="23">
    <w:name w:val="正文1"/>
    <w:qFormat/>
    <w:uiPriority w:val="0"/>
    <w:rPr>
      <w:rFonts w:ascii="宋体" w:hAnsi="宋体"/>
      <w:color w:val="000000"/>
    </w:rPr>
  </w:style>
  <w:style w:type="character" w:customStyle="1" w:styleId="24">
    <w:name w:val="纯文本 Char1"/>
    <w:basedOn w:val="12"/>
    <w:link w:val="7"/>
    <w:semiHidden/>
    <w:qFormat/>
    <w:uiPriority w:val="99"/>
    <w:rPr>
      <w:rFonts w:ascii="宋体" w:hAnsi="Courier New" w:eastAsia="宋体" w:cs="Courier New"/>
      <w:szCs w:val="21"/>
    </w:rPr>
  </w:style>
  <w:style w:type="paragraph" w:customStyle="1" w:styleId="25">
    <w:name w:val="Char"/>
    <w:basedOn w:val="1"/>
    <w:qFormat/>
    <w:uiPriority w:val="0"/>
    <w:pPr>
      <w:tabs>
        <w:tab w:val="left" w:pos="360"/>
      </w:tabs>
      <w:spacing w:after="160" w:line="360" w:lineRule="auto"/>
      <w:ind w:left="482" w:firstLine="200" w:firstLineChars="200"/>
    </w:pPr>
    <w:rPr>
      <w:rFonts w:asci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1195</Words>
  <Characters>6814</Characters>
  <Lines>56</Lines>
  <Paragraphs>15</Paragraphs>
  <ScaleCrop>false</ScaleCrop>
  <LinksUpToDate>false</LinksUpToDate>
  <CharactersWithSpaces>7994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2017-11-15T08:52:00Z</dcterms:created>
  <dc:creator>admin</dc:creator>
  <cp:lastModifiedBy>Administrator</cp:lastModifiedBy>
  <dcterms:modified xsi:type="dcterms:W3CDTF">2017-11-16T02:42:49Z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