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长交建【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GZ100号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长葛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0九一一河南省粮食储备库有限责任公司地坪及外墙改造维修项目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招标公告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0" w:name="_Toc29228"/>
      <w:r>
        <w:rPr>
          <w:rFonts w:hint="eastAsia" w:ascii="黑体" w:hAnsi="黑体" w:eastAsia="黑体" w:cs="黑体"/>
          <w:b/>
          <w:sz w:val="32"/>
          <w:szCs w:val="32"/>
        </w:rPr>
        <w:t>一、招标条件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本招标项目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长葛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0九一一河南省粮食储备库有限责任公司地坪及外墙改造维修项目</w:t>
      </w:r>
      <w:r>
        <w:rPr>
          <w:rFonts w:hint="eastAsia" w:ascii="仿宋" w:hAnsi="仿宋" w:eastAsia="仿宋" w:cs="仿宋"/>
          <w:bCs/>
          <w:sz w:val="32"/>
          <w:szCs w:val="32"/>
        </w:rPr>
        <w:t>已由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河南省财政厅豫财贸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【20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】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134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</w:rPr>
        <w:t>文件批准建设，建设资金来源为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  <w:lang w:eastAsia="zh-CN"/>
        </w:rPr>
        <w:t>市财政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资金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  <w:lang w:val="en-US" w:eastAsia="zh-CN"/>
        </w:rPr>
        <w:t>及企业自筹资金</w:t>
      </w:r>
      <w:r>
        <w:rPr>
          <w:rFonts w:hint="eastAsia" w:ascii="仿宋" w:hAnsi="仿宋" w:eastAsia="仿宋" w:cs="仿宋"/>
          <w:bCs/>
          <w:sz w:val="32"/>
          <w:szCs w:val="32"/>
        </w:rPr>
        <w:t>。招标人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长葛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0九一一河南省粮食储备库有限责任公司</w:t>
      </w:r>
      <w:r>
        <w:rPr>
          <w:rFonts w:hint="eastAsia" w:ascii="仿宋" w:hAnsi="仿宋" w:eastAsia="仿宋" w:cs="仿宋"/>
          <w:bCs/>
          <w:sz w:val="32"/>
          <w:szCs w:val="32"/>
        </w:rPr>
        <w:t>，招标代理机构为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河南永和工程造价咨询有限公司</w:t>
      </w:r>
      <w:r>
        <w:rPr>
          <w:rFonts w:hint="eastAsia" w:ascii="仿宋" w:hAnsi="仿宋" w:eastAsia="仿宋" w:cs="仿宋"/>
          <w:bCs/>
          <w:sz w:val="32"/>
          <w:szCs w:val="32"/>
        </w:rPr>
        <w:t>。本项目已具备招标条件，现对该项目施工进行国内公开招标。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1" w:name="_Toc28000"/>
      <w:r>
        <w:rPr>
          <w:rFonts w:hint="eastAsia" w:ascii="黑体" w:hAnsi="黑体" w:eastAsia="黑体" w:cs="黑体"/>
          <w:b/>
          <w:sz w:val="32"/>
          <w:szCs w:val="32"/>
        </w:rPr>
        <w:t>二、项目概况及招标范围</w:t>
      </w:r>
      <w:bookmarkEnd w:id="1"/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2.1招标编号：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长交建【201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GZ100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号；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" w:name="_Toc464824532"/>
      <w:bookmarkStart w:id="3" w:name="_Toc397507502"/>
      <w:bookmarkStart w:id="4" w:name="_Toc397605783"/>
      <w:bookmarkStart w:id="5" w:name="_Toc397507914"/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建设地点：长葛市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钟繇大道北段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bookmarkEnd w:id="2"/>
      <w:bookmarkEnd w:id="3"/>
      <w:bookmarkEnd w:id="4"/>
      <w:bookmarkEnd w:id="5"/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" w:name="_Toc397605784"/>
      <w:bookmarkStart w:id="7" w:name="_Toc397507915"/>
      <w:bookmarkStart w:id="8" w:name="_Toc397507503"/>
      <w:bookmarkStart w:id="9" w:name="_Toc464824533"/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项目建设性质：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改造维修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bookmarkEnd w:id="6"/>
      <w:bookmarkEnd w:id="7"/>
      <w:bookmarkEnd w:id="8"/>
      <w:bookmarkEnd w:id="9"/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0" w:name="_Toc397507916"/>
      <w:bookmarkStart w:id="11" w:name="_Toc397605785"/>
      <w:bookmarkStart w:id="12" w:name="_Toc397507504"/>
      <w:bookmarkStart w:id="13" w:name="_Toc464824534"/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项目建设内容</w:t>
      </w:r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: </w:t>
      </w:r>
      <w:bookmarkEnd w:id="13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主要包括6#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8#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10#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11#仓外墙面砂浆涂料拆除，20mm厚1：3水泥砂浆找平，涂刷乳胶漆面层；原混凝土路面拆除，重新铺300mm3：7灰土垫层，200mm厚C30混凝土面层。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4" w:name="_Toc464824535"/>
      <w:bookmarkStart w:id="15" w:name="_Toc397605786"/>
      <w:bookmarkStart w:id="16" w:name="_Toc397507917"/>
      <w:bookmarkStart w:id="17" w:name="_Toc397507505"/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招标控制价：</w:t>
      </w:r>
      <w:bookmarkEnd w:id="14"/>
      <w:bookmarkEnd w:id="15"/>
      <w:bookmarkEnd w:id="16"/>
      <w:bookmarkEnd w:id="17"/>
      <w:bookmarkStart w:id="18" w:name="_Toc397507918"/>
      <w:bookmarkStart w:id="19" w:name="_Toc397507506"/>
      <w:bookmarkStart w:id="20" w:name="_Toc397605787"/>
      <w:bookmarkStart w:id="21" w:name="_Toc464824537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拾玖万柒仟零壹拾肆元伍角（797014.5元）(含安全文明措施费41940.7元）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22" w:name="_Toc46482453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计划工期：</w:t>
      </w:r>
      <w:bookmarkEnd w:id="22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0日历天；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2.8招标范围：招标文件、工程量清单、施工图纸、技术参数、补充文件（如有）、答疑纪要等列明的所有建设内容</w:t>
      </w:r>
      <w:bookmarkEnd w:id="18"/>
      <w:bookmarkEnd w:id="19"/>
      <w:bookmarkEnd w:id="20"/>
      <w:bookmarkEnd w:id="21"/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3" w:name="_Toc397507919"/>
      <w:bookmarkStart w:id="24" w:name="_Toc397507507"/>
      <w:bookmarkStart w:id="25" w:name="_Toc464824538"/>
      <w:bookmarkStart w:id="26" w:name="_Toc397605788"/>
      <w:r>
        <w:rPr>
          <w:rFonts w:hint="eastAsia" w:ascii="仿宋_GB2312" w:hAnsi="仿宋_GB2312" w:eastAsia="仿宋_GB2312" w:cs="仿宋_GB2312"/>
          <w:bCs/>
          <w:sz w:val="32"/>
          <w:szCs w:val="32"/>
        </w:rPr>
        <w:t>2.9质量要求：合格（符合国家现行的验收规范和标准）；</w:t>
      </w:r>
      <w:bookmarkEnd w:id="23"/>
      <w:bookmarkEnd w:id="24"/>
      <w:bookmarkEnd w:id="25"/>
      <w:bookmarkEnd w:id="26"/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7" w:name="_Toc397507508"/>
      <w:bookmarkStart w:id="28" w:name="_Toc464824539"/>
      <w:bookmarkStart w:id="29" w:name="_Toc397605789"/>
      <w:bookmarkStart w:id="30" w:name="_Toc397507920"/>
      <w:r>
        <w:rPr>
          <w:rFonts w:hint="eastAsia" w:ascii="仿宋_GB2312" w:hAnsi="仿宋_GB2312" w:eastAsia="仿宋_GB2312" w:cs="仿宋_GB2312"/>
          <w:bCs/>
          <w:sz w:val="32"/>
          <w:szCs w:val="32"/>
        </w:rPr>
        <w:t>2.10标段划分：本项目共划分为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个标段</w:t>
      </w:r>
    </w:p>
    <w:bookmarkEnd w:id="27"/>
    <w:bookmarkEnd w:id="28"/>
    <w:bookmarkEnd w:id="29"/>
    <w:bookmarkEnd w:id="30"/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31" w:name="_Toc397507921"/>
      <w:bookmarkStart w:id="32" w:name="_Toc397605790"/>
      <w:bookmarkStart w:id="33" w:name="_Toc2846"/>
      <w:bookmarkStart w:id="34" w:name="_Toc464824540"/>
      <w:bookmarkStart w:id="35" w:name="_Toc397507509"/>
      <w:r>
        <w:rPr>
          <w:rFonts w:hint="eastAsia" w:ascii="黑体" w:hAnsi="黑体" w:eastAsia="黑体" w:cs="黑体"/>
          <w:b/>
          <w:sz w:val="32"/>
          <w:szCs w:val="32"/>
        </w:rPr>
        <w:t>三、投标人资格要求</w:t>
      </w:r>
      <w:bookmarkEnd w:id="31"/>
      <w:bookmarkEnd w:id="32"/>
      <w:bookmarkEnd w:id="33"/>
      <w:bookmarkEnd w:id="34"/>
      <w:bookmarkEnd w:id="35"/>
    </w:p>
    <w:p>
      <w:pPr>
        <w:spacing w:line="240" w:lineRule="auto"/>
        <w:ind w:right="-105" w:rightChars="-5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3.1本项目要求投标人具备独立法人资格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，具有有效的营业执照，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具有建筑工程施工总承包叁级（含）以上资质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Cs/>
          <w:sz w:val="32"/>
          <w:szCs w:val="32"/>
        </w:rPr>
        <w:t>有效的安全生产许可证；</w:t>
      </w:r>
    </w:p>
    <w:p>
      <w:pPr>
        <w:spacing w:line="240" w:lineRule="auto"/>
        <w:ind w:right="-105" w:rightChars="-5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bCs/>
          <w:sz w:val="32"/>
          <w:szCs w:val="32"/>
        </w:rPr>
        <w:t>拟任项目经理应具有建筑工程专业贰级及以上注册建造师资格（不含临时），取得有效的安全生产考核合格证，且未担任其他在施建设工程的项目经理。</w:t>
      </w:r>
    </w:p>
    <w:p>
      <w:pPr>
        <w:spacing w:line="240" w:lineRule="auto"/>
        <w:ind w:right="-105" w:rightChars="-5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本次招标不接受联合体投标，不得转包、挂靠及违法分包；</w:t>
      </w:r>
    </w:p>
    <w:p>
      <w:pPr>
        <w:spacing w:line="240" w:lineRule="auto"/>
        <w:ind w:right="-105" w:rightChars="-5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36" w:name="_Toc28292"/>
      <w:r>
        <w:rPr>
          <w:rFonts w:hint="eastAsia" w:ascii="黑体" w:hAnsi="黑体" w:eastAsia="黑体" w:cs="黑体"/>
          <w:b/>
          <w:sz w:val="32"/>
          <w:szCs w:val="32"/>
        </w:rPr>
        <w:t>四、投标报名</w:t>
      </w:r>
      <w:bookmarkEnd w:id="36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bookmarkStart w:id="37" w:name="_Toc464824541"/>
      <w:bookmarkStart w:id="38" w:name="_Toc3684"/>
      <w:bookmarkStart w:id="39" w:name="_Toc397507510"/>
      <w:bookmarkStart w:id="40" w:name="_Toc397605791"/>
      <w:bookmarkStart w:id="41" w:name="_Toc397507922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1、报名时间：凡有意参加投标者，请于2017年11月15日至2017年11月21日内进行报名。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2、报名方式：网上报名。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五、招标文件的获取</w:t>
      </w:r>
      <w:bookmarkEnd w:id="37"/>
      <w:bookmarkEnd w:id="38"/>
      <w:bookmarkEnd w:id="39"/>
      <w:bookmarkEnd w:id="40"/>
      <w:bookmarkEnd w:id="41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bookmarkStart w:id="42" w:name="_Toc397507511"/>
      <w:bookmarkStart w:id="43" w:name="_Toc397605792"/>
      <w:bookmarkStart w:id="44" w:name="_Toc397507923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1、招标文件和工程量清单的下载：报名期限内，投标人登录《全国公共资源交易平台（河南省·许昌市）》自行下载本项目招标文件、工程量清单。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2、施工图纸下载：按照招标文件中第二章投标人须知前附表所给的网址自行下载。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3、投标人在递交纸制投标文件时向代理公司缴纳招标文件费用，本项目招标文件费用为400元/套，售后不退。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4、本项目实行资格后审，资格后审所需资料详见招标文件。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45" w:name="_Toc17272"/>
      <w:bookmarkStart w:id="46" w:name="_Toc464824545"/>
      <w:r>
        <w:rPr>
          <w:rFonts w:hint="eastAsia" w:ascii="黑体" w:hAnsi="黑体" w:eastAsia="黑体" w:cs="黑体"/>
          <w:b/>
          <w:sz w:val="32"/>
          <w:szCs w:val="32"/>
        </w:rPr>
        <w:t>六、投标文件的递交</w:t>
      </w:r>
      <w:bookmarkEnd w:id="42"/>
      <w:bookmarkEnd w:id="43"/>
      <w:bookmarkEnd w:id="44"/>
      <w:bookmarkEnd w:id="45"/>
      <w:bookmarkEnd w:id="46"/>
    </w:p>
    <w:p>
      <w:pPr>
        <w:pStyle w:val="2"/>
        <w:shd w:val="clear" w:color="060000" w:fill="FFFFFF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6.1投标文件递交的截止时间：2017年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上午9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分（北京时间）。  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6.2开标地点：长葛市公共资源交易中心（长葛市葛天大道东段商务区6号楼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楼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409</w:t>
      </w:r>
      <w:r>
        <w:rPr>
          <w:rFonts w:hint="eastAsia" w:ascii="仿宋" w:hAnsi="仿宋" w:eastAsia="仿宋" w:cs="仿宋"/>
          <w:bCs/>
          <w:sz w:val="32"/>
          <w:szCs w:val="32"/>
        </w:rPr>
        <w:t>室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bCs/>
          <w:sz w:val="32"/>
          <w:szCs w:val="32"/>
        </w:rPr>
        <w:t>）。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6.3 逾期送达的投标文件，招标人不予受理。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6.4未通过【全国公共资源交易平台（河南省·许昌市）】下载招标文件的投标人，其投标文件将拒收。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47" w:name="_Toc464824546"/>
      <w:bookmarkStart w:id="48" w:name="_Toc397507924"/>
      <w:bookmarkStart w:id="49" w:name="_Toc6213"/>
      <w:bookmarkStart w:id="50" w:name="_Toc397507512"/>
      <w:bookmarkStart w:id="51" w:name="_Toc397605793"/>
      <w:r>
        <w:rPr>
          <w:rFonts w:hint="eastAsia" w:ascii="黑体" w:hAnsi="黑体" w:eastAsia="黑体" w:cs="黑体"/>
          <w:b/>
          <w:sz w:val="32"/>
          <w:szCs w:val="32"/>
        </w:rPr>
        <w:t>七、发布公告的媒介</w:t>
      </w:r>
      <w:bookmarkEnd w:id="47"/>
      <w:bookmarkEnd w:id="48"/>
      <w:bookmarkEnd w:id="49"/>
      <w:bookmarkEnd w:id="50"/>
      <w:bookmarkEnd w:id="51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1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52" w:name="_Toc397605794"/>
      <w:bookmarkStart w:id="53" w:name="_Toc397507925"/>
      <w:bookmarkStart w:id="54" w:name="_Toc397507513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本公告同时在《中国采购与招标网》、《河南招标采购综合网》、《河南省政府采购网》和《全国公共资源交易平台（河南省·许昌市）》上发布。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bookmarkStart w:id="55" w:name="_Toc20000"/>
      <w:bookmarkStart w:id="56" w:name="_Toc464824548"/>
      <w:r>
        <w:rPr>
          <w:rFonts w:hint="eastAsia" w:ascii="黑体" w:hAnsi="黑体" w:eastAsia="黑体" w:cs="黑体"/>
          <w:b/>
          <w:sz w:val="32"/>
          <w:szCs w:val="32"/>
        </w:rPr>
        <w:t>八、招标人及代理机构</w:t>
      </w:r>
      <w:bookmarkEnd w:id="52"/>
      <w:bookmarkEnd w:id="53"/>
      <w:bookmarkEnd w:id="54"/>
      <w:bookmarkEnd w:id="55"/>
      <w:bookmarkEnd w:id="56"/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招标人：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长葛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0九一一河南省粮食储备库有限责任公司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任先生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13837462626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地址：长葛市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钟繇大道北段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bookmarkStart w:id="57" w:name="_Toc562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招标代理机构：河南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永和工程造价咨询有限公司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项目联系电话：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17737686299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地址：郑州市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经开第三大街经北一路交叉口罗兰酒店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电子邮箱：hnyhzjgs@163.com</w:t>
      </w:r>
      <w:bookmarkEnd w:id="57"/>
    </w:p>
    <w:p>
      <w:pPr>
        <w:wordWrap w:val="0"/>
        <w:spacing w:line="240" w:lineRule="auto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长葛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0九一一河南省粮食储备库有限责任公司</w:t>
      </w:r>
    </w:p>
    <w:p>
      <w:pPr>
        <w:wordWrap w:val="0"/>
        <w:spacing w:line="24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2017年11月15日</w:t>
      </w:r>
      <w:bookmarkStart w:id="58" w:name="_GoBack"/>
      <w:bookmarkEnd w:id="5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alatino">
    <w:altName w:val="Palatino Linotype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33C7"/>
    <w:rsid w:val="0192113C"/>
    <w:rsid w:val="18BE770E"/>
    <w:rsid w:val="1F3C0DE0"/>
    <w:rsid w:val="36E13843"/>
    <w:rsid w:val="582733C7"/>
    <w:rsid w:val="5F676333"/>
    <w:rsid w:val="6FBF79E0"/>
    <w:rsid w:val="71FB4601"/>
    <w:rsid w:val="792C6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red"/>
    <w:basedOn w:val="3"/>
    <w:uiPriority w:val="0"/>
    <w:rPr>
      <w:color w:val="FF0000"/>
      <w:sz w:val="18"/>
      <w:szCs w:val="18"/>
    </w:rPr>
  </w:style>
  <w:style w:type="character" w:customStyle="1" w:styleId="9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0">
    <w:name w:val="red2"/>
    <w:basedOn w:val="3"/>
    <w:qFormat/>
    <w:uiPriority w:val="0"/>
    <w:rPr>
      <w:color w:val="FF0000"/>
    </w:rPr>
  </w:style>
  <w:style w:type="character" w:customStyle="1" w:styleId="11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3">
    <w:name w:val="hover25"/>
    <w:basedOn w:val="3"/>
    <w:qFormat/>
    <w:uiPriority w:val="0"/>
  </w:style>
  <w:style w:type="character" w:customStyle="1" w:styleId="14">
    <w:name w:val="gb-jt"/>
    <w:basedOn w:val="3"/>
    <w:qFormat/>
    <w:uiPriority w:val="0"/>
  </w:style>
  <w:style w:type="character" w:customStyle="1" w:styleId="15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2017-11-02T07:37:00Z</dcterms:created>
  <dc:creator>A0000张扬</dc:creator>
  <cp:lastModifiedBy>A0000张扬</cp:lastModifiedBy>
  <cp:lastPrinted>2017-11-10T01:34:00Z</cp:lastPrinted>
  <dcterms:modified xsi:type="dcterms:W3CDTF">2017-11-15T00:59:40Z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