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val="0"/>
        <w:autoSpaceDN w:val="0"/>
        <w:bidi w:val="0"/>
        <w:adjustRightInd w:val="0"/>
        <w:snapToGrid/>
        <w:spacing w:before="0" w:beforeLines="150" w:after="0" w:afterLines="100" w:line="360" w:lineRule="auto"/>
        <w:ind w:left="0" w:leftChars="0" w:right="0" w:rightChars="0" w:firstLine="0" w:firstLineChars="0"/>
        <w:jc w:val="center"/>
        <w:textAlignment w:val="auto"/>
        <w:outlineLvl w:val="9"/>
        <w:rPr>
          <w:rFonts w:hint="eastAsia" w:ascii="楷体_GB2312" w:hAnsi="楷体_GB2312" w:eastAsia="楷体_GB2312" w:cs="楷体_GB2312"/>
          <w:b/>
          <w:bCs/>
          <w:color w:val="auto"/>
          <w:sz w:val="30"/>
          <w:szCs w:val="30"/>
          <w:lang w:val="zh-CN"/>
        </w:rPr>
      </w:pPr>
      <w:bookmarkStart w:id="0" w:name="_Toc7543"/>
      <w:bookmarkStart w:id="1" w:name="_Toc14797"/>
      <w:bookmarkStart w:id="2" w:name="_Toc21453"/>
      <w:bookmarkStart w:id="3" w:name="_Toc531"/>
      <w:r>
        <w:rPr>
          <w:rFonts w:hint="eastAsia" w:ascii="楷体_GB2312" w:hAnsi="楷体_GB2312" w:eastAsia="楷体_GB2312" w:cs="楷体_GB2312"/>
          <w:b/>
          <w:bCs/>
          <w:color w:val="auto"/>
          <w:sz w:val="30"/>
          <w:szCs w:val="30"/>
          <w:lang w:val="zh-CN"/>
        </w:rPr>
        <w:t>一、开标一览表</w:t>
      </w:r>
      <w:bookmarkEnd w:id="0"/>
      <w:bookmarkEnd w:id="1"/>
      <w:bookmarkEnd w:id="2"/>
      <w:bookmarkEnd w:id="3"/>
    </w:p>
    <w:p>
      <w:pPr>
        <w:autoSpaceDE w:val="0"/>
        <w:autoSpaceDN w:val="0"/>
        <w:adjustRightInd w:val="0"/>
        <w:spacing w:line="140" w:lineRule="exact"/>
        <w:rPr>
          <w:rFonts w:hint="eastAsia" w:ascii="楷体_GB2312" w:hAnsi="楷体_GB2312" w:eastAsia="楷体_GB2312" w:cs="楷体_GB2312"/>
          <w:b/>
          <w:bCs/>
          <w:color w:val="auto"/>
          <w:sz w:val="24"/>
          <w:lang w:val="zh-CN"/>
        </w:rPr>
      </w:pPr>
    </w:p>
    <w:tbl>
      <w:tblPr>
        <w:tblStyle w:val="21"/>
        <w:tblW w:w="9465" w:type="dxa"/>
        <w:tblInd w:w="0" w:type="dxa"/>
        <w:tblBorders>
          <w:top w:val="single" w:color="auto" w:sz="18" w:space="0"/>
          <w:left w:val="single" w:color="auto" w:sz="18" w:space="0"/>
          <w:bottom w:val="single" w:color="auto" w:sz="18" w:space="0"/>
          <w:right w:val="single" w:color="auto" w:sz="18" w:space="0"/>
          <w:insideH w:val="single" w:color="auto" w:sz="4" w:space="0"/>
          <w:insideV w:val="single" w:color="auto" w:sz="4" w:space="0"/>
        </w:tblBorders>
        <w:tblLayout w:type="fixed"/>
        <w:tblCellMar>
          <w:top w:w="0" w:type="dxa"/>
          <w:left w:w="108" w:type="dxa"/>
          <w:bottom w:w="0" w:type="dxa"/>
          <w:right w:w="108" w:type="dxa"/>
        </w:tblCellMar>
      </w:tblPr>
      <w:tblGrid>
        <w:gridCol w:w="1206"/>
        <w:gridCol w:w="2040"/>
        <w:gridCol w:w="3135"/>
        <w:gridCol w:w="930"/>
        <w:gridCol w:w="2154"/>
      </w:tblGrid>
      <w:tr>
        <w:tblPrEx>
          <w:tblBorders>
            <w:top w:val="single" w:color="auto" w:sz="18" w:space="0"/>
            <w:left w:val="single" w:color="auto" w:sz="18" w:space="0"/>
            <w:bottom w:val="single" w:color="auto" w:sz="18" w:space="0"/>
            <w:right w:val="single" w:color="auto" w:sz="18" w:space="0"/>
            <w:insideH w:val="single" w:color="auto" w:sz="4" w:space="0"/>
            <w:insideV w:val="single" w:color="auto" w:sz="4" w:space="0"/>
          </w:tblBorders>
          <w:tblLayout w:type="fixed"/>
          <w:tblCellMar>
            <w:top w:w="0" w:type="dxa"/>
            <w:left w:w="108" w:type="dxa"/>
            <w:bottom w:w="0" w:type="dxa"/>
            <w:right w:w="108" w:type="dxa"/>
          </w:tblCellMar>
        </w:tblPrEx>
        <w:trPr>
          <w:trHeight w:val="486" w:hRule="atLeast"/>
        </w:trPr>
        <w:tc>
          <w:tcPr>
            <w:tcW w:w="1206"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jc w:val="left"/>
              <w:textAlignment w:val="auto"/>
              <w:outlineLvl w:val="9"/>
              <w:rPr>
                <w:rFonts w:hint="eastAsia" w:ascii="楷体_GB2312" w:hAnsi="楷体_GB2312" w:eastAsia="楷体_GB2312" w:cs="楷体_GB2312"/>
                <w:color w:val="auto"/>
                <w:sz w:val="24"/>
                <w:lang w:val="zh-CN"/>
              </w:rPr>
            </w:pPr>
            <w:r>
              <w:rPr>
                <w:rFonts w:hint="eastAsia" w:ascii="楷体_GB2312" w:hAnsi="楷体_GB2312" w:eastAsia="楷体_GB2312" w:cs="楷体_GB2312"/>
                <w:color w:val="auto"/>
                <w:sz w:val="24"/>
                <w:lang w:val="zh-CN"/>
              </w:rPr>
              <w:t>标段</w:t>
            </w:r>
          </w:p>
        </w:tc>
        <w:tc>
          <w:tcPr>
            <w:tcW w:w="2040"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jc w:val="left"/>
              <w:textAlignment w:val="auto"/>
              <w:outlineLvl w:val="9"/>
              <w:rPr>
                <w:rFonts w:hint="eastAsia" w:ascii="楷体_GB2312" w:hAnsi="楷体_GB2312" w:eastAsia="楷体_GB2312" w:cs="楷体_GB2312"/>
                <w:color w:val="auto"/>
                <w:sz w:val="24"/>
                <w:lang w:val="zh-CN"/>
              </w:rPr>
            </w:pPr>
            <w:r>
              <w:rPr>
                <w:rFonts w:hint="eastAsia" w:ascii="楷体_GB2312" w:hAnsi="楷体_GB2312" w:eastAsia="楷体_GB2312" w:cs="楷体_GB2312"/>
                <w:color w:val="auto"/>
                <w:sz w:val="24"/>
                <w:lang w:val="zh-CN"/>
              </w:rPr>
              <w:t>项目名称</w:t>
            </w:r>
          </w:p>
        </w:tc>
        <w:tc>
          <w:tcPr>
            <w:tcW w:w="3135"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jc w:val="left"/>
              <w:textAlignment w:val="auto"/>
              <w:outlineLvl w:val="9"/>
              <w:rPr>
                <w:rFonts w:hint="eastAsia" w:ascii="楷体_GB2312" w:hAnsi="楷体_GB2312" w:eastAsia="楷体_GB2312" w:cs="楷体_GB2312"/>
                <w:color w:val="auto"/>
                <w:sz w:val="24"/>
                <w:lang w:val="zh-CN"/>
              </w:rPr>
            </w:pPr>
            <w:r>
              <w:rPr>
                <w:rFonts w:hint="eastAsia" w:ascii="楷体_GB2312" w:hAnsi="楷体_GB2312" w:eastAsia="楷体_GB2312" w:cs="楷体_GB2312"/>
                <w:color w:val="auto"/>
                <w:sz w:val="24"/>
                <w:lang w:val="zh-CN"/>
              </w:rPr>
              <w:t>投标报价</w:t>
            </w:r>
          </w:p>
        </w:tc>
        <w:tc>
          <w:tcPr>
            <w:tcW w:w="930"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jc w:val="left"/>
              <w:textAlignment w:val="auto"/>
              <w:outlineLvl w:val="9"/>
              <w:rPr>
                <w:rFonts w:hint="eastAsia" w:ascii="楷体_GB2312" w:hAnsi="楷体_GB2312" w:eastAsia="楷体_GB2312" w:cs="楷体_GB2312"/>
                <w:color w:val="auto"/>
                <w:sz w:val="24"/>
                <w:lang w:val="zh-CN"/>
              </w:rPr>
            </w:pPr>
            <w:r>
              <w:rPr>
                <w:rFonts w:hint="eastAsia" w:ascii="楷体_GB2312" w:hAnsi="楷体_GB2312" w:eastAsia="楷体_GB2312" w:cs="楷体_GB2312"/>
                <w:color w:val="auto"/>
                <w:sz w:val="24"/>
                <w:lang w:val="zh-CN"/>
              </w:rPr>
              <w:t>工期</w:t>
            </w:r>
          </w:p>
        </w:tc>
        <w:tc>
          <w:tcPr>
            <w:tcW w:w="2154"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jc w:val="left"/>
              <w:textAlignment w:val="auto"/>
              <w:outlineLvl w:val="9"/>
              <w:rPr>
                <w:rFonts w:hint="eastAsia" w:ascii="楷体_GB2312" w:hAnsi="楷体_GB2312" w:eastAsia="楷体_GB2312" w:cs="楷体_GB2312"/>
                <w:color w:val="auto"/>
                <w:sz w:val="24"/>
                <w:lang w:val="zh-CN"/>
              </w:rPr>
            </w:pPr>
            <w:r>
              <w:rPr>
                <w:rFonts w:hint="eastAsia" w:ascii="楷体_GB2312" w:hAnsi="楷体_GB2312" w:eastAsia="楷体_GB2312" w:cs="楷体_GB2312"/>
                <w:color w:val="auto"/>
                <w:sz w:val="24"/>
                <w:lang w:val="zh-CN"/>
              </w:rPr>
              <w:t>备注</w:t>
            </w:r>
          </w:p>
        </w:tc>
      </w:tr>
      <w:tr>
        <w:tblPrEx>
          <w:tblBorders>
            <w:top w:val="single" w:color="auto" w:sz="18" w:space="0"/>
            <w:left w:val="single" w:color="auto" w:sz="18" w:space="0"/>
            <w:bottom w:val="single" w:color="auto" w:sz="18" w:space="0"/>
            <w:right w:val="single" w:color="auto" w:sz="18" w:space="0"/>
            <w:insideH w:val="single" w:color="auto" w:sz="4" w:space="0"/>
            <w:insideV w:val="single" w:color="auto" w:sz="4" w:space="0"/>
          </w:tblBorders>
          <w:tblLayout w:type="fixed"/>
          <w:tblCellMar>
            <w:top w:w="0" w:type="dxa"/>
            <w:left w:w="108" w:type="dxa"/>
            <w:bottom w:w="0" w:type="dxa"/>
            <w:right w:w="108" w:type="dxa"/>
          </w:tblCellMar>
        </w:tblPrEx>
        <w:trPr>
          <w:trHeight w:val="463" w:hRule="atLeast"/>
        </w:trPr>
        <w:tc>
          <w:tcPr>
            <w:tcW w:w="1206"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jc w:val="left"/>
              <w:textAlignment w:val="auto"/>
              <w:outlineLvl w:val="9"/>
              <w:rPr>
                <w:rFonts w:hint="eastAsia" w:ascii="楷体_GB2312" w:hAnsi="楷体_GB2312" w:eastAsia="楷体_GB2312" w:cs="楷体_GB2312"/>
                <w:color w:val="auto"/>
                <w:sz w:val="24"/>
                <w:lang w:eastAsia="zh-CN"/>
              </w:rPr>
            </w:pPr>
            <w:r>
              <w:rPr>
                <w:rFonts w:hint="eastAsia" w:ascii="楷体_GB2312" w:hAnsi="楷体_GB2312" w:eastAsia="楷体_GB2312" w:cs="楷体_GB2312"/>
                <w:color w:val="auto"/>
                <w:sz w:val="24"/>
                <w:lang w:eastAsia="zh-CN"/>
              </w:rPr>
              <w:t>第一标段</w:t>
            </w:r>
          </w:p>
        </w:tc>
        <w:tc>
          <w:tcPr>
            <w:tcW w:w="2040"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jc w:val="left"/>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lang w:eastAsia="zh-CN"/>
              </w:rPr>
              <w:t>许昌市地下管线综合规划单位</w:t>
            </w:r>
          </w:p>
        </w:tc>
        <w:tc>
          <w:tcPr>
            <w:tcW w:w="3135"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jc w:val="left"/>
              <w:textAlignment w:val="auto"/>
              <w:outlineLvl w:val="9"/>
              <w:rPr>
                <w:rFonts w:hint="eastAsia" w:ascii="楷体_GB2312" w:hAnsi="楷体_GB2312" w:eastAsia="楷体_GB2312" w:cs="楷体_GB2312"/>
                <w:color w:val="auto"/>
                <w:sz w:val="24"/>
                <w:lang w:val="zh-CN"/>
              </w:rPr>
            </w:pPr>
            <w:r>
              <w:rPr>
                <w:rFonts w:hint="eastAsia" w:ascii="楷体_GB2312" w:hAnsi="楷体_GB2312" w:eastAsia="楷体_GB2312" w:cs="楷体_GB2312"/>
                <w:color w:val="auto"/>
                <w:sz w:val="24"/>
                <w:lang w:val="zh-CN"/>
              </w:rPr>
              <w:t>大写：贰佰</w:t>
            </w:r>
            <w:r>
              <w:rPr>
                <w:rFonts w:hint="eastAsia" w:ascii="楷体_GB2312" w:hAnsi="楷体_GB2312" w:eastAsia="楷体_GB2312" w:cs="楷体_GB2312"/>
                <w:color w:val="auto"/>
                <w:sz w:val="24"/>
                <w:lang w:val="zh-CN" w:eastAsia="zh-CN"/>
              </w:rPr>
              <w:t>肆</w:t>
            </w:r>
            <w:r>
              <w:rPr>
                <w:rFonts w:hint="eastAsia" w:ascii="楷体_GB2312" w:hAnsi="楷体_GB2312" w:eastAsia="楷体_GB2312" w:cs="楷体_GB2312"/>
                <w:color w:val="auto"/>
                <w:sz w:val="24"/>
                <w:lang w:val="zh-CN"/>
              </w:rPr>
              <w:t>拾万元整　</w:t>
            </w:r>
          </w:p>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jc w:val="left"/>
              <w:textAlignment w:val="auto"/>
              <w:outlineLvl w:val="9"/>
              <w:rPr>
                <w:rFonts w:hint="eastAsia" w:ascii="楷体_GB2312" w:hAnsi="楷体_GB2312" w:eastAsia="楷体_GB2312" w:cs="楷体_GB2312"/>
                <w:color w:val="auto"/>
                <w:sz w:val="24"/>
                <w:lang w:val="zh-CN"/>
              </w:rPr>
            </w:pPr>
            <w:r>
              <w:rPr>
                <w:rFonts w:hint="eastAsia" w:ascii="楷体_GB2312" w:hAnsi="楷体_GB2312" w:eastAsia="楷体_GB2312" w:cs="楷体_GB2312"/>
                <w:color w:val="auto"/>
                <w:sz w:val="24"/>
                <w:lang w:val="zh-CN"/>
              </w:rPr>
              <w:t>小写：</w:t>
            </w:r>
            <w:r>
              <w:rPr>
                <w:rFonts w:hint="eastAsia" w:ascii="楷体_GB2312" w:hAnsi="楷体_GB2312" w:eastAsia="楷体_GB2312" w:cs="楷体_GB2312"/>
                <w:color w:val="auto"/>
                <w:sz w:val="24"/>
                <w:lang w:val="en-US" w:eastAsia="zh-CN"/>
              </w:rPr>
              <w:t>2400000.00</w:t>
            </w:r>
          </w:p>
        </w:tc>
        <w:tc>
          <w:tcPr>
            <w:tcW w:w="930"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jc w:val="left"/>
              <w:textAlignment w:val="auto"/>
              <w:outlineLvl w:val="9"/>
              <w:rPr>
                <w:rFonts w:hint="eastAsia" w:ascii="楷体_GB2312" w:hAnsi="楷体_GB2312" w:eastAsia="楷体_GB2312" w:cs="楷体_GB2312"/>
                <w:color w:val="auto"/>
                <w:sz w:val="24"/>
                <w:lang w:val="en-US" w:eastAsia="zh-CN"/>
              </w:rPr>
            </w:pPr>
            <w:r>
              <w:rPr>
                <w:rFonts w:hint="eastAsia" w:ascii="楷体_GB2312" w:hAnsi="楷体_GB2312" w:eastAsia="楷体_GB2312" w:cs="楷体_GB2312"/>
                <w:color w:val="auto"/>
                <w:sz w:val="24"/>
                <w:lang w:val="en-US" w:eastAsia="zh-CN"/>
              </w:rPr>
              <w:t>120天</w:t>
            </w:r>
          </w:p>
        </w:tc>
        <w:tc>
          <w:tcPr>
            <w:tcW w:w="2154"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jc w:val="left"/>
              <w:textAlignment w:val="auto"/>
              <w:outlineLvl w:val="9"/>
              <w:rPr>
                <w:rFonts w:hint="eastAsia" w:ascii="楷体_GB2312" w:hAnsi="楷体_GB2312" w:eastAsia="楷体_GB2312" w:cs="楷体_GB2312"/>
                <w:color w:val="auto"/>
                <w:sz w:val="24"/>
                <w:lang w:val="zh-CN"/>
              </w:rPr>
            </w:pPr>
            <w:r>
              <w:rPr>
                <w:rFonts w:hint="eastAsia" w:ascii="楷体_GB2312" w:hAnsi="楷体_GB2312" w:eastAsia="楷体_GB2312" w:cs="楷体_GB2312"/>
                <w:color w:val="auto"/>
                <w:sz w:val="24"/>
                <w:lang w:val="zh-CN"/>
              </w:rPr>
              <w:t>工期可根据业主要求做调整；</w:t>
            </w:r>
          </w:p>
        </w:tc>
      </w:tr>
      <w:tr>
        <w:tblPrEx>
          <w:tblBorders>
            <w:top w:val="single" w:color="auto" w:sz="18" w:space="0"/>
            <w:left w:val="single" w:color="auto" w:sz="18" w:space="0"/>
            <w:bottom w:val="single" w:color="auto" w:sz="18" w:space="0"/>
            <w:right w:val="single" w:color="auto" w:sz="18" w:space="0"/>
            <w:insideH w:val="single" w:color="auto" w:sz="4" w:space="0"/>
            <w:insideV w:val="single" w:color="auto" w:sz="4" w:space="0"/>
          </w:tblBorders>
          <w:tblLayout w:type="fixed"/>
          <w:tblCellMar>
            <w:top w:w="0" w:type="dxa"/>
            <w:left w:w="108" w:type="dxa"/>
            <w:bottom w:w="0" w:type="dxa"/>
            <w:right w:w="108" w:type="dxa"/>
          </w:tblCellMar>
        </w:tblPrEx>
        <w:trPr>
          <w:trHeight w:val="463" w:hRule="atLeast"/>
        </w:trPr>
        <w:tc>
          <w:tcPr>
            <w:tcW w:w="1206"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firstLine="240"/>
              <w:jc w:val="left"/>
              <w:textAlignment w:val="auto"/>
              <w:outlineLvl w:val="9"/>
              <w:rPr>
                <w:rFonts w:hint="eastAsia" w:ascii="楷体_GB2312" w:hAnsi="楷体_GB2312" w:eastAsia="楷体_GB2312" w:cs="楷体_GB2312"/>
                <w:color w:val="auto"/>
                <w:sz w:val="24"/>
              </w:rPr>
            </w:pPr>
          </w:p>
        </w:tc>
        <w:tc>
          <w:tcPr>
            <w:tcW w:w="2040"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firstLine="240"/>
              <w:jc w:val="left"/>
              <w:textAlignment w:val="auto"/>
              <w:outlineLvl w:val="9"/>
              <w:rPr>
                <w:rFonts w:hint="eastAsia" w:ascii="楷体_GB2312" w:hAnsi="楷体_GB2312" w:eastAsia="楷体_GB2312" w:cs="楷体_GB2312"/>
                <w:color w:val="auto"/>
                <w:sz w:val="24"/>
              </w:rPr>
            </w:pPr>
          </w:p>
        </w:tc>
        <w:tc>
          <w:tcPr>
            <w:tcW w:w="3135"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jc w:val="left"/>
              <w:textAlignment w:val="auto"/>
              <w:outlineLvl w:val="9"/>
              <w:rPr>
                <w:rFonts w:hint="eastAsia" w:ascii="楷体_GB2312" w:hAnsi="楷体_GB2312" w:eastAsia="楷体_GB2312" w:cs="楷体_GB2312"/>
                <w:color w:val="auto"/>
                <w:sz w:val="24"/>
                <w:lang w:val="zh-CN"/>
              </w:rPr>
            </w:pPr>
            <w:r>
              <w:rPr>
                <w:rFonts w:hint="eastAsia" w:ascii="楷体_GB2312" w:hAnsi="楷体_GB2312" w:eastAsia="楷体_GB2312" w:cs="楷体_GB2312"/>
                <w:color w:val="auto"/>
                <w:sz w:val="24"/>
                <w:lang w:val="zh-CN"/>
              </w:rPr>
              <w:t>大写：贰佰</w:t>
            </w:r>
            <w:r>
              <w:rPr>
                <w:rFonts w:hint="eastAsia" w:ascii="楷体_GB2312" w:hAnsi="楷体_GB2312" w:eastAsia="楷体_GB2312" w:cs="楷体_GB2312"/>
                <w:color w:val="auto"/>
                <w:sz w:val="24"/>
                <w:lang w:val="zh-CN" w:eastAsia="zh-CN"/>
              </w:rPr>
              <w:t>肆</w:t>
            </w:r>
            <w:r>
              <w:rPr>
                <w:rFonts w:hint="eastAsia" w:ascii="楷体_GB2312" w:hAnsi="楷体_GB2312" w:eastAsia="楷体_GB2312" w:cs="楷体_GB2312"/>
                <w:color w:val="auto"/>
                <w:sz w:val="24"/>
                <w:lang w:val="zh-CN"/>
              </w:rPr>
              <w:t>拾万元整　</w:t>
            </w:r>
          </w:p>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jc w:val="left"/>
              <w:textAlignment w:val="auto"/>
              <w:outlineLvl w:val="9"/>
              <w:rPr>
                <w:rFonts w:hint="eastAsia" w:ascii="楷体_GB2312" w:hAnsi="楷体_GB2312" w:eastAsia="楷体_GB2312" w:cs="楷体_GB2312"/>
                <w:color w:val="auto"/>
                <w:sz w:val="24"/>
                <w:lang w:val="zh-CN"/>
              </w:rPr>
            </w:pPr>
            <w:r>
              <w:rPr>
                <w:rFonts w:hint="eastAsia" w:ascii="楷体_GB2312" w:hAnsi="楷体_GB2312" w:eastAsia="楷体_GB2312" w:cs="楷体_GB2312"/>
                <w:color w:val="auto"/>
                <w:sz w:val="24"/>
                <w:lang w:val="zh-CN"/>
              </w:rPr>
              <w:t>小写：</w:t>
            </w:r>
            <w:r>
              <w:rPr>
                <w:rFonts w:hint="eastAsia" w:ascii="楷体_GB2312" w:hAnsi="楷体_GB2312" w:eastAsia="楷体_GB2312" w:cs="楷体_GB2312"/>
                <w:color w:val="auto"/>
                <w:sz w:val="24"/>
                <w:lang w:val="en-US" w:eastAsia="zh-CN"/>
              </w:rPr>
              <w:t>2400000.00</w:t>
            </w:r>
          </w:p>
        </w:tc>
        <w:tc>
          <w:tcPr>
            <w:tcW w:w="930"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firstLine="240"/>
              <w:jc w:val="left"/>
              <w:textAlignment w:val="auto"/>
              <w:outlineLvl w:val="9"/>
              <w:rPr>
                <w:rFonts w:hint="eastAsia" w:ascii="楷体_GB2312" w:hAnsi="楷体_GB2312" w:eastAsia="楷体_GB2312" w:cs="楷体_GB2312"/>
                <w:color w:val="auto"/>
                <w:sz w:val="24"/>
                <w:lang w:val="zh-CN"/>
              </w:rPr>
            </w:pPr>
          </w:p>
        </w:tc>
        <w:tc>
          <w:tcPr>
            <w:tcW w:w="2154"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480" w:lineRule="exact"/>
              <w:ind w:left="0" w:leftChars="0" w:right="0" w:rightChars="0" w:firstLine="240"/>
              <w:jc w:val="left"/>
              <w:textAlignment w:val="auto"/>
              <w:outlineLvl w:val="9"/>
              <w:rPr>
                <w:rFonts w:hint="eastAsia" w:ascii="楷体_GB2312" w:hAnsi="楷体_GB2312" w:eastAsia="楷体_GB2312" w:cs="楷体_GB2312"/>
                <w:color w:val="auto"/>
                <w:sz w:val="24"/>
                <w:lang w:val="zh-CN"/>
              </w:rPr>
            </w:pPr>
          </w:p>
        </w:tc>
      </w:tr>
    </w:tbl>
    <w:p>
      <w:pPr>
        <w:keepNext w:val="0"/>
        <w:keepLines w:val="0"/>
        <w:pageBreakBefore w:val="0"/>
        <w:widowControl w:val="0"/>
        <w:kinsoku/>
        <w:wordWrap/>
        <w:overflowPunct/>
        <w:topLinePunct w:val="0"/>
        <w:autoSpaceDE w:val="0"/>
        <w:autoSpaceDN w:val="0"/>
        <w:bidi w:val="0"/>
        <w:adjustRightInd w:val="0"/>
        <w:snapToGrid/>
        <w:spacing w:line="480" w:lineRule="auto"/>
        <w:ind w:left="0" w:leftChars="0" w:right="0" w:rightChars="0" w:firstLine="0" w:firstLineChars="0"/>
        <w:jc w:val="both"/>
        <w:textAlignment w:val="auto"/>
        <w:outlineLvl w:val="9"/>
        <w:rPr>
          <w:rFonts w:hint="eastAsia" w:ascii="楷体_GB2312" w:hAnsi="楷体_GB2312" w:eastAsia="楷体_GB2312" w:cs="楷体_GB2312"/>
          <w:color w:val="auto"/>
          <w:sz w:val="24"/>
          <w:lang w:val="zh-CN"/>
        </w:rPr>
      </w:pPr>
    </w:p>
    <w:p>
      <w:pPr>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9"/>
        <w:rPr>
          <w:rFonts w:hint="eastAsia" w:ascii="楷体_GB2312" w:hAnsi="楷体_GB2312" w:eastAsia="楷体_GB2312" w:cs="楷体_GB2312"/>
          <w:color w:val="auto"/>
          <w:sz w:val="24"/>
          <w:lang w:val="zh-CN"/>
        </w:rPr>
      </w:pPr>
    </w:p>
    <w:p>
      <w:pPr>
        <w:keepNext w:val="0"/>
        <w:keepLines w:val="0"/>
        <w:pageBreakBefore w:val="0"/>
        <w:widowControl w:val="0"/>
        <w:kinsoku/>
        <w:wordWrap/>
        <w:overflowPunct/>
        <w:topLinePunct w:val="0"/>
        <w:autoSpaceDE w:val="0"/>
        <w:autoSpaceDN w:val="0"/>
        <w:bidi w:val="0"/>
        <w:adjustRightInd w:val="0"/>
        <w:snapToGrid/>
        <w:spacing w:line="480" w:lineRule="auto"/>
        <w:ind w:left="0" w:leftChars="0" w:right="0" w:rightChars="0" w:firstLine="0" w:firstLineChars="0"/>
        <w:jc w:val="both"/>
        <w:textAlignment w:val="auto"/>
        <w:outlineLvl w:val="9"/>
        <w:rPr>
          <w:rFonts w:hint="eastAsia" w:ascii="楷体_GB2312" w:hAnsi="楷体_GB2312" w:eastAsia="楷体_GB2312" w:cs="楷体_GB2312"/>
          <w:color w:val="auto"/>
          <w:sz w:val="24"/>
          <w:u w:val="single"/>
          <w:lang w:val="zh-CN"/>
        </w:rPr>
      </w:pPr>
      <w:r>
        <w:rPr>
          <w:rFonts w:hint="eastAsia" w:ascii="楷体_GB2312" w:hAnsi="楷体_GB2312" w:eastAsia="楷体_GB2312" w:cs="楷体_GB2312"/>
          <w:color w:val="auto"/>
          <w:sz w:val="24"/>
          <w:lang w:val="zh-CN"/>
        </w:rPr>
        <w:t>投标人（公章）：</w:t>
      </w:r>
      <w:r>
        <w:rPr>
          <w:rFonts w:hint="eastAsia" w:ascii="楷体_GB2312" w:hAnsi="楷体_GB2312" w:eastAsia="楷体_GB2312" w:cs="楷体_GB2312"/>
          <w:color w:val="auto"/>
          <w:sz w:val="24"/>
          <w:u w:val="single"/>
          <w:lang w:val="zh-CN"/>
        </w:rPr>
        <w:t>雅克设计有限公司</w:t>
      </w:r>
      <w:r>
        <w:rPr>
          <w:rFonts w:hint="eastAsia" w:ascii="楷体_GB2312" w:hAnsi="楷体_GB2312" w:eastAsia="楷体_GB2312" w:cs="楷体_GB2312"/>
          <w:color w:val="auto"/>
          <w:sz w:val="24"/>
          <w:u w:val="single"/>
          <w:lang w:val="en-US" w:eastAsia="zh-CN"/>
        </w:rPr>
        <w:t xml:space="preserve"> </w:t>
      </w:r>
    </w:p>
    <w:p>
      <w:pPr>
        <w:keepNext w:val="0"/>
        <w:keepLines w:val="0"/>
        <w:pageBreakBefore w:val="0"/>
        <w:widowControl w:val="0"/>
        <w:kinsoku/>
        <w:wordWrap/>
        <w:overflowPunct/>
        <w:topLinePunct w:val="0"/>
        <w:autoSpaceDE w:val="0"/>
        <w:autoSpaceDN w:val="0"/>
        <w:bidi w:val="0"/>
        <w:adjustRightInd w:val="0"/>
        <w:snapToGrid/>
        <w:spacing w:line="480" w:lineRule="auto"/>
        <w:ind w:left="0" w:leftChars="0" w:right="0" w:rightChars="0" w:firstLine="0" w:firstLineChars="0"/>
        <w:jc w:val="both"/>
        <w:textAlignment w:val="auto"/>
        <w:outlineLvl w:val="9"/>
        <w:rPr>
          <w:rFonts w:hint="eastAsia" w:ascii="楷体_GB2312" w:hAnsi="楷体_GB2312" w:eastAsia="楷体_GB2312" w:cs="楷体_GB2312"/>
          <w:color w:val="auto"/>
          <w:sz w:val="24"/>
          <w:u w:val="single"/>
          <w:lang w:val="zh-CN"/>
        </w:rPr>
      </w:pPr>
      <w:r>
        <w:rPr>
          <w:rFonts w:hint="eastAsia" w:ascii="楷体_GB2312" w:hAnsi="楷体_GB2312" w:eastAsia="楷体_GB2312" w:cs="楷体_GB2312"/>
          <w:color w:val="auto"/>
          <w:sz w:val="24"/>
          <w:lang w:val="zh-CN"/>
        </w:rPr>
        <w:t>投标人法定代表人 （或代理人）：</w:t>
      </w:r>
      <w:r>
        <w:rPr>
          <w:rFonts w:hint="eastAsia" w:ascii="楷体_GB2312" w:hAnsi="楷体_GB2312" w:eastAsia="楷体_GB2312" w:cs="楷体_GB2312"/>
          <w:color w:val="auto"/>
          <w:sz w:val="24"/>
          <w:u w:val="single"/>
          <w:lang w:val="en-US" w:eastAsia="zh-CN"/>
        </w:rPr>
        <w:t xml:space="preserve">              （</w:t>
      </w:r>
      <w:r>
        <w:rPr>
          <w:rFonts w:hint="eastAsia" w:ascii="楷体_GB2312" w:hAnsi="楷体_GB2312" w:eastAsia="楷体_GB2312" w:cs="楷体_GB2312"/>
          <w:color w:val="auto"/>
          <w:sz w:val="24"/>
          <w:u w:val="single"/>
          <w:lang w:val="zh-CN"/>
        </w:rPr>
        <w:t>签字）</w:t>
      </w:r>
      <w:r>
        <w:rPr>
          <w:rFonts w:hint="eastAsia" w:ascii="楷体_GB2312" w:hAnsi="楷体_GB2312" w:eastAsia="楷体_GB2312" w:cs="楷体_GB2312"/>
          <w:color w:val="auto"/>
          <w:sz w:val="24"/>
          <w:u w:val="single"/>
          <w:lang w:val="en-US" w:eastAsia="zh-CN"/>
        </w:rPr>
        <w:t xml:space="preserve">                 </w:t>
      </w:r>
      <w:bookmarkStart w:id="304" w:name="_GoBack"/>
      <w:bookmarkEnd w:id="304"/>
      <w:r>
        <w:rPr>
          <w:rFonts w:hint="eastAsia" w:ascii="楷体_GB2312" w:hAnsi="楷体_GB2312" w:eastAsia="楷体_GB2312" w:cs="楷体_GB2312"/>
          <w:color w:val="auto"/>
          <w:sz w:val="24"/>
          <w:u w:val="single"/>
          <w:lang w:val="en-US" w:eastAsia="zh-CN"/>
        </w:rPr>
        <w:t xml:space="preserve">            </w:t>
      </w:r>
    </w:p>
    <w:p>
      <w:pPr>
        <w:keepNext w:val="0"/>
        <w:keepLines w:val="0"/>
        <w:pageBreakBefore w:val="0"/>
        <w:widowControl w:val="0"/>
        <w:kinsoku/>
        <w:wordWrap/>
        <w:overflowPunct/>
        <w:topLinePunct w:val="0"/>
        <w:autoSpaceDE w:val="0"/>
        <w:autoSpaceDN w:val="0"/>
        <w:bidi w:val="0"/>
        <w:adjustRightInd w:val="0"/>
        <w:snapToGrid/>
        <w:spacing w:line="480" w:lineRule="auto"/>
        <w:ind w:left="0" w:leftChars="0" w:right="0" w:rightChars="0" w:firstLine="0" w:firstLineChars="0"/>
        <w:jc w:val="both"/>
        <w:textAlignment w:val="auto"/>
        <w:outlineLvl w:val="9"/>
        <w:rPr>
          <w:rFonts w:hint="eastAsia" w:ascii="楷体_GB2312" w:hAnsi="楷体_GB2312" w:eastAsia="楷体_GB2312" w:cs="楷体_GB2312"/>
          <w:color w:val="auto"/>
          <w:sz w:val="24"/>
          <w:lang w:val="zh-CN"/>
        </w:rPr>
      </w:pPr>
      <w:r>
        <w:rPr>
          <w:rFonts w:hint="eastAsia" w:ascii="楷体_GB2312" w:hAnsi="楷体_GB2312" w:eastAsia="楷体_GB2312" w:cs="楷体_GB2312"/>
          <w:color w:val="auto"/>
          <w:sz w:val="24"/>
          <w:lang w:val="zh-CN"/>
        </w:rPr>
        <w:t>日期：</w:t>
      </w:r>
      <w:r>
        <w:rPr>
          <w:rFonts w:hint="eastAsia" w:ascii="楷体_GB2312" w:hAnsi="楷体_GB2312" w:eastAsia="楷体_GB2312" w:cs="楷体_GB2312"/>
          <w:color w:val="auto"/>
          <w:sz w:val="24"/>
          <w:lang w:val="en-US" w:eastAsia="zh-CN"/>
        </w:rPr>
        <w:t>2017</w:t>
      </w:r>
      <w:r>
        <w:rPr>
          <w:rFonts w:hint="eastAsia" w:ascii="楷体_GB2312" w:hAnsi="楷体_GB2312" w:eastAsia="楷体_GB2312" w:cs="楷体_GB2312"/>
          <w:color w:val="auto"/>
          <w:sz w:val="24"/>
          <w:lang w:val="zh-CN"/>
        </w:rPr>
        <w:t>年</w:t>
      </w:r>
      <w:r>
        <w:rPr>
          <w:rFonts w:hint="eastAsia" w:ascii="楷体_GB2312" w:hAnsi="楷体_GB2312" w:eastAsia="楷体_GB2312" w:cs="楷体_GB2312"/>
          <w:color w:val="auto"/>
          <w:sz w:val="24"/>
          <w:lang w:val="en-US" w:eastAsia="zh-CN"/>
        </w:rPr>
        <w:t>10月10</w:t>
      </w:r>
      <w:r>
        <w:rPr>
          <w:rFonts w:hint="eastAsia" w:ascii="楷体_GB2312" w:hAnsi="楷体_GB2312" w:eastAsia="楷体_GB2312" w:cs="楷体_GB2312"/>
          <w:color w:val="auto"/>
          <w:sz w:val="24"/>
          <w:lang w:val="zh-CN"/>
        </w:rPr>
        <w:t>日</w:t>
      </w:r>
    </w:p>
    <w:p>
      <w:pPr>
        <w:keepNext w:val="0"/>
        <w:keepLines w:val="0"/>
        <w:pageBreakBefore w:val="0"/>
        <w:widowControl w:val="0"/>
        <w:kinsoku/>
        <w:wordWrap/>
        <w:overflowPunct/>
        <w:topLinePunct w:val="0"/>
        <w:autoSpaceDE w:val="0"/>
        <w:autoSpaceDN w:val="0"/>
        <w:bidi w:val="0"/>
        <w:adjustRightInd w:val="0"/>
        <w:snapToGrid/>
        <w:spacing w:line="480" w:lineRule="auto"/>
        <w:ind w:left="0" w:leftChars="0" w:right="0" w:rightChars="0" w:firstLine="0" w:firstLineChars="0"/>
        <w:jc w:val="both"/>
        <w:textAlignment w:val="auto"/>
        <w:outlineLvl w:val="9"/>
        <w:rPr>
          <w:rFonts w:hint="eastAsia" w:ascii="楷体_GB2312" w:hAnsi="楷体_GB2312" w:eastAsia="楷体_GB2312" w:cs="楷体_GB2312"/>
          <w:color w:val="auto"/>
          <w:sz w:val="24"/>
          <w:lang w:val="zh-CN"/>
        </w:rPr>
      </w:pPr>
      <w:r>
        <w:rPr>
          <w:rFonts w:hint="eastAsia" w:ascii="楷体_GB2312" w:hAnsi="楷体_GB2312" w:eastAsia="楷体_GB2312" w:cs="楷体_GB2312"/>
          <w:color w:val="auto"/>
          <w:sz w:val="24"/>
          <w:lang w:val="zh-CN"/>
        </w:rPr>
        <w:t>注：工期指完成该项目的最终时间（日历天）。</w:t>
      </w:r>
    </w:p>
    <w:p>
      <w:pPr>
        <w:autoSpaceDE w:val="0"/>
        <w:autoSpaceDN w:val="0"/>
        <w:adjustRightInd w:val="0"/>
        <w:spacing w:line="360" w:lineRule="auto"/>
        <w:rPr>
          <w:rFonts w:hint="eastAsia" w:ascii="楷体_GB2312" w:hAnsi="楷体_GB2312" w:eastAsia="楷体_GB2312" w:cs="楷体_GB2312"/>
          <w:color w:val="auto"/>
          <w:sz w:val="24"/>
          <w:lang w:val="zh-CN"/>
        </w:rPr>
      </w:pPr>
    </w:p>
    <w:p>
      <w:pPr>
        <w:autoSpaceDE w:val="0"/>
        <w:autoSpaceDN w:val="0"/>
        <w:adjustRightInd w:val="0"/>
        <w:spacing w:line="360" w:lineRule="auto"/>
        <w:rPr>
          <w:rFonts w:hint="eastAsia" w:ascii="楷体_GB2312" w:hAnsi="楷体_GB2312" w:eastAsia="楷体_GB2312" w:cs="楷体_GB2312"/>
          <w:color w:val="auto"/>
          <w:sz w:val="24"/>
          <w:lang w:val="zh-CN"/>
        </w:rPr>
      </w:pPr>
      <w:r>
        <w:rPr>
          <w:rFonts w:hint="eastAsia" w:ascii="楷体_GB2312" w:hAnsi="楷体_GB2312" w:eastAsia="楷体_GB2312" w:cs="楷体_GB2312"/>
          <w:color w:val="auto"/>
          <w:sz w:val="24"/>
          <w:lang w:val="zh-CN"/>
        </w:rPr>
        <w:br w:type="page"/>
      </w:r>
    </w:p>
    <w:p>
      <w:pPr>
        <w:autoSpaceDE w:val="0"/>
        <w:autoSpaceDN w:val="0"/>
        <w:adjustRightInd w:val="0"/>
        <w:spacing w:line="360" w:lineRule="auto"/>
        <w:rPr>
          <w:rFonts w:hint="eastAsia" w:ascii="楷体_GB2312" w:hAnsi="楷体_GB2312" w:eastAsia="楷体_GB2312" w:cs="楷体_GB2312"/>
          <w:color w:val="auto"/>
          <w:sz w:val="24"/>
          <w:lang w:val="zh-CN"/>
        </w:rPr>
      </w:pPr>
    </w:p>
    <w:p>
      <w:pPr>
        <w:keepNext w:val="0"/>
        <w:keepLines w:val="0"/>
        <w:pageBreakBefore w:val="0"/>
        <w:widowControl w:val="0"/>
        <w:numPr>
          <w:ilvl w:val="0"/>
          <w:numId w:val="3"/>
        </w:numPr>
        <w:kinsoku/>
        <w:wordWrap/>
        <w:overflowPunct/>
        <w:topLinePunct w:val="0"/>
        <w:autoSpaceDE w:val="0"/>
        <w:autoSpaceDN w:val="0"/>
        <w:bidi w:val="0"/>
        <w:adjustRightInd w:val="0"/>
        <w:snapToGrid/>
        <w:spacing w:before="0" w:beforeLines="150" w:after="0" w:afterLines="100" w:line="360" w:lineRule="auto"/>
        <w:ind w:left="0" w:leftChars="0" w:right="0" w:rightChars="0" w:firstLine="0" w:firstLineChars="0"/>
        <w:jc w:val="center"/>
        <w:textAlignment w:val="auto"/>
        <w:outlineLvl w:val="0"/>
        <w:rPr>
          <w:rFonts w:hint="eastAsia" w:ascii="楷体_GB2312" w:hAnsi="楷体_GB2312" w:eastAsia="楷体_GB2312" w:cs="楷体_GB2312"/>
          <w:b/>
          <w:bCs/>
          <w:color w:val="auto"/>
          <w:sz w:val="28"/>
          <w:szCs w:val="28"/>
          <w:lang w:val="zh-CN"/>
        </w:rPr>
      </w:pPr>
      <w:bookmarkStart w:id="4" w:name="_Toc1117"/>
      <w:bookmarkStart w:id="5" w:name="_Toc28198"/>
      <w:bookmarkStart w:id="6" w:name="_Toc25211"/>
      <w:bookmarkStart w:id="7" w:name="_Toc7936"/>
      <w:r>
        <w:rPr>
          <w:rFonts w:hint="eastAsia" w:ascii="楷体_GB2312" w:hAnsi="楷体_GB2312" w:eastAsia="楷体_GB2312" w:cs="楷体_GB2312"/>
          <w:b/>
          <w:bCs/>
          <w:color w:val="auto"/>
          <w:sz w:val="30"/>
          <w:szCs w:val="30"/>
          <w:lang w:val="zh-CN"/>
        </w:rPr>
        <w:t>技术方案</w:t>
      </w:r>
      <w:bookmarkEnd w:id="4"/>
      <w:bookmarkEnd w:id="5"/>
      <w:bookmarkEnd w:id="6"/>
      <w:bookmarkEnd w:id="7"/>
      <w:bookmarkStart w:id="8" w:name="_Toc5553"/>
      <w:bookmarkEnd w:id="8"/>
      <w:bookmarkStart w:id="9" w:name="_Toc12185"/>
    </w:p>
    <w:p>
      <w:pPr>
        <w:keepNext w:val="0"/>
        <w:keepLines w:val="0"/>
        <w:pageBreakBefore w:val="0"/>
        <w:widowControl w:val="0"/>
        <w:numPr>
          <w:ilvl w:val="0"/>
          <w:numId w:val="0"/>
        </w:numPr>
        <w:kinsoku/>
        <w:wordWrap/>
        <w:overflowPunct/>
        <w:topLinePunct w:val="0"/>
        <w:autoSpaceDE w:val="0"/>
        <w:autoSpaceDN w:val="0"/>
        <w:bidi w:val="0"/>
        <w:adjustRightInd w:val="0"/>
        <w:snapToGrid/>
        <w:spacing w:before="0" w:beforeLines="150" w:line="360" w:lineRule="auto"/>
        <w:ind w:left="0" w:leftChars="0" w:right="0" w:rightChars="0" w:firstLine="0" w:firstLineChars="0"/>
        <w:jc w:val="center"/>
        <w:textAlignment w:val="auto"/>
        <w:outlineLvl w:val="9"/>
        <w:rPr>
          <w:rFonts w:hint="eastAsia" w:ascii="楷体_GB2312" w:hAnsi="楷体_GB2312" w:eastAsia="楷体_GB2312" w:cs="楷体_GB2312"/>
          <w:b/>
          <w:bCs/>
          <w:color w:val="auto"/>
          <w:sz w:val="30"/>
          <w:szCs w:val="30"/>
          <w:lang w:val="zh-CN"/>
        </w:rPr>
      </w:pPr>
      <w:r>
        <w:rPr>
          <w:rFonts w:hint="eastAsia" w:ascii="楷体_GB2312" w:hAnsi="楷体_GB2312" w:eastAsia="楷体_GB2312" w:cs="楷体_GB2312"/>
          <w:b/>
          <w:bCs/>
          <w:color w:val="auto"/>
          <w:sz w:val="30"/>
          <w:szCs w:val="30"/>
          <w:lang w:val="zh-CN"/>
        </w:rPr>
        <w:t>技术方案目录</w:t>
      </w:r>
    </w:p>
    <w:p>
      <w:pPr>
        <w:pStyle w:val="17"/>
        <w:keepNext w:val="0"/>
        <w:keepLines w:val="0"/>
        <w:pageBreakBefore w:val="0"/>
        <w:widowControl w:val="0"/>
        <w:tabs>
          <w:tab w:val="right" w:leader="dot" w:pos="9242"/>
        </w:tabs>
        <w:kinsoku/>
        <w:wordWrap/>
        <w:overflowPunct/>
        <w:topLinePunct w:val="0"/>
        <w:autoSpaceDE/>
        <w:autoSpaceDN/>
        <w:bidi w:val="0"/>
        <w:adjustRightInd/>
        <w:snapToGrid/>
        <w:ind w:right="0" w:rightChars="0"/>
        <w:textAlignment w:val="auto"/>
        <w:outlineLvl w:val="9"/>
        <w:rPr>
          <w:color w:val="auto"/>
        </w:rPr>
      </w:pPr>
      <w:r>
        <w:rPr>
          <w:rFonts w:hint="eastAsia" w:ascii="楷体_GB2312" w:hAnsi="楷体_GB2312" w:eastAsia="楷体_GB2312" w:cs="楷体_GB2312"/>
          <w:b/>
          <w:bCs/>
          <w:color w:val="auto"/>
          <w:sz w:val="30"/>
          <w:szCs w:val="30"/>
          <w:lang w:val="zh-CN"/>
        </w:rPr>
        <w:fldChar w:fldCharType="begin"/>
      </w:r>
      <w:r>
        <w:rPr>
          <w:rFonts w:hint="eastAsia" w:ascii="楷体_GB2312" w:hAnsi="楷体_GB2312" w:eastAsia="楷体_GB2312" w:cs="楷体_GB2312"/>
          <w:b/>
          <w:bCs/>
          <w:color w:val="auto"/>
          <w:sz w:val="30"/>
          <w:szCs w:val="30"/>
          <w:lang w:val="zh-CN"/>
        </w:rPr>
        <w:instrText xml:space="preserve">TOC \o "1-4" \h \u </w:instrText>
      </w:r>
      <w:r>
        <w:rPr>
          <w:rFonts w:hint="eastAsia" w:ascii="楷体_GB2312" w:hAnsi="楷体_GB2312" w:eastAsia="楷体_GB2312" w:cs="楷体_GB2312"/>
          <w:b/>
          <w:bCs/>
          <w:color w:val="auto"/>
          <w:sz w:val="30"/>
          <w:szCs w:val="30"/>
          <w:lang w:val="zh-CN"/>
        </w:rPr>
        <w:fldChar w:fldCharType="separate"/>
      </w:r>
    </w:p>
    <w:p>
      <w:pPr>
        <w:pStyle w:val="10"/>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4"/>
          <w:szCs w:val="24"/>
        </w:rPr>
      </w:pP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HYPERLINK \l _Toc22530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rPr>
        <w:t>第一章 总 则</w:t>
      </w:r>
      <w:r>
        <w:rPr>
          <w:rFonts w:hint="eastAsia" w:ascii="楷体_GB2312" w:hAnsi="楷体_GB2312" w:eastAsia="楷体_GB2312" w:cs="楷体_GB2312"/>
          <w:b/>
          <w:bCs/>
          <w:color w:val="auto"/>
          <w:sz w:val="24"/>
          <w:szCs w:val="24"/>
        </w:rPr>
        <w:tab/>
      </w:r>
      <w:r>
        <w:rPr>
          <w:rFonts w:hint="eastAsia" w:ascii="楷体_GB2312" w:hAnsi="楷体_GB2312" w:eastAsia="楷体_GB2312" w:cs="楷体_GB2312"/>
          <w:b/>
          <w:bCs/>
          <w:color w:val="auto"/>
          <w:sz w:val="24"/>
          <w:szCs w:val="24"/>
        </w:rPr>
        <w:fldChar w:fldCharType="begin"/>
      </w:r>
      <w:r>
        <w:rPr>
          <w:rFonts w:hint="eastAsia" w:ascii="楷体_GB2312" w:hAnsi="楷体_GB2312" w:eastAsia="楷体_GB2312" w:cs="楷体_GB2312"/>
          <w:b/>
          <w:bCs/>
          <w:color w:val="auto"/>
          <w:sz w:val="24"/>
          <w:szCs w:val="24"/>
        </w:rPr>
        <w:instrText xml:space="preserve"> PAGEREF _Toc22530 </w:instrText>
      </w:r>
      <w:r>
        <w:rPr>
          <w:rFonts w:hint="eastAsia" w:ascii="楷体_GB2312" w:hAnsi="楷体_GB2312" w:eastAsia="楷体_GB2312" w:cs="楷体_GB2312"/>
          <w:b/>
          <w:bCs/>
          <w:color w:val="auto"/>
          <w:sz w:val="24"/>
          <w:szCs w:val="24"/>
        </w:rPr>
        <w:fldChar w:fldCharType="separate"/>
      </w:r>
      <w:r>
        <w:rPr>
          <w:rFonts w:hint="eastAsia" w:ascii="楷体_GB2312" w:hAnsi="楷体_GB2312" w:eastAsia="楷体_GB2312" w:cs="楷体_GB2312"/>
          <w:b/>
          <w:bCs/>
          <w:color w:val="auto"/>
          <w:sz w:val="24"/>
          <w:szCs w:val="24"/>
        </w:rPr>
        <w:t>- 3 -</w:t>
      </w:r>
      <w:r>
        <w:rPr>
          <w:rFonts w:hint="eastAsia" w:ascii="楷体_GB2312" w:hAnsi="楷体_GB2312" w:eastAsia="楷体_GB2312" w:cs="楷体_GB2312"/>
          <w:b/>
          <w:bCs/>
          <w:color w:val="auto"/>
          <w:sz w:val="24"/>
          <w:szCs w:val="24"/>
        </w:rPr>
        <w:fldChar w:fldCharType="end"/>
      </w:r>
      <w:r>
        <w:rPr>
          <w:rFonts w:hint="eastAsia" w:ascii="楷体_GB2312" w:hAnsi="楷体_GB2312" w:eastAsia="楷体_GB2312" w:cs="楷体_GB2312"/>
          <w:b/>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_Toc848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1.1规划背景</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_Toc848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- 3 -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_Toc9764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1.2规划目标</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_Toc9764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- 3 -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_Toc11612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1.3规划范围</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_Toc11612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- 4 -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_Toc28360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1.4规划期限</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_Toc28360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- 4 -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_Toc29366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1.5规划原则</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_Toc29366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- 5 -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_Toc26119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1.6规划依据</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_Toc26119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- 5 -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0"/>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4"/>
          <w:szCs w:val="24"/>
          <w:lang w:val="zh-CN"/>
        </w:rPr>
      </w:pP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HYPERLINK \l _Toc18360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lang w:val="zh-CN"/>
        </w:rPr>
        <w:t>第二章 城市概况</w:t>
      </w:r>
      <w:r>
        <w:rPr>
          <w:rFonts w:hint="eastAsia" w:ascii="楷体_GB2312" w:hAnsi="楷体_GB2312" w:eastAsia="楷体_GB2312" w:cs="楷体_GB2312"/>
          <w:b/>
          <w:bCs/>
          <w:color w:val="auto"/>
          <w:sz w:val="24"/>
          <w:szCs w:val="24"/>
          <w:lang w:val="zh-CN"/>
        </w:rPr>
        <w:tab/>
      </w: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PAGEREF _Toc18360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lang w:val="zh-CN"/>
        </w:rPr>
        <w:t>- 7 -</w:t>
      </w:r>
      <w:r>
        <w:rPr>
          <w:rFonts w:hint="eastAsia" w:ascii="楷体_GB2312" w:hAnsi="楷体_GB2312" w:eastAsia="楷体_GB2312" w:cs="楷体_GB2312"/>
          <w:b/>
          <w:bCs/>
          <w:color w:val="auto"/>
          <w:sz w:val="24"/>
          <w:szCs w:val="24"/>
          <w:lang w:val="zh-CN"/>
        </w:rPr>
        <w:fldChar w:fldCharType="end"/>
      </w:r>
      <w:r>
        <w:rPr>
          <w:rFonts w:hint="eastAsia" w:ascii="楷体_GB2312" w:hAnsi="楷体_GB2312" w:eastAsia="楷体_GB2312" w:cs="楷体_GB2312"/>
          <w:b/>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_Toc1257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2.1自然概况</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_Toc1257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- 7 -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_Toc9976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2.2社会经济</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_Toc9976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- 8 -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0"/>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4"/>
          <w:szCs w:val="24"/>
          <w:lang w:val="zh-CN"/>
        </w:rPr>
      </w:pP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HYPERLINK \l _Toc29338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lang w:val="zh-CN"/>
        </w:rPr>
        <w:t>第三章 现状管线综合评估</w:t>
      </w:r>
      <w:r>
        <w:rPr>
          <w:rFonts w:hint="eastAsia" w:ascii="楷体_GB2312" w:hAnsi="楷体_GB2312" w:eastAsia="楷体_GB2312" w:cs="楷体_GB2312"/>
          <w:b/>
          <w:bCs/>
          <w:color w:val="auto"/>
          <w:sz w:val="24"/>
          <w:szCs w:val="24"/>
          <w:lang w:val="zh-CN"/>
        </w:rPr>
        <w:tab/>
      </w: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PAGEREF _Toc29338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lang w:val="zh-CN"/>
        </w:rPr>
        <w:t>- 10 -</w:t>
      </w:r>
      <w:r>
        <w:rPr>
          <w:rFonts w:hint="eastAsia" w:ascii="楷体_GB2312" w:hAnsi="楷体_GB2312" w:eastAsia="楷体_GB2312" w:cs="楷体_GB2312"/>
          <w:b/>
          <w:bCs/>
          <w:color w:val="auto"/>
          <w:sz w:val="24"/>
          <w:szCs w:val="24"/>
          <w:lang w:val="zh-CN"/>
        </w:rPr>
        <w:fldChar w:fldCharType="end"/>
      </w:r>
      <w:r>
        <w:rPr>
          <w:rFonts w:hint="eastAsia" w:ascii="楷体_GB2312" w:hAnsi="楷体_GB2312" w:eastAsia="楷体_GB2312" w:cs="楷体_GB2312"/>
          <w:b/>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_Toc32307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3.1道路工程</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_Toc32307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- 10 -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_Toc17434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3.2管线工程</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_Toc17434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- 11 -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_Toc23486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3.3管线综合水平现状与评价</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_Toc23486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- 19 -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0"/>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4"/>
          <w:szCs w:val="24"/>
          <w:lang w:val="zh-CN"/>
        </w:rPr>
      </w:pP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HYPERLINK \l _Toc11894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lang w:val="zh-CN" w:eastAsia="zh-CN"/>
        </w:rPr>
        <w:t>第四章</w:t>
      </w:r>
      <w:r>
        <w:rPr>
          <w:rFonts w:hint="eastAsia" w:ascii="楷体_GB2312" w:hAnsi="楷体_GB2312" w:eastAsia="楷体_GB2312" w:cs="楷体_GB2312"/>
          <w:b/>
          <w:bCs/>
          <w:color w:val="auto"/>
          <w:sz w:val="24"/>
          <w:szCs w:val="24"/>
          <w:lang w:val="en-US" w:eastAsia="zh-CN"/>
        </w:rPr>
        <w:t xml:space="preserve"> </w:t>
      </w:r>
      <w:r>
        <w:rPr>
          <w:rFonts w:hint="eastAsia" w:ascii="楷体_GB2312" w:hAnsi="楷体_GB2312" w:eastAsia="楷体_GB2312" w:cs="楷体_GB2312"/>
          <w:b/>
          <w:bCs/>
          <w:color w:val="auto"/>
          <w:sz w:val="24"/>
          <w:szCs w:val="24"/>
          <w:lang w:val="zh-CN"/>
        </w:rPr>
        <w:t>相关规划衔接</w:t>
      </w:r>
      <w:r>
        <w:rPr>
          <w:rFonts w:hint="eastAsia" w:ascii="楷体_GB2312" w:hAnsi="楷体_GB2312" w:eastAsia="楷体_GB2312" w:cs="楷体_GB2312"/>
          <w:b/>
          <w:bCs/>
          <w:color w:val="auto"/>
          <w:sz w:val="24"/>
          <w:szCs w:val="24"/>
          <w:lang w:val="zh-CN"/>
        </w:rPr>
        <w:tab/>
      </w: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PAGEREF _Toc11894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lang w:val="zh-CN"/>
        </w:rPr>
        <w:t>- 22 -</w:t>
      </w:r>
      <w:r>
        <w:rPr>
          <w:rFonts w:hint="eastAsia" w:ascii="楷体_GB2312" w:hAnsi="楷体_GB2312" w:eastAsia="楷体_GB2312" w:cs="楷体_GB2312"/>
          <w:b/>
          <w:bCs/>
          <w:color w:val="auto"/>
          <w:sz w:val="24"/>
          <w:szCs w:val="24"/>
          <w:lang w:val="zh-CN"/>
        </w:rPr>
        <w:fldChar w:fldCharType="end"/>
      </w:r>
      <w:r>
        <w:rPr>
          <w:rFonts w:hint="eastAsia" w:ascii="楷体_GB2312" w:hAnsi="楷体_GB2312" w:eastAsia="楷体_GB2312" w:cs="楷体_GB2312"/>
          <w:b/>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_Toc10325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4.1总体规划</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_Toc10325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- 22 -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_Toc26578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4.2给水工程</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_Toc26578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- 25 -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_Toc22652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4.3污水工程</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_Toc22652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- 28 -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_Toc5584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4.4雨水工程</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_Toc5584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- 31 -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_Toc6606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4.5燃气工程</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_Toc6606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- 33 -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_Toc23572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4.6电力工程</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_Toc23572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- 36 -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_Toc25588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4.7通信工程</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_Toc25588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- 40 -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_Toc29680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4.8热力工程</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_Toc29680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- 43 -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_Toc21013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4.9道路工程</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_Toc21013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- 46 -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_Toc16008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
          <w:bCs/>
          <w:color w:val="auto"/>
          <w:sz w:val="24"/>
          <w:szCs w:val="24"/>
          <w:u w:val="none"/>
        </w:rPr>
        <w:t>4.10 相关规划评析</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_Toc16008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- 54 -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0"/>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4"/>
          <w:szCs w:val="24"/>
          <w:lang w:val="zh-CN"/>
        </w:rPr>
      </w:pP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HYPERLINK \l _Toc4348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lang w:val="zh-CN" w:eastAsia="zh-CN"/>
        </w:rPr>
        <w:t>第五章 管线综合规划</w:t>
      </w:r>
      <w:r>
        <w:rPr>
          <w:rFonts w:hint="eastAsia" w:ascii="楷体_GB2312" w:hAnsi="楷体_GB2312" w:eastAsia="楷体_GB2312" w:cs="楷体_GB2312"/>
          <w:b/>
          <w:bCs/>
          <w:color w:val="auto"/>
          <w:sz w:val="24"/>
          <w:szCs w:val="24"/>
          <w:lang w:val="zh-CN"/>
        </w:rPr>
        <w:tab/>
      </w: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PAGEREF _Toc4348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lang w:val="zh-CN"/>
        </w:rPr>
        <w:t>- 57 -</w:t>
      </w:r>
      <w:r>
        <w:rPr>
          <w:rFonts w:hint="eastAsia" w:ascii="楷体_GB2312" w:hAnsi="楷体_GB2312" w:eastAsia="楷体_GB2312" w:cs="楷体_GB2312"/>
          <w:b/>
          <w:bCs/>
          <w:color w:val="auto"/>
          <w:sz w:val="24"/>
          <w:szCs w:val="24"/>
          <w:lang w:val="zh-CN"/>
        </w:rPr>
        <w:fldChar w:fldCharType="end"/>
      </w:r>
      <w:r>
        <w:rPr>
          <w:rFonts w:hint="eastAsia" w:ascii="楷体_GB2312" w:hAnsi="楷体_GB2312" w:eastAsia="楷体_GB2312" w:cs="楷体_GB2312"/>
          <w:b/>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_Toc3301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5.1技术术语</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_Toc3301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- 57 -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_Toc20302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5.2敷设方式</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_Toc20302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- 57 -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_Toc30161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5.3平面布局规划</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_Toc30161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- 58 -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_Toc18561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5.4管线竖向规划</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_Toc18561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- 78 -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0"/>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4"/>
          <w:szCs w:val="24"/>
          <w:lang w:val="zh-CN"/>
        </w:rPr>
      </w:pP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HYPERLINK \l _Toc3960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lang w:val="zh-CN" w:eastAsia="zh-CN"/>
        </w:rPr>
        <w:t>第六章 综合管廊规划</w:t>
      </w:r>
      <w:r>
        <w:rPr>
          <w:rFonts w:hint="eastAsia" w:ascii="楷体_GB2312" w:hAnsi="楷体_GB2312" w:eastAsia="楷体_GB2312" w:cs="楷体_GB2312"/>
          <w:b/>
          <w:bCs/>
          <w:color w:val="auto"/>
          <w:sz w:val="24"/>
          <w:szCs w:val="24"/>
          <w:lang w:val="zh-CN"/>
        </w:rPr>
        <w:tab/>
      </w: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PAGEREF _Toc3960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lang w:val="zh-CN"/>
        </w:rPr>
        <w:t>- 80 -</w:t>
      </w:r>
      <w:r>
        <w:rPr>
          <w:rFonts w:hint="eastAsia" w:ascii="楷体_GB2312" w:hAnsi="楷体_GB2312" w:eastAsia="楷体_GB2312" w:cs="楷体_GB2312"/>
          <w:b/>
          <w:bCs/>
          <w:color w:val="auto"/>
          <w:sz w:val="24"/>
          <w:szCs w:val="24"/>
          <w:lang w:val="zh-CN"/>
        </w:rPr>
        <w:fldChar w:fldCharType="end"/>
      </w:r>
      <w:r>
        <w:rPr>
          <w:rFonts w:hint="eastAsia" w:ascii="楷体_GB2312" w:hAnsi="楷体_GB2312" w:eastAsia="楷体_GB2312" w:cs="楷体_GB2312"/>
          <w:b/>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_Toc2161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6.1综合管廊概况</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_Toc2161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- 80 -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_Toc21275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6.2综合管廊系统规划</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_Toc21275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- 86 -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_Toc13516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6.3管线入廊规划及断面选型</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_Toc13516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- 96 -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_Toc25438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6.4重要节点控制</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_Toc25438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- 110 -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_Toc21161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6.5分期建设和投资匡算</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_Toc21161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- 113 -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0"/>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4"/>
          <w:szCs w:val="24"/>
          <w:lang w:val="zh-CN"/>
        </w:rPr>
      </w:pP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HYPERLINK \l _Toc29171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lang w:val="zh-CN" w:eastAsia="zh-CN"/>
        </w:rPr>
        <w:t>第七章 重点地区及重要节点管线综合</w:t>
      </w:r>
      <w:r>
        <w:rPr>
          <w:rFonts w:hint="eastAsia" w:ascii="楷体_GB2312" w:hAnsi="楷体_GB2312" w:eastAsia="楷体_GB2312" w:cs="楷体_GB2312"/>
          <w:b/>
          <w:bCs/>
          <w:color w:val="auto"/>
          <w:sz w:val="24"/>
          <w:szCs w:val="24"/>
          <w:lang w:val="zh-CN"/>
        </w:rPr>
        <w:tab/>
      </w: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PAGEREF _Toc29171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lang w:val="zh-CN"/>
        </w:rPr>
        <w:t>- 115 -</w:t>
      </w:r>
      <w:r>
        <w:rPr>
          <w:rFonts w:hint="eastAsia" w:ascii="楷体_GB2312" w:hAnsi="楷体_GB2312" w:eastAsia="楷体_GB2312" w:cs="楷体_GB2312"/>
          <w:b/>
          <w:bCs/>
          <w:color w:val="auto"/>
          <w:sz w:val="24"/>
          <w:szCs w:val="24"/>
          <w:lang w:val="zh-CN"/>
        </w:rPr>
        <w:fldChar w:fldCharType="end"/>
      </w:r>
      <w:r>
        <w:rPr>
          <w:rFonts w:hint="eastAsia" w:ascii="楷体_GB2312" w:hAnsi="楷体_GB2312" w:eastAsia="楷体_GB2312" w:cs="楷体_GB2312"/>
          <w:b/>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_Toc29188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7.1敏感区域划分</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_Toc29188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- 116 -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_Toc10162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7.2敏感区域管线综合规划</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_Toc10162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- 117 -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_Toc13818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7.3重要节点管线规划</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_Toc13818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- 117 -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0"/>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4"/>
          <w:szCs w:val="24"/>
          <w:lang w:val="zh-CN"/>
        </w:rPr>
      </w:pP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HYPERLINK \l _Toc19036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lang w:val="zh-CN" w:eastAsia="zh-CN"/>
        </w:rPr>
        <w:t>第八章 城市重大管线设施综合</w:t>
      </w:r>
      <w:r>
        <w:rPr>
          <w:rFonts w:hint="eastAsia" w:ascii="楷体_GB2312" w:hAnsi="楷体_GB2312" w:eastAsia="楷体_GB2312" w:cs="楷体_GB2312"/>
          <w:b/>
          <w:bCs/>
          <w:color w:val="auto"/>
          <w:sz w:val="24"/>
          <w:szCs w:val="24"/>
          <w:lang w:val="zh-CN"/>
        </w:rPr>
        <w:tab/>
      </w: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PAGEREF _Toc19036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lang w:val="zh-CN"/>
        </w:rPr>
        <w:t>- 119 -</w:t>
      </w:r>
      <w:r>
        <w:rPr>
          <w:rFonts w:hint="eastAsia" w:ascii="楷体_GB2312" w:hAnsi="楷体_GB2312" w:eastAsia="楷体_GB2312" w:cs="楷体_GB2312"/>
          <w:b/>
          <w:bCs/>
          <w:color w:val="auto"/>
          <w:sz w:val="24"/>
          <w:szCs w:val="24"/>
          <w:lang w:val="zh-CN"/>
        </w:rPr>
        <w:fldChar w:fldCharType="end"/>
      </w:r>
      <w:r>
        <w:rPr>
          <w:rFonts w:hint="eastAsia" w:ascii="楷体_GB2312" w:hAnsi="楷体_GB2312" w:eastAsia="楷体_GB2312" w:cs="楷体_GB2312"/>
          <w:b/>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_Toc10228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8.1重大管线设施界定</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_Toc10228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- 119 -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_Toc30114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8.2重大管线附属设施布局</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_Toc30114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- 119 -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6"/>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Cs/>
          <w:color w:val="auto"/>
          <w:sz w:val="24"/>
          <w:szCs w:val="24"/>
          <w:lang w:val="zh-CN"/>
        </w:rPr>
        <w:fldChar w:fldCharType="begin"/>
      </w:r>
      <w:r>
        <w:rPr>
          <w:rFonts w:hint="eastAsia" w:ascii="楷体_GB2312" w:hAnsi="楷体_GB2312" w:eastAsia="楷体_GB2312" w:cs="楷体_GB2312"/>
          <w:bCs/>
          <w:color w:val="auto"/>
          <w:sz w:val="24"/>
          <w:szCs w:val="24"/>
          <w:lang w:val="zh-CN"/>
        </w:rPr>
        <w:instrText xml:space="preserve"> HYPERLINK \l _Toc29991 </w:instrText>
      </w:r>
      <w:r>
        <w:rPr>
          <w:rFonts w:hint="eastAsia" w:ascii="楷体_GB2312" w:hAnsi="楷体_GB2312" w:eastAsia="楷体_GB2312" w:cs="楷体_GB2312"/>
          <w:bCs/>
          <w:color w:val="auto"/>
          <w:sz w:val="24"/>
          <w:szCs w:val="24"/>
          <w:lang w:val="zh-CN"/>
        </w:rPr>
        <w:fldChar w:fldCharType="separate"/>
      </w:r>
      <w:r>
        <w:rPr>
          <w:rFonts w:hint="eastAsia" w:ascii="楷体_GB2312" w:hAnsi="楷体_GB2312" w:eastAsia="楷体_GB2312" w:cs="楷体_GB2312"/>
          <w:bCs w:val="0"/>
          <w:color w:val="auto"/>
          <w:sz w:val="24"/>
          <w:szCs w:val="24"/>
        </w:rPr>
        <w:t>8.3重大管线附属设施防护要求</w:t>
      </w:r>
      <w:r>
        <w:rPr>
          <w:rFonts w:hint="eastAsia" w:ascii="楷体_GB2312" w:hAnsi="楷体_GB2312" w:eastAsia="楷体_GB2312" w:cs="楷体_GB2312"/>
          <w:color w:val="auto"/>
          <w:sz w:val="24"/>
          <w:szCs w:val="24"/>
        </w:rPr>
        <w:tab/>
      </w:r>
      <w:r>
        <w:rPr>
          <w:rFonts w:hint="eastAsia" w:ascii="楷体_GB2312" w:hAnsi="楷体_GB2312" w:eastAsia="楷体_GB2312" w:cs="楷体_GB2312"/>
          <w:color w:val="auto"/>
          <w:sz w:val="24"/>
          <w:szCs w:val="24"/>
        </w:rPr>
        <w:fldChar w:fldCharType="begin"/>
      </w:r>
      <w:r>
        <w:rPr>
          <w:rFonts w:hint="eastAsia" w:ascii="楷体_GB2312" w:hAnsi="楷体_GB2312" w:eastAsia="楷体_GB2312" w:cs="楷体_GB2312"/>
          <w:color w:val="auto"/>
          <w:sz w:val="24"/>
          <w:szCs w:val="24"/>
        </w:rPr>
        <w:instrText xml:space="preserve"> PAGEREF _Toc29991 </w:instrText>
      </w:r>
      <w:r>
        <w:rPr>
          <w:rFonts w:hint="eastAsia" w:ascii="楷体_GB2312" w:hAnsi="楷体_GB2312" w:eastAsia="楷体_GB2312" w:cs="楷体_GB2312"/>
          <w:color w:val="auto"/>
          <w:sz w:val="24"/>
          <w:szCs w:val="24"/>
        </w:rPr>
        <w:fldChar w:fldCharType="separate"/>
      </w:r>
      <w:r>
        <w:rPr>
          <w:rFonts w:hint="eastAsia" w:ascii="楷体_GB2312" w:hAnsi="楷体_GB2312" w:eastAsia="楷体_GB2312" w:cs="楷体_GB2312"/>
          <w:color w:val="auto"/>
          <w:sz w:val="24"/>
          <w:szCs w:val="24"/>
        </w:rPr>
        <w:t>- 120 -</w:t>
      </w:r>
      <w:r>
        <w:rPr>
          <w:rFonts w:hint="eastAsia" w:ascii="楷体_GB2312" w:hAnsi="楷体_GB2312" w:eastAsia="楷体_GB2312" w:cs="楷体_GB2312"/>
          <w:color w:val="auto"/>
          <w:sz w:val="24"/>
          <w:szCs w:val="24"/>
        </w:rPr>
        <w:fldChar w:fldCharType="end"/>
      </w:r>
      <w:r>
        <w:rPr>
          <w:rFonts w:hint="eastAsia" w:ascii="楷体_GB2312" w:hAnsi="楷体_GB2312" w:eastAsia="楷体_GB2312" w:cs="楷体_GB2312"/>
          <w:bCs/>
          <w:color w:val="auto"/>
          <w:sz w:val="24"/>
          <w:szCs w:val="24"/>
          <w:lang w:val="zh-CN"/>
        </w:rPr>
        <w:fldChar w:fldCharType="end"/>
      </w:r>
    </w:p>
    <w:p>
      <w:pPr>
        <w:pStyle w:val="10"/>
        <w:keepNext w:val="0"/>
        <w:keepLines w:val="0"/>
        <w:pageBreakBefore w:val="0"/>
        <w:widowControl w:val="0"/>
        <w:tabs>
          <w:tab w:val="right" w:leader="dot" w:pos="9242"/>
        </w:tabs>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4"/>
          <w:szCs w:val="24"/>
          <w:lang w:val="zh-CN"/>
        </w:rPr>
      </w:pP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HYPERLINK \l _Toc10527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lang w:val="zh-CN" w:eastAsia="zh-CN"/>
        </w:rPr>
        <w:t>第九章 规划实施措施</w:t>
      </w:r>
      <w:r>
        <w:rPr>
          <w:rFonts w:hint="eastAsia" w:ascii="楷体_GB2312" w:hAnsi="楷体_GB2312" w:eastAsia="楷体_GB2312" w:cs="楷体_GB2312"/>
          <w:b/>
          <w:bCs/>
          <w:color w:val="auto"/>
          <w:sz w:val="24"/>
          <w:szCs w:val="24"/>
          <w:lang w:val="zh-CN"/>
        </w:rPr>
        <w:tab/>
      </w:r>
      <w:r>
        <w:rPr>
          <w:rFonts w:hint="eastAsia" w:ascii="楷体_GB2312" w:hAnsi="楷体_GB2312" w:eastAsia="楷体_GB2312" w:cs="楷体_GB2312"/>
          <w:b/>
          <w:bCs/>
          <w:color w:val="auto"/>
          <w:sz w:val="24"/>
          <w:szCs w:val="24"/>
          <w:lang w:val="zh-CN"/>
        </w:rPr>
        <w:fldChar w:fldCharType="begin"/>
      </w:r>
      <w:r>
        <w:rPr>
          <w:rFonts w:hint="eastAsia" w:ascii="楷体_GB2312" w:hAnsi="楷体_GB2312" w:eastAsia="楷体_GB2312" w:cs="楷体_GB2312"/>
          <w:b/>
          <w:bCs/>
          <w:color w:val="auto"/>
          <w:sz w:val="24"/>
          <w:szCs w:val="24"/>
          <w:lang w:val="zh-CN"/>
        </w:rPr>
        <w:instrText xml:space="preserve"> PAGEREF _Toc10527 </w:instrText>
      </w:r>
      <w:r>
        <w:rPr>
          <w:rFonts w:hint="eastAsia" w:ascii="楷体_GB2312" w:hAnsi="楷体_GB2312" w:eastAsia="楷体_GB2312" w:cs="楷体_GB2312"/>
          <w:b/>
          <w:bCs/>
          <w:color w:val="auto"/>
          <w:sz w:val="24"/>
          <w:szCs w:val="24"/>
          <w:lang w:val="zh-CN"/>
        </w:rPr>
        <w:fldChar w:fldCharType="separate"/>
      </w:r>
      <w:r>
        <w:rPr>
          <w:rFonts w:hint="eastAsia" w:ascii="楷体_GB2312" w:hAnsi="楷体_GB2312" w:eastAsia="楷体_GB2312" w:cs="楷体_GB2312"/>
          <w:b/>
          <w:bCs/>
          <w:color w:val="auto"/>
          <w:sz w:val="24"/>
          <w:szCs w:val="24"/>
          <w:lang w:val="zh-CN"/>
        </w:rPr>
        <w:t>- 121 -</w:t>
      </w:r>
      <w:r>
        <w:rPr>
          <w:rFonts w:hint="eastAsia" w:ascii="楷体_GB2312" w:hAnsi="楷体_GB2312" w:eastAsia="楷体_GB2312" w:cs="楷体_GB2312"/>
          <w:b/>
          <w:bCs/>
          <w:color w:val="auto"/>
          <w:sz w:val="24"/>
          <w:szCs w:val="24"/>
          <w:lang w:val="zh-CN"/>
        </w:rPr>
        <w:fldChar w:fldCharType="end"/>
      </w:r>
      <w:r>
        <w:rPr>
          <w:rFonts w:hint="eastAsia" w:ascii="楷体_GB2312" w:hAnsi="楷体_GB2312" w:eastAsia="楷体_GB2312" w:cs="楷体_GB2312"/>
          <w:b/>
          <w:bCs/>
          <w:color w:val="auto"/>
          <w:sz w:val="24"/>
          <w:szCs w:val="24"/>
          <w:lang w:val="zh-CN"/>
        </w:rPr>
        <w:fldChar w:fldCharType="end"/>
      </w:r>
    </w:p>
    <w:p>
      <w:pPr>
        <w:keepNext w:val="0"/>
        <w:keepLines w:val="0"/>
        <w:pageBreakBefore w:val="0"/>
        <w:widowControl w:val="0"/>
        <w:kinsoku/>
        <w:wordWrap/>
        <w:overflowPunct/>
        <w:topLinePunct w:val="0"/>
        <w:autoSpaceDE/>
        <w:autoSpaceDN/>
        <w:bidi w:val="0"/>
        <w:adjustRightInd/>
        <w:snapToGrid/>
        <w:spacing w:line="360" w:lineRule="auto"/>
        <w:ind w:right="0" w:rightChars="0"/>
        <w:jc w:val="center"/>
        <w:textAlignment w:val="auto"/>
        <w:outlineLvl w:val="9"/>
        <w:rPr>
          <w:rFonts w:hint="eastAsia" w:ascii="楷体_GB2312" w:hAnsi="楷体_GB2312" w:eastAsia="楷体_GB2312" w:cs="楷体_GB2312"/>
          <w:color w:val="auto"/>
          <w:sz w:val="36"/>
          <w:szCs w:val="36"/>
        </w:rPr>
      </w:pPr>
      <w:r>
        <w:rPr>
          <w:rFonts w:hint="eastAsia" w:ascii="楷体_GB2312" w:hAnsi="楷体_GB2312" w:eastAsia="楷体_GB2312" w:cs="楷体_GB2312"/>
          <w:bCs/>
          <w:color w:val="auto"/>
          <w:szCs w:val="30"/>
          <w:lang w:val="zh-CN"/>
        </w:rPr>
        <w:fldChar w:fldCharType="end"/>
      </w:r>
    </w:p>
    <w:p>
      <w:pPr>
        <w:pageBreakBefore w:val="0"/>
        <w:widowControl w:val="0"/>
        <w:kinsoku/>
        <w:wordWrap/>
        <w:overflowPunct/>
        <w:topLinePunct w:val="0"/>
        <w:autoSpaceDE/>
        <w:autoSpaceDN/>
        <w:bidi w:val="0"/>
        <w:adjustRightInd/>
        <w:snapToGrid/>
        <w:spacing w:line="360" w:lineRule="auto"/>
        <w:ind w:right="0" w:rightChars="0"/>
        <w:jc w:val="center"/>
        <w:textAlignment w:val="auto"/>
        <w:outlineLvl w:val="9"/>
        <w:rPr>
          <w:rFonts w:hint="eastAsia" w:ascii="楷体_GB2312" w:hAnsi="楷体_GB2312" w:eastAsia="楷体_GB2312" w:cs="楷体_GB2312"/>
          <w:color w:val="auto"/>
          <w:sz w:val="36"/>
          <w:szCs w:val="36"/>
        </w:rPr>
      </w:pPr>
    </w:p>
    <w:p>
      <w:pPr>
        <w:pageBreakBefore w:val="0"/>
        <w:widowControl w:val="0"/>
        <w:kinsoku/>
        <w:wordWrap/>
        <w:overflowPunct/>
        <w:topLinePunct w:val="0"/>
        <w:autoSpaceDE/>
        <w:autoSpaceDN/>
        <w:bidi w:val="0"/>
        <w:adjustRightInd/>
        <w:snapToGrid/>
        <w:spacing w:line="380" w:lineRule="exact"/>
        <w:ind w:right="0" w:rightChars="0"/>
        <w:textAlignment w:val="auto"/>
        <w:outlineLvl w:val="9"/>
        <w:rPr>
          <w:rFonts w:hint="eastAsia" w:ascii="楷体_GB2312" w:hAnsi="楷体_GB2312" w:eastAsia="楷体_GB2312" w:cs="楷体_GB2312"/>
          <w:color w:val="auto"/>
          <w:sz w:val="36"/>
          <w:szCs w:val="36"/>
        </w:rPr>
      </w:pPr>
    </w:p>
    <w:p>
      <w:pPr>
        <w:pageBreakBefore w:val="0"/>
        <w:widowControl w:val="0"/>
        <w:kinsoku/>
        <w:wordWrap/>
        <w:overflowPunct/>
        <w:topLinePunct w:val="0"/>
        <w:autoSpaceDE/>
        <w:autoSpaceDN/>
        <w:bidi w:val="0"/>
        <w:adjustRightInd/>
        <w:snapToGrid/>
        <w:spacing w:line="360" w:lineRule="auto"/>
        <w:ind w:right="0" w:rightChars="0"/>
        <w:textAlignment w:val="auto"/>
        <w:outlineLvl w:val="9"/>
        <w:rPr>
          <w:rFonts w:hint="eastAsia" w:ascii="楷体_GB2312" w:hAnsi="楷体_GB2312" w:eastAsia="楷体_GB2312" w:cs="楷体_GB2312"/>
          <w:color w:val="auto"/>
          <w:sz w:val="44"/>
        </w:rPr>
      </w:pPr>
    </w:p>
    <w:p>
      <w:pPr>
        <w:keepNext/>
        <w:keepLines/>
        <w:pageBreakBefore w:val="0"/>
        <w:widowControl w:val="0"/>
        <w:numPr>
          <w:ilvl w:val="0"/>
          <w:numId w:val="0"/>
        </w:numPr>
        <w:tabs>
          <w:tab w:val="left" w:pos="600"/>
        </w:tabs>
        <w:kinsoku/>
        <w:wordWrap/>
        <w:overflowPunct/>
        <w:topLinePunct w:val="0"/>
        <w:autoSpaceDE/>
        <w:autoSpaceDN/>
        <w:bidi w:val="0"/>
        <w:adjustRightInd/>
        <w:snapToGrid/>
        <w:spacing w:before="340" w:beforeLines="0" w:after="340" w:afterLines="0" w:line="360" w:lineRule="auto"/>
        <w:ind w:left="0" w:leftChars="0" w:right="0" w:rightChars="0" w:firstLine="0" w:firstLineChars="0"/>
        <w:jc w:val="center"/>
        <w:textAlignment w:val="auto"/>
        <w:outlineLvl w:val="9"/>
        <w:rPr>
          <w:rFonts w:hint="eastAsia" w:ascii="楷体_GB2312" w:hAnsi="楷体_GB2312" w:eastAsia="楷体_GB2312" w:cs="楷体_GB2312"/>
          <w:color w:val="auto"/>
          <w:szCs w:val="32"/>
        </w:rPr>
      </w:pPr>
      <w:bookmarkStart w:id="10" w:name="_Toc495586676"/>
      <w:bookmarkStart w:id="11" w:name="_Toc494903100"/>
    </w:p>
    <w:p>
      <w:pPr>
        <w:keepNext/>
        <w:keepLines/>
        <w:pageBreakBefore w:val="0"/>
        <w:widowControl w:val="0"/>
        <w:numPr>
          <w:ilvl w:val="0"/>
          <w:numId w:val="0"/>
        </w:numPr>
        <w:tabs>
          <w:tab w:val="left" w:pos="600"/>
        </w:tabs>
        <w:kinsoku/>
        <w:wordWrap/>
        <w:overflowPunct/>
        <w:topLinePunct w:val="0"/>
        <w:autoSpaceDE/>
        <w:autoSpaceDN/>
        <w:bidi w:val="0"/>
        <w:adjustRightInd/>
        <w:snapToGrid/>
        <w:spacing w:before="340" w:after="340" w:line="360" w:lineRule="auto"/>
        <w:ind w:left="0" w:leftChars="0" w:right="0" w:rightChars="0" w:firstLine="0" w:firstLineChars="0"/>
        <w:jc w:val="center"/>
        <w:textAlignment w:val="auto"/>
        <w:outlineLvl w:val="9"/>
        <w:rPr>
          <w:rFonts w:hint="eastAsia" w:ascii="楷体_GB2312" w:hAnsi="楷体_GB2312" w:eastAsia="楷体_GB2312" w:cs="楷体_GB2312"/>
          <w:color w:val="auto"/>
          <w:szCs w:val="32"/>
        </w:rPr>
      </w:pPr>
      <w:bookmarkStart w:id="12" w:name="_Toc22530"/>
      <w:r>
        <w:rPr>
          <w:rFonts w:hint="eastAsia" w:ascii="楷体_GB2312" w:hAnsi="楷体_GB2312" w:eastAsia="楷体_GB2312" w:cs="楷体_GB2312"/>
          <w:color w:val="auto"/>
          <w:szCs w:val="32"/>
        </w:rPr>
        <w:br w:type="page"/>
      </w:r>
    </w:p>
    <w:p>
      <w:pPr>
        <w:keepNext/>
        <w:keepLines/>
        <w:pageBreakBefore w:val="0"/>
        <w:widowControl w:val="0"/>
        <w:numPr>
          <w:ilvl w:val="0"/>
          <w:numId w:val="0"/>
        </w:numPr>
        <w:tabs>
          <w:tab w:val="left" w:pos="600"/>
        </w:tabs>
        <w:kinsoku/>
        <w:wordWrap/>
        <w:overflowPunct/>
        <w:topLinePunct w:val="0"/>
        <w:autoSpaceDE/>
        <w:autoSpaceDN/>
        <w:bidi w:val="0"/>
        <w:adjustRightInd/>
        <w:snapToGrid/>
        <w:spacing w:before="340" w:beforeLines="0" w:after="340" w:afterLines="0" w:line="360" w:lineRule="auto"/>
        <w:ind w:left="0" w:leftChars="0" w:right="0" w:rightChars="0" w:firstLine="0" w:firstLineChars="0"/>
        <w:jc w:val="center"/>
        <w:textAlignment w:val="auto"/>
        <w:outlineLvl w:val="9"/>
        <w:rPr>
          <w:rFonts w:hint="eastAsia" w:ascii="楷体_GB2312" w:hAnsi="楷体_GB2312" w:eastAsia="楷体_GB2312" w:cs="楷体_GB2312"/>
          <w:color w:val="auto"/>
          <w:szCs w:val="32"/>
        </w:rPr>
      </w:pPr>
    </w:p>
    <w:p>
      <w:pPr>
        <w:pStyle w:val="4"/>
        <w:keepNext/>
        <w:keepLines/>
        <w:pageBreakBefore w:val="0"/>
        <w:widowControl w:val="0"/>
        <w:numPr>
          <w:ilvl w:val="0"/>
          <w:numId w:val="0"/>
        </w:numPr>
        <w:tabs>
          <w:tab w:val="left" w:pos="600"/>
          <w:tab w:val="clear" w:pos="1695"/>
        </w:tabs>
        <w:kinsoku/>
        <w:wordWrap/>
        <w:overflowPunct/>
        <w:topLinePunct w:val="0"/>
        <w:autoSpaceDE/>
        <w:autoSpaceDN/>
        <w:bidi w:val="0"/>
        <w:adjustRightInd/>
        <w:snapToGrid/>
        <w:spacing w:before="340" w:after="340" w:line="360" w:lineRule="auto"/>
        <w:ind w:left="0" w:leftChars="0" w:right="0" w:rightChars="0" w:firstLine="0" w:firstLineChars="0"/>
        <w:jc w:val="center"/>
        <w:textAlignment w:val="auto"/>
        <w:outlineLvl w:val="2"/>
        <w:rPr>
          <w:rFonts w:hint="eastAsia" w:ascii="楷体_GB2312" w:hAnsi="楷体_GB2312" w:eastAsia="楷体_GB2312" w:cs="楷体_GB2312"/>
          <w:color w:val="auto"/>
          <w:szCs w:val="32"/>
        </w:rPr>
      </w:pPr>
      <w:bookmarkStart w:id="13" w:name="_Toc24419"/>
      <w:r>
        <w:rPr>
          <w:rFonts w:hint="eastAsia" w:ascii="楷体_GB2312" w:hAnsi="楷体_GB2312" w:eastAsia="楷体_GB2312" w:cs="楷体_GB2312"/>
          <w:color w:val="auto"/>
          <w:szCs w:val="32"/>
        </w:rPr>
        <w:t>第一章 总 则</w:t>
      </w:r>
      <w:bookmarkEnd w:id="10"/>
      <w:bookmarkEnd w:id="11"/>
      <w:bookmarkEnd w:id="12"/>
      <w:bookmarkEnd w:id="13"/>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Cs w:val="0"/>
          <w:color w:val="auto"/>
          <w:sz w:val="28"/>
        </w:rPr>
      </w:pPr>
      <w:bookmarkStart w:id="14" w:name="_Toc494903101"/>
      <w:bookmarkStart w:id="15" w:name="_Toc495586677"/>
      <w:bookmarkStart w:id="16" w:name="_Toc848"/>
      <w:r>
        <w:rPr>
          <w:rFonts w:hint="eastAsia" w:ascii="楷体_GB2312" w:hAnsi="楷体_GB2312" w:eastAsia="楷体_GB2312" w:cs="楷体_GB2312"/>
          <w:bCs w:val="0"/>
          <w:color w:val="auto"/>
          <w:sz w:val="28"/>
        </w:rPr>
        <w:t>1.1规划背景</w:t>
      </w:r>
      <w:bookmarkEnd w:id="14"/>
      <w:bookmarkEnd w:id="15"/>
      <w:bookmarkEnd w:id="16"/>
    </w:p>
    <w:p>
      <w:pPr>
        <w:keepNext w:val="0"/>
        <w:keepLines w:val="0"/>
        <w:pageBreakBefore w:val="0"/>
        <w:widowControl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《许昌市城市总体规划（2015—2030）》对许昌的职能定位是：中原城市群地区性中心城市、中原经济区交通和物流枢纽城市、全国重要先进制造业基地、汉魏历史文化名城。</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845" w:right="0" w:rightChars="0" w:hanging="363"/>
        <w:jc w:val="both"/>
        <w:textAlignment w:val="auto"/>
        <w:outlineLvl w:val="9"/>
        <w:rPr>
          <w:rFonts w:hint="eastAsia" w:ascii="楷体_GB2312" w:hAnsi="楷体_GB2312" w:eastAsia="楷体_GB2312" w:cs="楷体_GB2312"/>
          <w:b/>
          <w:bCs/>
          <w:color w:val="auto"/>
          <w:sz w:val="24"/>
        </w:rPr>
      </w:pPr>
      <w:r>
        <w:rPr>
          <w:rFonts w:hint="eastAsia" w:ascii="楷体_GB2312" w:hAnsi="楷体_GB2312" w:eastAsia="楷体_GB2312" w:cs="楷体_GB2312"/>
          <w:b/>
          <w:bCs/>
          <w:color w:val="auto"/>
          <w:sz w:val="24"/>
        </w:rPr>
        <w:t>城市建设发展的需要</w:t>
      </w:r>
    </w:p>
    <w:p>
      <w:pPr>
        <w:keepNext w:val="0"/>
        <w:keepLines w:val="0"/>
        <w:pageBreakBefore w:val="0"/>
        <w:widowControl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近年来许昌市对城市基础设施建设和改造加大了投入，但城市基础设施建设总体滞后于社会经济发展的要求。主城区城市地下管线的规划、建设、管理仍存在不足之处，地下空间利用水平不高、马路“拉链”现象时有发生。尤其是老城区，由于历史原因，地下管线随意敷设，架空管线在影响城市景观的同时，也制约了城市经济社会的进一步发展。加强城市地下管线规划和建设管理，保障城市安全运行，提高城市综合承载能力和城镇化发展质量成为当务之急。</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845" w:right="0" w:rightChars="0" w:hanging="363"/>
        <w:jc w:val="both"/>
        <w:textAlignment w:val="auto"/>
        <w:outlineLvl w:val="9"/>
        <w:rPr>
          <w:rFonts w:hint="eastAsia" w:ascii="楷体_GB2312" w:hAnsi="楷体_GB2312" w:eastAsia="楷体_GB2312" w:cs="楷体_GB2312"/>
          <w:b/>
          <w:bCs/>
          <w:color w:val="auto"/>
          <w:sz w:val="24"/>
          <w:szCs w:val="22"/>
        </w:rPr>
      </w:pPr>
      <w:r>
        <w:rPr>
          <w:rFonts w:hint="eastAsia" w:ascii="楷体_GB2312" w:hAnsi="楷体_GB2312" w:eastAsia="楷体_GB2312" w:cs="楷体_GB2312"/>
          <w:b/>
          <w:bCs/>
          <w:color w:val="auto"/>
          <w:sz w:val="24"/>
          <w:szCs w:val="22"/>
        </w:rPr>
        <w:t>历史文化名城保护的需要</w:t>
      </w:r>
    </w:p>
    <w:p>
      <w:pPr>
        <w:keepNext w:val="0"/>
        <w:keepLines w:val="0"/>
        <w:pageBreakBefore w:val="0"/>
        <w:widowControl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是国家历史文化名城，曹魏古城早在西汉时就已成为治所，距今已有2200多年的历史。在城市建设发展的过程中，既不能影响城市历史风貌，又要保持既有特色，这对基础设施的科学规划、合理建设和有效管理，提出了更高要求。因此，应加快完善城市基础设施建设，统筹协调、强化综合，保障城市各项设施正常运转，提高旅游城市服务水平，提升许昌城市整体形象。</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845" w:right="0" w:rightChars="0" w:hanging="363"/>
        <w:jc w:val="both"/>
        <w:textAlignment w:val="auto"/>
        <w:outlineLvl w:val="9"/>
        <w:rPr>
          <w:rFonts w:hint="eastAsia" w:ascii="楷体_GB2312" w:hAnsi="楷体_GB2312" w:eastAsia="楷体_GB2312" w:cs="楷体_GB2312"/>
          <w:b/>
          <w:bCs/>
          <w:color w:val="auto"/>
          <w:sz w:val="24"/>
          <w:szCs w:val="22"/>
        </w:rPr>
      </w:pPr>
      <w:r>
        <w:rPr>
          <w:rFonts w:hint="eastAsia" w:ascii="楷体_GB2312" w:hAnsi="楷体_GB2312" w:eastAsia="楷体_GB2312" w:cs="楷体_GB2312"/>
          <w:b/>
          <w:bCs/>
          <w:color w:val="auto"/>
          <w:sz w:val="24"/>
          <w:szCs w:val="22"/>
        </w:rPr>
        <w:t>落实国家相关政策的需要</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国务院办公厅关于加强城市地下管线建设管理的指导意见》（国办发〔2014〕27号），坚持“规划引领、统筹建设，强化管理、消除隐患”的原则，结合许昌的实际，依据城市总体规划组织编制地下管线综合规划，全面提高管线规划建设管理水平，提升城市发展质量。</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Cs w:val="0"/>
          <w:color w:val="auto"/>
          <w:sz w:val="28"/>
        </w:rPr>
      </w:pPr>
      <w:bookmarkStart w:id="17" w:name="_Toc495586678"/>
      <w:bookmarkStart w:id="18" w:name="_Toc9764"/>
      <w:bookmarkStart w:id="19" w:name="_Toc494903102"/>
      <w:r>
        <w:rPr>
          <w:rFonts w:hint="eastAsia" w:ascii="楷体_GB2312" w:hAnsi="楷体_GB2312" w:eastAsia="楷体_GB2312" w:cs="楷体_GB2312"/>
          <w:bCs w:val="0"/>
          <w:color w:val="auto"/>
          <w:sz w:val="28"/>
        </w:rPr>
        <w:t>1.2规划目标</w:t>
      </w:r>
      <w:bookmarkEnd w:id="17"/>
      <w:bookmarkEnd w:id="18"/>
      <w:bookmarkEnd w:id="19"/>
    </w:p>
    <w:p>
      <w:pPr>
        <w:spacing w:line="360" w:lineRule="auto"/>
        <w:ind w:firstLine="482" w:firstLineChars="200"/>
        <w:rPr>
          <w:rFonts w:hint="eastAsia" w:ascii="楷体_GB2312" w:hAnsi="楷体_GB2312" w:eastAsia="楷体_GB2312" w:cs="楷体_GB2312"/>
          <w:b/>
          <w:bCs/>
          <w:color w:val="auto"/>
          <w:sz w:val="24"/>
        </w:rPr>
      </w:pPr>
      <w:r>
        <w:rPr>
          <w:rFonts w:hint="eastAsia" w:ascii="楷体_GB2312" w:hAnsi="楷体_GB2312" w:eastAsia="楷体_GB2312" w:cs="楷体_GB2312"/>
          <w:b/>
          <w:bCs/>
          <w:color w:val="auto"/>
          <w:sz w:val="24"/>
        </w:rPr>
        <w:t>“优化市政管网布局，集约利用地下空间，保障地下管线安全，提升城市运行质量。”</w:t>
      </w:r>
    </w:p>
    <w:p>
      <w:pPr>
        <w:keepNext w:val="0"/>
        <w:keepLines w:val="0"/>
        <w:pageBreakBefore w:val="0"/>
        <w:widowControl w:val="0"/>
        <w:numPr>
          <w:ilvl w:val="0"/>
          <w:numId w:val="5"/>
        </w:numPr>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u w:val="single"/>
        </w:rPr>
        <w:t>与规划协调</w:t>
      </w:r>
      <w:r>
        <w:rPr>
          <w:rFonts w:hint="eastAsia" w:ascii="楷体_GB2312" w:hAnsi="楷体_GB2312" w:eastAsia="楷体_GB2312" w:cs="楷体_GB2312"/>
          <w:color w:val="auto"/>
          <w:sz w:val="24"/>
        </w:rPr>
        <w:t>,即：与总体规划、各单元控制性详细规划及相关专项规划相协调；</w:t>
      </w:r>
    </w:p>
    <w:p>
      <w:pPr>
        <w:keepNext w:val="0"/>
        <w:keepLines w:val="0"/>
        <w:pageBreakBefore w:val="0"/>
        <w:widowControl w:val="0"/>
        <w:numPr>
          <w:ilvl w:val="0"/>
          <w:numId w:val="5"/>
        </w:numPr>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u w:val="single"/>
        </w:rPr>
        <w:t>与现状协调</w:t>
      </w:r>
      <w:r>
        <w:rPr>
          <w:rFonts w:hint="eastAsia" w:ascii="楷体_GB2312" w:hAnsi="楷体_GB2312" w:eastAsia="楷体_GB2312" w:cs="楷体_GB2312"/>
          <w:color w:val="auto"/>
          <w:sz w:val="24"/>
        </w:rPr>
        <w:t>，即：充分尊重现状存在管线的合理性；不因规划而规划；</w:t>
      </w:r>
    </w:p>
    <w:p>
      <w:pPr>
        <w:keepNext w:val="0"/>
        <w:keepLines w:val="0"/>
        <w:pageBreakBefore w:val="0"/>
        <w:widowControl w:val="0"/>
        <w:numPr>
          <w:ilvl w:val="0"/>
          <w:numId w:val="5"/>
        </w:numPr>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u w:val="single"/>
        </w:rPr>
        <w:t>与重要基础设施相协调</w:t>
      </w:r>
      <w:r>
        <w:rPr>
          <w:rFonts w:hint="eastAsia" w:ascii="楷体_GB2312" w:hAnsi="楷体_GB2312" w:eastAsia="楷体_GB2312" w:cs="楷体_GB2312"/>
          <w:color w:val="auto"/>
          <w:sz w:val="24"/>
        </w:rPr>
        <w:t>，如：西气东输管线、高压输电线、综合管廊、铁路、大型城市综合体；</w:t>
      </w:r>
    </w:p>
    <w:p>
      <w:pPr>
        <w:keepNext w:val="0"/>
        <w:keepLines w:val="0"/>
        <w:pageBreakBefore w:val="0"/>
        <w:widowControl w:val="0"/>
        <w:numPr>
          <w:ilvl w:val="0"/>
          <w:numId w:val="5"/>
        </w:numPr>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结合城市（分区）定位、道路性质、功能以及断面形式等合理安排城市工程管线在城市道路平面上的位置，充分利用城市地上、地下空间，优化管线平面、竖向布置，确保城市工程管线随道路建设顺利实施；</w:t>
      </w:r>
    </w:p>
    <w:p>
      <w:pPr>
        <w:keepNext w:val="0"/>
        <w:keepLines w:val="0"/>
        <w:pageBreakBefore w:val="0"/>
        <w:widowControl w:val="0"/>
        <w:numPr>
          <w:ilvl w:val="0"/>
          <w:numId w:val="5"/>
        </w:numPr>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u w:val="single"/>
        </w:rPr>
        <w:t>为各工程管线工程设计和规划管理提供依据</w:t>
      </w:r>
      <w:r>
        <w:rPr>
          <w:rFonts w:hint="eastAsia" w:ascii="楷体_GB2312" w:hAnsi="楷体_GB2312" w:eastAsia="楷体_GB2312" w:cs="楷体_GB2312"/>
          <w:color w:val="auto"/>
          <w:sz w:val="24"/>
        </w:rPr>
        <w:t>。</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0" w:name="_Toc495586679"/>
      <w:bookmarkStart w:id="21" w:name="_Toc11612"/>
      <w:bookmarkStart w:id="22" w:name="_Toc494903103"/>
      <w:r>
        <w:rPr>
          <w:rFonts w:hint="eastAsia" w:ascii="楷体_GB2312" w:hAnsi="楷体_GB2312" w:eastAsia="楷体_GB2312" w:cs="楷体_GB2312"/>
          <w:b/>
          <w:bCs w:val="0"/>
          <w:color w:val="auto"/>
          <w:sz w:val="28"/>
        </w:rPr>
        <w:t>1.3规划范围</w:t>
      </w:r>
      <w:bookmarkEnd w:id="20"/>
      <w:bookmarkEnd w:id="21"/>
      <w:bookmarkEnd w:id="22"/>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规划范围为许昌市主城区：北面以北苑大道为界；东面以新107国道为界；南面以兰南高速为界；西面以省道227和三洋铁路为界，市区规划总面积189km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pacing w:line="360" w:lineRule="auto"/>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4709795" cy="444436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714096" cy="4448433"/>
                    </a:xfrm>
                    <a:prstGeom prst="rect">
                      <a:avLst/>
                    </a:prstGeom>
                  </pic:spPr>
                </pic:pic>
              </a:graphicData>
            </a:graphic>
          </wp:inline>
        </w:drawing>
      </w:r>
    </w:p>
    <w:p>
      <w:pPr>
        <w:tabs>
          <w:tab w:val="left" w:pos="720"/>
        </w:tabs>
        <w:spacing w:line="360" w:lineRule="auto"/>
        <w:ind w:firstLine="420" w:firstLineChars="200"/>
        <w:jc w:val="center"/>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规划范围图</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3" w:name="_Toc495586680"/>
      <w:bookmarkStart w:id="24" w:name="_Toc28360"/>
      <w:bookmarkStart w:id="25" w:name="_Toc494903104"/>
      <w:r>
        <w:rPr>
          <w:rFonts w:hint="eastAsia" w:ascii="楷体_GB2312" w:hAnsi="楷体_GB2312" w:eastAsia="楷体_GB2312" w:cs="楷体_GB2312"/>
          <w:b/>
          <w:bCs w:val="0"/>
          <w:color w:val="auto"/>
          <w:sz w:val="28"/>
        </w:rPr>
        <w:t>1.4规划期限</w:t>
      </w:r>
      <w:bookmarkEnd w:id="23"/>
      <w:bookmarkEnd w:id="24"/>
      <w:bookmarkEnd w:id="25"/>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规划期限为2017—2030年，其中：近期：2017—2020年；远期：2021—2030年。</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6" w:name="_Toc494903105"/>
      <w:bookmarkStart w:id="27" w:name="_Toc495586681"/>
      <w:bookmarkStart w:id="28" w:name="_Toc29366"/>
      <w:r>
        <w:rPr>
          <w:rFonts w:hint="eastAsia" w:ascii="楷体_GB2312" w:hAnsi="楷体_GB2312" w:eastAsia="楷体_GB2312" w:cs="楷体_GB2312"/>
          <w:b/>
          <w:bCs w:val="0"/>
          <w:color w:val="auto"/>
          <w:sz w:val="28"/>
        </w:rPr>
        <w:t>1.5规划原则</w:t>
      </w:r>
      <w:bookmarkEnd w:id="26"/>
      <w:bookmarkEnd w:id="27"/>
      <w:bookmarkEnd w:id="28"/>
    </w:p>
    <w:p>
      <w:pPr>
        <w:spacing w:line="360" w:lineRule="auto"/>
        <w:ind w:firstLine="482" w:firstLineChars="200"/>
        <w:rPr>
          <w:rFonts w:hint="eastAsia" w:ascii="楷体_GB2312" w:hAnsi="楷体_GB2312" w:eastAsia="楷体_GB2312" w:cs="楷体_GB2312"/>
          <w:b/>
          <w:bCs/>
          <w:color w:val="auto"/>
          <w:sz w:val="24"/>
        </w:rPr>
      </w:pPr>
      <w:bookmarkStart w:id="29" w:name="_Toc494903106"/>
      <w:r>
        <w:rPr>
          <w:rFonts w:hint="eastAsia" w:ascii="楷体_GB2312" w:hAnsi="楷体_GB2312" w:eastAsia="楷体_GB2312" w:cs="楷体_GB2312"/>
          <w:b/>
          <w:bCs/>
          <w:color w:val="auto"/>
          <w:sz w:val="24"/>
        </w:rPr>
        <w:t>1、综合协调、注重整体</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地下管线综合规划，应结合城市总体规划对用地布局、产业特点、人口规模、城市重点区域、资源保护与空间管制、城市交通等方面的成果进行编制，充分考虑地下管线的现状，对未来地下管线的发展提出意见。</w:t>
      </w:r>
    </w:p>
    <w:p>
      <w:pPr>
        <w:spacing w:line="360" w:lineRule="auto"/>
        <w:ind w:firstLine="482" w:firstLineChars="200"/>
        <w:rPr>
          <w:rFonts w:hint="eastAsia" w:ascii="楷体_GB2312" w:hAnsi="楷体_GB2312" w:eastAsia="楷体_GB2312" w:cs="楷体_GB2312"/>
          <w:b/>
          <w:bCs/>
          <w:color w:val="auto"/>
          <w:sz w:val="24"/>
        </w:rPr>
      </w:pPr>
      <w:r>
        <w:rPr>
          <w:rFonts w:hint="eastAsia" w:ascii="楷体_GB2312" w:hAnsi="楷体_GB2312" w:eastAsia="楷体_GB2312" w:cs="楷体_GB2312"/>
          <w:b/>
          <w:bCs/>
          <w:color w:val="auto"/>
          <w:sz w:val="24"/>
        </w:rPr>
        <w:t>2、统筹发展、资源节约</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加强各类工程管线间的统筹与协调，克服各自为政的不利格局，综合布置各类工程管线地上、地下通道，理顺相邻管线关系，整合市政设施用地，节约利用土地和地下空间资源，促进管线工程集约发展。</w:t>
      </w:r>
    </w:p>
    <w:p>
      <w:pPr>
        <w:spacing w:line="360" w:lineRule="auto"/>
        <w:ind w:firstLine="482" w:firstLineChars="200"/>
        <w:rPr>
          <w:rFonts w:hint="eastAsia" w:ascii="楷体_GB2312" w:hAnsi="楷体_GB2312" w:eastAsia="楷体_GB2312" w:cs="楷体_GB2312"/>
          <w:b/>
          <w:bCs/>
          <w:color w:val="auto"/>
          <w:sz w:val="24"/>
        </w:rPr>
      </w:pPr>
      <w:r>
        <w:rPr>
          <w:rFonts w:hint="eastAsia" w:ascii="楷体_GB2312" w:hAnsi="楷体_GB2312" w:eastAsia="楷体_GB2312" w:cs="楷体_GB2312"/>
          <w:b/>
          <w:bCs/>
          <w:color w:val="auto"/>
          <w:sz w:val="24"/>
        </w:rPr>
        <w:t>3、全面控制、局部灵活</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管线综合规划明确的管线通道和设施用地，在开发建设过程中需严格加以保护与控制，确保各类管线各行其道，防止相互侵占、干扰。局部地区因用地、道路等调整，在不影响主要管线布局、安全运行前提下，可对支线作相应调整，提高管线管理水平。</w:t>
      </w:r>
    </w:p>
    <w:p>
      <w:pPr>
        <w:spacing w:line="360" w:lineRule="auto"/>
        <w:ind w:firstLine="482" w:firstLineChars="200"/>
        <w:rPr>
          <w:rFonts w:hint="eastAsia" w:ascii="楷体_GB2312" w:hAnsi="楷体_GB2312" w:eastAsia="楷体_GB2312" w:cs="楷体_GB2312"/>
          <w:b/>
          <w:bCs/>
          <w:color w:val="auto"/>
          <w:sz w:val="24"/>
        </w:rPr>
      </w:pPr>
      <w:r>
        <w:rPr>
          <w:rFonts w:hint="eastAsia" w:ascii="楷体_GB2312" w:hAnsi="楷体_GB2312" w:eastAsia="楷体_GB2312" w:cs="楷体_GB2312"/>
          <w:b/>
          <w:bCs/>
          <w:color w:val="auto"/>
          <w:sz w:val="24"/>
        </w:rPr>
        <w:t>4、循序渐进、分期实施</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在城市总体规划及控制性详细规划的指导下，提高管线综合规划前瞻性、整体性，在开发建设过程中循序渐进、先急后缓、分期实施，近远结合，充分利用建成管线设施和通道，满足阶段发展需求，现状与规划的合理过渡，提高规划的可操作性。</w:t>
      </w:r>
    </w:p>
    <w:p>
      <w:pPr>
        <w:spacing w:line="360" w:lineRule="auto"/>
        <w:ind w:firstLine="482" w:firstLineChars="200"/>
        <w:rPr>
          <w:rFonts w:hint="eastAsia" w:ascii="楷体_GB2312" w:hAnsi="楷体_GB2312" w:eastAsia="楷体_GB2312" w:cs="楷体_GB2312"/>
          <w:b/>
          <w:bCs/>
          <w:color w:val="auto"/>
          <w:sz w:val="24"/>
        </w:rPr>
      </w:pPr>
      <w:r>
        <w:rPr>
          <w:rFonts w:hint="eastAsia" w:ascii="楷体_GB2312" w:hAnsi="楷体_GB2312" w:eastAsia="楷体_GB2312" w:cs="楷体_GB2312"/>
          <w:b/>
          <w:bCs/>
          <w:color w:val="auto"/>
          <w:sz w:val="24"/>
        </w:rPr>
        <w:t>5、政府引导、市场推进</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在政府的引导下，加强对各专业管线的整合，推进地下综合管廊的建设，同时出台相关管理办法和实施细则，按市场规则引导管线联合建设、集约建设。</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30" w:name="_Toc495586682"/>
      <w:bookmarkStart w:id="31" w:name="_Toc26119"/>
      <w:r>
        <w:rPr>
          <w:rFonts w:hint="eastAsia" w:ascii="楷体_GB2312" w:hAnsi="楷体_GB2312" w:eastAsia="楷体_GB2312" w:cs="楷体_GB2312"/>
          <w:b/>
          <w:bCs w:val="0"/>
          <w:color w:val="auto"/>
          <w:sz w:val="28"/>
        </w:rPr>
        <w:t>1.6规划依据</w:t>
      </w:r>
      <w:bookmarkEnd w:id="29"/>
      <w:bookmarkEnd w:id="30"/>
      <w:bookmarkEnd w:id="31"/>
      <w:bookmarkStart w:id="32" w:name="_Toc494903107"/>
      <w:bookmarkStart w:id="33" w:name="_Toc495586683"/>
    </w:p>
    <w:p>
      <w:pPr>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4"/>
        <w:rPr>
          <w:rFonts w:hint="eastAsia" w:ascii="楷体_GB2312" w:hAnsi="楷体_GB2312" w:eastAsia="楷体_GB2312" w:cs="楷体_GB2312"/>
          <w:b/>
          <w:bCs/>
          <w:color w:val="auto"/>
          <w:sz w:val="24"/>
          <w:szCs w:val="24"/>
        </w:rPr>
      </w:pPr>
      <w:r>
        <w:rPr>
          <w:rFonts w:hint="eastAsia" w:ascii="楷体_GB2312" w:hAnsi="楷体_GB2312" w:eastAsia="楷体_GB2312" w:cs="楷体_GB2312"/>
          <w:b/>
          <w:bCs/>
          <w:color w:val="auto"/>
          <w:sz w:val="24"/>
          <w:szCs w:val="24"/>
        </w:rPr>
        <w:t>1.6.1国家法规、规范及标准</w:t>
      </w:r>
      <w:bookmarkEnd w:id="32"/>
      <w:bookmarkEnd w:id="33"/>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(1)《中华人民共和国城乡规划法》（2007.10.28）</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(2)《中华人民共和国水法》（2002.8.29）</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(3)《中华人民共和国水污染防治法》（2008.2.28）</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(4)《城市规划编制办法》（建设部令第146号）</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(5)《城市地下管线工程档案管理办法》（建设部令第136号）</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(6)《城市黄线管理办法》（建设部令第144号）</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(7)《国务院关于加强城市基础设施建设的意见》（国发〔2013〕36号）</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(8)《国务院办公厅关于加强城市地下管线建设管理指导意见》（国办发〔2014〕27号）</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(9)《城市工程管线综合规划规范》（GB50289—2016）</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(10)《城市给水工程规划规范》（GB50282—2016）</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(11)《城市排水工程规划规范》（GB50318—2017）</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(12)《城市电力规划规范》（GB50293—1999）</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(13)《室外给水设计规范》（GB50013—2006）</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(14)《室外排水设计规范》（GB50014－2006）(2016年版）</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(15)《城镇燃气设计规范》（GB50028—2006）</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(16)《输气管道工程设计规范》（GB50251—2003）</w:t>
      </w:r>
    </w:p>
    <w:p>
      <w:pPr>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4"/>
        <w:rPr>
          <w:rFonts w:hint="eastAsia" w:ascii="楷体_GB2312" w:hAnsi="楷体_GB2312" w:eastAsia="楷体_GB2312" w:cs="楷体_GB2312"/>
          <w:b/>
          <w:bCs/>
          <w:color w:val="auto"/>
          <w:sz w:val="24"/>
          <w:szCs w:val="24"/>
        </w:rPr>
      </w:pPr>
      <w:bookmarkStart w:id="34" w:name="_Toc459623705"/>
      <w:bookmarkStart w:id="35" w:name="_Toc494903108"/>
      <w:bookmarkStart w:id="36" w:name="_Toc495586684"/>
      <w:r>
        <w:rPr>
          <w:rFonts w:hint="eastAsia" w:ascii="楷体_GB2312" w:hAnsi="楷体_GB2312" w:eastAsia="楷体_GB2312" w:cs="楷体_GB2312"/>
          <w:b/>
          <w:bCs/>
          <w:color w:val="auto"/>
          <w:sz w:val="24"/>
          <w:szCs w:val="24"/>
        </w:rPr>
        <w:t>1.6.2</w:t>
      </w:r>
      <w:bookmarkEnd w:id="34"/>
      <w:r>
        <w:rPr>
          <w:rFonts w:hint="eastAsia" w:ascii="楷体_GB2312" w:hAnsi="楷体_GB2312" w:eastAsia="楷体_GB2312" w:cs="楷体_GB2312"/>
          <w:b/>
          <w:bCs/>
          <w:color w:val="auto"/>
          <w:sz w:val="24"/>
          <w:szCs w:val="24"/>
        </w:rPr>
        <w:t>相关规划及材料</w:t>
      </w:r>
      <w:bookmarkEnd w:id="35"/>
      <w:bookmarkEnd w:id="36"/>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（1）《许昌市城市总体规划》（2015—2030）</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（2）《许昌市排水、污水处理、再生水利用和污泥处置设施专项规划》 （2015—2030）</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（3）《许昌市供水与节约用水专项规划》(2015-2030)；</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（4）《许昌市中心城区排水（雨水）防涝综合规划》(2015-2030)</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（5）《许昌市燃气（含加气站）专项规划》（2015-2030）</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（6）《许昌市区电力工程专项规划》(2016-2030)；</w:t>
      </w:r>
    </w:p>
    <w:p>
      <w:pPr>
        <w:pageBreakBefore w:val="0"/>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（7）《许昌市中心城区通信基站布点规划》（2015-2030）</w:t>
      </w:r>
    </w:p>
    <w:p>
      <w:pPr>
        <w:keepNext/>
        <w:keepLines/>
        <w:pageBreakBefore w:val="0"/>
        <w:widowControl w:val="0"/>
        <w:numPr>
          <w:ilvl w:val="0"/>
          <w:numId w:val="0"/>
        </w:numPr>
        <w:tabs>
          <w:tab w:val="left" w:pos="600"/>
        </w:tabs>
        <w:kinsoku/>
        <w:wordWrap/>
        <w:overflowPunct/>
        <w:topLinePunct w:val="0"/>
        <w:autoSpaceDE/>
        <w:autoSpaceDN/>
        <w:bidi w:val="0"/>
        <w:adjustRightInd/>
        <w:snapToGrid/>
        <w:spacing w:before="340" w:beforeLines="0" w:after="340" w:afterLines="0" w:line="360" w:lineRule="auto"/>
        <w:ind w:left="0" w:leftChars="0" w:right="0" w:rightChars="0" w:firstLine="0" w:firstLineChars="0"/>
        <w:jc w:val="center"/>
        <w:textAlignment w:val="auto"/>
        <w:outlineLvl w:val="9"/>
        <w:rPr>
          <w:rFonts w:hint="eastAsia" w:ascii="楷体_GB2312" w:hAnsi="楷体_GB2312" w:eastAsia="楷体_GB2312" w:cs="楷体_GB2312"/>
          <w:color w:val="auto"/>
          <w:szCs w:val="32"/>
        </w:rPr>
      </w:pPr>
      <w:bookmarkStart w:id="37" w:name="_Toc494903109"/>
      <w:bookmarkStart w:id="38" w:name="_Toc495586685"/>
      <w:bookmarkStart w:id="39" w:name="_Toc18360"/>
      <w:r>
        <w:rPr>
          <w:rFonts w:hint="eastAsia" w:ascii="楷体_GB2312" w:hAnsi="楷体_GB2312" w:eastAsia="楷体_GB2312" w:cs="楷体_GB2312"/>
          <w:color w:val="auto"/>
          <w:szCs w:val="32"/>
        </w:rPr>
        <w:br w:type="page"/>
      </w:r>
    </w:p>
    <w:p>
      <w:pPr>
        <w:pStyle w:val="4"/>
        <w:keepNext/>
        <w:keepLines/>
        <w:pageBreakBefore w:val="0"/>
        <w:widowControl w:val="0"/>
        <w:numPr>
          <w:ilvl w:val="0"/>
          <w:numId w:val="0"/>
        </w:numPr>
        <w:tabs>
          <w:tab w:val="left" w:pos="600"/>
          <w:tab w:val="clear" w:pos="1695"/>
        </w:tabs>
        <w:kinsoku/>
        <w:wordWrap/>
        <w:overflowPunct/>
        <w:topLinePunct w:val="0"/>
        <w:autoSpaceDE/>
        <w:autoSpaceDN/>
        <w:bidi w:val="0"/>
        <w:adjustRightInd/>
        <w:snapToGrid/>
        <w:spacing w:before="340" w:after="340" w:line="360" w:lineRule="auto"/>
        <w:ind w:left="0" w:leftChars="0" w:right="0" w:rightChars="0" w:firstLine="0" w:firstLineChars="0"/>
        <w:jc w:val="center"/>
        <w:textAlignment w:val="auto"/>
        <w:outlineLvl w:val="2"/>
        <w:rPr>
          <w:rFonts w:hint="eastAsia" w:ascii="楷体_GB2312" w:hAnsi="楷体_GB2312" w:eastAsia="楷体_GB2312" w:cs="楷体_GB2312"/>
          <w:color w:val="auto"/>
          <w:szCs w:val="32"/>
        </w:rPr>
      </w:pPr>
      <w:bookmarkStart w:id="40" w:name="_Toc31644"/>
      <w:r>
        <w:rPr>
          <w:rFonts w:hint="eastAsia" w:ascii="楷体_GB2312" w:hAnsi="楷体_GB2312" w:eastAsia="楷体_GB2312" w:cs="楷体_GB2312"/>
          <w:color w:val="auto"/>
          <w:szCs w:val="32"/>
        </w:rPr>
        <w:t>第二章 城市概况</w:t>
      </w:r>
      <w:bookmarkEnd w:id="37"/>
      <w:bookmarkEnd w:id="38"/>
      <w:bookmarkEnd w:id="39"/>
      <w:bookmarkEnd w:id="40"/>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41" w:name="_Toc495586686"/>
      <w:bookmarkStart w:id="42" w:name="_Toc494903110"/>
      <w:bookmarkStart w:id="43" w:name="_Toc1257"/>
      <w:r>
        <w:rPr>
          <w:rFonts w:hint="eastAsia" w:ascii="楷体_GB2312" w:hAnsi="楷体_GB2312" w:eastAsia="楷体_GB2312" w:cs="楷体_GB2312"/>
          <w:b/>
          <w:bCs w:val="0"/>
          <w:color w:val="auto"/>
          <w:sz w:val="28"/>
        </w:rPr>
        <w:t>2.1自然概况</w:t>
      </w:r>
      <w:bookmarkEnd w:id="41"/>
      <w:bookmarkEnd w:id="42"/>
      <w:bookmarkEnd w:id="43"/>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color w:val="auto"/>
          <w:sz w:val="24"/>
          <w:szCs w:val="24"/>
        </w:rPr>
      </w:pPr>
      <w:bookmarkStart w:id="44" w:name="_Toc494903111"/>
      <w:bookmarkStart w:id="45" w:name="_Toc495586687"/>
      <w:r>
        <w:rPr>
          <w:rFonts w:hint="eastAsia" w:ascii="楷体_GB2312" w:hAnsi="楷体_GB2312" w:eastAsia="楷体_GB2312" w:cs="楷体_GB2312"/>
          <w:color w:val="auto"/>
          <w:sz w:val="24"/>
          <w:szCs w:val="24"/>
        </w:rPr>
        <w:t>2.1.1地理位置</w:t>
      </w:r>
      <w:bookmarkEnd w:id="44"/>
      <w:bookmarkEnd w:id="45"/>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szCs w:val="24"/>
        </w:rPr>
        <w:t>许昌市位于河南省中部，北靠省会郑州市和历史文化名城开封市，西靠平顶山市，南接漯河市，东连周口市；地理坐标为东经113°03′－114°19′、北纬33°46′－34°24′。市域总面积4996km2，辖禹州市、长葛市、许昌县、鄢陵县、襄城县和魏都区两市三县一区（82个乡（镇），14个街道办事处）。北距郑州市87公里，南距漯河市65公里，东距开封市105公里，西距洛阳市187公里，京广铁路、京广高铁、京珠高速、武西高速、永登高速、107国道、219省道和103省道纵贯南北，兰南高速、311国道、325省道、237省道和329省道横穿东西，北距新郑国际机场40余公里</w:t>
      </w:r>
      <w:r>
        <w:rPr>
          <w:rFonts w:hint="eastAsia" w:ascii="楷体_GB2312" w:hAnsi="楷体_GB2312" w:eastAsia="楷体_GB2312" w:cs="楷体_GB2312"/>
          <w:color w:val="auto"/>
          <w:sz w:val="24"/>
        </w:rPr>
        <w:t>。</w:t>
      </w:r>
    </w:p>
    <w:p>
      <w:pPr>
        <w:spacing w:line="360" w:lineRule="auto"/>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3060700" cy="2124075"/>
            <wp:effectExtent l="0" t="0" r="635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9">
                      <a:extLst>
                        <a:ext uri="{28A0092B-C50C-407E-A947-70E740481C1C}">
                          <a14:useLocalDpi xmlns:a14="http://schemas.microsoft.com/office/drawing/2010/main" val="0"/>
                        </a:ext>
                      </a:extLst>
                    </a:blip>
                    <a:srcRect t="2166"/>
                    <a:stretch>
                      <a:fillRect/>
                    </a:stretch>
                  </pic:blipFill>
                  <pic:spPr>
                    <a:xfrm>
                      <a:off x="0" y="0"/>
                      <a:ext cx="3060700" cy="2124075"/>
                    </a:xfrm>
                    <a:prstGeom prst="rect">
                      <a:avLst/>
                    </a:prstGeom>
                    <a:ln>
                      <a:noFill/>
                    </a:ln>
                  </pic:spPr>
                </pic:pic>
              </a:graphicData>
            </a:graphic>
          </wp:inline>
        </w:drawing>
      </w:r>
    </w:p>
    <w:p>
      <w:pPr>
        <w:tabs>
          <w:tab w:val="left" w:pos="720"/>
        </w:tabs>
        <w:spacing w:line="360" w:lineRule="auto"/>
        <w:ind w:firstLine="422" w:firstLineChars="200"/>
        <w:jc w:val="center"/>
        <w:rPr>
          <w:rFonts w:hint="eastAsia" w:ascii="楷体_GB2312" w:hAnsi="楷体_GB2312" w:eastAsia="楷体_GB2312" w:cs="楷体_GB2312"/>
          <w:b/>
          <w:bCs w:val="0"/>
          <w:color w:val="auto"/>
          <w:szCs w:val="21"/>
        </w:rPr>
      </w:pPr>
      <w:r>
        <w:rPr>
          <w:rFonts w:hint="eastAsia" w:ascii="楷体_GB2312" w:hAnsi="楷体_GB2312" w:eastAsia="楷体_GB2312" w:cs="楷体_GB2312"/>
          <w:b/>
          <w:bCs w:val="0"/>
          <w:color w:val="auto"/>
          <w:szCs w:val="21"/>
        </w:rPr>
        <w:t>许昌市地理位置图</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46" w:name="_Toc494903112"/>
      <w:bookmarkStart w:id="47" w:name="_Toc495586688"/>
      <w:r>
        <w:rPr>
          <w:rFonts w:hint="eastAsia" w:ascii="楷体_GB2312" w:hAnsi="楷体_GB2312" w:eastAsia="楷体_GB2312" w:cs="楷体_GB2312"/>
          <w:b/>
          <w:color w:val="auto"/>
          <w:sz w:val="24"/>
          <w:szCs w:val="24"/>
        </w:rPr>
        <w:t>2.1.2地形地貌</w:t>
      </w:r>
      <w:bookmarkEnd w:id="46"/>
      <w:bookmarkEnd w:id="47"/>
    </w:p>
    <w:p>
      <w:pPr>
        <w:spacing w:line="360" w:lineRule="auto"/>
        <w:ind w:firstLine="480" w:firstLineChars="200"/>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许昌地处豫西山地向黄淮海平原过渡地区，地貌西部山岗起伏，东部沃野坦荡，处于伏牛山余脉向东平原过渡地区，东西长117公里，南北宽53公里，东西狭长。地势大体由西向东南倾斜，地面坡降由百分之一过渡到二千分之一，平均坡度为0.2～0.5‰；许昌市西部为低山丘陵，最高海拔1150米；东部为淮海平原西缘，最低海拔50米。地势自西北向东南缓慢倾斜。地貌景观呈东西向分带，按地貌成因及形态组合分为平原、山地和岗地三大类。其中平原面积2163.1km</w:t>
      </w:r>
      <w:r>
        <w:rPr>
          <w:rFonts w:hint="eastAsia" w:ascii="楷体_GB2312" w:hAnsi="楷体_GB2312" w:eastAsia="楷体_GB2312" w:cs="楷体_GB2312"/>
          <w:color w:val="auto"/>
          <w:sz w:val="24"/>
          <w:szCs w:val="24"/>
          <w:vertAlign w:val="superscript"/>
        </w:rPr>
        <w:t>2</w:t>
      </w:r>
      <w:r>
        <w:rPr>
          <w:rFonts w:hint="eastAsia" w:ascii="楷体_GB2312" w:hAnsi="楷体_GB2312" w:eastAsia="楷体_GB2312" w:cs="楷体_GB2312"/>
          <w:color w:val="auto"/>
          <w:sz w:val="24"/>
          <w:szCs w:val="24"/>
        </w:rPr>
        <w:t>，占全市总面积的53.2%。，山地面积717.30km</w:t>
      </w:r>
      <w:r>
        <w:rPr>
          <w:rFonts w:hint="eastAsia" w:ascii="楷体_GB2312" w:hAnsi="楷体_GB2312" w:eastAsia="楷体_GB2312" w:cs="楷体_GB2312"/>
          <w:color w:val="auto"/>
          <w:sz w:val="24"/>
          <w:szCs w:val="24"/>
          <w:vertAlign w:val="superscript"/>
        </w:rPr>
        <w:t>2</w:t>
      </w:r>
      <w:r>
        <w:rPr>
          <w:rFonts w:hint="eastAsia" w:ascii="楷体_GB2312" w:hAnsi="楷体_GB2312" w:eastAsia="楷体_GB2312" w:cs="楷体_GB2312"/>
          <w:color w:val="auto"/>
          <w:sz w:val="24"/>
          <w:szCs w:val="24"/>
        </w:rPr>
        <w:t>、岗地面积492.76km</w:t>
      </w:r>
      <w:r>
        <w:rPr>
          <w:rFonts w:hint="eastAsia" w:ascii="楷体_GB2312" w:hAnsi="楷体_GB2312" w:eastAsia="楷体_GB2312" w:cs="楷体_GB2312"/>
          <w:color w:val="auto"/>
          <w:sz w:val="24"/>
          <w:szCs w:val="24"/>
          <w:vertAlign w:val="superscript"/>
        </w:rPr>
        <w:t>2</w:t>
      </w:r>
      <w:r>
        <w:rPr>
          <w:rFonts w:hint="eastAsia" w:ascii="楷体_GB2312" w:hAnsi="楷体_GB2312" w:eastAsia="楷体_GB2312" w:cs="楷体_GB2312"/>
          <w:color w:val="auto"/>
          <w:sz w:val="24"/>
          <w:szCs w:val="24"/>
        </w:rPr>
        <w:t>、平原面积3768.30km</w:t>
      </w:r>
      <w:r>
        <w:rPr>
          <w:rFonts w:hint="eastAsia" w:ascii="楷体_GB2312" w:hAnsi="楷体_GB2312" w:eastAsia="楷体_GB2312" w:cs="楷体_GB2312"/>
          <w:color w:val="auto"/>
          <w:sz w:val="24"/>
          <w:szCs w:val="24"/>
          <w:vertAlign w:val="superscript"/>
        </w:rPr>
        <w:t>2</w:t>
      </w:r>
      <w:r>
        <w:rPr>
          <w:rFonts w:hint="eastAsia" w:ascii="楷体_GB2312" w:hAnsi="楷体_GB2312" w:eastAsia="楷体_GB2312" w:cs="楷体_GB2312"/>
          <w:color w:val="auto"/>
          <w:sz w:val="24"/>
          <w:szCs w:val="24"/>
        </w:rPr>
        <w:t>。</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48" w:name="_Toc495586689"/>
      <w:bookmarkStart w:id="49" w:name="_Toc494903113"/>
      <w:r>
        <w:rPr>
          <w:rFonts w:hint="eastAsia" w:ascii="楷体_GB2312" w:hAnsi="楷体_GB2312" w:eastAsia="楷体_GB2312" w:cs="楷体_GB2312"/>
          <w:b/>
          <w:color w:val="auto"/>
          <w:sz w:val="24"/>
          <w:szCs w:val="24"/>
        </w:rPr>
        <w:t>2.1.3河流水系</w:t>
      </w:r>
      <w:bookmarkEnd w:id="48"/>
      <w:bookmarkEnd w:id="49"/>
    </w:p>
    <w:p>
      <w:pPr>
        <w:snapToGrid w:val="0"/>
        <w:spacing w:line="360" w:lineRule="auto"/>
        <w:ind w:firstLine="480" w:firstLineChars="200"/>
        <w:rPr>
          <w:rFonts w:hint="eastAsia" w:ascii="楷体_GB2312" w:hAnsi="楷体_GB2312" w:eastAsia="楷体_GB2312" w:cs="楷体_GB2312"/>
          <w:color w:val="auto"/>
          <w:kern w:val="0"/>
          <w:sz w:val="24"/>
          <w:szCs w:val="20"/>
        </w:rPr>
      </w:pPr>
      <w:r>
        <w:rPr>
          <w:rFonts w:hint="eastAsia" w:ascii="楷体_GB2312" w:hAnsi="楷体_GB2312" w:eastAsia="楷体_GB2312" w:cs="楷体_GB2312"/>
          <w:color w:val="auto"/>
          <w:kern w:val="0"/>
          <w:sz w:val="24"/>
          <w:szCs w:val="20"/>
        </w:rPr>
        <w:t>许昌市全市多年水资源总量为9.35亿立方米。其中：多年平均地表水资源量4.84亿立方米，地下水资源量为6.28亿立方米，重复计算量1.77亿立方米。许昌市境内多年平均过境水量为12.51亿立方米，主要为北汝河、颍河、双洎河、清潩河和沙河等河流。南水北调中线工程一期供许昌市水量为2.26亿立方米。</w:t>
      </w:r>
    </w:p>
    <w:p>
      <w:pPr>
        <w:spacing w:line="360" w:lineRule="auto"/>
        <w:ind w:firstLine="480" w:firstLineChars="200"/>
        <w:rPr>
          <w:rFonts w:hint="eastAsia" w:ascii="楷体_GB2312" w:hAnsi="楷体_GB2312" w:eastAsia="楷体_GB2312" w:cs="楷体_GB2312"/>
          <w:color w:val="auto"/>
          <w:kern w:val="0"/>
          <w:sz w:val="24"/>
          <w:szCs w:val="20"/>
        </w:rPr>
      </w:pPr>
      <w:r>
        <w:rPr>
          <w:rFonts w:hint="eastAsia" w:ascii="楷体_GB2312" w:hAnsi="楷体_GB2312" w:eastAsia="楷体_GB2312" w:cs="楷体_GB2312"/>
          <w:color w:val="auto"/>
          <w:kern w:val="0"/>
          <w:sz w:val="24"/>
          <w:szCs w:val="20"/>
        </w:rPr>
        <w:t>市区水文属淮河流域颍河水系，河道流域面积大于1000km</w:t>
      </w:r>
      <w:r>
        <w:rPr>
          <w:rFonts w:hint="eastAsia" w:ascii="楷体_GB2312" w:hAnsi="楷体_GB2312" w:eastAsia="楷体_GB2312" w:cs="楷体_GB2312"/>
          <w:color w:val="auto"/>
          <w:kern w:val="0"/>
          <w:sz w:val="24"/>
          <w:szCs w:val="20"/>
          <w:vertAlign w:val="superscript"/>
        </w:rPr>
        <w:t>2</w:t>
      </w:r>
      <w:r>
        <w:rPr>
          <w:rFonts w:hint="eastAsia" w:ascii="楷体_GB2312" w:hAnsi="楷体_GB2312" w:eastAsia="楷体_GB2312" w:cs="楷体_GB2312"/>
          <w:color w:val="auto"/>
          <w:kern w:val="0"/>
          <w:sz w:val="24"/>
          <w:szCs w:val="20"/>
        </w:rPr>
        <w:t>的有北汝河、颍河、双洎河、清潩河和沙河等5条，流域面积100－1000km</w:t>
      </w:r>
      <w:r>
        <w:rPr>
          <w:rFonts w:hint="eastAsia" w:ascii="楷体_GB2312" w:hAnsi="楷体_GB2312" w:eastAsia="楷体_GB2312" w:cs="楷体_GB2312"/>
          <w:color w:val="auto"/>
          <w:kern w:val="0"/>
          <w:sz w:val="24"/>
          <w:szCs w:val="20"/>
          <w:vertAlign w:val="superscript"/>
        </w:rPr>
        <w:t>2</w:t>
      </w:r>
      <w:r>
        <w:rPr>
          <w:rFonts w:hint="eastAsia" w:ascii="楷体_GB2312" w:hAnsi="楷体_GB2312" w:eastAsia="楷体_GB2312" w:cs="楷体_GB2312"/>
          <w:color w:val="auto"/>
          <w:kern w:val="0"/>
          <w:sz w:val="24"/>
          <w:szCs w:val="20"/>
        </w:rPr>
        <w:t>的有康沟河、灞陵河、小泥河等19条河流和众多支流，河道总长度约677公里，有大型水闸3座，中型水闸26座，大型水库1座，中型水库2座，小型水库44座。许昌市地表水主要河流有北汝河、颍河、双洎河、清潩河、沙河、清流河、灞陵河，地下水主要以浅层地下水为主，主要靠降水渗透补充。</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50" w:name="_Toc495586690"/>
      <w:bookmarkStart w:id="51" w:name="_Toc494903114"/>
      <w:bookmarkStart w:id="52" w:name="_Toc9976"/>
      <w:r>
        <w:rPr>
          <w:rFonts w:hint="eastAsia" w:ascii="楷体_GB2312" w:hAnsi="楷体_GB2312" w:eastAsia="楷体_GB2312" w:cs="楷体_GB2312"/>
          <w:b/>
          <w:bCs w:val="0"/>
          <w:color w:val="auto"/>
          <w:sz w:val="28"/>
        </w:rPr>
        <w:t>2.2社会经济</w:t>
      </w:r>
      <w:bookmarkEnd w:id="50"/>
      <w:bookmarkEnd w:id="51"/>
      <w:bookmarkEnd w:id="52"/>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53" w:name="_Toc494903115"/>
      <w:bookmarkStart w:id="54" w:name="_Toc495586691"/>
      <w:r>
        <w:rPr>
          <w:rFonts w:hint="eastAsia" w:ascii="楷体_GB2312" w:hAnsi="楷体_GB2312" w:eastAsia="楷体_GB2312" w:cs="楷体_GB2312"/>
          <w:b/>
          <w:color w:val="auto"/>
          <w:sz w:val="24"/>
          <w:szCs w:val="24"/>
        </w:rPr>
        <w:t>2.2.1历史沿革</w:t>
      </w:r>
      <w:bookmarkEnd w:id="53"/>
      <w:bookmarkEnd w:id="54"/>
    </w:p>
    <w:p>
      <w:pPr>
        <w:spacing w:line="360" w:lineRule="auto"/>
        <w:ind w:firstLine="480" w:firstLineChars="200"/>
        <w:rPr>
          <w:rFonts w:hint="eastAsia" w:ascii="楷体_GB2312" w:hAnsi="楷体_GB2312" w:eastAsia="楷体_GB2312" w:cs="楷体_GB2312"/>
          <w:color w:val="auto"/>
          <w:kern w:val="0"/>
          <w:sz w:val="24"/>
          <w:szCs w:val="20"/>
        </w:rPr>
      </w:pPr>
      <w:r>
        <w:rPr>
          <w:rFonts w:hint="eastAsia" w:ascii="楷体_GB2312" w:hAnsi="楷体_GB2312" w:eastAsia="楷体_GB2312" w:cs="楷体_GB2312"/>
          <w:color w:val="auto"/>
          <w:kern w:val="0"/>
          <w:sz w:val="24"/>
          <w:szCs w:val="20"/>
        </w:rPr>
        <w:t>许昌是一座具有悠久历史的文化名城。相传远古时代许由率领当地部落人群，在此拓荒耕田、构屋生息，从此，这一地区被人们称为“许”地，把开垦过的土地叫作“许田”（今许田村），这就是“许”字作为地名的首次出现。夏代，许地属豫州之地。公元前１世纪，周武王册封太岳伯夷、文叔于此称侯，建立许国。战国时许国封地为韩国所有。秦始皇统一六国，废除分封制，推行郡县制，许地始称许县，隶属颍川郡。汉袭秦制。公元196年，曹操迎汉献帝刘协在此建都，一举将许县变成了当时中国北方的政治、经济、文化中心。公元220年曹丕接受汉献帝的禅让，建立了魏国。由于魏基许于昌，故改名为许昌，并诏告天下，列许昌为“五都”之一。从西晋开始，许昌虽降为一般州县，但从南北朝直至清代，都是中州腹地的军事、文化重地。清雍正二年升为直隶州，十三年又升为许州府，乾隆六年变为直隶州。民国时，为第五行政督察专员公署所在地。1947年11月20日，许昌解放。1948年9月成立了许昌市人民政府，始划市县。许昌市区为行署所在地。1986年4月，根据国务院行政区划调整的批示，许昌市升格为地级省辖市，辖禹州、长葛二市和许昌、鄢陵二县及魏都区， 1997年8月25日，襄城县从平顶山市划入许昌市。</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55" w:name="_Toc495586692"/>
      <w:bookmarkStart w:id="56" w:name="_Toc494903116"/>
      <w:r>
        <w:rPr>
          <w:rFonts w:hint="eastAsia" w:ascii="楷体_GB2312" w:hAnsi="楷体_GB2312" w:eastAsia="楷体_GB2312" w:cs="楷体_GB2312"/>
          <w:b/>
          <w:color w:val="auto"/>
          <w:sz w:val="24"/>
          <w:szCs w:val="24"/>
        </w:rPr>
        <w:t>2.2.2经济发展</w:t>
      </w:r>
      <w:bookmarkEnd w:id="55"/>
      <w:bookmarkEnd w:id="56"/>
    </w:p>
    <w:p>
      <w:pPr>
        <w:spacing w:line="360" w:lineRule="auto"/>
        <w:ind w:firstLine="480" w:firstLineChars="200"/>
        <w:rPr>
          <w:rFonts w:hint="eastAsia" w:ascii="楷体_GB2312" w:hAnsi="楷体_GB2312" w:eastAsia="楷体_GB2312" w:cs="楷体_GB2312"/>
          <w:color w:val="auto"/>
          <w:kern w:val="0"/>
          <w:sz w:val="24"/>
          <w:szCs w:val="20"/>
        </w:rPr>
      </w:pPr>
      <w:r>
        <w:rPr>
          <w:rFonts w:hint="eastAsia" w:ascii="楷体_GB2312" w:hAnsi="楷体_GB2312" w:eastAsia="楷体_GB2312" w:cs="楷体_GB2312"/>
          <w:color w:val="auto"/>
          <w:kern w:val="0"/>
          <w:sz w:val="24"/>
          <w:szCs w:val="20"/>
        </w:rPr>
        <w:t>2014年，许昌市全市国内生产总值2108亿元，比上年增长9.3%。其中，第一产业增加值67.5亿元，下降1.9%；第二产业增加值239.84亿元，增长19.3%；三次产业结构调整8.85:60.76:30.39（全国9.2:42.6:48.2，全省11.9:51:37.1），第二产业发展稳定，第三产业逐步壮大；第三产业增加值104.3亿元，增长12.3%。限额以上工业企业增加值115.7亿元，增长18.8%。三产业结构比为：16.4:58.2:25.4。2014年地方财政一般预算收入11.5亿元，增长23.5%。全市人均生产总值9229元，比全国人均国内生产总值（9073）多156元；城镇居民人均可支配收入6992元，农民人均纯收入2880元，在河南省18个地级城市中居第四位。城镇居民人均收入23753元，农民人均纯收入12140元。</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57" w:name="_Toc495586693"/>
      <w:bookmarkStart w:id="58" w:name="_Toc494903117"/>
      <w:r>
        <w:rPr>
          <w:rFonts w:hint="eastAsia" w:ascii="楷体_GB2312" w:hAnsi="楷体_GB2312" w:eastAsia="楷体_GB2312" w:cs="楷体_GB2312"/>
          <w:b/>
          <w:color w:val="auto"/>
          <w:sz w:val="24"/>
          <w:szCs w:val="24"/>
        </w:rPr>
        <w:t>2.2.3城市建设</w:t>
      </w:r>
      <w:bookmarkEnd w:id="57"/>
      <w:bookmarkEnd w:id="58"/>
    </w:p>
    <w:p>
      <w:pPr>
        <w:spacing w:line="360" w:lineRule="auto"/>
        <w:ind w:firstLine="480" w:firstLineChars="200"/>
        <w:jc w:val="left"/>
        <w:rPr>
          <w:rFonts w:hint="eastAsia" w:ascii="楷体_GB2312" w:hAnsi="楷体_GB2312" w:eastAsia="楷体_GB2312" w:cs="楷体_GB2312"/>
          <w:color w:val="auto"/>
          <w:kern w:val="0"/>
          <w:sz w:val="24"/>
          <w:szCs w:val="20"/>
        </w:rPr>
      </w:pPr>
      <w:r>
        <w:rPr>
          <w:rFonts w:hint="eastAsia" w:ascii="楷体_GB2312" w:hAnsi="楷体_GB2312" w:eastAsia="楷体_GB2312" w:cs="楷体_GB2312"/>
          <w:color w:val="auto"/>
          <w:kern w:val="0"/>
          <w:sz w:val="24"/>
          <w:szCs w:val="20"/>
        </w:rPr>
        <w:drawing>
          <wp:anchor distT="0" distB="0" distL="0" distR="0" simplePos="0" relativeHeight="257510400" behindDoc="0" locked="0" layoutInCell="1" allowOverlap="1">
            <wp:simplePos x="0" y="0"/>
            <wp:positionH relativeFrom="column">
              <wp:posOffset>3155315</wp:posOffset>
            </wp:positionH>
            <wp:positionV relativeFrom="paragraph">
              <wp:posOffset>143510</wp:posOffset>
            </wp:positionV>
            <wp:extent cx="2550795" cy="1800225"/>
            <wp:effectExtent l="0" t="0" r="1905" b="9525"/>
            <wp:wrapSquare wrapText="bothSides"/>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2550795" cy="1800225"/>
                    </a:xfrm>
                    <a:prstGeom prst="rect">
                      <a:avLst/>
                    </a:prstGeom>
                  </pic:spPr>
                </pic:pic>
              </a:graphicData>
            </a:graphic>
          </wp:anchor>
        </w:drawing>
      </w:r>
      <w:r>
        <w:rPr>
          <w:rFonts w:hint="eastAsia" w:ascii="楷体_GB2312" w:hAnsi="楷体_GB2312" w:eastAsia="楷体_GB2312" w:cs="楷体_GB2312"/>
          <w:color w:val="auto"/>
          <w:kern w:val="0"/>
          <w:sz w:val="24"/>
          <w:szCs w:val="20"/>
        </w:rPr>
        <w:t xml:space="preserve">许昌市城市用地发展方向经历了一个先向西，然后向南和东，进一步跨越清潩河向东、向北寻找发展空间的过程。至2014年，许昌市主城区建设用地规模达到97.05km2，人口规模为88.26万人。“十一五、十二五”期间京珠高速、永登高速、兰南高速、武西高速、三洋铁路等重大建设项目建设，突破性的强化了许昌市地处豫中南优越的区位优势。在2005版总体规划的指导下，城市发展方向明显突出了东移北上的指导思想。许昌市城乡一体化示范区已上升为全省战略，规划建设正在加快推进。城市基础建设力度加大，许都大剧院、文博馆、体育馆等标志性文化工程和许长城际道路、魏武大道、天宝路等一批重大城市基础设施建成投入使用。 </w:t>
      </w:r>
    </w:p>
    <w:p>
      <w:pPr>
        <w:spacing w:line="360" w:lineRule="auto"/>
        <w:ind w:firstLine="480" w:firstLineChars="200"/>
        <w:jc w:val="left"/>
        <w:rPr>
          <w:rFonts w:hint="eastAsia" w:ascii="楷体_GB2312" w:hAnsi="楷体_GB2312" w:eastAsia="楷体_GB2312" w:cs="楷体_GB2312"/>
          <w:color w:val="auto"/>
          <w:kern w:val="0"/>
          <w:sz w:val="24"/>
          <w:szCs w:val="20"/>
        </w:rPr>
      </w:pPr>
      <w:r>
        <w:rPr>
          <w:rFonts w:hint="eastAsia" w:ascii="楷体_GB2312" w:hAnsi="楷体_GB2312" w:eastAsia="楷体_GB2312" w:cs="楷体_GB2312"/>
          <w:color w:val="auto"/>
          <w:kern w:val="0"/>
          <w:sz w:val="24"/>
          <w:szCs w:val="20"/>
        </w:rPr>
        <w:drawing>
          <wp:anchor distT="0" distB="0" distL="0" distR="0" simplePos="0" relativeHeight="257511424" behindDoc="0" locked="0" layoutInCell="1" allowOverlap="1">
            <wp:simplePos x="0" y="0"/>
            <wp:positionH relativeFrom="column">
              <wp:posOffset>-1270</wp:posOffset>
            </wp:positionH>
            <wp:positionV relativeFrom="paragraph">
              <wp:posOffset>80010</wp:posOffset>
            </wp:positionV>
            <wp:extent cx="2836545" cy="1800225"/>
            <wp:effectExtent l="0" t="0" r="1905" b="9525"/>
            <wp:wrapSquare wrapText="bothSides"/>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11">
                      <a:extLst>
                        <a:ext uri="{28A0092B-C50C-407E-A947-70E740481C1C}">
                          <a14:useLocalDpi xmlns:a14="http://schemas.microsoft.com/office/drawing/2010/main" val="0"/>
                        </a:ext>
                      </a:extLst>
                    </a:blip>
                    <a:srcRect b="10999"/>
                    <a:stretch>
                      <a:fillRect/>
                    </a:stretch>
                  </pic:blipFill>
                  <pic:spPr>
                    <a:xfrm>
                      <a:off x="0" y="0"/>
                      <a:ext cx="2836545" cy="1800225"/>
                    </a:xfrm>
                    <a:prstGeom prst="rect">
                      <a:avLst/>
                    </a:prstGeom>
                  </pic:spPr>
                </pic:pic>
              </a:graphicData>
            </a:graphic>
          </wp:anchor>
        </w:drawing>
      </w:r>
      <w:r>
        <w:rPr>
          <w:rFonts w:hint="eastAsia" w:ascii="楷体_GB2312" w:hAnsi="楷体_GB2312" w:eastAsia="楷体_GB2312" w:cs="楷体_GB2312"/>
          <w:color w:val="auto"/>
          <w:kern w:val="0"/>
          <w:sz w:val="24"/>
          <w:szCs w:val="20"/>
        </w:rPr>
        <w:t>城市功能得到了进一步的完善，基础设施能力大大增强，目前城市建设了三座自来水厂，供水能力达29万吨，建成2座污水处理厂，污水处理能力达12万吨／日，污水管网正在逐步加以配套；城市道路总长度203公里，人均道路面积17.1平方米／人，38公里长的城市快速通道—外环路基本建成，现有公交运营线路23条，万人拥有公交车辆12标台；城市环卫设施已建成垃圾无害化处理厂一座，新建改建水冲公厕110座，垃圾中转站建成34座，垃圾清运率达100％。</w:t>
      </w:r>
    </w:p>
    <w:p>
      <w:pPr>
        <w:spacing w:line="360" w:lineRule="auto"/>
        <w:ind w:firstLine="480" w:firstLineChars="200"/>
        <w:jc w:val="left"/>
        <w:rPr>
          <w:rFonts w:hint="eastAsia" w:ascii="楷体_GB2312" w:hAnsi="楷体_GB2312" w:eastAsia="楷体_GB2312" w:cs="楷体_GB2312"/>
          <w:color w:val="auto"/>
          <w:kern w:val="0"/>
          <w:sz w:val="24"/>
          <w:szCs w:val="20"/>
        </w:rPr>
      </w:pPr>
      <w:r>
        <w:rPr>
          <w:rFonts w:hint="eastAsia" w:ascii="楷体_GB2312" w:hAnsi="楷体_GB2312" w:eastAsia="楷体_GB2312" w:cs="楷体_GB2312"/>
          <w:color w:val="auto"/>
          <w:kern w:val="0"/>
          <w:sz w:val="24"/>
          <w:szCs w:val="20"/>
        </w:rPr>
        <mc:AlternateContent>
          <mc:Choice Requires="wps">
            <w:drawing>
              <wp:anchor distT="0" distB="0" distL="114300" distR="114300" simplePos="0" relativeHeight="257509376" behindDoc="0" locked="0" layoutInCell="1" allowOverlap="1">
                <wp:simplePos x="0" y="0"/>
                <wp:positionH relativeFrom="column">
                  <wp:align>center</wp:align>
                </wp:positionH>
                <wp:positionV relativeFrom="paragraph">
                  <wp:posOffset>0</wp:posOffset>
                </wp:positionV>
                <wp:extent cx="4802505" cy="1526540"/>
                <wp:effectExtent l="0" t="0" r="0" b="0"/>
                <wp:wrapNone/>
                <wp:docPr id="30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4802588" cy="1526651"/>
                        </a:xfrm>
                        <a:prstGeom prst="rect">
                          <a:avLst/>
                        </a:prstGeom>
                        <a:noFill/>
                        <a:ln w="9525">
                          <a:noFill/>
                          <a:miter lim="800000"/>
                        </a:ln>
                      </wps:spPr>
                      <wps:txbx>
                        <w:txbxContent>
                          <w:p>
                            <w:pPr>
                              <w:jc w:val="center"/>
                            </w:pP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top:0pt;height:120.2pt;width:378.15pt;mso-position-horizontal:center;z-index:257509376;mso-width-relative:page;mso-height-relative:page;" filled="f" stroked="f" coordsize="21600,21600" o:gfxdata="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CeeAeNQAAAAFAQAADwAAAAAAAAABACAAAAAiAAAA&#10;ZHJzL2Rvd25yZXYueG1sUEsBAhQAFAAAAAgAh07iQFxe6OoLAgAA3gMAAA4AAAAAAAAAAQAgAAAA&#10;IwEAAGRycy9lMm9Eb2MueG1sUEsFBgAAAAAGAAYAWQEAAKAFAAAAAA==&#10;">
                <v:fill on="f" focussize="0,0"/>
                <v:stroke on="f" miterlimit="8" joinstyle="miter"/>
                <v:imagedata o:title=""/>
                <o:lock v:ext="edit" aspectratio="f"/>
                <v:textbox>
                  <w:txbxContent>
                    <w:p>
                      <w:pPr>
                        <w:jc w:val="center"/>
                      </w:pPr>
                    </w:p>
                  </w:txbxContent>
                </v:textbox>
              </v:shape>
            </w:pict>
          </mc:Fallback>
        </mc:AlternateContent>
      </w:r>
    </w:p>
    <w:p>
      <w:pPr>
        <w:spacing w:line="360" w:lineRule="auto"/>
        <w:ind w:firstLine="480" w:firstLineChars="200"/>
        <w:jc w:val="left"/>
        <w:rPr>
          <w:rFonts w:hint="eastAsia" w:ascii="楷体_GB2312" w:hAnsi="楷体_GB2312" w:eastAsia="楷体_GB2312" w:cs="楷体_GB2312"/>
          <w:color w:val="auto"/>
          <w:kern w:val="0"/>
          <w:sz w:val="24"/>
          <w:szCs w:val="20"/>
        </w:rPr>
      </w:pPr>
    </w:p>
    <w:p>
      <w:pPr>
        <w:spacing w:line="360" w:lineRule="auto"/>
        <w:ind w:firstLine="480" w:firstLineChars="200"/>
        <w:jc w:val="left"/>
        <w:rPr>
          <w:rFonts w:hint="eastAsia" w:ascii="楷体_GB2312" w:hAnsi="楷体_GB2312" w:eastAsia="楷体_GB2312" w:cs="楷体_GB2312"/>
          <w:color w:val="auto"/>
          <w:kern w:val="0"/>
          <w:sz w:val="24"/>
          <w:szCs w:val="20"/>
        </w:rPr>
      </w:pPr>
    </w:p>
    <w:p>
      <w:pPr>
        <w:keepNext/>
        <w:keepLines/>
        <w:pageBreakBefore w:val="0"/>
        <w:widowControl w:val="0"/>
        <w:numPr>
          <w:ilvl w:val="0"/>
          <w:numId w:val="0"/>
        </w:numPr>
        <w:tabs>
          <w:tab w:val="left" w:pos="600"/>
        </w:tabs>
        <w:kinsoku/>
        <w:wordWrap/>
        <w:overflowPunct/>
        <w:topLinePunct w:val="0"/>
        <w:autoSpaceDE/>
        <w:autoSpaceDN/>
        <w:bidi w:val="0"/>
        <w:adjustRightInd/>
        <w:snapToGrid/>
        <w:spacing w:before="340" w:beforeLines="0" w:after="340" w:afterLines="0" w:line="360" w:lineRule="auto"/>
        <w:ind w:left="0" w:leftChars="0" w:right="0" w:rightChars="0" w:firstLine="0" w:firstLineChars="0"/>
        <w:jc w:val="center"/>
        <w:textAlignment w:val="auto"/>
        <w:outlineLvl w:val="9"/>
        <w:rPr>
          <w:rFonts w:hint="eastAsia" w:ascii="楷体_GB2312" w:hAnsi="楷体_GB2312" w:eastAsia="楷体_GB2312" w:cs="楷体_GB2312"/>
          <w:color w:val="auto"/>
          <w:szCs w:val="32"/>
        </w:rPr>
      </w:pPr>
      <w:bookmarkStart w:id="59" w:name="_Toc494903118"/>
      <w:bookmarkStart w:id="60" w:name="_Toc29338"/>
      <w:bookmarkStart w:id="61" w:name="_Toc19620"/>
      <w:bookmarkStart w:id="62" w:name="_Toc495586694"/>
    </w:p>
    <w:p>
      <w:pPr>
        <w:pStyle w:val="4"/>
        <w:keepNext/>
        <w:keepLines/>
        <w:pageBreakBefore w:val="0"/>
        <w:widowControl w:val="0"/>
        <w:numPr>
          <w:ilvl w:val="0"/>
          <w:numId w:val="0"/>
        </w:numPr>
        <w:tabs>
          <w:tab w:val="left" w:pos="600"/>
          <w:tab w:val="clear" w:pos="1695"/>
        </w:tabs>
        <w:kinsoku/>
        <w:wordWrap/>
        <w:overflowPunct/>
        <w:topLinePunct w:val="0"/>
        <w:autoSpaceDE/>
        <w:autoSpaceDN/>
        <w:bidi w:val="0"/>
        <w:adjustRightInd/>
        <w:snapToGrid/>
        <w:spacing w:before="340" w:after="340" w:line="360" w:lineRule="auto"/>
        <w:ind w:left="0" w:leftChars="0" w:right="0" w:rightChars="0" w:firstLine="0" w:firstLineChars="0"/>
        <w:jc w:val="center"/>
        <w:textAlignment w:val="auto"/>
        <w:outlineLvl w:val="2"/>
        <w:rPr>
          <w:rFonts w:hint="eastAsia" w:ascii="楷体_GB2312" w:hAnsi="楷体_GB2312" w:eastAsia="楷体_GB2312" w:cs="楷体_GB2312"/>
          <w:color w:val="auto"/>
          <w:szCs w:val="32"/>
        </w:rPr>
      </w:pPr>
      <w:r>
        <w:rPr>
          <w:rFonts w:hint="eastAsia" w:ascii="楷体_GB2312" w:hAnsi="楷体_GB2312" w:eastAsia="楷体_GB2312" w:cs="楷体_GB2312"/>
          <w:color w:val="auto"/>
          <w:szCs w:val="32"/>
        </w:rPr>
        <w:t>第三章 现状</w:t>
      </w:r>
      <w:bookmarkEnd w:id="59"/>
      <w:r>
        <w:rPr>
          <w:rFonts w:hint="eastAsia" w:ascii="楷体_GB2312" w:hAnsi="楷体_GB2312" w:eastAsia="楷体_GB2312" w:cs="楷体_GB2312"/>
          <w:color w:val="auto"/>
          <w:szCs w:val="32"/>
        </w:rPr>
        <w:t>管线综合评估</w:t>
      </w:r>
      <w:bookmarkEnd w:id="60"/>
      <w:bookmarkEnd w:id="61"/>
      <w:bookmarkEnd w:id="62"/>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63" w:name="_Toc32307"/>
      <w:bookmarkStart w:id="64" w:name="_Toc495586695"/>
      <w:bookmarkStart w:id="65" w:name="_Toc494903119"/>
      <w:r>
        <w:rPr>
          <w:rFonts w:hint="eastAsia" w:ascii="楷体_GB2312" w:hAnsi="楷体_GB2312" w:eastAsia="楷体_GB2312" w:cs="楷体_GB2312"/>
          <w:b/>
          <w:bCs w:val="0"/>
          <w:color w:val="auto"/>
          <w:sz w:val="28"/>
        </w:rPr>
        <w:t>3.1道路工程</w:t>
      </w:r>
      <w:bookmarkEnd w:id="63"/>
      <w:bookmarkEnd w:id="64"/>
      <w:bookmarkEnd w:id="65"/>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主城区现状道路与交通设施用地1547公顷，占建设用地的15.94%，人均道路与交通设施用地面积为17.53m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/人。现状已建主、次、支路长度分别为168.73km、119.71km、89.55km，路网密度依次为1.99km/km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，1.41km/km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，1.06km/km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近几年，许昌市在道路建设方面进行了很大投入，新建和拓宽了许多道路，主城区“方格网+环路”格局的干道网络已基本形成。贯穿城市各功能组团的东西向主要道路共有七条，分别为新元大道、天宝路、八一路、建安大道、许继大道-颍昌大道-七一路（建设路）-莲城大道、新兴路、许由路。贯穿城市各功能组团南北向的主要道路共有八条，分别为延安路、解放路、五一路、劳动路-颍昌大道-南关大街、文峰路、魏文路、学院路、魏武大道。现状外环路由永昌路、西外路、南外环、许州路组成。</w:t>
      </w:r>
    </w:p>
    <w:p>
      <w:pPr>
        <w:spacing w:line="360" w:lineRule="auto"/>
        <w:ind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4083685" cy="3649345"/>
            <wp:effectExtent l="0" t="0" r="0" b="825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12">
                      <a:extLst>
                        <a:ext uri="{28A0092B-C50C-407E-A947-70E740481C1C}">
                          <a14:useLocalDpi xmlns:a14="http://schemas.microsoft.com/office/drawing/2010/main" val="0"/>
                        </a:ext>
                      </a:extLst>
                    </a:blip>
                    <a:srcRect l="21049" t="14689" r="11017" b="9416"/>
                    <a:stretch>
                      <a:fillRect/>
                    </a:stretch>
                  </pic:blipFill>
                  <pic:spPr>
                    <a:xfrm>
                      <a:off x="0" y="0"/>
                      <a:ext cx="4085516" cy="3651175"/>
                    </a:xfrm>
                    <a:prstGeom prst="rect">
                      <a:avLst/>
                    </a:prstGeom>
                    <a:ln>
                      <a:noFill/>
                    </a:ln>
                  </pic:spPr>
                </pic:pic>
              </a:graphicData>
            </a:graphic>
          </wp:inline>
        </w:drawing>
      </w:r>
    </w:p>
    <w:p>
      <w:pPr>
        <w:tabs>
          <w:tab w:val="left" w:pos="720"/>
        </w:tabs>
        <w:spacing w:line="360" w:lineRule="auto"/>
        <w:ind w:firstLine="420" w:firstLineChars="200"/>
        <w:jc w:val="center"/>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主城区现状道路网</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总体来看，道路网络不健全，系统功能不明确，部分道路运行效率较低。主要表现在以下方面：</w:t>
      </w:r>
    </w:p>
    <w:p>
      <w:pPr>
        <w:spacing w:line="360" w:lineRule="auto"/>
        <w:ind w:left="480"/>
        <w:rPr>
          <w:rFonts w:hint="eastAsia" w:ascii="楷体_GB2312" w:hAnsi="楷体_GB2312" w:eastAsia="楷体_GB2312" w:cs="楷体_GB2312"/>
          <w:b/>
          <w:bCs/>
          <w:color w:val="auto"/>
          <w:sz w:val="24"/>
        </w:rPr>
      </w:pPr>
      <w:r>
        <w:rPr>
          <w:rFonts w:hint="eastAsia" w:ascii="楷体_GB2312" w:hAnsi="楷体_GB2312" w:eastAsia="楷体_GB2312" w:cs="楷体_GB2312"/>
          <w:b/>
          <w:bCs/>
          <w:color w:val="auto"/>
          <w:sz w:val="24"/>
        </w:rPr>
        <w:t>1、路网中道路级别分配不合理</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现状城市路网构成不合理，与规范建议的道路网密度指标相比，主干路路网密度偏高，次干路路网密度基本符合要求，而支路路网密度则偏低。市内交通无法形成由支路收集、逐级汇入城市主干路的有序格局。</w:t>
      </w:r>
    </w:p>
    <w:p>
      <w:pPr>
        <w:spacing w:line="360" w:lineRule="auto"/>
        <w:ind w:left="480"/>
        <w:rPr>
          <w:rFonts w:hint="eastAsia" w:ascii="楷体_GB2312" w:hAnsi="楷体_GB2312" w:eastAsia="楷体_GB2312" w:cs="楷体_GB2312"/>
          <w:b/>
          <w:bCs/>
          <w:color w:val="auto"/>
          <w:sz w:val="24"/>
          <w:szCs w:val="22"/>
        </w:rPr>
      </w:pPr>
      <w:r>
        <w:rPr>
          <w:rFonts w:hint="eastAsia" w:ascii="楷体_GB2312" w:hAnsi="楷体_GB2312" w:eastAsia="楷体_GB2312" w:cs="楷体_GB2312"/>
          <w:b/>
          <w:bCs/>
          <w:color w:val="auto"/>
          <w:sz w:val="24"/>
          <w:szCs w:val="22"/>
        </w:rPr>
        <w:t>2、道路受分割比较严重，缺乏贯通性的道路</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受京广铁路、清潩河、京港澳高速和曹魏古城等阻隔，城市东西向交通联系较弱，并存在多处断头路，道路“通”的功能未能充分发挥，增加了周边路网的交通压力，降低了路网的整体效能。</w:t>
      </w:r>
    </w:p>
    <w:p>
      <w:pPr>
        <w:spacing w:line="360" w:lineRule="auto"/>
        <w:ind w:left="480"/>
        <w:rPr>
          <w:rFonts w:hint="eastAsia" w:ascii="楷体_GB2312" w:hAnsi="楷体_GB2312" w:eastAsia="楷体_GB2312" w:cs="楷体_GB2312"/>
          <w:b/>
          <w:bCs/>
          <w:color w:val="auto"/>
          <w:sz w:val="24"/>
          <w:szCs w:val="22"/>
        </w:rPr>
      </w:pPr>
      <w:r>
        <w:rPr>
          <w:rFonts w:hint="eastAsia" w:ascii="楷体_GB2312" w:hAnsi="楷体_GB2312" w:eastAsia="楷体_GB2312" w:cs="楷体_GB2312"/>
          <w:b/>
          <w:bCs/>
          <w:color w:val="auto"/>
          <w:sz w:val="24"/>
          <w:szCs w:val="22"/>
        </w:rPr>
        <w:t>3、系统功能不完善、大量道路功能定位不够明确</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缺少分离建成区穿越性交通的快速道路，城市道路的功能不够清晰，交通混行，相互干扰，且部分次干道执行的是主干道功能，尤其是在老城区，道路功能错位造成城市中心压力过大。</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66" w:name="_Toc495586696"/>
      <w:bookmarkStart w:id="67" w:name="_Toc17434"/>
      <w:bookmarkStart w:id="68" w:name="_Toc494903120"/>
      <w:r>
        <w:rPr>
          <w:rFonts w:hint="eastAsia" w:ascii="楷体_GB2312" w:hAnsi="楷体_GB2312" w:eastAsia="楷体_GB2312" w:cs="楷体_GB2312"/>
          <w:b/>
          <w:bCs w:val="0"/>
          <w:color w:val="auto"/>
          <w:sz w:val="28"/>
        </w:rPr>
        <w:t>3.2管线工程</w:t>
      </w:r>
      <w:bookmarkEnd w:id="66"/>
      <w:bookmarkEnd w:id="67"/>
      <w:bookmarkEnd w:id="68"/>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69" w:name="_Toc494903121"/>
      <w:bookmarkStart w:id="70" w:name="_Toc495586697"/>
      <w:r>
        <w:rPr>
          <w:rFonts w:hint="eastAsia" w:ascii="楷体_GB2312" w:hAnsi="楷体_GB2312" w:eastAsia="楷体_GB2312" w:cs="楷体_GB2312"/>
          <w:b/>
          <w:color w:val="auto"/>
          <w:sz w:val="24"/>
          <w:szCs w:val="24"/>
        </w:rPr>
        <w:t>3.2.1给水工程</w:t>
      </w:r>
      <w:bookmarkEnd w:id="69"/>
      <w:bookmarkEnd w:id="70"/>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textAlignment w:val="auto"/>
        <w:outlineLvl w:val="9"/>
        <w:rPr>
          <w:rFonts w:hint="eastAsia" w:ascii="楷体_GB2312" w:hAnsi="楷体_GB2312" w:eastAsia="楷体_GB2312" w:cs="楷体_GB2312"/>
          <w:b/>
          <w:bCs/>
          <w:color w:val="auto"/>
          <w:sz w:val="24"/>
          <w:szCs w:val="32"/>
        </w:rPr>
      </w:pPr>
      <w:bookmarkStart w:id="71" w:name="_Toc494903122"/>
      <w:r>
        <w:rPr>
          <w:rFonts w:hint="eastAsia" w:ascii="楷体_GB2312" w:hAnsi="楷体_GB2312" w:eastAsia="楷体_GB2312" w:cs="楷体_GB2312"/>
          <w:b/>
          <w:bCs/>
          <w:color w:val="auto"/>
          <w:sz w:val="24"/>
          <w:szCs w:val="32"/>
        </w:rPr>
        <w:t>1. 现状概况</w:t>
      </w:r>
      <w:bookmarkEnd w:id="71"/>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（1）水厂现状</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楷体_GB2312" w:hAnsi="楷体_GB2312" w:eastAsia="楷体_GB2312" w:cs="楷体_GB2312"/>
          <w:color w:val="auto"/>
          <w:sz w:val="24"/>
        </w:rPr>
      </w:pPr>
      <w:bookmarkStart w:id="72" w:name="OLE_LINK2"/>
      <w:bookmarkStart w:id="73" w:name="OLE_LINK1"/>
      <w:r>
        <w:rPr>
          <w:rFonts w:hint="eastAsia" w:ascii="楷体_GB2312" w:hAnsi="楷体_GB2312" w:eastAsia="楷体_GB2312" w:cs="楷体_GB2312"/>
          <w:color w:val="auto"/>
          <w:sz w:val="24"/>
        </w:rPr>
        <w:t>许昌市区现有3座自来水厂，</w:t>
      </w:r>
      <w:bookmarkEnd w:id="72"/>
      <w:bookmarkEnd w:id="73"/>
      <w:r>
        <w:rPr>
          <w:rFonts w:hint="eastAsia" w:ascii="楷体_GB2312" w:hAnsi="楷体_GB2312" w:eastAsia="楷体_GB2312" w:cs="楷体_GB2312"/>
          <w:color w:val="auto"/>
          <w:sz w:val="24"/>
        </w:rPr>
        <w:t>其中地表水处理厂1座(周庄水厂)，地下水处理厂2座(董庄水厂和二水厂)，日总供水能力29万m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。周庄水厂位于市区许继大道西段，设计规模10万m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/d，供水压力0.40MPa，原水取自颖汝干渠。董庄水厂和二水厂原水均取自麦岭水源地，为深层地下水源，经二次加压后通过DN1200管道输送到董庄水厂和二水厂清水池。董庄水厂位于延安路南段，设计规模5万m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/d，供水压力0.34MPa。二水厂位于瑞贝卡大道，设计规模14万m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/d，供水压力0.36MPa。</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center"/>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2400300" cy="1800225"/>
            <wp:effectExtent l="0" t="0" r="0" b="952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00300" cy="1800225"/>
                    </a:xfrm>
                    <a:prstGeom prst="rect">
                      <a:avLst/>
                    </a:prstGeom>
                  </pic:spPr>
                </pic:pic>
              </a:graphicData>
            </a:graphic>
          </wp:inline>
        </w:drawing>
      </w:r>
      <w:r>
        <w:rPr>
          <w:rFonts w:hint="eastAsia" w:ascii="楷体_GB2312" w:hAnsi="楷体_GB2312" w:eastAsia="楷体_GB2312" w:cs="楷体_GB2312"/>
          <w:color w:val="auto"/>
          <w:sz w:val="24"/>
        </w:rPr>
        <w:t xml:space="preserve"> </w:t>
      </w:r>
      <w:r>
        <w:rPr>
          <w:rFonts w:hint="eastAsia" w:ascii="楷体_GB2312" w:hAnsi="楷体_GB2312" w:eastAsia="楷体_GB2312" w:cs="楷体_GB2312"/>
          <w:color w:val="auto"/>
          <w:sz w:val="24"/>
        </w:rPr>
        <w:drawing>
          <wp:inline distT="0" distB="0" distL="0" distR="0">
            <wp:extent cx="2400300" cy="1800225"/>
            <wp:effectExtent l="0" t="0" r="0" b="952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00300" cy="1800225"/>
                    </a:xfrm>
                    <a:prstGeom prst="rect">
                      <a:avLst/>
                    </a:prstGeom>
                  </pic:spPr>
                </pic:pic>
              </a:graphicData>
            </a:graphic>
          </wp:inline>
        </w:drawing>
      </w:r>
    </w:p>
    <w:p>
      <w:pPr>
        <w:keepNext w:val="0"/>
        <w:keepLines w:val="0"/>
        <w:pageBreakBefore w:val="0"/>
        <w:widowControl w:val="0"/>
        <w:tabs>
          <w:tab w:val="left" w:pos="720"/>
        </w:tabs>
        <w:kinsoku/>
        <w:wordWrap/>
        <w:overflowPunct/>
        <w:topLinePunct w:val="0"/>
        <w:autoSpaceDE/>
        <w:autoSpaceDN/>
        <w:bidi w:val="0"/>
        <w:adjustRightInd/>
        <w:snapToGrid/>
        <w:spacing w:line="360" w:lineRule="auto"/>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周庄水厂                         董庄水厂</w:t>
      </w:r>
    </w:p>
    <w:p>
      <w:pPr>
        <w:keepNext w:val="0"/>
        <w:keepLines w:val="0"/>
        <w:pageBreakBefore w:val="0"/>
        <w:widowControl w:val="0"/>
        <w:tabs>
          <w:tab w:val="left" w:pos="720"/>
        </w:tabs>
        <w:kinsoku/>
        <w:wordWrap/>
        <w:overflowPunct/>
        <w:topLinePunct w:val="0"/>
        <w:autoSpaceDE/>
        <w:autoSpaceDN/>
        <w:bidi w:val="0"/>
        <w:adjustRightInd/>
        <w:snapToGrid/>
        <w:spacing w:line="360" w:lineRule="auto"/>
        <w:ind w:left="0" w:leftChars="0" w:right="0" w:rightChars="0"/>
        <w:jc w:val="both"/>
        <w:textAlignment w:val="auto"/>
        <w:outlineLvl w:val="9"/>
        <w:rPr>
          <w:rFonts w:hint="eastAsia" w:ascii="楷体_GB2312" w:hAnsi="楷体_GB2312" w:eastAsia="楷体_GB2312" w:cs="楷体_GB2312"/>
          <w:b/>
          <w:color w:val="auto"/>
          <w:sz w:val="20"/>
          <w:szCs w:val="20"/>
          <w:lang w:bidi="ar"/>
        </w:rPr>
      </w:pPr>
    </w:p>
    <w:p>
      <w:pPr>
        <w:keepNext w:val="0"/>
        <w:keepLines w:val="0"/>
        <w:pageBreakBefore w:val="0"/>
        <w:widowControl w:val="0"/>
        <w:tabs>
          <w:tab w:val="left" w:pos="720"/>
        </w:tabs>
        <w:kinsoku/>
        <w:wordWrap/>
        <w:overflowPunct/>
        <w:topLinePunct w:val="0"/>
        <w:autoSpaceDE/>
        <w:autoSpaceDN/>
        <w:bidi w:val="0"/>
        <w:adjustRightInd/>
        <w:snapToGrid/>
        <w:spacing w:line="360" w:lineRule="auto"/>
        <w:ind w:left="0" w:leftChars="0" w:right="0" w:rightChars="0"/>
        <w:jc w:val="center"/>
        <w:textAlignment w:val="auto"/>
        <w:outlineLvl w:val="9"/>
        <w:rPr>
          <w:rFonts w:hint="eastAsia" w:ascii="楷体_GB2312" w:hAnsi="楷体_GB2312" w:eastAsia="楷体_GB2312" w:cs="楷体_GB2312"/>
          <w:b/>
          <w:color w:val="auto"/>
          <w:sz w:val="20"/>
          <w:szCs w:val="20"/>
          <w:lang w:bidi="ar"/>
        </w:rPr>
      </w:pPr>
      <w:r>
        <w:rPr>
          <w:rFonts w:hint="eastAsia" w:ascii="楷体_GB2312" w:hAnsi="楷体_GB2312" w:eastAsia="楷体_GB2312" w:cs="楷体_GB2312"/>
          <w:b/>
          <w:color w:val="auto"/>
          <w:sz w:val="20"/>
          <w:szCs w:val="20"/>
          <w:lang w:bidi="ar"/>
        </w:rPr>
        <w:t>主城区现状给水设施一览</w:t>
      </w:r>
    </w:p>
    <w:tbl>
      <w:tblPr>
        <w:tblStyle w:val="21"/>
        <w:tblW w:w="9004" w:type="dxa"/>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675"/>
        <w:gridCol w:w="1619"/>
        <w:gridCol w:w="1216"/>
        <w:gridCol w:w="1894"/>
        <w:gridCol w:w="1068"/>
        <w:gridCol w:w="1213"/>
        <w:gridCol w:w="1319"/>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blHeader/>
        </w:trPr>
        <w:tc>
          <w:tcPr>
            <w:tcW w:w="675" w:type="dxa"/>
            <w:tcBorders>
              <w:tl2br w:val="nil"/>
              <w:tr2bl w:val="nil"/>
            </w:tcBorders>
            <w:shd w:val="clear" w:color="auto" w:fill="C2D69B" w:themeFill="accent3" w:themeFillTint="99"/>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序号</w:t>
            </w:r>
          </w:p>
        </w:tc>
        <w:tc>
          <w:tcPr>
            <w:tcW w:w="1619" w:type="dxa"/>
            <w:tcBorders>
              <w:tl2br w:val="nil"/>
              <w:tr2bl w:val="nil"/>
            </w:tcBorders>
            <w:shd w:val="clear" w:color="auto" w:fill="C2D69B" w:themeFill="accent3" w:themeFillTint="99"/>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名称</w:t>
            </w:r>
          </w:p>
        </w:tc>
        <w:tc>
          <w:tcPr>
            <w:tcW w:w="1216" w:type="dxa"/>
            <w:tcBorders>
              <w:tl2br w:val="nil"/>
              <w:tr2bl w:val="nil"/>
            </w:tcBorders>
            <w:shd w:val="clear" w:color="auto" w:fill="C2D69B" w:themeFill="accent3" w:themeFillTint="99"/>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现状规模</w:t>
            </w:r>
          </w:p>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（万m³/d）</w:t>
            </w:r>
          </w:p>
        </w:tc>
        <w:tc>
          <w:tcPr>
            <w:tcW w:w="1894" w:type="dxa"/>
            <w:tcBorders>
              <w:tl2br w:val="nil"/>
              <w:tr2bl w:val="nil"/>
            </w:tcBorders>
            <w:shd w:val="clear" w:color="auto" w:fill="C2D69B" w:themeFill="accent3" w:themeFillTint="99"/>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水源</w:t>
            </w:r>
          </w:p>
        </w:tc>
        <w:tc>
          <w:tcPr>
            <w:tcW w:w="1068" w:type="dxa"/>
            <w:tcBorders>
              <w:tl2br w:val="nil"/>
              <w:tr2bl w:val="nil"/>
            </w:tcBorders>
            <w:shd w:val="clear" w:color="auto" w:fill="C2D69B" w:themeFill="accent3" w:themeFillTint="99"/>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水源水质</w:t>
            </w:r>
          </w:p>
        </w:tc>
        <w:tc>
          <w:tcPr>
            <w:tcW w:w="1213" w:type="dxa"/>
            <w:tcBorders>
              <w:tl2br w:val="nil"/>
              <w:tr2bl w:val="nil"/>
            </w:tcBorders>
            <w:shd w:val="clear" w:color="auto" w:fill="C2D69B" w:themeFill="accent3" w:themeFillTint="99"/>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供水压力（MPa）</w:t>
            </w:r>
          </w:p>
        </w:tc>
        <w:tc>
          <w:tcPr>
            <w:tcW w:w="1319" w:type="dxa"/>
            <w:tcBorders>
              <w:tl2br w:val="nil"/>
              <w:tr2bl w:val="nil"/>
            </w:tcBorders>
            <w:shd w:val="clear" w:color="auto" w:fill="C2D69B" w:themeFill="accent3" w:themeFillTint="99"/>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备注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c>
          <w:tcPr>
            <w:tcW w:w="67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w:t>
            </w:r>
          </w:p>
        </w:tc>
        <w:tc>
          <w:tcPr>
            <w:tcW w:w="161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周庄水厂</w:t>
            </w:r>
          </w:p>
        </w:tc>
        <w:tc>
          <w:tcPr>
            <w:tcW w:w="1216"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10</w:t>
            </w:r>
          </w:p>
        </w:tc>
        <w:tc>
          <w:tcPr>
            <w:tcW w:w="189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北汝河（地表水）、南水北调工程</w:t>
            </w:r>
          </w:p>
        </w:tc>
        <w:tc>
          <w:tcPr>
            <w:tcW w:w="106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Ⅲ类</w:t>
            </w:r>
          </w:p>
        </w:tc>
        <w:tc>
          <w:tcPr>
            <w:tcW w:w="121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0.4</w:t>
            </w:r>
          </w:p>
        </w:tc>
        <w:tc>
          <w:tcPr>
            <w:tcW w:w="131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可扩建</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381" w:hRule="atLeast"/>
        </w:trPr>
        <w:tc>
          <w:tcPr>
            <w:tcW w:w="67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161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董庄水厂</w:t>
            </w:r>
          </w:p>
        </w:tc>
        <w:tc>
          <w:tcPr>
            <w:tcW w:w="1216"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14</w:t>
            </w:r>
          </w:p>
        </w:tc>
        <w:tc>
          <w:tcPr>
            <w:tcW w:w="1894"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襄城县麦岭镇（地下水）</w:t>
            </w:r>
          </w:p>
        </w:tc>
        <w:tc>
          <w:tcPr>
            <w:tcW w:w="1068"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Ⅱ类</w:t>
            </w:r>
          </w:p>
        </w:tc>
        <w:tc>
          <w:tcPr>
            <w:tcW w:w="121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0.34</w:t>
            </w:r>
          </w:p>
        </w:tc>
        <w:tc>
          <w:tcPr>
            <w:tcW w:w="1319"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改造扩容工程难度大，经济效益低</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c>
          <w:tcPr>
            <w:tcW w:w="67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w:t>
            </w:r>
          </w:p>
        </w:tc>
        <w:tc>
          <w:tcPr>
            <w:tcW w:w="161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二水厂</w:t>
            </w:r>
          </w:p>
        </w:tc>
        <w:tc>
          <w:tcPr>
            <w:tcW w:w="1216"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firstLine="400"/>
              <w:textAlignment w:val="auto"/>
              <w:outlineLvl w:val="9"/>
              <w:rPr>
                <w:rFonts w:hint="eastAsia" w:ascii="楷体_GB2312" w:hAnsi="楷体_GB2312" w:eastAsia="楷体_GB2312" w:cs="楷体_GB2312"/>
                <w:color w:val="auto"/>
                <w:sz w:val="20"/>
              </w:rPr>
            </w:pPr>
          </w:p>
        </w:tc>
        <w:tc>
          <w:tcPr>
            <w:tcW w:w="1894"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firstLine="400"/>
              <w:textAlignment w:val="auto"/>
              <w:outlineLvl w:val="9"/>
              <w:rPr>
                <w:rFonts w:hint="eastAsia" w:ascii="楷体_GB2312" w:hAnsi="楷体_GB2312" w:eastAsia="楷体_GB2312" w:cs="楷体_GB2312"/>
                <w:color w:val="auto"/>
                <w:sz w:val="20"/>
              </w:rPr>
            </w:pPr>
          </w:p>
        </w:tc>
        <w:tc>
          <w:tcPr>
            <w:tcW w:w="1068"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firstLine="400"/>
              <w:textAlignment w:val="auto"/>
              <w:outlineLvl w:val="9"/>
              <w:rPr>
                <w:rFonts w:hint="eastAsia" w:ascii="楷体_GB2312" w:hAnsi="楷体_GB2312" w:eastAsia="楷体_GB2312" w:cs="楷体_GB2312"/>
                <w:color w:val="auto"/>
                <w:sz w:val="20"/>
              </w:rPr>
            </w:pPr>
          </w:p>
        </w:tc>
        <w:tc>
          <w:tcPr>
            <w:tcW w:w="121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0.36</w:t>
            </w:r>
          </w:p>
        </w:tc>
        <w:tc>
          <w:tcPr>
            <w:tcW w:w="1319"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firstLine="400"/>
              <w:textAlignment w:val="auto"/>
              <w:outlineLvl w:val="9"/>
              <w:rPr>
                <w:rFonts w:hint="eastAsia" w:ascii="楷体_GB2312" w:hAnsi="楷体_GB2312" w:eastAsia="楷体_GB2312" w:cs="楷体_GB2312"/>
                <w:color w:val="auto"/>
                <w:sz w:val="2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c>
          <w:tcPr>
            <w:tcW w:w="67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w:t>
            </w:r>
          </w:p>
        </w:tc>
        <w:tc>
          <w:tcPr>
            <w:tcW w:w="161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给水加压泵站</w:t>
            </w:r>
          </w:p>
        </w:tc>
        <w:tc>
          <w:tcPr>
            <w:tcW w:w="1216"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w:t>
            </w:r>
          </w:p>
        </w:tc>
        <w:tc>
          <w:tcPr>
            <w:tcW w:w="189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w:t>
            </w:r>
          </w:p>
        </w:tc>
        <w:tc>
          <w:tcPr>
            <w:tcW w:w="1068"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w:t>
            </w:r>
          </w:p>
        </w:tc>
        <w:tc>
          <w:tcPr>
            <w:tcW w:w="121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0.4</w:t>
            </w:r>
          </w:p>
        </w:tc>
        <w:tc>
          <w:tcPr>
            <w:tcW w:w="131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w:t>
            </w:r>
          </w:p>
        </w:tc>
      </w:tr>
    </w:tbl>
    <w:p>
      <w:pPr>
        <w:keepNext w:val="0"/>
        <w:keepLines w:val="0"/>
        <w:pageBreakBefore w:val="0"/>
        <w:widowControl w:val="0"/>
        <w:tabs>
          <w:tab w:val="left" w:pos="720"/>
        </w:tabs>
        <w:kinsoku/>
        <w:wordWrap/>
        <w:overflowPunct/>
        <w:topLinePunct w:val="0"/>
        <w:autoSpaceDE/>
        <w:autoSpaceDN/>
        <w:bidi w:val="0"/>
        <w:adjustRightInd/>
        <w:snapToGrid/>
        <w:spacing w:line="360" w:lineRule="auto"/>
        <w:ind w:left="0" w:leftChars="0" w:right="0" w:rightChars="0"/>
        <w:jc w:val="center"/>
        <w:textAlignment w:val="auto"/>
        <w:outlineLvl w:val="9"/>
        <w:rPr>
          <w:rFonts w:hint="eastAsia" w:ascii="楷体_GB2312" w:hAnsi="楷体_GB2312" w:eastAsia="楷体_GB2312" w:cs="楷体_GB2312"/>
          <w:color w:val="auto"/>
          <w:szCs w:val="21"/>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（2）加压泵站现状</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许昌市现有榆林加压站和电气谷加压站2座供水加压站。榆林加压站用于麦岭地下水到市区水厂的中间加压。电气谷加压站位于魏武大道与永兴东路口东南角，设计规模5万m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/d，蓄水池调蓄5000m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，南水北调水厂近期建成后，将配合南水北调水厂、周庄水厂、二水厂使用，以满足供水水压要求。</w:t>
      </w:r>
    </w:p>
    <w:p>
      <w:pPr>
        <w:keepNext w:val="0"/>
        <w:keepLines w:val="0"/>
        <w:pageBreakBefore w:val="0"/>
        <w:widowControl w:val="0"/>
        <w:numPr>
          <w:ilvl w:val="0"/>
          <w:numId w:val="6"/>
        </w:numPr>
        <w:kinsoku/>
        <w:wordWrap/>
        <w:overflowPunct/>
        <w:topLinePunct w:val="0"/>
        <w:autoSpaceDE/>
        <w:autoSpaceDN/>
        <w:bidi w:val="0"/>
        <w:adjustRightInd/>
        <w:snapToGrid/>
        <w:spacing w:line="360" w:lineRule="auto"/>
        <w:ind w:left="0" w:leftChars="0" w:right="0" w:rightChars="0" w:firstLine="480" w:firstLineChars="200"/>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管网现状</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目前许昌主城区的给水管网相对完善，形成了以环状管网为主体，环状与枝状相结合的城市给水管网体系，建成区管网覆盖率达到95%。城市干管管径DN200~DN1000，沿城市道路敷设。</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textAlignment w:val="auto"/>
        <w:outlineLvl w:val="9"/>
        <w:rPr>
          <w:rFonts w:hint="eastAsia" w:ascii="楷体_GB2312" w:hAnsi="楷体_GB2312" w:eastAsia="楷体_GB2312" w:cs="楷体_GB2312"/>
          <w:b/>
          <w:bCs/>
          <w:color w:val="auto"/>
          <w:sz w:val="24"/>
          <w:szCs w:val="32"/>
        </w:rPr>
      </w:pPr>
      <w:bookmarkStart w:id="74" w:name="_Toc494903123"/>
      <w:r>
        <w:rPr>
          <w:rFonts w:hint="eastAsia" w:ascii="楷体_GB2312" w:hAnsi="楷体_GB2312" w:eastAsia="楷体_GB2312" w:cs="楷体_GB2312"/>
          <w:b/>
          <w:bCs/>
          <w:color w:val="auto"/>
          <w:sz w:val="24"/>
          <w:szCs w:val="32"/>
        </w:rPr>
        <w:t>2. 存在问题分析</w:t>
      </w:r>
      <w:bookmarkEnd w:id="74"/>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（1）水厂分布不均衡，水厂闲置率较高</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永昌路以北发展已经形成规模，但此区域目前没有水厂，周庄水厂及二水厂输水到此处水力损失较大。二水厂所在区域地势过低，比主城区平均低4~5m，无形中增大了出厂压力，不但增加电耗而且由于压力增大，使旧管道爆管的可能性变大。目前，许昌市有三座供水厂，设计供水能力29万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/d，但实际供水量年均不足7万m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/d，设备闲置率高达70%以上。</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（2）城市水源可靠性较低</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麦岭地下水水质及水量均比较稳定，但输水距离比较远。且从水源地到各水厂的DN1200和DN800输水管之间没有连通，供水安全性不高。</w:t>
      </w:r>
    </w:p>
    <w:p>
      <w:pPr>
        <w:keepNext w:val="0"/>
        <w:keepLines w:val="0"/>
        <w:pageBreakBefore w:val="0"/>
        <w:widowControl w:val="0"/>
        <w:kinsoku/>
        <w:wordWrap/>
        <w:overflowPunct/>
        <w:topLinePunct w:val="0"/>
        <w:autoSpaceDE/>
        <w:autoSpaceDN/>
        <w:bidi w:val="0"/>
        <w:adjustRightInd/>
        <w:snapToGrid/>
        <w:spacing w:before="120" w:beforeLines="50" w:line="360" w:lineRule="auto"/>
        <w:ind w:left="0" w:leftChars="0" w:right="0" w:rightChars="0" w:firstLine="480" w:firstLineChars="200"/>
        <w:jc w:val="left"/>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（3）管材老化严重、爆管现象时有发生</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市最早铺设的供水管道距今已有40多年的历史。根据许昌瑞贝卡自来水有限公司的普查结果，城区配水管网(管径在DN100以上)总长度为348.8km，其中使用的灰口铸铁管共33.3km，占9.5%。老城区一些道路拓宽，人行道整治，没有同步进行供水管网改造，且一些供水管网老化，埋设较浅，道路施工时易造成断裂漏失。还有一些管网原位于道牙上，道路拓宽后，位于慢车道沥青路面下。由于服役年代较久，老化严重，一旦路面荷载过大(重车)，爆管频率增加，往往路面以下已被冲空、塌陷，才被发现，给车辆和行人带来安全隐患。部分给水管甚至埋设在污水沟中，老化严重，抗压强度低，易造成水质二次污染，也急需改造。</w:t>
      </w:r>
    </w:p>
    <w:p>
      <w:pPr>
        <w:keepNext w:val="0"/>
        <w:keepLines w:val="0"/>
        <w:pageBreakBefore w:val="0"/>
        <w:widowControl w:val="0"/>
        <w:kinsoku/>
        <w:wordWrap/>
        <w:overflowPunct/>
        <w:topLinePunct w:val="0"/>
        <w:autoSpaceDE/>
        <w:autoSpaceDN/>
        <w:bidi w:val="0"/>
        <w:adjustRightInd/>
        <w:snapToGrid/>
        <w:spacing w:before="120" w:beforeLines="50" w:line="360" w:lineRule="auto"/>
        <w:ind w:left="0" w:leftChars="0" w:right="0" w:rightChars="0" w:firstLine="480" w:firstLineChars="200"/>
        <w:jc w:val="left"/>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（4）管网资料缺失、导致管理工作无序低效</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市管网的建设始于1960年，而瑞贝卡自来水有限公司1994年才开始建立管网档案，中间有20多年的资料缺失。随着时间推移，当年施工的人员已无从查找，给管网运行管理工作带来巨大困难。由道路业主投资的新建给水管道，没有及时组织验收、通水试运行，竣工资料未及时移交自来水公司，致使部分管线一直未通水，处于无序管理状态。</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75" w:name="_Toc494903124"/>
      <w:bookmarkStart w:id="76" w:name="_Toc495586698"/>
      <w:r>
        <w:rPr>
          <w:rFonts w:hint="eastAsia" w:ascii="楷体_GB2312" w:hAnsi="楷体_GB2312" w:eastAsia="楷体_GB2312" w:cs="楷体_GB2312"/>
          <w:b/>
          <w:color w:val="auto"/>
          <w:sz w:val="24"/>
          <w:szCs w:val="24"/>
        </w:rPr>
        <w:t>3.2.2排水工程</w:t>
      </w:r>
      <w:bookmarkEnd w:id="75"/>
      <w:bookmarkEnd w:id="76"/>
    </w:p>
    <w:p>
      <w:pPr>
        <w:spacing w:line="360" w:lineRule="auto"/>
        <w:ind w:firstLine="482" w:firstLineChars="200"/>
        <w:rPr>
          <w:rFonts w:hint="eastAsia" w:ascii="楷体_GB2312" w:hAnsi="楷体_GB2312" w:eastAsia="楷体_GB2312" w:cs="楷体_GB2312"/>
          <w:b/>
          <w:bCs/>
          <w:color w:val="auto"/>
          <w:sz w:val="24"/>
          <w:szCs w:val="32"/>
        </w:rPr>
      </w:pPr>
      <w:bookmarkStart w:id="77" w:name="_Toc494903125"/>
      <w:r>
        <w:rPr>
          <w:rFonts w:hint="eastAsia" w:ascii="楷体_GB2312" w:hAnsi="楷体_GB2312" w:eastAsia="楷体_GB2312" w:cs="楷体_GB2312"/>
          <w:b/>
          <w:bCs/>
          <w:color w:val="auto"/>
          <w:sz w:val="24"/>
          <w:szCs w:val="32"/>
        </w:rPr>
        <w:t>1. 污水工程</w:t>
      </w:r>
      <w:bookmarkEnd w:id="77"/>
      <w:r>
        <w:rPr>
          <w:rFonts w:hint="eastAsia" w:ascii="楷体_GB2312" w:hAnsi="楷体_GB2312" w:eastAsia="楷体_GB2312" w:cs="楷体_GB2312"/>
          <w:b/>
          <w:bCs/>
          <w:color w:val="auto"/>
          <w:sz w:val="24"/>
          <w:szCs w:val="32"/>
        </w:rPr>
        <w:t>现状</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（1）污水厂现状</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许昌主城区已建成污水处理厂5座，污水处理能力为32万m³/d。</w:t>
      </w:r>
    </w:p>
    <w:p>
      <w:pPr>
        <w:tabs>
          <w:tab w:val="left" w:pos="720"/>
        </w:tabs>
        <w:spacing w:line="360" w:lineRule="auto"/>
        <w:ind w:firstLine="422" w:firstLineChars="200"/>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主城区现状污水处理厂一览表</w:t>
      </w:r>
    </w:p>
    <w:tbl>
      <w:tblPr>
        <w:tblStyle w:val="21"/>
        <w:tblW w:w="8522" w:type="dxa"/>
        <w:jc w:val="center"/>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816"/>
        <w:gridCol w:w="2693"/>
        <w:gridCol w:w="2410"/>
        <w:gridCol w:w="2603"/>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exact"/>
          <w:jc w:val="center"/>
        </w:trPr>
        <w:tc>
          <w:tcPr>
            <w:tcW w:w="816"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序号</w:t>
            </w:r>
          </w:p>
        </w:tc>
        <w:tc>
          <w:tcPr>
            <w:tcW w:w="2693"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处理厂名称</w:t>
            </w:r>
          </w:p>
        </w:tc>
        <w:tc>
          <w:tcPr>
            <w:tcW w:w="2410"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现状规模（万m³/d）</w:t>
            </w:r>
          </w:p>
        </w:tc>
        <w:tc>
          <w:tcPr>
            <w:tcW w:w="2603"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所在地</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cantSplit/>
          <w:trHeight w:val="454" w:hRule="exact"/>
          <w:jc w:val="center"/>
        </w:trPr>
        <w:tc>
          <w:tcPr>
            <w:tcW w:w="81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w:t>
            </w:r>
          </w:p>
        </w:tc>
        <w:tc>
          <w:tcPr>
            <w:tcW w:w="269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许昌瑞贝卡污水厂</w:t>
            </w:r>
          </w:p>
        </w:tc>
        <w:tc>
          <w:tcPr>
            <w:tcW w:w="241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16</w:t>
            </w:r>
          </w:p>
        </w:tc>
        <w:tc>
          <w:tcPr>
            <w:tcW w:w="260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瑞贝卡大道</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cantSplit/>
          <w:trHeight w:val="454" w:hRule="exact"/>
          <w:jc w:val="center"/>
        </w:trPr>
        <w:tc>
          <w:tcPr>
            <w:tcW w:w="81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269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许昌县污水厂</w:t>
            </w:r>
          </w:p>
        </w:tc>
        <w:tc>
          <w:tcPr>
            <w:tcW w:w="241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260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昌盛路西段</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cantSplit/>
          <w:trHeight w:val="454" w:hRule="exact"/>
          <w:jc w:val="center"/>
        </w:trPr>
        <w:tc>
          <w:tcPr>
            <w:tcW w:w="81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w:t>
            </w:r>
          </w:p>
        </w:tc>
        <w:tc>
          <w:tcPr>
            <w:tcW w:w="269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宏伟污水厂一、二期</w:t>
            </w:r>
          </w:p>
        </w:tc>
        <w:tc>
          <w:tcPr>
            <w:tcW w:w="241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w:t>
            </w:r>
          </w:p>
        </w:tc>
        <w:tc>
          <w:tcPr>
            <w:tcW w:w="260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许昌市北外环</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cantSplit/>
          <w:trHeight w:val="454" w:hRule="exact"/>
          <w:jc w:val="center"/>
        </w:trPr>
        <w:tc>
          <w:tcPr>
            <w:tcW w:w="816"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4</w:t>
            </w:r>
          </w:p>
        </w:tc>
        <w:tc>
          <w:tcPr>
            <w:tcW w:w="2693"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屯南污水厂</w:t>
            </w:r>
          </w:p>
        </w:tc>
        <w:tc>
          <w:tcPr>
            <w:tcW w:w="2410"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3</w:t>
            </w:r>
          </w:p>
        </w:tc>
        <w:tc>
          <w:tcPr>
            <w:tcW w:w="2603"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瑞昌西路以南</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cantSplit/>
          <w:trHeight w:val="454" w:hRule="exact"/>
          <w:jc w:val="center"/>
        </w:trPr>
        <w:tc>
          <w:tcPr>
            <w:tcW w:w="816"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5</w:t>
            </w:r>
          </w:p>
        </w:tc>
        <w:tc>
          <w:tcPr>
            <w:tcW w:w="2693"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邓庄污水厂</w:t>
            </w:r>
          </w:p>
        </w:tc>
        <w:tc>
          <w:tcPr>
            <w:tcW w:w="2410"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3</w:t>
            </w:r>
          </w:p>
        </w:tc>
        <w:tc>
          <w:tcPr>
            <w:tcW w:w="2603"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中原路以东、新兴路以北</w:t>
            </w:r>
          </w:p>
        </w:tc>
      </w:tr>
    </w:tbl>
    <w:p>
      <w:pPr>
        <w:spacing w:before="120" w:beforeLines="50"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（2）污水泵站现状</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主城区共建设污水提升泵站6座，其中中心区3座，东城区1座，经济技术开发区1座，许昌县1座（在建），现状总规模11460m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/h。</w:t>
      </w:r>
    </w:p>
    <w:p>
      <w:pPr>
        <w:spacing w:line="360" w:lineRule="auto"/>
        <w:ind w:firstLine="420" w:firstLineChars="200"/>
        <w:jc w:val="center"/>
        <w:rPr>
          <w:rFonts w:hint="eastAsia" w:ascii="楷体_GB2312" w:hAnsi="楷体_GB2312" w:eastAsia="楷体_GB2312" w:cs="楷体_GB2312"/>
          <w:color w:val="auto"/>
          <w:szCs w:val="21"/>
        </w:rPr>
      </w:pPr>
    </w:p>
    <w:p>
      <w:pPr>
        <w:tabs>
          <w:tab w:val="left" w:pos="720"/>
        </w:tabs>
        <w:spacing w:line="360" w:lineRule="auto"/>
        <w:ind w:firstLine="420" w:firstLineChars="20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br w:type="page"/>
      </w:r>
    </w:p>
    <w:p>
      <w:pPr>
        <w:tabs>
          <w:tab w:val="left" w:pos="720"/>
        </w:tabs>
        <w:spacing w:line="360" w:lineRule="auto"/>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主城区现状污水提升泵站一览表</w:t>
      </w:r>
    </w:p>
    <w:tbl>
      <w:tblPr>
        <w:tblStyle w:val="21"/>
        <w:tblW w:w="9004"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01"/>
        <w:gridCol w:w="1745"/>
        <w:gridCol w:w="1077"/>
        <w:gridCol w:w="887"/>
        <w:gridCol w:w="995"/>
        <w:gridCol w:w="846"/>
        <w:gridCol w:w="777"/>
        <w:gridCol w:w="927"/>
        <w:gridCol w:w="104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01" w:type="dxa"/>
            <w:vMerge w:val="restart"/>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序号</w:t>
            </w:r>
          </w:p>
        </w:tc>
        <w:tc>
          <w:tcPr>
            <w:tcW w:w="1745" w:type="dxa"/>
            <w:vMerge w:val="restart"/>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泵站名称</w:t>
            </w:r>
          </w:p>
        </w:tc>
        <w:tc>
          <w:tcPr>
            <w:tcW w:w="1077" w:type="dxa"/>
            <w:vMerge w:val="restart"/>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装机（台）</w:t>
            </w:r>
          </w:p>
        </w:tc>
        <w:tc>
          <w:tcPr>
            <w:tcW w:w="4432" w:type="dxa"/>
            <w:gridSpan w:val="5"/>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抽水量（m</w:t>
            </w:r>
            <w:r>
              <w:rPr>
                <w:rFonts w:hint="eastAsia" w:ascii="楷体_GB2312" w:hAnsi="楷体_GB2312" w:eastAsia="楷体_GB2312" w:cs="楷体_GB2312"/>
                <w:b/>
                <w:color w:val="auto"/>
                <w:szCs w:val="21"/>
                <w:vertAlign w:val="superscript"/>
                <w:lang w:bidi="ar"/>
              </w:rPr>
              <w:t>3</w:t>
            </w:r>
            <w:r>
              <w:rPr>
                <w:rFonts w:hint="eastAsia" w:ascii="楷体_GB2312" w:hAnsi="楷体_GB2312" w:eastAsia="楷体_GB2312" w:cs="楷体_GB2312"/>
                <w:b/>
                <w:color w:val="auto"/>
                <w:szCs w:val="21"/>
                <w:lang w:bidi="ar"/>
              </w:rPr>
              <w:t>/h）</w:t>
            </w:r>
          </w:p>
        </w:tc>
        <w:tc>
          <w:tcPr>
            <w:tcW w:w="1049" w:type="dxa"/>
            <w:vMerge w:val="restart"/>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01" w:type="dxa"/>
            <w:vMerge w:val="continue"/>
            <w:tcBorders>
              <w:tl2br w:val="nil"/>
              <w:tr2bl w:val="nil"/>
            </w:tcBorders>
            <w:shd w:val="clear" w:color="auto" w:fill="auto"/>
            <w:vAlign w:val="center"/>
          </w:tcPr>
          <w:p>
            <w:pPr>
              <w:widowControl/>
              <w:jc w:val="left"/>
              <w:rPr>
                <w:rFonts w:hint="eastAsia" w:ascii="楷体_GB2312" w:hAnsi="楷体_GB2312" w:eastAsia="楷体_GB2312" w:cs="楷体_GB2312"/>
                <w:b/>
                <w:color w:val="auto"/>
                <w:kern w:val="0"/>
                <w:szCs w:val="21"/>
              </w:rPr>
            </w:pPr>
          </w:p>
        </w:tc>
        <w:tc>
          <w:tcPr>
            <w:tcW w:w="1745" w:type="dxa"/>
            <w:vMerge w:val="continue"/>
            <w:tcBorders>
              <w:tl2br w:val="nil"/>
              <w:tr2bl w:val="nil"/>
            </w:tcBorders>
            <w:shd w:val="clear" w:color="auto" w:fill="auto"/>
            <w:vAlign w:val="center"/>
          </w:tcPr>
          <w:p>
            <w:pPr>
              <w:widowControl/>
              <w:jc w:val="left"/>
              <w:rPr>
                <w:rFonts w:hint="eastAsia" w:ascii="楷体_GB2312" w:hAnsi="楷体_GB2312" w:eastAsia="楷体_GB2312" w:cs="楷体_GB2312"/>
                <w:b/>
                <w:color w:val="auto"/>
                <w:kern w:val="0"/>
                <w:szCs w:val="21"/>
              </w:rPr>
            </w:pPr>
          </w:p>
        </w:tc>
        <w:tc>
          <w:tcPr>
            <w:tcW w:w="1077" w:type="dxa"/>
            <w:vMerge w:val="continue"/>
            <w:tcBorders>
              <w:tl2br w:val="nil"/>
              <w:tr2bl w:val="nil"/>
            </w:tcBorders>
            <w:shd w:val="clear" w:color="auto" w:fill="auto"/>
            <w:vAlign w:val="center"/>
          </w:tcPr>
          <w:p>
            <w:pPr>
              <w:widowControl/>
              <w:jc w:val="left"/>
              <w:rPr>
                <w:rFonts w:hint="eastAsia" w:ascii="楷体_GB2312" w:hAnsi="楷体_GB2312" w:eastAsia="楷体_GB2312" w:cs="楷体_GB2312"/>
                <w:b/>
                <w:color w:val="auto"/>
                <w:kern w:val="0"/>
                <w:szCs w:val="21"/>
              </w:rPr>
            </w:pPr>
          </w:p>
        </w:tc>
        <w:tc>
          <w:tcPr>
            <w:tcW w:w="887"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1号泵</w:t>
            </w:r>
          </w:p>
        </w:tc>
        <w:tc>
          <w:tcPr>
            <w:tcW w:w="995"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2号泵</w:t>
            </w:r>
          </w:p>
        </w:tc>
        <w:tc>
          <w:tcPr>
            <w:tcW w:w="846"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3号泵</w:t>
            </w:r>
          </w:p>
        </w:tc>
        <w:tc>
          <w:tcPr>
            <w:tcW w:w="777"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4号泵</w:t>
            </w:r>
          </w:p>
        </w:tc>
        <w:tc>
          <w:tcPr>
            <w:tcW w:w="927"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合计</w:t>
            </w:r>
          </w:p>
        </w:tc>
        <w:tc>
          <w:tcPr>
            <w:tcW w:w="1049" w:type="dxa"/>
            <w:vMerge w:val="continue"/>
            <w:tcBorders>
              <w:tl2br w:val="nil"/>
              <w:tr2bl w:val="nil"/>
            </w:tcBorders>
            <w:shd w:val="clear" w:color="auto" w:fill="auto"/>
            <w:vAlign w:val="center"/>
          </w:tcPr>
          <w:p>
            <w:pPr>
              <w:widowControl/>
              <w:jc w:val="left"/>
              <w:rPr>
                <w:rFonts w:hint="eastAsia" w:ascii="楷体_GB2312" w:hAnsi="楷体_GB2312" w:eastAsia="楷体_GB2312" w:cs="楷体_GB2312"/>
                <w:b/>
                <w:color w:val="auto"/>
                <w:kern w:val="0"/>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01" w:type="dxa"/>
            <w:tcBorders>
              <w:tl2br w:val="nil"/>
              <w:tr2bl w:val="nil"/>
            </w:tcBorders>
            <w:shd w:val="clear" w:color="auto" w:fill="auto"/>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w:t>
            </w:r>
          </w:p>
        </w:tc>
        <w:tc>
          <w:tcPr>
            <w:tcW w:w="1745" w:type="dxa"/>
            <w:tcBorders>
              <w:tl2br w:val="nil"/>
              <w:tr2bl w:val="nil"/>
            </w:tcBorders>
            <w:shd w:val="clear" w:color="auto" w:fill="auto"/>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操场泵站</w:t>
            </w:r>
          </w:p>
        </w:tc>
        <w:tc>
          <w:tcPr>
            <w:tcW w:w="1077" w:type="dxa"/>
            <w:tcBorders>
              <w:tl2br w:val="nil"/>
              <w:tr2bl w:val="nil"/>
            </w:tcBorders>
            <w:shd w:val="clear" w:color="auto" w:fill="auto"/>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w:t>
            </w:r>
          </w:p>
        </w:tc>
        <w:tc>
          <w:tcPr>
            <w:tcW w:w="887" w:type="dxa"/>
            <w:tcBorders>
              <w:tl2br w:val="nil"/>
              <w:tr2bl w:val="nil"/>
            </w:tcBorders>
            <w:shd w:val="clear" w:color="auto" w:fill="auto"/>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600</w:t>
            </w:r>
          </w:p>
        </w:tc>
        <w:tc>
          <w:tcPr>
            <w:tcW w:w="995" w:type="dxa"/>
            <w:tcBorders>
              <w:tl2br w:val="nil"/>
              <w:tr2bl w:val="nil"/>
            </w:tcBorders>
            <w:shd w:val="clear" w:color="auto" w:fill="auto"/>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1200</w:t>
            </w:r>
          </w:p>
        </w:tc>
        <w:tc>
          <w:tcPr>
            <w:tcW w:w="846" w:type="dxa"/>
            <w:tcBorders>
              <w:tl2br w:val="nil"/>
              <w:tr2bl w:val="nil"/>
            </w:tcBorders>
            <w:shd w:val="clear" w:color="auto" w:fill="auto"/>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1200</w:t>
            </w:r>
          </w:p>
        </w:tc>
        <w:tc>
          <w:tcPr>
            <w:tcW w:w="777" w:type="dxa"/>
            <w:tcBorders>
              <w:tl2br w:val="nil"/>
              <w:tr2bl w:val="nil"/>
            </w:tcBorders>
            <w:shd w:val="clear" w:color="auto" w:fill="auto"/>
            <w:vAlign w:val="center"/>
          </w:tcPr>
          <w:p>
            <w:pPr>
              <w:jc w:val="center"/>
              <w:rPr>
                <w:rFonts w:hint="eastAsia" w:ascii="楷体_GB2312" w:hAnsi="楷体_GB2312" w:eastAsia="楷体_GB2312" w:cs="楷体_GB2312"/>
                <w:color w:val="auto"/>
                <w:szCs w:val="21"/>
              </w:rPr>
            </w:pPr>
          </w:p>
        </w:tc>
        <w:tc>
          <w:tcPr>
            <w:tcW w:w="927" w:type="dxa"/>
            <w:tcBorders>
              <w:tl2br w:val="nil"/>
              <w:tr2bl w:val="nil"/>
            </w:tcBorders>
            <w:shd w:val="clear" w:color="auto" w:fill="auto"/>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3000</w:t>
            </w:r>
          </w:p>
        </w:tc>
        <w:tc>
          <w:tcPr>
            <w:tcW w:w="1049" w:type="dxa"/>
            <w:tcBorders>
              <w:tl2br w:val="nil"/>
              <w:tr2bl w:val="nil"/>
            </w:tcBorders>
            <w:shd w:val="clear" w:color="auto" w:fill="auto"/>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现状</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174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新兴路泵站</w:t>
            </w:r>
          </w:p>
        </w:tc>
        <w:tc>
          <w:tcPr>
            <w:tcW w:w="107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w:t>
            </w:r>
          </w:p>
        </w:tc>
        <w:tc>
          <w:tcPr>
            <w:tcW w:w="88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800</w:t>
            </w:r>
          </w:p>
        </w:tc>
        <w:tc>
          <w:tcPr>
            <w:tcW w:w="99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800</w:t>
            </w:r>
          </w:p>
        </w:tc>
        <w:tc>
          <w:tcPr>
            <w:tcW w:w="84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800</w:t>
            </w:r>
          </w:p>
        </w:tc>
        <w:tc>
          <w:tcPr>
            <w:tcW w:w="77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800</w:t>
            </w:r>
          </w:p>
        </w:tc>
        <w:tc>
          <w:tcPr>
            <w:tcW w:w="92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3200</w:t>
            </w:r>
          </w:p>
        </w:tc>
        <w:tc>
          <w:tcPr>
            <w:tcW w:w="104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现状</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w:t>
            </w:r>
          </w:p>
        </w:tc>
        <w:tc>
          <w:tcPr>
            <w:tcW w:w="174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东顺河街泵站</w:t>
            </w:r>
          </w:p>
        </w:tc>
        <w:tc>
          <w:tcPr>
            <w:tcW w:w="107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88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430</w:t>
            </w:r>
          </w:p>
        </w:tc>
        <w:tc>
          <w:tcPr>
            <w:tcW w:w="99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430</w:t>
            </w:r>
          </w:p>
        </w:tc>
        <w:tc>
          <w:tcPr>
            <w:tcW w:w="846"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777"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92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860</w:t>
            </w:r>
          </w:p>
        </w:tc>
        <w:tc>
          <w:tcPr>
            <w:tcW w:w="104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现状</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w:t>
            </w:r>
          </w:p>
        </w:tc>
        <w:tc>
          <w:tcPr>
            <w:tcW w:w="174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五一路泵站</w:t>
            </w:r>
          </w:p>
        </w:tc>
        <w:tc>
          <w:tcPr>
            <w:tcW w:w="107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88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1800</w:t>
            </w:r>
          </w:p>
        </w:tc>
        <w:tc>
          <w:tcPr>
            <w:tcW w:w="99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1800</w:t>
            </w:r>
          </w:p>
        </w:tc>
        <w:tc>
          <w:tcPr>
            <w:tcW w:w="846"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777"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92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3600</w:t>
            </w:r>
          </w:p>
        </w:tc>
        <w:tc>
          <w:tcPr>
            <w:tcW w:w="104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现状</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w:t>
            </w:r>
          </w:p>
        </w:tc>
        <w:tc>
          <w:tcPr>
            <w:tcW w:w="174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安装公司泵站</w:t>
            </w:r>
          </w:p>
        </w:tc>
        <w:tc>
          <w:tcPr>
            <w:tcW w:w="107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88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400</w:t>
            </w:r>
          </w:p>
        </w:tc>
        <w:tc>
          <w:tcPr>
            <w:tcW w:w="99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400</w:t>
            </w:r>
          </w:p>
        </w:tc>
        <w:tc>
          <w:tcPr>
            <w:tcW w:w="846"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777"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92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800</w:t>
            </w:r>
          </w:p>
        </w:tc>
        <w:tc>
          <w:tcPr>
            <w:tcW w:w="104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现状</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6</w:t>
            </w:r>
          </w:p>
        </w:tc>
        <w:tc>
          <w:tcPr>
            <w:tcW w:w="174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许昌县泵站</w:t>
            </w:r>
          </w:p>
        </w:tc>
        <w:tc>
          <w:tcPr>
            <w:tcW w:w="107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w:t>
            </w:r>
          </w:p>
        </w:tc>
        <w:tc>
          <w:tcPr>
            <w:tcW w:w="887"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995"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846"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777"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927"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104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在建</w:t>
            </w:r>
          </w:p>
        </w:tc>
      </w:tr>
    </w:tbl>
    <w:p>
      <w:pPr>
        <w:spacing w:before="120" w:beforeLines="50"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（3）管网现状</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根据资料统计，目前许昌主城区已建成污水管网255.89km，其中雨污合流38.66km，管径d400~d2000mm。</w:t>
      </w:r>
    </w:p>
    <w:p>
      <w:pPr>
        <w:spacing w:line="360" w:lineRule="auto"/>
        <w:ind w:firstLine="482" w:firstLineChars="200"/>
        <w:rPr>
          <w:rFonts w:hint="eastAsia" w:ascii="楷体_GB2312" w:hAnsi="楷体_GB2312" w:eastAsia="楷体_GB2312" w:cs="楷体_GB2312"/>
          <w:b/>
          <w:bCs/>
          <w:color w:val="auto"/>
          <w:sz w:val="24"/>
          <w:szCs w:val="32"/>
        </w:rPr>
      </w:pPr>
      <w:bookmarkStart w:id="78" w:name="_Toc494903126"/>
      <w:r>
        <w:rPr>
          <w:rFonts w:hint="eastAsia" w:ascii="楷体_GB2312" w:hAnsi="楷体_GB2312" w:eastAsia="楷体_GB2312" w:cs="楷体_GB2312"/>
          <w:b/>
          <w:bCs/>
          <w:color w:val="auto"/>
          <w:sz w:val="24"/>
          <w:szCs w:val="32"/>
        </w:rPr>
        <w:t>2. 雨水工程</w:t>
      </w:r>
      <w:bookmarkEnd w:id="78"/>
      <w:r>
        <w:rPr>
          <w:rFonts w:hint="eastAsia" w:ascii="楷体_GB2312" w:hAnsi="楷体_GB2312" w:eastAsia="楷体_GB2312" w:cs="楷体_GB2312"/>
          <w:b/>
          <w:bCs/>
          <w:color w:val="auto"/>
          <w:sz w:val="24"/>
          <w:szCs w:val="32"/>
        </w:rPr>
        <w:t>现状</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（1）雨水排放分区</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主城区建成区雨水排放设施基本完善，根据建设时期、运行情况可分为两大区域。</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 老城区、铁西片区</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雨水就近排入清潩河、灞陵河、运粮河、许扶运河、护城河等；</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护城河通过退水拱沟、提升泵站和溢流管分别排入清潩河、运粮河。</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u w:val="single"/>
        </w:rPr>
        <w:t>该区域由于历史原因，新、老管网交替严重，混接、乱接现象较为严重，且管径都较小，空间布置不尽合理、管径分布不尽合理。</w:t>
      </w:r>
      <w:r>
        <w:rPr>
          <w:rFonts w:hint="eastAsia" w:ascii="楷体_GB2312" w:hAnsi="楷体_GB2312" w:eastAsia="楷体_GB2312" w:cs="楷体_GB2312"/>
          <w:color w:val="auto"/>
          <w:sz w:val="24"/>
        </w:rPr>
        <w:t>近几年，随着区域内道路改造工程的实施，部分管道随之改造，排水能力得到一定改善。</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 许昌县、尚集产业区、魏都区、东城区、许东新城、经济技术开发区</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雨水就近排入清潩河、饮马河、灞陵河、运粮河、小洪河、饮马河、许扶运河等。</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u w:val="single"/>
        </w:rPr>
        <w:t>该区域有较为完善的雨水排放系统，雨水管网根据区内地形地势、河流水系进行合理建设，但雨水管管径偏小</w:t>
      </w:r>
      <w:r>
        <w:rPr>
          <w:rFonts w:hint="eastAsia" w:ascii="楷体_GB2312" w:hAnsi="楷体_GB2312" w:eastAsia="楷体_GB2312" w:cs="楷体_GB2312"/>
          <w:color w:val="auto"/>
          <w:sz w:val="24"/>
        </w:rPr>
        <w:t>。</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（2）管网</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主城区依托城市道路形成多雨水排放系统，共建设雨水管线341.19 km，其中雨污合流38.66 km，管径为d500~B×H=3000×2000mm。</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（3）雨水提升泵站</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主城区共建设雨水提升泵站6座，总规模15655m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/h。</w:t>
      </w:r>
    </w:p>
    <w:p>
      <w:pPr>
        <w:spacing w:line="360" w:lineRule="auto"/>
        <w:ind w:firstLine="480"/>
        <w:rPr>
          <w:rFonts w:hint="eastAsia" w:ascii="楷体_GB2312" w:hAnsi="楷体_GB2312" w:eastAsia="楷体_GB2312" w:cs="楷体_GB2312"/>
          <w:color w:val="auto"/>
          <w:sz w:val="24"/>
        </w:rPr>
      </w:pPr>
    </w:p>
    <w:p>
      <w:pPr>
        <w:tabs>
          <w:tab w:val="left" w:pos="720"/>
        </w:tabs>
        <w:ind w:firstLine="482" w:firstLineChars="200"/>
        <w:jc w:val="center"/>
        <w:rPr>
          <w:rFonts w:hint="eastAsia" w:ascii="楷体_GB2312" w:hAnsi="楷体_GB2312" w:eastAsia="楷体_GB2312" w:cs="楷体_GB2312"/>
          <w:b/>
          <w:bCs/>
          <w:color w:val="auto"/>
          <w:sz w:val="24"/>
        </w:rPr>
      </w:pPr>
      <w:r>
        <w:rPr>
          <w:rFonts w:hint="eastAsia" w:ascii="楷体_GB2312" w:hAnsi="楷体_GB2312" w:eastAsia="楷体_GB2312" w:cs="楷体_GB2312"/>
          <w:b/>
          <w:bCs/>
          <w:color w:val="auto"/>
          <w:sz w:val="24"/>
        </w:rPr>
        <w:t>主城区现状雨水提升泵站一览表</w:t>
      </w:r>
    </w:p>
    <w:tbl>
      <w:tblPr>
        <w:tblStyle w:val="21"/>
        <w:tblW w:w="9004"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42"/>
        <w:gridCol w:w="1786"/>
        <w:gridCol w:w="914"/>
        <w:gridCol w:w="889"/>
        <w:gridCol w:w="808"/>
        <w:gridCol w:w="806"/>
        <w:gridCol w:w="927"/>
        <w:gridCol w:w="995"/>
        <w:gridCol w:w="113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742" w:type="dxa"/>
            <w:vMerge w:val="restart"/>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序号</w:t>
            </w:r>
          </w:p>
        </w:tc>
        <w:tc>
          <w:tcPr>
            <w:tcW w:w="1786" w:type="dxa"/>
            <w:vMerge w:val="restart"/>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泵站名称</w:t>
            </w:r>
          </w:p>
        </w:tc>
        <w:tc>
          <w:tcPr>
            <w:tcW w:w="914" w:type="dxa"/>
            <w:vMerge w:val="restart"/>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装机（台）</w:t>
            </w:r>
          </w:p>
        </w:tc>
        <w:tc>
          <w:tcPr>
            <w:tcW w:w="5562" w:type="dxa"/>
            <w:gridSpan w:val="6"/>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抽水量（m³/h）</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742" w:type="dxa"/>
            <w:vMerge w:val="continue"/>
            <w:tcBorders>
              <w:tl2br w:val="nil"/>
              <w:tr2bl w:val="nil"/>
            </w:tcBorders>
            <w:shd w:val="clear" w:color="auto" w:fill="C2D69B" w:themeFill="accent3" w:themeFillTint="99"/>
            <w:vAlign w:val="center"/>
          </w:tcPr>
          <w:p>
            <w:pPr>
              <w:widowControl/>
              <w:jc w:val="left"/>
              <w:rPr>
                <w:rFonts w:hint="eastAsia" w:ascii="楷体_GB2312" w:hAnsi="楷体_GB2312" w:eastAsia="楷体_GB2312" w:cs="楷体_GB2312"/>
                <w:b/>
                <w:color w:val="auto"/>
                <w:kern w:val="0"/>
                <w:szCs w:val="21"/>
              </w:rPr>
            </w:pPr>
          </w:p>
        </w:tc>
        <w:tc>
          <w:tcPr>
            <w:tcW w:w="1786" w:type="dxa"/>
            <w:vMerge w:val="continue"/>
            <w:tcBorders>
              <w:tl2br w:val="nil"/>
              <w:tr2bl w:val="nil"/>
            </w:tcBorders>
            <w:shd w:val="clear" w:color="auto" w:fill="C2D69B" w:themeFill="accent3" w:themeFillTint="99"/>
            <w:vAlign w:val="center"/>
          </w:tcPr>
          <w:p>
            <w:pPr>
              <w:widowControl/>
              <w:jc w:val="left"/>
              <w:rPr>
                <w:rFonts w:hint="eastAsia" w:ascii="楷体_GB2312" w:hAnsi="楷体_GB2312" w:eastAsia="楷体_GB2312" w:cs="楷体_GB2312"/>
                <w:b/>
                <w:color w:val="auto"/>
                <w:kern w:val="0"/>
                <w:szCs w:val="21"/>
              </w:rPr>
            </w:pPr>
          </w:p>
        </w:tc>
        <w:tc>
          <w:tcPr>
            <w:tcW w:w="914" w:type="dxa"/>
            <w:vMerge w:val="continue"/>
            <w:tcBorders>
              <w:tl2br w:val="nil"/>
              <w:tr2bl w:val="nil"/>
            </w:tcBorders>
            <w:shd w:val="clear" w:color="auto" w:fill="C2D69B" w:themeFill="accent3" w:themeFillTint="99"/>
            <w:vAlign w:val="center"/>
          </w:tcPr>
          <w:p>
            <w:pPr>
              <w:widowControl/>
              <w:jc w:val="left"/>
              <w:rPr>
                <w:rFonts w:hint="eastAsia" w:ascii="楷体_GB2312" w:hAnsi="楷体_GB2312" w:eastAsia="楷体_GB2312" w:cs="楷体_GB2312"/>
                <w:b/>
                <w:color w:val="auto"/>
                <w:kern w:val="0"/>
                <w:szCs w:val="21"/>
              </w:rPr>
            </w:pPr>
          </w:p>
        </w:tc>
        <w:tc>
          <w:tcPr>
            <w:tcW w:w="889"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1号泵</w:t>
            </w:r>
          </w:p>
        </w:tc>
        <w:tc>
          <w:tcPr>
            <w:tcW w:w="808"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2号泵</w:t>
            </w:r>
          </w:p>
        </w:tc>
        <w:tc>
          <w:tcPr>
            <w:tcW w:w="806"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3号泵</w:t>
            </w:r>
          </w:p>
        </w:tc>
        <w:tc>
          <w:tcPr>
            <w:tcW w:w="927"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4号泵</w:t>
            </w:r>
          </w:p>
        </w:tc>
        <w:tc>
          <w:tcPr>
            <w:tcW w:w="995"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5号泵</w:t>
            </w:r>
          </w:p>
        </w:tc>
        <w:tc>
          <w:tcPr>
            <w:tcW w:w="1137"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合计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742"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w:t>
            </w:r>
          </w:p>
        </w:tc>
        <w:tc>
          <w:tcPr>
            <w:tcW w:w="178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新兴路立交泵站</w:t>
            </w:r>
          </w:p>
        </w:tc>
        <w:tc>
          <w:tcPr>
            <w:tcW w:w="91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w:t>
            </w:r>
          </w:p>
        </w:tc>
        <w:tc>
          <w:tcPr>
            <w:tcW w:w="88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1425</w:t>
            </w:r>
          </w:p>
        </w:tc>
        <w:tc>
          <w:tcPr>
            <w:tcW w:w="80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500</w:t>
            </w:r>
          </w:p>
        </w:tc>
        <w:tc>
          <w:tcPr>
            <w:tcW w:w="80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500</w:t>
            </w:r>
          </w:p>
        </w:tc>
        <w:tc>
          <w:tcPr>
            <w:tcW w:w="927"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995"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113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2425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742"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178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中立交泵站</w:t>
            </w:r>
          </w:p>
        </w:tc>
        <w:tc>
          <w:tcPr>
            <w:tcW w:w="91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88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500</w:t>
            </w:r>
          </w:p>
        </w:tc>
        <w:tc>
          <w:tcPr>
            <w:tcW w:w="80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300</w:t>
            </w:r>
          </w:p>
        </w:tc>
        <w:tc>
          <w:tcPr>
            <w:tcW w:w="806"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927"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995"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113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742"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w:t>
            </w:r>
          </w:p>
        </w:tc>
        <w:tc>
          <w:tcPr>
            <w:tcW w:w="178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北立交泵站</w:t>
            </w:r>
          </w:p>
        </w:tc>
        <w:tc>
          <w:tcPr>
            <w:tcW w:w="91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w:t>
            </w:r>
          </w:p>
        </w:tc>
        <w:tc>
          <w:tcPr>
            <w:tcW w:w="88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800</w:t>
            </w:r>
          </w:p>
        </w:tc>
        <w:tc>
          <w:tcPr>
            <w:tcW w:w="80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800</w:t>
            </w:r>
          </w:p>
        </w:tc>
        <w:tc>
          <w:tcPr>
            <w:tcW w:w="80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180</w:t>
            </w:r>
          </w:p>
        </w:tc>
        <w:tc>
          <w:tcPr>
            <w:tcW w:w="927"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995"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113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1780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742"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w:t>
            </w:r>
          </w:p>
        </w:tc>
        <w:tc>
          <w:tcPr>
            <w:tcW w:w="178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许由路立交泵站</w:t>
            </w:r>
          </w:p>
        </w:tc>
        <w:tc>
          <w:tcPr>
            <w:tcW w:w="91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w:t>
            </w:r>
          </w:p>
        </w:tc>
        <w:tc>
          <w:tcPr>
            <w:tcW w:w="88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1800</w:t>
            </w:r>
          </w:p>
        </w:tc>
        <w:tc>
          <w:tcPr>
            <w:tcW w:w="80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1800</w:t>
            </w:r>
          </w:p>
        </w:tc>
        <w:tc>
          <w:tcPr>
            <w:tcW w:w="80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150</w:t>
            </w:r>
          </w:p>
        </w:tc>
        <w:tc>
          <w:tcPr>
            <w:tcW w:w="927"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995"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113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3750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742"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w:t>
            </w:r>
          </w:p>
        </w:tc>
        <w:tc>
          <w:tcPr>
            <w:tcW w:w="178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八一路泵站</w:t>
            </w:r>
          </w:p>
        </w:tc>
        <w:tc>
          <w:tcPr>
            <w:tcW w:w="91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88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800</w:t>
            </w:r>
          </w:p>
        </w:tc>
        <w:tc>
          <w:tcPr>
            <w:tcW w:w="80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800</w:t>
            </w:r>
          </w:p>
        </w:tc>
        <w:tc>
          <w:tcPr>
            <w:tcW w:w="806"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927"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995" w:type="dxa"/>
            <w:tcBorders>
              <w:tl2br w:val="nil"/>
              <w:tr2bl w:val="nil"/>
            </w:tcBorders>
            <w:vAlign w:val="center"/>
          </w:tcPr>
          <w:p>
            <w:pPr>
              <w:jc w:val="center"/>
              <w:rPr>
                <w:rFonts w:hint="eastAsia" w:ascii="楷体_GB2312" w:hAnsi="楷体_GB2312" w:eastAsia="楷体_GB2312" w:cs="楷体_GB2312"/>
                <w:color w:val="auto"/>
                <w:szCs w:val="21"/>
              </w:rPr>
            </w:pPr>
          </w:p>
        </w:tc>
        <w:tc>
          <w:tcPr>
            <w:tcW w:w="113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1600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742"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6</w:t>
            </w:r>
          </w:p>
        </w:tc>
        <w:tc>
          <w:tcPr>
            <w:tcW w:w="178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天宝路立交泵站</w:t>
            </w:r>
          </w:p>
        </w:tc>
        <w:tc>
          <w:tcPr>
            <w:tcW w:w="91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w:t>
            </w:r>
          </w:p>
        </w:tc>
        <w:tc>
          <w:tcPr>
            <w:tcW w:w="88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1200</w:t>
            </w:r>
          </w:p>
        </w:tc>
        <w:tc>
          <w:tcPr>
            <w:tcW w:w="80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1200</w:t>
            </w:r>
          </w:p>
        </w:tc>
        <w:tc>
          <w:tcPr>
            <w:tcW w:w="80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1200</w:t>
            </w:r>
          </w:p>
        </w:tc>
        <w:tc>
          <w:tcPr>
            <w:tcW w:w="92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1200</w:t>
            </w:r>
          </w:p>
        </w:tc>
        <w:tc>
          <w:tcPr>
            <w:tcW w:w="99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500</w:t>
            </w:r>
          </w:p>
        </w:tc>
        <w:tc>
          <w:tcPr>
            <w:tcW w:w="113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5300</w:t>
            </w:r>
          </w:p>
        </w:tc>
      </w:tr>
    </w:tbl>
    <w:p>
      <w:pPr>
        <w:spacing w:line="360" w:lineRule="auto"/>
        <w:ind w:firstLine="482" w:firstLineChars="200"/>
        <w:rPr>
          <w:rFonts w:hint="eastAsia" w:ascii="楷体_GB2312" w:hAnsi="楷体_GB2312" w:eastAsia="楷体_GB2312" w:cs="楷体_GB2312"/>
          <w:b/>
          <w:bCs/>
          <w:color w:val="auto"/>
          <w:sz w:val="24"/>
          <w:szCs w:val="32"/>
        </w:rPr>
      </w:pPr>
      <w:bookmarkStart w:id="79" w:name="_Toc494903127"/>
      <w:r>
        <w:rPr>
          <w:rFonts w:hint="eastAsia" w:ascii="楷体_GB2312" w:hAnsi="楷体_GB2312" w:eastAsia="楷体_GB2312" w:cs="楷体_GB2312"/>
          <w:b/>
          <w:bCs/>
          <w:color w:val="auto"/>
          <w:sz w:val="24"/>
          <w:szCs w:val="32"/>
        </w:rPr>
        <w:t>3. 再生水工程</w:t>
      </w:r>
      <w:bookmarkEnd w:id="79"/>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目前主城区日均污水处理量约为16~18万m³，但仅有1万m³再生水送往热电厂重新利用，其余的都直接排入河流，回收利用率低，造成资源浪费。</w:t>
      </w:r>
    </w:p>
    <w:p>
      <w:pPr>
        <w:spacing w:line="360" w:lineRule="auto"/>
        <w:ind w:firstLine="482" w:firstLineChars="200"/>
        <w:rPr>
          <w:rFonts w:hint="eastAsia" w:ascii="楷体_GB2312" w:hAnsi="楷体_GB2312" w:eastAsia="楷体_GB2312" w:cs="楷体_GB2312"/>
          <w:b/>
          <w:bCs/>
          <w:color w:val="auto"/>
          <w:sz w:val="24"/>
          <w:szCs w:val="32"/>
        </w:rPr>
      </w:pPr>
      <w:bookmarkStart w:id="80" w:name="_Toc494903128"/>
      <w:r>
        <w:rPr>
          <w:rFonts w:hint="eastAsia" w:ascii="楷体_GB2312" w:hAnsi="楷体_GB2312" w:eastAsia="楷体_GB2312" w:cs="楷体_GB2312"/>
          <w:b/>
          <w:bCs/>
          <w:color w:val="auto"/>
          <w:sz w:val="24"/>
          <w:szCs w:val="32"/>
        </w:rPr>
        <w:t>4. 存在问题分析</w:t>
      </w:r>
      <w:bookmarkEnd w:id="80"/>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（1）排水系统缺乏统一规划，现有排水设施零乱、分散、不成体系。</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排水体制较混乱。老城区基本为雨污合流制，有些新建城区采用了雨污分流制，但由于污水厂未建设，污水没有出路，仍将污水管的污水接入雨水管内，排出口均为合流的形式，对市区河道造成了严重污染。</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（3）主城区排水干渠设计标准偏低，断面偏小，水力条件差。而且很多建筑工地泥沙、垃圾直接排入，致使渠道堵塞，渍水现象较严重，污染市区环境，急需对排水系统进行疏通整治。</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81" w:name="_Toc495586699"/>
      <w:bookmarkStart w:id="82" w:name="_Toc494903129"/>
      <w:r>
        <w:rPr>
          <w:rFonts w:hint="eastAsia" w:ascii="楷体_GB2312" w:hAnsi="楷体_GB2312" w:eastAsia="楷体_GB2312" w:cs="楷体_GB2312"/>
          <w:b/>
          <w:color w:val="auto"/>
          <w:sz w:val="24"/>
          <w:szCs w:val="24"/>
        </w:rPr>
        <w:t>3.2.3电力工程</w:t>
      </w:r>
      <w:bookmarkEnd w:id="81"/>
      <w:bookmarkEnd w:id="82"/>
    </w:p>
    <w:p>
      <w:pPr>
        <w:spacing w:line="360" w:lineRule="auto"/>
        <w:ind w:firstLine="482" w:firstLineChars="200"/>
        <w:rPr>
          <w:rFonts w:hint="eastAsia" w:ascii="楷体_GB2312" w:hAnsi="楷体_GB2312" w:eastAsia="楷体_GB2312" w:cs="楷体_GB2312"/>
          <w:b/>
          <w:bCs/>
          <w:color w:val="auto"/>
          <w:sz w:val="24"/>
          <w:szCs w:val="32"/>
        </w:rPr>
      </w:pPr>
      <w:bookmarkStart w:id="83" w:name="_Toc494903130"/>
      <w:r>
        <w:rPr>
          <w:rFonts w:hint="eastAsia" w:ascii="楷体_GB2312" w:hAnsi="楷体_GB2312" w:eastAsia="楷体_GB2312" w:cs="楷体_GB2312"/>
          <w:b/>
          <w:bCs/>
          <w:color w:val="auto"/>
          <w:sz w:val="24"/>
          <w:szCs w:val="32"/>
        </w:rPr>
        <w:t>1. 现状概况</w:t>
      </w:r>
      <w:bookmarkEnd w:id="83"/>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（1）电厂</w:t>
      </w:r>
    </w:p>
    <w:p>
      <w:pPr>
        <w:spacing w:line="360" w:lineRule="auto"/>
        <w:ind w:firstLine="480" w:firstLineChars="200"/>
        <w:jc w:val="left"/>
        <w:rPr>
          <w:rFonts w:hint="eastAsia" w:ascii="楷体_GB2312" w:hAnsi="楷体_GB2312" w:eastAsia="楷体_GB2312" w:cs="楷体_GB2312"/>
          <w:b/>
          <w:color w:val="auto"/>
          <w:sz w:val="20"/>
          <w:szCs w:val="20"/>
          <w:lang w:bidi="ar"/>
        </w:rPr>
      </w:pPr>
      <w:r>
        <w:rPr>
          <w:rFonts w:hint="eastAsia" w:ascii="楷体_GB2312" w:hAnsi="楷体_GB2312" w:eastAsia="楷体_GB2312" w:cs="楷体_GB2312"/>
          <w:color w:val="auto"/>
          <w:sz w:val="24"/>
        </w:rPr>
        <w:t>目前主城区有统筹发电厂一座（东区热电厂），地方电厂一座（天健热电厂），总装机容量为465MW，其中莲城电厂发电接入220kV电网，天健热电发电接入110kV电网。</w:t>
      </w:r>
    </w:p>
    <w:p>
      <w:pPr>
        <w:jc w:val="center"/>
        <w:rPr>
          <w:rFonts w:hint="eastAsia" w:ascii="楷体_GB2312" w:hAnsi="楷体_GB2312" w:eastAsia="楷体_GB2312" w:cs="楷体_GB2312"/>
          <w:b/>
          <w:color w:val="auto"/>
          <w:lang w:bidi="ar"/>
        </w:rPr>
      </w:pPr>
      <w:r>
        <w:rPr>
          <w:rFonts w:hint="eastAsia" w:ascii="楷体_GB2312" w:hAnsi="楷体_GB2312" w:eastAsia="楷体_GB2312" w:cs="楷体_GB2312"/>
          <w:b/>
          <w:color w:val="auto"/>
          <w:lang w:bidi="ar"/>
        </w:rPr>
        <w:t>主城区现状电厂一览</w:t>
      </w:r>
    </w:p>
    <w:tbl>
      <w:tblPr>
        <w:tblStyle w:val="21"/>
        <w:tblpPr w:leftFromText="180" w:rightFromText="180" w:vertAnchor="text" w:horzAnchor="page" w:tblpX="1951" w:tblpY="250"/>
        <w:tblOverlap w:val="never"/>
        <w:tblW w:w="8520"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06"/>
        <w:gridCol w:w="1252"/>
        <w:gridCol w:w="1178"/>
        <w:gridCol w:w="1735"/>
        <w:gridCol w:w="1212"/>
        <w:gridCol w:w="870"/>
        <w:gridCol w:w="116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90" w:hRule="atLeast"/>
        </w:trPr>
        <w:tc>
          <w:tcPr>
            <w:tcW w:w="1106"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地区名称</w:t>
            </w:r>
          </w:p>
        </w:tc>
        <w:tc>
          <w:tcPr>
            <w:tcW w:w="1252"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电厂名称</w:t>
            </w:r>
          </w:p>
        </w:tc>
        <w:tc>
          <w:tcPr>
            <w:tcW w:w="1178"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容量（MW）</w:t>
            </w:r>
          </w:p>
        </w:tc>
        <w:tc>
          <w:tcPr>
            <w:tcW w:w="1735"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装机构成（MW）</w:t>
            </w:r>
          </w:p>
        </w:tc>
        <w:tc>
          <w:tcPr>
            <w:tcW w:w="1212"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接入电压等级（kV）</w:t>
            </w:r>
          </w:p>
        </w:tc>
        <w:tc>
          <w:tcPr>
            <w:tcW w:w="870"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性质</w:t>
            </w:r>
          </w:p>
        </w:tc>
        <w:tc>
          <w:tcPr>
            <w:tcW w:w="1167"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52" w:hRule="exact"/>
        </w:trPr>
        <w:tc>
          <w:tcPr>
            <w:tcW w:w="110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市区</w:t>
            </w:r>
          </w:p>
        </w:tc>
        <w:tc>
          <w:tcPr>
            <w:tcW w:w="1252"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东区热电厂</w:t>
            </w:r>
          </w:p>
        </w:tc>
        <w:tc>
          <w:tcPr>
            <w:tcW w:w="117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420</w:t>
            </w:r>
          </w:p>
        </w:tc>
        <w:tc>
          <w:tcPr>
            <w:tcW w:w="173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2×210</w:t>
            </w:r>
          </w:p>
        </w:tc>
        <w:tc>
          <w:tcPr>
            <w:tcW w:w="1212"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220</w:t>
            </w:r>
          </w:p>
        </w:tc>
        <w:tc>
          <w:tcPr>
            <w:tcW w:w="87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公用</w:t>
            </w:r>
          </w:p>
        </w:tc>
        <w:tc>
          <w:tcPr>
            <w:tcW w:w="1167" w:type="dxa"/>
            <w:tcBorders>
              <w:tl2br w:val="nil"/>
              <w:tr2bl w:val="nil"/>
            </w:tcBorders>
            <w:vAlign w:val="center"/>
          </w:tcPr>
          <w:p>
            <w:pPr>
              <w:jc w:val="center"/>
              <w:rPr>
                <w:rFonts w:hint="eastAsia" w:ascii="楷体_GB2312" w:hAnsi="楷体_GB2312" w:eastAsia="楷体_GB2312" w:cs="楷体_GB2312"/>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52" w:hRule="exact"/>
        </w:trPr>
        <w:tc>
          <w:tcPr>
            <w:tcW w:w="110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市区</w:t>
            </w:r>
          </w:p>
        </w:tc>
        <w:tc>
          <w:tcPr>
            <w:tcW w:w="1252"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天健热电厂</w:t>
            </w:r>
          </w:p>
        </w:tc>
        <w:tc>
          <w:tcPr>
            <w:tcW w:w="117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45</w:t>
            </w:r>
          </w:p>
        </w:tc>
        <w:tc>
          <w:tcPr>
            <w:tcW w:w="173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1×30+1×15</w:t>
            </w:r>
          </w:p>
        </w:tc>
        <w:tc>
          <w:tcPr>
            <w:tcW w:w="1212"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110</w:t>
            </w:r>
          </w:p>
        </w:tc>
        <w:tc>
          <w:tcPr>
            <w:tcW w:w="87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公用</w:t>
            </w:r>
          </w:p>
        </w:tc>
        <w:tc>
          <w:tcPr>
            <w:tcW w:w="116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垃圾发电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PrEx>
        <w:trPr>
          <w:trHeight w:val="352" w:hRule="exact"/>
        </w:trPr>
        <w:tc>
          <w:tcPr>
            <w:tcW w:w="2358" w:type="dxa"/>
            <w:gridSpan w:val="2"/>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总计</w:t>
            </w:r>
          </w:p>
        </w:tc>
        <w:tc>
          <w:tcPr>
            <w:tcW w:w="117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465</w:t>
            </w:r>
          </w:p>
        </w:tc>
        <w:tc>
          <w:tcPr>
            <w:tcW w:w="4984" w:type="dxa"/>
            <w:gridSpan w:val="4"/>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w:t>
            </w:r>
          </w:p>
        </w:tc>
      </w:tr>
    </w:tbl>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（2）110kV及以上变电站</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目前主城区共有500kV变电站1座，220kV变电站4座，110kV变电站11座。其中500KV变电站主变总容量2250MVA，220kV主变总容量1320MVA；110kV总变电容量813.5MVA。</w:t>
      </w:r>
    </w:p>
    <w:p>
      <w:pPr>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主城区现状110kV及以上变电站一览表</w:t>
      </w:r>
    </w:p>
    <w:tbl>
      <w:tblPr>
        <w:tblStyle w:val="21"/>
        <w:tblW w:w="8522"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381"/>
        <w:gridCol w:w="1418"/>
        <w:gridCol w:w="1701"/>
        <w:gridCol w:w="231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71" w:hRule="atLeast"/>
          <w:tblHeader/>
          <w:jc w:val="center"/>
        </w:trPr>
        <w:tc>
          <w:tcPr>
            <w:tcW w:w="170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lang w:bidi="ar"/>
              </w:rPr>
            </w:pPr>
            <w:r>
              <w:rPr>
                <w:rFonts w:hint="eastAsia" w:ascii="楷体_GB2312" w:hAnsi="楷体_GB2312" w:eastAsia="楷体_GB2312" w:cs="楷体_GB2312"/>
                <w:b/>
                <w:color w:val="auto"/>
                <w:szCs w:val="21"/>
                <w:lang w:bidi="ar"/>
              </w:rPr>
              <w:t>变电站等级</w:t>
            </w:r>
          </w:p>
        </w:tc>
        <w:tc>
          <w:tcPr>
            <w:tcW w:w="1381"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lang w:bidi="ar"/>
              </w:rPr>
            </w:pPr>
            <w:r>
              <w:rPr>
                <w:rFonts w:hint="eastAsia" w:ascii="楷体_GB2312" w:hAnsi="楷体_GB2312" w:eastAsia="楷体_GB2312" w:cs="楷体_GB2312"/>
                <w:b/>
                <w:color w:val="auto"/>
                <w:szCs w:val="21"/>
                <w:lang w:bidi="ar"/>
              </w:rPr>
              <w:t>站名</w:t>
            </w:r>
          </w:p>
        </w:tc>
        <w:tc>
          <w:tcPr>
            <w:tcW w:w="1418"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容量（MVA）</w:t>
            </w:r>
          </w:p>
        </w:tc>
        <w:tc>
          <w:tcPr>
            <w:tcW w:w="1701"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大负荷时负荷</w:t>
            </w:r>
          </w:p>
        </w:tc>
        <w:tc>
          <w:tcPr>
            <w:tcW w:w="2318"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大负荷时负载率（%）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70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500kV</w:t>
            </w:r>
          </w:p>
        </w:tc>
        <w:tc>
          <w:tcPr>
            <w:tcW w:w="138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花都变</w:t>
            </w:r>
          </w:p>
        </w:tc>
        <w:tc>
          <w:tcPr>
            <w:tcW w:w="14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3×750</w:t>
            </w:r>
          </w:p>
        </w:tc>
        <w:tc>
          <w:tcPr>
            <w:tcW w:w="1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936</w:t>
            </w:r>
          </w:p>
        </w:tc>
        <w:tc>
          <w:tcPr>
            <w:tcW w:w="23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41.60%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704" w:type="dxa"/>
            <w:vMerge w:val="restart"/>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220kV</w:t>
            </w:r>
          </w:p>
        </w:tc>
        <w:tc>
          <w:tcPr>
            <w:tcW w:w="138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付庄变</w:t>
            </w:r>
          </w:p>
        </w:tc>
        <w:tc>
          <w:tcPr>
            <w:tcW w:w="14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2×180</w:t>
            </w:r>
          </w:p>
        </w:tc>
        <w:tc>
          <w:tcPr>
            <w:tcW w:w="1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279</w:t>
            </w:r>
          </w:p>
        </w:tc>
        <w:tc>
          <w:tcPr>
            <w:tcW w:w="23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77.50%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704"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Cs w:val="21"/>
              </w:rPr>
            </w:pPr>
          </w:p>
        </w:tc>
        <w:tc>
          <w:tcPr>
            <w:tcW w:w="138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薛坡变</w:t>
            </w:r>
          </w:p>
        </w:tc>
        <w:tc>
          <w:tcPr>
            <w:tcW w:w="14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2×120</w:t>
            </w:r>
          </w:p>
        </w:tc>
        <w:tc>
          <w:tcPr>
            <w:tcW w:w="1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159</w:t>
            </w:r>
          </w:p>
        </w:tc>
        <w:tc>
          <w:tcPr>
            <w:tcW w:w="23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66.25%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PrEx>
        <w:trPr>
          <w:trHeight w:val="397" w:hRule="exact"/>
          <w:jc w:val="center"/>
        </w:trPr>
        <w:tc>
          <w:tcPr>
            <w:tcW w:w="1704"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Cs w:val="21"/>
              </w:rPr>
            </w:pPr>
          </w:p>
        </w:tc>
        <w:tc>
          <w:tcPr>
            <w:tcW w:w="138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汉魏变</w:t>
            </w:r>
          </w:p>
        </w:tc>
        <w:tc>
          <w:tcPr>
            <w:tcW w:w="14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2×180</w:t>
            </w:r>
          </w:p>
        </w:tc>
        <w:tc>
          <w:tcPr>
            <w:tcW w:w="1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230</w:t>
            </w:r>
          </w:p>
        </w:tc>
        <w:tc>
          <w:tcPr>
            <w:tcW w:w="23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63.89%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704"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Cs w:val="21"/>
              </w:rPr>
            </w:pPr>
          </w:p>
        </w:tc>
        <w:tc>
          <w:tcPr>
            <w:tcW w:w="138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城南变</w:t>
            </w:r>
          </w:p>
        </w:tc>
        <w:tc>
          <w:tcPr>
            <w:tcW w:w="14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2×180</w:t>
            </w:r>
          </w:p>
        </w:tc>
        <w:tc>
          <w:tcPr>
            <w:tcW w:w="1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51</w:t>
            </w:r>
          </w:p>
        </w:tc>
        <w:tc>
          <w:tcPr>
            <w:tcW w:w="23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14.16%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704" w:type="dxa"/>
            <w:vMerge w:val="restart"/>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110kV</w:t>
            </w:r>
          </w:p>
        </w:tc>
        <w:tc>
          <w:tcPr>
            <w:tcW w:w="138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魏都变</w:t>
            </w:r>
          </w:p>
        </w:tc>
        <w:tc>
          <w:tcPr>
            <w:tcW w:w="14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2×50</w:t>
            </w:r>
          </w:p>
        </w:tc>
        <w:tc>
          <w:tcPr>
            <w:tcW w:w="1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73</w:t>
            </w:r>
          </w:p>
        </w:tc>
        <w:tc>
          <w:tcPr>
            <w:tcW w:w="23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73.00%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704"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Cs w:val="21"/>
              </w:rPr>
            </w:pPr>
          </w:p>
        </w:tc>
        <w:tc>
          <w:tcPr>
            <w:tcW w:w="138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许昌变</w:t>
            </w:r>
          </w:p>
        </w:tc>
        <w:tc>
          <w:tcPr>
            <w:tcW w:w="14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2×31.5</w:t>
            </w:r>
          </w:p>
        </w:tc>
        <w:tc>
          <w:tcPr>
            <w:tcW w:w="1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46</w:t>
            </w:r>
          </w:p>
        </w:tc>
        <w:tc>
          <w:tcPr>
            <w:tcW w:w="23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73.02%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704"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Cs w:val="21"/>
              </w:rPr>
            </w:pPr>
          </w:p>
        </w:tc>
        <w:tc>
          <w:tcPr>
            <w:tcW w:w="138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薛1#变</w:t>
            </w:r>
          </w:p>
        </w:tc>
        <w:tc>
          <w:tcPr>
            <w:tcW w:w="14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1×40</w:t>
            </w:r>
          </w:p>
        </w:tc>
        <w:tc>
          <w:tcPr>
            <w:tcW w:w="1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18</w:t>
            </w:r>
          </w:p>
        </w:tc>
        <w:tc>
          <w:tcPr>
            <w:tcW w:w="23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45.00%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704"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Cs w:val="21"/>
              </w:rPr>
            </w:pPr>
          </w:p>
        </w:tc>
        <w:tc>
          <w:tcPr>
            <w:tcW w:w="138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灞陵变</w:t>
            </w:r>
          </w:p>
        </w:tc>
        <w:tc>
          <w:tcPr>
            <w:tcW w:w="14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31.5+40</w:t>
            </w:r>
          </w:p>
        </w:tc>
        <w:tc>
          <w:tcPr>
            <w:tcW w:w="1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52</w:t>
            </w:r>
          </w:p>
        </w:tc>
        <w:tc>
          <w:tcPr>
            <w:tcW w:w="23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72.73%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704"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Cs w:val="21"/>
              </w:rPr>
            </w:pPr>
          </w:p>
        </w:tc>
        <w:tc>
          <w:tcPr>
            <w:tcW w:w="138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新城变</w:t>
            </w:r>
          </w:p>
        </w:tc>
        <w:tc>
          <w:tcPr>
            <w:tcW w:w="14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31.5+40</w:t>
            </w:r>
          </w:p>
        </w:tc>
        <w:tc>
          <w:tcPr>
            <w:tcW w:w="1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53</w:t>
            </w:r>
          </w:p>
        </w:tc>
        <w:tc>
          <w:tcPr>
            <w:tcW w:w="23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74.13%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704"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Cs w:val="21"/>
              </w:rPr>
            </w:pPr>
          </w:p>
        </w:tc>
        <w:tc>
          <w:tcPr>
            <w:tcW w:w="138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高营变</w:t>
            </w:r>
          </w:p>
        </w:tc>
        <w:tc>
          <w:tcPr>
            <w:tcW w:w="14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2×40</w:t>
            </w:r>
          </w:p>
        </w:tc>
        <w:tc>
          <w:tcPr>
            <w:tcW w:w="1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23</w:t>
            </w:r>
          </w:p>
        </w:tc>
        <w:tc>
          <w:tcPr>
            <w:tcW w:w="23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28.75%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704"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Cs w:val="21"/>
              </w:rPr>
            </w:pPr>
          </w:p>
        </w:tc>
        <w:tc>
          <w:tcPr>
            <w:tcW w:w="138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彭庄变</w:t>
            </w:r>
          </w:p>
        </w:tc>
        <w:tc>
          <w:tcPr>
            <w:tcW w:w="14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40+50</w:t>
            </w:r>
          </w:p>
        </w:tc>
        <w:tc>
          <w:tcPr>
            <w:tcW w:w="1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50</w:t>
            </w:r>
          </w:p>
        </w:tc>
        <w:tc>
          <w:tcPr>
            <w:tcW w:w="23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55.56%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704"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Cs w:val="21"/>
              </w:rPr>
            </w:pPr>
          </w:p>
        </w:tc>
        <w:tc>
          <w:tcPr>
            <w:tcW w:w="138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尚集变</w:t>
            </w:r>
          </w:p>
        </w:tc>
        <w:tc>
          <w:tcPr>
            <w:tcW w:w="14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31.5+40</w:t>
            </w:r>
          </w:p>
        </w:tc>
        <w:tc>
          <w:tcPr>
            <w:tcW w:w="1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65</w:t>
            </w:r>
          </w:p>
        </w:tc>
        <w:tc>
          <w:tcPr>
            <w:tcW w:w="23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90.91%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704"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Cs w:val="21"/>
              </w:rPr>
            </w:pPr>
          </w:p>
        </w:tc>
        <w:tc>
          <w:tcPr>
            <w:tcW w:w="138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春秋变</w:t>
            </w:r>
          </w:p>
        </w:tc>
        <w:tc>
          <w:tcPr>
            <w:tcW w:w="14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2×63</w:t>
            </w:r>
          </w:p>
        </w:tc>
        <w:tc>
          <w:tcPr>
            <w:tcW w:w="170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82</w:t>
            </w:r>
          </w:p>
        </w:tc>
        <w:tc>
          <w:tcPr>
            <w:tcW w:w="231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65.08%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704"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Cs w:val="21"/>
              </w:rPr>
            </w:pPr>
          </w:p>
        </w:tc>
        <w:tc>
          <w:tcPr>
            <w:tcW w:w="1381"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尚东变</w:t>
            </w:r>
          </w:p>
        </w:tc>
        <w:tc>
          <w:tcPr>
            <w:tcW w:w="1418"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1×50</w:t>
            </w:r>
          </w:p>
        </w:tc>
        <w:tc>
          <w:tcPr>
            <w:tcW w:w="1701"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23</w:t>
            </w:r>
          </w:p>
        </w:tc>
        <w:tc>
          <w:tcPr>
            <w:tcW w:w="2318"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46.00%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1704"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Cs w:val="21"/>
              </w:rPr>
            </w:pPr>
          </w:p>
        </w:tc>
        <w:tc>
          <w:tcPr>
            <w:tcW w:w="1381"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将官池变</w:t>
            </w:r>
          </w:p>
        </w:tc>
        <w:tc>
          <w:tcPr>
            <w:tcW w:w="1418"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1×50</w:t>
            </w:r>
          </w:p>
        </w:tc>
        <w:tc>
          <w:tcPr>
            <w:tcW w:w="1701"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w:t>
            </w:r>
          </w:p>
        </w:tc>
        <w:tc>
          <w:tcPr>
            <w:tcW w:w="2318"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w:t>
            </w:r>
          </w:p>
        </w:tc>
      </w:tr>
    </w:tbl>
    <w:p>
      <w:pPr>
        <w:spacing w:line="360" w:lineRule="auto"/>
        <w:ind w:firstLine="482" w:firstLineChars="200"/>
        <w:rPr>
          <w:rFonts w:hint="eastAsia" w:ascii="楷体_GB2312" w:hAnsi="楷体_GB2312" w:eastAsia="楷体_GB2312" w:cs="楷体_GB2312"/>
          <w:b/>
          <w:bCs/>
          <w:color w:val="auto"/>
          <w:sz w:val="24"/>
          <w:szCs w:val="32"/>
        </w:rPr>
      </w:pPr>
      <w:bookmarkStart w:id="84" w:name="_Toc494903131"/>
      <w:r>
        <w:rPr>
          <w:rFonts w:hint="eastAsia" w:ascii="楷体_GB2312" w:hAnsi="楷体_GB2312" w:eastAsia="楷体_GB2312" w:cs="楷体_GB2312"/>
          <w:b/>
          <w:bCs/>
          <w:color w:val="auto"/>
          <w:sz w:val="24"/>
          <w:szCs w:val="32"/>
        </w:rPr>
        <w:t>2. 存在问题分析</w:t>
      </w:r>
      <w:bookmarkEnd w:id="84"/>
    </w:p>
    <w:p>
      <w:pPr>
        <w:spacing w:before="120" w:beforeLines="50"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（1）变电站选址和出线用地难以落实。主城区城市结构复杂，用电负荷密度高，造成变电站选址和出线困难，供电线路走廊拥挤。</w:t>
      </w:r>
    </w:p>
    <w:p>
      <w:pPr>
        <w:spacing w:before="120" w:beforeLines="50"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（2）20kV电网结构薄弱，难以满足N-1运行。</w:t>
      </w:r>
    </w:p>
    <w:p>
      <w:pPr>
        <w:spacing w:before="120" w:beforeLines="50"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（3）城区电力网荷载率基本为70%左右，处于电力网负荷过重状态，稳定性较差，应加强高压供输电网的建设。</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85" w:name="_Toc494903132"/>
      <w:bookmarkStart w:id="86" w:name="_Toc495586700"/>
      <w:r>
        <w:rPr>
          <w:rFonts w:hint="eastAsia" w:ascii="楷体_GB2312" w:hAnsi="楷体_GB2312" w:eastAsia="楷体_GB2312" w:cs="楷体_GB2312"/>
          <w:b/>
          <w:color w:val="auto"/>
          <w:sz w:val="24"/>
          <w:szCs w:val="24"/>
        </w:rPr>
        <w:t>3.2.4通信工程</w:t>
      </w:r>
      <w:bookmarkEnd w:id="85"/>
      <w:bookmarkEnd w:id="86"/>
    </w:p>
    <w:p>
      <w:pPr>
        <w:spacing w:line="360" w:lineRule="auto"/>
        <w:ind w:firstLine="482" w:firstLineChars="200"/>
        <w:rPr>
          <w:rFonts w:hint="eastAsia" w:ascii="楷体_GB2312" w:hAnsi="楷体_GB2312" w:eastAsia="楷体_GB2312" w:cs="楷体_GB2312"/>
          <w:b/>
          <w:bCs/>
          <w:color w:val="auto"/>
          <w:sz w:val="24"/>
          <w:szCs w:val="32"/>
        </w:rPr>
      </w:pPr>
      <w:bookmarkStart w:id="87" w:name="_Toc494903133"/>
      <w:r>
        <w:rPr>
          <w:rFonts w:hint="eastAsia" w:ascii="楷体_GB2312" w:hAnsi="楷体_GB2312" w:eastAsia="楷体_GB2312" w:cs="楷体_GB2312"/>
          <w:b/>
          <w:bCs/>
          <w:color w:val="auto"/>
          <w:sz w:val="24"/>
          <w:szCs w:val="32"/>
        </w:rPr>
        <w:t>1. 现状概况</w:t>
      </w:r>
      <w:bookmarkEnd w:id="87"/>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目前许昌电信有核心节点2个，分别位于劳动路和莲城大道，其中劳动路节点为租赁，莲城大道节点为自有产权。汇聚节点有2个，分别是三中局、塔湾局，均为租赁。现状许昌主城区（永昌路以南区域）固定电话户数为9.7万门，交换机总容量为19.5万线，固定电话普及率为25.61%。现状许昌县固定电话户数为5.5万门，交换机总容量为9.5万门，固定电话普及率为6.85%。</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许昌移动现有核心节点2个，分别位于莲城大道与魏文路交叉口、八一路与魏文路交叉口，均为自有产权。汇聚节点6个，其中自有产权2个，租用机房4个。</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许昌联通现有核心节点3个，分别是魏文路南楼、魏文路北楼和七一路局，均为自有产权。汇聚节点6个，均为自有产权。</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许昌铁通现有核心节点1个，位于解放路东寿昌里西货场，为自有产权。汇聚节点2个，均为自由产权。目前铁通于许昌市区和许昌县共有用户数1.1万户，交换机容量3万门。</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目前，主城区范围内共设置了17个邮政支局（所），其中14个为邮政自有网点，3个为代办点。</w:t>
      </w:r>
    </w:p>
    <w:p>
      <w:pPr>
        <w:spacing w:line="360" w:lineRule="auto"/>
        <w:ind w:firstLine="482" w:firstLineChars="200"/>
        <w:rPr>
          <w:rFonts w:hint="eastAsia" w:ascii="楷体_GB2312" w:hAnsi="楷体_GB2312" w:eastAsia="楷体_GB2312" w:cs="楷体_GB2312"/>
          <w:color w:val="auto"/>
        </w:rPr>
      </w:pPr>
      <w:bookmarkStart w:id="88" w:name="_Toc494903134"/>
      <w:r>
        <w:rPr>
          <w:rFonts w:hint="eastAsia" w:ascii="楷体_GB2312" w:hAnsi="楷体_GB2312" w:eastAsia="楷体_GB2312" w:cs="楷体_GB2312"/>
          <w:b/>
          <w:bCs/>
          <w:color w:val="auto"/>
          <w:sz w:val="24"/>
          <w:szCs w:val="32"/>
        </w:rPr>
        <w:t>2. 存在问题分析</w:t>
      </w:r>
      <w:bookmarkEnd w:id="88"/>
    </w:p>
    <w:p>
      <w:pPr>
        <w:spacing w:before="120" w:beforeLines="50" w:line="360" w:lineRule="auto"/>
        <w:ind w:firstLine="480" w:firstLineChars="200"/>
        <w:rPr>
          <w:rFonts w:hint="eastAsia" w:ascii="楷体_GB2312" w:hAnsi="楷体_GB2312" w:eastAsia="楷体_GB2312" w:cs="楷体_GB2312"/>
          <w:bCs/>
          <w:color w:val="auto"/>
          <w:sz w:val="24"/>
        </w:rPr>
      </w:pPr>
      <w:r>
        <w:rPr>
          <w:rFonts w:hint="eastAsia" w:ascii="楷体_GB2312" w:hAnsi="楷体_GB2312" w:eastAsia="楷体_GB2312" w:cs="楷体_GB2312"/>
          <w:bCs/>
          <w:color w:val="auto"/>
          <w:sz w:val="24"/>
        </w:rPr>
        <w:t>（1）空间规划支撑不足，通信基础设施落地难</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通信规划作为城市总体规划、控制性详细规划中的一章节，虽然有规划，但仅只是有简单的通信基础设施布置的专项内容，研究不够深入，由此造成很多通信基础设施项目缺乏空间规划依据，规划部门难以依规进行许可，特别是对环境、景观有一定影响的基站项目，用地选址难以保障，工作推进难度大。</w:t>
      </w:r>
    </w:p>
    <w:p>
      <w:pPr>
        <w:spacing w:before="120" w:beforeLines="50" w:line="360" w:lineRule="auto"/>
        <w:ind w:firstLine="480" w:firstLineChars="200"/>
        <w:rPr>
          <w:rFonts w:hint="eastAsia" w:ascii="楷体_GB2312" w:hAnsi="楷体_GB2312" w:eastAsia="楷体_GB2312" w:cs="楷体_GB2312"/>
          <w:bCs/>
          <w:color w:val="auto"/>
          <w:sz w:val="24"/>
        </w:rPr>
      </w:pPr>
      <w:r>
        <w:rPr>
          <w:rFonts w:hint="eastAsia" w:ascii="楷体_GB2312" w:hAnsi="楷体_GB2312" w:eastAsia="楷体_GB2312" w:cs="楷体_GB2312"/>
          <w:bCs/>
          <w:color w:val="auto"/>
          <w:sz w:val="24"/>
        </w:rPr>
        <w:t>（2）存在无序建设，马路“拉链工程”时有发生</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由于缺乏统筹管理，一条道路今天要埋条管线了，把路挖开埋好，过段时间又来一条管线，造成“拉链马路”。当前迫切需要对通信基础设施的布局和建设时续进行统筹规划，有效扭转这种局面。</w:t>
      </w:r>
    </w:p>
    <w:p>
      <w:pPr>
        <w:spacing w:before="120" w:beforeLines="50" w:line="360" w:lineRule="auto"/>
        <w:ind w:firstLine="480" w:firstLineChars="200"/>
        <w:rPr>
          <w:rFonts w:hint="eastAsia" w:ascii="楷体_GB2312" w:hAnsi="楷体_GB2312" w:eastAsia="楷体_GB2312" w:cs="楷体_GB2312"/>
          <w:bCs/>
          <w:color w:val="auto"/>
          <w:sz w:val="24"/>
        </w:rPr>
      </w:pPr>
      <w:r>
        <w:rPr>
          <w:rFonts w:hint="eastAsia" w:ascii="楷体_GB2312" w:hAnsi="楷体_GB2312" w:eastAsia="楷体_GB2312" w:cs="楷体_GB2312"/>
          <w:bCs/>
          <w:color w:val="auto"/>
          <w:sz w:val="24"/>
        </w:rPr>
        <w:t>（3）通信行业无序竞争造成基础设施建设和管理上的混乱</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随着整个社会信息化程度的不断提高，体制改革力度的加大，多家电信运营商的竞争格局已经形成。但与此同时，通信基础设施建设和运营市场无序竞争现象开始显现，地下通信管道和基站重复建设、资源浪费，还出现了擅自占用他人通信管孔及侵害合法主体产权的行为。另外，通信服务进入居住小区的竞争环节也比较混乱。</w:t>
      </w:r>
    </w:p>
    <w:p>
      <w:pPr>
        <w:spacing w:before="120" w:beforeLines="50" w:line="360" w:lineRule="auto"/>
        <w:ind w:firstLine="480" w:firstLineChars="200"/>
        <w:rPr>
          <w:rFonts w:hint="eastAsia" w:ascii="楷体_GB2312" w:hAnsi="楷体_GB2312" w:eastAsia="楷体_GB2312" w:cs="楷体_GB2312"/>
          <w:bCs/>
          <w:color w:val="auto"/>
          <w:sz w:val="24"/>
        </w:rPr>
      </w:pPr>
      <w:r>
        <w:rPr>
          <w:rFonts w:hint="eastAsia" w:ascii="楷体_GB2312" w:hAnsi="楷体_GB2312" w:eastAsia="楷体_GB2312" w:cs="楷体_GB2312"/>
          <w:bCs/>
          <w:color w:val="auto"/>
          <w:sz w:val="24"/>
        </w:rPr>
        <w:t>（4）通信基础设施建设对景观环境造成一定影响</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大量移动通信基站和天线已经对城市环境以及风景名胜区环境造成不利影响。老城区一些建筑物顶部天线林立，杂乱无章，极不美观，一方面影响了城市形象，另一方面居民对无线网络的电磁辐射产生担忧，产生一种不安全感，由此增加今后建设的难度。</w:t>
      </w:r>
    </w:p>
    <w:p>
      <w:pPr>
        <w:spacing w:before="120" w:beforeLines="50" w:line="360" w:lineRule="auto"/>
        <w:ind w:firstLine="480" w:firstLineChars="200"/>
        <w:rPr>
          <w:rFonts w:hint="eastAsia" w:ascii="楷体_GB2312" w:hAnsi="楷体_GB2312" w:eastAsia="楷体_GB2312" w:cs="楷体_GB2312"/>
          <w:bCs/>
          <w:color w:val="auto"/>
          <w:sz w:val="24"/>
        </w:rPr>
      </w:pPr>
      <w:r>
        <w:rPr>
          <w:rFonts w:hint="eastAsia" w:ascii="楷体_GB2312" w:hAnsi="楷体_GB2312" w:eastAsia="楷体_GB2312" w:cs="楷体_GB2312"/>
          <w:bCs/>
          <w:color w:val="auto"/>
          <w:sz w:val="24"/>
        </w:rPr>
        <w:t>（5）基础设施的建设力度需要加大</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运营商（主要是移动和联通）的局房有部分采用从第三方购置或者是租赁的形式，而这类局房，一般都存在承重、动力（如仅一路市电引入等）、消防等安全方面的隐患。机房的实装率都已经接近或达到饱和。各运营商均需要新建局房来满足需求。</w:t>
      </w:r>
    </w:p>
    <w:p>
      <w:pPr>
        <w:spacing w:before="120" w:beforeLines="50" w:line="360" w:lineRule="auto"/>
        <w:ind w:firstLine="480" w:firstLineChars="200"/>
        <w:rPr>
          <w:rFonts w:hint="eastAsia" w:ascii="楷体_GB2312" w:hAnsi="楷体_GB2312" w:eastAsia="楷体_GB2312" w:cs="楷体_GB2312"/>
          <w:bCs/>
          <w:color w:val="auto"/>
          <w:sz w:val="24"/>
        </w:rPr>
      </w:pPr>
      <w:r>
        <w:rPr>
          <w:rFonts w:hint="eastAsia" w:ascii="楷体_GB2312" w:hAnsi="楷体_GB2312" w:eastAsia="楷体_GB2312" w:cs="楷体_GB2312"/>
          <w:bCs/>
          <w:color w:val="auto"/>
          <w:sz w:val="24"/>
        </w:rPr>
        <w:t>（6）管道建设的不均衡</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总体管道分布基本不均衡，局部地段比较缺乏。市政道路通信管网建设不到位，小区内通信管道建设比较薄弱，未能和水、电、气一般成为城市发展最为基础的设施。</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89" w:name="_Toc495586701"/>
      <w:bookmarkStart w:id="90" w:name="_Toc494903135"/>
      <w:r>
        <w:rPr>
          <w:rFonts w:hint="eastAsia" w:ascii="楷体_GB2312" w:hAnsi="楷体_GB2312" w:eastAsia="楷体_GB2312" w:cs="楷体_GB2312"/>
          <w:b/>
          <w:color w:val="auto"/>
          <w:sz w:val="24"/>
          <w:szCs w:val="24"/>
        </w:rPr>
        <w:t>3.2.5燃气工程</w:t>
      </w:r>
      <w:bookmarkEnd w:id="89"/>
      <w:bookmarkEnd w:id="90"/>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eastAsia" w:ascii="楷体_GB2312" w:hAnsi="楷体_GB2312" w:eastAsia="楷体_GB2312" w:cs="楷体_GB2312"/>
          <w:b/>
          <w:bCs/>
          <w:color w:val="auto"/>
          <w:sz w:val="24"/>
          <w:szCs w:val="32"/>
        </w:rPr>
      </w:pPr>
      <w:bookmarkStart w:id="91" w:name="_Toc494903136"/>
      <w:r>
        <w:rPr>
          <w:rFonts w:hint="eastAsia" w:ascii="楷体_GB2312" w:hAnsi="楷体_GB2312" w:eastAsia="楷体_GB2312" w:cs="楷体_GB2312"/>
          <w:b/>
          <w:bCs/>
          <w:color w:val="auto"/>
          <w:sz w:val="24"/>
          <w:szCs w:val="32"/>
        </w:rPr>
        <w:t>1. 现状概况</w:t>
      </w:r>
      <w:bookmarkEnd w:id="91"/>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目前许昌主城区燃气种类主要有两种：天然气和液化气。</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许昌主城区天然气由西气东输工程豫南支线输气管提供，由天伦燃气有限公司经营管理。天然气采用管道供气方式，通过门站、城市管网、庭院户内管道供至许昌主城区用户。</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目前许昌市区已建成的天然气供气设施有豫南支线许昌分输站1座、天然气门站1座、CNG加气母站1座、CNG汽车加气站4座（标准站1座，子站3座）、中压管网202.4km、低压管网210km、中低压调压站25座、调压箱（柜）815个。</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目前主城区管道天然气居民用户约8.78万户，天然气用量约3261×104Nm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/a；公服用户465户，天然气用量约180×104Nm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/a；工业用户25户，天然气用量约170×104Nm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/a，CNG汽车用气量约2000×104Nm3/a。合计使用天然气5611×104Nm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/a。</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主城区现有液化石油气储配站4座、瓶装供应站100多个。储罐总容积925m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，日灌装能力可达29m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，液化石油气用户遍布全市。液化石油气年供应量为0.66万m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/a，以瓶装液化气为主，汽化人口约25万人（合6.5万户）。</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eastAsia" w:ascii="楷体_GB2312" w:hAnsi="楷体_GB2312" w:eastAsia="楷体_GB2312" w:cs="楷体_GB2312"/>
          <w:b/>
          <w:bCs/>
          <w:color w:val="auto"/>
          <w:sz w:val="24"/>
          <w:szCs w:val="32"/>
        </w:rPr>
      </w:pPr>
      <w:bookmarkStart w:id="92" w:name="_Toc494903137"/>
      <w:r>
        <w:rPr>
          <w:rFonts w:hint="eastAsia" w:ascii="楷体_GB2312" w:hAnsi="楷体_GB2312" w:eastAsia="楷体_GB2312" w:cs="楷体_GB2312"/>
          <w:b/>
          <w:bCs/>
          <w:color w:val="auto"/>
          <w:sz w:val="24"/>
          <w:szCs w:val="32"/>
        </w:rPr>
        <w:t>2. 存在问题分析</w:t>
      </w:r>
      <w:bookmarkEnd w:id="92"/>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b/>
          <w:bCs/>
          <w:color w:val="auto"/>
          <w:sz w:val="24"/>
        </w:rPr>
      </w:pPr>
      <w:r>
        <w:rPr>
          <w:rFonts w:hint="eastAsia" w:ascii="楷体_GB2312" w:hAnsi="楷体_GB2312" w:eastAsia="楷体_GB2312" w:cs="楷体_GB2312"/>
          <w:color w:val="auto"/>
          <w:sz w:val="24"/>
        </w:rPr>
        <w:t>（1）燃气系统建设无专业的城市燃气发展规划进行指导，燃气工程和</w:t>
      </w:r>
      <w:r>
        <w:rPr>
          <w:rFonts w:hint="eastAsia" w:ascii="楷体_GB2312" w:hAnsi="楷体_GB2312" w:eastAsia="楷体_GB2312" w:cs="楷体_GB2312"/>
          <w:b/>
          <w:bCs/>
          <w:color w:val="auto"/>
          <w:sz w:val="24"/>
        </w:rPr>
        <w:t>管网设施规划建设无序。</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（2）天然气</w:t>
      </w:r>
      <w:r>
        <w:rPr>
          <w:rFonts w:hint="eastAsia" w:ascii="楷体_GB2312" w:hAnsi="楷体_GB2312" w:eastAsia="楷体_GB2312" w:cs="楷体_GB2312"/>
          <w:b/>
          <w:bCs/>
          <w:color w:val="auto"/>
          <w:sz w:val="24"/>
        </w:rPr>
        <w:t>气源单一</w:t>
      </w:r>
      <w:r>
        <w:rPr>
          <w:rFonts w:hint="eastAsia" w:ascii="楷体_GB2312" w:hAnsi="楷体_GB2312" w:eastAsia="楷体_GB2312" w:cs="楷体_GB2312"/>
          <w:color w:val="auto"/>
          <w:sz w:val="24"/>
        </w:rPr>
        <w:t>，系统脆弱，一旦气源和供气主线发生问题，将直接造成城市供气中断。</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93" w:name="_Toc495586702"/>
      <w:bookmarkStart w:id="94" w:name="_Toc494903138"/>
      <w:r>
        <w:rPr>
          <w:rFonts w:hint="eastAsia" w:ascii="楷体_GB2312" w:hAnsi="楷体_GB2312" w:eastAsia="楷体_GB2312" w:cs="楷体_GB2312"/>
          <w:b/>
          <w:color w:val="auto"/>
          <w:sz w:val="24"/>
          <w:szCs w:val="24"/>
        </w:rPr>
        <w:t>3.2.6热力工程</w:t>
      </w:r>
      <w:bookmarkEnd w:id="93"/>
      <w:bookmarkEnd w:id="94"/>
    </w:p>
    <w:p>
      <w:pPr>
        <w:spacing w:line="360" w:lineRule="auto"/>
        <w:ind w:firstLine="482" w:firstLineChars="200"/>
        <w:rPr>
          <w:rFonts w:hint="eastAsia" w:ascii="楷体_GB2312" w:hAnsi="楷体_GB2312" w:eastAsia="楷体_GB2312" w:cs="楷体_GB2312"/>
          <w:b/>
          <w:bCs/>
          <w:color w:val="auto"/>
          <w:sz w:val="24"/>
          <w:szCs w:val="32"/>
        </w:rPr>
      </w:pPr>
      <w:bookmarkStart w:id="95" w:name="_Toc494903139"/>
      <w:r>
        <w:rPr>
          <w:rFonts w:hint="eastAsia" w:ascii="楷体_GB2312" w:hAnsi="楷体_GB2312" w:eastAsia="楷体_GB2312" w:cs="楷体_GB2312"/>
          <w:b/>
          <w:bCs/>
          <w:color w:val="auto"/>
          <w:sz w:val="24"/>
          <w:szCs w:val="32"/>
        </w:rPr>
        <w:t>1. 现状概况</w:t>
      </w:r>
      <w:bookmarkEnd w:id="95"/>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市集中供热自1988年开始，至今已有十几年，供热管网和供热负荷逐年稳步提高。随着近几年许昌市建设步伐的日益加快，集中供热也得到了较快的发展，目前以能信热电、天健热电和宏伟热力为集中供热热源，热力管网由初始的8km增加到140多km，供热半径达10km，完全具备多热源联网供热及调节功能。</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现状许昌主城区集中供热热源厂有三座。东区热电厂：最大供热负荷250t/h，平均供热负荷200t/h，供热量29万t；天健热电厂：最大供热负荷260t/h，平均供热负荷210t/h，供热量81万t；宏伟热力公司：最大供热负荷225t/h，平均供热负荷145t/h。</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目前，许昌主城区供热用户381家，其中工业106家，民用275家。冬季最大用热负荷530t/h，冬季平均用热负荷350t/h，冬季最小用热负荷200t/h；夏季最大用热负荷100t/h，夏季平均用热负荷80t/h，夏季最小用热负荷60t/h。</w:t>
      </w:r>
    </w:p>
    <w:p>
      <w:pPr>
        <w:spacing w:line="360" w:lineRule="auto"/>
        <w:ind w:firstLine="482" w:firstLineChars="200"/>
        <w:rPr>
          <w:rFonts w:hint="eastAsia" w:ascii="楷体_GB2312" w:hAnsi="楷体_GB2312" w:eastAsia="楷体_GB2312" w:cs="楷体_GB2312"/>
          <w:b/>
          <w:bCs/>
          <w:color w:val="auto"/>
          <w:sz w:val="24"/>
          <w:szCs w:val="32"/>
        </w:rPr>
      </w:pPr>
      <w:bookmarkStart w:id="96" w:name="_Toc494903140"/>
      <w:r>
        <w:rPr>
          <w:rFonts w:hint="eastAsia" w:ascii="楷体_GB2312" w:hAnsi="楷体_GB2312" w:eastAsia="楷体_GB2312" w:cs="楷体_GB2312"/>
          <w:b/>
          <w:bCs/>
          <w:color w:val="auto"/>
          <w:sz w:val="24"/>
          <w:szCs w:val="32"/>
        </w:rPr>
        <w:t>2. 存在问题分析</w:t>
      </w:r>
      <w:bookmarkEnd w:id="96"/>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（1）随着城市建设的发展，现状供热热源已无法满足日益增涨的供热需求，热源紧张的局面不断扩大。</w:t>
      </w:r>
    </w:p>
    <w:p>
      <w:pPr>
        <w:spacing w:line="360" w:lineRule="auto"/>
        <w:ind w:firstLine="480" w:firstLineChars="200"/>
        <w:rPr>
          <w:rFonts w:hint="eastAsia" w:ascii="楷体_GB2312" w:hAnsi="楷体_GB2312" w:eastAsia="楷体_GB2312" w:cs="楷体_GB2312"/>
          <w:b/>
          <w:color w:val="auto"/>
          <w:sz w:val="24"/>
        </w:rPr>
      </w:pPr>
      <w:r>
        <w:rPr>
          <w:rFonts w:hint="eastAsia" w:ascii="楷体_GB2312" w:hAnsi="楷体_GB2312" w:eastAsia="楷体_GB2312" w:cs="楷体_GB2312"/>
          <w:color w:val="auto"/>
          <w:sz w:val="24"/>
        </w:rPr>
        <w:t>（2）受现状热源的分布、供热半径和供热量的制约，</w:t>
      </w:r>
      <w:r>
        <w:rPr>
          <w:rFonts w:hint="eastAsia" w:ascii="楷体_GB2312" w:hAnsi="楷体_GB2312" w:eastAsia="楷体_GB2312" w:cs="楷体_GB2312"/>
          <w:b/>
          <w:color w:val="auto"/>
          <w:sz w:val="24"/>
        </w:rPr>
        <w:t>新建成区仍存在大范围的供热盲区。</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97" w:name="_Toc23486"/>
      <w:bookmarkStart w:id="98" w:name="_Toc495586703"/>
      <w:bookmarkStart w:id="99" w:name="_Toc494903141"/>
      <w:r>
        <w:rPr>
          <w:rFonts w:hint="eastAsia" w:ascii="楷体_GB2312" w:hAnsi="楷体_GB2312" w:eastAsia="楷体_GB2312" w:cs="楷体_GB2312"/>
          <w:b/>
          <w:bCs w:val="0"/>
          <w:color w:val="auto"/>
          <w:sz w:val="28"/>
        </w:rPr>
        <w:t>3.3管线综合水平现状与评价</w:t>
      </w:r>
      <w:bookmarkEnd w:id="97"/>
      <w:bookmarkEnd w:id="98"/>
      <w:bookmarkEnd w:id="99"/>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00" w:name="_Toc494903142"/>
      <w:bookmarkStart w:id="101" w:name="_Toc495586704"/>
      <w:r>
        <w:rPr>
          <w:rFonts w:hint="eastAsia" w:ascii="楷体_GB2312" w:hAnsi="楷体_GB2312" w:eastAsia="楷体_GB2312" w:cs="楷体_GB2312"/>
          <w:b/>
          <w:color w:val="auto"/>
          <w:sz w:val="24"/>
          <w:szCs w:val="24"/>
        </w:rPr>
        <w:t>3.3.1 现行技术手段</w:t>
      </w:r>
      <w:bookmarkEnd w:id="100"/>
      <w:bookmarkEnd w:id="101"/>
    </w:p>
    <w:p>
      <w:pPr>
        <w:spacing w:line="360" w:lineRule="auto"/>
        <w:ind w:firstLine="482" w:firstLineChars="200"/>
        <w:rPr>
          <w:rFonts w:hint="eastAsia" w:ascii="楷体_GB2312" w:hAnsi="楷体_GB2312" w:eastAsia="楷体_GB2312" w:cs="楷体_GB2312"/>
          <w:b/>
          <w:bCs/>
          <w:color w:val="auto"/>
          <w:sz w:val="24"/>
          <w:szCs w:val="32"/>
        </w:rPr>
      </w:pPr>
      <w:bookmarkStart w:id="102" w:name="_Toc494903143"/>
      <w:r>
        <w:rPr>
          <w:rFonts w:hint="eastAsia" w:ascii="楷体_GB2312" w:hAnsi="楷体_GB2312" w:eastAsia="楷体_GB2312" w:cs="楷体_GB2312"/>
          <w:b/>
          <w:bCs/>
          <w:color w:val="auto"/>
          <w:sz w:val="24"/>
          <w:szCs w:val="32"/>
        </w:rPr>
        <w:t>1. 管线综合内容</w:t>
      </w:r>
      <w:bookmarkEnd w:id="102"/>
    </w:p>
    <w:p>
      <w:pPr>
        <w:spacing w:line="360" w:lineRule="auto"/>
        <w:ind w:firstLine="480" w:firstLineChars="200"/>
        <w:rPr>
          <w:rFonts w:hint="eastAsia" w:ascii="楷体_GB2312" w:hAnsi="楷体_GB2312" w:eastAsia="楷体_GB2312" w:cs="楷体_GB2312"/>
          <w:color w:val="auto"/>
          <w:sz w:val="24"/>
          <w:u w:val="single"/>
        </w:rPr>
      </w:pPr>
      <w:r>
        <w:rPr>
          <w:rFonts w:hint="eastAsia" w:ascii="楷体_GB2312" w:hAnsi="楷体_GB2312" w:eastAsia="楷体_GB2312" w:cs="楷体_GB2312"/>
          <w:color w:val="auto"/>
          <w:sz w:val="24"/>
        </w:rPr>
        <w:t>目前许昌市主城区管线综合主要包括：</w:t>
      </w:r>
      <w:r>
        <w:rPr>
          <w:rFonts w:hint="eastAsia" w:ascii="楷体_GB2312" w:hAnsi="楷体_GB2312" w:eastAsia="楷体_GB2312" w:cs="楷体_GB2312"/>
          <w:color w:val="auto"/>
          <w:sz w:val="24"/>
          <w:u w:val="single"/>
        </w:rPr>
        <w:t>给水、污水、雨水、燃气、电力和通信、热力共7类管线。</w:t>
      </w:r>
    </w:p>
    <w:p>
      <w:pPr>
        <w:spacing w:line="360" w:lineRule="auto"/>
        <w:ind w:firstLine="482" w:firstLineChars="200"/>
        <w:rPr>
          <w:rFonts w:hint="eastAsia" w:ascii="楷体_GB2312" w:hAnsi="楷体_GB2312" w:eastAsia="楷体_GB2312" w:cs="楷体_GB2312"/>
          <w:b/>
          <w:bCs/>
          <w:color w:val="auto"/>
          <w:sz w:val="24"/>
          <w:szCs w:val="32"/>
        </w:rPr>
      </w:pPr>
      <w:bookmarkStart w:id="103" w:name="_Toc494903144"/>
      <w:r>
        <w:rPr>
          <w:rFonts w:hint="eastAsia" w:ascii="楷体_GB2312" w:hAnsi="楷体_GB2312" w:eastAsia="楷体_GB2312" w:cs="楷体_GB2312"/>
          <w:b/>
          <w:bCs/>
          <w:color w:val="auto"/>
          <w:sz w:val="24"/>
          <w:szCs w:val="32"/>
        </w:rPr>
        <w:t>2. 管线综合技术</w:t>
      </w:r>
      <w:bookmarkEnd w:id="103"/>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（1）基本形式</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现行管线综合基本形式为：“直埋为主、部分架空”。</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直埋为主：沿主城区的主、次、支路上给水、污水、雨水、燃气、热力管线、部分10kV及以下供电线路和部分通信管线为直埋。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部分架空：主城区部分供电、通信线路、热力管线仍然以架空形式敷设。</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（2）技术水平</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从主城区现状管线综合形式来看，目前各类工程管线建设仍然以传统的、技术相对成熟的、初期投资相对较少的管道直埋敷设方式进行，在对各类管线的综合并无系统规划指导，管线落地也无相互协调，而仅仅针对道路断面见缝插针，并且这种综合方式在主城区中占据主导地位。</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（3）技术标准</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由于各类工程管线从建设到管理都各自为政，因此执行和采用的标准主要参照各专业的技术标准和相关要求，并未按照《城市工程管线综合规划规范》（GB50289-2016）要求进行管线间的协调与统筹，更谈不上对城市道路下地下空间资源的合理利用。</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04" w:name="_Toc494903145"/>
      <w:bookmarkStart w:id="105" w:name="_Toc495586705"/>
      <w:r>
        <w:rPr>
          <w:rFonts w:hint="eastAsia" w:ascii="楷体_GB2312" w:hAnsi="楷体_GB2312" w:eastAsia="楷体_GB2312" w:cs="楷体_GB2312"/>
          <w:b/>
          <w:color w:val="auto"/>
          <w:sz w:val="24"/>
          <w:szCs w:val="24"/>
        </w:rPr>
        <w:t>3.3.2管线综合现状</w:t>
      </w:r>
      <w:bookmarkEnd w:id="104"/>
      <w:bookmarkEnd w:id="105"/>
    </w:p>
    <w:p>
      <w:pPr>
        <w:spacing w:line="360" w:lineRule="auto"/>
        <w:ind w:firstLine="482" w:firstLineChars="200"/>
        <w:rPr>
          <w:rFonts w:hint="eastAsia" w:ascii="楷体_GB2312" w:hAnsi="楷体_GB2312" w:eastAsia="楷体_GB2312" w:cs="楷体_GB2312"/>
          <w:color w:val="auto"/>
          <w:sz w:val="24"/>
          <w:szCs w:val="24"/>
        </w:rPr>
      </w:pPr>
      <w:bookmarkStart w:id="106" w:name="_Toc494903146"/>
      <w:r>
        <w:rPr>
          <w:rFonts w:hint="eastAsia" w:ascii="楷体_GB2312" w:hAnsi="楷体_GB2312" w:eastAsia="楷体_GB2312" w:cs="楷体_GB2312"/>
          <w:b/>
          <w:bCs/>
          <w:color w:val="auto"/>
          <w:sz w:val="24"/>
          <w:szCs w:val="24"/>
        </w:rPr>
        <w:t>1. 旧城区地下管线布局混乱、间距不足</w:t>
      </w:r>
      <w:bookmarkEnd w:id="106"/>
    </w:p>
    <w:p>
      <w:pPr>
        <w:spacing w:line="360" w:lineRule="auto"/>
        <w:ind w:firstLine="480" w:firstLineChars="200"/>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（1）由于没有规划的统一指引和规范约束，管线敷设带有随意性，位置不尽合理，部分管线大大</w:t>
      </w:r>
      <w:r>
        <w:rPr>
          <w:rFonts w:hint="eastAsia" w:ascii="楷体_GB2312" w:hAnsi="楷体_GB2312" w:eastAsia="楷体_GB2312" w:cs="楷体_GB2312"/>
          <w:b/>
          <w:bCs/>
          <w:color w:val="auto"/>
          <w:sz w:val="24"/>
          <w:szCs w:val="24"/>
        </w:rPr>
        <w:t>超出红线范围</w:t>
      </w:r>
      <w:r>
        <w:rPr>
          <w:rFonts w:hint="eastAsia" w:ascii="楷体_GB2312" w:hAnsi="楷体_GB2312" w:eastAsia="楷体_GB2312" w:cs="楷体_GB2312"/>
          <w:color w:val="auto"/>
          <w:sz w:val="24"/>
          <w:szCs w:val="24"/>
        </w:rPr>
        <w:t>。</w:t>
      </w:r>
    </w:p>
    <w:p>
      <w:pPr>
        <w:spacing w:line="360" w:lineRule="auto"/>
        <w:ind w:firstLine="480" w:firstLineChars="200"/>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（2）由于</w:t>
      </w:r>
      <w:r>
        <w:rPr>
          <w:rFonts w:hint="eastAsia" w:ascii="楷体_GB2312" w:hAnsi="楷体_GB2312" w:eastAsia="楷体_GB2312" w:cs="楷体_GB2312"/>
          <w:b/>
          <w:bCs/>
          <w:color w:val="auto"/>
          <w:sz w:val="24"/>
          <w:szCs w:val="24"/>
        </w:rPr>
        <w:t>管理权属混乱</w:t>
      </w:r>
      <w:r>
        <w:rPr>
          <w:rFonts w:hint="eastAsia" w:ascii="楷体_GB2312" w:hAnsi="楷体_GB2312" w:eastAsia="楷体_GB2312" w:cs="楷体_GB2312"/>
          <w:color w:val="auto"/>
          <w:sz w:val="24"/>
          <w:szCs w:val="24"/>
        </w:rPr>
        <w:t>，各种通信管线各自为政、随意敷设，既造成地下空间资源的浪费，也不便于日常运行维护管理。</w:t>
      </w:r>
    </w:p>
    <w:p>
      <w:pPr>
        <w:spacing w:line="360" w:lineRule="auto"/>
        <w:ind w:firstLine="480" w:firstLineChars="200"/>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（3）由于</w:t>
      </w:r>
      <w:r>
        <w:rPr>
          <w:rFonts w:hint="eastAsia" w:ascii="楷体_GB2312" w:hAnsi="楷体_GB2312" w:eastAsia="楷体_GB2312" w:cs="楷体_GB2312"/>
          <w:b/>
          <w:bCs/>
          <w:color w:val="auto"/>
          <w:sz w:val="24"/>
          <w:szCs w:val="24"/>
        </w:rPr>
        <w:t>建设时序问题</w:t>
      </w:r>
      <w:r>
        <w:rPr>
          <w:rFonts w:hint="eastAsia" w:ascii="楷体_GB2312" w:hAnsi="楷体_GB2312" w:eastAsia="楷体_GB2312" w:cs="楷体_GB2312"/>
          <w:color w:val="auto"/>
          <w:sz w:val="24"/>
          <w:szCs w:val="24"/>
        </w:rPr>
        <w:t>，部分管线之间存在布局混乱、间距不足的问题，影响管线的安全运行和维护管理。</w:t>
      </w:r>
    </w:p>
    <w:p>
      <w:pPr>
        <w:spacing w:line="360" w:lineRule="auto"/>
        <w:ind w:firstLine="482" w:firstLineChars="200"/>
        <w:rPr>
          <w:rFonts w:hint="eastAsia" w:ascii="楷体_GB2312" w:hAnsi="楷体_GB2312" w:eastAsia="楷体_GB2312" w:cs="楷体_GB2312"/>
          <w:b/>
          <w:bCs/>
          <w:color w:val="auto"/>
          <w:sz w:val="24"/>
          <w:szCs w:val="24"/>
        </w:rPr>
      </w:pPr>
      <w:bookmarkStart w:id="107" w:name="_Toc494903147"/>
      <w:r>
        <w:rPr>
          <w:rFonts w:hint="eastAsia" w:ascii="楷体_GB2312" w:hAnsi="楷体_GB2312" w:eastAsia="楷体_GB2312" w:cs="楷体_GB2312"/>
          <w:b/>
          <w:bCs/>
          <w:color w:val="auto"/>
          <w:sz w:val="24"/>
          <w:szCs w:val="24"/>
        </w:rPr>
        <w:t>2. 各类管线管位无规律，增加管理难度</w:t>
      </w:r>
      <w:bookmarkEnd w:id="107"/>
    </w:p>
    <w:p>
      <w:pPr>
        <w:spacing w:line="360" w:lineRule="auto"/>
        <w:ind w:firstLine="480" w:firstLineChars="200"/>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同一条路上同一种管线管位不固定；不同道路上同一种管线管位不固定，相对凌乱增大了，后期管网维护管理上的难度。</w:t>
      </w:r>
    </w:p>
    <w:p>
      <w:pPr>
        <w:spacing w:line="360" w:lineRule="auto"/>
        <w:ind w:firstLine="482" w:firstLineChars="200"/>
        <w:rPr>
          <w:rFonts w:hint="eastAsia" w:ascii="楷体_GB2312" w:hAnsi="楷体_GB2312" w:eastAsia="楷体_GB2312" w:cs="楷体_GB2312"/>
          <w:b/>
          <w:bCs/>
          <w:color w:val="auto"/>
          <w:sz w:val="24"/>
          <w:szCs w:val="24"/>
        </w:rPr>
      </w:pPr>
      <w:bookmarkStart w:id="108" w:name="_Toc494903148"/>
      <w:r>
        <w:rPr>
          <w:rFonts w:hint="eastAsia" w:ascii="楷体_GB2312" w:hAnsi="楷体_GB2312" w:eastAsia="楷体_GB2312" w:cs="楷体_GB2312"/>
          <w:b/>
          <w:bCs/>
          <w:color w:val="auto"/>
          <w:sz w:val="24"/>
          <w:szCs w:val="24"/>
        </w:rPr>
        <w:t>3. 架空管线林立，影响城市景观</w:t>
      </w:r>
      <w:bookmarkEnd w:id="108"/>
    </w:p>
    <w:p>
      <w:pPr>
        <w:spacing w:line="360" w:lineRule="auto"/>
        <w:ind w:firstLine="480" w:firstLineChars="200"/>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由于受条件所限，现有的10千伏中压线路以埋地和架空结合的方式敷设，对城市景观造成了一定影响。尤其是在城市集聚区域。</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09" w:name="_Toc495586706"/>
      <w:bookmarkStart w:id="110" w:name="_Toc494903149"/>
      <w:r>
        <w:rPr>
          <w:rFonts w:hint="eastAsia" w:ascii="楷体_GB2312" w:hAnsi="楷体_GB2312" w:eastAsia="楷体_GB2312" w:cs="楷体_GB2312"/>
          <w:b/>
          <w:color w:val="auto"/>
          <w:sz w:val="24"/>
          <w:szCs w:val="24"/>
        </w:rPr>
        <w:t>3.3.3存在问题</w:t>
      </w:r>
      <w:bookmarkEnd w:id="109"/>
      <w:bookmarkEnd w:id="110"/>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b/>
          <w:bCs/>
          <w:color w:val="auto"/>
          <w:sz w:val="24"/>
          <w:szCs w:val="24"/>
        </w:rPr>
        <w:t>1. 规划方面</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（1）缺少规划统筹</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目前，许昌市城市基础设施在城市功能分区和定位方面缺乏统筹安排和控制，主要表现在城市供水、排水、燃气、电力和通信等基础设施专项发展规划缺乏统一规划和相互衔接。一旦出现管道扩容或改造，就要对道路实行“开膛破肚”。</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（2）有规划但本身规划就存在缺陷不合理</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老城区管道多为直埋敷设，道路下管位缺少规划预留控制，随着城市的拓展，新增管道和在老城区实施管道改造时，由于道路断面不够合理，人行道宽度不够，部分路段地下管位空间紧缺，管道只能见缝插针，反映管网落地难度较大。同时造成无合理安全间距，管道在道路下的方位不确定，给日常检修维护管理带来不便。</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eastAsia" w:ascii="楷体_GB2312" w:hAnsi="楷体_GB2312" w:eastAsia="楷体_GB2312" w:cs="楷体_GB2312"/>
          <w:b/>
          <w:bCs/>
          <w:color w:val="auto"/>
          <w:sz w:val="24"/>
          <w:szCs w:val="24"/>
        </w:rPr>
      </w:pPr>
      <w:r>
        <w:rPr>
          <w:rFonts w:hint="eastAsia" w:ascii="楷体_GB2312" w:hAnsi="楷体_GB2312" w:eastAsia="楷体_GB2312" w:cs="楷体_GB2312"/>
          <w:b/>
          <w:bCs/>
          <w:color w:val="auto"/>
          <w:sz w:val="24"/>
          <w:szCs w:val="24"/>
        </w:rPr>
        <w:t>2. 建设方面</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（1）存在安全隐患</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由于各自为政，地下设施信息不共享，造成后开发的单位在建设施工时经常损坏地下管线，导致停水、停电、停气、通讯中断，甚至引起灾害事故，严重影响群众生活安全。</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（2）管道老化严重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由于老城区各类管道为历年逐步形成，老化现象严重，无法满足城市发展需求。如给水管道普遍使用灰铸铁管，易发生接口漏水、水管断裂、爆管事故等问题。</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eastAsia" w:ascii="楷体_GB2312" w:hAnsi="楷体_GB2312" w:eastAsia="楷体_GB2312" w:cs="楷体_GB2312"/>
          <w:b/>
          <w:bCs/>
          <w:color w:val="auto"/>
          <w:sz w:val="24"/>
          <w:szCs w:val="24"/>
        </w:rPr>
      </w:pPr>
      <w:r>
        <w:rPr>
          <w:rFonts w:hint="eastAsia" w:ascii="楷体_GB2312" w:hAnsi="楷体_GB2312" w:eastAsia="楷体_GB2312" w:cs="楷体_GB2312"/>
          <w:b/>
          <w:bCs/>
          <w:color w:val="auto"/>
          <w:sz w:val="24"/>
          <w:szCs w:val="24"/>
        </w:rPr>
        <w:t>3. 管理方面</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（1）缺乏维护资金</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城市各类管道的日常维护和管理需要大量的财力和人力，由于现行管理体制中缺少管道维护专项资金，管道跟随道路建设同步进行完成后即移交给相关主管部门，大量的维护工作资金难以落实与保障。</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（2）管理体制制约</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由于现行市政建设仍以条块分割形式进行建设与管理，多头管理使得各自为政，缺乏协调，造成地下管线的综合管理体制不顺。</w:t>
      </w:r>
    </w:p>
    <w:p>
      <w:pPr>
        <w:keepNext/>
        <w:keepLines/>
        <w:pageBreakBefore w:val="0"/>
        <w:widowControl w:val="0"/>
        <w:numPr>
          <w:ilvl w:val="0"/>
          <w:numId w:val="0"/>
        </w:numPr>
        <w:tabs>
          <w:tab w:val="left" w:pos="600"/>
        </w:tabs>
        <w:kinsoku/>
        <w:wordWrap/>
        <w:overflowPunct/>
        <w:topLinePunct w:val="0"/>
        <w:autoSpaceDE/>
        <w:autoSpaceDN/>
        <w:bidi w:val="0"/>
        <w:adjustRightInd/>
        <w:snapToGrid/>
        <w:spacing w:before="340" w:beforeLines="0" w:after="340" w:afterLines="0" w:line="360" w:lineRule="auto"/>
        <w:ind w:left="0" w:leftChars="0" w:right="0" w:rightChars="0" w:firstLine="0" w:firstLineChars="0"/>
        <w:jc w:val="center"/>
        <w:textAlignment w:val="auto"/>
        <w:outlineLvl w:val="9"/>
        <w:rPr>
          <w:rFonts w:hint="eastAsia" w:ascii="楷体_GB2312" w:hAnsi="楷体_GB2312" w:eastAsia="楷体_GB2312" w:cs="楷体_GB2312"/>
          <w:color w:val="auto"/>
          <w:szCs w:val="32"/>
          <w:lang w:eastAsia="zh-CN"/>
        </w:rPr>
      </w:pPr>
      <w:bookmarkStart w:id="111" w:name="_Toc494903150"/>
      <w:bookmarkStart w:id="112" w:name="_Toc11894"/>
      <w:bookmarkStart w:id="113" w:name="_Toc495586707"/>
      <w:r>
        <w:rPr>
          <w:rFonts w:hint="eastAsia" w:ascii="楷体_GB2312" w:hAnsi="楷体_GB2312" w:eastAsia="楷体_GB2312" w:cs="楷体_GB2312"/>
          <w:color w:val="auto"/>
          <w:szCs w:val="32"/>
          <w:lang w:eastAsia="zh-CN"/>
        </w:rPr>
        <w:br w:type="page"/>
      </w:r>
    </w:p>
    <w:p>
      <w:pPr>
        <w:keepNext/>
        <w:keepLines/>
        <w:pageBreakBefore w:val="0"/>
        <w:widowControl w:val="0"/>
        <w:numPr>
          <w:ilvl w:val="0"/>
          <w:numId w:val="0"/>
        </w:numPr>
        <w:tabs>
          <w:tab w:val="left" w:pos="600"/>
        </w:tabs>
        <w:kinsoku/>
        <w:wordWrap/>
        <w:overflowPunct/>
        <w:topLinePunct w:val="0"/>
        <w:autoSpaceDE/>
        <w:autoSpaceDN/>
        <w:bidi w:val="0"/>
        <w:adjustRightInd/>
        <w:snapToGrid/>
        <w:spacing w:before="340" w:beforeLines="0" w:after="340" w:afterLines="0" w:line="360" w:lineRule="auto"/>
        <w:ind w:left="0" w:leftChars="0" w:right="0" w:rightChars="0" w:firstLine="0" w:firstLineChars="0"/>
        <w:jc w:val="center"/>
        <w:textAlignment w:val="auto"/>
        <w:outlineLvl w:val="9"/>
        <w:rPr>
          <w:rFonts w:hint="eastAsia" w:ascii="楷体_GB2312" w:hAnsi="楷体_GB2312" w:eastAsia="楷体_GB2312" w:cs="楷体_GB2312"/>
          <w:color w:val="auto"/>
          <w:szCs w:val="32"/>
          <w:lang w:eastAsia="zh-CN"/>
        </w:rPr>
      </w:pPr>
      <w:bookmarkStart w:id="114" w:name="_Toc7074"/>
    </w:p>
    <w:p>
      <w:pPr>
        <w:pStyle w:val="4"/>
        <w:keepNext/>
        <w:keepLines/>
        <w:pageBreakBefore w:val="0"/>
        <w:widowControl w:val="0"/>
        <w:numPr>
          <w:ilvl w:val="0"/>
          <w:numId w:val="0"/>
        </w:numPr>
        <w:tabs>
          <w:tab w:val="left" w:pos="600"/>
          <w:tab w:val="clear" w:pos="1695"/>
        </w:tabs>
        <w:kinsoku/>
        <w:wordWrap/>
        <w:overflowPunct/>
        <w:topLinePunct w:val="0"/>
        <w:autoSpaceDE/>
        <w:autoSpaceDN/>
        <w:bidi w:val="0"/>
        <w:adjustRightInd/>
        <w:snapToGrid/>
        <w:spacing w:before="340" w:after="340" w:line="360" w:lineRule="auto"/>
        <w:ind w:left="0" w:leftChars="0" w:right="0" w:rightChars="0" w:firstLine="0" w:firstLineChars="0"/>
        <w:jc w:val="center"/>
        <w:textAlignment w:val="auto"/>
        <w:outlineLvl w:val="2"/>
        <w:rPr>
          <w:rFonts w:hint="eastAsia" w:ascii="楷体_GB2312" w:hAnsi="楷体_GB2312" w:eastAsia="楷体_GB2312" w:cs="楷体_GB2312"/>
          <w:color w:val="auto"/>
          <w:szCs w:val="32"/>
        </w:rPr>
      </w:pPr>
      <w:r>
        <w:rPr>
          <w:rFonts w:hint="eastAsia" w:ascii="楷体_GB2312" w:hAnsi="楷体_GB2312" w:eastAsia="楷体_GB2312" w:cs="楷体_GB2312"/>
          <w:color w:val="auto"/>
          <w:szCs w:val="32"/>
          <w:lang w:eastAsia="zh-CN"/>
        </w:rPr>
        <w:t>第四章</w:t>
      </w:r>
      <w:r>
        <w:rPr>
          <w:rFonts w:hint="eastAsia" w:ascii="楷体_GB2312" w:hAnsi="楷体_GB2312" w:eastAsia="楷体_GB2312" w:cs="楷体_GB2312"/>
          <w:color w:val="auto"/>
          <w:szCs w:val="32"/>
          <w:lang w:val="en-US" w:eastAsia="zh-CN"/>
        </w:rPr>
        <w:t xml:space="preserve"> </w:t>
      </w:r>
      <w:r>
        <w:rPr>
          <w:rFonts w:hint="eastAsia" w:ascii="楷体_GB2312" w:hAnsi="楷体_GB2312" w:eastAsia="楷体_GB2312" w:cs="楷体_GB2312"/>
          <w:color w:val="auto"/>
          <w:szCs w:val="32"/>
        </w:rPr>
        <w:t>相关规划</w:t>
      </w:r>
      <w:bookmarkEnd w:id="111"/>
      <w:r>
        <w:rPr>
          <w:rFonts w:hint="eastAsia" w:ascii="楷体_GB2312" w:hAnsi="楷体_GB2312" w:eastAsia="楷体_GB2312" w:cs="楷体_GB2312"/>
          <w:color w:val="auto"/>
          <w:szCs w:val="32"/>
        </w:rPr>
        <w:t>衔接</w:t>
      </w:r>
      <w:bookmarkEnd w:id="112"/>
      <w:bookmarkEnd w:id="113"/>
      <w:bookmarkEnd w:id="114"/>
    </w:p>
    <w:p>
      <w:pPr>
        <w:spacing w:line="360" w:lineRule="auto"/>
        <w:ind w:firstLine="480" w:firstLineChars="200"/>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至2017年10月，许昌市先后编制完成（在编）的相关规划包括：《许昌市城市总体规划》（2015—2030）、《许昌市中心城区排水（雨水）防涝综合规划》(2015-2030)等7个规划。本次管线综合规划在充分与已编制（在编）规划的衔接基础上梳理分析，并对各专项规划中的主要要点进行评析及吸收。最终作为指导下阶段的工程规划的主要依据之一。</w:t>
      </w:r>
    </w:p>
    <w:p>
      <w:pPr>
        <w:spacing w:line="360" w:lineRule="auto"/>
        <w:jc w:val="center"/>
        <w:rPr>
          <w:rFonts w:hint="eastAsia" w:ascii="楷体_GB2312" w:hAnsi="楷体_GB2312" w:eastAsia="楷体_GB2312" w:cs="楷体_GB2312"/>
          <w:b/>
          <w:bCs/>
          <w:color w:val="auto"/>
          <w:sz w:val="24"/>
          <w:lang w:bidi="ar"/>
        </w:rPr>
      </w:pPr>
      <w:r>
        <w:rPr>
          <w:rFonts w:hint="eastAsia" w:ascii="楷体_GB2312" w:hAnsi="楷体_GB2312" w:eastAsia="楷体_GB2312" w:cs="楷体_GB2312"/>
          <w:b/>
          <w:bCs/>
          <w:color w:val="auto"/>
          <w:sz w:val="24"/>
          <w:lang w:bidi="ar"/>
        </w:rPr>
        <w:t>相关规划汇总表</w:t>
      </w:r>
    </w:p>
    <w:tbl>
      <w:tblPr>
        <w:tblStyle w:val="21"/>
        <w:tblW w:w="9098"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912"/>
        <w:gridCol w:w="118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7912"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bCs/>
                <w:color w:val="auto"/>
                <w:sz w:val="24"/>
                <w:lang w:bidi="ar"/>
              </w:rPr>
            </w:pPr>
            <w:r>
              <w:rPr>
                <w:rFonts w:hint="eastAsia" w:ascii="楷体_GB2312" w:hAnsi="楷体_GB2312" w:eastAsia="楷体_GB2312" w:cs="楷体_GB2312"/>
                <w:b/>
                <w:bCs/>
                <w:color w:val="auto"/>
                <w:sz w:val="24"/>
                <w:lang w:bidi="ar"/>
              </w:rPr>
              <w:t>项目名称</w:t>
            </w:r>
          </w:p>
        </w:tc>
        <w:tc>
          <w:tcPr>
            <w:tcW w:w="1186"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bCs/>
                <w:color w:val="auto"/>
                <w:sz w:val="24"/>
                <w:lang w:bidi="ar"/>
              </w:rPr>
            </w:pPr>
            <w:r>
              <w:rPr>
                <w:rFonts w:hint="eastAsia" w:ascii="楷体_GB2312" w:hAnsi="楷体_GB2312" w:eastAsia="楷体_GB2312" w:cs="楷体_GB2312"/>
                <w:b/>
                <w:bCs/>
                <w:color w:val="auto"/>
                <w:sz w:val="24"/>
                <w:lang w:bidi="ar"/>
              </w:rPr>
              <w:t>编制状态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7912" w:type="dxa"/>
            <w:tcBorders>
              <w:tl2br w:val="nil"/>
              <w:tr2bl w:val="nil"/>
            </w:tcBorders>
            <w:vAlign w:val="center"/>
          </w:tcPr>
          <w:p>
            <w:pPr>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1.《许昌市城市总体规划》（2015—2030）</w:t>
            </w:r>
          </w:p>
        </w:tc>
        <w:tc>
          <w:tcPr>
            <w:tcW w:w="1186" w:type="dxa"/>
            <w:tcBorders>
              <w:tl2br w:val="nil"/>
              <w:tr2bl w:val="nil"/>
            </w:tcBorders>
            <w:vAlign w:val="center"/>
          </w:tcPr>
          <w:p>
            <w:pPr>
              <w:jc w:val="center"/>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完成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7912" w:type="dxa"/>
            <w:tcBorders>
              <w:tl2br w:val="nil"/>
              <w:tr2bl w:val="nil"/>
            </w:tcBorders>
            <w:vAlign w:val="center"/>
          </w:tcPr>
          <w:p>
            <w:pPr>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2.</w:t>
            </w:r>
            <w:r>
              <w:rPr>
                <w:rFonts w:hint="eastAsia" w:ascii="楷体_GB2312" w:hAnsi="楷体_GB2312" w:eastAsia="楷体_GB2312" w:cs="楷体_GB2312"/>
                <w:color w:val="auto"/>
                <w:w w:val="90"/>
                <w:sz w:val="24"/>
                <w:lang w:bidi="ar"/>
              </w:rPr>
              <w:t>《许昌市排水、污水处理、再生水利用和污泥处置设施专项规划》（2015—2030）</w:t>
            </w:r>
          </w:p>
        </w:tc>
        <w:tc>
          <w:tcPr>
            <w:tcW w:w="1186" w:type="dxa"/>
            <w:tcBorders>
              <w:tl2br w:val="nil"/>
              <w:tr2bl w:val="nil"/>
            </w:tcBorders>
            <w:vAlign w:val="center"/>
          </w:tcPr>
          <w:p>
            <w:pPr>
              <w:jc w:val="center"/>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完成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7912" w:type="dxa"/>
            <w:tcBorders>
              <w:tl2br w:val="nil"/>
              <w:tr2bl w:val="nil"/>
            </w:tcBorders>
            <w:vAlign w:val="center"/>
          </w:tcPr>
          <w:p>
            <w:pPr>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3.《许昌市供水与节约用水专项规划》(2015-2030)；</w:t>
            </w:r>
          </w:p>
        </w:tc>
        <w:tc>
          <w:tcPr>
            <w:tcW w:w="1186" w:type="dxa"/>
            <w:tcBorders>
              <w:tl2br w:val="nil"/>
              <w:tr2bl w:val="nil"/>
            </w:tcBorders>
            <w:vAlign w:val="center"/>
          </w:tcPr>
          <w:p>
            <w:pPr>
              <w:jc w:val="center"/>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完成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7912" w:type="dxa"/>
            <w:tcBorders>
              <w:tl2br w:val="nil"/>
              <w:tr2bl w:val="nil"/>
            </w:tcBorders>
            <w:vAlign w:val="center"/>
          </w:tcPr>
          <w:p>
            <w:pPr>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4.《许昌市中心城区排水（雨水）防涝综合规划》(2015-2030)</w:t>
            </w:r>
          </w:p>
        </w:tc>
        <w:tc>
          <w:tcPr>
            <w:tcW w:w="1186" w:type="dxa"/>
            <w:tcBorders>
              <w:tl2br w:val="nil"/>
              <w:tr2bl w:val="nil"/>
            </w:tcBorders>
            <w:vAlign w:val="center"/>
          </w:tcPr>
          <w:p>
            <w:pPr>
              <w:jc w:val="center"/>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完成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7912" w:type="dxa"/>
            <w:tcBorders>
              <w:tl2br w:val="nil"/>
              <w:tr2bl w:val="nil"/>
            </w:tcBorders>
            <w:vAlign w:val="center"/>
          </w:tcPr>
          <w:p>
            <w:pPr>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5.《许昌市燃气（含加气站）专项规划》（2015-2030）</w:t>
            </w:r>
          </w:p>
        </w:tc>
        <w:tc>
          <w:tcPr>
            <w:tcW w:w="1186" w:type="dxa"/>
            <w:tcBorders>
              <w:tl2br w:val="nil"/>
              <w:tr2bl w:val="nil"/>
            </w:tcBorders>
            <w:vAlign w:val="center"/>
          </w:tcPr>
          <w:p>
            <w:pPr>
              <w:jc w:val="center"/>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完成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7912" w:type="dxa"/>
            <w:tcBorders>
              <w:tl2br w:val="nil"/>
              <w:tr2bl w:val="nil"/>
            </w:tcBorders>
            <w:vAlign w:val="center"/>
          </w:tcPr>
          <w:p>
            <w:pPr>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6.《许昌市区电力工程专项规划》(2016-2030)；</w:t>
            </w:r>
          </w:p>
        </w:tc>
        <w:tc>
          <w:tcPr>
            <w:tcW w:w="1186" w:type="dxa"/>
            <w:tcBorders>
              <w:tl2br w:val="nil"/>
              <w:tr2bl w:val="nil"/>
            </w:tcBorders>
            <w:vAlign w:val="center"/>
          </w:tcPr>
          <w:p>
            <w:pPr>
              <w:jc w:val="center"/>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在编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PrEx>
        <w:trPr>
          <w:trHeight w:val="397" w:hRule="atLeast"/>
        </w:trPr>
        <w:tc>
          <w:tcPr>
            <w:tcW w:w="7912" w:type="dxa"/>
            <w:tcBorders>
              <w:tl2br w:val="nil"/>
              <w:tr2bl w:val="nil"/>
            </w:tcBorders>
            <w:vAlign w:val="center"/>
          </w:tcPr>
          <w:p>
            <w:pPr>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7.《许昌市中心城区通信基站布点规划（2015-2030）》</w:t>
            </w:r>
          </w:p>
        </w:tc>
        <w:tc>
          <w:tcPr>
            <w:tcW w:w="1186" w:type="dxa"/>
            <w:tcBorders>
              <w:tl2br w:val="nil"/>
              <w:tr2bl w:val="nil"/>
            </w:tcBorders>
            <w:vAlign w:val="center"/>
          </w:tcPr>
          <w:p>
            <w:pPr>
              <w:jc w:val="center"/>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完成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7912" w:type="dxa"/>
            <w:tcBorders>
              <w:tl2br w:val="nil"/>
              <w:tr2bl w:val="nil"/>
            </w:tcBorders>
            <w:vAlign w:val="center"/>
          </w:tcPr>
          <w:p>
            <w:pPr>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w:t>
            </w:r>
          </w:p>
        </w:tc>
        <w:tc>
          <w:tcPr>
            <w:tcW w:w="1186" w:type="dxa"/>
            <w:tcBorders>
              <w:tl2br w:val="nil"/>
              <w:tr2bl w:val="nil"/>
            </w:tcBorders>
            <w:vAlign w:val="center"/>
          </w:tcPr>
          <w:p>
            <w:pPr>
              <w:jc w:val="center"/>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w:t>
            </w:r>
          </w:p>
        </w:tc>
      </w:tr>
    </w:tbl>
    <w:p>
      <w:pPr>
        <w:spacing w:line="360" w:lineRule="auto"/>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相关规划概述如下：</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115" w:name="_Toc10325"/>
      <w:bookmarkStart w:id="116" w:name="_Toc495586708"/>
      <w:r>
        <w:rPr>
          <w:rFonts w:hint="eastAsia" w:ascii="楷体_GB2312" w:hAnsi="楷体_GB2312" w:eastAsia="楷体_GB2312" w:cs="楷体_GB2312"/>
          <w:b/>
          <w:bCs w:val="0"/>
          <w:color w:val="auto"/>
          <w:sz w:val="28"/>
        </w:rPr>
        <w:t>4.1总体规划</w:t>
      </w:r>
      <w:bookmarkEnd w:id="115"/>
      <w:bookmarkEnd w:id="116"/>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17" w:name="_Toc495586709"/>
      <w:r>
        <w:rPr>
          <w:rFonts w:hint="eastAsia" w:ascii="楷体_GB2312" w:hAnsi="楷体_GB2312" w:eastAsia="楷体_GB2312" w:cs="楷体_GB2312"/>
          <w:b/>
          <w:color w:val="auto"/>
          <w:sz w:val="24"/>
          <w:szCs w:val="24"/>
        </w:rPr>
        <w:t>4.1.1城市总体发展目标</w:t>
      </w:r>
      <w:bookmarkEnd w:id="117"/>
    </w:p>
    <w:p>
      <w:pPr>
        <w:spacing w:line="360" w:lineRule="auto"/>
        <w:ind w:firstLine="480" w:firstLineChars="200"/>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全面贯彻创新、协调、绿色、开放、共享的发展理念，实现率先全面建成小康社会目标，</w:t>
      </w:r>
      <w:r>
        <w:rPr>
          <w:rFonts w:hint="eastAsia" w:ascii="楷体_GB2312" w:hAnsi="楷体_GB2312" w:eastAsia="楷体_GB2312" w:cs="楷体_GB2312"/>
          <w:b/>
          <w:bCs/>
          <w:color w:val="auto"/>
          <w:sz w:val="24"/>
          <w:lang w:bidi="ar"/>
        </w:rPr>
        <w:t>明确“一极、两区、四基地”的发展定位</w:t>
      </w:r>
      <w:r>
        <w:rPr>
          <w:rFonts w:hint="eastAsia" w:ascii="楷体_GB2312" w:hAnsi="楷体_GB2312" w:eastAsia="楷体_GB2312" w:cs="楷体_GB2312"/>
          <w:color w:val="auto"/>
          <w:sz w:val="24"/>
          <w:lang w:bidi="ar"/>
        </w:rPr>
        <w:t>。巩固提升制造业优势、综合交通优势和生态优势，厚植综合竞争力优势，把许昌市建设</w:t>
      </w:r>
      <w:r>
        <w:rPr>
          <w:rFonts w:hint="eastAsia" w:ascii="楷体_GB2312" w:hAnsi="楷体_GB2312" w:eastAsia="楷体_GB2312" w:cs="楷体_GB2312"/>
          <w:b/>
          <w:bCs/>
          <w:color w:val="auto"/>
          <w:sz w:val="24"/>
          <w:lang w:bidi="ar"/>
        </w:rPr>
        <w:t>成为中原城市群融合发展先行城市。</w:t>
      </w:r>
      <w:r>
        <w:rPr>
          <w:rFonts w:hint="eastAsia" w:ascii="楷体_GB2312" w:hAnsi="楷体_GB2312" w:eastAsia="楷体_GB2312" w:cs="楷体_GB2312"/>
          <w:color w:val="auto"/>
          <w:sz w:val="24"/>
          <w:lang w:bidi="ar"/>
        </w:rPr>
        <w:t>创建国家生态文明试验区和全国创业创新示范区。打造先进制造业基地、出口加工基地、现代物流基地、生态健康养生基地。建成全国二级物流园区城市，打造全省现代物流基地，</w:t>
      </w:r>
      <w:r>
        <w:rPr>
          <w:rFonts w:hint="eastAsia" w:ascii="楷体_GB2312" w:hAnsi="楷体_GB2312" w:eastAsia="楷体_GB2312" w:cs="楷体_GB2312"/>
          <w:b/>
          <w:bCs/>
          <w:color w:val="auto"/>
          <w:sz w:val="24"/>
          <w:lang w:bidi="ar"/>
        </w:rPr>
        <w:t>成为河南省重要的地区性综合交通枢纽</w:t>
      </w:r>
      <w:r>
        <w:rPr>
          <w:rFonts w:hint="eastAsia" w:ascii="楷体_GB2312" w:hAnsi="楷体_GB2312" w:eastAsia="楷体_GB2312" w:cs="楷体_GB2312"/>
          <w:color w:val="auto"/>
          <w:sz w:val="24"/>
          <w:lang w:bidi="ar"/>
        </w:rPr>
        <w:t>。建设功能完善、创新开放、林水相依、人水和谐、古风新韵、健康幸福的地区中心城市。</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18" w:name="_Toc495586710"/>
      <w:r>
        <w:rPr>
          <w:rFonts w:hint="eastAsia" w:ascii="楷体_GB2312" w:hAnsi="楷体_GB2312" w:eastAsia="楷体_GB2312" w:cs="楷体_GB2312"/>
          <w:b/>
          <w:color w:val="auto"/>
          <w:sz w:val="24"/>
          <w:szCs w:val="24"/>
        </w:rPr>
        <w:t>4.1.2市域空间结构规划</w:t>
      </w:r>
      <w:bookmarkEnd w:id="118"/>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城市规划区形成“一城一带两组团，一心两廊四轴线”的总体空间结构。</w:t>
      </w:r>
    </w:p>
    <w:p>
      <w:pPr>
        <w:spacing w:line="360" w:lineRule="auto"/>
        <w:jc w:val="center"/>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rPr>
        <w:drawing>
          <wp:inline distT="0" distB="0" distL="0" distR="0">
            <wp:extent cx="5073650" cy="3599815"/>
            <wp:effectExtent l="0" t="0" r="12700" b="63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15" cstate="print">
                      <a:extLst>
                        <a:ext uri="{28A0092B-C50C-407E-A947-70E740481C1C}">
                          <a14:useLocalDpi xmlns:a14="http://schemas.microsoft.com/office/drawing/2010/main" val="0"/>
                        </a:ext>
                      </a:extLst>
                    </a:blip>
                    <a:srcRect l="10631" t="13889" r="10478" b="6875"/>
                    <a:stretch>
                      <a:fillRect/>
                    </a:stretch>
                  </pic:blipFill>
                  <pic:spPr>
                    <a:xfrm>
                      <a:off x="0" y="0"/>
                      <a:ext cx="5073650" cy="3599815"/>
                    </a:xfrm>
                    <a:prstGeom prst="rect">
                      <a:avLst/>
                    </a:prstGeom>
                    <a:ln>
                      <a:noFill/>
                    </a:ln>
                  </pic:spPr>
                </pic:pic>
              </a:graphicData>
            </a:graphic>
          </wp:inline>
        </w:drawing>
      </w:r>
    </w:p>
    <w:p>
      <w:pPr>
        <w:spacing w:line="360" w:lineRule="auto"/>
        <w:jc w:val="center"/>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空间结构规划图</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19" w:name="_Toc495586711"/>
      <w:r>
        <w:rPr>
          <w:rFonts w:hint="eastAsia" w:ascii="楷体_GB2312" w:hAnsi="楷体_GB2312" w:eastAsia="楷体_GB2312" w:cs="楷体_GB2312"/>
          <w:b/>
          <w:color w:val="auto"/>
          <w:sz w:val="24"/>
          <w:szCs w:val="24"/>
        </w:rPr>
        <w:t>4.1.3城市职能</w:t>
      </w:r>
      <w:bookmarkEnd w:id="119"/>
    </w:p>
    <w:p>
      <w:pPr>
        <w:numPr>
          <w:ilvl w:val="0"/>
          <w:numId w:val="7"/>
        </w:num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基于中原崛起战略的职能</w:t>
      </w:r>
    </w:p>
    <w:p>
      <w:pPr>
        <w:numPr>
          <w:ilvl w:val="0"/>
          <w:numId w:val="8"/>
        </w:numPr>
        <w:spacing w:line="360" w:lineRule="auto"/>
        <w:ind w:left="0" w:firstLine="720" w:firstLineChars="3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中原经济区“三化”协调、“四化”同步发展先行区；</w:t>
      </w:r>
    </w:p>
    <w:p>
      <w:pPr>
        <w:numPr>
          <w:ilvl w:val="0"/>
          <w:numId w:val="8"/>
        </w:numPr>
        <w:spacing w:line="360" w:lineRule="auto"/>
        <w:ind w:left="0" w:firstLine="720" w:firstLineChars="3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中原经济区商贸和物流枢纽；</w:t>
      </w:r>
    </w:p>
    <w:p>
      <w:pPr>
        <w:numPr>
          <w:ilvl w:val="0"/>
          <w:numId w:val="8"/>
        </w:numPr>
        <w:spacing w:line="360" w:lineRule="auto"/>
        <w:ind w:left="0" w:firstLine="720" w:firstLineChars="3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中原经济区先进制造业基地；</w:t>
      </w:r>
    </w:p>
    <w:p>
      <w:pPr>
        <w:numPr>
          <w:ilvl w:val="0"/>
          <w:numId w:val="7"/>
        </w:num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基于许昌城乡综合竞争力提升的职能</w:t>
      </w:r>
    </w:p>
    <w:p>
      <w:pPr>
        <w:numPr>
          <w:ilvl w:val="0"/>
          <w:numId w:val="8"/>
        </w:numPr>
        <w:spacing w:line="360" w:lineRule="auto"/>
        <w:ind w:left="0" w:firstLine="720" w:firstLineChars="3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中原城市群地区中心城市；</w:t>
      </w:r>
    </w:p>
    <w:p>
      <w:pPr>
        <w:numPr>
          <w:ilvl w:val="0"/>
          <w:numId w:val="8"/>
        </w:numPr>
        <w:spacing w:line="360" w:lineRule="auto"/>
        <w:ind w:left="0" w:firstLine="720" w:firstLineChars="3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郑州都市区南部生态休闲消费中心；</w:t>
      </w:r>
    </w:p>
    <w:p>
      <w:pPr>
        <w:numPr>
          <w:ilvl w:val="0"/>
          <w:numId w:val="8"/>
        </w:numPr>
        <w:spacing w:line="360" w:lineRule="auto"/>
        <w:ind w:left="0" w:firstLine="720" w:firstLineChars="3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豫中南地区创新创业基地。</w:t>
      </w:r>
    </w:p>
    <w:p>
      <w:pPr>
        <w:numPr>
          <w:ilvl w:val="0"/>
          <w:numId w:val="7"/>
        </w:num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基于许昌区域形象塑造的职能</w:t>
      </w:r>
    </w:p>
    <w:p>
      <w:pPr>
        <w:numPr>
          <w:ilvl w:val="0"/>
          <w:numId w:val="8"/>
        </w:numPr>
        <w:spacing w:line="360" w:lineRule="auto"/>
        <w:ind w:left="0" w:firstLine="720" w:firstLineChars="3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汉魏文化名城，国内知名旅游目的地和汉魏文化特色城市；</w:t>
      </w:r>
    </w:p>
    <w:p>
      <w:pPr>
        <w:numPr>
          <w:ilvl w:val="0"/>
          <w:numId w:val="8"/>
        </w:numPr>
        <w:spacing w:line="360" w:lineRule="auto"/>
        <w:ind w:left="0" w:firstLine="720" w:firstLineChars="3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林水特色生态城市，宜居、宜业、宜游、宜学、宜商魅力城区。</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20" w:name="_Toc495586712"/>
      <w:r>
        <w:rPr>
          <w:rFonts w:hint="eastAsia" w:ascii="楷体_GB2312" w:hAnsi="楷体_GB2312" w:eastAsia="楷体_GB2312" w:cs="楷体_GB2312"/>
          <w:b/>
          <w:color w:val="auto"/>
          <w:sz w:val="24"/>
          <w:szCs w:val="24"/>
        </w:rPr>
        <w:t>4.1.4城市性质</w:t>
      </w:r>
      <w:bookmarkEnd w:id="120"/>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中原城市群地区性中心城市，中原经济区交通和物流枢纽城市，全国重要先进制造业基地，汉魏历史文化名城。</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21" w:name="_Toc495586713"/>
      <w:r>
        <w:rPr>
          <w:rFonts w:hint="eastAsia" w:ascii="楷体_GB2312" w:hAnsi="楷体_GB2312" w:eastAsia="楷体_GB2312" w:cs="楷体_GB2312"/>
          <w:b/>
          <w:color w:val="auto"/>
          <w:sz w:val="24"/>
          <w:szCs w:val="24"/>
        </w:rPr>
        <w:t>4.1.5主城区人口规模及用地规模</w:t>
      </w:r>
      <w:bookmarkEnd w:id="121"/>
    </w:p>
    <w:p>
      <w:pPr>
        <w:spacing w:line="360" w:lineRule="auto"/>
        <w:ind w:firstLine="480" w:firstLineChars="200"/>
        <w:rPr>
          <w:rFonts w:hint="eastAsia" w:ascii="楷体_GB2312" w:hAnsi="楷体_GB2312" w:eastAsia="楷体_GB2312" w:cs="楷体_GB2312"/>
          <w:color w:val="auto"/>
        </w:rPr>
      </w:pPr>
      <w:r>
        <w:rPr>
          <w:rFonts w:hint="eastAsia" w:ascii="楷体_GB2312" w:hAnsi="楷体_GB2312" w:eastAsia="楷体_GB2312" w:cs="楷体_GB2312"/>
          <w:color w:val="auto"/>
          <w:sz w:val="24"/>
          <w:lang w:bidi="ar"/>
        </w:rPr>
        <w:t>2020年，主城区常住人口规模为125万人；2030年，主城区常住人口规模为190万人。</w:t>
      </w:r>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2020年：主城区城市建设用地规模控制在135km</w:t>
      </w:r>
      <w:r>
        <w:rPr>
          <w:rFonts w:hint="eastAsia" w:ascii="楷体_GB2312" w:hAnsi="楷体_GB2312" w:eastAsia="楷体_GB2312" w:cs="楷体_GB2312"/>
          <w:color w:val="auto"/>
          <w:sz w:val="24"/>
          <w:vertAlign w:val="superscript"/>
          <w:lang w:bidi="ar"/>
        </w:rPr>
        <w:t>2；</w:t>
      </w:r>
      <w:r>
        <w:rPr>
          <w:rFonts w:hint="eastAsia" w:ascii="楷体_GB2312" w:hAnsi="楷体_GB2312" w:eastAsia="楷体_GB2312" w:cs="楷体_GB2312"/>
          <w:color w:val="auto"/>
          <w:sz w:val="24"/>
          <w:lang w:bidi="ar"/>
        </w:rPr>
        <w:t>2030年：主城区城市建设用地规模控制在189km</w:t>
      </w:r>
      <w:r>
        <w:rPr>
          <w:rFonts w:hint="eastAsia" w:ascii="楷体_GB2312" w:hAnsi="楷体_GB2312" w:eastAsia="楷体_GB2312" w:cs="楷体_GB2312"/>
          <w:color w:val="auto"/>
          <w:sz w:val="24"/>
          <w:vertAlign w:val="superscript"/>
          <w:lang w:bidi="ar"/>
        </w:rPr>
        <w:t>2</w:t>
      </w:r>
      <w:r>
        <w:rPr>
          <w:rFonts w:hint="eastAsia" w:ascii="楷体_GB2312" w:hAnsi="楷体_GB2312" w:eastAsia="楷体_GB2312" w:cs="楷体_GB2312"/>
          <w:color w:val="auto"/>
          <w:sz w:val="24"/>
          <w:lang w:bidi="ar"/>
        </w:rPr>
        <w:t>。</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22" w:name="_Toc495586714"/>
      <w:r>
        <w:rPr>
          <w:rFonts w:hint="eastAsia" w:ascii="楷体_GB2312" w:hAnsi="楷体_GB2312" w:eastAsia="楷体_GB2312" w:cs="楷体_GB2312"/>
          <w:b/>
          <w:color w:val="auto"/>
          <w:sz w:val="24"/>
          <w:szCs w:val="24"/>
        </w:rPr>
        <w:t>4.1.</w:t>
      </w:r>
      <w:r>
        <w:rPr>
          <w:rFonts w:hint="eastAsia" w:ascii="楷体_GB2312" w:hAnsi="楷体_GB2312" w:eastAsia="楷体_GB2312" w:cs="楷体_GB2312"/>
          <w:b/>
          <w:color w:val="auto"/>
          <w:sz w:val="24"/>
          <w:szCs w:val="24"/>
          <w:lang w:val="en-US" w:eastAsia="zh-CN"/>
        </w:rPr>
        <w:t>6</w:t>
      </w:r>
      <w:r>
        <w:rPr>
          <w:rFonts w:hint="eastAsia" w:ascii="楷体_GB2312" w:hAnsi="楷体_GB2312" w:eastAsia="楷体_GB2312" w:cs="楷体_GB2312"/>
          <w:b/>
          <w:color w:val="auto"/>
          <w:sz w:val="24"/>
          <w:szCs w:val="24"/>
        </w:rPr>
        <w:t>主城区整体结构</w:t>
      </w:r>
      <w:bookmarkEnd w:id="122"/>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按照“生产空间集约高效、生活空间宜居适度、生态空间山清水秀”的布局原则，完善和优化城市功能布局，提升城市的通透性和微循环能力，形成“一核两心、一轴三廊、绿环五片、组团发展”的空间结构。</w:t>
      </w:r>
    </w:p>
    <w:p>
      <w:pPr>
        <w:spacing w:line="360" w:lineRule="auto"/>
        <w:ind w:firstLine="480" w:firstLineChars="200"/>
        <w:jc w:val="center"/>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rPr>
        <w:drawing>
          <wp:inline distT="0" distB="0" distL="0" distR="0">
            <wp:extent cx="4922520" cy="4145280"/>
            <wp:effectExtent l="0" t="0" r="0" b="7620"/>
            <wp:docPr id="69637" name="图片 69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7" name="图片 69637"/>
                    <pic:cNvPicPr>
                      <a:picLocks noChangeAspect="1"/>
                    </pic:cNvPicPr>
                  </pic:nvPicPr>
                  <pic:blipFill>
                    <a:blip r:embed="rId16" cstate="print">
                      <a:extLst>
                        <a:ext uri="{28A0092B-C50C-407E-A947-70E740481C1C}">
                          <a14:useLocalDpi xmlns:a14="http://schemas.microsoft.com/office/drawing/2010/main" val="0"/>
                        </a:ext>
                      </a:extLst>
                    </a:blip>
                    <a:srcRect l="8667" t="14351" r="25319" b="6945"/>
                    <a:stretch>
                      <a:fillRect/>
                    </a:stretch>
                  </pic:blipFill>
                  <pic:spPr>
                    <a:xfrm>
                      <a:off x="0" y="0"/>
                      <a:ext cx="4917736" cy="4141026"/>
                    </a:xfrm>
                    <a:prstGeom prst="rect">
                      <a:avLst/>
                    </a:prstGeom>
                    <a:ln>
                      <a:noFill/>
                    </a:ln>
                  </pic:spPr>
                </pic:pic>
              </a:graphicData>
            </a:graphic>
          </wp:inline>
        </w:drawing>
      </w:r>
    </w:p>
    <w:p>
      <w:pPr>
        <w:spacing w:line="360" w:lineRule="auto"/>
        <w:rPr>
          <w:rFonts w:hint="eastAsia" w:ascii="楷体_GB2312" w:hAnsi="楷体_GB2312" w:eastAsia="楷体_GB2312" w:cs="楷体_GB2312"/>
          <w:color w:val="auto"/>
          <w:sz w:val="24"/>
          <w:lang w:bidi="ar"/>
        </w:rPr>
      </w:pP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123" w:name="_Toc495586715"/>
      <w:bookmarkStart w:id="124" w:name="_Toc26578"/>
      <w:bookmarkStart w:id="125" w:name="_Toc494903151"/>
      <w:r>
        <w:rPr>
          <w:rFonts w:hint="eastAsia" w:ascii="楷体_GB2312" w:hAnsi="楷体_GB2312" w:eastAsia="楷体_GB2312" w:cs="楷体_GB2312"/>
          <w:b/>
          <w:bCs w:val="0"/>
          <w:color w:val="auto"/>
          <w:sz w:val="28"/>
        </w:rPr>
        <w:t>4.2给水工程</w:t>
      </w:r>
      <w:bookmarkEnd w:id="123"/>
      <w:bookmarkEnd w:id="124"/>
      <w:bookmarkEnd w:id="125"/>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26" w:name="_Toc495586716"/>
      <w:bookmarkStart w:id="127" w:name="_Toc494903152"/>
      <w:r>
        <w:rPr>
          <w:rFonts w:hint="eastAsia" w:ascii="楷体_GB2312" w:hAnsi="楷体_GB2312" w:eastAsia="楷体_GB2312" w:cs="楷体_GB2312"/>
          <w:b/>
          <w:color w:val="auto"/>
          <w:sz w:val="24"/>
          <w:szCs w:val="24"/>
        </w:rPr>
        <w:t>4.2.1用水量预测</w:t>
      </w:r>
      <w:bookmarkEnd w:id="126"/>
      <w:bookmarkEnd w:id="127"/>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1. 指标选取</w:t>
      </w:r>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确定主城区城市单位人口综合用水指标近期320L/（人·d）、远期340L/（人·d）。</w:t>
      </w:r>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确定主城区人均综合生活用水量指标近期105L/（人·d）、远期130L/（人·d）。</w:t>
      </w:r>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确定许昌主城万元工业增加值新鲜耗水量近期15m³/万元、远期9m³/万元。</w:t>
      </w:r>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确定浇洒道路用水量指标为2L/（㎡·d），绿地用水指标为1L/（㎡·d）。</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2. 用水量确定</w:t>
      </w:r>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用水量预测采用城市单位人口综合用水量指标法和分类预测法。</w:t>
      </w:r>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根据以上两种方法的预测结果，结合主城区实际用水情况，规划考虑一定的超前性，确定主城区最高日用水量见下表。</w:t>
      </w:r>
    </w:p>
    <w:p>
      <w:pPr>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主城区用水量预测一览表</w:t>
      </w:r>
    </w:p>
    <w:tbl>
      <w:tblPr>
        <w:tblStyle w:val="21"/>
        <w:tblW w:w="7442"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90"/>
        <w:gridCol w:w="1984"/>
        <w:gridCol w:w="1984"/>
        <w:gridCol w:w="198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tblHeader/>
          <w:jc w:val="center"/>
        </w:trPr>
        <w:tc>
          <w:tcPr>
            <w:tcW w:w="1490"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期限</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城市水厂供水量（万m³/d）</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lang w:bidi="ar"/>
              </w:rPr>
            </w:pPr>
            <w:r>
              <w:rPr>
                <w:rFonts w:hint="eastAsia" w:ascii="楷体_GB2312" w:hAnsi="楷体_GB2312" w:eastAsia="楷体_GB2312" w:cs="楷体_GB2312"/>
                <w:b/>
                <w:color w:val="auto"/>
                <w:szCs w:val="21"/>
                <w:lang w:bidi="ar"/>
              </w:rPr>
              <w:t>再生水利用量</w:t>
            </w:r>
          </w:p>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（万m³/d）</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lang w:bidi="ar"/>
              </w:rPr>
            </w:pPr>
            <w:r>
              <w:rPr>
                <w:rFonts w:hint="eastAsia" w:ascii="楷体_GB2312" w:hAnsi="楷体_GB2312" w:eastAsia="楷体_GB2312" w:cs="楷体_GB2312"/>
                <w:b/>
                <w:color w:val="auto"/>
                <w:szCs w:val="21"/>
                <w:lang w:bidi="ar"/>
              </w:rPr>
              <w:t>总用水量</w:t>
            </w:r>
          </w:p>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(万m³/d)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49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近期</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41</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149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远期</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57</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65</w:t>
            </w:r>
          </w:p>
        </w:tc>
      </w:tr>
    </w:tbl>
    <w:p>
      <w:pPr>
        <w:ind w:firstLine="480"/>
        <w:rPr>
          <w:rFonts w:hint="eastAsia" w:ascii="楷体_GB2312" w:hAnsi="楷体_GB2312" w:eastAsia="楷体_GB2312" w:cs="楷体_GB2312"/>
          <w:color w:val="auto"/>
          <w:sz w:val="24"/>
        </w:rPr>
      </w:pP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28" w:name="_Toc494903153"/>
      <w:bookmarkStart w:id="129" w:name="_Toc495586717"/>
      <w:r>
        <w:rPr>
          <w:rFonts w:hint="eastAsia" w:ascii="楷体_GB2312" w:hAnsi="楷体_GB2312" w:eastAsia="楷体_GB2312" w:cs="楷体_GB2312"/>
          <w:b/>
          <w:color w:val="auto"/>
          <w:sz w:val="24"/>
          <w:szCs w:val="24"/>
        </w:rPr>
        <w:t>4.2.2水源规划</w:t>
      </w:r>
      <w:bookmarkEnd w:id="128"/>
      <w:bookmarkEnd w:id="129"/>
    </w:p>
    <w:p>
      <w:pPr>
        <w:spacing w:line="360" w:lineRule="auto"/>
        <w:ind w:firstLine="480"/>
        <w:rPr>
          <w:rFonts w:hint="eastAsia" w:ascii="楷体_GB2312" w:hAnsi="楷体_GB2312" w:eastAsia="楷体_GB2312" w:cs="楷体_GB2312"/>
          <w:color w:val="auto"/>
        </w:rPr>
      </w:pPr>
      <w:r>
        <w:rPr>
          <w:rFonts w:hint="eastAsia" w:ascii="楷体_GB2312" w:hAnsi="楷体_GB2312" w:eastAsia="楷体_GB2312" w:cs="楷体_GB2312"/>
          <w:color w:val="auto"/>
          <w:sz w:val="24"/>
          <w:lang w:bidi="ar"/>
        </w:rPr>
        <w:t>许昌主城区城市水源由三个部分组成：地表水水源、地下水水源、其它水源。</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1. 地表水水源</w:t>
      </w:r>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北汝河水源：北汝河是淮河水系沙河一级支流，流域面积6080km</w:t>
      </w:r>
      <w:r>
        <w:rPr>
          <w:rFonts w:hint="eastAsia" w:ascii="楷体_GB2312" w:hAnsi="楷体_GB2312" w:eastAsia="楷体_GB2312" w:cs="楷体_GB2312"/>
          <w:color w:val="auto"/>
          <w:sz w:val="24"/>
          <w:vertAlign w:val="superscript"/>
          <w:lang w:bidi="ar"/>
        </w:rPr>
        <w:t>2</w:t>
      </w:r>
      <w:r>
        <w:rPr>
          <w:rFonts w:hint="eastAsia" w:ascii="楷体_GB2312" w:hAnsi="楷体_GB2312" w:eastAsia="楷体_GB2312" w:cs="楷体_GB2312"/>
          <w:color w:val="auto"/>
          <w:sz w:val="24"/>
          <w:lang w:bidi="ar"/>
        </w:rPr>
        <w:t>，全程河长250km，其中许昌襄城县境内长51.8km。远期北汝河可向许昌主城区供水1.3亿m³/a（约36万m³/d）。</w:t>
      </w:r>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南水北调水源：根据《河南省南水北调受水区供水配套工程规划》（许昌受水区）要求，并结合南水北调工程于主城区的实际分配输水情况，南水北调工程为许昌主城区供水0.99亿m³/a（约27万m³/d）。</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2. 地下水水源</w:t>
      </w:r>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许昌主城区地下水含水量较为贫缺，浅层地下水多年平均补给量约为0.14亿m³，深层地下水多年平均补给量约为0.16亿m³，可利用水量为0.12亿m³/a。规划逐步关停工业用户自备井，主城区地下水主要作为城市发展期自来水供水盲区水源，远期禁止开采。</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3. 其它水源</w:t>
      </w:r>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许昌市是一个资源型缺水城市，为满足未来城市发展需求，应开源节流，开发再生水作为新的城市水源，同时提高工业用水重复利用率。未来许昌市可从水资源较为丰富的平顶山市引入水源。</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30" w:name="_Toc494903154"/>
      <w:bookmarkStart w:id="131" w:name="_Toc495586718"/>
      <w:r>
        <w:rPr>
          <w:rFonts w:hint="eastAsia" w:ascii="楷体_GB2312" w:hAnsi="楷体_GB2312" w:eastAsia="楷体_GB2312" w:cs="楷体_GB2312"/>
          <w:b/>
          <w:color w:val="auto"/>
          <w:sz w:val="24"/>
          <w:szCs w:val="24"/>
        </w:rPr>
        <w:t>4.2.3水厂泵站规划</w:t>
      </w:r>
      <w:bookmarkEnd w:id="130"/>
      <w:bookmarkEnd w:id="131"/>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1. 水厂规划</w:t>
      </w:r>
    </w:p>
    <w:p>
      <w:pPr>
        <w:spacing w:line="360" w:lineRule="auto"/>
        <w:ind w:firstLine="480"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color w:val="auto"/>
          <w:sz w:val="24"/>
        </w:rPr>
        <w:t>（1）二水厂</w:t>
      </w:r>
    </w:p>
    <w:p>
      <w:pPr>
        <w:spacing w:line="360" w:lineRule="auto"/>
        <w:ind w:firstLine="480" w:firstLineChars="200"/>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二水厂为现状水厂，位于瑞贝卡大道与潩水路交口东南地块，设计供水规模为14万m</w:t>
      </w:r>
      <w:r>
        <w:rPr>
          <w:rFonts w:hint="eastAsia" w:ascii="楷体_GB2312" w:hAnsi="楷体_GB2312" w:eastAsia="楷体_GB2312" w:cs="楷体_GB2312"/>
          <w:color w:val="auto"/>
          <w:sz w:val="24"/>
          <w:vertAlign w:val="superscript"/>
          <w:lang w:bidi="ar"/>
        </w:rPr>
        <w:t>3</w:t>
      </w:r>
      <w:r>
        <w:rPr>
          <w:rFonts w:hint="eastAsia" w:ascii="楷体_GB2312" w:hAnsi="楷体_GB2312" w:eastAsia="楷体_GB2312" w:cs="楷体_GB2312"/>
          <w:color w:val="auto"/>
          <w:sz w:val="24"/>
          <w:lang w:bidi="ar"/>
        </w:rPr>
        <w:t>/d。</w:t>
      </w:r>
    </w:p>
    <w:p>
      <w:pPr>
        <w:spacing w:line="360" w:lineRule="auto"/>
        <w:ind w:firstLine="480"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color w:val="auto"/>
          <w:sz w:val="24"/>
        </w:rPr>
        <w:t>（2）</w:t>
      </w:r>
      <w:r>
        <w:rPr>
          <w:rFonts w:hint="eastAsia" w:ascii="楷体_GB2312" w:hAnsi="楷体_GB2312" w:eastAsia="楷体_GB2312" w:cs="楷体_GB2312"/>
          <w:color w:val="auto"/>
          <w:sz w:val="24"/>
          <w:lang w:bidi="ar"/>
        </w:rPr>
        <w:t>周庄水厂</w:t>
      </w:r>
    </w:p>
    <w:p>
      <w:pPr>
        <w:spacing w:line="360" w:lineRule="auto"/>
        <w:ind w:firstLine="480" w:firstLineChars="200"/>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周庄水厂为现状水厂，位于开元路与天庙街交口西南地块。最终供水规模16万m</w:t>
      </w:r>
      <w:r>
        <w:rPr>
          <w:rFonts w:hint="eastAsia" w:ascii="楷体_GB2312" w:hAnsi="楷体_GB2312" w:eastAsia="楷体_GB2312" w:cs="楷体_GB2312"/>
          <w:color w:val="auto"/>
          <w:sz w:val="24"/>
          <w:vertAlign w:val="superscript"/>
          <w:lang w:bidi="ar"/>
        </w:rPr>
        <w:t>3</w:t>
      </w:r>
      <w:r>
        <w:rPr>
          <w:rFonts w:hint="eastAsia" w:ascii="楷体_GB2312" w:hAnsi="楷体_GB2312" w:eastAsia="楷体_GB2312" w:cs="楷体_GB2312"/>
          <w:color w:val="auto"/>
          <w:sz w:val="24"/>
          <w:lang w:bidi="ar"/>
        </w:rPr>
        <w:t>/d。现状为10万m</w:t>
      </w:r>
      <w:r>
        <w:rPr>
          <w:rFonts w:hint="eastAsia" w:ascii="楷体_GB2312" w:hAnsi="楷体_GB2312" w:eastAsia="楷体_GB2312" w:cs="楷体_GB2312"/>
          <w:color w:val="auto"/>
          <w:sz w:val="24"/>
          <w:vertAlign w:val="superscript"/>
          <w:lang w:bidi="ar"/>
        </w:rPr>
        <w:t>3</w:t>
      </w:r>
      <w:r>
        <w:rPr>
          <w:rFonts w:hint="eastAsia" w:ascii="楷体_GB2312" w:hAnsi="楷体_GB2312" w:eastAsia="楷体_GB2312" w:cs="楷体_GB2312"/>
          <w:color w:val="auto"/>
          <w:sz w:val="24"/>
          <w:lang w:bidi="ar"/>
        </w:rPr>
        <w:t>/d，扩建6万m</w:t>
      </w:r>
      <w:r>
        <w:rPr>
          <w:rFonts w:hint="eastAsia" w:ascii="楷体_GB2312" w:hAnsi="楷体_GB2312" w:eastAsia="楷体_GB2312" w:cs="楷体_GB2312"/>
          <w:color w:val="auto"/>
          <w:sz w:val="24"/>
          <w:vertAlign w:val="superscript"/>
          <w:lang w:bidi="ar"/>
        </w:rPr>
        <w:t>3</w:t>
      </w:r>
      <w:r>
        <w:rPr>
          <w:rFonts w:hint="eastAsia" w:ascii="楷体_GB2312" w:hAnsi="楷体_GB2312" w:eastAsia="楷体_GB2312" w:cs="楷体_GB2312"/>
          <w:color w:val="auto"/>
          <w:sz w:val="24"/>
          <w:lang w:bidi="ar"/>
        </w:rPr>
        <w:t>/d，根据城市发展需要适时建设。</w:t>
      </w:r>
    </w:p>
    <w:p>
      <w:pPr>
        <w:spacing w:line="360" w:lineRule="auto"/>
        <w:ind w:left="586"/>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（3）南水北调水厂</w:t>
      </w:r>
    </w:p>
    <w:p>
      <w:pPr>
        <w:spacing w:line="360" w:lineRule="auto"/>
        <w:ind w:firstLine="480" w:firstLineChars="200"/>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南水北调水厂为规划水厂，位于聚贤街与劳动北路交口东南，最终设计供水规模为27万m</w:t>
      </w:r>
      <w:r>
        <w:rPr>
          <w:rFonts w:hint="eastAsia" w:ascii="楷体_GB2312" w:hAnsi="楷体_GB2312" w:eastAsia="楷体_GB2312" w:cs="楷体_GB2312"/>
          <w:color w:val="auto"/>
          <w:sz w:val="24"/>
          <w:vertAlign w:val="superscript"/>
          <w:lang w:bidi="ar"/>
        </w:rPr>
        <w:t>3</w:t>
      </w:r>
      <w:r>
        <w:rPr>
          <w:rFonts w:hint="eastAsia" w:ascii="楷体_GB2312" w:hAnsi="楷体_GB2312" w:eastAsia="楷体_GB2312" w:cs="楷体_GB2312"/>
          <w:color w:val="auto"/>
          <w:sz w:val="24"/>
          <w:lang w:bidi="ar"/>
        </w:rPr>
        <w:t>/d。分为3期建设，一期(2017年)达到10万m</w:t>
      </w:r>
      <w:r>
        <w:rPr>
          <w:rFonts w:hint="eastAsia" w:ascii="楷体_GB2312" w:hAnsi="楷体_GB2312" w:eastAsia="楷体_GB2312" w:cs="楷体_GB2312"/>
          <w:color w:val="auto"/>
          <w:sz w:val="24"/>
          <w:vertAlign w:val="superscript"/>
          <w:lang w:bidi="ar"/>
        </w:rPr>
        <w:t>3</w:t>
      </w:r>
      <w:r>
        <w:rPr>
          <w:rFonts w:hint="eastAsia" w:ascii="楷体_GB2312" w:hAnsi="楷体_GB2312" w:eastAsia="楷体_GB2312" w:cs="楷体_GB2312"/>
          <w:color w:val="auto"/>
          <w:sz w:val="24"/>
          <w:lang w:bidi="ar"/>
        </w:rPr>
        <w:t>/d供水规模，二期(2020年)达到17万m</w:t>
      </w:r>
      <w:r>
        <w:rPr>
          <w:rFonts w:hint="eastAsia" w:ascii="楷体_GB2312" w:hAnsi="楷体_GB2312" w:eastAsia="楷体_GB2312" w:cs="楷体_GB2312"/>
          <w:color w:val="auto"/>
          <w:sz w:val="24"/>
          <w:vertAlign w:val="superscript"/>
          <w:lang w:bidi="ar"/>
        </w:rPr>
        <w:t>3</w:t>
      </w:r>
      <w:r>
        <w:rPr>
          <w:rFonts w:hint="eastAsia" w:ascii="楷体_GB2312" w:hAnsi="楷体_GB2312" w:eastAsia="楷体_GB2312" w:cs="楷体_GB2312"/>
          <w:color w:val="auto"/>
          <w:sz w:val="24"/>
          <w:lang w:bidi="ar"/>
        </w:rPr>
        <w:t>/d供水规模，三期(2030年)达到27万m</w:t>
      </w:r>
      <w:r>
        <w:rPr>
          <w:rFonts w:hint="eastAsia" w:ascii="楷体_GB2312" w:hAnsi="楷体_GB2312" w:eastAsia="楷体_GB2312" w:cs="楷体_GB2312"/>
          <w:color w:val="auto"/>
          <w:sz w:val="24"/>
          <w:vertAlign w:val="superscript"/>
          <w:lang w:bidi="ar"/>
        </w:rPr>
        <w:t>3</w:t>
      </w:r>
      <w:r>
        <w:rPr>
          <w:rFonts w:hint="eastAsia" w:ascii="楷体_GB2312" w:hAnsi="楷体_GB2312" w:eastAsia="楷体_GB2312" w:cs="楷体_GB2312"/>
          <w:color w:val="auto"/>
          <w:sz w:val="24"/>
          <w:lang w:bidi="ar"/>
        </w:rPr>
        <w:t>/d供水规模，根据城市发展需要适时建设。</w:t>
      </w:r>
    </w:p>
    <w:p>
      <w:pPr>
        <w:spacing w:line="360" w:lineRule="auto"/>
        <w:ind w:left="586"/>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（4）董庄水厂</w:t>
      </w:r>
    </w:p>
    <w:p>
      <w:pPr>
        <w:spacing w:line="360" w:lineRule="auto"/>
        <w:ind w:firstLine="480" w:firstLineChars="200"/>
        <w:jc w:val="left"/>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董庄水厂为现状水厂，位于延安与新兴路南侧小铁路交口西南地块，设计供水规模为5万m</w:t>
      </w:r>
      <w:r>
        <w:rPr>
          <w:rFonts w:hint="eastAsia" w:ascii="楷体_GB2312" w:hAnsi="楷体_GB2312" w:eastAsia="楷体_GB2312" w:cs="楷体_GB2312"/>
          <w:color w:val="auto"/>
          <w:sz w:val="24"/>
          <w:vertAlign w:val="superscript"/>
          <w:lang w:bidi="ar"/>
        </w:rPr>
        <w:t>3</w:t>
      </w:r>
      <w:r>
        <w:rPr>
          <w:rFonts w:hint="eastAsia" w:ascii="楷体_GB2312" w:hAnsi="楷体_GB2312" w:eastAsia="楷体_GB2312" w:cs="楷体_GB2312"/>
          <w:color w:val="auto"/>
          <w:sz w:val="24"/>
          <w:lang w:bidi="ar"/>
        </w:rPr>
        <w:t>/d，与二水厂共用麦岭地下水源，作为备用水厂。</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2. 给水泵站</w:t>
      </w:r>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（1）榆林加压泵站</w:t>
      </w:r>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在麦岭和许昌市区间设有榆林加压泵站，作为麦岭地下水至许昌市区输水管中途加压。近期，对加压站进行改造，使麦岭至二水厂和麦岭至董庄水厂输水联通，以增大输水安全系数。</w:t>
      </w:r>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（2）电气谷加压泵站</w:t>
      </w:r>
    </w:p>
    <w:p>
      <w:pPr>
        <w:spacing w:line="360" w:lineRule="auto"/>
        <w:ind w:firstLine="480" w:firstLineChars="200"/>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lang w:bidi="ar"/>
        </w:rPr>
        <w:t>魏武大道与永兴东路交口东南地块设有电气谷加压泵站，规模5万m</w:t>
      </w:r>
      <w:r>
        <w:rPr>
          <w:rFonts w:hint="eastAsia" w:ascii="楷体_GB2312" w:hAnsi="楷体_GB2312" w:eastAsia="楷体_GB2312" w:cs="楷体_GB2312"/>
          <w:color w:val="auto"/>
          <w:sz w:val="24"/>
          <w:vertAlign w:val="superscript"/>
          <w:lang w:bidi="ar"/>
        </w:rPr>
        <w:t>3</w:t>
      </w:r>
      <w:r>
        <w:rPr>
          <w:rFonts w:hint="eastAsia" w:ascii="楷体_GB2312" w:hAnsi="楷体_GB2312" w:eastAsia="楷体_GB2312" w:cs="楷体_GB2312"/>
          <w:color w:val="auto"/>
          <w:sz w:val="24"/>
          <w:lang w:bidi="ar"/>
        </w:rPr>
        <w:t>/d。该加压泵站属于临时设施，缓解该区域给水压力不足。待南水北调水厂建成投产后，该加压泵站配合规划区的南水北调水厂、周庄水厂及二水厂使用。</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32" w:name="_Toc494903155"/>
      <w:bookmarkStart w:id="133" w:name="_Toc495586719"/>
      <w:r>
        <w:rPr>
          <w:rFonts w:hint="eastAsia" w:ascii="楷体_GB2312" w:hAnsi="楷体_GB2312" w:eastAsia="楷体_GB2312" w:cs="楷体_GB2312"/>
          <w:b/>
          <w:color w:val="auto"/>
          <w:sz w:val="24"/>
          <w:szCs w:val="24"/>
        </w:rPr>
        <w:t>4.2.4管线规划</w:t>
      </w:r>
      <w:bookmarkEnd w:id="132"/>
      <w:bookmarkEnd w:id="133"/>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1. 输水干管</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（1）麦岭至二水厂及董庄水厂输水管</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二水厂输水管道为一条DN1200的压力管道，自襄城县麦岭水源地取水，中间经过榆林加压站加压输水至二水厂。麦岭输水管线约长度32km。董庄水厂输水管道为一条DN800的压力管道，输水管线约长度29km。输水管之间设连通管保证输水安全。</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（2）南水北调水厂输水管</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南水北调主干管自南水北调总干渠17号(孟坡)分水口门取水，向许昌主城区和临颍输水。沿线在周庄水厂分水口分出周庄水厂支管，在南水北调水厂分水口分出南水北调水厂支管，在二水厂分水口处分出二水厂支管。</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2. 配水管网布置</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周庄水厂的供水主要范围为北外环以南、京广铁路以西的区域；二水厂的供水主要范围为北外环以南、京广铁路以东区域；南水北调水厂的供水主要范围为北外环以北范围。</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（1）南水北调水厂</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远期南水北调水厂供水规模27万m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/d，出厂4趟给水主干向规划区供水。</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一根DN1200出厂干管，沿滨河路向北敷设至农大路，途中分别沿新元大道及农大路向东供水至中原路。</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一根DN1200出厂干管，沿滨河路向南敷设至北外环途中分别沿昌盛路，永兴东路及北外环，途中分别沿新元大道及农大路向东供水至中原路。</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一根DN1200出厂干管，沿劳动北路路向北至新元大道分叉，分别向北供水至农大路和向西供水至规划区最西端。</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一根DN1200出厂干管沿劳动北路向南至昌盛路分叉，分别向南供水至主城区和向西供水至规划区最西端。</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（2）周庄水厂</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远期周庄水厂供水规模16万m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/d，出厂2趟给水主干向规划区供水。</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一根DN1200出厂干管出厂后又分为2趟，一根DN800沿许继大道向东至老城区，并在文峰路并与文峰路DN600干管环通，另一根沿DN800沿朝阳路向北供水至八一路，然后沿八一路向东供水至老城区与文峰路DN600干管环通，并分别沿灞陵路、五一路、劳动路向北供水至北外环。</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一根DN1200出厂干管沿朝阳路向南至瑞昌西路，分别沿新兴路、许由路以及瑞昌西路向东供水。</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（3）二水厂</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远期周庄水厂供水规模14万m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/d，出厂3趟给水主干向规划区供水。</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一根DN1200干管，出厂后沿文兴路及文苑路向北供水，并与周庄水厂及南水北调水厂干管环通。</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一根DN1200干管，出厂后沿瑞贝卡大道敷设至中原路，沿途分别沿学院路，魏武大道，玉兰路，忠武路，中原路向北供水至北外环。</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134" w:name="_Toc494903157"/>
      <w:bookmarkStart w:id="135" w:name="_Toc495586720"/>
      <w:bookmarkStart w:id="136" w:name="_Toc22652"/>
      <w:r>
        <w:rPr>
          <w:rFonts w:hint="eastAsia" w:ascii="楷体_GB2312" w:hAnsi="楷体_GB2312" w:eastAsia="楷体_GB2312" w:cs="楷体_GB2312"/>
          <w:b/>
          <w:bCs w:val="0"/>
          <w:color w:val="auto"/>
          <w:sz w:val="28"/>
        </w:rPr>
        <w:t>4.3污水工程</w:t>
      </w:r>
      <w:bookmarkEnd w:id="134"/>
      <w:bookmarkEnd w:id="135"/>
      <w:bookmarkEnd w:id="136"/>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37" w:name="_Toc494903158"/>
      <w:bookmarkStart w:id="138" w:name="_Toc495586721"/>
      <w:r>
        <w:rPr>
          <w:rFonts w:hint="eastAsia" w:ascii="楷体_GB2312" w:hAnsi="楷体_GB2312" w:eastAsia="楷体_GB2312" w:cs="楷体_GB2312"/>
          <w:b/>
          <w:color w:val="auto"/>
          <w:sz w:val="24"/>
          <w:szCs w:val="24"/>
        </w:rPr>
        <w:t>4.3.1污水量预测</w:t>
      </w:r>
      <w:bookmarkEnd w:id="137"/>
      <w:bookmarkEnd w:id="138"/>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根据规范规定，城市污水量宜根据城市用水量乘以城市污水排放系数确定，城市综合污水排放系数为0.8-0.9，取0.85，地下水渗入量按收集量的10％考虑。考虑给水量1.2的日变化系数。</w:t>
      </w:r>
    </w:p>
    <w:p>
      <w:pPr>
        <w:spacing w:line="360"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主城区污水量预测一览表</w:t>
      </w:r>
    </w:p>
    <w:tbl>
      <w:tblPr>
        <w:tblStyle w:val="21"/>
        <w:tblW w:w="8672" w:type="dxa"/>
        <w:jc w:val="center"/>
        <w:tblInd w:w="13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93"/>
        <w:gridCol w:w="1882"/>
        <w:gridCol w:w="1284"/>
        <w:gridCol w:w="1541"/>
        <w:gridCol w:w="1337"/>
        <w:gridCol w:w="163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04" w:hRule="atLeast"/>
          <w:jc w:val="center"/>
        </w:trPr>
        <w:tc>
          <w:tcPr>
            <w:tcW w:w="993" w:type="dxa"/>
            <w:tcBorders>
              <w:tl2br w:val="nil"/>
              <w:tr2bl w:val="nil"/>
            </w:tcBorders>
            <w:shd w:val="clear" w:color="auto" w:fill="C2D69B" w:themeFill="accent3" w:themeFillTint="99"/>
            <w:vAlign w:val="center"/>
          </w:tcPr>
          <w:p>
            <w:pPr>
              <w:adjustRightInd w:val="0"/>
              <w:snapToGrid w:val="0"/>
              <w:jc w:val="center"/>
              <w:rPr>
                <w:rFonts w:hint="eastAsia" w:ascii="楷体_GB2312" w:hAnsi="楷体_GB2312" w:eastAsia="楷体_GB2312" w:cs="楷体_GB2312"/>
                <w:b/>
                <w:color w:val="auto"/>
                <w:szCs w:val="21"/>
              </w:rPr>
            </w:pPr>
            <w:bookmarkStart w:id="139" w:name="_Toc449549209"/>
            <w:bookmarkStart w:id="140" w:name="_Toc120009829"/>
            <w:r>
              <w:rPr>
                <w:rFonts w:hint="eastAsia" w:ascii="楷体_GB2312" w:hAnsi="楷体_GB2312" w:eastAsia="楷体_GB2312" w:cs="楷体_GB2312"/>
                <w:b/>
                <w:color w:val="auto"/>
                <w:szCs w:val="21"/>
                <w:lang w:bidi="ar"/>
              </w:rPr>
              <w:t>名称</w:t>
            </w:r>
          </w:p>
        </w:tc>
        <w:tc>
          <w:tcPr>
            <w:tcW w:w="1882" w:type="dxa"/>
            <w:tcBorders>
              <w:tl2br w:val="nil"/>
              <w:tr2bl w:val="nil"/>
            </w:tcBorders>
            <w:shd w:val="clear" w:color="auto" w:fill="C2D69B" w:themeFill="accent3" w:themeFillTint="99"/>
            <w:vAlign w:val="center"/>
          </w:tcPr>
          <w:p>
            <w:pPr>
              <w:adjustRightInd w:val="0"/>
              <w:snapToGrid w:val="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最高日用水量</w:t>
            </w:r>
          </w:p>
          <w:p>
            <w:pPr>
              <w:adjustRightInd w:val="0"/>
              <w:snapToGrid w:val="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（万m³/d）</w:t>
            </w:r>
          </w:p>
        </w:tc>
        <w:tc>
          <w:tcPr>
            <w:tcW w:w="1284" w:type="dxa"/>
            <w:tcBorders>
              <w:tl2br w:val="nil"/>
              <w:tr2bl w:val="nil"/>
            </w:tcBorders>
            <w:shd w:val="clear" w:color="auto" w:fill="C2D69B" w:themeFill="accent3" w:themeFillTint="99"/>
            <w:vAlign w:val="center"/>
          </w:tcPr>
          <w:p>
            <w:pPr>
              <w:adjustRightInd w:val="0"/>
              <w:snapToGrid w:val="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日变化系数</w:t>
            </w:r>
          </w:p>
        </w:tc>
        <w:tc>
          <w:tcPr>
            <w:tcW w:w="1541" w:type="dxa"/>
            <w:tcBorders>
              <w:tl2br w:val="nil"/>
              <w:tr2bl w:val="nil"/>
            </w:tcBorders>
            <w:shd w:val="clear" w:color="auto" w:fill="C2D69B" w:themeFill="accent3" w:themeFillTint="99"/>
            <w:vAlign w:val="center"/>
          </w:tcPr>
          <w:p>
            <w:pPr>
              <w:adjustRightInd w:val="0"/>
              <w:snapToGrid w:val="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排放系数</w:t>
            </w:r>
          </w:p>
        </w:tc>
        <w:tc>
          <w:tcPr>
            <w:tcW w:w="1337" w:type="dxa"/>
            <w:tcBorders>
              <w:tl2br w:val="nil"/>
              <w:tr2bl w:val="nil"/>
            </w:tcBorders>
            <w:shd w:val="clear" w:color="auto" w:fill="C2D69B" w:themeFill="accent3" w:themeFillTint="99"/>
            <w:vAlign w:val="center"/>
          </w:tcPr>
          <w:p>
            <w:pPr>
              <w:adjustRightInd w:val="0"/>
              <w:snapToGrid w:val="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渗入率</w:t>
            </w:r>
          </w:p>
        </w:tc>
        <w:tc>
          <w:tcPr>
            <w:tcW w:w="1635" w:type="dxa"/>
            <w:tcBorders>
              <w:tl2br w:val="nil"/>
              <w:tr2bl w:val="nil"/>
            </w:tcBorders>
            <w:shd w:val="clear" w:color="auto" w:fill="C2D69B" w:themeFill="accent3" w:themeFillTint="99"/>
            <w:vAlign w:val="center"/>
          </w:tcPr>
          <w:p>
            <w:pPr>
              <w:adjustRightInd w:val="0"/>
              <w:snapToGrid w:val="0"/>
              <w:jc w:val="center"/>
              <w:rPr>
                <w:rFonts w:hint="eastAsia" w:ascii="楷体_GB2312" w:hAnsi="楷体_GB2312" w:eastAsia="楷体_GB2312" w:cs="楷体_GB2312"/>
                <w:b/>
                <w:color w:val="auto"/>
                <w:szCs w:val="21"/>
                <w:lang w:bidi="ar"/>
              </w:rPr>
            </w:pPr>
            <w:r>
              <w:rPr>
                <w:rFonts w:hint="eastAsia" w:ascii="楷体_GB2312" w:hAnsi="楷体_GB2312" w:eastAsia="楷体_GB2312" w:cs="楷体_GB2312"/>
                <w:b/>
                <w:color w:val="auto"/>
                <w:szCs w:val="21"/>
                <w:lang w:bidi="ar"/>
              </w:rPr>
              <w:t>污水量</w:t>
            </w:r>
          </w:p>
          <w:p>
            <w:pPr>
              <w:adjustRightInd w:val="0"/>
              <w:snapToGrid w:val="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（万m³/d）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34" w:hRule="atLeast"/>
          <w:jc w:val="center"/>
        </w:trPr>
        <w:tc>
          <w:tcPr>
            <w:tcW w:w="993" w:type="dxa"/>
            <w:tcBorders>
              <w:tl2br w:val="nil"/>
              <w:tr2bl w:val="nil"/>
            </w:tcBorders>
            <w:shd w:val="clear" w:color="auto" w:fill="auto"/>
            <w:vAlign w:val="center"/>
          </w:tcPr>
          <w:p>
            <w:pPr>
              <w:adjustRightInd w:val="0"/>
              <w:snapToGrid w:val="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近期</w:t>
            </w:r>
          </w:p>
        </w:tc>
        <w:tc>
          <w:tcPr>
            <w:tcW w:w="1882" w:type="dxa"/>
            <w:tcBorders>
              <w:tl2br w:val="nil"/>
              <w:tr2bl w:val="nil"/>
            </w:tcBorders>
            <w:shd w:val="clear" w:color="auto" w:fill="auto"/>
            <w:vAlign w:val="center"/>
          </w:tcPr>
          <w:p>
            <w:pPr>
              <w:adjustRightInd w:val="0"/>
              <w:snapToGrid w:val="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41.0</w:t>
            </w:r>
          </w:p>
        </w:tc>
        <w:tc>
          <w:tcPr>
            <w:tcW w:w="1284" w:type="dxa"/>
            <w:tcBorders>
              <w:tl2br w:val="nil"/>
              <w:tr2bl w:val="nil"/>
            </w:tcBorders>
            <w:shd w:val="clear" w:color="auto" w:fill="auto"/>
            <w:vAlign w:val="center"/>
          </w:tcPr>
          <w:p>
            <w:pPr>
              <w:adjustRightInd w:val="0"/>
              <w:snapToGrid w:val="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w:t>
            </w:r>
          </w:p>
        </w:tc>
        <w:tc>
          <w:tcPr>
            <w:tcW w:w="1541" w:type="dxa"/>
            <w:tcBorders>
              <w:tl2br w:val="nil"/>
              <w:tr2bl w:val="nil"/>
            </w:tcBorders>
            <w:shd w:val="clear" w:color="auto" w:fill="auto"/>
            <w:vAlign w:val="center"/>
          </w:tcPr>
          <w:p>
            <w:pPr>
              <w:adjustRightInd w:val="0"/>
              <w:snapToGrid w:val="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0.85</w:t>
            </w:r>
          </w:p>
        </w:tc>
        <w:tc>
          <w:tcPr>
            <w:tcW w:w="1337" w:type="dxa"/>
            <w:tcBorders>
              <w:tl2br w:val="nil"/>
              <w:tr2bl w:val="nil"/>
            </w:tcBorders>
            <w:shd w:val="clear" w:color="auto" w:fill="auto"/>
            <w:vAlign w:val="center"/>
          </w:tcPr>
          <w:p>
            <w:pPr>
              <w:adjustRightInd w:val="0"/>
              <w:snapToGrid w:val="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0.1</w:t>
            </w:r>
          </w:p>
        </w:tc>
        <w:tc>
          <w:tcPr>
            <w:tcW w:w="1635" w:type="dxa"/>
            <w:tcBorders>
              <w:tl2br w:val="nil"/>
              <w:tr2bl w:val="nil"/>
            </w:tcBorders>
            <w:shd w:val="clear" w:color="auto" w:fill="auto"/>
            <w:vAlign w:val="center"/>
          </w:tcPr>
          <w:p>
            <w:pPr>
              <w:adjustRightInd w:val="0"/>
              <w:snapToGrid w:val="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31.9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34" w:hRule="atLeast"/>
          <w:jc w:val="center"/>
        </w:trPr>
        <w:tc>
          <w:tcPr>
            <w:tcW w:w="993" w:type="dxa"/>
            <w:tcBorders>
              <w:tl2br w:val="nil"/>
              <w:tr2bl w:val="nil"/>
            </w:tcBorders>
            <w:shd w:val="clear" w:color="auto" w:fill="auto"/>
            <w:vAlign w:val="center"/>
          </w:tcPr>
          <w:p>
            <w:pPr>
              <w:adjustRightInd w:val="0"/>
              <w:snapToGrid w:val="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远期</w:t>
            </w:r>
          </w:p>
        </w:tc>
        <w:tc>
          <w:tcPr>
            <w:tcW w:w="1882" w:type="dxa"/>
            <w:tcBorders>
              <w:tl2br w:val="nil"/>
              <w:tr2bl w:val="nil"/>
            </w:tcBorders>
            <w:shd w:val="clear" w:color="auto" w:fill="auto"/>
            <w:vAlign w:val="center"/>
          </w:tcPr>
          <w:p>
            <w:pPr>
              <w:adjustRightInd w:val="0"/>
              <w:snapToGrid w:val="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65.0</w:t>
            </w:r>
          </w:p>
        </w:tc>
        <w:tc>
          <w:tcPr>
            <w:tcW w:w="1284" w:type="dxa"/>
            <w:tcBorders>
              <w:tl2br w:val="nil"/>
              <w:tr2bl w:val="nil"/>
            </w:tcBorders>
            <w:shd w:val="clear" w:color="auto" w:fill="auto"/>
            <w:vAlign w:val="center"/>
          </w:tcPr>
          <w:p>
            <w:pPr>
              <w:adjustRightInd w:val="0"/>
              <w:snapToGrid w:val="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w:t>
            </w:r>
          </w:p>
        </w:tc>
        <w:tc>
          <w:tcPr>
            <w:tcW w:w="1541" w:type="dxa"/>
            <w:tcBorders>
              <w:tl2br w:val="nil"/>
              <w:tr2bl w:val="nil"/>
            </w:tcBorders>
            <w:shd w:val="clear" w:color="auto" w:fill="auto"/>
            <w:vAlign w:val="center"/>
          </w:tcPr>
          <w:p>
            <w:pPr>
              <w:adjustRightInd w:val="0"/>
              <w:snapToGrid w:val="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0.85</w:t>
            </w:r>
          </w:p>
        </w:tc>
        <w:tc>
          <w:tcPr>
            <w:tcW w:w="1337" w:type="dxa"/>
            <w:tcBorders>
              <w:tl2br w:val="nil"/>
              <w:tr2bl w:val="nil"/>
            </w:tcBorders>
            <w:shd w:val="clear" w:color="auto" w:fill="auto"/>
            <w:vAlign w:val="center"/>
          </w:tcPr>
          <w:p>
            <w:pPr>
              <w:adjustRightInd w:val="0"/>
              <w:snapToGrid w:val="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0.1</w:t>
            </w:r>
          </w:p>
        </w:tc>
        <w:tc>
          <w:tcPr>
            <w:tcW w:w="1635" w:type="dxa"/>
            <w:tcBorders>
              <w:tl2br w:val="nil"/>
              <w:tr2bl w:val="nil"/>
            </w:tcBorders>
            <w:shd w:val="clear" w:color="auto" w:fill="auto"/>
            <w:vAlign w:val="center"/>
          </w:tcPr>
          <w:p>
            <w:pPr>
              <w:adjustRightInd w:val="0"/>
              <w:snapToGrid w:val="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50.6</w:t>
            </w:r>
          </w:p>
        </w:tc>
      </w:tr>
    </w:tbl>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41" w:name="_Toc495586722"/>
      <w:bookmarkStart w:id="142" w:name="_Toc494903159"/>
      <w:r>
        <w:rPr>
          <w:rFonts w:hint="eastAsia" w:ascii="楷体_GB2312" w:hAnsi="楷体_GB2312" w:eastAsia="楷体_GB2312" w:cs="楷体_GB2312"/>
          <w:b/>
          <w:color w:val="auto"/>
          <w:sz w:val="24"/>
          <w:szCs w:val="24"/>
        </w:rPr>
        <w:t>4.3.2</w:t>
      </w:r>
      <w:bookmarkEnd w:id="139"/>
      <w:bookmarkEnd w:id="140"/>
      <w:r>
        <w:rPr>
          <w:rFonts w:hint="eastAsia" w:ascii="楷体_GB2312" w:hAnsi="楷体_GB2312" w:eastAsia="楷体_GB2312" w:cs="楷体_GB2312"/>
          <w:b/>
          <w:color w:val="auto"/>
          <w:sz w:val="24"/>
          <w:szCs w:val="24"/>
        </w:rPr>
        <w:t>污水处理系统分区</w:t>
      </w:r>
      <w:bookmarkEnd w:id="141"/>
      <w:bookmarkEnd w:id="142"/>
    </w:p>
    <w:p>
      <w:pPr>
        <w:spacing w:line="360" w:lineRule="auto"/>
        <w:ind w:firstLine="480" w:firstLineChars="200"/>
        <w:rPr>
          <w:rFonts w:hint="eastAsia" w:ascii="楷体_GB2312" w:hAnsi="楷体_GB2312" w:eastAsia="楷体_GB2312" w:cs="楷体_GB2312"/>
          <w:color w:val="auto"/>
          <w:sz w:val="24"/>
          <w:lang w:bidi="ar"/>
        </w:rPr>
      </w:pPr>
      <w:bookmarkStart w:id="143" w:name="OLE_LINK26"/>
      <w:bookmarkStart w:id="144" w:name="OLE_LINK25"/>
      <w:r>
        <w:rPr>
          <w:rFonts w:hint="eastAsia" w:ascii="楷体_GB2312" w:hAnsi="楷体_GB2312" w:eastAsia="楷体_GB2312" w:cs="楷体_GB2312"/>
          <w:color w:val="auto"/>
          <w:sz w:val="24"/>
          <w:lang w:bidi="ar"/>
        </w:rPr>
        <w:t>主城区污水排放分区主要考虑因素为城市铁路、水系对城市格局的划分，城市建设用地的发展时序，现状污水干管的分布，以及当地的地形地貌等。规划确定主城区污水处理共划分为六个区域，共设置6座污水处理厂，布局采取集中与分散相结合的方式。</w:t>
      </w:r>
    </w:p>
    <w:tbl>
      <w:tblPr>
        <w:tblStyle w:val="21"/>
        <w:tblW w:w="8936"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4965"/>
        <w:gridCol w:w="1335"/>
        <w:gridCol w:w="155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48" w:hRule="atLeast"/>
          <w:jc w:val="center"/>
        </w:trPr>
        <w:tc>
          <w:tcPr>
            <w:tcW w:w="1080"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bCs/>
                <w:color w:val="auto"/>
                <w:szCs w:val="21"/>
                <w:lang w:bidi="ar"/>
              </w:rPr>
            </w:pPr>
            <w:r>
              <w:rPr>
                <w:rFonts w:hint="eastAsia" w:ascii="楷体_GB2312" w:hAnsi="楷体_GB2312" w:eastAsia="楷体_GB2312" w:cs="楷体_GB2312"/>
                <w:b/>
                <w:bCs/>
                <w:color w:val="auto"/>
                <w:szCs w:val="21"/>
                <w:lang w:bidi="ar"/>
              </w:rPr>
              <w:t>片区</w:t>
            </w:r>
          </w:p>
        </w:tc>
        <w:tc>
          <w:tcPr>
            <w:tcW w:w="4965"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bCs/>
                <w:color w:val="auto"/>
                <w:szCs w:val="21"/>
                <w:lang w:bidi="ar"/>
              </w:rPr>
            </w:pPr>
            <w:r>
              <w:rPr>
                <w:rFonts w:hint="eastAsia" w:ascii="楷体_GB2312" w:hAnsi="楷体_GB2312" w:eastAsia="楷体_GB2312" w:cs="楷体_GB2312"/>
                <w:b/>
                <w:bCs/>
                <w:color w:val="auto"/>
                <w:szCs w:val="21"/>
                <w:lang w:bidi="ar"/>
              </w:rPr>
              <w:t>区域</w:t>
            </w:r>
          </w:p>
        </w:tc>
        <w:tc>
          <w:tcPr>
            <w:tcW w:w="1335"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bCs/>
                <w:color w:val="auto"/>
                <w:szCs w:val="21"/>
                <w:lang w:bidi="ar"/>
              </w:rPr>
            </w:pPr>
            <w:r>
              <w:rPr>
                <w:rFonts w:hint="eastAsia" w:ascii="楷体_GB2312" w:hAnsi="楷体_GB2312" w:eastAsia="楷体_GB2312" w:cs="楷体_GB2312"/>
                <w:b/>
                <w:bCs/>
                <w:color w:val="auto"/>
                <w:szCs w:val="21"/>
                <w:lang w:bidi="ar"/>
              </w:rPr>
              <w:t>污水厂</w:t>
            </w:r>
          </w:p>
        </w:tc>
        <w:tc>
          <w:tcPr>
            <w:tcW w:w="1556"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bCs/>
                <w:color w:val="auto"/>
                <w:szCs w:val="21"/>
                <w:lang w:bidi="ar"/>
              </w:rPr>
            </w:pPr>
            <w:r>
              <w:rPr>
                <w:rFonts w:hint="eastAsia" w:ascii="楷体_GB2312" w:hAnsi="楷体_GB2312" w:eastAsia="楷体_GB2312" w:cs="楷体_GB2312"/>
                <w:b/>
                <w:bCs/>
                <w:color w:val="auto"/>
                <w:szCs w:val="21"/>
                <w:lang w:bidi="ar"/>
              </w:rPr>
              <w:t>面积-污水量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080"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分区一</w:t>
            </w:r>
          </w:p>
        </w:tc>
        <w:tc>
          <w:tcPr>
            <w:tcW w:w="4965" w:type="dxa"/>
            <w:tcBorders>
              <w:tl2br w:val="nil"/>
              <w:tr2bl w:val="nil"/>
            </w:tcBorders>
            <w:vAlign w:val="center"/>
          </w:tcPr>
          <w:p>
            <w:pP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永兴路以北、京港澳高速以西、汉风路以东、北苑大道以南区域</w:t>
            </w:r>
          </w:p>
        </w:tc>
        <w:tc>
          <w:tcPr>
            <w:tcW w:w="1335"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许昌县污水厂</w:t>
            </w:r>
          </w:p>
        </w:tc>
        <w:tc>
          <w:tcPr>
            <w:tcW w:w="1556" w:type="dxa"/>
            <w:tcBorders>
              <w:tl2br w:val="nil"/>
              <w:tr2bl w:val="nil"/>
            </w:tcBorders>
            <w:vAlign w:val="center"/>
          </w:tcPr>
          <w:p>
            <w:pPr>
              <w:rPr>
                <w:rFonts w:hint="eastAsia" w:ascii="楷体_GB2312" w:hAnsi="楷体_GB2312" w:eastAsia="楷体_GB2312" w:cs="楷体_GB2312"/>
                <w:color w:val="auto"/>
                <w:szCs w:val="21"/>
                <w:vertAlign w:val="superscript"/>
                <w:lang w:bidi="ar"/>
              </w:rPr>
            </w:pPr>
            <w:r>
              <w:rPr>
                <w:rFonts w:hint="eastAsia" w:ascii="楷体_GB2312" w:hAnsi="楷体_GB2312" w:eastAsia="楷体_GB2312" w:cs="楷体_GB2312"/>
                <w:color w:val="auto"/>
                <w:szCs w:val="21"/>
                <w:lang w:bidi="ar"/>
              </w:rPr>
              <w:t>34.0km</w:t>
            </w:r>
            <w:r>
              <w:rPr>
                <w:rFonts w:hint="eastAsia" w:ascii="楷体_GB2312" w:hAnsi="楷体_GB2312" w:eastAsia="楷体_GB2312" w:cs="楷体_GB2312"/>
                <w:color w:val="auto"/>
                <w:szCs w:val="21"/>
                <w:vertAlign w:val="superscript"/>
                <w:lang w:bidi="ar"/>
              </w:rPr>
              <w:t>2</w:t>
            </w:r>
          </w:p>
          <w:p>
            <w:pPr>
              <w:rPr>
                <w:rFonts w:hint="eastAsia" w:ascii="楷体_GB2312" w:hAnsi="楷体_GB2312" w:eastAsia="楷体_GB2312" w:cs="楷体_GB2312"/>
                <w:color w:val="auto"/>
                <w:szCs w:val="21"/>
                <w:vertAlign w:val="superscript"/>
                <w:lang w:bidi="ar"/>
              </w:rPr>
            </w:pPr>
            <w:r>
              <w:rPr>
                <w:rFonts w:hint="eastAsia" w:ascii="楷体_GB2312" w:hAnsi="楷体_GB2312" w:eastAsia="楷体_GB2312" w:cs="楷体_GB2312"/>
                <w:color w:val="auto"/>
                <w:szCs w:val="21"/>
                <w:lang w:bidi="ar"/>
              </w:rPr>
              <w:t>7.5万m³/d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080"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分区二</w:t>
            </w:r>
          </w:p>
        </w:tc>
        <w:tc>
          <w:tcPr>
            <w:tcW w:w="4965" w:type="dxa"/>
            <w:tcBorders>
              <w:tl2br w:val="nil"/>
              <w:tr2bl w:val="nil"/>
            </w:tcBorders>
            <w:vAlign w:val="center"/>
          </w:tcPr>
          <w:p>
            <w:pP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灞陵河以东、永昌路以南、京港澳高速以西、南外环以北区域</w:t>
            </w:r>
          </w:p>
        </w:tc>
        <w:tc>
          <w:tcPr>
            <w:tcW w:w="1335"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瑞贝卡污水厂</w:t>
            </w:r>
          </w:p>
        </w:tc>
        <w:tc>
          <w:tcPr>
            <w:tcW w:w="1556" w:type="dxa"/>
            <w:tcBorders>
              <w:tl2br w:val="nil"/>
              <w:tr2bl w:val="nil"/>
            </w:tcBorders>
            <w:vAlign w:val="center"/>
          </w:tcPr>
          <w:p>
            <w:pPr>
              <w:rPr>
                <w:rFonts w:hint="eastAsia" w:ascii="楷体_GB2312" w:hAnsi="楷体_GB2312" w:eastAsia="楷体_GB2312" w:cs="楷体_GB2312"/>
                <w:color w:val="auto"/>
                <w:szCs w:val="21"/>
                <w:vertAlign w:val="superscript"/>
                <w:lang w:bidi="ar"/>
              </w:rPr>
            </w:pPr>
            <w:r>
              <w:rPr>
                <w:rFonts w:hint="eastAsia" w:ascii="楷体_GB2312" w:hAnsi="楷体_GB2312" w:eastAsia="楷体_GB2312" w:cs="楷体_GB2312"/>
                <w:color w:val="auto"/>
                <w:szCs w:val="21"/>
                <w:lang w:bidi="ar"/>
              </w:rPr>
              <w:t>84.3km</w:t>
            </w:r>
            <w:r>
              <w:rPr>
                <w:rFonts w:hint="eastAsia" w:ascii="楷体_GB2312" w:hAnsi="楷体_GB2312" w:eastAsia="楷体_GB2312" w:cs="楷体_GB2312"/>
                <w:color w:val="auto"/>
                <w:szCs w:val="21"/>
                <w:vertAlign w:val="superscript"/>
                <w:lang w:bidi="ar"/>
              </w:rPr>
              <w:t>2</w:t>
            </w:r>
          </w:p>
          <w:p>
            <w:pPr>
              <w:jc w:val="both"/>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20.0万m³/d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080"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分区三</w:t>
            </w:r>
          </w:p>
        </w:tc>
        <w:tc>
          <w:tcPr>
            <w:tcW w:w="4965" w:type="dxa"/>
            <w:tcBorders>
              <w:tl2br w:val="nil"/>
              <w:tr2bl w:val="nil"/>
            </w:tcBorders>
            <w:vAlign w:val="center"/>
          </w:tcPr>
          <w:p>
            <w:pP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兴西路以南、文峰北路以西、永昌西路以北区域，灞陵河以西、洞上街以北、朝阳路以东、永昌西路以南区域</w:t>
            </w:r>
          </w:p>
        </w:tc>
        <w:tc>
          <w:tcPr>
            <w:tcW w:w="1335"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西部产业区污水厂</w:t>
            </w:r>
          </w:p>
        </w:tc>
        <w:tc>
          <w:tcPr>
            <w:tcW w:w="1556" w:type="dxa"/>
            <w:tcBorders>
              <w:tl2br w:val="nil"/>
              <w:tr2bl w:val="nil"/>
            </w:tcBorders>
            <w:vAlign w:val="center"/>
          </w:tcPr>
          <w:p>
            <w:pPr>
              <w:rPr>
                <w:rFonts w:hint="eastAsia" w:ascii="楷体_GB2312" w:hAnsi="楷体_GB2312" w:eastAsia="楷体_GB2312" w:cs="楷体_GB2312"/>
                <w:color w:val="auto"/>
                <w:szCs w:val="21"/>
                <w:vertAlign w:val="superscript"/>
                <w:lang w:bidi="ar"/>
              </w:rPr>
            </w:pPr>
            <w:r>
              <w:rPr>
                <w:rFonts w:hint="eastAsia" w:ascii="楷体_GB2312" w:hAnsi="楷体_GB2312" w:eastAsia="楷体_GB2312" w:cs="楷体_GB2312"/>
                <w:color w:val="auto"/>
                <w:szCs w:val="21"/>
                <w:lang w:bidi="ar"/>
              </w:rPr>
              <w:t>17.6km</w:t>
            </w:r>
            <w:r>
              <w:rPr>
                <w:rFonts w:hint="eastAsia" w:ascii="楷体_GB2312" w:hAnsi="楷体_GB2312" w:eastAsia="楷体_GB2312" w:cs="楷体_GB2312"/>
                <w:color w:val="auto"/>
                <w:szCs w:val="21"/>
                <w:vertAlign w:val="superscript"/>
                <w:lang w:bidi="ar"/>
              </w:rPr>
              <w:t>2</w:t>
            </w:r>
          </w:p>
          <w:p>
            <w:pPr>
              <w:jc w:val="both"/>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4.3万m³/d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080"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分区四</w:t>
            </w:r>
          </w:p>
        </w:tc>
        <w:tc>
          <w:tcPr>
            <w:tcW w:w="4965" w:type="dxa"/>
            <w:tcBorders>
              <w:tl2br w:val="nil"/>
              <w:tr2bl w:val="nil"/>
            </w:tcBorders>
            <w:vAlign w:val="center"/>
          </w:tcPr>
          <w:p>
            <w:pP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忠武路以西、永昌路以北、京港澳高速以东区域</w:t>
            </w:r>
          </w:p>
        </w:tc>
        <w:tc>
          <w:tcPr>
            <w:tcW w:w="1335"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中原电气谷污水厂</w:t>
            </w:r>
          </w:p>
        </w:tc>
        <w:tc>
          <w:tcPr>
            <w:tcW w:w="1556" w:type="dxa"/>
            <w:tcBorders>
              <w:tl2br w:val="nil"/>
              <w:tr2bl w:val="nil"/>
            </w:tcBorders>
            <w:vAlign w:val="center"/>
          </w:tcPr>
          <w:p>
            <w:pPr>
              <w:rPr>
                <w:rFonts w:hint="eastAsia" w:ascii="楷体_GB2312" w:hAnsi="楷体_GB2312" w:eastAsia="楷体_GB2312" w:cs="楷体_GB2312"/>
                <w:color w:val="auto"/>
                <w:szCs w:val="21"/>
                <w:vertAlign w:val="superscript"/>
                <w:lang w:bidi="ar"/>
              </w:rPr>
            </w:pPr>
            <w:r>
              <w:rPr>
                <w:rFonts w:hint="eastAsia" w:ascii="楷体_GB2312" w:hAnsi="楷体_GB2312" w:eastAsia="楷体_GB2312" w:cs="楷体_GB2312"/>
                <w:color w:val="auto"/>
                <w:szCs w:val="21"/>
                <w:lang w:bidi="ar"/>
              </w:rPr>
              <w:t>30.7km</w:t>
            </w:r>
            <w:r>
              <w:rPr>
                <w:rFonts w:hint="eastAsia" w:ascii="楷体_GB2312" w:hAnsi="楷体_GB2312" w:eastAsia="楷体_GB2312" w:cs="楷体_GB2312"/>
                <w:color w:val="auto"/>
                <w:szCs w:val="21"/>
                <w:vertAlign w:val="superscript"/>
                <w:lang w:bidi="ar"/>
              </w:rPr>
              <w:t>2</w:t>
            </w:r>
          </w:p>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6.7万m³/d。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080"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分区五</w:t>
            </w:r>
          </w:p>
        </w:tc>
        <w:tc>
          <w:tcPr>
            <w:tcW w:w="4965" w:type="dxa"/>
            <w:tcBorders>
              <w:tl2br w:val="nil"/>
              <w:tr2bl w:val="nil"/>
            </w:tcBorders>
            <w:vAlign w:val="center"/>
          </w:tcPr>
          <w:p>
            <w:pP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新兴路以南、灞陵河以西—阳光大道以北、京广铁路以西、西外环以东、南外环以北区域</w:t>
            </w:r>
          </w:p>
        </w:tc>
        <w:tc>
          <w:tcPr>
            <w:tcW w:w="1335"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于屯南污水厂</w:t>
            </w:r>
          </w:p>
        </w:tc>
        <w:tc>
          <w:tcPr>
            <w:tcW w:w="1556" w:type="dxa"/>
            <w:tcBorders>
              <w:tl2br w:val="nil"/>
              <w:tr2bl w:val="nil"/>
            </w:tcBorders>
            <w:vAlign w:val="center"/>
          </w:tcPr>
          <w:p>
            <w:pPr>
              <w:rPr>
                <w:rFonts w:hint="eastAsia" w:ascii="楷体_GB2312" w:hAnsi="楷体_GB2312" w:eastAsia="楷体_GB2312" w:cs="楷体_GB2312"/>
                <w:color w:val="auto"/>
                <w:szCs w:val="21"/>
                <w:vertAlign w:val="superscript"/>
                <w:lang w:bidi="ar"/>
              </w:rPr>
            </w:pPr>
            <w:r>
              <w:rPr>
                <w:rFonts w:hint="eastAsia" w:ascii="楷体_GB2312" w:hAnsi="楷体_GB2312" w:eastAsia="楷体_GB2312" w:cs="楷体_GB2312"/>
                <w:color w:val="auto"/>
                <w:szCs w:val="21"/>
                <w:lang w:bidi="ar"/>
              </w:rPr>
              <w:t>23.4km</w:t>
            </w:r>
            <w:r>
              <w:rPr>
                <w:rFonts w:hint="eastAsia" w:ascii="楷体_GB2312" w:hAnsi="楷体_GB2312" w:eastAsia="楷体_GB2312" w:cs="楷体_GB2312"/>
                <w:color w:val="auto"/>
                <w:szCs w:val="21"/>
                <w:vertAlign w:val="superscript"/>
                <w:lang w:bidi="ar"/>
              </w:rPr>
              <w:t>2</w:t>
            </w:r>
          </w:p>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7.0万m³/d。</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080"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分区六</w:t>
            </w:r>
          </w:p>
        </w:tc>
        <w:tc>
          <w:tcPr>
            <w:tcW w:w="4965" w:type="dxa"/>
            <w:tcBorders>
              <w:tl2br w:val="nil"/>
              <w:tr2bl w:val="nil"/>
            </w:tcBorders>
            <w:vAlign w:val="center"/>
          </w:tcPr>
          <w:p>
            <w:pP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玉兰路以东、永昌东路以南、南外环以北、中原路以西区域</w:t>
            </w:r>
          </w:p>
        </w:tc>
        <w:tc>
          <w:tcPr>
            <w:tcW w:w="1335"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邓庄污水厂</w:t>
            </w:r>
          </w:p>
        </w:tc>
        <w:tc>
          <w:tcPr>
            <w:tcW w:w="1556" w:type="dxa"/>
            <w:tcBorders>
              <w:tl2br w:val="nil"/>
              <w:tr2bl w:val="nil"/>
            </w:tcBorders>
            <w:vAlign w:val="center"/>
          </w:tcPr>
          <w:p>
            <w:pPr>
              <w:rPr>
                <w:rFonts w:hint="eastAsia" w:ascii="楷体_GB2312" w:hAnsi="楷体_GB2312" w:eastAsia="楷体_GB2312" w:cs="楷体_GB2312"/>
                <w:color w:val="auto"/>
                <w:szCs w:val="21"/>
                <w:vertAlign w:val="superscript"/>
                <w:lang w:bidi="ar"/>
              </w:rPr>
            </w:pPr>
            <w:r>
              <w:rPr>
                <w:rFonts w:hint="eastAsia" w:ascii="楷体_GB2312" w:hAnsi="楷体_GB2312" w:eastAsia="楷体_GB2312" w:cs="楷体_GB2312"/>
                <w:color w:val="auto"/>
                <w:szCs w:val="21"/>
                <w:lang w:bidi="ar"/>
              </w:rPr>
              <w:t>22.2km</w:t>
            </w:r>
            <w:r>
              <w:rPr>
                <w:rFonts w:hint="eastAsia" w:ascii="楷体_GB2312" w:hAnsi="楷体_GB2312" w:eastAsia="楷体_GB2312" w:cs="楷体_GB2312"/>
                <w:color w:val="auto"/>
                <w:szCs w:val="21"/>
                <w:vertAlign w:val="superscript"/>
                <w:lang w:bidi="ar"/>
              </w:rPr>
              <w:t>2</w:t>
            </w:r>
          </w:p>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5.1万m³/d。</w:t>
            </w:r>
          </w:p>
        </w:tc>
      </w:tr>
    </w:tbl>
    <w:p>
      <w:pPr>
        <w:spacing w:line="360" w:lineRule="auto"/>
        <w:jc w:val="center"/>
        <w:rPr>
          <w:rFonts w:hint="eastAsia" w:ascii="楷体_GB2312" w:hAnsi="楷体_GB2312" w:eastAsia="楷体_GB2312" w:cs="楷体_GB2312"/>
          <w:color w:val="auto"/>
          <w:sz w:val="24"/>
          <w:lang w:bidi="ar"/>
        </w:rPr>
      </w:pPr>
      <w:r>
        <w:rPr>
          <w:rFonts w:hint="eastAsia" w:ascii="楷体_GB2312" w:hAnsi="楷体_GB2312" w:eastAsia="楷体_GB2312" w:cs="楷体_GB2312"/>
          <w:color w:val="auto"/>
          <w:sz w:val="24"/>
        </w:rPr>
        <w:drawing>
          <wp:inline distT="0" distB="0" distL="0" distR="0">
            <wp:extent cx="5068570" cy="3599815"/>
            <wp:effectExtent l="0" t="0" r="17780" b="63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17" cstate="print">
                      <a:extLst>
                        <a:ext uri="{28A0092B-C50C-407E-A947-70E740481C1C}">
                          <a14:useLocalDpi xmlns:a14="http://schemas.microsoft.com/office/drawing/2010/main" val="0"/>
                        </a:ext>
                      </a:extLst>
                    </a:blip>
                    <a:srcRect l="6528" t="14033" r="18237" b="10361"/>
                    <a:stretch>
                      <a:fillRect/>
                    </a:stretch>
                  </pic:blipFill>
                  <pic:spPr>
                    <a:xfrm>
                      <a:off x="0" y="0"/>
                      <a:ext cx="5068570" cy="3599815"/>
                    </a:xfrm>
                    <a:prstGeom prst="rect">
                      <a:avLst/>
                    </a:prstGeom>
                  </pic:spPr>
                </pic:pic>
              </a:graphicData>
            </a:graphic>
          </wp:inline>
        </w:drawing>
      </w:r>
    </w:p>
    <w:p>
      <w:pPr>
        <w:spacing w:line="360" w:lineRule="auto"/>
        <w:jc w:val="center"/>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污水分区规划图</w:t>
      </w:r>
    </w:p>
    <w:bookmarkEnd w:id="143"/>
    <w:bookmarkEnd w:id="144"/>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45" w:name="_Toc494903160"/>
      <w:bookmarkStart w:id="146" w:name="_Toc495586723"/>
      <w:r>
        <w:rPr>
          <w:rFonts w:hint="eastAsia" w:ascii="楷体_GB2312" w:hAnsi="楷体_GB2312" w:eastAsia="楷体_GB2312" w:cs="楷体_GB2312"/>
          <w:b/>
          <w:color w:val="auto"/>
          <w:sz w:val="24"/>
          <w:szCs w:val="24"/>
        </w:rPr>
        <w:t>4.3.3污水处理厂规划</w:t>
      </w:r>
      <w:bookmarkEnd w:id="145"/>
      <w:bookmarkEnd w:id="146"/>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规划保留扩建主城区现状污水厂4座，增加其污水处理能力；规划新增污水厂2座，并结合城市用地布局，改造现状宏伟污水厂为污水提升泵站。至规划期末，主城区污水厂总处理规模为57.0万m³/d。各污水厂规划情况如下：</w:t>
      </w:r>
    </w:p>
    <w:p>
      <w:pPr>
        <w:spacing w:line="360" w:lineRule="auto"/>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主城区污水处理厂规划一览表</w:t>
      </w:r>
    </w:p>
    <w:tbl>
      <w:tblPr>
        <w:tblStyle w:val="21"/>
        <w:tblW w:w="8522" w:type="dxa"/>
        <w:jc w:val="center"/>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987"/>
        <w:gridCol w:w="1984"/>
        <w:gridCol w:w="1210"/>
        <w:gridCol w:w="1427"/>
        <w:gridCol w:w="1694"/>
        <w:gridCol w:w="122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87" w:type="dxa"/>
            <w:vMerge w:val="restart"/>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序号</w:t>
            </w:r>
          </w:p>
        </w:tc>
        <w:tc>
          <w:tcPr>
            <w:tcW w:w="1984" w:type="dxa"/>
            <w:vMerge w:val="restart"/>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名称</w:t>
            </w:r>
          </w:p>
        </w:tc>
        <w:tc>
          <w:tcPr>
            <w:tcW w:w="2637" w:type="dxa"/>
            <w:gridSpan w:val="2"/>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设计规模（万m³/d）</w:t>
            </w:r>
          </w:p>
        </w:tc>
        <w:tc>
          <w:tcPr>
            <w:tcW w:w="1694" w:type="dxa"/>
            <w:vMerge w:val="restart"/>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用地规模（</w:t>
            </w:r>
            <w:r>
              <w:rPr>
                <w:rFonts w:hint="eastAsia" w:ascii="楷体_GB2312" w:hAnsi="楷体_GB2312" w:eastAsia="楷体_GB2312" w:cs="楷体_GB2312"/>
                <w:b/>
                <w:color w:val="auto"/>
                <w:lang w:bidi="ar"/>
              </w:rPr>
              <w:t>hm</w:t>
            </w:r>
            <w:r>
              <w:rPr>
                <w:rFonts w:hint="eastAsia" w:ascii="楷体_GB2312" w:hAnsi="楷体_GB2312" w:eastAsia="楷体_GB2312" w:cs="楷体_GB2312"/>
                <w:b/>
                <w:color w:val="auto"/>
                <w:vertAlign w:val="superscript"/>
                <w:lang w:bidi="ar"/>
              </w:rPr>
              <w:t>2</w:t>
            </w:r>
            <w:r>
              <w:rPr>
                <w:rFonts w:hint="eastAsia" w:ascii="楷体_GB2312" w:hAnsi="楷体_GB2312" w:eastAsia="楷体_GB2312" w:cs="楷体_GB2312"/>
                <w:b/>
                <w:color w:val="auto"/>
                <w:szCs w:val="21"/>
                <w:lang w:bidi="ar"/>
              </w:rPr>
              <w:t>）</w:t>
            </w:r>
          </w:p>
        </w:tc>
        <w:tc>
          <w:tcPr>
            <w:tcW w:w="1220" w:type="dxa"/>
            <w:vMerge w:val="restart"/>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备注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87" w:type="dxa"/>
            <w:vMerge w:val="continue"/>
            <w:tcBorders>
              <w:tl2br w:val="nil"/>
              <w:tr2bl w:val="nil"/>
            </w:tcBorders>
            <w:vAlign w:val="center"/>
          </w:tcPr>
          <w:p>
            <w:pPr>
              <w:widowControl/>
              <w:jc w:val="left"/>
              <w:rPr>
                <w:rFonts w:hint="eastAsia" w:ascii="楷体_GB2312" w:hAnsi="楷体_GB2312" w:eastAsia="楷体_GB2312" w:cs="楷体_GB2312"/>
                <w:b/>
                <w:color w:val="auto"/>
                <w:kern w:val="0"/>
                <w:szCs w:val="21"/>
              </w:rPr>
            </w:pPr>
          </w:p>
        </w:tc>
        <w:tc>
          <w:tcPr>
            <w:tcW w:w="1984" w:type="dxa"/>
            <w:vMerge w:val="continue"/>
            <w:tcBorders>
              <w:tl2br w:val="nil"/>
              <w:tr2bl w:val="nil"/>
            </w:tcBorders>
            <w:vAlign w:val="center"/>
          </w:tcPr>
          <w:p>
            <w:pPr>
              <w:widowControl/>
              <w:jc w:val="left"/>
              <w:rPr>
                <w:rFonts w:hint="eastAsia" w:ascii="楷体_GB2312" w:hAnsi="楷体_GB2312" w:eastAsia="楷体_GB2312" w:cs="楷体_GB2312"/>
                <w:b/>
                <w:color w:val="auto"/>
                <w:kern w:val="0"/>
                <w:szCs w:val="21"/>
              </w:rPr>
            </w:pPr>
          </w:p>
        </w:tc>
        <w:tc>
          <w:tcPr>
            <w:tcW w:w="1210"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2020年</w:t>
            </w:r>
          </w:p>
        </w:tc>
        <w:tc>
          <w:tcPr>
            <w:tcW w:w="1427"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2030年</w:t>
            </w:r>
          </w:p>
        </w:tc>
        <w:tc>
          <w:tcPr>
            <w:tcW w:w="1694" w:type="dxa"/>
            <w:vMerge w:val="continue"/>
            <w:tcBorders>
              <w:tl2br w:val="nil"/>
              <w:tr2bl w:val="nil"/>
            </w:tcBorders>
            <w:vAlign w:val="center"/>
          </w:tcPr>
          <w:p>
            <w:pPr>
              <w:widowControl/>
              <w:jc w:val="left"/>
              <w:rPr>
                <w:rFonts w:hint="eastAsia" w:ascii="楷体_GB2312" w:hAnsi="楷体_GB2312" w:eastAsia="楷体_GB2312" w:cs="楷体_GB2312"/>
                <w:b/>
                <w:color w:val="auto"/>
                <w:kern w:val="0"/>
                <w:szCs w:val="21"/>
              </w:rPr>
            </w:pPr>
          </w:p>
        </w:tc>
        <w:tc>
          <w:tcPr>
            <w:tcW w:w="1220" w:type="dxa"/>
            <w:vMerge w:val="continue"/>
            <w:tcBorders>
              <w:tl2br w:val="nil"/>
              <w:tr2bl w:val="nil"/>
            </w:tcBorders>
            <w:vAlign w:val="center"/>
          </w:tcPr>
          <w:p>
            <w:pPr>
              <w:widowControl/>
              <w:jc w:val="left"/>
              <w:rPr>
                <w:rFonts w:hint="eastAsia" w:ascii="楷体_GB2312" w:hAnsi="楷体_GB2312" w:eastAsia="楷体_GB2312" w:cs="楷体_GB2312"/>
                <w:b/>
                <w:color w:val="auto"/>
                <w:kern w:val="0"/>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exact"/>
          <w:jc w:val="center"/>
        </w:trPr>
        <w:tc>
          <w:tcPr>
            <w:tcW w:w="98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许昌县污水厂</w:t>
            </w:r>
          </w:p>
        </w:tc>
        <w:tc>
          <w:tcPr>
            <w:tcW w:w="121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w:t>
            </w:r>
          </w:p>
        </w:tc>
        <w:tc>
          <w:tcPr>
            <w:tcW w:w="142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w:t>
            </w:r>
          </w:p>
        </w:tc>
        <w:tc>
          <w:tcPr>
            <w:tcW w:w="169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9.5</w:t>
            </w:r>
          </w:p>
        </w:tc>
        <w:tc>
          <w:tcPr>
            <w:tcW w:w="122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现状扩建</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exact"/>
          <w:jc w:val="center"/>
        </w:trPr>
        <w:tc>
          <w:tcPr>
            <w:tcW w:w="98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瑞贝卡污水厂</w:t>
            </w:r>
          </w:p>
        </w:tc>
        <w:tc>
          <w:tcPr>
            <w:tcW w:w="121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18</w:t>
            </w:r>
          </w:p>
        </w:tc>
        <w:tc>
          <w:tcPr>
            <w:tcW w:w="142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24</w:t>
            </w:r>
          </w:p>
        </w:tc>
        <w:tc>
          <w:tcPr>
            <w:tcW w:w="169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23.0</w:t>
            </w:r>
          </w:p>
        </w:tc>
        <w:tc>
          <w:tcPr>
            <w:tcW w:w="122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现状扩建</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exact"/>
          <w:jc w:val="center"/>
        </w:trPr>
        <w:tc>
          <w:tcPr>
            <w:tcW w:w="98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屯南污水厂</w:t>
            </w:r>
          </w:p>
        </w:tc>
        <w:tc>
          <w:tcPr>
            <w:tcW w:w="121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w:t>
            </w:r>
          </w:p>
        </w:tc>
        <w:tc>
          <w:tcPr>
            <w:tcW w:w="142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7</w:t>
            </w:r>
          </w:p>
        </w:tc>
        <w:tc>
          <w:tcPr>
            <w:tcW w:w="169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5.0</w:t>
            </w:r>
          </w:p>
        </w:tc>
        <w:tc>
          <w:tcPr>
            <w:tcW w:w="122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现状扩建</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exact"/>
          <w:jc w:val="center"/>
        </w:trPr>
        <w:tc>
          <w:tcPr>
            <w:tcW w:w="98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邓庄污水厂</w:t>
            </w:r>
          </w:p>
        </w:tc>
        <w:tc>
          <w:tcPr>
            <w:tcW w:w="121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w:t>
            </w:r>
          </w:p>
        </w:tc>
        <w:tc>
          <w:tcPr>
            <w:tcW w:w="142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6</w:t>
            </w:r>
          </w:p>
        </w:tc>
        <w:tc>
          <w:tcPr>
            <w:tcW w:w="169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7.5</w:t>
            </w:r>
          </w:p>
        </w:tc>
        <w:tc>
          <w:tcPr>
            <w:tcW w:w="122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现状扩建</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exact"/>
          <w:jc w:val="center"/>
        </w:trPr>
        <w:tc>
          <w:tcPr>
            <w:tcW w:w="98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中原电气谷污水厂</w:t>
            </w:r>
          </w:p>
        </w:tc>
        <w:tc>
          <w:tcPr>
            <w:tcW w:w="121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142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7</w:t>
            </w:r>
          </w:p>
        </w:tc>
        <w:tc>
          <w:tcPr>
            <w:tcW w:w="169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8.6</w:t>
            </w:r>
          </w:p>
        </w:tc>
        <w:tc>
          <w:tcPr>
            <w:tcW w:w="122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近期建设</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exact"/>
          <w:jc w:val="center"/>
        </w:trPr>
        <w:tc>
          <w:tcPr>
            <w:tcW w:w="98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6</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西部产业区污水厂</w:t>
            </w:r>
          </w:p>
        </w:tc>
        <w:tc>
          <w:tcPr>
            <w:tcW w:w="121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w:t>
            </w:r>
          </w:p>
        </w:tc>
        <w:tc>
          <w:tcPr>
            <w:tcW w:w="142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w:t>
            </w:r>
          </w:p>
        </w:tc>
        <w:tc>
          <w:tcPr>
            <w:tcW w:w="169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6.4</w:t>
            </w:r>
          </w:p>
        </w:tc>
        <w:tc>
          <w:tcPr>
            <w:tcW w:w="122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远期建设</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exact"/>
          <w:jc w:val="center"/>
        </w:trPr>
        <w:tc>
          <w:tcPr>
            <w:tcW w:w="98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7</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宏伟污水厂</w:t>
            </w:r>
          </w:p>
        </w:tc>
        <w:tc>
          <w:tcPr>
            <w:tcW w:w="121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w:t>
            </w:r>
          </w:p>
        </w:tc>
        <w:tc>
          <w:tcPr>
            <w:tcW w:w="142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w:t>
            </w:r>
          </w:p>
        </w:tc>
        <w:tc>
          <w:tcPr>
            <w:tcW w:w="169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w:t>
            </w:r>
          </w:p>
        </w:tc>
        <w:tc>
          <w:tcPr>
            <w:tcW w:w="122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远期改造</w:t>
            </w:r>
          </w:p>
        </w:tc>
      </w:tr>
    </w:tbl>
    <w:p>
      <w:pPr>
        <w:spacing w:line="360" w:lineRule="auto"/>
        <w:ind w:firstLine="480" w:firstLineChars="200"/>
        <w:rPr>
          <w:rFonts w:hint="eastAsia" w:ascii="楷体_GB2312" w:hAnsi="楷体_GB2312" w:eastAsia="楷体_GB2312" w:cs="楷体_GB2312"/>
          <w:color w:val="auto"/>
          <w:sz w:val="24"/>
        </w:rPr>
      </w:pP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47" w:name="_Toc495586724"/>
      <w:bookmarkStart w:id="148" w:name="_Toc494903161"/>
      <w:r>
        <w:rPr>
          <w:rFonts w:hint="eastAsia" w:ascii="楷体_GB2312" w:hAnsi="楷体_GB2312" w:eastAsia="楷体_GB2312" w:cs="楷体_GB2312"/>
          <w:b/>
          <w:color w:val="auto"/>
          <w:sz w:val="24"/>
          <w:szCs w:val="24"/>
        </w:rPr>
        <w:t>4.3.4污水提升泵站</w:t>
      </w:r>
      <w:bookmarkEnd w:id="147"/>
      <w:bookmarkEnd w:id="148"/>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规划主城区共设置污水提升泵站10处，其中保留扩建现状污水提升泵站6座，新建污水提升泵站4座。规划4#污水提升泵站建设与宏伟污水厂的拆除同步进行。污水提升泵站规划详情见详见下表：</w:t>
      </w:r>
    </w:p>
    <w:p>
      <w:pPr>
        <w:spacing w:line="360"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b/>
          <w:bCs/>
          <w:color w:val="auto"/>
          <w:szCs w:val="21"/>
        </w:rPr>
        <w:t>污水提升泵站规划一览表</w:t>
      </w:r>
    </w:p>
    <w:tbl>
      <w:tblPr>
        <w:tblStyle w:val="21"/>
        <w:tblW w:w="8613" w:type="dxa"/>
        <w:jc w:val="center"/>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974"/>
        <w:gridCol w:w="1799"/>
        <w:gridCol w:w="2449"/>
        <w:gridCol w:w="2116"/>
        <w:gridCol w:w="1275"/>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atLeast"/>
          <w:tblHeader/>
          <w:jc w:val="center"/>
        </w:trPr>
        <w:tc>
          <w:tcPr>
            <w:tcW w:w="97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序号</w:t>
            </w:r>
          </w:p>
        </w:tc>
        <w:tc>
          <w:tcPr>
            <w:tcW w:w="1799"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名称</w:t>
            </w:r>
          </w:p>
        </w:tc>
        <w:tc>
          <w:tcPr>
            <w:tcW w:w="2449"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设计规模（万m³/d）</w:t>
            </w:r>
          </w:p>
        </w:tc>
        <w:tc>
          <w:tcPr>
            <w:tcW w:w="2116"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用地规模（</w:t>
            </w:r>
            <w:r>
              <w:rPr>
                <w:rFonts w:hint="eastAsia" w:ascii="楷体_GB2312" w:hAnsi="楷体_GB2312" w:eastAsia="楷体_GB2312" w:cs="楷体_GB2312"/>
                <w:b/>
                <w:color w:val="auto"/>
                <w:lang w:bidi="ar"/>
              </w:rPr>
              <w:t>hm</w:t>
            </w:r>
            <w:r>
              <w:rPr>
                <w:rFonts w:hint="eastAsia" w:ascii="楷体_GB2312" w:hAnsi="楷体_GB2312" w:eastAsia="楷体_GB2312" w:cs="楷体_GB2312"/>
                <w:b/>
                <w:color w:val="auto"/>
                <w:vertAlign w:val="superscript"/>
                <w:lang w:bidi="ar"/>
              </w:rPr>
              <w:t>2</w:t>
            </w:r>
            <w:r>
              <w:rPr>
                <w:rFonts w:hint="eastAsia" w:ascii="楷体_GB2312" w:hAnsi="楷体_GB2312" w:eastAsia="楷体_GB2312" w:cs="楷体_GB2312"/>
                <w:b/>
                <w:color w:val="auto"/>
                <w:szCs w:val="21"/>
                <w:lang w:bidi="ar"/>
              </w:rPr>
              <w:t>）</w:t>
            </w:r>
          </w:p>
        </w:tc>
        <w:tc>
          <w:tcPr>
            <w:tcW w:w="1275"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备注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atLeast"/>
          <w:jc w:val="center"/>
        </w:trPr>
        <w:tc>
          <w:tcPr>
            <w:tcW w:w="97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w:t>
            </w:r>
          </w:p>
        </w:tc>
        <w:tc>
          <w:tcPr>
            <w:tcW w:w="179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规划1#泵站</w:t>
            </w:r>
          </w:p>
        </w:tc>
        <w:tc>
          <w:tcPr>
            <w:tcW w:w="244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0.7</w:t>
            </w:r>
          </w:p>
        </w:tc>
        <w:tc>
          <w:tcPr>
            <w:tcW w:w="211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0.06</w:t>
            </w:r>
          </w:p>
        </w:tc>
        <w:tc>
          <w:tcPr>
            <w:tcW w:w="127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新建</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atLeast"/>
          <w:jc w:val="center"/>
        </w:trPr>
        <w:tc>
          <w:tcPr>
            <w:tcW w:w="97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179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规划2#泵站</w:t>
            </w:r>
          </w:p>
        </w:tc>
        <w:tc>
          <w:tcPr>
            <w:tcW w:w="244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1.4</w:t>
            </w:r>
          </w:p>
        </w:tc>
        <w:tc>
          <w:tcPr>
            <w:tcW w:w="211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0.10</w:t>
            </w:r>
          </w:p>
        </w:tc>
        <w:tc>
          <w:tcPr>
            <w:tcW w:w="127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新建</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atLeast"/>
          <w:jc w:val="center"/>
        </w:trPr>
        <w:tc>
          <w:tcPr>
            <w:tcW w:w="97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w:t>
            </w:r>
          </w:p>
        </w:tc>
        <w:tc>
          <w:tcPr>
            <w:tcW w:w="179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规划3#泵站</w:t>
            </w:r>
          </w:p>
        </w:tc>
        <w:tc>
          <w:tcPr>
            <w:tcW w:w="244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3.5</w:t>
            </w:r>
          </w:p>
        </w:tc>
        <w:tc>
          <w:tcPr>
            <w:tcW w:w="211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0.24</w:t>
            </w:r>
          </w:p>
        </w:tc>
        <w:tc>
          <w:tcPr>
            <w:tcW w:w="127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新建</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atLeast"/>
          <w:jc w:val="center"/>
        </w:trPr>
        <w:tc>
          <w:tcPr>
            <w:tcW w:w="97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w:t>
            </w:r>
          </w:p>
        </w:tc>
        <w:tc>
          <w:tcPr>
            <w:tcW w:w="179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规划4#泵站</w:t>
            </w:r>
          </w:p>
        </w:tc>
        <w:tc>
          <w:tcPr>
            <w:tcW w:w="2449"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2.0</w:t>
            </w:r>
          </w:p>
        </w:tc>
        <w:tc>
          <w:tcPr>
            <w:tcW w:w="211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0.14</w:t>
            </w:r>
          </w:p>
        </w:tc>
        <w:tc>
          <w:tcPr>
            <w:tcW w:w="127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新建</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atLeast"/>
          <w:jc w:val="center"/>
        </w:trPr>
        <w:tc>
          <w:tcPr>
            <w:tcW w:w="974"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5</w:t>
            </w:r>
          </w:p>
        </w:tc>
        <w:tc>
          <w:tcPr>
            <w:tcW w:w="1799"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现状5#泵站</w:t>
            </w:r>
          </w:p>
        </w:tc>
        <w:tc>
          <w:tcPr>
            <w:tcW w:w="2449"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2.2</w:t>
            </w:r>
          </w:p>
        </w:tc>
        <w:tc>
          <w:tcPr>
            <w:tcW w:w="2116"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w:t>
            </w:r>
          </w:p>
        </w:tc>
        <w:tc>
          <w:tcPr>
            <w:tcW w:w="1275"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现状</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atLeast"/>
          <w:jc w:val="center"/>
        </w:trPr>
        <w:tc>
          <w:tcPr>
            <w:tcW w:w="974"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6</w:t>
            </w:r>
          </w:p>
        </w:tc>
        <w:tc>
          <w:tcPr>
            <w:tcW w:w="1799"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现状6#泵站</w:t>
            </w:r>
          </w:p>
        </w:tc>
        <w:tc>
          <w:tcPr>
            <w:tcW w:w="2449"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0.5</w:t>
            </w:r>
          </w:p>
        </w:tc>
        <w:tc>
          <w:tcPr>
            <w:tcW w:w="2116"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0.04</w:t>
            </w:r>
          </w:p>
        </w:tc>
        <w:tc>
          <w:tcPr>
            <w:tcW w:w="1275"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现状</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atLeast"/>
          <w:jc w:val="center"/>
        </w:trPr>
        <w:tc>
          <w:tcPr>
            <w:tcW w:w="974"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7</w:t>
            </w:r>
          </w:p>
        </w:tc>
        <w:tc>
          <w:tcPr>
            <w:tcW w:w="1799"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现状7#泵站</w:t>
            </w:r>
          </w:p>
        </w:tc>
        <w:tc>
          <w:tcPr>
            <w:tcW w:w="2449"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0.3</w:t>
            </w:r>
          </w:p>
        </w:tc>
        <w:tc>
          <w:tcPr>
            <w:tcW w:w="2116"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0.03</w:t>
            </w:r>
          </w:p>
        </w:tc>
        <w:tc>
          <w:tcPr>
            <w:tcW w:w="1275"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现状</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atLeast"/>
          <w:jc w:val="center"/>
        </w:trPr>
        <w:tc>
          <w:tcPr>
            <w:tcW w:w="974"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8</w:t>
            </w:r>
          </w:p>
        </w:tc>
        <w:tc>
          <w:tcPr>
            <w:tcW w:w="1799"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现状8#泵站</w:t>
            </w:r>
          </w:p>
        </w:tc>
        <w:tc>
          <w:tcPr>
            <w:tcW w:w="2449"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0.5</w:t>
            </w:r>
          </w:p>
        </w:tc>
        <w:tc>
          <w:tcPr>
            <w:tcW w:w="2116"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0.04</w:t>
            </w:r>
          </w:p>
        </w:tc>
        <w:tc>
          <w:tcPr>
            <w:tcW w:w="1275"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现状</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atLeast"/>
          <w:jc w:val="center"/>
        </w:trPr>
        <w:tc>
          <w:tcPr>
            <w:tcW w:w="974"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9</w:t>
            </w:r>
          </w:p>
        </w:tc>
        <w:tc>
          <w:tcPr>
            <w:tcW w:w="1799"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现状9#泵站</w:t>
            </w:r>
          </w:p>
        </w:tc>
        <w:tc>
          <w:tcPr>
            <w:tcW w:w="2449"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4.4</w:t>
            </w:r>
          </w:p>
        </w:tc>
        <w:tc>
          <w:tcPr>
            <w:tcW w:w="2116"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0.25</w:t>
            </w:r>
          </w:p>
        </w:tc>
        <w:tc>
          <w:tcPr>
            <w:tcW w:w="1275"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现状</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atLeast"/>
          <w:jc w:val="center"/>
        </w:trPr>
        <w:tc>
          <w:tcPr>
            <w:tcW w:w="974"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10</w:t>
            </w:r>
          </w:p>
        </w:tc>
        <w:tc>
          <w:tcPr>
            <w:tcW w:w="1799"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现状10#泵站</w:t>
            </w:r>
          </w:p>
        </w:tc>
        <w:tc>
          <w:tcPr>
            <w:tcW w:w="2449"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11.3</w:t>
            </w:r>
          </w:p>
        </w:tc>
        <w:tc>
          <w:tcPr>
            <w:tcW w:w="2116"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w:t>
            </w:r>
          </w:p>
        </w:tc>
        <w:tc>
          <w:tcPr>
            <w:tcW w:w="1275" w:type="dxa"/>
            <w:tcBorders>
              <w:tl2br w:val="nil"/>
              <w:tr2bl w:val="nil"/>
            </w:tcBorders>
            <w:vAlign w:val="center"/>
          </w:tcPr>
          <w:p>
            <w:pPr>
              <w:jc w:val="center"/>
              <w:rPr>
                <w:rFonts w:hint="eastAsia" w:ascii="楷体_GB2312" w:hAnsi="楷体_GB2312" w:eastAsia="楷体_GB2312" w:cs="楷体_GB2312"/>
                <w:color w:val="auto"/>
                <w:szCs w:val="21"/>
                <w:lang w:bidi="ar"/>
              </w:rPr>
            </w:pPr>
            <w:r>
              <w:rPr>
                <w:rFonts w:hint="eastAsia" w:ascii="楷体_GB2312" w:hAnsi="楷体_GB2312" w:eastAsia="楷体_GB2312" w:cs="楷体_GB2312"/>
                <w:color w:val="auto"/>
                <w:szCs w:val="21"/>
                <w:lang w:bidi="ar"/>
              </w:rPr>
              <w:t>现状</w:t>
            </w:r>
          </w:p>
        </w:tc>
      </w:tr>
    </w:tbl>
    <w:p>
      <w:pPr>
        <w:jc w:val="left"/>
        <w:rPr>
          <w:rFonts w:hint="eastAsia" w:ascii="楷体_GB2312" w:hAnsi="楷体_GB2312" w:eastAsia="楷体_GB2312" w:cs="楷体_GB2312"/>
          <w:b/>
          <w:color w:val="auto"/>
          <w:kern w:val="0"/>
          <w:sz w:val="24"/>
        </w:rPr>
      </w:pPr>
      <w:r>
        <w:rPr>
          <w:rFonts w:hint="eastAsia" w:ascii="楷体_GB2312" w:hAnsi="楷体_GB2312" w:eastAsia="楷体_GB2312" w:cs="楷体_GB2312"/>
          <w:b/>
          <w:color w:val="auto"/>
          <w:kern w:val="0"/>
          <w:lang w:bidi="ar"/>
        </w:rPr>
        <w:t xml:space="preserve"> </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49" w:name="_Toc494903162"/>
      <w:bookmarkStart w:id="150" w:name="_Toc495586725"/>
      <w:r>
        <w:rPr>
          <w:rFonts w:hint="eastAsia" w:ascii="楷体_GB2312" w:hAnsi="楷体_GB2312" w:eastAsia="楷体_GB2312" w:cs="楷体_GB2312"/>
          <w:b/>
          <w:color w:val="auto"/>
          <w:sz w:val="24"/>
          <w:szCs w:val="24"/>
        </w:rPr>
        <w:t>4.3.5污水收集系统规划</w:t>
      </w:r>
      <w:bookmarkEnd w:id="149"/>
      <w:bookmarkEnd w:id="150"/>
    </w:p>
    <w:p>
      <w:pPr>
        <w:spacing w:line="48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根据规划用地布局、河流分布、地形特点以及污水处理厂的位置，主城区内将形成多个独立的污水收集系统，以减少污水干管的长度和污水泵站的数量。</w:t>
      </w:r>
    </w:p>
    <w:p>
      <w:pPr>
        <w:spacing w:line="48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合理规划、远近期相结合，充分发挥污水管网和污水处理设施的效益。</w:t>
      </w:r>
    </w:p>
    <w:p>
      <w:pPr>
        <w:spacing w:line="48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污水管道应以重力流为主，宜顺坡敷设，不设或少设排水泵站。当排水管道遇有翻越高地、穿越河流、软土地基、长距离输送污水等情况，无法采用重力流或重力流不经济时，可采用压力流。</w:t>
      </w:r>
    </w:p>
    <w:p>
      <w:pPr>
        <w:spacing w:line="48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截流式合流制的截流干管宜沿受纳水体岸边布置，截流倍数取1.0。</w:t>
      </w:r>
    </w:p>
    <w:p>
      <w:pPr>
        <w:keepNext/>
        <w:keepLines/>
        <w:spacing w:before="240" w:beforeLines="100" w:after="240" w:afterLines="100" w:line="360" w:lineRule="auto"/>
        <w:rPr>
          <w:rFonts w:hint="eastAsia" w:ascii="楷体_GB2312" w:hAnsi="楷体_GB2312" w:eastAsia="楷体_GB2312" w:cs="楷体_GB2312"/>
          <w:color w:val="auto"/>
          <w:sz w:val="28"/>
        </w:rPr>
      </w:pPr>
      <w:bookmarkStart w:id="151" w:name="_Toc494903169"/>
      <w:r>
        <w:rPr>
          <w:rFonts w:hint="eastAsia" w:ascii="楷体_GB2312" w:hAnsi="楷体_GB2312" w:eastAsia="楷体_GB2312" w:cs="楷体_GB2312"/>
          <w:color w:val="auto"/>
          <w:sz w:val="28"/>
        </w:rPr>
        <w:br w:type="page"/>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152" w:name="_Toc495586726"/>
      <w:bookmarkStart w:id="153" w:name="_Toc5584"/>
      <w:r>
        <w:rPr>
          <w:rFonts w:hint="eastAsia" w:ascii="楷体_GB2312" w:hAnsi="楷体_GB2312" w:eastAsia="楷体_GB2312" w:cs="楷体_GB2312"/>
          <w:b/>
          <w:bCs w:val="0"/>
          <w:color w:val="auto"/>
          <w:sz w:val="28"/>
        </w:rPr>
        <w:t>4.4雨水工程</w:t>
      </w:r>
      <w:bookmarkEnd w:id="151"/>
      <w:bookmarkEnd w:id="152"/>
      <w:bookmarkEnd w:id="153"/>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54" w:name="_Toc494903170"/>
      <w:bookmarkStart w:id="155" w:name="_Toc495586727"/>
      <w:r>
        <w:rPr>
          <w:rFonts w:hint="eastAsia" w:ascii="楷体_GB2312" w:hAnsi="楷体_GB2312" w:eastAsia="楷体_GB2312" w:cs="楷体_GB2312"/>
          <w:b/>
          <w:color w:val="auto"/>
          <w:sz w:val="24"/>
          <w:szCs w:val="24"/>
        </w:rPr>
        <w:t>4.4.1雨水排放体质</w:t>
      </w:r>
      <w:bookmarkEnd w:id="154"/>
      <w:bookmarkEnd w:id="155"/>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许昌主城区新建区域采用雨污分流制；已建成合流制排水的老城区，近期采用截流式合流制，远期逐步改造成分流制。</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56" w:name="_Toc495586728"/>
      <w:bookmarkStart w:id="157" w:name="_Toc494903171"/>
      <w:r>
        <w:rPr>
          <w:rFonts w:hint="eastAsia" w:ascii="楷体_GB2312" w:hAnsi="楷体_GB2312" w:eastAsia="楷体_GB2312" w:cs="楷体_GB2312"/>
          <w:b/>
          <w:color w:val="auto"/>
          <w:sz w:val="24"/>
          <w:szCs w:val="24"/>
        </w:rPr>
        <w:t>4.4.2雨水系统划分</w:t>
      </w:r>
      <w:bookmarkEnd w:id="156"/>
      <w:bookmarkEnd w:id="157"/>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主城区雨水排放分区充分考虑城市地形地势、河流水系和铁路对城市格局的划分，以及现状排水系统的建设情况。规划主城区共分为石梁河、清潩河、小洪河、颍汝总干渠、饮马河、小黑河、护城河、运粮河、灞陵河、许扶运河、老潩水排水区域。</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1）石梁河排水系统：主要汇流新元大道两侧、京广铁路以西、农大路以南、西外环路以东区域雨水，汇水面积约4.77km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2）颍汝总干渠排水系统：主要汇流颍汝总干渠以西区域，汇水面积约20.75km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灞陵河排水系统：主要汇流颍汝总干渠—西外环以东、南外环以北、聚贤街以南、三水路（至万通街）—劳动路（天宝路）—延安路（至帝豪路）—双河路以东、阳光大道以南、京广铁路以西区域，汇水面积约55.65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 xml:space="preserve">。 </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4）运粮河排水系统：主要汇流天宝路以南、双河路以东、京广铁路以西、阳光大道以北区域，汇水面积约10.73km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5）清潩河排水系统：主要汇流北苑大道以南、京广铁路以东、魏武大道（至尚德璐）—文峰北路（至永昌西路）—兴平路（至天宝路）—学院路（至莲城大道）—智慧大道（至碧柳街）—许州路（至瑞贝卡大道）—中原路以西、南外环以南区域，汇水面积约68.00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6）饮马河排水系统：主要汇流文峰北路（至永昌西路）—清潩河（至天宝路）—学院路以东、花都路以北、许州路（至永昌东路）—学院路以西、尚德路以北区域，以及智慧大道以西、新兴路以北、学院路以东、莲城大道以南区域，汇水总面积约20.07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7）许扶运河排水系统：主要汇流花都路（至玉兰路）—东鹏街以南、中原路以西、瑞贝卡大道以北、学院路（至新兴路）—许州路以东区域，汇水面积约18.21km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8）小洪河排水系统：主要汇流北苑大道以南、魏文路以东、玉兰路以西、永昌东路以北区域，汇水面积约31.17km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9）小黑河排水系统：主要汇流玉兰路以东、北苑大道以南、中原路以西、东鹏街以北区域，汇水面积约58.32km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10）老潩水排水系统：主要汇流保税物流园区，汇水面积约5.18km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pacing w:line="360" w:lineRule="auto"/>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anchor distT="0" distB="0" distL="0" distR="0" simplePos="0" relativeHeight="257512448" behindDoc="0" locked="0" layoutInCell="1" allowOverlap="1">
            <wp:simplePos x="0" y="0"/>
            <wp:positionH relativeFrom="column">
              <wp:posOffset>5362575</wp:posOffset>
            </wp:positionH>
            <wp:positionV relativeFrom="paragraph">
              <wp:posOffset>514350</wp:posOffset>
            </wp:positionV>
            <wp:extent cx="819785" cy="2336800"/>
            <wp:effectExtent l="0" t="0" r="18415" b="6350"/>
            <wp:wrapSquare wrapText="bothSides"/>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18" cstate="print">
                      <a:extLst>
                        <a:ext uri="{28A0092B-C50C-407E-A947-70E740481C1C}">
                          <a14:useLocalDpi xmlns:a14="http://schemas.microsoft.com/office/drawing/2010/main" val="0"/>
                        </a:ext>
                      </a:extLst>
                    </a:blip>
                    <a:srcRect l="83468" t="31374" r="4878" b="21648"/>
                    <a:stretch>
                      <a:fillRect/>
                    </a:stretch>
                  </pic:blipFill>
                  <pic:spPr>
                    <a:xfrm>
                      <a:off x="0" y="0"/>
                      <a:ext cx="819785" cy="2336800"/>
                    </a:xfrm>
                    <a:prstGeom prst="rect">
                      <a:avLst/>
                    </a:prstGeom>
                  </pic:spPr>
                </pic:pic>
              </a:graphicData>
            </a:graphic>
          </wp:anchor>
        </w:drawing>
      </w:r>
      <w:r>
        <w:rPr>
          <w:rFonts w:hint="eastAsia" w:ascii="楷体_GB2312" w:hAnsi="楷体_GB2312" w:eastAsia="楷体_GB2312" w:cs="楷体_GB2312"/>
          <w:color w:val="auto"/>
          <w:sz w:val="24"/>
        </w:rPr>
        <w:drawing>
          <wp:inline distT="0" distB="0" distL="0" distR="0">
            <wp:extent cx="5417185" cy="3780155"/>
            <wp:effectExtent l="0" t="0" r="12065" b="1079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18" cstate="print">
                      <a:extLst>
                        <a:ext uri="{28A0092B-C50C-407E-A947-70E740481C1C}">
                          <a14:useLocalDpi xmlns:a14="http://schemas.microsoft.com/office/drawing/2010/main" val="0"/>
                        </a:ext>
                      </a:extLst>
                    </a:blip>
                    <a:srcRect l="3769" t="14118" r="17517" b="8157"/>
                    <a:stretch>
                      <a:fillRect/>
                    </a:stretch>
                  </pic:blipFill>
                  <pic:spPr>
                    <a:xfrm>
                      <a:off x="0" y="0"/>
                      <a:ext cx="5417185" cy="3780155"/>
                    </a:xfrm>
                    <a:prstGeom prst="rect">
                      <a:avLst/>
                    </a:prstGeom>
                  </pic:spPr>
                </pic:pic>
              </a:graphicData>
            </a:graphic>
          </wp:inline>
        </w:drawing>
      </w:r>
    </w:p>
    <w:p>
      <w:pPr>
        <w:spacing w:line="360" w:lineRule="auto"/>
        <w:ind w:left="84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雨水分区规划图</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58" w:name="_Toc495586729"/>
      <w:bookmarkStart w:id="159" w:name="_Toc494903172"/>
      <w:r>
        <w:rPr>
          <w:rFonts w:hint="eastAsia" w:ascii="楷体_GB2312" w:hAnsi="楷体_GB2312" w:eastAsia="楷体_GB2312" w:cs="楷体_GB2312"/>
          <w:b/>
          <w:color w:val="auto"/>
          <w:sz w:val="24"/>
          <w:szCs w:val="24"/>
        </w:rPr>
        <w:t>4.4.3雨水流量计算</w:t>
      </w:r>
      <w:bookmarkEnd w:id="158"/>
      <w:bookmarkEnd w:id="159"/>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lang w:bidi="ar"/>
        </w:rPr>
        <w:t>暴雨强度公式：q=1987（1+0.747lgP）/(11.7+t)</w:t>
      </w:r>
      <w:r>
        <w:rPr>
          <w:rFonts w:hint="eastAsia" w:ascii="楷体_GB2312" w:hAnsi="楷体_GB2312" w:eastAsia="楷体_GB2312" w:cs="楷体_GB2312"/>
          <w:color w:val="auto"/>
          <w:sz w:val="24"/>
          <w:vertAlign w:val="superscript"/>
          <w:lang w:bidi="ar"/>
        </w:rPr>
        <w:t>0.75</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lang w:bidi="ar"/>
        </w:rPr>
        <w:t>P：重现期，取3年，重要地区取3-5年</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60" w:name="_Toc494903173"/>
      <w:bookmarkStart w:id="161" w:name="_Toc495586730"/>
      <w:r>
        <w:rPr>
          <w:rFonts w:hint="eastAsia" w:ascii="楷体_GB2312" w:hAnsi="楷体_GB2312" w:eastAsia="楷体_GB2312" w:cs="楷体_GB2312"/>
          <w:b/>
          <w:color w:val="auto"/>
          <w:sz w:val="24"/>
          <w:szCs w:val="24"/>
        </w:rPr>
        <w:t>4.4.4雨水管网规划</w:t>
      </w:r>
      <w:bookmarkEnd w:id="160"/>
      <w:bookmarkEnd w:id="161"/>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城区雨水收集排放共划分为12个系统，而管网布置时是按规划排水系统竖向设计和天然地形坡向分别就近汇入这些流域的河道中。系统内管道均沿道路敷设，就近排入流域内的河道，道路红线宽度超过40米的采用双侧布管，小于40米（含40米）的采用单侧布管。</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同时考虑到城区建设时序问题，布置时尽量使得城区近期建设的道路和修建可能性较大的主干道下雨水管道成为主干管道，可直接排入河道，以免导致近期建设道路雨水无法排出。</w:t>
      </w:r>
    </w:p>
    <w:p>
      <w:pPr>
        <w:numPr>
          <w:ilvl w:val="0"/>
          <w:numId w:val="9"/>
        </w:numPr>
        <w:spacing w:line="360" w:lineRule="auto"/>
        <w:rPr>
          <w:rFonts w:hint="eastAsia" w:ascii="楷体_GB2312" w:hAnsi="楷体_GB2312" w:eastAsia="楷体_GB2312" w:cs="楷体_GB2312"/>
          <w:color w:val="auto"/>
          <w:sz w:val="28"/>
        </w:rPr>
      </w:pPr>
      <w:bookmarkStart w:id="162" w:name="_Toc494903175"/>
      <w:r>
        <w:rPr>
          <w:rFonts w:hint="eastAsia" w:ascii="楷体_GB2312" w:hAnsi="楷体_GB2312" w:eastAsia="楷体_GB2312" w:cs="楷体_GB2312"/>
          <w:color w:val="auto"/>
          <w:sz w:val="28"/>
        </w:rPr>
        <w:br w:type="page"/>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163" w:name="_Toc6606"/>
      <w:bookmarkStart w:id="164" w:name="_Toc495586731"/>
      <w:r>
        <w:rPr>
          <w:rFonts w:hint="eastAsia" w:ascii="楷体_GB2312" w:hAnsi="楷体_GB2312" w:eastAsia="楷体_GB2312" w:cs="楷体_GB2312"/>
          <w:b/>
          <w:bCs w:val="0"/>
          <w:color w:val="auto"/>
          <w:sz w:val="28"/>
        </w:rPr>
        <w:t>4.5燃气工程</w:t>
      </w:r>
      <w:bookmarkEnd w:id="162"/>
      <w:bookmarkEnd w:id="163"/>
      <w:bookmarkEnd w:id="164"/>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65" w:name="_Toc494903177"/>
      <w:bookmarkStart w:id="166" w:name="_Toc495586732"/>
      <w:r>
        <w:rPr>
          <w:rFonts w:hint="eastAsia" w:ascii="楷体_GB2312" w:hAnsi="楷体_GB2312" w:eastAsia="楷体_GB2312" w:cs="楷体_GB2312"/>
          <w:b/>
          <w:color w:val="auto"/>
          <w:sz w:val="24"/>
          <w:szCs w:val="24"/>
        </w:rPr>
        <w:t>4.5.1用气量预测</w:t>
      </w:r>
      <w:bookmarkEnd w:id="165"/>
      <w:bookmarkEnd w:id="166"/>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用气量包括居民生活用气量、公建商业用气量、工业用户用气量、燃气汽车用气量、采暖供热用气量、未预见用气量等。结合《天然气利用政策》相关规定，主城区用气量统计详见下表。</w:t>
      </w:r>
    </w:p>
    <w:p>
      <w:pPr>
        <w:spacing w:line="360" w:lineRule="auto"/>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主城区总用气量预测一览表</w:t>
      </w:r>
    </w:p>
    <w:tbl>
      <w:tblPr>
        <w:tblStyle w:val="21"/>
        <w:tblW w:w="8300"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5"/>
        <w:gridCol w:w="1064"/>
        <w:gridCol w:w="3173"/>
        <w:gridCol w:w="1583"/>
        <w:gridCol w:w="157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5" w:type="dxa"/>
            <w:vMerge w:val="restart"/>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序号</w:t>
            </w:r>
          </w:p>
        </w:tc>
        <w:tc>
          <w:tcPr>
            <w:tcW w:w="4237" w:type="dxa"/>
            <w:gridSpan w:val="2"/>
            <w:vMerge w:val="restart"/>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项目</w:t>
            </w:r>
          </w:p>
        </w:tc>
        <w:tc>
          <w:tcPr>
            <w:tcW w:w="3158" w:type="dxa"/>
            <w:gridSpan w:val="2"/>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单位：（万Nm</w:t>
            </w:r>
            <w:r>
              <w:rPr>
                <w:rFonts w:hint="eastAsia" w:ascii="楷体_GB2312" w:hAnsi="楷体_GB2312" w:eastAsia="楷体_GB2312" w:cs="楷体_GB2312"/>
                <w:b/>
                <w:color w:val="auto"/>
                <w:szCs w:val="21"/>
                <w:vertAlign w:val="superscript"/>
                <w:lang w:bidi="ar"/>
              </w:rPr>
              <w:t>3</w:t>
            </w:r>
            <w:r>
              <w:rPr>
                <w:rFonts w:hint="eastAsia" w:ascii="楷体_GB2312" w:hAnsi="楷体_GB2312" w:eastAsia="楷体_GB2312" w:cs="楷体_GB2312"/>
                <w:b/>
                <w:color w:val="auto"/>
                <w:szCs w:val="21"/>
                <w:lang w:bidi="ar"/>
              </w:rPr>
              <w:t>/a）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05" w:type="dxa"/>
            <w:vMerge w:val="continue"/>
            <w:tcBorders>
              <w:tl2br w:val="nil"/>
              <w:tr2bl w:val="nil"/>
            </w:tcBorders>
            <w:shd w:val="clear" w:color="auto" w:fill="C2D69B" w:themeFill="accent3" w:themeFillTint="99"/>
            <w:vAlign w:val="center"/>
          </w:tcPr>
          <w:p>
            <w:pPr>
              <w:widowControl/>
              <w:jc w:val="left"/>
              <w:rPr>
                <w:rFonts w:hint="eastAsia" w:ascii="楷体_GB2312" w:hAnsi="楷体_GB2312" w:eastAsia="楷体_GB2312" w:cs="楷体_GB2312"/>
                <w:b/>
                <w:color w:val="auto"/>
                <w:kern w:val="0"/>
                <w:szCs w:val="21"/>
              </w:rPr>
            </w:pPr>
          </w:p>
        </w:tc>
        <w:tc>
          <w:tcPr>
            <w:tcW w:w="4237" w:type="dxa"/>
            <w:gridSpan w:val="2"/>
            <w:vMerge w:val="continue"/>
            <w:tcBorders>
              <w:tl2br w:val="nil"/>
              <w:tr2bl w:val="nil"/>
            </w:tcBorders>
            <w:shd w:val="clear" w:color="auto" w:fill="C2D69B" w:themeFill="accent3" w:themeFillTint="99"/>
            <w:vAlign w:val="center"/>
          </w:tcPr>
          <w:p>
            <w:pPr>
              <w:widowControl/>
              <w:jc w:val="left"/>
              <w:rPr>
                <w:rFonts w:hint="eastAsia" w:ascii="楷体_GB2312" w:hAnsi="楷体_GB2312" w:eastAsia="楷体_GB2312" w:cs="楷体_GB2312"/>
                <w:b/>
                <w:color w:val="auto"/>
                <w:kern w:val="0"/>
                <w:szCs w:val="21"/>
              </w:rPr>
            </w:pPr>
          </w:p>
        </w:tc>
        <w:tc>
          <w:tcPr>
            <w:tcW w:w="1583"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近期</w:t>
            </w:r>
          </w:p>
        </w:tc>
        <w:tc>
          <w:tcPr>
            <w:tcW w:w="1575"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远期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90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w:t>
            </w:r>
          </w:p>
        </w:tc>
        <w:tc>
          <w:tcPr>
            <w:tcW w:w="1064" w:type="dxa"/>
            <w:vMerge w:val="restart"/>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城镇燃气</w:t>
            </w:r>
          </w:p>
        </w:tc>
        <w:tc>
          <w:tcPr>
            <w:tcW w:w="317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居民用户</w:t>
            </w:r>
          </w:p>
        </w:tc>
        <w:tc>
          <w:tcPr>
            <w:tcW w:w="158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5993</w:t>
            </w:r>
          </w:p>
        </w:tc>
        <w:tc>
          <w:tcPr>
            <w:tcW w:w="157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11913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90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1064"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Cs w:val="21"/>
              </w:rPr>
            </w:pPr>
          </w:p>
        </w:tc>
        <w:tc>
          <w:tcPr>
            <w:tcW w:w="317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公服用户</w:t>
            </w:r>
          </w:p>
        </w:tc>
        <w:tc>
          <w:tcPr>
            <w:tcW w:w="158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2397</w:t>
            </w:r>
          </w:p>
        </w:tc>
        <w:tc>
          <w:tcPr>
            <w:tcW w:w="157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4765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90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w:t>
            </w:r>
          </w:p>
        </w:tc>
        <w:tc>
          <w:tcPr>
            <w:tcW w:w="1064"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Cs w:val="21"/>
              </w:rPr>
            </w:pPr>
          </w:p>
        </w:tc>
        <w:tc>
          <w:tcPr>
            <w:tcW w:w="317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天然气汽车用户</w:t>
            </w:r>
          </w:p>
        </w:tc>
        <w:tc>
          <w:tcPr>
            <w:tcW w:w="158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5572</w:t>
            </w:r>
          </w:p>
        </w:tc>
        <w:tc>
          <w:tcPr>
            <w:tcW w:w="157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10659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5142" w:type="dxa"/>
            <w:gridSpan w:val="3"/>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优先类小计</w:t>
            </w:r>
          </w:p>
        </w:tc>
        <w:tc>
          <w:tcPr>
            <w:tcW w:w="158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13962</w:t>
            </w:r>
          </w:p>
        </w:tc>
        <w:tc>
          <w:tcPr>
            <w:tcW w:w="157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27337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PrEx>
        <w:trPr>
          <w:trHeight w:val="610" w:hRule="exact"/>
          <w:jc w:val="center"/>
        </w:trPr>
        <w:tc>
          <w:tcPr>
            <w:tcW w:w="90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w:t>
            </w:r>
          </w:p>
        </w:tc>
        <w:tc>
          <w:tcPr>
            <w:tcW w:w="106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城镇燃气</w:t>
            </w:r>
          </w:p>
        </w:tc>
        <w:tc>
          <w:tcPr>
            <w:tcW w:w="317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集中采暖用户、分户式采暖用户、中央空调用户</w:t>
            </w:r>
          </w:p>
        </w:tc>
        <w:tc>
          <w:tcPr>
            <w:tcW w:w="158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13471</w:t>
            </w:r>
          </w:p>
        </w:tc>
        <w:tc>
          <w:tcPr>
            <w:tcW w:w="157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21262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90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w:t>
            </w:r>
          </w:p>
        </w:tc>
        <w:tc>
          <w:tcPr>
            <w:tcW w:w="106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工业燃料</w:t>
            </w:r>
          </w:p>
        </w:tc>
        <w:tc>
          <w:tcPr>
            <w:tcW w:w="317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工业企业用户</w:t>
            </w:r>
          </w:p>
        </w:tc>
        <w:tc>
          <w:tcPr>
            <w:tcW w:w="158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5849</w:t>
            </w:r>
          </w:p>
        </w:tc>
        <w:tc>
          <w:tcPr>
            <w:tcW w:w="157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8166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5142" w:type="dxa"/>
            <w:gridSpan w:val="3"/>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允许类小计</w:t>
            </w:r>
          </w:p>
        </w:tc>
        <w:tc>
          <w:tcPr>
            <w:tcW w:w="158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19320</w:t>
            </w:r>
          </w:p>
        </w:tc>
        <w:tc>
          <w:tcPr>
            <w:tcW w:w="157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29428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8300" w:type="dxa"/>
            <w:gridSpan w:val="5"/>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规划主城区不允许建设《天然气利用政策》规定的禁止类、限制类天然气项目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PrEx>
        <w:trPr>
          <w:trHeight w:val="397" w:hRule="exact"/>
          <w:jc w:val="center"/>
        </w:trPr>
        <w:tc>
          <w:tcPr>
            <w:tcW w:w="90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6</w:t>
            </w:r>
          </w:p>
        </w:tc>
        <w:tc>
          <w:tcPr>
            <w:tcW w:w="4237" w:type="dxa"/>
            <w:gridSpan w:val="2"/>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未预见用气量</w:t>
            </w:r>
          </w:p>
        </w:tc>
        <w:tc>
          <w:tcPr>
            <w:tcW w:w="158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1664</w:t>
            </w:r>
          </w:p>
        </w:tc>
        <w:tc>
          <w:tcPr>
            <w:tcW w:w="1575" w:type="dxa"/>
            <w:tcBorders>
              <w:tl2br w:val="nil"/>
              <w:tr2bl w:val="nil"/>
            </w:tcBorders>
            <w:vAlign w:val="center"/>
          </w:tcPr>
          <w:p>
            <w:pPr>
              <w:spacing w:line="360" w:lineRule="auto"/>
              <w:ind w:firstLine="420" w:firstLineChars="200"/>
              <w:rPr>
                <w:rFonts w:hint="eastAsia" w:ascii="楷体_GB2312" w:hAnsi="楷体_GB2312" w:eastAsia="楷体_GB2312" w:cs="楷体_GB2312"/>
                <w:color w:val="auto"/>
                <w:sz w:val="20"/>
              </w:rPr>
            </w:pPr>
            <w:r>
              <w:rPr>
                <w:rFonts w:hint="eastAsia" w:ascii="楷体_GB2312" w:hAnsi="楷体_GB2312" w:eastAsia="楷体_GB2312" w:cs="楷体_GB2312"/>
                <w:color w:val="auto"/>
                <w:szCs w:val="21"/>
                <w:lang w:bidi="ar"/>
              </w:rPr>
              <w:t>2838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jc w:val="center"/>
        </w:trPr>
        <w:tc>
          <w:tcPr>
            <w:tcW w:w="5142" w:type="dxa"/>
            <w:gridSpan w:val="3"/>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总计</w:t>
            </w:r>
          </w:p>
        </w:tc>
        <w:tc>
          <w:tcPr>
            <w:tcW w:w="158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34946</w:t>
            </w:r>
          </w:p>
        </w:tc>
        <w:tc>
          <w:tcPr>
            <w:tcW w:w="1575" w:type="dxa"/>
            <w:tcBorders>
              <w:tl2br w:val="nil"/>
              <w:tr2bl w:val="nil"/>
            </w:tcBorders>
            <w:vAlign w:val="center"/>
          </w:tcPr>
          <w:p>
            <w:pPr>
              <w:spacing w:line="360" w:lineRule="auto"/>
              <w:ind w:firstLine="420" w:firstLineChars="200"/>
              <w:rPr>
                <w:rFonts w:hint="eastAsia" w:ascii="楷体_GB2312" w:hAnsi="楷体_GB2312" w:eastAsia="楷体_GB2312" w:cs="楷体_GB2312"/>
                <w:color w:val="auto"/>
                <w:sz w:val="20"/>
              </w:rPr>
            </w:pPr>
            <w:r>
              <w:rPr>
                <w:rFonts w:hint="eastAsia" w:ascii="楷体_GB2312" w:hAnsi="楷体_GB2312" w:eastAsia="楷体_GB2312" w:cs="楷体_GB2312"/>
                <w:color w:val="auto"/>
                <w:szCs w:val="21"/>
                <w:lang w:bidi="ar"/>
              </w:rPr>
              <w:t>59603</w:t>
            </w:r>
          </w:p>
        </w:tc>
      </w:tr>
    </w:tbl>
    <w:p>
      <w:pPr>
        <w:spacing w:line="360" w:lineRule="auto"/>
        <w:ind w:firstLine="480" w:firstLineChars="200"/>
        <w:rPr>
          <w:rFonts w:hint="eastAsia" w:ascii="楷体_GB2312" w:hAnsi="楷体_GB2312" w:eastAsia="楷体_GB2312" w:cs="楷体_GB2312"/>
          <w:color w:val="auto"/>
          <w:sz w:val="24"/>
        </w:rPr>
      </w:pP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67" w:name="_Toc494903178"/>
      <w:bookmarkStart w:id="168" w:name="_Toc495586733"/>
      <w:r>
        <w:rPr>
          <w:rFonts w:hint="eastAsia" w:ascii="楷体_GB2312" w:hAnsi="楷体_GB2312" w:eastAsia="楷体_GB2312" w:cs="楷体_GB2312"/>
          <w:b/>
          <w:color w:val="auto"/>
          <w:sz w:val="24"/>
          <w:szCs w:val="24"/>
        </w:rPr>
        <w:t>4.5.2气源规划</w:t>
      </w:r>
      <w:bookmarkEnd w:id="167"/>
      <w:bookmarkEnd w:id="168"/>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主城区气源以天然气为主，管道天然气无法覆盖的地方，则使用液化石油气作为补充气源。</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根据国内天然气气源分布和规划资料统计，规划期内全国范围可向河南省提供的气源主要有“西气东输一、二、三、四干线”等10~13个，可供天然气量达到197亿Nm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，气源前景良好。许昌主城区天然气气源主要由“西气东输干线”经过分输，通过豫南支线、平-泰支线等输气线路向规划区提供。</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根据“西气东输”豫南支线高压输气管设计规模10亿Nm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/a，远期气量和路由无法满足主城区用气需求，预计主城区需新增气源供气量3-4亿Nm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/a。根据“西气东输平-泰线”沿线城市实际用气情况，规划从“西气东输平-泰线”接驳建设禹州-许昌的高压燃气输气管，输气量约4.9亿Nm</w:t>
      </w:r>
      <w:r>
        <w:rPr>
          <w:rFonts w:hint="eastAsia" w:ascii="楷体_GB2312" w:hAnsi="楷体_GB2312" w:eastAsia="楷体_GB2312" w:cs="楷体_GB2312"/>
          <w:color w:val="auto"/>
          <w:sz w:val="24"/>
          <w:vertAlign w:val="superscript"/>
        </w:rPr>
        <w:t>3</w:t>
      </w:r>
      <w:r>
        <w:rPr>
          <w:rFonts w:hint="eastAsia" w:ascii="楷体_GB2312" w:hAnsi="楷体_GB2312" w:eastAsia="楷体_GB2312" w:cs="楷体_GB2312"/>
          <w:color w:val="auto"/>
          <w:sz w:val="24"/>
        </w:rPr>
        <w:t>/a；远期、远景从全省区域资源协调考虑，许昌市与周边城市建立资源共享协议，从“西气东输干线”新建一条高压燃气管至许昌，形成多气源供气格局。</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69" w:name="_Toc495586734"/>
      <w:bookmarkStart w:id="170" w:name="_Toc494903179"/>
      <w:r>
        <w:rPr>
          <w:rFonts w:hint="eastAsia" w:ascii="楷体_GB2312" w:hAnsi="楷体_GB2312" w:eastAsia="楷体_GB2312" w:cs="楷体_GB2312"/>
          <w:b/>
          <w:color w:val="auto"/>
          <w:sz w:val="24"/>
          <w:szCs w:val="24"/>
        </w:rPr>
        <w:t>4.5.3输配系统规划</w:t>
      </w:r>
      <w:bookmarkEnd w:id="169"/>
      <w:bookmarkEnd w:id="170"/>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1. 市域高压管道</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禹州-许昌输气管道起点为禹州县，终点为许昌市，设计管径为D610，设计压力6.3MPa。输气管道沿北苑大道（S325省道）进入许昌新区，在京广铁路西侧，北苑大道南侧，灞陵路东侧设置许昌分输站，管道沿北苑大道敷设，过京港澳高速后设置小召乡阀室，给新区东高中压调压站供气，并与豫南支线连接。设计管径D610，设计压力6.3MPa，起到输气和小时（日）调峰储气的作用。管道在许昌市规划区外，沿线设计地区等级按照二级和三级地区考虑。</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2. 市区高压管道</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（1）许昌分输站-天伦门站高压管道</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近期建设许昌分输站至天伦门站的高压管道，管道沿新兴路敷设约3.5km到达中原路东侧的天伦门站，往前敷设3.5km到达玉兰路，闫玉兰路西侧敷设约2.5km大道天伦门站，设计管径DN350/250，设计压力1.6MPa，起到输配气作用。远期沿玉兰路敷设至许由路，往西敷设约2km到达东区热电厂。管道经过区域按照四级地区考虑。</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（2）禹州-许昌输气管道许昌分输站-新区门站高压管道</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禹州-许昌输气管道许昌分输站-新区门站高压管道起点为昌分输站，管道沿北苑大道南侧敷设约1km后转向南，在京广铁路西侧敷设至农大路北侧的新区门站。管道位于规划区边缘，沿线为为农田，设计按照三级地区考虑。设计管径D273，设计压力2.5MPa。</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（3）禹州-许昌输气管道许昌分输站-城西门站高压管道</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禹州-许昌输气管道许昌分输站-城西门站高压管道起点为许昌分输站，管道沿西外环西侧往南敷设约12km至天宝路北侧，在天宝路北侧设置城西门站。管道位于规划区外，沿线为农田，设计按照三级地区考虑。设计管径D273，设计压力2.5MPa。</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（4）豫南支线许昌分输站-LNG液化工厂高压管道</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许昌分输站-LNG液化工厂高压管道起点为许昌分输站，管道在新G107国道西侧并行敷设，至永兴东路拐向西敷设至LNG液化工厂。管道全长约13km，管道在规划区外，管道经过区域现状为农田，设计按照三级地区考虑。</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3. 市区中压管道</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许昌市管道天然气有三个公司经营，各公司相对独立运营，管网也相互独立，规划在满足各片区供气需求的情况下，考虑了远期全市管网在适当的位置联通，以保障事故工况供气。</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燃气管道的布置，应根据用户的用气量及其分布情况，结合城市发展的需要，进行全面的规划。</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中压管道以现状道路为依托，并考虑城市总体规划的分期建设发展方向，呈环枝状相结合布置。远期管网基本成环，可以提高城市用气的安全可靠性。</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4. 管道敷设、穿跨越工程</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（1）管道敷设</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燃气管道采取埋地敷设，埋设覆土深度规定如下：车行道下不得小于0.9米；非机动车行道（含人行道）下不地小于0.6米；非机动车不可能到达的地方不得小于0.6米。当不能满足上述规定时，应采取有效的安全防护措施。</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（2）管道穿越</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中压管道穿越城镇道路时，应严格执行《油气输送管道穿越工程设计规范》（GB50423-2007）的有关规定，原则上可采用开挖直埋的方式穿越，条件不允许时可采用定向钻穿越，穿越道路前应征得主管部门的同意。中压管道穿越主干路时应敷设在套管内，套管应采用钢套管，套管内径应比管道外径大100毫米以上，套管两端应采用柔性的防腐、防水材料密封，在重要地段应设置检漏管，套管距道路边缘不应小于1.0米。</w:t>
      </w:r>
    </w:p>
    <w:p>
      <w:pPr>
        <w:spacing w:line="360" w:lineRule="auto"/>
        <w:ind w:firstLine="480" w:firstLineChars="200"/>
        <w:rPr>
          <w:rFonts w:hint="eastAsia" w:ascii="楷体_GB2312" w:hAnsi="楷体_GB2312" w:eastAsia="楷体_GB2312" w:cs="楷体_GB2312"/>
          <w:color w:val="auto"/>
          <w:sz w:val="24"/>
        </w:rPr>
      </w:pPr>
    </w:p>
    <w:p>
      <w:pPr>
        <w:keepNext/>
        <w:keepLines/>
        <w:spacing w:before="240" w:beforeLines="100" w:after="240" w:afterLines="100" w:line="360" w:lineRule="auto"/>
        <w:rPr>
          <w:rFonts w:hint="eastAsia" w:ascii="楷体_GB2312" w:hAnsi="楷体_GB2312" w:eastAsia="楷体_GB2312" w:cs="楷体_GB2312"/>
          <w:color w:val="auto"/>
          <w:sz w:val="28"/>
        </w:rPr>
      </w:pPr>
      <w:bookmarkStart w:id="171" w:name="_Toc494903181"/>
      <w:r>
        <w:rPr>
          <w:rFonts w:hint="eastAsia" w:ascii="楷体_GB2312" w:hAnsi="楷体_GB2312" w:eastAsia="楷体_GB2312" w:cs="楷体_GB2312"/>
          <w:color w:val="auto"/>
          <w:sz w:val="28"/>
        </w:rPr>
        <w:br w:type="page"/>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172" w:name="_Toc495586735"/>
      <w:bookmarkStart w:id="173" w:name="_Toc23572"/>
      <w:r>
        <w:rPr>
          <w:rFonts w:hint="eastAsia" w:ascii="楷体_GB2312" w:hAnsi="楷体_GB2312" w:eastAsia="楷体_GB2312" w:cs="楷体_GB2312"/>
          <w:b/>
          <w:bCs w:val="0"/>
          <w:color w:val="auto"/>
          <w:sz w:val="28"/>
        </w:rPr>
        <w:t>4.6电力工程</w:t>
      </w:r>
      <w:bookmarkEnd w:id="171"/>
      <w:bookmarkEnd w:id="172"/>
      <w:bookmarkEnd w:id="173"/>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74" w:name="_Toc494903182"/>
      <w:bookmarkStart w:id="175" w:name="_Toc495586736"/>
      <w:r>
        <w:rPr>
          <w:rFonts w:hint="eastAsia" w:ascii="楷体_GB2312" w:hAnsi="楷体_GB2312" w:eastAsia="楷体_GB2312" w:cs="楷体_GB2312"/>
          <w:b/>
          <w:color w:val="auto"/>
          <w:sz w:val="24"/>
          <w:szCs w:val="24"/>
        </w:rPr>
        <w:t>4.6.1规划目标</w:t>
      </w:r>
      <w:bookmarkEnd w:id="174"/>
      <w:bookmarkEnd w:id="175"/>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提高城市电网供电能力、供电质量、可靠性和经济性，实现“一强三优"发展目标，为电网公司“四个服务”奠定坚强的物质基础，为城市经济社会发展提供能源保障。</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电网结构满足供电安全“N-1"准则的基本要求，可靠性应不低于99.97％，城市中心区和重要负荷供电可靠性应不低于99.99％，电压合格率应不低于99.96％。</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76" w:name="_Toc494903183"/>
      <w:bookmarkStart w:id="177" w:name="_Toc495586737"/>
      <w:r>
        <w:rPr>
          <w:rFonts w:hint="eastAsia" w:ascii="楷体_GB2312" w:hAnsi="楷体_GB2312" w:eastAsia="楷体_GB2312" w:cs="楷体_GB2312"/>
          <w:b/>
          <w:color w:val="auto"/>
          <w:sz w:val="24"/>
          <w:szCs w:val="24"/>
        </w:rPr>
        <w:t>4.6.2用电量预测</w:t>
      </w:r>
      <w:bookmarkEnd w:id="176"/>
      <w:bookmarkEnd w:id="177"/>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规划采用外推法中的年均增长率法进行预测，并采用人均综合用电法进行校核。</w:t>
      </w:r>
    </w:p>
    <w:p>
      <w:pPr>
        <w:spacing w:line="360" w:lineRule="auto"/>
        <w:ind w:firstLine="422"/>
        <w:jc w:val="center"/>
        <w:rPr>
          <w:rFonts w:hint="eastAsia" w:ascii="楷体_GB2312" w:hAnsi="楷体_GB2312" w:eastAsia="楷体_GB2312" w:cs="楷体_GB2312"/>
          <w:b/>
          <w:bCs/>
          <w:color w:val="auto"/>
          <w:szCs w:val="21"/>
          <w:lang w:bidi="ar"/>
        </w:rPr>
      </w:pPr>
      <w:r>
        <w:rPr>
          <w:rFonts w:hint="eastAsia" w:ascii="楷体_GB2312" w:hAnsi="楷体_GB2312" w:eastAsia="楷体_GB2312" w:cs="楷体_GB2312"/>
          <w:b/>
          <w:bCs/>
          <w:color w:val="auto"/>
          <w:szCs w:val="21"/>
        </w:rPr>
        <w:t>主城区电力电量预测一览表</w:t>
      </w:r>
    </w:p>
    <w:tbl>
      <w:tblPr>
        <w:tblStyle w:val="21"/>
        <w:tblW w:w="6994" w:type="dxa"/>
        <w:jc w:val="center"/>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2605"/>
        <w:gridCol w:w="2223"/>
        <w:gridCol w:w="2166"/>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exact"/>
          <w:jc w:val="center"/>
        </w:trPr>
        <w:tc>
          <w:tcPr>
            <w:tcW w:w="2605"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年份</w:t>
            </w:r>
          </w:p>
        </w:tc>
        <w:tc>
          <w:tcPr>
            <w:tcW w:w="2223"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2020</w:t>
            </w:r>
          </w:p>
        </w:tc>
        <w:tc>
          <w:tcPr>
            <w:tcW w:w="2166"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2030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exact"/>
          <w:jc w:val="center"/>
        </w:trPr>
        <w:tc>
          <w:tcPr>
            <w:tcW w:w="260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用电量（亿kWh）</w:t>
            </w:r>
          </w:p>
        </w:tc>
        <w:tc>
          <w:tcPr>
            <w:tcW w:w="222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55.5</w:t>
            </w:r>
          </w:p>
        </w:tc>
        <w:tc>
          <w:tcPr>
            <w:tcW w:w="216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102.0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454" w:hRule="exact"/>
          <w:jc w:val="center"/>
        </w:trPr>
        <w:tc>
          <w:tcPr>
            <w:tcW w:w="2605"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负荷量（MW）</w:t>
            </w:r>
          </w:p>
        </w:tc>
        <w:tc>
          <w:tcPr>
            <w:tcW w:w="2223"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1245</w:t>
            </w:r>
          </w:p>
        </w:tc>
        <w:tc>
          <w:tcPr>
            <w:tcW w:w="2166"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2300</w:t>
            </w:r>
          </w:p>
        </w:tc>
      </w:tr>
    </w:tbl>
    <w:p>
      <w:pPr>
        <w:rPr>
          <w:rFonts w:hint="eastAsia" w:ascii="楷体_GB2312" w:hAnsi="楷体_GB2312" w:eastAsia="楷体_GB2312" w:cs="楷体_GB2312"/>
          <w:color w:val="auto"/>
          <w:sz w:val="24"/>
        </w:rPr>
      </w:pP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78" w:name="_Toc494903184"/>
      <w:bookmarkStart w:id="179" w:name="_Toc495586738"/>
      <w:r>
        <w:rPr>
          <w:rFonts w:hint="eastAsia" w:ascii="楷体_GB2312" w:hAnsi="楷体_GB2312" w:eastAsia="楷体_GB2312" w:cs="楷体_GB2312"/>
          <w:b/>
          <w:color w:val="auto"/>
          <w:sz w:val="24"/>
          <w:szCs w:val="24"/>
        </w:rPr>
        <w:t>4.6.3电源规划</w:t>
      </w:r>
      <w:bookmarkEnd w:id="178"/>
      <w:bookmarkEnd w:id="179"/>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主城区电力电源主要由东区热电厂、禹州龙岗电厂、城北电厂、城东热电厂、天健热电厂以及城区的500kV花都站和周边的500kV许昌西站、500kV许昌南站等供给。</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80" w:name="_Toc494903185"/>
      <w:bookmarkStart w:id="181" w:name="_Toc495586739"/>
      <w:r>
        <w:rPr>
          <w:rFonts w:hint="eastAsia" w:ascii="楷体_GB2312" w:hAnsi="楷体_GB2312" w:eastAsia="楷体_GB2312" w:cs="楷体_GB2312"/>
          <w:b/>
          <w:color w:val="auto"/>
          <w:sz w:val="24"/>
          <w:szCs w:val="24"/>
        </w:rPr>
        <w:t>4.6.4电网规划</w:t>
      </w:r>
      <w:bookmarkEnd w:id="180"/>
      <w:bookmarkEnd w:id="181"/>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1. 500kV电网规划</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主城区保留现状500kV花都变，设计装机容量为3×750MVA，占地面积4.0 hm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2. 220kV电网规划</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许昌市220kV电网建设主要围绕许昌市各电厂和500kV供电网络展开，结合许昌受端电网规划要求，逐步加强许昌市220kV主网，在主城区形成坚强的电力网架，为主城区供电提供可靠保障。</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规划主城区共设置9座220kV变电站，其中扩建现状变电站4座，新建变电站5座，220kV变电站主变总容量为5400MVA。新建220kV变电站控制用地在2~3hm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范围。220kV变电站规划情况详见下表。</w:t>
      </w:r>
    </w:p>
    <w:p>
      <w:pPr>
        <w:spacing w:line="360" w:lineRule="auto"/>
        <w:ind w:firstLine="480" w:firstLineChars="200"/>
        <w:rPr>
          <w:rFonts w:hint="eastAsia" w:ascii="楷体_GB2312" w:hAnsi="楷体_GB2312" w:eastAsia="楷体_GB2312" w:cs="楷体_GB2312"/>
          <w:color w:val="auto"/>
          <w:sz w:val="24"/>
        </w:rPr>
      </w:pPr>
    </w:p>
    <w:p>
      <w:pPr>
        <w:spacing w:line="360" w:lineRule="auto"/>
        <w:ind w:firstLine="211" w:firstLineChars="100"/>
        <w:rPr>
          <w:rFonts w:hint="eastAsia" w:ascii="楷体_GB2312" w:hAnsi="楷体_GB2312" w:eastAsia="楷体_GB2312" w:cs="楷体_GB2312"/>
          <w:b/>
          <w:bCs/>
          <w:color w:val="auto"/>
          <w:szCs w:val="21"/>
          <w:lang w:bidi="ar"/>
        </w:rPr>
      </w:pPr>
      <w:r>
        <w:rPr>
          <w:rFonts w:hint="eastAsia" w:ascii="楷体_GB2312" w:hAnsi="楷体_GB2312" w:eastAsia="楷体_GB2312" w:cs="楷体_GB2312"/>
          <w:b/>
          <w:bCs/>
          <w:color w:val="auto"/>
          <w:szCs w:val="21"/>
        </w:rPr>
        <w:t>主城区规划220kV变电站一览表（MVA）</w:t>
      </w:r>
    </w:p>
    <w:tbl>
      <w:tblPr>
        <w:tblStyle w:val="21"/>
        <w:tblpPr w:leftFromText="180" w:rightFromText="180" w:vertAnchor="text" w:tblpY="1"/>
        <w:tblOverlap w:val="never"/>
        <w:tblW w:w="4483"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03"/>
        <w:gridCol w:w="855"/>
        <w:gridCol w:w="855"/>
        <w:gridCol w:w="885"/>
        <w:gridCol w:w="855"/>
        <w:gridCol w:w="63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trPr>
        <w:tc>
          <w:tcPr>
            <w:tcW w:w="403" w:type="dxa"/>
            <w:vMerge w:val="restart"/>
            <w:tcBorders>
              <w:top w:val="single" w:color="auto" w:sz="12" w:space="0"/>
              <w:bottom w:val="single" w:color="auto" w:sz="4" w:space="0"/>
              <w:tl2br w:val="nil"/>
              <w:tr2bl w:val="nil"/>
            </w:tcBorders>
            <w:shd w:val="clear" w:color="auto" w:fill="C2D69B" w:themeFill="accent3" w:themeFillTint="99"/>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序号</w:t>
            </w:r>
          </w:p>
        </w:tc>
        <w:tc>
          <w:tcPr>
            <w:tcW w:w="855" w:type="dxa"/>
            <w:vMerge w:val="restart"/>
            <w:tcBorders>
              <w:top w:val="single" w:color="auto" w:sz="12" w:space="0"/>
              <w:bottom w:val="single" w:color="auto" w:sz="4" w:space="0"/>
              <w:tl2br w:val="nil"/>
              <w:tr2bl w:val="nil"/>
            </w:tcBorders>
            <w:shd w:val="clear" w:color="auto" w:fill="C2D69B" w:themeFill="accent3" w:themeFillTint="99"/>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名称</w:t>
            </w:r>
          </w:p>
        </w:tc>
        <w:tc>
          <w:tcPr>
            <w:tcW w:w="2595" w:type="dxa"/>
            <w:gridSpan w:val="3"/>
            <w:tcBorders>
              <w:top w:val="single" w:color="auto" w:sz="12" w:space="0"/>
              <w:bottom w:val="single" w:color="auto" w:sz="4" w:space="0"/>
              <w:tl2br w:val="nil"/>
              <w:tr2bl w:val="nil"/>
            </w:tcBorders>
            <w:shd w:val="clear" w:color="auto" w:fill="C2D69B" w:themeFill="accent3" w:themeFillTint="99"/>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设计装机容量（MVA）</w:t>
            </w:r>
          </w:p>
        </w:tc>
        <w:tc>
          <w:tcPr>
            <w:tcW w:w="630" w:type="dxa"/>
            <w:vMerge w:val="restart"/>
            <w:tcBorders>
              <w:top w:val="single" w:color="auto" w:sz="12" w:space="0"/>
              <w:bottom w:val="single" w:color="auto" w:sz="4" w:space="0"/>
              <w:tl2br w:val="nil"/>
              <w:tr2bl w:val="nil"/>
            </w:tcBorders>
            <w:shd w:val="clear" w:color="auto" w:fill="C2D69B" w:themeFill="accent3" w:themeFillTint="99"/>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exact"/>
        </w:trPr>
        <w:tc>
          <w:tcPr>
            <w:tcW w:w="403" w:type="dxa"/>
            <w:vMerge w:val="continue"/>
            <w:tcBorders>
              <w:top w:val="single" w:color="auto" w:sz="4" w:space="0"/>
              <w:tl2br w:val="nil"/>
              <w:tr2bl w:val="nil"/>
            </w:tcBorders>
            <w:shd w:val="clear" w:color="auto" w:fill="C2D69B" w:themeFill="accent3" w:themeFillTint="99"/>
            <w:vAlign w:val="center"/>
          </w:tcPr>
          <w:p>
            <w:pPr>
              <w:widowControl/>
              <w:jc w:val="left"/>
              <w:rPr>
                <w:rFonts w:hint="eastAsia" w:ascii="楷体_GB2312" w:hAnsi="楷体_GB2312" w:eastAsia="楷体_GB2312" w:cs="楷体_GB2312"/>
                <w:color w:val="auto"/>
                <w:kern w:val="0"/>
                <w:sz w:val="20"/>
                <w:szCs w:val="20"/>
              </w:rPr>
            </w:pPr>
          </w:p>
        </w:tc>
        <w:tc>
          <w:tcPr>
            <w:tcW w:w="855" w:type="dxa"/>
            <w:vMerge w:val="continue"/>
            <w:tcBorders>
              <w:top w:val="single" w:color="auto" w:sz="4" w:space="0"/>
              <w:tl2br w:val="nil"/>
              <w:tr2bl w:val="nil"/>
            </w:tcBorders>
            <w:shd w:val="clear" w:color="auto" w:fill="C2D69B" w:themeFill="accent3" w:themeFillTint="99"/>
            <w:vAlign w:val="center"/>
          </w:tcPr>
          <w:p>
            <w:pPr>
              <w:widowControl/>
              <w:jc w:val="left"/>
              <w:rPr>
                <w:rFonts w:hint="eastAsia" w:ascii="楷体_GB2312" w:hAnsi="楷体_GB2312" w:eastAsia="楷体_GB2312" w:cs="楷体_GB2312"/>
                <w:color w:val="auto"/>
                <w:kern w:val="0"/>
                <w:sz w:val="20"/>
                <w:szCs w:val="20"/>
              </w:rPr>
            </w:pPr>
          </w:p>
        </w:tc>
        <w:tc>
          <w:tcPr>
            <w:tcW w:w="855" w:type="dxa"/>
            <w:tcBorders>
              <w:top w:val="single" w:color="auto" w:sz="4" w:space="0"/>
              <w:tl2br w:val="nil"/>
              <w:tr2bl w:val="nil"/>
            </w:tcBorders>
            <w:shd w:val="clear" w:color="auto" w:fill="C2D69B" w:themeFill="accent3" w:themeFillTint="99"/>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2020</w:t>
            </w:r>
          </w:p>
        </w:tc>
        <w:tc>
          <w:tcPr>
            <w:tcW w:w="885" w:type="dxa"/>
            <w:tcBorders>
              <w:top w:val="single" w:color="auto" w:sz="4" w:space="0"/>
              <w:tl2br w:val="nil"/>
              <w:tr2bl w:val="nil"/>
            </w:tcBorders>
            <w:shd w:val="clear" w:color="auto" w:fill="C2D69B" w:themeFill="accent3" w:themeFillTint="99"/>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2030</w:t>
            </w:r>
          </w:p>
        </w:tc>
        <w:tc>
          <w:tcPr>
            <w:tcW w:w="855" w:type="dxa"/>
            <w:tcBorders>
              <w:top w:val="single" w:color="auto" w:sz="4" w:space="0"/>
              <w:tl2br w:val="nil"/>
              <w:tr2bl w:val="nil"/>
            </w:tcBorders>
            <w:shd w:val="clear" w:color="auto" w:fill="C2D69B" w:themeFill="accent3" w:themeFillTint="99"/>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远景</w:t>
            </w:r>
          </w:p>
        </w:tc>
        <w:tc>
          <w:tcPr>
            <w:tcW w:w="630" w:type="dxa"/>
            <w:vMerge w:val="continue"/>
            <w:tcBorders>
              <w:top w:val="single" w:color="auto" w:sz="4" w:space="0"/>
              <w:tl2br w:val="nil"/>
              <w:tr2bl w:val="nil"/>
            </w:tcBorders>
            <w:vAlign w:val="center"/>
          </w:tcPr>
          <w:p>
            <w:pPr>
              <w:widowControl/>
              <w:jc w:val="left"/>
              <w:rPr>
                <w:rFonts w:hint="eastAsia" w:ascii="楷体_GB2312" w:hAnsi="楷体_GB2312" w:eastAsia="楷体_GB2312" w:cs="楷体_GB2312"/>
                <w:color w:val="auto"/>
                <w:kern w:val="0"/>
                <w:sz w:val="20"/>
                <w:szCs w:val="2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67" w:hRule="exact"/>
        </w:trPr>
        <w:tc>
          <w:tcPr>
            <w:tcW w:w="403"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1</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付庄变</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2×180</w:t>
            </w:r>
          </w:p>
        </w:tc>
        <w:tc>
          <w:tcPr>
            <w:tcW w:w="88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3×180</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3×180</w:t>
            </w:r>
          </w:p>
        </w:tc>
        <w:tc>
          <w:tcPr>
            <w:tcW w:w="630"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现状扩容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67" w:hRule="exact"/>
        </w:trPr>
        <w:tc>
          <w:tcPr>
            <w:tcW w:w="403"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2</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汉魏变</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2×180</w:t>
            </w:r>
          </w:p>
        </w:tc>
        <w:tc>
          <w:tcPr>
            <w:tcW w:w="88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3×180</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3×180</w:t>
            </w:r>
          </w:p>
        </w:tc>
        <w:tc>
          <w:tcPr>
            <w:tcW w:w="630"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现状扩容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67" w:hRule="exact"/>
        </w:trPr>
        <w:tc>
          <w:tcPr>
            <w:tcW w:w="403"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3</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薛坡变</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2×240</w:t>
            </w:r>
          </w:p>
        </w:tc>
        <w:tc>
          <w:tcPr>
            <w:tcW w:w="88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3×240</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3×240</w:t>
            </w:r>
          </w:p>
        </w:tc>
        <w:tc>
          <w:tcPr>
            <w:tcW w:w="630"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现状扩容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PrEx>
        <w:trPr>
          <w:trHeight w:val="567" w:hRule="exact"/>
        </w:trPr>
        <w:tc>
          <w:tcPr>
            <w:tcW w:w="403"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4</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城南变</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2×180</w:t>
            </w:r>
          </w:p>
        </w:tc>
        <w:tc>
          <w:tcPr>
            <w:tcW w:w="88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3×180</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3×180</w:t>
            </w:r>
          </w:p>
        </w:tc>
        <w:tc>
          <w:tcPr>
            <w:tcW w:w="630"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现状扩容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67" w:hRule="exact"/>
        </w:trPr>
        <w:tc>
          <w:tcPr>
            <w:tcW w:w="403"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5</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昌盛变</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2×180</w:t>
            </w:r>
          </w:p>
        </w:tc>
        <w:tc>
          <w:tcPr>
            <w:tcW w:w="88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2×180</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3×180</w:t>
            </w:r>
          </w:p>
        </w:tc>
        <w:tc>
          <w:tcPr>
            <w:tcW w:w="630"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近期建设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67" w:hRule="exact"/>
        </w:trPr>
        <w:tc>
          <w:tcPr>
            <w:tcW w:w="403"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6</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新区东变</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1×180</w:t>
            </w:r>
          </w:p>
        </w:tc>
        <w:tc>
          <w:tcPr>
            <w:tcW w:w="88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2×180</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3×180</w:t>
            </w:r>
          </w:p>
        </w:tc>
        <w:tc>
          <w:tcPr>
            <w:tcW w:w="630"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近期建设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67" w:hRule="exact"/>
        </w:trPr>
        <w:tc>
          <w:tcPr>
            <w:tcW w:w="403"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7</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拓展变</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w:t>
            </w:r>
          </w:p>
        </w:tc>
        <w:tc>
          <w:tcPr>
            <w:tcW w:w="88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2×180</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3×180</w:t>
            </w:r>
          </w:p>
        </w:tc>
        <w:tc>
          <w:tcPr>
            <w:tcW w:w="630"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远期建设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67" w:hRule="exact"/>
        </w:trPr>
        <w:tc>
          <w:tcPr>
            <w:tcW w:w="403"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8</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城西变</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w:t>
            </w:r>
          </w:p>
        </w:tc>
        <w:tc>
          <w:tcPr>
            <w:tcW w:w="88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2×240</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3×240</w:t>
            </w:r>
          </w:p>
        </w:tc>
        <w:tc>
          <w:tcPr>
            <w:tcW w:w="630"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远期建设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67" w:hRule="exact"/>
        </w:trPr>
        <w:tc>
          <w:tcPr>
            <w:tcW w:w="403"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9</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邓庄变</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w:t>
            </w:r>
          </w:p>
        </w:tc>
        <w:tc>
          <w:tcPr>
            <w:tcW w:w="88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2×240</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3×240</w:t>
            </w:r>
          </w:p>
        </w:tc>
        <w:tc>
          <w:tcPr>
            <w:tcW w:w="630"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远期建设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PrEx>
        <w:trPr>
          <w:trHeight w:val="567" w:hRule="exact"/>
        </w:trPr>
        <w:tc>
          <w:tcPr>
            <w:tcW w:w="1258" w:type="dxa"/>
            <w:gridSpan w:val="2"/>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合计</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2040</w:t>
            </w:r>
          </w:p>
        </w:tc>
        <w:tc>
          <w:tcPr>
            <w:tcW w:w="88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4320</w:t>
            </w:r>
          </w:p>
        </w:tc>
        <w:tc>
          <w:tcPr>
            <w:tcW w:w="855" w:type="dxa"/>
            <w:tcBorders>
              <w:tl2br w:val="nil"/>
              <w:tr2bl w:val="nil"/>
            </w:tcBorders>
            <w:shd w:val="clear" w:color="auto" w:fill="auto"/>
            <w:vAlign w:val="center"/>
          </w:tcPr>
          <w:p>
            <w:pPr>
              <w:widowControl/>
              <w:jc w:val="center"/>
              <w:rPr>
                <w:rFonts w:hint="eastAsia" w:ascii="楷体_GB2312" w:hAnsi="楷体_GB2312" w:eastAsia="楷体_GB2312" w:cs="楷体_GB2312"/>
                <w:color w:val="auto"/>
                <w:kern w:val="0"/>
                <w:sz w:val="20"/>
                <w:szCs w:val="20"/>
              </w:rPr>
            </w:pPr>
            <w:r>
              <w:rPr>
                <w:rFonts w:hint="eastAsia" w:ascii="楷体_GB2312" w:hAnsi="楷体_GB2312" w:eastAsia="楷体_GB2312" w:cs="楷体_GB2312"/>
                <w:color w:val="auto"/>
                <w:kern w:val="0"/>
                <w:sz w:val="20"/>
                <w:szCs w:val="20"/>
              </w:rPr>
              <w:t>5400</w:t>
            </w:r>
          </w:p>
        </w:tc>
        <w:tc>
          <w:tcPr>
            <w:tcW w:w="630" w:type="dxa"/>
            <w:tcBorders>
              <w:tl2br w:val="nil"/>
              <w:tr2bl w:val="nil"/>
            </w:tcBorders>
            <w:shd w:val="clear" w:color="auto" w:fill="auto"/>
          </w:tcPr>
          <w:p>
            <w:pPr>
              <w:widowControl/>
              <w:jc w:val="left"/>
              <w:rPr>
                <w:rFonts w:hint="eastAsia" w:ascii="楷体_GB2312" w:hAnsi="楷体_GB2312" w:eastAsia="楷体_GB2312" w:cs="楷体_GB2312"/>
                <w:color w:val="auto"/>
                <w:kern w:val="0"/>
                <w:sz w:val="20"/>
                <w:szCs w:val="20"/>
              </w:rPr>
            </w:pPr>
          </w:p>
        </w:tc>
      </w:tr>
    </w:tbl>
    <w:p>
      <w:pPr>
        <w:spacing w:line="360" w:lineRule="auto"/>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Cs w:val="21"/>
        </w:rPr>
        <w:drawing>
          <wp:anchor distT="0" distB="0" distL="0" distR="0" simplePos="0" relativeHeight="257513472" behindDoc="0" locked="0" layoutInCell="1" allowOverlap="1">
            <wp:simplePos x="0" y="0"/>
            <wp:positionH relativeFrom="column">
              <wp:posOffset>53340</wp:posOffset>
            </wp:positionH>
            <wp:positionV relativeFrom="page">
              <wp:posOffset>1235075</wp:posOffset>
            </wp:positionV>
            <wp:extent cx="3110865" cy="3300730"/>
            <wp:effectExtent l="0" t="0" r="0" b="0"/>
            <wp:wrapSquare wrapText="bothSides"/>
            <wp:docPr id="69632" name="图片 69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2" name="图片 69632"/>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110865" cy="3300730"/>
                    </a:xfrm>
                    <a:prstGeom prst="rect">
                      <a:avLst/>
                    </a:prstGeom>
                  </pic:spPr>
                </pic:pic>
              </a:graphicData>
            </a:graphic>
          </wp:anchor>
        </w:drawing>
      </w:r>
    </w:p>
    <w:p>
      <w:pPr>
        <w:spacing w:line="360" w:lineRule="auto"/>
        <w:rPr>
          <w:rFonts w:hint="eastAsia" w:ascii="楷体_GB2312" w:hAnsi="楷体_GB2312" w:eastAsia="楷体_GB2312" w:cs="楷体_GB2312"/>
          <w:b/>
          <w:bCs/>
          <w:color w:val="auto"/>
          <w:sz w:val="24"/>
          <w:szCs w:val="32"/>
        </w:rPr>
      </w:pPr>
    </w:p>
    <w:p>
      <w:pPr>
        <w:spacing w:line="360" w:lineRule="auto"/>
        <w:rPr>
          <w:rFonts w:hint="eastAsia" w:ascii="楷体_GB2312" w:hAnsi="楷体_GB2312" w:eastAsia="楷体_GB2312" w:cs="楷体_GB2312"/>
          <w:b/>
          <w:bCs/>
          <w:color w:val="auto"/>
          <w:sz w:val="24"/>
          <w:szCs w:val="32"/>
        </w:rPr>
      </w:pPr>
    </w:p>
    <w:p>
      <w:pPr>
        <w:spacing w:line="360" w:lineRule="auto"/>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2. 110kV电网规划</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主城区1l0kV电网以220kV变电站为中心，构成若干个相对独立的供电分区，采用双电源双线、双T、П接为主的接线模式。各分区间建设适当的联络，在明确供电分区的同时，保证故障时有多种负荷转带方式，确保主城区供电安全可靠。</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规划主城区共设置110kV变电站45座，变电站主变总容量为5742MVA。新建110kV变电站控制用地在0.4-0.7hm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范围。市中心地区规划新建的变电站，应采用户内式结构；繁华金融、商贸街区新建的变电站，应采用户内式结构，鼓励变电站与公建混合建设或结合公共绿地建设地下式变电站。110kV变电站规划，详见下表。</w:t>
      </w:r>
      <w:r>
        <w:rPr>
          <w:rFonts w:hint="eastAsia" w:ascii="楷体_GB2312" w:hAnsi="楷体_GB2312" w:eastAsia="楷体_GB2312" w:cs="楷体_GB2312"/>
          <w:b/>
          <w:bCs/>
          <w:color w:val="auto"/>
          <w:szCs w:val="21"/>
        </w:rPr>
        <w:br w:type="page"/>
      </w:r>
      <w:r>
        <w:rPr>
          <w:rFonts w:hint="eastAsia" w:ascii="楷体_GB2312" w:hAnsi="楷体_GB2312" w:eastAsia="楷体_GB2312" w:cs="楷体_GB2312"/>
          <w:b/>
          <w:bCs/>
          <w:color w:val="auto"/>
          <w:szCs w:val="21"/>
        </w:rPr>
        <w:t xml:space="preserve">                        主城区规划110kV变电站一览表（MVA）</w:t>
      </w:r>
    </w:p>
    <w:p>
      <w:pP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5664835" cy="4493895"/>
            <wp:effectExtent l="0" t="0" r="12065" b="1905"/>
            <wp:docPr id="69633" name="图片 69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3" name="图片 69633"/>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664835" cy="4493895"/>
                    </a:xfrm>
                    <a:prstGeom prst="rect">
                      <a:avLst/>
                    </a:prstGeom>
                  </pic:spPr>
                </pic:pic>
              </a:graphicData>
            </a:graphic>
          </wp:inline>
        </w:drawing>
      </w:r>
    </w:p>
    <w:p>
      <w:pPr>
        <w:rPr>
          <w:rFonts w:hint="eastAsia" w:ascii="楷体_GB2312" w:hAnsi="楷体_GB2312" w:eastAsia="楷体_GB2312" w:cs="楷体_GB2312"/>
          <w:color w:val="auto"/>
        </w:rPr>
      </w:pP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4023360" cy="3722370"/>
            <wp:effectExtent l="0" t="0" r="15240" b="11430"/>
            <wp:docPr id="69634" name="图片 69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4" name="图片 69634"/>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4023360" cy="3722370"/>
                    </a:xfrm>
                    <a:prstGeom prst="rect">
                      <a:avLst/>
                    </a:prstGeom>
                  </pic:spPr>
                </pic:pic>
              </a:graphicData>
            </a:graphic>
          </wp:inline>
        </w:drawing>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82" w:name="_Toc495586740"/>
      <w:bookmarkStart w:id="183" w:name="_Toc494903186"/>
      <w:r>
        <w:rPr>
          <w:rFonts w:hint="eastAsia" w:ascii="楷体_GB2312" w:hAnsi="楷体_GB2312" w:eastAsia="楷体_GB2312" w:cs="楷体_GB2312"/>
          <w:b/>
          <w:color w:val="auto"/>
          <w:sz w:val="24"/>
          <w:szCs w:val="24"/>
        </w:rPr>
        <w:t>4.6.5高压走廊规划</w:t>
      </w:r>
      <w:bookmarkEnd w:id="182"/>
      <w:bookmarkEnd w:id="183"/>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线路走向要与城市空间结构相协调，合理预留电力设施用地、高压走廊和电缆通道，避免电力设施用地与城市建设之间的矛盾。</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根据《城市电力规划规范》GB50293-1999高压走廊控制要求，主城区500kV高压走廊控制为60</w:t>
      </w:r>
      <w:r>
        <w:rPr>
          <w:rFonts w:hint="eastAsia" w:ascii="楷体_GB2312" w:hAnsi="楷体_GB2312" w:eastAsia="楷体_GB2312" w:cs="楷体_GB2312"/>
          <w:color w:val="auto"/>
        </w:rPr>
        <w:t>~</w:t>
      </w:r>
      <w:r>
        <w:rPr>
          <w:rFonts w:hint="eastAsia" w:ascii="楷体_GB2312" w:hAnsi="楷体_GB2312" w:eastAsia="楷体_GB2312" w:cs="楷体_GB2312"/>
          <w:color w:val="auto"/>
          <w:sz w:val="24"/>
        </w:rPr>
        <w:t>75m，220kV高压走廊控制为30</w:t>
      </w:r>
      <w:r>
        <w:rPr>
          <w:rFonts w:hint="eastAsia" w:ascii="楷体_GB2312" w:hAnsi="楷体_GB2312" w:eastAsia="楷体_GB2312" w:cs="楷体_GB2312"/>
          <w:color w:val="auto"/>
        </w:rPr>
        <w:t>~</w:t>
      </w:r>
      <w:r>
        <w:rPr>
          <w:rFonts w:hint="eastAsia" w:ascii="楷体_GB2312" w:hAnsi="楷体_GB2312" w:eastAsia="楷体_GB2312" w:cs="楷体_GB2312"/>
          <w:color w:val="auto"/>
          <w:sz w:val="24"/>
        </w:rPr>
        <w:t>40m，110kV高压走廊控制为15</w:t>
      </w:r>
      <w:r>
        <w:rPr>
          <w:rFonts w:hint="eastAsia" w:ascii="楷体_GB2312" w:hAnsi="楷体_GB2312" w:eastAsia="楷体_GB2312" w:cs="楷体_GB2312"/>
          <w:color w:val="auto"/>
        </w:rPr>
        <w:t>~</w:t>
      </w:r>
      <w:r>
        <w:rPr>
          <w:rFonts w:hint="eastAsia" w:ascii="楷体_GB2312" w:hAnsi="楷体_GB2312" w:eastAsia="楷体_GB2312" w:cs="楷体_GB2312"/>
          <w:color w:val="auto"/>
          <w:sz w:val="24"/>
        </w:rPr>
        <w:t>25m。</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高压电力架空线沿城区道路、绿化带及河流架设，并采用多回路同杆（塔）架设方式。规划建议远期许昌主城区居住、公建用地内现状与新建110kV电力线路均采用电缆下地。</w:t>
      </w:r>
    </w:p>
    <w:p>
      <w:pPr>
        <w:keepNext/>
        <w:keepLines/>
        <w:spacing w:before="240" w:beforeLines="100" w:after="240" w:afterLines="100" w:line="360" w:lineRule="auto"/>
        <w:rPr>
          <w:rFonts w:hint="eastAsia" w:ascii="楷体_GB2312" w:hAnsi="楷体_GB2312" w:eastAsia="楷体_GB2312" w:cs="楷体_GB2312"/>
          <w:color w:val="auto"/>
          <w:sz w:val="28"/>
        </w:rPr>
      </w:pPr>
      <w:bookmarkStart w:id="184" w:name="_Toc494903188"/>
      <w:r>
        <w:rPr>
          <w:rFonts w:hint="eastAsia" w:ascii="楷体_GB2312" w:hAnsi="楷体_GB2312" w:eastAsia="楷体_GB2312" w:cs="楷体_GB2312"/>
          <w:color w:val="auto"/>
          <w:sz w:val="28"/>
        </w:rPr>
        <w:br w:type="page"/>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185" w:name="_Toc25588"/>
      <w:bookmarkStart w:id="186" w:name="_Toc495586741"/>
      <w:r>
        <w:rPr>
          <w:rFonts w:hint="eastAsia" w:ascii="楷体_GB2312" w:hAnsi="楷体_GB2312" w:eastAsia="楷体_GB2312" w:cs="楷体_GB2312"/>
          <w:b/>
          <w:bCs w:val="0"/>
          <w:color w:val="auto"/>
          <w:sz w:val="28"/>
        </w:rPr>
        <w:t>4.7通信工程</w:t>
      </w:r>
      <w:bookmarkEnd w:id="184"/>
      <w:bookmarkEnd w:id="185"/>
      <w:bookmarkEnd w:id="186"/>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87" w:name="_Toc495586742"/>
      <w:bookmarkStart w:id="188" w:name="_Toc494903190"/>
      <w:r>
        <w:rPr>
          <w:rFonts w:hint="eastAsia" w:ascii="楷体_GB2312" w:hAnsi="楷体_GB2312" w:eastAsia="楷体_GB2312" w:cs="楷体_GB2312"/>
          <w:b/>
          <w:color w:val="auto"/>
          <w:sz w:val="24"/>
          <w:szCs w:val="24"/>
        </w:rPr>
        <w:t>4.7.1通信用量预测</w:t>
      </w:r>
      <w:bookmarkEnd w:id="187"/>
      <w:bookmarkEnd w:id="188"/>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1. 固定电话用户预测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根据《城市通信工程规划规范》（GB/T 50853-2013），采用人口普及率法对主城区固定电话用户进行预测。规划预测主城区固定电话用户近期43.8万户、远期85.5万户。固定电话用户预测，详见下表。</w:t>
      </w:r>
    </w:p>
    <w:p>
      <w:pPr>
        <w:spacing w:line="360" w:lineRule="auto"/>
        <w:jc w:val="center"/>
        <w:rPr>
          <w:rFonts w:hint="eastAsia" w:ascii="楷体_GB2312" w:hAnsi="楷体_GB2312" w:eastAsia="楷体_GB2312" w:cs="楷体_GB2312"/>
          <w:b/>
          <w:bCs/>
          <w:color w:val="auto"/>
          <w:szCs w:val="21"/>
          <w:lang w:bidi="ar"/>
        </w:rPr>
      </w:pPr>
      <w:r>
        <w:rPr>
          <w:rFonts w:hint="eastAsia" w:ascii="楷体_GB2312" w:hAnsi="楷体_GB2312" w:eastAsia="楷体_GB2312" w:cs="楷体_GB2312"/>
          <w:b/>
          <w:bCs/>
          <w:color w:val="auto"/>
          <w:szCs w:val="21"/>
        </w:rPr>
        <w:t>主城区通信用量预测一览表</w:t>
      </w:r>
    </w:p>
    <w:tbl>
      <w:tblPr>
        <w:tblStyle w:val="21"/>
        <w:tblW w:w="7936"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1984"/>
        <w:gridCol w:w="1984"/>
        <w:gridCol w:w="198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名称</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单位</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2020年</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2030年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人口</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万人</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125</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190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固定电话普及率</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35</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固定电话用户数</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万户</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43.8</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85.5</w:t>
            </w:r>
          </w:p>
        </w:tc>
      </w:tr>
    </w:tbl>
    <w:p>
      <w:pPr>
        <w:ind w:firstLine="482"/>
        <w:jc w:val="left"/>
        <w:rPr>
          <w:rFonts w:hint="eastAsia" w:ascii="楷体_GB2312" w:hAnsi="楷体_GB2312" w:eastAsia="楷体_GB2312" w:cs="楷体_GB2312"/>
          <w:b/>
          <w:color w:val="auto"/>
          <w:kern w:val="0"/>
          <w:sz w:val="24"/>
        </w:rPr>
      </w:pPr>
      <w:r>
        <w:rPr>
          <w:rFonts w:hint="eastAsia" w:ascii="楷体_GB2312" w:hAnsi="楷体_GB2312" w:eastAsia="楷体_GB2312" w:cs="楷体_GB2312"/>
          <w:b/>
          <w:color w:val="auto"/>
          <w:kern w:val="0"/>
          <w:lang w:bidi="ar"/>
        </w:rPr>
        <w:t xml:space="preserve"> </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2. 宽带用户预测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根据《城市通信工程规划规范》（GB/T50853-2013），采用人口普及率法对主城区宽带用户进行预测。规划预测主城区宽带用户近期37.5万户、远期66.5万户。宽带用户预测，详见下表。</w:t>
      </w:r>
    </w:p>
    <w:p>
      <w:pPr>
        <w:spacing w:line="360" w:lineRule="auto"/>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主城区宽带用量预测一览表</w:t>
      </w:r>
    </w:p>
    <w:tbl>
      <w:tblPr>
        <w:tblStyle w:val="21"/>
        <w:tblW w:w="7936"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1984"/>
        <w:gridCol w:w="1984"/>
        <w:gridCol w:w="198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名称</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单位</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2020年</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2030年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人口</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万人</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125</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190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宽带用户普及率</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30</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宽带用户数</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万户</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37.5</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66.5</w:t>
            </w:r>
          </w:p>
        </w:tc>
      </w:tr>
    </w:tbl>
    <w:p>
      <w:pPr>
        <w:ind w:firstLine="482"/>
        <w:jc w:val="left"/>
        <w:rPr>
          <w:rFonts w:hint="eastAsia" w:ascii="楷体_GB2312" w:hAnsi="楷体_GB2312" w:eastAsia="楷体_GB2312" w:cs="楷体_GB2312"/>
          <w:b/>
          <w:color w:val="auto"/>
          <w:kern w:val="0"/>
          <w:sz w:val="24"/>
        </w:rPr>
      </w:pPr>
      <w:r>
        <w:rPr>
          <w:rFonts w:hint="eastAsia" w:ascii="楷体_GB2312" w:hAnsi="楷体_GB2312" w:eastAsia="楷体_GB2312" w:cs="楷体_GB2312"/>
          <w:b/>
          <w:color w:val="auto"/>
          <w:kern w:val="0"/>
          <w:lang w:bidi="ar"/>
        </w:rPr>
        <w:t xml:space="preserve"> </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3. 移动用户预测</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根据《城市通信工程规划规范》（GB/T 50853-2013），采用人口普及率法对主城区移动网用户进行预测。规划预测主城区移动网用户近期113万户、远期190万户。移动网用户预测，详见下表。</w:t>
      </w:r>
    </w:p>
    <w:p>
      <w:pPr>
        <w:spacing w:line="360" w:lineRule="auto"/>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主城区移动通信用量预测一览表</w:t>
      </w:r>
    </w:p>
    <w:tbl>
      <w:tblPr>
        <w:tblStyle w:val="21"/>
        <w:tblW w:w="7936"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1984"/>
        <w:gridCol w:w="1984"/>
        <w:gridCol w:w="198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名称</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单位</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2020年</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2030年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总人口</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万人</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125</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190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移动电话普及率</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90</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移动电话数</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万部</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113</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190</w:t>
            </w:r>
          </w:p>
        </w:tc>
      </w:tr>
    </w:tbl>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4. 有线电视网用户预测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根据《城市通信工程规划规范》（GB/T50853-2013），规划主城区有线电视网用户按3.2人/户，平均每个用户2个端口进行预测。规划预测主城区有线电视网用户近期78.1万户、远期118.7万户。有线电视网用户预测，详见下表。</w:t>
      </w:r>
    </w:p>
    <w:p>
      <w:pPr>
        <w:spacing w:line="360" w:lineRule="auto"/>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主城区有线电视通信用量预测一览表</w:t>
      </w:r>
    </w:p>
    <w:tbl>
      <w:tblPr>
        <w:tblStyle w:val="21"/>
        <w:tblW w:w="7936"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1984"/>
        <w:gridCol w:w="1984"/>
        <w:gridCol w:w="198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名 称</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单位</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2020年</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2030年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总人口</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万人</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125</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190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户均人口</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人</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3.2</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户均端口数</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个</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有线电视用户数</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万户</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78.1</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118.7</w:t>
            </w:r>
          </w:p>
        </w:tc>
      </w:tr>
    </w:tbl>
    <w:p>
      <w:pPr>
        <w:rPr>
          <w:rFonts w:hint="eastAsia" w:ascii="楷体_GB2312" w:hAnsi="楷体_GB2312" w:eastAsia="楷体_GB2312" w:cs="楷体_GB2312"/>
          <w:color w:val="auto"/>
        </w:rPr>
      </w:pP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89" w:name="_Toc495586743"/>
      <w:bookmarkStart w:id="190" w:name="_Toc494903191"/>
      <w:r>
        <w:rPr>
          <w:rFonts w:hint="eastAsia" w:ascii="楷体_GB2312" w:hAnsi="楷体_GB2312" w:eastAsia="楷体_GB2312" w:cs="楷体_GB2312"/>
          <w:b/>
          <w:color w:val="auto"/>
          <w:sz w:val="24"/>
          <w:szCs w:val="24"/>
        </w:rPr>
        <w:t>4.7.</w:t>
      </w:r>
      <w:r>
        <w:rPr>
          <w:rFonts w:hint="eastAsia" w:ascii="楷体_GB2312" w:hAnsi="楷体_GB2312" w:eastAsia="楷体_GB2312" w:cs="楷体_GB2312"/>
          <w:b/>
          <w:color w:val="auto"/>
          <w:sz w:val="24"/>
          <w:szCs w:val="24"/>
          <w:lang w:val="en-US" w:eastAsia="zh-CN"/>
        </w:rPr>
        <w:t>2</w:t>
      </w:r>
      <w:r>
        <w:rPr>
          <w:rFonts w:hint="eastAsia" w:ascii="楷体_GB2312" w:hAnsi="楷体_GB2312" w:eastAsia="楷体_GB2312" w:cs="楷体_GB2312"/>
          <w:b/>
          <w:color w:val="auto"/>
          <w:sz w:val="24"/>
          <w:szCs w:val="24"/>
        </w:rPr>
        <w:t>局所规划</w:t>
      </w:r>
      <w:bookmarkEnd w:id="189"/>
      <w:bookmarkEnd w:id="190"/>
    </w:p>
    <w:p>
      <w:pPr>
        <w:spacing w:line="360" w:lineRule="auto"/>
        <w:ind w:firstLine="482" w:firstLineChars="200"/>
        <w:rPr>
          <w:rFonts w:hint="eastAsia" w:ascii="楷体_GB2312" w:hAnsi="楷体_GB2312" w:eastAsia="楷体_GB2312" w:cs="楷体_GB2312"/>
          <w:color w:val="auto"/>
          <w:sz w:val="24"/>
        </w:rPr>
      </w:pPr>
      <w:r>
        <w:rPr>
          <w:rFonts w:hint="eastAsia" w:ascii="楷体_GB2312" w:hAnsi="楷体_GB2312" w:eastAsia="楷体_GB2312" w:cs="楷体_GB2312"/>
          <w:b/>
          <w:bCs/>
          <w:color w:val="auto"/>
          <w:sz w:val="24"/>
          <w:szCs w:val="32"/>
        </w:rPr>
        <w:t>1. 电信局所规划</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为满足通讯要求，除对现有的电信核心局进行扩容外，需要分期、分阶段新建电信核心局，使交换机总容量能满足用户需求。主城区远期规划交换局设置按照最大交换容量不超过30万门配设，规划现状保留扩容电信核心局2座，新建电信核心局3座，规划总装机容量90万门，新建核心局控制用地面积为1.0</w:t>
      </w:r>
      <w:r>
        <w:rPr>
          <w:rFonts w:hint="eastAsia" w:ascii="楷体_GB2312" w:hAnsi="楷体_GB2312" w:eastAsia="楷体_GB2312" w:cs="楷体_GB2312"/>
          <w:color w:val="auto"/>
        </w:rPr>
        <w:t>~</w:t>
      </w:r>
      <w:r>
        <w:rPr>
          <w:rFonts w:hint="eastAsia" w:ascii="楷体_GB2312" w:hAnsi="楷体_GB2312" w:eastAsia="楷体_GB2312" w:cs="楷体_GB2312"/>
          <w:color w:val="auto"/>
          <w:sz w:val="24"/>
        </w:rPr>
        <w:t>1.5 hm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。电信局所配置情况详见下表。</w:t>
      </w:r>
    </w:p>
    <w:p>
      <w:pPr>
        <w:spacing w:line="360" w:lineRule="auto"/>
        <w:ind w:firstLine="422" w:firstLineChars="200"/>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主城区规划电信交换局一览表</w:t>
      </w:r>
    </w:p>
    <w:tbl>
      <w:tblPr>
        <w:tblStyle w:val="21"/>
        <w:tblW w:w="8219"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50"/>
        <w:gridCol w:w="1984"/>
        <w:gridCol w:w="1984"/>
        <w:gridCol w:w="1984"/>
        <w:gridCol w:w="141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850"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序号</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名称</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装机容量（万门）</w:t>
            </w:r>
          </w:p>
        </w:tc>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用地面积（hm</w:t>
            </w:r>
            <w:r>
              <w:rPr>
                <w:rFonts w:hint="eastAsia" w:ascii="楷体_GB2312" w:hAnsi="楷体_GB2312" w:eastAsia="楷体_GB2312" w:cs="楷体_GB2312"/>
                <w:b/>
                <w:color w:val="auto"/>
                <w:szCs w:val="21"/>
                <w:vertAlign w:val="superscript"/>
                <w:lang w:bidi="ar"/>
              </w:rPr>
              <w:t>2</w:t>
            </w:r>
            <w:r>
              <w:rPr>
                <w:rFonts w:hint="eastAsia" w:ascii="楷体_GB2312" w:hAnsi="楷体_GB2312" w:eastAsia="楷体_GB2312" w:cs="楷体_GB2312"/>
                <w:b/>
                <w:color w:val="auto"/>
                <w:szCs w:val="21"/>
                <w:lang w:bidi="ar"/>
              </w:rPr>
              <w:t>）</w:t>
            </w:r>
          </w:p>
        </w:tc>
        <w:tc>
          <w:tcPr>
            <w:tcW w:w="1417"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85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东城区核心局</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30</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3.3</w:t>
            </w:r>
          </w:p>
        </w:tc>
        <w:tc>
          <w:tcPr>
            <w:tcW w:w="141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保留扩容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85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劳动路核心局</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10</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w:t>
            </w:r>
          </w:p>
        </w:tc>
        <w:tc>
          <w:tcPr>
            <w:tcW w:w="141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现状租赁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85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铁西核心局</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15</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1.0</w:t>
            </w:r>
          </w:p>
        </w:tc>
        <w:tc>
          <w:tcPr>
            <w:tcW w:w="141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远期建设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85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示范区核心局</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20</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1.0</w:t>
            </w:r>
          </w:p>
        </w:tc>
        <w:tc>
          <w:tcPr>
            <w:tcW w:w="141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近期建设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850"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许昌县核心局</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15</w:t>
            </w:r>
          </w:p>
        </w:tc>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1.0</w:t>
            </w:r>
          </w:p>
        </w:tc>
        <w:tc>
          <w:tcPr>
            <w:tcW w:w="1417"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近期建设</w:t>
            </w:r>
          </w:p>
        </w:tc>
      </w:tr>
    </w:tbl>
    <w:p>
      <w:pPr>
        <w:rPr>
          <w:rFonts w:hint="eastAsia" w:ascii="楷体_GB2312" w:hAnsi="楷体_GB2312" w:eastAsia="楷体_GB2312" w:cs="楷体_GB2312"/>
          <w:b/>
          <w:color w:val="auto"/>
          <w:sz w:val="24"/>
        </w:rPr>
      </w:pPr>
      <w:r>
        <w:rPr>
          <w:rFonts w:hint="eastAsia" w:ascii="楷体_GB2312" w:hAnsi="楷体_GB2312" w:eastAsia="楷体_GB2312" w:cs="楷体_GB2312"/>
          <w:b/>
          <w:color w:val="auto"/>
          <w:lang w:bidi="ar"/>
        </w:rPr>
        <w:t xml:space="preserve"> </w:t>
      </w:r>
    </w:p>
    <w:p>
      <w:pPr>
        <w:spacing w:line="360" w:lineRule="auto"/>
        <w:ind w:firstLine="482" w:firstLineChars="200"/>
        <w:rPr>
          <w:rFonts w:hint="eastAsia" w:ascii="楷体_GB2312" w:hAnsi="楷体_GB2312" w:eastAsia="楷体_GB2312" w:cs="楷体_GB2312"/>
          <w:color w:val="auto"/>
          <w:sz w:val="24"/>
        </w:rPr>
      </w:pPr>
      <w:r>
        <w:rPr>
          <w:rFonts w:hint="eastAsia" w:ascii="楷体_GB2312" w:hAnsi="楷体_GB2312" w:eastAsia="楷体_GB2312" w:cs="楷体_GB2312"/>
          <w:b/>
          <w:bCs/>
          <w:color w:val="auto"/>
          <w:sz w:val="24"/>
          <w:szCs w:val="32"/>
        </w:rPr>
        <w:t>2. 移动通信局所规划</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加大移动局（所）及基站建设力度，为主城区提供高质量的通讯服务，移动局（所）建设应分期、分阶段实施建设。规划移动局所根据市场需求建设，规划移动通信核心局占地面积宜为1.0</w:t>
      </w:r>
      <w:r>
        <w:rPr>
          <w:rFonts w:hint="eastAsia" w:ascii="楷体_GB2312" w:hAnsi="楷体_GB2312" w:eastAsia="楷体_GB2312" w:cs="楷体_GB2312"/>
          <w:color w:val="auto"/>
        </w:rPr>
        <w:t>~</w:t>
      </w:r>
      <w:r>
        <w:rPr>
          <w:rFonts w:hint="eastAsia" w:ascii="楷体_GB2312" w:hAnsi="楷体_GB2312" w:eastAsia="楷体_GB2312" w:cs="楷体_GB2312"/>
          <w:color w:val="auto"/>
          <w:sz w:val="24"/>
        </w:rPr>
        <w:t>1.5hm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pacing w:line="360" w:lineRule="auto"/>
        <w:ind w:firstLine="482" w:firstLineChars="200"/>
        <w:rPr>
          <w:rFonts w:hint="eastAsia" w:ascii="楷体_GB2312" w:hAnsi="楷体_GB2312" w:eastAsia="楷体_GB2312" w:cs="楷体_GB2312"/>
          <w:color w:val="auto"/>
          <w:sz w:val="24"/>
        </w:rPr>
      </w:pPr>
      <w:r>
        <w:rPr>
          <w:rFonts w:hint="eastAsia" w:ascii="楷体_GB2312" w:hAnsi="楷体_GB2312" w:eastAsia="楷体_GB2312" w:cs="楷体_GB2312"/>
          <w:b/>
          <w:bCs/>
          <w:color w:val="auto"/>
          <w:sz w:val="24"/>
          <w:szCs w:val="32"/>
        </w:rPr>
        <w:t>3. 有线电视局所规划</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全面发展有线电视网，建设覆盖市域的有线电视光缆网，使全市均能接收到高质量的广播电视信号。规划主城区建设广电总局一座，占地面积2.2hm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。城市有线电视总前端信号源基站预留用地不小于500m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，其它类别前端基站不预留单独用地。</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91" w:name="_Toc495586744"/>
      <w:bookmarkStart w:id="192" w:name="_Toc494903192"/>
      <w:r>
        <w:rPr>
          <w:rFonts w:hint="eastAsia" w:ascii="楷体_GB2312" w:hAnsi="楷体_GB2312" w:eastAsia="楷体_GB2312" w:cs="楷体_GB2312"/>
          <w:b/>
          <w:color w:val="auto"/>
          <w:sz w:val="24"/>
          <w:szCs w:val="24"/>
        </w:rPr>
        <w:t>4.7.</w:t>
      </w:r>
      <w:r>
        <w:rPr>
          <w:rFonts w:hint="eastAsia" w:ascii="楷体_GB2312" w:hAnsi="楷体_GB2312" w:eastAsia="楷体_GB2312" w:cs="楷体_GB2312"/>
          <w:b/>
          <w:color w:val="auto"/>
          <w:sz w:val="24"/>
          <w:szCs w:val="24"/>
          <w:lang w:val="en-US" w:eastAsia="zh-CN"/>
        </w:rPr>
        <w:t>3</w:t>
      </w:r>
      <w:r>
        <w:rPr>
          <w:rFonts w:hint="eastAsia" w:ascii="楷体_GB2312" w:hAnsi="楷体_GB2312" w:eastAsia="楷体_GB2312" w:cs="楷体_GB2312"/>
          <w:b/>
          <w:color w:val="auto"/>
          <w:sz w:val="24"/>
          <w:szCs w:val="24"/>
        </w:rPr>
        <w:t>通信管网规划</w:t>
      </w:r>
      <w:bookmarkEnd w:id="191"/>
      <w:bookmarkEnd w:id="192"/>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沿城市主干路宜两侧铺设光纤主干线路，采用地埋铺设；另外在新建的40m以上道路两侧均应预留电信管道的管孔，通信管道的管孔数应满足各类通信业务（包括电话、数据通信、有线电视等信息服务行业）的要求。同时，由于市场经济的发展和信息业也快速发展的需要，有多个部门对地下通信管道提出了建设的要求，造成了地下管道空间资源的浪费和管理混乱，因此建议地下通信管网统一规划、统一建设、统一管理，再按有偿使用原则，提供给众多的通信公司或部门。</w:t>
      </w:r>
    </w:p>
    <w:p>
      <w:pPr>
        <w:keepNext/>
        <w:keepLines/>
        <w:spacing w:before="240" w:beforeLines="100" w:after="240" w:afterLines="100" w:line="360" w:lineRule="auto"/>
        <w:rPr>
          <w:rFonts w:hint="eastAsia" w:ascii="楷体_GB2312" w:hAnsi="楷体_GB2312" w:eastAsia="楷体_GB2312" w:cs="楷体_GB2312"/>
          <w:color w:val="auto"/>
          <w:sz w:val="28"/>
        </w:rPr>
      </w:pPr>
      <w:bookmarkStart w:id="193" w:name="_Toc494903194"/>
      <w:r>
        <w:rPr>
          <w:rFonts w:hint="eastAsia" w:ascii="楷体_GB2312" w:hAnsi="楷体_GB2312" w:eastAsia="楷体_GB2312" w:cs="楷体_GB2312"/>
          <w:color w:val="auto"/>
          <w:sz w:val="28"/>
        </w:rPr>
        <w:br w:type="page"/>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194" w:name="_Toc495586745"/>
      <w:bookmarkStart w:id="195" w:name="_Toc29680"/>
      <w:r>
        <w:rPr>
          <w:rFonts w:hint="eastAsia" w:ascii="楷体_GB2312" w:hAnsi="楷体_GB2312" w:eastAsia="楷体_GB2312" w:cs="楷体_GB2312"/>
          <w:b/>
          <w:bCs w:val="0"/>
          <w:color w:val="auto"/>
          <w:sz w:val="28"/>
        </w:rPr>
        <w:t>4.8热力工程</w:t>
      </w:r>
      <w:bookmarkEnd w:id="193"/>
      <w:bookmarkEnd w:id="194"/>
      <w:bookmarkEnd w:id="195"/>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96" w:name="_Toc494903195"/>
      <w:bookmarkStart w:id="197" w:name="_Toc495586746"/>
      <w:r>
        <w:rPr>
          <w:rFonts w:hint="eastAsia" w:ascii="楷体_GB2312" w:hAnsi="楷体_GB2312" w:eastAsia="楷体_GB2312" w:cs="楷体_GB2312"/>
          <w:b/>
          <w:color w:val="auto"/>
          <w:sz w:val="24"/>
          <w:szCs w:val="24"/>
        </w:rPr>
        <w:t>4.8.1规划原则</w:t>
      </w:r>
      <w:bookmarkEnd w:id="196"/>
      <w:bookmarkEnd w:id="197"/>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1、根据城镇现状和发展情况，充分考虑和合理利用城市现有热源。</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2、合理布局新热源。尽量靠近工业企业等高参数负荷点，并与现有热源形成半径互补、整体联网的供热格局。</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3、采取“新建和改造相结合，集中供热和分户供热相结合”的城市供热发展方针。</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4、保护城市环境，提高能源利用效率，严格控制分散燃煤小锅炉的建设。</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5、新敷设供热管网全部地下敷设，原有供热管网逐步改造为地下敷设方式。</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198" w:name="_Toc494903196"/>
      <w:bookmarkStart w:id="199" w:name="_Toc495586747"/>
      <w:r>
        <w:rPr>
          <w:rFonts w:hint="eastAsia" w:ascii="楷体_GB2312" w:hAnsi="楷体_GB2312" w:eastAsia="楷体_GB2312" w:cs="楷体_GB2312"/>
          <w:b/>
          <w:color w:val="auto"/>
          <w:sz w:val="24"/>
          <w:szCs w:val="24"/>
        </w:rPr>
        <w:t>4.8.2热负荷预测</w:t>
      </w:r>
      <w:bookmarkEnd w:id="198"/>
      <w:bookmarkEnd w:id="199"/>
    </w:p>
    <w:p>
      <w:pPr>
        <w:spacing w:line="360" w:lineRule="auto"/>
        <w:ind w:firstLine="482" w:firstLineChars="200"/>
        <w:rPr>
          <w:rFonts w:hint="eastAsia" w:ascii="楷体_GB2312" w:hAnsi="楷体_GB2312" w:eastAsia="楷体_GB2312" w:cs="楷体_GB2312"/>
          <w:color w:val="auto"/>
          <w:sz w:val="24"/>
        </w:rPr>
      </w:pPr>
      <w:r>
        <w:rPr>
          <w:rFonts w:hint="eastAsia" w:ascii="楷体_GB2312" w:hAnsi="楷体_GB2312" w:eastAsia="楷体_GB2312" w:cs="楷体_GB2312"/>
          <w:b/>
          <w:bCs/>
          <w:color w:val="auto"/>
          <w:sz w:val="24"/>
          <w:szCs w:val="32"/>
        </w:rPr>
        <w:t>1. 民用热负荷</w:t>
      </w:r>
    </w:p>
    <w:p>
      <w:pPr>
        <w:spacing w:line="360" w:lineRule="auto"/>
        <w:ind w:firstLine="480" w:firstLineChars="200"/>
        <w:rPr>
          <w:rFonts w:hint="eastAsia" w:ascii="楷体_GB2312" w:hAnsi="楷体_GB2312" w:eastAsia="楷体_GB2312" w:cs="楷体_GB2312"/>
          <w:color w:val="auto"/>
          <w:szCs w:val="21"/>
        </w:rPr>
      </w:pPr>
      <w:r>
        <w:rPr>
          <w:rFonts w:hint="eastAsia" w:ascii="楷体_GB2312" w:hAnsi="楷体_GB2312" w:eastAsia="楷体_GB2312" w:cs="楷体_GB2312"/>
          <w:color w:val="auto"/>
          <w:sz w:val="24"/>
        </w:rPr>
        <w:t>根据现状许昌集中供热的发展水平，考虑城市发展规模，规划主城区供热普及率近期为30%、远期为40%。根据上述指标，结合主城区未来人口预测规模，主城区民用供热预测详见下表。</w:t>
      </w:r>
    </w:p>
    <w:p>
      <w:pPr>
        <w:spacing w:line="360" w:lineRule="auto"/>
        <w:ind w:firstLine="422" w:firstLineChars="200"/>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主城区民用供热负荷预测一览表</w:t>
      </w:r>
    </w:p>
    <w:tbl>
      <w:tblPr>
        <w:tblStyle w:val="21"/>
        <w:tblW w:w="6804"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268"/>
        <w:gridCol w:w="2268"/>
        <w:gridCol w:w="226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exact"/>
          <w:jc w:val="center"/>
        </w:trPr>
        <w:tc>
          <w:tcPr>
            <w:tcW w:w="2268"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年限</w:t>
            </w:r>
          </w:p>
        </w:tc>
        <w:tc>
          <w:tcPr>
            <w:tcW w:w="2268"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2020年</w:t>
            </w:r>
          </w:p>
        </w:tc>
        <w:tc>
          <w:tcPr>
            <w:tcW w:w="2268"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2030年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exact"/>
          <w:jc w:val="center"/>
        </w:trPr>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人口规模（万人）</w:t>
            </w:r>
          </w:p>
        </w:tc>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125</w:t>
            </w:r>
          </w:p>
        </w:tc>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190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exact"/>
          <w:jc w:val="center"/>
        </w:trPr>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普及率（%）</w:t>
            </w:r>
          </w:p>
        </w:tc>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30</w:t>
            </w:r>
          </w:p>
        </w:tc>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exact"/>
          <w:jc w:val="center"/>
        </w:trPr>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预测供热负荷（MW）</w:t>
            </w:r>
          </w:p>
        </w:tc>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623</w:t>
            </w:r>
          </w:p>
        </w:tc>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1200</w:t>
            </w:r>
          </w:p>
        </w:tc>
      </w:tr>
    </w:tbl>
    <w:p>
      <w:pPr>
        <w:ind w:firstLine="482"/>
        <w:rPr>
          <w:rFonts w:hint="eastAsia" w:ascii="楷体_GB2312" w:hAnsi="楷体_GB2312" w:eastAsia="楷体_GB2312" w:cs="楷体_GB2312"/>
          <w:b/>
          <w:color w:val="auto"/>
          <w:sz w:val="24"/>
          <w:lang w:bidi="ar"/>
        </w:rPr>
      </w:pP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2. 工业热负荷</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根据主城区用地布局，工业负荷主要集中城市东部和南部。产业项目以装备制造、临空产业、新能源、食品加工、新材料、生物医药、发制品为主，有较为稳定的常年工艺生产热负荷。根据《许昌市集中供热规划》对现状和近期已落实的新增企业用热基本情况的调查统计（包括部分空调热负荷），并结合城市产业总体发展规模，规划工业热负荷同时率取0.8，预测工业热负荷需求量为近期851t/h（596MW）、远期1107t/h（775MW）。</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3. 总热负荷</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综上所述，主城区供热负荷预测详见下表。</w:t>
      </w:r>
    </w:p>
    <w:p>
      <w:pPr>
        <w:spacing w:line="360" w:lineRule="auto"/>
        <w:ind w:firstLine="422" w:firstLineChars="200"/>
        <w:jc w:val="center"/>
        <w:rPr>
          <w:rFonts w:hint="eastAsia" w:ascii="楷体_GB2312" w:hAnsi="楷体_GB2312" w:eastAsia="楷体_GB2312" w:cs="楷体_GB2312"/>
          <w:b/>
          <w:bCs/>
          <w:color w:val="auto"/>
          <w:szCs w:val="21"/>
        </w:rPr>
      </w:pPr>
    </w:p>
    <w:p>
      <w:pPr>
        <w:spacing w:line="360" w:lineRule="auto"/>
        <w:ind w:firstLine="422" w:firstLineChars="200"/>
        <w:jc w:val="center"/>
        <w:rPr>
          <w:rFonts w:hint="eastAsia" w:ascii="楷体_GB2312" w:hAnsi="楷体_GB2312" w:eastAsia="楷体_GB2312" w:cs="楷体_GB2312"/>
          <w:b/>
          <w:bCs/>
          <w:color w:val="auto"/>
          <w:szCs w:val="21"/>
        </w:rPr>
      </w:pPr>
    </w:p>
    <w:p>
      <w:pPr>
        <w:spacing w:line="360" w:lineRule="auto"/>
        <w:ind w:firstLine="422" w:firstLineChars="200"/>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br w:type="page"/>
      </w:r>
    </w:p>
    <w:p>
      <w:pPr>
        <w:spacing w:line="360" w:lineRule="auto"/>
        <w:ind w:firstLine="422" w:firstLineChars="200"/>
        <w:jc w:val="center"/>
        <w:rPr>
          <w:rFonts w:hint="eastAsia" w:ascii="楷体_GB2312" w:hAnsi="楷体_GB2312" w:eastAsia="楷体_GB2312" w:cs="楷体_GB2312"/>
          <w:color w:val="auto"/>
          <w:szCs w:val="21"/>
        </w:rPr>
      </w:pPr>
      <w:r>
        <w:rPr>
          <w:rFonts w:hint="eastAsia" w:ascii="楷体_GB2312" w:hAnsi="楷体_GB2312" w:eastAsia="楷体_GB2312" w:cs="楷体_GB2312"/>
          <w:b/>
          <w:bCs/>
          <w:color w:val="auto"/>
          <w:szCs w:val="21"/>
        </w:rPr>
        <w:t>主城区集中供热总负荷预测一览表</w:t>
      </w:r>
    </w:p>
    <w:tbl>
      <w:tblPr>
        <w:tblStyle w:val="21"/>
        <w:tblW w:w="6804"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268"/>
        <w:gridCol w:w="2268"/>
        <w:gridCol w:w="226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exact"/>
          <w:jc w:val="center"/>
        </w:trPr>
        <w:tc>
          <w:tcPr>
            <w:tcW w:w="2268"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年限</w:t>
            </w:r>
          </w:p>
        </w:tc>
        <w:tc>
          <w:tcPr>
            <w:tcW w:w="2268"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2020年</w:t>
            </w:r>
          </w:p>
        </w:tc>
        <w:tc>
          <w:tcPr>
            <w:tcW w:w="2268"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lang w:bidi="ar"/>
              </w:rPr>
              <w:t>2030年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exact"/>
          <w:jc w:val="center"/>
        </w:trPr>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民用供热负荷（MW）</w:t>
            </w:r>
          </w:p>
        </w:tc>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623</w:t>
            </w:r>
          </w:p>
        </w:tc>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exact"/>
          <w:jc w:val="center"/>
        </w:trPr>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工业热负荷（MW）</w:t>
            </w:r>
          </w:p>
        </w:tc>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596</w:t>
            </w:r>
          </w:p>
        </w:tc>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775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25" w:hRule="exact"/>
          <w:jc w:val="center"/>
        </w:trPr>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总计（MW）</w:t>
            </w:r>
          </w:p>
        </w:tc>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1219</w:t>
            </w:r>
          </w:p>
        </w:tc>
        <w:tc>
          <w:tcPr>
            <w:tcW w:w="2268"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1975</w:t>
            </w:r>
          </w:p>
        </w:tc>
      </w:tr>
    </w:tbl>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00" w:name="_Toc494903197"/>
      <w:bookmarkStart w:id="201" w:name="_Toc495586748"/>
      <w:r>
        <w:rPr>
          <w:rFonts w:hint="eastAsia" w:ascii="楷体_GB2312" w:hAnsi="楷体_GB2312" w:eastAsia="楷体_GB2312" w:cs="楷体_GB2312"/>
          <w:b/>
          <w:color w:val="auto"/>
          <w:sz w:val="24"/>
          <w:szCs w:val="24"/>
        </w:rPr>
        <w:t>4.8.3热源规划</w:t>
      </w:r>
      <w:bookmarkEnd w:id="200"/>
      <w:bookmarkEnd w:id="201"/>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为了提高城市居民生活品质，减少环境污染，提高能源利用效率，规划主城区采用以热电厂集中供热为主，其他清洁能源为补充的城市供热体系。规划期内对服役期满、环境影响大、工艺改造和扩建可行性低的现状集中热源予以拆除，逐步拆除区域内分散的燃煤小锅炉房。</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近期：规划主城区保留现状天健热电厂（供热规模245MW）、宏伟热源厂（供热规模200MW）2座热源，增大东区热电厂供热规模至480MW，新建城北热电厂一期供热规模300MW。主城区集中供热总规模为1225MW。</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远期：规划主城区保留东区热电厂480MW的供热规模；搬迁天健热电厂至西外环以西，与城西垃圾焚烧厂合建，设计供热规模700MW；拆除宏伟热源厂，扩建城北热电厂供热规模至500MW，原宏伟热源厂供热服务由城北热电厂承担；新建城东热电厂，设计供热规模350MW。规划期末，主城区集中供热总规模为2030MW。</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02" w:name="_Toc495586749"/>
      <w:bookmarkStart w:id="203" w:name="_Toc494903198"/>
      <w:r>
        <w:rPr>
          <w:rFonts w:hint="eastAsia" w:ascii="楷体_GB2312" w:hAnsi="楷体_GB2312" w:eastAsia="楷体_GB2312" w:cs="楷体_GB2312"/>
          <w:b/>
          <w:color w:val="auto"/>
          <w:sz w:val="24"/>
          <w:szCs w:val="24"/>
        </w:rPr>
        <w:t>4.8.4供热管网规划</w:t>
      </w:r>
      <w:bookmarkEnd w:id="202"/>
      <w:bookmarkEnd w:id="203"/>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1. 热力站规划</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热力站是供热管网向热用户供热的连接场所，起到调节供热参数、分配流量及热能转换、计量的作用。</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热力站应尽量靠近供热区域的中心或热负荷集中区的中心，尽量利用原有供热锅炉房、原有供热管网，减小投资。工业热力站通常一个单位或几个邻近单位共用一个，对于城市市区热力站的设置，热力站的划分以不跨越主要街道为原则。</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热力站分公用和专用两种，公用热力站规模不宜太大，每座供热面积控制在5～15万m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，以便于实施和管理。</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2. 供热管网布置与敷设</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1）根据不同用户供热负荷和温度需求，规划主城区采用热水和蒸汽两种相对独立供热系统，热水供热主要用于居民生活供热，蒸汽供热主要用于工业生产供热。</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根据许昌主城区的实际，采取“新建和扩建相结合，集中供热和联片供热相结合”的集中供热方针。近期内突出重点，完善市区集中供热系统，在建筑密度大的旧城区，发展联片供热，充分发挥现有热电厂及热源厂的供热能力，扩大其供热范围，严格控制盲目乱建锅炉房。</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3）根据工业生产及居民生活需要，结合用地特点，以总体规划为基础，因地制宜，建设“支状与环状”相结合的复合主干管网。</w:t>
      </w:r>
    </w:p>
    <w:p>
      <w:pPr>
        <w:keepNext/>
        <w:keepLines/>
        <w:spacing w:before="240" w:beforeLines="100" w:after="240" w:afterLines="100" w:line="360" w:lineRule="auto"/>
        <w:rPr>
          <w:rFonts w:hint="eastAsia" w:ascii="楷体_GB2312" w:hAnsi="楷体_GB2312" w:eastAsia="楷体_GB2312" w:cs="楷体_GB2312"/>
          <w:color w:val="auto"/>
          <w:sz w:val="28"/>
        </w:rPr>
      </w:pPr>
      <w:bookmarkStart w:id="204" w:name="_Toc494903200"/>
      <w:r>
        <w:rPr>
          <w:rFonts w:hint="eastAsia" w:ascii="楷体_GB2312" w:hAnsi="楷体_GB2312" w:eastAsia="楷体_GB2312" w:cs="楷体_GB2312"/>
          <w:color w:val="auto"/>
          <w:sz w:val="28"/>
        </w:rPr>
        <w:br w:type="page"/>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05" w:name="_Toc21013"/>
      <w:bookmarkStart w:id="206" w:name="_Toc495586750"/>
      <w:r>
        <w:rPr>
          <w:rFonts w:hint="eastAsia" w:ascii="楷体_GB2312" w:hAnsi="楷体_GB2312" w:eastAsia="楷体_GB2312" w:cs="楷体_GB2312"/>
          <w:b/>
          <w:bCs w:val="0"/>
          <w:color w:val="auto"/>
          <w:sz w:val="28"/>
        </w:rPr>
        <w:t>4.9道路工程</w:t>
      </w:r>
      <w:bookmarkEnd w:id="204"/>
      <w:bookmarkEnd w:id="205"/>
      <w:bookmarkEnd w:id="206"/>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07" w:name="_Toc494903203"/>
      <w:bookmarkStart w:id="208" w:name="_Toc495586751"/>
      <w:r>
        <w:rPr>
          <w:rFonts w:hint="eastAsia" w:ascii="楷体_GB2312" w:hAnsi="楷体_GB2312" w:eastAsia="楷体_GB2312" w:cs="楷体_GB2312"/>
          <w:b/>
          <w:color w:val="auto"/>
          <w:sz w:val="24"/>
          <w:szCs w:val="24"/>
        </w:rPr>
        <w:t>4.9.1道路系统规划</w:t>
      </w:r>
      <w:bookmarkEnd w:id="207"/>
      <w:bookmarkEnd w:id="208"/>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由快速路、主干路、次干路、支路组成。规划采用“环形+方格”的网络型路网结构，支撑多中心组团式的空间结构。</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1. 快速路</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规划形成“三纵三横”的城市快速路系统，承担主城区与周边县市镇区、主城区内各组团之间的快速机动化的联系功能。规划快速路约116公里，路网密度约0.61km/km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“三纵”为西外环、许州路和新107国道；“三横”为农大路、永昌路和南外环。</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2. 主干路</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规划形成“八纵七横”方格网的主骨架道路系统，分为交通性主干路和生活性主干路两种，规划主干路总长238公里，路网密度1.26km/km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交通性干路：昌盛路、新兴路、瑞贝卡大道—阳光大道、灞陵路、魏武大道、玉兰路和中原路；</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生活性干路：新元大道、永兴路、天宝路、建安大道-莲城大道-七一路-颍昌路-许继大道、解放路—劳动路、文峰路、魏文路和忠武路。</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3. 次干路</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次干路的主要作用是对主干路进行集散和分流，为城市居民的生活服务，次干路的设计应加强对行人和自行车的重视。规划次干路314公里，次干路路网密度为1.66km/km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4. 支路</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支路主要承担组团内部的交通联系和短距离交通出行，直接为城市用地服务。主城区规划分为4个特征区，各个特征区的规划支路网密度指标为：</w:t>
      </w:r>
    </w:p>
    <w:p>
      <w:pPr>
        <w:spacing w:line="360" w:lineRule="auto"/>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支路密度指标</w:t>
      </w:r>
    </w:p>
    <w:tbl>
      <w:tblPr>
        <w:tblStyle w:val="21"/>
        <w:tblW w:w="8087" w:type="dxa"/>
        <w:jc w:val="center"/>
        <w:tblInd w:w="113"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984"/>
        <w:gridCol w:w="3051"/>
        <w:gridCol w:w="305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Ex>
        <w:trPr>
          <w:trHeight w:val="397" w:hRule="exact"/>
          <w:tblHeader/>
          <w:jc w:val="center"/>
        </w:trPr>
        <w:tc>
          <w:tcPr>
            <w:tcW w:w="198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lang w:bidi="ar"/>
              </w:rPr>
              <w:t>序号</w:t>
            </w:r>
          </w:p>
        </w:tc>
        <w:tc>
          <w:tcPr>
            <w:tcW w:w="3051"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lang w:bidi="ar"/>
              </w:rPr>
              <w:t>特征区</w:t>
            </w:r>
          </w:p>
        </w:tc>
        <w:tc>
          <w:tcPr>
            <w:tcW w:w="3052"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lang w:bidi="ar"/>
              </w:rPr>
              <w:t>支路网密度（km/km</w:t>
            </w:r>
            <w:r>
              <w:rPr>
                <w:rFonts w:hint="eastAsia" w:ascii="楷体_GB2312" w:hAnsi="楷体_GB2312" w:eastAsia="楷体_GB2312" w:cs="楷体_GB2312"/>
                <w:b/>
                <w:bCs/>
                <w:color w:val="auto"/>
                <w:szCs w:val="21"/>
                <w:vertAlign w:val="superscript"/>
                <w:lang w:bidi="ar"/>
              </w:rPr>
              <w:t>2</w:t>
            </w:r>
            <w:r>
              <w:rPr>
                <w:rFonts w:hint="eastAsia" w:ascii="楷体_GB2312" w:hAnsi="楷体_GB2312" w:eastAsia="楷体_GB2312" w:cs="楷体_GB2312"/>
                <w:b/>
                <w:bCs/>
                <w:color w:val="auto"/>
                <w:szCs w:val="21"/>
                <w:lang w:bidi="ar"/>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Ex>
        <w:trPr>
          <w:trHeight w:val="397" w:hRule="exac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1</w:t>
            </w:r>
          </w:p>
        </w:tc>
        <w:tc>
          <w:tcPr>
            <w:tcW w:w="305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商业中心</w:t>
            </w:r>
          </w:p>
        </w:tc>
        <w:tc>
          <w:tcPr>
            <w:tcW w:w="3052" w:type="dxa"/>
            <w:tcBorders>
              <w:tl2br w:val="nil"/>
              <w:tr2bl w:val="nil"/>
            </w:tcBorders>
            <w:vAlign w:val="center"/>
          </w:tcPr>
          <w:p>
            <w:pPr>
              <w:ind w:firstLine="420"/>
              <w:rPr>
                <w:rFonts w:hint="eastAsia" w:ascii="楷体_GB2312" w:hAnsi="楷体_GB2312" w:eastAsia="楷体_GB2312" w:cs="楷体_GB2312"/>
                <w:color w:val="auto"/>
              </w:rPr>
            </w:pPr>
            <w:r>
              <w:rPr>
                <w:rFonts w:hint="eastAsia" w:ascii="楷体_GB2312" w:hAnsi="楷体_GB2312" w:eastAsia="楷体_GB2312" w:cs="楷体_GB2312"/>
                <w:color w:val="auto"/>
              </w:rPr>
              <w:t>7.0—14.0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Ex>
        <w:trPr>
          <w:trHeight w:val="397" w:hRule="exac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2</w:t>
            </w:r>
          </w:p>
        </w:tc>
        <w:tc>
          <w:tcPr>
            <w:tcW w:w="305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泛老城区</w:t>
            </w:r>
          </w:p>
        </w:tc>
        <w:tc>
          <w:tcPr>
            <w:tcW w:w="3052" w:type="dxa"/>
            <w:tcBorders>
              <w:tl2br w:val="nil"/>
              <w:tr2bl w:val="nil"/>
            </w:tcBorders>
            <w:vAlign w:val="center"/>
          </w:tcPr>
          <w:p>
            <w:pPr>
              <w:ind w:firstLine="420"/>
              <w:rPr>
                <w:rFonts w:hint="eastAsia" w:ascii="楷体_GB2312" w:hAnsi="楷体_GB2312" w:eastAsia="楷体_GB2312" w:cs="楷体_GB2312"/>
                <w:color w:val="auto"/>
              </w:rPr>
            </w:pPr>
            <w:r>
              <w:rPr>
                <w:rFonts w:hint="eastAsia" w:ascii="楷体_GB2312" w:hAnsi="楷体_GB2312" w:eastAsia="楷体_GB2312" w:cs="楷体_GB2312"/>
                <w:color w:val="auto"/>
              </w:rPr>
              <w:t>6.0—10.0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Ex>
        <w:trPr>
          <w:trHeight w:val="397" w:hRule="exac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3</w:t>
            </w:r>
          </w:p>
        </w:tc>
        <w:tc>
          <w:tcPr>
            <w:tcW w:w="305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一般居住生活区</w:t>
            </w:r>
          </w:p>
        </w:tc>
        <w:tc>
          <w:tcPr>
            <w:tcW w:w="3052" w:type="dxa"/>
            <w:tcBorders>
              <w:tl2br w:val="nil"/>
              <w:tr2bl w:val="nil"/>
            </w:tcBorders>
            <w:vAlign w:val="center"/>
          </w:tcPr>
          <w:p>
            <w:pPr>
              <w:ind w:firstLine="420"/>
              <w:rPr>
                <w:rFonts w:hint="eastAsia" w:ascii="楷体_GB2312" w:hAnsi="楷体_GB2312" w:eastAsia="楷体_GB2312" w:cs="楷体_GB2312"/>
                <w:color w:val="auto"/>
              </w:rPr>
            </w:pPr>
            <w:r>
              <w:rPr>
                <w:rFonts w:hint="eastAsia" w:ascii="楷体_GB2312" w:hAnsi="楷体_GB2312" w:eastAsia="楷体_GB2312" w:cs="楷体_GB2312"/>
                <w:color w:val="auto"/>
              </w:rPr>
              <w:t>4.0—7.0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Ex>
        <w:trPr>
          <w:trHeight w:val="397" w:hRule="exact"/>
          <w:jc w:val="center"/>
        </w:trPr>
        <w:tc>
          <w:tcPr>
            <w:tcW w:w="1984"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4</w:t>
            </w:r>
          </w:p>
        </w:tc>
        <w:tc>
          <w:tcPr>
            <w:tcW w:w="3051" w:type="dxa"/>
            <w:tcBorders>
              <w:tl2br w:val="nil"/>
              <w:tr2bl w:val="nil"/>
            </w:tcBorders>
            <w:vAlign w:val="center"/>
          </w:tcPr>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lang w:bidi="ar"/>
              </w:rPr>
              <w:t>工业开发区</w:t>
            </w:r>
          </w:p>
        </w:tc>
        <w:tc>
          <w:tcPr>
            <w:tcW w:w="3052" w:type="dxa"/>
            <w:tcBorders>
              <w:tl2br w:val="nil"/>
              <w:tr2bl w:val="nil"/>
            </w:tcBorders>
            <w:vAlign w:val="center"/>
          </w:tcPr>
          <w:p>
            <w:pPr>
              <w:ind w:firstLine="420"/>
              <w:rPr>
                <w:rFonts w:hint="eastAsia" w:ascii="楷体_GB2312" w:hAnsi="楷体_GB2312" w:eastAsia="楷体_GB2312" w:cs="楷体_GB2312"/>
                <w:color w:val="auto"/>
              </w:rPr>
            </w:pPr>
            <w:r>
              <w:rPr>
                <w:rFonts w:hint="eastAsia" w:ascii="楷体_GB2312" w:hAnsi="楷体_GB2312" w:eastAsia="楷体_GB2312" w:cs="楷体_GB2312"/>
                <w:color w:val="auto"/>
              </w:rPr>
              <w:t>3.0—4.0</w:t>
            </w:r>
          </w:p>
        </w:tc>
      </w:tr>
    </w:tbl>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09" w:name="_Toc494903204"/>
      <w:bookmarkStart w:id="210" w:name="_Toc495586752"/>
      <w:r>
        <w:rPr>
          <w:rFonts w:hint="eastAsia" w:ascii="楷体_GB2312" w:hAnsi="楷体_GB2312" w:eastAsia="楷体_GB2312" w:cs="楷体_GB2312"/>
          <w:b/>
          <w:color w:val="auto"/>
          <w:sz w:val="24"/>
          <w:szCs w:val="24"/>
        </w:rPr>
        <w:t>4.9.2道路横断面规划</w:t>
      </w:r>
      <w:bookmarkEnd w:id="209"/>
      <w:bookmarkEnd w:id="210"/>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道路红线宽度按照以下标准控制：快速路红线宽度为80米、50米，主干路红线宽度为60米、50米、40米，次干路红线宽度为50米、40米、35米、30米、25米，支路的红线宽度为20米、15米、10米。</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1、快速路采用四幅路断面、主辅路相配合的方式。</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2、主次干路的断面主要采用单幅路、双幅路和四幅路的断面形式。</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3、示范区次干路及支路的断面设计应设置自行车道。</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4、旧城区通过拓宽改造、线形改造以及交通管治等手段，增强主要交通道路的通行能力。</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5、滨河等重要景观道路的断面设计应预留足够的步行道与自行车道等慢行空间，强化道路绿化景观。</w:t>
      </w:r>
    </w:p>
    <w:p>
      <w:pPr>
        <w:spacing w:line="360" w:lineRule="auto"/>
        <w:ind w:left="84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anchor distT="0" distB="0" distL="114300" distR="114300" simplePos="0" relativeHeight="257514496" behindDoc="0" locked="0" layoutInCell="1" allowOverlap="1">
            <wp:simplePos x="0" y="0"/>
            <wp:positionH relativeFrom="column">
              <wp:posOffset>5400675</wp:posOffset>
            </wp:positionH>
            <wp:positionV relativeFrom="paragraph">
              <wp:posOffset>923925</wp:posOffset>
            </wp:positionV>
            <wp:extent cx="704850" cy="1858010"/>
            <wp:effectExtent l="0" t="0" r="0" b="8890"/>
            <wp:wrapSquare wrapText="bothSides"/>
            <wp:docPr id="103" name="图片 103" descr="37 主城区道路等级规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37 主城区道路等级规划图"/>
                    <pic:cNvPicPr>
                      <a:picLocks noChangeAspect="1"/>
                    </pic:cNvPicPr>
                  </pic:nvPicPr>
                  <pic:blipFill>
                    <a:blip r:embed="rId22"/>
                    <a:srcRect l="79753" t="30322" r="13318" b="43825"/>
                    <a:stretch>
                      <a:fillRect/>
                    </a:stretch>
                  </pic:blipFill>
                  <pic:spPr>
                    <a:xfrm>
                      <a:off x="0" y="0"/>
                      <a:ext cx="704850" cy="1858010"/>
                    </a:xfrm>
                    <a:prstGeom prst="rect">
                      <a:avLst/>
                    </a:prstGeom>
                  </pic:spPr>
                </pic:pic>
              </a:graphicData>
            </a:graphic>
          </wp:anchor>
        </w:drawing>
      </w:r>
      <w:r>
        <w:rPr>
          <w:rFonts w:hint="eastAsia" w:ascii="楷体_GB2312" w:hAnsi="楷体_GB2312" w:eastAsia="楷体_GB2312" w:cs="楷体_GB2312"/>
          <w:color w:val="auto"/>
          <w:sz w:val="24"/>
        </w:rPr>
        <w:drawing>
          <wp:inline distT="0" distB="0" distL="114300" distR="114300">
            <wp:extent cx="5067300" cy="4253230"/>
            <wp:effectExtent l="0" t="0" r="0" b="13970"/>
            <wp:docPr id="104" name="图片 104" descr="37 主城区道路等级规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37 主城区道路等级规划图"/>
                    <pic:cNvPicPr>
                      <a:picLocks noChangeAspect="1"/>
                    </pic:cNvPicPr>
                  </pic:nvPicPr>
                  <pic:blipFill>
                    <a:blip r:embed="rId22"/>
                    <a:srcRect l="9037" t="14450" r="24936" b="7107"/>
                    <a:stretch>
                      <a:fillRect/>
                    </a:stretch>
                  </pic:blipFill>
                  <pic:spPr>
                    <a:xfrm>
                      <a:off x="0" y="0"/>
                      <a:ext cx="5067300" cy="4253230"/>
                    </a:xfrm>
                    <a:prstGeom prst="rect">
                      <a:avLst/>
                    </a:prstGeom>
                  </pic:spPr>
                </pic:pic>
              </a:graphicData>
            </a:graphic>
          </wp:inline>
        </w:drawing>
      </w:r>
    </w:p>
    <w:p>
      <w:pPr>
        <w:spacing w:line="360" w:lineRule="auto"/>
        <w:ind w:left="84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道路等级规划图</w:t>
      </w:r>
    </w:p>
    <w:p>
      <w:pPr>
        <w:spacing w:line="360" w:lineRule="auto"/>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br w:type="page"/>
      </w:r>
    </w:p>
    <w:p>
      <w:pPr>
        <w:spacing w:line="360" w:lineRule="auto"/>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主城区道路横断面一览表</w:t>
      </w:r>
    </w:p>
    <w:tbl>
      <w:tblPr>
        <w:tblStyle w:val="21"/>
        <w:tblW w:w="9027" w:type="dxa"/>
        <w:jc w:val="center"/>
        <w:tblInd w:w="91"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37"/>
        <w:gridCol w:w="1040"/>
        <w:gridCol w:w="1134"/>
        <w:gridCol w:w="708"/>
        <w:gridCol w:w="4573"/>
        <w:gridCol w:w="103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67" w:hRule="exact"/>
          <w:tblHeader/>
          <w:jc w:val="center"/>
        </w:trPr>
        <w:tc>
          <w:tcPr>
            <w:tcW w:w="537"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lang w:bidi="ar"/>
              </w:rPr>
              <w:t>序号</w:t>
            </w:r>
          </w:p>
        </w:tc>
        <w:tc>
          <w:tcPr>
            <w:tcW w:w="1040"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lang w:bidi="ar"/>
              </w:rPr>
              <w:t>道路名称</w:t>
            </w:r>
          </w:p>
        </w:tc>
        <w:tc>
          <w:tcPr>
            <w:tcW w:w="113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lang w:bidi="ar"/>
              </w:rPr>
              <w:t>起止点</w:t>
            </w:r>
          </w:p>
        </w:tc>
        <w:tc>
          <w:tcPr>
            <w:tcW w:w="708"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lang w:bidi="ar"/>
              </w:rPr>
              <w:t>宽度（m）</w:t>
            </w:r>
          </w:p>
        </w:tc>
        <w:tc>
          <w:tcPr>
            <w:tcW w:w="4573"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lang w:bidi="ar"/>
              </w:rPr>
              <w:t>断面形式（m）</w:t>
            </w:r>
          </w:p>
        </w:tc>
        <w:tc>
          <w:tcPr>
            <w:tcW w:w="1035"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lang w:bidi="ar"/>
              </w:rPr>
              <w:t>道路等级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1</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农大路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西外环-中原路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4.0（人）+8.0（慢）+4.0（绿）+12.0（快）+4.0（绿）+12.0（快）+8.0（慢）+4.0（人）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快速路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2</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建德路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滨河路-许州路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4.0（人）+4.0（非）+3.0（绿）+18.0（车）+3.0（绿）+4.0（非）+4.0（人）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永宁街</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汉风路-许州路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6.0（人）+18.0（车）+6.0（人）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4</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新元大道</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西外环-汉风路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55</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3.0（绿）+20.0（车）+9.0（绿）+20.0（车）+3.0（绿）</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汉风路-文峰路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5.0（人）+5.0（非）+3.0（绿）+24.0（车）+3.0（绿）+5.0（非）+5.0（人）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文峰路-魏武大道</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4.0（人）+3.5（非）+1.5（绿）+12.0（车）+8.0（绿）+12.0（车）+1.5（绿）+3.5（非）+4.0（人）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魏武大道-中原路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55</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3.0（绿）+20.0（车）+9.0（绿）+20.0（车）+3.0（绿）</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聚贤街</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汉风路-许州路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3.0（人）+24.0（车）+3.0（人）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6</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昌盛路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西外环-许州路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4.0（人）+5.0（非）+4.0（绿）+24.0（快）+4.0（绿）+5.0（非）+4.0（人）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许州路-中原路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5.0（人）+5.0（非）+3.0（绿）+24.0（车）+3.0（绿）+5.0（非）+5.0（人）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7</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尚集街</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汉风路-许州路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3.0（人）+24.0（车）+3.0（人）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8</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尚德路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文峰北路-魏武大道</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7.0（人）+16.0（车）+4.0（绿）+16.0（车）+7.0（人）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9</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永兴路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西外环-中原路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6.0（人）+20.0（车）+8.0（绿）+20.0（车）+6.0（人）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10</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芙蓉大道</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芙蓉大道</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66</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6.0（人）+16.0（车）+8.0（绿）+16.0（车）+4.0（绿）+10.0（车）+6.0（人）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11</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宏腾路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文峰北路-魏文路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7.0（人）+16.0（车）+4.0（绿）+16.0（车）+7.0（人）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三水路-文峰北路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3.0（人）+24.0（车）+3.0（人）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12</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万通街</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西外环-魏文路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3.0（人）+24.0（车）+3.0（人）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13</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明礼街</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学院路-许州路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3.0（人）+24.0（车）+3.0（人）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14</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永昌路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西外环-中原路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80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4（人）+14.0（慢）+10.0（绿）+24（快）+10.0（绿）+14.0（慢）+4（人）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快速路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15</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陈庄街</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西外环-清潩河</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4.0（人）+6.0（非）+3.0（绿）+24.0（车）+3.0（绿）+6.0（非）+4.0（人）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清潩河-许州路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3.0（人）+4.5（非）+3.0（绿）+29.0（车）+3.0（绿）+4.5（非）+3.0（人）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16</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英才街</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文峰北路-许州路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4.0（人）+32.0（车）+4.0（人）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17</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天宝路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永登高速-许州路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6.0（人）+15.0（车）+18.0（绿）+15.0（车）+6.0（人）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18</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八一路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西外环-延安路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35</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5.5（人）+24.0（车）+5.5（人）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延安路-文峰路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35</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6.0（人）+23.0（车）+6.0（人）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文峰路-许州路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2.0（人）+4.5（非）+2.0（绿）+23.0（车）+2.0（绿）+4.5（非）+2.0（人）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19</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金竹街</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玉兰路-雪松路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7.0（人）+4.0（非）+3.0（绿）+22.0（车）+3.0（绿）+4.0（非）+7.0（人）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20</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建安大道</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文峰路-清潩河</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60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6.0（人）+6.0（非）+4.0（绿）+28.0（车）+4.0（绿）+6.0（非）+6.0（人）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清潩河-花都路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7.0（人）+6.0（非）+3.0（绿）+9.0（车）+10.0（绿）+9.0+3.0（绿）+6.0（非）+7.0（人）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21</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帝豪路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西外环-灞陵路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46</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7.0（人）+5.0（非）+3.0（绿）+16.0（车）+3.0（绿）+5.0（非）+7.0（人）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灞陵路-延安路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35</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7.0（人）+4.0（非）+1.5（绿）+16.0（车）+3.0（绿）+4.0（非）+7.0（人）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延安路-五一路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35</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4.5（人）+4.0（非）+2.0（绿）+14.0（车）+2.0（绿）+4.0（非）+4.5（人）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五一路-解放路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35</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5.5（人）+4.0（非）+2.0（绿）+12.0（车）+2.0（绿）+4.0（非）+5.5（人）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22</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许都路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劳动路-东顺河街</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25</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5.5（人）+14.0（车）+5.5（人）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东顺河街-清潩河</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30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3.0（人）+24.0（车）+3.0（人）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清潩河-莲城大道</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4.0（人）+32.0（车）+4.0（人）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23</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许继大道</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西外环-颍昌路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5.0（人）+5.0（非）+3.0（绿）+24.0（车）+3.0（绿）+5.0（非）+5.0（人）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24</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七一路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颍昌路-文峰路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3.5（人）+4.5（非）+3.0（绿）+18.0（车）+3.0（绿）+4.5（非）+3.5（人）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25</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莲城大道</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文峰路-清潩河</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6.0（人）+4.0（非）+2.0（绿）+16.0（车）+2.0（绿）+4.0（非）+6.0（人）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清潩河-花都路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8.0（人）+6.0（非）+4.0（绿）+24.0（车）+4.0（绿）+6.0（非）+8.0（人）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26</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花都路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魏武大道-中原路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 xml:space="preserve"> 5.0（人）+4.0（非）+4.0（绿）+12.0（车）+10.0（绿）+12.0（车）+4.0（绿）+4.0（非）+5.0（人）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27</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新东街</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学院路-许州路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4.0（人）+32.0（车）+4.0（人）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28</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前进路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文峰路-清潩河</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35</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5.5（人）+24.0（车）+5.5（人）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清潩河-许州路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4.0（人）+5.0（非）+5.0（绿）+32.0（车）+5.0（绿）+5.0（非）+4.0（人）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29</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紫东街</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中武路-中原路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4.0（人）+22.0（车）+4.0（人）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新兴路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永登高速-西外环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45</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6.0（非）+4.0（绿）+25.0（车）+4.0（绿）+6.0（非）</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西外环-灞陵河</w:t>
            </w:r>
          </w:p>
        </w:tc>
        <w:tc>
          <w:tcPr>
            <w:tcW w:w="708"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2.5（人）+4.0（非）+2.0（绿）+23.0（车）+2.0（绿）+4.0（非）+2.5（人）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灞陵河-延安路</w:t>
            </w:r>
          </w:p>
        </w:tc>
        <w:tc>
          <w:tcPr>
            <w:tcW w:w="708"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6.0（人）+12.0（车）+4.0（绿）+12.0（车）+6.0（人）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延安路-运粮河</w:t>
            </w:r>
          </w:p>
        </w:tc>
        <w:tc>
          <w:tcPr>
            <w:tcW w:w="708" w:type="dxa"/>
            <w:vMerge w:val="restart"/>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35</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5.0（人）+25.0（车）+5.0（人）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运粮河-毓秀路</w:t>
            </w:r>
          </w:p>
        </w:tc>
        <w:tc>
          <w:tcPr>
            <w:tcW w:w="708"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6.0（人）+23.0（车）+6.0（人）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毓秀路-许州路</w:t>
            </w:r>
          </w:p>
        </w:tc>
        <w:tc>
          <w:tcPr>
            <w:tcW w:w="708"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2.0（人）+4.0（非）+2.0（绿）+24.0（车）+2.0（绿）+4.0（非）+2.0（人）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许州路-中原路</w:t>
            </w:r>
          </w:p>
        </w:tc>
        <w:tc>
          <w:tcPr>
            <w:tcW w:w="708"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4.0（人）+14.0（车）+4.0（绿）+14.0（车）+4.0（人）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31</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许由路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西外环-灞陵路</w:t>
            </w:r>
          </w:p>
        </w:tc>
        <w:tc>
          <w:tcPr>
            <w:tcW w:w="708"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5.0（人）+5.0（非）+3.0（绿）+24.0（车）+3.0（绿）+5.0（非）+5.0（人）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灞陵路-潩水路</w:t>
            </w:r>
          </w:p>
        </w:tc>
        <w:tc>
          <w:tcPr>
            <w:tcW w:w="708"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8.0（人）+6.0（非）+3.0（绿）+16.0（车）+3.0（绿）+6.0（非）+8.0（人）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潩水路-许州路</w:t>
            </w:r>
          </w:p>
        </w:tc>
        <w:tc>
          <w:tcPr>
            <w:tcW w:w="708"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5.0（人）+5.0（非）+3.0（绿）+24.0（车）+3.0（绿）+5.0（非）+5.0（人）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许州路-中原路</w:t>
            </w:r>
          </w:p>
        </w:tc>
        <w:tc>
          <w:tcPr>
            <w:tcW w:w="708"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4.0（人）+5.0（非）+4.0（绿）+24.0（车）+4.0（绿）+5.0（非）+4.0（人）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32</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阳光大道</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西外环-灞陵河</w:t>
            </w:r>
          </w:p>
        </w:tc>
        <w:tc>
          <w:tcPr>
            <w:tcW w:w="708"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3.0（人）+4.0（非）+2.0（绿）+32.0（车）+2.0（绿）+4.0（非）+3.0（人）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灞陵河-工农路</w:t>
            </w:r>
          </w:p>
        </w:tc>
        <w:tc>
          <w:tcPr>
            <w:tcW w:w="708"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11.0（人）+5.0（非）+2.0（绿）+14.0（车）+2.0（绿）+5.0（非）+11.0（人）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工农路-仓库路</w:t>
            </w:r>
          </w:p>
        </w:tc>
        <w:tc>
          <w:tcPr>
            <w:tcW w:w="708"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4.0（人）+5.0（非）+4.0（绿）+24.0（车）+4.0（绿）+5.0（非）+4.0（人）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33</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瑞贝卡大道</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仓库路-中原路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7.0（人）+6.0（非）+3.0（绿）+18.0（车）+3.0（绿）+6.0（非）+7.0（人）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34</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屯田路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西外环-仓库路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4.0（人）+3.5（非）+1.5（绿）+12.0（车）+8.0（绿）+12.0（车）+1.5（绿）+3.5（非）+4.0（人）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35</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金叶大道</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仓库路-中原路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4.0（人）+3.5（非）+1.5（绿）+12.0（车）+8.0（绿）+12.0（车）+1.5（绿）+3.5（非）+4.0（人）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36</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瑞昌西路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开元路-许繁公路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4.0（人）+14.0（车）+4.0（绿）+14.0（车）+4.0（人）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37</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恒通路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仓库路-文安路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4.0（人）+32.0（车）+4.0（人）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38</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南外环路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西外环-中原路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80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4.0（人）+14.0（慢）+10.0（绿）+24.0（快）+10.0（绿）+14.0（慢）+4.0（人）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快速路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39</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西外环路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南外环-新元大道</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80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4.0（人）+14.0（慢）+10.0（绿）+24.0（快）+10.0（绿）+14.0（慢）+4.0（人）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快速路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开元路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新兴路-南外环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6.5（人）+5.0（非）+1.5（绿）+14.0（车）+1.5（绿）+5.0（非）+6.5（人）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41</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朝阳路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南外环-瑞祥西路</w:t>
            </w:r>
          </w:p>
        </w:tc>
        <w:tc>
          <w:tcPr>
            <w:tcW w:w="708"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7.0（人）+4.0（非）+2.0（绿）+24.0（车）+2.0（绿）+4.0（非）+7.0（人）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瑞祥西路-永昌西路</w:t>
            </w:r>
          </w:p>
        </w:tc>
        <w:tc>
          <w:tcPr>
            <w:tcW w:w="708"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4.0（人）+5.0（非）+4.0（绿）+24.0（车）+4.0（绿）+5.0（非）+4.0（人）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42</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灞陵路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南外环-屯田路</w:t>
            </w:r>
          </w:p>
        </w:tc>
        <w:tc>
          <w:tcPr>
            <w:tcW w:w="708"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5.0（人）+5.0（非）+3.0（绿）+24.0（车）+3.0（绿）+5.0（非）+5.0（人）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屯田路-天宝路</w:t>
            </w:r>
          </w:p>
        </w:tc>
        <w:tc>
          <w:tcPr>
            <w:tcW w:w="708"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4.0（人）+3.5（非）+1.5（绿）+12.0（车）+8.0（绿）+12.0（车）+1.5（绿）+3.5（非）+4.0（人）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天宝路-农大路</w:t>
            </w:r>
          </w:p>
        </w:tc>
        <w:tc>
          <w:tcPr>
            <w:tcW w:w="708"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5.0（人）+5.0（非）+7.0（绿）+16.0（车）+7.0（绿）+5.0（非）+5.0（人）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43</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汉风路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永昌西路-农大路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4.0（人）+14.0（车）+4.0（绿）+14.0（车）+4.0（人）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44</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延安路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南外环-屯田路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5.0（人）+5.0（非）+3.0（绿）+24.0（车）+3.0（绿）+5.0（非）+5.0（人）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屯田路-天宝路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8.0（人）+6.0（非）+4.0（绿）+14.0（车）+4.0（绿）+6.0（非）+8.0（人）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天宝路-永昌西路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4.0（人）+5.0（非）+4.0（绿）+24.0（车）+4.0（绿）+5.0（非）+4.0（人）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45</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解放路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阳光大道-天宝路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3.5（人）+23.0（车）+3.5（人）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南外环-阳光大道</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4.0（人）+14.0（车）+4.0（绿）+14.0（车）+4.0（人）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46</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劳动路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建设路-天宝路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25</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5.5（人）+14.0（车）+5.5（人）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天宝路-永昌西路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8.0（人）+24.0（车）+8.0（人）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永昌西路-北苑大道</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4.0（人）+14.0（车）+4.0（绿）+14.0（车）+4.0（人）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47</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颍昌路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建设路-南关大街</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6.0（人）+28.0（车）+6.0（人）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48</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仓库路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南外环-南关大街</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3.0（人）+24.0（车）+3.0（人）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49</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兴平路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陈庄街-建德路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7.0（人）+4.0（非）+2.0（绿）+14.0（车）+2.0（绿）+4.0（非）+7.0（人）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察院西街</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七一路-天宝路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9.0（人）+12.0（车）+9.0（人）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51</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文峰路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永昌西路以北</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53</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3.0（人）+5.0（非）+4.0（绿）+29.0（车）+4.0（绿）+5.0（非）+3.0（人）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天宝路-永昌西路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4.0（人）+6.0（非）+3.0（绿）+24.0（车）+3.0（绿）+6.0（非）+4.0（人）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瑞贝卡大道-天宝路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4.0（人）+4.0（非）+2.0（绿）+14.0（车）+8.0（绿）+4.0（非）+4.0（人）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52</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文兴路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文峰路-南外环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6.0（人）+5.0（非）+2.0（绿）+14.0（车）+2.0（绿）+5.0（非）+6.0（人）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53</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八龙路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陈庄街-建安大道</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4.0（人）+32.0（车）+4.0（人）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54</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智慧大道</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许都路-前进路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2.0（人）+14.0（车）+8.0（绿）+14.0（车）+2.0（人）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55</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毓秀路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莲城大道-新兴路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3.0（人）+19.0（车）+3.0（人）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56</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兴昌路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新兴路-文翰路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9.0（人）+12.0（车）+9.0（人）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57</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魏文路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兴新路-隆昌路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6.0（人）+6.0（非）+5.0（绿）+18.0（车）+5.0（绿）+6.0（非）+6.0（人）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隆昌路-尚集街</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65</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4.0（人）+10.0（非）+3.0（绿）+16.0（车）+4.0（绿）+16.0（车）+3.0（绿）+5.0（非）+3.0（人）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尚集街-魏武大道</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4.0（人）+5.0（非）+3.0（绿）+16.0（车）+4.0（绿）+16.0（车）+3.0（绿）+5.0（非）+3.0（人）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58</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学院路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永昌东路-天宝路</w:t>
            </w:r>
          </w:p>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金叶大道-南外环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5.0（人）+5.0（非）+3.0（绿）+24.0（车）+3.0（绿）+5.0（非）+5.0（人）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天宝路-金叶大道</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4.0（人）+3.5（非）+1.5（绿）+12.0（车）+8.0（绿）+12.0（车）+1.5（绿）+3.5（非）+4.0（人）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lang w:bidi="ar"/>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59</w:t>
            </w:r>
          </w:p>
        </w:tc>
        <w:tc>
          <w:tcPr>
            <w:tcW w:w="1040"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魏武大道</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永昌东路以北</w:t>
            </w:r>
          </w:p>
        </w:tc>
        <w:tc>
          <w:tcPr>
            <w:tcW w:w="708"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80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4.0（人）+8.0（非）+8.0（绿）+16.0（车）+8.0（绿）+16.0（车）+8.0（绿）+8.0（非）+4.0（人）</w:t>
            </w:r>
          </w:p>
        </w:tc>
        <w:tc>
          <w:tcPr>
            <w:tcW w:w="1035" w:type="dxa"/>
            <w:vMerge w:val="restart"/>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040"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永昌路-南外环</w:t>
            </w:r>
          </w:p>
        </w:tc>
        <w:tc>
          <w:tcPr>
            <w:tcW w:w="708"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6.0（人）+8.0（非）+6.0（绿）+40.0（车）+6.0（绿）+8.0（非）+6.0（人）</w:t>
            </w:r>
          </w:p>
        </w:tc>
        <w:tc>
          <w:tcPr>
            <w:tcW w:w="1035" w:type="dxa"/>
            <w:vMerge w:val="continue"/>
            <w:tcBorders>
              <w:tl2br w:val="nil"/>
              <w:tr2bl w:val="nil"/>
            </w:tcBorders>
            <w:vAlign w:val="center"/>
          </w:tcPr>
          <w:p>
            <w:pPr>
              <w:widowControl/>
              <w:jc w:val="left"/>
              <w:rPr>
                <w:rFonts w:hint="eastAsia" w:ascii="楷体_GB2312" w:hAnsi="楷体_GB2312" w:eastAsia="楷体_GB2312" w:cs="楷体_GB2312"/>
                <w:color w:val="auto"/>
                <w:kern w:val="0"/>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许州路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北苑大道-南外环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5.0（人）+8.0（慢）+3.0（绿）+12.0（快）+4.0（绿）+12.0（快）+3.0（绿）+3.0（人）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快速路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61</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玉兰路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北苑大道-南外环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4.0（人）+14.0（车）+4.0（绿）+14.0（车）+4.0（人）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62</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松苑路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新兴路以北</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4.0（人）+14.0（车）+4.0（绿）+14.0（车）+4.0（人）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63</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忠武路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北苑大道-南外环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6.0（人）+6.0（非）+4.0（绿）+12.0（车）+8.0（绿）+12.0（车）+43.0（绿）+6.0（非）+6.0（人）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64</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梧桐路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永昌东路-红河北街</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30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4.0（人）+22.0（车）+4.0（人）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次干路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80" w:hRule="exact"/>
          <w:jc w:val="center"/>
        </w:trPr>
        <w:tc>
          <w:tcPr>
            <w:tcW w:w="537"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65</w:t>
            </w:r>
          </w:p>
        </w:tc>
        <w:tc>
          <w:tcPr>
            <w:tcW w:w="1040"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中原路</w:t>
            </w:r>
          </w:p>
        </w:tc>
        <w:tc>
          <w:tcPr>
            <w:tcW w:w="1134" w:type="dxa"/>
            <w:tcBorders>
              <w:tl2br w:val="nil"/>
              <w:tr2bl w:val="nil"/>
            </w:tcBorders>
            <w:vAlign w:val="center"/>
          </w:tcPr>
          <w:p>
            <w:pPr>
              <w:jc w:val="center"/>
              <w:rPr>
                <w:rFonts w:hint="eastAsia" w:ascii="楷体_GB2312" w:hAnsi="楷体_GB2312" w:eastAsia="楷体_GB2312" w:cs="楷体_GB2312"/>
                <w:color w:val="auto"/>
                <w:sz w:val="18"/>
                <w:szCs w:val="18"/>
                <w:lang w:bidi="ar"/>
              </w:rPr>
            </w:pPr>
            <w:r>
              <w:rPr>
                <w:rFonts w:hint="eastAsia" w:ascii="楷体_GB2312" w:hAnsi="楷体_GB2312" w:eastAsia="楷体_GB2312" w:cs="楷体_GB2312"/>
                <w:color w:val="auto"/>
                <w:sz w:val="18"/>
                <w:szCs w:val="18"/>
                <w:lang w:bidi="ar"/>
              </w:rPr>
              <w:t>北苑大道-新元大道</w:t>
            </w:r>
          </w:p>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花都路-南外环</w:t>
            </w:r>
          </w:p>
        </w:tc>
        <w:tc>
          <w:tcPr>
            <w:tcW w:w="708"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w:t>
            </w:r>
          </w:p>
        </w:tc>
        <w:tc>
          <w:tcPr>
            <w:tcW w:w="4573"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5.0（人）+16.0（车）+8.0（绿）+16.0（车）+5.0（人）</w:t>
            </w:r>
          </w:p>
        </w:tc>
        <w:tc>
          <w:tcPr>
            <w:tcW w:w="1035" w:type="dxa"/>
            <w:tcBorders>
              <w:tl2br w:val="nil"/>
              <w:tr2bl w:val="nil"/>
            </w:tcBorders>
            <w:vAlign w:val="center"/>
          </w:tcPr>
          <w:p>
            <w:pPr>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lang w:bidi="ar"/>
              </w:rPr>
              <w:t>主干路</w:t>
            </w:r>
          </w:p>
        </w:tc>
      </w:tr>
    </w:tbl>
    <w:p>
      <w:pPr>
        <w:ind w:firstLine="480"/>
        <w:rPr>
          <w:rFonts w:hint="eastAsia" w:ascii="楷体_GB2312" w:hAnsi="楷体_GB2312" w:eastAsia="楷体_GB2312" w:cs="楷体_GB2312"/>
          <w:color w:val="auto"/>
          <w:sz w:val="24"/>
        </w:rPr>
      </w:pPr>
    </w:p>
    <w:p>
      <w:pPr>
        <w:rPr>
          <w:rFonts w:hint="eastAsia" w:ascii="楷体_GB2312" w:hAnsi="楷体_GB2312" w:eastAsia="楷体_GB2312" w:cs="楷体_GB2312"/>
          <w:color w:val="auto"/>
        </w:rPr>
      </w:pPr>
    </w:p>
    <w:p>
      <w:pPr>
        <w:keepNext/>
        <w:keepLines/>
        <w:spacing w:before="240" w:beforeLines="100" w:after="240" w:afterLines="100" w:line="360" w:lineRule="auto"/>
        <w:rPr>
          <w:rFonts w:hint="eastAsia" w:ascii="楷体_GB2312" w:hAnsi="楷体_GB2312" w:eastAsia="楷体_GB2312" w:cs="楷体_GB2312"/>
          <w:color w:val="auto"/>
          <w:sz w:val="28"/>
        </w:rPr>
      </w:pPr>
      <w:r>
        <w:rPr>
          <w:rFonts w:hint="eastAsia" w:ascii="楷体_GB2312" w:hAnsi="楷体_GB2312" w:eastAsia="楷体_GB2312" w:cs="楷体_GB2312"/>
          <w:color w:val="auto"/>
          <w:sz w:val="28"/>
        </w:rPr>
        <w:br w:type="page"/>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11" w:name="_Toc495586753"/>
      <w:bookmarkStart w:id="212" w:name="_Toc16008"/>
      <w:r>
        <w:rPr>
          <w:rFonts w:hint="eastAsia" w:ascii="楷体_GB2312" w:hAnsi="楷体_GB2312" w:eastAsia="楷体_GB2312" w:cs="楷体_GB2312"/>
          <w:b/>
          <w:bCs w:val="0"/>
          <w:color w:val="auto"/>
          <w:sz w:val="28"/>
        </w:rPr>
        <w:t>4.10 相关规划评析</w:t>
      </w:r>
      <w:bookmarkEnd w:id="211"/>
      <w:bookmarkEnd w:id="212"/>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rPr>
          <w:rFonts w:hint="eastAsia" w:ascii="楷体_GB2312" w:hAnsi="楷体_GB2312" w:eastAsia="楷体_GB2312" w:cs="楷体_GB2312"/>
          <w:color w:val="auto"/>
          <w:sz w:val="24"/>
          <w:lang w:val="en-US" w:eastAsia="zh-CN"/>
        </w:rPr>
      </w:pPr>
      <w:r>
        <w:rPr>
          <w:rFonts w:hint="eastAsia" w:ascii="楷体_GB2312" w:hAnsi="楷体_GB2312" w:eastAsia="楷体_GB2312" w:cs="楷体_GB2312"/>
          <w:color w:val="auto"/>
          <w:sz w:val="24"/>
          <w:lang w:val="en-US" w:eastAsia="zh-CN"/>
        </w:rPr>
        <w:t>通过以上编制完成或在编中的相关规划的梳理，以及我院对各专项规划的理解，提出如下建议：</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jc w:val="both"/>
        <w:textAlignment w:val="auto"/>
        <w:rPr>
          <w:rFonts w:hint="eastAsia" w:ascii="楷体_GB2312" w:hAnsi="楷体_GB2312" w:eastAsia="楷体_GB2312" w:cs="楷体_GB2312"/>
          <w:color w:val="auto"/>
          <w:sz w:val="24"/>
          <w:u w:val="single"/>
          <w:lang w:val="en-US" w:eastAsia="zh-CN"/>
        </w:rPr>
      </w:pPr>
      <w:r>
        <w:rPr>
          <w:rFonts w:hint="eastAsia" w:ascii="楷体_GB2312" w:hAnsi="楷体_GB2312" w:eastAsia="楷体_GB2312" w:cs="楷体_GB2312"/>
          <w:b/>
          <w:bCs/>
          <w:color w:val="auto"/>
          <w:sz w:val="24"/>
          <w:lang w:val="en-US" w:eastAsia="zh-CN"/>
        </w:rPr>
        <w:t>1</w:t>
      </w:r>
      <w:r>
        <w:rPr>
          <w:rFonts w:hint="eastAsia" w:ascii="楷体_GB2312" w:hAnsi="楷体_GB2312" w:eastAsia="楷体_GB2312" w:cs="楷体_GB2312"/>
          <w:color w:val="auto"/>
          <w:sz w:val="24"/>
          <w:lang w:val="en-US" w:eastAsia="zh-CN"/>
        </w:rPr>
        <w:t>：</w:t>
      </w:r>
      <w:r>
        <w:rPr>
          <w:rFonts w:hint="eastAsia" w:ascii="楷体_GB2312" w:hAnsi="楷体_GB2312" w:eastAsia="楷体_GB2312" w:cs="楷体_GB2312"/>
          <w:color w:val="auto"/>
          <w:sz w:val="24"/>
          <w:u w:val="single"/>
          <w:lang w:val="en-US" w:eastAsia="zh-CN"/>
        </w:rPr>
        <w:t>各专项规划中均未对各自管线的平面、空间位置、数量定义。尤其是供热、电信、电力等专项规划中其点内容是设施布局和容量测算。关于管线的平面定位和数量言之甚少。</w:t>
      </w:r>
    </w:p>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line="360" w:lineRule="auto"/>
        <w:ind w:right="0" w:rightChars="0" w:firstLine="482" w:firstLineChars="200"/>
        <w:jc w:val="both"/>
        <w:textAlignment w:val="auto"/>
        <w:outlineLvl w:val="9"/>
        <w:rPr>
          <w:rFonts w:hint="eastAsia" w:ascii="楷体_GB2312" w:hAnsi="楷体_GB2312" w:eastAsia="楷体_GB2312" w:cs="楷体_GB2312"/>
          <w:color w:val="auto"/>
          <w:sz w:val="24"/>
          <w:lang w:val="en-US" w:eastAsia="zh-CN"/>
        </w:rPr>
      </w:pPr>
      <w:r>
        <w:rPr>
          <w:rFonts w:hint="eastAsia" w:ascii="楷体_GB2312" w:hAnsi="楷体_GB2312" w:eastAsia="楷体_GB2312" w:cs="楷体_GB2312"/>
          <w:b/>
          <w:bCs/>
          <w:color w:val="auto"/>
          <w:sz w:val="24"/>
          <w:lang w:val="en-US" w:eastAsia="zh-CN"/>
        </w:rPr>
        <w:t>■建议：</w:t>
      </w:r>
      <w:r>
        <w:rPr>
          <w:rFonts w:hint="eastAsia" w:ascii="楷体_GB2312" w:hAnsi="楷体_GB2312" w:eastAsia="楷体_GB2312" w:cs="楷体_GB2312"/>
          <w:color w:val="auto"/>
          <w:sz w:val="24"/>
          <w:lang w:val="en-US" w:eastAsia="zh-CN"/>
        </w:rPr>
        <w:t>在项目启动后，依据即将完成的《许昌市地下管网普资料》及各专项规划成果，初步编制各专业管线的数量（大小）控制数据，并与各管线只能管理部门衔接、确定。</w:t>
      </w:r>
    </w:p>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line="360" w:lineRule="auto"/>
        <w:ind w:right="0" w:rightChars="0" w:firstLine="482" w:firstLineChars="200"/>
        <w:jc w:val="both"/>
        <w:textAlignment w:val="auto"/>
        <w:outlineLvl w:val="9"/>
        <w:rPr>
          <w:rFonts w:hint="eastAsia" w:ascii="楷体_GB2312" w:hAnsi="楷体_GB2312" w:eastAsia="楷体_GB2312" w:cs="楷体_GB2312"/>
          <w:color w:val="auto"/>
          <w:sz w:val="24"/>
          <w:lang w:eastAsia="zh-CN"/>
        </w:rPr>
      </w:pPr>
      <w:r>
        <w:rPr>
          <w:rFonts w:hint="eastAsia" w:ascii="楷体_GB2312" w:hAnsi="楷体_GB2312" w:eastAsia="楷体_GB2312" w:cs="楷体_GB2312"/>
          <w:b/>
          <w:bCs/>
          <w:color w:val="auto"/>
          <w:sz w:val="24"/>
          <w:lang w:val="en-US" w:eastAsia="zh-CN"/>
        </w:rPr>
        <w:t>2：</w:t>
      </w:r>
      <w:r>
        <w:rPr>
          <w:rFonts w:hint="eastAsia" w:ascii="楷体_GB2312" w:hAnsi="楷体_GB2312" w:eastAsia="楷体_GB2312" w:cs="楷体_GB2312"/>
          <w:color w:val="auto"/>
          <w:sz w:val="24"/>
          <w:u w:val="single"/>
          <w:lang w:val="en-US" w:eastAsia="zh-CN"/>
        </w:rPr>
        <w:t>从各规划编制的的基准年限来看，多处于多个规范交替的时间节点，</w:t>
      </w:r>
      <w:r>
        <w:rPr>
          <w:rFonts w:hint="eastAsia" w:ascii="楷体_GB2312" w:hAnsi="楷体_GB2312" w:eastAsia="楷体_GB2312" w:cs="楷体_GB2312"/>
          <w:color w:val="auto"/>
          <w:sz w:val="24"/>
          <w:u w:val="single"/>
          <w:lang w:eastAsia="zh-CN"/>
        </w:rPr>
        <w:t>规划中很难免做到无缝对接。</w:t>
      </w:r>
      <w:r>
        <w:rPr>
          <w:rFonts w:hint="eastAsia" w:ascii="楷体_GB2312" w:hAnsi="楷体_GB2312" w:eastAsia="楷体_GB2312" w:cs="楷体_GB2312"/>
          <w:color w:val="auto"/>
          <w:sz w:val="24"/>
          <w:lang w:val="en-US" w:eastAsia="zh-CN"/>
        </w:rPr>
        <w:t>如：</w:t>
      </w:r>
      <w:r>
        <w:rPr>
          <w:rFonts w:hint="eastAsia" w:ascii="楷体_GB2312" w:hAnsi="楷体_GB2312" w:eastAsia="楷体_GB2312" w:cs="楷体_GB2312"/>
          <w:color w:val="auto"/>
          <w:sz w:val="24"/>
        </w:rPr>
        <w:t>《城市工程管线综合规划规范》（GB50289—2016）</w:t>
      </w:r>
      <w:r>
        <w:rPr>
          <w:rFonts w:hint="eastAsia" w:ascii="楷体_GB2312" w:hAnsi="楷体_GB2312" w:eastAsia="楷体_GB2312" w:cs="楷体_GB2312"/>
          <w:color w:val="auto"/>
          <w:sz w:val="24"/>
          <w:lang w:eastAsia="zh-CN"/>
        </w:rPr>
        <w:t>、</w:t>
      </w:r>
      <w:r>
        <w:rPr>
          <w:rFonts w:hint="eastAsia" w:ascii="楷体_GB2312" w:hAnsi="楷体_GB2312" w:eastAsia="楷体_GB2312" w:cs="楷体_GB2312"/>
          <w:color w:val="auto"/>
          <w:sz w:val="24"/>
        </w:rPr>
        <w:t>《城市给水工程规划规范》（GB50282—2016）《城市排水工程规划规范》（GB50318—2017）</w:t>
      </w:r>
      <w:r>
        <w:rPr>
          <w:rFonts w:hint="eastAsia" w:ascii="楷体_GB2312" w:hAnsi="楷体_GB2312" w:eastAsia="楷体_GB2312" w:cs="楷体_GB2312"/>
          <w:color w:val="auto"/>
          <w:sz w:val="24"/>
          <w:lang w:eastAsia="zh-CN"/>
        </w:rPr>
        <w:t>、</w:t>
      </w:r>
      <w:r>
        <w:rPr>
          <w:rFonts w:hint="eastAsia" w:ascii="楷体_GB2312" w:hAnsi="楷体_GB2312" w:eastAsia="楷体_GB2312" w:cs="楷体_GB2312"/>
          <w:color w:val="auto"/>
          <w:sz w:val="24"/>
        </w:rPr>
        <w:t>《室外排水设计规范》（GB50014－2006）(2016年版）</w:t>
      </w:r>
      <w:r>
        <w:rPr>
          <w:rFonts w:hint="eastAsia" w:ascii="楷体_GB2312" w:hAnsi="楷体_GB2312" w:eastAsia="楷体_GB2312" w:cs="楷体_GB2312"/>
          <w:color w:val="auto"/>
          <w:sz w:val="24"/>
          <w:lang w:eastAsia="zh-CN"/>
        </w:rPr>
        <w:t>均为近几年新颁布的规范。</w:t>
      </w:r>
    </w:p>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line="360" w:lineRule="auto"/>
        <w:ind w:right="0" w:rightChars="0" w:firstLine="482" w:firstLineChars="200"/>
        <w:jc w:val="both"/>
        <w:textAlignment w:val="auto"/>
        <w:outlineLvl w:val="9"/>
        <w:rPr>
          <w:rFonts w:hint="eastAsia" w:ascii="楷体_GB2312" w:hAnsi="楷体_GB2312" w:eastAsia="楷体_GB2312" w:cs="楷体_GB2312"/>
          <w:color w:val="auto"/>
          <w:sz w:val="24"/>
          <w:lang w:eastAsia="zh-CN"/>
        </w:rPr>
      </w:pPr>
      <w:r>
        <w:rPr>
          <w:rFonts w:hint="eastAsia" w:ascii="楷体_GB2312" w:hAnsi="楷体_GB2312" w:eastAsia="楷体_GB2312" w:cs="楷体_GB2312"/>
          <w:b/>
          <w:bCs/>
          <w:color w:val="auto"/>
          <w:sz w:val="24"/>
          <w:lang w:val="en-US" w:eastAsia="zh-CN"/>
        </w:rPr>
        <w:t>■建议</w:t>
      </w:r>
      <w:r>
        <w:rPr>
          <w:rFonts w:hint="eastAsia" w:ascii="楷体_GB2312" w:hAnsi="楷体_GB2312" w:eastAsia="楷体_GB2312" w:cs="楷体_GB2312"/>
          <w:b/>
          <w:bCs/>
          <w:color w:val="auto"/>
          <w:sz w:val="24"/>
          <w:lang w:eastAsia="zh-CN"/>
        </w:rPr>
        <w:t>：核实新规范，对已编制的专项规划提出调整方案。</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before="313" w:beforeLines="100" w:line="360" w:lineRule="auto"/>
        <w:ind w:left="0" w:leftChars="0" w:right="0" w:rightChars="0" w:firstLine="482" w:firstLineChars="200"/>
        <w:jc w:val="left"/>
        <w:textAlignment w:val="auto"/>
        <w:outlineLvl w:val="9"/>
        <w:rPr>
          <w:rFonts w:hint="eastAsia" w:ascii="楷体_GB2312" w:hAnsi="楷体_GB2312" w:eastAsia="楷体_GB2312" w:cs="楷体_GB2312"/>
          <w:b w:val="0"/>
          <w:bCs w:val="0"/>
          <w:color w:val="auto"/>
          <w:sz w:val="24"/>
          <w:szCs w:val="24"/>
          <w:lang w:val="en-US" w:eastAsia="zh-CN"/>
        </w:rPr>
      </w:pPr>
      <w:r>
        <w:rPr>
          <w:rFonts w:hint="eastAsia" w:ascii="楷体_GB2312" w:hAnsi="楷体_GB2312" w:eastAsia="楷体_GB2312" w:cs="楷体_GB2312"/>
          <w:b/>
          <w:bCs/>
          <w:color w:val="auto"/>
          <w:sz w:val="24"/>
          <w:lang w:val="en-US" w:eastAsia="zh-CN"/>
        </w:rPr>
        <w:t>3</w:t>
      </w:r>
      <w:r>
        <w:rPr>
          <w:rFonts w:hint="eastAsia" w:ascii="楷体_GB2312" w:hAnsi="楷体_GB2312" w:eastAsia="楷体_GB2312" w:cs="楷体_GB2312"/>
          <w:b/>
          <w:bCs/>
          <w:color w:val="auto"/>
          <w:sz w:val="24"/>
          <w:szCs w:val="24"/>
          <w:lang w:val="en-US" w:eastAsia="zh-CN"/>
        </w:rPr>
        <w:t xml:space="preserve">： </w:t>
      </w:r>
      <w:r>
        <w:rPr>
          <w:rFonts w:hint="eastAsia" w:ascii="楷体_GB2312" w:hAnsi="楷体_GB2312" w:eastAsia="楷体_GB2312" w:cs="楷体_GB2312"/>
          <w:b w:val="0"/>
          <w:bCs w:val="0"/>
          <w:color w:val="auto"/>
          <w:sz w:val="24"/>
          <w:szCs w:val="24"/>
          <w:lang w:val="en-US" w:eastAsia="zh-CN"/>
        </w:rPr>
        <w:t>关于设施规模的确定问题，应更具有弹性。各规划中均存在规划年限，考虑设施规模的时候一般采用规划远期作为设施规模的制约因素之一。但是否是考虑更远的期限？</w:t>
      </w:r>
    </w:p>
    <w:p>
      <w:pPr>
        <w:keepNext w:val="0"/>
        <w:keepLines w:val="0"/>
        <w:pageBreakBefore w:val="0"/>
        <w:widowControl/>
        <w:numPr>
          <w:ilvl w:val="0"/>
          <w:numId w:val="0"/>
        </w:numPr>
        <w:suppressLineNumbers w:val="0"/>
        <w:kinsoku/>
        <w:wordWrap/>
        <w:overflowPunct/>
        <w:topLinePunct w:val="0"/>
        <w:autoSpaceDE/>
        <w:autoSpaceDN/>
        <w:bidi w:val="0"/>
        <w:adjustRightInd/>
        <w:snapToGrid/>
        <w:spacing w:line="360" w:lineRule="auto"/>
        <w:ind w:right="0" w:rightChars="0" w:firstLine="482" w:firstLineChars="200"/>
        <w:jc w:val="left"/>
        <w:textAlignment w:val="auto"/>
        <w:outlineLvl w:val="9"/>
        <w:rPr>
          <w:rFonts w:hint="eastAsia" w:ascii="楷体_GB2312" w:hAnsi="楷体_GB2312" w:eastAsia="楷体_GB2312" w:cs="楷体_GB2312"/>
          <w:b w:val="0"/>
          <w:bCs w:val="0"/>
          <w:color w:val="auto"/>
          <w:sz w:val="24"/>
          <w:szCs w:val="24"/>
          <w:lang w:val="en-US" w:eastAsia="zh-CN"/>
        </w:rPr>
      </w:pPr>
      <w:r>
        <w:rPr>
          <w:rFonts w:hint="eastAsia" w:ascii="楷体_GB2312" w:hAnsi="楷体_GB2312" w:eastAsia="楷体_GB2312" w:cs="楷体_GB2312"/>
          <w:b/>
          <w:bCs/>
          <w:color w:val="auto"/>
          <w:sz w:val="24"/>
          <w:lang w:val="en-US" w:eastAsia="zh-CN"/>
        </w:rPr>
        <w:t>■建议</w:t>
      </w:r>
      <w:r>
        <w:rPr>
          <w:rFonts w:hint="eastAsia" w:ascii="楷体_GB2312" w:hAnsi="楷体_GB2312" w:eastAsia="楷体_GB2312" w:cs="楷体_GB2312"/>
          <w:b/>
          <w:bCs/>
          <w:color w:val="auto"/>
          <w:sz w:val="24"/>
          <w:lang w:eastAsia="zh-CN"/>
        </w:rPr>
        <w:t>：</w:t>
      </w:r>
      <w:r>
        <w:rPr>
          <w:rFonts w:hint="eastAsia" w:ascii="楷体_GB2312" w:hAnsi="楷体_GB2312" w:eastAsia="楷体_GB2312" w:cs="楷体_GB2312"/>
          <w:b w:val="0"/>
          <w:bCs w:val="0"/>
          <w:color w:val="auto"/>
          <w:sz w:val="24"/>
          <w:szCs w:val="24"/>
          <w:lang w:val="en-US" w:eastAsia="zh-CN"/>
        </w:rPr>
        <w:t>在考虑设施规模的过程中应放到更大的范围来做预测，或者说规划中应更具有弹性，在规划的中远期对设施规模再行核算确定，但应在设施用地规模上预留一定的余量。同时，城市发展并不意味着城市基础设施（给水、供电、排水等）一直呈现对应的增长。发展到一定的程度时候，会呈现平缓期，甚至是衰减期；</w:t>
      </w:r>
    </w:p>
    <w:p>
      <w:pPr>
        <w:keepNext w:val="0"/>
        <w:keepLines w:val="0"/>
        <w:pageBreakBefore w:val="0"/>
        <w:widowControl w:val="0"/>
        <w:numPr>
          <w:ilvl w:val="0"/>
          <w:numId w:val="0"/>
        </w:numPr>
        <w:kinsoku/>
        <w:wordWrap/>
        <w:overflowPunct/>
        <w:topLinePunct w:val="0"/>
        <w:autoSpaceDE/>
        <w:autoSpaceDN/>
        <w:bidi w:val="0"/>
        <w:adjustRightInd/>
        <w:snapToGrid/>
        <w:spacing w:before="313" w:beforeLines="100" w:line="360" w:lineRule="auto"/>
        <w:ind w:left="0" w:leftChars="0" w:right="0" w:rightChars="0" w:firstLine="480" w:firstLineChars="200"/>
        <w:jc w:val="left"/>
        <w:textAlignment w:val="auto"/>
        <w:outlineLvl w:val="9"/>
        <w:rPr>
          <w:rFonts w:hint="eastAsia" w:ascii="楷体_GB2312" w:hAnsi="楷体_GB2312" w:eastAsia="楷体_GB2312" w:cs="楷体_GB2312"/>
          <w:b w:val="0"/>
          <w:bCs w:val="0"/>
          <w:color w:val="auto"/>
          <w:sz w:val="24"/>
          <w:szCs w:val="24"/>
          <w:lang w:val="en-US" w:eastAsia="zh-CN"/>
        </w:rPr>
      </w:pPr>
      <w:r>
        <w:rPr>
          <w:rFonts w:hint="eastAsia" w:ascii="楷体_GB2312" w:hAnsi="楷体_GB2312" w:eastAsia="楷体_GB2312" w:cs="楷体_GB2312"/>
          <w:b w:val="0"/>
          <w:bCs w:val="0"/>
          <w:color w:val="auto"/>
          <w:sz w:val="24"/>
          <w:szCs w:val="24"/>
          <w:lang w:val="en-US" w:eastAsia="zh-CN"/>
        </w:rPr>
        <w:t>4：通信管线不应仅仅立足于“通信”，更应对作好对未来“智能”系统的硬件支撑。如：对主干道以上的交叉口位置，设置有多套监控系统。不再是原始意义上“监控”还包括未来可能实施的反馈、交流、控制等要素。</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2" w:firstLineChars="200"/>
        <w:jc w:val="left"/>
        <w:textAlignment w:val="auto"/>
        <w:outlineLvl w:val="9"/>
        <w:rPr>
          <w:rFonts w:hint="eastAsia" w:ascii="楷体_GB2312" w:hAnsi="楷体_GB2312" w:eastAsia="楷体_GB2312" w:cs="楷体_GB2312"/>
          <w:b w:val="0"/>
          <w:bCs w:val="0"/>
          <w:color w:val="auto"/>
          <w:sz w:val="24"/>
          <w:szCs w:val="24"/>
          <w:lang w:val="en-US" w:eastAsia="zh-CN"/>
        </w:rPr>
      </w:pPr>
      <w:r>
        <w:rPr>
          <w:rFonts w:hint="eastAsia" w:ascii="楷体_GB2312" w:hAnsi="楷体_GB2312" w:eastAsia="楷体_GB2312" w:cs="楷体_GB2312"/>
          <w:b/>
          <w:bCs/>
          <w:color w:val="auto"/>
          <w:sz w:val="24"/>
          <w:lang w:val="en-US" w:eastAsia="zh-CN"/>
        </w:rPr>
        <w:t>■建议</w:t>
      </w:r>
      <w:r>
        <w:rPr>
          <w:rFonts w:hint="eastAsia" w:ascii="楷体_GB2312" w:hAnsi="楷体_GB2312" w:eastAsia="楷体_GB2312" w:cs="楷体_GB2312"/>
          <w:b/>
          <w:bCs/>
          <w:color w:val="auto"/>
          <w:sz w:val="24"/>
          <w:lang w:eastAsia="zh-CN"/>
        </w:rPr>
        <w:t>：</w:t>
      </w:r>
      <w:r>
        <w:rPr>
          <w:rFonts w:hint="eastAsia" w:ascii="楷体_GB2312" w:hAnsi="楷体_GB2312" w:eastAsia="楷体_GB2312" w:cs="楷体_GB2312"/>
          <w:b w:val="0"/>
          <w:bCs w:val="0"/>
          <w:color w:val="auto"/>
          <w:sz w:val="24"/>
          <w:szCs w:val="24"/>
          <w:lang w:val="en-US" w:eastAsia="zh-CN"/>
        </w:rPr>
        <w:t>在各交叉口的位置预留了更多的埋地管线预留通道。</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楷体_GB2312" w:hAnsi="楷体_GB2312" w:eastAsia="楷体_GB2312" w:cs="楷体_GB2312"/>
          <w:b w:val="0"/>
          <w:bCs w:val="0"/>
          <w:color w:val="auto"/>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楷体_GB2312" w:hAnsi="楷体_GB2312" w:eastAsia="楷体_GB2312" w:cs="楷体_GB2312"/>
          <w:b w:val="0"/>
          <w:bCs w:val="0"/>
          <w:color w:val="auto"/>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outlineLvl w:val="9"/>
        <w:rPr>
          <w:rFonts w:hint="eastAsia" w:ascii="楷体_GB2312" w:hAnsi="楷体_GB2312" w:eastAsia="楷体_GB2312" w:cs="楷体_GB2312"/>
          <w:b w:val="0"/>
          <w:bCs w:val="0"/>
          <w:color w:val="auto"/>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723" w:firstLineChars="300"/>
        <w:jc w:val="both"/>
        <w:textAlignment w:val="auto"/>
        <w:outlineLvl w:val="9"/>
        <w:rPr>
          <w:rFonts w:hint="eastAsia" w:ascii="楷体_GB2312" w:hAnsi="楷体_GB2312" w:eastAsia="楷体_GB2312" w:cs="楷体_GB2312"/>
          <w:b/>
          <w:bCs/>
          <w:color w:val="auto"/>
          <w:sz w:val="24"/>
          <w:lang w:val="en-US" w:eastAsia="zh-CN"/>
        </w:rPr>
      </w:pPr>
      <w:r>
        <w:rPr>
          <w:rFonts w:hint="eastAsia" w:ascii="楷体_GB2312" w:hAnsi="楷体_GB2312" w:eastAsia="楷体_GB2312" w:cs="楷体_GB2312"/>
          <w:b/>
          <w:bCs/>
          <w:color w:val="auto"/>
          <w:sz w:val="24"/>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center"/>
        <w:textAlignment w:val="auto"/>
        <w:outlineLvl w:val="9"/>
        <w:rPr>
          <w:rFonts w:hint="eastAsia" w:ascii="楷体_GB2312" w:hAnsi="楷体_GB2312" w:eastAsia="楷体_GB2312" w:cs="楷体_GB2312"/>
          <w:b/>
          <w:bCs/>
          <w:color w:val="auto"/>
          <w:sz w:val="24"/>
          <w:lang w:val="en-US" w:eastAsia="zh-CN"/>
        </w:rPr>
      </w:pPr>
      <w:r>
        <w:rPr>
          <w:rFonts w:hint="eastAsia" w:ascii="楷体_GB2312" w:hAnsi="楷体_GB2312" w:eastAsia="楷体_GB2312" w:cs="楷体_GB2312"/>
          <w:b/>
          <w:bCs/>
          <w:color w:val="auto"/>
          <w:sz w:val="24"/>
          <w:lang w:val="en-US" w:eastAsia="zh-CN"/>
        </w:rPr>
        <w:t>各规划评析细表</w:t>
      </w:r>
    </w:p>
    <w:tbl>
      <w:tblPr>
        <w:tblStyle w:val="22"/>
        <w:tblW w:w="9191"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78"/>
        <w:gridCol w:w="3854"/>
        <w:gridCol w:w="3751"/>
        <w:gridCol w:w="80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614" w:hRule="exact"/>
          <w:tblHeader/>
        </w:trPr>
        <w:tc>
          <w:tcPr>
            <w:tcW w:w="778"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color w:val="auto"/>
                <w:sz w:val="21"/>
                <w:szCs w:val="21"/>
                <w:vertAlign w:val="baseline"/>
                <w:lang w:eastAsia="zh-CN"/>
              </w:rPr>
            </w:pPr>
            <w:r>
              <w:rPr>
                <w:rFonts w:hint="eastAsia" w:ascii="楷体_GB2312" w:hAnsi="楷体_GB2312" w:eastAsia="楷体_GB2312" w:cs="楷体_GB2312"/>
                <w:color w:val="auto"/>
                <w:sz w:val="21"/>
                <w:szCs w:val="21"/>
                <w:vertAlign w:val="baseline"/>
                <w:lang w:eastAsia="zh-CN"/>
              </w:rPr>
              <w:t>规划名称</w:t>
            </w:r>
          </w:p>
        </w:tc>
        <w:tc>
          <w:tcPr>
            <w:tcW w:w="3854"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color w:val="auto"/>
                <w:sz w:val="21"/>
                <w:szCs w:val="21"/>
                <w:vertAlign w:val="baseline"/>
                <w:lang w:eastAsia="zh-CN"/>
              </w:rPr>
            </w:pPr>
            <w:r>
              <w:rPr>
                <w:rFonts w:hint="eastAsia" w:ascii="楷体_GB2312" w:hAnsi="楷体_GB2312" w:eastAsia="楷体_GB2312" w:cs="楷体_GB2312"/>
                <w:color w:val="auto"/>
                <w:sz w:val="21"/>
                <w:szCs w:val="21"/>
                <w:vertAlign w:val="baseline"/>
                <w:lang w:eastAsia="zh-CN"/>
              </w:rPr>
              <w:t>规划延续</w:t>
            </w:r>
          </w:p>
        </w:tc>
        <w:tc>
          <w:tcPr>
            <w:tcW w:w="3751"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color w:val="auto"/>
                <w:sz w:val="21"/>
                <w:szCs w:val="21"/>
                <w:vertAlign w:val="baseline"/>
                <w:lang w:eastAsia="zh-CN"/>
              </w:rPr>
            </w:pPr>
            <w:r>
              <w:rPr>
                <w:rFonts w:hint="eastAsia" w:ascii="楷体_GB2312" w:hAnsi="楷体_GB2312" w:eastAsia="楷体_GB2312" w:cs="楷体_GB2312"/>
                <w:color w:val="auto"/>
                <w:sz w:val="21"/>
                <w:szCs w:val="21"/>
                <w:vertAlign w:val="baseline"/>
                <w:lang w:eastAsia="zh-CN"/>
              </w:rPr>
              <w:t>规划深化或优化部分</w:t>
            </w:r>
          </w:p>
        </w:tc>
        <w:tc>
          <w:tcPr>
            <w:tcW w:w="808" w:type="dxa"/>
            <w:tcBorders>
              <w:tl2br w:val="nil"/>
              <w:tr2bl w:val="nil"/>
            </w:tcBorders>
            <w:shd w:val="clear" w:color="auto" w:fill="C2D69B" w:themeFill="accent3" w:themeFillTint="99"/>
            <w:vAlign w:val="center"/>
          </w:tcPr>
          <w:p>
            <w:pPr>
              <w:jc w:val="center"/>
              <w:rPr>
                <w:rFonts w:hint="eastAsia" w:ascii="楷体_GB2312" w:hAnsi="楷体_GB2312" w:eastAsia="楷体_GB2312" w:cs="楷体_GB2312"/>
                <w:color w:val="auto"/>
                <w:sz w:val="21"/>
                <w:szCs w:val="21"/>
                <w:vertAlign w:val="baseline"/>
                <w:lang w:eastAsia="zh-CN"/>
              </w:rPr>
            </w:pPr>
            <w:r>
              <w:rPr>
                <w:rFonts w:hint="eastAsia" w:ascii="楷体_GB2312" w:hAnsi="楷体_GB2312" w:eastAsia="楷体_GB2312" w:cs="楷体_GB2312"/>
                <w:color w:val="auto"/>
                <w:sz w:val="21"/>
                <w:szCs w:val="21"/>
                <w:vertAlign w:val="baseline"/>
                <w:lang w:eastAsia="zh-CN"/>
              </w:rPr>
              <w:t>处理建议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989" w:hRule="exact"/>
        </w:trPr>
        <w:tc>
          <w:tcPr>
            <w:tcW w:w="778" w:type="dxa"/>
            <w:tcBorders>
              <w:tl2br w:val="nil"/>
              <w:tr2bl w:val="nil"/>
            </w:tcBorders>
            <w:vAlign w:val="top"/>
          </w:tcPr>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color w:val="auto"/>
                <w:sz w:val="21"/>
                <w:szCs w:val="21"/>
                <w:vertAlign w:val="baseline"/>
              </w:rPr>
            </w:pPr>
            <w:r>
              <w:rPr>
                <w:rFonts w:hint="eastAsia" w:ascii="楷体_GB2312" w:hAnsi="楷体_GB2312" w:eastAsia="楷体_GB2312" w:cs="楷体_GB2312"/>
                <w:color w:val="auto"/>
                <w:sz w:val="21"/>
                <w:szCs w:val="21"/>
                <w:vertAlign w:val="baseline"/>
                <w:lang w:eastAsia="zh-CN"/>
              </w:rPr>
              <w:t>总规</w:t>
            </w:r>
          </w:p>
        </w:tc>
        <w:tc>
          <w:tcPr>
            <w:tcW w:w="3854" w:type="dxa"/>
            <w:tcBorders>
              <w:tl2br w:val="nil"/>
              <w:tr2bl w:val="nil"/>
            </w:tcBorders>
            <w:vAlign w:val="top"/>
          </w:tcPr>
          <w:p>
            <w:pPr>
              <w:keepNext w:val="0"/>
              <w:keepLines w:val="0"/>
              <w:pageBreakBefore w:val="0"/>
              <w:widowControl w:val="0"/>
              <w:numPr>
                <w:ilvl w:val="0"/>
                <w:numId w:val="10"/>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确定了城市的定位、结构、规模及城市发展方向，是</w:t>
            </w:r>
            <w:r>
              <w:rPr>
                <w:rFonts w:hint="eastAsia" w:ascii="楷体_GB2312" w:hAnsi="楷体_GB2312" w:eastAsia="楷体_GB2312" w:cs="楷体_GB2312"/>
                <w:b/>
                <w:bCs/>
                <w:color w:val="auto"/>
                <w:sz w:val="21"/>
                <w:szCs w:val="21"/>
                <w:lang w:val="en-US" w:eastAsia="zh-CN"/>
              </w:rPr>
              <w:t>本次规划的“主轴”</w:t>
            </w:r>
            <w:r>
              <w:rPr>
                <w:rFonts w:hint="eastAsia" w:ascii="楷体_GB2312" w:hAnsi="楷体_GB2312" w:eastAsia="楷体_GB2312" w:cs="楷体_GB2312"/>
                <w:color w:val="auto"/>
                <w:sz w:val="21"/>
                <w:szCs w:val="21"/>
                <w:lang w:val="en-US" w:eastAsia="zh-CN"/>
              </w:rPr>
              <w:t>。</w:t>
            </w:r>
          </w:p>
          <w:p>
            <w:pPr>
              <w:keepNext w:val="0"/>
              <w:keepLines w:val="0"/>
              <w:pageBreakBefore w:val="0"/>
              <w:widowControl w:val="0"/>
              <w:numPr>
                <w:ilvl w:val="0"/>
                <w:numId w:val="10"/>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对城市主要设施的布局有明确的定位和定性（如：污水厂、水厂等基础设施）。</w:t>
            </w:r>
          </w:p>
          <w:p>
            <w:pPr>
              <w:keepNext w:val="0"/>
              <w:keepLines w:val="0"/>
              <w:pageBreakBefore w:val="0"/>
              <w:widowControl w:val="0"/>
              <w:numPr>
                <w:ilvl w:val="0"/>
                <w:numId w:val="10"/>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将整个中心城区划分为了13个片区，各个片区都有不同的发展定位和建设指引，因此管线综合规划在该部分内容上也应采用不同的规划方案策略。</w:t>
            </w:r>
          </w:p>
          <w:p>
            <w:pPr>
              <w:keepNext w:val="0"/>
              <w:keepLines w:val="0"/>
              <w:pageBreakBefore w:val="0"/>
              <w:widowControl w:val="0"/>
              <w:numPr>
                <w:ilvl w:val="0"/>
                <w:numId w:val="10"/>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vertAlign w:val="baseline"/>
              </w:rPr>
            </w:pPr>
            <w:r>
              <w:rPr>
                <w:rFonts w:hint="eastAsia" w:ascii="楷体_GB2312" w:hAnsi="楷体_GB2312" w:eastAsia="楷体_GB2312" w:cs="楷体_GB2312"/>
                <w:b/>
                <w:bCs/>
                <w:color w:val="auto"/>
                <w:sz w:val="21"/>
                <w:szCs w:val="21"/>
                <w:lang w:val="en-US" w:eastAsia="zh-CN"/>
              </w:rPr>
              <w:t>明确</w:t>
            </w:r>
            <w:r>
              <w:rPr>
                <w:rFonts w:hint="eastAsia" w:ascii="楷体_GB2312" w:hAnsi="楷体_GB2312" w:eastAsia="楷体_GB2312" w:cs="楷体_GB2312"/>
                <w:color w:val="auto"/>
                <w:sz w:val="21"/>
                <w:szCs w:val="21"/>
                <w:lang w:val="en-US" w:eastAsia="zh-CN"/>
              </w:rPr>
              <w:t>了护城河以内区域为</w:t>
            </w:r>
            <w:r>
              <w:rPr>
                <w:rFonts w:hint="eastAsia" w:ascii="楷体_GB2312" w:hAnsi="楷体_GB2312" w:eastAsia="楷体_GB2312" w:cs="楷体_GB2312"/>
                <w:b/>
                <w:bCs/>
                <w:color w:val="auto"/>
                <w:sz w:val="21"/>
                <w:szCs w:val="21"/>
                <w:lang w:val="en-US" w:eastAsia="zh-CN"/>
              </w:rPr>
              <w:t>文物保护的范围</w:t>
            </w:r>
            <w:r>
              <w:rPr>
                <w:rFonts w:hint="eastAsia" w:ascii="楷体_GB2312" w:hAnsi="楷体_GB2312" w:eastAsia="楷体_GB2312" w:cs="楷体_GB2312"/>
                <w:color w:val="auto"/>
                <w:sz w:val="21"/>
                <w:szCs w:val="21"/>
                <w:lang w:val="en-US" w:eastAsia="zh-CN"/>
              </w:rPr>
              <w:t>，是本次规划中应重点注意的区域。</w:t>
            </w:r>
          </w:p>
        </w:tc>
        <w:tc>
          <w:tcPr>
            <w:tcW w:w="3751" w:type="dxa"/>
            <w:tcBorders>
              <w:tl2br w:val="nil"/>
              <w:tr2bl w:val="nil"/>
            </w:tcBorders>
            <w:vAlign w:val="top"/>
          </w:tcPr>
          <w:p>
            <w:pPr>
              <w:keepNext w:val="0"/>
              <w:keepLines w:val="0"/>
              <w:pageBreakBefore w:val="0"/>
              <w:widowControl w:val="0"/>
              <w:numPr>
                <w:ilvl w:val="0"/>
                <w:numId w:val="11"/>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协调各管线的平面和空间上的关系；</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firstLine="420" w:firstLineChars="20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提出方向性的要求，如：电力、给水布置于道路东、南侧（有限考虑人行到空间）</w:t>
            </w:r>
          </w:p>
        </w:tc>
        <w:tc>
          <w:tcPr>
            <w:tcW w:w="808" w:type="dxa"/>
            <w:tcBorders>
              <w:tl2br w:val="nil"/>
              <w:tr2bl w:val="nil"/>
            </w:tcBorders>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right="0" w:right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b/>
                <w:bCs/>
                <w:color w:val="auto"/>
                <w:sz w:val="21"/>
                <w:szCs w:val="21"/>
                <w:lang w:val="en-US" w:eastAsia="zh-CN"/>
              </w:rPr>
              <w:t>完善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5" w:hRule="exact"/>
        </w:trPr>
        <w:tc>
          <w:tcPr>
            <w:tcW w:w="778" w:type="dxa"/>
            <w:tcBorders>
              <w:tl2br w:val="nil"/>
              <w:tr2bl w:val="nil"/>
            </w:tcBorders>
            <w:vAlign w:val="top"/>
          </w:tcPr>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color w:val="auto"/>
                <w:sz w:val="21"/>
                <w:szCs w:val="21"/>
                <w:vertAlign w:val="baseline"/>
                <w:lang w:eastAsia="zh-CN"/>
              </w:rPr>
            </w:pPr>
            <w:r>
              <w:rPr>
                <w:rFonts w:hint="eastAsia" w:ascii="楷体_GB2312" w:hAnsi="楷体_GB2312" w:eastAsia="楷体_GB2312" w:cs="楷体_GB2312"/>
                <w:color w:val="auto"/>
                <w:sz w:val="21"/>
                <w:szCs w:val="21"/>
                <w:vertAlign w:val="baseline"/>
                <w:lang w:eastAsia="zh-CN"/>
              </w:rPr>
              <w:t>给水</w:t>
            </w:r>
          </w:p>
        </w:tc>
        <w:tc>
          <w:tcPr>
            <w:tcW w:w="3854" w:type="dxa"/>
            <w:tcBorders>
              <w:tl2br w:val="nil"/>
              <w:tr2bl w:val="nil"/>
            </w:tcBorders>
            <w:vAlign w:val="top"/>
          </w:tcPr>
          <w:p>
            <w:pPr>
              <w:keepNext w:val="0"/>
              <w:keepLines w:val="0"/>
              <w:pageBreakBefore w:val="0"/>
              <w:widowControl w:val="0"/>
              <w:numPr>
                <w:ilvl w:val="0"/>
                <w:numId w:val="10"/>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规划中对供水系统方案作了深入的方案比选和研究，对水厂、泵站及主要输配水管网的设置，作了一一落实。是下一阶段工程实施的主要依据。</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br w:type="page"/>
            </w:r>
          </w:p>
        </w:tc>
        <w:tc>
          <w:tcPr>
            <w:tcW w:w="3751" w:type="dxa"/>
            <w:tcBorders>
              <w:tl2br w:val="nil"/>
              <w:tr2bl w:val="nil"/>
            </w:tcBorders>
            <w:vAlign w:val="top"/>
          </w:tcPr>
          <w:p>
            <w:pPr>
              <w:keepNext w:val="0"/>
              <w:keepLines w:val="0"/>
              <w:pageBreakBefore w:val="0"/>
              <w:widowControl w:val="0"/>
              <w:numPr>
                <w:ilvl w:val="0"/>
                <w:numId w:val="11"/>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明确水厂供水分区线；</w:t>
            </w:r>
          </w:p>
          <w:p>
            <w:pPr>
              <w:keepNext w:val="0"/>
              <w:keepLines w:val="0"/>
              <w:pageBreakBefore w:val="0"/>
              <w:widowControl w:val="0"/>
              <w:numPr>
                <w:ilvl w:val="0"/>
                <w:numId w:val="11"/>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补充管网平差计算；</w:t>
            </w:r>
          </w:p>
          <w:p>
            <w:pPr>
              <w:keepNext w:val="0"/>
              <w:keepLines w:val="0"/>
              <w:pageBreakBefore w:val="0"/>
              <w:widowControl w:val="0"/>
              <w:numPr>
                <w:ilvl w:val="0"/>
                <w:numId w:val="11"/>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增加“备用水源”规划；</w:t>
            </w:r>
          </w:p>
          <w:p>
            <w:pPr>
              <w:keepNext w:val="0"/>
              <w:keepLines w:val="0"/>
              <w:pageBreakBefore w:val="0"/>
              <w:widowControl w:val="0"/>
              <w:numPr>
                <w:ilvl w:val="0"/>
                <w:numId w:val="11"/>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重新核算给水量</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firstLine="420" w:firstLineChars="20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绿化、浇洒用水量不计入到城市水厂的统一供水范围；</w:t>
            </w:r>
          </w:p>
          <w:p>
            <w:pPr>
              <w:keepNext w:val="0"/>
              <w:keepLines w:val="0"/>
              <w:pageBreakBefore w:val="0"/>
              <w:widowControl w:val="0"/>
              <w:numPr>
                <w:ilvl w:val="0"/>
                <w:numId w:val="11"/>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b/>
                <w:bCs/>
                <w:color w:val="auto"/>
                <w:sz w:val="21"/>
                <w:szCs w:val="21"/>
                <w:lang w:val="en-US" w:eastAsia="zh-CN"/>
              </w:rPr>
              <w:t>增加地下水源的保护规划</w:t>
            </w:r>
            <w:r>
              <w:rPr>
                <w:rFonts w:hint="eastAsia" w:ascii="楷体_GB2312" w:hAnsi="楷体_GB2312" w:eastAsia="楷体_GB2312" w:cs="楷体_GB2312"/>
                <w:color w:val="auto"/>
                <w:sz w:val="21"/>
                <w:szCs w:val="21"/>
                <w:lang w:val="en-US" w:eastAsia="zh-CN"/>
              </w:rPr>
              <w:t>（补给区域）</w:t>
            </w:r>
          </w:p>
        </w:tc>
        <w:tc>
          <w:tcPr>
            <w:tcW w:w="808" w:type="dxa"/>
            <w:tcBorders>
              <w:tl2br w:val="nil"/>
              <w:tr2bl w:val="nil"/>
            </w:tcBorders>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补充</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补充</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补充</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完善</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补充</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852" w:hRule="exact"/>
        </w:trPr>
        <w:tc>
          <w:tcPr>
            <w:tcW w:w="778" w:type="dxa"/>
            <w:tcBorders>
              <w:tl2br w:val="nil"/>
              <w:tr2bl w:val="nil"/>
            </w:tcBorders>
            <w:vAlign w:val="top"/>
          </w:tcPr>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color w:val="auto"/>
                <w:sz w:val="21"/>
                <w:szCs w:val="21"/>
                <w:vertAlign w:val="baseline"/>
                <w:lang w:eastAsia="zh-CN"/>
              </w:rPr>
            </w:pPr>
            <w:r>
              <w:rPr>
                <w:rFonts w:hint="eastAsia" w:ascii="楷体_GB2312" w:hAnsi="楷体_GB2312" w:eastAsia="楷体_GB2312" w:cs="楷体_GB2312"/>
                <w:color w:val="auto"/>
                <w:sz w:val="21"/>
                <w:szCs w:val="21"/>
                <w:vertAlign w:val="baseline"/>
                <w:lang w:eastAsia="zh-CN"/>
              </w:rPr>
              <w:t>污水</w:t>
            </w:r>
          </w:p>
        </w:tc>
        <w:tc>
          <w:tcPr>
            <w:tcW w:w="3854" w:type="dxa"/>
            <w:tcBorders>
              <w:tl2br w:val="nil"/>
              <w:tr2bl w:val="nil"/>
            </w:tcBorders>
            <w:vAlign w:val="top"/>
          </w:tcPr>
          <w:p>
            <w:pPr>
              <w:keepNext w:val="0"/>
              <w:keepLines w:val="0"/>
              <w:pageBreakBefore w:val="0"/>
              <w:widowControl w:val="0"/>
              <w:numPr>
                <w:ilvl w:val="0"/>
                <w:numId w:val="10"/>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规划对污水分区及各分区的设施、管线作了详细的规划，科学且可操作性强；是下一阶段工程实施的主要依据。</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color w:val="auto"/>
                <w:sz w:val="21"/>
                <w:szCs w:val="21"/>
                <w:lang w:val="en-US" w:eastAsia="zh-CN"/>
              </w:rPr>
            </w:pPr>
          </w:p>
        </w:tc>
        <w:tc>
          <w:tcPr>
            <w:tcW w:w="3751" w:type="dxa"/>
            <w:tcBorders>
              <w:tl2br w:val="nil"/>
              <w:tr2bl w:val="nil"/>
            </w:tcBorders>
            <w:vAlign w:val="top"/>
          </w:tcPr>
          <w:p>
            <w:pPr>
              <w:keepNext w:val="0"/>
              <w:keepLines w:val="0"/>
              <w:pageBreakBefore w:val="0"/>
              <w:widowControl w:val="0"/>
              <w:numPr>
                <w:ilvl w:val="0"/>
                <w:numId w:val="11"/>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污水量的核算</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firstLine="420" w:firstLineChars="20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依据总体规划许昌市可划分为13个片区，各个片区的功能定位不一，规划中对各片区均采用选取日变化系数为1.2，计算污水量容易出现偏差。</w:t>
            </w:r>
          </w:p>
          <w:p>
            <w:pPr>
              <w:keepNext w:val="0"/>
              <w:keepLines w:val="0"/>
              <w:pageBreakBefore w:val="0"/>
              <w:widowControl w:val="0"/>
              <w:numPr>
                <w:ilvl w:val="0"/>
                <w:numId w:val="11"/>
              </w:numPr>
              <w:kinsoku/>
              <w:wordWrap/>
              <w:overflowPunct/>
              <w:topLinePunct w:val="0"/>
              <w:autoSpaceDE/>
              <w:autoSpaceDN/>
              <w:bidi w:val="0"/>
              <w:adjustRightInd/>
              <w:snapToGrid/>
              <w:spacing w:before="313" w:beforeLines="100"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污水设施的控制指标有待完善。</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firstLine="420" w:firstLineChars="20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依据《城 市 污 水 处 理 工 程 项 目 建 设 标 准》，本次工程规划中对污水设施的用地规模和指标明显偏高。且新型技术的应用未来可减小泵站、污水厂的用地指标。</w:t>
            </w:r>
          </w:p>
          <w:p>
            <w:pPr>
              <w:keepNext w:val="0"/>
              <w:keepLines w:val="0"/>
              <w:pageBreakBefore w:val="0"/>
              <w:widowControl w:val="0"/>
              <w:numPr>
                <w:ilvl w:val="0"/>
                <w:numId w:val="11"/>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b/>
                <w:bCs/>
                <w:color w:val="auto"/>
                <w:sz w:val="21"/>
                <w:szCs w:val="21"/>
                <w:lang w:val="en-US" w:eastAsia="zh-CN"/>
              </w:rPr>
              <w:t>增加污水设施的环护要求，</w:t>
            </w:r>
            <w:r>
              <w:rPr>
                <w:rFonts w:hint="eastAsia" w:ascii="楷体_GB2312" w:hAnsi="楷体_GB2312" w:eastAsia="楷体_GB2312" w:cs="楷体_GB2312"/>
                <w:color w:val="auto"/>
                <w:sz w:val="21"/>
                <w:szCs w:val="21"/>
                <w:lang w:val="en-US" w:eastAsia="zh-CN"/>
              </w:rPr>
              <w:t>以便最小程度的影响后期建设；</w:t>
            </w:r>
          </w:p>
        </w:tc>
        <w:tc>
          <w:tcPr>
            <w:tcW w:w="808" w:type="dxa"/>
            <w:tcBorders>
              <w:tl2br w:val="nil"/>
              <w:tr2bl w:val="nil"/>
            </w:tcBorders>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完善</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完善</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完善</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完善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20" w:hRule="exact"/>
        </w:trPr>
        <w:tc>
          <w:tcPr>
            <w:tcW w:w="778" w:type="dxa"/>
            <w:tcBorders>
              <w:tl2br w:val="nil"/>
              <w:tr2bl w:val="nil"/>
            </w:tcBorders>
            <w:vAlign w:val="top"/>
          </w:tcPr>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color w:val="auto"/>
                <w:sz w:val="21"/>
                <w:szCs w:val="21"/>
                <w:vertAlign w:val="baseline"/>
                <w:lang w:eastAsia="zh-CN"/>
              </w:rPr>
            </w:pPr>
            <w:r>
              <w:rPr>
                <w:rFonts w:hint="eastAsia" w:ascii="楷体_GB2312" w:hAnsi="楷体_GB2312" w:eastAsia="楷体_GB2312" w:cs="楷体_GB2312"/>
                <w:color w:val="auto"/>
                <w:sz w:val="21"/>
                <w:szCs w:val="21"/>
                <w:vertAlign w:val="baseline"/>
                <w:lang w:eastAsia="zh-CN"/>
              </w:rPr>
              <w:t>雨水</w:t>
            </w:r>
          </w:p>
        </w:tc>
        <w:tc>
          <w:tcPr>
            <w:tcW w:w="3854" w:type="dxa"/>
            <w:tcBorders>
              <w:tl2br w:val="nil"/>
              <w:tr2bl w:val="nil"/>
            </w:tcBorders>
            <w:vAlign w:val="top"/>
          </w:tcPr>
          <w:p>
            <w:pPr>
              <w:keepNext w:val="0"/>
              <w:keepLines w:val="0"/>
              <w:pageBreakBefore w:val="0"/>
              <w:widowControl w:val="0"/>
              <w:numPr>
                <w:ilvl w:val="0"/>
                <w:numId w:val="10"/>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本次工程规划中将规划区域划分为12个分区，具有很好的科学性和操作性，是本次工程管线中重要的依据之一；</w:t>
            </w:r>
          </w:p>
          <w:p>
            <w:pPr>
              <w:keepNext w:val="0"/>
              <w:keepLines w:val="0"/>
              <w:pageBreakBefore w:val="0"/>
              <w:widowControl w:val="0"/>
              <w:numPr>
                <w:ilvl w:val="0"/>
                <w:numId w:val="10"/>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规划中提出40米以上的道路采用双管布置的原则，将在本次专项规划中具体落实。</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color w:val="auto"/>
                <w:sz w:val="21"/>
                <w:szCs w:val="21"/>
                <w:lang w:val="en-US" w:eastAsia="zh-CN"/>
              </w:rPr>
            </w:pPr>
          </w:p>
        </w:tc>
        <w:tc>
          <w:tcPr>
            <w:tcW w:w="3751" w:type="dxa"/>
            <w:tcBorders>
              <w:tl2br w:val="nil"/>
              <w:tr2bl w:val="nil"/>
            </w:tcBorders>
            <w:vAlign w:val="top"/>
          </w:tcPr>
          <w:p>
            <w:pPr>
              <w:keepNext w:val="0"/>
              <w:keepLines w:val="0"/>
              <w:pageBreakBefore w:val="0"/>
              <w:widowControl w:val="0"/>
              <w:numPr>
                <w:ilvl w:val="0"/>
                <w:numId w:val="12"/>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建议三块板断面道路、红线宽度大于40米的道路均采用双管布置；</w:t>
            </w:r>
          </w:p>
          <w:p>
            <w:pPr>
              <w:keepNext w:val="0"/>
              <w:keepLines w:val="0"/>
              <w:pageBreakBefore w:val="0"/>
              <w:widowControl w:val="0"/>
              <w:numPr>
                <w:ilvl w:val="0"/>
                <w:numId w:val="12"/>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优化雨水汇水范围</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firstLine="420" w:firstLineChars="20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因《室外排水设计规范》(2016年版）规范对雨水管网计算重现期由1年调整为2-5年，优化汇水范围，满足已敷设雨水管网的排水能力。</w:t>
            </w:r>
          </w:p>
          <w:p>
            <w:pPr>
              <w:keepNext w:val="0"/>
              <w:keepLines w:val="0"/>
              <w:pageBreakBefore w:val="0"/>
              <w:widowControl w:val="0"/>
              <w:numPr>
                <w:ilvl w:val="0"/>
                <w:numId w:val="12"/>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增加“初期雨水规划”</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firstLine="420" w:firstLineChars="20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初期雨水是对降雨量较小区域的水体污染程度不亚于生活污水</w:t>
            </w: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color w:val="auto"/>
                <w:sz w:val="21"/>
                <w:szCs w:val="21"/>
                <w:vertAlign w:val="baseline"/>
              </w:rPr>
            </w:pPr>
          </w:p>
        </w:tc>
        <w:tc>
          <w:tcPr>
            <w:tcW w:w="808" w:type="dxa"/>
            <w:tcBorders>
              <w:tl2br w:val="nil"/>
              <w:tr2bl w:val="nil"/>
            </w:tcBorders>
            <w:vAlign w:val="top"/>
          </w:tcPr>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完善</w:t>
            </w: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优化</w:t>
            </w: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完善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305" w:hRule="exact"/>
        </w:trPr>
        <w:tc>
          <w:tcPr>
            <w:tcW w:w="778" w:type="dxa"/>
            <w:tcBorders>
              <w:tl2br w:val="nil"/>
              <w:tr2bl w:val="nil"/>
            </w:tcBorders>
            <w:vAlign w:val="top"/>
          </w:tcPr>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color w:val="auto"/>
                <w:sz w:val="21"/>
                <w:szCs w:val="21"/>
                <w:vertAlign w:val="baseline"/>
                <w:lang w:eastAsia="zh-CN"/>
              </w:rPr>
            </w:pPr>
            <w:r>
              <w:rPr>
                <w:rFonts w:hint="eastAsia" w:ascii="楷体_GB2312" w:hAnsi="楷体_GB2312" w:eastAsia="楷体_GB2312" w:cs="楷体_GB2312"/>
                <w:color w:val="auto"/>
                <w:sz w:val="21"/>
                <w:szCs w:val="21"/>
                <w:vertAlign w:val="baseline"/>
                <w:lang w:eastAsia="zh-CN"/>
              </w:rPr>
              <w:t>燃气</w:t>
            </w:r>
          </w:p>
        </w:tc>
        <w:tc>
          <w:tcPr>
            <w:tcW w:w="3854" w:type="dxa"/>
            <w:tcBorders>
              <w:tl2br w:val="nil"/>
              <w:tr2bl w:val="nil"/>
            </w:tcBorders>
            <w:vAlign w:val="top"/>
          </w:tcPr>
          <w:p>
            <w:pPr>
              <w:keepNext w:val="0"/>
              <w:keepLines w:val="0"/>
              <w:pageBreakBefore w:val="0"/>
              <w:widowControl w:val="0"/>
              <w:numPr>
                <w:ilvl w:val="0"/>
                <w:numId w:val="10"/>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规划中对许昌未来用气量、气源规划、设施布局均有了明确的规划，可作为本次规划的重要依据之一。</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jc w:val="both"/>
              <w:textAlignment w:val="auto"/>
              <w:outlineLvl w:val="9"/>
              <w:rPr>
                <w:rFonts w:hint="eastAsia" w:ascii="楷体_GB2312" w:hAnsi="楷体_GB2312" w:eastAsia="楷体_GB2312" w:cs="楷体_GB2312"/>
                <w:color w:val="auto"/>
                <w:sz w:val="21"/>
                <w:szCs w:val="21"/>
                <w:lang w:val="en-US" w:eastAsia="zh-CN"/>
              </w:rPr>
            </w:pPr>
          </w:p>
        </w:tc>
        <w:tc>
          <w:tcPr>
            <w:tcW w:w="3751" w:type="dxa"/>
            <w:tcBorders>
              <w:tl2br w:val="nil"/>
              <w:tr2bl w:val="nil"/>
            </w:tcBorders>
            <w:vAlign w:val="top"/>
          </w:tcPr>
          <w:p>
            <w:pPr>
              <w:keepNext w:val="0"/>
              <w:keepLines w:val="0"/>
              <w:pageBreakBefore w:val="0"/>
              <w:widowControl w:val="0"/>
              <w:numPr>
                <w:ilvl w:val="0"/>
                <w:numId w:val="12"/>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细化中压管道的敷设位置；</w:t>
            </w:r>
          </w:p>
          <w:p>
            <w:pPr>
              <w:keepNext w:val="0"/>
              <w:keepLines w:val="0"/>
              <w:pageBreakBefore w:val="0"/>
              <w:widowControl w:val="0"/>
              <w:numPr>
                <w:ilvl w:val="0"/>
                <w:numId w:val="12"/>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增加关于其他管线与“西气东输“管线的交叉处理方案及保护措施；</w:t>
            </w: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color w:val="auto"/>
                <w:sz w:val="21"/>
                <w:szCs w:val="21"/>
                <w:vertAlign w:val="baseline"/>
              </w:rPr>
            </w:pPr>
          </w:p>
        </w:tc>
        <w:tc>
          <w:tcPr>
            <w:tcW w:w="808" w:type="dxa"/>
            <w:tcBorders>
              <w:tl2br w:val="nil"/>
              <w:tr2bl w:val="nil"/>
            </w:tcBorders>
            <w:vAlign w:val="top"/>
          </w:tcPr>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补充</w:t>
            </w: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补充</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370" w:hRule="exact"/>
        </w:trPr>
        <w:tc>
          <w:tcPr>
            <w:tcW w:w="778" w:type="dxa"/>
            <w:tcBorders>
              <w:tl2br w:val="nil"/>
              <w:tr2bl w:val="nil"/>
            </w:tcBorders>
            <w:vAlign w:val="top"/>
          </w:tcPr>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color w:val="auto"/>
                <w:sz w:val="21"/>
                <w:szCs w:val="21"/>
                <w:vertAlign w:val="baseline"/>
                <w:lang w:eastAsia="zh-CN"/>
              </w:rPr>
            </w:pPr>
            <w:r>
              <w:rPr>
                <w:rFonts w:hint="eastAsia" w:ascii="楷体_GB2312" w:hAnsi="楷体_GB2312" w:eastAsia="楷体_GB2312" w:cs="楷体_GB2312"/>
                <w:color w:val="auto"/>
                <w:sz w:val="21"/>
                <w:szCs w:val="21"/>
                <w:vertAlign w:val="baseline"/>
                <w:lang w:eastAsia="zh-CN"/>
              </w:rPr>
              <w:t>电力</w:t>
            </w:r>
          </w:p>
        </w:tc>
        <w:tc>
          <w:tcPr>
            <w:tcW w:w="3854" w:type="dxa"/>
            <w:tcBorders>
              <w:tl2br w:val="nil"/>
              <w:tr2bl w:val="nil"/>
            </w:tcBorders>
            <w:vAlign w:val="top"/>
          </w:tcPr>
          <w:p>
            <w:pPr>
              <w:keepNext w:val="0"/>
              <w:keepLines w:val="0"/>
              <w:pageBreakBefore w:val="0"/>
              <w:widowControl w:val="0"/>
              <w:numPr>
                <w:ilvl w:val="0"/>
                <w:numId w:val="10"/>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规划中明确了主要供电设施的布局、区域用电负荷等重要参数，可作为下阶段规划的依据；</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right="0" w:rightChars="0"/>
              <w:jc w:val="both"/>
              <w:textAlignment w:val="auto"/>
              <w:outlineLvl w:val="9"/>
              <w:rPr>
                <w:rFonts w:hint="eastAsia" w:ascii="楷体_GB2312" w:hAnsi="楷体_GB2312" w:eastAsia="楷体_GB2312" w:cs="楷体_GB2312"/>
                <w:color w:val="auto"/>
                <w:sz w:val="21"/>
                <w:szCs w:val="21"/>
              </w:rPr>
            </w:pPr>
          </w:p>
          <w:p>
            <w:pPr>
              <w:keepNext w:val="0"/>
              <w:keepLines w:val="0"/>
              <w:pageBreakBefore w:val="0"/>
              <w:widowControl w:val="0"/>
              <w:kinsoku/>
              <w:wordWrap/>
              <w:overflowPunct/>
              <w:topLinePunct w:val="0"/>
              <w:autoSpaceDE/>
              <w:autoSpaceDN/>
              <w:bidi w:val="0"/>
              <w:adjustRightInd/>
              <w:snapToGrid/>
              <w:spacing w:line="312" w:lineRule="auto"/>
              <w:ind w:left="0" w:leftChars="0" w:right="0" w:rightChars="0" w:firstLine="0" w:firstLineChars="0"/>
              <w:jc w:val="both"/>
              <w:textAlignment w:val="auto"/>
              <w:outlineLvl w:val="9"/>
              <w:rPr>
                <w:rFonts w:hint="eastAsia" w:ascii="楷体_GB2312" w:hAnsi="楷体_GB2312" w:eastAsia="楷体_GB2312" w:cs="楷体_GB2312"/>
                <w:bCs w:val="0"/>
                <w:color w:val="auto"/>
                <w:sz w:val="21"/>
                <w:szCs w:val="21"/>
              </w:rPr>
            </w:pPr>
            <w:r>
              <w:rPr>
                <w:rFonts w:hint="eastAsia" w:ascii="楷体_GB2312" w:hAnsi="楷体_GB2312" w:eastAsia="楷体_GB2312" w:cs="楷体_GB2312"/>
                <w:bCs w:val="0"/>
                <w:color w:val="auto"/>
                <w:sz w:val="21"/>
                <w:szCs w:val="21"/>
              </w:rPr>
              <w:br w:type="page"/>
            </w: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color w:val="auto"/>
                <w:sz w:val="21"/>
                <w:szCs w:val="21"/>
                <w:vertAlign w:val="baseline"/>
              </w:rPr>
            </w:pPr>
          </w:p>
        </w:tc>
        <w:tc>
          <w:tcPr>
            <w:tcW w:w="3751" w:type="dxa"/>
            <w:tcBorders>
              <w:tl2br w:val="nil"/>
              <w:tr2bl w:val="nil"/>
            </w:tcBorders>
            <w:vAlign w:val="top"/>
          </w:tcPr>
          <w:p>
            <w:pPr>
              <w:keepNext w:val="0"/>
              <w:keepLines w:val="0"/>
              <w:pageBreakBefore w:val="0"/>
              <w:widowControl w:val="0"/>
              <w:numPr>
                <w:ilvl w:val="0"/>
                <w:numId w:val="12"/>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明确</w:t>
            </w:r>
            <w:r>
              <w:rPr>
                <w:rFonts w:hint="eastAsia" w:ascii="楷体_GB2312" w:hAnsi="楷体_GB2312" w:eastAsia="楷体_GB2312" w:cs="楷体_GB2312"/>
                <w:b w:val="0"/>
                <w:bCs w:val="0"/>
                <w:color w:val="auto"/>
                <w:sz w:val="21"/>
                <w:szCs w:val="21"/>
                <w:lang w:val="en-US" w:eastAsia="zh-CN"/>
              </w:rPr>
              <w:t>各等级道路下电力缆线</w:t>
            </w:r>
            <w:r>
              <w:rPr>
                <w:rFonts w:hint="eastAsia" w:ascii="楷体_GB2312" w:hAnsi="楷体_GB2312" w:eastAsia="楷体_GB2312" w:cs="楷体_GB2312"/>
                <w:b/>
                <w:bCs/>
                <w:color w:val="auto"/>
                <w:sz w:val="21"/>
                <w:szCs w:val="21"/>
                <w:lang w:val="en-US" w:eastAsia="zh-CN"/>
              </w:rPr>
              <w:t>路由和管孔的数量</w:t>
            </w:r>
          </w:p>
          <w:p>
            <w:pPr>
              <w:keepNext w:val="0"/>
              <w:keepLines w:val="0"/>
              <w:pageBreakBefore w:val="0"/>
              <w:widowControl w:val="0"/>
              <w:numPr>
                <w:ilvl w:val="0"/>
                <w:numId w:val="12"/>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val="0"/>
                <w:bCs w:val="0"/>
                <w:color w:val="auto"/>
                <w:sz w:val="21"/>
                <w:szCs w:val="21"/>
                <w:lang w:val="en-US" w:eastAsia="zh-CN"/>
              </w:rPr>
            </w:pPr>
            <w:r>
              <w:rPr>
                <w:rFonts w:hint="eastAsia" w:ascii="楷体_GB2312" w:hAnsi="楷体_GB2312" w:eastAsia="楷体_GB2312" w:cs="楷体_GB2312"/>
                <w:b w:val="0"/>
                <w:bCs w:val="0"/>
                <w:color w:val="auto"/>
                <w:sz w:val="21"/>
                <w:szCs w:val="21"/>
                <w:lang w:val="en-US" w:eastAsia="zh-CN"/>
              </w:rPr>
              <w:t>一般路段电力缆线孔数按1.2倍预留；次干道以上等级道路交叉口电力缆线孔数按1.5倍预留；</w:t>
            </w:r>
          </w:p>
          <w:p>
            <w:pPr>
              <w:keepNext w:val="0"/>
              <w:keepLines w:val="0"/>
              <w:pageBreakBefore w:val="0"/>
              <w:widowControl w:val="0"/>
              <w:numPr>
                <w:ilvl w:val="0"/>
                <w:numId w:val="12"/>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vertAlign w:val="baseline"/>
              </w:rPr>
            </w:pPr>
            <w:r>
              <w:rPr>
                <w:rFonts w:hint="eastAsia" w:ascii="楷体_GB2312" w:hAnsi="楷体_GB2312" w:eastAsia="楷体_GB2312" w:cs="楷体_GB2312"/>
                <w:b/>
                <w:bCs/>
                <w:color w:val="auto"/>
                <w:sz w:val="21"/>
                <w:szCs w:val="21"/>
                <w:lang w:val="en-US" w:eastAsia="zh-CN"/>
              </w:rPr>
              <w:t>明确电力缆线的敷设方位；</w:t>
            </w:r>
          </w:p>
          <w:p>
            <w:pPr>
              <w:keepNext w:val="0"/>
              <w:keepLines w:val="0"/>
              <w:pageBreakBefore w:val="0"/>
              <w:widowControl w:val="0"/>
              <w:numPr>
                <w:ilvl w:val="0"/>
                <w:numId w:val="12"/>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vertAlign w:val="baseline"/>
              </w:rPr>
            </w:pPr>
            <w:r>
              <w:rPr>
                <w:rFonts w:hint="eastAsia" w:ascii="楷体_GB2312" w:hAnsi="楷体_GB2312" w:eastAsia="楷体_GB2312" w:cs="楷体_GB2312"/>
                <w:b/>
                <w:bCs/>
                <w:color w:val="auto"/>
                <w:sz w:val="21"/>
                <w:szCs w:val="21"/>
                <w:lang w:val="en-US" w:eastAsia="zh-CN"/>
              </w:rPr>
              <w:t>缺少高压走廊的规划</w:t>
            </w:r>
          </w:p>
        </w:tc>
        <w:tc>
          <w:tcPr>
            <w:tcW w:w="808" w:type="dxa"/>
            <w:tcBorders>
              <w:tl2br w:val="nil"/>
              <w:tr2bl w:val="nil"/>
            </w:tcBorders>
            <w:vAlign w:val="top"/>
          </w:tcPr>
          <w:p>
            <w:pPr>
              <w:keepNext w:val="0"/>
              <w:keepLines w:val="0"/>
              <w:pageBreakBefore w:val="0"/>
              <w:widowControl w:val="0"/>
              <w:numPr>
                <w:ilvl w:val="0"/>
                <w:numId w:val="0"/>
              </w:numPr>
              <w:kinsoku/>
              <w:wordWrap/>
              <w:overflowPunct/>
              <w:topLinePunct w:val="0"/>
              <w:autoSpaceDE/>
              <w:autoSpaceDN/>
              <w:bidi w:val="0"/>
              <w:adjustRightInd/>
              <w:snapToGrid/>
              <w:spacing w:before="157" w:beforeLines="50"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完善</w:t>
            </w:r>
          </w:p>
          <w:p>
            <w:pPr>
              <w:keepNext w:val="0"/>
              <w:keepLines w:val="0"/>
              <w:pageBreakBefore w:val="0"/>
              <w:widowControl w:val="0"/>
              <w:numPr>
                <w:ilvl w:val="0"/>
                <w:numId w:val="0"/>
              </w:numPr>
              <w:kinsoku/>
              <w:wordWrap/>
              <w:overflowPunct/>
              <w:topLinePunct w:val="0"/>
              <w:autoSpaceDE/>
              <w:autoSpaceDN/>
              <w:bidi w:val="0"/>
              <w:adjustRightInd/>
              <w:snapToGrid/>
              <w:spacing w:before="157" w:beforeLines="50"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157" w:beforeLines="50"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157" w:beforeLines="50" w:line="312" w:lineRule="auto"/>
              <w:ind w:leftChars="0" w:right="0" w:right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完善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750" w:hRule="exact"/>
        </w:trPr>
        <w:tc>
          <w:tcPr>
            <w:tcW w:w="778" w:type="dxa"/>
            <w:tcBorders>
              <w:tl2br w:val="nil"/>
              <w:tr2bl w:val="nil"/>
            </w:tcBorders>
            <w:vAlign w:val="top"/>
          </w:tcPr>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color w:val="auto"/>
                <w:sz w:val="21"/>
                <w:szCs w:val="21"/>
                <w:vertAlign w:val="baseline"/>
                <w:lang w:eastAsia="zh-CN"/>
              </w:rPr>
            </w:pPr>
            <w:r>
              <w:rPr>
                <w:rFonts w:hint="eastAsia" w:ascii="楷体_GB2312" w:hAnsi="楷体_GB2312" w:eastAsia="楷体_GB2312" w:cs="楷体_GB2312"/>
                <w:color w:val="auto"/>
                <w:sz w:val="21"/>
                <w:szCs w:val="21"/>
                <w:vertAlign w:val="baseline"/>
                <w:lang w:eastAsia="zh-CN"/>
              </w:rPr>
              <w:t>通信</w:t>
            </w:r>
          </w:p>
        </w:tc>
        <w:tc>
          <w:tcPr>
            <w:tcW w:w="3854" w:type="dxa"/>
            <w:tcBorders>
              <w:tl2br w:val="nil"/>
              <w:tr2bl w:val="nil"/>
            </w:tcBorders>
            <w:vAlign w:val="top"/>
          </w:tcPr>
          <w:p>
            <w:pPr>
              <w:keepNext w:val="0"/>
              <w:keepLines w:val="0"/>
              <w:pageBreakBefore w:val="0"/>
              <w:widowControl w:val="0"/>
              <w:numPr>
                <w:ilvl w:val="0"/>
                <w:numId w:val="10"/>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规划对通信负荷、站点的布局的规划均有了落实，可作为下阶段规划的依据；</w:t>
            </w:r>
          </w:p>
          <w:p>
            <w:pPr>
              <w:keepNext w:val="0"/>
              <w:keepLines w:val="0"/>
              <w:pageBreakBefore w:val="0"/>
              <w:widowControl w:val="0"/>
              <w:numPr>
                <w:ilvl w:val="0"/>
                <w:numId w:val="10"/>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明确了40米以上道路需要设置双侧布置；</w:t>
            </w:r>
          </w:p>
          <w:p>
            <w:pPr>
              <w:keepNext w:val="0"/>
              <w:keepLines w:val="0"/>
              <w:pageBreakBefore w:val="0"/>
              <w:widowControl w:val="0"/>
              <w:kinsoku/>
              <w:wordWrap/>
              <w:overflowPunct/>
              <w:topLinePunct w:val="0"/>
              <w:autoSpaceDE/>
              <w:autoSpaceDN/>
              <w:bidi w:val="0"/>
              <w:adjustRightInd/>
              <w:snapToGrid/>
              <w:spacing w:line="312" w:lineRule="auto"/>
              <w:ind w:left="0" w:leftChars="0" w:right="0" w:rightChars="0" w:firstLine="0" w:firstLineChars="0"/>
              <w:jc w:val="both"/>
              <w:textAlignment w:val="auto"/>
              <w:outlineLvl w:val="9"/>
              <w:rPr>
                <w:rFonts w:hint="eastAsia" w:ascii="楷体_GB2312" w:hAnsi="楷体_GB2312" w:eastAsia="楷体_GB2312" w:cs="楷体_GB2312"/>
                <w:bCs w:val="0"/>
                <w:color w:val="auto"/>
                <w:sz w:val="21"/>
                <w:szCs w:val="21"/>
              </w:rPr>
            </w:pPr>
            <w:r>
              <w:rPr>
                <w:rFonts w:hint="eastAsia" w:ascii="楷体_GB2312" w:hAnsi="楷体_GB2312" w:eastAsia="楷体_GB2312" w:cs="楷体_GB2312"/>
                <w:bCs w:val="0"/>
                <w:color w:val="auto"/>
                <w:sz w:val="21"/>
                <w:szCs w:val="21"/>
              </w:rPr>
              <w:br w:type="page"/>
            </w: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color w:val="auto"/>
                <w:sz w:val="21"/>
                <w:szCs w:val="21"/>
                <w:vertAlign w:val="baseline"/>
              </w:rPr>
            </w:pPr>
          </w:p>
        </w:tc>
        <w:tc>
          <w:tcPr>
            <w:tcW w:w="3751" w:type="dxa"/>
            <w:tcBorders>
              <w:tl2br w:val="nil"/>
              <w:tr2bl w:val="nil"/>
            </w:tcBorders>
            <w:vAlign w:val="top"/>
          </w:tcPr>
          <w:p>
            <w:pPr>
              <w:keepNext w:val="0"/>
              <w:keepLines w:val="0"/>
              <w:pageBreakBefore w:val="0"/>
              <w:widowControl w:val="0"/>
              <w:numPr>
                <w:ilvl w:val="0"/>
                <w:numId w:val="12"/>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明确</w:t>
            </w:r>
            <w:r>
              <w:rPr>
                <w:rFonts w:hint="eastAsia" w:ascii="楷体_GB2312" w:hAnsi="楷体_GB2312" w:eastAsia="楷体_GB2312" w:cs="楷体_GB2312"/>
                <w:b w:val="0"/>
                <w:bCs w:val="0"/>
                <w:color w:val="auto"/>
                <w:sz w:val="21"/>
                <w:szCs w:val="21"/>
                <w:lang w:val="en-US" w:eastAsia="zh-CN"/>
              </w:rPr>
              <w:t>各等级道路下</w:t>
            </w:r>
            <w:r>
              <w:rPr>
                <w:rFonts w:hint="eastAsia" w:ascii="楷体_GB2312" w:hAnsi="楷体_GB2312" w:eastAsia="楷体_GB2312" w:cs="楷体_GB2312"/>
                <w:b/>
                <w:bCs/>
                <w:color w:val="auto"/>
                <w:sz w:val="21"/>
                <w:szCs w:val="21"/>
                <w:lang w:val="en-US" w:eastAsia="zh-CN"/>
              </w:rPr>
              <w:t>通讯缆线管孔的数量</w:t>
            </w:r>
          </w:p>
          <w:p>
            <w:pPr>
              <w:keepNext w:val="0"/>
              <w:keepLines w:val="0"/>
              <w:pageBreakBefore w:val="0"/>
              <w:widowControl w:val="0"/>
              <w:numPr>
                <w:ilvl w:val="0"/>
                <w:numId w:val="12"/>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一般路段电信缆线孔数按1.2倍预留；次干道以上等级道路交叉口电信缆线孔数按1.5倍预留；</w:t>
            </w:r>
          </w:p>
          <w:p>
            <w:pPr>
              <w:keepNext w:val="0"/>
              <w:keepLines w:val="0"/>
              <w:pageBreakBefore w:val="0"/>
              <w:widowControl w:val="0"/>
              <w:numPr>
                <w:ilvl w:val="0"/>
                <w:numId w:val="12"/>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建议三块板断面道路、红线宽度大于40米的道路均采用双管布置；</w:t>
            </w:r>
          </w:p>
          <w:p>
            <w:pPr>
              <w:keepNext w:val="0"/>
              <w:keepLines w:val="0"/>
              <w:pageBreakBefore w:val="0"/>
              <w:widowControl w:val="0"/>
              <w:numPr>
                <w:ilvl w:val="0"/>
                <w:numId w:val="12"/>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明确通信缆线的敷设方位；</w:t>
            </w: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color w:val="auto"/>
                <w:sz w:val="21"/>
                <w:szCs w:val="21"/>
                <w:vertAlign w:val="baseline"/>
              </w:rPr>
            </w:pPr>
          </w:p>
        </w:tc>
        <w:tc>
          <w:tcPr>
            <w:tcW w:w="808" w:type="dxa"/>
            <w:tcBorders>
              <w:tl2br w:val="nil"/>
              <w:tr2bl w:val="nil"/>
            </w:tcBorders>
            <w:vAlign w:val="top"/>
          </w:tcPr>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完善</w:t>
            </w: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补充</w:t>
            </w: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完善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505" w:hRule="exact"/>
        </w:trPr>
        <w:tc>
          <w:tcPr>
            <w:tcW w:w="778" w:type="dxa"/>
            <w:tcBorders>
              <w:tl2br w:val="nil"/>
              <w:tr2bl w:val="nil"/>
            </w:tcBorders>
            <w:vAlign w:val="top"/>
          </w:tcPr>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color w:val="auto"/>
                <w:sz w:val="21"/>
                <w:szCs w:val="21"/>
                <w:vertAlign w:val="baseline"/>
                <w:lang w:eastAsia="zh-CN"/>
              </w:rPr>
            </w:pPr>
            <w:r>
              <w:rPr>
                <w:rFonts w:hint="eastAsia" w:ascii="楷体_GB2312" w:hAnsi="楷体_GB2312" w:eastAsia="楷体_GB2312" w:cs="楷体_GB2312"/>
                <w:color w:val="auto"/>
                <w:sz w:val="21"/>
                <w:szCs w:val="21"/>
                <w:vertAlign w:val="baseline"/>
                <w:lang w:eastAsia="zh-CN"/>
              </w:rPr>
              <w:t>道路</w:t>
            </w:r>
          </w:p>
        </w:tc>
        <w:tc>
          <w:tcPr>
            <w:tcW w:w="3854" w:type="dxa"/>
            <w:tcBorders>
              <w:tl2br w:val="nil"/>
              <w:tr2bl w:val="nil"/>
            </w:tcBorders>
            <w:vAlign w:val="top"/>
          </w:tcPr>
          <w:p>
            <w:pPr>
              <w:keepNext w:val="0"/>
              <w:keepLines w:val="0"/>
              <w:pageBreakBefore w:val="0"/>
              <w:widowControl w:val="0"/>
              <w:numPr>
                <w:ilvl w:val="0"/>
                <w:numId w:val="10"/>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lang w:val="en-US" w:eastAsia="zh-CN"/>
              </w:rPr>
            </w:pPr>
            <w:r>
              <w:rPr>
                <w:rFonts w:hint="eastAsia" w:ascii="楷体_GB2312" w:hAnsi="楷体_GB2312" w:eastAsia="楷体_GB2312" w:cs="楷体_GB2312"/>
                <w:color w:val="auto"/>
                <w:sz w:val="21"/>
                <w:szCs w:val="21"/>
                <w:lang w:val="en-US" w:eastAsia="zh-CN"/>
              </w:rPr>
              <w:t>规划中落实了主城区主要道路的断面形式和宽度。可作为下一阶段工程管线规划的最主要载体。</w:t>
            </w:r>
          </w:p>
          <w:p>
            <w:pPr>
              <w:keepNext w:val="0"/>
              <w:keepLines w:val="0"/>
              <w:pageBreakBefore w:val="0"/>
              <w:widowControl w:val="0"/>
              <w:kinsoku/>
              <w:wordWrap/>
              <w:overflowPunct/>
              <w:topLinePunct w:val="0"/>
              <w:autoSpaceDE/>
              <w:autoSpaceDN/>
              <w:bidi w:val="0"/>
              <w:adjustRightInd/>
              <w:snapToGrid/>
              <w:spacing w:line="312" w:lineRule="auto"/>
              <w:ind w:right="0" w:rightChars="0"/>
              <w:jc w:val="both"/>
              <w:textAlignment w:val="auto"/>
              <w:rPr>
                <w:rFonts w:hint="eastAsia" w:ascii="楷体_GB2312" w:hAnsi="楷体_GB2312" w:eastAsia="楷体_GB2312" w:cs="楷体_GB2312"/>
                <w:color w:val="auto"/>
                <w:sz w:val="21"/>
                <w:szCs w:val="21"/>
                <w:vertAlign w:val="baseline"/>
              </w:rPr>
            </w:pPr>
          </w:p>
        </w:tc>
        <w:tc>
          <w:tcPr>
            <w:tcW w:w="3751" w:type="dxa"/>
            <w:tcBorders>
              <w:tl2br w:val="nil"/>
              <w:tr2bl w:val="nil"/>
            </w:tcBorders>
            <w:vAlign w:val="top"/>
          </w:tcPr>
          <w:p>
            <w:pPr>
              <w:keepNext w:val="0"/>
              <w:keepLines w:val="0"/>
              <w:pageBreakBefore w:val="0"/>
              <w:widowControl w:val="0"/>
              <w:numPr>
                <w:ilvl w:val="0"/>
                <w:numId w:val="12"/>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规划中的设计内容与其他专项规划存在一定的冲突，</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leftChars="0" w:right="0" w:rightChars="0" w:firstLine="420" w:firstLineChars="20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val="0"/>
                <w:bCs w:val="0"/>
                <w:color w:val="auto"/>
                <w:sz w:val="21"/>
                <w:szCs w:val="21"/>
                <w:lang w:val="en-US" w:eastAsia="zh-CN"/>
              </w:rPr>
              <w:t>道路的横断面形式、宽度。本次规划中存在的不一致的情况，采用控制性详细规划作为参考依据</w:t>
            </w:r>
            <w:r>
              <w:rPr>
                <w:rFonts w:hint="eastAsia" w:ascii="楷体_GB2312" w:hAnsi="楷体_GB2312" w:eastAsia="楷体_GB2312" w:cs="楷体_GB2312"/>
                <w:b/>
                <w:bCs/>
                <w:color w:val="auto"/>
                <w:sz w:val="21"/>
                <w:szCs w:val="21"/>
                <w:lang w:val="en-US" w:eastAsia="zh-CN"/>
              </w:rPr>
              <w:t>。</w:t>
            </w:r>
          </w:p>
          <w:p>
            <w:pPr>
              <w:keepNext w:val="0"/>
              <w:keepLines w:val="0"/>
              <w:pageBreakBefore w:val="0"/>
              <w:widowControl w:val="0"/>
              <w:numPr>
                <w:ilvl w:val="0"/>
                <w:numId w:val="12"/>
              </w:numPr>
              <w:kinsoku/>
              <w:wordWrap/>
              <w:overflowPunct/>
              <w:topLinePunct w:val="0"/>
              <w:autoSpaceDE/>
              <w:autoSpaceDN/>
              <w:bidi w:val="0"/>
              <w:adjustRightInd/>
              <w:snapToGrid/>
              <w:spacing w:line="312" w:lineRule="auto"/>
              <w:ind w:left="420" w:leftChars="0" w:right="0" w:rightChars="0" w:hanging="420" w:firstLineChars="0"/>
              <w:jc w:val="both"/>
              <w:textAlignment w:val="auto"/>
              <w:outlineLvl w:val="9"/>
              <w:rPr>
                <w:rFonts w:hint="eastAsia" w:ascii="楷体_GB2312" w:hAnsi="楷体_GB2312" w:eastAsia="楷体_GB2312" w:cs="楷体_GB2312"/>
                <w:color w:val="auto"/>
                <w:sz w:val="21"/>
                <w:szCs w:val="21"/>
                <w:vertAlign w:val="baseline"/>
              </w:rPr>
            </w:pPr>
            <w:r>
              <w:rPr>
                <w:rFonts w:hint="eastAsia" w:ascii="楷体_GB2312" w:hAnsi="楷体_GB2312" w:eastAsia="楷体_GB2312" w:cs="楷体_GB2312"/>
                <w:b/>
                <w:bCs/>
                <w:color w:val="auto"/>
                <w:sz w:val="21"/>
                <w:szCs w:val="21"/>
                <w:lang w:val="en-US" w:eastAsia="zh-CN"/>
              </w:rPr>
              <w:t>部分道路横断面的设置有待优化。</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right="0" w:rightChars="0" w:firstLine="422" w:firstLineChars="200"/>
              <w:jc w:val="both"/>
              <w:textAlignment w:val="auto"/>
              <w:outlineLvl w:val="9"/>
              <w:rPr>
                <w:rFonts w:hint="eastAsia" w:ascii="楷体_GB2312" w:hAnsi="楷体_GB2312" w:eastAsia="楷体_GB2312" w:cs="楷体_GB2312"/>
                <w:color w:val="auto"/>
                <w:sz w:val="21"/>
                <w:szCs w:val="21"/>
                <w:vertAlign w:val="baseline"/>
              </w:rPr>
            </w:pPr>
            <w:r>
              <w:rPr>
                <w:rFonts w:hint="eastAsia" w:ascii="楷体_GB2312" w:hAnsi="楷体_GB2312" w:eastAsia="楷体_GB2312" w:cs="楷体_GB2312"/>
                <w:b/>
                <w:bCs/>
                <w:color w:val="auto"/>
                <w:sz w:val="21"/>
                <w:szCs w:val="21"/>
                <w:lang w:val="en-US" w:eastAsia="zh-CN"/>
              </w:rPr>
              <w:t>如：梧桐路、兴昌路、八龙路、劳动路、恒通路等道路为城市次干道（车行道宽度在24m以上），但其均采用一块板的形式，不利于行车安全。</w:t>
            </w:r>
          </w:p>
        </w:tc>
        <w:tc>
          <w:tcPr>
            <w:tcW w:w="808" w:type="dxa"/>
            <w:tcBorders>
              <w:tl2br w:val="nil"/>
              <w:tr2bl w:val="nil"/>
            </w:tcBorders>
            <w:vAlign w:val="top"/>
          </w:tcPr>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right="0" w:right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完善</w:t>
            </w: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right="0" w:rightChars="0"/>
              <w:jc w:val="both"/>
              <w:textAlignment w:val="auto"/>
              <w:outlineLvl w:val="9"/>
              <w:rPr>
                <w:rFonts w:hint="eastAsia" w:ascii="楷体_GB2312" w:hAnsi="楷体_GB2312" w:eastAsia="楷体_GB2312" w:cs="楷体_GB2312"/>
                <w:b/>
                <w:bCs/>
                <w:color w:val="auto"/>
                <w:sz w:val="21"/>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312" w:lineRule="auto"/>
              <w:ind w:right="0" w:rightChars="0"/>
              <w:jc w:val="both"/>
              <w:textAlignment w:val="auto"/>
              <w:outlineLvl w:val="9"/>
              <w:rPr>
                <w:rFonts w:hint="eastAsia" w:ascii="楷体_GB2312" w:hAnsi="楷体_GB2312" w:eastAsia="楷体_GB2312" w:cs="楷体_GB2312"/>
                <w:b/>
                <w:bCs/>
                <w:color w:val="auto"/>
                <w:sz w:val="21"/>
                <w:szCs w:val="21"/>
                <w:lang w:val="en-US" w:eastAsia="zh-CN"/>
              </w:rPr>
            </w:pPr>
            <w:r>
              <w:rPr>
                <w:rFonts w:hint="eastAsia" w:ascii="楷体_GB2312" w:hAnsi="楷体_GB2312" w:eastAsia="楷体_GB2312" w:cs="楷体_GB2312"/>
                <w:b/>
                <w:bCs/>
                <w:color w:val="auto"/>
                <w:sz w:val="21"/>
                <w:szCs w:val="21"/>
                <w:lang w:val="en-US" w:eastAsia="zh-CN"/>
              </w:rPr>
              <w:t>完善</w:t>
            </w:r>
          </w:p>
        </w:tc>
      </w:tr>
    </w:tbl>
    <w:p>
      <w:pPr>
        <w:rPr>
          <w:rFonts w:hint="eastAsia" w:ascii="楷体_GB2312" w:hAnsi="楷体_GB2312" w:eastAsia="楷体_GB2312" w:cs="楷体_GB2312"/>
          <w:color w:val="auto"/>
        </w:rPr>
      </w:pPr>
    </w:p>
    <w:p>
      <w:pPr>
        <w:spacing w:line="360" w:lineRule="auto"/>
        <w:rPr>
          <w:rFonts w:hint="eastAsia" w:ascii="楷体_GB2312" w:hAnsi="楷体_GB2312" w:eastAsia="楷体_GB2312" w:cs="楷体_GB2312"/>
          <w:color w:val="auto"/>
          <w:sz w:val="24"/>
        </w:rPr>
      </w:pPr>
    </w:p>
    <w:p>
      <w:pPr>
        <w:pStyle w:val="4"/>
        <w:keepNext/>
        <w:keepLines/>
        <w:pageBreakBefore w:val="0"/>
        <w:widowControl w:val="0"/>
        <w:numPr>
          <w:ilvl w:val="0"/>
          <w:numId w:val="0"/>
        </w:numPr>
        <w:tabs>
          <w:tab w:val="left" w:pos="600"/>
          <w:tab w:val="clear" w:pos="1695"/>
        </w:tabs>
        <w:kinsoku/>
        <w:wordWrap/>
        <w:overflowPunct/>
        <w:topLinePunct w:val="0"/>
        <w:autoSpaceDE/>
        <w:autoSpaceDN/>
        <w:bidi w:val="0"/>
        <w:adjustRightInd/>
        <w:snapToGrid/>
        <w:spacing w:before="340" w:after="340" w:line="360" w:lineRule="auto"/>
        <w:ind w:left="0" w:leftChars="0" w:right="0" w:rightChars="0" w:firstLine="0" w:firstLineChars="0"/>
        <w:jc w:val="center"/>
        <w:textAlignment w:val="auto"/>
        <w:outlineLvl w:val="2"/>
        <w:rPr>
          <w:rFonts w:hint="eastAsia" w:ascii="楷体_GB2312" w:hAnsi="楷体_GB2312" w:eastAsia="楷体_GB2312" w:cs="楷体_GB2312"/>
          <w:color w:val="auto"/>
          <w:szCs w:val="32"/>
          <w:lang w:eastAsia="zh-CN"/>
        </w:rPr>
      </w:pPr>
      <w:bookmarkStart w:id="213" w:name="_Toc3797"/>
      <w:bookmarkStart w:id="214" w:name="_Toc4348"/>
      <w:bookmarkStart w:id="215" w:name="_Toc495586754"/>
      <w:r>
        <w:rPr>
          <w:rFonts w:hint="eastAsia" w:ascii="楷体_GB2312" w:hAnsi="楷体_GB2312" w:eastAsia="楷体_GB2312" w:cs="楷体_GB2312"/>
          <w:color w:val="auto"/>
          <w:szCs w:val="32"/>
          <w:lang w:eastAsia="zh-CN"/>
        </w:rPr>
        <w:t>第五章 管线综合规划</w:t>
      </w:r>
      <w:bookmarkEnd w:id="213"/>
      <w:bookmarkEnd w:id="214"/>
      <w:bookmarkEnd w:id="215"/>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16" w:name="_Toc495586755"/>
      <w:bookmarkStart w:id="217" w:name="_Toc3301"/>
      <w:r>
        <w:rPr>
          <w:rFonts w:hint="eastAsia" w:ascii="楷体_GB2312" w:hAnsi="楷体_GB2312" w:eastAsia="楷体_GB2312" w:cs="楷体_GB2312"/>
          <w:b/>
          <w:bCs w:val="0"/>
          <w:color w:val="auto"/>
          <w:sz w:val="28"/>
        </w:rPr>
        <w:t>5.1技术术语</w:t>
      </w:r>
      <w:bookmarkEnd w:id="216"/>
      <w:bookmarkEnd w:id="217"/>
    </w:p>
    <w:p>
      <w:pPr>
        <w:spacing w:line="360" w:lineRule="auto"/>
        <w:ind w:firstLine="482" w:firstLineChars="200"/>
        <w:rPr>
          <w:rFonts w:hint="eastAsia" w:ascii="楷体_GB2312" w:hAnsi="楷体_GB2312" w:eastAsia="楷体_GB2312" w:cs="楷体_GB2312"/>
          <w:color w:val="auto"/>
          <w:sz w:val="24"/>
          <w:szCs w:val="24"/>
        </w:rPr>
      </w:pPr>
      <w:r>
        <w:rPr>
          <w:rFonts w:hint="eastAsia" w:ascii="楷体_GB2312" w:hAnsi="楷体_GB2312" w:eastAsia="楷体_GB2312" w:cs="楷体_GB2312"/>
          <w:b/>
          <w:color w:val="auto"/>
          <w:sz w:val="24"/>
          <w:szCs w:val="24"/>
        </w:rPr>
        <w:t>压力管线：</w:t>
      </w:r>
      <w:r>
        <w:rPr>
          <w:rFonts w:hint="eastAsia" w:ascii="楷体_GB2312" w:hAnsi="楷体_GB2312" w:eastAsia="楷体_GB2312" w:cs="楷体_GB2312"/>
          <w:color w:val="auto"/>
          <w:sz w:val="24"/>
          <w:szCs w:val="24"/>
        </w:rPr>
        <w:t>指管道内流体介质由外部施加力使其流动的工程管线。</w:t>
      </w:r>
    </w:p>
    <w:p>
      <w:pPr>
        <w:spacing w:line="360" w:lineRule="auto"/>
        <w:ind w:firstLine="482" w:firstLineChars="200"/>
        <w:rPr>
          <w:rFonts w:hint="eastAsia" w:ascii="楷体_GB2312" w:hAnsi="楷体_GB2312" w:eastAsia="楷体_GB2312" w:cs="楷体_GB2312"/>
          <w:color w:val="auto"/>
          <w:sz w:val="24"/>
          <w:szCs w:val="24"/>
        </w:rPr>
      </w:pPr>
      <w:r>
        <w:rPr>
          <w:rFonts w:hint="eastAsia" w:ascii="楷体_GB2312" w:hAnsi="楷体_GB2312" w:eastAsia="楷体_GB2312" w:cs="楷体_GB2312"/>
          <w:b/>
          <w:color w:val="auto"/>
          <w:sz w:val="24"/>
          <w:szCs w:val="24"/>
        </w:rPr>
        <w:t>重力流管线：</w:t>
      </w:r>
      <w:r>
        <w:rPr>
          <w:rFonts w:hint="eastAsia" w:ascii="楷体_GB2312" w:hAnsi="楷体_GB2312" w:eastAsia="楷体_GB2312" w:cs="楷体_GB2312"/>
          <w:color w:val="auto"/>
          <w:sz w:val="24"/>
          <w:szCs w:val="24"/>
        </w:rPr>
        <w:t>指管道内流动着的介质由重力作用沿其设置的方向流动的工程管线。</w:t>
      </w:r>
    </w:p>
    <w:p>
      <w:pPr>
        <w:spacing w:line="360" w:lineRule="auto"/>
        <w:ind w:firstLine="482" w:firstLineChars="200"/>
        <w:rPr>
          <w:rFonts w:hint="eastAsia" w:ascii="楷体_GB2312" w:hAnsi="楷体_GB2312" w:eastAsia="楷体_GB2312" w:cs="楷体_GB2312"/>
          <w:color w:val="auto"/>
          <w:sz w:val="24"/>
          <w:szCs w:val="24"/>
        </w:rPr>
      </w:pPr>
      <w:r>
        <w:rPr>
          <w:rFonts w:hint="eastAsia" w:ascii="楷体_GB2312" w:hAnsi="楷体_GB2312" w:eastAsia="楷体_GB2312" w:cs="楷体_GB2312"/>
          <w:b/>
          <w:color w:val="auto"/>
          <w:sz w:val="24"/>
          <w:szCs w:val="24"/>
        </w:rPr>
        <w:t>不易弯曲管线：</w:t>
      </w:r>
      <w:r>
        <w:rPr>
          <w:rFonts w:hint="eastAsia" w:ascii="楷体_GB2312" w:hAnsi="楷体_GB2312" w:eastAsia="楷体_GB2312" w:cs="楷体_GB2312"/>
          <w:color w:val="auto"/>
          <w:sz w:val="24"/>
          <w:szCs w:val="24"/>
        </w:rPr>
        <w:t>通过某些加工措施不易弯曲的工程管线。</w:t>
      </w:r>
    </w:p>
    <w:p>
      <w:pPr>
        <w:spacing w:line="360" w:lineRule="auto"/>
        <w:ind w:firstLine="482" w:firstLineChars="200"/>
        <w:rPr>
          <w:rFonts w:hint="eastAsia" w:ascii="楷体_GB2312" w:hAnsi="楷体_GB2312" w:eastAsia="楷体_GB2312" w:cs="楷体_GB2312"/>
          <w:color w:val="auto"/>
          <w:sz w:val="24"/>
          <w:szCs w:val="24"/>
        </w:rPr>
      </w:pPr>
      <w:r>
        <w:rPr>
          <w:rFonts w:hint="eastAsia" w:ascii="楷体_GB2312" w:hAnsi="楷体_GB2312" w:eastAsia="楷体_GB2312" w:cs="楷体_GB2312"/>
          <w:b/>
          <w:color w:val="auto"/>
          <w:sz w:val="24"/>
          <w:szCs w:val="24"/>
        </w:rPr>
        <w:t>可弯曲管线：</w:t>
      </w:r>
      <w:r>
        <w:rPr>
          <w:rFonts w:hint="eastAsia" w:ascii="楷体_GB2312" w:hAnsi="楷体_GB2312" w:eastAsia="楷体_GB2312" w:cs="楷体_GB2312"/>
          <w:color w:val="auto"/>
          <w:sz w:val="24"/>
          <w:szCs w:val="24"/>
        </w:rPr>
        <w:t>通过某些加工措施易于弯曲的工程管线。</w:t>
      </w:r>
    </w:p>
    <w:p>
      <w:pPr>
        <w:spacing w:line="360" w:lineRule="auto"/>
        <w:ind w:firstLine="482" w:firstLineChars="200"/>
        <w:rPr>
          <w:rFonts w:hint="eastAsia" w:ascii="楷体_GB2312" w:hAnsi="楷体_GB2312" w:eastAsia="楷体_GB2312" w:cs="楷体_GB2312"/>
          <w:color w:val="auto"/>
          <w:sz w:val="24"/>
          <w:szCs w:val="24"/>
        </w:rPr>
      </w:pPr>
      <w:r>
        <w:rPr>
          <w:rFonts w:hint="eastAsia" w:ascii="楷体_GB2312" w:hAnsi="楷体_GB2312" w:eastAsia="楷体_GB2312" w:cs="楷体_GB2312"/>
          <w:b/>
          <w:color w:val="auto"/>
          <w:sz w:val="24"/>
          <w:szCs w:val="24"/>
        </w:rPr>
        <w:t>管线水平净距</w:t>
      </w:r>
      <w:r>
        <w:rPr>
          <w:rFonts w:hint="eastAsia" w:ascii="楷体_GB2312" w:hAnsi="楷体_GB2312" w:eastAsia="楷体_GB2312" w:cs="楷体_GB2312"/>
          <w:color w:val="auto"/>
          <w:sz w:val="24"/>
          <w:szCs w:val="24"/>
        </w:rPr>
        <w:t>：指水平方向敷设的相邻管线外表面之间的水平距离。</w:t>
      </w:r>
    </w:p>
    <w:p>
      <w:pPr>
        <w:spacing w:line="360" w:lineRule="auto"/>
        <w:ind w:firstLine="482" w:firstLineChars="200"/>
        <w:rPr>
          <w:rFonts w:hint="eastAsia" w:ascii="楷体_GB2312" w:hAnsi="楷体_GB2312" w:eastAsia="楷体_GB2312" w:cs="楷体_GB2312"/>
          <w:color w:val="auto"/>
          <w:sz w:val="24"/>
          <w:szCs w:val="24"/>
        </w:rPr>
      </w:pPr>
      <w:r>
        <w:rPr>
          <w:rFonts w:hint="eastAsia" w:ascii="楷体_GB2312" w:hAnsi="楷体_GB2312" w:eastAsia="楷体_GB2312" w:cs="楷体_GB2312"/>
          <w:b/>
          <w:color w:val="auto"/>
          <w:sz w:val="24"/>
          <w:szCs w:val="24"/>
        </w:rPr>
        <w:t>管线垂直净距：</w:t>
      </w:r>
      <w:r>
        <w:rPr>
          <w:rFonts w:hint="eastAsia" w:ascii="楷体_GB2312" w:hAnsi="楷体_GB2312" w:eastAsia="楷体_GB2312" w:cs="楷体_GB2312"/>
          <w:color w:val="auto"/>
          <w:sz w:val="24"/>
          <w:szCs w:val="24"/>
        </w:rPr>
        <w:t>两个管线上下交叉敷设时，从上面管道外壁最低点到下面管道外壁最高点之间的垂直距离。</w:t>
      </w:r>
    </w:p>
    <w:p>
      <w:pPr>
        <w:spacing w:line="360" w:lineRule="auto"/>
        <w:ind w:firstLine="482" w:firstLineChars="200"/>
        <w:rPr>
          <w:rFonts w:hint="eastAsia" w:ascii="楷体_GB2312" w:hAnsi="楷体_GB2312" w:eastAsia="楷体_GB2312" w:cs="楷体_GB2312"/>
          <w:color w:val="auto"/>
          <w:sz w:val="24"/>
          <w:szCs w:val="24"/>
        </w:rPr>
      </w:pPr>
      <w:r>
        <w:rPr>
          <w:rFonts w:hint="eastAsia" w:ascii="楷体_GB2312" w:hAnsi="楷体_GB2312" w:eastAsia="楷体_GB2312" w:cs="楷体_GB2312"/>
          <w:b/>
          <w:color w:val="auto"/>
          <w:sz w:val="24"/>
          <w:szCs w:val="24"/>
        </w:rPr>
        <w:t>管线埋设深度：</w:t>
      </w:r>
      <w:r>
        <w:rPr>
          <w:rFonts w:hint="eastAsia" w:ascii="楷体_GB2312" w:hAnsi="楷体_GB2312" w:eastAsia="楷体_GB2312" w:cs="楷体_GB2312"/>
          <w:color w:val="auto"/>
          <w:sz w:val="24"/>
          <w:szCs w:val="24"/>
        </w:rPr>
        <w:t>从地面到管道底（内壁）的距离，即地面标高减去管内底标高。</w:t>
      </w:r>
    </w:p>
    <w:p>
      <w:pPr>
        <w:spacing w:line="360" w:lineRule="auto"/>
        <w:ind w:firstLine="482" w:firstLineChars="200"/>
        <w:rPr>
          <w:rFonts w:hint="eastAsia" w:ascii="楷体_GB2312" w:hAnsi="楷体_GB2312" w:eastAsia="楷体_GB2312" w:cs="楷体_GB2312"/>
          <w:color w:val="auto"/>
          <w:sz w:val="24"/>
          <w:szCs w:val="24"/>
        </w:rPr>
      </w:pPr>
      <w:r>
        <w:rPr>
          <w:rFonts w:hint="eastAsia" w:ascii="楷体_GB2312" w:hAnsi="楷体_GB2312" w:eastAsia="楷体_GB2312" w:cs="楷体_GB2312"/>
          <w:b/>
          <w:color w:val="auto"/>
          <w:sz w:val="24"/>
          <w:szCs w:val="24"/>
        </w:rPr>
        <w:t>管线覆土深度：</w:t>
      </w:r>
      <w:r>
        <w:rPr>
          <w:rFonts w:hint="eastAsia" w:ascii="楷体_GB2312" w:hAnsi="楷体_GB2312" w:eastAsia="楷体_GB2312" w:cs="楷体_GB2312"/>
          <w:color w:val="auto"/>
          <w:sz w:val="24"/>
          <w:szCs w:val="24"/>
        </w:rPr>
        <w:t>指地面到管道顶（外壁）的距离。</w:t>
      </w: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sz w:val="24"/>
          <w:szCs w:val="24"/>
        </w:rPr>
        <w:drawing>
          <wp:inline distT="0" distB="0" distL="0" distR="0">
            <wp:extent cx="5037455" cy="1647190"/>
            <wp:effectExtent l="0" t="0" r="0" b="0"/>
            <wp:docPr id="69639" name="图片 69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9" name="图片 69639"/>
                    <pic:cNvPicPr>
                      <a:picLocks noChangeAspect="1"/>
                    </pic:cNvPicPr>
                  </pic:nvPicPr>
                  <pic:blipFill>
                    <a:blip r:embed="rId23">
                      <a:extLst>
                        <a:ext uri="{28A0092B-C50C-407E-A947-70E740481C1C}">
                          <a14:useLocalDpi xmlns:a14="http://schemas.microsoft.com/office/drawing/2010/main" val="0"/>
                        </a:ext>
                      </a:extLst>
                    </a:blip>
                    <a:srcRect l="1961" t="3954" r="2614" b="20517"/>
                    <a:stretch>
                      <a:fillRect/>
                    </a:stretch>
                  </pic:blipFill>
                  <pic:spPr>
                    <a:xfrm>
                      <a:off x="0" y="0"/>
                      <a:ext cx="5037245" cy="1647455"/>
                    </a:xfrm>
                    <a:prstGeom prst="rect">
                      <a:avLst/>
                    </a:prstGeom>
                    <a:ln>
                      <a:noFill/>
                    </a:ln>
                  </pic:spPr>
                </pic:pic>
              </a:graphicData>
            </a:graphic>
          </wp:inline>
        </w:drawing>
      </w:r>
    </w:p>
    <w:p>
      <w:pPr>
        <w:spacing w:line="360" w:lineRule="auto"/>
        <w:ind w:firstLine="422" w:firstLineChars="200"/>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管线综合各术语关系示意图</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18" w:name="_Toc20302"/>
      <w:bookmarkStart w:id="219" w:name="_Toc495586756"/>
      <w:r>
        <w:rPr>
          <w:rFonts w:hint="eastAsia" w:ascii="楷体_GB2312" w:hAnsi="楷体_GB2312" w:eastAsia="楷体_GB2312" w:cs="楷体_GB2312"/>
          <w:b/>
          <w:bCs w:val="0"/>
          <w:color w:val="auto"/>
          <w:sz w:val="28"/>
        </w:rPr>
        <w:t>5.2敷设方式</w:t>
      </w:r>
      <w:bookmarkEnd w:id="218"/>
      <w:bookmarkEnd w:id="219"/>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按照地下管线敷设方式可分为直埋敷设、市政管廊敷设两种方式。</w:t>
      </w:r>
    </w:p>
    <w:p>
      <w:pPr>
        <w:spacing w:line="360" w:lineRule="auto"/>
        <w:ind w:firstLine="482"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b/>
          <w:color w:val="auto"/>
          <w:kern w:val="0"/>
          <w:sz w:val="24"/>
        </w:rPr>
        <w:t>直埋敷设：</w:t>
      </w:r>
      <w:r>
        <w:rPr>
          <w:rFonts w:hint="eastAsia" w:ascii="楷体_GB2312" w:hAnsi="楷体_GB2312" w:eastAsia="楷体_GB2312" w:cs="楷体_GB2312"/>
          <w:color w:val="auto"/>
          <w:kern w:val="0"/>
          <w:sz w:val="24"/>
        </w:rPr>
        <w:t>作为现阶段应用最为广泛的管线综合敷设方式，施工方法简单，直接开挖或顶管，投资也最省，而且不占用地面空间，其次管道在防冻散热条件也较好。但主要缺点是管道敷设于地下，管路不明显，往往需借助管线普查定位和管线系统，管线泄露不易发现，新增和检修管线时需要开挖。</w:t>
      </w:r>
    </w:p>
    <w:p>
      <w:pPr>
        <w:spacing w:line="360" w:lineRule="auto"/>
        <w:ind w:firstLine="482" w:firstLineChars="200"/>
        <w:rPr>
          <w:rFonts w:hint="eastAsia" w:ascii="楷体_GB2312" w:hAnsi="楷体_GB2312" w:eastAsia="楷体_GB2312" w:cs="楷体_GB2312"/>
          <w:color w:val="auto"/>
          <w:sz w:val="24"/>
        </w:rPr>
      </w:pPr>
      <w:r>
        <w:rPr>
          <w:rFonts w:hint="eastAsia" w:ascii="楷体_GB2312" w:hAnsi="楷体_GB2312" w:eastAsia="楷体_GB2312" w:cs="楷体_GB2312"/>
          <w:b/>
          <w:color w:val="auto"/>
          <w:sz w:val="24"/>
        </w:rPr>
        <w:t>管廊敷设：</w:t>
      </w:r>
      <w:r>
        <w:rPr>
          <w:rFonts w:hint="eastAsia" w:ascii="楷体_GB2312" w:hAnsi="楷体_GB2312" w:eastAsia="楷体_GB2312" w:cs="楷体_GB2312"/>
          <w:color w:val="auto"/>
          <w:sz w:val="24"/>
        </w:rPr>
        <w:t>市政管廊为现代化、集约化的管线敷设方式，选择的主要因素在于应用范围不同。在城市中心区、交通运输繁忙或对周边环境有较高要求的道路，应考虑建设市政管廊，保证各种管线的维修、扩容，避免二次开挖道路。</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针对有综合管廊敷设的路段，管线平面布置参照《综合管廊规划》相应要求，本章节管线平面布局主要针对地埋敷设路段。</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20" w:name="_Toc30161"/>
      <w:bookmarkStart w:id="221" w:name="_Toc495586757"/>
      <w:r>
        <w:rPr>
          <w:rFonts w:hint="eastAsia" w:ascii="楷体_GB2312" w:hAnsi="楷体_GB2312" w:eastAsia="楷体_GB2312" w:cs="楷体_GB2312"/>
          <w:b/>
          <w:bCs w:val="0"/>
          <w:color w:val="auto"/>
          <w:sz w:val="28"/>
        </w:rPr>
        <w:t>5.3平面布局规划</w:t>
      </w:r>
      <w:bookmarkEnd w:id="220"/>
      <w:bookmarkEnd w:id="221"/>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22" w:name="_Toc495586758"/>
      <w:r>
        <w:rPr>
          <w:rFonts w:hint="eastAsia" w:ascii="楷体_GB2312" w:hAnsi="楷体_GB2312" w:eastAsia="楷体_GB2312" w:cs="楷体_GB2312"/>
          <w:b/>
          <w:color w:val="auto"/>
          <w:sz w:val="24"/>
          <w:szCs w:val="24"/>
        </w:rPr>
        <w:t>5.3.1布置原则</w:t>
      </w:r>
      <w:bookmarkEnd w:id="222"/>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规划依据《城市工程管线综合规划规范》（GB50289—2016），并结合各工程管线规范要求和许昌市管线综合规划特点进行编制。</w:t>
      </w:r>
    </w:p>
    <w:p>
      <w:pPr>
        <w:numPr>
          <w:ilvl w:val="0"/>
          <w:numId w:val="13"/>
        </w:numPr>
        <w:spacing w:line="360" w:lineRule="auto"/>
        <w:ind w:left="482" w:firstLine="0"/>
        <w:jc w:val="left"/>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color w:val="auto"/>
          <w:sz w:val="24"/>
        </w:rPr>
        <w:t>工程管线应根据道路的规划横断面，布置在人行道或非机动车道下面。</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给水输水、燃气输气、雨污水排水等工程管线可布置在非机动车道或机动车道下面。工程管线应尽量布置道路红线内，以减少对道路红线以外用地的占用，避免影响道路两侧地块其地下空间的利用。如果道路人行道宽度足够，各种工程管线应尽量布置在人行道下。这样管线的埋深可以减小，同时可以避免长期车荷载对管线可能造成的破坏。另外，当工程管线需要维护、更换、检修时，对道路交通的影响也大大降低。但是，考虑到管线最小水平间距的要求，如将给水、雨水、污水、电力、通信、燃气、热力和路灯等所有管线布置在人行道下，人行道总宽度至少需要14m左右，一般城市道路人行道宽度很难满足。因此，部分管线必须布置在非机动车道或机动车道下。</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本规划中，工程管线布置在人行道下的优先次序一般为电力排管、公共通信排管、热力管、燃气配气、给水配水、路灯电缆、燃气输气管、给水输水管、污水管、雨水管。</w:t>
      </w:r>
    </w:p>
    <w:p>
      <w:pPr>
        <w:numPr>
          <w:ilvl w:val="0"/>
          <w:numId w:val="13"/>
        </w:numPr>
        <w:spacing w:line="360" w:lineRule="auto"/>
        <w:jc w:val="left"/>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color w:val="auto"/>
          <w:sz w:val="24"/>
        </w:rPr>
        <w:t>工程管线在道路下面的规划位置宜相对固定。</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从建筑红线向道路中心线布置的一般次序为，道路西侧、北侧公共通信排管、给水管、雨水管、热力管，道路东侧、南侧依次为电力排管、燃气管、污水管。</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因给水管与中压燃气管水平间距为0.5米，一般给水管与中压燃气管相邻布置。为避免中压燃气管燃气泄露遇火花引起爆炸，中压燃气管一般不与电力排管相邻布置。由于直埋热力管可能发生高温蒸汽泄漏，本规划直埋热力管应避免布置在绿化带下以减小对绿化生长可能造成的不利因素；同时，规划中压燃气支管采用聚乙烯PE管材，中压燃气管一般不与热力管相邻布置。</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道路红线大于等于24米应考虑双侧布置雨水管，便于两侧地块雨水收集。通常雨水管布置在侧石附近，这是因为车道边缘的雨水口通过雨水口连接管接入雨水系统，而连接管埋深由于受雨水口深度和沉砂深度的限制，一般不大，这样可减少雨水连接管与其他管线的交叉。如果在侧石边再布置另外一根管线，埋深小会跟雨水口连接管冲突，埋深大会跟污、雨水预留管冲突。</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随着通信光纤的发展，通信光缆直径小、容量大；且由于已实施的通信排管在车行道下易受损等原因，规划建议通信排管应尽量布置于人行道或红线外控制绿化带下。</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因此本规划中，一般情况下给水管、中压燃气管相邻布置于道路西侧、北侧，规划热力管布置于道路人行道或非机动车道下，电力排管、通信排管应尽量布置于人行道或红线外控制绿化带下。</w:t>
      </w:r>
    </w:p>
    <w:p>
      <w:pPr>
        <w:numPr>
          <w:ilvl w:val="0"/>
          <w:numId w:val="13"/>
        </w:numPr>
        <w:spacing w:line="360" w:lineRule="auto"/>
        <w:jc w:val="left"/>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color w:val="auto"/>
          <w:sz w:val="24"/>
        </w:rPr>
        <w:t>管线布置应紧凑合理。</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结合城市用地布局、道路平面、竖向和景观绿化布置，应使地下管线之间、地下管线与建（构）筑物之间在平面上相互协调、紧凑合理。</w:t>
      </w:r>
    </w:p>
    <w:p>
      <w:pPr>
        <w:spacing w:line="360" w:lineRule="auto"/>
        <w:ind w:firstLine="482" w:firstLineChars="200"/>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4.沿城市道路规划的工程管线应与道路中心线平行，其主干线应靠近分支管线多的一侧，地下管线不宜从道路一侧转到另一侧。</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沿铁路、公路敷设的地下管线应与铁路、公路线路平行。地下管线与铁路、公路交叉时宜采用垂直交叉方式布置，受条件限制，其交叉角度宜大于60°。</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有现状道路的应尊重现状道路管线布置，延伸段道路的工程管线也应相应顺接，相同工程管线不宜从道路一侧转到另一侧。</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23" w:name="_Toc495586759"/>
      <w:r>
        <w:rPr>
          <w:rFonts w:hint="eastAsia" w:ascii="楷体_GB2312" w:hAnsi="楷体_GB2312" w:eastAsia="楷体_GB2312" w:cs="楷体_GB2312"/>
          <w:b/>
          <w:color w:val="auto"/>
          <w:sz w:val="24"/>
          <w:szCs w:val="24"/>
        </w:rPr>
        <w:t>5.3.2安全间距</w:t>
      </w:r>
      <w:bookmarkEnd w:id="223"/>
    </w:p>
    <w:p>
      <w:pPr>
        <w:spacing w:line="360" w:lineRule="auto"/>
        <w:ind w:firstLine="482" w:firstLineChars="200"/>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1.一般管线</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地下管线之间及其与建（构）筑物之间的最小水平净距应符合下表的规定。</w:t>
      </w:r>
    </w:p>
    <w:p>
      <w:pPr>
        <w:spacing w:line="360" w:lineRule="auto"/>
        <w:ind w:firstLine="480" w:firstLineChars="200"/>
        <w:rPr>
          <w:rFonts w:hint="eastAsia" w:ascii="楷体_GB2312" w:hAnsi="楷体_GB2312" w:eastAsia="楷体_GB2312" w:cs="楷体_GB2312"/>
          <w:color w:val="auto"/>
          <w:sz w:val="24"/>
          <w:szCs w:val="22"/>
        </w:rPr>
      </w:pP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8782050" cy="5481955"/>
            <wp:effectExtent l="0" t="0" r="4445" b="0"/>
            <wp:docPr id="69657" name="图片 69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57" name="图片 69657"/>
                    <pic:cNvPicPr>
                      <a:picLocks noChangeAspect="1"/>
                    </pic:cNvPicPr>
                  </pic:nvPicPr>
                  <pic:blipFill>
                    <a:blip r:embed="rId24" cstate="print">
                      <a:extLst>
                        <a:ext uri="{28A0092B-C50C-407E-A947-70E740481C1C}">
                          <a14:useLocalDpi xmlns:a14="http://schemas.microsoft.com/office/drawing/2010/main" val="0"/>
                        </a:ext>
                      </a:extLst>
                    </a:blip>
                    <a:srcRect l="4112" t="2294" r="4556" b="17067"/>
                    <a:stretch>
                      <a:fillRect/>
                    </a:stretch>
                  </pic:blipFill>
                  <pic:spPr>
                    <a:xfrm rot="5400000">
                      <a:off x="0" y="0"/>
                      <a:ext cx="8826243" cy="5509298"/>
                    </a:xfrm>
                    <a:prstGeom prst="rect">
                      <a:avLst/>
                    </a:prstGeom>
                    <a:ln>
                      <a:noFill/>
                    </a:ln>
                  </pic:spPr>
                </pic:pic>
              </a:graphicData>
            </a:graphic>
          </wp:inline>
        </w:drawing>
      </w:r>
    </w:p>
    <w:p>
      <w:pPr>
        <w:spacing w:line="360" w:lineRule="auto"/>
        <w:ind w:firstLine="482" w:firstLineChars="200"/>
        <w:rPr>
          <w:rFonts w:hint="eastAsia" w:ascii="楷体_GB2312" w:hAnsi="楷体_GB2312" w:eastAsia="楷体_GB2312" w:cs="楷体_GB2312"/>
          <w:b/>
          <w:color w:val="auto"/>
          <w:sz w:val="24"/>
        </w:rPr>
      </w:pPr>
    </w:p>
    <w:p>
      <w:pPr>
        <w:spacing w:line="360" w:lineRule="auto"/>
        <w:ind w:firstLine="482" w:firstLineChars="200"/>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2.高压输气管线</w:t>
      </w:r>
    </w:p>
    <w:p>
      <w:pPr>
        <w:spacing w:line="360" w:lineRule="auto"/>
        <w:ind w:firstLine="480"/>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（1）高压输气管线（1.6Mpa＜P≤4.0MPa）</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szCs w:val="22"/>
        </w:rPr>
        <w:t>高压输气管线</w:t>
      </w:r>
      <w:r>
        <w:rPr>
          <w:rFonts w:hint="eastAsia" w:ascii="楷体_GB2312" w:hAnsi="楷体_GB2312" w:eastAsia="楷体_GB2312" w:cs="楷体_GB2312"/>
          <w:color w:val="auto"/>
          <w:sz w:val="24"/>
        </w:rPr>
        <w:t>（1.6Mpa﹤P≤4.0MPa）与其他地下管线、建（构）筑物之间的安全距离按照《城镇燃气设计规范》（GB50028）执行。如下表所示：</w:t>
      </w:r>
    </w:p>
    <w:p>
      <w:pPr>
        <w:spacing w:line="360" w:lineRule="auto"/>
        <w:ind w:firstLine="420" w:firstLineChars="20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地下燃气管道与建筑物、构筑物或相邻管道之间的水平净距（m）</w:t>
      </w:r>
    </w:p>
    <w:p>
      <w:pPr>
        <w:jc w:val="center"/>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drawing>
          <wp:inline distT="0" distB="0" distL="0" distR="0">
            <wp:extent cx="4512310" cy="5698490"/>
            <wp:effectExtent l="0" t="0" r="2540" b="16510"/>
            <wp:docPr id="69645" name="图片 69645" descr="C:\Users\Administrator\AppData\Roaming\Tencent\Users\19239677\QQ\WinTemp\RichOle\5A_NP}@_WO2]O20R`FDZEQ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45" name="图片 69645" descr="C:\Users\Administrator\AppData\Roaming\Tencent\Users\19239677\QQ\WinTemp\RichOle\5A_NP}@_WO2]O20R`FDZEQW.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515745" cy="5702812"/>
                    </a:xfrm>
                    <a:prstGeom prst="rect">
                      <a:avLst/>
                    </a:prstGeom>
                    <a:noFill/>
                    <a:ln>
                      <a:noFill/>
                    </a:ln>
                  </pic:spPr>
                </pic:pic>
              </a:graphicData>
            </a:graphic>
          </wp:inline>
        </w:drawing>
      </w:r>
    </w:p>
    <w:p>
      <w:pPr>
        <w:rPr>
          <w:rFonts w:hint="eastAsia" w:ascii="楷体_GB2312" w:hAnsi="楷体_GB2312" w:eastAsia="楷体_GB2312" w:cs="楷体_GB2312"/>
          <w:color w:val="auto"/>
        </w:rPr>
      </w:pPr>
    </w:p>
    <w:p>
      <w:pPr>
        <w:spacing w:line="360" w:lineRule="auto"/>
        <w:ind w:firstLine="480"/>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（2）高压输气管线（P</w:t>
      </w:r>
      <w:r>
        <w:rPr>
          <w:rFonts w:hint="eastAsia" w:ascii="楷体_GB2312" w:hAnsi="楷体_GB2312" w:eastAsia="楷体_GB2312" w:cs="楷体_GB2312"/>
          <w:b/>
          <w:color w:val="auto"/>
          <w:sz w:val="24"/>
        </w:rPr>
        <w:tab/>
      </w:r>
      <w:r>
        <w:rPr>
          <w:rFonts w:hint="eastAsia" w:ascii="楷体_GB2312" w:hAnsi="楷体_GB2312" w:eastAsia="楷体_GB2312" w:cs="楷体_GB2312"/>
          <w:b/>
          <w:color w:val="auto"/>
          <w:sz w:val="24"/>
        </w:rPr>
        <w:t>＞4.0MPa）</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根据《许昌市燃气（含加气站）专项规划》（2016-2030），规划拟</w:t>
      </w:r>
      <w:r>
        <w:rPr>
          <w:rFonts w:hint="eastAsia" w:ascii="楷体_GB2312" w:hAnsi="楷体_GB2312" w:eastAsia="楷体_GB2312" w:cs="楷体_GB2312"/>
          <w:b/>
          <w:color w:val="auto"/>
          <w:sz w:val="24"/>
        </w:rPr>
        <w:t>改迁豫南支线</w:t>
      </w:r>
      <w:r>
        <w:rPr>
          <w:rFonts w:hint="eastAsia" w:ascii="楷体_GB2312" w:hAnsi="楷体_GB2312" w:eastAsia="楷体_GB2312" w:cs="楷体_GB2312"/>
          <w:color w:val="auto"/>
          <w:sz w:val="24"/>
        </w:rPr>
        <w:t>。设计起点北苑大道，终点南外环，</w:t>
      </w:r>
      <w:r>
        <w:rPr>
          <w:rFonts w:hint="eastAsia" w:ascii="楷体_GB2312" w:hAnsi="楷体_GB2312" w:eastAsia="楷体_GB2312" w:cs="楷体_GB2312"/>
          <w:b/>
          <w:color w:val="auto"/>
          <w:sz w:val="24"/>
        </w:rPr>
        <w:t>设计管径为D610，设计压力6.3MPa</w:t>
      </w:r>
      <w:r>
        <w:rPr>
          <w:rFonts w:hint="eastAsia" w:ascii="楷体_GB2312" w:hAnsi="楷体_GB2312" w:eastAsia="楷体_GB2312" w:cs="楷体_GB2312"/>
          <w:color w:val="auto"/>
          <w:sz w:val="24"/>
        </w:rPr>
        <w:t>，管道全长约25km。</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各规范、规定中对压力＞4.0Mpa的输气管道安全间距无明确要求，仅在《城镇燃气设计规范》中对地下燃气管道与相邻建、构筑物或相邻管道之间有净距要求，而</w:t>
      </w:r>
      <w:r>
        <w:rPr>
          <w:rFonts w:hint="eastAsia" w:ascii="楷体_GB2312" w:hAnsi="楷体_GB2312" w:eastAsia="楷体_GB2312" w:cs="楷体_GB2312"/>
          <w:b/>
          <w:color w:val="auto"/>
          <w:sz w:val="24"/>
        </w:rPr>
        <w:t>《城镇燃气设计规范》仅适用于管道压力级别≤4.0Mpa的室外燃气管道</w:t>
      </w:r>
      <w:r>
        <w:rPr>
          <w:rFonts w:hint="eastAsia" w:ascii="楷体_GB2312" w:hAnsi="楷体_GB2312" w:eastAsia="楷体_GB2312" w:cs="楷体_GB2312"/>
          <w:color w:val="auto"/>
          <w:sz w:val="24"/>
        </w:rPr>
        <w:t>。豫南支线改迁工程管道压力级别为6.3Mpa，需研究明确本工程高压管道与相邻建、构筑物之间的安全间距要求。</w:t>
      </w:r>
    </w:p>
    <w:p>
      <w:pPr>
        <w:spacing w:line="360" w:lineRule="auto"/>
        <w:ind w:firstLine="482" w:firstLineChars="200"/>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1）与高压架空线铁塔</w:t>
      </w:r>
    </w:p>
    <w:p>
      <w:pPr>
        <w:spacing w:line="360" w:lineRule="auto"/>
        <w:ind w:firstLine="420" w:firstLineChars="200"/>
        <w:rPr>
          <w:rFonts w:hint="eastAsia" w:ascii="楷体_GB2312" w:hAnsi="楷体_GB2312" w:eastAsia="楷体_GB2312" w:cs="楷体_GB2312"/>
          <w:color w:val="auto"/>
        </w:rPr>
      </w:pPr>
      <w:r>
        <w:rPr>
          <w:rFonts w:hint="eastAsia" w:ascii="楷体_GB2312" w:hAnsi="楷体_GB2312" w:eastAsia="楷体_GB2312" w:cs="楷体_GB2312"/>
          <w:color w:val="auto"/>
        </w:rPr>
        <w:t>①</w:t>
      </w:r>
      <w:r>
        <w:rPr>
          <w:rFonts w:hint="eastAsia" w:ascii="楷体_GB2312" w:hAnsi="楷体_GB2312" w:eastAsia="楷体_GB2312" w:cs="楷体_GB2312"/>
          <w:bCs/>
          <w:color w:val="auto"/>
        </w:rPr>
        <w:t>《钢制管道外防腐控制规范》GB/T21447-2008</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规范7.2.3  埋地管道与架空线路的距离宜符合下列要求：</w:t>
      </w:r>
    </w:p>
    <w:p>
      <w:pPr>
        <w:spacing w:line="360" w:lineRule="auto"/>
        <w:ind w:firstLine="422" w:firstLineChars="200"/>
        <w:jc w:val="center"/>
        <w:rPr>
          <w:rFonts w:hint="eastAsia" w:ascii="楷体_GB2312" w:hAnsi="楷体_GB2312" w:eastAsia="楷体_GB2312" w:cs="楷体_GB2312"/>
          <w:b/>
          <w:color w:val="auto"/>
        </w:rPr>
      </w:pPr>
      <w:r>
        <w:rPr>
          <w:rFonts w:hint="eastAsia" w:ascii="楷体_GB2312" w:hAnsi="楷体_GB2312" w:eastAsia="楷体_GB2312" w:cs="楷体_GB2312"/>
          <w:b/>
          <w:color w:val="auto"/>
          <w:szCs w:val="21"/>
        </w:rPr>
        <w:t>表12 埋地管道与交流接地体的最小距离（m）</w:t>
      </w:r>
    </w:p>
    <w:tbl>
      <w:tblPr>
        <w:tblStyle w:val="21"/>
        <w:tblW w:w="7918" w:type="dxa"/>
        <w:jc w:val="center"/>
        <w:tblInd w:w="1480" w:type="dxa"/>
        <w:tblLayout w:type="fixed"/>
        <w:tblCellMar>
          <w:top w:w="0" w:type="dxa"/>
          <w:left w:w="0" w:type="dxa"/>
          <w:bottom w:w="0" w:type="dxa"/>
          <w:right w:w="0" w:type="dxa"/>
        </w:tblCellMar>
      </w:tblPr>
      <w:tblGrid>
        <w:gridCol w:w="1759"/>
        <w:gridCol w:w="924"/>
        <w:gridCol w:w="1059"/>
        <w:gridCol w:w="999"/>
        <w:gridCol w:w="1059"/>
        <w:gridCol w:w="1059"/>
        <w:gridCol w:w="1059"/>
      </w:tblGrid>
      <w:tr>
        <w:tblPrEx>
          <w:tblLayout w:type="fixed"/>
          <w:tblCellMar>
            <w:top w:w="0" w:type="dxa"/>
            <w:left w:w="0" w:type="dxa"/>
            <w:bottom w:w="0" w:type="dxa"/>
            <w:right w:w="0" w:type="dxa"/>
          </w:tblCellMar>
        </w:tblPrEx>
        <w:trPr>
          <w:trHeight w:val="548" w:hRule="atLeast"/>
          <w:jc w:val="center"/>
        </w:trPr>
        <w:tc>
          <w:tcPr>
            <w:tcW w:w="1759"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vAlign w:val="center"/>
          </w:tcPr>
          <w:p>
            <w:pPr>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电压等级/kV</w:t>
            </w:r>
          </w:p>
        </w:tc>
        <w:tc>
          <w:tcPr>
            <w:tcW w:w="924"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vAlign w:val="center"/>
          </w:tcPr>
          <w:p>
            <w:pPr>
              <w:ind w:firstLine="422" w:firstLineChars="200"/>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10</w:t>
            </w:r>
          </w:p>
        </w:tc>
        <w:tc>
          <w:tcPr>
            <w:tcW w:w="1059"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vAlign w:val="center"/>
          </w:tcPr>
          <w:p>
            <w:pPr>
              <w:ind w:firstLine="422" w:firstLineChars="200"/>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35</w:t>
            </w:r>
          </w:p>
        </w:tc>
        <w:tc>
          <w:tcPr>
            <w:tcW w:w="999"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vAlign w:val="center"/>
          </w:tcPr>
          <w:p>
            <w:pPr>
              <w:ind w:firstLine="422" w:firstLineChars="200"/>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110</w:t>
            </w:r>
          </w:p>
        </w:tc>
        <w:tc>
          <w:tcPr>
            <w:tcW w:w="1059"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vAlign w:val="center"/>
          </w:tcPr>
          <w:p>
            <w:pPr>
              <w:ind w:firstLine="422" w:firstLineChars="200"/>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220</w:t>
            </w:r>
          </w:p>
        </w:tc>
        <w:tc>
          <w:tcPr>
            <w:tcW w:w="1059"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vAlign w:val="center"/>
          </w:tcPr>
          <w:p>
            <w:pPr>
              <w:ind w:firstLine="422" w:firstLineChars="200"/>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330</w:t>
            </w:r>
          </w:p>
        </w:tc>
        <w:tc>
          <w:tcPr>
            <w:tcW w:w="1059"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vAlign w:val="center"/>
          </w:tcPr>
          <w:p>
            <w:pPr>
              <w:ind w:firstLine="422" w:firstLineChars="200"/>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t>500</w:t>
            </w:r>
          </w:p>
        </w:tc>
      </w:tr>
      <w:tr>
        <w:tblPrEx>
          <w:tblLayout w:type="fixed"/>
          <w:tblCellMar>
            <w:top w:w="0" w:type="dxa"/>
            <w:left w:w="0" w:type="dxa"/>
            <w:bottom w:w="0" w:type="dxa"/>
            <w:right w:w="0" w:type="dxa"/>
          </w:tblCellMar>
        </w:tblPrEx>
        <w:trPr>
          <w:trHeight w:val="548" w:hRule="atLeast"/>
          <w:jc w:val="center"/>
        </w:trPr>
        <w:tc>
          <w:tcPr>
            <w:tcW w:w="175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jc w:val="center"/>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临时接地</w:t>
            </w:r>
          </w:p>
        </w:tc>
        <w:tc>
          <w:tcPr>
            <w:tcW w:w="924"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ind w:firstLine="420" w:firstLineChars="200"/>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0.5</w:t>
            </w:r>
          </w:p>
        </w:tc>
        <w:tc>
          <w:tcPr>
            <w:tcW w:w="105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ind w:firstLine="420" w:firstLineChars="200"/>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1.0</w:t>
            </w:r>
          </w:p>
        </w:tc>
        <w:tc>
          <w:tcPr>
            <w:tcW w:w="99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ind w:firstLine="420" w:firstLineChars="200"/>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3.0</w:t>
            </w:r>
          </w:p>
        </w:tc>
        <w:tc>
          <w:tcPr>
            <w:tcW w:w="105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ind w:firstLine="420" w:firstLineChars="200"/>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5.0</w:t>
            </w:r>
          </w:p>
        </w:tc>
        <w:tc>
          <w:tcPr>
            <w:tcW w:w="105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ind w:firstLine="420" w:firstLineChars="200"/>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6.0</w:t>
            </w:r>
          </w:p>
        </w:tc>
        <w:tc>
          <w:tcPr>
            <w:tcW w:w="105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ind w:firstLine="420" w:firstLineChars="200"/>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7.5</w:t>
            </w:r>
          </w:p>
        </w:tc>
      </w:tr>
      <w:tr>
        <w:tblPrEx>
          <w:tblLayout w:type="fixed"/>
          <w:tblCellMar>
            <w:top w:w="0" w:type="dxa"/>
            <w:left w:w="0" w:type="dxa"/>
            <w:bottom w:w="0" w:type="dxa"/>
            <w:right w:w="0" w:type="dxa"/>
          </w:tblCellMar>
        </w:tblPrEx>
        <w:trPr>
          <w:trHeight w:val="548" w:hRule="atLeast"/>
          <w:jc w:val="center"/>
        </w:trPr>
        <w:tc>
          <w:tcPr>
            <w:tcW w:w="175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jc w:val="center"/>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铁塔或电杆接地</w:t>
            </w:r>
          </w:p>
        </w:tc>
        <w:tc>
          <w:tcPr>
            <w:tcW w:w="924"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ind w:firstLine="420" w:firstLineChars="200"/>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1</w:t>
            </w:r>
          </w:p>
        </w:tc>
        <w:tc>
          <w:tcPr>
            <w:tcW w:w="105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ind w:firstLine="420" w:firstLineChars="200"/>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3.0</w:t>
            </w:r>
          </w:p>
        </w:tc>
        <w:tc>
          <w:tcPr>
            <w:tcW w:w="99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ind w:firstLine="420" w:firstLineChars="200"/>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5.0</w:t>
            </w:r>
          </w:p>
        </w:tc>
        <w:tc>
          <w:tcPr>
            <w:tcW w:w="105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ind w:firstLine="420" w:firstLineChars="200"/>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5.0</w:t>
            </w:r>
          </w:p>
        </w:tc>
        <w:tc>
          <w:tcPr>
            <w:tcW w:w="105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ind w:firstLine="420" w:firstLineChars="200"/>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6.0</w:t>
            </w:r>
          </w:p>
        </w:tc>
        <w:tc>
          <w:tcPr>
            <w:tcW w:w="105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ind w:firstLine="420" w:firstLineChars="200"/>
              <w:rPr>
                <w:rFonts w:hint="eastAsia" w:ascii="楷体_GB2312" w:hAnsi="楷体_GB2312" w:eastAsia="楷体_GB2312" w:cs="楷体_GB2312"/>
                <w:bCs/>
                <w:color w:val="auto"/>
                <w:szCs w:val="21"/>
              </w:rPr>
            </w:pPr>
            <w:r>
              <w:rPr>
                <w:rFonts w:hint="eastAsia" w:ascii="楷体_GB2312" w:hAnsi="楷体_GB2312" w:eastAsia="楷体_GB2312" w:cs="楷体_GB2312"/>
                <w:bCs/>
                <w:color w:val="auto"/>
                <w:szCs w:val="21"/>
              </w:rPr>
              <w:t>7.5</w:t>
            </w:r>
          </w:p>
        </w:tc>
      </w:tr>
    </w:tbl>
    <w:p>
      <w:pPr>
        <w:ind w:firstLine="420" w:firstLineChars="200"/>
        <w:jc w:val="center"/>
        <w:rPr>
          <w:rFonts w:hint="eastAsia" w:ascii="楷体_GB2312" w:hAnsi="楷体_GB2312" w:eastAsia="楷体_GB2312" w:cs="楷体_GB2312"/>
          <w:bCs/>
          <w:color w:val="auto"/>
        </w:rPr>
      </w:pPr>
    </w:p>
    <w:p>
      <w:pPr>
        <w:spacing w:line="360" w:lineRule="auto"/>
        <w:ind w:firstLine="420" w:firstLineChars="200"/>
        <w:rPr>
          <w:rFonts w:hint="eastAsia" w:ascii="楷体_GB2312" w:hAnsi="楷体_GB2312" w:eastAsia="楷体_GB2312" w:cs="楷体_GB2312"/>
          <w:color w:val="auto"/>
        </w:rPr>
      </w:pPr>
      <w:r>
        <w:rPr>
          <w:rFonts w:hint="eastAsia" w:ascii="楷体_GB2312" w:hAnsi="楷体_GB2312" w:eastAsia="楷体_GB2312" w:cs="楷体_GB2312"/>
          <w:color w:val="auto"/>
        </w:rPr>
        <w:t>a) 一般情况下，交流电力系统的各种接地装置与埋地管道之间的水平距离不宜小于表12的规定。</w:t>
      </w:r>
    </w:p>
    <w:p>
      <w:pPr>
        <w:spacing w:line="360" w:lineRule="auto"/>
        <w:ind w:firstLine="420" w:firstLineChars="200"/>
        <w:rPr>
          <w:rFonts w:hint="eastAsia" w:ascii="楷体_GB2312" w:hAnsi="楷体_GB2312" w:eastAsia="楷体_GB2312" w:cs="楷体_GB2312"/>
          <w:color w:val="auto"/>
        </w:rPr>
      </w:pPr>
      <w:r>
        <w:rPr>
          <w:rFonts w:hint="eastAsia" w:ascii="楷体_GB2312" w:hAnsi="楷体_GB2312" w:eastAsia="楷体_GB2312" w:cs="楷体_GB2312"/>
          <w:color w:val="auto"/>
        </w:rPr>
        <w:t>b) 在埋地管道与架空送电线路的距离不能满足表12的要求时或在路径受限地区，在采取隔离、屏蔽、接地等防护措施后，表12规定的距离可适当减小，但最小水平距离应大于0.5m。</w:t>
      </w:r>
    </w:p>
    <w:p>
      <w:pPr>
        <w:ind w:firstLine="420" w:firstLineChars="200"/>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3813175" cy="1880870"/>
            <wp:effectExtent l="0" t="0" r="15875" b="5080"/>
            <wp:docPr id="69650" name="图片 6965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50" name="图片 69650" descr="图片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813175" cy="1880870"/>
                    </a:xfrm>
                    <a:prstGeom prst="rect">
                      <a:avLst/>
                    </a:prstGeom>
                    <a:noFill/>
                    <a:ln>
                      <a:noFill/>
                    </a:ln>
                  </pic:spPr>
                </pic:pic>
              </a:graphicData>
            </a:graphic>
          </wp:inline>
        </w:drawing>
      </w: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szCs w:val="21"/>
        </w:rPr>
        <w:t>高压铁塔接地体示意图</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②《城镇燃气设计规范》GB50028-2006</w:t>
      </w:r>
    </w:p>
    <w:p>
      <w:pPr>
        <w:spacing w:line="360" w:lineRule="auto"/>
        <w:ind w:firstLine="480" w:firstLineChars="200"/>
        <w:rPr>
          <w:rFonts w:hint="eastAsia" w:ascii="楷体_GB2312" w:hAnsi="楷体_GB2312" w:eastAsia="楷体_GB2312" w:cs="楷体_GB2312"/>
          <w:b/>
          <w:color w:val="auto"/>
          <w:szCs w:val="21"/>
        </w:rPr>
      </w:pPr>
      <w:r>
        <w:rPr>
          <w:rFonts w:hint="eastAsia" w:ascii="楷体_GB2312" w:hAnsi="楷体_GB2312" w:eastAsia="楷体_GB2312" w:cs="楷体_GB2312"/>
          <w:color w:val="auto"/>
          <w:sz w:val="24"/>
        </w:rPr>
        <w:t>规范6.7.5  地下燃气管道与交流电力线接地体的净距不应小于表6.7.5的规定。</w:t>
      </w:r>
    </w:p>
    <w:p>
      <w:pPr>
        <w:spacing w:line="360" w:lineRule="auto"/>
        <w:ind w:firstLine="422" w:firstLineChars="20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表6.7.5-地下燃气管道与交流电离线接地体的净距（m）</w:t>
      </w:r>
    </w:p>
    <w:tbl>
      <w:tblPr>
        <w:tblStyle w:val="21"/>
        <w:tblW w:w="7982" w:type="dxa"/>
        <w:jc w:val="center"/>
        <w:tblInd w:w="238" w:type="dxa"/>
        <w:tblLayout w:type="fixed"/>
        <w:tblCellMar>
          <w:top w:w="0" w:type="dxa"/>
          <w:left w:w="0" w:type="dxa"/>
          <w:bottom w:w="0" w:type="dxa"/>
          <w:right w:w="0" w:type="dxa"/>
        </w:tblCellMar>
      </w:tblPr>
      <w:tblGrid>
        <w:gridCol w:w="2156"/>
        <w:gridCol w:w="1267"/>
        <w:gridCol w:w="1559"/>
        <w:gridCol w:w="1560"/>
        <w:gridCol w:w="1440"/>
      </w:tblGrid>
      <w:tr>
        <w:tblPrEx>
          <w:tblLayout w:type="fixed"/>
          <w:tblCellMar>
            <w:top w:w="0" w:type="dxa"/>
            <w:left w:w="0" w:type="dxa"/>
            <w:bottom w:w="0" w:type="dxa"/>
            <w:right w:w="0" w:type="dxa"/>
          </w:tblCellMar>
        </w:tblPrEx>
        <w:trPr>
          <w:trHeight w:val="359" w:hRule="atLeast"/>
          <w:jc w:val="center"/>
        </w:trPr>
        <w:tc>
          <w:tcPr>
            <w:tcW w:w="2156"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vAlign w:val="center"/>
          </w:tcPr>
          <w:p>
            <w:pPr>
              <w:spacing w:line="360" w:lineRule="auto"/>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电压等级（kV）</w:t>
            </w:r>
          </w:p>
        </w:tc>
        <w:tc>
          <w:tcPr>
            <w:tcW w:w="1267"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vAlign w:val="center"/>
          </w:tcPr>
          <w:p>
            <w:pPr>
              <w:spacing w:line="360" w:lineRule="auto"/>
              <w:ind w:firstLine="422" w:firstLineChars="20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10</w:t>
            </w:r>
          </w:p>
        </w:tc>
        <w:tc>
          <w:tcPr>
            <w:tcW w:w="1559"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vAlign w:val="center"/>
          </w:tcPr>
          <w:p>
            <w:pPr>
              <w:spacing w:line="360" w:lineRule="auto"/>
              <w:ind w:firstLine="422" w:firstLineChars="20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35</w:t>
            </w:r>
          </w:p>
        </w:tc>
        <w:tc>
          <w:tcPr>
            <w:tcW w:w="1560"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vAlign w:val="center"/>
          </w:tcPr>
          <w:p>
            <w:pPr>
              <w:spacing w:line="360" w:lineRule="auto"/>
              <w:ind w:firstLine="422" w:firstLineChars="20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110</w:t>
            </w:r>
          </w:p>
        </w:tc>
        <w:tc>
          <w:tcPr>
            <w:tcW w:w="1440"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vAlign w:val="center"/>
          </w:tcPr>
          <w:p>
            <w:pPr>
              <w:spacing w:line="360" w:lineRule="auto"/>
              <w:ind w:firstLine="422" w:firstLineChars="20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220</w:t>
            </w:r>
          </w:p>
        </w:tc>
      </w:tr>
      <w:tr>
        <w:tblPrEx>
          <w:tblLayout w:type="fixed"/>
          <w:tblCellMar>
            <w:top w:w="0" w:type="dxa"/>
            <w:left w:w="0" w:type="dxa"/>
            <w:bottom w:w="0" w:type="dxa"/>
            <w:right w:w="0" w:type="dxa"/>
          </w:tblCellMar>
        </w:tblPrEx>
        <w:trPr>
          <w:trHeight w:val="359" w:hRule="atLeast"/>
          <w:jc w:val="center"/>
        </w:trPr>
        <w:tc>
          <w:tcPr>
            <w:tcW w:w="2156"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spacing w:line="360"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铁塔或电杆接地体</w:t>
            </w:r>
          </w:p>
        </w:tc>
        <w:tc>
          <w:tcPr>
            <w:tcW w:w="1267"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spacing w:line="360" w:lineRule="auto"/>
              <w:ind w:firstLine="420" w:firstLineChars="20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w:t>
            </w:r>
          </w:p>
        </w:tc>
        <w:tc>
          <w:tcPr>
            <w:tcW w:w="155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spacing w:line="360" w:lineRule="auto"/>
              <w:ind w:firstLine="420" w:firstLineChars="200"/>
              <w:jc w:val="center"/>
              <w:rPr>
                <w:rFonts w:hint="eastAsia" w:ascii="楷体_GB2312" w:hAnsi="楷体_GB2312" w:eastAsia="楷体_GB2312" w:cs="楷体_GB2312"/>
                <w:color w:val="auto"/>
                <w:szCs w:val="21"/>
              </w:rPr>
            </w:pPr>
            <w:r>
              <w:rPr>
                <w:rFonts w:hint="eastAsia" w:ascii="楷体_GB2312" w:hAnsi="楷体_GB2312" w:eastAsia="楷体_GB2312" w:cs="楷体_GB2312"/>
                <w:bCs/>
                <w:color w:val="auto"/>
                <w:szCs w:val="21"/>
              </w:rPr>
              <w:t>3</w:t>
            </w:r>
          </w:p>
        </w:tc>
        <w:tc>
          <w:tcPr>
            <w:tcW w:w="1560"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spacing w:line="360" w:lineRule="auto"/>
              <w:ind w:firstLine="420" w:firstLineChars="200"/>
              <w:jc w:val="center"/>
              <w:rPr>
                <w:rFonts w:hint="eastAsia" w:ascii="楷体_GB2312" w:hAnsi="楷体_GB2312" w:eastAsia="楷体_GB2312" w:cs="楷体_GB2312"/>
                <w:color w:val="auto"/>
                <w:szCs w:val="21"/>
              </w:rPr>
            </w:pPr>
            <w:r>
              <w:rPr>
                <w:rFonts w:hint="eastAsia" w:ascii="楷体_GB2312" w:hAnsi="楷体_GB2312" w:eastAsia="楷体_GB2312" w:cs="楷体_GB2312"/>
                <w:bCs/>
                <w:color w:val="auto"/>
                <w:szCs w:val="21"/>
              </w:rPr>
              <w:t>5</w:t>
            </w:r>
          </w:p>
        </w:tc>
        <w:tc>
          <w:tcPr>
            <w:tcW w:w="1440"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spacing w:line="360" w:lineRule="auto"/>
              <w:ind w:firstLine="420" w:firstLineChars="200"/>
              <w:jc w:val="center"/>
              <w:rPr>
                <w:rFonts w:hint="eastAsia" w:ascii="楷体_GB2312" w:hAnsi="楷体_GB2312" w:eastAsia="楷体_GB2312" w:cs="楷体_GB2312"/>
                <w:color w:val="auto"/>
                <w:szCs w:val="21"/>
              </w:rPr>
            </w:pPr>
            <w:r>
              <w:rPr>
                <w:rFonts w:hint="eastAsia" w:ascii="楷体_GB2312" w:hAnsi="楷体_GB2312" w:eastAsia="楷体_GB2312" w:cs="楷体_GB2312"/>
                <w:bCs/>
                <w:color w:val="auto"/>
                <w:szCs w:val="21"/>
              </w:rPr>
              <w:t>10</w:t>
            </w:r>
          </w:p>
        </w:tc>
      </w:tr>
      <w:tr>
        <w:tblPrEx>
          <w:tblLayout w:type="fixed"/>
          <w:tblCellMar>
            <w:top w:w="0" w:type="dxa"/>
            <w:left w:w="0" w:type="dxa"/>
            <w:bottom w:w="0" w:type="dxa"/>
            <w:right w:w="0" w:type="dxa"/>
          </w:tblCellMar>
        </w:tblPrEx>
        <w:trPr>
          <w:trHeight w:val="359" w:hRule="atLeast"/>
          <w:jc w:val="center"/>
        </w:trPr>
        <w:tc>
          <w:tcPr>
            <w:tcW w:w="2156"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spacing w:line="360"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电站或变电所接地体</w:t>
            </w:r>
          </w:p>
        </w:tc>
        <w:tc>
          <w:tcPr>
            <w:tcW w:w="1267"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spacing w:line="360" w:lineRule="auto"/>
              <w:ind w:firstLine="420" w:firstLineChars="20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5</w:t>
            </w:r>
          </w:p>
        </w:tc>
        <w:tc>
          <w:tcPr>
            <w:tcW w:w="155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spacing w:line="360" w:lineRule="auto"/>
              <w:ind w:firstLine="420" w:firstLineChars="20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10</w:t>
            </w:r>
          </w:p>
        </w:tc>
        <w:tc>
          <w:tcPr>
            <w:tcW w:w="1560"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spacing w:line="360" w:lineRule="auto"/>
              <w:ind w:firstLine="420" w:firstLineChars="20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15</w:t>
            </w:r>
          </w:p>
        </w:tc>
        <w:tc>
          <w:tcPr>
            <w:tcW w:w="1440"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spacing w:line="360" w:lineRule="auto"/>
              <w:ind w:firstLine="420" w:firstLineChars="20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30</w:t>
            </w:r>
          </w:p>
        </w:tc>
      </w:tr>
    </w:tbl>
    <w:p>
      <w:pPr>
        <w:rPr>
          <w:rFonts w:hint="eastAsia" w:ascii="楷体_GB2312" w:hAnsi="楷体_GB2312" w:eastAsia="楷体_GB2312" w:cs="楷体_GB2312"/>
          <w:color w:val="auto"/>
        </w:rPr>
      </w:pPr>
    </w:p>
    <w:p>
      <w:pPr>
        <w:spacing w:line="360" w:lineRule="auto"/>
        <w:ind w:firstLine="480" w:firstLineChars="200"/>
        <w:rPr>
          <w:rFonts w:hint="eastAsia" w:ascii="楷体_GB2312" w:hAnsi="楷体_GB2312" w:eastAsia="楷体_GB2312" w:cs="楷体_GB2312"/>
          <w:b/>
          <w:color w:val="auto"/>
          <w:sz w:val="24"/>
        </w:rPr>
      </w:pPr>
      <w:r>
        <w:rPr>
          <w:rFonts w:hint="eastAsia" w:ascii="楷体_GB2312" w:hAnsi="楷体_GB2312" w:eastAsia="楷体_GB2312" w:cs="楷体_GB2312"/>
          <w:color w:val="auto"/>
          <w:sz w:val="24"/>
        </w:rPr>
        <w:t>本次规划遵循</w:t>
      </w:r>
      <w:r>
        <w:rPr>
          <w:rFonts w:hint="eastAsia" w:ascii="楷体_GB2312" w:hAnsi="楷体_GB2312" w:eastAsia="楷体_GB2312" w:cs="楷体_GB2312"/>
          <w:bCs/>
          <w:color w:val="auto"/>
          <w:sz w:val="24"/>
        </w:rPr>
        <w:t>《钢制管道外防腐控制规范》，并参照</w:t>
      </w:r>
      <w:r>
        <w:rPr>
          <w:rFonts w:hint="eastAsia" w:ascii="楷体_GB2312" w:hAnsi="楷体_GB2312" w:eastAsia="楷体_GB2312" w:cs="楷体_GB2312"/>
          <w:color w:val="auto"/>
          <w:sz w:val="24"/>
        </w:rPr>
        <w:t>《城镇燃气设计规范》，遵循安全性原则，</w:t>
      </w:r>
      <w:r>
        <w:rPr>
          <w:rFonts w:hint="eastAsia" w:ascii="楷体_GB2312" w:hAnsi="楷体_GB2312" w:eastAsia="楷体_GB2312" w:cs="楷体_GB2312"/>
          <w:b/>
          <w:color w:val="auto"/>
          <w:sz w:val="24"/>
        </w:rPr>
        <w:t>合理确定本工程天然气管道与架空线塔基控制间距，如下表所示：</w:t>
      </w:r>
    </w:p>
    <w:p>
      <w:pPr>
        <w:spacing w:line="360" w:lineRule="auto"/>
        <w:ind w:firstLine="422" w:firstLineChars="20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br w:type="page"/>
      </w:r>
    </w:p>
    <w:p>
      <w:pPr>
        <w:spacing w:line="360" w:lineRule="auto"/>
        <w:ind w:firstLine="422" w:firstLineChars="20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规划天然气管道与架空线塔基控制间距（m）</w:t>
      </w:r>
    </w:p>
    <w:tbl>
      <w:tblPr>
        <w:tblStyle w:val="21"/>
        <w:tblW w:w="7455" w:type="dxa"/>
        <w:jc w:val="center"/>
        <w:tblInd w:w="4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fixed"/>
        <w:tblCellMar>
          <w:top w:w="0" w:type="dxa"/>
          <w:left w:w="0" w:type="dxa"/>
          <w:bottom w:w="0" w:type="dxa"/>
          <w:right w:w="0" w:type="dxa"/>
        </w:tblCellMar>
      </w:tblPr>
      <w:tblGrid>
        <w:gridCol w:w="2010"/>
        <w:gridCol w:w="922"/>
        <w:gridCol w:w="1031"/>
        <w:gridCol w:w="1230"/>
        <w:gridCol w:w="1086"/>
        <w:gridCol w:w="1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fixed"/>
          <w:tblCellMar>
            <w:top w:w="0" w:type="dxa"/>
            <w:left w:w="0" w:type="dxa"/>
            <w:bottom w:w="0" w:type="dxa"/>
            <w:right w:w="0" w:type="dxa"/>
          </w:tblCellMar>
        </w:tblPrEx>
        <w:trPr>
          <w:trHeight w:val="248" w:hRule="atLeast"/>
          <w:jc w:val="center"/>
        </w:trPr>
        <w:tc>
          <w:tcPr>
            <w:tcW w:w="2010" w:type="dxa"/>
            <w:shd w:val="clear" w:color="auto" w:fill="C2D69B" w:themeFill="accent3" w:themeFillTint="99"/>
            <w:tcMar>
              <w:top w:w="72" w:type="dxa"/>
              <w:left w:w="144" w:type="dxa"/>
              <w:bottom w:w="72" w:type="dxa"/>
              <w:right w:w="144" w:type="dxa"/>
            </w:tcMar>
            <w:vAlign w:val="center"/>
          </w:tcPr>
          <w:p>
            <w:pPr>
              <w:spacing w:line="360" w:lineRule="auto"/>
              <w:jc w:val="center"/>
              <w:rPr>
                <w:rFonts w:hint="eastAsia" w:ascii="楷体_GB2312" w:hAnsi="楷体_GB2312" w:eastAsia="楷体_GB2312" w:cs="楷体_GB2312"/>
                <w:b/>
                <w:color w:val="auto"/>
                <w:szCs w:val="21"/>
              </w:rPr>
            </w:pPr>
            <w:r>
              <w:rPr>
                <w:rFonts w:hint="eastAsia" w:ascii="楷体_GB2312" w:hAnsi="楷体_GB2312" w:eastAsia="楷体_GB2312" w:cs="楷体_GB2312"/>
                <w:b/>
                <w:bCs/>
                <w:color w:val="auto"/>
                <w:szCs w:val="21"/>
              </w:rPr>
              <w:t>电压等级（kV）</w:t>
            </w:r>
          </w:p>
        </w:tc>
        <w:tc>
          <w:tcPr>
            <w:tcW w:w="922" w:type="dxa"/>
            <w:shd w:val="clear" w:color="auto" w:fill="C2D69B" w:themeFill="accent3" w:themeFillTint="99"/>
            <w:tcMar>
              <w:top w:w="72" w:type="dxa"/>
              <w:left w:w="144" w:type="dxa"/>
              <w:bottom w:w="72" w:type="dxa"/>
              <w:right w:w="144" w:type="dxa"/>
            </w:tcMar>
            <w:vAlign w:val="center"/>
          </w:tcPr>
          <w:p>
            <w:pPr>
              <w:spacing w:line="360" w:lineRule="auto"/>
              <w:jc w:val="center"/>
              <w:rPr>
                <w:rFonts w:hint="eastAsia" w:ascii="楷体_GB2312" w:hAnsi="楷体_GB2312" w:eastAsia="楷体_GB2312" w:cs="楷体_GB2312"/>
                <w:b/>
                <w:color w:val="auto"/>
                <w:szCs w:val="21"/>
              </w:rPr>
            </w:pPr>
            <w:r>
              <w:rPr>
                <w:rFonts w:hint="eastAsia" w:ascii="楷体_GB2312" w:hAnsi="楷体_GB2312" w:eastAsia="楷体_GB2312" w:cs="楷体_GB2312"/>
                <w:b/>
                <w:bCs/>
                <w:color w:val="auto"/>
                <w:szCs w:val="21"/>
              </w:rPr>
              <w:t>10</w:t>
            </w:r>
          </w:p>
        </w:tc>
        <w:tc>
          <w:tcPr>
            <w:tcW w:w="1031" w:type="dxa"/>
            <w:shd w:val="clear" w:color="auto" w:fill="C2D69B" w:themeFill="accent3" w:themeFillTint="99"/>
            <w:tcMar>
              <w:top w:w="72" w:type="dxa"/>
              <w:left w:w="144" w:type="dxa"/>
              <w:bottom w:w="72" w:type="dxa"/>
              <w:right w:w="144" w:type="dxa"/>
            </w:tcMar>
            <w:vAlign w:val="center"/>
          </w:tcPr>
          <w:p>
            <w:pPr>
              <w:spacing w:line="360" w:lineRule="auto"/>
              <w:jc w:val="center"/>
              <w:rPr>
                <w:rFonts w:hint="eastAsia" w:ascii="楷体_GB2312" w:hAnsi="楷体_GB2312" w:eastAsia="楷体_GB2312" w:cs="楷体_GB2312"/>
                <w:b/>
                <w:color w:val="auto"/>
                <w:szCs w:val="21"/>
              </w:rPr>
            </w:pPr>
            <w:r>
              <w:rPr>
                <w:rFonts w:hint="eastAsia" w:ascii="楷体_GB2312" w:hAnsi="楷体_GB2312" w:eastAsia="楷体_GB2312" w:cs="楷体_GB2312"/>
                <w:b/>
                <w:bCs/>
                <w:color w:val="auto"/>
                <w:szCs w:val="21"/>
              </w:rPr>
              <w:t>35</w:t>
            </w:r>
          </w:p>
        </w:tc>
        <w:tc>
          <w:tcPr>
            <w:tcW w:w="1230" w:type="dxa"/>
            <w:shd w:val="clear" w:color="auto" w:fill="C2D69B" w:themeFill="accent3" w:themeFillTint="99"/>
            <w:tcMar>
              <w:top w:w="72" w:type="dxa"/>
              <w:left w:w="144" w:type="dxa"/>
              <w:bottom w:w="72" w:type="dxa"/>
              <w:right w:w="144" w:type="dxa"/>
            </w:tcMar>
            <w:vAlign w:val="center"/>
          </w:tcPr>
          <w:p>
            <w:pPr>
              <w:spacing w:line="360" w:lineRule="auto"/>
              <w:jc w:val="center"/>
              <w:rPr>
                <w:rFonts w:hint="eastAsia" w:ascii="楷体_GB2312" w:hAnsi="楷体_GB2312" w:eastAsia="楷体_GB2312" w:cs="楷体_GB2312"/>
                <w:b/>
                <w:color w:val="auto"/>
                <w:szCs w:val="21"/>
              </w:rPr>
            </w:pPr>
            <w:r>
              <w:rPr>
                <w:rFonts w:hint="eastAsia" w:ascii="楷体_GB2312" w:hAnsi="楷体_GB2312" w:eastAsia="楷体_GB2312" w:cs="楷体_GB2312"/>
                <w:b/>
                <w:bCs/>
                <w:color w:val="auto"/>
                <w:szCs w:val="21"/>
              </w:rPr>
              <w:t>110</w:t>
            </w:r>
          </w:p>
        </w:tc>
        <w:tc>
          <w:tcPr>
            <w:tcW w:w="1086" w:type="dxa"/>
            <w:shd w:val="clear" w:color="auto" w:fill="C2D69B" w:themeFill="accent3" w:themeFillTint="99"/>
            <w:tcMar>
              <w:top w:w="72" w:type="dxa"/>
              <w:left w:w="144" w:type="dxa"/>
              <w:bottom w:w="72" w:type="dxa"/>
              <w:right w:w="144" w:type="dxa"/>
            </w:tcMar>
            <w:vAlign w:val="center"/>
          </w:tcPr>
          <w:p>
            <w:pPr>
              <w:spacing w:line="360" w:lineRule="auto"/>
              <w:jc w:val="center"/>
              <w:rPr>
                <w:rFonts w:hint="eastAsia" w:ascii="楷体_GB2312" w:hAnsi="楷体_GB2312" w:eastAsia="楷体_GB2312" w:cs="楷体_GB2312"/>
                <w:b/>
                <w:color w:val="auto"/>
                <w:szCs w:val="21"/>
              </w:rPr>
            </w:pPr>
            <w:r>
              <w:rPr>
                <w:rFonts w:hint="eastAsia" w:ascii="楷体_GB2312" w:hAnsi="楷体_GB2312" w:eastAsia="楷体_GB2312" w:cs="楷体_GB2312"/>
                <w:b/>
                <w:bCs/>
                <w:color w:val="auto"/>
                <w:szCs w:val="21"/>
              </w:rPr>
              <w:t>220</w:t>
            </w:r>
          </w:p>
        </w:tc>
        <w:tc>
          <w:tcPr>
            <w:tcW w:w="1176" w:type="dxa"/>
            <w:shd w:val="clear" w:color="auto" w:fill="C2D69B" w:themeFill="accent3" w:themeFillTint="99"/>
            <w:tcMar>
              <w:top w:w="72" w:type="dxa"/>
              <w:left w:w="144" w:type="dxa"/>
              <w:bottom w:w="72" w:type="dxa"/>
              <w:right w:w="144" w:type="dxa"/>
            </w:tcMar>
            <w:vAlign w:val="center"/>
          </w:tcPr>
          <w:p>
            <w:pPr>
              <w:spacing w:line="360" w:lineRule="auto"/>
              <w:jc w:val="center"/>
              <w:rPr>
                <w:rFonts w:hint="eastAsia" w:ascii="楷体_GB2312" w:hAnsi="楷体_GB2312" w:eastAsia="楷体_GB2312" w:cs="楷体_GB2312"/>
                <w:b/>
                <w:color w:val="auto"/>
                <w:szCs w:val="21"/>
              </w:rPr>
            </w:pPr>
            <w:r>
              <w:rPr>
                <w:rFonts w:hint="eastAsia" w:ascii="楷体_GB2312" w:hAnsi="楷体_GB2312" w:eastAsia="楷体_GB2312" w:cs="楷体_GB2312"/>
                <w:b/>
                <w:bCs/>
                <w:color w:val="auto"/>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48" w:hRule="atLeast"/>
          <w:jc w:val="center"/>
        </w:trPr>
        <w:tc>
          <w:tcPr>
            <w:tcW w:w="2010" w:type="dxa"/>
            <w:shd w:val="clear" w:color="auto" w:fill="FFFFFF"/>
            <w:tcMar>
              <w:top w:w="72" w:type="dxa"/>
              <w:left w:w="144" w:type="dxa"/>
              <w:bottom w:w="72" w:type="dxa"/>
              <w:right w:w="144" w:type="dxa"/>
            </w:tcMar>
            <w:vAlign w:val="center"/>
          </w:tcPr>
          <w:p>
            <w:pPr>
              <w:spacing w:line="360"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管道中心线距铁塔或电杆基础边缘</w:t>
            </w:r>
          </w:p>
        </w:tc>
        <w:tc>
          <w:tcPr>
            <w:tcW w:w="922" w:type="dxa"/>
            <w:shd w:val="clear" w:color="auto" w:fill="FFFFFF"/>
            <w:tcMar>
              <w:top w:w="72" w:type="dxa"/>
              <w:left w:w="144" w:type="dxa"/>
              <w:bottom w:w="72" w:type="dxa"/>
              <w:right w:w="144" w:type="dxa"/>
            </w:tcMar>
            <w:vAlign w:val="center"/>
          </w:tcPr>
          <w:p>
            <w:pPr>
              <w:spacing w:line="360"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2</w:t>
            </w:r>
          </w:p>
        </w:tc>
        <w:tc>
          <w:tcPr>
            <w:tcW w:w="1031" w:type="dxa"/>
            <w:shd w:val="clear" w:color="auto" w:fill="FFFFFF"/>
            <w:tcMar>
              <w:top w:w="72" w:type="dxa"/>
              <w:left w:w="144" w:type="dxa"/>
              <w:bottom w:w="72" w:type="dxa"/>
              <w:right w:w="144" w:type="dxa"/>
            </w:tcMar>
            <w:vAlign w:val="center"/>
          </w:tcPr>
          <w:p>
            <w:pPr>
              <w:spacing w:line="360"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5</w:t>
            </w:r>
          </w:p>
        </w:tc>
        <w:tc>
          <w:tcPr>
            <w:tcW w:w="1230" w:type="dxa"/>
            <w:shd w:val="clear" w:color="auto" w:fill="FFFFFF"/>
            <w:tcMar>
              <w:top w:w="72" w:type="dxa"/>
              <w:left w:w="144" w:type="dxa"/>
              <w:bottom w:w="72" w:type="dxa"/>
              <w:right w:w="144" w:type="dxa"/>
            </w:tcMar>
            <w:vAlign w:val="center"/>
          </w:tcPr>
          <w:p>
            <w:pPr>
              <w:spacing w:line="360"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8</w:t>
            </w:r>
          </w:p>
        </w:tc>
        <w:tc>
          <w:tcPr>
            <w:tcW w:w="1086" w:type="dxa"/>
            <w:shd w:val="clear" w:color="auto" w:fill="FFFFFF"/>
            <w:tcMar>
              <w:top w:w="72" w:type="dxa"/>
              <w:left w:w="144" w:type="dxa"/>
              <w:bottom w:w="72" w:type="dxa"/>
              <w:right w:w="144" w:type="dxa"/>
            </w:tcMar>
            <w:vAlign w:val="center"/>
          </w:tcPr>
          <w:p>
            <w:pPr>
              <w:spacing w:line="360"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12</w:t>
            </w:r>
          </w:p>
        </w:tc>
        <w:tc>
          <w:tcPr>
            <w:tcW w:w="1176" w:type="dxa"/>
            <w:shd w:val="clear" w:color="auto" w:fill="FFFFFF"/>
            <w:tcMar>
              <w:top w:w="72" w:type="dxa"/>
              <w:left w:w="144" w:type="dxa"/>
              <w:bottom w:w="72" w:type="dxa"/>
              <w:right w:w="144" w:type="dxa"/>
            </w:tcMar>
            <w:vAlign w:val="center"/>
          </w:tcPr>
          <w:p>
            <w:pPr>
              <w:spacing w:line="360"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15</w:t>
            </w:r>
          </w:p>
        </w:tc>
      </w:tr>
    </w:tbl>
    <w:p>
      <w:pPr>
        <w:spacing w:line="360" w:lineRule="auto"/>
        <w:ind w:firstLine="480" w:firstLineChars="200"/>
        <w:rPr>
          <w:rFonts w:hint="eastAsia" w:ascii="楷体_GB2312" w:hAnsi="楷体_GB2312" w:eastAsia="楷体_GB2312" w:cs="楷体_GB2312"/>
          <w:color w:val="auto"/>
          <w:sz w:val="24"/>
        </w:rPr>
      </w:pPr>
    </w:p>
    <w:p>
      <w:pPr>
        <w:spacing w:line="360" w:lineRule="auto"/>
        <w:ind w:firstLine="482" w:firstLineChars="200"/>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2）与铁路</w:t>
      </w:r>
    </w:p>
    <w:p>
      <w:pPr>
        <w:spacing w:line="360" w:lineRule="auto"/>
        <w:ind w:firstLine="420" w:firstLineChars="200"/>
        <w:rPr>
          <w:rFonts w:hint="eastAsia" w:ascii="楷体_GB2312" w:hAnsi="楷体_GB2312" w:eastAsia="楷体_GB2312" w:cs="楷体_GB2312"/>
          <w:color w:val="auto"/>
        </w:rPr>
      </w:pPr>
      <w:r>
        <w:rPr>
          <w:rFonts w:hint="eastAsia" w:ascii="楷体_GB2312" w:hAnsi="楷体_GB2312" w:eastAsia="楷体_GB2312" w:cs="楷体_GB2312"/>
          <w:color w:val="auto"/>
        </w:rPr>
        <w:t>①《输气管道工程设计规范》GB50251-2015</w:t>
      </w:r>
    </w:p>
    <w:p>
      <w:pPr>
        <w:spacing w:line="360" w:lineRule="auto"/>
        <w:ind w:firstLine="420" w:firstLineChars="200"/>
        <w:rPr>
          <w:rFonts w:hint="eastAsia" w:ascii="楷体_GB2312" w:hAnsi="楷体_GB2312" w:eastAsia="楷体_GB2312" w:cs="楷体_GB2312"/>
          <w:color w:val="auto"/>
        </w:rPr>
      </w:pPr>
      <w:r>
        <w:rPr>
          <w:rFonts w:hint="eastAsia" w:ascii="楷体_GB2312" w:hAnsi="楷体_GB2312" w:eastAsia="楷体_GB2312" w:cs="楷体_GB2312"/>
          <w:bCs/>
          <w:color w:val="auto"/>
        </w:rPr>
        <w:t>4.1.1 线路的选择应符合下列要求：</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lang w:eastAsia="zh-CN"/>
        </w:rPr>
        <w:t>“</w:t>
      </w:r>
      <w:r>
        <w:rPr>
          <w:rFonts w:hint="eastAsia" w:ascii="楷体_GB2312" w:hAnsi="楷体_GB2312" w:eastAsia="楷体_GB2312" w:cs="楷体_GB2312"/>
          <w:color w:val="auto"/>
          <w:kern w:val="0"/>
          <w:sz w:val="24"/>
        </w:rPr>
        <w:t>与公路并行的管道路由宜在公路用地界3m以外，与铁路并行的管道路由宜在铁路用地界3m以外，如地形受限或其他条件限制的局部地段不满足要求时，应征得道路管理部门的同意。</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②《油气输送管道与铁路交汇工程技术及管理规定》—国家能源局、国家铁路局（自2016年1月1日起实施）</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第十八条 管道与铁路并行布置时，应同时满足下列要求：</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1. 管道距铁路用地界的净距不应小于3m。</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2. 埋地管道距邻近铁路线路轨道中心线的净距不应小于25m。</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3. 地上管道与邻近铁路线路轨道中心线的水平净距不应小于50m。</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第十三条 管道穿越既有铁路桥梁或铁路桥梁跨越既有管道时，铁路桥梁（非跨主河道区段）下方管道可直接埋设通过，并应满足下列要求：</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1. 管顶在桥梁下方埋深不宜小于1.2m，管道上方应埋设钢筋混凝土板。</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2. 铁路桥梁底面至自然底面的净空高度不应小于2.0m。</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 xml:space="preserve">3. 管道与铁路桥梁墩台基础边缘的水平净距不宜小于3m。施工过程中应对既有桥梁墩台或管道设施采取保护措施，确保管道与桥梁的安全。 </w:t>
      </w:r>
    </w:p>
    <w:p>
      <w:pPr>
        <w:spacing w:line="360" w:lineRule="auto"/>
        <w:ind w:firstLine="482" w:firstLineChars="200"/>
        <w:rPr>
          <w:rFonts w:hint="eastAsia" w:ascii="楷体_GB2312" w:hAnsi="楷体_GB2312" w:eastAsia="楷体_GB2312" w:cs="楷体_GB2312"/>
          <w:b/>
          <w:color w:val="auto"/>
          <w:kern w:val="0"/>
          <w:sz w:val="24"/>
        </w:rPr>
      </w:pPr>
      <w:r>
        <w:rPr>
          <w:rFonts w:hint="eastAsia" w:ascii="楷体_GB2312" w:hAnsi="楷体_GB2312" w:eastAsia="楷体_GB2312" w:cs="楷体_GB2312"/>
          <w:b/>
          <w:color w:val="auto"/>
          <w:kern w:val="0"/>
          <w:sz w:val="24"/>
        </w:rPr>
        <w:t>3）与建筑物</w:t>
      </w:r>
    </w:p>
    <w:p>
      <w:pPr>
        <w:spacing w:line="360" w:lineRule="auto"/>
        <w:ind w:firstLine="42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rPr>
        <w:t>①</w:t>
      </w:r>
      <w:r>
        <w:rPr>
          <w:rFonts w:hint="eastAsia" w:ascii="楷体_GB2312" w:hAnsi="楷体_GB2312" w:eastAsia="楷体_GB2312" w:cs="楷体_GB2312"/>
          <w:color w:val="auto"/>
          <w:kern w:val="0"/>
          <w:sz w:val="24"/>
        </w:rPr>
        <w:t>《输气管道工程设计规范》GB50251-2015</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4.1 .1  线路的选择应符合下列要求：</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7. 线路宜避开城乡规划区，当受条件限制，需要在城乡规划区通过时，应征得城乡规划主管部门的同意，并采取安全保护措施。</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10. 埋地管道与建（构）筑物的间距应满足施工和运行管理需求，且管道中心线与建（构）筑物的最小距离不应小于5m。</w:t>
      </w:r>
    </w:p>
    <w:p>
      <w:pPr>
        <w:spacing w:line="360" w:lineRule="auto"/>
        <w:ind w:firstLine="42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rPr>
        <w:t>②</w:t>
      </w:r>
      <w:r>
        <w:rPr>
          <w:rFonts w:hint="eastAsia" w:ascii="楷体_GB2312" w:hAnsi="楷体_GB2312" w:eastAsia="楷体_GB2312" w:cs="楷体_GB2312"/>
          <w:color w:val="auto"/>
          <w:kern w:val="0"/>
          <w:sz w:val="24"/>
        </w:rPr>
        <w:t>《城镇燃气设计规范》GB50028-2006</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6.4.3 城镇燃气管道地区等级的划分应符合下列规定：</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沿管道中心线两侧各200m范围内，任意划分为1.6km长度并能包括最多供人居住的独立建筑物数量的地段，作为地区分级单元。</w:t>
      </w:r>
    </w:p>
    <w:p>
      <w:pPr>
        <w:spacing w:line="360" w:lineRule="auto"/>
        <w:ind w:firstLine="422" w:firstLineChars="20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表6.4.12-三级地区地下燃气管道与建筑物之间的水平净距（m）</w:t>
      </w:r>
    </w:p>
    <w:tbl>
      <w:tblPr>
        <w:tblStyle w:val="21"/>
        <w:tblW w:w="7823" w:type="dxa"/>
        <w:jc w:val="center"/>
        <w:tblInd w:w="2031" w:type="dxa"/>
        <w:tblLayout w:type="fixed"/>
        <w:tblCellMar>
          <w:top w:w="0" w:type="dxa"/>
          <w:left w:w="0" w:type="dxa"/>
          <w:bottom w:w="0" w:type="dxa"/>
          <w:right w:w="0" w:type="dxa"/>
        </w:tblCellMar>
      </w:tblPr>
      <w:tblGrid>
        <w:gridCol w:w="3299"/>
        <w:gridCol w:w="1276"/>
        <w:gridCol w:w="1701"/>
        <w:gridCol w:w="1547"/>
      </w:tblGrid>
      <w:tr>
        <w:tblPrEx>
          <w:tblLayout w:type="fixed"/>
          <w:tblCellMar>
            <w:top w:w="0" w:type="dxa"/>
            <w:left w:w="0" w:type="dxa"/>
            <w:bottom w:w="0" w:type="dxa"/>
            <w:right w:w="0" w:type="dxa"/>
          </w:tblCellMar>
        </w:tblPrEx>
        <w:trPr>
          <w:trHeight w:val="328" w:hRule="atLeast"/>
          <w:jc w:val="center"/>
        </w:trPr>
        <w:tc>
          <w:tcPr>
            <w:tcW w:w="3299" w:type="dxa"/>
            <w:vMerge w:val="restart"/>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tcPr>
          <w:p>
            <w:pPr>
              <w:spacing w:line="360" w:lineRule="auto"/>
              <w:ind w:firstLine="422" w:firstLineChars="200"/>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燃气管道工程直径和</w:t>
            </w:r>
          </w:p>
          <w:p>
            <w:pPr>
              <w:spacing w:line="360" w:lineRule="auto"/>
              <w:ind w:firstLine="422" w:firstLineChars="200"/>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壁厚δ（mm）</w:t>
            </w:r>
          </w:p>
        </w:tc>
        <w:tc>
          <w:tcPr>
            <w:tcW w:w="4524" w:type="dxa"/>
            <w:gridSpan w:val="3"/>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tcPr>
          <w:p>
            <w:pPr>
              <w:spacing w:line="360" w:lineRule="auto"/>
              <w:ind w:firstLine="422" w:firstLineChars="200"/>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地下燃气管道压力（MPa）</w:t>
            </w:r>
          </w:p>
        </w:tc>
      </w:tr>
      <w:tr>
        <w:tblPrEx>
          <w:tblLayout w:type="fixed"/>
          <w:tblCellMar>
            <w:top w:w="0" w:type="dxa"/>
            <w:left w:w="0" w:type="dxa"/>
            <w:bottom w:w="0" w:type="dxa"/>
            <w:right w:w="0" w:type="dxa"/>
          </w:tblCellMar>
        </w:tblPrEx>
        <w:trPr>
          <w:trHeight w:val="328" w:hRule="atLeast"/>
          <w:jc w:val="center"/>
        </w:trPr>
        <w:tc>
          <w:tcPr>
            <w:tcW w:w="3299" w:type="dxa"/>
            <w:vMerge w:val="continue"/>
            <w:tcBorders>
              <w:top w:val="single" w:color="000000" w:sz="8" w:space="0"/>
              <w:left w:val="single" w:color="000000" w:sz="8" w:space="0"/>
              <w:bottom w:val="single" w:color="000000" w:sz="8" w:space="0"/>
              <w:right w:val="single" w:color="000000" w:sz="8" w:space="0"/>
            </w:tcBorders>
            <w:shd w:val="clear" w:color="auto" w:fill="C2D69B" w:themeFill="accent3" w:themeFillTint="99"/>
            <w:vAlign w:val="center"/>
          </w:tcPr>
          <w:p>
            <w:pPr>
              <w:spacing w:line="360" w:lineRule="auto"/>
              <w:ind w:firstLine="422" w:firstLineChars="200"/>
              <w:rPr>
                <w:rFonts w:hint="eastAsia" w:ascii="楷体_GB2312" w:hAnsi="楷体_GB2312" w:eastAsia="楷体_GB2312" w:cs="楷体_GB2312"/>
                <w:b/>
                <w:color w:val="auto"/>
                <w:szCs w:val="21"/>
              </w:rPr>
            </w:pPr>
          </w:p>
        </w:tc>
        <w:tc>
          <w:tcPr>
            <w:tcW w:w="1276"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tcPr>
          <w:p>
            <w:pPr>
              <w:spacing w:line="360" w:lineRule="auto"/>
              <w:ind w:firstLine="422" w:firstLineChars="200"/>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1.61</w:t>
            </w:r>
          </w:p>
        </w:tc>
        <w:tc>
          <w:tcPr>
            <w:tcW w:w="1701"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tcPr>
          <w:p>
            <w:pPr>
              <w:spacing w:line="360" w:lineRule="auto"/>
              <w:ind w:firstLine="422" w:firstLineChars="200"/>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2.50</w:t>
            </w:r>
          </w:p>
        </w:tc>
        <w:tc>
          <w:tcPr>
            <w:tcW w:w="1547"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tcPr>
          <w:p>
            <w:pPr>
              <w:spacing w:line="360" w:lineRule="auto"/>
              <w:ind w:firstLine="422" w:firstLineChars="200"/>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4.00</w:t>
            </w:r>
          </w:p>
        </w:tc>
      </w:tr>
      <w:tr>
        <w:tblPrEx>
          <w:tblLayout w:type="fixed"/>
          <w:tblCellMar>
            <w:top w:w="0" w:type="dxa"/>
            <w:left w:w="0" w:type="dxa"/>
            <w:bottom w:w="0" w:type="dxa"/>
            <w:right w:w="0" w:type="dxa"/>
          </w:tblCellMar>
        </w:tblPrEx>
        <w:trPr>
          <w:trHeight w:val="328" w:hRule="atLeast"/>
          <w:jc w:val="center"/>
        </w:trPr>
        <w:tc>
          <w:tcPr>
            <w:tcW w:w="329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spacing w:line="360" w:lineRule="auto"/>
              <w:ind w:firstLine="420" w:firstLineChars="200"/>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A 所有管径δ﹤9.5</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spacing w:line="360" w:lineRule="auto"/>
              <w:ind w:firstLine="420" w:firstLineChars="200"/>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13.5</w:t>
            </w:r>
          </w:p>
        </w:tc>
        <w:tc>
          <w:tcPr>
            <w:tcW w:w="1701"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spacing w:line="360" w:lineRule="auto"/>
              <w:ind w:firstLine="420" w:firstLineChars="200"/>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15.0</w:t>
            </w:r>
          </w:p>
        </w:tc>
        <w:tc>
          <w:tcPr>
            <w:tcW w:w="1547"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spacing w:line="360" w:lineRule="auto"/>
              <w:ind w:firstLine="420" w:firstLineChars="200"/>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17.0</w:t>
            </w:r>
          </w:p>
        </w:tc>
      </w:tr>
      <w:tr>
        <w:tblPrEx>
          <w:tblLayout w:type="fixed"/>
          <w:tblCellMar>
            <w:top w:w="0" w:type="dxa"/>
            <w:left w:w="0" w:type="dxa"/>
            <w:bottom w:w="0" w:type="dxa"/>
            <w:right w:w="0" w:type="dxa"/>
          </w:tblCellMar>
        </w:tblPrEx>
        <w:trPr>
          <w:trHeight w:val="328" w:hRule="atLeast"/>
          <w:jc w:val="center"/>
        </w:trPr>
        <w:tc>
          <w:tcPr>
            <w:tcW w:w="329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spacing w:line="360" w:lineRule="auto"/>
              <w:ind w:firstLine="420" w:firstLineChars="200"/>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B所有管径9.5≤δ﹤11.9</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spacing w:line="360" w:lineRule="auto"/>
              <w:ind w:firstLine="420" w:firstLineChars="200"/>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6.5</w:t>
            </w:r>
          </w:p>
        </w:tc>
        <w:tc>
          <w:tcPr>
            <w:tcW w:w="1701"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spacing w:line="360" w:lineRule="auto"/>
              <w:ind w:firstLine="420" w:firstLineChars="200"/>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7.5</w:t>
            </w:r>
          </w:p>
        </w:tc>
        <w:tc>
          <w:tcPr>
            <w:tcW w:w="1547"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spacing w:line="360" w:lineRule="auto"/>
              <w:ind w:firstLine="420" w:firstLineChars="200"/>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9.0</w:t>
            </w:r>
          </w:p>
        </w:tc>
      </w:tr>
      <w:tr>
        <w:tblPrEx>
          <w:tblLayout w:type="fixed"/>
          <w:tblCellMar>
            <w:top w:w="0" w:type="dxa"/>
            <w:left w:w="0" w:type="dxa"/>
            <w:bottom w:w="0" w:type="dxa"/>
            <w:right w:w="0" w:type="dxa"/>
          </w:tblCellMar>
        </w:tblPrEx>
        <w:trPr>
          <w:trHeight w:val="328" w:hRule="atLeast"/>
          <w:jc w:val="center"/>
        </w:trPr>
        <w:tc>
          <w:tcPr>
            <w:tcW w:w="3299"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spacing w:line="360" w:lineRule="auto"/>
              <w:ind w:firstLine="420" w:firstLineChars="200"/>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C 所有管径δ≥11.9</w:t>
            </w:r>
          </w:p>
        </w:tc>
        <w:tc>
          <w:tcPr>
            <w:tcW w:w="1276"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spacing w:line="360" w:lineRule="auto"/>
              <w:ind w:firstLine="420" w:firstLineChars="200"/>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3.0</w:t>
            </w:r>
          </w:p>
        </w:tc>
        <w:tc>
          <w:tcPr>
            <w:tcW w:w="1701"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spacing w:line="360" w:lineRule="auto"/>
              <w:ind w:firstLine="420" w:firstLineChars="200"/>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5.0</w:t>
            </w:r>
          </w:p>
        </w:tc>
        <w:tc>
          <w:tcPr>
            <w:tcW w:w="1547"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tcPr>
          <w:p>
            <w:pPr>
              <w:spacing w:line="360" w:lineRule="auto"/>
              <w:ind w:firstLine="420" w:firstLineChars="200"/>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8.0</w:t>
            </w:r>
          </w:p>
        </w:tc>
      </w:tr>
    </w:tbl>
    <w:p>
      <w:pPr>
        <w:spacing w:line="360" w:lineRule="auto"/>
        <w:ind w:firstLine="420" w:firstLineChars="200"/>
        <w:jc w:val="right"/>
        <w:rPr>
          <w:rFonts w:hint="eastAsia" w:ascii="楷体_GB2312" w:hAnsi="楷体_GB2312" w:eastAsia="楷体_GB2312" w:cs="楷体_GB2312"/>
          <w:color w:val="auto"/>
        </w:rPr>
      </w:pPr>
    </w:p>
    <w:p>
      <w:pPr>
        <w:spacing w:line="360" w:lineRule="auto"/>
        <w:ind w:firstLine="482" w:firstLineChars="200"/>
        <w:rPr>
          <w:rFonts w:hint="eastAsia" w:ascii="楷体_GB2312" w:hAnsi="楷体_GB2312" w:eastAsia="楷体_GB2312" w:cs="楷体_GB2312"/>
          <w:color w:val="auto"/>
          <w:sz w:val="24"/>
        </w:rPr>
      </w:pPr>
      <w:r>
        <w:rPr>
          <w:rFonts w:hint="eastAsia" w:ascii="楷体_GB2312" w:hAnsi="楷体_GB2312" w:eastAsia="楷体_GB2312" w:cs="楷体_GB2312"/>
          <w:b/>
          <w:color w:val="auto"/>
          <w:sz w:val="24"/>
        </w:rPr>
        <w:t>改迁豫南支线管道设计压力6.3MPa</w:t>
      </w:r>
      <w:r>
        <w:rPr>
          <w:rFonts w:hint="eastAsia" w:ascii="楷体_GB2312" w:hAnsi="楷体_GB2312" w:eastAsia="楷体_GB2312" w:cs="楷体_GB2312"/>
          <w:color w:val="auto"/>
          <w:sz w:val="24"/>
        </w:rPr>
        <w:t>，全线敷设于二、三级地区。考虑到城镇规划建设的发展，规划遵循安全性原则，全线与建筑物安全距离控制参照三级地区标准，</w:t>
      </w:r>
      <w:r>
        <w:rPr>
          <w:rFonts w:hint="eastAsia" w:ascii="楷体_GB2312" w:hAnsi="楷体_GB2312" w:eastAsia="楷体_GB2312" w:cs="楷体_GB2312"/>
          <w:b/>
          <w:color w:val="auto"/>
          <w:sz w:val="24"/>
        </w:rPr>
        <w:t>天然气管道与建筑物水平净距控制≥8m。</w:t>
      </w:r>
    </w:p>
    <w:p>
      <w:pPr>
        <w:spacing w:line="360" w:lineRule="auto"/>
        <w:ind w:firstLine="482" w:firstLineChars="200"/>
        <w:rPr>
          <w:rFonts w:hint="eastAsia" w:ascii="楷体_GB2312" w:hAnsi="楷体_GB2312" w:eastAsia="楷体_GB2312" w:cs="楷体_GB2312"/>
          <w:b/>
          <w:color w:val="auto"/>
          <w:kern w:val="0"/>
          <w:sz w:val="24"/>
        </w:rPr>
      </w:pPr>
      <w:r>
        <w:rPr>
          <w:rFonts w:hint="eastAsia" w:ascii="楷体_GB2312" w:hAnsi="楷体_GB2312" w:eastAsia="楷体_GB2312" w:cs="楷体_GB2312"/>
          <w:b/>
          <w:color w:val="auto"/>
          <w:kern w:val="0"/>
          <w:sz w:val="24"/>
        </w:rPr>
        <w:t>4）与加油加气站</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①《汽车加油加气站设计与施工规范》GB50156-2012（2014年局部修订版）</w:t>
      </w:r>
    </w:p>
    <w:p>
      <w:pPr>
        <w:spacing w:line="360" w:lineRule="auto"/>
        <w:ind w:firstLine="420" w:firstLineChars="200"/>
        <w:rPr>
          <w:rFonts w:hint="eastAsia" w:ascii="楷体_GB2312" w:hAnsi="楷体_GB2312" w:eastAsia="楷体_GB2312" w:cs="楷体_GB2312"/>
          <w:color w:val="auto"/>
        </w:rPr>
      </w:pPr>
      <w:r>
        <w:rPr>
          <w:rFonts w:hint="eastAsia" w:ascii="楷体_GB2312" w:hAnsi="楷体_GB2312" w:eastAsia="楷体_GB2312" w:cs="楷体_GB2312"/>
          <w:color w:val="auto"/>
        </w:rPr>
        <w:t>4.0.4  加油站、加油加气合建站的汽油设备与站外建（构）筑物的安全间距，不应小于表4.0.4的规定。</w:t>
      </w:r>
    </w:p>
    <w:p>
      <w:pPr>
        <w:spacing w:line="360" w:lineRule="auto"/>
        <w:ind w:firstLine="422" w:firstLineChars="200"/>
        <w:jc w:val="center"/>
        <w:rPr>
          <w:rFonts w:hint="eastAsia" w:ascii="楷体_GB2312" w:hAnsi="楷体_GB2312" w:eastAsia="楷体_GB2312" w:cs="楷体_GB2312"/>
          <w:b/>
          <w:color w:val="auto"/>
          <w:kern w:val="0"/>
          <w:szCs w:val="21"/>
        </w:rPr>
      </w:pPr>
      <w:r>
        <w:rPr>
          <w:rFonts w:hint="eastAsia" w:ascii="楷体_GB2312" w:hAnsi="楷体_GB2312" w:eastAsia="楷体_GB2312" w:cs="楷体_GB2312"/>
          <w:b/>
          <w:color w:val="auto"/>
          <w:kern w:val="0"/>
          <w:szCs w:val="21"/>
        </w:rPr>
        <w:t>表4.0.4-汽油设备与站外建（构）筑物的安全间距（m）</w:t>
      </w:r>
    </w:p>
    <w:p>
      <w:pPr>
        <w:spacing w:line="360" w:lineRule="auto"/>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5085080" cy="1233170"/>
            <wp:effectExtent l="0" t="0" r="1270" b="5080"/>
            <wp:docPr id="69655" name="图片 69655" descr="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55" name="图片 69655" descr="图片1.png"/>
                    <pic:cNvPicPr>
                      <a:picLocks noChangeAspect="1" noChangeArrowheads="1"/>
                    </pic:cNvPicPr>
                  </pic:nvPicPr>
                  <pic:blipFill>
                    <a:blip r:embed="rId27">
                      <a:extLst>
                        <a:ext uri="{28A0092B-C50C-407E-A947-70E740481C1C}">
                          <a14:useLocalDpi xmlns:a14="http://schemas.microsoft.com/office/drawing/2010/main" val="0"/>
                        </a:ext>
                      </a:extLst>
                    </a:blip>
                    <a:srcRect t="12477"/>
                    <a:stretch>
                      <a:fillRect/>
                    </a:stretch>
                  </pic:blipFill>
                  <pic:spPr>
                    <a:xfrm>
                      <a:off x="0" y="0"/>
                      <a:ext cx="5085667" cy="1233577"/>
                    </a:xfrm>
                    <a:prstGeom prst="rect">
                      <a:avLst/>
                    </a:prstGeom>
                    <a:noFill/>
                    <a:ln>
                      <a:noFill/>
                    </a:ln>
                  </pic:spPr>
                </pic:pic>
              </a:graphicData>
            </a:graphic>
          </wp:inline>
        </w:drawing>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规范中对于输气管道的安全间距无明确要求，仅提出架空通信线路、架空电力线路安全保护间距。</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②《石油化工企业设计防火规范》GB50160-2008</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4.1.9  石油化工企业与相邻工厂或设施的防火间距不应小于表4.1.9的规定。</w:t>
      </w:r>
    </w:p>
    <w:p>
      <w:pPr>
        <w:spacing w:line="360" w:lineRule="auto"/>
        <w:ind w:firstLine="422" w:firstLineChars="200"/>
        <w:jc w:val="center"/>
        <w:rPr>
          <w:rFonts w:hint="eastAsia" w:ascii="楷体_GB2312" w:hAnsi="楷体_GB2312" w:eastAsia="楷体_GB2312" w:cs="楷体_GB2312"/>
          <w:b/>
          <w:color w:val="auto"/>
          <w:kern w:val="0"/>
          <w:szCs w:val="21"/>
        </w:rPr>
      </w:pPr>
      <w:r>
        <w:rPr>
          <w:rFonts w:hint="eastAsia" w:ascii="楷体_GB2312" w:hAnsi="楷体_GB2312" w:eastAsia="楷体_GB2312" w:cs="楷体_GB2312"/>
          <w:b/>
          <w:color w:val="auto"/>
          <w:kern w:val="0"/>
          <w:szCs w:val="21"/>
        </w:rPr>
        <w:t>表4.1.9-石油化工企业与相邻工厂或设施的防火间距（m）</w:t>
      </w:r>
    </w:p>
    <w:tbl>
      <w:tblPr>
        <w:tblStyle w:val="21"/>
        <w:tblW w:w="7410" w:type="dxa"/>
        <w:jc w:val="center"/>
        <w:tblInd w:w="0" w:type="dxa"/>
        <w:tblLayout w:type="fixed"/>
        <w:tblCellMar>
          <w:top w:w="0" w:type="dxa"/>
          <w:left w:w="0" w:type="dxa"/>
          <w:bottom w:w="0" w:type="dxa"/>
          <w:right w:w="0" w:type="dxa"/>
        </w:tblCellMar>
      </w:tblPr>
      <w:tblGrid>
        <w:gridCol w:w="1643"/>
        <w:gridCol w:w="2884"/>
        <w:gridCol w:w="2883"/>
      </w:tblGrid>
      <w:tr>
        <w:tblPrEx>
          <w:tblLayout w:type="fixed"/>
          <w:tblCellMar>
            <w:top w:w="0" w:type="dxa"/>
            <w:left w:w="0" w:type="dxa"/>
            <w:bottom w:w="0" w:type="dxa"/>
            <w:right w:w="0" w:type="dxa"/>
          </w:tblCellMar>
        </w:tblPrEx>
        <w:trPr>
          <w:trHeight w:val="397" w:hRule="exact"/>
          <w:jc w:val="center"/>
        </w:trPr>
        <w:tc>
          <w:tcPr>
            <w:tcW w:w="1643"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vAlign w:val="center"/>
          </w:tcPr>
          <w:p>
            <w:pPr>
              <w:spacing w:line="360" w:lineRule="auto"/>
              <w:rPr>
                <w:rFonts w:hint="eastAsia" w:ascii="楷体_GB2312" w:hAnsi="楷体_GB2312" w:eastAsia="楷体_GB2312" w:cs="楷体_GB2312"/>
                <w:b/>
                <w:color w:val="auto"/>
                <w:kern w:val="0"/>
                <w:szCs w:val="21"/>
              </w:rPr>
            </w:pPr>
            <w:r>
              <w:rPr>
                <w:rFonts w:hint="eastAsia" w:ascii="楷体_GB2312" w:hAnsi="楷体_GB2312" w:eastAsia="楷体_GB2312" w:cs="楷体_GB2312"/>
                <w:b/>
                <w:color w:val="auto"/>
                <w:kern w:val="0"/>
                <w:szCs w:val="21"/>
              </w:rPr>
              <w:t>类别</w:t>
            </w:r>
          </w:p>
        </w:tc>
        <w:tc>
          <w:tcPr>
            <w:tcW w:w="2884"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vAlign w:val="center"/>
          </w:tcPr>
          <w:p>
            <w:pPr>
              <w:spacing w:line="360" w:lineRule="auto"/>
              <w:rPr>
                <w:rFonts w:hint="eastAsia" w:ascii="楷体_GB2312" w:hAnsi="楷体_GB2312" w:eastAsia="楷体_GB2312" w:cs="楷体_GB2312"/>
                <w:b/>
                <w:color w:val="auto"/>
                <w:kern w:val="0"/>
                <w:szCs w:val="21"/>
              </w:rPr>
            </w:pPr>
            <w:r>
              <w:rPr>
                <w:rFonts w:hint="eastAsia" w:ascii="楷体_GB2312" w:hAnsi="楷体_GB2312" w:eastAsia="楷体_GB2312" w:cs="楷体_GB2312"/>
                <w:b/>
                <w:color w:val="auto"/>
                <w:kern w:val="0"/>
                <w:szCs w:val="21"/>
              </w:rPr>
              <w:t>液化烃罐组（罐外壁）</w:t>
            </w:r>
          </w:p>
        </w:tc>
        <w:tc>
          <w:tcPr>
            <w:tcW w:w="2883" w:type="dxa"/>
            <w:tcBorders>
              <w:top w:val="single" w:color="000000" w:sz="8" w:space="0"/>
              <w:left w:val="single" w:color="000000" w:sz="8" w:space="0"/>
              <w:bottom w:val="single" w:color="000000" w:sz="8" w:space="0"/>
              <w:right w:val="single" w:color="000000" w:sz="8" w:space="0"/>
            </w:tcBorders>
            <w:shd w:val="clear" w:color="auto" w:fill="C2D69B" w:themeFill="accent3" w:themeFillTint="99"/>
            <w:tcMar>
              <w:top w:w="15" w:type="dxa"/>
              <w:left w:w="108" w:type="dxa"/>
              <w:bottom w:w="0" w:type="dxa"/>
              <w:right w:w="108" w:type="dxa"/>
            </w:tcMar>
            <w:vAlign w:val="center"/>
          </w:tcPr>
          <w:p>
            <w:pPr>
              <w:spacing w:line="360" w:lineRule="auto"/>
              <w:rPr>
                <w:rFonts w:hint="eastAsia" w:ascii="楷体_GB2312" w:hAnsi="楷体_GB2312" w:eastAsia="楷体_GB2312" w:cs="楷体_GB2312"/>
                <w:b/>
                <w:color w:val="auto"/>
                <w:kern w:val="0"/>
                <w:szCs w:val="21"/>
              </w:rPr>
            </w:pPr>
            <w:r>
              <w:rPr>
                <w:rFonts w:hint="eastAsia" w:ascii="楷体_GB2312" w:hAnsi="楷体_GB2312" w:eastAsia="楷体_GB2312" w:cs="楷体_GB2312"/>
                <w:b/>
                <w:color w:val="auto"/>
                <w:kern w:val="0"/>
                <w:szCs w:val="21"/>
              </w:rPr>
              <w:t>甲、乙类液体罐组（罐外壁）</w:t>
            </w:r>
          </w:p>
        </w:tc>
      </w:tr>
      <w:tr>
        <w:tblPrEx>
          <w:tblLayout w:type="fixed"/>
          <w:tblCellMar>
            <w:top w:w="0" w:type="dxa"/>
            <w:left w:w="0" w:type="dxa"/>
            <w:bottom w:w="0" w:type="dxa"/>
            <w:right w:w="0" w:type="dxa"/>
          </w:tblCellMar>
        </w:tblPrEx>
        <w:trPr>
          <w:trHeight w:val="397" w:hRule="exact"/>
          <w:jc w:val="center"/>
        </w:trPr>
        <w:tc>
          <w:tcPr>
            <w:tcW w:w="164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spacing w:line="360" w:lineRule="auto"/>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原油及成品油</w:t>
            </w:r>
          </w:p>
        </w:tc>
        <w:tc>
          <w:tcPr>
            <w:tcW w:w="2884"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spacing w:line="360" w:lineRule="auto"/>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30</w:t>
            </w:r>
          </w:p>
        </w:tc>
        <w:tc>
          <w:tcPr>
            <w:tcW w:w="288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spacing w:line="360" w:lineRule="auto"/>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30</w:t>
            </w:r>
          </w:p>
        </w:tc>
      </w:tr>
      <w:tr>
        <w:tblPrEx>
          <w:tblLayout w:type="fixed"/>
          <w:tblCellMar>
            <w:top w:w="0" w:type="dxa"/>
            <w:left w:w="0" w:type="dxa"/>
            <w:bottom w:w="0" w:type="dxa"/>
            <w:right w:w="0" w:type="dxa"/>
          </w:tblCellMar>
        </w:tblPrEx>
        <w:trPr>
          <w:trHeight w:val="397" w:hRule="exact"/>
          <w:jc w:val="center"/>
        </w:trPr>
        <w:tc>
          <w:tcPr>
            <w:tcW w:w="164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spacing w:line="360" w:lineRule="auto"/>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输气管道</w:t>
            </w:r>
          </w:p>
        </w:tc>
        <w:tc>
          <w:tcPr>
            <w:tcW w:w="2884"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spacing w:line="360" w:lineRule="auto"/>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30</w:t>
            </w:r>
          </w:p>
        </w:tc>
        <w:tc>
          <w:tcPr>
            <w:tcW w:w="2883" w:type="dxa"/>
            <w:tcBorders>
              <w:top w:val="single" w:color="000000" w:sz="8" w:space="0"/>
              <w:left w:val="single" w:color="000000" w:sz="8" w:space="0"/>
              <w:bottom w:val="single" w:color="000000" w:sz="8" w:space="0"/>
              <w:right w:val="single" w:color="000000" w:sz="8" w:space="0"/>
            </w:tcBorders>
            <w:shd w:val="clear" w:color="auto" w:fill="auto"/>
            <w:tcMar>
              <w:top w:w="15" w:type="dxa"/>
              <w:left w:w="108" w:type="dxa"/>
              <w:bottom w:w="0" w:type="dxa"/>
              <w:right w:w="108" w:type="dxa"/>
            </w:tcMar>
            <w:vAlign w:val="center"/>
          </w:tcPr>
          <w:p>
            <w:pPr>
              <w:spacing w:line="360" w:lineRule="auto"/>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30</w:t>
            </w:r>
          </w:p>
        </w:tc>
      </w:tr>
    </w:tbl>
    <w:p>
      <w:pPr>
        <w:jc w:val="center"/>
        <w:rPr>
          <w:rFonts w:hint="eastAsia" w:ascii="楷体_GB2312" w:hAnsi="楷体_GB2312" w:eastAsia="楷体_GB2312" w:cs="楷体_GB2312"/>
          <w:color w:val="auto"/>
        </w:rPr>
      </w:pP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3044825" cy="1927860"/>
            <wp:effectExtent l="0" t="0" r="3175" b="15240"/>
            <wp:docPr id="69662" name="图片 69662" descr="QQ图片2016081410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62" name="图片 69662" descr="QQ图片201608141042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045444" cy="1928679"/>
                    </a:xfrm>
                    <a:prstGeom prst="rect">
                      <a:avLst/>
                    </a:prstGeom>
                    <a:noFill/>
                    <a:ln>
                      <a:noFill/>
                    </a:ln>
                  </pic:spPr>
                </pic:pic>
              </a:graphicData>
            </a:graphic>
          </wp:inline>
        </w:drawing>
      </w:r>
    </w:p>
    <w:p>
      <w:pPr>
        <w:jc w:val="center"/>
        <w:rPr>
          <w:rFonts w:hint="eastAsia" w:ascii="楷体_GB2312" w:hAnsi="楷体_GB2312" w:eastAsia="楷体_GB2312" w:cs="楷体_GB2312"/>
          <w:color w:val="auto"/>
        </w:rPr>
      </w:pPr>
    </w:p>
    <w:p>
      <w:pPr>
        <w:jc w:val="center"/>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规划燃气管与加油站平面控制示意图</w:t>
      </w:r>
    </w:p>
    <w:p>
      <w:pPr>
        <w:jc w:val="center"/>
        <w:rPr>
          <w:rFonts w:hint="eastAsia" w:ascii="楷体_GB2312" w:hAnsi="楷体_GB2312" w:eastAsia="楷体_GB2312" w:cs="楷体_GB2312"/>
          <w:color w:val="auto"/>
          <w:kern w:val="0"/>
          <w:szCs w:val="21"/>
        </w:rPr>
      </w:pPr>
    </w:p>
    <w:p>
      <w:pPr>
        <w:spacing w:line="360" w:lineRule="auto"/>
        <w:ind w:firstLine="482" w:firstLineChars="200"/>
        <w:rPr>
          <w:rFonts w:hint="eastAsia" w:ascii="楷体_GB2312" w:hAnsi="楷体_GB2312" w:eastAsia="楷体_GB2312" w:cs="楷体_GB2312"/>
          <w:b/>
          <w:color w:val="auto"/>
          <w:kern w:val="0"/>
          <w:sz w:val="24"/>
        </w:rPr>
      </w:pPr>
      <w:r>
        <w:rPr>
          <w:rFonts w:hint="eastAsia" w:ascii="楷体_GB2312" w:hAnsi="楷体_GB2312" w:eastAsia="楷体_GB2312" w:cs="楷体_GB2312"/>
          <w:b/>
          <w:color w:val="auto"/>
          <w:kern w:val="0"/>
          <w:sz w:val="24"/>
        </w:rPr>
        <w:t>本次规划天然气管道与加油站建筑、地下储油罐外壁水平净距均控制</w:t>
      </w:r>
      <w:r>
        <w:rPr>
          <w:rFonts w:hint="eastAsia" w:ascii="楷体_GB2312" w:hAnsi="楷体_GB2312" w:eastAsia="楷体_GB2312" w:cs="楷体_GB2312"/>
          <w:b/>
          <w:color w:val="auto"/>
        </w:rPr>
        <w:t>≥</w:t>
      </w:r>
      <w:r>
        <w:rPr>
          <w:rFonts w:hint="eastAsia" w:ascii="楷体_GB2312" w:hAnsi="楷体_GB2312" w:eastAsia="楷体_GB2312" w:cs="楷体_GB2312"/>
          <w:b/>
          <w:color w:val="auto"/>
          <w:kern w:val="0"/>
          <w:sz w:val="24"/>
        </w:rPr>
        <w:t>30m 。</w:t>
      </w:r>
    </w:p>
    <w:p>
      <w:pPr>
        <w:spacing w:line="360" w:lineRule="auto"/>
        <w:ind w:firstLine="482" w:firstLineChars="200"/>
        <w:rPr>
          <w:rFonts w:hint="eastAsia" w:ascii="楷体_GB2312" w:hAnsi="楷体_GB2312" w:eastAsia="楷体_GB2312" w:cs="楷体_GB2312"/>
          <w:b/>
          <w:color w:val="auto"/>
          <w:kern w:val="0"/>
          <w:sz w:val="24"/>
        </w:rPr>
      </w:pPr>
      <w:r>
        <w:rPr>
          <w:rFonts w:hint="eastAsia" w:ascii="楷体_GB2312" w:hAnsi="楷体_GB2312" w:eastAsia="楷体_GB2312" w:cs="楷体_GB2312"/>
          <w:b/>
          <w:color w:val="auto"/>
          <w:kern w:val="0"/>
          <w:sz w:val="24"/>
        </w:rPr>
        <w:t>5）管道穿越河道、公路</w:t>
      </w:r>
    </w:p>
    <w:p>
      <w:pPr>
        <w:spacing w:line="360" w:lineRule="auto"/>
        <w:ind w:firstLine="480" w:firstLineChars="200"/>
        <w:rPr>
          <w:rFonts w:hint="eastAsia" w:ascii="楷体_GB2312" w:hAnsi="楷体_GB2312" w:eastAsia="楷体_GB2312" w:cs="楷体_GB2312"/>
          <w:bCs/>
          <w:color w:val="auto"/>
          <w:sz w:val="24"/>
        </w:rPr>
      </w:pPr>
      <w:r>
        <w:rPr>
          <w:rFonts w:hint="eastAsia" w:ascii="楷体_GB2312" w:hAnsi="楷体_GB2312" w:eastAsia="楷体_GB2312" w:cs="楷体_GB2312"/>
          <w:bCs/>
          <w:color w:val="auto"/>
          <w:kern w:val="0"/>
          <w:sz w:val="24"/>
        </w:rPr>
        <w:t>①</w:t>
      </w:r>
      <w:r>
        <w:rPr>
          <w:rFonts w:hint="eastAsia" w:ascii="楷体_GB2312" w:hAnsi="楷体_GB2312" w:eastAsia="楷体_GB2312" w:cs="楷体_GB2312"/>
          <w:bCs/>
          <w:color w:val="auto"/>
          <w:sz w:val="24"/>
        </w:rPr>
        <w:t>《油气输送管道穿越工程设计规范》GB50423-2013</w:t>
      </w:r>
    </w:p>
    <w:p>
      <w:pPr>
        <w:spacing w:line="360" w:lineRule="auto"/>
        <w:ind w:firstLine="480" w:firstLineChars="200"/>
        <w:rPr>
          <w:rFonts w:hint="eastAsia" w:ascii="楷体_GB2312" w:hAnsi="楷体_GB2312" w:eastAsia="楷体_GB2312" w:cs="楷体_GB2312"/>
          <w:bCs/>
          <w:color w:val="auto"/>
          <w:sz w:val="24"/>
        </w:rPr>
      </w:pPr>
      <w:r>
        <w:rPr>
          <w:rFonts w:hint="eastAsia" w:ascii="楷体_GB2312" w:hAnsi="楷体_GB2312" w:eastAsia="楷体_GB2312" w:cs="楷体_GB2312"/>
          <w:bCs/>
          <w:color w:val="auto"/>
          <w:sz w:val="24"/>
        </w:rPr>
        <w:t>当油气输送管道进行水域穿越时：</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bCs/>
          <w:color w:val="auto"/>
          <w:kern w:val="0"/>
          <w:sz w:val="24"/>
        </w:rPr>
        <w:t xml:space="preserve">3.3.7 </w:t>
      </w:r>
      <w:r>
        <w:rPr>
          <w:rFonts w:hint="eastAsia" w:ascii="楷体_GB2312" w:hAnsi="楷体_GB2312" w:eastAsia="楷体_GB2312" w:cs="楷体_GB2312"/>
          <w:color w:val="auto"/>
          <w:kern w:val="0"/>
          <w:sz w:val="24"/>
        </w:rPr>
        <w:t>穿越管段与公路桥梁、铁路桥梁、水下隧道并行敷设的最小距离应根据穿越形式确定，并应符合下列要求：</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1. 当采用开挖管沟埋设时，管道中线距离特大桥、大桥、中桥、水下隧道最近边缘不应小于100m，距离小桥边缘不应小于50m。</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2. 当采用水平定向钻穿越时，穿越管段距离桥梁墩台冲刷坑外边缘不宜小于10m，且不应影响桥梁墩台安全；距离水下隧道的净距不应小于30m。</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3. 当采用隧道穿越时，隧道的埋深及边缘至墩台的距离不应影响桥梁墩台的安全；管道隧道与公路隧道、铁路隧道净距不宜小于30m。</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bCs/>
          <w:color w:val="auto"/>
          <w:kern w:val="0"/>
          <w:sz w:val="24"/>
        </w:rPr>
        <w:t xml:space="preserve">5.1.4 </w:t>
      </w:r>
      <w:r>
        <w:rPr>
          <w:rFonts w:hint="eastAsia" w:ascii="楷体_GB2312" w:hAnsi="楷体_GB2312" w:eastAsia="楷体_GB2312" w:cs="楷体_GB2312"/>
          <w:color w:val="auto"/>
          <w:kern w:val="0"/>
          <w:sz w:val="24"/>
        </w:rPr>
        <w:t>穿越深度应符合下列规定：</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1. 水域穿越管段管顶埋深不宜小于设计洪水冲刷线或疏浚深度线以下6m。</w:t>
      </w:r>
    </w:p>
    <w:p>
      <w:pPr>
        <w:spacing w:line="360" w:lineRule="auto"/>
        <w:ind w:firstLine="480" w:firstLineChars="200"/>
        <w:rPr>
          <w:rFonts w:hint="eastAsia" w:ascii="楷体_GB2312" w:hAnsi="楷体_GB2312" w:eastAsia="楷体_GB2312" w:cs="楷体_GB2312"/>
          <w:bCs/>
          <w:color w:val="auto"/>
          <w:kern w:val="0"/>
          <w:sz w:val="24"/>
        </w:rPr>
      </w:pPr>
      <w:r>
        <w:rPr>
          <w:rFonts w:hint="eastAsia" w:ascii="楷体_GB2312" w:hAnsi="楷体_GB2312" w:eastAsia="楷体_GB2312" w:cs="楷体_GB2312"/>
          <w:bCs/>
          <w:color w:val="auto"/>
          <w:kern w:val="0"/>
          <w:sz w:val="24"/>
        </w:rPr>
        <w:t>②《内河通航标准》GB50139-2014</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5.3.1 穿越航道的水下电缆、管道、涵管和隧道等水下过河建筑物必须布设在远离滩险、港口和锚地的稳定河段。</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5.3.2 在航道和可能通航的水域内布置水下过河建筑物，应埋置于河床内，其顶部设置深度，Ⅰ级- Ⅴ级航道不应小于远期规划航道底标高以下2m，Ⅵ级和Ⅶ级航道不应小于1m。</w:t>
      </w:r>
    </w:p>
    <w:p>
      <w:pPr>
        <w:spacing w:line="360" w:lineRule="auto"/>
        <w:ind w:firstLine="480" w:firstLineChars="200"/>
        <w:jc w:val="center"/>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drawing>
          <wp:inline distT="0" distB="0" distL="0" distR="0">
            <wp:extent cx="3864610" cy="1647825"/>
            <wp:effectExtent l="0" t="0" r="2540" b="9525"/>
            <wp:docPr id="69661" name="图片 6966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61" name="图片 69661" descr="图片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865155" cy="1648320"/>
                    </a:xfrm>
                    <a:prstGeom prst="rect">
                      <a:avLst/>
                    </a:prstGeom>
                    <a:noFill/>
                    <a:ln>
                      <a:noFill/>
                    </a:ln>
                  </pic:spPr>
                </pic:pic>
              </a:graphicData>
            </a:graphic>
          </wp:inline>
        </w:drawing>
      </w:r>
    </w:p>
    <w:p>
      <w:pPr>
        <w:spacing w:line="360" w:lineRule="auto"/>
        <w:ind w:firstLine="480" w:firstLineChars="200"/>
        <w:jc w:val="center"/>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drawing>
          <wp:inline distT="0" distB="0" distL="0" distR="0">
            <wp:extent cx="4260850" cy="1493520"/>
            <wp:effectExtent l="0" t="0" r="6350" b="11430"/>
            <wp:docPr id="69659" name="图片 6965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59" name="图片 69659" descr="图片2"/>
                    <pic:cNvPicPr>
                      <a:picLocks noChangeAspect="1" noChangeArrowheads="1"/>
                    </pic:cNvPicPr>
                  </pic:nvPicPr>
                  <pic:blipFill>
                    <a:blip r:embed="rId30">
                      <a:extLst>
                        <a:ext uri="{28A0092B-C50C-407E-A947-70E740481C1C}">
                          <a14:useLocalDpi xmlns:a14="http://schemas.microsoft.com/office/drawing/2010/main" val="0"/>
                        </a:ext>
                      </a:extLst>
                    </a:blip>
                    <a:srcRect b="10959"/>
                    <a:stretch>
                      <a:fillRect/>
                    </a:stretch>
                  </pic:blipFill>
                  <pic:spPr>
                    <a:xfrm>
                      <a:off x="0" y="0"/>
                      <a:ext cx="4263042" cy="1494138"/>
                    </a:xfrm>
                    <a:prstGeom prst="rect">
                      <a:avLst/>
                    </a:prstGeom>
                    <a:noFill/>
                    <a:ln>
                      <a:noFill/>
                    </a:ln>
                  </pic:spPr>
                </pic:pic>
              </a:graphicData>
            </a:graphic>
          </wp:inline>
        </w:drawing>
      </w:r>
    </w:p>
    <w:p>
      <w:pPr>
        <w:jc w:val="center"/>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rPr>
        <w:t>有条件段河道穿越图</w:t>
      </w:r>
    </w:p>
    <w:p>
      <w:pPr>
        <w:jc w:val="center"/>
        <w:rPr>
          <w:rFonts w:hint="eastAsia" w:ascii="楷体_GB2312" w:hAnsi="楷体_GB2312" w:eastAsia="楷体_GB2312" w:cs="楷体_GB2312"/>
          <w:color w:val="auto"/>
          <w:kern w:val="0"/>
          <w:szCs w:val="21"/>
        </w:rPr>
      </w:pP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③《关于规范公路桥梁与石油天然气管道交叉工程管理的通知》交公路发</w:t>
      </w:r>
      <w:r>
        <w:rPr>
          <w:rFonts w:hint="eastAsia" w:ascii="楷体_GB2312" w:hAnsi="楷体_GB2312" w:eastAsia="楷体_GB2312" w:cs="楷体_GB2312"/>
          <w:color w:val="auto"/>
          <w:sz w:val="24"/>
        </w:rPr>
        <w:t>[2015]36号</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二、油气管道从公路桥梁自然地面以下空间穿越时，必须严格遵守《公路工程技术标准》、《公路路线设计规范》、《公路桥涵设计通用规范》、《油气输送管道穿越工程设计规范》等有关标准规范，并同时满足下列条件：</w:t>
      </w:r>
    </w:p>
    <w:p>
      <w:pPr>
        <w:spacing w:line="360" w:lineRule="auto"/>
        <w:ind w:firstLine="480" w:firstLineChars="200"/>
        <w:rPr>
          <w:rFonts w:hint="eastAsia" w:ascii="楷体_GB2312" w:hAnsi="楷体_GB2312" w:eastAsia="楷体_GB2312" w:cs="楷体_GB2312"/>
          <w:bCs/>
          <w:color w:val="auto"/>
          <w:kern w:val="0"/>
          <w:sz w:val="24"/>
        </w:rPr>
      </w:pPr>
      <w:r>
        <w:rPr>
          <w:rFonts w:hint="eastAsia" w:ascii="楷体_GB2312" w:hAnsi="楷体_GB2312" w:eastAsia="楷体_GB2312" w:cs="楷体_GB2312"/>
          <w:bCs/>
          <w:color w:val="auto"/>
          <w:kern w:val="0"/>
          <w:sz w:val="24"/>
        </w:rPr>
        <w:t>（一）不能影响桥下空间的正常使用功能。</w:t>
      </w:r>
    </w:p>
    <w:p>
      <w:pPr>
        <w:spacing w:line="360" w:lineRule="auto"/>
        <w:ind w:firstLine="480" w:firstLineChars="200"/>
        <w:rPr>
          <w:rFonts w:hint="eastAsia" w:ascii="楷体_GB2312" w:hAnsi="楷体_GB2312" w:eastAsia="楷体_GB2312" w:cs="楷体_GB2312"/>
          <w:bCs/>
          <w:color w:val="auto"/>
          <w:kern w:val="0"/>
          <w:sz w:val="24"/>
        </w:rPr>
      </w:pPr>
      <w:r>
        <w:rPr>
          <w:rFonts w:hint="eastAsia" w:ascii="楷体_GB2312" w:hAnsi="楷体_GB2312" w:eastAsia="楷体_GB2312" w:cs="楷体_GB2312"/>
          <w:bCs/>
          <w:color w:val="auto"/>
          <w:kern w:val="0"/>
          <w:sz w:val="24"/>
        </w:rPr>
        <w:t>（二）油气管道与两侧桥墩（台）的水平净距不应小于5米。</w:t>
      </w:r>
    </w:p>
    <w:p>
      <w:pPr>
        <w:spacing w:line="360" w:lineRule="auto"/>
        <w:ind w:firstLine="480" w:firstLineChars="200"/>
        <w:rPr>
          <w:rFonts w:hint="eastAsia" w:ascii="楷体_GB2312" w:hAnsi="楷体_GB2312" w:eastAsia="楷体_GB2312" w:cs="楷体_GB2312"/>
          <w:bCs/>
          <w:color w:val="auto"/>
          <w:kern w:val="0"/>
          <w:sz w:val="24"/>
        </w:rPr>
      </w:pPr>
      <w:r>
        <w:rPr>
          <w:rFonts w:hint="eastAsia" w:ascii="楷体_GB2312" w:hAnsi="楷体_GB2312" w:eastAsia="楷体_GB2312" w:cs="楷体_GB2312"/>
          <w:bCs/>
          <w:color w:val="auto"/>
          <w:kern w:val="0"/>
          <w:sz w:val="24"/>
        </w:rPr>
        <w:t>（三）交叉角度以垂直为宜。必须斜角时，应不小于30°。</w:t>
      </w:r>
    </w:p>
    <w:p>
      <w:pPr>
        <w:spacing w:line="360" w:lineRule="auto"/>
        <w:ind w:firstLine="480" w:firstLineChars="200"/>
        <w:rPr>
          <w:rFonts w:hint="eastAsia" w:ascii="楷体_GB2312" w:hAnsi="楷体_GB2312" w:eastAsia="楷体_GB2312" w:cs="楷体_GB2312"/>
          <w:bCs/>
          <w:color w:val="auto"/>
          <w:kern w:val="0"/>
          <w:sz w:val="24"/>
        </w:rPr>
      </w:pPr>
      <w:r>
        <w:rPr>
          <w:rFonts w:hint="eastAsia" w:ascii="楷体_GB2312" w:hAnsi="楷体_GB2312" w:eastAsia="楷体_GB2312" w:cs="楷体_GB2312"/>
          <w:bCs/>
          <w:color w:val="auto"/>
          <w:kern w:val="0"/>
          <w:sz w:val="24"/>
        </w:rPr>
        <w:t>（四）油气管道采用开挖埋设方式从公路桥下穿越时，管顶距桥下自然地面不应小于1米，管顶上方应铺设宽度大于管径的钢筋混凝土保护盖板，盖板长度不应小于规划公路用地范围宽度以外3米，并设置地面标识标明管道位置；采用定向钻穿越方式的，钻孔轴线应距桥梁墩台不小于5米，桥梁（投影）下方穿越的最小深度应大于最后一级扩孔直径的4~6倍。</w:t>
      </w:r>
    </w:p>
    <w:p>
      <w:pPr>
        <w:spacing w:line="360" w:lineRule="auto"/>
        <w:ind w:firstLine="480" w:firstLineChars="200"/>
        <w:rPr>
          <w:rFonts w:hint="eastAsia" w:ascii="楷体_GB2312" w:hAnsi="楷体_GB2312" w:eastAsia="楷体_GB2312" w:cs="楷体_GB2312"/>
          <w:bCs/>
          <w:color w:val="auto"/>
          <w:kern w:val="0"/>
          <w:sz w:val="24"/>
        </w:rPr>
      </w:pPr>
      <w:r>
        <w:rPr>
          <w:rFonts w:hint="eastAsia" w:ascii="楷体_GB2312" w:hAnsi="楷体_GB2312" w:eastAsia="楷体_GB2312" w:cs="楷体_GB2312"/>
          <w:bCs/>
          <w:color w:val="auto"/>
          <w:kern w:val="0"/>
          <w:sz w:val="24"/>
        </w:rPr>
        <w:t>穿越管段与公路桥梁并行敷设时，规划采用水平定向钻穿越方式，管道中心线与桥梁墩台冲刷坑外边缘距离≥10m。与城市桥梁并行敷设时参照《城镇燃气设计规范》中天然气管道与建筑物之间的水平净距，管道中心线与桥梁墩台冲刷坑外边缘距离≥8m。</w:t>
      </w:r>
    </w:p>
    <w:p>
      <w:pPr>
        <w:spacing w:line="360" w:lineRule="auto"/>
        <w:ind w:firstLine="482" w:firstLineChars="200"/>
        <w:rPr>
          <w:rFonts w:hint="eastAsia" w:ascii="楷体_GB2312" w:hAnsi="楷体_GB2312" w:eastAsia="楷体_GB2312" w:cs="楷体_GB2312"/>
          <w:bCs/>
          <w:color w:val="auto"/>
          <w:kern w:val="0"/>
          <w:sz w:val="24"/>
        </w:rPr>
      </w:pPr>
      <w:r>
        <w:rPr>
          <w:rFonts w:hint="eastAsia" w:ascii="楷体_GB2312" w:hAnsi="楷体_GB2312" w:eastAsia="楷体_GB2312" w:cs="楷体_GB2312"/>
          <w:b/>
          <w:bCs/>
          <w:color w:val="auto"/>
          <w:kern w:val="0"/>
          <w:sz w:val="24"/>
        </w:rPr>
        <w:t>穿越河道时，在有条件施工段，管顶埋深不宜小于设计洪水冲刷线或疏浚深度线以下6m；在施工条件困难段，管顶埋深可适当减少，但应满足《内河通航标准》GB50139-2014中5.3.2条</w:t>
      </w:r>
      <w:r>
        <w:rPr>
          <w:rFonts w:hint="eastAsia" w:ascii="楷体_GB2312" w:hAnsi="楷体_GB2312" w:eastAsia="楷体_GB2312" w:cs="楷体_GB2312"/>
          <w:bCs/>
          <w:color w:val="auto"/>
          <w:kern w:val="0"/>
          <w:sz w:val="24"/>
        </w:rPr>
        <w:t>。</w:t>
      </w:r>
    </w:p>
    <w:p>
      <w:pPr>
        <w:spacing w:line="360" w:lineRule="auto"/>
        <w:ind w:firstLine="482" w:firstLineChars="200"/>
        <w:rPr>
          <w:rFonts w:hint="eastAsia" w:ascii="楷体_GB2312" w:hAnsi="楷体_GB2312" w:eastAsia="楷体_GB2312" w:cs="楷体_GB2312"/>
          <w:b/>
          <w:color w:val="auto"/>
          <w:kern w:val="0"/>
          <w:sz w:val="24"/>
        </w:rPr>
      </w:pPr>
      <w:r>
        <w:rPr>
          <w:rFonts w:hint="eastAsia" w:ascii="楷体_GB2312" w:hAnsi="楷体_GB2312" w:eastAsia="楷体_GB2312" w:cs="楷体_GB2312"/>
          <w:b/>
          <w:color w:val="auto"/>
          <w:kern w:val="0"/>
          <w:sz w:val="24"/>
        </w:rPr>
        <w:t>6）管道与公路并行敷设</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① 交通部、石油部《关于处理石油管道和天然气管道与公路相互关系的若干规定（试行）》的公告（[78]交公路字 第698号）</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二、在现有公路两侧敷设油、气管道，或在现有油、气管道附近新（改）建公路时，油、气管道的中心线与公路用地范围（注）边线之间应保持一定的安全距离。</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1.对于石油管道，安全距离不应小于10米。</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2.对于天然气管道，安全距离不应小于20米。</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3.在县、社公路或受地形限制地段，上述安全距离可适当减小；在地形困难的个别地段，最小不应小于1米。</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对于地形特殊困难，确实难以达到上述规定的局部地段，在对管道采取加强保护措施后，管道可埋设在公路路肩边线以外的公路用地范围内。新（改）建公路路基必要时也可填压管道两侧的防护带范围，但其填压长度不应超过100米。</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公路用地范围为：公路路堤两侧坡脚加护坡道和排水沟外边缘以外1米；或路堑坡顶截水沟、坡顶(当未设有截水沟时)外边缘以外1米。上述1米为公路留地宽度，是指一般而言的。在执行上，还应以所在省、市、自治区规定的留地宽度为准。</w:t>
      </w:r>
    </w:p>
    <w:p>
      <w:pPr>
        <w:spacing w:line="360" w:lineRule="auto"/>
        <w:ind w:firstLine="480" w:firstLineChars="200"/>
        <w:rPr>
          <w:rFonts w:hint="eastAsia" w:ascii="楷体_GB2312" w:hAnsi="楷体_GB2312" w:eastAsia="楷体_GB2312" w:cs="楷体_GB2312"/>
          <w:bCs/>
          <w:color w:val="auto"/>
          <w:kern w:val="0"/>
          <w:sz w:val="24"/>
        </w:rPr>
      </w:pPr>
      <w:r>
        <w:rPr>
          <w:rFonts w:hint="eastAsia" w:ascii="楷体_GB2312" w:hAnsi="楷体_GB2312" w:eastAsia="楷体_GB2312" w:cs="楷体_GB2312"/>
          <w:bCs/>
          <w:color w:val="auto"/>
          <w:kern w:val="0"/>
          <w:sz w:val="24"/>
        </w:rPr>
        <w:t>②《公路安全保护条例》</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第二十七条  进行下列涉路施工活动，建设单位应当向公路管理机构提出申请：</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（一）因修建铁路、机场、供电、水利、通信等建设工程需要占用、挖掘公路、公路用地或者使公路改线；</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（二）跨越、穿越公路修建桥梁、渡槽或者架设、埋设管道、电缆等设施；</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（三）在公路用地范围内架设、埋设管道、电缆等设施；</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（四）利用公路桥梁、公路隧道、涵洞敷设电缆等设施；</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（五）利用跨越公路的设施悬挂非公路标志；</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（六）在公路上增设或者改造平面交叉道口；</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t>（七）在公路建筑控制区内埋设管道、电缆等设施；</w:t>
      </w:r>
    </w:p>
    <w:p>
      <w:pPr>
        <w:spacing w:line="360" w:lineRule="auto"/>
        <w:ind w:firstLine="482" w:firstLineChars="200"/>
        <w:rPr>
          <w:rFonts w:hint="eastAsia" w:ascii="楷体_GB2312" w:hAnsi="楷体_GB2312" w:eastAsia="楷体_GB2312" w:cs="楷体_GB2312"/>
          <w:b/>
          <w:color w:val="auto"/>
          <w:sz w:val="24"/>
        </w:rPr>
      </w:pPr>
      <w:r>
        <w:rPr>
          <w:rFonts w:hint="eastAsia" w:ascii="楷体_GB2312" w:hAnsi="楷体_GB2312" w:eastAsia="楷体_GB2312" w:cs="楷体_GB2312"/>
          <w:b/>
          <w:bCs/>
          <w:color w:val="auto"/>
          <w:sz w:val="24"/>
        </w:rPr>
        <w:t>并行敷设时管道中心线</w:t>
      </w:r>
      <w:r>
        <w:rPr>
          <w:rFonts w:hint="eastAsia" w:ascii="楷体_GB2312" w:hAnsi="楷体_GB2312" w:eastAsia="楷体_GB2312" w:cs="楷体_GB2312"/>
          <w:b/>
          <w:color w:val="auto"/>
          <w:sz w:val="24"/>
        </w:rPr>
        <w:t>与公路红线距离≥21m，在地形困难的个别路段</w:t>
      </w:r>
      <w:r>
        <w:rPr>
          <w:rFonts w:hint="eastAsia" w:ascii="楷体_GB2312" w:hAnsi="楷体_GB2312" w:eastAsia="楷体_GB2312" w:cs="楷体_GB2312"/>
          <w:b/>
          <w:bCs/>
          <w:color w:val="auto"/>
          <w:sz w:val="24"/>
        </w:rPr>
        <w:t>按照</w:t>
      </w:r>
      <w:r>
        <w:rPr>
          <w:rFonts w:hint="eastAsia" w:ascii="楷体_GB2312" w:hAnsi="楷体_GB2312" w:eastAsia="楷体_GB2312" w:cs="楷体_GB2312"/>
          <w:b/>
          <w:color w:val="auto"/>
          <w:sz w:val="24"/>
        </w:rPr>
        <w:t>（[78]交公路字 第698号）二、3执行。管道实施时需建设单位向公路管理部门提出相应申请。</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24" w:name="_Toc495586760"/>
      <w:r>
        <w:rPr>
          <w:rFonts w:hint="eastAsia" w:ascii="楷体_GB2312" w:hAnsi="楷体_GB2312" w:eastAsia="楷体_GB2312" w:cs="楷体_GB2312"/>
          <w:b/>
          <w:color w:val="auto"/>
          <w:sz w:val="24"/>
          <w:szCs w:val="24"/>
        </w:rPr>
        <w:t>5.3.3区域划分</w:t>
      </w:r>
      <w:bookmarkEnd w:id="224"/>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sz w:val="24"/>
        </w:rPr>
        <w:t>按照城市区域建设情况划分，主要为三大片区：</w:t>
      </w:r>
      <w:r>
        <w:rPr>
          <w:rFonts w:hint="eastAsia" w:ascii="楷体_GB2312" w:hAnsi="楷体_GB2312" w:eastAsia="楷体_GB2312" w:cs="楷体_GB2312"/>
          <w:color w:val="auto"/>
          <w:kern w:val="0"/>
          <w:sz w:val="24"/>
        </w:rPr>
        <w:t>历史保护城区、已建地区及新建地区。</w:t>
      </w:r>
    </w:p>
    <w:p>
      <w:pPr>
        <w:spacing w:line="360" w:lineRule="auto"/>
        <w:ind w:firstLine="482" w:firstLineChars="200"/>
        <w:rPr>
          <w:rFonts w:hint="eastAsia" w:ascii="楷体_GB2312" w:hAnsi="楷体_GB2312" w:eastAsia="楷体_GB2312" w:cs="楷体_GB2312"/>
          <w:b/>
          <w:bCs/>
          <w:color w:val="auto"/>
          <w:sz w:val="24"/>
        </w:rPr>
      </w:pPr>
      <w:r>
        <w:rPr>
          <w:rFonts w:hint="eastAsia" w:ascii="楷体_GB2312" w:hAnsi="楷体_GB2312" w:eastAsia="楷体_GB2312" w:cs="楷体_GB2312"/>
          <w:b/>
          <w:bCs/>
          <w:color w:val="auto"/>
          <w:sz w:val="24"/>
        </w:rPr>
        <w:t>1. 历史保护城区</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为已建成区域，隶属于城市文物保护的范围。针对该区域，管线规划应充分考虑历史城区、历史文化街区和地下文物埋藏区的要求，合理确定地下管线综合模式及布局，在保护、不破坏遗址遗迹的原则下进行地下管线更新改造。</w:t>
      </w:r>
    </w:p>
    <w:p>
      <w:pPr>
        <w:numPr>
          <w:ilvl w:val="0"/>
          <w:numId w:val="14"/>
        </w:numPr>
        <w:spacing w:line="360" w:lineRule="auto"/>
        <w:rPr>
          <w:rFonts w:hint="eastAsia" w:ascii="楷体_GB2312" w:hAnsi="楷体_GB2312" w:eastAsia="楷体_GB2312" w:cs="楷体_GB2312"/>
          <w:color w:val="auto"/>
          <w:sz w:val="24"/>
        </w:rPr>
      </w:pPr>
      <w:r>
        <w:rPr>
          <w:rFonts w:hint="eastAsia" w:ascii="楷体_GB2312" w:hAnsi="楷体_GB2312" w:eastAsia="楷体_GB2312" w:cs="楷体_GB2312"/>
          <w:b/>
          <w:bCs/>
          <w:color w:val="auto"/>
          <w:sz w:val="24"/>
        </w:rPr>
        <w:t>优化管网系统布局</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历史保护城区道路宽度一般较窄，按规范的间距控制将无法合理布设管线，这就需要合理布局加特殊处理管线的布置。应结合街道宽度与使用需求确定实施管线的种类，合理布局，避免各种管线过于集中布置于某一街巷，或重复布置于相邻街巷；主要市政干管和设施沿历史城区外围布置，使其成环，保证管线供排安全可靠。</w:t>
      </w:r>
    </w:p>
    <w:p>
      <w:pPr>
        <w:spacing w:line="360" w:lineRule="auto"/>
        <w:ind w:firstLine="480" w:firstLineChars="200"/>
        <w:jc w:val="center"/>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drawing>
          <wp:inline distT="0" distB="0" distL="0" distR="0">
            <wp:extent cx="4561205" cy="2779395"/>
            <wp:effectExtent l="0" t="0" r="10795" b="1905"/>
            <wp:docPr id="105" name="Picture 4" descr="D:\阊门&amp;怡园历史街区\1009\图片\管线综合\街巷体系交错布置管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4" descr="D:\阊门&amp;怡园历史街区\1009\图片\管线综合\街巷体系交错布置管线-.jpg"/>
                    <pic:cNvPicPr>
                      <a:picLocks noChangeAspect="1" noChangeArrowheads="1"/>
                    </pic:cNvPicPr>
                  </pic:nvPicPr>
                  <pic:blipFill>
                    <a:blip r:embed="rId31" cstate="print"/>
                    <a:srcRect l="1961" r="7771"/>
                    <a:stretch>
                      <a:fillRect/>
                    </a:stretch>
                  </pic:blipFill>
                  <pic:spPr>
                    <a:xfrm>
                      <a:off x="0" y="0"/>
                      <a:ext cx="4564868" cy="2782111"/>
                    </a:xfrm>
                    <a:prstGeom prst="rect">
                      <a:avLst/>
                    </a:prstGeom>
                    <a:noFill/>
                    <a:ln w="9525">
                      <a:noFill/>
                      <a:miter lim="800000"/>
                      <a:headEnd/>
                      <a:tailEnd/>
                    </a:ln>
                  </pic:spPr>
                </pic:pic>
              </a:graphicData>
            </a:graphic>
          </wp:inline>
        </w:drawing>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2）通过瓶颈段</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采用雨水边沟排水；挂壁路灯；断开绕行、外墙爬行、小型综合管廊等多方式。</w:t>
      </w:r>
    </w:p>
    <w:p>
      <w:pPr>
        <w:spacing w:line="360" w:lineRule="auto"/>
        <w:ind w:firstLine="482" w:firstLineChars="200"/>
        <w:jc w:val="center"/>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drawing>
          <wp:inline distT="0" distB="0" distL="0" distR="0">
            <wp:extent cx="3465830" cy="3710305"/>
            <wp:effectExtent l="0" t="0" r="1270" b="444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474931" cy="3720220"/>
                    </a:xfrm>
                    <a:prstGeom prst="rect">
                      <a:avLst/>
                    </a:prstGeom>
                  </pic:spPr>
                </pic:pic>
              </a:graphicData>
            </a:graphic>
          </wp:inline>
        </w:drawing>
      </w:r>
    </w:p>
    <w:p>
      <w:pPr>
        <w:spacing w:line="360" w:lineRule="auto"/>
        <w:ind w:firstLine="482" w:firstLineChars="200"/>
        <w:rPr>
          <w:rFonts w:hint="eastAsia" w:ascii="楷体_GB2312" w:hAnsi="楷体_GB2312" w:eastAsia="楷体_GB2312" w:cs="楷体_GB2312"/>
          <w:b/>
          <w:bCs/>
          <w:color w:val="auto"/>
          <w:sz w:val="24"/>
          <w:szCs w:val="32"/>
        </w:rPr>
      </w:pP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3）优化入户支管</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充分利用院落空间；建筑物接户管尽量避免敷设在街巷范围内。</w:t>
      </w:r>
    </w:p>
    <w:p>
      <w:pPr>
        <w:spacing w:line="360" w:lineRule="auto"/>
        <w:ind w:firstLine="480" w:firstLineChars="200"/>
        <w:jc w:val="center"/>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drawing>
          <wp:inline distT="0" distB="0" distL="0" distR="0">
            <wp:extent cx="3757930" cy="3298825"/>
            <wp:effectExtent l="9525" t="9525" r="23495" b="25400"/>
            <wp:docPr id="107" name="Picture 6" descr="D:\阊门&amp;怡园历史街区\1009\图片\管线综合\入户支管优化.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6" descr="D:\阊门&amp;怡园历史街区\1009\图片\管线综合\入户支管优化.jpg"/>
                    <pic:cNvPicPr>
                      <a:picLocks noChangeAspect="1" noChangeArrowheads="1"/>
                    </pic:cNvPicPr>
                  </pic:nvPicPr>
                  <pic:blipFill>
                    <a:blip r:embed="rId33" cstate="print"/>
                    <a:srcRect l="7993" r="5072"/>
                    <a:stretch>
                      <a:fillRect/>
                    </a:stretch>
                  </pic:blipFill>
                  <pic:spPr>
                    <a:xfrm>
                      <a:off x="0" y="0"/>
                      <a:ext cx="3758006" cy="3299016"/>
                    </a:xfrm>
                    <a:prstGeom prst="rect">
                      <a:avLst/>
                    </a:prstGeom>
                    <a:noFill/>
                    <a:ln w="9525" cap="flat" cmpd="sng">
                      <a:solidFill>
                        <a:schemeClr val="tx1"/>
                      </a:solidFill>
                      <a:bevel/>
                    </a:ln>
                    <a:effectLst/>
                  </pic:spPr>
                </pic:pic>
              </a:graphicData>
            </a:graphic>
          </wp:inline>
        </w:drawing>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4）采用相应安全措施</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对管线难以达到《城市工程管线综合规划规范》最小间距要求时，根据实际情况采取一定的特殊处理和安全措施减小其最小间距。</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a. 给水管道与设置在街道中央的排水管道间水平净距在很多情况下无法满足“规范”中1.0-1.5米的要求，因此给水管道宜选用PE管材并全线砌筑沟槽进行保护，或给水管道全线采用铸铁管加套管保护，这样使其可以缩小与排水管道间的距离。</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b. 燃气管道有些情况下无法满足“规范”中与其它管线间水平净距1.0米的要求，设计时燃气管道选用PE或钢（提高防腐等级）材质，通过增加壁厚、减少接口数量、局部加套管或隔墙以及加强质量检验等措施将燃气管道与其它管线水平净距减小至0.5米。为提高安全性，燃气经街区外围的调压设备调低压力后用低压管网接入，且燃气管线全部敷设于填砂密封的沟槽内，沟外做沥青防腐。</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c. 雨水管道可采用浅埋方式或者边沟排水方式，使雨水边沟距建筑物间距由2.5米减小至0.2米，同时尽量根据地形情况采用路面顺坡排水，减少雨水管道的设置，街巷路石采用传统材料以利雨水下渗。</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d. 同管槽放置电力管和电信管，同沟槽敷设路灯管和电力管，使得三者成为零间距管线，同时可采用附墙式、门夹式、壁挂式路灯，减少路灯杆的设置。低压电力线、弱电线及路灯线路也可以沿建筑物外墙角或檐口采用排线盒设置。</w:t>
      </w:r>
    </w:p>
    <w:p>
      <w:pPr>
        <w:spacing w:line="360" w:lineRule="auto"/>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sz w:val="24"/>
          <w:szCs w:val="22"/>
        </w:rPr>
        <w:t>管线敷设、维修所需空间和管线间相互作用的影响是决定地下管线之间最小水平净距的两个主要因素，通过因地制宜地采用新技术和新材料、设置管线加固隔离措施、压缩管线占地等安全技术措施，在“规范”规定的基础上适当减少地下管线之间水平净距。</w:t>
      </w:r>
    </w:p>
    <w:p>
      <w:pPr>
        <w:spacing w:line="360" w:lineRule="auto"/>
        <w:ind w:firstLine="422" w:firstLineChars="20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采取安全措施后推荐管线水平净距参考值（单位：m）</w:t>
      </w:r>
    </w:p>
    <w:tbl>
      <w:tblPr>
        <w:tblStyle w:val="21"/>
        <w:tblW w:w="8800"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720"/>
        <w:gridCol w:w="1024"/>
        <w:gridCol w:w="1026"/>
        <w:gridCol w:w="1257"/>
        <w:gridCol w:w="1374"/>
        <w:gridCol w:w="1462"/>
        <w:gridCol w:w="93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8" w:hRule="atLeast"/>
          <w:jc w:val="center"/>
        </w:trPr>
        <w:tc>
          <w:tcPr>
            <w:tcW w:w="1720" w:type="dxa"/>
            <w:shd w:val="clear" w:color="auto" w:fill="C2D69B" w:themeFill="accent3" w:themeFillTint="99"/>
          </w:tcPr>
          <w:p>
            <w:pPr>
              <w:jc w:val="center"/>
              <w:rPr>
                <w:rFonts w:hint="eastAsia" w:ascii="楷体_GB2312" w:hAnsi="楷体_GB2312" w:eastAsia="楷体_GB2312" w:cs="楷体_GB2312"/>
                <w:b/>
                <w:color w:val="auto"/>
              </w:rPr>
            </w:pPr>
            <w:r>
              <w:rPr>
                <w:rFonts w:hint="eastAsia" w:ascii="楷体_GB2312" w:hAnsi="楷体_GB2312" w:eastAsia="楷体_GB2312" w:cs="楷体_GB2312"/>
                <w:b/>
                <w:color w:val="auto"/>
                <w:szCs w:val="21"/>
                <w:lang w:bidi="ar"/>
              </w:rPr>
              <w:t>项目</w:t>
            </w:r>
          </w:p>
        </w:tc>
        <w:tc>
          <w:tcPr>
            <w:tcW w:w="1024" w:type="dxa"/>
            <w:shd w:val="clear" w:color="auto" w:fill="C2D69B" w:themeFill="accent3" w:themeFillTint="99"/>
          </w:tcPr>
          <w:p>
            <w:pPr>
              <w:jc w:val="center"/>
              <w:rPr>
                <w:rFonts w:hint="eastAsia" w:ascii="楷体_GB2312" w:hAnsi="楷体_GB2312" w:eastAsia="楷体_GB2312" w:cs="楷体_GB2312"/>
                <w:b/>
                <w:color w:val="auto"/>
              </w:rPr>
            </w:pPr>
            <w:r>
              <w:rPr>
                <w:rFonts w:hint="eastAsia" w:ascii="楷体_GB2312" w:hAnsi="楷体_GB2312" w:eastAsia="楷体_GB2312" w:cs="楷体_GB2312"/>
                <w:b/>
                <w:color w:val="auto"/>
              </w:rPr>
              <w:t>建筑物</w:t>
            </w:r>
          </w:p>
        </w:tc>
        <w:tc>
          <w:tcPr>
            <w:tcW w:w="1026" w:type="dxa"/>
            <w:shd w:val="clear" w:color="auto" w:fill="C2D69B" w:themeFill="accent3" w:themeFillTint="99"/>
          </w:tcPr>
          <w:p>
            <w:pPr>
              <w:jc w:val="center"/>
              <w:rPr>
                <w:rFonts w:hint="eastAsia" w:ascii="楷体_GB2312" w:hAnsi="楷体_GB2312" w:eastAsia="楷体_GB2312" w:cs="楷体_GB2312"/>
                <w:b/>
                <w:color w:val="auto"/>
              </w:rPr>
            </w:pPr>
            <w:r>
              <w:rPr>
                <w:rFonts w:hint="eastAsia" w:ascii="楷体_GB2312" w:hAnsi="楷体_GB2312" w:eastAsia="楷体_GB2312" w:cs="楷体_GB2312"/>
                <w:b/>
                <w:color w:val="auto"/>
              </w:rPr>
              <w:t>给水管</w:t>
            </w:r>
          </w:p>
        </w:tc>
        <w:tc>
          <w:tcPr>
            <w:tcW w:w="1257" w:type="dxa"/>
            <w:shd w:val="clear" w:color="auto" w:fill="C2D69B" w:themeFill="accent3" w:themeFillTint="99"/>
          </w:tcPr>
          <w:p>
            <w:pPr>
              <w:jc w:val="center"/>
              <w:rPr>
                <w:rFonts w:hint="eastAsia" w:ascii="楷体_GB2312" w:hAnsi="楷体_GB2312" w:eastAsia="楷体_GB2312" w:cs="楷体_GB2312"/>
                <w:b/>
                <w:color w:val="auto"/>
              </w:rPr>
            </w:pPr>
            <w:r>
              <w:rPr>
                <w:rFonts w:hint="eastAsia" w:ascii="楷体_GB2312" w:hAnsi="楷体_GB2312" w:eastAsia="楷体_GB2312" w:cs="楷体_GB2312"/>
                <w:b/>
                <w:color w:val="auto"/>
              </w:rPr>
              <w:t>雨、污水管</w:t>
            </w:r>
          </w:p>
        </w:tc>
        <w:tc>
          <w:tcPr>
            <w:tcW w:w="1374" w:type="dxa"/>
            <w:shd w:val="clear" w:color="auto" w:fill="C2D69B" w:themeFill="accent3" w:themeFillTint="99"/>
          </w:tcPr>
          <w:p>
            <w:pPr>
              <w:jc w:val="center"/>
              <w:rPr>
                <w:rFonts w:hint="eastAsia" w:ascii="楷体_GB2312" w:hAnsi="楷体_GB2312" w:eastAsia="楷体_GB2312" w:cs="楷体_GB2312"/>
                <w:b/>
                <w:color w:val="auto"/>
              </w:rPr>
            </w:pPr>
            <w:r>
              <w:rPr>
                <w:rFonts w:hint="eastAsia" w:ascii="楷体_GB2312" w:hAnsi="楷体_GB2312" w:eastAsia="楷体_GB2312" w:cs="楷体_GB2312"/>
                <w:b/>
                <w:color w:val="auto"/>
              </w:rPr>
              <w:t>低压燃气管</w:t>
            </w:r>
          </w:p>
        </w:tc>
        <w:tc>
          <w:tcPr>
            <w:tcW w:w="1462" w:type="dxa"/>
            <w:shd w:val="clear" w:color="auto" w:fill="C2D69B" w:themeFill="accent3" w:themeFillTint="99"/>
          </w:tcPr>
          <w:p>
            <w:pPr>
              <w:jc w:val="center"/>
              <w:rPr>
                <w:rFonts w:hint="eastAsia" w:ascii="楷体_GB2312" w:hAnsi="楷体_GB2312" w:eastAsia="楷体_GB2312" w:cs="楷体_GB2312"/>
                <w:b/>
                <w:color w:val="auto"/>
              </w:rPr>
            </w:pPr>
            <w:r>
              <w:rPr>
                <w:rFonts w:hint="eastAsia" w:ascii="楷体_GB2312" w:hAnsi="楷体_GB2312" w:eastAsia="楷体_GB2312" w:cs="楷体_GB2312"/>
                <w:b/>
                <w:color w:val="auto"/>
              </w:rPr>
              <w:t>电力、路灯管</w:t>
            </w:r>
          </w:p>
        </w:tc>
        <w:tc>
          <w:tcPr>
            <w:tcW w:w="937" w:type="dxa"/>
            <w:shd w:val="clear" w:color="auto" w:fill="C2D69B" w:themeFill="accent3" w:themeFillTint="99"/>
          </w:tcPr>
          <w:p>
            <w:pPr>
              <w:jc w:val="center"/>
              <w:rPr>
                <w:rFonts w:hint="eastAsia" w:ascii="楷体_GB2312" w:hAnsi="楷体_GB2312" w:eastAsia="楷体_GB2312" w:cs="楷体_GB2312"/>
                <w:b/>
                <w:color w:val="auto"/>
              </w:rPr>
            </w:pPr>
            <w:r>
              <w:rPr>
                <w:rFonts w:hint="eastAsia" w:ascii="楷体_GB2312" w:hAnsi="楷体_GB2312" w:eastAsia="楷体_GB2312" w:cs="楷体_GB2312"/>
                <w:b/>
                <w:color w:val="auto"/>
              </w:rPr>
              <w:t>电信管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8" w:hRule="atLeast"/>
          <w:jc w:val="center"/>
        </w:trPr>
        <w:tc>
          <w:tcPr>
            <w:tcW w:w="1720"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建筑物</w:t>
            </w:r>
          </w:p>
        </w:tc>
        <w:tc>
          <w:tcPr>
            <w:tcW w:w="1024" w:type="dxa"/>
          </w:tcPr>
          <w:p>
            <w:pPr>
              <w:jc w:val="center"/>
              <w:rPr>
                <w:rFonts w:hint="eastAsia" w:ascii="楷体_GB2312" w:hAnsi="楷体_GB2312" w:eastAsia="楷体_GB2312" w:cs="楷体_GB2312"/>
                <w:color w:val="auto"/>
              </w:rPr>
            </w:pPr>
          </w:p>
        </w:tc>
        <w:tc>
          <w:tcPr>
            <w:tcW w:w="1026"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0.5</w:t>
            </w:r>
          </w:p>
        </w:tc>
        <w:tc>
          <w:tcPr>
            <w:tcW w:w="1257"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0.2-1.0</w:t>
            </w:r>
          </w:p>
        </w:tc>
        <w:tc>
          <w:tcPr>
            <w:tcW w:w="1374"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0.7</w:t>
            </w:r>
          </w:p>
        </w:tc>
        <w:tc>
          <w:tcPr>
            <w:tcW w:w="1462"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0.3</w:t>
            </w:r>
          </w:p>
        </w:tc>
        <w:tc>
          <w:tcPr>
            <w:tcW w:w="937"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8" w:hRule="atLeast"/>
          <w:jc w:val="center"/>
        </w:trPr>
        <w:tc>
          <w:tcPr>
            <w:tcW w:w="1720"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给水管</w:t>
            </w:r>
          </w:p>
        </w:tc>
        <w:tc>
          <w:tcPr>
            <w:tcW w:w="1024"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0.5</w:t>
            </w:r>
          </w:p>
        </w:tc>
        <w:tc>
          <w:tcPr>
            <w:tcW w:w="1026" w:type="dxa"/>
          </w:tcPr>
          <w:p>
            <w:pPr>
              <w:jc w:val="center"/>
              <w:rPr>
                <w:rFonts w:hint="eastAsia" w:ascii="楷体_GB2312" w:hAnsi="楷体_GB2312" w:eastAsia="楷体_GB2312" w:cs="楷体_GB2312"/>
                <w:color w:val="auto"/>
              </w:rPr>
            </w:pPr>
          </w:p>
        </w:tc>
        <w:tc>
          <w:tcPr>
            <w:tcW w:w="1257"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0.8</w:t>
            </w:r>
          </w:p>
        </w:tc>
        <w:tc>
          <w:tcPr>
            <w:tcW w:w="1374"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0.4</w:t>
            </w:r>
          </w:p>
        </w:tc>
        <w:tc>
          <w:tcPr>
            <w:tcW w:w="1462"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0.4</w:t>
            </w:r>
          </w:p>
        </w:tc>
        <w:tc>
          <w:tcPr>
            <w:tcW w:w="937"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1720"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雨、污水管</w:t>
            </w:r>
          </w:p>
        </w:tc>
        <w:tc>
          <w:tcPr>
            <w:tcW w:w="1024"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0.2-1.0</w:t>
            </w:r>
          </w:p>
        </w:tc>
        <w:tc>
          <w:tcPr>
            <w:tcW w:w="1026"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0.8</w:t>
            </w:r>
          </w:p>
        </w:tc>
        <w:tc>
          <w:tcPr>
            <w:tcW w:w="1257" w:type="dxa"/>
          </w:tcPr>
          <w:p>
            <w:pPr>
              <w:jc w:val="center"/>
              <w:rPr>
                <w:rFonts w:hint="eastAsia" w:ascii="楷体_GB2312" w:hAnsi="楷体_GB2312" w:eastAsia="楷体_GB2312" w:cs="楷体_GB2312"/>
                <w:color w:val="auto"/>
              </w:rPr>
            </w:pPr>
          </w:p>
        </w:tc>
        <w:tc>
          <w:tcPr>
            <w:tcW w:w="1374"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0.5-1.0</w:t>
            </w:r>
          </w:p>
        </w:tc>
        <w:tc>
          <w:tcPr>
            <w:tcW w:w="1462"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0.2</w:t>
            </w:r>
          </w:p>
        </w:tc>
        <w:tc>
          <w:tcPr>
            <w:tcW w:w="937"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8" w:hRule="atLeast"/>
          <w:jc w:val="center"/>
        </w:trPr>
        <w:tc>
          <w:tcPr>
            <w:tcW w:w="1720"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燃气（低压）管</w:t>
            </w:r>
          </w:p>
        </w:tc>
        <w:tc>
          <w:tcPr>
            <w:tcW w:w="1024"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0.7</w:t>
            </w:r>
          </w:p>
        </w:tc>
        <w:tc>
          <w:tcPr>
            <w:tcW w:w="1026"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0.6</w:t>
            </w:r>
          </w:p>
        </w:tc>
        <w:tc>
          <w:tcPr>
            <w:tcW w:w="1257"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0.5-1.0</w:t>
            </w:r>
          </w:p>
        </w:tc>
        <w:tc>
          <w:tcPr>
            <w:tcW w:w="1374" w:type="dxa"/>
          </w:tcPr>
          <w:p>
            <w:pPr>
              <w:jc w:val="center"/>
              <w:rPr>
                <w:rFonts w:hint="eastAsia" w:ascii="楷体_GB2312" w:hAnsi="楷体_GB2312" w:eastAsia="楷体_GB2312" w:cs="楷体_GB2312"/>
                <w:color w:val="auto"/>
              </w:rPr>
            </w:pPr>
          </w:p>
        </w:tc>
        <w:tc>
          <w:tcPr>
            <w:tcW w:w="1462"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0.8</w:t>
            </w:r>
          </w:p>
        </w:tc>
        <w:tc>
          <w:tcPr>
            <w:tcW w:w="937"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8" w:hRule="atLeast"/>
          <w:jc w:val="center"/>
        </w:trPr>
        <w:tc>
          <w:tcPr>
            <w:tcW w:w="1720"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电力（路灯）管</w:t>
            </w:r>
          </w:p>
        </w:tc>
        <w:tc>
          <w:tcPr>
            <w:tcW w:w="1024"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0.3</w:t>
            </w:r>
          </w:p>
        </w:tc>
        <w:tc>
          <w:tcPr>
            <w:tcW w:w="1026"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0.4</w:t>
            </w:r>
          </w:p>
        </w:tc>
        <w:tc>
          <w:tcPr>
            <w:tcW w:w="1257"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0.2</w:t>
            </w:r>
          </w:p>
        </w:tc>
        <w:tc>
          <w:tcPr>
            <w:tcW w:w="1374"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0.8</w:t>
            </w:r>
          </w:p>
        </w:tc>
        <w:tc>
          <w:tcPr>
            <w:tcW w:w="1462" w:type="dxa"/>
          </w:tcPr>
          <w:p>
            <w:pPr>
              <w:jc w:val="center"/>
              <w:rPr>
                <w:rFonts w:hint="eastAsia" w:ascii="楷体_GB2312" w:hAnsi="楷体_GB2312" w:eastAsia="楷体_GB2312" w:cs="楷体_GB2312"/>
                <w:color w:val="auto"/>
              </w:rPr>
            </w:pPr>
          </w:p>
        </w:tc>
        <w:tc>
          <w:tcPr>
            <w:tcW w:w="937"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0" w:hRule="atLeast"/>
          <w:jc w:val="center"/>
        </w:trPr>
        <w:tc>
          <w:tcPr>
            <w:tcW w:w="1720"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电信管</w:t>
            </w:r>
          </w:p>
        </w:tc>
        <w:tc>
          <w:tcPr>
            <w:tcW w:w="1024"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0.3</w:t>
            </w:r>
          </w:p>
        </w:tc>
        <w:tc>
          <w:tcPr>
            <w:tcW w:w="1026"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0.5</w:t>
            </w:r>
          </w:p>
        </w:tc>
        <w:tc>
          <w:tcPr>
            <w:tcW w:w="1257"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0.2</w:t>
            </w:r>
          </w:p>
        </w:tc>
        <w:tc>
          <w:tcPr>
            <w:tcW w:w="1374"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0.8</w:t>
            </w:r>
          </w:p>
        </w:tc>
        <w:tc>
          <w:tcPr>
            <w:tcW w:w="1462" w:type="dxa"/>
          </w:tcPr>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t>0</w:t>
            </w:r>
          </w:p>
        </w:tc>
        <w:tc>
          <w:tcPr>
            <w:tcW w:w="937" w:type="dxa"/>
          </w:tcPr>
          <w:p>
            <w:pPr>
              <w:jc w:val="center"/>
              <w:rPr>
                <w:rFonts w:hint="eastAsia" w:ascii="楷体_GB2312" w:hAnsi="楷体_GB2312" w:eastAsia="楷体_GB2312" w:cs="楷体_GB2312"/>
                <w:color w:val="auto"/>
              </w:rPr>
            </w:pPr>
          </w:p>
        </w:tc>
      </w:tr>
    </w:tbl>
    <w:p>
      <w:pPr>
        <w:spacing w:line="360" w:lineRule="auto"/>
        <w:ind w:firstLine="482" w:firstLineChars="200"/>
        <w:rPr>
          <w:rFonts w:hint="eastAsia" w:ascii="楷体_GB2312" w:hAnsi="楷体_GB2312" w:eastAsia="楷体_GB2312" w:cs="楷体_GB2312"/>
          <w:b/>
          <w:bCs/>
          <w:color w:val="auto"/>
          <w:sz w:val="24"/>
          <w:szCs w:val="32"/>
        </w:rPr>
      </w:pP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2. 已建地区</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即大部分为现状建成区或涵盖已建成超过60%的区域，但不属于历史文物保护范围。针对已建地区，地下管线综合模式宜充分利用现状地下管线与管位，当现状地下管线不能满足需要时，经经济、技术综合比较后，可废弃或抽换部分管线；对不能达到安全间距要求的保留管线应明确防护措施。</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1）道路维持现状路段的管线改造</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对于城市道路不做改造调整的地段，确因管道老化、扩容需要实施管线改造工程的，结合管网普查资料，在仔细核对现状道路断面及现有管线相关信息基础上，充分利用现有地下空间资源，进一步确认道路断面下管线改造合适位置，加强各管线间衔接与协调，确保周边建筑安全、力争将管线改造对城市交通以及周围环境影响降低至最小。</w:t>
      </w: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5278755" cy="2413635"/>
            <wp:effectExtent l="12700" t="12700" r="23495" b="31115"/>
            <wp:docPr id="108" name="Picture 2" descr="C:\Users\xjb\Desktop\xjb 723\jpg\新建文件夹\01 姑苏区断面\桐泾南路改造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2" descr="C:\Users\xjb\Desktop\xjb 723\jpg\新建文件夹\01 姑苏区断面\桐泾南路改造副本.jpg"/>
                    <pic:cNvPicPr>
                      <a:picLocks noChangeAspect="1" noChangeArrowheads="1"/>
                    </pic:cNvPicPr>
                  </pic:nvPicPr>
                  <pic:blipFill>
                    <a:blip r:embed="rId34"/>
                    <a:srcRect l="5847" t="19263" r="5313" b="52026"/>
                    <a:stretch>
                      <a:fillRect/>
                    </a:stretch>
                  </pic:blipFill>
                  <pic:spPr>
                    <a:xfrm>
                      <a:off x="0" y="0"/>
                      <a:ext cx="5278755" cy="2413713"/>
                    </a:xfrm>
                    <a:prstGeom prst="rect">
                      <a:avLst/>
                    </a:prstGeom>
                    <a:noFill/>
                    <a:ln w="12700">
                      <a:solidFill>
                        <a:schemeClr val="bg1">
                          <a:lumMod val="50000"/>
                        </a:schemeClr>
                      </a:solidFill>
                    </a:ln>
                  </pic:spPr>
                </pic:pic>
              </a:graphicData>
            </a:graphic>
          </wp:inline>
        </w:drawing>
      </w:r>
    </w:p>
    <w:p>
      <w:pPr>
        <w:spacing w:line="360" w:lineRule="auto"/>
        <w:ind w:firstLine="482" w:firstLineChars="200"/>
        <w:jc w:val="center"/>
        <w:rPr>
          <w:rFonts w:hint="eastAsia" w:ascii="楷体_GB2312" w:hAnsi="楷体_GB2312" w:eastAsia="楷体_GB2312" w:cs="楷体_GB2312"/>
          <w:b/>
          <w:bCs/>
          <w:color w:val="auto"/>
          <w:sz w:val="24"/>
          <w:szCs w:val="32"/>
        </w:rPr>
      </w:pP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5273675" cy="2370455"/>
            <wp:effectExtent l="12700" t="12700" r="28575" b="17145"/>
            <wp:docPr id="109" name="Picture 2" descr="C:\Users\xjb\Desktop\xjb 723\jpg\新建文件夹\01 姑苏区断面\桐泾南路改造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2" descr="C:\Users\xjb\Desktop\xjb 723\jpg\新建文件夹\01 姑苏区断面\桐泾南路改造副本.jpg"/>
                    <pic:cNvPicPr>
                      <a:picLocks noChangeAspect="1" noChangeArrowheads="1"/>
                    </pic:cNvPicPr>
                  </pic:nvPicPr>
                  <pic:blipFill>
                    <a:blip r:embed="rId34"/>
                    <a:srcRect l="5847" t="52663" r="5313" b="19106"/>
                    <a:stretch>
                      <a:fillRect/>
                    </a:stretch>
                  </pic:blipFill>
                  <pic:spPr>
                    <a:xfrm>
                      <a:off x="0" y="0"/>
                      <a:ext cx="5278755" cy="2373312"/>
                    </a:xfrm>
                    <a:prstGeom prst="rect">
                      <a:avLst/>
                    </a:prstGeom>
                    <a:noFill/>
                    <a:ln w="12700" cap="flat" cmpd="sng" algn="ctr">
                      <a:solidFill>
                        <a:sysClr val="window" lastClr="FFFFFF">
                          <a:lumMod val="50000"/>
                        </a:sysClr>
                      </a:solidFill>
                      <a:prstDash val="solid"/>
                      <a:round/>
                      <a:headEnd type="none" w="med" len="med"/>
                      <a:tailEnd type="none" w="med" len="med"/>
                    </a:ln>
                  </pic:spPr>
                </pic:pic>
              </a:graphicData>
            </a:graphic>
          </wp:inline>
        </w:drawing>
      </w:r>
    </w:p>
    <w:p>
      <w:pPr>
        <w:spacing w:line="360" w:lineRule="auto"/>
        <w:ind w:firstLine="482" w:firstLineChars="200"/>
        <w:rPr>
          <w:rFonts w:hint="eastAsia" w:ascii="楷体_GB2312" w:hAnsi="楷体_GB2312" w:eastAsia="楷体_GB2312" w:cs="楷体_GB2312"/>
          <w:b/>
          <w:bCs/>
          <w:color w:val="auto"/>
          <w:sz w:val="24"/>
          <w:szCs w:val="32"/>
        </w:rPr>
      </w:pPr>
    </w:p>
    <w:p>
      <w:pPr>
        <w:spacing w:line="360" w:lineRule="auto"/>
        <w:ind w:firstLine="482" w:firstLineChars="200"/>
        <w:rPr>
          <w:rFonts w:hint="eastAsia" w:ascii="楷体_GB2312" w:hAnsi="楷体_GB2312" w:eastAsia="楷体_GB2312" w:cs="楷体_GB2312"/>
          <w:color w:val="auto"/>
        </w:rPr>
      </w:pPr>
      <w:r>
        <w:rPr>
          <w:rFonts w:hint="eastAsia" w:ascii="楷体_GB2312" w:hAnsi="楷体_GB2312" w:eastAsia="楷体_GB2312" w:cs="楷体_GB2312"/>
          <w:b/>
          <w:bCs/>
          <w:color w:val="auto"/>
          <w:sz w:val="24"/>
          <w:szCs w:val="32"/>
        </w:rPr>
        <w:t>2）道路实施改造路段的管线改造</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为减少重复建设而及不必要的资金浪费，对于因管道老化、扩容需要实施管线改造工程应结合道路改造一并进行，采用直接开挖进行管线改造。</w:t>
      </w:r>
    </w:p>
    <w:p>
      <w:pPr>
        <w:spacing w:line="360" w:lineRule="auto"/>
        <w:ind w:firstLine="482" w:firstLineChars="200"/>
        <w:rPr>
          <w:rFonts w:hint="eastAsia" w:ascii="楷体_GB2312" w:hAnsi="楷体_GB2312" w:eastAsia="楷体_GB2312" w:cs="楷体_GB2312"/>
          <w:color w:val="auto"/>
        </w:rPr>
      </w:pPr>
      <w:r>
        <w:rPr>
          <w:rFonts w:hint="eastAsia" w:ascii="楷体_GB2312" w:hAnsi="楷体_GB2312" w:eastAsia="楷体_GB2312" w:cs="楷体_GB2312"/>
          <w:b/>
          <w:bCs/>
          <w:color w:val="auto"/>
          <w:sz w:val="24"/>
          <w:szCs w:val="32"/>
        </w:rPr>
        <w:t>3）对已报废管道的处置</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在条件许可的情况下，应将已废弃的管道挖掘出来，减少对地下资源的占用。如受经济等条件限制无法挖出，也应在地下报废管道上及地面上相应井盖上增加废弃使用的标识，以便今后维修管理。此外，还应动态更新管线普查资料，将已废弃的管道标出，确保管线信息资料真实有效。</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3. 新建地区</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应高起点、高标准选择地下管线综合模式及布局。对于新建道路原则要求管线与道路同步建设，但由于城市发展是循序渐进的，部分市政管线并非能够一次实施到位，存在分期建设的问题。因此在城市道路下更应强调对各类管线的综合与协调，合理安排各类管线的具体位置，避免相互干扰，保障各类管线的安全与正常运转。</w:t>
      </w:r>
    </w:p>
    <w:p>
      <w:pPr>
        <w:spacing w:line="360" w:lineRule="auto"/>
        <w:ind w:firstLine="482" w:firstLineChars="200"/>
        <w:rPr>
          <w:rFonts w:hint="eastAsia" w:ascii="楷体_GB2312" w:hAnsi="楷体_GB2312" w:eastAsia="楷体_GB2312" w:cs="楷体_GB2312"/>
          <w:color w:val="auto"/>
          <w:sz w:val="24"/>
        </w:rPr>
      </w:pPr>
      <w:r>
        <w:rPr>
          <w:rFonts w:hint="eastAsia" w:ascii="楷体_GB2312" w:hAnsi="楷体_GB2312" w:eastAsia="楷体_GB2312" w:cs="楷体_GB2312"/>
          <w:b/>
          <w:bCs/>
          <w:color w:val="auto"/>
          <w:sz w:val="24"/>
          <w:szCs w:val="32"/>
        </w:rPr>
        <w:t>1）平面布局应留有扩容余地</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规划充分考虑各专业规划至规划期末时的容量规模，参照执行现行《城市工程管线综合规划规范》（GB50289-2016），在满足最小水平间距的同时，结合道路断面形式，从管道运行安全、便于维护管理，易于适度扩容的角度出发，对主城区主、次干路进行优化管线平面布局。</w:t>
      </w: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5283835" cy="2032635"/>
            <wp:effectExtent l="0" t="0" r="12065" b="571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5318354" cy="2046341"/>
                    </a:xfrm>
                    <a:prstGeom prst="rect">
                      <a:avLst/>
                    </a:prstGeom>
                  </pic:spPr>
                </pic:pic>
              </a:graphicData>
            </a:graphic>
          </wp:inline>
        </w:drawing>
      </w:r>
    </w:p>
    <w:p>
      <w:pPr>
        <w:rPr>
          <w:rFonts w:hint="eastAsia" w:ascii="楷体_GB2312" w:hAnsi="楷体_GB2312" w:eastAsia="楷体_GB2312" w:cs="楷体_GB2312"/>
          <w:color w:val="auto"/>
        </w:rPr>
      </w:pPr>
    </w:p>
    <w:p>
      <w:pPr>
        <w:spacing w:line="360" w:lineRule="auto"/>
        <w:ind w:firstLine="482" w:firstLineChars="200"/>
        <w:rPr>
          <w:rFonts w:hint="eastAsia" w:ascii="楷体_GB2312" w:hAnsi="楷体_GB2312" w:eastAsia="楷体_GB2312" w:cs="楷体_GB2312"/>
          <w:color w:val="auto"/>
          <w:sz w:val="24"/>
        </w:rPr>
      </w:pPr>
      <w:r>
        <w:rPr>
          <w:rFonts w:hint="eastAsia" w:ascii="楷体_GB2312" w:hAnsi="楷体_GB2312" w:eastAsia="楷体_GB2312" w:cs="楷体_GB2312"/>
          <w:b/>
          <w:bCs/>
          <w:color w:val="auto"/>
          <w:sz w:val="24"/>
          <w:szCs w:val="32"/>
        </w:rPr>
        <w:t>2）新建道路断面布置引导</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针对新建地区道路严格按照规划实施。本次规划在尊重当地管线布设习惯的基础上，遵循相应规范，提出断面布置指引。</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除明确道路两侧有绿线控制，严格控制有绿化带并允许敷设管线，各类工程管线一般均布置在道路红线内。</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（1）一块板道路管线标准横断面</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目前，城市支路或次干道道路断面多采用一块板断面形式，即单幅路，相向机动车流之间无间隔，没有非机动车专用车道，非机动车利用边侧机动车道或部分人行道通行。规划红线为24米及以下道路大都采用一块板道路形式。</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人行道宽度为2～3米时，因考虑靠近道路侧石处需种植行道树和架设路灯，仅能布置1种工程管线，且尽量远离侧石布置。一般东（南）侧布置电力排管、西（北）侧布置通信排管。其余管线均需布设在非机动车道及机动车道下。规划红线15m和18m道路雨水管单侧布设，工程管线距侧石向道路中心线在东（南）侧布置雨水管、污水管，在西（北）侧布置给水管、燃气管。其参考管线断面布置形式如下图：</w:t>
      </w:r>
    </w:p>
    <w:p>
      <w:pPr>
        <w:spacing w:line="360" w:lineRule="auto"/>
        <w:ind w:firstLine="480"/>
        <w:rPr>
          <w:rFonts w:hint="eastAsia" w:ascii="楷体_GB2312" w:hAnsi="楷体_GB2312" w:eastAsia="楷体_GB2312" w:cs="楷体_GB2312"/>
          <w:color w:val="auto"/>
          <w:sz w:val="24"/>
        </w:rPr>
      </w:pPr>
    </w:p>
    <w:p>
      <w:pPr>
        <w:spacing w:line="360" w:lineRule="auto"/>
        <w:ind w:firstLine="48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3255645" cy="1988185"/>
            <wp:effectExtent l="0" t="0" r="1905" b="1206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264969" cy="1993839"/>
                    </a:xfrm>
                    <a:prstGeom prst="rect">
                      <a:avLst/>
                    </a:prstGeom>
                    <a:noFill/>
                  </pic:spPr>
                </pic:pic>
              </a:graphicData>
            </a:graphic>
          </wp:inline>
        </w:drawing>
      </w:r>
    </w:p>
    <w:p>
      <w:pPr>
        <w:spacing w:line="360" w:lineRule="auto"/>
        <w:rPr>
          <w:rFonts w:hint="eastAsia" w:ascii="楷体_GB2312" w:hAnsi="楷体_GB2312" w:eastAsia="楷体_GB2312" w:cs="楷体_GB2312"/>
          <w:color w:val="auto"/>
          <w:sz w:val="24"/>
        </w:rPr>
      </w:pPr>
      <w:r>
        <w:rPr>
          <w:rFonts w:hint="eastAsia" w:ascii="楷体_GB2312" w:hAnsi="楷体_GB2312" w:eastAsia="楷体_GB2312" w:cs="楷体_GB2312"/>
          <w:color w:val="auto"/>
        </w:rPr>
        <w:t>图中，</w:t>
      </w:r>
      <w:r>
        <w:rPr>
          <w:rFonts w:hint="eastAsia" w:ascii="楷体_GB2312" w:hAnsi="楷体_GB2312" w:eastAsia="楷体_GB2312" w:cs="楷体_GB2312"/>
          <w:color w:val="auto"/>
        </w:rPr>
        <w:object>
          <v:shape id="_x0000_i1025" o:spt="75" type="#_x0000_t75" style="height:16.75pt;width:29.3pt;" o:ole="t" filled="f" o:preferrelative="t" stroked="f" coordsize="21600,21600">
            <v:path/>
            <v:fill on="f" focussize="0,0"/>
            <v:stroke on="f" joinstyle="miter"/>
            <v:imagedata r:id="rId38" cropleft="30986f" croptop="36388f" cropright="25752f" cropbottom="21630f" o:title=""/>
            <o:lock v:ext="edit" aspectratio="t"/>
            <w10:wrap type="none"/>
            <w10:anchorlock/>
          </v:shape>
          <o:OLEObject Type="Embed" ProgID="AutoCAD.Drawing.16" ShapeID="_x0000_i1025" DrawAspect="Content" ObjectID="_1468075725" r:id="rId37">
            <o:LockedField>false</o:LockedField>
          </o:OLEObject>
        </w:object>
      </w:r>
      <w:r>
        <w:rPr>
          <w:rFonts w:hint="eastAsia" w:ascii="楷体_GB2312" w:hAnsi="楷体_GB2312" w:eastAsia="楷体_GB2312" w:cs="楷体_GB2312"/>
          <w:color w:val="auto"/>
        </w:rPr>
        <w:t>表示给水管，</w:t>
      </w:r>
      <w:r>
        <w:rPr>
          <w:rFonts w:hint="eastAsia" w:ascii="楷体_GB2312" w:hAnsi="楷体_GB2312" w:eastAsia="楷体_GB2312" w:cs="楷体_GB2312"/>
          <w:color w:val="auto"/>
        </w:rPr>
        <w:object>
          <v:shape id="_x0000_i1026" o:spt="75" type="#_x0000_t75" style="height:16.75pt;width:19.25pt;" o:ole="t" filled="f" o:preferrelative="t" stroked="f" coordsize="21600,21600">
            <v:path/>
            <v:fill on="f" focussize="0,0"/>
            <v:stroke on="f" joinstyle="miter"/>
            <v:imagedata r:id="rId40" cropleft="13343f" croptop="33527f" cropright="46050f" cropbottom="23933f" o:title=""/>
            <o:lock v:ext="edit" aspectratio="t"/>
            <w10:wrap type="none"/>
            <w10:anchorlock/>
          </v:shape>
          <o:OLEObject Type="Embed" ProgID="AutoCAD.Drawing.16" ShapeID="_x0000_i1026" DrawAspect="Content" ObjectID="_1468075726" r:id="rId39">
            <o:LockedField>false</o:LockedField>
          </o:OLEObject>
        </w:object>
      </w:r>
      <w:r>
        <w:rPr>
          <w:rFonts w:hint="eastAsia" w:ascii="楷体_GB2312" w:hAnsi="楷体_GB2312" w:eastAsia="楷体_GB2312" w:cs="楷体_GB2312"/>
          <w:color w:val="auto"/>
        </w:rPr>
        <w:t>表示污水管，</w:t>
      </w:r>
      <w:r>
        <w:rPr>
          <w:rFonts w:hint="eastAsia" w:ascii="楷体_GB2312" w:hAnsi="楷体_GB2312" w:eastAsia="楷体_GB2312" w:cs="楷体_GB2312"/>
          <w:color w:val="auto"/>
        </w:rPr>
        <w:object>
          <v:shape id="_x0000_i1027" o:spt="75" type="#_x0000_t75" style="height:16.75pt;width:16.75pt;" o:ole="t" filled="f" o:preferrelative="t" stroked="f" coordsize="21600,21600">
            <v:path/>
            <v:fill on="f" focussize="0,0"/>
            <v:stroke on="f" joinstyle="miter"/>
            <v:imagedata r:id="rId40" cropleft="21354f" croptop="33492f" cropright="38629f" cropbottom="24177f" o:title=""/>
            <o:lock v:ext="edit" aspectratio="t"/>
            <w10:wrap type="none"/>
            <w10:anchorlock/>
          </v:shape>
          <o:OLEObject Type="Embed" ProgID="AutoCAD.Drawing.16" ShapeID="_x0000_i1027" DrawAspect="Content" ObjectID="_1468075727" r:id="rId41">
            <o:LockedField>false</o:LockedField>
          </o:OLEObject>
        </w:object>
      </w:r>
      <w:r>
        <w:rPr>
          <w:rFonts w:hint="eastAsia" w:ascii="楷体_GB2312" w:hAnsi="楷体_GB2312" w:eastAsia="楷体_GB2312" w:cs="楷体_GB2312"/>
          <w:color w:val="auto"/>
        </w:rPr>
        <w:t>表示雨水管，</w:t>
      </w:r>
      <w:r>
        <w:rPr>
          <w:rFonts w:hint="eastAsia" w:ascii="楷体_GB2312" w:hAnsi="楷体_GB2312" w:eastAsia="楷体_GB2312" w:cs="楷体_GB2312"/>
          <w:color w:val="auto"/>
        </w:rPr>
        <w:object>
          <v:shape id="_x0000_i1028" o:spt="75" type="#_x0000_t75" style="height:16.75pt;width:18.4pt;" o:ole="t" filled="f" o:preferrelative="t" stroked="f" coordsize="21600,21600">
            <v:path/>
            <v:fill on="f" focussize="0,0"/>
            <v:stroke on="f" joinstyle="miter"/>
            <v:imagedata r:id="rId40" cropleft="42732f" croptop="33492f" cropright="16710f" cropbottom="24107f" o:title=""/>
            <o:lock v:ext="edit" aspectratio="t"/>
            <w10:wrap type="none"/>
            <w10:anchorlock/>
          </v:shape>
          <o:OLEObject Type="Embed" ProgID="AutoCAD.Drawing.16" ShapeID="_x0000_i1028" DrawAspect="Content" ObjectID="_1468075728" r:id="rId42">
            <o:LockedField>false</o:LockedField>
          </o:OLEObject>
        </w:object>
      </w:r>
      <w:r>
        <w:rPr>
          <w:rFonts w:hint="eastAsia" w:ascii="楷体_GB2312" w:hAnsi="楷体_GB2312" w:eastAsia="楷体_GB2312" w:cs="楷体_GB2312"/>
          <w:color w:val="auto"/>
        </w:rPr>
        <w:t>表示电力排管，</w:t>
      </w:r>
      <w:r>
        <w:rPr>
          <w:rFonts w:hint="eastAsia" w:ascii="楷体_GB2312" w:hAnsi="楷体_GB2312" w:eastAsia="楷体_GB2312" w:cs="楷体_GB2312"/>
          <w:color w:val="auto"/>
        </w:rPr>
        <w:object>
          <v:shape id="_x0000_i1029" o:spt="75" type="#_x0000_t75" style="height:16.75pt;width:22.6pt;" o:ole="t" filled="f" o:preferrelative="t" stroked="f" coordsize="21600,21600">
            <v:path/>
            <v:fill on="f" focussize="0,0"/>
            <v:stroke on="f" joinstyle="miter"/>
            <v:imagedata r:id="rId40" cropleft="5775f" croptop="33771f" cropright="52734f" cropbottom="24142f" o:title=""/>
            <o:lock v:ext="edit" aspectratio="t"/>
            <w10:wrap type="none"/>
            <w10:anchorlock/>
          </v:shape>
          <o:OLEObject Type="Embed" ProgID="AutoCAD.Drawing.16" ShapeID="_x0000_i1029" DrawAspect="Content" ObjectID="_1468075729" r:id="rId43">
            <o:LockedField>false</o:LockedField>
          </o:OLEObject>
        </w:object>
      </w:r>
      <w:r>
        <w:rPr>
          <w:rFonts w:hint="eastAsia" w:ascii="楷体_GB2312" w:hAnsi="楷体_GB2312" w:eastAsia="楷体_GB2312" w:cs="楷体_GB2312"/>
          <w:color w:val="auto"/>
        </w:rPr>
        <w:t>表示</w:t>
      </w:r>
      <w:r>
        <w:rPr>
          <w:rFonts w:hint="eastAsia" w:ascii="楷体_GB2312" w:hAnsi="楷体_GB2312" w:eastAsia="楷体_GB2312" w:cs="楷体_GB2312"/>
          <w:color w:val="auto"/>
          <w:sz w:val="24"/>
        </w:rPr>
        <w:t>通信排管，</w:t>
      </w:r>
      <w:r>
        <w:rPr>
          <w:rFonts w:hint="eastAsia" w:ascii="楷体_GB2312" w:hAnsi="楷体_GB2312" w:eastAsia="楷体_GB2312" w:cs="楷体_GB2312"/>
          <w:color w:val="auto"/>
          <w:sz w:val="24"/>
        </w:rPr>
        <w:object>
          <v:shape id="_x0000_i1030" o:spt="75" type="#_x0000_t75" style="height:16.75pt;width:17.6pt;" o:ole="t" filled="f" o:preferrelative="t" stroked="f" coordsize="21600,21600">
            <v:path/>
            <v:fill on="f" focussize="0,0"/>
            <v:stroke on="f" joinstyle="miter"/>
            <v:imagedata r:id="rId40" cropleft="28922f" croptop="33492f" cropright="30864f" cropbottom="24107f" o:title=""/>
            <o:lock v:ext="edit" aspectratio="t"/>
            <w10:wrap type="none"/>
            <w10:anchorlock/>
          </v:shape>
          <o:OLEObject Type="Embed" ProgID="AutoCAD.Drawing.16" ShapeID="_x0000_i1030" DrawAspect="Content" ObjectID="_1468075730" r:id="rId44">
            <o:LockedField>false</o:LockedField>
          </o:OLEObject>
        </w:object>
      </w:r>
      <w:r>
        <w:rPr>
          <w:rFonts w:hint="eastAsia" w:ascii="楷体_GB2312" w:hAnsi="楷体_GB2312" w:eastAsia="楷体_GB2312" w:cs="楷体_GB2312"/>
          <w:color w:val="auto"/>
          <w:sz w:val="24"/>
        </w:rPr>
        <w:t>表示中压燃气管，</w:t>
      </w:r>
      <w:r>
        <w:rPr>
          <w:rFonts w:hint="eastAsia" w:ascii="楷体_GB2312" w:hAnsi="楷体_GB2312" w:eastAsia="楷体_GB2312" w:cs="楷体_GB2312"/>
          <w:color w:val="auto"/>
          <w:sz w:val="24"/>
        </w:rPr>
        <w:object>
          <v:shape id="_x0000_i1031" o:spt="75" type="#_x0000_t75" style="height:16.75pt;width:18.4pt;" o:ole="t" filled="f" o:preferrelative="t" stroked="f" coordsize="21600,21600">
            <v:path/>
            <v:fill on="f" focussize="0,0"/>
            <v:stroke on="f" joinstyle="miter"/>
            <v:imagedata r:id="rId46" cropleft="21034f" croptop="41446f" cropright="35016f" cropbottom="11652f" o:title=""/>
            <o:lock v:ext="edit" aspectratio="t"/>
            <w10:wrap type="none"/>
            <w10:anchorlock/>
          </v:shape>
          <o:OLEObject Type="Embed" ProgID="AutoCAD.Drawing.16" ShapeID="_x0000_i1031" DrawAspect="Content" ObjectID="_1468075731" r:id="rId45">
            <o:LockedField>false</o:LockedField>
          </o:OLEObject>
        </w:object>
      </w:r>
      <w:r>
        <w:rPr>
          <w:rFonts w:hint="eastAsia" w:ascii="楷体_GB2312" w:hAnsi="楷体_GB2312" w:eastAsia="楷体_GB2312" w:cs="楷体_GB2312"/>
          <w:color w:val="auto"/>
          <w:sz w:val="24"/>
        </w:rPr>
        <w:t>表示直埋热力管，下同。</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（2）两块板道路管线规划标准横断面</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两块板道路即双幅路，中间设置中央分隔带，相向机动车流分隔行驶，没有非机动车专用车道，非机动车利用边侧机动车道或部分人行道通行。中央分隔带一般不布设管线，以减少对道路改造的影响，并且还可作为其他管线的预留通道，因此两块板道路管线布置方式与一块板道路管线布置基本相同。</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人行道宽度为2～3m时，各布置1种工程管线，且尽量远离侧石布置。一般东（南）侧布置电力排管、西（北）侧布置通信排管。其余管线均需布设在非机动车道及机动车道下，道路雨水管单侧布设。工程管线距侧石向道路中心线在东（南）侧布置雨水管、污水管，在西（北）侧布置给水管、燃气管。规划红线24m及以上道路雨水管需双侧布设，距侧石向道路中心线在东（南）侧布置雨水管、污水管，在西（北）侧布置雨水管、燃气管、给水管。</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人行道宽度为4.5m时，管线距侧石向红线在东（南）布置侧雨水管、电力排管，在西（北）侧布置雨水管、通信排管；距侧石向道路中心线在东（南）侧布置污水管，在西（北）侧布置给水管、燃气管。</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其参考管线断面布置形式如下图：</w:t>
      </w:r>
    </w:p>
    <w:p>
      <w:pPr>
        <w:spacing w:line="360" w:lineRule="auto"/>
        <w:rPr>
          <w:rFonts w:hint="eastAsia" w:ascii="楷体_GB2312" w:hAnsi="楷体_GB2312" w:eastAsia="楷体_GB2312" w:cs="楷体_GB2312"/>
          <w:color w:val="auto"/>
        </w:rPr>
      </w:pPr>
      <w:r>
        <w:rPr>
          <w:rFonts w:hint="eastAsia" w:ascii="楷体_GB2312" w:hAnsi="楷体_GB2312" w:eastAsia="楷体_GB2312" w:cs="楷体_GB2312"/>
          <w:color w:val="auto"/>
        </w:rPr>
        <w:drawing>
          <wp:anchor distT="0" distB="0" distL="114300" distR="114300" simplePos="0" relativeHeight="263373824" behindDoc="0" locked="0" layoutInCell="1" allowOverlap="1">
            <wp:simplePos x="0" y="0"/>
            <wp:positionH relativeFrom="character">
              <wp:posOffset>972820</wp:posOffset>
            </wp:positionH>
            <wp:positionV relativeFrom="line">
              <wp:posOffset>22860</wp:posOffset>
            </wp:positionV>
            <wp:extent cx="4175125" cy="1842135"/>
            <wp:effectExtent l="0" t="0" r="15875" b="5715"/>
            <wp:wrapNone/>
            <wp:docPr id="69652" name="图片 69652" descr="望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52" name="图片 69652" descr="望山"/>
                    <pic:cNvPicPr>
                      <a:picLocks noChangeAspect="1" noChangeArrowheads="1"/>
                    </pic:cNvPicPr>
                  </pic:nvPicPr>
                  <pic:blipFill>
                    <a:blip r:embed="rId47">
                      <a:extLst>
                        <a:ext uri="{28A0092B-C50C-407E-A947-70E740481C1C}">
                          <a14:useLocalDpi xmlns:a14="http://schemas.microsoft.com/office/drawing/2010/main" val="0"/>
                        </a:ext>
                      </a:extLst>
                    </a:blip>
                    <a:srcRect b="11409"/>
                    <a:stretch>
                      <a:fillRect/>
                    </a:stretch>
                  </pic:blipFill>
                  <pic:spPr>
                    <a:xfrm>
                      <a:off x="0" y="0"/>
                      <a:ext cx="4175125" cy="1842135"/>
                    </a:xfrm>
                    <a:prstGeom prst="rect">
                      <a:avLst/>
                    </a:prstGeom>
                    <a:noFill/>
                    <a:ln>
                      <a:noFill/>
                    </a:ln>
                  </pic:spPr>
                </pic:pic>
              </a:graphicData>
            </a:graphic>
          </wp:anchor>
        </w:drawing>
      </w:r>
      <w:r>
        <w:rPr>
          <w:rFonts w:hint="eastAsia" w:ascii="楷体_GB2312" w:hAnsi="楷体_GB2312" w:eastAsia="楷体_GB2312" w:cs="楷体_GB2312"/>
          <w:color w:val="auto"/>
        </w:rPr>
        <mc:AlternateContent>
          <mc:Choice Requires="wps">
            <w:drawing>
              <wp:inline distT="0" distB="0" distL="0" distR="0">
                <wp:extent cx="4451350" cy="1966595"/>
                <wp:effectExtent l="0" t="0" r="0" b="0"/>
                <wp:docPr id="69649" name="矩形 6964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451350" cy="1966595"/>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_x0000_s1026" o:spid="_x0000_s1026" o:spt="1" style="height:154.85pt;width:350.5pt;" filled="f" stroked="f" coordsize="21600,21600" o:gfxdata="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xUpnZ1gAAAAUBAAAPAAAAAAAAAAEAIAAAACIAAABkcnMvZG93bnJldi54bWxQ&#10;SwECFAAUAAAACACHTuJAdFTovPkBAADLAwAADgAAAAAAAAABACAAAAAlAQAAZHJzL2Uyb0RvYy54&#10;bWxQSwUGAAAAAAYABgBZAQAAkAUAAAAA&#10;">
                <v:fill on="f" focussize="0,0"/>
                <v:stroke on="f"/>
                <v:imagedata o:title=""/>
                <o:lock v:ext="edit" aspectratio="t"/>
                <w10:wrap type="none"/>
                <w10:anchorlock/>
              </v:rect>
            </w:pict>
          </mc:Fallback>
        </mc:AlternateContent>
      </w:r>
    </w:p>
    <w:p>
      <w:pPr>
        <w:spacing w:line="360" w:lineRule="auto"/>
        <w:rPr>
          <w:rFonts w:hint="eastAsia" w:ascii="楷体_GB2312" w:hAnsi="楷体_GB2312" w:eastAsia="楷体_GB2312" w:cs="楷体_GB2312"/>
          <w:color w:val="auto"/>
        </w:rPr>
      </w:pP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（3）三块板道路管线规划标准横断面</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三块板道路即三幅路，设有两条侧分带，把车行道分成三部分，中间为机动车道，相向机动车流之间无间隔，两侧为非机动车专有车道。</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侧分带宽度为2～3米，通常种植绿化，设置双挑路灯、敷设路灯电缆。由于路灯电缆靠侧石敷设、埋设较浅，且雨水管网为收集道路两侧地块雨水，雨水管埋设较深，对侧分带绿化和路灯电缆影响较小，侧分带下通常放置雨水管，也便于收集机动车道和非机动车道雨水。当非机动车道和人行道不共面设计时，雨水口设置在侧石内侧；当非机动车道和人行道为共面设计时，雨水口设置在侧分带两侧，雨水连接管较短。侧分带不适宜种植乔木，建议种植小灌木等。</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两侧人行道宽度多为2～3米，一般西（北）侧布置通信排管，东（南）侧电力排管，并利用两侧非机动车道布置其它管线。</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其参考管线断面布置形式如下图：</w:t>
      </w:r>
    </w:p>
    <w:p>
      <w:pPr>
        <w:spacing w:line="360" w:lineRule="auto"/>
        <w:ind w:firstLine="48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2955925" cy="1664335"/>
            <wp:effectExtent l="0" t="0" r="15875" b="12065"/>
            <wp:docPr id="69648" name="图片 69648" descr="E__2010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48" name="图片 69648" descr="E__2010_33"/>
                    <pic:cNvPicPr>
                      <a:picLocks noChangeAspect="1" noChangeArrowheads="1"/>
                    </pic:cNvPicPr>
                  </pic:nvPicPr>
                  <pic:blipFill>
                    <a:blip r:embed="rId48" cstate="print">
                      <a:extLst>
                        <a:ext uri="{28A0092B-C50C-407E-A947-70E740481C1C}">
                          <a14:useLocalDpi xmlns:a14="http://schemas.microsoft.com/office/drawing/2010/main" val="0"/>
                        </a:ext>
                      </a:extLst>
                    </a:blip>
                    <a:srcRect l="2744" t="11806" r="3934" b="13264"/>
                    <a:stretch>
                      <a:fillRect/>
                    </a:stretch>
                  </pic:blipFill>
                  <pic:spPr>
                    <a:xfrm>
                      <a:off x="0" y="0"/>
                      <a:ext cx="2958849" cy="1666199"/>
                    </a:xfrm>
                    <a:prstGeom prst="rect">
                      <a:avLst/>
                    </a:prstGeom>
                    <a:noFill/>
                    <a:ln>
                      <a:noFill/>
                    </a:ln>
                  </pic:spPr>
                </pic:pic>
              </a:graphicData>
            </a:graphic>
          </wp:inline>
        </w:drawing>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（4）四块板道路管线规划标准横断面</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四块板道路即四幅路，设有中央分隔带和两条侧分带，将车行道分成四部分，相向机动车流分隔行驶，并有非机动车专用车道。四块板道路断面形式适用与机动车、非机动车流量均较大的主干路或快速路。为减少对道路改造的影响，建议中央分隔带不布设管线。</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其参考管线断面布置形式如下图：</w:t>
      </w: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5217795" cy="1807210"/>
            <wp:effectExtent l="0" t="0" r="1905" b="2540"/>
            <wp:docPr id="69656" name="图片 69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56" name="图片 69656"/>
                    <pic:cNvPicPr>
                      <a:picLocks noChangeAspect="1"/>
                    </pic:cNvPicPr>
                  </pic:nvPicPr>
                  <pic:blipFill>
                    <a:blip r:embed="rId49" cstate="print">
                      <a:extLst>
                        <a:ext uri="{28A0092B-C50C-407E-A947-70E740481C1C}">
                          <a14:useLocalDpi xmlns:a14="http://schemas.microsoft.com/office/drawing/2010/main" val="0"/>
                        </a:ext>
                      </a:extLst>
                    </a:blip>
                    <a:srcRect t="23137" b="31101"/>
                    <a:stretch>
                      <a:fillRect/>
                    </a:stretch>
                  </pic:blipFill>
                  <pic:spPr>
                    <a:xfrm>
                      <a:off x="0" y="0"/>
                      <a:ext cx="5228887" cy="1811221"/>
                    </a:xfrm>
                    <a:prstGeom prst="rect">
                      <a:avLst/>
                    </a:prstGeom>
                    <a:ln>
                      <a:noFill/>
                    </a:ln>
                  </pic:spPr>
                </pic:pic>
              </a:graphicData>
            </a:graphic>
          </wp:inline>
        </w:drawing>
      </w:r>
    </w:p>
    <w:p>
      <w:pPr>
        <w:spacing w:line="360" w:lineRule="auto"/>
        <w:ind w:firstLine="480" w:firstLineChars="200"/>
        <w:rPr>
          <w:rFonts w:hint="eastAsia" w:ascii="楷体_GB2312" w:hAnsi="楷体_GB2312" w:eastAsia="楷体_GB2312" w:cs="楷体_GB2312"/>
          <w:color w:val="auto"/>
          <w:sz w:val="24"/>
        </w:rPr>
      </w:pP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25" w:name="_Toc495586761"/>
      <w:r>
        <w:rPr>
          <w:rFonts w:hint="eastAsia" w:ascii="楷体_GB2312" w:hAnsi="楷体_GB2312" w:eastAsia="楷体_GB2312" w:cs="楷体_GB2312"/>
          <w:b/>
          <w:color w:val="auto"/>
          <w:sz w:val="24"/>
          <w:szCs w:val="24"/>
        </w:rPr>
        <w:t>5.3.4平面规划</w:t>
      </w:r>
      <w:bookmarkEnd w:id="225"/>
    </w:p>
    <w:p>
      <w:pPr>
        <w:spacing w:line="360" w:lineRule="auto"/>
        <w:ind w:firstLine="482" w:firstLineChars="200"/>
        <w:rPr>
          <w:rFonts w:hint="eastAsia" w:ascii="楷体_GB2312" w:hAnsi="楷体_GB2312" w:eastAsia="楷体_GB2312" w:cs="楷体_GB2312"/>
          <w:b/>
          <w:bCs/>
          <w:color w:val="auto"/>
          <w:sz w:val="24"/>
        </w:rPr>
      </w:pPr>
      <w:r>
        <w:rPr>
          <w:rFonts w:hint="eastAsia" w:ascii="楷体_GB2312" w:hAnsi="楷体_GB2312" w:eastAsia="楷体_GB2312" w:cs="楷体_GB2312"/>
          <w:b/>
          <w:bCs/>
          <w:color w:val="auto"/>
          <w:sz w:val="24"/>
        </w:rPr>
        <w:t>1. 已建地区道路</w:t>
      </w:r>
    </w:p>
    <w:p>
      <w:pPr>
        <w:spacing w:line="360" w:lineRule="auto"/>
        <w:ind w:firstLine="480" w:firstLineChars="200"/>
        <w:rPr>
          <w:rFonts w:hint="eastAsia" w:ascii="楷体_GB2312" w:hAnsi="楷体_GB2312" w:eastAsia="楷体_GB2312" w:cs="楷体_GB2312"/>
          <w:bCs/>
          <w:color w:val="auto"/>
          <w:sz w:val="24"/>
        </w:rPr>
      </w:pPr>
      <w:r>
        <w:rPr>
          <w:rFonts w:hint="eastAsia" w:ascii="楷体_GB2312" w:hAnsi="楷体_GB2312" w:eastAsia="楷体_GB2312" w:cs="楷体_GB2312"/>
          <w:color w:val="auto"/>
          <w:sz w:val="24"/>
        </w:rPr>
        <w:drawing>
          <wp:anchor distT="0" distB="0" distL="114300" distR="114300" simplePos="0" relativeHeight="263378944" behindDoc="0" locked="0" layoutInCell="1" allowOverlap="1">
            <wp:simplePos x="0" y="0"/>
            <wp:positionH relativeFrom="column">
              <wp:posOffset>2110740</wp:posOffset>
            </wp:positionH>
            <wp:positionV relativeFrom="paragraph">
              <wp:posOffset>192405</wp:posOffset>
            </wp:positionV>
            <wp:extent cx="3508375" cy="2751455"/>
            <wp:effectExtent l="0" t="0" r="15875" b="10795"/>
            <wp:wrapSquare wrapText="bothSides"/>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50" cstate="print">
                      <a:extLst>
                        <a:ext uri="{28A0092B-C50C-407E-A947-70E740481C1C}">
                          <a14:useLocalDpi xmlns:a14="http://schemas.microsoft.com/office/drawing/2010/main" val="0"/>
                        </a:ext>
                      </a:extLst>
                    </a:blip>
                    <a:srcRect t="22370" b="22205"/>
                    <a:stretch>
                      <a:fillRect/>
                    </a:stretch>
                  </pic:blipFill>
                  <pic:spPr>
                    <a:xfrm>
                      <a:off x="0" y="0"/>
                      <a:ext cx="3508375" cy="2751455"/>
                    </a:xfrm>
                    <a:prstGeom prst="rect">
                      <a:avLst/>
                    </a:prstGeom>
                    <a:ln>
                      <a:noFill/>
                    </a:ln>
                  </pic:spPr>
                </pic:pic>
              </a:graphicData>
            </a:graphic>
          </wp:anchor>
        </w:drawing>
      </w:r>
      <w:r>
        <w:rPr>
          <w:rFonts w:hint="eastAsia" w:ascii="楷体_GB2312" w:hAnsi="楷体_GB2312" w:eastAsia="楷体_GB2312" w:cs="楷体_GB2312"/>
          <w:bCs/>
          <w:color w:val="auto"/>
          <w:sz w:val="24"/>
        </w:rPr>
        <w:t>1）向阳路</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向阳路道红线宽度30m，采用一块板结构。</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4.0m（人行道）+4.0m（侧分带）+14m（车行道）+4.0m（侧分带）+4.0m（人行道）=30m，其中人行道与侧分带采用共板设计形式。</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管位布置如下：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沿道路西侧人行道下现状敷设有4x3孔通信排管，西侧侧分带下敷设有DN200中压燃气管及d400污水管，沿道路西侧分机动车道下敷设有d600-d1000雨水管，沿道路东侧侧分带下现状敷设有DN500给水管。本次规划新增DN400供热管道，5x3孔电力排管，DN300再生水管道。</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雨水管位于道路中心线西侧6.0m处，非机动车道下；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污水管位于道路中心线西侧9.0m处，侧分带下；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燃气管位于道路中心线西侧11.0m处，侧分带下；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通信管位于道路中心线西侧13.0m处，人行道下；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供热管位于道路中心线东侧9.0m处，侧分带下；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给水管位于道路中心线东侧11.0m处，侧分带下；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电力管位于道路中心线东侧13.0m处，人行道下；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再生水位于道路中心线东侧15.0m处，人行道下。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2）魏武大道</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魏武大道红线宽度50m，采用三块板结构。</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4.0m（人行道）+6.0m（非机动车道）+4.0m（侧分带）+22m（车行道）+4.0m（侧分带）+6.0m（非机动车道）+4.0m（人行道）=50m。</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5273675" cy="2902585"/>
            <wp:effectExtent l="0" t="0" r="3175" b="1206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51" cstate="print">
                      <a:extLst>
                        <a:ext uri="{28A0092B-C50C-407E-A947-70E740481C1C}">
                          <a14:useLocalDpi xmlns:a14="http://schemas.microsoft.com/office/drawing/2010/main" val="0"/>
                        </a:ext>
                      </a:extLst>
                    </a:blip>
                    <a:srcRect t="9414" b="12705"/>
                    <a:stretch>
                      <a:fillRect/>
                    </a:stretch>
                  </pic:blipFill>
                  <pic:spPr>
                    <a:xfrm>
                      <a:off x="0" y="0"/>
                      <a:ext cx="5278755" cy="2905443"/>
                    </a:xfrm>
                    <a:prstGeom prst="rect">
                      <a:avLst/>
                    </a:prstGeom>
                    <a:ln>
                      <a:noFill/>
                    </a:ln>
                  </pic:spPr>
                </pic:pic>
              </a:graphicData>
            </a:graphic>
          </wp:inline>
        </w:drawing>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管位布置如下：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沿道路西侧侧分带下现状敷设有d600-d1200雨水管、d500污水管，沿西侧非机动车道下敷设有DN200中压燃气管，沿道路东侧侧分带下敷设d600-d1200，沿东侧非机动车道下敷设DN500给水管。本次规划新增4x3孔通信管，DN400再生水管，d400污水管，6x3孔电力管。</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雨水管位于道路中心线西侧12.0m处，侧分带下；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污水管位于道路中心线西侧14.0m处，侧分带下；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燃气管位于道路中心线西侧16.5m处，非机动车道下；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再生水管位于道路中心线西侧19.0m处，非机动车道下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通信管位于道路中心线西侧23.0m处，人行道下；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雨水管位于道路中心线西侧12.0m处，侧分带下；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污水管位于道路中心线东侧14.0m处，侧分带下；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供热管位于道路中心线东侧16.5m处，非机动车道下；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给水管位于道路中心线东侧19.0m处，非机动车道下；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电力管位于道路中心线东侧23.0m处，人行道下；</w:t>
      </w:r>
    </w:p>
    <w:p>
      <w:pPr>
        <w:spacing w:line="360" w:lineRule="auto"/>
        <w:ind w:firstLine="482" w:firstLineChars="200"/>
        <w:rPr>
          <w:rFonts w:hint="eastAsia" w:ascii="楷体_GB2312" w:hAnsi="楷体_GB2312" w:eastAsia="楷体_GB2312" w:cs="楷体_GB2312"/>
          <w:b/>
          <w:bCs/>
          <w:color w:val="auto"/>
          <w:sz w:val="24"/>
        </w:rPr>
      </w:pPr>
      <w:r>
        <w:rPr>
          <w:rFonts w:hint="eastAsia" w:ascii="楷体_GB2312" w:hAnsi="楷体_GB2312" w:eastAsia="楷体_GB2312" w:cs="楷体_GB2312"/>
          <w:b/>
          <w:bCs/>
          <w:color w:val="auto"/>
          <w:sz w:val="24"/>
        </w:rPr>
        <w:t>2. 新建地区道路</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1）兴平路</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兴平路红线宽度50m，采用三块板结构。</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3.5m（人行道）+3.5m（非机动车道）+2.0m（侧分带）+22m（车行道）+2.0m（侧分带）+3.5m（非机动车道）+3.5m（人行道）=40m。</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本次规划敷设4x3孔通信管，d500污水管，两侧d600-d1000雨水管，DN200中压燃气管，DN500给水管，5x3孔电力管。</w:t>
      </w:r>
    </w:p>
    <w:p>
      <w:pPr>
        <w:spacing w:line="360" w:lineRule="auto"/>
        <w:ind w:firstLine="480" w:firstLineChars="200"/>
        <w:jc w:val="center"/>
        <w:rPr>
          <w:rFonts w:hint="eastAsia" w:ascii="楷体_GB2312" w:hAnsi="楷体_GB2312" w:eastAsia="楷体_GB2312" w:cs="楷体_GB2312"/>
          <w:b/>
          <w:bCs/>
          <w:color w:val="auto"/>
          <w:sz w:val="24"/>
        </w:rPr>
      </w:pPr>
      <w:r>
        <w:rPr>
          <w:rFonts w:hint="eastAsia" w:ascii="楷体_GB2312" w:hAnsi="楷体_GB2312" w:eastAsia="楷体_GB2312" w:cs="楷体_GB2312"/>
          <w:bCs/>
          <w:color w:val="auto"/>
          <w:sz w:val="24"/>
        </w:rPr>
        <w:drawing>
          <wp:inline distT="0" distB="0" distL="0" distR="0">
            <wp:extent cx="4082415" cy="2667000"/>
            <wp:effectExtent l="0" t="0" r="1333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52" cstate="print">
                      <a:extLst>
                        <a:ext uri="{28A0092B-C50C-407E-A947-70E740481C1C}">
                          <a14:useLocalDpi xmlns:a14="http://schemas.microsoft.com/office/drawing/2010/main" val="0"/>
                        </a:ext>
                      </a:extLst>
                    </a:blip>
                    <a:srcRect b="7570"/>
                    <a:stretch>
                      <a:fillRect/>
                    </a:stretch>
                  </pic:blipFill>
                  <pic:spPr>
                    <a:xfrm>
                      <a:off x="0" y="0"/>
                      <a:ext cx="4086778" cy="2669589"/>
                    </a:xfrm>
                    <a:prstGeom prst="rect">
                      <a:avLst/>
                    </a:prstGeom>
                    <a:ln>
                      <a:noFill/>
                    </a:ln>
                  </pic:spPr>
                </pic:pic>
              </a:graphicData>
            </a:graphic>
          </wp:inline>
        </w:drawing>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雨水管位于道路中心线西侧12.0m处，侧分带下；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污水管位于道路中心线西侧14.5m处，非机动车道下；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通信管位于道路中心线西侧18.0m处，人行道下；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雨水管位于道路中心线东侧12.0m处，侧分带下；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燃气管位于道路中心线东侧14.0m处，非机动车道下；</w:t>
      </w:r>
    </w:p>
    <w:p>
      <w:pPr>
        <w:spacing w:line="360" w:lineRule="auto"/>
        <w:ind w:firstLine="560" w:firstLineChars="200"/>
        <w:rPr>
          <w:rFonts w:hint="eastAsia" w:ascii="楷体_GB2312" w:hAnsi="楷体_GB2312" w:eastAsia="楷体_GB2312" w:cs="楷体_GB2312"/>
          <w:color w:val="auto"/>
          <w:sz w:val="24"/>
        </w:rPr>
      </w:pPr>
      <w:r>
        <w:rPr>
          <w:rFonts w:hint="eastAsia" w:ascii="楷体_GB2312" w:hAnsi="楷体_GB2312" w:eastAsia="楷体_GB2312" w:cs="楷体_GB2312"/>
          <w:bCs/>
          <w:color w:val="auto"/>
          <w:sz w:val="28"/>
        </w:rPr>
        <w:drawing>
          <wp:anchor distT="0" distB="0" distL="114300" distR="114300" simplePos="0" relativeHeight="263379968" behindDoc="0" locked="0" layoutInCell="1" allowOverlap="1">
            <wp:simplePos x="0" y="0"/>
            <wp:positionH relativeFrom="column">
              <wp:posOffset>3994150</wp:posOffset>
            </wp:positionH>
            <wp:positionV relativeFrom="paragraph">
              <wp:posOffset>220345</wp:posOffset>
            </wp:positionV>
            <wp:extent cx="2275205" cy="2296160"/>
            <wp:effectExtent l="0" t="0" r="10795" b="8890"/>
            <wp:wrapSquare wrapText="bothSides"/>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53" cstate="print">
                      <a:extLst>
                        <a:ext uri="{28A0092B-C50C-407E-A947-70E740481C1C}">
                          <a14:useLocalDpi xmlns:a14="http://schemas.microsoft.com/office/drawing/2010/main" val="0"/>
                        </a:ext>
                      </a:extLst>
                    </a:blip>
                    <a:srcRect l="27419" t="7715" r="26744"/>
                    <a:stretch>
                      <a:fillRect/>
                    </a:stretch>
                  </pic:blipFill>
                  <pic:spPr>
                    <a:xfrm>
                      <a:off x="0" y="0"/>
                      <a:ext cx="2275205" cy="2296160"/>
                    </a:xfrm>
                    <a:prstGeom prst="rect">
                      <a:avLst/>
                    </a:prstGeom>
                    <a:ln>
                      <a:noFill/>
                    </a:ln>
                  </pic:spPr>
                </pic:pic>
              </a:graphicData>
            </a:graphic>
          </wp:anchor>
        </w:drawing>
      </w:r>
      <w:r>
        <w:rPr>
          <w:rFonts w:hint="eastAsia" w:ascii="楷体_GB2312" w:hAnsi="楷体_GB2312" w:eastAsia="楷体_GB2312" w:cs="楷体_GB2312"/>
          <w:color w:val="auto"/>
          <w:sz w:val="24"/>
        </w:rPr>
        <w:t>给水管位于道路中心线东侧15.5m处，非机动车道下；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电力管位于道路中心线东侧18.0m处，人行道下；</w:t>
      </w:r>
    </w:p>
    <w:p>
      <w:pPr>
        <w:spacing w:line="360" w:lineRule="auto"/>
        <w:ind w:firstLine="482" w:firstLineChars="200"/>
        <w:rPr>
          <w:rFonts w:hint="eastAsia" w:ascii="楷体_GB2312" w:hAnsi="楷体_GB2312" w:eastAsia="楷体_GB2312" w:cs="楷体_GB2312"/>
          <w:b/>
          <w:bCs/>
          <w:color w:val="auto"/>
          <w:sz w:val="24"/>
        </w:rPr>
      </w:pPr>
      <w:r>
        <w:rPr>
          <w:rFonts w:hint="eastAsia" w:ascii="楷体_GB2312" w:hAnsi="楷体_GB2312" w:eastAsia="楷体_GB2312" w:cs="楷体_GB2312"/>
          <w:b/>
          <w:bCs/>
          <w:color w:val="auto"/>
          <w:sz w:val="24"/>
        </w:rPr>
        <w:t>3. 历史保护城区道路</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1）南大街</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南大街红线宽度13m，采用一块板结构。</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2.5m（人行道）+8.0m（车行道）+2.5m（人行道）=13m。</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沿道路西侧车行道下现状敷设d600雨水管，沿道路东侧车行道下敷设DN200给水管，东侧人行道下敷设d300污水管。</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本次规划新增3x3孔信息管，主要解决现状通信架空线埋地问题。</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雨水管位于道路中心线西侧2.5m处，车行道下；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通信管位于道路中心线西侧5.5m处，人行道下；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给水管位于道路中心线东侧2.5m处，车行道下；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污水管位于道路中心线东侧5.5m处，人行道下；</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26" w:name="_Toc495586762"/>
      <w:bookmarkStart w:id="227" w:name="_Toc18561"/>
      <w:r>
        <w:rPr>
          <w:rFonts w:hint="eastAsia" w:ascii="楷体_GB2312" w:hAnsi="楷体_GB2312" w:eastAsia="楷体_GB2312" w:cs="楷体_GB2312"/>
          <w:b/>
          <w:bCs w:val="0"/>
          <w:color w:val="auto"/>
          <w:sz w:val="28"/>
        </w:rPr>
        <w:t>5.4管线竖向规划</w:t>
      </w:r>
      <w:bookmarkEnd w:id="226"/>
      <w:bookmarkEnd w:id="227"/>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28" w:name="_Toc495586763"/>
      <w:r>
        <w:rPr>
          <w:rFonts w:hint="eastAsia" w:ascii="楷体_GB2312" w:hAnsi="楷体_GB2312" w:eastAsia="楷体_GB2312" w:cs="楷体_GB2312"/>
          <w:b/>
          <w:color w:val="auto"/>
          <w:sz w:val="24"/>
          <w:szCs w:val="24"/>
        </w:rPr>
        <w:t>5.4.1竖向布置原则</w:t>
      </w:r>
      <w:bookmarkEnd w:id="228"/>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1. 竖向关系</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地下管线交叉敷设时，自地表面向下的排列顺序宜为：通讯、电力、燃气、热力、给水、再生水、雨水、污水管线。应尽量减少道路交叉口的管线交叉点；各类地下管线的敷设除交叉外，不得上下重叠。尽量缩小地下管线的埋深；对于重力自流管线的埋设深度，应保证其管线流向的坡度；确定各种工程管线交叉口的标高，应首先考虑排水管线标高。</w:t>
      </w: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2. 覆土要求</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各类地下管线应在满足最大冰冻厚度要求的同事，满足管线埋设的最小覆土厚度要求。地下管线的最小覆土深度应满足下表的要求，当不能满足要求时，应采取有效的安全防护措施。</w:t>
      </w:r>
    </w:p>
    <w:p>
      <w:pPr>
        <w:spacing w:line="360" w:lineRule="auto"/>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地下管线的最小覆土深度（m）</w:t>
      </w:r>
    </w:p>
    <w:tbl>
      <w:tblPr>
        <w:tblStyle w:val="21"/>
        <w:tblW w:w="8765" w:type="dxa"/>
        <w:jc w:val="center"/>
        <w:tblInd w:w="0" w:type="dxa"/>
        <w:tblLayout w:type="fixed"/>
        <w:tblCellMar>
          <w:top w:w="0" w:type="dxa"/>
          <w:left w:w="108" w:type="dxa"/>
          <w:bottom w:w="0" w:type="dxa"/>
          <w:right w:w="108" w:type="dxa"/>
        </w:tblCellMar>
      </w:tblPr>
      <w:tblGrid>
        <w:gridCol w:w="938"/>
        <w:gridCol w:w="681"/>
        <w:gridCol w:w="680"/>
        <w:gridCol w:w="681"/>
        <w:gridCol w:w="544"/>
        <w:gridCol w:w="679"/>
        <w:gridCol w:w="544"/>
        <w:gridCol w:w="609"/>
        <w:gridCol w:w="682"/>
        <w:gridCol w:w="709"/>
        <w:gridCol w:w="974"/>
        <w:gridCol w:w="1044"/>
      </w:tblGrid>
      <w:tr>
        <w:tblPrEx>
          <w:tblLayout w:type="fixed"/>
          <w:tblCellMar>
            <w:top w:w="0" w:type="dxa"/>
            <w:left w:w="108" w:type="dxa"/>
            <w:bottom w:w="0" w:type="dxa"/>
            <w:right w:w="108" w:type="dxa"/>
          </w:tblCellMar>
        </w:tblPrEx>
        <w:trPr>
          <w:trHeight w:val="272" w:hRule="atLeast"/>
          <w:jc w:val="center"/>
        </w:trPr>
        <w:tc>
          <w:tcPr>
            <w:tcW w:w="1619" w:type="dxa"/>
            <w:gridSpan w:val="2"/>
            <w:tcBorders>
              <w:top w:val="single" w:color="auto" w:sz="4" w:space="0"/>
              <w:left w:val="single" w:color="auto" w:sz="4" w:space="0"/>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序号</w:t>
            </w:r>
          </w:p>
        </w:tc>
        <w:tc>
          <w:tcPr>
            <w:tcW w:w="1361" w:type="dxa"/>
            <w:gridSpan w:val="2"/>
            <w:tcBorders>
              <w:top w:val="single" w:color="auto" w:sz="4" w:space="0"/>
              <w:left w:val="nil"/>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1</w:t>
            </w:r>
          </w:p>
        </w:tc>
        <w:tc>
          <w:tcPr>
            <w:tcW w:w="1223" w:type="dxa"/>
            <w:gridSpan w:val="2"/>
            <w:tcBorders>
              <w:top w:val="single" w:color="auto" w:sz="4" w:space="0"/>
              <w:left w:val="nil"/>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2</w:t>
            </w:r>
          </w:p>
        </w:tc>
        <w:tc>
          <w:tcPr>
            <w:tcW w:w="1153" w:type="dxa"/>
            <w:gridSpan w:val="2"/>
            <w:tcBorders>
              <w:top w:val="single" w:color="auto" w:sz="4" w:space="0"/>
              <w:left w:val="nil"/>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3</w:t>
            </w:r>
          </w:p>
        </w:tc>
        <w:tc>
          <w:tcPr>
            <w:tcW w:w="682" w:type="dxa"/>
            <w:tcBorders>
              <w:top w:val="single" w:color="auto" w:sz="4" w:space="0"/>
              <w:left w:val="nil"/>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4</w:t>
            </w:r>
          </w:p>
        </w:tc>
        <w:tc>
          <w:tcPr>
            <w:tcW w:w="709" w:type="dxa"/>
            <w:tcBorders>
              <w:top w:val="single" w:color="auto" w:sz="4" w:space="0"/>
              <w:left w:val="nil"/>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5</w:t>
            </w:r>
          </w:p>
        </w:tc>
        <w:tc>
          <w:tcPr>
            <w:tcW w:w="974" w:type="dxa"/>
            <w:tcBorders>
              <w:top w:val="single" w:color="auto" w:sz="4" w:space="0"/>
              <w:left w:val="nil"/>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6</w:t>
            </w:r>
          </w:p>
        </w:tc>
        <w:tc>
          <w:tcPr>
            <w:tcW w:w="1044" w:type="dxa"/>
            <w:tcBorders>
              <w:top w:val="single" w:color="auto" w:sz="4" w:space="0"/>
              <w:left w:val="nil"/>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7</w:t>
            </w:r>
          </w:p>
        </w:tc>
      </w:tr>
      <w:tr>
        <w:tblPrEx>
          <w:tblLayout w:type="fixed"/>
          <w:tblCellMar>
            <w:top w:w="0" w:type="dxa"/>
            <w:left w:w="108" w:type="dxa"/>
            <w:bottom w:w="0" w:type="dxa"/>
            <w:right w:w="108" w:type="dxa"/>
          </w:tblCellMar>
        </w:tblPrEx>
        <w:trPr>
          <w:trHeight w:val="272" w:hRule="atLeast"/>
          <w:jc w:val="center"/>
        </w:trPr>
        <w:tc>
          <w:tcPr>
            <w:tcW w:w="1619" w:type="dxa"/>
            <w:gridSpan w:val="2"/>
            <w:vMerge w:val="restart"/>
            <w:tcBorders>
              <w:top w:val="single" w:color="auto" w:sz="4" w:space="0"/>
              <w:left w:val="single" w:color="auto" w:sz="4" w:space="0"/>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管线名称</w:t>
            </w:r>
          </w:p>
        </w:tc>
        <w:tc>
          <w:tcPr>
            <w:tcW w:w="1361" w:type="dxa"/>
            <w:gridSpan w:val="2"/>
            <w:tcBorders>
              <w:top w:val="single" w:color="auto" w:sz="4" w:space="0"/>
              <w:left w:val="nil"/>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电力管线</w:t>
            </w:r>
          </w:p>
        </w:tc>
        <w:tc>
          <w:tcPr>
            <w:tcW w:w="1223" w:type="dxa"/>
            <w:gridSpan w:val="2"/>
            <w:tcBorders>
              <w:top w:val="single" w:color="auto" w:sz="4" w:space="0"/>
              <w:left w:val="nil"/>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电信管线</w:t>
            </w:r>
          </w:p>
        </w:tc>
        <w:tc>
          <w:tcPr>
            <w:tcW w:w="1153" w:type="dxa"/>
            <w:gridSpan w:val="2"/>
            <w:tcBorders>
              <w:top w:val="single" w:color="auto" w:sz="4" w:space="0"/>
              <w:left w:val="nil"/>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热力管线</w:t>
            </w:r>
          </w:p>
        </w:tc>
        <w:tc>
          <w:tcPr>
            <w:tcW w:w="682" w:type="dxa"/>
            <w:vMerge w:val="restart"/>
            <w:tcBorders>
              <w:top w:val="single" w:color="auto" w:sz="4" w:space="0"/>
              <w:left w:val="single" w:color="auto" w:sz="4" w:space="0"/>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燃气管线</w:t>
            </w:r>
          </w:p>
        </w:tc>
        <w:tc>
          <w:tcPr>
            <w:tcW w:w="709" w:type="dxa"/>
            <w:vMerge w:val="restart"/>
            <w:tcBorders>
              <w:top w:val="single" w:color="auto" w:sz="4" w:space="0"/>
              <w:left w:val="single" w:color="auto" w:sz="4" w:space="0"/>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给水管线</w:t>
            </w:r>
          </w:p>
        </w:tc>
        <w:tc>
          <w:tcPr>
            <w:tcW w:w="974" w:type="dxa"/>
            <w:vMerge w:val="restart"/>
            <w:tcBorders>
              <w:top w:val="single" w:color="auto" w:sz="4" w:space="0"/>
              <w:left w:val="single" w:color="auto" w:sz="4" w:space="0"/>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雨水排水管线</w:t>
            </w:r>
          </w:p>
        </w:tc>
        <w:tc>
          <w:tcPr>
            <w:tcW w:w="1044" w:type="dxa"/>
            <w:vMerge w:val="restart"/>
            <w:tcBorders>
              <w:top w:val="single" w:color="auto" w:sz="4" w:space="0"/>
              <w:left w:val="single" w:color="auto" w:sz="4" w:space="0"/>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污水排水管线</w:t>
            </w:r>
          </w:p>
        </w:tc>
      </w:tr>
      <w:tr>
        <w:tblPrEx>
          <w:tblLayout w:type="fixed"/>
          <w:tblCellMar>
            <w:top w:w="0" w:type="dxa"/>
            <w:left w:w="108" w:type="dxa"/>
            <w:bottom w:w="0" w:type="dxa"/>
            <w:right w:w="108" w:type="dxa"/>
          </w:tblCellMar>
        </w:tblPrEx>
        <w:trPr>
          <w:trHeight w:val="272" w:hRule="atLeast"/>
          <w:jc w:val="center"/>
        </w:trPr>
        <w:tc>
          <w:tcPr>
            <w:tcW w:w="1619" w:type="dxa"/>
            <w:gridSpan w:val="2"/>
            <w:vMerge w:val="continue"/>
            <w:tcBorders>
              <w:top w:val="single" w:color="auto" w:sz="4" w:space="0"/>
              <w:left w:val="single" w:color="auto" w:sz="4" w:space="0"/>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p>
        </w:tc>
        <w:tc>
          <w:tcPr>
            <w:tcW w:w="680" w:type="dxa"/>
            <w:tcBorders>
              <w:top w:val="nil"/>
              <w:left w:val="nil"/>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直埋</w:t>
            </w:r>
          </w:p>
        </w:tc>
        <w:tc>
          <w:tcPr>
            <w:tcW w:w="681" w:type="dxa"/>
            <w:tcBorders>
              <w:top w:val="nil"/>
              <w:left w:val="nil"/>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管沟</w:t>
            </w:r>
          </w:p>
        </w:tc>
        <w:tc>
          <w:tcPr>
            <w:tcW w:w="544" w:type="dxa"/>
            <w:tcBorders>
              <w:top w:val="nil"/>
              <w:left w:val="nil"/>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直埋</w:t>
            </w:r>
          </w:p>
        </w:tc>
        <w:tc>
          <w:tcPr>
            <w:tcW w:w="679" w:type="dxa"/>
            <w:tcBorders>
              <w:top w:val="nil"/>
              <w:left w:val="nil"/>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管沟</w:t>
            </w:r>
          </w:p>
        </w:tc>
        <w:tc>
          <w:tcPr>
            <w:tcW w:w="544" w:type="dxa"/>
            <w:tcBorders>
              <w:top w:val="nil"/>
              <w:left w:val="nil"/>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直埋</w:t>
            </w:r>
          </w:p>
        </w:tc>
        <w:tc>
          <w:tcPr>
            <w:tcW w:w="609" w:type="dxa"/>
            <w:tcBorders>
              <w:top w:val="nil"/>
              <w:left w:val="nil"/>
              <w:bottom w:val="single" w:color="auto" w:sz="4" w:space="0"/>
              <w:right w:val="single" w:color="auto" w:sz="4" w:space="0"/>
            </w:tcBorders>
            <w:shd w:val="clear" w:color="auto" w:fill="C2D69B" w:themeFill="accent3" w:themeFillTint="99"/>
            <w:vAlign w:val="center"/>
          </w:tcPr>
          <w:p>
            <w:pPr>
              <w:rPr>
                <w:rFonts w:hint="eastAsia" w:ascii="楷体_GB2312" w:hAnsi="楷体_GB2312" w:eastAsia="楷体_GB2312" w:cs="楷体_GB2312"/>
                <w:b/>
                <w:color w:val="auto"/>
              </w:rPr>
            </w:pPr>
            <w:r>
              <w:rPr>
                <w:rFonts w:hint="eastAsia" w:ascii="楷体_GB2312" w:hAnsi="楷体_GB2312" w:eastAsia="楷体_GB2312" w:cs="楷体_GB2312"/>
                <w:b/>
                <w:color w:val="auto"/>
              </w:rPr>
              <w:t>管沟</w:t>
            </w:r>
          </w:p>
        </w:tc>
        <w:tc>
          <w:tcPr>
            <w:tcW w:w="682" w:type="dxa"/>
            <w:vMerge w:val="continue"/>
            <w:tcBorders>
              <w:top w:val="nil"/>
              <w:left w:val="single" w:color="auto" w:sz="4" w:space="0"/>
              <w:bottom w:val="single" w:color="auto" w:sz="4" w:space="0"/>
              <w:right w:val="single" w:color="auto" w:sz="4" w:space="0"/>
            </w:tcBorders>
            <w:vAlign w:val="center"/>
          </w:tcPr>
          <w:p>
            <w:pPr>
              <w:rPr>
                <w:rFonts w:hint="eastAsia" w:ascii="楷体_GB2312" w:hAnsi="楷体_GB2312" w:eastAsia="楷体_GB2312" w:cs="楷体_GB2312"/>
                <w:color w:val="auto"/>
              </w:rPr>
            </w:pPr>
          </w:p>
        </w:tc>
        <w:tc>
          <w:tcPr>
            <w:tcW w:w="709" w:type="dxa"/>
            <w:vMerge w:val="continue"/>
            <w:tcBorders>
              <w:top w:val="nil"/>
              <w:left w:val="single" w:color="auto" w:sz="4" w:space="0"/>
              <w:bottom w:val="single" w:color="auto" w:sz="4" w:space="0"/>
              <w:right w:val="single" w:color="auto" w:sz="4" w:space="0"/>
            </w:tcBorders>
            <w:vAlign w:val="center"/>
          </w:tcPr>
          <w:p>
            <w:pPr>
              <w:rPr>
                <w:rFonts w:hint="eastAsia" w:ascii="楷体_GB2312" w:hAnsi="楷体_GB2312" w:eastAsia="楷体_GB2312" w:cs="楷体_GB2312"/>
                <w:color w:val="auto"/>
              </w:rPr>
            </w:pPr>
          </w:p>
        </w:tc>
        <w:tc>
          <w:tcPr>
            <w:tcW w:w="974" w:type="dxa"/>
            <w:vMerge w:val="continue"/>
            <w:tcBorders>
              <w:top w:val="nil"/>
              <w:left w:val="single" w:color="auto" w:sz="4" w:space="0"/>
              <w:bottom w:val="single" w:color="auto" w:sz="4" w:space="0"/>
              <w:right w:val="single" w:color="auto" w:sz="4" w:space="0"/>
            </w:tcBorders>
            <w:vAlign w:val="center"/>
          </w:tcPr>
          <w:p>
            <w:pPr>
              <w:rPr>
                <w:rFonts w:hint="eastAsia" w:ascii="楷体_GB2312" w:hAnsi="楷体_GB2312" w:eastAsia="楷体_GB2312" w:cs="楷体_GB2312"/>
                <w:color w:val="auto"/>
              </w:rPr>
            </w:pPr>
          </w:p>
        </w:tc>
        <w:tc>
          <w:tcPr>
            <w:tcW w:w="1044" w:type="dxa"/>
            <w:vMerge w:val="continue"/>
            <w:tcBorders>
              <w:top w:val="nil"/>
              <w:left w:val="single" w:color="auto" w:sz="4" w:space="0"/>
              <w:bottom w:val="single" w:color="auto" w:sz="4" w:space="0"/>
              <w:right w:val="single" w:color="auto" w:sz="4" w:space="0"/>
            </w:tcBorders>
            <w:vAlign w:val="center"/>
          </w:tcPr>
          <w:p>
            <w:pPr>
              <w:rPr>
                <w:rFonts w:hint="eastAsia" w:ascii="楷体_GB2312" w:hAnsi="楷体_GB2312" w:eastAsia="楷体_GB2312" w:cs="楷体_GB2312"/>
                <w:color w:val="auto"/>
              </w:rPr>
            </w:pPr>
          </w:p>
        </w:tc>
      </w:tr>
      <w:tr>
        <w:tblPrEx>
          <w:tblLayout w:type="fixed"/>
          <w:tblCellMar>
            <w:top w:w="0" w:type="dxa"/>
            <w:left w:w="108" w:type="dxa"/>
            <w:bottom w:w="0" w:type="dxa"/>
            <w:right w:w="108" w:type="dxa"/>
          </w:tblCellMar>
        </w:tblPrEx>
        <w:trPr>
          <w:trHeight w:val="272" w:hRule="atLeast"/>
          <w:jc w:val="center"/>
        </w:trPr>
        <w:tc>
          <w:tcPr>
            <w:tcW w:w="938" w:type="dxa"/>
            <w:vMerge w:val="restart"/>
            <w:tcBorders>
              <w:top w:val="nil"/>
              <w:left w:val="single" w:color="auto" w:sz="4" w:space="0"/>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最小覆土深度（m）</w:t>
            </w:r>
          </w:p>
        </w:tc>
        <w:tc>
          <w:tcPr>
            <w:tcW w:w="681"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人行道下</w:t>
            </w:r>
          </w:p>
        </w:tc>
        <w:tc>
          <w:tcPr>
            <w:tcW w:w="680"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0.5</w:t>
            </w:r>
          </w:p>
        </w:tc>
        <w:tc>
          <w:tcPr>
            <w:tcW w:w="681"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0.4</w:t>
            </w:r>
          </w:p>
        </w:tc>
        <w:tc>
          <w:tcPr>
            <w:tcW w:w="544"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0.7</w:t>
            </w:r>
          </w:p>
        </w:tc>
        <w:tc>
          <w:tcPr>
            <w:tcW w:w="679"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0.4</w:t>
            </w:r>
          </w:p>
        </w:tc>
        <w:tc>
          <w:tcPr>
            <w:tcW w:w="544"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0.5</w:t>
            </w:r>
          </w:p>
        </w:tc>
        <w:tc>
          <w:tcPr>
            <w:tcW w:w="609"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0.2</w:t>
            </w:r>
          </w:p>
        </w:tc>
        <w:tc>
          <w:tcPr>
            <w:tcW w:w="682"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0.6</w:t>
            </w:r>
          </w:p>
        </w:tc>
        <w:tc>
          <w:tcPr>
            <w:tcW w:w="709"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0.6</w:t>
            </w:r>
          </w:p>
        </w:tc>
        <w:tc>
          <w:tcPr>
            <w:tcW w:w="974"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0.6</w:t>
            </w:r>
          </w:p>
        </w:tc>
        <w:tc>
          <w:tcPr>
            <w:tcW w:w="1044"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0.6</w:t>
            </w:r>
          </w:p>
        </w:tc>
      </w:tr>
      <w:tr>
        <w:tblPrEx>
          <w:tblLayout w:type="fixed"/>
          <w:tblCellMar>
            <w:top w:w="0" w:type="dxa"/>
            <w:left w:w="108" w:type="dxa"/>
            <w:bottom w:w="0" w:type="dxa"/>
            <w:right w:w="108" w:type="dxa"/>
          </w:tblCellMar>
        </w:tblPrEx>
        <w:trPr>
          <w:trHeight w:val="272" w:hRule="atLeast"/>
          <w:jc w:val="center"/>
        </w:trPr>
        <w:tc>
          <w:tcPr>
            <w:tcW w:w="938" w:type="dxa"/>
            <w:vMerge w:val="continue"/>
            <w:tcBorders>
              <w:top w:val="nil"/>
              <w:left w:val="single" w:color="auto" w:sz="4" w:space="0"/>
              <w:bottom w:val="single" w:color="auto" w:sz="4" w:space="0"/>
              <w:right w:val="single" w:color="auto" w:sz="4" w:space="0"/>
            </w:tcBorders>
            <w:vAlign w:val="center"/>
          </w:tcPr>
          <w:p>
            <w:pPr>
              <w:rPr>
                <w:rFonts w:hint="eastAsia" w:ascii="楷体_GB2312" w:hAnsi="楷体_GB2312" w:eastAsia="楷体_GB2312" w:cs="楷体_GB2312"/>
                <w:color w:val="auto"/>
              </w:rPr>
            </w:pPr>
          </w:p>
        </w:tc>
        <w:tc>
          <w:tcPr>
            <w:tcW w:w="681"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车行道下</w:t>
            </w:r>
          </w:p>
        </w:tc>
        <w:tc>
          <w:tcPr>
            <w:tcW w:w="680"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0.7</w:t>
            </w:r>
          </w:p>
        </w:tc>
        <w:tc>
          <w:tcPr>
            <w:tcW w:w="681"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0.5</w:t>
            </w:r>
          </w:p>
        </w:tc>
        <w:tc>
          <w:tcPr>
            <w:tcW w:w="544"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0.8</w:t>
            </w:r>
          </w:p>
        </w:tc>
        <w:tc>
          <w:tcPr>
            <w:tcW w:w="679"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0.7</w:t>
            </w:r>
          </w:p>
        </w:tc>
        <w:tc>
          <w:tcPr>
            <w:tcW w:w="544"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0.7</w:t>
            </w:r>
          </w:p>
        </w:tc>
        <w:tc>
          <w:tcPr>
            <w:tcW w:w="609"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0.2</w:t>
            </w:r>
          </w:p>
        </w:tc>
        <w:tc>
          <w:tcPr>
            <w:tcW w:w="682"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0.9</w:t>
            </w:r>
          </w:p>
        </w:tc>
        <w:tc>
          <w:tcPr>
            <w:tcW w:w="709"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0.8</w:t>
            </w:r>
          </w:p>
        </w:tc>
        <w:tc>
          <w:tcPr>
            <w:tcW w:w="974"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0.7</w:t>
            </w:r>
          </w:p>
        </w:tc>
        <w:tc>
          <w:tcPr>
            <w:tcW w:w="1044" w:type="dxa"/>
            <w:tcBorders>
              <w:top w:val="nil"/>
              <w:left w:val="nil"/>
              <w:bottom w:val="single" w:color="auto" w:sz="4" w:space="0"/>
              <w:right w:val="single" w:color="auto" w:sz="4" w:space="0"/>
            </w:tcBorders>
            <w:shd w:val="clear" w:color="auto" w:fill="auto"/>
            <w:vAlign w:val="center"/>
          </w:tcPr>
          <w:p>
            <w:pPr>
              <w:rPr>
                <w:rFonts w:hint="eastAsia" w:ascii="楷体_GB2312" w:hAnsi="楷体_GB2312" w:eastAsia="楷体_GB2312" w:cs="楷体_GB2312"/>
                <w:color w:val="auto"/>
              </w:rPr>
            </w:pPr>
            <w:r>
              <w:rPr>
                <w:rFonts w:hint="eastAsia" w:ascii="楷体_GB2312" w:hAnsi="楷体_GB2312" w:eastAsia="楷体_GB2312" w:cs="楷体_GB2312"/>
                <w:color w:val="auto"/>
              </w:rPr>
              <w:t>0.7</w:t>
            </w:r>
          </w:p>
        </w:tc>
      </w:tr>
    </w:tbl>
    <w:p>
      <w:pPr>
        <w:spacing w:line="360" w:lineRule="auto"/>
        <w:ind w:firstLine="482" w:firstLineChars="200"/>
        <w:rPr>
          <w:rFonts w:hint="eastAsia" w:ascii="楷体_GB2312" w:hAnsi="楷体_GB2312" w:eastAsia="楷体_GB2312" w:cs="楷体_GB2312"/>
          <w:b/>
          <w:bCs/>
          <w:color w:val="auto"/>
          <w:sz w:val="24"/>
          <w:szCs w:val="32"/>
        </w:rPr>
      </w:pPr>
    </w:p>
    <w:p>
      <w:pPr>
        <w:spacing w:line="360" w:lineRule="auto"/>
        <w:ind w:firstLine="482" w:firstLineChars="200"/>
        <w:rPr>
          <w:rFonts w:hint="eastAsia" w:ascii="楷体_GB2312" w:hAnsi="楷体_GB2312" w:eastAsia="楷体_GB2312" w:cs="楷体_GB2312"/>
          <w:b/>
          <w:bCs/>
          <w:color w:val="auto"/>
          <w:sz w:val="24"/>
          <w:szCs w:val="32"/>
        </w:rPr>
      </w:pPr>
      <w:r>
        <w:rPr>
          <w:rFonts w:hint="eastAsia" w:ascii="楷体_GB2312" w:hAnsi="楷体_GB2312" w:eastAsia="楷体_GB2312" w:cs="楷体_GB2312"/>
          <w:b/>
          <w:bCs/>
          <w:color w:val="auto"/>
          <w:sz w:val="24"/>
          <w:szCs w:val="32"/>
        </w:rPr>
        <w:t>3. 管线交叉的间距</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地下管线在交叉点的高程应根据重力流排水管线的高程确定，交叉时的最小垂直净距，应满足下表要求。</w:t>
      </w:r>
    </w:p>
    <w:p>
      <w:pPr>
        <w:spacing w:line="360" w:lineRule="auto"/>
        <w:ind w:firstLine="422" w:firstLineChars="20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br w:type="page"/>
      </w:r>
    </w:p>
    <w:p>
      <w:pPr>
        <w:spacing w:line="360" w:lineRule="auto"/>
        <w:ind w:firstLine="422" w:firstLineChars="20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地下管线交叉时的最小垂直净距（m）</w:t>
      </w:r>
    </w:p>
    <w:tbl>
      <w:tblPr>
        <w:tblStyle w:val="21"/>
        <w:tblW w:w="8529" w:type="dxa"/>
        <w:jc w:val="center"/>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506"/>
        <w:gridCol w:w="1450"/>
        <w:gridCol w:w="909"/>
        <w:gridCol w:w="645"/>
        <w:gridCol w:w="1134"/>
        <w:gridCol w:w="709"/>
        <w:gridCol w:w="648"/>
        <w:gridCol w:w="686"/>
        <w:gridCol w:w="616"/>
        <w:gridCol w:w="602"/>
        <w:gridCol w:w="62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506" w:type="dxa"/>
            <w:vMerge w:val="restart"/>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序号</w:t>
            </w:r>
          </w:p>
        </w:tc>
        <w:tc>
          <w:tcPr>
            <w:tcW w:w="2359" w:type="dxa"/>
            <w:gridSpan w:val="2"/>
            <w:vMerge w:val="restart"/>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mc:AlternateContent>
                <mc:Choice Requires="wps">
                  <w:drawing>
                    <wp:anchor distT="0" distB="0" distL="114300" distR="114300" simplePos="0" relativeHeight="263376896" behindDoc="0" locked="0" layoutInCell="1" allowOverlap="1">
                      <wp:simplePos x="0" y="0"/>
                      <wp:positionH relativeFrom="column">
                        <wp:posOffset>337185</wp:posOffset>
                      </wp:positionH>
                      <wp:positionV relativeFrom="paragraph">
                        <wp:posOffset>-5080</wp:posOffset>
                      </wp:positionV>
                      <wp:extent cx="1094105" cy="658495"/>
                      <wp:effectExtent l="2540" t="3810" r="8255" b="4445"/>
                      <wp:wrapNone/>
                      <wp:docPr id="116" name="__TH_L8"/>
                      <wp:cNvGraphicFramePr/>
                      <a:graphic xmlns:a="http://schemas.openxmlformats.org/drawingml/2006/main">
                        <a:graphicData uri="http://schemas.microsoft.com/office/word/2010/wordprocessingShape">
                          <wps:wsp>
                            <wps:cNvCnPr/>
                            <wps:spPr bwMode="auto">
                              <a:xfrm>
                                <a:off x="0" y="0"/>
                                <a:ext cx="1094105" cy="658495"/>
                              </a:xfrm>
                              <a:prstGeom prst="line">
                                <a:avLst/>
                              </a:prstGeom>
                              <a:noFill/>
                              <a:ln w="6350">
                                <a:solidFill>
                                  <a:srgbClr val="000000"/>
                                </a:solidFill>
                                <a:round/>
                              </a:ln>
                            </wps:spPr>
                            <wps:bodyPr/>
                          </wps:wsp>
                        </a:graphicData>
                      </a:graphic>
                    </wp:anchor>
                  </w:drawing>
                </mc:Choice>
                <mc:Fallback>
                  <w:pict>
                    <v:line id="__TH_L8" o:spid="_x0000_s1026" o:spt="20" style="position:absolute;left:0pt;margin-left:26.55pt;margin-top:-0.4pt;height:51.85pt;width:86.15pt;z-index:263376896;mso-width-relative:page;mso-height-relative:page;" filled="f" stroked="t" coordsize="21600,21600" o:gfxdata="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">
                      <v:fill on="f" focussize="0,0"/>
                      <v:stroke weight="0.5pt" color="#000000" joinstyle="round"/>
                      <v:imagedata o:title=""/>
                      <o:lock v:ext="edit" aspectratio="f"/>
                    </v:line>
                  </w:pict>
                </mc:Fallback>
              </mc:AlternateContent>
            </w:r>
            <w:r>
              <w:rPr>
                <w:rFonts w:hint="eastAsia" w:ascii="楷体_GB2312" w:hAnsi="楷体_GB2312" w:eastAsia="楷体_GB2312" w:cs="楷体_GB2312"/>
                <w:b/>
                <w:color w:val="auto"/>
                <w:sz w:val="18"/>
                <w:szCs w:val="18"/>
              </w:rPr>
              <w:t xml:space="preserve">       下面的管线名称 </w:t>
            </w:r>
          </w:p>
          <w:p>
            <w:pPr>
              <w:ind w:firstLine="452" w:firstLineChars="250"/>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mc:AlternateContent>
                <mc:Choice Requires="wps">
                  <w:drawing>
                    <wp:anchor distT="0" distB="0" distL="114300" distR="114300" simplePos="0" relativeHeight="263377920" behindDoc="0" locked="0" layoutInCell="1" allowOverlap="1">
                      <wp:simplePos x="0" y="0"/>
                      <wp:positionH relativeFrom="column">
                        <wp:posOffset>-25400</wp:posOffset>
                      </wp:positionH>
                      <wp:positionV relativeFrom="paragraph">
                        <wp:posOffset>-5715</wp:posOffset>
                      </wp:positionV>
                      <wp:extent cx="1466850" cy="509905"/>
                      <wp:effectExtent l="1270" t="4445" r="17780" b="19050"/>
                      <wp:wrapNone/>
                      <wp:docPr id="117" name="__TH_L9"/>
                      <wp:cNvGraphicFramePr/>
                      <a:graphic xmlns:a="http://schemas.openxmlformats.org/drawingml/2006/main">
                        <a:graphicData uri="http://schemas.microsoft.com/office/word/2010/wordprocessingShape">
                          <wps:wsp>
                            <wps:cNvCnPr/>
                            <wps:spPr bwMode="auto">
                              <a:xfrm>
                                <a:off x="0" y="0"/>
                                <a:ext cx="1466850" cy="509905"/>
                              </a:xfrm>
                              <a:prstGeom prst="line">
                                <a:avLst/>
                              </a:prstGeom>
                              <a:noFill/>
                              <a:ln w="6350">
                                <a:solidFill>
                                  <a:srgbClr val="000000"/>
                                </a:solidFill>
                                <a:round/>
                              </a:ln>
                            </wps:spPr>
                            <wps:bodyPr/>
                          </wps:wsp>
                        </a:graphicData>
                      </a:graphic>
                    </wp:anchor>
                  </w:drawing>
                </mc:Choice>
                <mc:Fallback>
                  <w:pict>
                    <v:line id="__TH_L9" o:spid="_x0000_s1026" o:spt="20" style="position:absolute;left:0pt;margin-left:-2pt;margin-top:-0.45pt;height:40.15pt;width:115.5pt;z-index:263377920;mso-width-relative:page;mso-height-relative:page;" filled="f" stroked="t" coordsize="21600,21600" o:gfxdata="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">
                      <v:fill on="f" focussize="0,0"/>
                      <v:stroke weight="0.5pt" color="#000000" joinstyle="round"/>
                      <v:imagedata o:title=""/>
                      <o:lock v:ext="edit" aspectratio="f"/>
                    </v:line>
                  </w:pict>
                </mc:Fallback>
              </mc:AlternateContent>
            </w:r>
            <w:r>
              <w:rPr>
                <w:rFonts w:hint="eastAsia" w:ascii="楷体_GB2312" w:hAnsi="楷体_GB2312" w:eastAsia="楷体_GB2312" w:cs="楷体_GB2312"/>
                <w:b/>
                <w:color w:val="auto"/>
                <w:sz w:val="18"/>
                <w:szCs w:val="18"/>
              </w:rPr>
              <w:t>净距（m）</w:t>
            </w:r>
          </w:p>
          <w:p>
            <w:pPr>
              <w:rPr>
                <w:rFonts w:hint="eastAsia" w:ascii="楷体_GB2312" w:hAnsi="楷体_GB2312" w:eastAsia="楷体_GB2312" w:cs="楷体_GB2312"/>
                <w:b/>
                <w:color w:val="auto"/>
                <w:sz w:val="18"/>
                <w:szCs w:val="18"/>
              </w:rPr>
            </w:pPr>
          </w:p>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上面的管线名称</w:t>
            </w:r>
          </w:p>
        </w:tc>
        <w:tc>
          <w:tcPr>
            <w:tcW w:w="645" w:type="dxa"/>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1</w:t>
            </w:r>
          </w:p>
        </w:tc>
        <w:tc>
          <w:tcPr>
            <w:tcW w:w="1134" w:type="dxa"/>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2</w:t>
            </w:r>
          </w:p>
        </w:tc>
        <w:tc>
          <w:tcPr>
            <w:tcW w:w="709" w:type="dxa"/>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3</w:t>
            </w:r>
          </w:p>
        </w:tc>
        <w:tc>
          <w:tcPr>
            <w:tcW w:w="648" w:type="dxa"/>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4</w:t>
            </w:r>
          </w:p>
        </w:tc>
        <w:tc>
          <w:tcPr>
            <w:tcW w:w="1302" w:type="dxa"/>
            <w:gridSpan w:val="2"/>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5</w:t>
            </w:r>
          </w:p>
        </w:tc>
        <w:tc>
          <w:tcPr>
            <w:tcW w:w="1226" w:type="dxa"/>
            <w:gridSpan w:val="2"/>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355" w:hRule="atLeast"/>
          <w:jc w:val="center"/>
        </w:trPr>
        <w:tc>
          <w:tcPr>
            <w:tcW w:w="506" w:type="dxa"/>
            <w:vMerge w:val="continue"/>
            <w:shd w:val="clear" w:color="auto" w:fill="C2D69B" w:themeFill="accent3" w:themeFillTint="99"/>
            <w:vAlign w:val="center"/>
          </w:tcPr>
          <w:p>
            <w:pPr>
              <w:rPr>
                <w:rFonts w:hint="eastAsia" w:ascii="楷体_GB2312" w:hAnsi="楷体_GB2312" w:eastAsia="楷体_GB2312" w:cs="楷体_GB2312"/>
                <w:b/>
                <w:color w:val="auto"/>
                <w:sz w:val="18"/>
                <w:szCs w:val="18"/>
              </w:rPr>
            </w:pPr>
          </w:p>
        </w:tc>
        <w:tc>
          <w:tcPr>
            <w:tcW w:w="2359" w:type="dxa"/>
            <w:gridSpan w:val="2"/>
            <w:vMerge w:val="continue"/>
            <w:shd w:val="clear" w:color="auto" w:fill="C2D69B" w:themeFill="accent3" w:themeFillTint="99"/>
            <w:vAlign w:val="center"/>
          </w:tcPr>
          <w:p>
            <w:pPr>
              <w:rPr>
                <w:rFonts w:hint="eastAsia" w:ascii="楷体_GB2312" w:hAnsi="楷体_GB2312" w:eastAsia="楷体_GB2312" w:cs="楷体_GB2312"/>
                <w:b/>
                <w:color w:val="auto"/>
                <w:sz w:val="18"/>
                <w:szCs w:val="18"/>
              </w:rPr>
            </w:pPr>
          </w:p>
        </w:tc>
        <w:tc>
          <w:tcPr>
            <w:tcW w:w="645" w:type="dxa"/>
            <w:vMerge w:val="restart"/>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给水管现</w:t>
            </w:r>
          </w:p>
        </w:tc>
        <w:tc>
          <w:tcPr>
            <w:tcW w:w="1134" w:type="dxa"/>
            <w:vMerge w:val="restart"/>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污水雨水</w:t>
            </w:r>
          </w:p>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排水管线</w:t>
            </w:r>
          </w:p>
        </w:tc>
        <w:tc>
          <w:tcPr>
            <w:tcW w:w="709" w:type="dxa"/>
            <w:vMerge w:val="restart"/>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热力管线</w:t>
            </w:r>
          </w:p>
        </w:tc>
        <w:tc>
          <w:tcPr>
            <w:tcW w:w="648" w:type="dxa"/>
            <w:vMerge w:val="restart"/>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燃气管线</w:t>
            </w:r>
          </w:p>
        </w:tc>
        <w:tc>
          <w:tcPr>
            <w:tcW w:w="1302" w:type="dxa"/>
            <w:gridSpan w:val="2"/>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电信电缆</w:t>
            </w:r>
          </w:p>
        </w:tc>
        <w:tc>
          <w:tcPr>
            <w:tcW w:w="1226" w:type="dxa"/>
            <w:gridSpan w:val="2"/>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电力电缆</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348" w:hRule="atLeast"/>
          <w:jc w:val="center"/>
        </w:trPr>
        <w:tc>
          <w:tcPr>
            <w:tcW w:w="506" w:type="dxa"/>
            <w:vMerge w:val="continue"/>
            <w:shd w:val="clear" w:color="auto" w:fill="C2D69B" w:themeFill="accent3" w:themeFillTint="99"/>
            <w:vAlign w:val="center"/>
          </w:tcPr>
          <w:p>
            <w:pPr>
              <w:rPr>
                <w:rFonts w:hint="eastAsia" w:ascii="楷体_GB2312" w:hAnsi="楷体_GB2312" w:eastAsia="楷体_GB2312" w:cs="楷体_GB2312"/>
                <w:b/>
                <w:color w:val="auto"/>
                <w:sz w:val="18"/>
                <w:szCs w:val="18"/>
              </w:rPr>
            </w:pPr>
          </w:p>
        </w:tc>
        <w:tc>
          <w:tcPr>
            <w:tcW w:w="2359" w:type="dxa"/>
            <w:gridSpan w:val="2"/>
            <w:vMerge w:val="continue"/>
            <w:shd w:val="clear" w:color="auto" w:fill="C2D69B" w:themeFill="accent3" w:themeFillTint="99"/>
            <w:vAlign w:val="center"/>
          </w:tcPr>
          <w:p>
            <w:pPr>
              <w:rPr>
                <w:rFonts w:hint="eastAsia" w:ascii="楷体_GB2312" w:hAnsi="楷体_GB2312" w:eastAsia="楷体_GB2312" w:cs="楷体_GB2312"/>
                <w:b/>
                <w:color w:val="auto"/>
                <w:sz w:val="18"/>
                <w:szCs w:val="18"/>
              </w:rPr>
            </w:pPr>
          </w:p>
        </w:tc>
        <w:tc>
          <w:tcPr>
            <w:tcW w:w="645" w:type="dxa"/>
            <w:vMerge w:val="continue"/>
            <w:shd w:val="clear" w:color="auto" w:fill="C2D69B" w:themeFill="accent3" w:themeFillTint="99"/>
            <w:vAlign w:val="center"/>
          </w:tcPr>
          <w:p>
            <w:pPr>
              <w:rPr>
                <w:rFonts w:hint="eastAsia" w:ascii="楷体_GB2312" w:hAnsi="楷体_GB2312" w:eastAsia="楷体_GB2312" w:cs="楷体_GB2312"/>
                <w:b/>
                <w:color w:val="auto"/>
                <w:sz w:val="18"/>
                <w:szCs w:val="18"/>
              </w:rPr>
            </w:pPr>
          </w:p>
        </w:tc>
        <w:tc>
          <w:tcPr>
            <w:tcW w:w="1134" w:type="dxa"/>
            <w:vMerge w:val="continue"/>
            <w:shd w:val="clear" w:color="auto" w:fill="C2D69B" w:themeFill="accent3" w:themeFillTint="99"/>
            <w:vAlign w:val="center"/>
          </w:tcPr>
          <w:p>
            <w:pPr>
              <w:rPr>
                <w:rFonts w:hint="eastAsia" w:ascii="楷体_GB2312" w:hAnsi="楷体_GB2312" w:eastAsia="楷体_GB2312" w:cs="楷体_GB2312"/>
                <w:b/>
                <w:color w:val="auto"/>
                <w:sz w:val="18"/>
                <w:szCs w:val="18"/>
              </w:rPr>
            </w:pPr>
          </w:p>
        </w:tc>
        <w:tc>
          <w:tcPr>
            <w:tcW w:w="709" w:type="dxa"/>
            <w:vMerge w:val="continue"/>
            <w:shd w:val="clear" w:color="auto" w:fill="C2D69B" w:themeFill="accent3" w:themeFillTint="99"/>
            <w:vAlign w:val="center"/>
          </w:tcPr>
          <w:p>
            <w:pPr>
              <w:rPr>
                <w:rFonts w:hint="eastAsia" w:ascii="楷体_GB2312" w:hAnsi="楷体_GB2312" w:eastAsia="楷体_GB2312" w:cs="楷体_GB2312"/>
                <w:b/>
                <w:color w:val="auto"/>
                <w:sz w:val="18"/>
                <w:szCs w:val="18"/>
              </w:rPr>
            </w:pPr>
          </w:p>
        </w:tc>
        <w:tc>
          <w:tcPr>
            <w:tcW w:w="648" w:type="dxa"/>
            <w:vMerge w:val="continue"/>
            <w:shd w:val="clear" w:color="auto" w:fill="C2D69B" w:themeFill="accent3" w:themeFillTint="99"/>
            <w:vAlign w:val="center"/>
          </w:tcPr>
          <w:p>
            <w:pPr>
              <w:rPr>
                <w:rFonts w:hint="eastAsia" w:ascii="楷体_GB2312" w:hAnsi="楷体_GB2312" w:eastAsia="楷体_GB2312" w:cs="楷体_GB2312"/>
                <w:b/>
                <w:color w:val="auto"/>
                <w:sz w:val="18"/>
                <w:szCs w:val="18"/>
              </w:rPr>
            </w:pPr>
          </w:p>
        </w:tc>
        <w:tc>
          <w:tcPr>
            <w:tcW w:w="686" w:type="dxa"/>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直埋</w:t>
            </w:r>
          </w:p>
        </w:tc>
        <w:tc>
          <w:tcPr>
            <w:tcW w:w="616" w:type="dxa"/>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管块</w:t>
            </w:r>
          </w:p>
        </w:tc>
        <w:tc>
          <w:tcPr>
            <w:tcW w:w="602" w:type="dxa"/>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直埋</w:t>
            </w:r>
          </w:p>
        </w:tc>
        <w:tc>
          <w:tcPr>
            <w:tcW w:w="624" w:type="dxa"/>
            <w:shd w:val="clear" w:color="auto" w:fill="C2D69B" w:themeFill="accent3" w:themeFillTint="99"/>
            <w:vAlign w:val="center"/>
          </w:tcPr>
          <w:p>
            <w:pP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管沟</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506" w:type="dxa"/>
            <w:shd w:val="clear" w:color="auto" w:fill="auto"/>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w:t>
            </w:r>
          </w:p>
        </w:tc>
        <w:tc>
          <w:tcPr>
            <w:tcW w:w="2359" w:type="dxa"/>
            <w:gridSpan w:val="2"/>
            <w:shd w:val="clear" w:color="auto" w:fill="auto"/>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给水管线</w:t>
            </w:r>
          </w:p>
        </w:tc>
        <w:tc>
          <w:tcPr>
            <w:tcW w:w="645"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1134" w:type="dxa"/>
            <w:shd w:val="clear" w:color="auto" w:fill="auto"/>
            <w:vAlign w:val="center"/>
          </w:tcPr>
          <w:p>
            <w:pPr>
              <w:rPr>
                <w:rFonts w:hint="eastAsia" w:ascii="楷体_GB2312" w:hAnsi="楷体_GB2312" w:eastAsia="楷体_GB2312" w:cs="楷体_GB2312"/>
                <w:color w:val="auto"/>
                <w:sz w:val="18"/>
                <w:szCs w:val="18"/>
              </w:rPr>
            </w:pPr>
          </w:p>
        </w:tc>
        <w:tc>
          <w:tcPr>
            <w:tcW w:w="709" w:type="dxa"/>
            <w:shd w:val="clear" w:color="auto" w:fill="auto"/>
            <w:vAlign w:val="center"/>
          </w:tcPr>
          <w:p>
            <w:pPr>
              <w:rPr>
                <w:rFonts w:hint="eastAsia" w:ascii="楷体_GB2312" w:hAnsi="楷体_GB2312" w:eastAsia="楷体_GB2312" w:cs="楷体_GB2312"/>
                <w:color w:val="auto"/>
                <w:sz w:val="18"/>
                <w:szCs w:val="18"/>
              </w:rPr>
            </w:pPr>
          </w:p>
        </w:tc>
        <w:tc>
          <w:tcPr>
            <w:tcW w:w="648" w:type="dxa"/>
            <w:shd w:val="clear" w:color="auto" w:fill="auto"/>
            <w:vAlign w:val="center"/>
          </w:tcPr>
          <w:p>
            <w:pPr>
              <w:rPr>
                <w:rFonts w:hint="eastAsia" w:ascii="楷体_GB2312" w:hAnsi="楷体_GB2312" w:eastAsia="楷体_GB2312" w:cs="楷体_GB2312"/>
                <w:color w:val="auto"/>
                <w:sz w:val="18"/>
                <w:szCs w:val="18"/>
              </w:rPr>
            </w:pPr>
          </w:p>
        </w:tc>
        <w:tc>
          <w:tcPr>
            <w:tcW w:w="686" w:type="dxa"/>
            <w:shd w:val="clear" w:color="auto" w:fill="auto"/>
            <w:vAlign w:val="center"/>
          </w:tcPr>
          <w:p>
            <w:pPr>
              <w:rPr>
                <w:rFonts w:hint="eastAsia" w:ascii="楷体_GB2312" w:hAnsi="楷体_GB2312" w:eastAsia="楷体_GB2312" w:cs="楷体_GB2312"/>
                <w:color w:val="auto"/>
                <w:sz w:val="18"/>
                <w:szCs w:val="18"/>
              </w:rPr>
            </w:pPr>
          </w:p>
        </w:tc>
        <w:tc>
          <w:tcPr>
            <w:tcW w:w="616" w:type="dxa"/>
            <w:shd w:val="clear" w:color="auto" w:fill="auto"/>
            <w:vAlign w:val="center"/>
          </w:tcPr>
          <w:p>
            <w:pPr>
              <w:rPr>
                <w:rFonts w:hint="eastAsia" w:ascii="楷体_GB2312" w:hAnsi="楷体_GB2312" w:eastAsia="楷体_GB2312" w:cs="楷体_GB2312"/>
                <w:color w:val="auto"/>
                <w:sz w:val="18"/>
                <w:szCs w:val="18"/>
              </w:rPr>
            </w:pPr>
          </w:p>
        </w:tc>
        <w:tc>
          <w:tcPr>
            <w:tcW w:w="602" w:type="dxa"/>
            <w:shd w:val="clear" w:color="auto" w:fill="auto"/>
            <w:vAlign w:val="center"/>
          </w:tcPr>
          <w:p>
            <w:pPr>
              <w:rPr>
                <w:rFonts w:hint="eastAsia" w:ascii="楷体_GB2312" w:hAnsi="楷体_GB2312" w:eastAsia="楷体_GB2312" w:cs="楷体_GB2312"/>
                <w:color w:val="auto"/>
                <w:sz w:val="18"/>
                <w:szCs w:val="18"/>
              </w:rPr>
            </w:pPr>
          </w:p>
        </w:tc>
        <w:tc>
          <w:tcPr>
            <w:tcW w:w="624" w:type="dxa"/>
            <w:shd w:val="clear" w:color="auto" w:fill="auto"/>
            <w:vAlign w:val="center"/>
          </w:tcPr>
          <w:p>
            <w:pPr>
              <w:rPr>
                <w:rFonts w:hint="eastAsia" w:ascii="楷体_GB2312" w:hAnsi="楷体_GB2312" w:eastAsia="楷体_GB2312" w:cs="楷体_GB2312"/>
                <w:color w:val="auto"/>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50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w:t>
            </w:r>
          </w:p>
        </w:tc>
        <w:tc>
          <w:tcPr>
            <w:tcW w:w="2359" w:type="dxa"/>
            <w:gridSpan w:val="2"/>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污水雨水排水管线</w:t>
            </w:r>
          </w:p>
        </w:tc>
        <w:tc>
          <w:tcPr>
            <w:tcW w:w="645"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0.40 </w:t>
            </w:r>
          </w:p>
        </w:tc>
        <w:tc>
          <w:tcPr>
            <w:tcW w:w="113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709" w:type="dxa"/>
            <w:shd w:val="clear" w:color="auto" w:fill="auto"/>
            <w:vAlign w:val="center"/>
          </w:tcPr>
          <w:p>
            <w:pPr>
              <w:rPr>
                <w:rFonts w:hint="eastAsia" w:ascii="楷体_GB2312" w:hAnsi="楷体_GB2312" w:eastAsia="楷体_GB2312" w:cs="楷体_GB2312"/>
                <w:color w:val="auto"/>
                <w:sz w:val="18"/>
                <w:szCs w:val="18"/>
              </w:rPr>
            </w:pPr>
          </w:p>
        </w:tc>
        <w:tc>
          <w:tcPr>
            <w:tcW w:w="648" w:type="dxa"/>
            <w:shd w:val="clear" w:color="auto" w:fill="auto"/>
            <w:vAlign w:val="center"/>
          </w:tcPr>
          <w:p>
            <w:pPr>
              <w:rPr>
                <w:rFonts w:hint="eastAsia" w:ascii="楷体_GB2312" w:hAnsi="楷体_GB2312" w:eastAsia="楷体_GB2312" w:cs="楷体_GB2312"/>
                <w:color w:val="auto"/>
                <w:sz w:val="18"/>
                <w:szCs w:val="18"/>
              </w:rPr>
            </w:pPr>
          </w:p>
        </w:tc>
        <w:tc>
          <w:tcPr>
            <w:tcW w:w="686" w:type="dxa"/>
            <w:shd w:val="clear" w:color="auto" w:fill="auto"/>
            <w:vAlign w:val="center"/>
          </w:tcPr>
          <w:p>
            <w:pPr>
              <w:rPr>
                <w:rFonts w:hint="eastAsia" w:ascii="楷体_GB2312" w:hAnsi="楷体_GB2312" w:eastAsia="楷体_GB2312" w:cs="楷体_GB2312"/>
                <w:color w:val="auto"/>
                <w:sz w:val="18"/>
                <w:szCs w:val="18"/>
              </w:rPr>
            </w:pPr>
          </w:p>
        </w:tc>
        <w:tc>
          <w:tcPr>
            <w:tcW w:w="616" w:type="dxa"/>
            <w:shd w:val="clear" w:color="auto" w:fill="auto"/>
            <w:vAlign w:val="center"/>
          </w:tcPr>
          <w:p>
            <w:pPr>
              <w:rPr>
                <w:rFonts w:hint="eastAsia" w:ascii="楷体_GB2312" w:hAnsi="楷体_GB2312" w:eastAsia="楷体_GB2312" w:cs="楷体_GB2312"/>
                <w:color w:val="auto"/>
                <w:sz w:val="18"/>
                <w:szCs w:val="18"/>
              </w:rPr>
            </w:pPr>
          </w:p>
        </w:tc>
        <w:tc>
          <w:tcPr>
            <w:tcW w:w="602" w:type="dxa"/>
            <w:shd w:val="clear" w:color="auto" w:fill="auto"/>
            <w:vAlign w:val="center"/>
          </w:tcPr>
          <w:p>
            <w:pPr>
              <w:rPr>
                <w:rFonts w:hint="eastAsia" w:ascii="楷体_GB2312" w:hAnsi="楷体_GB2312" w:eastAsia="楷体_GB2312" w:cs="楷体_GB2312"/>
                <w:color w:val="auto"/>
                <w:sz w:val="18"/>
                <w:szCs w:val="18"/>
              </w:rPr>
            </w:pPr>
          </w:p>
        </w:tc>
        <w:tc>
          <w:tcPr>
            <w:tcW w:w="624" w:type="dxa"/>
            <w:shd w:val="clear" w:color="auto" w:fill="auto"/>
            <w:vAlign w:val="center"/>
          </w:tcPr>
          <w:p>
            <w:pPr>
              <w:rPr>
                <w:rFonts w:hint="eastAsia" w:ascii="楷体_GB2312" w:hAnsi="楷体_GB2312" w:eastAsia="楷体_GB2312" w:cs="楷体_GB2312"/>
                <w:color w:val="auto"/>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50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3</w:t>
            </w:r>
          </w:p>
        </w:tc>
        <w:tc>
          <w:tcPr>
            <w:tcW w:w="2359" w:type="dxa"/>
            <w:gridSpan w:val="2"/>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热力管线</w:t>
            </w:r>
          </w:p>
        </w:tc>
        <w:tc>
          <w:tcPr>
            <w:tcW w:w="645"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113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709"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648" w:type="dxa"/>
            <w:shd w:val="clear" w:color="auto" w:fill="auto"/>
            <w:vAlign w:val="center"/>
          </w:tcPr>
          <w:p>
            <w:pPr>
              <w:rPr>
                <w:rFonts w:hint="eastAsia" w:ascii="楷体_GB2312" w:hAnsi="楷体_GB2312" w:eastAsia="楷体_GB2312" w:cs="楷体_GB2312"/>
                <w:color w:val="auto"/>
                <w:sz w:val="18"/>
                <w:szCs w:val="18"/>
              </w:rPr>
            </w:pPr>
          </w:p>
        </w:tc>
        <w:tc>
          <w:tcPr>
            <w:tcW w:w="686" w:type="dxa"/>
            <w:shd w:val="clear" w:color="auto" w:fill="auto"/>
            <w:vAlign w:val="center"/>
          </w:tcPr>
          <w:p>
            <w:pPr>
              <w:rPr>
                <w:rFonts w:hint="eastAsia" w:ascii="楷体_GB2312" w:hAnsi="楷体_GB2312" w:eastAsia="楷体_GB2312" w:cs="楷体_GB2312"/>
                <w:color w:val="auto"/>
                <w:sz w:val="18"/>
                <w:szCs w:val="18"/>
              </w:rPr>
            </w:pPr>
          </w:p>
        </w:tc>
        <w:tc>
          <w:tcPr>
            <w:tcW w:w="616" w:type="dxa"/>
            <w:shd w:val="clear" w:color="auto" w:fill="auto"/>
            <w:vAlign w:val="center"/>
          </w:tcPr>
          <w:p>
            <w:pPr>
              <w:rPr>
                <w:rFonts w:hint="eastAsia" w:ascii="楷体_GB2312" w:hAnsi="楷体_GB2312" w:eastAsia="楷体_GB2312" w:cs="楷体_GB2312"/>
                <w:color w:val="auto"/>
                <w:sz w:val="18"/>
                <w:szCs w:val="18"/>
              </w:rPr>
            </w:pPr>
          </w:p>
        </w:tc>
        <w:tc>
          <w:tcPr>
            <w:tcW w:w="602" w:type="dxa"/>
            <w:shd w:val="clear" w:color="auto" w:fill="auto"/>
            <w:vAlign w:val="center"/>
          </w:tcPr>
          <w:p>
            <w:pPr>
              <w:rPr>
                <w:rFonts w:hint="eastAsia" w:ascii="楷体_GB2312" w:hAnsi="楷体_GB2312" w:eastAsia="楷体_GB2312" w:cs="楷体_GB2312"/>
                <w:color w:val="auto"/>
                <w:sz w:val="18"/>
                <w:szCs w:val="18"/>
              </w:rPr>
            </w:pPr>
          </w:p>
        </w:tc>
        <w:tc>
          <w:tcPr>
            <w:tcW w:w="624" w:type="dxa"/>
            <w:shd w:val="clear" w:color="auto" w:fill="auto"/>
            <w:vAlign w:val="center"/>
          </w:tcPr>
          <w:p>
            <w:pPr>
              <w:rPr>
                <w:rFonts w:hint="eastAsia" w:ascii="楷体_GB2312" w:hAnsi="楷体_GB2312" w:eastAsia="楷体_GB2312" w:cs="楷体_GB2312"/>
                <w:color w:val="auto"/>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50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w:t>
            </w:r>
          </w:p>
        </w:tc>
        <w:tc>
          <w:tcPr>
            <w:tcW w:w="2359" w:type="dxa"/>
            <w:gridSpan w:val="2"/>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燃气管线</w:t>
            </w:r>
          </w:p>
        </w:tc>
        <w:tc>
          <w:tcPr>
            <w:tcW w:w="645"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113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709"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648"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686" w:type="dxa"/>
            <w:shd w:val="clear" w:color="auto" w:fill="auto"/>
            <w:vAlign w:val="center"/>
          </w:tcPr>
          <w:p>
            <w:pPr>
              <w:rPr>
                <w:rFonts w:hint="eastAsia" w:ascii="楷体_GB2312" w:hAnsi="楷体_GB2312" w:eastAsia="楷体_GB2312" w:cs="楷体_GB2312"/>
                <w:color w:val="auto"/>
                <w:sz w:val="18"/>
                <w:szCs w:val="18"/>
              </w:rPr>
            </w:pPr>
          </w:p>
        </w:tc>
        <w:tc>
          <w:tcPr>
            <w:tcW w:w="616" w:type="dxa"/>
            <w:shd w:val="clear" w:color="auto" w:fill="auto"/>
            <w:vAlign w:val="center"/>
          </w:tcPr>
          <w:p>
            <w:pPr>
              <w:rPr>
                <w:rFonts w:hint="eastAsia" w:ascii="楷体_GB2312" w:hAnsi="楷体_GB2312" w:eastAsia="楷体_GB2312" w:cs="楷体_GB2312"/>
                <w:color w:val="auto"/>
                <w:sz w:val="18"/>
                <w:szCs w:val="18"/>
              </w:rPr>
            </w:pPr>
          </w:p>
        </w:tc>
        <w:tc>
          <w:tcPr>
            <w:tcW w:w="602" w:type="dxa"/>
            <w:shd w:val="clear" w:color="auto" w:fill="auto"/>
            <w:vAlign w:val="center"/>
          </w:tcPr>
          <w:p>
            <w:pPr>
              <w:rPr>
                <w:rFonts w:hint="eastAsia" w:ascii="楷体_GB2312" w:hAnsi="楷体_GB2312" w:eastAsia="楷体_GB2312" w:cs="楷体_GB2312"/>
                <w:color w:val="auto"/>
                <w:sz w:val="18"/>
                <w:szCs w:val="18"/>
              </w:rPr>
            </w:pPr>
          </w:p>
        </w:tc>
        <w:tc>
          <w:tcPr>
            <w:tcW w:w="624" w:type="dxa"/>
            <w:shd w:val="clear" w:color="auto" w:fill="auto"/>
            <w:vAlign w:val="center"/>
          </w:tcPr>
          <w:p>
            <w:pPr>
              <w:rPr>
                <w:rFonts w:hint="eastAsia" w:ascii="楷体_GB2312" w:hAnsi="楷体_GB2312" w:eastAsia="楷体_GB2312" w:cs="楷体_GB2312"/>
                <w:color w:val="auto"/>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506" w:type="dxa"/>
            <w:vMerge w:val="restart"/>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5</w:t>
            </w:r>
          </w:p>
        </w:tc>
        <w:tc>
          <w:tcPr>
            <w:tcW w:w="1450" w:type="dxa"/>
            <w:vMerge w:val="restart"/>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电信管线</w:t>
            </w:r>
          </w:p>
        </w:tc>
        <w:tc>
          <w:tcPr>
            <w:tcW w:w="909"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直埋</w:t>
            </w:r>
          </w:p>
        </w:tc>
        <w:tc>
          <w:tcPr>
            <w:tcW w:w="645"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113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709"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648"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68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0.25 </w:t>
            </w:r>
          </w:p>
        </w:tc>
        <w:tc>
          <w:tcPr>
            <w:tcW w:w="61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0.25 </w:t>
            </w:r>
          </w:p>
        </w:tc>
        <w:tc>
          <w:tcPr>
            <w:tcW w:w="602" w:type="dxa"/>
            <w:shd w:val="clear" w:color="auto" w:fill="auto"/>
            <w:vAlign w:val="center"/>
          </w:tcPr>
          <w:p>
            <w:pPr>
              <w:rPr>
                <w:rFonts w:hint="eastAsia" w:ascii="楷体_GB2312" w:hAnsi="楷体_GB2312" w:eastAsia="楷体_GB2312" w:cs="楷体_GB2312"/>
                <w:color w:val="auto"/>
                <w:sz w:val="18"/>
                <w:szCs w:val="18"/>
              </w:rPr>
            </w:pPr>
          </w:p>
        </w:tc>
        <w:tc>
          <w:tcPr>
            <w:tcW w:w="624" w:type="dxa"/>
            <w:shd w:val="clear" w:color="auto" w:fill="auto"/>
            <w:vAlign w:val="center"/>
          </w:tcPr>
          <w:p>
            <w:pPr>
              <w:rPr>
                <w:rFonts w:hint="eastAsia" w:ascii="楷体_GB2312" w:hAnsi="楷体_GB2312" w:eastAsia="楷体_GB2312" w:cs="楷体_GB2312"/>
                <w:color w:val="auto"/>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506" w:type="dxa"/>
            <w:vMerge w:val="continue"/>
            <w:vAlign w:val="center"/>
          </w:tcPr>
          <w:p>
            <w:pPr>
              <w:rPr>
                <w:rFonts w:hint="eastAsia" w:ascii="楷体_GB2312" w:hAnsi="楷体_GB2312" w:eastAsia="楷体_GB2312" w:cs="楷体_GB2312"/>
                <w:color w:val="auto"/>
                <w:sz w:val="18"/>
                <w:szCs w:val="18"/>
              </w:rPr>
            </w:pPr>
          </w:p>
        </w:tc>
        <w:tc>
          <w:tcPr>
            <w:tcW w:w="1450" w:type="dxa"/>
            <w:vMerge w:val="continue"/>
            <w:vAlign w:val="center"/>
          </w:tcPr>
          <w:p>
            <w:pPr>
              <w:rPr>
                <w:rFonts w:hint="eastAsia" w:ascii="楷体_GB2312" w:hAnsi="楷体_GB2312" w:eastAsia="楷体_GB2312" w:cs="楷体_GB2312"/>
                <w:color w:val="auto"/>
                <w:sz w:val="18"/>
                <w:szCs w:val="18"/>
              </w:rPr>
            </w:pPr>
          </w:p>
        </w:tc>
        <w:tc>
          <w:tcPr>
            <w:tcW w:w="909"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管块</w:t>
            </w:r>
          </w:p>
        </w:tc>
        <w:tc>
          <w:tcPr>
            <w:tcW w:w="645"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113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709"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648"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68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0.25 </w:t>
            </w:r>
          </w:p>
        </w:tc>
        <w:tc>
          <w:tcPr>
            <w:tcW w:w="61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0.25 </w:t>
            </w:r>
          </w:p>
        </w:tc>
        <w:tc>
          <w:tcPr>
            <w:tcW w:w="602" w:type="dxa"/>
            <w:shd w:val="clear" w:color="auto" w:fill="auto"/>
            <w:vAlign w:val="center"/>
          </w:tcPr>
          <w:p>
            <w:pPr>
              <w:rPr>
                <w:rFonts w:hint="eastAsia" w:ascii="楷体_GB2312" w:hAnsi="楷体_GB2312" w:eastAsia="楷体_GB2312" w:cs="楷体_GB2312"/>
                <w:color w:val="auto"/>
                <w:sz w:val="18"/>
                <w:szCs w:val="18"/>
              </w:rPr>
            </w:pPr>
          </w:p>
        </w:tc>
        <w:tc>
          <w:tcPr>
            <w:tcW w:w="624" w:type="dxa"/>
            <w:shd w:val="clear" w:color="auto" w:fill="auto"/>
            <w:vAlign w:val="center"/>
          </w:tcPr>
          <w:p>
            <w:pPr>
              <w:rPr>
                <w:rFonts w:hint="eastAsia" w:ascii="楷体_GB2312" w:hAnsi="楷体_GB2312" w:eastAsia="楷体_GB2312" w:cs="楷体_GB2312"/>
                <w:color w:val="auto"/>
                <w:sz w:val="18"/>
                <w:szCs w:val="1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506" w:type="dxa"/>
            <w:vMerge w:val="restart"/>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6</w:t>
            </w:r>
          </w:p>
        </w:tc>
        <w:tc>
          <w:tcPr>
            <w:tcW w:w="1450" w:type="dxa"/>
            <w:vMerge w:val="restart"/>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电力管线</w:t>
            </w:r>
          </w:p>
        </w:tc>
        <w:tc>
          <w:tcPr>
            <w:tcW w:w="909"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直埋</w:t>
            </w:r>
          </w:p>
        </w:tc>
        <w:tc>
          <w:tcPr>
            <w:tcW w:w="645"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113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709"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648"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68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61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602"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62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506" w:type="dxa"/>
            <w:vMerge w:val="continue"/>
            <w:vAlign w:val="center"/>
          </w:tcPr>
          <w:p>
            <w:pPr>
              <w:rPr>
                <w:rFonts w:hint="eastAsia" w:ascii="楷体_GB2312" w:hAnsi="楷体_GB2312" w:eastAsia="楷体_GB2312" w:cs="楷体_GB2312"/>
                <w:color w:val="auto"/>
                <w:sz w:val="18"/>
                <w:szCs w:val="18"/>
              </w:rPr>
            </w:pPr>
          </w:p>
        </w:tc>
        <w:tc>
          <w:tcPr>
            <w:tcW w:w="1450" w:type="dxa"/>
            <w:vMerge w:val="continue"/>
            <w:vAlign w:val="center"/>
          </w:tcPr>
          <w:p>
            <w:pPr>
              <w:rPr>
                <w:rFonts w:hint="eastAsia" w:ascii="楷体_GB2312" w:hAnsi="楷体_GB2312" w:eastAsia="楷体_GB2312" w:cs="楷体_GB2312"/>
                <w:color w:val="auto"/>
                <w:sz w:val="18"/>
                <w:szCs w:val="18"/>
              </w:rPr>
            </w:pPr>
          </w:p>
        </w:tc>
        <w:tc>
          <w:tcPr>
            <w:tcW w:w="909"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管沟</w:t>
            </w:r>
          </w:p>
        </w:tc>
        <w:tc>
          <w:tcPr>
            <w:tcW w:w="645"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113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709"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648"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68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61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602"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62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50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7</w:t>
            </w:r>
          </w:p>
        </w:tc>
        <w:tc>
          <w:tcPr>
            <w:tcW w:w="2359" w:type="dxa"/>
            <w:gridSpan w:val="2"/>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沟渠（基础底）</w:t>
            </w:r>
          </w:p>
        </w:tc>
        <w:tc>
          <w:tcPr>
            <w:tcW w:w="645"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113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709"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648"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68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61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602"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62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50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8</w:t>
            </w:r>
          </w:p>
        </w:tc>
        <w:tc>
          <w:tcPr>
            <w:tcW w:w="2359" w:type="dxa"/>
            <w:gridSpan w:val="2"/>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涵洞（基础底）</w:t>
            </w:r>
          </w:p>
        </w:tc>
        <w:tc>
          <w:tcPr>
            <w:tcW w:w="645"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113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709"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648"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0.15 </w:t>
            </w:r>
          </w:p>
        </w:tc>
        <w:tc>
          <w:tcPr>
            <w:tcW w:w="68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0.20 </w:t>
            </w:r>
          </w:p>
        </w:tc>
        <w:tc>
          <w:tcPr>
            <w:tcW w:w="61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0.25 </w:t>
            </w:r>
          </w:p>
        </w:tc>
        <w:tc>
          <w:tcPr>
            <w:tcW w:w="602"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c>
          <w:tcPr>
            <w:tcW w:w="62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0.50 </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50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9</w:t>
            </w:r>
          </w:p>
        </w:tc>
        <w:tc>
          <w:tcPr>
            <w:tcW w:w="2359" w:type="dxa"/>
            <w:gridSpan w:val="2"/>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电车（轨底）</w:t>
            </w:r>
          </w:p>
        </w:tc>
        <w:tc>
          <w:tcPr>
            <w:tcW w:w="645"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1.00 </w:t>
            </w:r>
          </w:p>
        </w:tc>
        <w:tc>
          <w:tcPr>
            <w:tcW w:w="113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1.00 </w:t>
            </w:r>
          </w:p>
        </w:tc>
        <w:tc>
          <w:tcPr>
            <w:tcW w:w="709"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1.00 </w:t>
            </w:r>
          </w:p>
        </w:tc>
        <w:tc>
          <w:tcPr>
            <w:tcW w:w="648"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1.00 </w:t>
            </w:r>
          </w:p>
        </w:tc>
        <w:tc>
          <w:tcPr>
            <w:tcW w:w="68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1.00 </w:t>
            </w:r>
          </w:p>
        </w:tc>
        <w:tc>
          <w:tcPr>
            <w:tcW w:w="61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1.00 </w:t>
            </w:r>
          </w:p>
        </w:tc>
        <w:tc>
          <w:tcPr>
            <w:tcW w:w="602"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1.00 </w:t>
            </w:r>
          </w:p>
        </w:tc>
        <w:tc>
          <w:tcPr>
            <w:tcW w:w="62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1.00 </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Ex>
        <w:trPr>
          <w:trHeight w:val="285" w:hRule="atLeast"/>
          <w:jc w:val="center"/>
        </w:trPr>
        <w:tc>
          <w:tcPr>
            <w:tcW w:w="50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10</w:t>
            </w:r>
          </w:p>
        </w:tc>
        <w:tc>
          <w:tcPr>
            <w:tcW w:w="2359" w:type="dxa"/>
            <w:gridSpan w:val="2"/>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铁路（轨底）</w:t>
            </w:r>
          </w:p>
        </w:tc>
        <w:tc>
          <w:tcPr>
            <w:tcW w:w="645"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1.00 </w:t>
            </w:r>
          </w:p>
        </w:tc>
        <w:tc>
          <w:tcPr>
            <w:tcW w:w="113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1.20 </w:t>
            </w:r>
          </w:p>
        </w:tc>
        <w:tc>
          <w:tcPr>
            <w:tcW w:w="709"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1.20 </w:t>
            </w:r>
          </w:p>
        </w:tc>
        <w:tc>
          <w:tcPr>
            <w:tcW w:w="648"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1.20 </w:t>
            </w:r>
          </w:p>
        </w:tc>
        <w:tc>
          <w:tcPr>
            <w:tcW w:w="68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1.00 </w:t>
            </w:r>
          </w:p>
        </w:tc>
        <w:tc>
          <w:tcPr>
            <w:tcW w:w="616"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1.00 </w:t>
            </w:r>
          </w:p>
        </w:tc>
        <w:tc>
          <w:tcPr>
            <w:tcW w:w="602"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1.00 </w:t>
            </w:r>
          </w:p>
        </w:tc>
        <w:tc>
          <w:tcPr>
            <w:tcW w:w="624" w:type="dxa"/>
            <w:shd w:val="clear" w:color="auto" w:fill="auto"/>
            <w:vAlign w:val="center"/>
          </w:tcPr>
          <w:p>
            <w:pP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 xml:space="preserve">1.00 </w:t>
            </w:r>
          </w:p>
        </w:tc>
      </w:tr>
    </w:tbl>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29" w:name="_Toc495586764"/>
      <w:r>
        <w:rPr>
          <w:rFonts w:hint="eastAsia" w:ascii="楷体_GB2312" w:hAnsi="楷体_GB2312" w:eastAsia="楷体_GB2312" w:cs="楷体_GB2312"/>
          <w:b/>
          <w:color w:val="auto"/>
          <w:sz w:val="24"/>
          <w:szCs w:val="24"/>
        </w:rPr>
        <w:t>5.4.2管线高程控制</w:t>
      </w:r>
      <w:bookmarkEnd w:id="229"/>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一般来说，从上至下管线顺序依次为通信管（沟）、电力管（沟）、燃气管、给水管、雨水管、污水管。</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通信管（沟）、电力管（沟）在主次干路上一般深为0.7米，因此将燃气管、给水管覆土控制在1.4米左右，而将雨水管起点覆土控制在1.6米左右，污水管起点覆土控制在2.0米左右，可在高程上使各管线基本相互错开。具体结合道路、地面高程及已敷设管线断面、管线高程等因素合理进行确定。建设综合管廊的路段，综合管廊的覆土控制不小于2.5米，便于横穿综合管廊的管线穿越。</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30" w:name="_Toc495586765"/>
      <w:r>
        <w:rPr>
          <w:rFonts w:hint="eastAsia" w:ascii="楷体_GB2312" w:hAnsi="楷体_GB2312" w:eastAsia="楷体_GB2312" w:cs="楷体_GB2312"/>
          <w:b/>
          <w:color w:val="auto"/>
          <w:sz w:val="24"/>
          <w:szCs w:val="24"/>
        </w:rPr>
        <w:t>5.4.3管线交叉处理</w:t>
      </w:r>
      <w:bookmarkEnd w:id="230"/>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当工程管线竖向位置发生矛盾时，宜按下列原则进行避让处理：</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压力管线让重力自流管线；可弯曲管线让不可弯曲管线；分支管线让主干管线；小管径管线让大管径管线；临时管线让永久性管线。</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管线在高程上不能满足规范要求时，应采取避让处理。压力管避让重力管：如对于小管径压力管线与重力管线交叉无法避让时，可采用4个45°弯头绕开。若该压力管为供水管且从重力管上方通过而覆土不够时，可采取管道加强处理措施，也可从重力管下方通过，但供水管必须做钢套管以免水质污染。</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重力管相碰无法避让：如雨、污水管线因受各因素制约而无法错开时，则采用交叉井形式，将污水管线直接穿过交叉井，而雨水管线在井中断开。</w:t>
      </w:r>
    </w:p>
    <w:p>
      <w:pPr>
        <w:rPr>
          <w:rFonts w:hint="eastAsia" w:ascii="楷体_GB2312" w:hAnsi="楷体_GB2312" w:eastAsia="楷体_GB2312" w:cs="楷体_GB2312"/>
          <w:color w:val="auto"/>
        </w:rPr>
      </w:pPr>
    </w:p>
    <w:p>
      <w:pPr>
        <w:pStyle w:val="4"/>
        <w:keepNext/>
        <w:keepLines/>
        <w:pageBreakBefore w:val="0"/>
        <w:widowControl w:val="0"/>
        <w:numPr>
          <w:ilvl w:val="0"/>
          <w:numId w:val="0"/>
        </w:numPr>
        <w:tabs>
          <w:tab w:val="left" w:pos="600"/>
          <w:tab w:val="clear" w:pos="1695"/>
        </w:tabs>
        <w:kinsoku/>
        <w:wordWrap/>
        <w:overflowPunct/>
        <w:topLinePunct w:val="0"/>
        <w:autoSpaceDE/>
        <w:autoSpaceDN/>
        <w:bidi w:val="0"/>
        <w:adjustRightInd/>
        <w:snapToGrid/>
        <w:spacing w:before="340" w:after="340" w:line="360" w:lineRule="auto"/>
        <w:ind w:left="0" w:leftChars="0" w:right="0" w:rightChars="0" w:firstLine="0" w:firstLineChars="0"/>
        <w:jc w:val="center"/>
        <w:textAlignment w:val="auto"/>
        <w:outlineLvl w:val="2"/>
        <w:rPr>
          <w:rFonts w:hint="eastAsia" w:ascii="楷体_GB2312" w:hAnsi="楷体_GB2312" w:eastAsia="楷体_GB2312" w:cs="楷体_GB2312"/>
          <w:color w:val="auto"/>
          <w:szCs w:val="32"/>
          <w:lang w:eastAsia="zh-CN"/>
        </w:rPr>
      </w:pPr>
      <w:bookmarkStart w:id="231" w:name="_Toc3960"/>
      <w:bookmarkStart w:id="232" w:name="_Toc24937"/>
      <w:bookmarkStart w:id="233" w:name="_Toc495586766"/>
      <w:r>
        <w:rPr>
          <w:rFonts w:hint="eastAsia" w:ascii="楷体_GB2312" w:hAnsi="楷体_GB2312" w:eastAsia="楷体_GB2312" w:cs="楷体_GB2312"/>
          <w:color w:val="auto"/>
          <w:szCs w:val="32"/>
          <w:lang w:eastAsia="zh-CN"/>
        </w:rPr>
        <w:t>第六章 综合管廊规划</w:t>
      </w:r>
      <w:bookmarkEnd w:id="231"/>
      <w:bookmarkEnd w:id="232"/>
      <w:bookmarkEnd w:id="233"/>
      <w:r>
        <w:rPr>
          <w:rFonts w:hint="eastAsia" w:ascii="楷体_GB2312" w:hAnsi="楷体_GB2312" w:eastAsia="楷体_GB2312" w:cs="楷体_GB2312"/>
          <w:color w:val="auto"/>
          <w:szCs w:val="32"/>
          <w:lang w:eastAsia="zh-CN"/>
        </w:rPr>
        <w:t xml:space="preserve"> </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城市市政公用管线是城市赖以正常运行的生命线，传统的市政公用管线各自为政地敷设在道路的浅层空间内，因管线增容扩容不但造成了“拉链路”现象，而且导致了管线事故频发，极大地影响了城市的安全运行。</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为切实加强城市地下管线建设管理，保障城市安全运行，提高城市综合承载能力和城镇化发展质量，国务院办公厅又发布了“关于加强城市地下管线建设管理的指导意见”（国办发〔2014〕27号），明确指出：（七）稳步推进城市地下综合管廊建设。为推进城市地下综合管廊建设，统筹各类市政管线规划、建设和管理，促进城市集约高效和转型发展，促进经济发展，国务院办公厅近期又发布了“关于推进城市地下综合管廊建设的指导意见”（国办发〔2015〕61号），提出：（一）指导思想。把地下综合管廊建设作为履行政府职能、完善城市基础设施的重要内容，在继续做好试点工程的基础上，总结国内外先进经验和有效做法，逐步提高城市道路配建地下综合管廊的比例，全面推动地下综合管廊建设。（四）编制专项规划。各城市人民政府要按照“先规划、后建设”的原则，在地下管线普查的基础上，统筹各类管线实际发展需要，组织编制地下综合管廊建设规划，规划期限原则上应与城市总体规划相一致。（九）明确入廊要求。城市规划区范围内的各类管线原则上应敷设于地下空间。已建设地下综合管廊的区域，该区域内的所有管线必须入廊。在地下综合管廊以外的位置新建管线的，规划部门不予许可审批，建设部门不予施工许可审批，市政道路部门不予掘路许可审批。既有管线应根据实际情况逐步有序迁移至地下综合管廊。</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2016年4月27日，河南省人民政府办公厅发布了《河南省人民政府办公厅关于推进全省城市地下综合管廊建设的实施意见》（豫政办〔2016〕39号），要求深入推进城市地下综合管廊建设。到2020年，全省力争开工建设城市地下综合管廊1000公里以上。该实施意见同时发布了“2016—2020年全省城市地下综合管廊建设任务分解表”，其中许昌市建设完成综合管廊45公里。</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34" w:name="_Toc2161"/>
      <w:bookmarkStart w:id="235" w:name="_Toc495586767"/>
      <w:r>
        <w:rPr>
          <w:rFonts w:hint="eastAsia" w:ascii="楷体_GB2312" w:hAnsi="楷体_GB2312" w:eastAsia="楷体_GB2312" w:cs="楷体_GB2312"/>
          <w:b/>
          <w:bCs w:val="0"/>
          <w:color w:val="auto"/>
          <w:sz w:val="28"/>
        </w:rPr>
        <w:t>6.1综合管廊概况</w:t>
      </w:r>
      <w:bookmarkEnd w:id="234"/>
      <w:bookmarkEnd w:id="235"/>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36" w:name="_Toc495586768"/>
      <w:r>
        <w:rPr>
          <w:rFonts w:hint="eastAsia" w:ascii="楷体_GB2312" w:hAnsi="楷体_GB2312" w:eastAsia="楷体_GB2312" w:cs="楷体_GB2312"/>
          <w:b/>
          <w:color w:val="auto"/>
          <w:sz w:val="24"/>
          <w:szCs w:val="24"/>
        </w:rPr>
        <w:t>6.1.1综合管廊的定义</w:t>
      </w:r>
      <w:bookmarkEnd w:id="236"/>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综合管廊是指建于城市地下用于容纳两类及以上城市工程管线的构筑物及附属设施。</w:t>
      </w:r>
      <w:r>
        <w:rPr>
          <w:rFonts w:hint="eastAsia" w:ascii="楷体_GB2312" w:hAnsi="楷体_GB2312" w:eastAsia="楷体_GB2312" w:cs="楷体_GB2312"/>
          <w:bCs/>
          <w:color w:val="auto"/>
          <w:sz w:val="24"/>
        </w:rPr>
        <w:t>在城市道路下建造一个市政公用隧道，将电力、通信、供水、燃气等多种市政管线集中于一体的构筑物，</w:t>
      </w:r>
      <w:r>
        <w:rPr>
          <w:rFonts w:hint="eastAsia" w:ascii="楷体_GB2312" w:hAnsi="楷体_GB2312" w:eastAsia="楷体_GB2312" w:cs="楷体_GB2312"/>
          <w:color w:val="auto"/>
          <w:sz w:val="24"/>
        </w:rPr>
        <w:t>设有专门的检修口、吊装口和监测系统，实施统一规划、设计、建设和管理。</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综合管廊在我国有“共同沟、综合管沟、共同管道”等多种称谓，在日本称为“共同沟”，在我国台湾省称为“共同管道”，在欧美等国家多称为“Urban  Municipal Tunnel”。</w:t>
      </w:r>
    </w:p>
    <w:p>
      <w:pPr>
        <w:spacing w:line="360" w:lineRule="auto"/>
        <w:ind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2820670" cy="3847465"/>
            <wp:effectExtent l="0" t="0" r="17780" b="635"/>
            <wp:docPr id="118" name="图片 1" descr="1231344530777_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 descr="1231344530777_000"/>
                    <pic:cNvPicPr>
                      <a:picLocks noChangeAspect="1" noChangeArrowheads="1"/>
                    </pic:cNvPicPr>
                  </pic:nvPicPr>
                  <pic:blipFill>
                    <a:blip r:embed="rId54" cstate="print"/>
                    <a:srcRect/>
                    <a:stretch>
                      <a:fillRect/>
                    </a:stretch>
                  </pic:blipFill>
                  <pic:spPr>
                    <a:xfrm>
                      <a:off x="0" y="0"/>
                      <a:ext cx="2828493" cy="3857696"/>
                    </a:xfrm>
                    <a:prstGeom prst="rect">
                      <a:avLst/>
                    </a:prstGeom>
                    <a:noFill/>
                    <a:ln w="9525">
                      <a:noFill/>
                      <a:miter lim="800000"/>
                      <a:headEnd/>
                      <a:tailEnd/>
                    </a:ln>
                  </pic:spPr>
                </pic:pic>
              </a:graphicData>
            </a:graphic>
          </wp:inline>
        </w:drawing>
      </w:r>
    </w:p>
    <w:p>
      <w:pPr>
        <w:spacing w:line="360" w:lineRule="auto"/>
        <w:ind w:firstLine="48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传统管线与综合管廊比较图</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由于传统直埋管线占用道路下方地下空间较多，同时管线的敷设往往不能和道路的建设同步，造成道路频繁开挖，不但影响了道路的正常通行，同时也带来了噪声和扬尘等环境污染。随着我国经济发展和城市建设步伐的加快，城市对市政管线的需求越来越大，数量越来越多，传统的市政管线敷设方式的灵活性和安全可靠性受到了严峻的挑战。施工破坏地下管线造成的停水、停气、停电以及通信中断事故频发；“拉链路”现象已经成为城市建设的痼疾；排水管道不畅引发道路积水和城市水涝灾害屡见不鲜。频繁发生的城市地下管线事故造成了巨大的经济损失，因而在我国一些经济发达的城市，开始借鉴国外先进的市政管线建设和维护方法，兴建综合管廊工程。</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37" w:name="_Toc495586769"/>
      <w:r>
        <w:rPr>
          <w:rFonts w:hint="eastAsia" w:ascii="楷体_GB2312" w:hAnsi="楷体_GB2312" w:eastAsia="楷体_GB2312" w:cs="楷体_GB2312"/>
          <w:b/>
          <w:color w:val="auto"/>
          <w:sz w:val="24"/>
          <w:szCs w:val="24"/>
        </w:rPr>
        <w:t>6.1.2综合管廊的优势</w:t>
      </w:r>
      <w:bookmarkEnd w:id="237"/>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综合管廊具有恒温性、恒湿性、隔热性、隔音性、遮光性、气密性、陷蔽性、空间性、良好的抗震性和安全性，适合城市的某些特殊需求。综合管廊主要具有以下优点：</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1、避免由于敷设和维修地下管线挖掘道路而对交通和居民出行造成干扰，保持道路的完整和美观。</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2、便于各种工程管线的敷设、增设、维修和管理，降低路面的翻修费用和工程管线的维修费用。</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3、有利于满足市政管网对通道和路径的要求，可较为有效地解决城市发展过程中各类市政管线持续增长的需求。</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4、综合管廊内工程管线布置的紧凑合理，有效利用了道路下的空间，节约了城市用地，并为地下空间开发提供有利条件。</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5、减少道路的杆柱及各工程管线的检查井、室等，保证了城市的景观。</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6、架空管线入地，减少架空管线与绿化的矛盾，节约城市用地。</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7、敷设在综合管廊中的各种工程管线，不直接与土壤、地下水、道路结构层中的酸碱物质接触，可减少管道腐蚀，延长使用寿命，管理和养护也更为方便。</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8、综合管廊的结构具有一定的坚固性，采用综合管廊相当于在管线外增加了一道钢筋混凝土保护层。因此，对工程管线具有较好的保护性能，这在战时及灾害性条件下显得尤为重要。</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38" w:name="_Toc495586770"/>
      <w:r>
        <w:rPr>
          <w:rFonts w:hint="eastAsia" w:ascii="楷体_GB2312" w:hAnsi="楷体_GB2312" w:eastAsia="楷体_GB2312" w:cs="楷体_GB2312"/>
          <w:b/>
          <w:color w:val="auto"/>
          <w:sz w:val="24"/>
          <w:szCs w:val="24"/>
        </w:rPr>
        <w:t>6.1.3综合管廊的类型</w:t>
      </w:r>
      <w:bookmarkEnd w:id="238"/>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综合管廊根据其收容的管线不同，性质及结构亦有所不同，大致可分为主干型综合管廊、次干型综合管廊和支管廊。</w:t>
      </w:r>
    </w:p>
    <w:p>
      <w:pPr>
        <w:widowControl/>
        <w:jc w:val="center"/>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kern w:val="0"/>
          <w:sz w:val="24"/>
        </w:rPr>
        <w:drawing>
          <wp:inline distT="0" distB="0" distL="0" distR="0">
            <wp:extent cx="4412615" cy="1908175"/>
            <wp:effectExtent l="0" t="0" r="6985" b="15875"/>
            <wp:docPr id="119" name="图片 119" descr="C:\Users\Administrator\AppData\Roaming\Tencent\Users\19239677\QQ\WinTemp\RichOle\_F(E@WP[Q6C}E50TT%]]S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C:\Users\Administrator\AppData\Roaming\Tencent\Users\19239677\QQ\WinTemp\RichOle\_F(E@WP[Q6C}E50TT%]]SBE.png"/>
                    <pic:cNvPicPr>
                      <a:picLocks noChangeAspect="1" noChangeArrowheads="1"/>
                    </pic:cNvPicPr>
                  </pic:nvPicPr>
                  <pic:blipFill>
                    <a:blip r:embed="rId55">
                      <a:extLst>
                        <a:ext uri="{28A0092B-C50C-407E-A947-70E740481C1C}">
                          <a14:useLocalDpi xmlns:a14="http://schemas.microsoft.com/office/drawing/2010/main" val="0"/>
                        </a:ext>
                      </a:extLst>
                    </a:blip>
                    <a:srcRect t="-1" b="3226"/>
                    <a:stretch>
                      <a:fillRect/>
                    </a:stretch>
                  </pic:blipFill>
                  <pic:spPr>
                    <a:xfrm>
                      <a:off x="0" y="0"/>
                      <a:ext cx="4421481" cy="1911996"/>
                    </a:xfrm>
                    <a:prstGeom prst="rect">
                      <a:avLst/>
                    </a:prstGeom>
                    <a:noFill/>
                    <a:ln>
                      <a:noFill/>
                    </a:ln>
                  </pic:spPr>
                </pic:pic>
              </a:graphicData>
            </a:graphic>
          </wp:inline>
        </w:drawing>
      </w:r>
    </w:p>
    <w:p>
      <w:pPr>
        <w:spacing w:line="360" w:lineRule="auto"/>
        <w:ind w:firstLine="48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综合管廊类型示意图</w:t>
      </w:r>
    </w:p>
    <w:p>
      <w:pPr>
        <w:spacing w:line="360" w:lineRule="auto"/>
        <w:ind w:firstLine="482" w:firstLineChars="200"/>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1. 主干型综合管廊</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主干型综合管廊是指用于容纳城市主干工程管线，采用独立分舱方式建设的综合管廊。主干型综合管廊一般设置于机动车道或道路中央下方，主要连接原站（如自来水厂、发电厂、热力厂等）与次干型综合管廊。主干型综合管廊内主要容纳的管线为高压电力电缆、信息主干电缆或光缆、给水主干管道、热力主干管道等，有时结合地形也将排水管道容纳在内。在主干型综合管廊内，电力电缆主要从超高压变电站输送至一、二次变电站，信息电缆或光缆主要为转接局之间的信息传输，热力管道主要为热力厂至调压站之间的输送。</w:t>
      </w:r>
    </w:p>
    <w:p>
      <w:pPr>
        <w:spacing w:line="360" w:lineRule="auto"/>
        <w:ind w:firstLine="480" w:firstLineChars="200"/>
        <w:rPr>
          <w:rFonts w:hint="eastAsia" w:ascii="楷体_GB2312" w:hAnsi="楷体_GB2312" w:eastAsia="楷体_GB2312" w:cs="楷体_GB2312"/>
          <w:color w:val="auto"/>
          <w:kern w:val="0"/>
          <w:sz w:val="24"/>
        </w:rPr>
      </w:pPr>
      <w:r>
        <w:rPr>
          <w:rFonts w:hint="eastAsia" w:ascii="楷体_GB2312" w:hAnsi="楷体_GB2312" w:eastAsia="楷体_GB2312" w:cs="楷体_GB2312"/>
          <w:color w:val="auto"/>
          <w:sz w:val="24"/>
        </w:rPr>
        <w:t>主干型综合管廊的断面通常为圆形或多格箱形，综合管廊内一般要求设置工作通道及照明、通风等设备。主干型综合管廊的特点主要为：（1）稳定、大流量的运输；（2）高度的安全性；（3）紧凑的内部结构；（4）可直接供给到稳定使用的大型用户；（5）一般需要专用的设备；（</w:t>
      </w:r>
      <w:r>
        <w:rPr>
          <w:rFonts w:hint="eastAsia" w:ascii="楷体_GB2312" w:hAnsi="楷体_GB2312" w:eastAsia="楷体_GB2312" w:cs="楷体_GB2312"/>
          <w:color w:val="auto"/>
          <w:kern w:val="0"/>
          <w:sz w:val="24"/>
        </w:rPr>
        <w:t>6）管理及运营比较简单。</w:t>
      </w:r>
    </w:p>
    <w:p>
      <w:pPr>
        <w:spacing w:line="360" w:lineRule="auto"/>
        <w:ind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4077335" cy="1383030"/>
            <wp:effectExtent l="0" t="0" r="18415" b="7620"/>
            <wp:docPr id="120" name="图片 3" descr="1AF0E3{Z9RF9E`JMB5N2A2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3" descr="1AF0E3{Z9RF9E`JMB5N2A2H"/>
                    <pic:cNvPicPr>
                      <a:picLocks noChangeAspect="1" noChangeArrowheads="1"/>
                    </pic:cNvPicPr>
                  </pic:nvPicPr>
                  <pic:blipFill>
                    <a:blip r:embed="rId56" cstate="print"/>
                    <a:srcRect t="3150"/>
                    <a:stretch>
                      <a:fillRect/>
                    </a:stretch>
                  </pic:blipFill>
                  <pic:spPr>
                    <a:xfrm>
                      <a:off x="0" y="0"/>
                      <a:ext cx="4077430" cy="1383352"/>
                    </a:xfrm>
                    <a:prstGeom prst="rect">
                      <a:avLst/>
                    </a:prstGeom>
                    <a:noFill/>
                    <a:ln w="9525">
                      <a:noFill/>
                      <a:miter lim="800000"/>
                      <a:headEnd/>
                      <a:tailEnd/>
                    </a:ln>
                  </pic:spPr>
                </pic:pic>
              </a:graphicData>
            </a:graphic>
          </wp:inline>
        </w:drawing>
      </w:r>
    </w:p>
    <w:p>
      <w:pPr>
        <w:spacing w:line="360" w:lineRule="auto"/>
        <w:ind w:firstLine="48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主干型综合管廊类型示意图</w:t>
      </w:r>
    </w:p>
    <w:p>
      <w:pPr>
        <w:spacing w:line="360" w:lineRule="auto"/>
        <w:ind w:firstLine="482" w:firstLineChars="200"/>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2. 次干型综合管廊</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次干型综合管廊是指用于容纳城市配给工程管线，采用单舱或双舱方式建设的综合管廊。次干型综合管廊主要用于将各种管线从主干型综合管廊分配、输送至各直接用户。其一般设置在道路的两旁，容纳直接服务于沿线地区的各种管线。</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次干型综合管廊的截面以矩形较为常见，一般为单舱或双舱箱形结构。综合管廊内一般要求设置工作通道及照明、通风等设备。次干型综合管廊的特点主要为：（1）有效(内部空间)断面较小；（2）结构简单，施工方便；（3）设备多为常用定型设备；（4）一般不直接服务大型用户。</w:t>
      </w:r>
    </w:p>
    <w:p>
      <w:pPr>
        <w:spacing w:line="360" w:lineRule="auto"/>
        <w:ind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2385060" cy="1319530"/>
            <wp:effectExtent l="0" t="0" r="15240" b="13970"/>
            <wp:docPr id="121" name="图片 4" descr="`)Z1IP5H%9J{LX]18J_440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4" descr="`)Z1IP5H%9J{LX]18J_440O"/>
                    <pic:cNvPicPr>
                      <a:picLocks noChangeAspect="1" noChangeArrowheads="1"/>
                    </pic:cNvPicPr>
                  </pic:nvPicPr>
                  <pic:blipFill>
                    <a:blip r:embed="rId57" cstate="print"/>
                    <a:srcRect l="1641" t="4370" r="1349" b="-45"/>
                    <a:stretch>
                      <a:fillRect/>
                    </a:stretch>
                  </pic:blipFill>
                  <pic:spPr>
                    <a:xfrm>
                      <a:off x="0" y="0"/>
                      <a:ext cx="2385090" cy="1319749"/>
                    </a:xfrm>
                    <a:prstGeom prst="rect">
                      <a:avLst/>
                    </a:prstGeom>
                    <a:noFill/>
                    <a:ln w="9525">
                      <a:noFill/>
                      <a:miter lim="800000"/>
                      <a:headEnd/>
                      <a:tailEnd/>
                    </a:ln>
                  </pic:spPr>
                </pic:pic>
              </a:graphicData>
            </a:graphic>
          </wp:inline>
        </w:drawing>
      </w:r>
    </w:p>
    <w:p>
      <w:pPr>
        <w:spacing w:line="360" w:lineRule="auto"/>
        <w:ind w:firstLine="48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次干型综合管廊类型示意图</w:t>
      </w:r>
    </w:p>
    <w:p>
      <w:pPr>
        <w:spacing w:line="360" w:lineRule="auto"/>
        <w:ind w:firstLine="482" w:firstLineChars="200"/>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3. 支管廊</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支管廊采用浅埋沟道方式建设，设有可开启盖板但其内部空间不能满足人员正常通行要求，用于容纳电力电缆和通信线缆的管廊。支管廊一般设置在道路的人行道下面，其埋深较浅。截面以矩形较为常见，一般工作通道不要求通行，管廊内不要求设置照明、通风等设备，仅设置供维护时可开启的盖板或工作手孔即可。</w:t>
      </w:r>
    </w:p>
    <w:p>
      <w:pPr>
        <w:spacing w:line="360" w:lineRule="auto"/>
        <w:ind w:firstLine="413" w:firstLineChars="196"/>
        <w:jc w:val="left"/>
        <w:rPr>
          <w:rFonts w:hint="eastAsia" w:ascii="楷体_GB2312" w:hAnsi="楷体_GB2312" w:eastAsia="楷体_GB2312" w:cs="楷体_GB2312"/>
          <w:color w:val="auto"/>
          <w:sz w:val="24"/>
        </w:rPr>
      </w:pPr>
      <w:r>
        <w:rPr>
          <w:rFonts w:hint="eastAsia" w:ascii="楷体_GB2312" w:hAnsi="楷体_GB2312" w:eastAsia="楷体_GB2312" w:cs="楷体_GB2312"/>
          <w:b/>
          <w:color w:val="auto"/>
          <w:szCs w:val="21"/>
        </w:rPr>
        <w:drawing>
          <wp:inline distT="0" distB="0" distL="0" distR="0">
            <wp:extent cx="2891155" cy="1847850"/>
            <wp:effectExtent l="0" t="0" r="4445" b="0"/>
            <wp:docPr id="122" name="图片 5" descr="2%Z_PF`E~OJO[Y8OOPBXX%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 descr="2%Z_PF`E~OJO[Y8OOPBXX%N"/>
                    <pic:cNvPicPr>
                      <a:picLocks noChangeAspect="1" noChangeArrowheads="1"/>
                    </pic:cNvPicPr>
                  </pic:nvPicPr>
                  <pic:blipFill>
                    <a:blip r:embed="rId58" cstate="print"/>
                    <a:srcRect b="2362"/>
                    <a:stretch>
                      <a:fillRect/>
                    </a:stretch>
                  </pic:blipFill>
                  <pic:spPr>
                    <a:xfrm>
                      <a:off x="0" y="0"/>
                      <a:ext cx="2895140" cy="1850045"/>
                    </a:xfrm>
                    <a:prstGeom prst="rect">
                      <a:avLst/>
                    </a:prstGeom>
                    <a:noFill/>
                    <a:ln w="9525">
                      <a:noFill/>
                      <a:miter lim="800000"/>
                      <a:headEnd/>
                      <a:tailEnd/>
                    </a:ln>
                  </pic:spPr>
                </pic:pic>
              </a:graphicData>
            </a:graphic>
          </wp:inline>
        </w:drawing>
      </w:r>
      <w:r>
        <w:rPr>
          <w:rFonts w:hint="eastAsia" w:ascii="楷体_GB2312" w:hAnsi="楷体_GB2312" w:eastAsia="楷体_GB2312" w:cs="楷体_GB2312"/>
          <w:b/>
          <w:color w:val="auto"/>
          <w:szCs w:val="21"/>
        </w:rPr>
        <w:t xml:space="preserve">     </w:t>
      </w:r>
      <w:r>
        <w:rPr>
          <w:rFonts w:hint="eastAsia" w:ascii="楷体_GB2312" w:hAnsi="楷体_GB2312" w:eastAsia="楷体_GB2312" w:cs="楷体_GB2312"/>
          <w:color w:val="auto"/>
          <w:sz w:val="24"/>
        </w:rPr>
        <w:drawing>
          <wp:inline distT="0" distB="0" distL="0" distR="0">
            <wp:extent cx="1748790" cy="1589405"/>
            <wp:effectExtent l="0" t="0" r="3810" b="10795"/>
            <wp:docPr id="1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2"/>
                    <pic:cNvPicPr>
                      <a:picLocks noChangeAspect="1" noChangeArrowheads="1"/>
                    </pic:cNvPicPr>
                  </pic:nvPicPr>
                  <pic:blipFill>
                    <a:blip r:embed="rId59" cstate="print"/>
                    <a:srcRect l="4143" t="18455" r="2822"/>
                    <a:stretch>
                      <a:fillRect/>
                    </a:stretch>
                  </pic:blipFill>
                  <pic:spPr>
                    <a:xfrm>
                      <a:off x="0" y="0"/>
                      <a:ext cx="1751840" cy="1591756"/>
                    </a:xfrm>
                    <a:prstGeom prst="rect">
                      <a:avLst/>
                    </a:prstGeom>
                    <a:noFill/>
                    <a:ln w="12700" cap="sq">
                      <a:noFill/>
                      <a:miter lim="800000"/>
                      <a:headEnd type="none" w="sm" len="sm"/>
                      <a:tailEnd type="none" w="sm" len="sm"/>
                    </a:ln>
                    <a:effectLst/>
                  </pic:spPr>
                </pic:pic>
              </a:graphicData>
            </a:graphic>
          </wp:inline>
        </w:drawing>
      </w:r>
    </w:p>
    <w:p>
      <w:pPr>
        <w:spacing w:line="360" w:lineRule="auto"/>
        <w:ind w:firstLine="48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支管廊类型示意图</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39" w:name="_Toc495586771"/>
      <w:r>
        <w:rPr>
          <w:rFonts w:hint="eastAsia" w:ascii="楷体_GB2312" w:hAnsi="楷体_GB2312" w:eastAsia="楷体_GB2312" w:cs="楷体_GB2312"/>
          <w:b/>
          <w:color w:val="auto"/>
          <w:sz w:val="24"/>
          <w:szCs w:val="24"/>
        </w:rPr>
        <w:t>6.1.4综合管廊的发展及经验借鉴</w:t>
      </w:r>
      <w:bookmarkEnd w:id="239"/>
    </w:p>
    <w:p>
      <w:pPr>
        <w:spacing w:line="360" w:lineRule="auto"/>
        <w:ind w:firstLine="482" w:firstLineChars="200"/>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1. 国外综合管廊的发展</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综合管廊起源于十九世纪的欧洲，它的第一次出现是在法国，至今已经有179年的发展历程。经过百多年的探索、研究、改良和实践，其技术水平已完全成熟，并在国外许多城市得到了极大的发展，它已成为发达城市市政建设管理现代化的象征，也成为城市公共管理的一部分。</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1893年原德国在前西德汉堡市的Kaiser-Wilheim街两侧人行道下兴建了450米长的综合管廊，收容了暖气管、自来水管、电力、电信缆线和煤气管，不含下水管。英国于1861年在伦敦兴建格里哥大街时配套建造了一条宽为3.66米、高为2.29米的半圆形综合管廊。除收容自来水管、污水管、瓦斯管、电力和电信电缆外，还敷设了连接用户的供给管线。日本综合管廊建设始于1926年，在关东大地震之后，日本政府针对地震导致的管线大面积破坏，在东京都复兴计划中作为试点建设了三处综合管廊。九段阪综合管廊，设置于人行道下，宽3米，高2米，干管长度270米，钢筋混凝土箱涵构造；滨町金座街综合管廊，设置于人行道下，为电缆沟，只收容缆线类；东京后火车站至昭和街综合管廊，设置于人行道下，净宽约3.3米，高约2.1米，收容电力、电信、自来水及瓦斯等管线。此后的数十年中，日本综合管廊的研究和建设处于停滞状态，直到1963年，日本政府颁布“综合管廊法”。该法案较好地解决了综合管廊建设中在资金分摊和建设技术等方面的关键问题,从而有力地促进了日本的综合管廊建设。</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国外综合管廊建设的突出经验可归纳为两点。一是立法优先，如对已建综合管廊路段禁止开挖的规定，综合管廊的产权问题、地下空间有偿使用问题等都有明确的规定；二是整体规划，即必须将综合管廊与地铁、地下综合体等地下工程统一纳入城市地下空间规划。</w:t>
      </w:r>
    </w:p>
    <w:p>
      <w:pPr>
        <w:spacing w:line="360" w:lineRule="auto"/>
        <w:ind w:firstLine="482" w:firstLineChars="200"/>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2. 国内综合管廊的发展</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目前，国内一些城市如北京、上海、广州、深圳、杭州、济南、沈阳和宁波等，已经建设了部分综合管廊。综合管廊在我国仅在一些经济发达的城市和一些现代化的高科技工业园区等有所建设，尚未得到推广和普及，还处于探索阶段，在综合管廊的建设过程中不可避免的会遇到各种各样的困难和阻力。</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我国第一条综合管廊于1958年建造于北京天安门广场下，鉴于天安门在北京有政治的特殊地位，为了避免广场被开挖，建造了一条宽4米、高3米、埋深7～8米，长1千米的综合管廊。收容了电力、电信、暖气等管线。至1977年修建毛主席纪念馆时，建造了相同断面的综合管廊，长约500米。上海于1994年底，在浦东新区张杨路人行道下建造了两条宽5.9米、高2.6米、双孔各5.6千米，共11.2千米的次干型综合管廊，为国内推行综合管廊建设开辟了先河。深圳大梅沙——盐田坳综合管廊工程，于2001年进行了可行性研究，2004年建成。综合管廊东起大梅沙外环路，西至深盐路端头，全长2.675千米，沟体采用半圆拱形断面，高2.85米，宽2.4米，采用初期支护和二次衬砌的钢筋混凝土复合断面结构。综合管廊内设DN600给水管、DN500污水压力管、D426×10LNG工程高压输气管和6只电缆层架及照明、监控电缆。</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从综合管廊在我国的发展情况看，目前已有或在建的综合管廊容纳的管线有电力电缆、电信电缆、给水管线、供热管线和排水管线等。具有起步晚、时间短、规模小、综合性较弱和系统性不够等特点。</w:t>
      </w:r>
    </w:p>
    <w:p>
      <w:pPr>
        <w:spacing w:line="360" w:lineRule="auto"/>
        <w:ind w:firstLine="482" w:firstLineChars="200"/>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3. 综合管廊的经验借鉴</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通过对具有代表性综合管廊的案例分析，对综合管廊的规划设计、建设和运营管理情况有了进一步了解和认识。这些案例有成功的经验，有失败的教训，值得思考和总结。前车之鉴，后事之师，本次经验总结将为无锡市地下综合管廊规划建设提供指导。</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根据案例分析情况，针对综合管廊的规划和设计、建设和运营管理三方面进行总结。</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（1）综合管廊的规划和设计方面</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1）综合管廊建设普遍选择新城区、新园区或者城市的CBD地区，这些地区功能定位高、开发强度大、建设标准高，建设前普遍为未开发区域，对综合管廊的应用具有一定的需求和明显的建设优势。</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2）综合管廊的规划线路充分结合新规划道路和新规划地铁，此时建设综合管廊比较经济，并有利于综合管廊的顺利实施。</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3）针对综合管廊的设计应规划先行、准确预测，适当预留。明确综合管廊内纳管种类及规模，合理确定综合管廊的尺寸，力求经济高效。</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4）高度重视地下空间规划，综合管廊设计要充分考虑其与地下管线、地下构筑物和地下设施的关系，确定合理的建设时序，避免发生矛盾。</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（2）综合管廊的建设方面</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1）综合管廊是准公共物品，具有多方面的优点和长远效益，政府是综合管廊建设的引导者，应重视综合管廊的建设并承担投资和管理的职能。</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2）在现有的法治、体制和机制下，综合管廊建设中很多权属和利益问题不能解决，政府应具体问题具体对待，充分发挥职能，统一部署、多方协调，并成立综合管廊建设机构。</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3）明确综合管廊建设资金来源以及政府与市政单位的分摊办法，为提高市政管线单位使用综合管廊的积极性，市政管线单位分摊综合管廊的建设费用原则上不宜超过管线直埋费用。</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4）明确综合管廊的权属，综合管廊属于国家所有。明确综合管廊建设中各管线单位的职责。建设综合管廊是跨行业、跨组织的协调工程，既需要政府部门加强管理，也需要各管线权属单位进行配合协调。</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（3）综合管廊的运营和管理方面</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1）成立综合管廊运营管理机构，在综合管廊建成后充分发挥其管理作用。</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2）制定综合管廊的维护管理办法，指导综合管廊的运营和管理。</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3）明确综合管廊运营和管理的经费来源，可以通过物价部门制定相关收费标准，保证综合管廊的运营质量。</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4）在政府的支持下，加强对综合管廊的立法和监管。</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40" w:name="_Toc495586772"/>
      <w:bookmarkStart w:id="241" w:name="_Toc21275"/>
      <w:r>
        <w:rPr>
          <w:rFonts w:hint="eastAsia" w:ascii="楷体_GB2312" w:hAnsi="楷体_GB2312" w:eastAsia="楷体_GB2312" w:cs="楷体_GB2312"/>
          <w:b/>
          <w:bCs w:val="0"/>
          <w:color w:val="auto"/>
          <w:sz w:val="28"/>
        </w:rPr>
        <w:t>6.2综合管廊系统规划</w:t>
      </w:r>
      <w:bookmarkEnd w:id="240"/>
      <w:bookmarkEnd w:id="241"/>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42" w:name="_Toc495586773"/>
      <w:r>
        <w:rPr>
          <w:rFonts w:hint="eastAsia" w:ascii="楷体_GB2312" w:hAnsi="楷体_GB2312" w:eastAsia="楷体_GB2312" w:cs="楷体_GB2312"/>
          <w:b/>
          <w:color w:val="auto"/>
          <w:sz w:val="24"/>
          <w:szCs w:val="24"/>
        </w:rPr>
        <w:t>6.2.1</w:t>
      </w:r>
      <w:bookmarkStart w:id="243" w:name="_Toc466981266"/>
      <w:r>
        <w:rPr>
          <w:rFonts w:hint="eastAsia" w:ascii="楷体_GB2312" w:hAnsi="楷体_GB2312" w:eastAsia="楷体_GB2312" w:cs="楷体_GB2312"/>
          <w:b/>
          <w:color w:val="auto"/>
          <w:sz w:val="24"/>
          <w:szCs w:val="24"/>
        </w:rPr>
        <w:t>综合管廊系统布置原则</w:t>
      </w:r>
      <w:bookmarkEnd w:id="242"/>
      <w:bookmarkEnd w:id="243"/>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综合管廊系统的布置主要以四个方面定需求，第一方面为以区域功能开发定需求，第二方面为以地下管线敷设空间定需求，第三以道路交通流量大小定需求，第四以道路红线等级定需求。</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首先，远景预留，战略控制，分析板块功能的需求。结合城市空间结构，充分考虑城市的组团发展格局，确定哪些区域适合建设综合管廊，并联络各管廊适建区。</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其次，分析管线的需求，结合专业管线：结合市政专业规划的干线管道建设需求，主要考虑因素有高压干管、给水干管等。</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通过前两项因素可以得出城市的综合管廊理论布局，最后根据道路红线宽度和道路建设和改造计划，得出城市综合管廊系统布局，形成主城辐射周边副城或新城管廊结构。</w:t>
      </w:r>
    </w:p>
    <w:p>
      <w:pPr>
        <w:spacing w:line="360" w:lineRule="auto"/>
        <w:ind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2933700" cy="2254885"/>
            <wp:effectExtent l="0" t="0" r="0" b="1206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2937661" cy="2257985"/>
                    </a:xfrm>
                    <a:prstGeom prst="rect">
                      <a:avLst/>
                    </a:prstGeom>
                  </pic:spPr>
                </pic:pic>
              </a:graphicData>
            </a:graphic>
          </wp:inline>
        </w:drawing>
      </w:r>
    </w:p>
    <w:p>
      <w:pPr>
        <w:spacing w:line="360" w:lineRule="auto"/>
        <w:ind w:firstLine="48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综合管廊规划原则</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44" w:name="_Toc495586774"/>
      <w:r>
        <w:rPr>
          <w:rFonts w:hint="eastAsia" w:ascii="楷体_GB2312" w:hAnsi="楷体_GB2312" w:eastAsia="楷体_GB2312" w:cs="楷体_GB2312"/>
          <w:b/>
          <w:color w:val="auto"/>
          <w:sz w:val="24"/>
          <w:szCs w:val="24"/>
        </w:rPr>
        <w:t>6.2.2综合管廊建设指导思想</w:t>
      </w:r>
      <w:bookmarkEnd w:id="244"/>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综合管廊规划应符合“将城市规划、建筑、社会与经济发展、城市景观、技术、基础设施、道路交通等方面尽早地、有效地统一起来”的指导思想。</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综合管廊规划应结合城市地下管线现状，在城市道路、轨道交通、给水、雨水、污水、再生水、天然气、热力、电力、通信、地下空间利用等专项规划以及地下管线综合规划的基础上，确定综合管廊的布局。</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综合管廊还应与地下交通、地下商业开发、地下人防设施及其它相关建设项目相协调。</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45" w:name="_Toc495586775"/>
      <w:r>
        <w:rPr>
          <w:rFonts w:hint="eastAsia" w:ascii="楷体_GB2312" w:hAnsi="楷体_GB2312" w:eastAsia="楷体_GB2312" w:cs="楷体_GB2312"/>
          <w:b/>
          <w:color w:val="auto"/>
          <w:sz w:val="24"/>
          <w:szCs w:val="24"/>
        </w:rPr>
        <w:t>6.2.3许昌市空间结构分析</w:t>
      </w:r>
      <w:bookmarkEnd w:id="245"/>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许昌市主城区将构建“紧凑、集约、生态”型的城市空间形态，形成“一核两心、一轴三廊，绿环五片、组团发展”的“丰”字形空间结构。</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“一核”：位于建安大道与永兴路之间，由市城乡一体化示范区主中心和行政文化中心组成的市域“复合城市中心”。重点培育高端服务功能。</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“两心”：分别是老城商业中心和城乡一体化示范区副中心。老城商业中心是文化旅游商业服务中心；城乡一体化示范区副中心是许昌县的行政文化综合服务中心。</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“一轴”：沿文峰路形成的主城区中部南北向发展轴。自南向北分别串联老城商业中心、行政文化中心、城乡一体化示范区主中心和城乡一体化示范区副中心，是引导城市空间向北拓展的主轴。</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三廊”：沿主城区内三条东西向干道形成的发展廊道。自北向南分别是新元大道、永兴路和许继大道-莲城大道。新元大道从城乡一体化示范区副中心通过，永兴路从城乡一体化示范区主中心通过，许继大道-莲城大道从老城商业中心和行政文化中心通过，引导主城区东中西三个区域互动发展，构建紧凑的城市发展格局。</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五片”：包括主城南片区、主城北片区、东北片区、东南片区和西南片区。主城南片区：行政文化和居住功能区。主城北片区：商务办公和居住功能区。东北片区：产业区。东南片区：产业和生活综合区。西南片区：产业和生活综合区。</w:t>
      </w:r>
    </w:p>
    <w:p>
      <w:pPr>
        <w:spacing w:line="360" w:lineRule="auto"/>
        <w:ind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3116580" cy="2949575"/>
            <wp:effectExtent l="0" t="0" r="7620" b="317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3118635" cy="2951692"/>
                    </a:xfrm>
                    <a:prstGeom prst="rect">
                      <a:avLst/>
                    </a:prstGeom>
                  </pic:spPr>
                </pic:pic>
              </a:graphicData>
            </a:graphic>
          </wp:inline>
        </w:drawing>
      </w:r>
    </w:p>
    <w:p>
      <w:pPr>
        <w:spacing w:line="360" w:lineRule="auto"/>
        <w:ind w:firstLine="48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空间结构规划图</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46" w:name="_Toc495586776"/>
      <w:r>
        <w:rPr>
          <w:rFonts w:hint="eastAsia" w:ascii="楷体_GB2312" w:hAnsi="楷体_GB2312" w:eastAsia="楷体_GB2312" w:cs="楷体_GB2312"/>
          <w:b/>
          <w:color w:val="auto"/>
          <w:sz w:val="24"/>
          <w:szCs w:val="24"/>
        </w:rPr>
        <w:t>6.2.4分片区发展指引</w:t>
      </w:r>
      <w:bookmarkEnd w:id="246"/>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规划将主城区细分为13个功能分区。包括示范区主中心片区、东城片区、老城片区、示范区副中心片区、许东新城片区、中原电气谷片区、铁西片区、城南物流园片区、经济技术开发区、许昌北站片区、中医药产业片区。</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示范区主中心片区：区域综合服务中心，智慧城市发展示范区，建设成为服务区域的高品质城市商务中心。</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东城片区：打造现代时尚综合服务新城区。</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老城片区：国内知名旅游景区，许昌市曹魏文化核心体验区。</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示范区副中心片区：区域综合服务副中心，许昌县行政文化中心，豫中南地区的陆路口岸。</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许东新城片区：养生之城，服务之城。</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中原电气谷片区：全国电力装备制造业基地，中部地区高新技术产业基地，区域创新创业高地。</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铁西片区：承担居住服务、文化休闲等功能，建成城市综合功能新城区。</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城南物流园片区：豫中南地区最大的商贸物流集散中心。</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经济技术开发区：全国电力装备制造业基地的组成部分，中部地区最大的电梯生产基地。</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许昌北站片区：空港经济承接区，对外贸易示范区。</w:t>
      </w:r>
    </w:p>
    <w:p>
      <w:pPr>
        <w:spacing w:line="360" w:lineRule="auto"/>
        <w:ind w:firstLine="48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中医药产业片区：中国中医药综合改革试验区，国家级中医药研发平台，复合型健康医疗中心，生态化养生宜居区。</w:t>
      </w:r>
    </w:p>
    <w:p>
      <w:pPr>
        <w:spacing w:line="360" w:lineRule="auto"/>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3105150" cy="2861310"/>
            <wp:effectExtent l="0" t="0" r="0" b="1524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62" cstate="print">
                      <a:extLst>
                        <a:ext uri="{28A0092B-C50C-407E-A947-70E740481C1C}">
                          <a14:useLocalDpi xmlns:a14="http://schemas.microsoft.com/office/drawing/2010/main" val="0"/>
                        </a:ext>
                      </a:extLst>
                    </a:blip>
                    <a:srcRect l="12919" t="15510" r="28154" b="7639"/>
                    <a:stretch>
                      <a:fillRect/>
                    </a:stretch>
                  </pic:blipFill>
                  <pic:spPr>
                    <a:xfrm>
                      <a:off x="0" y="0"/>
                      <a:ext cx="3110593" cy="2866031"/>
                    </a:xfrm>
                    <a:prstGeom prst="rect">
                      <a:avLst/>
                    </a:prstGeom>
                    <a:ln>
                      <a:noFill/>
                    </a:ln>
                  </pic:spPr>
                </pic:pic>
              </a:graphicData>
            </a:graphic>
          </wp:inline>
        </w:drawing>
      </w:r>
    </w:p>
    <w:p>
      <w:pPr>
        <w:spacing w:line="360" w:lineRule="auto"/>
        <w:ind w:firstLine="48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功能分区规划图</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47" w:name="_Toc495586777"/>
      <w:r>
        <w:rPr>
          <w:rFonts w:hint="eastAsia" w:ascii="楷体_GB2312" w:hAnsi="楷体_GB2312" w:eastAsia="楷体_GB2312" w:cs="楷体_GB2312"/>
          <w:b/>
          <w:color w:val="auto"/>
          <w:sz w:val="24"/>
          <w:szCs w:val="24"/>
        </w:rPr>
        <w:t>6.2.5道路交通</w:t>
      </w:r>
      <w:bookmarkEnd w:id="247"/>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主城区规划由快速路、主干路、次干路、支路组成。规划采用“环形+方格”的网络型路网结构。</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 xml:space="preserve">快速路：规划形成“三纵三横”的城市快速路系统。“三纵”为西外环、许州路和新107国道；“三横”为农大路、永昌路和南外环。 </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主干路：规划形成“八纵七横”方格网的主骨架道路系统，分为交通性主干路和生活性主干路两种。交通性干路：昌盛路、新兴路、瑞贝卡大道—阳光大道、灞陵路、魏武大道和玉兰路中原路。生活性干路：新元大道、永兴路、天宝路、建安大道-莲城大道-七一路-颍昌路-许继大道、解放路—劳动路、文峰路、魏文路和忠武路。</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其余为次干路及支路。</w:t>
      </w:r>
    </w:p>
    <w:p>
      <w:pPr>
        <w:spacing w:line="360" w:lineRule="auto"/>
        <w:ind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5039995" cy="4267200"/>
            <wp:effectExtent l="0" t="0" r="8255"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63" cstate="print">
                      <a:extLst>
                        <a:ext uri="{28A0092B-C50C-407E-A947-70E740481C1C}">
                          <a14:useLocalDpi xmlns:a14="http://schemas.microsoft.com/office/drawing/2010/main" val="0"/>
                        </a:ext>
                      </a:extLst>
                    </a:blip>
                    <a:srcRect l="9163" t="14351" r="25115" b="6878"/>
                    <a:stretch>
                      <a:fillRect/>
                    </a:stretch>
                  </pic:blipFill>
                  <pic:spPr>
                    <a:xfrm>
                      <a:off x="0" y="0"/>
                      <a:ext cx="5039995" cy="4267200"/>
                    </a:xfrm>
                    <a:prstGeom prst="rect">
                      <a:avLst/>
                    </a:prstGeom>
                    <a:ln>
                      <a:noFill/>
                    </a:ln>
                  </pic:spPr>
                </pic:pic>
              </a:graphicData>
            </a:graphic>
          </wp:inline>
        </w:drawing>
      </w:r>
    </w:p>
    <w:p>
      <w:pPr>
        <w:spacing w:line="360" w:lineRule="auto"/>
        <w:ind w:firstLine="48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道路等级规划图</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48" w:name="_Toc495586778"/>
      <w:r>
        <w:rPr>
          <w:rFonts w:hint="eastAsia" w:ascii="楷体_GB2312" w:hAnsi="楷体_GB2312" w:eastAsia="楷体_GB2312" w:cs="楷体_GB2312"/>
          <w:b/>
          <w:color w:val="auto"/>
          <w:sz w:val="24"/>
          <w:szCs w:val="24"/>
        </w:rPr>
        <w:t>6.2.6公用管线</w:t>
      </w:r>
      <w:bookmarkEnd w:id="248"/>
    </w:p>
    <w:p>
      <w:pPr>
        <w:spacing w:line="360" w:lineRule="auto"/>
        <w:ind w:firstLine="480" w:firstLineChars="200"/>
        <w:rPr>
          <w:rFonts w:hint="eastAsia" w:ascii="楷体_GB2312" w:hAnsi="楷体_GB2312" w:eastAsia="楷体_GB2312" w:cs="楷体_GB2312"/>
          <w:color w:val="auto"/>
          <w:kern w:val="0"/>
          <w:sz w:val="24"/>
          <w:szCs w:val="20"/>
        </w:rPr>
      </w:pPr>
      <w:r>
        <w:rPr>
          <w:rFonts w:hint="eastAsia" w:ascii="楷体_GB2312" w:hAnsi="楷体_GB2312" w:eastAsia="楷体_GB2312" w:cs="楷体_GB2312"/>
          <w:color w:val="auto"/>
          <w:kern w:val="0"/>
          <w:sz w:val="24"/>
          <w:szCs w:val="20"/>
        </w:rPr>
        <w:t>许昌电网最高运行电压500kV，以220kV网络为高压送电网络，以110kV电网为高压配电网络。220kV变电站以西部禹州电厂和东部500kV花都变两个电源点形成环网，同时通过220kV薛巨线、薛桐线和钧苏线分别与漯河、周口和平顶山供电区相连，2014年许漯周220kV电网保持合环运行；市区110kV电网以4座220kV变电站为支撑形成双环网结构。主城区500kV高压走廊控制为60~75m，220kV高压走廊控制为30~40m，110kV高压走廊控制为15~25m。高压电力架空线沿城区道路、绿化带及河流架设，并采用多回路同杆（塔）架设方式。</w:t>
      </w:r>
    </w:p>
    <w:p>
      <w:pPr>
        <w:spacing w:line="360" w:lineRule="auto"/>
        <w:ind w:firstLine="480" w:firstLineChars="200"/>
        <w:rPr>
          <w:rFonts w:hint="eastAsia" w:ascii="楷体_GB2312" w:hAnsi="楷体_GB2312" w:eastAsia="楷体_GB2312" w:cs="楷体_GB2312"/>
          <w:color w:val="auto"/>
          <w:kern w:val="0"/>
          <w:sz w:val="24"/>
          <w:szCs w:val="20"/>
        </w:rPr>
      </w:pPr>
      <w:r>
        <w:rPr>
          <w:rFonts w:hint="eastAsia" w:ascii="楷体_GB2312" w:hAnsi="楷体_GB2312" w:eastAsia="楷体_GB2312" w:cs="楷体_GB2312"/>
          <w:color w:val="auto"/>
          <w:kern w:val="0"/>
          <w:sz w:val="24"/>
          <w:szCs w:val="20"/>
        </w:rPr>
        <w:t>可结合220kV、110kV架空线入地或修建电缆沟扩展成建设综合管廊，架空线路入廊可释放带状空间，提高土地利用价值。</w:t>
      </w:r>
    </w:p>
    <w:p>
      <w:pPr>
        <w:snapToGrid w:val="0"/>
        <w:spacing w:line="360" w:lineRule="auto"/>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4679950" cy="4051935"/>
            <wp:effectExtent l="0" t="0" r="6350" b="571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64" cstate="print">
                      <a:extLst>
                        <a:ext uri="{28A0092B-C50C-407E-A947-70E740481C1C}">
                          <a14:useLocalDpi xmlns:a14="http://schemas.microsoft.com/office/drawing/2010/main" val="0"/>
                        </a:ext>
                      </a:extLst>
                    </a:blip>
                    <a:srcRect l="9158" t="13889" r="26239" b="6945"/>
                    <a:stretch>
                      <a:fillRect/>
                    </a:stretch>
                  </pic:blipFill>
                  <pic:spPr>
                    <a:xfrm>
                      <a:off x="0" y="0"/>
                      <a:ext cx="4679950" cy="4051935"/>
                    </a:xfrm>
                    <a:prstGeom prst="rect">
                      <a:avLst/>
                    </a:prstGeom>
                    <a:ln>
                      <a:noFill/>
                    </a:ln>
                  </pic:spPr>
                </pic:pic>
              </a:graphicData>
            </a:graphic>
          </wp:inline>
        </w:drawing>
      </w:r>
    </w:p>
    <w:p>
      <w:pPr>
        <w:spacing w:line="360" w:lineRule="auto"/>
        <w:ind w:firstLine="48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高压架空线缆规划图</w:t>
      </w:r>
    </w:p>
    <w:p>
      <w:pPr>
        <w:spacing w:line="360" w:lineRule="auto"/>
        <w:ind w:firstLine="480" w:firstLineChars="200"/>
        <w:rPr>
          <w:rFonts w:hint="eastAsia" w:ascii="楷体_GB2312" w:hAnsi="楷体_GB2312" w:eastAsia="楷体_GB2312" w:cs="楷体_GB2312"/>
          <w:color w:val="auto"/>
          <w:sz w:val="24"/>
          <w:szCs w:val="22"/>
        </w:rPr>
      </w:pPr>
      <w:r>
        <w:rPr>
          <w:rFonts w:hint="eastAsia" w:ascii="楷体_GB2312" w:hAnsi="楷体_GB2312" w:eastAsia="楷体_GB2312" w:cs="楷体_GB2312"/>
          <w:color w:val="auto"/>
          <w:kern w:val="0"/>
          <w:sz w:val="24"/>
          <w:szCs w:val="20"/>
        </w:rPr>
        <w:t>根据各个公用管线专项规划资料，汇总合并形成“许昌市主城区公用管线布置图”。由图可见，许昌市主城区公用管线集中于城市快速路和主干道</w:t>
      </w:r>
      <w:r>
        <w:rPr>
          <w:rFonts w:hint="eastAsia" w:ascii="楷体_GB2312" w:hAnsi="楷体_GB2312" w:eastAsia="楷体_GB2312" w:cs="楷体_GB2312"/>
          <w:color w:val="auto"/>
        </w:rPr>
        <w:t>。</w:t>
      </w:r>
      <w:r>
        <w:rPr>
          <w:rFonts w:hint="eastAsia" w:ascii="楷体_GB2312" w:hAnsi="楷体_GB2312" w:eastAsia="楷体_GB2312" w:cs="楷体_GB2312"/>
          <w:color w:val="auto"/>
          <w:sz w:val="24"/>
          <w:szCs w:val="22"/>
        </w:rPr>
        <w:t>在管线种类较多、管位相对紧张的路段建设综合管廊，不仅大大节省城市地下空间，而且便于对各种管线维护和管理。</w:t>
      </w: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5434965" cy="3208655"/>
            <wp:effectExtent l="0" t="0" r="13335" b="10795"/>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5439604" cy="3211545"/>
                    </a:xfrm>
                    <a:prstGeom prst="rect">
                      <a:avLst/>
                    </a:prstGeom>
                  </pic:spPr>
                </pic:pic>
              </a:graphicData>
            </a:graphic>
          </wp:inline>
        </w:drawing>
      </w:r>
    </w:p>
    <w:p>
      <w:pPr>
        <w:spacing w:line="360" w:lineRule="auto"/>
        <w:ind w:firstLine="48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公用管线布置图</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49" w:name="_Toc495586779"/>
      <w:r>
        <w:rPr>
          <w:rFonts w:hint="eastAsia" w:ascii="楷体_GB2312" w:hAnsi="楷体_GB2312" w:eastAsia="楷体_GB2312" w:cs="楷体_GB2312"/>
          <w:b/>
          <w:color w:val="auto"/>
          <w:sz w:val="24"/>
          <w:szCs w:val="24"/>
        </w:rPr>
        <w:t>6.2.7历史城区</w:t>
      </w:r>
      <w:bookmarkEnd w:id="249"/>
    </w:p>
    <w:p>
      <w:pPr>
        <w:snapToGrid w:val="0"/>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目前，许州古城内的部分区域已更新改造成现代居住社区，规划期内，许州古城的保护应处理好新旧区之间的关系。全面控制古城的容量和提升古城环境质量是保护的根本出发点。一方面，应健全古城内的城市机能，提升古城的宜居度；另一方面，减缓古城的更新步伐，重点做好城廓格局、历史轴线、河湖水系和道路街巷等保护和修复工作。</w:t>
      </w:r>
    </w:p>
    <w:p>
      <w:pPr>
        <w:snapToGrid w:val="0"/>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在古城区规划布置管廊，可以大幅度减少各类架空线及各类管线的检查井，有效美化城市景观。在古城区规划布置管廊，可以减少道路频繁开挖，减少对城市交通和居民出行造成的干扰，同时又增强了管线的防灾能力，从而提高城市的安全性。鉴于古城区人口密度和建筑密度很高，在古城区局部道路下规划建设支线管廊或缆线管廊，可有效解决由于道路横断面较窄，各市政管线直埋空间不够的问题。</w:t>
      </w:r>
    </w:p>
    <w:p>
      <w:pPr>
        <w:jc w:val="both"/>
        <w:rPr>
          <w:rFonts w:hint="eastAsia" w:ascii="楷体_GB2312" w:hAnsi="楷体_GB2312" w:eastAsia="楷体_GB2312" w:cs="楷体_GB2312"/>
          <w:color w:val="auto"/>
        </w:rPr>
      </w:pPr>
      <w:r>
        <w:rPr>
          <w:rFonts w:hint="eastAsia" w:ascii="楷体_GB2312" w:hAnsi="楷体_GB2312" w:eastAsia="楷体_GB2312" w:cs="楷体_GB2312"/>
          <w:color w:val="auto"/>
          <w:lang w:val="en-US" w:eastAsia="zh-CN"/>
        </w:rPr>
        <w:t xml:space="preserve">         </w:t>
      </w:r>
      <w:r>
        <w:rPr>
          <w:rFonts w:hint="eastAsia" w:ascii="楷体_GB2312" w:hAnsi="楷体_GB2312" w:eastAsia="楷体_GB2312" w:cs="楷体_GB2312"/>
          <w:color w:val="auto"/>
        </w:rPr>
        <w:drawing>
          <wp:inline distT="0" distB="0" distL="0" distR="0">
            <wp:extent cx="2277110" cy="2207895"/>
            <wp:effectExtent l="0" t="0" r="8890" b="190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66" cstate="print">
                      <a:extLst>
                        <a:ext uri="{28A0092B-C50C-407E-A947-70E740481C1C}">
                          <a14:useLocalDpi xmlns:a14="http://schemas.microsoft.com/office/drawing/2010/main" val="0"/>
                        </a:ext>
                      </a:extLst>
                    </a:blip>
                    <a:srcRect l="9321" t="14121" r="33338" b="7176"/>
                    <a:stretch>
                      <a:fillRect/>
                    </a:stretch>
                  </pic:blipFill>
                  <pic:spPr>
                    <a:xfrm>
                      <a:off x="0" y="0"/>
                      <a:ext cx="2279050" cy="2209988"/>
                    </a:xfrm>
                    <a:prstGeom prst="rect">
                      <a:avLst/>
                    </a:prstGeom>
                    <a:ln>
                      <a:noFill/>
                    </a:ln>
                  </pic:spPr>
                </pic:pic>
              </a:graphicData>
            </a:graphic>
          </wp:inline>
        </w:drawing>
      </w:r>
      <w:r>
        <w:rPr>
          <w:rFonts w:hint="eastAsia" w:ascii="楷体_GB2312" w:hAnsi="楷体_GB2312" w:eastAsia="楷体_GB2312" w:cs="楷体_GB2312"/>
          <w:color w:val="auto"/>
        </w:rPr>
        <w:drawing>
          <wp:inline distT="0" distB="0" distL="0" distR="0">
            <wp:extent cx="2406650" cy="2282825"/>
            <wp:effectExtent l="0" t="0" r="12700" b="317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407967" cy="2284353"/>
                    </a:xfrm>
                    <a:prstGeom prst="rect">
                      <a:avLst/>
                    </a:prstGeom>
                  </pic:spPr>
                </pic:pic>
              </a:graphicData>
            </a:graphic>
          </wp:inline>
        </w:drawing>
      </w:r>
    </w:p>
    <w:p>
      <w:pPr>
        <w:spacing w:line="360" w:lineRule="auto"/>
        <w:ind w:firstLine="1890" w:firstLineChars="900"/>
        <w:jc w:val="left"/>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曹魏古城保护规划图                   古城综合管廊规划图</w:t>
      </w:r>
    </w:p>
    <w:p>
      <w:pPr>
        <w:snapToGrid w:val="0"/>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规划沿东西大街、北大街、安怀街、察院西街、文化路、清虚街、古槐街、劳动路、颖昌大道~七一路、八一路设计敷设综合管廊，规划长度9km。</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50" w:name="_Toc495586780"/>
      <w:r>
        <w:rPr>
          <w:rFonts w:hint="eastAsia" w:ascii="楷体_GB2312" w:hAnsi="楷体_GB2312" w:eastAsia="楷体_GB2312" w:cs="楷体_GB2312"/>
          <w:b/>
          <w:color w:val="auto"/>
          <w:sz w:val="24"/>
          <w:szCs w:val="24"/>
        </w:rPr>
        <w:t>6.2.8开发建设</w:t>
      </w:r>
      <w:bookmarkEnd w:id="250"/>
    </w:p>
    <w:p>
      <w:pPr>
        <w:snapToGrid w:val="0"/>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按照“集中建设、优化布局”的思路，坚持城乡一体化示范区建设，推动旧城更新，提升东城区，积极实施“一带十区四组团”的城市空间发展战略。</w:t>
      </w:r>
    </w:p>
    <w:p>
      <w:pPr>
        <w:snapToGrid w:val="0"/>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城市道路系统：加快中原路的建设，畅通南北运输通道；推进魏武大道与郑州机场连接的建设进程；开工建设永昌路东西两侧延伸；开工建设西外环南北两侧延伸工程；开工建设灞陵路南北延伸线；开工建设昌盛路、永兴路东西延伸线。</w:t>
      </w:r>
    </w:p>
    <w:p>
      <w:pPr>
        <w:snapToGrid w:val="0"/>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建设文峰路-永昌路（立交桥）、文峰路-莲城大道（立交桥），缓解城市交叉口车流与人流的矛盾；配套完善建成区用地周边广场和停车场设施，改善城市道路景观，完善交通系统，提升城市公共空间环境。</w:t>
      </w:r>
    </w:p>
    <w:p>
      <w:pPr>
        <w:spacing w:line="360" w:lineRule="auto"/>
        <w:ind w:firstLine="480" w:firstLineChars="200"/>
        <w:rPr>
          <w:rFonts w:hint="eastAsia" w:ascii="楷体_GB2312" w:hAnsi="楷体_GB2312" w:eastAsia="楷体_GB2312" w:cs="楷体_GB2312"/>
          <w:color w:val="auto"/>
        </w:rPr>
      </w:pPr>
      <w:r>
        <w:rPr>
          <w:rFonts w:hint="eastAsia" w:ascii="楷体_GB2312" w:hAnsi="楷体_GB2312" w:eastAsia="楷体_GB2312" w:cs="楷体_GB2312"/>
          <w:color w:val="auto"/>
          <w:sz w:val="24"/>
        </w:rPr>
        <w:t>在城市道路新建或拓宽、重铺之际兴建综合管廊，可延长道路的使用寿命，避免因埋设和维修管线而挖掘道路，同时可减少交通阻塞。</w:t>
      </w:r>
    </w:p>
    <w:p>
      <w:pPr>
        <w:snapToGrid w:val="0"/>
        <w:jc w:val="center"/>
        <w:rPr>
          <w:rFonts w:hint="eastAsia" w:ascii="楷体_GB2312" w:hAnsi="楷体_GB2312" w:eastAsia="楷体_GB2312" w:cs="楷体_GB2312"/>
          <w:b/>
          <w:bCs/>
          <w:color w:val="auto"/>
        </w:rPr>
      </w:pPr>
      <w:r>
        <w:rPr>
          <w:rFonts w:hint="eastAsia" w:ascii="楷体_GB2312" w:hAnsi="楷体_GB2312" w:eastAsia="楷体_GB2312" w:cs="楷体_GB2312"/>
          <w:b/>
          <w:bCs/>
          <w:color w:val="auto"/>
        </w:rPr>
        <w:drawing>
          <wp:inline distT="0" distB="0" distL="0" distR="0">
            <wp:extent cx="4319905" cy="3599815"/>
            <wp:effectExtent l="0" t="0" r="4445" b="635"/>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4319905" cy="3599815"/>
                    </a:xfrm>
                    <a:prstGeom prst="rect">
                      <a:avLst/>
                    </a:prstGeom>
                  </pic:spPr>
                </pic:pic>
              </a:graphicData>
            </a:graphic>
          </wp:inline>
        </w:drawing>
      </w:r>
    </w:p>
    <w:p>
      <w:pPr>
        <w:snapToGrid w:val="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道路建设规划图</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51" w:name="_Toc495586781"/>
      <w:r>
        <w:rPr>
          <w:rFonts w:hint="eastAsia" w:ascii="楷体_GB2312" w:hAnsi="楷体_GB2312" w:eastAsia="楷体_GB2312" w:cs="楷体_GB2312"/>
          <w:b/>
          <w:color w:val="auto"/>
          <w:sz w:val="24"/>
          <w:szCs w:val="24"/>
        </w:rPr>
        <w:t>6.2.9轨道交通</w:t>
      </w:r>
      <w:bookmarkEnd w:id="251"/>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许昌城市轨道交通主要是中低运量的轻轨和有轨电车。配合中心城市组团式发展战略，结合对外交通枢纽以及城市中心的布局，规划构建市域线、城区线两个层次的轨道交通系统。</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轻轨1号线：沿天宝路-花都路东西向布设，增强城市核心区与许昌东站的联系，西连禹州，东接鄢陵，全长22公里。</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轻轨2号线：沿中原路南北向布设，南端接轻轨1号线，联接许昌北站与许昌东站，全长10公里。</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有轨电车1号线：沿天宝路-灞陵路-屯田路-学院路呈环形布设，接连老城片区、东城片区、铁西片区、经济技术开发区及城南物流片区，全长26公里。</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有轨电车2号线：沿文峰路南北向布设，串联城南物流片区、老城片区、示范区主中心片区、示范区副中心片区，向北连接长葛产业集聚区以及长葛城区，在主城区内全长19公里。</w:t>
      </w:r>
    </w:p>
    <w:p>
      <w:pPr>
        <w:snapToGrid w:val="0"/>
        <w:jc w:val="center"/>
        <w:rPr>
          <w:rFonts w:hint="eastAsia" w:ascii="楷体_GB2312" w:hAnsi="楷体_GB2312" w:eastAsia="楷体_GB2312" w:cs="楷体_GB2312"/>
          <w:b/>
          <w:bCs/>
          <w:color w:val="auto"/>
          <w:szCs w:val="21"/>
        </w:rPr>
      </w:pPr>
      <w:r>
        <w:rPr>
          <w:rFonts w:hint="eastAsia" w:ascii="楷体_GB2312" w:hAnsi="楷体_GB2312" w:eastAsia="楷体_GB2312" w:cs="楷体_GB2312"/>
          <w:b/>
          <w:bCs/>
          <w:color w:val="auto"/>
          <w:szCs w:val="21"/>
        </w:rPr>
        <w:drawing>
          <wp:inline distT="0" distB="0" distL="0" distR="0">
            <wp:extent cx="3599815" cy="3036570"/>
            <wp:effectExtent l="0" t="0" r="635" b="1143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69" cstate="print">
                      <a:extLst>
                        <a:ext uri="{28A0092B-C50C-407E-A947-70E740481C1C}">
                          <a14:useLocalDpi xmlns:a14="http://schemas.microsoft.com/office/drawing/2010/main" val="0"/>
                        </a:ext>
                      </a:extLst>
                    </a:blip>
                    <a:srcRect l="10139" t="14584" r="25099" b="8102"/>
                    <a:stretch>
                      <a:fillRect/>
                    </a:stretch>
                  </pic:blipFill>
                  <pic:spPr>
                    <a:xfrm>
                      <a:off x="0" y="0"/>
                      <a:ext cx="3599815" cy="3036570"/>
                    </a:xfrm>
                    <a:prstGeom prst="rect">
                      <a:avLst/>
                    </a:prstGeom>
                    <a:ln>
                      <a:noFill/>
                    </a:ln>
                  </pic:spPr>
                </pic:pic>
              </a:graphicData>
            </a:graphic>
          </wp:inline>
        </w:drawing>
      </w:r>
    </w:p>
    <w:p>
      <w:pPr>
        <w:snapToGrid w:val="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主城区轨道交通规划图</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52" w:name="_Toc495586782"/>
      <w:r>
        <w:rPr>
          <w:rFonts w:hint="eastAsia" w:ascii="楷体_GB2312" w:hAnsi="楷体_GB2312" w:eastAsia="楷体_GB2312" w:cs="楷体_GB2312"/>
          <w:b/>
          <w:color w:val="auto"/>
          <w:sz w:val="24"/>
          <w:szCs w:val="24"/>
        </w:rPr>
        <w:t>6.2.10综合管廊总体布局</w:t>
      </w:r>
      <w:bookmarkEnd w:id="252"/>
    </w:p>
    <w:p>
      <w:pPr>
        <w:snapToGrid w:val="0"/>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结合许昌市主城区空间发展结构、分片发展指引、道路交通建设、公用管线主通道、历史城区保护及近期开发建设等要素综合分析，规划形成“七纵八横，两百公里；一主五副，六座中心”的综合管廊总体布局结构。</w:t>
      </w:r>
    </w:p>
    <w:p>
      <w:pPr>
        <w:spacing w:line="360" w:lineRule="auto"/>
        <w:ind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3168015" cy="4182745"/>
            <wp:effectExtent l="0" t="0" r="13335" b="8255"/>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168015" cy="4182745"/>
                    </a:xfrm>
                    <a:prstGeom prst="rect">
                      <a:avLst/>
                    </a:prstGeom>
                  </pic:spPr>
                </pic:pic>
              </a:graphicData>
            </a:graphic>
          </wp:inline>
        </w:drawing>
      </w:r>
    </w:p>
    <w:p>
      <w:pPr>
        <w:snapToGrid w:val="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许昌市综合管廊布局图</w:t>
      </w:r>
    </w:p>
    <w:p>
      <w:pPr>
        <w:snapToGrid w:val="0"/>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整个许昌市主城区设置一个互联互通的管廊系统，规划综合管廊总长约217公里，共涉及23条道路。规划共新增设置五座监控中心。其中主控中心一个，占地面积2000m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，副控中心四个，占地面积2000m</w:t>
      </w:r>
      <w:r>
        <w:rPr>
          <w:rFonts w:hint="eastAsia" w:ascii="楷体_GB2312" w:hAnsi="楷体_GB2312" w:eastAsia="楷体_GB2312" w:cs="楷体_GB2312"/>
          <w:color w:val="auto"/>
          <w:sz w:val="24"/>
          <w:vertAlign w:val="superscript"/>
        </w:rPr>
        <w:t>2</w:t>
      </w:r>
      <w:r>
        <w:rPr>
          <w:rFonts w:hint="eastAsia" w:ascii="楷体_GB2312" w:hAnsi="楷体_GB2312" w:eastAsia="楷体_GB2312" w:cs="楷体_GB2312"/>
          <w:color w:val="auto"/>
          <w:sz w:val="24"/>
        </w:rPr>
        <w:t>。</w:t>
      </w:r>
    </w:p>
    <w:p>
      <w:pPr>
        <w:snapToGrid w:val="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综合管廊规划一览表</w:t>
      </w:r>
    </w:p>
    <w:tbl>
      <w:tblPr>
        <w:tblStyle w:val="21"/>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3261"/>
        <w:gridCol w:w="1134"/>
        <w:gridCol w:w="41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shd w:val="clear" w:color="auto" w:fill="C2D69B" w:themeFill="accent3" w:themeFillTint="99"/>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序号</w:t>
            </w:r>
          </w:p>
        </w:tc>
        <w:tc>
          <w:tcPr>
            <w:tcW w:w="3261" w:type="dxa"/>
            <w:shd w:val="clear" w:color="auto" w:fill="C2D69B" w:themeFill="accent3" w:themeFillTint="99"/>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管廊（道路名称）</w:t>
            </w:r>
          </w:p>
        </w:tc>
        <w:tc>
          <w:tcPr>
            <w:tcW w:w="1134" w:type="dxa"/>
            <w:shd w:val="clear" w:color="auto" w:fill="C2D69B" w:themeFill="accent3" w:themeFillTint="99"/>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长度（km）</w:t>
            </w:r>
          </w:p>
        </w:tc>
        <w:tc>
          <w:tcPr>
            <w:tcW w:w="4110" w:type="dxa"/>
            <w:shd w:val="clear" w:color="auto" w:fill="C2D69B" w:themeFill="accent3" w:themeFillTint="99"/>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管廊设置主要考虑因素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忠武路（北苑大道~南外环路）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22.4</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主干路；新建道路；主干管；管线密集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2</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玉兰路（农大路~许由路）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15.7</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主干路；新建道路；高压走廊；主干管；管线密集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3</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魏文路(新元大道~永兴东路)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4.7</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主干路；新建道路；管线密集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4</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文峰路（农大路~许由路）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15.7</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主干路；部分拓宽；轨道交通；管线密集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5</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劳动路（永昌西路~许继大道）</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4.3</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主干路；高压走廊；主干管；管线密集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6</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解放路（许由路~南外环路）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3</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主干路；高压走廊；主干管；管线密集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7</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朝阳路（永昌西路~南外环路）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8.7</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主干路；新建道路；主干管；管线密集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8</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学院路（永昌东路~南外环路）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9.4</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次干路；高压走廊；轨道交通；主干管；管线密集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9</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滨河路（昌盛路~永昌西路）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4.6</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次干路；高压走廊；主干管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vMerge w:val="restart"/>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10</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灞陵路（新元大道~天宝路）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8.4</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主干路；新建道路；主干管；管线密集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vMerge w:val="continue"/>
          </w:tcPr>
          <w:p>
            <w:pPr>
              <w:spacing w:line="264" w:lineRule="auto"/>
              <w:rPr>
                <w:rFonts w:hint="eastAsia" w:ascii="楷体_GB2312" w:hAnsi="楷体_GB2312" w:eastAsia="楷体_GB2312" w:cs="楷体_GB2312"/>
                <w:color w:val="auto"/>
                <w:szCs w:val="21"/>
              </w:rPr>
            </w:pP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灞陵路（天宝路~屯田路）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6.2</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主干路；轨道交通；管线密集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11</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新元大道（灞陵路~中原路）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14</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主干路；新建、改建道路；穿铁路、高速；主干管；管线密集，部分轨道交通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12</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昌盛路（灞陵路~中原路）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14.3</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主干路；新建、改建道路；高压走廊；主干管；穿铁路、高速；管线密集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vMerge w:val="restart"/>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13</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永兴路（许州路~中原路）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5.6</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主干路；新建道路；高压走廊；主干管；穿铁路、高速；管线密集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vMerge w:val="continue"/>
          </w:tcPr>
          <w:p>
            <w:pPr>
              <w:spacing w:line="264" w:lineRule="auto"/>
              <w:rPr>
                <w:rFonts w:hint="eastAsia" w:ascii="楷体_GB2312" w:hAnsi="楷体_GB2312" w:eastAsia="楷体_GB2312" w:cs="楷体_GB2312"/>
                <w:color w:val="auto"/>
                <w:szCs w:val="21"/>
              </w:rPr>
            </w:pP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永兴路（文峰北路~许州路）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3.1</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主干路；沿线开发密度高；高压走廊；主干管；管线密集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vMerge w:val="continue"/>
          </w:tcPr>
          <w:p>
            <w:pPr>
              <w:spacing w:line="264" w:lineRule="auto"/>
              <w:rPr>
                <w:rFonts w:hint="eastAsia" w:ascii="楷体_GB2312" w:hAnsi="楷体_GB2312" w:eastAsia="楷体_GB2312" w:cs="楷体_GB2312"/>
                <w:color w:val="auto"/>
                <w:szCs w:val="21"/>
              </w:rPr>
            </w:pP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永兴路（西外环路~文峰北路）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6.2</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主干路；新建道路；穿铁路、高速；主干管；管线密集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14</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永昌东路（西外环路~中原路）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14.3</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快速路；高压走廊；主干管；管线密集；部分轨道交通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15</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天宝路（西外环路~许州路）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10.1</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主干路；轨道交通；主干管；管线密集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16</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花都路（学院路~中原路）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6.2</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主干路；高压走廊；管线密集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17</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许继大道（西外环路~劳动路）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4.5</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主干路；主干管；穿铁路、高速；管线密集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18</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颖昌路~七一路（劳动路~文峰路）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1.9</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主干路；穿铁路、高速；主干管；管线密集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19</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莲城大道（文峰路~学院路）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2.9</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主干路；穿铁路、高速；管线密集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vMerge w:val="restart"/>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20</w:t>
            </w:r>
          </w:p>
          <w:p>
            <w:pPr>
              <w:spacing w:line="264" w:lineRule="auto"/>
              <w:rPr>
                <w:rFonts w:hint="eastAsia" w:ascii="楷体_GB2312" w:hAnsi="楷体_GB2312" w:eastAsia="楷体_GB2312" w:cs="楷体_GB2312"/>
                <w:color w:val="auto"/>
                <w:szCs w:val="21"/>
              </w:rPr>
            </w:pP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许由路（西外环路~京港澳高速）</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11.9</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主干路；高压走廊；主干管；管线密集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vMerge w:val="continue"/>
          </w:tcPr>
          <w:p>
            <w:pPr>
              <w:spacing w:line="264" w:lineRule="auto"/>
              <w:rPr>
                <w:rFonts w:hint="eastAsia" w:ascii="楷体_GB2312" w:hAnsi="楷体_GB2312" w:eastAsia="楷体_GB2312" w:cs="楷体_GB2312"/>
                <w:color w:val="auto"/>
                <w:szCs w:val="21"/>
              </w:rPr>
            </w:pP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许由路（京港澳高速~中原路）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2.8</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主干路；新建道路；高压走廊；穿铁路、高速；管线密集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21</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屯田路（西外环路~魏武大道）</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10.6</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主干路；轨道交通；高压走廊；管线密集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22</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八一路（劳动路~文峰路）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1.5</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主干路；道路拓宽；高压走廊；重要地区；管线密集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675"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23</w:t>
            </w:r>
          </w:p>
        </w:tc>
        <w:tc>
          <w:tcPr>
            <w:tcW w:w="3261"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曹魏古城支路</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4.0</w:t>
            </w:r>
          </w:p>
        </w:tc>
        <w:tc>
          <w:tcPr>
            <w:tcW w:w="4110"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支路；重要区域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936" w:type="dxa"/>
            <w:gridSpan w:val="2"/>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合计</w:t>
            </w:r>
          </w:p>
        </w:tc>
        <w:tc>
          <w:tcPr>
            <w:tcW w:w="1134" w:type="dxa"/>
          </w:tcPr>
          <w:p>
            <w:pPr>
              <w:spacing w:line="264" w:lineRule="auto"/>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217</w:t>
            </w:r>
          </w:p>
        </w:tc>
        <w:tc>
          <w:tcPr>
            <w:tcW w:w="4110" w:type="dxa"/>
          </w:tcPr>
          <w:p>
            <w:pPr>
              <w:spacing w:line="264" w:lineRule="auto"/>
              <w:rPr>
                <w:rFonts w:hint="eastAsia" w:ascii="楷体_GB2312" w:hAnsi="楷体_GB2312" w:eastAsia="楷体_GB2312" w:cs="楷体_GB2312"/>
                <w:color w:val="auto"/>
                <w:szCs w:val="21"/>
              </w:rPr>
            </w:pPr>
          </w:p>
        </w:tc>
      </w:tr>
    </w:tbl>
    <w:p>
      <w:pPr>
        <w:spacing w:line="360" w:lineRule="auto"/>
        <w:ind w:firstLine="420" w:firstLineChars="200"/>
        <w:rPr>
          <w:rFonts w:hint="eastAsia" w:ascii="楷体_GB2312" w:hAnsi="楷体_GB2312" w:eastAsia="楷体_GB2312" w:cs="楷体_GB2312"/>
          <w:color w:val="auto"/>
          <w:szCs w:val="21"/>
        </w:rPr>
      </w:pP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53" w:name="_Toc495586783"/>
      <w:bookmarkStart w:id="254" w:name="_Toc13516"/>
      <w:r>
        <w:rPr>
          <w:rFonts w:hint="eastAsia" w:ascii="楷体_GB2312" w:hAnsi="楷体_GB2312" w:eastAsia="楷体_GB2312" w:cs="楷体_GB2312"/>
          <w:b/>
          <w:bCs w:val="0"/>
          <w:color w:val="auto"/>
          <w:sz w:val="28"/>
        </w:rPr>
        <w:t>6.3管线入廊规划及断面选型</w:t>
      </w:r>
      <w:bookmarkEnd w:id="253"/>
      <w:bookmarkEnd w:id="254"/>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55" w:name="_Toc495586784"/>
      <w:r>
        <w:rPr>
          <w:rFonts w:hint="eastAsia" w:ascii="楷体_GB2312" w:hAnsi="楷体_GB2312" w:eastAsia="楷体_GB2312" w:cs="楷体_GB2312"/>
          <w:b/>
          <w:color w:val="auto"/>
          <w:sz w:val="24"/>
          <w:szCs w:val="24"/>
        </w:rPr>
        <w:t>6.3.1国家政策及管廊规范规定</w:t>
      </w:r>
      <w:bookmarkEnd w:id="255"/>
    </w:p>
    <w:p>
      <w:pPr>
        <w:pageBreakBefore w:val="0"/>
        <w:numPr>
          <w:ilvl w:val="0"/>
          <w:numId w:val="0"/>
        </w:numPr>
        <w:kinsoku/>
        <w:wordWrap/>
        <w:overflowPunct/>
        <w:topLinePunct w:val="0"/>
        <w:autoSpaceDE/>
        <w:autoSpaceDN/>
        <w:bidi w:val="0"/>
        <w:adjustRightInd/>
        <w:snapToGrid/>
        <w:spacing w:line="360" w:lineRule="auto"/>
        <w:ind w:left="0" w:leftChars="0" w:right="0" w:rightChars="0"/>
        <w:jc w:val="both"/>
        <w:textAlignment w:val="auto"/>
        <w:outlineLvl w:val="9"/>
        <w:rPr>
          <w:rFonts w:hint="eastAsia" w:ascii="楷体_GB2312" w:hAnsi="楷体_GB2312" w:eastAsia="楷体_GB2312" w:cs="楷体_GB2312"/>
          <w:b/>
          <w:bCs/>
          <w:color w:val="auto"/>
          <w:sz w:val="24"/>
          <w:szCs w:val="24"/>
        </w:rPr>
      </w:pPr>
      <w:bookmarkStart w:id="256" w:name="_Toc495586785"/>
      <w:r>
        <w:rPr>
          <w:rFonts w:hint="eastAsia" w:ascii="楷体_GB2312" w:hAnsi="楷体_GB2312" w:eastAsia="楷体_GB2312" w:cs="楷体_GB2312"/>
          <w:b/>
          <w:bCs/>
          <w:color w:val="auto"/>
          <w:sz w:val="24"/>
          <w:szCs w:val="24"/>
        </w:rPr>
        <w:t>1. 国家入廊相关政策</w:t>
      </w:r>
      <w:bookmarkEnd w:id="256"/>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根据《城市综合管廊工程技术规范》GB50838-2015有关规定，关于进一步加强城市规划建设管理工作的若干意见（中发〔2016〕6号）明确入廊要求：“凡建有地下综合管廊的区域，各类管线必须全部入廊，管廊以外区域不得新建管线。” 新规定严格全部入廊。</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城市规划区范围内的各类管线原则上应敷设于地下空间。已建设地下综合管廊的区域，该区域内的所有管线必须入廊。在地下综合管廊以外的位置新建管线的，规划部门不予许可审批，建设部门不予施工许可审批，市政道路部门不予掘路许可审批。既有管线应根据实际情况逐步有序迁移至地下综合管廊。</w:t>
      </w:r>
    </w:p>
    <w:p>
      <w:pPr>
        <w:pageBreakBefore w:val="0"/>
        <w:numPr>
          <w:ilvl w:val="0"/>
          <w:numId w:val="0"/>
        </w:numPr>
        <w:kinsoku/>
        <w:wordWrap/>
        <w:overflowPunct/>
        <w:topLinePunct w:val="0"/>
        <w:autoSpaceDE/>
        <w:autoSpaceDN/>
        <w:bidi w:val="0"/>
        <w:adjustRightInd/>
        <w:snapToGrid/>
        <w:spacing w:line="360" w:lineRule="auto"/>
        <w:ind w:left="0" w:leftChars="0" w:right="0" w:rightChars="0"/>
        <w:jc w:val="both"/>
        <w:textAlignment w:val="auto"/>
        <w:outlineLvl w:val="9"/>
        <w:rPr>
          <w:rFonts w:hint="eastAsia" w:ascii="楷体_GB2312" w:hAnsi="楷体_GB2312" w:eastAsia="楷体_GB2312" w:cs="楷体_GB2312"/>
          <w:b/>
          <w:bCs/>
          <w:color w:val="auto"/>
          <w:sz w:val="24"/>
          <w:szCs w:val="24"/>
        </w:rPr>
      </w:pPr>
      <w:bookmarkStart w:id="257" w:name="_Toc495586786"/>
      <w:r>
        <w:rPr>
          <w:rFonts w:hint="eastAsia" w:ascii="楷体_GB2312" w:hAnsi="楷体_GB2312" w:eastAsia="楷体_GB2312" w:cs="楷体_GB2312"/>
          <w:b/>
          <w:bCs/>
          <w:color w:val="auto"/>
          <w:sz w:val="24"/>
          <w:szCs w:val="24"/>
        </w:rPr>
        <w:t>2. 管廊规范要求</w:t>
      </w:r>
      <w:bookmarkEnd w:id="257"/>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根据《中共中央国务院关于进一步加强城市规划建设管理工作的若干意见》，国办发〔2015〕61号文“国务院办公厅关于推进城市地下综合管廊建设的指导意见” ，《城市综合管廊工程技术规范》（GB50838－2015），“给水、雨水、污水、再生水、天然气、热力、电力、通信等城市工程管线可纳入综合管廊。天然气管道应在独立舱室内敷设，热力管道采用蒸汽介质时应在独立舱室内敷设，热力管道不应与电力电缆同舱敷设。”</w:t>
      </w:r>
    </w:p>
    <w:p>
      <w:pPr>
        <w:pageBreakBefore w:val="0"/>
        <w:numPr>
          <w:ilvl w:val="0"/>
          <w:numId w:val="0"/>
        </w:numPr>
        <w:kinsoku/>
        <w:wordWrap/>
        <w:overflowPunct/>
        <w:topLinePunct w:val="0"/>
        <w:autoSpaceDE/>
        <w:autoSpaceDN/>
        <w:bidi w:val="0"/>
        <w:adjustRightInd/>
        <w:snapToGrid/>
        <w:spacing w:line="360" w:lineRule="auto"/>
        <w:ind w:left="0" w:leftChars="0" w:right="0" w:rightChars="0"/>
        <w:jc w:val="both"/>
        <w:textAlignment w:val="auto"/>
        <w:outlineLvl w:val="9"/>
        <w:rPr>
          <w:rFonts w:hint="eastAsia" w:ascii="楷体_GB2312" w:hAnsi="楷体_GB2312" w:eastAsia="楷体_GB2312" w:cs="楷体_GB2312"/>
          <w:b/>
          <w:bCs/>
          <w:color w:val="auto"/>
          <w:sz w:val="24"/>
          <w:szCs w:val="24"/>
        </w:rPr>
      </w:pPr>
      <w:bookmarkStart w:id="258" w:name="_Toc495586787"/>
      <w:r>
        <w:rPr>
          <w:rFonts w:hint="eastAsia" w:ascii="楷体_GB2312" w:hAnsi="楷体_GB2312" w:eastAsia="楷体_GB2312" w:cs="楷体_GB2312"/>
          <w:b/>
          <w:bCs/>
          <w:color w:val="auto"/>
          <w:sz w:val="24"/>
          <w:szCs w:val="24"/>
        </w:rPr>
        <w:t>3. 试点城市管廊种类</w:t>
      </w:r>
      <w:bookmarkEnd w:id="258"/>
    </w:p>
    <w:p>
      <w:pPr>
        <w:pageBreakBefore w:val="0"/>
        <w:kinsoku/>
        <w:wordWrap/>
        <w:overflowPunct/>
        <w:topLinePunct w:val="0"/>
        <w:autoSpaceDE/>
        <w:autoSpaceDN/>
        <w:bidi w:val="0"/>
        <w:adjustRightInd/>
        <w:snapToGrid/>
        <w:spacing w:line="360" w:lineRule="auto"/>
        <w:ind w:left="0" w:leftChars="0" w:right="0" w:rightChars="0" w:firstLine="42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试点城市情况：</w:t>
      </w:r>
    </w:p>
    <w:p>
      <w:pPr>
        <w:pageBreakBefore w:val="0"/>
        <w:kinsoku/>
        <w:wordWrap/>
        <w:overflowPunct/>
        <w:topLinePunct w:val="0"/>
        <w:autoSpaceDE/>
        <w:autoSpaceDN/>
        <w:bidi w:val="0"/>
        <w:adjustRightInd/>
        <w:snapToGrid/>
        <w:spacing w:line="360" w:lineRule="auto"/>
        <w:ind w:left="0" w:leftChars="0" w:right="0" w:rightChars="0" w:firstLine="42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包头：供水、电力、通讯、热力、中水全部入廊为示范段</w:t>
      </w:r>
    </w:p>
    <w:p>
      <w:pPr>
        <w:pageBreakBefore w:val="0"/>
        <w:kinsoku/>
        <w:wordWrap/>
        <w:overflowPunct/>
        <w:topLinePunct w:val="0"/>
        <w:autoSpaceDE/>
        <w:autoSpaceDN/>
        <w:bidi w:val="0"/>
        <w:adjustRightInd/>
        <w:snapToGrid/>
        <w:spacing w:line="360" w:lineRule="auto"/>
        <w:ind w:left="0" w:leftChars="0" w:right="0" w:rightChars="0" w:firstLine="42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哈尔滨：供水、电力、通讯、热力、中水全部入廊为示范段</w:t>
      </w:r>
    </w:p>
    <w:p>
      <w:pPr>
        <w:pageBreakBefore w:val="0"/>
        <w:kinsoku/>
        <w:wordWrap/>
        <w:overflowPunct/>
        <w:topLinePunct w:val="0"/>
        <w:autoSpaceDE/>
        <w:autoSpaceDN/>
        <w:bidi w:val="0"/>
        <w:adjustRightInd/>
        <w:snapToGrid/>
        <w:spacing w:line="360" w:lineRule="auto"/>
        <w:ind w:left="0" w:leftChars="0" w:right="0" w:rightChars="0" w:firstLine="42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长沙、海口、苏州、杭州：供水、电力、通讯，部分燃气，预留中水</w:t>
      </w:r>
    </w:p>
    <w:p>
      <w:pPr>
        <w:pageBreakBefore w:val="0"/>
        <w:kinsoku/>
        <w:wordWrap/>
        <w:overflowPunct/>
        <w:topLinePunct w:val="0"/>
        <w:autoSpaceDE/>
        <w:autoSpaceDN/>
        <w:bidi w:val="0"/>
        <w:adjustRightInd/>
        <w:snapToGrid/>
        <w:spacing w:line="360" w:lineRule="auto"/>
        <w:ind w:left="0" w:leftChars="0" w:right="0" w:rightChars="0" w:firstLine="42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 xml:space="preserve">      全部入廊为示范段</w:t>
      </w:r>
    </w:p>
    <w:p>
      <w:pPr>
        <w:pageBreakBefore w:val="0"/>
        <w:kinsoku/>
        <w:wordWrap/>
        <w:overflowPunct/>
        <w:topLinePunct w:val="0"/>
        <w:autoSpaceDE/>
        <w:autoSpaceDN/>
        <w:bidi w:val="0"/>
        <w:adjustRightInd/>
        <w:snapToGrid/>
        <w:spacing w:line="360" w:lineRule="auto"/>
        <w:ind w:left="0" w:leftChars="0" w:right="0" w:rightChars="0" w:firstLine="42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因此，许昌市综合管廊在原则上必须容纳所有的市政管线，在各条管廊实施时需根据各道路下的市政管线的实际和规划情况，并经过经济技术比较，方案论证后确定全部入廊的道路。下面对各种管线逐一分析。</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59" w:name="_Toc495586788"/>
      <w:r>
        <w:rPr>
          <w:rFonts w:hint="eastAsia" w:ascii="楷体_GB2312" w:hAnsi="楷体_GB2312" w:eastAsia="楷体_GB2312" w:cs="楷体_GB2312"/>
          <w:b/>
          <w:color w:val="auto"/>
          <w:sz w:val="24"/>
          <w:szCs w:val="24"/>
        </w:rPr>
        <w:t>6.3.2入廊管线种类分析</w:t>
      </w:r>
      <w:bookmarkEnd w:id="259"/>
    </w:p>
    <w:p>
      <w:pPr>
        <w:pageBreakBefore w:val="0"/>
        <w:kinsoku/>
        <w:wordWrap/>
        <w:overflowPunct/>
        <w:topLinePunct w:val="0"/>
        <w:autoSpaceDE/>
        <w:autoSpaceDN/>
        <w:bidi w:val="0"/>
        <w:adjustRightInd/>
        <w:snapToGrid/>
        <w:spacing w:line="360" w:lineRule="auto"/>
        <w:ind w:left="0" w:leftChars="0" w:right="0" w:rightChars="0"/>
        <w:jc w:val="both"/>
        <w:textAlignment w:val="auto"/>
        <w:outlineLvl w:val="9"/>
        <w:rPr>
          <w:rFonts w:hint="eastAsia" w:ascii="楷体_GB2312" w:hAnsi="楷体_GB2312" w:eastAsia="楷体_GB2312" w:cs="楷体_GB2312"/>
          <w:b/>
          <w:color w:val="auto"/>
          <w:sz w:val="24"/>
          <w:szCs w:val="24"/>
        </w:rPr>
      </w:pPr>
      <w:r>
        <w:rPr>
          <w:rFonts w:hint="eastAsia" w:ascii="楷体_GB2312" w:hAnsi="楷体_GB2312" w:eastAsia="楷体_GB2312" w:cs="楷体_GB2312"/>
          <w:b/>
          <w:color w:val="auto"/>
          <w:sz w:val="24"/>
          <w:szCs w:val="24"/>
        </w:rPr>
        <w:t>1. 电力线缆</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可行性：该管线入廊技术可行；可结合架空线入地或修建电缆沟扩展成建设综合管廊；架空线路入廊可释放带状空间，提高土地利用价值。</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选线：综合管廊支线应尽量覆盖所有规划变电站位置，使达到架空线几乎全入地。电力≤220kV可以入廊。建有管廊区架空线路全入廊，220、110kV管线采用干支线型管廊，历史城区部分，采用缆线型管廊。</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入廊形式：1）当超高压电缆规划回数较多（≥5回）时，将超高压电缆（220kV，110kV）单独置于高压电力舱，将电力电缆（10kV及以下）与通信置于电力舱；2）当超高压电缆规划回数较少（＜5回）时，将电力电缆（含220kV、110kV、10kV）集中布置在电力舱。3）道路照明电缆通常为380V/220V，当路灯位于管廊上方附近时，道路照明线缆就近入廊。但当路灯位于道路另一侧时，则照明电缆直埋。</w:t>
      </w:r>
    </w:p>
    <w:p>
      <w:pPr>
        <w:pageBreakBefore w:val="0"/>
        <w:kinsoku/>
        <w:wordWrap/>
        <w:overflowPunct/>
        <w:topLinePunct w:val="0"/>
        <w:autoSpaceDE/>
        <w:autoSpaceDN/>
        <w:bidi w:val="0"/>
        <w:adjustRightInd/>
        <w:snapToGrid/>
        <w:spacing w:line="360" w:lineRule="auto"/>
        <w:ind w:left="0" w:leftChars="0" w:right="0" w:rightChars="0"/>
        <w:jc w:val="both"/>
        <w:textAlignment w:val="auto"/>
        <w:outlineLvl w:val="9"/>
        <w:rPr>
          <w:rFonts w:hint="eastAsia" w:ascii="楷体_GB2312" w:hAnsi="楷体_GB2312" w:eastAsia="楷体_GB2312" w:cs="楷体_GB2312"/>
          <w:b/>
          <w:color w:val="auto"/>
          <w:sz w:val="24"/>
          <w:szCs w:val="24"/>
        </w:rPr>
      </w:pPr>
      <w:r>
        <w:rPr>
          <w:rFonts w:hint="eastAsia" w:ascii="楷体_GB2312" w:hAnsi="楷体_GB2312" w:eastAsia="楷体_GB2312" w:cs="楷体_GB2312"/>
          <w:b/>
          <w:color w:val="auto"/>
          <w:sz w:val="24"/>
          <w:szCs w:val="24"/>
        </w:rPr>
        <w:t>2. 通信线缆</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可行性：电信管线在管廊敷设可避免电信管线被意外破坏，提高运行安全。一般可与电力廊道同步入廊，无任何技术问题。</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入廊形式：本规划在进行断面布置时，在综合管廊内一般预留2-3排桥架空间，可满足18-24孔通信线缆敷设需求，干线路段预留36孔通信线缆敷设需求。</w:t>
      </w:r>
    </w:p>
    <w:p>
      <w:pPr>
        <w:pageBreakBefore w:val="0"/>
        <w:kinsoku/>
        <w:wordWrap/>
        <w:overflowPunct/>
        <w:topLinePunct w:val="0"/>
        <w:autoSpaceDE/>
        <w:autoSpaceDN/>
        <w:bidi w:val="0"/>
        <w:adjustRightInd/>
        <w:snapToGrid/>
        <w:spacing w:line="360" w:lineRule="auto"/>
        <w:ind w:left="0" w:leftChars="0" w:right="0" w:rightChars="0"/>
        <w:jc w:val="both"/>
        <w:textAlignment w:val="auto"/>
        <w:outlineLvl w:val="9"/>
        <w:rPr>
          <w:rFonts w:hint="eastAsia" w:ascii="楷体_GB2312" w:hAnsi="楷体_GB2312" w:eastAsia="楷体_GB2312" w:cs="楷体_GB2312"/>
          <w:b/>
          <w:color w:val="auto"/>
          <w:sz w:val="24"/>
          <w:szCs w:val="24"/>
        </w:rPr>
      </w:pPr>
      <w:r>
        <w:rPr>
          <w:rFonts w:hint="eastAsia" w:ascii="楷体_GB2312" w:hAnsi="楷体_GB2312" w:eastAsia="楷体_GB2312" w:cs="楷体_GB2312"/>
          <w:b/>
          <w:color w:val="auto"/>
          <w:sz w:val="24"/>
          <w:szCs w:val="24"/>
        </w:rPr>
        <w:t>3. 给水管道</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供水管线为压力管，大部分道路下的供水管线口径一般在DN1000以下，可以单根也可多根，这类管线一般都会考虑纳入综合管廊。</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可行性：原则上随着管廊建设同步入廊。综合管廊特别针对供水管道事故爆管设有报警及应对措施，供水管道纳入综合管廊已无任何技术问题。</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入廊形式：本规划在进行断面布置时，给水管一般设置在综合舱，预留中水管道安装位置。</w:t>
      </w:r>
    </w:p>
    <w:p>
      <w:pPr>
        <w:pageBreakBefore w:val="0"/>
        <w:kinsoku/>
        <w:wordWrap/>
        <w:overflowPunct/>
        <w:topLinePunct w:val="0"/>
        <w:autoSpaceDE/>
        <w:autoSpaceDN/>
        <w:bidi w:val="0"/>
        <w:adjustRightInd/>
        <w:snapToGrid/>
        <w:spacing w:line="360" w:lineRule="auto"/>
        <w:ind w:left="0" w:leftChars="0" w:right="0" w:rightChars="0"/>
        <w:jc w:val="both"/>
        <w:textAlignment w:val="auto"/>
        <w:outlineLvl w:val="9"/>
        <w:rPr>
          <w:rFonts w:hint="eastAsia" w:ascii="楷体_GB2312" w:hAnsi="楷体_GB2312" w:eastAsia="楷体_GB2312" w:cs="楷体_GB2312"/>
          <w:b/>
          <w:color w:val="auto"/>
          <w:sz w:val="24"/>
          <w:szCs w:val="24"/>
        </w:rPr>
      </w:pPr>
      <w:r>
        <w:rPr>
          <w:rFonts w:hint="eastAsia" w:ascii="楷体_GB2312" w:hAnsi="楷体_GB2312" w:eastAsia="楷体_GB2312" w:cs="楷体_GB2312"/>
          <w:b/>
          <w:color w:val="auto"/>
          <w:sz w:val="24"/>
          <w:szCs w:val="24"/>
        </w:rPr>
        <w:t>4. 供热管道</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供热及供冷管道进入综合管廊并没有技术问题，但是这类管道的外包尺寸较大，管道外设置较厚的保温层，进入综合管廊时要占用较大空间，对综合管廊工程的造价影响明显。</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可行性：热力管线在北方供暖地区普遍入廊，因此建议随管廊建设同步入廊。</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注意事项：热力管不宜与电力线缆同舱，需采用蒸汽介质时应在独立舱室内敷设。</w:t>
      </w:r>
    </w:p>
    <w:p>
      <w:pPr>
        <w:pageBreakBefore w:val="0"/>
        <w:kinsoku/>
        <w:wordWrap/>
        <w:overflowPunct/>
        <w:topLinePunct w:val="0"/>
        <w:autoSpaceDE/>
        <w:autoSpaceDN/>
        <w:bidi w:val="0"/>
        <w:adjustRightInd/>
        <w:snapToGrid/>
        <w:spacing w:line="360" w:lineRule="auto"/>
        <w:ind w:left="0" w:leftChars="0" w:right="0" w:rightChars="0"/>
        <w:jc w:val="both"/>
        <w:textAlignment w:val="auto"/>
        <w:outlineLvl w:val="9"/>
        <w:rPr>
          <w:rFonts w:hint="eastAsia" w:ascii="楷体_GB2312" w:hAnsi="楷体_GB2312" w:eastAsia="楷体_GB2312" w:cs="楷体_GB2312"/>
          <w:b/>
          <w:color w:val="auto"/>
          <w:sz w:val="24"/>
          <w:szCs w:val="24"/>
        </w:rPr>
      </w:pPr>
      <w:r>
        <w:rPr>
          <w:rFonts w:hint="eastAsia" w:ascii="楷体_GB2312" w:hAnsi="楷体_GB2312" w:eastAsia="楷体_GB2312" w:cs="楷体_GB2312"/>
          <w:b/>
          <w:color w:val="auto"/>
          <w:sz w:val="24"/>
          <w:szCs w:val="24"/>
        </w:rPr>
        <w:t>5. 燃气管道</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城市综合管廊工程技术规范》（GB50838-2015）规定天然气管线可纳入综合管廊，国、内外的综合管廊中，也有燃气管道敷设于综合管廊的工程实例。燃气管线进入综合管廊，应采取多种措施，确保管线的安全可靠运营。</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燃气管道在综合管廊内不易受外界因素的干扰而破坏，如管线叠加引起的爆裂、外界施工引起的泄漏等，提高了供气安全性。依靠综合管廊内的监控设备可随时掌握管线状况，发生泄漏时可及时采取补救措施，最大程度降低灾害的发生和造成的损失，并且避免了直埋铺设时管线维修引起的道路开挖和景观破坏。燃气管道进入管廊，在技术上具有可行性。</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但是燃气管道进入综合管廊存在以下问题。综合管廊全线需设置燃气泄漏报警装置以及温度感应报警装置，对综合管廊进行实时监控，大幅增加了工程造价及维护管理工作量；燃气管道需设置专用密闭廊道，加大综合管廊断面尺寸，也大幅增加了成本造价。</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入廊条件：</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（1）新建道路，且有机非分隔带红线宽度≥25m道路可以入廊；老城区改造道路，不建议燃气管线入廊；</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（2）可以中压管线入廊；高压燃气（1.6-4.0MPa）、次高压（0.8-1.6MPa）燃气不建议入廊。</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（3）天然气管道应在独立舱室内敷设；含天然气管道舱室的综合管廊不应与其他建（构）筑物合建。</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原因分析：</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a. 天然气舱室通风口与其它舱室孔口、周边建筑物口部距离要满足不小于10m</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 xml:space="preserve">b. 天然气舱要设独立逃生口 </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c. 若内压高，管径一般大于DN350，一旦发生泄漏，会在瞬间达到爆炸极限浓度范围，排风装置无法及时启动。</w:t>
      </w:r>
    </w:p>
    <w:p>
      <w:pPr>
        <w:pageBreakBefore w:val="0"/>
        <w:kinsoku/>
        <w:wordWrap/>
        <w:overflowPunct/>
        <w:topLinePunct w:val="0"/>
        <w:autoSpaceDE/>
        <w:autoSpaceDN/>
        <w:bidi w:val="0"/>
        <w:adjustRightInd/>
        <w:snapToGrid/>
        <w:spacing w:line="360" w:lineRule="auto"/>
        <w:ind w:left="0" w:leftChars="0" w:right="0" w:rightChars="0"/>
        <w:jc w:val="both"/>
        <w:textAlignment w:val="auto"/>
        <w:outlineLvl w:val="9"/>
        <w:rPr>
          <w:rFonts w:hint="eastAsia" w:ascii="楷体_GB2312" w:hAnsi="楷体_GB2312" w:eastAsia="楷体_GB2312" w:cs="楷体_GB2312"/>
          <w:b/>
          <w:color w:val="auto"/>
          <w:sz w:val="24"/>
          <w:szCs w:val="24"/>
        </w:rPr>
      </w:pPr>
      <w:r>
        <w:rPr>
          <w:rFonts w:hint="eastAsia" w:ascii="楷体_GB2312" w:hAnsi="楷体_GB2312" w:eastAsia="楷体_GB2312" w:cs="楷体_GB2312"/>
          <w:b/>
          <w:color w:val="auto"/>
          <w:sz w:val="24"/>
          <w:szCs w:val="24"/>
        </w:rPr>
        <w:t>6. 排水管道</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排水管线分为雨水管道和污水管道，一般为重力流，受标高限制，埋设较深，对管道材质要求较低。雨水管道管径较大且支管多，就近排入水体，一般情况下雨水管道以箱涵形式进入综合管廊，并可保证一定的坡度要求。</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污水管道通常每隔40米左右设置检查井进行清通管理，收集的污水会产生硫化氢和甲烷等有毒、易燃、易爆气体。所以污水管进入综合管廊，不仅要求综合管廊的纵断面随之变化，且每隔一定距离需要设置通风管以维持空气正常流通，还需配套硫化氢和甲烷气体监测与防护设备，这些都极大地提高了综合管廊的造价，需综合考虑。</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入廊条件：在不增加管廊埋深的情况下，重力流雨水、污水管道可以入廊。</w:t>
      </w:r>
    </w:p>
    <w:p>
      <w:pPr>
        <w:pageBreakBefore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压力污水管可以入廊，且规划有排水箱涵，可考虑合建。在河网密度较低区域雨水可适当纳入管廊。</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60" w:name="_Toc495586789"/>
      <w:r>
        <w:rPr>
          <w:rFonts w:hint="eastAsia" w:ascii="楷体_GB2312" w:hAnsi="楷体_GB2312" w:eastAsia="楷体_GB2312" w:cs="楷体_GB2312"/>
          <w:b/>
          <w:color w:val="auto"/>
          <w:sz w:val="24"/>
          <w:szCs w:val="24"/>
        </w:rPr>
        <w:t>6.3.3入廊管线确定</w:t>
      </w:r>
      <w:bookmarkEnd w:id="260"/>
    </w:p>
    <w:p>
      <w:pPr>
        <w:keepNext w:val="0"/>
        <w:keepLines w:val="0"/>
        <w:pageBreakBefore w:val="0"/>
        <w:widowControl w:val="0"/>
        <w:kinsoku/>
        <w:wordWrap/>
        <w:overflowPunct/>
        <w:topLinePunct w:val="0"/>
        <w:autoSpaceDE/>
        <w:autoSpaceDN/>
        <w:bidi w:val="0"/>
        <w:adjustRightInd/>
        <w:spacing w:line="360" w:lineRule="auto"/>
        <w:ind w:left="0" w:leftChars="0" w:right="0" w:rightChars="0" w:firstLine="480" w:firstLineChars="200"/>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目前国内给水、再生水、污水压力管等压力流水管，以及高压电缆、中低压电缆、通信电缆等管线全部纳入市政管廊。重力管道全部不纳入管廊，部分管廊纳入了燃气管道和热力管道。</w:t>
      </w:r>
    </w:p>
    <w:p>
      <w:pPr>
        <w:keepNext w:val="0"/>
        <w:keepLines w:val="0"/>
        <w:pageBreakBefore w:val="0"/>
        <w:widowControl w:val="0"/>
        <w:kinsoku/>
        <w:wordWrap/>
        <w:overflowPunct/>
        <w:topLinePunct w:val="0"/>
        <w:autoSpaceDE/>
        <w:autoSpaceDN/>
        <w:bidi w:val="0"/>
        <w:adjustRightInd/>
        <w:snapToGrid w:val="0"/>
        <w:ind w:left="0" w:leftChars="0" w:right="0" w:rightChars="0"/>
        <w:jc w:val="center"/>
        <w:textAlignment w:val="auto"/>
        <w:outlineLvl w:val="9"/>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国内已建项目入廊管线一览表</w:t>
      </w:r>
    </w:p>
    <w:p>
      <w:pPr>
        <w:keepNext w:val="0"/>
        <w:keepLines w:val="0"/>
        <w:pageBreakBefore w:val="0"/>
        <w:widowControl w:val="0"/>
        <w:kinsoku/>
        <w:wordWrap/>
        <w:overflowPunct/>
        <w:topLinePunct w:val="0"/>
        <w:autoSpaceDE/>
        <w:autoSpaceDN/>
        <w:bidi w:val="0"/>
        <w:adjustRightInd/>
        <w:snapToGrid w:val="0"/>
        <w:ind w:left="0" w:leftChars="0" w:right="0" w:rightChars="0"/>
        <w:jc w:val="center"/>
        <w:textAlignment w:val="auto"/>
        <w:outlineLvl w:val="9"/>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drawing>
          <wp:inline distT="0" distB="0" distL="0" distR="0">
            <wp:extent cx="5166360" cy="3108325"/>
            <wp:effectExtent l="0" t="0" r="15240" b="1587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5166360" cy="310832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pacing w:line="360" w:lineRule="auto"/>
        <w:ind w:left="0" w:leftChars="0" w:right="0" w:rightChars="0" w:firstLine="480" w:firstLineChars="200"/>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综合国内外管线入廊经验，结合许昌市自身特点及经济实力，确定如下管线入廊方案：</w:t>
      </w:r>
    </w:p>
    <w:p>
      <w:pPr>
        <w:keepNext w:val="0"/>
        <w:keepLines w:val="0"/>
        <w:pageBreakBefore w:val="0"/>
        <w:widowControl w:val="0"/>
        <w:kinsoku/>
        <w:wordWrap/>
        <w:overflowPunct/>
        <w:topLinePunct w:val="0"/>
        <w:autoSpaceDE/>
        <w:autoSpaceDN/>
        <w:bidi w:val="0"/>
        <w:adjustRightInd/>
        <w:spacing w:line="360" w:lineRule="auto"/>
        <w:ind w:left="0" w:leftChars="0" w:right="0" w:rightChars="0" w:firstLine="480" w:firstLineChars="200"/>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（1）建设有综合管廊的道路下，给水、中水、电力、通信、热力管线全部入廊；</w:t>
      </w:r>
    </w:p>
    <w:p>
      <w:pPr>
        <w:keepNext w:val="0"/>
        <w:keepLines w:val="0"/>
        <w:pageBreakBefore w:val="0"/>
        <w:widowControl w:val="0"/>
        <w:kinsoku/>
        <w:wordWrap/>
        <w:overflowPunct/>
        <w:topLinePunct w:val="0"/>
        <w:autoSpaceDE/>
        <w:autoSpaceDN/>
        <w:bidi w:val="0"/>
        <w:adjustRightInd/>
        <w:spacing w:line="360" w:lineRule="auto"/>
        <w:ind w:left="0" w:leftChars="0" w:right="0" w:rightChars="0" w:firstLine="480" w:firstLineChars="200"/>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（2）建设有综合管廊的道路下，新建燃气、污水管线有条件必须入廊；对于现状燃气和污水管道，根据管道现状情况确定是否入廊；</w:t>
      </w:r>
    </w:p>
    <w:p>
      <w:pPr>
        <w:keepNext w:val="0"/>
        <w:keepLines w:val="0"/>
        <w:pageBreakBefore w:val="0"/>
        <w:widowControl w:val="0"/>
        <w:kinsoku/>
        <w:wordWrap/>
        <w:overflowPunct/>
        <w:topLinePunct w:val="0"/>
        <w:autoSpaceDE/>
        <w:autoSpaceDN/>
        <w:bidi w:val="0"/>
        <w:adjustRightInd/>
        <w:spacing w:line="360" w:lineRule="auto"/>
        <w:ind w:left="0" w:leftChars="0" w:right="0" w:rightChars="0" w:firstLine="480" w:firstLineChars="200"/>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（3）局部路段考虑雨水入廊。</w:t>
      </w:r>
    </w:p>
    <w:p>
      <w:pPr>
        <w:snapToGrid w:val="0"/>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入廊管线规划一览表</w:t>
      </w:r>
    </w:p>
    <w:tbl>
      <w:tblPr>
        <w:tblStyle w:val="21"/>
        <w:tblW w:w="8946" w:type="dxa"/>
        <w:jc w:val="center"/>
        <w:tblInd w:w="93" w:type="dxa"/>
        <w:tblLayout w:type="fixed"/>
        <w:tblCellMar>
          <w:top w:w="0" w:type="dxa"/>
          <w:left w:w="108" w:type="dxa"/>
          <w:bottom w:w="0" w:type="dxa"/>
          <w:right w:w="108" w:type="dxa"/>
        </w:tblCellMar>
      </w:tblPr>
      <w:tblGrid>
        <w:gridCol w:w="441"/>
        <w:gridCol w:w="992"/>
        <w:gridCol w:w="850"/>
        <w:gridCol w:w="756"/>
        <w:gridCol w:w="630"/>
        <w:gridCol w:w="882"/>
        <w:gridCol w:w="644"/>
        <w:gridCol w:w="774"/>
        <w:gridCol w:w="765"/>
        <w:gridCol w:w="794"/>
        <w:gridCol w:w="1418"/>
      </w:tblGrid>
      <w:tr>
        <w:tblPrEx>
          <w:tblLayout w:type="fixed"/>
          <w:tblCellMar>
            <w:top w:w="0" w:type="dxa"/>
            <w:left w:w="108" w:type="dxa"/>
            <w:bottom w:w="0" w:type="dxa"/>
            <w:right w:w="108" w:type="dxa"/>
          </w:tblCellMar>
        </w:tblPrEx>
        <w:trPr>
          <w:trHeight w:val="270" w:hRule="atLeast"/>
          <w:tblHeader/>
          <w:jc w:val="center"/>
        </w:trPr>
        <w:tc>
          <w:tcPr>
            <w:tcW w:w="1433" w:type="dxa"/>
            <w:gridSpan w:val="2"/>
            <w:vMerge w:val="restart"/>
            <w:tcBorders>
              <w:top w:val="single" w:color="auto" w:sz="4" w:space="0"/>
              <w:left w:val="single" w:color="auto" w:sz="4" w:space="0"/>
              <w:bottom w:val="single" w:color="auto" w:sz="4" w:space="0"/>
              <w:right w:val="single" w:color="auto" w:sz="4" w:space="0"/>
            </w:tcBorders>
            <w:shd w:val="clear" w:color="auto" w:fill="C2D69B" w:themeFill="accent3" w:themeFillTint="99"/>
            <w:vAlign w:val="center"/>
          </w:tcPr>
          <w:p>
            <w:pPr>
              <w:spacing w:line="200" w:lineRule="exact"/>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管廊路段</w:t>
            </w:r>
          </w:p>
        </w:tc>
        <w:tc>
          <w:tcPr>
            <w:tcW w:w="850" w:type="dxa"/>
            <w:vMerge w:val="restart"/>
            <w:tcBorders>
              <w:top w:val="single" w:color="auto" w:sz="4" w:space="0"/>
              <w:left w:val="single" w:color="auto" w:sz="4" w:space="0"/>
              <w:bottom w:val="single" w:color="auto" w:sz="4" w:space="0"/>
              <w:right w:val="single" w:color="auto" w:sz="4" w:space="0"/>
            </w:tcBorders>
            <w:shd w:val="clear" w:color="auto" w:fill="C2D69B" w:themeFill="accent3" w:themeFillTint="99"/>
            <w:vAlign w:val="center"/>
          </w:tcPr>
          <w:p>
            <w:pPr>
              <w:spacing w:line="200" w:lineRule="exact"/>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给水</w:t>
            </w:r>
          </w:p>
        </w:tc>
        <w:tc>
          <w:tcPr>
            <w:tcW w:w="756" w:type="dxa"/>
            <w:vMerge w:val="restart"/>
            <w:tcBorders>
              <w:top w:val="single" w:color="auto" w:sz="4" w:space="0"/>
              <w:left w:val="single" w:color="auto" w:sz="4" w:space="0"/>
              <w:bottom w:val="single" w:color="auto" w:sz="4" w:space="0"/>
              <w:right w:val="single" w:color="auto" w:sz="4" w:space="0"/>
            </w:tcBorders>
            <w:shd w:val="clear" w:color="auto" w:fill="C2D69B" w:themeFill="accent3" w:themeFillTint="99"/>
            <w:vAlign w:val="center"/>
          </w:tcPr>
          <w:p>
            <w:pPr>
              <w:spacing w:line="200" w:lineRule="exact"/>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中水</w:t>
            </w:r>
          </w:p>
        </w:tc>
        <w:tc>
          <w:tcPr>
            <w:tcW w:w="1512" w:type="dxa"/>
            <w:gridSpan w:val="2"/>
            <w:tcBorders>
              <w:top w:val="single" w:color="auto" w:sz="4" w:space="0"/>
              <w:left w:val="nil"/>
              <w:bottom w:val="single" w:color="auto" w:sz="4" w:space="0"/>
              <w:right w:val="single" w:color="auto" w:sz="4" w:space="0"/>
            </w:tcBorders>
            <w:shd w:val="clear" w:color="auto" w:fill="C2D69B" w:themeFill="accent3" w:themeFillTint="99"/>
            <w:vAlign w:val="center"/>
          </w:tcPr>
          <w:p>
            <w:pPr>
              <w:spacing w:line="200" w:lineRule="exact"/>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电力</w:t>
            </w:r>
          </w:p>
        </w:tc>
        <w:tc>
          <w:tcPr>
            <w:tcW w:w="644" w:type="dxa"/>
            <w:vMerge w:val="restart"/>
            <w:tcBorders>
              <w:top w:val="single" w:color="auto" w:sz="4" w:space="0"/>
              <w:left w:val="single" w:color="auto" w:sz="4" w:space="0"/>
              <w:bottom w:val="single" w:color="auto" w:sz="4" w:space="0"/>
              <w:right w:val="single" w:color="auto" w:sz="4" w:space="0"/>
            </w:tcBorders>
            <w:shd w:val="clear" w:color="auto" w:fill="C2D69B" w:themeFill="accent3" w:themeFillTint="99"/>
            <w:vAlign w:val="center"/>
          </w:tcPr>
          <w:p>
            <w:pPr>
              <w:spacing w:line="200" w:lineRule="exact"/>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通信</w:t>
            </w:r>
          </w:p>
        </w:tc>
        <w:tc>
          <w:tcPr>
            <w:tcW w:w="1539" w:type="dxa"/>
            <w:gridSpan w:val="2"/>
            <w:tcBorders>
              <w:top w:val="single" w:color="auto" w:sz="4" w:space="0"/>
              <w:left w:val="nil"/>
              <w:bottom w:val="single" w:color="auto" w:sz="4" w:space="0"/>
              <w:right w:val="single" w:color="auto" w:sz="4" w:space="0"/>
            </w:tcBorders>
            <w:shd w:val="clear" w:color="auto" w:fill="C2D69B" w:themeFill="accent3" w:themeFillTint="99"/>
            <w:vAlign w:val="center"/>
          </w:tcPr>
          <w:p>
            <w:pPr>
              <w:spacing w:line="200" w:lineRule="exact"/>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热力</w:t>
            </w:r>
          </w:p>
        </w:tc>
        <w:tc>
          <w:tcPr>
            <w:tcW w:w="794" w:type="dxa"/>
            <w:vMerge w:val="restart"/>
            <w:tcBorders>
              <w:top w:val="single" w:color="auto" w:sz="4" w:space="0"/>
              <w:left w:val="single" w:color="auto" w:sz="4" w:space="0"/>
              <w:bottom w:val="single" w:color="auto" w:sz="4" w:space="0"/>
              <w:right w:val="single" w:color="auto" w:sz="4" w:space="0"/>
            </w:tcBorders>
            <w:shd w:val="clear" w:color="auto" w:fill="C2D69B" w:themeFill="accent3" w:themeFillTint="99"/>
            <w:vAlign w:val="center"/>
          </w:tcPr>
          <w:p>
            <w:pPr>
              <w:spacing w:line="200" w:lineRule="exact"/>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燃气</w:t>
            </w:r>
          </w:p>
        </w:tc>
        <w:tc>
          <w:tcPr>
            <w:tcW w:w="1418" w:type="dxa"/>
            <w:vMerge w:val="restart"/>
            <w:tcBorders>
              <w:top w:val="single" w:color="auto" w:sz="4" w:space="0"/>
              <w:left w:val="single" w:color="auto" w:sz="4" w:space="0"/>
              <w:bottom w:val="single" w:color="auto" w:sz="4" w:space="0"/>
              <w:right w:val="single" w:color="auto" w:sz="4" w:space="0"/>
            </w:tcBorders>
            <w:shd w:val="clear" w:color="auto" w:fill="C2D69B" w:themeFill="accent3" w:themeFillTint="99"/>
            <w:vAlign w:val="center"/>
          </w:tcPr>
          <w:p>
            <w:pPr>
              <w:spacing w:line="200" w:lineRule="exact"/>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污水</w:t>
            </w:r>
          </w:p>
        </w:tc>
      </w:tr>
      <w:tr>
        <w:tblPrEx>
          <w:tblLayout w:type="fixed"/>
          <w:tblCellMar>
            <w:top w:w="0" w:type="dxa"/>
            <w:left w:w="108" w:type="dxa"/>
            <w:bottom w:w="0" w:type="dxa"/>
            <w:right w:w="108" w:type="dxa"/>
          </w:tblCellMar>
        </w:tblPrEx>
        <w:trPr>
          <w:trHeight w:val="270" w:hRule="atLeast"/>
          <w:tblHeader/>
          <w:jc w:val="center"/>
        </w:trPr>
        <w:tc>
          <w:tcPr>
            <w:tcW w:w="1433" w:type="dxa"/>
            <w:gridSpan w:val="2"/>
            <w:vMerge w:val="continue"/>
            <w:tcBorders>
              <w:top w:val="single" w:color="auto" w:sz="4" w:space="0"/>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850" w:type="dxa"/>
            <w:vMerge w:val="continue"/>
            <w:tcBorders>
              <w:top w:val="single" w:color="auto" w:sz="4" w:space="0"/>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756" w:type="dxa"/>
            <w:vMerge w:val="continue"/>
            <w:tcBorders>
              <w:top w:val="single" w:color="auto" w:sz="4" w:space="0"/>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630" w:type="dxa"/>
            <w:tcBorders>
              <w:top w:val="nil"/>
              <w:left w:val="nil"/>
              <w:bottom w:val="single" w:color="auto" w:sz="4" w:space="0"/>
              <w:right w:val="single" w:color="auto" w:sz="4" w:space="0"/>
            </w:tcBorders>
            <w:shd w:val="clear" w:color="auto" w:fill="C2D69B" w:themeFill="accent3" w:themeFillTint="99"/>
            <w:vAlign w:val="center"/>
          </w:tcPr>
          <w:p>
            <w:pPr>
              <w:spacing w:line="200" w:lineRule="exact"/>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10kv</w:t>
            </w:r>
          </w:p>
        </w:tc>
        <w:tc>
          <w:tcPr>
            <w:tcW w:w="882" w:type="dxa"/>
            <w:tcBorders>
              <w:top w:val="nil"/>
              <w:left w:val="nil"/>
              <w:bottom w:val="single" w:color="auto" w:sz="4" w:space="0"/>
              <w:right w:val="single" w:color="auto" w:sz="4" w:space="0"/>
            </w:tcBorders>
            <w:shd w:val="clear" w:color="auto" w:fill="C2D69B" w:themeFill="accent3" w:themeFillTint="99"/>
            <w:vAlign w:val="center"/>
          </w:tcPr>
          <w:p>
            <w:pPr>
              <w:spacing w:line="200" w:lineRule="exact"/>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≥110kv</w:t>
            </w:r>
          </w:p>
        </w:tc>
        <w:tc>
          <w:tcPr>
            <w:tcW w:w="644" w:type="dxa"/>
            <w:vMerge w:val="continue"/>
            <w:tcBorders>
              <w:top w:val="single" w:color="auto" w:sz="4" w:space="0"/>
              <w:left w:val="single" w:color="auto" w:sz="4" w:space="0"/>
              <w:bottom w:val="single" w:color="auto" w:sz="4" w:space="0"/>
              <w:right w:val="single" w:color="auto" w:sz="4" w:space="0"/>
            </w:tcBorders>
            <w:shd w:val="clear" w:color="auto" w:fill="C2D69B" w:themeFill="accent3" w:themeFillTint="99"/>
            <w:vAlign w:val="center"/>
          </w:tcPr>
          <w:p>
            <w:pPr>
              <w:spacing w:line="200" w:lineRule="exact"/>
              <w:jc w:val="center"/>
              <w:rPr>
                <w:rFonts w:hint="eastAsia" w:ascii="楷体_GB2312" w:hAnsi="楷体_GB2312" w:eastAsia="楷体_GB2312" w:cs="楷体_GB2312"/>
                <w:b/>
                <w:color w:val="auto"/>
                <w:sz w:val="18"/>
                <w:szCs w:val="18"/>
              </w:rPr>
            </w:pPr>
          </w:p>
        </w:tc>
        <w:tc>
          <w:tcPr>
            <w:tcW w:w="774" w:type="dxa"/>
            <w:tcBorders>
              <w:top w:val="nil"/>
              <w:left w:val="nil"/>
              <w:bottom w:val="single" w:color="auto" w:sz="4" w:space="0"/>
              <w:right w:val="single" w:color="auto" w:sz="4" w:space="0"/>
            </w:tcBorders>
            <w:shd w:val="clear" w:color="auto" w:fill="C2D69B" w:themeFill="accent3" w:themeFillTint="99"/>
            <w:vAlign w:val="center"/>
          </w:tcPr>
          <w:p>
            <w:pPr>
              <w:spacing w:line="200" w:lineRule="exact"/>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热水</w:t>
            </w:r>
          </w:p>
        </w:tc>
        <w:tc>
          <w:tcPr>
            <w:tcW w:w="765" w:type="dxa"/>
            <w:tcBorders>
              <w:top w:val="nil"/>
              <w:left w:val="nil"/>
              <w:bottom w:val="single" w:color="auto" w:sz="4" w:space="0"/>
              <w:right w:val="single" w:color="auto" w:sz="4" w:space="0"/>
            </w:tcBorders>
            <w:shd w:val="clear" w:color="auto" w:fill="C2D69B" w:themeFill="accent3" w:themeFillTint="99"/>
            <w:vAlign w:val="center"/>
          </w:tcPr>
          <w:p>
            <w:pPr>
              <w:spacing w:line="200" w:lineRule="exact"/>
              <w:jc w:val="center"/>
              <w:rPr>
                <w:rFonts w:hint="eastAsia" w:ascii="楷体_GB2312" w:hAnsi="楷体_GB2312" w:eastAsia="楷体_GB2312" w:cs="楷体_GB2312"/>
                <w:b/>
                <w:color w:val="auto"/>
                <w:sz w:val="18"/>
                <w:szCs w:val="18"/>
              </w:rPr>
            </w:pPr>
            <w:r>
              <w:rPr>
                <w:rFonts w:hint="eastAsia" w:ascii="楷体_GB2312" w:hAnsi="楷体_GB2312" w:eastAsia="楷体_GB2312" w:cs="楷体_GB2312"/>
                <w:b/>
                <w:color w:val="auto"/>
                <w:sz w:val="18"/>
                <w:szCs w:val="18"/>
              </w:rPr>
              <w:t>蒸汽</w:t>
            </w:r>
          </w:p>
        </w:tc>
        <w:tc>
          <w:tcPr>
            <w:tcW w:w="794" w:type="dxa"/>
            <w:vMerge w:val="continue"/>
            <w:tcBorders>
              <w:top w:val="single" w:color="auto" w:sz="4" w:space="0"/>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1418" w:type="dxa"/>
            <w:vMerge w:val="continue"/>
            <w:tcBorders>
              <w:top w:val="single" w:color="auto" w:sz="4" w:space="0"/>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CellMar>
            <w:top w:w="0" w:type="dxa"/>
            <w:left w:w="108" w:type="dxa"/>
            <w:bottom w:w="0" w:type="dxa"/>
            <w:right w:w="108" w:type="dxa"/>
          </w:tblCellMar>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忠武路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北苑大道~农大路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DN400~600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农大路~昌盛路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De200~250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DN1000~1200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昌盛路~永昌东路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De200~250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DN400~1200</w:t>
            </w:r>
          </w:p>
        </w:tc>
      </w:tr>
      <w:tr>
        <w:tblPrEx>
          <w:tblLayout w:type="fixed"/>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永昌东路~花都路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DN250~450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（DN400~800）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花都路~新兴路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DN250~450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DN400~800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新兴路~南外环路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DN250~450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DN400~600</w:t>
            </w:r>
          </w:p>
        </w:tc>
      </w:tr>
      <w:tr>
        <w:tblPrEx>
          <w:tblLayout w:type="fixed"/>
          <w:tblCellMar>
            <w:top w:w="0" w:type="dxa"/>
            <w:left w:w="108" w:type="dxa"/>
            <w:bottom w:w="0" w:type="dxa"/>
            <w:right w:w="108" w:type="dxa"/>
          </w:tblCellMar>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玉兰路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农大路~新元大道</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新元大道~1#路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15回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1#路~永兴东路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15回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永兴东路~永昌东路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15回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永昌东路~许由路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CellMar>
            <w:top w:w="0" w:type="dxa"/>
            <w:left w:w="108" w:type="dxa"/>
            <w:bottom w:w="0" w:type="dxa"/>
            <w:right w:w="108" w:type="dxa"/>
          </w:tblCellMar>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魏文路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新元大道~昌盛路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15回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昌盛路~永兴东路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15回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r>
      <w:tr>
        <w:tblPrEx>
          <w:tblLayout w:type="fixed"/>
          <w:tblCellMar>
            <w:top w:w="0" w:type="dxa"/>
            <w:left w:w="108" w:type="dxa"/>
            <w:bottom w:w="0" w:type="dxa"/>
            <w:right w:w="108" w:type="dxa"/>
          </w:tblCellMar>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文峰路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农大路~昌盛路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（DN700~1300）现状干管</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昌盛路~永兴路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（DN500~800）现状干管</w:t>
            </w:r>
          </w:p>
        </w:tc>
      </w:tr>
      <w:tr>
        <w:tblPrEx>
          <w:tblLayout w:type="fixed"/>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永兴路~永昌路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（DN400~800）现状干管</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永昌路~八一路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八一路~许由路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（DN400~1000）现状干管</w:t>
            </w:r>
          </w:p>
        </w:tc>
      </w:tr>
      <w:tr>
        <w:tblPrEx>
          <w:tblLayout w:type="fixed"/>
          <w:tblCellMar>
            <w:top w:w="0" w:type="dxa"/>
            <w:left w:w="108" w:type="dxa"/>
            <w:bottom w:w="0" w:type="dxa"/>
            <w:right w:w="108" w:type="dxa"/>
          </w:tblCellMar>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滨河路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永昌西路~陈庄街</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DN600~800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陈庄街~天宝路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DN600~800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DN500~600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天宝路~建安大道</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DN400~500</w:t>
            </w:r>
          </w:p>
        </w:tc>
      </w:tr>
      <w:tr>
        <w:tblPrEx>
          <w:tblLayout w:type="fixed"/>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建安大道~建设路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r>
      <w:tr>
        <w:tblPrEx>
          <w:tblLayout w:type="fixed"/>
          <w:tblCellMar>
            <w:top w:w="0" w:type="dxa"/>
            <w:left w:w="108" w:type="dxa"/>
            <w:bottom w:w="0" w:type="dxa"/>
            <w:right w:w="108" w:type="dxa"/>
          </w:tblCellMar>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解放路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许由路~屯田路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DN400~800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屯田路~瑞昌西路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（DN1000）现状干管</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瑞昌西路~南外环路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r>
      <w:tr>
        <w:tblPrEx>
          <w:tblLayout w:type="fixed"/>
          <w:tblCellMar>
            <w:top w:w="0" w:type="dxa"/>
            <w:left w:w="108" w:type="dxa"/>
            <w:bottom w:w="0" w:type="dxa"/>
            <w:right w:w="108" w:type="dxa"/>
          </w:tblCellMar>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朝阳路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永昌西路~八一路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DN400~600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八一路~许继大道</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DN600~800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r>
      <w:tr>
        <w:tblPrEx>
          <w:tblLayout w:type="fixed"/>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许继大道~新兴路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DN1200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DN600~800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新兴路~许由路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DN800</w:t>
            </w:r>
          </w:p>
        </w:tc>
      </w:tr>
      <w:tr>
        <w:tblPrEx>
          <w:tblLayout w:type="fixed"/>
          <w:tblCellMar>
            <w:top w:w="0" w:type="dxa"/>
            <w:left w:w="108" w:type="dxa"/>
            <w:bottom w:w="0" w:type="dxa"/>
            <w:right w:w="108" w:type="dxa"/>
          </w:tblCellMar>
        </w:tblPrEx>
        <w:trPr>
          <w:trHeight w:val="81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许由路~南外环路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（DN1000~1200）现状干管</w:t>
            </w:r>
          </w:p>
        </w:tc>
      </w:tr>
      <w:tr>
        <w:tblPrEx>
          <w:tblLayout w:type="fixed"/>
          <w:tblCellMar>
            <w:top w:w="0" w:type="dxa"/>
            <w:left w:w="108" w:type="dxa"/>
            <w:bottom w:w="0" w:type="dxa"/>
            <w:right w:w="108" w:type="dxa"/>
          </w:tblCellMar>
        </w:tblPrEx>
        <w:trPr>
          <w:trHeight w:val="81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学院路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永昌东路~莲城大道</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8回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（DN1200~1500）现状干管</w:t>
            </w:r>
          </w:p>
        </w:tc>
      </w:tr>
      <w:tr>
        <w:tblPrEx>
          <w:tblLayout w:type="fixed"/>
          <w:tblCellMar>
            <w:top w:w="0" w:type="dxa"/>
            <w:left w:w="108" w:type="dxa"/>
            <w:bottom w:w="0" w:type="dxa"/>
            <w:right w:w="108" w:type="dxa"/>
          </w:tblCellMar>
        </w:tblPrEx>
        <w:trPr>
          <w:trHeight w:val="81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莲城大道~瑞贝卡大道</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DN800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8回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（DN1500~2000）现状干管</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瑞贝卡大道~南外环路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8回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（DN800~1300）现状干管</w:t>
            </w:r>
          </w:p>
        </w:tc>
      </w:tr>
      <w:tr>
        <w:tblPrEx>
          <w:tblLayout w:type="fixed"/>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滨河路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昌盛路~永兴西路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DN1200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8回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9孔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（DN800）现状干管</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永兴西路~永昌西路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DN1000~1200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8回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6回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9孔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（DN1200）现状干管</w:t>
            </w:r>
          </w:p>
        </w:tc>
      </w:tr>
      <w:tr>
        <w:tblPrEx>
          <w:tblLayout w:type="fixed"/>
          <w:tblCellMar>
            <w:top w:w="0" w:type="dxa"/>
            <w:left w:w="108" w:type="dxa"/>
            <w:bottom w:w="0" w:type="dxa"/>
            <w:right w:w="108" w:type="dxa"/>
          </w:tblCellMar>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灞陵路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新元大道~昌盛路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昌盛路~永兴西路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DN400~500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永兴西路~永昌西路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DN400~500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永昌西路~光明路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DN400~500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（De160~315）</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DN400~800部分现状</w:t>
            </w:r>
          </w:p>
        </w:tc>
      </w:tr>
      <w:tr>
        <w:tblPrEx>
          <w:tblLayout w:type="fixed"/>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光明路~屯田路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DN400~500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DN400~600部分现状</w:t>
            </w:r>
          </w:p>
        </w:tc>
      </w:tr>
      <w:tr>
        <w:tblPrEx>
          <w:tblLayout w:type="fixed"/>
          <w:tblCellMar>
            <w:top w:w="0" w:type="dxa"/>
            <w:left w:w="108" w:type="dxa"/>
            <w:bottom w:w="0" w:type="dxa"/>
            <w:right w:w="108" w:type="dxa"/>
          </w:tblCellMar>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新元大道</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灞陵路~汉风路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汉风路~魏武大道</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DN600~1000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（DN500~800）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魏武大道~许州路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DN1000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许州路~玉兰路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DN1000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玉兰路~忠武路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DN800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DN400~600</w:t>
            </w:r>
          </w:p>
        </w:tc>
      </w:tr>
      <w:tr>
        <w:tblPrEx>
          <w:tblLayout w:type="fixed"/>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忠武路~中原路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DN400~600</w:t>
            </w:r>
          </w:p>
        </w:tc>
      </w:tr>
      <w:tr>
        <w:tblPrEx>
          <w:tblLayout w:type="fixed"/>
          <w:tblCellMar>
            <w:top w:w="0" w:type="dxa"/>
            <w:left w:w="108" w:type="dxa"/>
            <w:bottom w:w="0" w:type="dxa"/>
            <w:right w:w="108" w:type="dxa"/>
          </w:tblCellMar>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昌盛路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灞陵路~汉风路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30回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DN400~600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汉风路~劳动北路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30回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（DN1200）现状总管</w:t>
            </w:r>
          </w:p>
        </w:tc>
      </w:tr>
      <w:tr>
        <w:tblPrEx>
          <w:tblLayout w:type="fixed"/>
          <w:tblCellMar>
            <w:top w:w="0" w:type="dxa"/>
            <w:left w:w="108" w:type="dxa"/>
            <w:bottom w:w="0" w:type="dxa"/>
            <w:right w:w="108" w:type="dxa"/>
          </w:tblCellMar>
        </w:tblPrEx>
        <w:trPr>
          <w:trHeight w:val="81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劳动北路~滨河路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DN1000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30回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（DN1200~2000）现状总管</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滨河路~魏文路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DN800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30回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（DN800~1800）现状总管</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魏文路~许州路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30回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DN400~800</w:t>
            </w:r>
          </w:p>
        </w:tc>
      </w:tr>
      <w:tr>
        <w:tblPrEx>
          <w:tblLayout w:type="fixed"/>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许州路~ 玉兰路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DN600~800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30回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玉兰路~忠武路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30回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忠武路~中原路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30回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CellMar>
            <w:top w:w="0" w:type="dxa"/>
            <w:left w:w="108" w:type="dxa"/>
            <w:bottom w:w="0" w:type="dxa"/>
            <w:right w:w="108" w:type="dxa"/>
          </w:tblCellMar>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永兴路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西外环路~汉风路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DN400~500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30回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汉风路~劳动北路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30回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劳动北路~兴平路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DN800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15回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DN400~500</w:t>
            </w:r>
          </w:p>
        </w:tc>
      </w:tr>
      <w:tr>
        <w:tblPrEx>
          <w:tblLayout w:type="fixed"/>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兴平路~魏武大道</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DN800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（DN500~600）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魏武大道~许州路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DN800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（DN400~600）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许州路~玉兰路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DN800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De315/De350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玉兰路~忠武路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30回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10回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De315</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忠武路~中原路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10回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r>
      <w:tr>
        <w:tblPrEx>
          <w:tblLayout w:type="fixed"/>
          <w:tblCellMar>
            <w:top w:w="0" w:type="dxa"/>
            <w:left w:w="108" w:type="dxa"/>
            <w:bottom w:w="0" w:type="dxa"/>
            <w:right w:w="108" w:type="dxa"/>
          </w:tblCellMar>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永昌路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西外环路~灞陵路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r>
      <w:tr>
        <w:tblPrEx>
          <w:tblLayout w:type="fixed"/>
        </w:tblPrEx>
        <w:trPr>
          <w:trHeight w:val="81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灞陵路~劳动北路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DN600~800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DN600(压力管）+（DN600）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劳动北路~滨河路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DN600~800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（DN800~</w:t>
            </w:r>
          </w:p>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1000）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滨河路~魏文路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DN600~800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30回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8回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（DN600~800）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魏文路~许州路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30回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（DN600~800）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许州路~玉兰路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30回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玉兰路~忠武路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忠武路~中原路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r>
      <w:tr>
        <w:tblPrEx>
          <w:tblLayout w:type="fixed"/>
          <w:tblCellMar>
            <w:top w:w="0" w:type="dxa"/>
            <w:left w:w="108" w:type="dxa"/>
            <w:bottom w:w="0" w:type="dxa"/>
            <w:right w:w="108" w:type="dxa"/>
          </w:tblCellMar>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天宝路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西外环路~灞陵路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灞陵路~文峰路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DN400~600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（DN400~800）现状干管</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文峰路~魏文路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（DN600~800）现状干管</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魏文路~魏武大道</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DN900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（DN800~1000）现状干管</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魏武大道~许州路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（DN600~800）现状干管</w:t>
            </w:r>
          </w:p>
        </w:tc>
      </w:tr>
      <w:tr>
        <w:tblPrEx>
          <w:tblLayout w:type="fixed"/>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许继大道</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西外环路~朝阳路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（DN400+500）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朝阳路~延安路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DN800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（DN400+500）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延安路~劳动路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（DN400+500）</w:t>
            </w:r>
          </w:p>
        </w:tc>
      </w:tr>
      <w:tr>
        <w:tblPrEx>
          <w:tblLayout w:type="fixed"/>
          <w:tblCellMar>
            <w:top w:w="0" w:type="dxa"/>
            <w:left w:w="108" w:type="dxa"/>
            <w:bottom w:w="0" w:type="dxa"/>
            <w:right w:w="108" w:type="dxa"/>
          </w:tblCellMar>
        </w:tblPrEx>
        <w:trPr>
          <w:trHeight w:val="540" w:hRule="atLeast"/>
          <w:jc w:val="center"/>
        </w:trPr>
        <w:tc>
          <w:tcPr>
            <w:tcW w:w="441" w:type="dxa"/>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颖昌路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劳动路~文峰路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（DN400~800）</w:t>
            </w:r>
          </w:p>
        </w:tc>
      </w:tr>
      <w:tr>
        <w:tblPrEx>
          <w:tblLayout w:type="fixed"/>
          <w:tblCellMar>
            <w:top w:w="0" w:type="dxa"/>
            <w:left w:w="108" w:type="dxa"/>
            <w:bottom w:w="0" w:type="dxa"/>
            <w:right w:w="108" w:type="dxa"/>
          </w:tblCellMar>
        </w:tblPrEx>
        <w:trPr>
          <w:trHeight w:val="540" w:hRule="atLeast"/>
          <w:jc w:val="center"/>
        </w:trPr>
        <w:tc>
          <w:tcPr>
            <w:tcW w:w="441" w:type="dxa"/>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莲城大道</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文峰路~学院路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（DN500~800）</w:t>
            </w:r>
          </w:p>
        </w:tc>
      </w:tr>
      <w:tr>
        <w:tblPrEx>
          <w:tblLayout w:type="fixed"/>
          <w:tblCellMar>
            <w:top w:w="0" w:type="dxa"/>
            <w:left w:w="108" w:type="dxa"/>
            <w:bottom w:w="0" w:type="dxa"/>
            <w:right w:w="108" w:type="dxa"/>
          </w:tblCellMar>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花都路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学院路~许州路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De350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（DN400~800）</w:t>
            </w:r>
          </w:p>
        </w:tc>
      </w:tr>
      <w:tr>
        <w:tblPrEx>
          <w:tblLayout w:type="fixed"/>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许州路~玉兰路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De350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（DN400+400）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玉兰路~中原路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（DN400+400）</w:t>
            </w:r>
          </w:p>
        </w:tc>
      </w:tr>
      <w:tr>
        <w:tblPrEx>
          <w:tblLayout w:type="fixed"/>
          <w:tblCellMar>
            <w:top w:w="0" w:type="dxa"/>
            <w:left w:w="108" w:type="dxa"/>
            <w:bottom w:w="0" w:type="dxa"/>
            <w:right w:w="108" w:type="dxa"/>
          </w:tblCellMar>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许由路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西外环路~朝阳路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（DN400~600）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朝阳路~学院路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4回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DN300~450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（DN400~1500）现状干管</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学院路~魏武大道</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DN900</w:t>
            </w: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（DN800）</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魏武大道~许州路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（DN500~800）</w:t>
            </w:r>
          </w:p>
        </w:tc>
      </w:tr>
      <w:tr>
        <w:tblPrEx>
          <w:tblLayout w:type="fixed"/>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魏武大道~中原路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2回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r>
      <w:tr>
        <w:tblPrEx>
          <w:tblLayout w:type="fixed"/>
          <w:tblCellMar>
            <w:top w:w="0" w:type="dxa"/>
            <w:left w:w="108" w:type="dxa"/>
            <w:bottom w:w="0" w:type="dxa"/>
            <w:right w:w="108" w:type="dxa"/>
          </w:tblCellMar>
        </w:tblPrEx>
        <w:trPr>
          <w:trHeight w:val="540" w:hRule="atLeast"/>
          <w:jc w:val="center"/>
        </w:trPr>
        <w:tc>
          <w:tcPr>
            <w:tcW w:w="441" w:type="dxa"/>
            <w:vMerge w:val="restart"/>
            <w:tcBorders>
              <w:top w:val="nil"/>
              <w:left w:val="single" w:color="auto" w:sz="4" w:space="0"/>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屯田路</w:t>
            </w: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西外环路~京广铁路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w:t>
            </w: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De160~200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（DN400~600）部分新建</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京广铁路~学院路</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（DN500~800）部分新建</w:t>
            </w:r>
          </w:p>
        </w:tc>
      </w:tr>
      <w:tr>
        <w:tblPrEx>
          <w:tblLayout w:type="fixed"/>
          <w:tblCellMar>
            <w:top w:w="0" w:type="dxa"/>
            <w:left w:w="108" w:type="dxa"/>
            <w:bottom w:w="0" w:type="dxa"/>
            <w:right w:w="108" w:type="dxa"/>
          </w:tblCellMar>
        </w:tblPrEx>
        <w:trPr>
          <w:trHeight w:val="540" w:hRule="atLeast"/>
          <w:jc w:val="center"/>
        </w:trPr>
        <w:tc>
          <w:tcPr>
            <w:tcW w:w="441" w:type="dxa"/>
            <w:vMerge w:val="continue"/>
            <w:tcBorders>
              <w:top w:val="nil"/>
              <w:left w:val="single" w:color="auto" w:sz="4" w:space="0"/>
              <w:bottom w:val="single" w:color="auto" w:sz="4" w:space="0"/>
              <w:right w:val="single" w:color="auto" w:sz="4" w:space="0"/>
            </w:tcBorders>
            <w:vAlign w:val="center"/>
          </w:tcPr>
          <w:p>
            <w:pPr>
              <w:spacing w:line="200" w:lineRule="exact"/>
              <w:jc w:val="center"/>
              <w:rPr>
                <w:rFonts w:hint="eastAsia" w:ascii="楷体_GB2312" w:hAnsi="楷体_GB2312" w:eastAsia="楷体_GB2312" w:cs="楷体_GB2312"/>
                <w:color w:val="auto"/>
                <w:sz w:val="18"/>
                <w:szCs w:val="18"/>
              </w:rPr>
            </w:pPr>
          </w:p>
        </w:tc>
        <w:tc>
          <w:tcPr>
            <w:tcW w:w="99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学院路~魏武大道</w:t>
            </w:r>
          </w:p>
        </w:tc>
        <w:tc>
          <w:tcPr>
            <w:tcW w:w="85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DN400</w:t>
            </w:r>
          </w:p>
        </w:tc>
        <w:tc>
          <w:tcPr>
            <w:tcW w:w="756"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DN200</w:t>
            </w:r>
          </w:p>
        </w:tc>
        <w:tc>
          <w:tcPr>
            <w:tcW w:w="630"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12回</w:t>
            </w:r>
          </w:p>
        </w:tc>
        <w:tc>
          <w:tcPr>
            <w:tcW w:w="882"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8回</w:t>
            </w:r>
          </w:p>
        </w:tc>
        <w:tc>
          <w:tcPr>
            <w:tcW w:w="64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16孔</w:t>
            </w:r>
          </w:p>
        </w:tc>
        <w:tc>
          <w:tcPr>
            <w:tcW w:w="77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65"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p>
        </w:tc>
        <w:tc>
          <w:tcPr>
            <w:tcW w:w="794"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De160</w:t>
            </w:r>
          </w:p>
        </w:tc>
        <w:tc>
          <w:tcPr>
            <w:tcW w:w="1418" w:type="dxa"/>
            <w:tcBorders>
              <w:top w:val="nil"/>
              <w:left w:val="nil"/>
              <w:bottom w:val="single" w:color="auto" w:sz="4" w:space="0"/>
              <w:right w:val="single" w:color="auto" w:sz="4" w:space="0"/>
            </w:tcBorders>
            <w:shd w:val="clear" w:color="auto" w:fill="auto"/>
            <w:vAlign w:val="center"/>
          </w:tcPr>
          <w:p>
            <w:pPr>
              <w:spacing w:line="200" w:lineRule="exact"/>
              <w:jc w:val="center"/>
              <w:rPr>
                <w:rFonts w:hint="eastAsia" w:ascii="楷体_GB2312" w:hAnsi="楷体_GB2312" w:eastAsia="楷体_GB2312" w:cs="楷体_GB2312"/>
                <w:color w:val="auto"/>
                <w:sz w:val="18"/>
                <w:szCs w:val="18"/>
              </w:rPr>
            </w:pPr>
            <w:r>
              <w:rPr>
                <w:rFonts w:hint="eastAsia" w:ascii="楷体_GB2312" w:hAnsi="楷体_GB2312" w:eastAsia="楷体_GB2312" w:cs="楷体_GB2312"/>
                <w:color w:val="auto"/>
                <w:sz w:val="18"/>
                <w:szCs w:val="18"/>
              </w:rPr>
              <w:t>DN600</w:t>
            </w:r>
          </w:p>
        </w:tc>
      </w:tr>
    </w:tbl>
    <w:p>
      <w:pPr>
        <w:spacing w:line="264" w:lineRule="auto"/>
        <w:rPr>
          <w:rFonts w:hint="eastAsia" w:ascii="楷体_GB2312" w:hAnsi="楷体_GB2312" w:eastAsia="楷体_GB2312" w:cs="楷体_GB2312"/>
          <w:color w:val="auto"/>
          <w:sz w:val="18"/>
          <w:szCs w:val="18"/>
        </w:rPr>
      </w:pPr>
    </w:p>
    <w:p>
      <w:pPr>
        <w:spacing w:line="360" w:lineRule="auto"/>
        <w:ind w:firstLine="420" w:firstLineChars="200"/>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备注：灞陵路雨水管纳入综合管廊。</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61" w:name="_Toc495586790"/>
      <w:r>
        <w:rPr>
          <w:rFonts w:hint="eastAsia" w:ascii="楷体_GB2312" w:hAnsi="楷体_GB2312" w:eastAsia="楷体_GB2312" w:cs="楷体_GB2312"/>
          <w:b/>
          <w:color w:val="auto"/>
          <w:sz w:val="24"/>
          <w:szCs w:val="24"/>
        </w:rPr>
        <w:t>6.3.4管廊断面选型</w:t>
      </w:r>
      <w:bookmarkEnd w:id="261"/>
    </w:p>
    <w:p>
      <w:pPr>
        <w:spacing w:line="360" w:lineRule="auto"/>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1. 管廊断面形式</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管廊断面的大小主要取决于管廊的类型、地下空间的限制、收容管线的种类与数量，管线的安全距离、维护操作空间、人员通行空间及管线扩容需求等。</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采用明挖现浇或预装配施工时易采用矩形断面，施工方便，内部空间可充分利用。在穿越河流、地铁时，如埋深度较深、可采用盾构或顶管施工，一般是圆形断面。</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2337435" cy="1725295"/>
            <wp:effectExtent l="0" t="0" r="5715" b="825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349076" cy="1733761"/>
                    </a:xfrm>
                    <a:prstGeom prst="rect">
                      <a:avLst/>
                    </a:prstGeom>
                  </pic:spPr>
                </pic:pic>
              </a:graphicData>
            </a:graphic>
          </wp:inline>
        </w:drawing>
      </w:r>
      <w:r>
        <w:rPr>
          <w:rFonts w:hint="eastAsia" w:ascii="楷体_GB2312" w:hAnsi="楷体_GB2312" w:eastAsia="楷体_GB2312" w:cs="楷体_GB2312"/>
          <w:color w:val="auto"/>
          <w:sz w:val="24"/>
        </w:rPr>
        <w:drawing>
          <wp:inline distT="0" distB="0" distL="0" distR="0">
            <wp:extent cx="2256155" cy="1690370"/>
            <wp:effectExtent l="0" t="0" r="10795" b="508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255996" cy="1690228"/>
                    </a:xfrm>
                    <a:prstGeom prst="rect">
                      <a:avLst/>
                    </a:prstGeom>
                  </pic:spPr>
                </pic:pic>
              </a:graphicData>
            </a:graphic>
          </wp:inline>
        </w:drawing>
      </w:r>
    </w:p>
    <w:p>
      <w:pPr>
        <w:spacing w:line="360" w:lineRule="auto"/>
        <w:ind w:firstLine="1365" w:firstLineChars="650"/>
        <w:jc w:val="left"/>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矩形管廊断面                           圆形管廊断面</w:t>
      </w:r>
    </w:p>
    <w:p>
      <w:pPr>
        <w:spacing w:line="360" w:lineRule="auto"/>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2. 管廊断面选型</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（1）当管廊纳入给水管道（中水管道）、10kV电力线缆及通信线缆时，采用双舱断面，包含1个综合舱，1个电力舱。</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2668270" cy="2233930"/>
            <wp:effectExtent l="0" t="0" r="17780" b="1397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669939" cy="2235108"/>
                    </a:xfrm>
                    <a:prstGeom prst="rect">
                      <a:avLst/>
                    </a:prstGeom>
                  </pic:spPr>
                </pic:pic>
              </a:graphicData>
            </a:graphic>
          </wp:inline>
        </w:drawing>
      </w:r>
      <w:r>
        <w:rPr>
          <w:rFonts w:hint="eastAsia" w:ascii="楷体_GB2312" w:hAnsi="楷体_GB2312" w:eastAsia="楷体_GB2312" w:cs="楷体_GB2312"/>
          <w:color w:val="auto"/>
          <w:sz w:val="24"/>
        </w:rPr>
        <w:drawing>
          <wp:inline distT="0" distB="0" distL="0" distR="0">
            <wp:extent cx="2328545" cy="2221865"/>
            <wp:effectExtent l="0" t="0" r="14605" b="698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330697" cy="2223857"/>
                    </a:xfrm>
                    <a:prstGeom prst="rect">
                      <a:avLst/>
                    </a:prstGeom>
                  </pic:spPr>
                </pic:pic>
              </a:graphicData>
            </a:graphic>
          </wp:inline>
        </w:drawing>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（2）当管廊纳入110kV（220kV）电力线缆（专用）、给水管道、10kv电力线缆及通信线缆时，采用三舱断面，包含1个综合舱、1个高压电力舱室、1个电力电信舱。</w:t>
      </w:r>
    </w:p>
    <w:p>
      <w:pPr>
        <w:spacing w:line="360" w:lineRule="auto"/>
        <w:ind w:right="-57" w:rightChars="-27"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3846830" cy="2847975"/>
            <wp:effectExtent l="0" t="0" r="1270" b="952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3847405" cy="2848180"/>
                    </a:xfrm>
                    <a:prstGeom prst="rect">
                      <a:avLst/>
                    </a:prstGeom>
                  </pic:spPr>
                </pic:pic>
              </a:graphicData>
            </a:graphic>
          </wp:inline>
        </w:drawing>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（3）当管廊纳入给水管道、电力线缆、燃气管道、通信线缆及雨污水管道时，采用四舱断面，包含1个综合舱、1个燃气舱、1个电力舱、1个雨（污）水舱。</w:t>
      </w:r>
    </w:p>
    <w:p>
      <w:pPr>
        <w:spacing w:line="360" w:lineRule="auto"/>
        <w:ind w:right="-57" w:rightChars="-27"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4321810" cy="2353945"/>
            <wp:effectExtent l="0" t="0" r="2540" b="825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326827" cy="2357295"/>
                    </a:xfrm>
                    <a:prstGeom prst="rect">
                      <a:avLst/>
                    </a:prstGeom>
                  </pic:spPr>
                </pic:pic>
              </a:graphicData>
            </a:graphic>
          </wp:inline>
        </w:drawing>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（4）当管廊纳入给水、热力、中水、雨水、污水、燃气以及电力、通信线缆，可采用如下六舱断面，包含1个污水舱、1个热力舱、1个综合舱、1个电力舱、1个燃气舱、1个雨水舱。</w:t>
      </w:r>
    </w:p>
    <w:p>
      <w:pPr>
        <w:spacing w:line="360" w:lineRule="auto"/>
        <w:ind w:right="-57" w:rightChars="-27"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5278755" cy="1922145"/>
            <wp:effectExtent l="0" t="0" r="17145" b="190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5278755" cy="1922145"/>
                    </a:xfrm>
                    <a:prstGeom prst="rect">
                      <a:avLst/>
                    </a:prstGeom>
                  </pic:spPr>
                </pic:pic>
              </a:graphicData>
            </a:graphic>
          </wp:inline>
        </w:drawing>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62" w:name="_Toc495586791"/>
      <w:r>
        <w:rPr>
          <w:rFonts w:hint="eastAsia" w:ascii="楷体_GB2312" w:hAnsi="楷体_GB2312" w:eastAsia="楷体_GB2312" w:cs="楷体_GB2312"/>
          <w:b/>
          <w:color w:val="auto"/>
          <w:sz w:val="24"/>
          <w:szCs w:val="24"/>
        </w:rPr>
        <w:t>6.3.5综合管廊平面定位及竖向控制</w:t>
      </w:r>
      <w:bookmarkEnd w:id="262"/>
    </w:p>
    <w:p>
      <w:pPr>
        <w:spacing w:line="360" w:lineRule="auto"/>
        <w:rPr>
          <w:rFonts w:hint="eastAsia" w:ascii="楷体_GB2312" w:hAnsi="楷体_GB2312" w:eastAsia="楷体_GB2312" w:cs="楷体_GB2312"/>
          <w:b/>
          <w:color w:val="auto"/>
          <w:sz w:val="24"/>
        </w:rPr>
      </w:pPr>
      <w:bookmarkStart w:id="263" w:name="_Toc439077601"/>
      <w:bookmarkStart w:id="264" w:name="_Toc466981293"/>
      <w:r>
        <w:rPr>
          <w:rFonts w:hint="eastAsia" w:ascii="楷体_GB2312" w:hAnsi="楷体_GB2312" w:eastAsia="楷体_GB2312" w:cs="楷体_GB2312"/>
          <w:b/>
          <w:color w:val="auto"/>
          <w:sz w:val="24"/>
        </w:rPr>
        <w:t xml:space="preserve">1. </w:t>
      </w:r>
      <w:bookmarkStart w:id="265" w:name="_Toc435045565"/>
      <w:r>
        <w:rPr>
          <w:rFonts w:hint="eastAsia" w:ascii="楷体_GB2312" w:hAnsi="楷体_GB2312" w:eastAsia="楷体_GB2312" w:cs="楷体_GB2312"/>
          <w:b/>
          <w:color w:val="auto"/>
          <w:sz w:val="24"/>
        </w:rPr>
        <w:t>综合管廊平面布置原则</w:t>
      </w:r>
      <w:bookmarkEnd w:id="263"/>
      <w:bookmarkEnd w:id="264"/>
      <w:bookmarkEnd w:id="265"/>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（1）综合管廊原则上设置在道路下，平面中心线宜与道路中心线平行，不宜从道路一侧转到另一侧。圆曲线半径应满足收纳管线的最小转弯半径及要求，并尽量与道路圆曲线半径一致。</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（2）综合管廊应尽量敷设在道路中央绿化带下或道路一侧的人行道、绿化带下，便于综合管廊投料口、通风口等附属设施的设施。</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若受现状建筑或地下空间的限制，综合管廊也可设置在机动车道下。综合管廊设置在车行道下时，投料口和通风口要引至车行道外的绿化带内。</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（3）为了减少与排水管的交叉，综合管廊应尽可能的远离居住区用地红线。在不得已靠近道路边时也要确保有1.0m的距离。</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（4）综合管廊与铁路、公路交叉时，宜采用垂直交叉方式布置；受条件限制，可倾斜交叉布置，其最小交叉角不宜小于60º。</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（5）综合管廊与相邻地下构筑物的最小间距应根据地质条件和相邻构筑物性质综合确定。</w:t>
      </w:r>
    </w:p>
    <w:p>
      <w:pPr>
        <w:spacing w:line="360" w:lineRule="auto"/>
        <w:rPr>
          <w:rFonts w:hint="eastAsia" w:ascii="楷体_GB2312" w:hAnsi="楷体_GB2312" w:eastAsia="楷体_GB2312" w:cs="楷体_GB2312"/>
          <w:b/>
          <w:color w:val="auto"/>
          <w:sz w:val="24"/>
        </w:rPr>
      </w:pPr>
      <w:bookmarkStart w:id="266" w:name="_Toc466981295"/>
      <w:bookmarkStart w:id="267" w:name="_Toc444507177"/>
      <w:r>
        <w:rPr>
          <w:rFonts w:hint="eastAsia" w:ascii="楷体_GB2312" w:hAnsi="楷体_GB2312" w:eastAsia="楷体_GB2312" w:cs="楷体_GB2312"/>
          <w:b/>
          <w:color w:val="auto"/>
          <w:sz w:val="24"/>
        </w:rPr>
        <w:t>2. 综合管廊在道路横断面下的位置</w:t>
      </w:r>
      <w:bookmarkEnd w:id="266"/>
      <w:bookmarkEnd w:id="267"/>
      <w:r>
        <w:rPr>
          <w:rFonts w:hint="eastAsia" w:ascii="楷体_GB2312" w:hAnsi="楷体_GB2312" w:eastAsia="楷体_GB2312" w:cs="楷体_GB2312"/>
          <w:b/>
          <w:color w:val="auto"/>
          <w:sz w:val="24"/>
        </w:rPr>
        <w:t>选择</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在明确综合管廊的规划线位和管廊标准横断面之后，需要考虑综合管廊在道路横断面下的位置。综合管廊是道路的附属工程，一般情况是在道路横断面确定后，再考虑综合管廊在道路横断面上的布置。实际上由于综合管廊断面较大（一般宽3米～6米，高3米～4米），如果综合管廊所在道路横断面布置不合理，不仅会给道路两侧的管线综合造成较大影响，而且会造成投资和土地的浪费。故规划道路横断面应该和综合管廊断面相互调整，相互校正。</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由于综合管廊每隔200米左右会有通向地面的通风口或人员出入口，结合本次规划建设管廊的各道路规划横断面图，综合管廊优先布置在中央绿化带下，其次为道路侧分带或非机动车道下。</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（1）管廊布置于中央绿化带</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若新建道路含中央绿化带，建议将综合管廊布置于中央绿化带下方，管廊中心线与道路中心线保持一致。</w:t>
      </w:r>
    </w:p>
    <w:p>
      <w:pPr>
        <w:spacing w:line="360" w:lineRule="auto"/>
        <w:ind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4166235" cy="2122170"/>
            <wp:effectExtent l="0" t="0" r="5715" b="11430"/>
            <wp:docPr id="142" name="图片 19" descr="图片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9" descr="图片3.jpg"/>
                    <pic:cNvPicPr>
                      <a:picLocks noChangeAspect="1"/>
                    </pic:cNvPicPr>
                  </pic:nvPicPr>
                  <pic:blipFill>
                    <a:blip r:embed="rId79" cstate="print"/>
                    <a:stretch>
                      <a:fillRect/>
                    </a:stretch>
                  </pic:blipFill>
                  <pic:spPr>
                    <a:xfrm>
                      <a:off x="0" y="0"/>
                      <a:ext cx="4169492" cy="2123784"/>
                    </a:xfrm>
                    <a:prstGeom prst="rect">
                      <a:avLst/>
                    </a:prstGeom>
                  </pic:spPr>
                </pic:pic>
              </a:graphicData>
            </a:graphic>
          </wp:inline>
        </w:drawing>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（2）管廊布置于道路一侧绿化带、人行道下</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若新建道路不含中央绿化带，但道路两侧有人行道、绿化带时，建议将综合管廊布置于一侧人行道、绿化带下方。南北向道路管廊布置于道路东侧，东西向道路管廊布置于道路北侧。</w:t>
      </w:r>
    </w:p>
    <w:p>
      <w:pPr>
        <w:spacing w:line="360" w:lineRule="auto"/>
        <w:ind w:right="-57" w:rightChars="-27"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3933190" cy="2204720"/>
            <wp:effectExtent l="0" t="0" r="10160" b="5080"/>
            <wp:docPr id="143" name="图片 20" descr="图片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20" descr="图片4.jpg"/>
                    <pic:cNvPicPr>
                      <a:picLocks noChangeAspect="1"/>
                    </pic:cNvPicPr>
                  </pic:nvPicPr>
                  <pic:blipFill>
                    <a:blip r:embed="rId80" cstate="print"/>
                    <a:stretch>
                      <a:fillRect/>
                    </a:stretch>
                  </pic:blipFill>
                  <pic:spPr>
                    <a:xfrm>
                      <a:off x="0" y="0"/>
                      <a:ext cx="3936003" cy="2206456"/>
                    </a:xfrm>
                    <a:prstGeom prst="rect">
                      <a:avLst/>
                    </a:prstGeom>
                  </pic:spPr>
                </pic:pic>
              </a:graphicData>
            </a:graphic>
          </wp:inline>
        </w:drawing>
      </w:r>
    </w:p>
    <w:p>
      <w:pPr>
        <w:spacing w:line="360" w:lineRule="auto"/>
        <w:ind w:right="-57" w:rightChars="-27" w:firstLine="480" w:firstLineChars="200"/>
        <w:jc w:val="center"/>
        <w:rPr>
          <w:rFonts w:hint="eastAsia" w:ascii="楷体_GB2312" w:hAnsi="楷体_GB2312" w:eastAsia="楷体_GB2312" w:cs="楷体_GB2312"/>
          <w:color w:val="auto"/>
          <w:sz w:val="24"/>
        </w:rPr>
      </w:pPr>
    </w:p>
    <w:p>
      <w:pPr>
        <w:spacing w:line="360" w:lineRule="auto"/>
        <w:ind w:right="-57" w:rightChars="-27" w:firstLine="480" w:firstLineChars="200"/>
        <w:jc w:val="center"/>
        <w:rPr>
          <w:rFonts w:hint="eastAsia" w:ascii="楷体_GB2312" w:hAnsi="楷体_GB2312" w:eastAsia="楷体_GB2312" w:cs="楷体_GB2312"/>
          <w:color w:val="auto"/>
          <w:sz w:val="24"/>
        </w:rPr>
      </w:pPr>
    </w:p>
    <w:p>
      <w:pPr>
        <w:spacing w:line="360" w:lineRule="auto"/>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3. 综合管廊平面定位</w:t>
      </w:r>
    </w:p>
    <w:p>
      <w:pPr>
        <w:spacing w:line="360" w:lineRule="auto"/>
        <w:ind w:firstLine="42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rPr>
        <w:drawing>
          <wp:inline distT="0" distB="0" distL="0" distR="0">
            <wp:extent cx="2976880" cy="2087245"/>
            <wp:effectExtent l="0" t="0" r="13970" b="8255"/>
            <wp:docPr id="696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6" name="Picture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986270" cy="2093748"/>
                    </a:xfrm>
                    <a:prstGeom prst="rect">
                      <a:avLst/>
                    </a:prstGeom>
                    <a:noFill/>
                    <a:ln>
                      <a:noFill/>
                    </a:ln>
                  </pic:spPr>
                </pic:pic>
              </a:graphicData>
            </a:graphic>
          </wp:inline>
        </w:drawing>
      </w:r>
      <w:r>
        <w:rPr>
          <w:rFonts w:hint="eastAsia" w:ascii="楷体_GB2312" w:hAnsi="楷体_GB2312" w:eastAsia="楷体_GB2312" w:cs="楷体_GB2312"/>
          <w:color w:val="auto"/>
        </w:rPr>
        <w:drawing>
          <wp:inline distT="0" distB="0" distL="0" distR="0">
            <wp:extent cx="5037455" cy="2545080"/>
            <wp:effectExtent l="0" t="0" r="10795" b="7620"/>
            <wp:docPr id="706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60" name="Picture 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5040299" cy="2546400"/>
                    </a:xfrm>
                    <a:prstGeom prst="rect">
                      <a:avLst/>
                    </a:prstGeom>
                    <a:noFill/>
                    <a:ln>
                      <a:noFill/>
                    </a:ln>
                  </pic:spPr>
                </pic:pic>
              </a:graphicData>
            </a:graphic>
          </wp:inline>
        </w:drawing>
      </w:r>
    </w:p>
    <w:p>
      <w:pPr>
        <w:spacing w:line="360" w:lineRule="auto"/>
        <w:ind w:firstLine="480" w:firstLineChars="200"/>
        <w:jc w:val="center"/>
        <w:rPr>
          <w:rFonts w:hint="eastAsia" w:ascii="楷体_GB2312" w:hAnsi="楷体_GB2312" w:eastAsia="楷体_GB2312" w:cs="楷体_GB2312"/>
          <w:color w:val="auto"/>
          <w:sz w:val="24"/>
        </w:rPr>
      </w:pP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5330825" cy="2354580"/>
            <wp:effectExtent l="0" t="0" r="3175" b="7620"/>
            <wp:docPr id="716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4"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5333462" cy="2356044"/>
                    </a:xfrm>
                    <a:prstGeom prst="rect">
                      <a:avLst/>
                    </a:prstGeom>
                    <a:noFill/>
                    <a:ln>
                      <a:noFill/>
                    </a:ln>
                  </pic:spPr>
                </pic:pic>
              </a:graphicData>
            </a:graphic>
          </wp:inline>
        </w:drawing>
      </w:r>
    </w:p>
    <w:p>
      <w:pPr>
        <w:spacing w:line="360" w:lineRule="auto"/>
        <w:ind w:firstLine="480" w:firstLineChars="200"/>
        <w:jc w:val="center"/>
        <w:rPr>
          <w:rFonts w:hint="eastAsia" w:ascii="楷体_GB2312" w:hAnsi="楷体_GB2312" w:eastAsia="楷体_GB2312" w:cs="楷体_GB2312"/>
          <w:color w:val="auto"/>
          <w:sz w:val="24"/>
        </w:rPr>
      </w:pP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5477510" cy="2389505"/>
            <wp:effectExtent l="0" t="0" r="8890" b="10795"/>
            <wp:docPr id="727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8"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5483025" cy="2391808"/>
                    </a:xfrm>
                    <a:prstGeom prst="rect">
                      <a:avLst/>
                    </a:prstGeom>
                    <a:noFill/>
                    <a:ln>
                      <a:noFill/>
                    </a:ln>
                  </pic:spPr>
                </pic:pic>
              </a:graphicData>
            </a:graphic>
          </wp:inline>
        </w:drawing>
      </w:r>
    </w:p>
    <w:p>
      <w:pPr>
        <w:spacing w:line="360" w:lineRule="auto"/>
        <w:ind w:firstLine="480" w:firstLineChars="200"/>
        <w:jc w:val="center"/>
        <w:rPr>
          <w:rFonts w:hint="eastAsia" w:ascii="楷体_GB2312" w:hAnsi="楷体_GB2312" w:eastAsia="楷体_GB2312" w:cs="楷体_GB2312"/>
          <w:color w:val="auto"/>
          <w:sz w:val="24"/>
        </w:rPr>
      </w:pP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5278755" cy="1710055"/>
            <wp:effectExtent l="0" t="0" r="17145" b="4445"/>
            <wp:docPr id="747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4"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5278755" cy="1710097"/>
                    </a:xfrm>
                    <a:prstGeom prst="rect">
                      <a:avLst/>
                    </a:prstGeom>
                    <a:noFill/>
                    <a:ln>
                      <a:noFill/>
                    </a:ln>
                  </pic:spPr>
                </pic:pic>
              </a:graphicData>
            </a:graphic>
          </wp:inline>
        </w:drawing>
      </w:r>
    </w:p>
    <w:p>
      <w:pPr>
        <w:rPr>
          <w:rFonts w:hint="eastAsia" w:ascii="楷体_GB2312" w:hAnsi="楷体_GB2312" w:eastAsia="楷体_GB2312" w:cs="楷体_GB2312"/>
          <w:color w:val="auto"/>
        </w:rPr>
      </w:pP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5537835" cy="2475230"/>
            <wp:effectExtent l="0" t="0" r="5715" b="1270"/>
            <wp:docPr id="757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78"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5543788" cy="2478298"/>
                    </a:xfrm>
                    <a:prstGeom prst="rect">
                      <a:avLst/>
                    </a:prstGeom>
                    <a:noFill/>
                    <a:ln>
                      <a:noFill/>
                    </a:ln>
                  </pic:spPr>
                </pic:pic>
              </a:graphicData>
            </a:graphic>
          </wp:inline>
        </w:drawing>
      </w:r>
    </w:p>
    <w:p>
      <w:pPr>
        <w:jc w:val="center"/>
        <w:rPr>
          <w:rFonts w:hint="eastAsia" w:ascii="楷体_GB2312" w:hAnsi="楷体_GB2312" w:eastAsia="楷体_GB2312" w:cs="楷体_GB2312"/>
          <w:color w:val="auto"/>
        </w:rPr>
      </w:pP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5537835" cy="2233295"/>
            <wp:effectExtent l="0" t="0" r="5715" b="14605"/>
            <wp:docPr id="768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02"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5541293" cy="2235058"/>
                    </a:xfrm>
                    <a:prstGeom prst="rect">
                      <a:avLst/>
                    </a:prstGeom>
                    <a:noFill/>
                    <a:ln>
                      <a:noFill/>
                    </a:ln>
                  </pic:spPr>
                </pic:pic>
              </a:graphicData>
            </a:graphic>
          </wp:inline>
        </w:drawing>
      </w:r>
    </w:p>
    <w:p>
      <w:pPr>
        <w:jc w:val="center"/>
        <w:rPr>
          <w:rFonts w:hint="eastAsia" w:ascii="楷体_GB2312" w:hAnsi="楷体_GB2312" w:eastAsia="楷体_GB2312" w:cs="楷体_GB2312"/>
          <w:color w:val="auto"/>
        </w:rPr>
      </w:pP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5460365" cy="2171700"/>
            <wp:effectExtent l="0" t="0" r="6985" b="0"/>
            <wp:docPr id="778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6"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5459889" cy="2171988"/>
                    </a:xfrm>
                    <a:prstGeom prst="rect">
                      <a:avLst/>
                    </a:prstGeom>
                    <a:noFill/>
                    <a:ln>
                      <a:noFill/>
                    </a:ln>
                  </pic:spPr>
                </pic:pic>
              </a:graphicData>
            </a:graphic>
          </wp:inline>
        </w:drawing>
      </w:r>
    </w:p>
    <w:p>
      <w:pPr>
        <w:jc w:val="left"/>
        <w:rPr>
          <w:rFonts w:hint="eastAsia" w:ascii="楷体_GB2312" w:hAnsi="楷体_GB2312" w:eastAsia="楷体_GB2312" w:cs="楷体_GB2312"/>
          <w:color w:val="auto"/>
        </w:rPr>
      </w:pP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5486400" cy="2061210"/>
            <wp:effectExtent l="0" t="0" r="0" b="15240"/>
            <wp:docPr id="788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5499418" cy="2066605"/>
                    </a:xfrm>
                    <a:prstGeom prst="rect">
                      <a:avLst/>
                    </a:prstGeom>
                    <a:noFill/>
                    <a:ln>
                      <a:noFill/>
                    </a:ln>
                  </pic:spPr>
                </pic:pic>
              </a:graphicData>
            </a:graphic>
          </wp:inline>
        </w:drawing>
      </w:r>
    </w:p>
    <w:p>
      <w:pPr>
        <w:jc w:val="center"/>
        <w:rPr>
          <w:rFonts w:hint="eastAsia" w:ascii="楷体_GB2312" w:hAnsi="楷体_GB2312" w:eastAsia="楷体_GB2312" w:cs="楷体_GB2312"/>
          <w:color w:val="auto"/>
        </w:rPr>
      </w:pP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5488940" cy="2251075"/>
            <wp:effectExtent l="0" t="0" r="16510" b="15875"/>
            <wp:docPr id="798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74"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5489064" cy="2251532"/>
                    </a:xfrm>
                    <a:prstGeom prst="rect">
                      <a:avLst/>
                    </a:prstGeom>
                    <a:noFill/>
                    <a:ln>
                      <a:noFill/>
                    </a:ln>
                  </pic:spPr>
                </pic:pic>
              </a:graphicData>
            </a:graphic>
          </wp:inline>
        </w:drawing>
      </w:r>
    </w:p>
    <w:p>
      <w:pPr>
        <w:spacing w:line="360" w:lineRule="auto"/>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4. 综合管廊竖向控制</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主干型综合管廊和次干型综合管廊的纵断线型应视其覆土深度而定，一般标准段应保持2.5米以上，这是由廊内管线从顶板穿出与廊外管线从管廊顶横穿的要求及廊顶通风风道的要求等因素确定的。综合管廊纵断设计应充分遵循“满足需要、经济适用”的原则，综合管廊的纵断应基本上与所在道路的纵断一致，以减少土方量，坡度变化处应满足各类管线折角的要求，纵断最小坡度需考虑沟内排水需要，最大坡度不超过20%。</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支管廊的纵向坡度应以配合人行道纵向坡度为原则，纵向曲线必须满足收容缆线铺设作业要求，特殊段(暗渠段)覆土厚度至少应大于路面(人行道)的铺面砖厚度。</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68" w:name="_Toc25438"/>
      <w:bookmarkStart w:id="269" w:name="_Toc495586792"/>
      <w:r>
        <w:rPr>
          <w:rFonts w:hint="eastAsia" w:ascii="楷体_GB2312" w:hAnsi="楷体_GB2312" w:eastAsia="楷体_GB2312" w:cs="楷体_GB2312"/>
          <w:b/>
          <w:bCs w:val="0"/>
          <w:color w:val="auto"/>
          <w:sz w:val="28"/>
        </w:rPr>
        <w:t>6.4重要节点控制</w:t>
      </w:r>
      <w:bookmarkEnd w:id="268"/>
      <w:bookmarkEnd w:id="269"/>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由于综合管廊布置在道路下方，必然与道路下方的其他的管线或者高架桥梁桥墩、穿行地道、轨道交通等在平面或立面上发生关系，故而有必要对综合管廊与上述管线、线路的关系进行分析，并采取相应避让措施。</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本次规划管廊需穿越现状河道、现状铁路、现状地铁、规划地铁、现状高速公路、地下空间、地下通道、雨污水管线等，穿越原则为：</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1、穿越现状河道采用顶管或盾构形式；</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2、穿越现状铁路采用顶管或盾构形式；</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 xml:space="preserve">3、穿越高速公路采用顶管或盾构形式； </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4、穿越地铁采用矩形箱涵上方穿越方式；</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5、穿越地下空间和通道采用矩形箱涵顶进或倒虹避让方式；</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6、穿越雨污水管线采用倒虹避让方式；</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7、穿越其他综合管廊采用倒虹避让方式。</w:t>
      </w:r>
    </w:p>
    <w:p>
      <w:pPr>
        <w:jc w:val="center"/>
        <w:rPr>
          <w:rFonts w:hint="eastAsia" w:ascii="楷体_GB2312" w:hAnsi="楷体_GB2312" w:eastAsia="楷体_GB2312" w:cs="楷体_GB2312"/>
          <w:color w:val="auto"/>
        </w:rPr>
      </w:pPr>
      <w:r>
        <w:rPr>
          <w:rFonts w:hint="eastAsia" w:ascii="楷体_GB2312" w:hAnsi="楷体_GB2312" w:eastAsia="楷体_GB2312" w:cs="楷体_GB2312"/>
          <w:color w:val="auto"/>
        </w:rPr>
        <w:drawing>
          <wp:inline distT="0" distB="0" distL="0" distR="0">
            <wp:extent cx="3251835" cy="1289050"/>
            <wp:effectExtent l="0" t="0" r="5715" b="6350"/>
            <wp:docPr id="69638" name="图片 69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8" name="图片 69638"/>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3259207" cy="1292234"/>
                    </a:xfrm>
                    <a:prstGeom prst="rect">
                      <a:avLst/>
                    </a:prstGeom>
                  </pic:spPr>
                </pic:pic>
              </a:graphicData>
            </a:graphic>
          </wp:inline>
        </w:drawing>
      </w:r>
    </w:p>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避让方式示意图</w:t>
      </w:r>
    </w:p>
    <w:p>
      <w:pPr>
        <w:spacing w:line="360" w:lineRule="auto"/>
        <w:ind w:right="-57" w:rightChars="-27"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一般倒虹避让方式，管廊管顶距离障碍物深度≥1.5m；顶管或盾构方式，管廊管顶距离障碍物底部深度为1.5-2D。</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70" w:name="_Toc495586793"/>
      <w:r>
        <w:rPr>
          <w:rFonts w:hint="eastAsia" w:ascii="楷体_GB2312" w:hAnsi="楷体_GB2312" w:eastAsia="楷体_GB2312" w:cs="楷体_GB2312"/>
          <w:b/>
          <w:color w:val="auto"/>
          <w:sz w:val="24"/>
          <w:szCs w:val="24"/>
        </w:rPr>
        <w:t>6.4.1与已建道路交叉</w:t>
      </w:r>
      <w:bookmarkEnd w:id="270"/>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综合管廊沿途遇已建道路时，采用平面交叉，预留管线引出口方式。</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71" w:name="_Toc495586794"/>
      <w:r>
        <w:rPr>
          <w:rFonts w:hint="eastAsia" w:ascii="楷体_GB2312" w:hAnsi="楷体_GB2312" w:eastAsia="楷体_GB2312" w:cs="楷体_GB2312"/>
          <w:b/>
          <w:color w:val="auto"/>
          <w:sz w:val="24"/>
          <w:szCs w:val="24"/>
        </w:rPr>
        <w:t>6.4.2与其他综合管廊道路交叉</w:t>
      </w:r>
      <w:bookmarkEnd w:id="271"/>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两条综合管廊道路相交时，采取倒虹避让方式。一般舱室多的管廊走上方，舱室少的管廊下倒虹走下方；或者遇相同舱室数量的管廊，管线口径大的管廊走上方。若一条道路有下行立交，则该道路综合管廊埋深更深。</w:t>
      </w:r>
    </w:p>
    <w:p>
      <w:pPr>
        <w:spacing w:line="360" w:lineRule="auto"/>
        <w:ind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2432050" cy="2052955"/>
            <wp:effectExtent l="0" t="0" r="6350" b="4445"/>
            <wp:docPr id="69640" name="图片 69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40" name="图片 69640"/>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432224" cy="2053127"/>
                    </a:xfrm>
                    <a:prstGeom prst="rect">
                      <a:avLst/>
                    </a:prstGeom>
                  </pic:spPr>
                </pic:pic>
              </a:graphicData>
            </a:graphic>
          </wp:inline>
        </w:drawing>
      </w:r>
    </w:p>
    <w:p>
      <w:pPr>
        <w:spacing w:before="60" w:line="360" w:lineRule="auto"/>
        <w:ind w:firstLine="482"/>
        <w:jc w:val="center"/>
        <w:rPr>
          <w:rFonts w:hint="eastAsia" w:ascii="楷体_GB2312" w:hAnsi="楷体_GB2312" w:eastAsia="楷体_GB2312" w:cs="楷体_GB2312"/>
          <w:b/>
          <w:color w:val="auto"/>
        </w:rPr>
      </w:pPr>
      <w:r>
        <w:rPr>
          <w:rFonts w:hint="eastAsia" w:ascii="楷体_GB2312" w:hAnsi="楷体_GB2312" w:eastAsia="楷体_GB2312" w:cs="楷体_GB2312"/>
          <w:color w:val="auto"/>
          <w:szCs w:val="21"/>
        </w:rPr>
        <w:t>综合管廊避让其他管廊倒虹段</w:t>
      </w:r>
    </w:p>
    <w:p>
      <w:pPr>
        <w:spacing w:before="60" w:line="360" w:lineRule="auto"/>
        <w:ind w:firstLine="482"/>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先建管廊负责设计，后建管廊的道路上要预留舱体，保证后建管廊在正常标高上接入交叉口，交叉口为满足以上功能，在原管廊断面基础上需适当进行扩大，在布置时需适当考虑。</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72" w:name="_Toc495586795"/>
      <w:r>
        <w:rPr>
          <w:rFonts w:hint="eastAsia" w:ascii="楷体_GB2312" w:hAnsi="楷体_GB2312" w:eastAsia="楷体_GB2312" w:cs="楷体_GB2312"/>
          <w:b/>
          <w:color w:val="auto"/>
          <w:sz w:val="24"/>
          <w:szCs w:val="24"/>
        </w:rPr>
        <w:t>6.4.3与雨污水管线的关系</w:t>
      </w:r>
      <w:bookmarkEnd w:id="272"/>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雨污水等市政管线管径一般较大，埋深在地面下2.0 m左右，综合管廊埋设一般为2.5 m，因此综合管廊采取倒虹避让方式。同时雨污水管线设计时，宜尽量在管廊覆土层或者管沟下方穿越，少数无法避开的位置，综合管廊采用上倒虹或者下倒虹的方式穿越。</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73" w:name="_Toc495586796"/>
      <w:r>
        <w:rPr>
          <w:rFonts w:hint="eastAsia" w:ascii="楷体_GB2312" w:hAnsi="楷体_GB2312" w:eastAsia="楷体_GB2312" w:cs="楷体_GB2312"/>
          <w:b/>
          <w:color w:val="auto"/>
          <w:sz w:val="24"/>
          <w:szCs w:val="24"/>
        </w:rPr>
        <w:t>6.4.4与地下空间的关系</w:t>
      </w:r>
      <w:bookmarkEnd w:id="273"/>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结合许昌市规划的地下空间开发设计，与地下空间有相互联系的综合管廊，在条件允许且不影响地下空间本体正常运行的情况下，适宜与其合建，以节省空间、缩短工时，人员出入口可考虑合建或独立建设，需征询相关部门。</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当综合管廊与道路两侧的地下空间出现交叉情况时，根据地下空间的规划方案，综合管廊采取不同的方式穿过地下空间：</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（1）当地下空间覆土较浅，应考虑将综合管廊与地下空间结合设置。</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（2）当地下空间覆土厚度达到3m以上时，管廊与地下空间共板设置。</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（3）当地下空间布置为交通功能时，与地下环路结合。</w:t>
      </w:r>
    </w:p>
    <w:p>
      <w:pPr>
        <w:spacing w:line="360" w:lineRule="auto"/>
        <w:ind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3872865" cy="1638300"/>
            <wp:effectExtent l="0" t="0" r="13335" b="0"/>
            <wp:docPr id="69641" name="图片 69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41" name="图片 69641"/>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872812" cy="1638479"/>
                    </a:xfrm>
                    <a:prstGeom prst="rect">
                      <a:avLst/>
                    </a:prstGeom>
                  </pic:spPr>
                </pic:pic>
              </a:graphicData>
            </a:graphic>
          </wp:inline>
        </w:drawing>
      </w:r>
    </w:p>
    <w:p>
      <w:pPr>
        <w:spacing w:line="360" w:lineRule="auto"/>
        <w:ind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3872865" cy="1547495"/>
            <wp:effectExtent l="0" t="0" r="13335" b="14605"/>
            <wp:docPr id="69642" name="图片 69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42" name="图片 69642"/>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881770" cy="1551214"/>
                    </a:xfrm>
                    <a:prstGeom prst="rect">
                      <a:avLst/>
                    </a:prstGeom>
                  </pic:spPr>
                </pic:pic>
              </a:graphicData>
            </a:graphic>
          </wp:inline>
        </w:drawing>
      </w:r>
    </w:p>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综合管廊穿越人行通道、商业综合体</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74" w:name="_Toc495586797"/>
      <w:r>
        <w:rPr>
          <w:rFonts w:hint="eastAsia" w:ascii="楷体_GB2312" w:hAnsi="楷体_GB2312" w:eastAsia="楷体_GB2312" w:cs="楷体_GB2312"/>
          <w:b/>
          <w:color w:val="auto"/>
          <w:sz w:val="24"/>
          <w:szCs w:val="24"/>
        </w:rPr>
        <w:t>6.4.5与河道和铁路公路的关系</w:t>
      </w:r>
      <w:bookmarkEnd w:id="274"/>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若综合管廊穿越河道和上方铁路时，可采用顶管或盾构方式。若管廊跨越河流时需躲避桥梁，并有一定安全距离；或条件允许情况下与桥梁一体化设计。</w:t>
      </w:r>
    </w:p>
    <w:p>
      <w:pPr>
        <w:spacing w:line="360" w:lineRule="auto"/>
        <w:ind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3217545" cy="2191385"/>
            <wp:effectExtent l="0" t="0" r="1905" b="18415"/>
            <wp:docPr id="69643" name="图片 6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43" name="图片 69643"/>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217807" cy="2191720"/>
                    </a:xfrm>
                    <a:prstGeom prst="rect">
                      <a:avLst/>
                    </a:prstGeom>
                  </pic:spPr>
                </pic:pic>
              </a:graphicData>
            </a:graphic>
          </wp:inline>
        </w:drawing>
      </w:r>
    </w:p>
    <w:p>
      <w:pPr>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综合管廊穿越河道顶管或盾构示意图</w:t>
      </w:r>
    </w:p>
    <w:p>
      <w:pPr>
        <w:spacing w:line="360" w:lineRule="auto"/>
        <w:ind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4589145" cy="1966595"/>
            <wp:effectExtent l="0" t="0" r="1905" b="14605"/>
            <wp:docPr id="69644" name="图片 69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44" name="图片 69644"/>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0" y="0"/>
                      <a:ext cx="4592190" cy="1968082"/>
                    </a:xfrm>
                    <a:prstGeom prst="rect">
                      <a:avLst/>
                    </a:prstGeom>
                  </pic:spPr>
                </pic:pic>
              </a:graphicData>
            </a:graphic>
          </wp:inline>
        </w:drawing>
      </w:r>
    </w:p>
    <w:p>
      <w:pPr>
        <w:spacing w:line="360" w:lineRule="auto"/>
        <w:ind w:firstLine="420" w:firstLineChars="200"/>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综合管廊穿越铁路顶管示意图</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在I~V级航道下面敷设时，顶部高程应在远期规划航道底高程2.0m以下；在VI、VII级航道下面敷设时，顶部高程应在远期规划航道底高程1.0m以下；在其他河道下面敷设时，顶部高程应在河道底设计高程1.0m以下。</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75" w:name="_Toc495586798"/>
      <w:bookmarkStart w:id="276" w:name="_Toc21161"/>
      <w:r>
        <w:rPr>
          <w:rFonts w:hint="eastAsia" w:ascii="楷体_GB2312" w:hAnsi="楷体_GB2312" w:eastAsia="楷体_GB2312" w:cs="楷体_GB2312"/>
          <w:b/>
          <w:bCs w:val="0"/>
          <w:color w:val="auto"/>
          <w:sz w:val="28"/>
        </w:rPr>
        <w:t>6.5分期建设和投资匡算</w:t>
      </w:r>
      <w:bookmarkEnd w:id="275"/>
      <w:bookmarkEnd w:id="276"/>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77" w:name="_Toc495586799"/>
      <w:r>
        <w:rPr>
          <w:rFonts w:hint="eastAsia" w:ascii="楷体_GB2312" w:hAnsi="楷体_GB2312" w:eastAsia="楷体_GB2312" w:cs="楷体_GB2312"/>
          <w:b/>
          <w:color w:val="auto"/>
          <w:sz w:val="24"/>
          <w:szCs w:val="24"/>
        </w:rPr>
        <w:t>6.5.1管廊分期原则</w:t>
      </w:r>
      <w:bookmarkEnd w:id="277"/>
    </w:p>
    <w:p>
      <w:pPr>
        <w:spacing w:line="360" w:lineRule="auto"/>
        <w:ind w:firstLine="42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许昌综合管廊线位规划分近期、远期。其分期原则为：根据道路建设和改造计划。</w:t>
      </w:r>
    </w:p>
    <w:p>
      <w:pPr>
        <w:spacing w:line="360" w:lineRule="auto"/>
        <w:ind w:firstLine="42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（1）近期：主要以近期新建（改建）道路为主，或与高架路等同步建设的道路。</w:t>
      </w:r>
    </w:p>
    <w:p>
      <w:pPr>
        <w:spacing w:line="360" w:lineRule="auto"/>
        <w:ind w:firstLine="42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（2）远期：重点结合老城区道路改造、有轨电车建设、高压电缆入地以及部分道路新建工程建设地下综合管廊。</w:t>
      </w:r>
    </w:p>
    <w:p>
      <w:pPr>
        <w:pStyle w:val="6"/>
        <w:keepNext/>
        <w:keepLines/>
        <w:pageBreakBefore w:val="0"/>
        <w:widowControl/>
        <w:numPr>
          <w:ilvl w:val="0"/>
          <w:numId w:val="0"/>
        </w:numPr>
        <w:kinsoku/>
        <w:wordWrap/>
        <w:overflowPunct/>
        <w:topLinePunct w:val="0"/>
        <w:autoSpaceDE/>
        <w:autoSpaceDN/>
        <w:bidi w:val="0"/>
        <w:adjustRightInd/>
        <w:snapToGrid/>
        <w:spacing w:before="313" w:beforeLines="100" w:after="157" w:afterLines="50" w:line="360" w:lineRule="auto"/>
        <w:ind w:left="0" w:leftChars="0" w:right="0" w:rightChars="0" w:firstLine="0" w:firstLineChars="0"/>
        <w:jc w:val="both"/>
        <w:textAlignment w:val="auto"/>
        <w:outlineLvl w:val="4"/>
        <w:rPr>
          <w:rFonts w:hint="eastAsia" w:ascii="楷体_GB2312" w:hAnsi="楷体_GB2312" w:eastAsia="楷体_GB2312" w:cs="楷体_GB2312"/>
          <w:b/>
          <w:color w:val="auto"/>
          <w:sz w:val="24"/>
          <w:szCs w:val="24"/>
        </w:rPr>
      </w:pPr>
      <w:bookmarkStart w:id="278" w:name="_Toc495586800"/>
      <w:r>
        <w:rPr>
          <w:rFonts w:hint="eastAsia" w:ascii="楷体_GB2312" w:hAnsi="楷体_GB2312" w:eastAsia="楷体_GB2312" w:cs="楷体_GB2312"/>
          <w:b/>
          <w:color w:val="auto"/>
          <w:sz w:val="24"/>
          <w:szCs w:val="24"/>
        </w:rPr>
        <w:t>6.5.2分期建设规划</w:t>
      </w:r>
      <w:bookmarkEnd w:id="278"/>
    </w:p>
    <w:p>
      <w:pPr>
        <w:spacing w:before="60" w:line="360" w:lineRule="auto"/>
        <w:ind w:firstLine="482"/>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根据许昌市综合管廊总体规划布局，主城区规划综合管廊总长约217公里，综合管廊规划分近期、远期建设。</w:t>
      </w:r>
    </w:p>
    <w:p>
      <w:pPr>
        <w:spacing w:line="360" w:lineRule="auto"/>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1. 近期建设</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近期分为两阶段：一阶段（2017年）结合忠武路新建工程，实施忠武路（北苑大道~南外环路）综合管廊，共计22.4km。并同步建设“东北片区主控制中心“及“东南片区分控制中心”；二阶段（2018-2020）重点结合新区、园区、成片开发区域新建道路同步建设地下综合管廊，共计27.6km。结合曹魏古城更新，共建设综合管廊9km，控制中心一座。</w:t>
      </w:r>
    </w:p>
    <w:p>
      <w:pPr>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综合管廊近期建设一览表</w:t>
      </w:r>
    </w:p>
    <w:tbl>
      <w:tblPr>
        <w:tblStyle w:val="21"/>
        <w:tblW w:w="8716" w:type="dxa"/>
        <w:jc w:val="center"/>
        <w:tblInd w:w="93" w:type="dxa"/>
        <w:tblLayout w:type="fixed"/>
        <w:tblCellMar>
          <w:top w:w="0" w:type="dxa"/>
          <w:left w:w="108" w:type="dxa"/>
          <w:bottom w:w="0" w:type="dxa"/>
          <w:right w:w="108" w:type="dxa"/>
        </w:tblCellMar>
      </w:tblPr>
      <w:tblGrid>
        <w:gridCol w:w="582"/>
        <w:gridCol w:w="2977"/>
        <w:gridCol w:w="1559"/>
        <w:gridCol w:w="993"/>
        <w:gridCol w:w="708"/>
        <w:gridCol w:w="1897"/>
      </w:tblGrid>
      <w:tr>
        <w:tblPrEx>
          <w:tblLayout w:type="fixed"/>
          <w:tblCellMar>
            <w:top w:w="0" w:type="dxa"/>
            <w:left w:w="108" w:type="dxa"/>
            <w:bottom w:w="0" w:type="dxa"/>
            <w:right w:w="108" w:type="dxa"/>
          </w:tblCellMar>
        </w:tblPrEx>
        <w:trPr>
          <w:trHeight w:val="270" w:hRule="atLeast"/>
          <w:jc w:val="center"/>
        </w:trPr>
        <w:tc>
          <w:tcPr>
            <w:tcW w:w="582" w:type="dxa"/>
            <w:tcBorders>
              <w:top w:val="single" w:color="auto" w:sz="4" w:space="0"/>
              <w:left w:val="single" w:color="auto" w:sz="4" w:space="0"/>
              <w:bottom w:val="single" w:color="auto" w:sz="4" w:space="0"/>
              <w:right w:val="single" w:color="auto" w:sz="4" w:space="0"/>
            </w:tcBorders>
            <w:shd w:val="clear" w:color="auto" w:fill="C2D69B" w:themeFill="accent3" w:themeFillTint="99"/>
            <w:vAlign w:val="center"/>
          </w:tcPr>
          <w:p>
            <w:pPr>
              <w:widowControl/>
              <w:spacing w:line="312" w:lineRule="auto"/>
              <w:jc w:val="left"/>
              <w:rPr>
                <w:rFonts w:hint="eastAsia" w:ascii="楷体_GB2312" w:hAnsi="楷体_GB2312" w:eastAsia="楷体_GB2312" w:cs="楷体_GB2312"/>
                <w:b/>
                <w:color w:val="auto"/>
                <w:kern w:val="0"/>
                <w:szCs w:val="21"/>
              </w:rPr>
            </w:pPr>
          </w:p>
        </w:tc>
        <w:tc>
          <w:tcPr>
            <w:tcW w:w="2977" w:type="dxa"/>
            <w:tcBorders>
              <w:top w:val="single" w:color="auto" w:sz="4" w:space="0"/>
              <w:left w:val="nil"/>
              <w:bottom w:val="single" w:color="auto" w:sz="4" w:space="0"/>
              <w:right w:val="single" w:color="auto" w:sz="4" w:space="0"/>
            </w:tcBorders>
            <w:shd w:val="clear" w:color="auto" w:fill="C2D69B" w:themeFill="accent3" w:themeFillTint="99"/>
            <w:vAlign w:val="center"/>
          </w:tcPr>
          <w:p>
            <w:pPr>
              <w:widowControl/>
              <w:spacing w:line="312" w:lineRule="auto"/>
              <w:jc w:val="left"/>
              <w:rPr>
                <w:rFonts w:hint="eastAsia" w:ascii="楷体_GB2312" w:hAnsi="楷体_GB2312" w:eastAsia="楷体_GB2312" w:cs="楷体_GB2312"/>
                <w:b/>
                <w:color w:val="auto"/>
                <w:kern w:val="0"/>
                <w:szCs w:val="21"/>
              </w:rPr>
            </w:pPr>
            <w:r>
              <w:rPr>
                <w:rFonts w:hint="eastAsia" w:ascii="楷体_GB2312" w:hAnsi="楷体_GB2312" w:eastAsia="楷体_GB2312" w:cs="楷体_GB2312"/>
                <w:b/>
                <w:color w:val="auto"/>
                <w:kern w:val="0"/>
                <w:szCs w:val="21"/>
              </w:rPr>
              <w:t>管廊名称</w:t>
            </w:r>
          </w:p>
        </w:tc>
        <w:tc>
          <w:tcPr>
            <w:tcW w:w="1559" w:type="dxa"/>
            <w:tcBorders>
              <w:top w:val="single" w:color="auto" w:sz="4" w:space="0"/>
              <w:left w:val="nil"/>
              <w:bottom w:val="single" w:color="auto" w:sz="4" w:space="0"/>
              <w:right w:val="single" w:color="auto" w:sz="4" w:space="0"/>
            </w:tcBorders>
            <w:shd w:val="clear" w:color="auto" w:fill="C2D69B" w:themeFill="accent3" w:themeFillTint="99"/>
            <w:vAlign w:val="center"/>
          </w:tcPr>
          <w:p>
            <w:pPr>
              <w:widowControl/>
              <w:spacing w:line="312" w:lineRule="auto"/>
              <w:jc w:val="left"/>
              <w:rPr>
                <w:rFonts w:hint="eastAsia" w:ascii="楷体_GB2312" w:hAnsi="楷体_GB2312" w:eastAsia="楷体_GB2312" w:cs="楷体_GB2312"/>
                <w:b/>
                <w:color w:val="auto"/>
                <w:kern w:val="0"/>
                <w:szCs w:val="21"/>
              </w:rPr>
            </w:pPr>
            <w:r>
              <w:rPr>
                <w:rFonts w:hint="eastAsia" w:ascii="楷体_GB2312" w:hAnsi="楷体_GB2312" w:eastAsia="楷体_GB2312" w:cs="楷体_GB2312"/>
                <w:b/>
                <w:color w:val="auto"/>
                <w:kern w:val="0"/>
                <w:szCs w:val="21"/>
              </w:rPr>
              <w:t>建安费（万元）</w:t>
            </w:r>
          </w:p>
        </w:tc>
        <w:tc>
          <w:tcPr>
            <w:tcW w:w="993" w:type="dxa"/>
            <w:tcBorders>
              <w:top w:val="single" w:color="auto" w:sz="4" w:space="0"/>
              <w:left w:val="nil"/>
              <w:bottom w:val="single" w:color="auto" w:sz="4" w:space="0"/>
              <w:right w:val="single" w:color="auto" w:sz="4" w:space="0"/>
            </w:tcBorders>
            <w:shd w:val="clear" w:color="auto" w:fill="C2D69B" w:themeFill="accent3" w:themeFillTint="99"/>
            <w:vAlign w:val="center"/>
          </w:tcPr>
          <w:p>
            <w:pPr>
              <w:widowControl/>
              <w:spacing w:line="312" w:lineRule="auto"/>
              <w:jc w:val="left"/>
              <w:rPr>
                <w:rFonts w:hint="eastAsia" w:ascii="楷体_GB2312" w:hAnsi="楷体_GB2312" w:eastAsia="楷体_GB2312" w:cs="楷体_GB2312"/>
                <w:b/>
                <w:color w:val="auto"/>
                <w:kern w:val="0"/>
                <w:szCs w:val="21"/>
              </w:rPr>
            </w:pPr>
            <w:r>
              <w:rPr>
                <w:rFonts w:hint="eastAsia" w:ascii="楷体_GB2312" w:hAnsi="楷体_GB2312" w:eastAsia="楷体_GB2312" w:cs="楷体_GB2312"/>
                <w:b/>
                <w:color w:val="auto"/>
                <w:kern w:val="0"/>
                <w:szCs w:val="21"/>
              </w:rPr>
              <w:t>数量</w:t>
            </w:r>
          </w:p>
        </w:tc>
        <w:tc>
          <w:tcPr>
            <w:tcW w:w="708" w:type="dxa"/>
            <w:tcBorders>
              <w:top w:val="single" w:color="auto" w:sz="4" w:space="0"/>
              <w:left w:val="nil"/>
              <w:bottom w:val="single" w:color="auto" w:sz="4" w:space="0"/>
              <w:right w:val="single" w:color="auto" w:sz="4" w:space="0"/>
            </w:tcBorders>
            <w:shd w:val="clear" w:color="auto" w:fill="C2D69B" w:themeFill="accent3" w:themeFillTint="99"/>
            <w:vAlign w:val="center"/>
          </w:tcPr>
          <w:p>
            <w:pPr>
              <w:widowControl/>
              <w:spacing w:line="312" w:lineRule="auto"/>
              <w:jc w:val="left"/>
              <w:rPr>
                <w:rFonts w:hint="eastAsia" w:ascii="楷体_GB2312" w:hAnsi="楷体_GB2312" w:eastAsia="楷体_GB2312" w:cs="楷体_GB2312"/>
                <w:b/>
                <w:color w:val="auto"/>
                <w:kern w:val="0"/>
                <w:szCs w:val="21"/>
              </w:rPr>
            </w:pPr>
            <w:r>
              <w:rPr>
                <w:rFonts w:hint="eastAsia" w:ascii="楷体_GB2312" w:hAnsi="楷体_GB2312" w:eastAsia="楷体_GB2312" w:cs="楷体_GB2312"/>
                <w:b/>
                <w:color w:val="auto"/>
                <w:kern w:val="0"/>
                <w:szCs w:val="21"/>
              </w:rPr>
              <w:t>单位</w:t>
            </w:r>
          </w:p>
        </w:tc>
        <w:tc>
          <w:tcPr>
            <w:tcW w:w="1897" w:type="dxa"/>
            <w:tcBorders>
              <w:top w:val="single" w:color="auto" w:sz="4" w:space="0"/>
              <w:left w:val="nil"/>
              <w:bottom w:val="single" w:color="auto" w:sz="4" w:space="0"/>
              <w:right w:val="single" w:color="auto" w:sz="4" w:space="0"/>
            </w:tcBorders>
            <w:shd w:val="clear" w:color="auto" w:fill="C2D69B" w:themeFill="accent3" w:themeFillTint="99"/>
            <w:vAlign w:val="center"/>
          </w:tcPr>
          <w:p>
            <w:pPr>
              <w:widowControl/>
              <w:spacing w:line="312" w:lineRule="auto"/>
              <w:jc w:val="left"/>
              <w:rPr>
                <w:rFonts w:hint="eastAsia" w:ascii="楷体_GB2312" w:hAnsi="楷体_GB2312" w:eastAsia="楷体_GB2312" w:cs="楷体_GB2312"/>
                <w:b/>
                <w:color w:val="auto"/>
                <w:kern w:val="0"/>
                <w:szCs w:val="21"/>
              </w:rPr>
            </w:pPr>
            <w:r>
              <w:rPr>
                <w:rFonts w:hint="eastAsia" w:ascii="楷体_GB2312" w:hAnsi="楷体_GB2312" w:eastAsia="楷体_GB2312" w:cs="楷体_GB2312"/>
                <w:b/>
                <w:color w:val="auto"/>
                <w:kern w:val="0"/>
                <w:szCs w:val="21"/>
              </w:rPr>
              <w:t>单位价格（元）</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一</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近期</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179733</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22400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80238</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忠武路(北苑大道~农大路)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24060</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3000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80200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忠武路(农大路~昌盛路)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40108</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3700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108400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3</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忠武路（昌盛路~永兴东路）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20909</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2900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72100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4</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忠武路(永兴东路~永昌东路)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23496</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3300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71200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5</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忠武路(永昌东路~南外环路)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69160</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9500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72800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监控中心</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2000</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座</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10000000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二</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中</w:t>
            </w:r>
            <w:r>
              <w:rPr>
                <w:rFonts w:hint="eastAsia" w:ascii="楷体_GB2312" w:hAnsi="楷体_GB2312" w:eastAsia="楷体_GB2312" w:cs="楷体_GB2312"/>
                <w:color w:val="auto"/>
                <w:kern w:val="0"/>
                <w:szCs w:val="21"/>
                <w:lang w:eastAsia="zh-CN"/>
              </w:rPr>
              <w:t>远</w:t>
            </w:r>
            <w:r>
              <w:rPr>
                <w:rFonts w:hint="eastAsia" w:ascii="楷体_GB2312" w:hAnsi="楷体_GB2312" w:eastAsia="楷体_GB2312" w:cs="楷体_GB2312"/>
                <w:color w:val="auto"/>
                <w:kern w:val="0"/>
                <w:szCs w:val="21"/>
              </w:rPr>
              <w:t>期</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263837</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36600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72087</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玉兰路(农大路~新元大道)</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5268</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1100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48800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玉兰路（新元大道~1#路）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22816</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3100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73600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3</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玉兰路（1#路~永兴东路）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14365</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1700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84500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4</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魏文路(新元大道~昌盛路)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11016</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2400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45900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5</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魏文路(昌盛路~永兴东路)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11132</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2300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48400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6</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昌盛路（魏文路~许州路）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14610</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1500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97400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7</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昌盛路（许州路~玉兰路）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13554</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1800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75300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8</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昌盛路（玉兰路~忠武路）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18506</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1900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97400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9</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昌盛路（忠武路~中原路）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29920</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3400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88000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10</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永兴东路(许州路~玉兰路)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10430</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1400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74500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11</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永兴东路(玉兰路~忠武路)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14812</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1400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105800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12</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永兴东路(忠武路~中原路)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20608</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2800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73600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13</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许由路(京港澳高速~中原路)</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19460</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2800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69500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14</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曹魏古城</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56340</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9000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62600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15</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监控中心</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1000</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座</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10000000</w:t>
            </w:r>
          </w:p>
        </w:tc>
      </w:tr>
      <w:tr>
        <w:tblPrEx>
          <w:tblLayout w:type="fixed"/>
          <w:tblCellMar>
            <w:top w:w="0" w:type="dxa"/>
            <w:left w:w="108" w:type="dxa"/>
            <w:bottom w:w="0" w:type="dxa"/>
            <w:right w:w="108" w:type="dxa"/>
          </w:tblCellMar>
        </w:tblPrEx>
        <w:trPr>
          <w:trHeight w:val="340" w:hRule="atLeast"/>
          <w:jc w:val="center"/>
        </w:trPr>
        <w:tc>
          <w:tcPr>
            <w:tcW w:w="582" w:type="dxa"/>
            <w:tcBorders>
              <w:top w:val="nil"/>
              <w:left w:val="single" w:color="auto" w:sz="4" w:space="0"/>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三</w:t>
            </w:r>
          </w:p>
        </w:tc>
        <w:tc>
          <w:tcPr>
            <w:tcW w:w="297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总计</w:t>
            </w:r>
          </w:p>
        </w:tc>
        <w:tc>
          <w:tcPr>
            <w:tcW w:w="1559"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443570</w:t>
            </w:r>
          </w:p>
        </w:tc>
        <w:tc>
          <w:tcPr>
            <w:tcW w:w="993"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59000</w:t>
            </w:r>
          </w:p>
        </w:tc>
        <w:tc>
          <w:tcPr>
            <w:tcW w:w="708"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m</w:t>
            </w:r>
          </w:p>
        </w:tc>
        <w:tc>
          <w:tcPr>
            <w:tcW w:w="1897"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eastAsia" w:ascii="楷体_GB2312" w:hAnsi="楷体_GB2312" w:eastAsia="楷体_GB2312" w:cs="楷体_GB2312"/>
                <w:color w:val="auto"/>
                <w:kern w:val="0"/>
                <w:szCs w:val="21"/>
              </w:rPr>
            </w:pPr>
            <w:r>
              <w:rPr>
                <w:rFonts w:hint="eastAsia" w:ascii="楷体_GB2312" w:hAnsi="楷体_GB2312" w:eastAsia="楷体_GB2312" w:cs="楷体_GB2312"/>
                <w:color w:val="auto"/>
                <w:kern w:val="0"/>
                <w:szCs w:val="21"/>
              </w:rPr>
              <w:t>751814</w:t>
            </w:r>
          </w:p>
        </w:tc>
      </w:tr>
    </w:tbl>
    <w:p>
      <w:pPr>
        <w:spacing w:line="360" w:lineRule="auto"/>
        <w:ind w:firstLine="480" w:firstLineChars="200"/>
        <w:jc w:val="left"/>
        <w:rPr>
          <w:rFonts w:hint="eastAsia" w:ascii="楷体_GB2312" w:hAnsi="楷体_GB2312" w:eastAsia="楷体_GB2312" w:cs="楷体_GB2312"/>
          <w:color w:val="auto"/>
          <w:sz w:val="24"/>
        </w:rPr>
      </w:pPr>
    </w:p>
    <w:p>
      <w:pPr>
        <w:spacing w:line="360" w:lineRule="auto"/>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2. 远期建设</w:t>
      </w:r>
    </w:p>
    <w:p>
      <w:pPr>
        <w:spacing w:line="360" w:lineRule="auto"/>
        <w:ind w:firstLine="480" w:firstLineChars="200"/>
        <w:jc w:val="left"/>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远期（2021-2030年）重点结合老城区道路改造、有轨电车建设、高压电缆入地以及部分道路新建工程建设地下综合管廊。远期建设综合管廊158km。</w:t>
      </w:r>
    </w:p>
    <w:p>
      <w:pPr>
        <w:spacing w:line="360" w:lineRule="auto"/>
        <w:ind w:firstLine="480" w:firstLineChars="200"/>
        <w:jc w:val="center"/>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drawing>
          <wp:inline distT="0" distB="0" distL="0" distR="0">
            <wp:extent cx="2700020" cy="3528060"/>
            <wp:effectExtent l="0" t="0" r="0" b="15240"/>
            <wp:docPr id="69646" name="图片 69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46" name="图片 69646"/>
                    <pic:cNvPicPr>
                      <a:picLocks noChangeAspect="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700020" cy="3528060"/>
                    </a:xfrm>
                    <a:prstGeom prst="rect">
                      <a:avLst/>
                    </a:prstGeom>
                  </pic:spPr>
                </pic:pic>
              </a:graphicData>
            </a:graphic>
          </wp:inline>
        </w:drawing>
      </w:r>
      <w:r>
        <w:rPr>
          <w:rFonts w:hint="eastAsia" w:ascii="楷体_GB2312" w:hAnsi="楷体_GB2312" w:eastAsia="楷体_GB2312" w:cs="楷体_GB2312"/>
          <w:color w:val="auto"/>
          <w:sz w:val="24"/>
        </w:rPr>
        <w:drawing>
          <wp:inline distT="0" distB="0" distL="0" distR="0">
            <wp:extent cx="2700020" cy="3515360"/>
            <wp:effectExtent l="0" t="0" r="0" b="8890"/>
            <wp:docPr id="69647" name="图片 69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47" name="图片 69647"/>
                    <pic:cNvPicPr>
                      <a:picLocks noChangeAspect="1"/>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700020" cy="3515360"/>
                    </a:xfrm>
                    <a:prstGeom prst="rect">
                      <a:avLst/>
                    </a:prstGeom>
                  </pic:spPr>
                </pic:pic>
              </a:graphicData>
            </a:graphic>
          </wp:inline>
        </w:drawing>
      </w:r>
    </w:p>
    <w:p>
      <w:pPr>
        <w:ind w:firstLine="1365" w:firstLineChars="650"/>
        <w:jc w:val="left"/>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综合管廊近期建设规划图                  综合管廊远期建设规划图</w:t>
      </w:r>
    </w:p>
    <w:p>
      <w:pPr>
        <w:ind w:firstLine="945" w:firstLineChars="450"/>
        <w:jc w:val="left"/>
        <w:rPr>
          <w:rFonts w:hint="eastAsia" w:ascii="楷体_GB2312" w:hAnsi="楷体_GB2312" w:eastAsia="楷体_GB2312" w:cs="楷体_GB2312"/>
          <w:color w:val="auto"/>
          <w:szCs w:val="21"/>
        </w:rPr>
      </w:pPr>
    </w:p>
    <w:p>
      <w:pPr>
        <w:spacing w:line="360" w:lineRule="auto"/>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3. 投资匡算</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综合考虑各种影响管廊造价的因素，确定许昌市综合管廊的估算单价为7500万元/公里。建设时也可根据管廊项目的具体标准横断面尺寸大小相应调整管廊的综合造价。</w:t>
      </w:r>
    </w:p>
    <w:p>
      <w:pPr>
        <w:spacing w:line="360" w:lineRule="auto"/>
        <w:ind w:firstLine="480" w:firstLineChars="200"/>
        <w:rPr>
          <w:rFonts w:hint="eastAsia" w:ascii="楷体_GB2312" w:hAnsi="楷体_GB2312" w:eastAsia="楷体_GB2312" w:cs="楷体_GB2312"/>
          <w:color w:val="auto"/>
          <w:sz w:val="24"/>
          <w:u w:val="single"/>
        </w:rPr>
      </w:pPr>
      <w:r>
        <w:rPr>
          <w:rFonts w:hint="eastAsia" w:ascii="楷体_GB2312" w:hAnsi="楷体_GB2312" w:eastAsia="楷体_GB2312" w:cs="楷体_GB2312"/>
          <w:color w:val="auto"/>
          <w:sz w:val="24"/>
          <w:u w:val="single"/>
        </w:rPr>
        <w:t>许昌市综合管廊总投资约162.75亿元。其中近期投资约37.5亿元，远期投资约131.25。</w:t>
      </w:r>
    </w:p>
    <w:p>
      <w:pPr>
        <w:spacing w:line="360" w:lineRule="auto"/>
        <w:ind w:firstLine="480" w:firstLineChars="200"/>
        <w:jc w:val="left"/>
        <w:rPr>
          <w:rFonts w:hint="eastAsia" w:ascii="楷体_GB2312" w:hAnsi="楷体_GB2312" w:eastAsia="楷体_GB2312" w:cs="楷体_GB2312"/>
          <w:color w:val="auto"/>
          <w:szCs w:val="32"/>
          <w:lang w:eastAsia="zh-CN"/>
        </w:rPr>
      </w:pPr>
      <w:r>
        <w:rPr>
          <w:rFonts w:hint="eastAsia" w:ascii="楷体_GB2312" w:hAnsi="楷体_GB2312" w:eastAsia="楷体_GB2312" w:cs="楷体_GB2312"/>
          <w:color w:val="auto"/>
          <w:sz w:val="24"/>
        </w:rPr>
        <w:t>上述为静态估算，综合管廊为综合造价，包括管廊的土建施工和设备安装的建设费用，不包括征地及拆迁等间接费用；未计建设期价格波动因素；未考虑特殊地质情况，如遇特殊不良地质，可能会相应增加处理管廊基础处理费</w:t>
      </w:r>
      <w:bookmarkStart w:id="279" w:name="_Toc495586801"/>
      <w:bookmarkStart w:id="280" w:name="_Toc29171"/>
    </w:p>
    <w:p>
      <w:pPr>
        <w:keepNext/>
        <w:keepLines/>
        <w:pageBreakBefore w:val="0"/>
        <w:widowControl w:val="0"/>
        <w:numPr>
          <w:ilvl w:val="0"/>
          <w:numId w:val="0"/>
        </w:numPr>
        <w:tabs>
          <w:tab w:val="left" w:pos="600"/>
        </w:tabs>
        <w:kinsoku/>
        <w:wordWrap/>
        <w:overflowPunct/>
        <w:topLinePunct w:val="0"/>
        <w:autoSpaceDE/>
        <w:autoSpaceDN/>
        <w:bidi w:val="0"/>
        <w:adjustRightInd/>
        <w:snapToGrid/>
        <w:spacing w:before="340" w:beforeLines="0" w:after="340" w:afterLines="0" w:line="360" w:lineRule="auto"/>
        <w:ind w:left="0" w:leftChars="0" w:right="0" w:rightChars="0" w:firstLine="0" w:firstLineChars="0"/>
        <w:jc w:val="center"/>
        <w:textAlignment w:val="auto"/>
        <w:outlineLvl w:val="9"/>
        <w:rPr>
          <w:rFonts w:hint="eastAsia" w:ascii="楷体_GB2312" w:hAnsi="楷体_GB2312" w:eastAsia="楷体_GB2312" w:cs="楷体_GB2312"/>
          <w:color w:val="auto"/>
          <w:szCs w:val="32"/>
          <w:lang w:val="en-US" w:eastAsia="zh-CN"/>
        </w:rPr>
      </w:pPr>
      <w:r>
        <w:rPr>
          <w:rFonts w:hint="eastAsia" w:ascii="楷体_GB2312" w:hAnsi="楷体_GB2312" w:eastAsia="楷体_GB2312" w:cs="楷体_GB2312"/>
          <w:color w:val="auto"/>
          <w:szCs w:val="32"/>
          <w:lang w:val="en-US" w:eastAsia="zh-CN"/>
        </w:rPr>
        <w:t xml:space="preserve"> </w:t>
      </w:r>
    </w:p>
    <w:p>
      <w:pPr>
        <w:keepNext/>
        <w:keepLines/>
        <w:pageBreakBefore w:val="0"/>
        <w:widowControl w:val="0"/>
        <w:numPr>
          <w:ilvl w:val="0"/>
          <w:numId w:val="0"/>
        </w:numPr>
        <w:tabs>
          <w:tab w:val="left" w:pos="600"/>
        </w:tabs>
        <w:kinsoku/>
        <w:wordWrap/>
        <w:overflowPunct/>
        <w:topLinePunct w:val="0"/>
        <w:autoSpaceDE/>
        <w:autoSpaceDN/>
        <w:bidi w:val="0"/>
        <w:adjustRightInd/>
        <w:snapToGrid/>
        <w:spacing w:before="340" w:beforeLines="0" w:after="340" w:afterLines="0" w:line="360" w:lineRule="auto"/>
        <w:ind w:left="0" w:leftChars="0" w:right="0" w:rightChars="0" w:firstLine="0" w:firstLineChars="0"/>
        <w:jc w:val="center"/>
        <w:textAlignment w:val="auto"/>
        <w:outlineLvl w:val="9"/>
        <w:rPr>
          <w:rFonts w:hint="eastAsia" w:ascii="楷体_GB2312" w:hAnsi="楷体_GB2312" w:eastAsia="楷体_GB2312" w:cs="楷体_GB2312"/>
          <w:color w:val="auto"/>
          <w:szCs w:val="32"/>
          <w:lang w:eastAsia="zh-CN"/>
        </w:rPr>
      </w:pPr>
      <w:r>
        <w:rPr>
          <w:rFonts w:hint="eastAsia" w:ascii="楷体_GB2312" w:hAnsi="楷体_GB2312" w:eastAsia="楷体_GB2312" w:cs="楷体_GB2312"/>
          <w:color w:val="auto"/>
          <w:szCs w:val="32"/>
          <w:lang w:eastAsia="zh-CN"/>
        </w:rPr>
        <w:br w:type="page"/>
      </w:r>
    </w:p>
    <w:p>
      <w:pPr>
        <w:pStyle w:val="4"/>
        <w:keepNext/>
        <w:keepLines/>
        <w:pageBreakBefore w:val="0"/>
        <w:widowControl w:val="0"/>
        <w:numPr>
          <w:ilvl w:val="0"/>
          <w:numId w:val="0"/>
        </w:numPr>
        <w:tabs>
          <w:tab w:val="left" w:pos="600"/>
          <w:tab w:val="clear" w:pos="1695"/>
        </w:tabs>
        <w:kinsoku/>
        <w:wordWrap/>
        <w:overflowPunct/>
        <w:topLinePunct w:val="0"/>
        <w:autoSpaceDE/>
        <w:autoSpaceDN/>
        <w:bidi w:val="0"/>
        <w:adjustRightInd/>
        <w:snapToGrid/>
        <w:spacing w:before="340" w:after="340" w:line="360" w:lineRule="auto"/>
        <w:ind w:left="0" w:leftChars="0" w:right="0" w:rightChars="0" w:firstLine="0" w:firstLineChars="0"/>
        <w:jc w:val="center"/>
        <w:textAlignment w:val="auto"/>
        <w:outlineLvl w:val="2"/>
        <w:rPr>
          <w:rFonts w:hint="eastAsia" w:ascii="楷体_GB2312" w:hAnsi="楷体_GB2312" w:eastAsia="楷体_GB2312" w:cs="楷体_GB2312"/>
          <w:color w:val="auto"/>
          <w:szCs w:val="32"/>
          <w:lang w:eastAsia="zh-CN"/>
        </w:rPr>
      </w:pPr>
      <w:bookmarkStart w:id="281" w:name="_Toc16149"/>
      <w:r>
        <w:rPr>
          <w:rFonts w:hint="eastAsia" w:ascii="楷体_GB2312" w:hAnsi="楷体_GB2312" w:eastAsia="楷体_GB2312" w:cs="楷体_GB2312"/>
          <w:color w:val="auto"/>
          <w:szCs w:val="32"/>
          <w:lang w:eastAsia="zh-CN"/>
        </w:rPr>
        <w:t>第七章 重点地区及重要节点管线综合</w:t>
      </w:r>
      <w:bookmarkEnd w:id="279"/>
      <w:bookmarkEnd w:id="280"/>
      <w:bookmarkEnd w:id="281"/>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82" w:name="_Toc465102534"/>
      <w:bookmarkStart w:id="283" w:name="_Toc29188"/>
      <w:bookmarkStart w:id="284" w:name="_Toc495586802"/>
      <w:r>
        <w:rPr>
          <w:rFonts w:hint="eastAsia" w:ascii="楷体_GB2312" w:hAnsi="楷体_GB2312" w:eastAsia="楷体_GB2312" w:cs="楷体_GB2312"/>
          <w:b/>
          <w:bCs w:val="0"/>
          <w:color w:val="auto"/>
          <w:sz w:val="28"/>
        </w:rPr>
        <w:t>7.1敏感区域</w:t>
      </w:r>
      <w:bookmarkEnd w:id="282"/>
      <w:r>
        <w:rPr>
          <w:rFonts w:hint="eastAsia" w:ascii="楷体_GB2312" w:hAnsi="楷体_GB2312" w:eastAsia="楷体_GB2312" w:cs="楷体_GB2312"/>
          <w:b/>
          <w:bCs w:val="0"/>
          <w:color w:val="auto"/>
          <w:sz w:val="28"/>
        </w:rPr>
        <w:t>划分</w:t>
      </w:r>
      <w:bookmarkEnd w:id="283"/>
      <w:bookmarkEnd w:id="284"/>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本规划所指的敏感区域是指：某种管线敷设会造成该区域景观上受到负面影响，或者功能上两者产生负面影响的区域，如：</w:t>
      </w:r>
      <w:r>
        <w:rPr>
          <w:rFonts w:hint="eastAsia" w:ascii="楷体_GB2312" w:hAnsi="楷体_GB2312" w:eastAsia="楷体_GB2312" w:cs="楷体_GB2312"/>
          <w:b/>
          <w:color w:val="auto"/>
          <w:sz w:val="24"/>
        </w:rPr>
        <w:t>森林公园、风景名胜区、军事管理区、历史文化名街区（地段）、重要交通枢纽、水源地等区域。</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（1）森林公园</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为保护景观考虑，森林公园的主入口及主要景区，应避免布置电力架空线及其他市政主干管。</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（2）风景名胜区</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市政管线布局上，应避免在风景名胜区布置区域性主干管线和附属设施；为保障市政管线的接入并安全运行，市政主干管宜在风景名胜区外围采用环状或围合式布置，实现多方向接入或供应；在敷设方式上，应尽量避免采用架空方式；采用先进工艺和新材料，尽量减少管线事故及检修给周边环境带来的影响。</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（3）军事管理区</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军事区域附近主次干路上预留其容量需求和管位空间，以满足其发展需求。同时，相关道路管线在具体设计施工时也应准确核对军事区域的具体要求，做好衔接和接口预留，避免重复建设。</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同时应考虑市政管线及设施的布置，造成对军事设施的影响。如高压的架空线和变电站、通信基站、通信枢纽等尽量远离军用机场导航台和雷达站，避免产生电磁干扰。</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（4）重要交通枢纽</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许昌火车站、长途汽车站等区域是人员密集活动区域，也是城市的景观窗口。从安全性考虑，高压燃气管道、高压燃气设施（调压站、储气站、LNG 储配站等）、区域输水干管、高压变电设施等应尽量避免重要交通枢纽及周边区域；从景观考虑，附近不应布置高压架空线，所敷设的市政管线应尽量采用地下敷设。</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（5）水源地</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水源地应严格按照相关保护规定。成品油、原油、污水等对饮水存在潜在污染危险的管线及附属设施应尽量避开。</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（6）其他敏感区</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地下文物富集区、地震带、地质灾害高易发区、矿产资源富集区、矿场塌陷区等敏感区域，在敷设市政管线时，应充分考虑管线施工、运行、维护等过程中可能造成对其造成的影响，以便科学决策。</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（7）各类管线敷设区域敏感性管控</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不同种类的市政管线及设施，由于其功能或输送介质的不同，对周边环境产生的影响也不同，故而在布设空间上有不同的要求，详见下表。</w:t>
      </w:r>
    </w:p>
    <w:p>
      <w:pPr>
        <w:jc w:val="center"/>
        <w:rPr>
          <w:rFonts w:hint="eastAsia" w:ascii="楷体_GB2312" w:hAnsi="楷体_GB2312" w:eastAsia="楷体_GB2312" w:cs="楷体_GB2312"/>
          <w:b/>
          <w:color w:val="auto"/>
        </w:rPr>
      </w:pPr>
      <w:r>
        <w:rPr>
          <w:rFonts w:hint="eastAsia" w:ascii="楷体_GB2312" w:hAnsi="楷体_GB2312" w:eastAsia="楷体_GB2312" w:cs="楷体_GB2312"/>
          <w:b/>
          <w:color w:val="auto"/>
        </w:rPr>
        <w:t>各类管线敏感区域一览表</w:t>
      </w:r>
    </w:p>
    <w:tbl>
      <w:tblPr>
        <w:tblStyle w:val="21"/>
        <w:tblW w:w="8268" w:type="dxa"/>
        <w:jc w:val="center"/>
        <w:tblInd w:w="2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3"/>
        <w:gridCol w:w="1134"/>
        <w:gridCol w:w="1446"/>
        <w:gridCol w:w="2127"/>
        <w:gridCol w:w="29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613" w:type="dxa"/>
            <w:shd w:val="clear" w:color="auto" w:fill="C2D69B" w:themeFill="accent3" w:themeFillTint="99"/>
            <w:vAlign w:val="center"/>
          </w:tcPr>
          <w:p>
            <w:pPr>
              <w:jc w:val="both"/>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序号</w:t>
            </w:r>
          </w:p>
        </w:tc>
        <w:tc>
          <w:tcPr>
            <w:tcW w:w="2580" w:type="dxa"/>
            <w:gridSpan w:val="2"/>
            <w:shd w:val="clear" w:color="auto" w:fill="C2D69B" w:themeFill="accent3" w:themeFillTint="99"/>
            <w:vAlign w:val="center"/>
          </w:tcPr>
          <w:p>
            <w:pPr>
              <w:jc w:val="both"/>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管线种类</w:t>
            </w:r>
          </w:p>
        </w:tc>
        <w:tc>
          <w:tcPr>
            <w:tcW w:w="2127" w:type="dxa"/>
            <w:shd w:val="clear" w:color="auto" w:fill="C2D69B" w:themeFill="accent3" w:themeFillTint="99"/>
            <w:vAlign w:val="center"/>
          </w:tcPr>
          <w:p>
            <w:pPr>
              <w:jc w:val="both"/>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敏感要素</w:t>
            </w:r>
          </w:p>
        </w:tc>
        <w:tc>
          <w:tcPr>
            <w:tcW w:w="2948" w:type="dxa"/>
            <w:shd w:val="clear" w:color="auto" w:fill="C2D69B" w:themeFill="accent3" w:themeFillTint="99"/>
            <w:vAlign w:val="center"/>
          </w:tcPr>
          <w:p>
            <w:pPr>
              <w:jc w:val="both"/>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主要敏感区域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13" w:type="dxa"/>
            <w:vMerge w:val="restart"/>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w:t>
            </w:r>
          </w:p>
        </w:tc>
        <w:tc>
          <w:tcPr>
            <w:tcW w:w="1134" w:type="dxa"/>
            <w:vMerge w:val="restart"/>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给水工程</w:t>
            </w:r>
          </w:p>
        </w:tc>
        <w:tc>
          <w:tcPr>
            <w:tcW w:w="1446"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给水管</w:t>
            </w:r>
          </w:p>
        </w:tc>
        <w:tc>
          <w:tcPr>
            <w:tcW w:w="2127"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地下污染、地下腐蚀</w:t>
            </w:r>
          </w:p>
        </w:tc>
        <w:tc>
          <w:tcPr>
            <w:tcW w:w="2948"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污秽区、腐蚀严重区域，如钢铁灰场、垃圾堆埋场等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13" w:type="dxa"/>
            <w:vMerge w:val="continue"/>
            <w:vAlign w:val="center"/>
          </w:tcPr>
          <w:p>
            <w:pPr>
              <w:jc w:val="both"/>
              <w:rPr>
                <w:rFonts w:hint="eastAsia" w:ascii="楷体_GB2312" w:hAnsi="楷体_GB2312" w:eastAsia="楷体_GB2312" w:cs="楷体_GB2312"/>
                <w:color w:val="auto"/>
                <w:szCs w:val="21"/>
              </w:rPr>
            </w:pPr>
          </w:p>
        </w:tc>
        <w:tc>
          <w:tcPr>
            <w:tcW w:w="1134" w:type="dxa"/>
            <w:vMerge w:val="continue"/>
            <w:vAlign w:val="center"/>
          </w:tcPr>
          <w:p>
            <w:pPr>
              <w:jc w:val="both"/>
              <w:rPr>
                <w:rFonts w:hint="eastAsia" w:ascii="楷体_GB2312" w:hAnsi="楷体_GB2312" w:eastAsia="楷体_GB2312" w:cs="楷体_GB2312"/>
                <w:color w:val="auto"/>
                <w:szCs w:val="21"/>
              </w:rPr>
            </w:pPr>
          </w:p>
        </w:tc>
        <w:tc>
          <w:tcPr>
            <w:tcW w:w="1446"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水厂</w:t>
            </w:r>
          </w:p>
        </w:tc>
        <w:tc>
          <w:tcPr>
            <w:tcW w:w="2127"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氯库泄露事故</w:t>
            </w:r>
          </w:p>
        </w:tc>
        <w:tc>
          <w:tcPr>
            <w:tcW w:w="2948"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居住区、人员活动密集区域等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613" w:type="dxa"/>
            <w:vMerge w:val="restart"/>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2</w:t>
            </w:r>
          </w:p>
        </w:tc>
        <w:tc>
          <w:tcPr>
            <w:tcW w:w="1134" w:type="dxa"/>
            <w:vMerge w:val="restart"/>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污水工程</w:t>
            </w:r>
          </w:p>
        </w:tc>
        <w:tc>
          <w:tcPr>
            <w:tcW w:w="1446"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污水管</w:t>
            </w:r>
          </w:p>
        </w:tc>
        <w:tc>
          <w:tcPr>
            <w:tcW w:w="2127"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渗透污染、泄露事故</w:t>
            </w:r>
          </w:p>
        </w:tc>
        <w:tc>
          <w:tcPr>
            <w:tcW w:w="2948"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水源地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13" w:type="dxa"/>
            <w:vMerge w:val="continue"/>
            <w:vAlign w:val="center"/>
          </w:tcPr>
          <w:p>
            <w:pPr>
              <w:jc w:val="both"/>
              <w:rPr>
                <w:rFonts w:hint="eastAsia" w:ascii="楷体_GB2312" w:hAnsi="楷体_GB2312" w:eastAsia="楷体_GB2312" w:cs="楷体_GB2312"/>
                <w:color w:val="auto"/>
                <w:szCs w:val="21"/>
              </w:rPr>
            </w:pPr>
          </w:p>
        </w:tc>
        <w:tc>
          <w:tcPr>
            <w:tcW w:w="1134" w:type="dxa"/>
            <w:vMerge w:val="continue"/>
            <w:vAlign w:val="center"/>
          </w:tcPr>
          <w:p>
            <w:pPr>
              <w:jc w:val="both"/>
              <w:rPr>
                <w:rFonts w:hint="eastAsia" w:ascii="楷体_GB2312" w:hAnsi="楷体_GB2312" w:eastAsia="楷体_GB2312" w:cs="楷体_GB2312"/>
                <w:color w:val="auto"/>
                <w:szCs w:val="21"/>
              </w:rPr>
            </w:pPr>
          </w:p>
        </w:tc>
        <w:tc>
          <w:tcPr>
            <w:tcW w:w="1446"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污水厂</w:t>
            </w:r>
          </w:p>
        </w:tc>
        <w:tc>
          <w:tcPr>
            <w:tcW w:w="2127"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臭气、事故排放、氯库泄露</w:t>
            </w:r>
          </w:p>
        </w:tc>
        <w:tc>
          <w:tcPr>
            <w:tcW w:w="2948"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水源地、居住区、人员活动密集区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13" w:type="dxa"/>
            <w:vMerge w:val="restart"/>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3</w:t>
            </w:r>
          </w:p>
        </w:tc>
        <w:tc>
          <w:tcPr>
            <w:tcW w:w="1134" w:type="dxa"/>
            <w:vMerge w:val="restart"/>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电力工程</w:t>
            </w:r>
          </w:p>
        </w:tc>
        <w:tc>
          <w:tcPr>
            <w:tcW w:w="1446"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高压架空线</w:t>
            </w:r>
          </w:p>
        </w:tc>
        <w:tc>
          <w:tcPr>
            <w:tcW w:w="2127"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景观、电磁辐射</w:t>
            </w:r>
          </w:p>
        </w:tc>
        <w:tc>
          <w:tcPr>
            <w:tcW w:w="2948"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风景名胜区、大型公园核心、历史文化街区、个区中心城区、居住组团等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13" w:type="dxa"/>
            <w:vMerge w:val="continue"/>
            <w:vAlign w:val="center"/>
          </w:tcPr>
          <w:p>
            <w:pPr>
              <w:jc w:val="both"/>
              <w:rPr>
                <w:rFonts w:hint="eastAsia" w:ascii="楷体_GB2312" w:hAnsi="楷体_GB2312" w:eastAsia="楷体_GB2312" w:cs="楷体_GB2312"/>
                <w:color w:val="auto"/>
                <w:szCs w:val="21"/>
              </w:rPr>
            </w:pPr>
          </w:p>
        </w:tc>
        <w:tc>
          <w:tcPr>
            <w:tcW w:w="1134" w:type="dxa"/>
            <w:vMerge w:val="continue"/>
            <w:vAlign w:val="center"/>
          </w:tcPr>
          <w:p>
            <w:pPr>
              <w:jc w:val="both"/>
              <w:rPr>
                <w:rFonts w:hint="eastAsia" w:ascii="楷体_GB2312" w:hAnsi="楷体_GB2312" w:eastAsia="楷体_GB2312" w:cs="楷体_GB2312"/>
                <w:color w:val="auto"/>
                <w:szCs w:val="21"/>
              </w:rPr>
            </w:pPr>
          </w:p>
        </w:tc>
        <w:tc>
          <w:tcPr>
            <w:tcW w:w="1446"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高压变电站</w:t>
            </w:r>
          </w:p>
        </w:tc>
        <w:tc>
          <w:tcPr>
            <w:tcW w:w="2127"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噪声、电磁辐射</w:t>
            </w:r>
          </w:p>
        </w:tc>
        <w:tc>
          <w:tcPr>
            <w:tcW w:w="2948"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居住区、可燃物仓库（堆场、储气站、油库等）、通信设施等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613" w:type="dxa"/>
            <w:vMerge w:val="restart"/>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4</w:t>
            </w:r>
          </w:p>
        </w:tc>
        <w:tc>
          <w:tcPr>
            <w:tcW w:w="1134" w:type="dxa"/>
            <w:vMerge w:val="restart"/>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通信及广电</w:t>
            </w:r>
          </w:p>
        </w:tc>
        <w:tc>
          <w:tcPr>
            <w:tcW w:w="1446"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管道</w:t>
            </w:r>
          </w:p>
        </w:tc>
        <w:tc>
          <w:tcPr>
            <w:tcW w:w="2127"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无</w:t>
            </w:r>
          </w:p>
        </w:tc>
        <w:tc>
          <w:tcPr>
            <w:tcW w:w="2948"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13" w:type="dxa"/>
            <w:vMerge w:val="continue"/>
            <w:vAlign w:val="center"/>
          </w:tcPr>
          <w:p>
            <w:pPr>
              <w:jc w:val="both"/>
              <w:rPr>
                <w:rFonts w:hint="eastAsia" w:ascii="楷体_GB2312" w:hAnsi="楷体_GB2312" w:eastAsia="楷体_GB2312" w:cs="楷体_GB2312"/>
                <w:color w:val="auto"/>
                <w:szCs w:val="21"/>
              </w:rPr>
            </w:pPr>
          </w:p>
        </w:tc>
        <w:tc>
          <w:tcPr>
            <w:tcW w:w="1134" w:type="dxa"/>
            <w:vMerge w:val="continue"/>
            <w:vAlign w:val="center"/>
          </w:tcPr>
          <w:p>
            <w:pPr>
              <w:jc w:val="both"/>
              <w:rPr>
                <w:rFonts w:hint="eastAsia" w:ascii="楷体_GB2312" w:hAnsi="楷体_GB2312" w:eastAsia="楷体_GB2312" w:cs="楷体_GB2312"/>
                <w:color w:val="auto"/>
                <w:szCs w:val="21"/>
              </w:rPr>
            </w:pPr>
          </w:p>
        </w:tc>
        <w:tc>
          <w:tcPr>
            <w:tcW w:w="1446"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局、所、基站</w:t>
            </w:r>
          </w:p>
        </w:tc>
        <w:tc>
          <w:tcPr>
            <w:tcW w:w="2127"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电磁干扰、景观</w:t>
            </w:r>
          </w:p>
        </w:tc>
        <w:tc>
          <w:tcPr>
            <w:tcW w:w="2948"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机场导航台、居住区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13" w:type="dxa"/>
            <w:vMerge w:val="restart"/>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5</w:t>
            </w:r>
          </w:p>
        </w:tc>
        <w:tc>
          <w:tcPr>
            <w:tcW w:w="1134" w:type="dxa"/>
            <w:vMerge w:val="restart"/>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燃气工程</w:t>
            </w:r>
          </w:p>
        </w:tc>
        <w:tc>
          <w:tcPr>
            <w:tcW w:w="1446"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高压管道</w:t>
            </w:r>
          </w:p>
        </w:tc>
        <w:tc>
          <w:tcPr>
            <w:tcW w:w="2127"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泄露爆炸事故、燃烧事故</w:t>
            </w:r>
          </w:p>
        </w:tc>
        <w:tc>
          <w:tcPr>
            <w:tcW w:w="2948"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居住区、军事设施、易燃易爆仓库、文物保护安全区、飞机场、火车站、码头等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13" w:type="dxa"/>
            <w:vMerge w:val="continue"/>
            <w:vAlign w:val="center"/>
          </w:tcPr>
          <w:p>
            <w:pPr>
              <w:jc w:val="both"/>
              <w:rPr>
                <w:rFonts w:hint="eastAsia" w:ascii="楷体_GB2312" w:hAnsi="楷体_GB2312" w:eastAsia="楷体_GB2312" w:cs="楷体_GB2312"/>
                <w:color w:val="auto"/>
                <w:szCs w:val="21"/>
              </w:rPr>
            </w:pPr>
          </w:p>
        </w:tc>
        <w:tc>
          <w:tcPr>
            <w:tcW w:w="1134" w:type="dxa"/>
            <w:vMerge w:val="continue"/>
            <w:vAlign w:val="center"/>
          </w:tcPr>
          <w:p>
            <w:pPr>
              <w:jc w:val="both"/>
              <w:rPr>
                <w:rFonts w:hint="eastAsia" w:ascii="楷体_GB2312" w:hAnsi="楷体_GB2312" w:eastAsia="楷体_GB2312" w:cs="楷体_GB2312"/>
                <w:color w:val="auto"/>
                <w:szCs w:val="21"/>
              </w:rPr>
            </w:pPr>
          </w:p>
        </w:tc>
        <w:tc>
          <w:tcPr>
            <w:tcW w:w="1446"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燃气设施</w:t>
            </w:r>
          </w:p>
        </w:tc>
        <w:tc>
          <w:tcPr>
            <w:tcW w:w="2127"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泄露爆炸事故、燃烧事故</w:t>
            </w:r>
          </w:p>
        </w:tc>
        <w:tc>
          <w:tcPr>
            <w:tcW w:w="2948"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居住区、交通枢纽、变电站、人员活动密集场所等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613" w:type="dxa"/>
            <w:vMerge w:val="restart"/>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6</w:t>
            </w:r>
          </w:p>
        </w:tc>
        <w:tc>
          <w:tcPr>
            <w:tcW w:w="1134" w:type="dxa"/>
            <w:vMerge w:val="restart"/>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输油管</w:t>
            </w:r>
          </w:p>
        </w:tc>
        <w:tc>
          <w:tcPr>
            <w:tcW w:w="1446"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管道</w:t>
            </w:r>
          </w:p>
        </w:tc>
        <w:tc>
          <w:tcPr>
            <w:tcW w:w="2127"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泄露爆炸、燃烧事故</w:t>
            </w:r>
          </w:p>
        </w:tc>
        <w:tc>
          <w:tcPr>
            <w:tcW w:w="2948"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居住区、人员活动密集区域等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13" w:type="dxa"/>
            <w:vMerge w:val="continue"/>
            <w:vAlign w:val="center"/>
          </w:tcPr>
          <w:p>
            <w:pPr>
              <w:jc w:val="both"/>
              <w:rPr>
                <w:rFonts w:hint="eastAsia" w:ascii="楷体_GB2312" w:hAnsi="楷体_GB2312" w:eastAsia="楷体_GB2312" w:cs="楷体_GB2312"/>
                <w:color w:val="auto"/>
                <w:szCs w:val="21"/>
              </w:rPr>
            </w:pPr>
          </w:p>
        </w:tc>
        <w:tc>
          <w:tcPr>
            <w:tcW w:w="1134" w:type="dxa"/>
            <w:vMerge w:val="continue"/>
            <w:vAlign w:val="center"/>
          </w:tcPr>
          <w:p>
            <w:pPr>
              <w:jc w:val="both"/>
              <w:rPr>
                <w:rFonts w:hint="eastAsia" w:ascii="楷体_GB2312" w:hAnsi="楷体_GB2312" w:eastAsia="楷体_GB2312" w:cs="楷体_GB2312"/>
                <w:color w:val="auto"/>
                <w:szCs w:val="21"/>
              </w:rPr>
            </w:pPr>
          </w:p>
        </w:tc>
        <w:tc>
          <w:tcPr>
            <w:tcW w:w="1446"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油库</w:t>
            </w:r>
          </w:p>
        </w:tc>
        <w:tc>
          <w:tcPr>
            <w:tcW w:w="2127"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泄露爆炸、燃烧事故</w:t>
            </w:r>
          </w:p>
        </w:tc>
        <w:tc>
          <w:tcPr>
            <w:tcW w:w="2948"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居住区、交通枢纽、变电站、人员活动密集场所等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13" w:type="dxa"/>
            <w:vMerge w:val="restart"/>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7</w:t>
            </w:r>
          </w:p>
        </w:tc>
        <w:tc>
          <w:tcPr>
            <w:tcW w:w="1134" w:type="dxa"/>
            <w:vMerge w:val="restart"/>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燃气长输管道</w:t>
            </w:r>
          </w:p>
        </w:tc>
        <w:tc>
          <w:tcPr>
            <w:tcW w:w="1446"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管道</w:t>
            </w:r>
          </w:p>
        </w:tc>
        <w:tc>
          <w:tcPr>
            <w:tcW w:w="2127" w:type="dxa"/>
            <w:vMerge w:val="restart"/>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泄露爆炸、燃烧事故</w:t>
            </w:r>
          </w:p>
        </w:tc>
        <w:tc>
          <w:tcPr>
            <w:tcW w:w="2948" w:type="dxa"/>
            <w:vMerge w:val="restart"/>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居住区、军事设施、易燃易爆仓库、文物保护安全区、飞机场、火车站、码头等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13" w:type="dxa"/>
            <w:vMerge w:val="continue"/>
            <w:vAlign w:val="center"/>
          </w:tcPr>
          <w:p>
            <w:pPr>
              <w:jc w:val="both"/>
              <w:rPr>
                <w:rFonts w:hint="eastAsia" w:ascii="楷体_GB2312" w:hAnsi="楷体_GB2312" w:eastAsia="楷体_GB2312" w:cs="楷体_GB2312"/>
                <w:color w:val="auto"/>
                <w:szCs w:val="21"/>
              </w:rPr>
            </w:pPr>
          </w:p>
        </w:tc>
        <w:tc>
          <w:tcPr>
            <w:tcW w:w="1134" w:type="dxa"/>
            <w:vMerge w:val="continue"/>
            <w:vAlign w:val="center"/>
          </w:tcPr>
          <w:p>
            <w:pPr>
              <w:jc w:val="both"/>
              <w:rPr>
                <w:rFonts w:hint="eastAsia" w:ascii="楷体_GB2312" w:hAnsi="楷体_GB2312" w:eastAsia="楷体_GB2312" w:cs="楷体_GB2312"/>
                <w:color w:val="auto"/>
                <w:szCs w:val="21"/>
              </w:rPr>
            </w:pPr>
          </w:p>
        </w:tc>
        <w:tc>
          <w:tcPr>
            <w:tcW w:w="1446" w:type="dxa"/>
            <w:vAlign w:val="center"/>
          </w:tcPr>
          <w:p>
            <w:pPr>
              <w:jc w:val="both"/>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分输站</w:t>
            </w:r>
          </w:p>
        </w:tc>
        <w:tc>
          <w:tcPr>
            <w:tcW w:w="2127" w:type="dxa"/>
            <w:vMerge w:val="continue"/>
            <w:vAlign w:val="center"/>
          </w:tcPr>
          <w:p>
            <w:pPr>
              <w:jc w:val="both"/>
              <w:rPr>
                <w:rFonts w:hint="eastAsia" w:ascii="楷体_GB2312" w:hAnsi="楷体_GB2312" w:eastAsia="楷体_GB2312" w:cs="楷体_GB2312"/>
                <w:color w:val="auto"/>
                <w:szCs w:val="21"/>
              </w:rPr>
            </w:pPr>
          </w:p>
        </w:tc>
        <w:tc>
          <w:tcPr>
            <w:tcW w:w="2948" w:type="dxa"/>
            <w:vMerge w:val="continue"/>
            <w:vAlign w:val="center"/>
          </w:tcPr>
          <w:p>
            <w:pPr>
              <w:jc w:val="both"/>
              <w:rPr>
                <w:rFonts w:hint="eastAsia" w:ascii="楷体_GB2312" w:hAnsi="楷体_GB2312" w:eastAsia="楷体_GB2312" w:cs="楷体_GB2312"/>
                <w:color w:val="auto"/>
                <w:szCs w:val="21"/>
              </w:rPr>
            </w:pPr>
          </w:p>
        </w:tc>
      </w:tr>
    </w:tbl>
    <w:p>
      <w:pPr>
        <w:spacing w:line="360" w:lineRule="auto"/>
        <w:ind w:firstLine="480" w:firstLineChars="200"/>
        <w:rPr>
          <w:rFonts w:hint="eastAsia" w:ascii="楷体_GB2312" w:hAnsi="楷体_GB2312" w:eastAsia="楷体_GB2312" w:cs="楷体_GB2312"/>
          <w:color w:val="auto"/>
          <w:sz w:val="24"/>
        </w:rPr>
      </w:pP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85" w:name="_Toc495586803"/>
      <w:bookmarkStart w:id="286" w:name="_Toc10162"/>
      <w:r>
        <w:rPr>
          <w:rFonts w:hint="eastAsia" w:ascii="楷体_GB2312" w:hAnsi="楷体_GB2312" w:eastAsia="楷体_GB2312" w:cs="楷体_GB2312"/>
          <w:b/>
          <w:bCs w:val="0"/>
          <w:color w:val="auto"/>
          <w:sz w:val="28"/>
        </w:rPr>
        <w:t>7.2敏感区域管线综合规划</w:t>
      </w:r>
      <w:bookmarkEnd w:id="285"/>
      <w:bookmarkEnd w:id="286"/>
      <w:r>
        <w:rPr>
          <w:rFonts w:hint="eastAsia" w:ascii="楷体_GB2312" w:hAnsi="楷体_GB2312" w:eastAsia="楷体_GB2312" w:cs="楷体_GB2312"/>
          <w:b/>
          <w:bCs w:val="0"/>
          <w:color w:val="auto"/>
          <w:sz w:val="28"/>
        </w:rPr>
        <w:tab/>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主要市政干管和设施沿历史文化街区外围布置，使其成环，保证管线供排安全可靠。</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在确保服务各片、各建筑的基础上，合理布局，交错布置，避免各种管线过于集中布置于某一街巷，或重复布置于相邻街巷。</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87" w:name="_Toc13818"/>
      <w:bookmarkStart w:id="288" w:name="_Toc495586804"/>
      <w:r>
        <w:rPr>
          <w:rFonts w:hint="eastAsia" w:ascii="楷体_GB2312" w:hAnsi="楷体_GB2312" w:eastAsia="楷体_GB2312" w:cs="楷体_GB2312"/>
          <w:b/>
          <w:bCs w:val="0"/>
          <w:color w:val="auto"/>
          <w:sz w:val="28"/>
        </w:rPr>
        <w:t>7.3重要节点管线规划</w:t>
      </w:r>
      <w:bookmarkEnd w:id="287"/>
      <w:bookmarkEnd w:id="288"/>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（1）道路交叉口</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传统敷设管线道路交叉口，平面上应按照管线横断面规划确定各类工程管线的管位，平行于道路中心线敷设。合理地控制各管线高程，从上至下管线顺序依次为电力管（沟）、弱电管（沟）、燃气管、供水管、雨水管、污水管。</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在设置综合管廊的交叉口，综合管廊的外顶结构覆土厚度应预留直埋管线的敷设空间，并留有一定的裕度。当污水管道埋设较深时，应科学论证综合管廊的埋设深度，确定污水管道穿越方案。两条综合管廊的交叉处，应科学处理管廊内的管线立体交叉连接。</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新建、改建道路各工程管线需与现状管线充分衔接，确保管线方案经济合理可行。具体每个节点在实施时应进行管线综合详细设计，并与道路同步完成管线施工图设计。</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（2）管线、管廊过河</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地下管线在一至五级航道下面敷设，其顶部高程应在远期规划航道设计底标高2.0米以下；在六、七级航道下面敷设，其顶部高应在远期规划航道设计底标高1.0米以下；在其他河道下面敷设，其顶部高程应在河道底设计标高0.5米以下。</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管线过河一般可采用单独管桥、随桥架设、河底穿越等方式。总体上要求管道过河时不外露、不影响景观，不影响河道防洪、通航等功能为原则，并能满足国家相关法律法规及标准的要求。</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为避免综合管廊与桥梁之间的影响，综合管廊宜在桥梁基础外侧平行桥梁中心线倒虹过河，最小覆土厚度应满足河道整治和综合管廊安全运行的要求。综合管廊与相邻地下管线及地下构筑物的最小净距应根据地质条件和相邻构筑物的性质确定，且满足《城市综合管廊工程技术规范（GB50838-2015）》相关要求。</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（3）管线、管廊穿越轨道站房、地下通道</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采用明挖施工的轨道站房和地下通道，道路下现状管线必定受到影响，需进行废弃或改迁，待站房主体结构完工后，需对管线进行恢复。</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结合地铁站房施工工序，做好管线综合规划，合理安排管线临时迁改，或一次迁改到位的管位，尽量考虑管线一次改迁到位，减少管线重复建设。</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轨道站房、地下通道的主体结构上顶覆土厚度需结合重力流管线标高预留敷设空间，当重力流管道埋设较深时，可以采用绕行站房，在轨道区间段穿越，以减少站房施工难度和投资。</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（4）管线穿越铁路、高等级公路等</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在管线规划时，在保证必要的、主干管线敷设的主通道穿越铁路、高等级公路等重大设施基础上，尽量减少支管的穿越，减少影响。管线穿越重大设施时，管线之间的间距、以及管线与重大设施基础的净距应满足相关规范和标准的要求，特殊地段应设保护套管。</w:t>
      </w:r>
      <w:bookmarkStart w:id="289" w:name="_Toc495586805"/>
      <w:bookmarkStart w:id="290" w:name="_Toc19036"/>
    </w:p>
    <w:p>
      <w:pPr>
        <w:pStyle w:val="4"/>
        <w:keepNext/>
        <w:keepLines/>
        <w:pageBreakBefore w:val="0"/>
        <w:widowControl w:val="0"/>
        <w:numPr>
          <w:ilvl w:val="0"/>
          <w:numId w:val="0"/>
        </w:numPr>
        <w:tabs>
          <w:tab w:val="left" w:pos="600"/>
          <w:tab w:val="clear" w:pos="1695"/>
        </w:tabs>
        <w:kinsoku/>
        <w:wordWrap/>
        <w:overflowPunct/>
        <w:topLinePunct w:val="0"/>
        <w:autoSpaceDE/>
        <w:autoSpaceDN/>
        <w:bidi w:val="0"/>
        <w:adjustRightInd/>
        <w:snapToGrid/>
        <w:spacing w:before="340" w:after="340" w:line="360" w:lineRule="auto"/>
        <w:ind w:left="0" w:leftChars="0" w:right="0" w:rightChars="0" w:firstLine="0" w:firstLineChars="0"/>
        <w:jc w:val="center"/>
        <w:textAlignment w:val="auto"/>
        <w:outlineLvl w:val="2"/>
        <w:rPr>
          <w:rFonts w:hint="eastAsia" w:ascii="楷体_GB2312" w:hAnsi="楷体_GB2312" w:eastAsia="楷体_GB2312" w:cs="楷体_GB2312"/>
          <w:color w:val="auto"/>
          <w:szCs w:val="32"/>
          <w:lang w:eastAsia="zh-CN"/>
        </w:rPr>
      </w:pPr>
      <w:r>
        <w:rPr>
          <w:rFonts w:hint="eastAsia" w:ascii="楷体_GB2312" w:hAnsi="楷体_GB2312" w:eastAsia="楷体_GB2312" w:cs="楷体_GB2312"/>
          <w:color w:val="auto"/>
          <w:szCs w:val="32"/>
          <w:lang w:eastAsia="zh-CN"/>
        </w:rPr>
        <w:t>第八章 城市重大管线设施综合</w:t>
      </w:r>
      <w:bookmarkEnd w:id="289"/>
      <w:bookmarkEnd w:id="290"/>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91" w:name="_Toc10228"/>
      <w:bookmarkStart w:id="292" w:name="_Toc495586806"/>
      <w:bookmarkStart w:id="293" w:name="_Toc465102538"/>
      <w:r>
        <w:rPr>
          <w:rFonts w:hint="eastAsia" w:ascii="楷体_GB2312" w:hAnsi="楷体_GB2312" w:eastAsia="楷体_GB2312" w:cs="楷体_GB2312"/>
          <w:b/>
          <w:bCs w:val="0"/>
          <w:color w:val="auto"/>
          <w:sz w:val="28"/>
        </w:rPr>
        <w:t>8.1重大管线设施界定</w:t>
      </w:r>
      <w:bookmarkEnd w:id="291"/>
      <w:bookmarkEnd w:id="292"/>
      <w:bookmarkEnd w:id="293"/>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重大管线设施包括区域重大管线附属设施和市政公用管线设施中的区域性、系统性设施。</w:t>
      </w:r>
    </w:p>
    <w:p>
      <w:pPr>
        <w:spacing w:line="360" w:lineRule="auto"/>
        <w:ind w:firstLine="480" w:firstLineChars="200"/>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区域重大管线附属设施含长输天然气管道分输站、油库、500千伏及以上变电站等。</w:t>
      </w:r>
    </w:p>
    <w:p>
      <w:pPr>
        <w:jc w:val="center"/>
        <w:rPr>
          <w:rFonts w:hint="eastAsia" w:ascii="楷体_GB2312" w:hAnsi="楷体_GB2312" w:eastAsia="楷体_GB2312" w:cs="楷体_GB2312"/>
          <w:b/>
          <w:color w:val="auto"/>
        </w:rPr>
      </w:pPr>
      <w:r>
        <w:rPr>
          <w:rFonts w:hint="eastAsia" w:ascii="楷体_GB2312" w:hAnsi="楷体_GB2312" w:eastAsia="楷体_GB2312" w:cs="楷体_GB2312"/>
          <w:b/>
          <w:color w:val="auto"/>
        </w:rPr>
        <w:t>市政公用管线附属设施表</w:t>
      </w:r>
    </w:p>
    <w:tbl>
      <w:tblPr>
        <w:tblStyle w:val="21"/>
        <w:tblW w:w="724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6"/>
        <w:gridCol w:w="1933"/>
        <w:gridCol w:w="44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5" w:hRule="atLeast"/>
          <w:jc w:val="center"/>
        </w:trPr>
        <w:tc>
          <w:tcPr>
            <w:tcW w:w="856" w:type="dxa"/>
            <w:shd w:val="clear" w:color="auto" w:fill="C2D69B" w:themeFill="accent3" w:themeFillTint="99"/>
            <w:vAlign w:val="center"/>
          </w:tcPr>
          <w:p>
            <w:pPr>
              <w:spacing w:line="312" w:lineRule="auto"/>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序号</w:t>
            </w:r>
          </w:p>
        </w:tc>
        <w:tc>
          <w:tcPr>
            <w:tcW w:w="1933" w:type="dxa"/>
            <w:shd w:val="clear" w:color="auto" w:fill="C2D69B" w:themeFill="accent3" w:themeFillTint="99"/>
            <w:vAlign w:val="center"/>
          </w:tcPr>
          <w:p>
            <w:pPr>
              <w:spacing w:line="312" w:lineRule="auto"/>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专业</w:t>
            </w:r>
          </w:p>
        </w:tc>
        <w:tc>
          <w:tcPr>
            <w:tcW w:w="4456" w:type="dxa"/>
            <w:shd w:val="clear" w:color="auto" w:fill="C2D69B" w:themeFill="accent3" w:themeFillTint="99"/>
            <w:vAlign w:val="center"/>
          </w:tcPr>
          <w:p>
            <w:pPr>
              <w:spacing w:line="312" w:lineRule="auto"/>
              <w:jc w:val="center"/>
              <w:rPr>
                <w:rFonts w:hint="eastAsia" w:ascii="楷体_GB2312" w:hAnsi="楷体_GB2312" w:eastAsia="楷体_GB2312" w:cs="楷体_GB2312"/>
                <w:b/>
                <w:color w:val="auto"/>
                <w:szCs w:val="21"/>
              </w:rPr>
            </w:pPr>
            <w:r>
              <w:rPr>
                <w:rFonts w:hint="eastAsia" w:ascii="楷体_GB2312" w:hAnsi="楷体_GB2312" w:eastAsia="楷体_GB2312" w:cs="楷体_GB2312"/>
                <w:b/>
                <w:color w:val="auto"/>
                <w:szCs w:val="21"/>
              </w:rPr>
              <w:t>设施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5" w:hRule="atLeast"/>
          <w:jc w:val="center"/>
        </w:trPr>
        <w:tc>
          <w:tcPr>
            <w:tcW w:w="856"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1</w:t>
            </w:r>
          </w:p>
        </w:tc>
        <w:tc>
          <w:tcPr>
            <w:tcW w:w="1933"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供水</w:t>
            </w:r>
          </w:p>
        </w:tc>
        <w:tc>
          <w:tcPr>
            <w:tcW w:w="4456"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取水泵站、水厂、增压泵站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5" w:hRule="atLeast"/>
          <w:jc w:val="center"/>
        </w:trPr>
        <w:tc>
          <w:tcPr>
            <w:tcW w:w="856"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2</w:t>
            </w:r>
          </w:p>
        </w:tc>
        <w:tc>
          <w:tcPr>
            <w:tcW w:w="1933"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污水</w:t>
            </w:r>
          </w:p>
        </w:tc>
        <w:tc>
          <w:tcPr>
            <w:tcW w:w="4456"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污水处理厂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5" w:hRule="atLeast"/>
          <w:jc w:val="center"/>
        </w:trPr>
        <w:tc>
          <w:tcPr>
            <w:tcW w:w="856"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3</w:t>
            </w:r>
          </w:p>
        </w:tc>
        <w:tc>
          <w:tcPr>
            <w:tcW w:w="1933"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电力</w:t>
            </w:r>
          </w:p>
        </w:tc>
        <w:tc>
          <w:tcPr>
            <w:tcW w:w="4456"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500、220、110千伏变电站、110千伏变电站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5" w:hRule="atLeast"/>
          <w:jc w:val="center"/>
        </w:trPr>
        <w:tc>
          <w:tcPr>
            <w:tcW w:w="856"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4</w:t>
            </w:r>
          </w:p>
        </w:tc>
        <w:tc>
          <w:tcPr>
            <w:tcW w:w="1933"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燃气</w:t>
            </w:r>
          </w:p>
        </w:tc>
        <w:tc>
          <w:tcPr>
            <w:tcW w:w="4456"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门站、高中压调压站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15" w:hRule="atLeast"/>
          <w:jc w:val="center"/>
        </w:trPr>
        <w:tc>
          <w:tcPr>
            <w:tcW w:w="856"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5</w:t>
            </w:r>
          </w:p>
        </w:tc>
        <w:tc>
          <w:tcPr>
            <w:tcW w:w="1933"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通信及广电</w:t>
            </w:r>
          </w:p>
        </w:tc>
        <w:tc>
          <w:tcPr>
            <w:tcW w:w="4456"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核心机房、综合通信枢纽、区域分中心机房（广电）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5" w:hRule="atLeast"/>
          <w:jc w:val="center"/>
        </w:trPr>
        <w:tc>
          <w:tcPr>
            <w:tcW w:w="856"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6</w:t>
            </w:r>
          </w:p>
        </w:tc>
        <w:tc>
          <w:tcPr>
            <w:tcW w:w="1933"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热力</w:t>
            </w:r>
          </w:p>
        </w:tc>
        <w:tc>
          <w:tcPr>
            <w:tcW w:w="4456" w:type="dxa"/>
            <w:vAlign w:val="center"/>
          </w:tcPr>
          <w:p>
            <w:pPr>
              <w:spacing w:line="312" w:lineRule="auto"/>
              <w:jc w:val="center"/>
              <w:rPr>
                <w:rFonts w:hint="eastAsia" w:ascii="楷体_GB2312" w:hAnsi="楷体_GB2312" w:eastAsia="楷体_GB2312" w:cs="楷体_GB2312"/>
                <w:color w:val="auto"/>
                <w:szCs w:val="21"/>
              </w:rPr>
            </w:pPr>
            <w:r>
              <w:rPr>
                <w:rFonts w:hint="eastAsia" w:ascii="楷体_GB2312" w:hAnsi="楷体_GB2312" w:eastAsia="楷体_GB2312" w:cs="楷体_GB2312"/>
                <w:color w:val="auto"/>
                <w:szCs w:val="21"/>
              </w:rPr>
              <w:t>热电厂</w:t>
            </w:r>
          </w:p>
        </w:tc>
      </w:tr>
    </w:tbl>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94" w:name="_Toc30114"/>
      <w:bookmarkStart w:id="295" w:name="_Toc495586807"/>
      <w:bookmarkStart w:id="296" w:name="_Toc465102539"/>
      <w:r>
        <w:rPr>
          <w:rFonts w:hint="eastAsia" w:ascii="楷体_GB2312" w:hAnsi="楷体_GB2312" w:eastAsia="楷体_GB2312" w:cs="楷体_GB2312"/>
          <w:b/>
          <w:bCs w:val="0"/>
          <w:color w:val="auto"/>
          <w:sz w:val="28"/>
        </w:rPr>
        <w:t>8.2重大管线附属设施布局</w:t>
      </w:r>
      <w:bookmarkEnd w:id="294"/>
      <w:bookmarkEnd w:id="295"/>
      <w:bookmarkEnd w:id="296"/>
      <w:r>
        <w:rPr>
          <w:rFonts w:hint="eastAsia" w:ascii="楷体_GB2312" w:hAnsi="楷体_GB2312" w:eastAsia="楷体_GB2312" w:cs="楷体_GB2312"/>
          <w:b/>
          <w:bCs w:val="0"/>
          <w:color w:val="auto"/>
          <w:sz w:val="28"/>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本次规划加强对各类工程管线附属设施布局进行整合，在下阶段的控制性详细规划编制过程中，对各类设施用地进行落实。</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（1）区域重大管线附属设施</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供水：包括各水厂的取水泵站以及四座现状水厂，加压泵站主要分布于各给水系统管网中。</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污水：包括现有四座污水处理厂以及新建的中原电气谷污水厂、西部产业区污水厂。</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电力：包括城区的500kV花都站和周边的500kV许昌西站、500kV许昌南站等。220及110千伏变电所分布与市区建设用地范围内。</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燃气：包括许昌分输站-天伦门站高压管道、禹州-许昌输气管道、许昌分输站-新区门站高压管道、禹州-许昌输气管道、许昌分输站-城西门站高压管道、豫南支线许昌分输站-LNG液化工厂高压管道。燃气高压环网上的门站及高中压调压站等。</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通信：包括现有市区范围内的通信局所以及广电发射台。</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热力：包括现有主城区保留东区热电厂及新建城北热电厂。</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（2）区域性市政公用管线设施</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在城市详细规划阶段，应对各类区域性、系统性市政公用管线设施划定“黄线”进行保护；新建设施应按各相关法律、法规、专业规范等要求，与周边用地进行协调，减少对周边的影响，或者规避周边用地对新建设施的影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bookmarkStart w:id="297" w:name="_Toc461314402"/>
      <w:r>
        <w:rPr>
          <w:rFonts w:hint="eastAsia" w:ascii="楷体_GB2312" w:hAnsi="楷体_GB2312" w:eastAsia="楷体_GB2312" w:cs="楷体_GB2312"/>
          <w:color w:val="auto"/>
          <w:sz w:val="24"/>
        </w:rPr>
        <w:t>（3）积极探索重大市政用地的综合利用</w:t>
      </w:r>
      <w:bookmarkEnd w:id="297"/>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随着城市的发展，土地资源稀缺，土地价值越来越高，对于公共设施用地及居住用地，市政设施具有一定的负面影响，因此，市政设施的选址和建设越来越难。应积极研究市政设施用地的综合利用模式，如相互影响较小的市政设施集中建设，设施用地地下、地上、空中三维立体利用，可减少设施布点，减少建设协调难度，提高土地利用效率。</w:t>
      </w:r>
    </w:p>
    <w:p>
      <w:pPr>
        <w:pStyle w:val="5"/>
        <w:keepNext/>
        <w:keepLines/>
        <w:pageBreakBefore w:val="0"/>
        <w:widowControl w:val="0"/>
        <w:kinsoku/>
        <w:wordWrap/>
        <w:overflowPunct/>
        <w:topLinePunct w:val="0"/>
        <w:autoSpaceDE/>
        <w:autoSpaceDN/>
        <w:bidi w:val="0"/>
        <w:adjustRightInd/>
        <w:snapToGrid/>
        <w:spacing w:before="313" w:beforeLines="100" w:after="313" w:afterLines="100" w:line="360" w:lineRule="auto"/>
        <w:ind w:left="0" w:leftChars="0" w:right="0" w:rightChars="0" w:firstLine="0" w:firstLineChars="0"/>
        <w:jc w:val="both"/>
        <w:textAlignment w:val="auto"/>
        <w:outlineLvl w:val="3"/>
        <w:rPr>
          <w:rFonts w:hint="eastAsia" w:ascii="楷体_GB2312" w:hAnsi="楷体_GB2312" w:eastAsia="楷体_GB2312" w:cs="楷体_GB2312"/>
          <w:b/>
          <w:bCs w:val="0"/>
          <w:color w:val="auto"/>
          <w:sz w:val="28"/>
        </w:rPr>
      </w:pPr>
      <w:bookmarkStart w:id="298" w:name="_Toc495586808"/>
      <w:bookmarkStart w:id="299" w:name="_Toc29991"/>
      <w:bookmarkStart w:id="300" w:name="_Toc465102540"/>
      <w:r>
        <w:rPr>
          <w:rFonts w:hint="eastAsia" w:ascii="楷体_GB2312" w:hAnsi="楷体_GB2312" w:eastAsia="楷体_GB2312" w:cs="楷体_GB2312"/>
          <w:b/>
          <w:bCs w:val="0"/>
          <w:color w:val="auto"/>
          <w:sz w:val="28"/>
        </w:rPr>
        <w:t>8.3重大管线附属设施防护要求</w:t>
      </w:r>
      <w:bookmarkEnd w:id="298"/>
      <w:bookmarkEnd w:id="299"/>
      <w:bookmarkEnd w:id="300"/>
      <w:r>
        <w:rPr>
          <w:rFonts w:hint="eastAsia" w:ascii="楷体_GB2312" w:hAnsi="楷体_GB2312" w:eastAsia="楷体_GB2312" w:cs="楷体_GB2312"/>
          <w:b/>
          <w:bCs w:val="0"/>
          <w:color w:val="auto"/>
          <w:sz w:val="28"/>
        </w:rPr>
        <w:t xml:space="preserve"> </w:t>
      </w:r>
    </w:p>
    <w:p>
      <w:pPr>
        <w:spacing w:line="360" w:lineRule="auto"/>
        <w:ind w:firstLine="480" w:firstLineChars="200"/>
        <w:rPr>
          <w:rFonts w:hint="eastAsia" w:ascii="楷体_GB2312" w:hAnsi="楷体_GB2312" w:eastAsia="楷体_GB2312" w:cs="楷体_GB2312"/>
          <w:color w:val="auto"/>
          <w:sz w:val="24"/>
          <w:szCs w:val="24"/>
        </w:rPr>
      </w:pPr>
      <w:r>
        <w:rPr>
          <w:rFonts w:hint="eastAsia" w:ascii="楷体_GB2312" w:hAnsi="楷体_GB2312" w:eastAsia="楷体_GB2312" w:cs="楷体_GB2312"/>
          <w:color w:val="auto"/>
          <w:sz w:val="24"/>
          <w:szCs w:val="24"/>
        </w:rPr>
        <w:t>各类设施的防护用地应满足相关专业规划和地方规定的要求；当专业规范和地方规定无明确要求时，应根据设施具体情况，结合城市总体规划和实际情况确定。</w:t>
      </w:r>
    </w:p>
    <w:p>
      <w:pPr>
        <w:jc w:val="center"/>
        <w:rPr>
          <w:rFonts w:hint="eastAsia" w:ascii="楷体_GB2312" w:hAnsi="楷体_GB2312" w:eastAsia="楷体_GB2312" w:cs="楷体_GB2312"/>
          <w:b/>
          <w:color w:val="auto"/>
          <w:sz w:val="24"/>
          <w:szCs w:val="24"/>
        </w:rPr>
      </w:pPr>
      <w:r>
        <w:rPr>
          <w:rFonts w:hint="eastAsia" w:ascii="楷体_GB2312" w:hAnsi="楷体_GB2312" w:eastAsia="楷体_GB2312" w:cs="楷体_GB2312"/>
          <w:b/>
          <w:color w:val="auto"/>
          <w:sz w:val="24"/>
          <w:szCs w:val="24"/>
        </w:rPr>
        <w:t>重大管线防护要求一览表</w:t>
      </w:r>
    </w:p>
    <w:tbl>
      <w:tblPr>
        <w:tblStyle w:val="21"/>
        <w:tblW w:w="8897" w:type="dxa"/>
        <w:jc w:val="center"/>
        <w:tblInd w:w="-27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844"/>
        <w:gridCol w:w="60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92" w:hRule="atLeast"/>
          <w:tblHeader/>
          <w:jc w:val="center"/>
        </w:trPr>
        <w:tc>
          <w:tcPr>
            <w:tcW w:w="2844" w:type="dxa"/>
            <w:tcBorders>
              <w:top w:val="single" w:color="000000" w:sz="4" w:space="0"/>
              <w:left w:val="single" w:color="000000" w:sz="4" w:space="0"/>
              <w:bottom w:val="single" w:color="000000" w:sz="4" w:space="0"/>
              <w:right w:val="single" w:color="000000" w:sz="4" w:space="0"/>
            </w:tcBorders>
            <w:shd w:val="clear" w:color="auto" w:fill="C2D69B" w:themeFill="accent3" w:themeFillTint="99"/>
            <w:vAlign w:val="center"/>
          </w:tcPr>
          <w:p>
            <w:pPr>
              <w:jc w:val="center"/>
              <w:rPr>
                <w:rFonts w:hint="eastAsia" w:ascii="楷体_GB2312" w:hAnsi="楷体_GB2312" w:eastAsia="楷体_GB2312" w:cs="楷体_GB2312"/>
                <w:b/>
                <w:color w:val="auto"/>
                <w:sz w:val="24"/>
                <w:szCs w:val="24"/>
              </w:rPr>
            </w:pPr>
            <w:r>
              <w:rPr>
                <w:rFonts w:hint="eastAsia" w:ascii="楷体_GB2312" w:hAnsi="楷体_GB2312" w:eastAsia="楷体_GB2312" w:cs="楷体_GB2312"/>
                <w:b/>
                <w:color w:val="auto"/>
                <w:sz w:val="24"/>
                <w:szCs w:val="24"/>
              </w:rPr>
              <w:t>管线名称</w:t>
            </w:r>
          </w:p>
        </w:tc>
        <w:tc>
          <w:tcPr>
            <w:tcW w:w="6053" w:type="dxa"/>
            <w:tcBorders>
              <w:top w:val="single" w:color="000000" w:sz="4" w:space="0"/>
              <w:left w:val="single" w:color="000000" w:sz="4" w:space="0"/>
              <w:bottom w:val="single" w:color="000000" w:sz="4" w:space="0"/>
              <w:right w:val="single" w:color="000000" w:sz="4" w:space="0"/>
            </w:tcBorders>
            <w:shd w:val="clear" w:color="auto" w:fill="C2D69B" w:themeFill="accent3" w:themeFillTint="99"/>
            <w:vAlign w:val="center"/>
          </w:tcPr>
          <w:p>
            <w:pPr>
              <w:jc w:val="center"/>
              <w:rPr>
                <w:rFonts w:hint="eastAsia" w:ascii="楷体_GB2312" w:hAnsi="楷体_GB2312" w:eastAsia="楷体_GB2312" w:cs="楷体_GB2312"/>
                <w:b/>
                <w:color w:val="auto"/>
                <w:sz w:val="24"/>
                <w:szCs w:val="24"/>
              </w:rPr>
            </w:pPr>
            <w:r>
              <w:rPr>
                <w:rFonts w:hint="eastAsia" w:ascii="楷体_GB2312" w:hAnsi="楷体_GB2312" w:eastAsia="楷体_GB2312" w:cs="楷体_GB2312"/>
                <w:b/>
                <w:color w:val="auto"/>
                <w:sz w:val="24"/>
                <w:szCs w:val="24"/>
              </w:rPr>
              <w:t>管控要求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1241" w:hRule="atLeast"/>
          <w:jc w:val="center"/>
        </w:trPr>
        <w:tc>
          <w:tcPr>
            <w:tcW w:w="284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“西气东输豫南支线”高压天然气管道</w:t>
            </w:r>
          </w:p>
          <w:p>
            <w:pPr>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“禹州-许昌”高压天然气管道</w:t>
            </w:r>
          </w:p>
        </w:tc>
        <w:tc>
          <w:tcPr>
            <w:tcW w:w="605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管道中心线两侧各5m范围内，禁建设、禁深根植物等；</w:t>
            </w:r>
          </w:p>
          <w:p>
            <w:pPr>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管道中心线两侧各5-50m范围内为禁止建设区；</w:t>
            </w:r>
          </w:p>
          <w:p>
            <w:pPr>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管道中心线两侧50--200m范围内为限制建设区，该范围建设居住、商业、工业等建设项目应进行专项的安全评估。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92" w:hRule="atLeast"/>
          <w:jc w:val="center"/>
        </w:trPr>
        <w:tc>
          <w:tcPr>
            <w:tcW w:w="284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500kV高压电力线</w:t>
            </w:r>
          </w:p>
        </w:tc>
        <w:tc>
          <w:tcPr>
            <w:tcW w:w="605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高压走廊70m宽度范围内为禁止建设区。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65" w:hRule="atLeast"/>
          <w:jc w:val="center"/>
        </w:trPr>
        <w:tc>
          <w:tcPr>
            <w:tcW w:w="284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220kV高压电力线</w:t>
            </w:r>
          </w:p>
        </w:tc>
        <w:tc>
          <w:tcPr>
            <w:tcW w:w="605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高压走廊40m宽度范围内为禁止建设区。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91" w:hRule="atLeast"/>
          <w:jc w:val="center"/>
        </w:trPr>
        <w:tc>
          <w:tcPr>
            <w:tcW w:w="284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110kV高压电力线</w:t>
            </w:r>
          </w:p>
        </w:tc>
        <w:tc>
          <w:tcPr>
            <w:tcW w:w="605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高压走廊30m宽度范围内为禁止建设区。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trHeight w:val="826" w:hRule="atLeast"/>
          <w:jc w:val="center"/>
        </w:trPr>
        <w:tc>
          <w:tcPr>
            <w:tcW w:w="2844"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原水输水通道</w:t>
            </w:r>
          </w:p>
        </w:tc>
        <w:tc>
          <w:tcPr>
            <w:tcW w:w="6053" w:type="dxa"/>
            <w:tcBorders>
              <w:top w:val="single" w:color="000000" w:sz="4" w:space="0"/>
              <w:left w:val="single" w:color="000000" w:sz="4" w:space="0"/>
              <w:bottom w:val="single" w:color="000000" w:sz="4" w:space="0"/>
              <w:right w:val="single" w:color="000000" w:sz="4" w:space="0"/>
            </w:tcBorders>
            <w:vAlign w:val="center"/>
          </w:tcPr>
          <w:p>
            <w:pPr>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在管道线路中心线两侧各5m范围内，为禁止建设区；</w:t>
            </w:r>
          </w:p>
          <w:p>
            <w:pPr>
              <w:jc w:val="center"/>
              <w:rPr>
                <w:rFonts w:hint="eastAsia" w:ascii="楷体_GB2312" w:hAnsi="楷体_GB2312" w:eastAsia="楷体_GB2312" w:cs="楷体_GB2312"/>
                <w:color w:val="auto"/>
                <w:sz w:val="21"/>
                <w:szCs w:val="21"/>
              </w:rPr>
            </w:pPr>
            <w:r>
              <w:rPr>
                <w:rFonts w:hint="eastAsia" w:ascii="楷体_GB2312" w:hAnsi="楷体_GB2312" w:eastAsia="楷体_GB2312" w:cs="楷体_GB2312"/>
                <w:color w:val="auto"/>
                <w:sz w:val="21"/>
                <w:szCs w:val="21"/>
              </w:rPr>
              <w:t>在管道线路中心线两侧各5m-10m范围内，为限制建设区。</w:t>
            </w:r>
          </w:p>
        </w:tc>
      </w:tr>
    </w:tbl>
    <w:p>
      <w:pPr>
        <w:spacing w:line="360" w:lineRule="auto"/>
        <w:ind w:firstLine="482" w:firstLineChars="200"/>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br w:type="page"/>
      </w:r>
    </w:p>
    <w:p>
      <w:pPr>
        <w:pStyle w:val="4"/>
        <w:keepNext/>
        <w:keepLines/>
        <w:pageBreakBefore w:val="0"/>
        <w:widowControl w:val="0"/>
        <w:numPr>
          <w:ilvl w:val="0"/>
          <w:numId w:val="0"/>
        </w:numPr>
        <w:tabs>
          <w:tab w:val="left" w:pos="600"/>
          <w:tab w:val="clear" w:pos="1695"/>
        </w:tabs>
        <w:kinsoku/>
        <w:wordWrap/>
        <w:overflowPunct/>
        <w:topLinePunct w:val="0"/>
        <w:autoSpaceDE/>
        <w:autoSpaceDN/>
        <w:bidi w:val="0"/>
        <w:adjustRightInd/>
        <w:snapToGrid/>
        <w:spacing w:before="340" w:after="340" w:line="360" w:lineRule="auto"/>
        <w:ind w:left="0" w:leftChars="0" w:right="0" w:rightChars="0" w:firstLine="0" w:firstLineChars="0"/>
        <w:jc w:val="center"/>
        <w:textAlignment w:val="auto"/>
        <w:outlineLvl w:val="2"/>
        <w:rPr>
          <w:rFonts w:hint="eastAsia" w:ascii="楷体_GB2312" w:hAnsi="楷体_GB2312" w:eastAsia="楷体_GB2312" w:cs="楷体_GB2312"/>
          <w:color w:val="auto"/>
          <w:szCs w:val="32"/>
          <w:lang w:eastAsia="zh-CN"/>
        </w:rPr>
      </w:pPr>
      <w:bookmarkStart w:id="301" w:name="_Toc495586809"/>
      <w:bookmarkStart w:id="302" w:name="_Toc10527"/>
      <w:bookmarkStart w:id="303" w:name="_Toc22541"/>
      <w:r>
        <w:rPr>
          <w:rFonts w:hint="eastAsia" w:ascii="楷体_GB2312" w:hAnsi="楷体_GB2312" w:eastAsia="楷体_GB2312" w:cs="楷体_GB2312"/>
          <w:color w:val="auto"/>
          <w:szCs w:val="32"/>
          <w:lang w:eastAsia="zh-CN"/>
        </w:rPr>
        <w:t>第九章 规划实施措施</w:t>
      </w:r>
      <w:bookmarkEnd w:id="301"/>
      <w:bookmarkEnd w:id="302"/>
      <w:bookmarkEnd w:id="303"/>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（1）科学规划，引导城市和谐发展</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城市规划作为指导建设的依据和确定城市发展的蓝图，是城市建设的基础和城市发展的前提，同时又是引导城市和谐发展的重要保障。许昌市城市管线综合规划在充分“考虑城市长远需求、结合地下综合开发、完善管线合理配置”的基础上，依据总体规划、各地块控制性详细规划、各专项规划，结合各专业管线技术要求，采用新技术、新方法，科学编制。规划一经批准，将作为许昌市今后编制修建性详细规划的指导依据，同时也是城市有序建设和依法管理的重要技术支撑和法律依据。</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（2）科技创新，解决关键技术问题</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在城市管线综合建设与管理中，应依靠科技进步，在充分吸收国内外先进理念、技术的基础上，针对主城区建设中存在的关键技术问题，组织技术创新，探索和研究适合地方特色的建设模式和管理模式，积极采用新技术、新工艺、新材料等，最大限度地减少对周边环境的破坏，保障主城区基础设施的正常运转。</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（3）加强协调，适应建设发展需要</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建立地下管线专门管理部门，负责各专业部门的沟通与协调，解决现行各类管线条块分割的矛盾。要从转变城市管理观念着手，处理好地下管线建设与管理中所涉及的垄断行业的权力和利益，实现统一规划、统一建设、统一管理。</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（4）拓展渠道，增强融资保障能力</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创新投资机制，拓展融资渠道，鼓励和引导国内外资本投资各项设施建设。通过加大财政直接投入、补贴、税收优惠以及争取国债支持、其它社会资本等，推行特许经营制度等，进一步促进投资主体与融资渠道多元化。</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jc w:val="both"/>
        <w:textAlignment w:val="auto"/>
        <w:outlineLvl w:val="9"/>
        <w:rPr>
          <w:rFonts w:hint="eastAsia" w:ascii="楷体_GB2312" w:hAnsi="楷体_GB2312" w:eastAsia="楷体_GB2312" w:cs="楷体_GB2312"/>
          <w:b/>
          <w:color w:val="auto"/>
          <w:sz w:val="24"/>
        </w:rPr>
      </w:pPr>
      <w:r>
        <w:rPr>
          <w:rFonts w:hint="eastAsia" w:ascii="楷体_GB2312" w:hAnsi="楷体_GB2312" w:eastAsia="楷体_GB2312" w:cs="楷体_GB2312"/>
          <w:b/>
          <w:color w:val="auto"/>
          <w:sz w:val="24"/>
        </w:rPr>
        <w:t>（5）强化监管，发挥管理服务效能</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eastAsia" w:ascii="楷体_GB2312" w:hAnsi="楷体_GB2312" w:eastAsia="楷体_GB2312" w:cs="楷体_GB2312"/>
          <w:color w:val="auto"/>
          <w:sz w:val="24"/>
        </w:rPr>
      </w:pPr>
      <w:r>
        <w:rPr>
          <w:rFonts w:hint="eastAsia" w:ascii="楷体_GB2312" w:hAnsi="楷体_GB2312" w:eastAsia="楷体_GB2312" w:cs="楷体_GB2312"/>
          <w:color w:val="auto"/>
          <w:sz w:val="24"/>
        </w:rPr>
        <w:t>进一步整合资源，创新管理体制，打破部门条块分割，整合和优化资源配置，逐步实现信息资源、设施资源共享。政府主管部门要进一步转变管理方式，理顺体制，加强规范建设引导与控制，坚持依法行政，提高执法水平，加大监督执法力度，对违规行为严厉处罚，建立和健全有效的外部监督和内部制约机制，为规划顺利实施提供良好的政策保障。</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before="0" w:beforeLines="100" w:after="0" w:afterLines="50" w:line="360" w:lineRule="auto"/>
        <w:ind w:left="0" w:leftChars="0" w:right="0" w:rightChars="0" w:firstLine="0" w:firstLineChars="0"/>
        <w:jc w:val="both"/>
        <w:textAlignment w:val="auto"/>
        <w:outlineLvl w:val="9"/>
        <w:rPr>
          <w:rFonts w:hint="eastAsia" w:ascii="楷体_GB2312" w:hAnsi="楷体_GB2312" w:eastAsia="楷体_GB2312" w:cs="楷体_GB2312"/>
          <w:b/>
          <w:bCs/>
          <w:color w:val="auto"/>
          <w:sz w:val="28"/>
          <w:szCs w:val="28"/>
          <w:lang w:val="zh-CN"/>
        </w:rPr>
      </w:pPr>
    </w:p>
    <w:bookmarkEnd w:id="9"/>
    <w:p>
      <w:pPr>
        <w:keepNext w:val="0"/>
        <w:keepLines w:val="0"/>
        <w:pageBreakBefore w:val="0"/>
        <w:widowControl w:val="0"/>
        <w:numPr>
          <w:ilvl w:val="0"/>
          <w:numId w:val="0"/>
        </w:numPr>
        <w:kinsoku/>
        <w:wordWrap/>
        <w:overflowPunct/>
        <w:topLinePunct w:val="0"/>
        <w:autoSpaceDE w:val="0"/>
        <w:autoSpaceDN w:val="0"/>
        <w:bidi w:val="0"/>
        <w:adjustRightInd w:val="0"/>
        <w:snapToGrid/>
        <w:spacing w:before="0" w:beforeLines="100" w:after="0" w:afterLines="150" w:line="360" w:lineRule="auto"/>
        <w:ind w:left="0" w:leftChars="0" w:right="0" w:rightChars="0" w:firstLine="0" w:firstLineChars="0"/>
        <w:jc w:val="both"/>
        <w:textAlignment w:val="auto"/>
        <w:outlineLvl w:val="9"/>
        <w:rPr>
          <w:rFonts w:hint="eastAsia" w:ascii="楷体_GB2312" w:hAnsi="楷体_GB2312" w:eastAsia="楷体_GB2312" w:cs="楷体_GB2312"/>
          <w:color w:val="auto"/>
          <w:sz w:val="24"/>
          <w:lang w:val="zh-CN"/>
        </w:rPr>
      </w:pPr>
      <w:r>
        <w:rPr>
          <w:rFonts w:hint="eastAsia" w:ascii="楷体_GB2312" w:hAnsi="楷体_GB2312" w:eastAsia="楷体_GB2312" w:cs="楷体_GB2312"/>
          <w:color w:val="auto"/>
          <w:sz w:val="28"/>
          <w:szCs w:val="28"/>
        </w:rPr>
        <w:t xml:space="preserve">                     </w:t>
      </w:r>
    </w:p>
    <w:sectPr>
      <w:headerReference r:id="rId4" w:type="first"/>
      <w:footerReference r:id="rId6" w:type="first"/>
      <w:headerReference r:id="rId3" w:type="default"/>
      <w:footerReference r:id="rId5" w:type="default"/>
      <w:pgSz w:w="11849" w:h="16781"/>
      <w:pgMar w:top="1134" w:right="1020" w:bottom="1134" w:left="1587" w:header="850" w:footer="992" w:gutter="0"/>
      <w:pgBorders>
        <w:top w:val="none" w:sz="0" w:space="0"/>
        <w:left w:val="none" w:sz="0" w:space="0"/>
        <w:bottom w:val="none" w:sz="0" w:space="0"/>
        <w:right w:val="none" w:sz="0" w:space="0"/>
      </w:pgBorders>
      <w:pgNumType w:fmt="numberInDash" w:start="0"/>
      <w:cols w:space="0" w:num="1"/>
      <w:titlePg/>
      <w:rtlGutter w:val="0"/>
      <w:docGrid w:linePitch="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A00002EF" w:usb1="4000004B" w:usb2="00000000" w:usb3="00000000" w:csb0="2000009F" w:csb1="00000000"/>
  </w:font>
  <w:font w:name="Calibri">
    <w:panose1 w:val="020F0502020204030204"/>
    <w:charset w:val="00"/>
    <w:family w:val="swiss"/>
    <w:pitch w:val="default"/>
    <w:sig w:usb0="A00002EF" w:usb1="4000207B" w:usb2="00000000" w:usb3="00000000" w:csb0="2000009F" w:csb1="00000000"/>
  </w:font>
  <w:font w:name="Courier New">
    <w:panose1 w:val="02070309020205020404"/>
    <w:charset w:val="00"/>
    <w:family w:val="modern"/>
    <w:pitch w:val="default"/>
    <w:sig w:usb0="00007A87" w:usb1="80000000" w:usb2="00000008" w:usb3="00000000" w:csb0="400001FF" w:csb1="FFFF0000"/>
  </w:font>
  <w:font w:name="隶书">
    <w:altName w:val="微软雅黑"/>
    <w:panose1 w:val="00000000000000000000"/>
    <w:charset w:val="86"/>
    <w:family w:val="modern"/>
    <w:pitch w:val="default"/>
    <w:sig w:usb0="00000000" w:usb1="00000000" w:usb2="00000010" w:usb3="00000000" w:csb0="00040000" w:csb1="00000000"/>
  </w:font>
  <w:font w:name="微软简隶书">
    <w:altName w:val="黑体"/>
    <w:panose1 w:val="00000000000000000000"/>
    <w:charset w:val="86"/>
    <w:family w:val="auto"/>
    <w:pitch w:val="default"/>
    <w:sig w:usb0="00000000" w:usb1="00000000" w:usb2="00000010" w:usb3="00000000" w:csb0="00040000" w:csb1="00000000"/>
  </w:font>
  <w:font w:name="仿宋">
    <w:altName w:val="微软雅黑"/>
    <w:panose1 w:val="02010609060101010101"/>
    <w:charset w:val="86"/>
    <w:family w:val="modern"/>
    <w:pitch w:val="default"/>
    <w:sig w:usb0="00000000" w:usb1="00000000" w:usb2="00000016" w:usb3="00000000" w:csb0="00040001" w:csb1="00000000"/>
  </w:font>
  <w:font w:name="楷体">
    <w:altName w:val="楷体_GB2312"/>
    <w:panose1 w:val="02010609060101010101"/>
    <w:charset w:val="86"/>
    <w:family w:val="modern"/>
    <w:pitch w:val="default"/>
    <w:sig w:usb0="00000000" w:usb1="00000000" w:usb2="00000016" w:usb3="00000000" w:csb0="00040001" w:csb1="00000000"/>
  </w:font>
  <w:font w:name="微软雅黑">
    <w:panose1 w:val="020B0503020204020204"/>
    <w:charset w:val="86"/>
    <w:family w:val="auto"/>
    <w:pitch w:val="default"/>
    <w:sig w:usb0="80000287" w:usb1="080F3C52" w:usb2="00000016" w:usb3="00000000" w:csb0="0004001F" w:csb1="00000000"/>
  </w:font>
  <w:font w:name="楷体_GB2312">
    <w:panose1 w:val="02010609030101010101"/>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 w:name="Arial">
    <w:panose1 w:val="020B0604020202020204"/>
    <w:charset w:val="00"/>
    <w:family w:val="swiss"/>
    <w:pitch w:val="default"/>
    <w:sig w:usb0="00007A87" w:usb1="80000000" w:usb2="00000008" w:usb3="00000000" w:csb0="400001FF" w:csb1="FFFF0000"/>
  </w:font>
  <w:font w:name="Tahoma">
    <w:panose1 w:val="020B0604030504040204"/>
    <w:charset w:val="00"/>
    <w:family w:val="swiss"/>
    <w:pitch w:val="default"/>
    <w:sig w:usb0="61007A87" w:usb1="80000000" w:usb2="00000008" w:usb3="00000000" w:csb0="200101FF" w:csb1="20280000"/>
  </w:font>
  <w:font w:name="方正仿宋简体">
    <w:altName w:val="宋体"/>
    <w:panose1 w:val="02010601030101010101"/>
    <w:charset w:val="86"/>
    <w:family w:val="auto"/>
    <w:pitch w:val="default"/>
    <w:sig w:usb0="00000000" w:usb1="00000000" w:usb2="00000010" w:usb3="00000000" w:csb0="00040000" w:csb1="00000000"/>
  </w:font>
  <w:font w:name="Verdana">
    <w:panose1 w:val="020B0604030504040204"/>
    <w:charset w:val="00"/>
    <w:family w:val="swiss"/>
    <w:pitch w:val="default"/>
    <w:sig w:usb0="00000287" w:usb1="00000000" w:usb2="00000000" w:usb3="00000000" w:csb0="2000019F" w:csb1="00000000"/>
  </w:font>
  <w:font w:name="MS Gothic">
    <w:panose1 w:val="020B0609070205080204"/>
    <w:charset w:val="80"/>
    <w:family w:val="modern"/>
    <w:pitch w:val="default"/>
    <w:sig w:usb0="A00002BF" w:usb1="68C7FCFB" w:usb2="00000010" w:usb3="00000000" w:csb0="4002009F" w:csb1="DFD70000"/>
  </w:font>
  <w:font w:name="@宋体">
    <w:panose1 w:val="02010600030101010101"/>
    <w:charset w:val="86"/>
    <w:family w:val="auto"/>
    <w:pitch w:val="default"/>
    <w:sig w:usb0="00000003" w:usb1="080E0000" w:usb2="00000000" w:usb3="00000000" w:csb0="00040001" w:csb1="00000000"/>
  </w:font>
  <w:font w:name="Cambria Math">
    <w:panose1 w:val="02040503050406030204"/>
    <w:charset w:val="00"/>
    <w:family w:val="auto"/>
    <w:pitch w:val="default"/>
    <w:sig w:usb0="A00002EF" w:usb1="420020EB" w:usb2="00000000" w:usb3="00000000" w:csb0="2000009F" w:csb1="00000000"/>
  </w:font>
  <w:font w:name="@微软雅黑">
    <w:panose1 w:val="020B0503020204020204"/>
    <w:charset w:val="86"/>
    <w:family w:val="auto"/>
    <w:pitch w:val="default"/>
    <w:sig w:usb0="80000287" w:usb1="080F3C52" w:usb2="00000016" w:usb3="00000000" w:csb0="0004001F" w:csb1="00000000"/>
  </w:font>
  <w:font w:name="Wingdings">
    <w:panose1 w:val="05000000000000000000"/>
    <w:charset w:val="00"/>
    <w:family w:val="auto"/>
    <w:pitch w:val="default"/>
    <w:sig w:usb0="00000000" w:usb1="00000000" w:usb2="00000000" w:usb3="00000000" w:csb0="80000000" w:csb1="00000000"/>
  </w:font>
  <w:font w:name="新宋体">
    <w:panose1 w:val="02010609030101010101"/>
    <w:charset w:val="86"/>
    <w:family w:val="modern"/>
    <w:pitch w:val="default"/>
    <w:sig w:usb0="00000003" w:usb1="080E0000" w:usb2="00000000" w:usb3="00000000" w:csb0="00040001" w:csb1="00000000"/>
  </w:font>
  <w:font w:name="MingLiU">
    <w:panose1 w:val="02020309000000000000"/>
    <w:charset w:val="88"/>
    <w:family w:val="modern"/>
    <w:pitch w:val="default"/>
    <w:sig w:usb0="00000003" w:usb1="082E0000" w:usb2="00000016" w:usb3="00000000" w:csb0="00100001" w:csb1="00000000"/>
  </w:font>
  <w:font w:name="华文行楷">
    <w:altName w:val="微软雅黑"/>
    <w:panose1 w:val="02010800040101010101"/>
    <w:charset w:val="86"/>
    <w:family w:val="auto"/>
    <w:pitch w:val="default"/>
    <w:sig w:usb0="00000000" w:usb1="00000000" w:usb2="00000010" w:usb3="00000000" w:csb0="00040000" w:csb1="00000000"/>
  </w:font>
  <w:font w:name="方正小标宋简体">
    <w:altName w:val="宋体"/>
    <w:panose1 w:val="02010601030101010101"/>
    <w:charset w:val="86"/>
    <w:family w:val="auto"/>
    <w:pitch w:val="default"/>
    <w:sig w:usb0="00000000" w:usb1="00000000" w:usb2="00000010" w:usb3="00000000" w:csb0="00040000" w:csb1="00000000"/>
  </w:font>
  <w:font w:name="DLF-1-89-1950100216">
    <w:altName w:val="宋体"/>
    <w:panose1 w:val="00000000000000000000"/>
    <w:charset w:val="86"/>
    <w:family w:val="auto"/>
    <w:pitch w:val="default"/>
    <w:sig w:usb0="00000000" w:usb1="00000000" w:usb2="00000010" w:usb3="00000000" w:csb0="00040000" w:csb1="00000000"/>
  </w:font>
  <w:font w:name="DLF-1-89-596588238">
    <w:altName w:val="宋体"/>
    <w:panose1 w:val="00000000000000000000"/>
    <w:charset w:val="86"/>
    <w:family w:val="auto"/>
    <w:pitch w:val="default"/>
    <w:sig w:usb0="00000000" w:usb1="00000000" w:usb2="00000010" w:usb3="00000000" w:csb0="00040000" w:csb1="00000000"/>
  </w:font>
  <w:font w:name="Calibri Light">
    <w:altName w:val="Calibri"/>
    <w:panose1 w:val="020F0302020204030204"/>
    <w:charset w:val="00"/>
    <w:family w:val="swiss"/>
    <w:pitch w:val="default"/>
    <w:sig w:usb0="00000000" w:usb1="00000000" w:usb2="00000000" w:usb3="00000000" w:csb0="0000019F" w:csb1="00000000"/>
  </w:font>
  <w:font w:name="汉仪粗宋简">
    <w:altName w:val="宋体"/>
    <w:panose1 w:val="02010609000101010101"/>
    <w:charset w:val="86"/>
    <w:family w:val="modern"/>
    <w:pitch w:val="default"/>
    <w:sig w:usb0="00000000" w:usb1="00000000" w:usb2="00000012" w:usb3="00000000" w:csb0="00040000" w:csb1="00000000"/>
  </w:font>
  <w:font w:name="Lucida Sans Unicode">
    <w:panose1 w:val="020B0602030504020204"/>
    <w:charset w:val="00"/>
    <w:family w:val="swiss"/>
    <w:pitch w:val="default"/>
    <w:sig w:usb0="80001AFF" w:usb1="0000396B" w:usb2="00000000" w:usb3="00000000" w:csb0="0000003F" w:csb1="D7F70000"/>
  </w:font>
  <w:font w:name="华文中宋">
    <w:altName w:val="宋体"/>
    <w:panose1 w:val="02010600040101010101"/>
    <w:charset w:val="86"/>
    <w:family w:val="auto"/>
    <w:pitch w:val="default"/>
    <w:sig w:usb0="00000000" w:usb1="00000000" w:usb2="00000010" w:usb3="00000000" w:csb0="0004009F" w:csb1="00000000"/>
  </w:font>
  <w:font w:name="MS Sans Serif">
    <w:altName w:val="Arial"/>
    <w:panose1 w:val="00000000000000000000"/>
    <w:charset w:val="00"/>
    <w:family w:val="swiss"/>
    <w:pitch w:val="default"/>
    <w:sig w:usb0="00000000" w:usb1="00000000" w:usb2="00000000" w:usb3="00000000" w:csb0="00000001" w:csb1="00000000"/>
  </w:font>
  <w:font w:name="ˎ̥">
    <w:altName w:val="Times New Roman"/>
    <w:panose1 w:val="00000000000000000000"/>
    <w:charset w:val="00"/>
    <w:family w:val="roman"/>
    <w:pitch w:val="default"/>
    <w:sig w:usb0="00000000" w:usb1="00000000" w:usb2="00000000" w:usb3="00000000" w:csb0="00040001" w:csb1="00000000"/>
  </w:font>
  <w:font w:name="Arial Unicode MS">
    <w:altName w:val="宋体"/>
    <w:panose1 w:val="020B0604020202020204"/>
    <w:charset w:val="86"/>
    <w:family w:val="swiss"/>
    <w:pitch w:val="default"/>
    <w:sig w:usb0="00000000" w:usb1="00000000" w:usb2="0000003F" w:usb3="00000000" w:csb0="003F01FF" w:csb1="00000000"/>
  </w:font>
  <w:font w:name="Sim Sun">
    <w:altName w:val="黑体"/>
    <w:panose1 w:val="00000000000000000000"/>
    <w:charset w:val="86"/>
    <w:family w:val="auto"/>
    <w:pitch w:val="default"/>
    <w:sig w:usb0="00000000" w:usb1="00000000" w:usb2="00000010" w:usb3="00000000" w:csb0="00040000" w:csb1="00000000"/>
  </w:font>
  <w:font w:name="Book Antiqua">
    <w:panose1 w:val="02040602050305030304"/>
    <w:charset w:val="00"/>
    <w:family w:val="roman"/>
    <w:pitch w:val="default"/>
    <w:sig w:usb0="00000287" w:usb1="00000000" w:usb2="00000000" w:usb3="00000000" w:csb0="2000009F" w:csb1="DFD70000"/>
  </w:font>
  <w:font w:name="幼圆">
    <w:altName w:val="宋体"/>
    <w:panose1 w:val="02010509060101010101"/>
    <w:charset w:val="86"/>
    <w:family w:val="modern"/>
    <w:pitch w:val="default"/>
    <w:sig w:usb0="00000000" w:usb1="00000000" w:usb2="00000000" w:usb3="00000000" w:csb0="00040000" w:csb1="00000000"/>
  </w:font>
  <w:font w:name="Times New Roman PS">
    <w:altName w:val="宋体"/>
    <w:panose1 w:val="00000000000000000000"/>
    <w:charset w:val="86"/>
    <w:family w:val="roman"/>
    <w:pitch w:val="default"/>
    <w:sig w:usb0="00000000" w:usb1="00000000" w:usb2="00000010" w:usb3="00000000" w:csb0="00040000" w:csb1="00000000"/>
  </w:font>
  <w:font w:name="Garamond">
    <w:panose1 w:val="02020404030301010803"/>
    <w:charset w:val="00"/>
    <w:family w:val="roman"/>
    <w:pitch w:val="default"/>
    <w:sig w:usb0="00000287" w:usb1="00000000" w:usb2="00000000" w:usb3="00000000" w:csb0="0000009F" w:csb1="DFD70000"/>
  </w:font>
  <w:font w:name="华文仿宋">
    <w:altName w:val="仿宋_GB2312"/>
    <w:panose1 w:val="02010600040101010101"/>
    <w:charset w:val="86"/>
    <w:family w:val="auto"/>
    <w:pitch w:val="default"/>
    <w:sig w:usb0="00000000" w:usb1="00000000" w:usb2="00000010" w:usb3="00000000" w:csb0="0004009F" w:csb1="00000000"/>
  </w:font>
  <w:font w:name="方正仿宋_GBK">
    <w:altName w:val="微软雅黑"/>
    <w:panose1 w:val="00000000000000000000"/>
    <w:charset w:val="86"/>
    <w:family w:val="script"/>
    <w:pitch w:val="default"/>
    <w:sig w:usb0="00000000" w:usb1="00000000" w:usb2="00000010" w:usb3="00000000" w:csb0="00040000" w:csb1="00000000"/>
  </w:font>
  <w:font w:name="方正黑体_GBK">
    <w:altName w:val="微软雅黑"/>
    <w:panose1 w:val="00000000000000000000"/>
    <w:charset w:val="86"/>
    <w:family w:val="script"/>
    <w:pitch w:val="default"/>
    <w:sig w:usb0="00000000" w:usb1="00000000" w:usb2="00000010" w:usb3="00000000" w:csb0="00040000" w:csb1="00000000"/>
  </w:font>
  <w:font w:name="华文细黑">
    <w:altName w:val="微软雅黑"/>
    <w:panose1 w:val="02010600040101010101"/>
    <w:charset w:val="86"/>
    <w:family w:val="auto"/>
    <w:pitch w:val="default"/>
    <w:sig w:usb0="00000000" w:usb1="00000000" w:usb2="00000010" w:usb3="00000000" w:csb0="0004009F" w:csb1="00000000"/>
  </w:font>
  <w:font w:name="方正楷体_GBK">
    <w:altName w:val="微软雅黑"/>
    <w:panose1 w:val="00000000000000000000"/>
    <w:charset w:val="86"/>
    <w:family w:val="script"/>
    <w:pitch w:val="default"/>
    <w:sig w:usb0="00000000" w:usb1="00000000" w:usb2="00000010" w:usb3="00000000" w:csb0="00040000" w:csb1="00000000"/>
  </w:font>
  <w:font w:name="Plotter">
    <w:altName w:val="Lucida Console"/>
    <w:panose1 w:val="00000000000000000000"/>
    <w:charset w:val="00"/>
    <w:family w:val="modern"/>
    <w:pitch w:val="default"/>
    <w:sig w:usb0="00000000" w:usb1="00000000" w:usb2="00000000" w:usb3="00000000" w:csb0="00000001" w:csb1="00000000"/>
  </w:font>
  <w:font w:name="华文新魏">
    <w:altName w:val="宋体"/>
    <w:panose1 w:val="02010800040101010101"/>
    <w:charset w:val="86"/>
    <w:family w:val="auto"/>
    <w:pitch w:val="default"/>
    <w:sig w:usb0="00000000" w:usb1="00000000" w:usb2="00000010" w:usb3="00000000" w:csb0="00040000" w:csb1="00000000"/>
  </w:font>
  <w:font w:name="华文楷体">
    <w:altName w:val="楷体_GB2312"/>
    <w:panose1 w:val="02010600040101010101"/>
    <w:charset w:val="86"/>
    <w:family w:val="auto"/>
    <w:pitch w:val="default"/>
    <w:sig w:usb0="00000000" w:usb1="00000000" w:usb2="00000010" w:usb3="00000000" w:csb0="0004009F" w:csb1="00000000"/>
  </w:font>
  <w:font w:name="Century">
    <w:altName w:val="GulimChe"/>
    <w:panose1 w:val="02040604050505020304"/>
    <w:charset w:val="00"/>
    <w:family w:val="roman"/>
    <w:pitch w:val="default"/>
    <w:sig w:usb0="00000000" w:usb1="00000000" w:usb2="00000000" w:usb3="00000000" w:csb0="0000009F" w:csb1="00000000"/>
  </w:font>
  <w:font w:name="Sim Hei+ 2">
    <w:altName w:val="黑体"/>
    <w:panose1 w:val="00000000000000000000"/>
    <w:charset w:val="86"/>
    <w:family w:val="auto"/>
    <w:pitch w:val="default"/>
    <w:sig w:usb0="00000000" w:usb1="00000000" w:usb2="00000010" w:usb3="00000000" w:csb0="00040000" w:csb1="00000000"/>
  </w:font>
  <w:font w:name="Lucida Console">
    <w:panose1 w:val="020B0609040504020204"/>
    <w:charset w:val="00"/>
    <w:family w:val="auto"/>
    <w:pitch w:val="default"/>
    <w:sig w:usb0="8000028F" w:usb1="00001800" w:usb2="00000000" w:usb3="00000000" w:csb0="0000001F" w:csb1="D7D70000"/>
  </w:font>
  <w:font w:name="GulimChe">
    <w:panose1 w:val="020B0609000101010101"/>
    <w:charset w:val="81"/>
    <w:family w:val="auto"/>
    <w:pitch w:val="default"/>
    <w:sig w:usb0="B00002AF" w:usb1="69D77CFB" w:usb2="00000030" w:usb3="00000000" w:csb0="4008009F" w:csb1="DFD70000"/>
  </w:font>
  <w:font w:name="Times">
    <w:altName w:val="Times New Roman"/>
    <w:panose1 w:val="02020603050405020304"/>
    <w:charset w:val="00"/>
    <w:family w:val="roman"/>
    <w:pitch w:val="default"/>
    <w:sig w:usb0="00000000" w:usb1="00000000" w:usb2="00000009" w:usb3="00000000" w:csb0="000001FF" w:csb1="00000000"/>
  </w:font>
  <w:font w:name="HiddenHorzOCR">
    <w:altName w:val="宋体"/>
    <w:panose1 w:val="00000000000000000000"/>
    <w:charset w:val="80"/>
    <w:family w:val="auto"/>
    <w:pitch w:val="default"/>
    <w:sig w:usb0="00000000" w:usb1="00000000" w:usb2="00000010" w:usb3="00000000" w:csb0="00060000" w:csb1="00000000"/>
  </w:font>
  <w:font w:name="新宋体-18030">
    <w:altName w:val="宋体"/>
    <w:panose1 w:val="02010609060101010101"/>
    <w:charset w:val="86"/>
    <w:family w:val="swiss"/>
    <w:pitch w:val="default"/>
    <w:sig w:usb0="00000000" w:usb1="00000000" w:usb2="000A005E" w:usb3="00000000" w:csb0="00040001" w:csb1="00000000"/>
  </w:font>
  <w:font w:name="MS PGothic">
    <w:panose1 w:val="020B0600070205080204"/>
    <w:charset w:val="80"/>
    <w:family w:val="auto"/>
    <w:pitch w:val="default"/>
    <w:sig w:usb0="A00002BF" w:usb1="68C7FCFB" w:usb2="00000010" w:usb3="00000000" w:csb0="4002009F" w:csb1="DFD70000"/>
  </w:font>
  <w:font w:name="PMingLiU">
    <w:panose1 w:val="02020300000000000000"/>
    <w:charset w:val="88"/>
    <w:family w:val="roman"/>
    <w:pitch w:val="default"/>
    <w:sig w:usb0="00000003" w:usb1="082E0000" w:usb2="00000016" w:usb3="00000000" w:csb0="00100001" w:csb1="00000000"/>
  </w:font>
  <w:font w:name="GothicE">
    <w:panose1 w:val="00000400000000000000"/>
    <w:charset w:val="00"/>
    <w:family w:val="auto"/>
    <w:pitch w:val="default"/>
    <w:sig w:usb0="00000000" w:usb1="00000000" w:usb2="00000000" w:usb3="00000000" w:csb0="00000000" w:csb1="00000000"/>
  </w:font>
  <w:font w:name="DFKai-SB">
    <w:altName w:val="MingLiU"/>
    <w:panose1 w:val="03000509000000000000"/>
    <w:charset w:val="88"/>
    <w:family w:val="script"/>
    <w:pitch w:val="default"/>
    <w:sig w:usb0="00000000" w:usb1="00000000" w:usb2="00000016" w:usb3="00000000" w:csb0="00100001" w:csb1="00000000"/>
  </w:font>
  <w:font w:name="华文宋体">
    <w:altName w:val="宋体"/>
    <w:panose1 w:val="02010600040101010101"/>
    <w:charset w:val="86"/>
    <w:family w:val="auto"/>
    <w:pitch w:val="default"/>
    <w:sig w:usb0="00000000" w:usb1="00000000" w:usb2="00000010" w:usb3="00000000" w:csb0="0004009F" w:csb1="00000000"/>
  </w:font>
  <w:font w:name="monospace">
    <w:altName w:val="AmdtSymbols"/>
    <w:panose1 w:val="00000000000000000000"/>
    <w:charset w:val="00"/>
    <w:family w:val="auto"/>
    <w:pitch w:val="default"/>
    <w:sig w:usb0="00000000" w:usb1="00000000" w:usb2="00000000" w:usb3="00000000" w:csb0="00040001" w:csb1="00000000"/>
  </w:font>
  <w:font w:name="AmdtSymbols">
    <w:panose1 w:val="02000500000000020004"/>
    <w:charset w:val="00"/>
    <w:family w:val="auto"/>
    <w:pitch w:val="default"/>
    <w:sig w:usb0="00000001" w:usb1="00000000" w:usb2="00000000" w:usb3="00000000" w:csb0="00000001" w:csb1="00000000"/>
  </w:font>
  <w:font w:name="Arial Unicode MS">
    <w:altName w:val="宋体"/>
    <w:panose1 w:val="020B0604020202020204"/>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5" name="文本框 1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B3JhBMVAgAAFwQAAA4AAAAAAAAA&#10;AQAgAAAAHwEAAGRycy9lMm9Eb2MueG1sUEsFBgAAAAAGAAYAWQEAAKYFAAAAAA==&#10;">
              <v:fill on="f" focussize="0,0"/>
              <v:stroke on="f" weight="0.5pt"/>
              <v:imagedata o:title=""/>
              <o:lock v:ext="edit" aspectratio="f"/>
              <v:textbox inset="0mm,0mm,0mm,0mm" style="mso-fit-shape-to-text:t;">
                <w:txbxContent>
                  <w:p>
                    <w:pPr>
                      <w:pStyle w:val="13"/>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0"/>
      </w:pBdr>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tentative="0">
      <w:start w:val="1"/>
      <w:numFmt w:val="japaneseCounting"/>
      <w:lvlText w:val="第%1条"/>
      <w:lvlJc w:val="left"/>
      <w:pPr>
        <w:tabs>
          <w:tab w:val="left" w:pos="1275"/>
        </w:tabs>
        <w:ind w:left="1275" w:hanging="840"/>
      </w:pPr>
      <w:rPr>
        <w:rFonts w:hint="eastAsia"/>
      </w:rPr>
    </w:lvl>
    <w:lvl w:ilvl="1" w:tentative="0">
      <w:start w:val="1"/>
      <w:numFmt w:val="lowerLetter"/>
      <w:lvlText w:val="%2)"/>
      <w:lvlJc w:val="left"/>
      <w:pPr>
        <w:tabs>
          <w:tab w:val="left" w:pos="1275"/>
        </w:tabs>
        <w:ind w:left="1275" w:hanging="420"/>
      </w:pPr>
    </w:lvl>
    <w:lvl w:ilvl="2" w:tentative="0">
      <w:start w:val="1"/>
      <w:numFmt w:val="lowerRoman"/>
      <w:pStyle w:val="4"/>
      <w:lvlText w:val="%3."/>
      <w:lvlJc w:val="right"/>
      <w:pPr>
        <w:tabs>
          <w:tab w:val="left" w:pos="1695"/>
        </w:tabs>
        <w:ind w:left="1695" w:hanging="420"/>
      </w:pPr>
    </w:lvl>
    <w:lvl w:ilvl="3" w:tentative="0">
      <w:start w:val="1"/>
      <w:numFmt w:val="decimal"/>
      <w:lvlText w:val="%4."/>
      <w:lvlJc w:val="left"/>
      <w:pPr>
        <w:tabs>
          <w:tab w:val="left" w:pos="2115"/>
        </w:tabs>
        <w:ind w:left="2115" w:hanging="420"/>
      </w:pPr>
    </w:lvl>
    <w:lvl w:ilvl="4" w:tentative="0">
      <w:start w:val="1"/>
      <w:numFmt w:val="lowerLetter"/>
      <w:lvlText w:val="%5)"/>
      <w:lvlJc w:val="left"/>
      <w:pPr>
        <w:tabs>
          <w:tab w:val="left" w:pos="2535"/>
        </w:tabs>
        <w:ind w:left="2535" w:hanging="420"/>
      </w:pPr>
    </w:lvl>
    <w:lvl w:ilvl="5" w:tentative="0">
      <w:start w:val="1"/>
      <w:numFmt w:val="lowerRoman"/>
      <w:lvlText w:val="%6."/>
      <w:lvlJc w:val="right"/>
      <w:pPr>
        <w:tabs>
          <w:tab w:val="left" w:pos="2955"/>
        </w:tabs>
        <w:ind w:left="2955" w:hanging="420"/>
      </w:pPr>
    </w:lvl>
    <w:lvl w:ilvl="6" w:tentative="0">
      <w:start w:val="1"/>
      <w:numFmt w:val="decimal"/>
      <w:lvlText w:val="%7."/>
      <w:lvlJc w:val="left"/>
      <w:pPr>
        <w:tabs>
          <w:tab w:val="left" w:pos="3375"/>
        </w:tabs>
        <w:ind w:left="3375" w:hanging="420"/>
      </w:pPr>
    </w:lvl>
    <w:lvl w:ilvl="7" w:tentative="0">
      <w:start w:val="1"/>
      <w:numFmt w:val="lowerLetter"/>
      <w:lvlText w:val="%8)"/>
      <w:lvlJc w:val="left"/>
      <w:pPr>
        <w:tabs>
          <w:tab w:val="left" w:pos="3795"/>
        </w:tabs>
        <w:ind w:left="3795" w:hanging="420"/>
      </w:pPr>
    </w:lvl>
    <w:lvl w:ilvl="8" w:tentative="0">
      <w:start w:val="1"/>
      <w:numFmt w:val="lowerRoman"/>
      <w:lvlText w:val="%9."/>
      <w:lvlJc w:val="right"/>
      <w:pPr>
        <w:tabs>
          <w:tab w:val="left" w:pos="4215"/>
        </w:tabs>
        <w:ind w:left="4215" w:hanging="420"/>
      </w:pPr>
    </w:lvl>
  </w:abstractNum>
  <w:abstractNum w:abstractNumId="1">
    <w:nsid w:val="29B8236B"/>
    <w:multiLevelType w:val="multilevel"/>
    <w:tmpl w:val="29B8236B"/>
    <w:lvl w:ilvl="0" w:tentative="0">
      <w:start w:val="1"/>
      <w:numFmt w:val="decimal"/>
      <w:lvlText w:val="%1."/>
      <w:lvlJc w:val="left"/>
      <w:pPr>
        <w:ind w:left="842" w:hanging="36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2">
    <w:nsid w:val="59CB59DD"/>
    <w:multiLevelType w:val="singleLevel"/>
    <w:tmpl w:val="59CB59DD"/>
    <w:lvl w:ilvl="0" w:tentative="0">
      <w:start w:val="2"/>
      <w:numFmt w:val="chineseCounting"/>
      <w:suff w:val="nothing"/>
      <w:lvlText w:val="%1、"/>
      <w:lvlJc w:val="left"/>
    </w:lvl>
  </w:abstractNum>
  <w:abstractNum w:abstractNumId="3">
    <w:nsid w:val="59D6EC35"/>
    <w:multiLevelType w:val="singleLevel"/>
    <w:tmpl w:val="59D6EC35"/>
    <w:lvl w:ilvl="0" w:tentative="0">
      <w:start w:val="1"/>
      <w:numFmt w:val="decimal"/>
      <w:suff w:val="space"/>
      <w:lvlText w:val="%1."/>
      <w:lvlJc w:val="left"/>
    </w:lvl>
  </w:abstractNum>
  <w:abstractNum w:abstractNumId="4">
    <w:nsid w:val="59D6FD27"/>
    <w:multiLevelType w:val="singleLevel"/>
    <w:tmpl w:val="59D6FD27"/>
    <w:lvl w:ilvl="0" w:tentative="0">
      <w:start w:val="3"/>
      <w:numFmt w:val="decimal"/>
      <w:suff w:val="nothing"/>
      <w:lvlText w:val="（%1）"/>
      <w:lvlJc w:val="left"/>
    </w:lvl>
  </w:abstractNum>
  <w:abstractNum w:abstractNumId="5">
    <w:nsid w:val="59D71216"/>
    <w:multiLevelType w:val="singleLevel"/>
    <w:tmpl w:val="59D71216"/>
    <w:lvl w:ilvl="0" w:tentative="0">
      <w:start w:val="1"/>
      <w:numFmt w:val="decimal"/>
      <w:suff w:val="nothing"/>
      <w:lvlText w:val="%1、"/>
      <w:lvlJc w:val="left"/>
    </w:lvl>
  </w:abstractNum>
  <w:abstractNum w:abstractNumId="6">
    <w:nsid w:val="59D712D1"/>
    <w:multiLevelType w:val="singleLevel"/>
    <w:tmpl w:val="59D712D1"/>
    <w:lvl w:ilvl="0" w:tentative="0">
      <w:start w:val="1"/>
      <w:numFmt w:val="bullet"/>
      <w:lvlText w:val=""/>
      <w:lvlJc w:val="left"/>
      <w:pPr>
        <w:ind w:left="420" w:hanging="420"/>
      </w:pPr>
      <w:rPr>
        <w:rFonts w:hint="default" w:ascii="Wingdings" w:hAnsi="Wingdings"/>
      </w:rPr>
    </w:lvl>
  </w:abstractNum>
  <w:abstractNum w:abstractNumId="7">
    <w:nsid w:val="59D7373F"/>
    <w:multiLevelType w:val="singleLevel"/>
    <w:tmpl w:val="59D7373F"/>
    <w:lvl w:ilvl="0" w:tentative="0">
      <w:start w:val="1"/>
      <w:numFmt w:val="decimalEnclosedCircleChinese"/>
      <w:suff w:val="nothing"/>
      <w:lvlText w:val="%1　"/>
      <w:lvlJc w:val="left"/>
      <w:pPr>
        <w:ind w:left="0" w:firstLine="400"/>
      </w:pPr>
      <w:rPr>
        <w:rFonts w:hint="eastAsia"/>
      </w:rPr>
    </w:lvl>
  </w:abstractNum>
  <w:abstractNum w:abstractNumId="8">
    <w:nsid w:val="59D74971"/>
    <w:multiLevelType w:val="singleLevel"/>
    <w:tmpl w:val="59D74971"/>
    <w:lvl w:ilvl="0" w:tentative="0">
      <w:start w:val="1"/>
      <w:numFmt w:val="bullet"/>
      <w:lvlText w:val=""/>
      <w:lvlJc w:val="left"/>
      <w:pPr>
        <w:ind w:left="420" w:hanging="420"/>
      </w:pPr>
      <w:rPr>
        <w:rFonts w:hint="default" w:ascii="Wingdings" w:hAnsi="Wingdings"/>
      </w:rPr>
    </w:lvl>
  </w:abstractNum>
  <w:abstractNum w:abstractNumId="9">
    <w:nsid w:val="59D7499B"/>
    <w:multiLevelType w:val="singleLevel"/>
    <w:tmpl w:val="59D7499B"/>
    <w:lvl w:ilvl="0" w:tentative="0">
      <w:start w:val="1"/>
      <w:numFmt w:val="bullet"/>
      <w:lvlText w:val=""/>
      <w:lvlJc w:val="left"/>
      <w:pPr>
        <w:ind w:left="420" w:hanging="420"/>
      </w:pPr>
      <w:rPr>
        <w:rFonts w:hint="default" w:ascii="Wingdings" w:hAnsi="Wingdings"/>
      </w:rPr>
    </w:lvl>
  </w:abstractNum>
  <w:abstractNum w:abstractNumId="10">
    <w:nsid w:val="59D74CC9"/>
    <w:multiLevelType w:val="singleLevel"/>
    <w:tmpl w:val="59D74CC9"/>
    <w:lvl w:ilvl="0" w:tentative="0">
      <w:start w:val="1"/>
      <w:numFmt w:val="bullet"/>
      <w:lvlText w:val=""/>
      <w:lvlJc w:val="left"/>
      <w:pPr>
        <w:ind w:left="420" w:hanging="420"/>
      </w:pPr>
      <w:rPr>
        <w:rFonts w:hint="default" w:ascii="Wingdings" w:hAnsi="Wingdings"/>
      </w:rPr>
    </w:lvl>
  </w:abstractNum>
  <w:abstractNum w:abstractNumId="11">
    <w:nsid w:val="6E8B1662"/>
    <w:multiLevelType w:val="multilevel"/>
    <w:tmpl w:val="6E8B1662"/>
    <w:lvl w:ilvl="0" w:tentative="0">
      <w:start w:val="1"/>
      <w:numFmt w:val="decimal"/>
      <w:lvlText w:val="%1）"/>
      <w:lvlJc w:val="left"/>
      <w:pPr>
        <w:ind w:left="857" w:hanging="375"/>
      </w:pPr>
      <w:rPr>
        <w:rFonts w:hint="default"/>
        <w:b/>
        <w:color w:val="000000" w:themeColor="text1"/>
        <w14:textFill>
          <w14:solidFill>
            <w14:schemeClr w14:val="tx1"/>
          </w14:solidFill>
        </w14:textFill>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12">
    <w:nsid w:val="7068185F"/>
    <w:multiLevelType w:val="multilevel"/>
    <w:tmpl w:val="7068185F"/>
    <w:lvl w:ilvl="0" w:tentative="0">
      <w:start w:val="1"/>
      <w:numFmt w:val="chineseCountingThousand"/>
      <w:pStyle w:val="2"/>
      <w:lvlText w:val="%1、"/>
      <w:lvlJc w:val="left"/>
      <w:pPr>
        <w:tabs>
          <w:tab w:val="left" w:pos="600"/>
        </w:tabs>
        <w:ind w:left="60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rPr>
        <w:rFonts w:hint="eastAsia"/>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3">
    <w:nsid w:val="743276DD"/>
    <w:multiLevelType w:val="multilevel"/>
    <w:tmpl w:val="743276DD"/>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12"/>
  </w:num>
  <w:num w:numId="2">
    <w:abstractNumId w:val="0"/>
  </w:num>
  <w:num w:numId="3">
    <w:abstractNumId w:val="2"/>
  </w:num>
  <w:num w:numId="4">
    <w:abstractNumId w:val="13"/>
  </w:num>
  <w:num w:numId="5">
    <w:abstractNumId w:val="3"/>
  </w:num>
  <w:num w:numId="6">
    <w:abstractNumId w:val="4"/>
  </w:num>
  <w:num w:numId="7">
    <w:abstractNumId w:val="5"/>
  </w:num>
  <w:num w:numId="8">
    <w:abstractNumId w:val="6"/>
  </w:num>
  <w:num w:numId="9">
    <w:abstractNumId w:val="7"/>
  </w:num>
  <w:num w:numId="10">
    <w:abstractNumId w:val="9"/>
  </w:num>
  <w:num w:numId="11">
    <w:abstractNumId w:val="8"/>
  </w:num>
  <w:num w:numId="12">
    <w:abstractNumId w:val="10"/>
  </w:num>
  <w:num w:numId="13">
    <w:abstractNumId w:val="1"/>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doNotExpandShiftReturn/>
    <w:adjustLineHeightInTable/>
    <w:doNotWrapTextWithPunct/>
    <w:doNotUseEastAsianBreakRules/>
    <w:useFELayout/>
    <w:doNotUseIndentAsNumberingTabStop/>
    <w:useAltKinsokuLineBreakRules/>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C2109E0"/>
    <w:rsid w:val="000236AB"/>
    <w:rsid w:val="000307BA"/>
    <w:rsid w:val="000374A1"/>
    <w:rsid w:val="00043B8C"/>
    <w:rsid w:val="000608F1"/>
    <w:rsid w:val="0006136E"/>
    <w:rsid w:val="00072DBC"/>
    <w:rsid w:val="00076965"/>
    <w:rsid w:val="00083F56"/>
    <w:rsid w:val="00084616"/>
    <w:rsid w:val="00084FF2"/>
    <w:rsid w:val="00086EE5"/>
    <w:rsid w:val="00096B8B"/>
    <w:rsid w:val="000A09DC"/>
    <w:rsid w:val="000B12FE"/>
    <w:rsid w:val="000C21B7"/>
    <w:rsid w:val="000E2FC9"/>
    <w:rsid w:val="000E479E"/>
    <w:rsid w:val="000E4DA3"/>
    <w:rsid w:val="000E5021"/>
    <w:rsid w:val="000E6B7F"/>
    <w:rsid w:val="000F0A70"/>
    <w:rsid w:val="000F27D9"/>
    <w:rsid w:val="000F50ED"/>
    <w:rsid w:val="00105116"/>
    <w:rsid w:val="00114E7A"/>
    <w:rsid w:val="00117780"/>
    <w:rsid w:val="00132F85"/>
    <w:rsid w:val="00137708"/>
    <w:rsid w:val="0015630B"/>
    <w:rsid w:val="00161D24"/>
    <w:rsid w:val="001664E4"/>
    <w:rsid w:val="001719CE"/>
    <w:rsid w:val="00176C5F"/>
    <w:rsid w:val="00191119"/>
    <w:rsid w:val="001A4EAC"/>
    <w:rsid w:val="001A6253"/>
    <w:rsid w:val="001B0B45"/>
    <w:rsid w:val="001B12BC"/>
    <w:rsid w:val="001B47F9"/>
    <w:rsid w:val="001B5255"/>
    <w:rsid w:val="001C33AF"/>
    <w:rsid w:val="001C3909"/>
    <w:rsid w:val="001D35E4"/>
    <w:rsid w:val="001D3DF6"/>
    <w:rsid w:val="001E0C9E"/>
    <w:rsid w:val="001E34CA"/>
    <w:rsid w:val="001F14B3"/>
    <w:rsid w:val="001F5A8C"/>
    <w:rsid w:val="0024294B"/>
    <w:rsid w:val="00256E85"/>
    <w:rsid w:val="00262BA3"/>
    <w:rsid w:val="0026787A"/>
    <w:rsid w:val="002713D6"/>
    <w:rsid w:val="00283185"/>
    <w:rsid w:val="002C3CBD"/>
    <w:rsid w:val="002E626F"/>
    <w:rsid w:val="00317F3F"/>
    <w:rsid w:val="0033544A"/>
    <w:rsid w:val="00346506"/>
    <w:rsid w:val="00364780"/>
    <w:rsid w:val="00367AB2"/>
    <w:rsid w:val="003726E9"/>
    <w:rsid w:val="003808E2"/>
    <w:rsid w:val="003A1343"/>
    <w:rsid w:val="003B1ADF"/>
    <w:rsid w:val="003C1027"/>
    <w:rsid w:val="003D03F2"/>
    <w:rsid w:val="003D2043"/>
    <w:rsid w:val="003D2CC1"/>
    <w:rsid w:val="003D66D0"/>
    <w:rsid w:val="003E1A99"/>
    <w:rsid w:val="003F175A"/>
    <w:rsid w:val="003F21D8"/>
    <w:rsid w:val="0040781A"/>
    <w:rsid w:val="00410E06"/>
    <w:rsid w:val="004210E1"/>
    <w:rsid w:val="00424011"/>
    <w:rsid w:val="004272AA"/>
    <w:rsid w:val="0043473C"/>
    <w:rsid w:val="0044380B"/>
    <w:rsid w:val="00444F00"/>
    <w:rsid w:val="00447A3E"/>
    <w:rsid w:val="00451746"/>
    <w:rsid w:val="00457ABB"/>
    <w:rsid w:val="004829D8"/>
    <w:rsid w:val="004A135E"/>
    <w:rsid w:val="004A7D3D"/>
    <w:rsid w:val="004C2CFF"/>
    <w:rsid w:val="004C6017"/>
    <w:rsid w:val="004D1C0A"/>
    <w:rsid w:val="004F36DC"/>
    <w:rsid w:val="004F49B6"/>
    <w:rsid w:val="004F4D81"/>
    <w:rsid w:val="004F5CC6"/>
    <w:rsid w:val="005054E6"/>
    <w:rsid w:val="005130E4"/>
    <w:rsid w:val="005523C9"/>
    <w:rsid w:val="00560478"/>
    <w:rsid w:val="00562B0F"/>
    <w:rsid w:val="00563A7B"/>
    <w:rsid w:val="00563B9F"/>
    <w:rsid w:val="0056673E"/>
    <w:rsid w:val="005A258E"/>
    <w:rsid w:val="005A5600"/>
    <w:rsid w:val="005B0D2A"/>
    <w:rsid w:val="005D2707"/>
    <w:rsid w:val="005D70CE"/>
    <w:rsid w:val="005E143C"/>
    <w:rsid w:val="005E6BEB"/>
    <w:rsid w:val="005F4EA4"/>
    <w:rsid w:val="005F664E"/>
    <w:rsid w:val="00611B29"/>
    <w:rsid w:val="006151C7"/>
    <w:rsid w:val="0062185B"/>
    <w:rsid w:val="0062328F"/>
    <w:rsid w:val="00634165"/>
    <w:rsid w:val="006404A7"/>
    <w:rsid w:val="00645FE5"/>
    <w:rsid w:val="0065713A"/>
    <w:rsid w:val="006608AA"/>
    <w:rsid w:val="006906EF"/>
    <w:rsid w:val="006A0A4C"/>
    <w:rsid w:val="006B2601"/>
    <w:rsid w:val="006B355A"/>
    <w:rsid w:val="006C1CA6"/>
    <w:rsid w:val="006C231C"/>
    <w:rsid w:val="006C34F7"/>
    <w:rsid w:val="006C4FA2"/>
    <w:rsid w:val="006D0605"/>
    <w:rsid w:val="006D1E38"/>
    <w:rsid w:val="006D3184"/>
    <w:rsid w:val="006D58C7"/>
    <w:rsid w:val="006E14FF"/>
    <w:rsid w:val="00705403"/>
    <w:rsid w:val="0071245E"/>
    <w:rsid w:val="00713261"/>
    <w:rsid w:val="0071629B"/>
    <w:rsid w:val="00722915"/>
    <w:rsid w:val="00725F60"/>
    <w:rsid w:val="0073518F"/>
    <w:rsid w:val="00736684"/>
    <w:rsid w:val="00753A30"/>
    <w:rsid w:val="00763014"/>
    <w:rsid w:val="00775DEE"/>
    <w:rsid w:val="00777BAA"/>
    <w:rsid w:val="00786008"/>
    <w:rsid w:val="00791B55"/>
    <w:rsid w:val="00794B36"/>
    <w:rsid w:val="007A59DF"/>
    <w:rsid w:val="007B5B58"/>
    <w:rsid w:val="007C371D"/>
    <w:rsid w:val="007C6029"/>
    <w:rsid w:val="007D3DA6"/>
    <w:rsid w:val="007E461E"/>
    <w:rsid w:val="007F3F8B"/>
    <w:rsid w:val="00827BBF"/>
    <w:rsid w:val="008371CA"/>
    <w:rsid w:val="008516F5"/>
    <w:rsid w:val="0085531D"/>
    <w:rsid w:val="00867B09"/>
    <w:rsid w:val="00871C28"/>
    <w:rsid w:val="00874662"/>
    <w:rsid w:val="00877CA6"/>
    <w:rsid w:val="00882444"/>
    <w:rsid w:val="008A664A"/>
    <w:rsid w:val="008B3637"/>
    <w:rsid w:val="008B76D5"/>
    <w:rsid w:val="008C154E"/>
    <w:rsid w:val="008C3913"/>
    <w:rsid w:val="008C4A28"/>
    <w:rsid w:val="008C5948"/>
    <w:rsid w:val="008D488A"/>
    <w:rsid w:val="008E6177"/>
    <w:rsid w:val="008E6779"/>
    <w:rsid w:val="008F0283"/>
    <w:rsid w:val="00910DDD"/>
    <w:rsid w:val="00922366"/>
    <w:rsid w:val="00923D1E"/>
    <w:rsid w:val="00946C8F"/>
    <w:rsid w:val="009630A2"/>
    <w:rsid w:val="00970128"/>
    <w:rsid w:val="0097218E"/>
    <w:rsid w:val="009868B5"/>
    <w:rsid w:val="00990401"/>
    <w:rsid w:val="009904B8"/>
    <w:rsid w:val="00994985"/>
    <w:rsid w:val="00995FA7"/>
    <w:rsid w:val="00996448"/>
    <w:rsid w:val="009A1648"/>
    <w:rsid w:val="009B7684"/>
    <w:rsid w:val="009C048A"/>
    <w:rsid w:val="009C6B2C"/>
    <w:rsid w:val="009C7C49"/>
    <w:rsid w:val="009C7DAA"/>
    <w:rsid w:val="009E16DA"/>
    <w:rsid w:val="009F6745"/>
    <w:rsid w:val="00A022C0"/>
    <w:rsid w:val="00A044B3"/>
    <w:rsid w:val="00A12D87"/>
    <w:rsid w:val="00A31108"/>
    <w:rsid w:val="00A34F54"/>
    <w:rsid w:val="00A36035"/>
    <w:rsid w:val="00A403C8"/>
    <w:rsid w:val="00A409A9"/>
    <w:rsid w:val="00A41AF2"/>
    <w:rsid w:val="00A42B35"/>
    <w:rsid w:val="00A6262A"/>
    <w:rsid w:val="00A713CE"/>
    <w:rsid w:val="00A77A4E"/>
    <w:rsid w:val="00A80F6E"/>
    <w:rsid w:val="00A95186"/>
    <w:rsid w:val="00AB1D7E"/>
    <w:rsid w:val="00AB31E2"/>
    <w:rsid w:val="00AC072B"/>
    <w:rsid w:val="00AC598B"/>
    <w:rsid w:val="00AD7651"/>
    <w:rsid w:val="00B05623"/>
    <w:rsid w:val="00B066C4"/>
    <w:rsid w:val="00B14037"/>
    <w:rsid w:val="00B163E0"/>
    <w:rsid w:val="00B41AB1"/>
    <w:rsid w:val="00B62094"/>
    <w:rsid w:val="00B76CD6"/>
    <w:rsid w:val="00B90C78"/>
    <w:rsid w:val="00BA7C65"/>
    <w:rsid w:val="00BB16C9"/>
    <w:rsid w:val="00BB48A2"/>
    <w:rsid w:val="00BB5C76"/>
    <w:rsid w:val="00BC1CC5"/>
    <w:rsid w:val="00BD1B0E"/>
    <w:rsid w:val="00C154C2"/>
    <w:rsid w:val="00C2298F"/>
    <w:rsid w:val="00C255F7"/>
    <w:rsid w:val="00C27EFB"/>
    <w:rsid w:val="00C40629"/>
    <w:rsid w:val="00C51812"/>
    <w:rsid w:val="00C555D8"/>
    <w:rsid w:val="00C63443"/>
    <w:rsid w:val="00C639AC"/>
    <w:rsid w:val="00C651DB"/>
    <w:rsid w:val="00C81B19"/>
    <w:rsid w:val="00C822F3"/>
    <w:rsid w:val="00C85DB4"/>
    <w:rsid w:val="00C8694E"/>
    <w:rsid w:val="00CA42E0"/>
    <w:rsid w:val="00CB51FA"/>
    <w:rsid w:val="00CC4211"/>
    <w:rsid w:val="00CD39F7"/>
    <w:rsid w:val="00CE2D70"/>
    <w:rsid w:val="00CF069D"/>
    <w:rsid w:val="00CF6E05"/>
    <w:rsid w:val="00D20787"/>
    <w:rsid w:val="00D50B89"/>
    <w:rsid w:val="00D6219C"/>
    <w:rsid w:val="00D62AA3"/>
    <w:rsid w:val="00D71533"/>
    <w:rsid w:val="00D75552"/>
    <w:rsid w:val="00D75875"/>
    <w:rsid w:val="00D93103"/>
    <w:rsid w:val="00D95DC2"/>
    <w:rsid w:val="00DA3902"/>
    <w:rsid w:val="00DA4ACE"/>
    <w:rsid w:val="00DA6E5B"/>
    <w:rsid w:val="00DA7632"/>
    <w:rsid w:val="00DB14F5"/>
    <w:rsid w:val="00DB4FB6"/>
    <w:rsid w:val="00DC132B"/>
    <w:rsid w:val="00DC72A5"/>
    <w:rsid w:val="00DD0B7D"/>
    <w:rsid w:val="00DD269A"/>
    <w:rsid w:val="00DD3149"/>
    <w:rsid w:val="00DE2C67"/>
    <w:rsid w:val="00DE3C8F"/>
    <w:rsid w:val="00DE4047"/>
    <w:rsid w:val="00DE4B92"/>
    <w:rsid w:val="00DE4D7A"/>
    <w:rsid w:val="00DE5933"/>
    <w:rsid w:val="00DF4C22"/>
    <w:rsid w:val="00DF60C6"/>
    <w:rsid w:val="00DF6E9D"/>
    <w:rsid w:val="00E058FF"/>
    <w:rsid w:val="00E21D35"/>
    <w:rsid w:val="00E22B0E"/>
    <w:rsid w:val="00E25235"/>
    <w:rsid w:val="00E4522D"/>
    <w:rsid w:val="00E522AC"/>
    <w:rsid w:val="00E562F7"/>
    <w:rsid w:val="00E7425B"/>
    <w:rsid w:val="00E96A05"/>
    <w:rsid w:val="00EA26F6"/>
    <w:rsid w:val="00EC1C74"/>
    <w:rsid w:val="00EE5C25"/>
    <w:rsid w:val="00EF029B"/>
    <w:rsid w:val="00EF3FC7"/>
    <w:rsid w:val="00EF60EC"/>
    <w:rsid w:val="00F0265A"/>
    <w:rsid w:val="00F04346"/>
    <w:rsid w:val="00F27501"/>
    <w:rsid w:val="00F40B74"/>
    <w:rsid w:val="00F57B1D"/>
    <w:rsid w:val="00F73BDA"/>
    <w:rsid w:val="00F937BB"/>
    <w:rsid w:val="00F958E0"/>
    <w:rsid w:val="00FD034C"/>
    <w:rsid w:val="079D0D7A"/>
    <w:rsid w:val="091266FA"/>
    <w:rsid w:val="09497936"/>
    <w:rsid w:val="095B65F9"/>
    <w:rsid w:val="0D3756DE"/>
    <w:rsid w:val="0DD478FC"/>
    <w:rsid w:val="0EA03022"/>
    <w:rsid w:val="13026CE9"/>
    <w:rsid w:val="13717EFE"/>
    <w:rsid w:val="16FB3089"/>
    <w:rsid w:val="19245A60"/>
    <w:rsid w:val="1DA54730"/>
    <w:rsid w:val="1E924897"/>
    <w:rsid w:val="22B70E14"/>
    <w:rsid w:val="24140F52"/>
    <w:rsid w:val="272333CB"/>
    <w:rsid w:val="29132E0D"/>
    <w:rsid w:val="299305F0"/>
    <w:rsid w:val="29FD09F8"/>
    <w:rsid w:val="2BC12DE2"/>
    <w:rsid w:val="306D4C99"/>
    <w:rsid w:val="32EE27E3"/>
    <w:rsid w:val="3823241F"/>
    <w:rsid w:val="3BA75309"/>
    <w:rsid w:val="3C0F2813"/>
    <w:rsid w:val="3EA70986"/>
    <w:rsid w:val="404F0E81"/>
    <w:rsid w:val="45A637BF"/>
    <w:rsid w:val="47916194"/>
    <w:rsid w:val="48230E62"/>
    <w:rsid w:val="49612CCC"/>
    <w:rsid w:val="4D121283"/>
    <w:rsid w:val="4FAC0D3A"/>
    <w:rsid w:val="4FC4127E"/>
    <w:rsid w:val="5736296B"/>
    <w:rsid w:val="58272DBB"/>
    <w:rsid w:val="5A443E27"/>
    <w:rsid w:val="5C6D3555"/>
    <w:rsid w:val="5DAE1963"/>
    <w:rsid w:val="608C029E"/>
    <w:rsid w:val="650E1911"/>
    <w:rsid w:val="65281928"/>
    <w:rsid w:val="68584AA8"/>
    <w:rsid w:val="685D5651"/>
    <w:rsid w:val="693360C3"/>
    <w:rsid w:val="6D326551"/>
    <w:rsid w:val="6E0370E0"/>
    <w:rsid w:val="6E462BFB"/>
    <w:rsid w:val="70F013E4"/>
    <w:rsid w:val="73382DB9"/>
    <w:rsid w:val="76DD5061"/>
    <w:rsid w:val="7BF84BF9"/>
    <w:rsid w:val="7C2109E0"/>
    <w:rsid w:val="7D96695F"/>
    <w:rsid w:val="7F321755"/>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ocked="1"/>
    <w:lsdException w:qFormat="1" w:uiPriority="9" w:semiHidden="0" w:name="heading 2" w:locked="1"/>
    <w:lsdException w:qFormat="1" w:uiPriority="9" w:semiHidden="0" w:name="heading 3" w:locked="1"/>
    <w:lsdException w:qFormat="1" w:uiPriority="9" w:semiHidden="0" w:name="heading 4" w:locked="1"/>
    <w:lsdException w:qFormat="1" w:uiPriority="9" w:semiHidden="0" w:name="heading 5" w:locked="1"/>
    <w:lsdException w:qFormat="1" w:uiPriority="9" w:name="heading 6" w:locked="1"/>
    <w:lsdException w:qFormat="1" w:uiPriority="9" w:name="heading 7" w:locked="1"/>
    <w:lsdException w:qFormat="1" w:uiPriority="9" w:name="heading 8" w:locked="1"/>
    <w:lsdException w:qFormat="1" w:uiPriority="9" w:name="heading 9" w:locked="1"/>
    <w:lsdException w:uiPriority="99" w:name="index 1" w:locked="1"/>
    <w:lsdException w:uiPriority="99" w:name="index 2" w:locked="1"/>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qFormat="1" w:uiPriority="39" w:semiHidden="0" w:name="toc 1" w:locked="1"/>
    <w:lsdException w:qFormat="1" w:uiPriority="39" w:semiHidden="0" w:name="toc 2" w:locked="1"/>
    <w:lsdException w:qFormat="1" w:uiPriority="39" w:semiHidden="0" w:name="toc 3" w:locked="1"/>
    <w:lsdException w:qFormat="1" w:uiPriority="39" w:semiHidden="0" w:name="toc 4" w:locked="1"/>
    <w:lsdException w:uiPriority="39" w:name="toc 5" w:locked="1"/>
    <w:lsdException w:uiPriority="39" w:name="toc 6" w:locked="1"/>
    <w:lsdException w:uiPriority="39" w:name="toc 7" w:locked="1"/>
    <w:lsdException w:uiPriority="39" w:name="toc 8" w:locked="1"/>
    <w:lsdException w:uiPriority="39" w:name="toc 9" w:locked="1"/>
    <w:lsdException w:qFormat="1" w:uiPriority="99" w:semiHidden="0" w:name="Normal Indent" w:locked="1"/>
    <w:lsdException w:uiPriority="99" w:name="footnote text" w:locked="1"/>
    <w:lsdException w:uiPriority="99" w:name="annotation text" w:locked="1"/>
    <w:lsdException w:qFormat="1" w:unhideWhenUsed="0" w:uiPriority="99" w:semiHidden="0" w:name="header"/>
    <w:lsdException w:qFormat="1" w:unhideWhenUsed="0" w:uiPriority="99" w:semiHidden="0" w:name="footer"/>
    <w:lsdException w:uiPriority="99" w:name="index heading" w:locked="1"/>
    <w:lsdException w:qFormat="1" w:uiPriority="35" w:name="caption" w:locked="1"/>
    <w:lsdException w:uiPriority="99" w:name="table of figures" w:locked="1"/>
    <w:lsdException w:uiPriority="99" w:name="envelope address" w:locked="1"/>
    <w:lsdException w:uiPriority="99" w:name="envelope return" w:locked="1"/>
    <w:lsdException w:uiPriority="99" w:name="footnote reference" w:locked="1"/>
    <w:lsdException w:uiPriority="99" w:name="annotation reference" w:locked="1"/>
    <w:lsdException w:uiPriority="99" w:name="line number" w:locked="1"/>
    <w:lsdException w:uiPriority="99" w:name="page number" w:locked="1"/>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10" w:semiHidden="0" w:name="Title" w:locked="1"/>
    <w:lsdException w:uiPriority="99" w:name="Closing" w:locked="1"/>
    <w:lsdException w:uiPriority="99" w:name="Signature" w:locked="1"/>
    <w:lsdException w:unhideWhenUsed="0" w:uiPriority="99" w:name="Default Paragraph Font"/>
    <w:lsdException w:qFormat="1" w:unhideWhenUsed="0" w:uiPriority="99" w:semiHidden="0" w:name="Body Text"/>
    <w:lsdException w:uiPriority="99" w:name="Body Text Indent" w:locked="1"/>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11" w:semiHidden="0" w:name="Subtitle" w:locked="1"/>
    <w:lsdException w:uiPriority="99" w:name="Salutation" w:locked="1"/>
    <w:lsdException w:qFormat="1" w:unhideWhenUsed="0" w:uiPriority="99" w:semiHidden="0" w:name="Date"/>
    <w:lsdException w:qFormat="1" w:unhideWhenUsed="0" w:uiPriority="99" w:semiHidden="0" w:name="Body Text First Indent"/>
    <w:lsdException w:uiPriority="99" w:name="Body Text First Indent 2" w:locked="1"/>
    <w:lsdException w:uiPriority="99" w:name="Note Heading" w:locked="1"/>
    <w:lsdException w:uiPriority="99" w:name="Body Text 2" w:locked="1"/>
    <w:lsdException w:uiPriority="99" w:name="Body Text 3" w:locked="1"/>
    <w:lsdException w:uiPriority="99" w:name="Body Text Indent 2" w:locked="1"/>
    <w:lsdException w:uiPriority="99" w:name="Body Text Indent 3" w:locked="1"/>
    <w:lsdException w:uiPriority="99" w:name="Block Text" w:locked="1"/>
    <w:lsdException w:qFormat="1" w:unhideWhenUsed="0" w:uiPriority="99" w:semiHidden="0" w:name="Hyperlink"/>
    <w:lsdException w:uiPriority="99" w:name="FollowedHyperlink" w:locked="1"/>
    <w:lsdException w:qFormat="1" w:unhideWhenUsed="0" w:uiPriority="22" w:semiHidden="0" w:name="Strong" w:locked="1"/>
    <w:lsdException w:qFormat="1" w:unhideWhenUsed="0" w:uiPriority="20" w:semiHidden="0" w:name="Emphasis" w:locked="1"/>
    <w:lsdException w:uiPriority="99" w:name="Document Map" w:locked="1"/>
    <w:lsdException w:qFormat="1" w:unhideWhenUsed="0" w:uiPriority="99" w:semiHidden="0" w:name="Plain Text"/>
    <w:lsdException w:uiPriority="99" w:name="E-mail Signature" w:locked="1"/>
    <w:lsdException w:qFormat="1" w:unhideWhenUsed="0" w:uiPriority="99" w:semiHidden="0" w:name="Normal (Web)"/>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uiPriority="99" w:name="HTML Preformatted" w:locked="1"/>
    <w:lsdException w:uiPriority="99" w:name="HTML Sample" w:locked="1"/>
    <w:lsdException w:uiPriority="99" w:name="HTML Typewriter" w:locked="1"/>
    <w:lsdException w:uiPriority="99" w:name="HTML Variable" w:locked="1"/>
    <w:lsdException w:qFormat="1" w:uiPriority="99" w:semiHidden="0" w:name="Normal Table"/>
    <w:lsdException w:uiPriority="99" w:name="annotation subject" w:locked="1"/>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uiPriority="99" w:name="Balloon Text" w:locked="1"/>
    <w:lsdException w:qFormat="1" w:unhideWhenUsed="0" w:uiPriority="59" w:semiHidden="0" w:name="Table Grid" w:locked="1"/>
    <w:lsdException w:uiPriority="99"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qFormat/>
    <w:locked/>
    <w:uiPriority w:val="9"/>
    <w:pPr>
      <w:keepNext/>
      <w:keepLines/>
      <w:numPr>
        <w:ilvl w:val="0"/>
        <w:numId w:val="1"/>
      </w:numPr>
      <w:spacing w:before="340" w:after="330" w:line="578" w:lineRule="auto"/>
      <w:outlineLvl w:val="0"/>
    </w:pPr>
    <w:rPr>
      <w:b/>
      <w:bCs/>
      <w:kern w:val="44"/>
      <w:sz w:val="32"/>
      <w:szCs w:val="44"/>
    </w:rPr>
  </w:style>
  <w:style w:type="paragraph" w:styleId="3">
    <w:name w:val="heading 2"/>
    <w:basedOn w:val="1"/>
    <w:next w:val="1"/>
    <w:unhideWhenUsed/>
    <w:qFormat/>
    <w:locked/>
    <w:uiPriority w:val="9"/>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unhideWhenUsed/>
    <w:qFormat/>
    <w:locked/>
    <w:uiPriority w:val="9"/>
    <w:pPr>
      <w:keepNext/>
      <w:keepLines/>
      <w:widowControl/>
      <w:numPr>
        <w:ilvl w:val="2"/>
        <w:numId w:val="2"/>
      </w:numPr>
      <w:spacing w:before="120" w:beforeLines="0" w:beforeAutospacing="0" w:after="120" w:afterLines="0" w:afterAutospacing="0" w:line="360" w:lineRule="auto"/>
      <w:jc w:val="center"/>
      <w:outlineLvl w:val="2"/>
    </w:pPr>
    <w:rPr>
      <w:b/>
      <w:kern w:val="0"/>
      <w:sz w:val="32"/>
    </w:rPr>
  </w:style>
  <w:style w:type="paragraph" w:styleId="5">
    <w:name w:val="heading 4"/>
    <w:basedOn w:val="1"/>
    <w:next w:val="1"/>
    <w:unhideWhenUsed/>
    <w:qFormat/>
    <w:locked/>
    <w:uiPriority w:val="9"/>
    <w:pPr>
      <w:keepNext/>
      <w:keepLines/>
      <w:spacing w:before="280" w:beforeLines="0" w:beforeAutospacing="0" w:after="290" w:afterLines="0" w:afterAutospacing="0" w:line="372" w:lineRule="auto"/>
      <w:outlineLvl w:val="3"/>
    </w:pPr>
    <w:rPr>
      <w:rFonts w:ascii="Arial" w:hAnsi="Arial" w:eastAsia="黑体"/>
      <w:b/>
      <w:sz w:val="28"/>
    </w:rPr>
  </w:style>
  <w:style w:type="paragraph" w:styleId="6">
    <w:name w:val="heading 5"/>
    <w:basedOn w:val="1"/>
    <w:next w:val="1"/>
    <w:unhideWhenUsed/>
    <w:qFormat/>
    <w:locked/>
    <w:uiPriority w:val="9"/>
    <w:pPr>
      <w:keepNext/>
      <w:keepLines/>
      <w:spacing w:before="280" w:beforeLines="0" w:beforeAutospacing="0" w:after="290" w:afterLines="0" w:afterAutospacing="0" w:line="372" w:lineRule="auto"/>
      <w:outlineLvl w:val="4"/>
    </w:pPr>
    <w:rPr>
      <w:b/>
      <w:sz w:val="28"/>
    </w:rPr>
  </w:style>
  <w:style w:type="character" w:default="1" w:styleId="19">
    <w:name w:val="Default Paragraph Font"/>
    <w:semiHidden/>
    <w:uiPriority w:val="99"/>
  </w:style>
  <w:style w:type="table" w:default="1" w:styleId="21">
    <w:name w:val="Normal Table"/>
    <w:unhideWhenUsed/>
    <w:qFormat/>
    <w:uiPriority w:val="99"/>
    <w:tblPr>
      <w:tblLayout w:type="fixed"/>
      <w:tblCellMar>
        <w:top w:w="0" w:type="dxa"/>
        <w:left w:w="108" w:type="dxa"/>
        <w:bottom w:w="0" w:type="dxa"/>
        <w:right w:w="108" w:type="dxa"/>
      </w:tblCellMar>
    </w:tblPr>
  </w:style>
  <w:style w:type="paragraph" w:styleId="7">
    <w:name w:val="Body Text First Indent"/>
    <w:basedOn w:val="8"/>
    <w:link w:val="24"/>
    <w:qFormat/>
    <w:uiPriority w:val="99"/>
    <w:pPr>
      <w:ind w:firstLine="420" w:firstLineChars="100"/>
    </w:pPr>
  </w:style>
  <w:style w:type="paragraph" w:styleId="8">
    <w:name w:val="Body Text"/>
    <w:basedOn w:val="1"/>
    <w:link w:val="23"/>
    <w:qFormat/>
    <w:uiPriority w:val="99"/>
    <w:pPr>
      <w:spacing w:after="120"/>
    </w:pPr>
  </w:style>
  <w:style w:type="paragraph" w:styleId="9">
    <w:name w:val="Normal Indent"/>
    <w:basedOn w:val="1"/>
    <w:unhideWhenUsed/>
    <w:qFormat/>
    <w:locked/>
    <w:uiPriority w:val="99"/>
    <w:pPr>
      <w:ind w:firstLine="420" w:firstLineChars="200"/>
    </w:pPr>
  </w:style>
  <w:style w:type="paragraph" w:styleId="10">
    <w:name w:val="toc 3"/>
    <w:basedOn w:val="1"/>
    <w:next w:val="1"/>
    <w:unhideWhenUsed/>
    <w:qFormat/>
    <w:locked/>
    <w:uiPriority w:val="39"/>
    <w:pPr>
      <w:ind w:left="840" w:leftChars="400"/>
    </w:pPr>
  </w:style>
  <w:style w:type="paragraph" w:styleId="11">
    <w:name w:val="Plain Text"/>
    <w:basedOn w:val="1"/>
    <w:link w:val="25"/>
    <w:qFormat/>
    <w:uiPriority w:val="99"/>
    <w:rPr>
      <w:rFonts w:ascii="宋体" w:hAnsi="Courier New" w:cs="Courier New"/>
      <w:szCs w:val="21"/>
    </w:rPr>
  </w:style>
  <w:style w:type="paragraph" w:styleId="12">
    <w:name w:val="Date"/>
    <w:basedOn w:val="1"/>
    <w:next w:val="1"/>
    <w:link w:val="26"/>
    <w:qFormat/>
    <w:uiPriority w:val="99"/>
    <w:pPr>
      <w:ind w:left="100" w:leftChars="2500"/>
    </w:pPr>
  </w:style>
  <w:style w:type="paragraph" w:styleId="13">
    <w:name w:val="footer"/>
    <w:basedOn w:val="1"/>
    <w:link w:val="27"/>
    <w:qFormat/>
    <w:uiPriority w:val="99"/>
    <w:pPr>
      <w:tabs>
        <w:tab w:val="center" w:pos="4153"/>
        <w:tab w:val="right" w:pos="8306"/>
      </w:tabs>
      <w:snapToGrid w:val="0"/>
      <w:jc w:val="left"/>
    </w:pPr>
    <w:rPr>
      <w:sz w:val="18"/>
      <w:szCs w:val="18"/>
    </w:rPr>
  </w:style>
  <w:style w:type="paragraph" w:styleId="14">
    <w:name w:val="header"/>
    <w:basedOn w:val="1"/>
    <w:link w:val="28"/>
    <w:qFormat/>
    <w:uiPriority w:val="99"/>
    <w:pPr>
      <w:pBdr>
        <w:bottom w:val="single" w:color="auto" w:sz="6" w:space="1"/>
      </w:pBdr>
      <w:tabs>
        <w:tab w:val="center" w:pos="4153"/>
        <w:tab w:val="right" w:pos="8306"/>
      </w:tabs>
      <w:snapToGrid w:val="0"/>
      <w:jc w:val="center"/>
    </w:pPr>
    <w:rPr>
      <w:sz w:val="18"/>
      <w:szCs w:val="18"/>
    </w:rPr>
  </w:style>
  <w:style w:type="paragraph" w:styleId="15">
    <w:name w:val="toc 1"/>
    <w:basedOn w:val="1"/>
    <w:next w:val="1"/>
    <w:unhideWhenUsed/>
    <w:qFormat/>
    <w:locked/>
    <w:uiPriority w:val="39"/>
  </w:style>
  <w:style w:type="paragraph" w:styleId="16">
    <w:name w:val="toc 4"/>
    <w:basedOn w:val="1"/>
    <w:next w:val="1"/>
    <w:unhideWhenUsed/>
    <w:qFormat/>
    <w:locked/>
    <w:uiPriority w:val="39"/>
    <w:pPr>
      <w:ind w:left="1260" w:leftChars="600"/>
    </w:pPr>
  </w:style>
  <w:style w:type="paragraph" w:styleId="17">
    <w:name w:val="toc 2"/>
    <w:basedOn w:val="1"/>
    <w:next w:val="1"/>
    <w:unhideWhenUsed/>
    <w:qFormat/>
    <w:locked/>
    <w:uiPriority w:val="39"/>
    <w:pPr>
      <w:ind w:left="420" w:leftChars="200"/>
    </w:pPr>
  </w:style>
  <w:style w:type="paragraph" w:styleId="18">
    <w:name w:val="Normal (Web)"/>
    <w:basedOn w:val="1"/>
    <w:qFormat/>
    <w:uiPriority w:val="99"/>
    <w:pPr>
      <w:widowControl/>
      <w:spacing w:before="100" w:beforeAutospacing="1" w:after="100" w:afterAutospacing="1"/>
      <w:jc w:val="left"/>
    </w:pPr>
    <w:rPr>
      <w:rFonts w:ascii="宋体" w:hAnsi="宋体" w:cs="宋体"/>
      <w:kern w:val="0"/>
      <w:sz w:val="24"/>
    </w:rPr>
  </w:style>
  <w:style w:type="character" w:styleId="20">
    <w:name w:val="Hyperlink"/>
    <w:basedOn w:val="19"/>
    <w:qFormat/>
    <w:uiPriority w:val="99"/>
    <w:rPr>
      <w:rFonts w:cs="Times New Roman"/>
      <w:color w:val="0000FF"/>
      <w:u w:val="single"/>
    </w:rPr>
  </w:style>
  <w:style w:type="table" w:styleId="22">
    <w:name w:val="Table Grid"/>
    <w:basedOn w:val="21"/>
    <w:qFormat/>
    <w:locked/>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23">
    <w:name w:val="Body Text Char"/>
    <w:basedOn w:val="19"/>
    <w:link w:val="8"/>
    <w:semiHidden/>
    <w:qFormat/>
    <w:locked/>
    <w:uiPriority w:val="99"/>
    <w:rPr>
      <w:rFonts w:cs="Times New Roman"/>
      <w:sz w:val="24"/>
      <w:szCs w:val="24"/>
    </w:rPr>
  </w:style>
  <w:style w:type="character" w:customStyle="1" w:styleId="24">
    <w:name w:val="Body Text First Indent Char"/>
    <w:basedOn w:val="23"/>
    <w:link w:val="7"/>
    <w:semiHidden/>
    <w:qFormat/>
    <w:locked/>
    <w:uiPriority w:val="99"/>
  </w:style>
  <w:style w:type="character" w:customStyle="1" w:styleId="25">
    <w:name w:val="Plain Text Char"/>
    <w:basedOn w:val="19"/>
    <w:link w:val="11"/>
    <w:semiHidden/>
    <w:qFormat/>
    <w:locked/>
    <w:uiPriority w:val="99"/>
    <w:rPr>
      <w:rFonts w:ascii="宋体" w:hAnsi="Courier New" w:cs="Courier New"/>
      <w:sz w:val="21"/>
      <w:szCs w:val="21"/>
    </w:rPr>
  </w:style>
  <w:style w:type="character" w:customStyle="1" w:styleId="26">
    <w:name w:val="Date Char"/>
    <w:basedOn w:val="19"/>
    <w:link w:val="12"/>
    <w:qFormat/>
    <w:locked/>
    <w:uiPriority w:val="99"/>
    <w:rPr>
      <w:rFonts w:cs="Times New Roman"/>
      <w:kern w:val="2"/>
      <w:sz w:val="24"/>
      <w:szCs w:val="24"/>
    </w:rPr>
  </w:style>
  <w:style w:type="character" w:customStyle="1" w:styleId="27">
    <w:name w:val="Footer Char"/>
    <w:basedOn w:val="19"/>
    <w:link w:val="13"/>
    <w:semiHidden/>
    <w:qFormat/>
    <w:locked/>
    <w:uiPriority w:val="99"/>
    <w:rPr>
      <w:rFonts w:cs="Times New Roman"/>
      <w:sz w:val="18"/>
      <w:szCs w:val="18"/>
    </w:rPr>
  </w:style>
  <w:style w:type="character" w:customStyle="1" w:styleId="28">
    <w:name w:val="Header Char"/>
    <w:basedOn w:val="19"/>
    <w:link w:val="14"/>
    <w:semiHidden/>
    <w:qFormat/>
    <w:locked/>
    <w:uiPriority w:val="99"/>
    <w:rPr>
      <w:rFonts w:cs="Times New Roman"/>
      <w:sz w:val="18"/>
      <w:szCs w:val="18"/>
    </w:rPr>
  </w:style>
  <w:style w:type="paragraph" w:customStyle="1" w:styleId="29">
    <w:name w:val="_Style 1"/>
    <w:basedOn w:val="1"/>
    <w:qFormat/>
    <w:uiPriority w:val="99"/>
    <w:pPr>
      <w:ind w:firstLine="420" w:firstLineChars="200"/>
    </w:pPr>
    <w:rPr>
      <w:szCs w:val="22"/>
    </w:rPr>
  </w:style>
  <w:style w:type="paragraph" w:customStyle="1" w:styleId="30">
    <w:name w:val="List Paragraph1"/>
    <w:basedOn w:val="1"/>
    <w:qFormat/>
    <w:uiPriority w:val="99"/>
    <w:pPr>
      <w:ind w:firstLine="420" w:firstLineChars="200"/>
    </w:pPr>
  </w:style>
  <w:style w:type="paragraph" w:customStyle="1" w:styleId="31">
    <w:name w:val="样式 标题 3 + 段前: 0.5 行"/>
    <w:basedOn w:val="4"/>
    <w:next w:val="9"/>
    <w:qFormat/>
    <w:uiPriority w:val="0"/>
    <w:pPr>
      <w:widowControl w:val="0"/>
      <w:numPr>
        <w:ilvl w:val="2"/>
        <w:numId w:val="0"/>
      </w:numPr>
      <w:tabs>
        <w:tab w:val="clear" w:pos="1695"/>
      </w:tabs>
      <w:spacing w:before="0" w:after="0"/>
      <w:ind w:left="284"/>
      <w:jc w:val="left"/>
    </w:pPr>
    <w:rPr>
      <w:rFonts w:ascii="宋体" w:hAnsi="宋体" w:cs="宋体"/>
      <w:bCs/>
      <w:sz w:val="28"/>
      <w:szCs w:val="28"/>
    </w:rPr>
  </w:style>
  <w:style w:type="paragraph" w:customStyle="1" w:styleId="32">
    <w:name w:val="图标名称"/>
    <w:basedOn w:val="1"/>
    <w:qFormat/>
    <w:uiPriority w:val="0"/>
    <w:pPr>
      <w:spacing w:before="50" w:beforeLines="50" w:after="50" w:afterLines="50"/>
      <w:jc w:val="center"/>
    </w:pPr>
    <w:rPr>
      <w:rFonts w:eastAsia="华文中宋"/>
      <w:b/>
      <w:color w:val="1F497D"/>
      <w:sz w:val="20"/>
    </w:rPr>
  </w:style>
</w:styles>
</file>

<file path=word/_rels/document.xml.rels><?xml version="1.0" encoding="UTF-8" standalone="yes"?>
<Relationships xmlns="http://schemas.openxmlformats.org/package/2006/relationships"><Relationship Id="rId99" Type="http://schemas.openxmlformats.org/officeDocument/2006/relationships/customXml" Target="../customXml/item1.xml"/><Relationship Id="rId98" Type="http://schemas.openxmlformats.org/officeDocument/2006/relationships/image" Target="media/image84.png"/><Relationship Id="rId97" Type="http://schemas.openxmlformats.org/officeDocument/2006/relationships/image" Target="media/image83.png"/><Relationship Id="rId96" Type="http://schemas.openxmlformats.org/officeDocument/2006/relationships/image" Target="media/image82.jpeg"/><Relationship Id="rId95" Type="http://schemas.openxmlformats.org/officeDocument/2006/relationships/image" Target="media/image81.jpeg"/><Relationship Id="rId94" Type="http://schemas.openxmlformats.org/officeDocument/2006/relationships/image" Target="media/image80.jpeg"/><Relationship Id="rId93" Type="http://schemas.openxmlformats.org/officeDocument/2006/relationships/image" Target="media/image79.jpeg"/><Relationship Id="rId92" Type="http://schemas.openxmlformats.org/officeDocument/2006/relationships/image" Target="media/image78.jpeg"/><Relationship Id="rId91" Type="http://schemas.openxmlformats.org/officeDocument/2006/relationships/image" Target="media/image77.jpeg"/><Relationship Id="rId90" Type="http://schemas.openxmlformats.org/officeDocument/2006/relationships/image" Target="media/image76.png"/><Relationship Id="rId9" Type="http://schemas.openxmlformats.org/officeDocument/2006/relationships/image" Target="media/image2.jpeg"/><Relationship Id="rId89" Type="http://schemas.openxmlformats.org/officeDocument/2006/relationships/image" Target="media/image75.png"/><Relationship Id="rId88" Type="http://schemas.openxmlformats.org/officeDocument/2006/relationships/image" Target="media/image74.png"/><Relationship Id="rId87" Type="http://schemas.openxmlformats.org/officeDocument/2006/relationships/image" Target="media/image73.png"/><Relationship Id="rId86" Type="http://schemas.openxmlformats.org/officeDocument/2006/relationships/image" Target="media/image72.png"/><Relationship Id="rId85" Type="http://schemas.openxmlformats.org/officeDocument/2006/relationships/image" Target="media/image71.png"/><Relationship Id="rId84" Type="http://schemas.openxmlformats.org/officeDocument/2006/relationships/image" Target="media/image70.png"/><Relationship Id="rId83" Type="http://schemas.openxmlformats.org/officeDocument/2006/relationships/image" Target="media/image69.png"/><Relationship Id="rId82" Type="http://schemas.openxmlformats.org/officeDocument/2006/relationships/image" Target="media/image68.png"/><Relationship Id="rId81" Type="http://schemas.openxmlformats.org/officeDocument/2006/relationships/image" Target="media/image67.png"/><Relationship Id="rId80" Type="http://schemas.openxmlformats.org/officeDocument/2006/relationships/image" Target="media/image66.jpeg"/><Relationship Id="rId8" Type="http://schemas.openxmlformats.org/officeDocument/2006/relationships/image" Target="media/image1.png"/><Relationship Id="rId79" Type="http://schemas.openxmlformats.org/officeDocument/2006/relationships/image" Target="media/image65.jpeg"/><Relationship Id="rId78" Type="http://schemas.openxmlformats.org/officeDocument/2006/relationships/image" Target="media/image64.png"/><Relationship Id="rId77" Type="http://schemas.openxmlformats.org/officeDocument/2006/relationships/image" Target="media/image63.jpeg"/><Relationship Id="rId76" Type="http://schemas.openxmlformats.org/officeDocument/2006/relationships/image" Target="media/image62.jpeg"/><Relationship Id="rId75" Type="http://schemas.openxmlformats.org/officeDocument/2006/relationships/image" Target="media/image61.jpeg"/><Relationship Id="rId74" Type="http://schemas.openxmlformats.org/officeDocument/2006/relationships/image" Target="media/image60.jpeg"/><Relationship Id="rId73" Type="http://schemas.openxmlformats.org/officeDocument/2006/relationships/image" Target="media/image59.jpeg"/><Relationship Id="rId72" Type="http://schemas.openxmlformats.org/officeDocument/2006/relationships/image" Target="media/image58.jpeg"/><Relationship Id="rId71" Type="http://schemas.openxmlformats.org/officeDocument/2006/relationships/image" Target="media/image57.png"/><Relationship Id="rId70" Type="http://schemas.openxmlformats.org/officeDocument/2006/relationships/image" Target="media/image56.png"/><Relationship Id="rId7" Type="http://schemas.openxmlformats.org/officeDocument/2006/relationships/theme" Target="theme/theme1.xml"/><Relationship Id="rId69" Type="http://schemas.openxmlformats.org/officeDocument/2006/relationships/image" Target="media/image55.jpeg"/><Relationship Id="rId68" Type="http://schemas.openxmlformats.org/officeDocument/2006/relationships/image" Target="media/image54.png"/><Relationship Id="rId67" Type="http://schemas.openxmlformats.org/officeDocument/2006/relationships/image" Target="media/image53.png"/><Relationship Id="rId66" Type="http://schemas.openxmlformats.org/officeDocument/2006/relationships/image" Target="media/image52.jpeg"/><Relationship Id="rId65" Type="http://schemas.openxmlformats.org/officeDocument/2006/relationships/image" Target="media/image51.png"/><Relationship Id="rId64" Type="http://schemas.openxmlformats.org/officeDocument/2006/relationships/image" Target="media/image50.jpeg"/><Relationship Id="rId63" Type="http://schemas.openxmlformats.org/officeDocument/2006/relationships/image" Target="media/image49.jpeg"/><Relationship Id="rId62" Type="http://schemas.openxmlformats.org/officeDocument/2006/relationships/image" Target="media/image48.jpeg"/><Relationship Id="rId61" Type="http://schemas.openxmlformats.org/officeDocument/2006/relationships/image" Target="media/image47.png"/><Relationship Id="rId60" Type="http://schemas.openxmlformats.org/officeDocument/2006/relationships/image" Target="media/image46.png"/><Relationship Id="rId6" Type="http://schemas.openxmlformats.org/officeDocument/2006/relationships/footer" Target="footer2.xml"/><Relationship Id="rId59" Type="http://schemas.openxmlformats.org/officeDocument/2006/relationships/image" Target="media/image45.png"/><Relationship Id="rId58" Type="http://schemas.openxmlformats.org/officeDocument/2006/relationships/image" Target="media/image44.jpeg"/><Relationship Id="rId57" Type="http://schemas.openxmlformats.org/officeDocument/2006/relationships/image" Target="media/image43.jpeg"/><Relationship Id="rId56" Type="http://schemas.openxmlformats.org/officeDocument/2006/relationships/image" Target="media/image42.jpeg"/><Relationship Id="rId55" Type="http://schemas.openxmlformats.org/officeDocument/2006/relationships/image" Target="media/image41.png"/><Relationship Id="rId54" Type="http://schemas.openxmlformats.org/officeDocument/2006/relationships/image" Target="media/image40.jpeg"/><Relationship Id="rId53" Type="http://schemas.openxmlformats.org/officeDocument/2006/relationships/image" Target="media/image39.jpeg"/><Relationship Id="rId52" Type="http://schemas.openxmlformats.org/officeDocument/2006/relationships/image" Target="media/image38.jpeg"/><Relationship Id="rId51" Type="http://schemas.openxmlformats.org/officeDocument/2006/relationships/image" Target="media/image37.jpeg"/><Relationship Id="rId50" Type="http://schemas.openxmlformats.org/officeDocument/2006/relationships/image" Target="media/image36.jpeg"/><Relationship Id="rId5" Type="http://schemas.openxmlformats.org/officeDocument/2006/relationships/footer" Target="footer1.xml"/><Relationship Id="rId49" Type="http://schemas.openxmlformats.org/officeDocument/2006/relationships/image" Target="media/image35.jpeg"/><Relationship Id="rId48" Type="http://schemas.openxmlformats.org/officeDocument/2006/relationships/image" Target="media/image34.jpeg"/><Relationship Id="rId47" Type="http://schemas.openxmlformats.org/officeDocument/2006/relationships/image" Target="media/image33.jpeg"/><Relationship Id="rId46" Type="http://schemas.openxmlformats.org/officeDocument/2006/relationships/image" Target="media/image32.wmf"/><Relationship Id="rId45" Type="http://schemas.openxmlformats.org/officeDocument/2006/relationships/oleObject" Target="embeddings/oleObject7.bin"/><Relationship Id="rId44" Type="http://schemas.openxmlformats.org/officeDocument/2006/relationships/oleObject" Target="embeddings/oleObject6.bin"/><Relationship Id="rId43" Type="http://schemas.openxmlformats.org/officeDocument/2006/relationships/oleObject" Target="embeddings/oleObject5.bin"/><Relationship Id="rId42" Type="http://schemas.openxmlformats.org/officeDocument/2006/relationships/oleObject" Target="embeddings/oleObject4.bin"/><Relationship Id="rId41" Type="http://schemas.openxmlformats.org/officeDocument/2006/relationships/oleObject" Target="embeddings/oleObject3.bin"/><Relationship Id="rId40" Type="http://schemas.openxmlformats.org/officeDocument/2006/relationships/image" Target="media/image31.wmf"/><Relationship Id="rId4" Type="http://schemas.openxmlformats.org/officeDocument/2006/relationships/header" Target="header2.xml"/><Relationship Id="rId39" Type="http://schemas.openxmlformats.org/officeDocument/2006/relationships/oleObject" Target="embeddings/oleObject2.bin"/><Relationship Id="rId38" Type="http://schemas.openxmlformats.org/officeDocument/2006/relationships/image" Target="media/image30.wmf"/><Relationship Id="rId37" Type="http://schemas.openxmlformats.org/officeDocument/2006/relationships/oleObject" Target="embeddings/oleObject1.bin"/><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jpeg"/><Relationship Id="rId33" Type="http://schemas.openxmlformats.org/officeDocument/2006/relationships/image" Target="media/image26.jpeg"/><Relationship Id="rId32" Type="http://schemas.openxmlformats.org/officeDocument/2006/relationships/image" Target="media/image25.png"/><Relationship Id="rId31" Type="http://schemas.openxmlformats.org/officeDocument/2006/relationships/image" Target="media/image24.jpeg"/><Relationship Id="rId30" Type="http://schemas.openxmlformats.org/officeDocument/2006/relationships/image" Target="media/image23.png"/><Relationship Id="rId3" Type="http://schemas.openxmlformats.org/officeDocument/2006/relationships/header" Target="header1.xml"/><Relationship Id="rId29" Type="http://schemas.openxmlformats.org/officeDocument/2006/relationships/image" Target="media/image22.jpe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jpeg"/><Relationship Id="rId25" Type="http://schemas.openxmlformats.org/officeDocument/2006/relationships/image" Target="media/image18.png"/><Relationship Id="rId24" Type="http://schemas.openxmlformats.org/officeDocument/2006/relationships/image" Target="media/image17.jpeg"/><Relationship Id="rId23" Type="http://schemas.openxmlformats.org/officeDocument/2006/relationships/image" Target="media/image16.png"/><Relationship Id="rId22" Type="http://schemas.openxmlformats.org/officeDocument/2006/relationships/image" Target="media/image15.jpe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1" Type="http://schemas.openxmlformats.org/officeDocument/2006/relationships/fontTable" Target="fontTable.xml"/><Relationship Id="rId100" Type="http://schemas.openxmlformats.org/officeDocument/2006/relationships/numbering" Target="numbering.xml"/><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Normal_Wordconv.dotm</Template>
  <Company>Sky123.Org</Company>
  <Pages>207</Pages>
  <Words>71264</Words>
  <Characters>81635</Characters>
  <Lines>0</Lines>
  <Paragraphs>0</Paragraphs>
  <ScaleCrop>false</ScaleCrop>
  <LinksUpToDate>false</LinksUpToDate>
  <CharactersWithSpaces>83319</CharactersWithSpaces>
  <Application>WPS Office_10.1.0.6930_F1E327BC-269C-435d-A152-05C5408002CA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2017-07-26T01:41:00Z</dcterms:created>
  <dc:creator>田泳杰</dc:creator>
  <cp:lastModifiedBy>心念耳闻</cp:lastModifiedBy>
  <cp:lastPrinted>2017-10-15T08:15:00Z</cp:lastPrinted>
  <dcterms:modified xsi:type="dcterms:W3CDTF">2017-11-01T03:26:07Z</dcterms:modified>
  <cp:revision>224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2052-10.1.0.6930</vt:lpwstr>
  </property>
</Properties>
</file>