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许昌市检察院安全风险预警平台项目</w:t>
      </w:r>
    </w:p>
    <w:p>
      <w:pPr>
        <w:spacing w:line="6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lang w:eastAsia="zh-CN"/>
        </w:rPr>
        <w:t>采购需求</w:t>
      </w:r>
    </w:p>
    <w:p>
      <w:pPr>
        <w:pStyle w:val="2"/>
        <w:rPr>
          <w:lang w:val="zh-CN"/>
        </w:rPr>
      </w:pPr>
      <w:r>
        <w:rPr>
          <w:rFonts w:hint="eastAsia"/>
        </w:rPr>
        <w:t>一</w:t>
      </w:r>
      <w:r>
        <w:rPr>
          <w:rFonts w:hint="eastAsia"/>
          <w:lang w:val="zh-CN"/>
        </w:rPr>
        <w:t>、投标人资格条件</w:t>
      </w:r>
    </w:p>
    <w:p>
      <w:pPr>
        <w:spacing w:line="360" w:lineRule="auto"/>
        <w:ind w:firstLine="424" w:firstLineChars="177"/>
        <w:rPr>
          <w:rFonts w:ascii="宋体" w:hAnsi="宋体" w:cs="宋体"/>
          <w:color w:val="000000"/>
          <w:sz w:val="24"/>
        </w:rPr>
      </w:pPr>
      <w:r>
        <w:rPr>
          <w:rFonts w:hint="eastAsia" w:ascii="宋体" w:hAnsi="宋体" w:cs="宋体"/>
          <w:color w:val="000000"/>
          <w:sz w:val="24"/>
        </w:rPr>
        <w:t>（一）符合《中华人民共和国政府采购法》第2</w:t>
      </w:r>
      <w:bookmarkStart w:id="0" w:name="_GoBack"/>
      <w:bookmarkEnd w:id="0"/>
      <w:r>
        <w:rPr>
          <w:rFonts w:hint="eastAsia" w:ascii="宋体" w:hAnsi="宋体" w:cs="宋体"/>
          <w:color w:val="000000"/>
          <w:sz w:val="24"/>
        </w:rPr>
        <w:t>2条的规定。</w:t>
      </w:r>
    </w:p>
    <w:p>
      <w:pPr>
        <w:spacing w:line="360" w:lineRule="auto"/>
        <w:ind w:firstLine="424" w:firstLineChars="177"/>
        <w:rPr>
          <w:rFonts w:ascii="宋体" w:hAnsi="宋体" w:cs="宋体"/>
          <w:color w:val="000000"/>
          <w:sz w:val="24"/>
          <w:lang w:val="zh-CN"/>
        </w:rPr>
      </w:pPr>
      <w:r>
        <w:rPr>
          <w:rFonts w:hint="eastAsia" w:ascii="宋体" w:hAnsi="宋体" w:cs="宋体"/>
          <w:color w:val="000000"/>
          <w:sz w:val="24"/>
        </w:rPr>
        <w:t>（二）本次招标不接受联合体投标</w:t>
      </w:r>
      <w:r>
        <w:rPr>
          <w:rFonts w:ascii="宋体" w:hAnsi="宋体" w:cs="宋体"/>
          <w:color w:val="000000"/>
          <w:sz w:val="24"/>
        </w:rPr>
        <w:t>。</w:t>
      </w:r>
    </w:p>
    <w:p>
      <w:pPr>
        <w:spacing w:line="360" w:lineRule="auto"/>
        <w:ind w:firstLine="424" w:firstLineChars="177"/>
        <w:rPr>
          <w:rFonts w:ascii="宋体" w:hAnsi="宋体" w:cs="宋体"/>
          <w:color w:val="000000"/>
          <w:sz w:val="24"/>
        </w:rPr>
      </w:pPr>
      <w:r>
        <w:rPr>
          <w:rFonts w:hint="eastAsia" w:ascii="宋体" w:hAnsi="宋体" w:cs="宋体"/>
          <w:color w:val="000000"/>
          <w:sz w:val="24"/>
        </w:rPr>
        <w:t>（三）根据《关于在政府采购活动中查询及使用信用记录有关问题的通知》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pStyle w:val="2"/>
        <w:rPr>
          <w:lang w:val="zh-CN"/>
        </w:rPr>
      </w:pPr>
      <w:r>
        <w:rPr>
          <w:rFonts w:hint="eastAsia"/>
          <w:lang w:val="zh-CN"/>
        </w:rPr>
        <w:t>二、技术要求</w:t>
      </w:r>
    </w:p>
    <w:tbl>
      <w:tblPr>
        <w:tblStyle w:val="6"/>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40"/>
        <w:gridCol w:w="840"/>
        <w:gridCol w:w="295"/>
        <w:gridCol w:w="782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9875" w:type="dxa"/>
            <w:gridSpan w:val="6"/>
            <w:shd w:val="clear" w:color="auto" w:fill="80C588" w:themeFill="background1" w:themeFillShade="BF"/>
            <w:vAlign w:val="center"/>
          </w:tcPr>
          <w:p>
            <w:pPr>
              <w:autoSpaceDE w:val="0"/>
              <w:autoSpaceDN w:val="0"/>
              <w:adjustRightInd w:val="0"/>
              <w:snapToGrid w:val="0"/>
              <w:spacing w:before="100" w:beforeAutospacing="1" w:line="360" w:lineRule="auto"/>
              <w:rPr>
                <w:rFonts w:ascii="宋体" w:hAnsi="宋体" w:cs="黑体"/>
                <w:b/>
                <w:bCs/>
                <w:kern w:val="0"/>
                <w:sz w:val="18"/>
                <w:szCs w:val="18"/>
              </w:rPr>
            </w:pPr>
            <w:r>
              <w:rPr>
                <w:rFonts w:hint="eastAsia" w:ascii="宋体" w:hAnsi="宋体"/>
                <w:b/>
                <w:szCs w:val="21"/>
              </w:rPr>
              <w:t>一、网络回溯分析设备招标参数（设备数量：1台）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63" w:type="dxa"/>
            <w:shd w:val="clear" w:color="auto" w:fill="auto"/>
            <w:vAlign w:val="center"/>
          </w:tcPr>
          <w:p>
            <w:pPr>
              <w:widowControl/>
              <w:spacing w:line="360" w:lineRule="auto"/>
              <w:jc w:val="center"/>
              <w:rPr>
                <w:rFonts w:ascii="宋体" w:hAnsi="宋体" w:cs="宋体"/>
                <w:b/>
                <w:kern w:val="0"/>
                <w:sz w:val="18"/>
                <w:szCs w:val="18"/>
              </w:rPr>
            </w:pPr>
            <w:r>
              <w:rPr>
                <w:rFonts w:hint="eastAsia" w:ascii="宋体" w:hAnsi="宋体" w:cs="宋体"/>
                <w:b/>
                <w:kern w:val="0"/>
                <w:sz w:val="18"/>
                <w:szCs w:val="18"/>
              </w:rPr>
              <w:t>序号</w:t>
            </w:r>
          </w:p>
        </w:tc>
        <w:tc>
          <w:tcPr>
            <w:tcW w:w="1080" w:type="dxa"/>
            <w:gridSpan w:val="2"/>
            <w:shd w:val="clear" w:color="auto" w:fill="auto"/>
            <w:vAlign w:val="center"/>
          </w:tcPr>
          <w:p>
            <w:pPr>
              <w:spacing w:line="240" w:lineRule="exact"/>
              <w:jc w:val="center"/>
              <w:rPr>
                <w:rFonts w:ascii="宋体" w:hAnsi="宋体"/>
                <w:b/>
                <w:sz w:val="18"/>
                <w:szCs w:val="18"/>
              </w:rPr>
            </w:pPr>
            <w:r>
              <w:rPr>
                <w:rFonts w:hint="eastAsia" w:ascii="宋体" w:hAnsi="宋体"/>
                <w:b/>
                <w:sz w:val="18"/>
                <w:szCs w:val="18"/>
              </w:rPr>
              <w:t>设备名称</w:t>
            </w:r>
          </w:p>
        </w:tc>
        <w:tc>
          <w:tcPr>
            <w:tcW w:w="8132" w:type="dxa"/>
            <w:gridSpan w:val="3"/>
            <w:shd w:val="clear" w:color="auto" w:fill="FFFFFF"/>
            <w:vAlign w:val="center"/>
          </w:tcPr>
          <w:p>
            <w:pPr>
              <w:autoSpaceDE w:val="0"/>
              <w:autoSpaceDN w:val="0"/>
              <w:adjustRightInd w:val="0"/>
              <w:snapToGrid w:val="0"/>
              <w:spacing w:before="100" w:beforeAutospacing="1" w:line="360" w:lineRule="auto"/>
              <w:jc w:val="center"/>
              <w:rPr>
                <w:rFonts w:ascii="宋体" w:hAnsi="宋体" w:cs="黑体"/>
                <w:bCs/>
                <w:kern w:val="0"/>
                <w:sz w:val="18"/>
                <w:szCs w:val="18"/>
              </w:rPr>
            </w:pPr>
            <w:r>
              <w:rPr>
                <w:rFonts w:hint="eastAsia" w:ascii="宋体" w:hAnsi="宋体" w:cs="宋体"/>
                <w:b/>
                <w:kern w:val="0"/>
                <w:sz w:val="18"/>
                <w:szCs w:val="18"/>
              </w:rPr>
              <w:t>技术指标及规格参数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63" w:type="dxa"/>
            <w:vMerge w:val="restart"/>
            <w:shd w:val="clear" w:color="auto" w:fill="auto"/>
            <w:textDirection w:val="lrTbV"/>
            <w:vAlign w:val="center"/>
          </w:tcPr>
          <w:p>
            <w:pPr>
              <w:widowControl/>
              <w:spacing w:line="360" w:lineRule="auto"/>
              <w:rPr>
                <w:rFonts w:ascii="黑体" w:hAnsi="黑体" w:eastAsia="黑体" w:cs="宋体"/>
                <w:kern w:val="0"/>
                <w:szCs w:val="21"/>
              </w:rPr>
            </w:pPr>
            <w:r>
              <w:rPr>
                <w:rFonts w:hint="eastAsia" w:ascii="黑体" w:hAnsi="黑体" w:eastAsia="黑体" w:cs="宋体"/>
                <w:kern w:val="0"/>
                <w:szCs w:val="21"/>
              </w:rPr>
              <w:t>1</w:t>
            </w:r>
          </w:p>
        </w:tc>
        <w:tc>
          <w:tcPr>
            <w:tcW w:w="1080" w:type="dxa"/>
            <w:gridSpan w:val="2"/>
            <w:vMerge w:val="restart"/>
            <w:shd w:val="clear" w:color="auto" w:fill="auto"/>
            <w:vAlign w:val="center"/>
          </w:tcPr>
          <w:p>
            <w:pPr>
              <w:spacing w:line="240" w:lineRule="exact"/>
              <w:jc w:val="center"/>
              <w:rPr>
                <w:rFonts w:ascii="宋体" w:hAnsi="宋体"/>
                <w:sz w:val="18"/>
                <w:szCs w:val="18"/>
              </w:rPr>
            </w:pPr>
            <w:r>
              <w:rPr>
                <w:rFonts w:hint="eastAsia" w:ascii="黑体" w:hAnsi="黑体" w:eastAsia="黑体"/>
                <w:szCs w:val="21"/>
              </w:rPr>
              <w:t>网络回溯分析设备</w:t>
            </w:r>
          </w:p>
        </w:tc>
        <w:tc>
          <w:tcPr>
            <w:tcW w:w="8132" w:type="dxa"/>
            <w:gridSpan w:val="3"/>
            <w:shd w:val="clear" w:color="auto" w:fill="FFFFFF"/>
            <w:vAlign w:val="center"/>
          </w:tcPr>
          <w:p>
            <w:pPr>
              <w:rPr>
                <w:b/>
                <w:sz w:val="18"/>
                <w:szCs w:val="18"/>
              </w:rPr>
            </w:pPr>
            <w:r>
              <w:rPr>
                <w:b/>
                <w:sz w:val="18"/>
                <w:szCs w:val="18"/>
              </w:rPr>
              <w:t>总体要求</w:t>
            </w:r>
            <w:r>
              <w:rPr>
                <w:rFonts w:hint="eastAsia"/>
                <w:b/>
                <w:sz w:val="18"/>
                <w:szCs w:val="18"/>
              </w:rPr>
              <w:t>：</w:t>
            </w:r>
          </w:p>
          <w:p>
            <w:pPr>
              <w:rPr>
                <w:rFonts w:ascii="宋体" w:hAnsi="宋体" w:cs="黑体"/>
                <w:bCs/>
                <w:kern w:val="0"/>
                <w:sz w:val="18"/>
                <w:szCs w:val="18"/>
              </w:rPr>
            </w:pPr>
            <w:r>
              <w:rPr>
                <w:rFonts w:ascii="宋体" w:hAnsi="宋体" w:cs="黑体"/>
                <w:bCs/>
                <w:kern w:val="0"/>
                <w:sz w:val="18"/>
                <w:szCs w:val="18"/>
              </w:rPr>
              <w:t>1</w:t>
            </w:r>
            <w:r>
              <w:rPr>
                <w:rFonts w:hint="eastAsia" w:ascii="宋体" w:hAnsi="宋体" w:cs="黑体"/>
                <w:bCs/>
                <w:kern w:val="0"/>
                <w:sz w:val="18"/>
                <w:szCs w:val="18"/>
              </w:rPr>
              <w:t>、</w:t>
            </w:r>
            <w:r>
              <w:rPr>
                <w:rFonts w:hint="eastAsia" w:ascii="宋体" w:hAnsi="宋体" w:cs="宋体"/>
                <w:kern w:val="0"/>
                <w:sz w:val="18"/>
                <w:szCs w:val="18"/>
              </w:rPr>
              <w:t>★</w:t>
            </w:r>
            <w:r>
              <w:rPr>
                <w:rFonts w:hint="eastAsia"/>
                <w:sz w:val="18"/>
                <w:szCs w:val="18"/>
              </w:rPr>
              <w:t>总体功能</w:t>
            </w:r>
          </w:p>
          <w:p>
            <w:pPr>
              <w:rPr>
                <w:sz w:val="18"/>
                <w:szCs w:val="18"/>
              </w:rPr>
            </w:pPr>
            <w:r>
              <w:rPr>
                <w:rFonts w:hint="eastAsia"/>
                <w:sz w:val="18"/>
                <w:szCs w:val="18"/>
              </w:rPr>
              <w:t>能够分布式部署在关键的网络节点，长期实时分析并捕获流量，同时对捕获到的网络通讯数据包进行长期存储，从而提供对任何时间点的通讯数据进行回溯分析的能力。</w:t>
            </w:r>
          </w:p>
          <w:p>
            <w:pPr>
              <w:rPr>
                <w:sz w:val="18"/>
                <w:szCs w:val="18"/>
              </w:rPr>
            </w:pPr>
            <w:r>
              <w:rPr>
                <w:rFonts w:hint="eastAsia"/>
                <w:sz w:val="18"/>
                <w:szCs w:val="18"/>
              </w:rPr>
              <w:t>2、界面要求</w:t>
            </w:r>
          </w:p>
          <w:p>
            <w:pPr>
              <w:rPr>
                <w:sz w:val="18"/>
                <w:szCs w:val="18"/>
              </w:rPr>
            </w:pPr>
            <w:r>
              <w:rPr>
                <w:rFonts w:hint="eastAsia"/>
                <w:sz w:val="18"/>
                <w:szCs w:val="18"/>
              </w:rPr>
              <w:t>支持全中文界面和资料文档，要求提供全中文的分析界面，要求提供全中文的文档资料。</w:t>
            </w:r>
          </w:p>
          <w:p>
            <w:pPr>
              <w:rPr>
                <w:sz w:val="18"/>
                <w:szCs w:val="18"/>
              </w:rPr>
            </w:pPr>
            <w:r>
              <w:rPr>
                <w:rFonts w:hint="eastAsia"/>
                <w:sz w:val="18"/>
                <w:szCs w:val="18"/>
              </w:rPr>
              <w:t>支持中英文双语协议解码功能。</w:t>
            </w:r>
          </w:p>
          <w:p>
            <w:pPr>
              <w:rPr>
                <w:sz w:val="18"/>
                <w:szCs w:val="18"/>
              </w:rPr>
            </w:pPr>
            <w:r>
              <w:rPr>
                <w:sz w:val="18"/>
                <w:szCs w:val="18"/>
              </w:rPr>
              <w:t>3</w:t>
            </w:r>
            <w:r>
              <w:rPr>
                <w:rFonts w:hint="eastAsia"/>
                <w:sz w:val="18"/>
                <w:szCs w:val="18"/>
              </w:rPr>
              <w:t>、 产品架构</w:t>
            </w:r>
          </w:p>
          <w:p>
            <w:pPr>
              <w:rPr>
                <w:sz w:val="18"/>
                <w:szCs w:val="18"/>
              </w:rPr>
            </w:pPr>
            <w:r>
              <w:rPr>
                <w:rFonts w:hint="eastAsia"/>
                <w:sz w:val="18"/>
                <w:szCs w:val="18"/>
              </w:rPr>
              <w:t>标准机架式独立硬件设备，存储容量2TB；采集端口： 2或4个千兆电口；管理端口：2个千兆电口；支持RAID</w:t>
            </w:r>
            <w:r>
              <w:rPr>
                <w:sz w:val="18"/>
                <w:szCs w:val="18"/>
              </w:rPr>
              <w:t>1</w:t>
            </w:r>
            <w:r>
              <w:rPr>
                <w:rFonts w:hint="eastAsia"/>
                <w:sz w:val="18"/>
                <w:szCs w:val="18"/>
              </w:rPr>
              <w:t>存储，可热插拔。</w:t>
            </w:r>
          </w:p>
          <w:p>
            <w:pPr>
              <w:rPr>
                <w:rFonts w:ascii="宋体" w:hAnsi="宋体" w:cs="黑体"/>
                <w:bCs/>
                <w:kern w:val="0"/>
                <w:sz w:val="18"/>
                <w:szCs w:val="18"/>
              </w:rPr>
            </w:pPr>
            <w:r>
              <w:rPr>
                <w:kern w:val="0"/>
                <w:sz w:val="18"/>
                <w:szCs w:val="18"/>
              </w:rPr>
              <w:t xml:space="preserve"> 4</w:t>
            </w:r>
            <w:r>
              <w:rPr>
                <w:rFonts w:hint="eastAsia"/>
                <w:kern w:val="0"/>
                <w:sz w:val="18"/>
                <w:szCs w:val="18"/>
              </w:rPr>
              <w:t>、</w:t>
            </w:r>
            <w:r>
              <w:rPr>
                <w:rFonts w:hint="eastAsia" w:ascii="宋体" w:hAnsi="宋体" w:cs="宋体"/>
                <w:kern w:val="0"/>
                <w:sz w:val="18"/>
                <w:szCs w:val="18"/>
              </w:rPr>
              <w:t>★</w:t>
            </w:r>
            <w:r>
              <w:rPr>
                <w:rFonts w:hint="eastAsia"/>
                <w:kern w:val="0"/>
                <w:sz w:val="18"/>
                <w:szCs w:val="18"/>
              </w:rPr>
              <w:t>必须满足省</w:t>
            </w:r>
            <w:r>
              <w:rPr>
                <w:kern w:val="0"/>
                <w:sz w:val="18"/>
                <w:szCs w:val="18"/>
              </w:rPr>
              <w:t>、市、县互联互通</w:t>
            </w:r>
            <w:r>
              <w:rPr>
                <w:rFonts w:hint="eastAsia"/>
                <w:kern w:val="0"/>
                <w:sz w:val="18"/>
                <w:szCs w:val="18"/>
              </w:rPr>
              <w:t>，</w:t>
            </w:r>
            <w:r>
              <w:rPr>
                <w:kern w:val="0"/>
                <w:sz w:val="18"/>
                <w:szCs w:val="18"/>
              </w:rPr>
              <w:t>将市县级</w:t>
            </w:r>
            <w:r>
              <w:rPr>
                <w:rFonts w:hint="eastAsia"/>
                <w:kern w:val="0"/>
                <w:sz w:val="18"/>
                <w:szCs w:val="18"/>
              </w:rPr>
              <w:t>采集</w:t>
            </w:r>
            <w:r>
              <w:rPr>
                <w:kern w:val="0"/>
                <w:sz w:val="18"/>
                <w:szCs w:val="18"/>
              </w:rPr>
              <w:t>数据反馈</w:t>
            </w:r>
            <w:r>
              <w:rPr>
                <w:rFonts w:hint="eastAsia"/>
                <w:kern w:val="0"/>
                <w:sz w:val="18"/>
                <w:szCs w:val="18"/>
              </w:rPr>
              <w:t>到上</w:t>
            </w:r>
            <w:r>
              <w:rPr>
                <w:kern w:val="0"/>
                <w:sz w:val="18"/>
                <w:szCs w:val="18"/>
              </w:rPr>
              <w:t>级平台，实现</w:t>
            </w:r>
            <w:r>
              <w:rPr>
                <w:rFonts w:hint="eastAsia"/>
                <w:kern w:val="0"/>
                <w:sz w:val="18"/>
                <w:szCs w:val="18"/>
              </w:rPr>
              <w:t>市</w:t>
            </w:r>
            <w:r>
              <w:rPr>
                <w:kern w:val="0"/>
                <w:sz w:val="18"/>
                <w:szCs w:val="18"/>
              </w:rPr>
              <w:t>级、省级</w:t>
            </w:r>
            <w:r>
              <w:rPr>
                <w:rFonts w:hint="eastAsia"/>
                <w:kern w:val="0"/>
                <w:sz w:val="18"/>
                <w:szCs w:val="18"/>
              </w:rPr>
              <w:t>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63" w:type="dxa"/>
            <w:vMerge w:val="continue"/>
            <w:shd w:val="clear" w:color="auto" w:fill="auto"/>
            <w:vAlign w:val="center"/>
          </w:tcPr>
          <w:p>
            <w:pPr>
              <w:widowControl/>
              <w:spacing w:line="240" w:lineRule="exact"/>
              <w:rPr>
                <w:rFonts w:ascii="宋体" w:hAnsi="宋体" w:cs="宋体"/>
                <w:kern w:val="0"/>
                <w:sz w:val="18"/>
                <w:szCs w:val="18"/>
              </w:rPr>
            </w:pPr>
          </w:p>
        </w:tc>
        <w:tc>
          <w:tcPr>
            <w:tcW w:w="1080" w:type="dxa"/>
            <w:gridSpan w:val="2"/>
            <w:vMerge w:val="continue"/>
            <w:shd w:val="clear" w:color="auto" w:fill="auto"/>
            <w:vAlign w:val="center"/>
          </w:tcPr>
          <w:p>
            <w:pPr>
              <w:widowControl/>
              <w:spacing w:line="240" w:lineRule="exact"/>
              <w:rPr>
                <w:rFonts w:ascii="宋体" w:hAnsi="宋体" w:cs="宋体"/>
                <w:kern w:val="0"/>
                <w:sz w:val="18"/>
                <w:szCs w:val="18"/>
              </w:rPr>
            </w:pPr>
          </w:p>
        </w:tc>
        <w:tc>
          <w:tcPr>
            <w:tcW w:w="8132" w:type="dxa"/>
            <w:gridSpan w:val="3"/>
            <w:shd w:val="clear" w:color="auto" w:fill="FFFFFF"/>
            <w:vAlign w:val="center"/>
          </w:tcPr>
          <w:p>
            <w:pPr>
              <w:rPr>
                <w:b/>
                <w:sz w:val="18"/>
                <w:szCs w:val="18"/>
              </w:rPr>
            </w:pPr>
            <w:r>
              <w:rPr>
                <w:b/>
                <w:sz w:val="18"/>
                <w:szCs w:val="18"/>
              </w:rPr>
              <w:t>系统部署</w:t>
            </w:r>
          </w:p>
          <w:p>
            <w:pPr>
              <w:rPr>
                <w:sz w:val="18"/>
                <w:szCs w:val="18"/>
              </w:rPr>
            </w:pPr>
            <w:r>
              <w:rPr>
                <w:rFonts w:hint="eastAsia"/>
                <w:sz w:val="18"/>
                <w:szCs w:val="18"/>
              </w:rPr>
              <w:t>1、</w:t>
            </w:r>
            <w:r>
              <w:rPr>
                <w:rFonts w:hint="eastAsia" w:ascii="宋体" w:hAnsi="宋体" w:cs="宋体"/>
                <w:kern w:val="0"/>
                <w:sz w:val="18"/>
                <w:szCs w:val="18"/>
              </w:rPr>
              <w:t>★</w:t>
            </w:r>
            <w:r>
              <w:rPr>
                <w:rFonts w:hint="eastAsia"/>
                <w:sz w:val="18"/>
                <w:szCs w:val="18"/>
              </w:rPr>
              <w:t>分布式部署，要求能够部署在远程网络中进行长期实时分析，通过专用的</w:t>
            </w:r>
          </w:p>
          <w:p>
            <w:pPr>
              <w:rPr>
                <w:sz w:val="18"/>
                <w:szCs w:val="18"/>
              </w:rPr>
            </w:pPr>
            <w:r>
              <w:rPr>
                <w:rFonts w:hint="eastAsia"/>
                <w:sz w:val="18"/>
                <w:szCs w:val="18"/>
              </w:rPr>
              <w:t>2、</w:t>
            </w:r>
            <w:r>
              <w:rPr>
                <w:rFonts w:hint="eastAsia" w:ascii="宋体" w:hAnsi="宋体" w:cs="宋体"/>
                <w:kern w:val="0"/>
                <w:sz w:val="18"/>
                <w:szCs w:val="18"/>
              </w:rPr>
              <w:t>★</w:t>
            </w:r>
            <w:r>
              <w:rPr>
                <w:rFonts w:hint="eastAsia"/>
                <w:sz w:val="18"/>
                <w:szCs w:val="18"/>
              </w:rPr>
              <w:t>控制台软件通过网络进行远程分析。</w:t>
            </w:r>
          </w:p>
          <w:p>
            <w:pPr>
              <w:rPr>
                <w:rFonts w:ascii="宋体" w:hAnsi="宋体" w:cs="黑体"/>
                <w:bCs/>
                <w:kern w:val="0"/>
                <w:sz w:val="18"/>
                <w:szCs w:val="18"/>
              </w:rPr>
            </w:pPr>
            <w:r>
              <w:rPr>
                <w:rFonts w:hint="eastAsia" w:ascii="宋体" w:hAnsi="宋体" w:cs="黑体"/>
                <w:bCs/>
                <w:kern w:val="0"/>
                <w:sz w:val="18"/>
                <w:szCs w:val="18"/>
              </w:rPr>
              <w:t>3、要求能支持流量镜像、分路器等方式部署。</w:t>
            </w:r>
          </w:p>
          <w:p>
            <w:pPr>
              <w:ind w:left="360" w:hanging="360" w:hangingChars="200"/>
              <w:rPr>
                <w:rFonts w:ascii="宋体" w:hAnsi="宋体" w:cs="黑体"/>
                <w:bCs/>
                <w:kern w:val="0"/>
                <w:sz w:val="18"/>
                <w:szCs w:val="18"/>
              </w:rPr>
            </w:pPr>
            <w:r>
              <w:rPr>
                <w:rFonts w:ascii="宋体" w:hAnsi="宋体" w:cs="黑体"/>
                <w:bCs/>
                <w:kern w:val="0"/>
                <w:sz w:val="18"/>
                <w:szCs w:val="18"/>
              </w:rPr>
              <w:t>4</w:t>
            </w:r>
            <w:r>
              <w:rPr>
                <w:rFonts w:hint="eastAsia" w:ascii="宋体" w:hAnsi="宋体" w:cs="黑体"/>
                <w:bCs/>
                <w:kern w:val="0"/>
                <w:sz w:val="18"/>
                <w:szCs w:val="18"/>
              </w:rPr>
              <w:t>、</w:t>
            </w:r>
            <w:r>
              <w:rPr>
                <w:rFonts w:hint="eastAsia" w:ascii="宋体" w:hAnsi="宋体" w:cs="宋体"/>
                <w:kern w:val="0"/>
                <w:sz w:val="18"/>
                <w:szCs w:val="18"/>
              </w:rPr>
              <w:t>★</w:t>
            </w:r>
            <w:r>
              <w:rPr>
                <w:rFonts w:hint="eastAsia" w:ascii="宋体" w:hAnsi="宋体" w:cs="黑体"/>
                <w:bCs/>
                <w:kern w:val="0"/>
                <w:sz w:val="18"/>
                <w:szCs w:val="18"/>
              </w:rPr>
              <w:t>在采用镜像方式进行部署时，能够通过设定本地网络，区分内部和外部IP地址，并分别统计上行和下行流量。</w:t>
            </w:r>
          </w:p>
          <w:p>
            <w:pPr>
              <w:rPr>
                <w:rFonts w:ascii="宋体" w:hAnsi="宋体" w:cs="黑体"/>
                <w:bCs/>
                <w:kern w:val="0"/>
                <w:sz w:val="18"/>
                <w:szCs w:val="18"/>
              </w:rPr>
            </w:pPr>
            <w:r>
              <w:rPr>
                <w:rFonts w:ascii="宋体" w:hAnsi="宋体" w:cs="黑体"/>
                <w:bCs/>
                <w:kern w:val="0"/>
                <w:sz w:val="18"/>
                <w:szCs w:val="18"/>
              </w:rPr>
              <w:t>5</w:t>
            </w:r>
            <w:r>
              <w:rPr>
                <w:rFonts w:hint="eastAsia" w:ascii="宋体" w:hAnsi="宋体" w:cs="黑体"/>
                <w:bCs/>
                <w:kern w:val="0"/>
                <w:sz w:val="18"/>
                <w:szCs w:val="18"/>
              </w:rPr>
              <w:t>、能够实现链路聚合功能，能将多网卡的流量聚合捕获分析。</w:t>
            </w:r>
          </w:p>
          <w:p>
            <w:pPr>
              <w:rPr>
                <w:rFonts w:ascii="宋体" w:hAnsi="宋体" w:cs="黑体"/>
                <w:bCs/>
                <w:kern w:val="0"/>
                <w:sz w:val="18"/>
                <w:szCs w:val="18"/>
              </w:rPr>
            </w:pPr>
            <w:r>
              <w:rPr>
                <w:rFonts w:ascii="宋体" w:hAnsi="宋体" w:cs="黑体"/>
                <w:bCs/>
                <w:kern w:val="0"/>
                <w:sz w:val="18"/>
                <w:szCs w:val="18"/>
              </w:rPr>
              <w:t>6</w:t>
            </w:r>
            <w:r>
              <w:rPr>
                <w:rFonts w:hint="eastAsia" w:ascii="宋体" w:hAnsi="宋体" w:cs="黑体"/>
                <w:bCs/>
                <w:kern w:val="0"/>
                <w:sz w:val="18"/>
                <w:szCs w:val="18"/>
              </w:rPr>
              <w:t>、支持多任务分析，能够针对某网络接口支持多个捕获和分析任务同时进行分析。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63" w:type="dxa"/>
            <w:vMerge w:val="continue"/>
            <w:shd w:val="clear" w:color="auto" w:fill="auto"/>
            <w:vAlign w:val="center"/>
          </w:tcPr>
          <w:p>
            <w:pPr>
              <w:widowControl/>
              <w:spacing w:line="240" w:lineRule="exact"/>
              <w:rPr>
                <w:rFonts w:ascii="宋体" w:hAnsi="宋体" w:cs="宋体"/>
                <w:kern w:val="0"/>
                <w:sz w:val="18"/>
                <w:szCs w:val="18"/>
              </w:rPr>
            </w:pPr>
          </w:p>
        </w:tc>
        <w:tc>
          <w:tcPr>
            <w:tcW w:w="1080" w:type="dxa"/>
            <w:gridSpan w:val="2"/>
            <w:vMerge w:val="continue"/>
            <w:shd w:val="clear" w:color="auto" w:fill="auto"/>
            <w:vAlign w:val="center"/>
          </w:tcPr>
          <w:p>
            <w:pPr>
              <w:widowControl/>
              <w:spacing w:line="240" w:lineRule="exact"/>
              <w:rPr>
                <w:rFonts w:ascii="宋体" w:hAnsi="宋体" w:cs="宋体"/>
                <w:kern w:val="0"/>
                <w:sz w:val="18"/>
                <w:szCs w:val="18"/>
              </w:rPr>
            </w:pPr>
          </w:p>
        </w:tc>
        <w:tc>
          <w:tcPr>
            <w:tcW w:w="8132" w:type="dxa"/>
            <w:gridSpan w:val="3"/>
            <w:shd w:val="clear" w:color="auto" w:fill="FFFFFF"/>
            <w:vAlign w:val="center"/>
          </w:tcPr>
          <w:p>
            <w:pPr>
              <w:rPr>
                <w:b/>
                <w:sz w:val="18"/>
                <w:szCs w:val="18"/>
              </w:rPr>
            </w:pPr>
            <w:r>
              <w:rPr>
                <w:rFonts w:hint="eastAsia"/>
                <w:b/>
                <w:sz w:val="18"/>
                <w:szCs w:val="18"/>
              </w:rPr>
              <w:t>集中管理系统</w:t>
            </w:r>
          </w:p>
          <w:p>
            <w:pPr>
              <w:rPr>
                <w:sz w:val="18"/>
                <w:szCs w:val="18"/>
              </w:rPr>
            </w:pPr>
            <w:r>
              <w:rPr>
                <w:rFonts w:hint="eastAsia"/>
                <w:sz w:val="18"/>
                <w:szCs w:val="18"/>
              </w:rPr>
              <w:t>1、基于Web的集中管理，能够集中管理所有分布式网络流量监测分析系统，收集监测结果数据。</w:t>
            </w:r>
          </w:p>
          <w:p>
            <w:pPr>
              <w:rPr>
                <w:sz w:val="18"/>
                <w:szCs w:val="18"/>
              </w:rPr>
            </w:pPr>
            <w:r>
              <w:rPr>
                <w:rFonts w:hint="eastAsia"/>
                <w:sz w:val="18"/>
                <w:szCs w:val="18"/>
              </w:rPr>
              <w:t>2、集中用户管理，添加，配置用户权限，实现用户的权限管理。</w:t>
            </w:r>
          </w:p>
          <w:p>
            <w:pPr>
              <w:rPr>
                <w:sz w:val="18"/>
                <w:szCs w:val="18"/>
              </w:rPr>
            </w:pPr>
            <w:r>
              <w:rPr>
                <w:sz w:val="18"/>
                <w:szCs w:val="18"/>
              </w:rPr>
              <w:t>3</w:t>
            </w:r>
            <w:r>
              <w:rPr>
                <w:rFonts w:hint="eastAsia"/>
                <w:sz w:val="18"/>
                <w:szCs w:val="18"/>
              </w:rPr>
              <w:t>、集中的监测数据呈现，图形化警报数据呈现，警报日志呈现。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应用定义</w:t>
            </w:r>
          </w:p>
          <w:p>
            <w:pPr>
              <w:rPr>
                <w:sz w:val="18"/>
                <w:szCs w:val="18"/>
              </w:rPr>
            </w:pPr>
            <w:r>
              <w:rPr>
                <w:sz w:val="18"/>
                <w:szCs w:val="18"/>
              </w:rPr>
              <w:t>1</w:t>
            </w:r>
            <w:r>
              <w:rPr>
                <w:rFonts w:hint="eastAsia"/>
                <w:sz w:val="18"/>
                <w:szCs w:val="18"/>
              </w:rPr>
              <w:t>、能够灵活的自定义应用，针对自定义的应用进行流量监测分析。</w:t>
            </w:r>
          </w:p>
          <w:p>
            <w:pPr>
              <w:rPr>
                <w:sz w:val="18"/>
                <w:szCs w:val="18"/>
              </w:rPr>
            </w:pPr>
            <w:r>
              <w:rPr>
                <w:rFonts w:hint="eastAsia"/>
                <w:sz w:val="18"/>
                <w:szCs w:val="18"/>
              </w:rPr>
              <w:t>2、可根据TCP/UDP端口或端口范围、端口组自定义应用。</w:t>
            </w:r>
          </w:p>
          <w:p>
            <w:pPr>
              <w:rPr>
                <w:sz w:val="18"/>
                <w:szCs w:val="18"/>
              </w:rPr>
            </w:pPr>
            <w:r>
              <w:rPr>
                <w:rFonts w:hint="eastAsia"/>
                <w:sz w:val="18"/>
                <w:szCs w:val="18"/>
              </w:rPr>
              <w:t>3、可根据IP地址、地址组、地址范围自定义应用。</w:t>
            </w:r>
          </w:p>
          <w:p>
            <w:pPr>
              <w:rPr>
                <w:sz w:val="18"/>
                <w:szCs w:val="18"/>
              </w:rPr>
            </w:pPr>
            <w:r>
              <w:rPr>
                <w:rFonts w:hint="eastAsia"/>
                <w:sz w:val="18"/>
                <w:szCs w:val="18"/>
              </w:rPr>
              <w:t>4、可根据IP地址+端口自定义应用。</w:t>
            </w:r>
          </w:p>
          <w:p>
            <w:pPr>
              <w:rPr>
                <w:sz w:val="18"/>
                <w:szCs w:val="18"/>
              </w:rPr>
            </w:pPr>
            <w:r>
              <w:rPr>
                <w:sz w:val="18"/>
                <w:szCs w:val="18"/>
              </w:rPr>
              <w:t>5</w:t>
            </w:r>
            <w:r>
              <w:rPr>
                <w:rFonts w:hint="eastAsia"/>
                <w:sz w:val="18"/>
                <w:szCs w:val="18"/>
              </w:rPr>
              <w:t>、可根据网段、网段组自定义应用。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数据捕获保存</w:t>
            </w:r>
          </w:p>
          <w:p>
            <w:pPr>
              <w:rPr>
                <w:sz w:val="18"/>
                <w:szCs w:val="18"/>
              </w:rPr>
            </w:pPr>
            <w:r>
              <w:rPr>
                <w:sz w:val="18"/>
                <w:szCs w:val="18"/>
              </w:rPr>
              <w:t>1</w:t>
            </w:r>
            <w:r>
              <w:rPr>
                <w:rFonts w:hint="eastAsia"/>
                <w:sz w:val="18"/>
                <w:szCs w:val="18"/>
              </w:rPr>
              <w:t>、能够实时捕获并保存网络中的通讯数据包。</w:t>
            </w:r>
          </w:p>
          <w:p>
            <w:pPr>
              <w:rPr>
                <w:sz w:val="18"/>
                <w:szCs w:val="18"/>
              </w:rPr>
            </w:pPr>
            <w:r>
              <w:rPr>
                <w:sz w:val="18"/>
                <w:szCs w:val="18"/>
              </w:rPr>
              <w:t>2</w:t>
            </w:r>
            <w:r>
              <w:rPr>
                <w:rFonts w:hint="eastAsia"/>
                <w:sz w:val="18"/>
                <w:szCs w:val="18"/>
              </w:rPr>
              <w:t>、网络中的通讯数据包能够长期保存，设备的存储容量不低于2Tbytes。</w:t>
            </w:r>
          </w:p>
          <w:p>
            <w:pPr>
              <w:rPr>
                <w:sz w:val="18"/>
                <w:szCs w:val="18"/>
              </w:rPr>
            </w:pPr>
            <w:r>
              <w:rPr>
                <w:rFonts w:hint="eastAsia"/>
                <w:sz w:val="18"/>
                <w:szCs w:val="18"/>
              </w:rPr>
              <w:t>3、数据包以专用格式存储，只能采用专用的控制台软件读取和导出，不能用其他工具读取并导出。</w:t>
            </w:r>
          </w:p>
          <w:p>
            <w:pPr>
              <w:rPr>
                <w:sz w:val="18"/>
                <w:szCs w:val="18"/>
              </w:rPr>
            </w:pPr>
            <w:r>
              <w:rPr>
                <w:rFonts w:hint="eastAsia"/>
                <w:sz w:val="18"/>
                <w:szCs w:val="18"/>
              </w:rPr>
              <w:t>4、数据包保存的性能要求能够实现800Mbps线速保存能力，数据包处理性能不低于200,000pps</w:t>
            </w:r>
          </w:p>
          <w:p>
            <w:pPr>
              <w:rPr>
                <w:sz w:val="18"/>
                <w:szCs w:val="18"/>
              </w:rPr>
            </w:pPr>
            <w:r>
              <w:rPr>
                <w:rFonts w:hint="eastAsia"/>
                <w:sz w:val="18"/>
                <w:szCs w:val="18"/>
              </w:rPr>
              <w:t>5、能实时长期保存网络中的所有的网络总体流量统计数据包括比特率（上下行）、数据包率（上下行）、网络中TCP SYN数量、TCP SYN ACK数量、TCP SYN RST数量，总体流量统计数据要求能保存至少1个月。</w:t>
            </w:r>
          </w:p>
          <w:p>
            <w:pPr>
              <w:rPr>
                <w:sz w:val="18"/>
                <w:szCs w:val="18"/>
              </w:rPr>
            </w:pPr>
            <w:r>
              <w:rPr>
                <w:sz w:val="18"/>
                <w:szCs w:val="18"/>
              </w:rPr>
              <w:t>6</w:t>
            </w:r>
            <w:r>
              <w:rPr>
                <w:rFonts w:hint="eastAsia"/>
                <w:sz w:val="18"/>
                <w:szCs w:val="18"/>
              </w:rPr>
              <w:t>、能实时分析并长期保存网络中的所有数据流统计数据，包括详细的IP会话流、TCP会话流、UDP会话流数据，数据精度到秒级，数据流统计数据要求能保存至少1个月。</w:t>
            </w:r>
          </w:p>
          <w:p>
            <w:pPr>
              <w:rPr>
                <w:sz w:val="18"/>
                <w:szCs w:val="18"/>
              </w:rPr>
            </w:pPr>
            <w:r>
              <w:rPr>
                <w:rFonts w:hint="eastAsia"/>
                <w:sz w:val="18"/>
                <w:szCs w:val="18"/>
              </w:rPr>
              <w:t>7、捕获数据包时能够根据条件过滤捕获，包括根据IP地址、地址段、通讯协议、TCP/UDP端口等条件过滤捕获。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数据检索分析要求</w:t>
            </w:r>
          </w:p>
          <w:p>
            <w:pPr>
              <w:rPr>
                <w:sz w:val="18"/>
                <w:szCs w:val="18"/>
              </w:rPr>
            </w:pPr>
            <w:r>
              <w:rPr>
                <w:sz w:val="18"/>
                <w:szCs w:val="18"/>
              </w:rPr>
              <w:t>1</w:t>
            </w:r>
            <w:r>
              <w:rPr>
                <w:rFonts w:hint="eastAsia"/>
                <w:sz w:val="18"/>
                <w:szCs w:val="18"/>
              </w:rPr>
              <w:t>、能够方便的检索捕获的任意时间范围的网络通讯数据。</w:t>
            </w:r>
          </w:p>
          <w:p>
            <w:pPr>
              <w:rPr>
                <w:sz w:val="18"/>
                <w:szCs w:val="18"/>
              </w:rPr>
            </w:pPr>
            <w:r>
              <w:rPr>
                <w:sz w:val="18"/>
                <w:szCs w:val="18"/>
              </w:rPr>
              <w:t>2</w:t>
            </w:r>
            <w:r>
              <w:rPr>
                <w:rFonts w:hint="eastAsia"/>
                <w:sz w:val="18"/>
                <w:szCs w:val="18"/>
              </w:rPr>
              <w:t>、能够检索捕获的流量的趋势，包括总体流量的趋势，可区分网络的上行流量和下行流量；数据包趋势，可区分网络的上行数据包和下行数据包；TCP参数趋势，包括TCP同步数据包个数、TCP同步确认数据包个数、TCP同步重置数据包个数；利用率趋势，可区分网络的上行利用率和下行利用率。</w:t>
            </w:r>
          </w:p>
          <w:p>
            <w:pPr>
              <w:rPr>
                <w:sz w:val="18"/>
                <w:szCs w:val="18"/>
              </w:rPr>
            </w:pPr>
            <w:r>
              <w:rPr>
                <w:rFonts w:hint="eastAsia"/>
                <w:sz w:val="18"/>
                <w:szCs w:val="18"/>
              </w:rPr>
              <w:t>3、能够检索指定时间范围的所有应用的通讯流量信息，包括接收发送流量，接收发送数据包等，用户可以根据自己的需求进行应用定义，定义条件包括IP地址、TCP/UDP端口、IP地址组和地址段、端口组或范围，以及多种条件的组合。</w:t>
            </w:r>
          </w:p>
          <w:p>
            <w:pPr>
              <w:rPr>
                <w:sz w:val="18"/>
                <w:szCs w:val="18"/>
              </w:rPr>
            </w:pPr>
            <w:r>
              <w:rPr>
                <w:rFonts w:hint="eastAsia"/>
                <w:sz w:val="18"/>
                <w:szCs w:val="18"/>
              </w:rPr>
              <w:t>4、能够检索指定时间范围的所有IP主机的通讯流量信息，包括接收发送流量，接收发送数据包，比特率，数据包率，tcp连接请求数量，tcp同步响应数量，tcp同步重置数量，数据包的发收比等流量参数，并能够根据参数的大小进行排序。</w:t>
            </w:r>
          </w:p>
          <w:p>
            <w:pPr>
              <w:rPr>
                <w:sz w:val="18"/>
                <w:szCs w:val="18"/>
              </w:rPr>
            </w:pPr>
            <w:r>
              <w:rPr>
                <w:sz w:val="18"/>
                <w:szCs w:val="18"/>
              </w:rPr>
              <w:t>5</w:t>
            </w:r>
            <w:r>
              <w:rPr>
                <w:rFonts w:hint="eastAsia"/>
                <w:sz w:val="18"/>
                <w:szCs w:val="18"/>
              </w:rPr>
              <w:t>、能够显示Internet IP的区域归属，包括IP地址所属的国家和地区，可以根据国家和地区进行IP地址检索分析。</w:t>
            </w:r>
          </w:p>
          <w:p>
            <w:pPr>
              <w:rPr>
                <w:sz w:val="18"/>
                <w:szCs w:val="18"/>
              </w:rPr>
            </w:pPr>
            <w:r>
              <w:rPr>
                <w:sz w:val="18"/>
                <w:szCs w:val="18"/>
              </w:rPr>
              <w:t>6</w:t>
            </w:r>
            <w:r>
              <w:rPr>
                <w:rFonts w:hint="eastAsia"/>
                <w:sz w:val="18"/>
                <w:szCs w:val="18"/>
              </w:rPr>
              <w:t>、能够检索指定时间范围的所有IP主机间的通讯流量信息，包括接收发送流量，接收发送数据包等。</w:t>
            </w:r>
          </w:p>
          <w:p>
            <w:pPr>
              <w:rPr>
                <w:sz w:val="18"/>
                <w:szCs w:val="18"/>
              </w:rPr>
            </w:pPr>
            <w:r>
              <w:rPr>
                <w:sz w:val="18"/>
                <w:szCs w:val="18"/>
              </w:rPr>
              <w:t>7</w:t>
            </w:r>
            <w:r>
              <w:rPr>
                <w:rFonts w:hint="eastAsia"/>
                <w:sz w:val="18"/>
                <w:szCs w:val="18"/>
              </w:rPr>
              <w:t>、能够检索指定时间范围的所有TCP会话和UDP会话的通讯流量信息，包括接收发送流量，接收发送数据包等。</w:t>
            </w:r>
          </w:p>
          <w:p>
            <w:pPr>
              <w:rPr>
                <w:sz w:val="18"/>
                <w:szCs w:val="18"/>
              </w:rPr>
            </w:pPr>
            <w:r>
              <w:rPr>
                <w:sz w:val="18"/>
                <w:szCs w:val="18"/>
              </w:rPr>
              <w:t>8</w:t>
            </w:r>
            <w:r>
              <w:rPr>
                <w:rFonts w:hint="eastAsia"/>
                <w:sz w:val="18"/>
                <w:szCs w:val="18"/>
              </w:rPr>
              <w:t>、能够针对应用进行进一步的数据挖掘，分析某个应用中IP主机流量、IP会话、TCP会话和UDP会话详细列表。</w:t>
            </w:r>
          </w:p>
          <w:p>
            <w:pPr>
              <w:rPr>
                <w:rFonts w:ascii="宋体" w:hAnsi="宋体" w:cs="黑体"/>
                <w:bCs/>
                <w:kern w:val="0"/>
                <w:sz w:val="18"/>
                <w:szCs w:val="18"/>
              </w:rPr>
            </w:pPr>
            <w:r>
              <w:rPr>
                <w:sz w:val="18"/>
                <w:szCs w:val="18"/>
              </w:rPr>
              <w:t>9</w:t>
            </w:r>
            <w:r>
              <w:rPr>
                <w:rFonts w:hint="eastAsia"/>
                <w:sz w:val="18"/>
                <w:szCs w:val="18"/>
              </w:rPr>
              <w:t>、能够针对IP主机进行进一步数据挖掘分析，分析某个IP主机的应用、IP会话、TCP会话和UDP会话。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流量监测报警功能</w:t>
            </w:r>
          </w:p>
          <w:p>
            <w:pPr>
              <w:rPr>
                <w:sz w:val="18"/>
                <w:szCs w:val="18"/>
              </w:rPr>
            </w:pPr>
            <w:r>
              <w:rPr>
                <w:rFonts w:ascii="宋体" w:hAnsi="宋体" w:cs="黑体"/>
                <w:bCs/>
                <w:kern w:val="0"/>
                <w:sz w:val="18"/>
                <w:szCs w:val="18"/>
              </w:rPr>
              <w:t>1</w:t>
            </w:r>
            <w:r>
              <w:rPr>
                <w:rFonts w:hint="eastAsia" w:ascii="宋体" w:hAnsi="宋体" w:cs="黑体"/>
                <w:bCs/>
                <w:kern w:val="0"/>
                <w:sz w:val="18"/>
                <w:szCs w:val="18"/>
              </w:rPr>
              <w:t>、</w:t>
            </w:r>
            <w:r>
              <w:rPr>
                <w:rFonts w:hint="eastAsia"/>
                <w:sz w:val="18"/>
                <w:szCs w:val="18"/>
              </w:rPr>
              <w:t>能够对网络中的总体流量异常进行监控和报警。可根据链路的上下行bps、pps、上下行pps、利用率、上下行利用率、每秒tcp syn个数、每秒tcp syn ack个数设定阀值产生警报。警报的触发时间间隔可以为1秒，5秒，15秒，60秒。</w:t>
            </w:r>
          </w:p>
          <w:p>
            <w:pPr>
              <w:rPr>
                <w:sz w:val="18"/>
                <w:szCs w:val="18"/>
              </w:rPr>
            </w:pPr>
            <w:r>
              <w:rPr>
                <w:rFonts w:hint="eastAsia"/>
                <w:sz w:val="18"/>
                <w:szCs w:val="18"/>
              </w:rPr>
              <w:t>2、能够对网络中关键主机的流量参数进行监测和报警。</w:t>
            </w:r>
          </w:p>
          <w:p>
            <w:pPr>
              <w:rPr>
                <w:sz w:val="18"/>
                <w:szCs w:val="18"/>
              </w:rPr>
            </w:pPr>
            <w:r>
              <w:rPr>
                <w:rFonts w:hint="eastAsia"/>
                <w:sz w:val="18"/>
                <w:szCs w:val="18"/>
              </w:rPr>
              <w:t>3、警报流量参数：能够针对关键主机或全局主机的每秒字节数、收发每秒字节数、数据包数、收发每秒数据包数、平均包长、收发平均包长、数据包发收比、每秒发送tcp syn包数、每秒接收tcp syn包数、每秒发送tcp syn ack包数、每秒接收tcp syn ack数据包数等参数设定阀值，产生警报。</w:t>
            </w:r>
          </w:p>
          <w:p>
            <w:pPr>
              <w:rPr>
                <w:sz w:val="18"/>
                <w:szCs w:val="18"/>
              </w:rPr>
            </w:pPr>
            <w:r>
              <w:rPr>
                <w:rFonts w:hint="eastAsia"/>
                <w:sz w:val="18"/>
                <w:szCs w:val="18"/>
              </w:rPr>
              <w:t>警报条件：能设定&gt;=条件、&lt;条件，多种参数条件的与或关系时间警报。</w:t>
            </w:r>
          </w:p>
          <w:p>
            <w:pPr>
              <w:rPr>
                <w:sz w:val="18"/>
                <w:szCs w:val="18"/>
              </w:rPr>
            </w:pPr>
            <w:r>
              <w:rPr>
                <w:rFonts w:hint="eastAsia"/>
                <w:sz w:val="18"/>
                <w:szCs w:val="18"/>
              </w:rPr>
              <w:t>4、能够对网络中关键应用的流量参数进行监测和报警。</w:t>
            </w:r>
          </w:p>
          <w:p>
            <w:pPr>
              <w:rPr>
                <w:sz w:val="18"/>
                <w:szCs w:val="18"/>
              </w:rPr>
            </w:pPr>
            <w:r>
              <w:rPr>
                <w:rFonts w:hint="eastAsia"/>
                <w:sz w:val="18"/>
                <w:szCs w:val="18"/>
              </w:rPr>
              <w:t>警报流量参数：能够针对关键应用或全局应用的每秒字节数、每秒数据包数、平均包长等参数设定阀值，产生警报。</w:t>
            </w:r>
          </w:p>
          <w:p>
            <w:pPr>
              <w:rPr>
                <w:sz w:val="18"/>
                <w:szCs w:val="18"/>
              </w:rPr>
            </w:pPr>
            <w:r>
              <w:rPr>
                <w:sz w:val="18"/>
                <w:szCs w:val="18"/>
              </w:rPr>
              <w:t>5</w:t>
            </w:r>
            <w:r>
              <w:rPr>
                <w:rFonts w:hint="eastAsia"/>
                <w:sz w:val="18"/>
                <w:szCs w:val="18"/>
              </w:rPr>
              <w:t>、警报条件：能设定&gt;=条件、&lt;条件，多种参数条件的与或关系时间警报。</w:t>
            </w:r>
          </w:p>
          <w:p>
            <w:pPr>
              <w:rPr>
                <w:sz w:val="18"/>
                <w:szCs w:val="18"/>
              </w:rPr>
            </w:pPr>
            <w:r>
              <w:rPr>
                <w:rFonts w:hint="eastAsia"/>
                <w:sz w:val="18"/>
                <w:szCs w:val="18"/>
              </w:rPr>
              <w:t>触发时间间隔：1秒，5秒，15秒，60秒。</w:t>
            </w:r>
          </w:p>
          <w:p>
            <w:pPr>
              <w:rPr>
                <w:sz w:val="18"/>
                <w:szCs w:val="18"/>
              </w:rPr>
            </w:pPr>
            <w:r>
              <w:rPr>
                <w:rFonts w:hint="eastAsia"/>
                <w:sz w:val="18"/>
                <w:szCs w:val="18"/>
              </w:rPr>
              <w:t>6、能够对可疑域名解析行为进行监测产生警报，可以定义域名列表、域名地址列表进行监测，发现可疑的域名解析，产生警报。</w:t>
            </w:r>
          </w:p>
          <w:p>
            <w:pPr>
              <w:rPr>
                <w:sz w:val="18"/>
                <w:szCs w:val="18"/>
              </w:rPr>
            </w:pPr>
            <w:r>
              <w:rPr>
                <w:rFonts w:hint="eastAsia"/>
                <w:sz w:val="18"/>
                <w:szCs w:val="18"/>
              </w:rPr>
              <w:t>7、能够对电子邮件内容进行监测，定义敏感字参数，监测邮件内容中是否包含敏感信息。</w:t>
            </w:r>
          </w:p>
          <w:p>
            <w:pPr>
              <w:rPr>
                <w:sz w:val="18"/>
                <w:szCs w:val="18"/>
              </w:rPr>
            </w:pPr>
            <w:r>
              <w:rPr>
                <w:sz w:val="18"/>
                <w:szCs w:val="18"/>
              </w:rPr>
              <w:t>8</w:t>
            </w:r>
            <w:r>
              <w:rPr>
                <w:rFonts w:hint="eastAsia"/>
                <w:sz w:val="18"/>
                <w:szCs w:val="18"/>
              </w:rPr>
              <w:t>、能够对HTTP内容进行监测，定义敏感字参数，监测HTTP内容中的敏感信息。</w:t>
            </w:r>
          </w:p>
          <w:p>
            <w:pPr>
              <w:rPr>
                <w:sz w:val="18"/>
                <w:szCs w:val="18"/>
              </w:rPr>
            </w:pPr>
            <w:r>
              <w:rPr>
                <w:sz w:val="18"/>
                <w:szCs w:val="18"/>
              </w:rPr>
              <w:t>9</w:t>
            </w:r>
            <w:r>
              <w:rPr>
                <w:rFonts w:hint="eastAsia"/>
                <w:sz w:val="18"/>
                <w:szCs w:val="18"/>
              </w:rPr>
              <w:t>、能够对TCP/UDP数据流进行监测，通过定义特征值，监测异常的TCP/UDP通讯并产生警报，特征值可以包括十六进制和ASCII的特征定义。可定义多种特征的与或关系来监测异常数据流。</w:t>
            </w:r>
          </w:p>
          <w:p>
            <w:pPr>
              <w:rPr>
                <w:sz w:val="18"/>
                <w:szCs w:val="18"/>
              </w:rPr>
            </w:pPr>
            <w:r>
              <w:rPr>
                <w:sz w:val="18"/>
                <w:szCs w:val="18"/>
              </w:rPr>
              <w:t>10</w:t>
            </w:r>
            <w:r>
              <w:rPr>
                <w:rFonts w:hint="eastAsia"/>
                <w:sz w:val="18"/>
                <w:szCs w:val="18"/>
              </w:rPr>
              <w:t>、能够通过邮件和Syslog将报警信息发给指定接收者。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数据分析要求</w:t>
            </w:r>
          </w:p>
          <w:p>
            <w:pPr>
              <w:rPr>
                <w:sz w:val="18"/>
                <w:szCs w:val="18"/>
              </w:rPr>
            </w:pPr>
            <w:r>
              <w:rPr>
                <w:rFonts w:hint="eastAsia"/>
                <w:sz w:val="18"/>
                <w:szCs w:val="18"/>
              </w:rPr>
              <w:t>1、能够对检索到的网络通讯数据包进行深入分析。</w:t>
            </w:r>
          </w:p>
          <w:p>
            <w:pPr>
              <w:rPr>
                <w:sz w:val="18"/>
                <w:szCs w:val="18"/>
              </w:rPr>
            </w:pPr>
            <w:r>
              <w:rPr>
                <w:sz w:val="18"/>
                <w:szCs w:val="18"/>
              </w:rPr>
              <w:t>2</w:t>
            </w:r>
            <w:r>
              <w:rPr>
                <w:rFonts w:hint="eastAsia"/>
                <w:sz w:val="18"/>
                <w:szCs w:val="18"/>
              </w:rPr>
              <w:t>、提供物理端点和IP端点以及IP会话分析视图。</w:t>
            </w:r>
          </w:p>
          <w:p>
            <w:pPr>
              <w:rPr>
                <w:sz w:val="18"/>
                <w:szCs w:val="18"/>
              </w:rPr>
            </w:pPr>
            <w:r>
              <w:rPr>
                <w:sz w:val="18"/>
                <w:szCs w:val="18"/>
              </w:rPr>
              <w:t>3</w:t>
            </w:r>
            <w:r>
              <w:rPr>
                <w:rFonts w:hint="eastAsia"/>
                <w:sz w:val="18"/>
                <w:szCs w:val="18"/>
              </w:rPr>
              <w:t>、提供针对IP端点的入出流量，bps、pps、总流量、总数据包数分析。</w:t>
            </w:r>
          </w:p>
          <w:p>
            <w:pPr>
              <w:rPr>
                <w:sz w:val="18"/>
                <w:szCs w:val="18"/>
              </w:rPr>
            </w:pPr>
            <w:r>
              <w:rPr>
                <w:sz w:val="18"/>
                <w:szCs w:val="18"/>
              </w:rPr>
              <w:t>4</w:t>
            </w:r>
            <w:r>
              <w:rPr>
                <w:rFonts w:hint="eastAsia"/>
                <w:sz w:val="18"/>
                <w:szCs w:val="18"/>
              </w:rPr>
              <w:t>、提供针对IP端点的IP会话数量、TCP连接数量的统计分析，并可以按大小顺序进行排序。</w:t>
            </w:r>
          </w:p>
          <w:p>
            <w:pPr>
              <w:rPr>
                <w:sz w:val="18"/>
                <w:szCs w:val="18"/>
              </w:rPr>
            </w:pPr>
            <w:r>
              <w:rPr>
                <w:rFonts w:hint="eastAsia"/>
                <w:sz w:val="18"/>
                <w:szCs w:val="18"/>
              </w:rPr>
              <w:t>5、提供针对IP端点的tcp同步包发送/接收数量、同步确认包发送/接收数量、TCP重置包发送/接收数量的统计，并可以按大小顺序进行排序。</w:t>
            </w:r>
          </w:p>
          <w:p>
            <w:pPr>
              <w:rPr>
                <w:sz w:val="18"/>
                <w:szCs w:val="18"/>
              </w:rPr>
            </w:pPr>
            <w:r>
              <w:rPr>
                <w:sz w:val="18"/>
                <w:szCs w:val="18"/>
              </w:rPr>
              <w:t>6</w:t>
            </w:r>
            <w:r>
              <w:rPr>
                <w:rFonts w:hint="eastAsia"/>
                <w:sz w:val="18"/>
                <w:szCs w:val="18"/>
              </w:rPr>
              <w:t>、提供针对IP端点的数据包发送/接收比的统计分析，提供针对IP端点的字节数发送/接收比的统计分析。</w:t>
            </w:r>
          </w:p>
          <w:p>
            <w:pPr>
              <w:rPr>
                <w:sz w:val="18"/>
                <w:szCs w:val="18"/>
              </w:rPr>
            </w:pPr>
            <w:r>
              <w:rPr>
                <w:sz w:val="18"/>
                <w:szCs w:val="18"/>
              </w:rPr>
              <w:t>7</w:t>
            </w:r>
            <w:r>
              <w:rPr>
                <w:rFonts w:hint="eastAsia"/>
                <w:sz w:val="18"/>
                <w:szCs w:val="18"/>
              </w:rPr>
              <w:t>、提供自动的IP端点分组功能，能将不同网段的IP端点按网段自动分组，同时能按Internet IP的地域归属进行自动分组，如美国、日本等。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TCP/UDP会话分析</w:t>
            </w:r>
          </w:p>
          <w:p>
            <w:pPr>
              <w:rPr>
                <w:sz w:val="18"/>
                <w:szCs w:val="18"/>
              </w:rPr>
            </w:pPr>
            <w:r>
              <w:rPr>
                <w:rFonts w:hint="eastAsia"/>
                <w:sz w:val="18"/>
                <w:szCs w:val="18"/>
              </w:rPr>
              <w:t>1、提供所有的tcp/udp会话列表，提供针对每个会话的数据包、字节数等统计参数。</w:t>
            </w:r>
          </w:p>
          <w:p>
            <w:pPr>
              <w:rPr>
                <w:sz w:val="18"/>
                <w:szCs w:val="18"/>
              </w:rPr>
            </w:pPr>
            <w:r>
              <w:rPr>
                <w:sz w:val="18"/>
                <w:szCs w:val="18"/>
              </w:rPr>
              <w:t>2</w:t>
            </w:r>
            <w:r>
              <w:rPr>
                <w:rFonts w:hint="eastAsia"/>
                <w:sz w:val="18"/>
                <w:szCs w:val="18"/>
              </w:rPr>
              <w:t>、提供针对TCP/UDP会话的流重组功能，将会话中的数据流重组显示。</w:t>
            </w:r>
          </w:p>
          <w:p>
            <w:pPr>
              <w:rPr>
                <w:sz w:val="18"/>
                <w:szCs w:val="18"/>
              </w:rPr>
            </w:pPr>
            <w:r>
              <w:rPr>
                <w:sz w:val="18"/>
                <w:szCs w:val="18"/>
              </w:rPr>
              <w:t>3</w:t>
            </w:r>
            <w:r>
              <w:rPr>
                <w:rFonts w:hint="eastAsia"/>
                <w:sz w:val="18"/>
                <w:szCs w:val="18"/>
              </w:rPr>
              <w:t>、能够对TCP会话中的详细应用数据传输过程进行深入分析，能够区分每一个应用交易处理请求和响应，对传输过程中的重传、重复的确认进行统计，对应用交易处理间隔响应进行分析。</w:t>
            </w:r>
          </w:p>
          <w:p>
            <w:pPr>
              <w:rPr>
                <w:b/>
                <w:sz w:val="18"/>
                <w:szCs w:val="18"/>
              </w:rPr>
            </w:pPr>
            <w:r>
              <w:rPr>
                <w:sz w:val="18"/>
                <w:szCs w:val="18"/>
              </w:rPr>
              <w:t>4</w:t>
            </w:r>
            <w:r>
              <w:rPr>
                <w:rFonts w:hint="eastAsia"/>
                <w:sz w:val="18"/>
                <w:szCs w:val="18"/>
              </w:rPr>
              <w:t>、提供针对TCP会话的时序图分析功能，能够图形化的显示TCP会话中的数据交互传输过程，能够图形化显示数据传输中的时间间隔。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安全分析要求</w:t>
            </w:r>
          </w:p>
          <w:p>
            <w:pPr>
              <w:rPr>
                <w:sz w:val="18"/>
                <w:szCs w:val="18"/>
              </w:rPr>
            </w:pPr>
            <w:r>
              <w:rPr>
                <w:rFonts w:hint="eastAsia"/>
                <w:sz w:val="18"/>
                <w:szCs w:val="18"/>
              </w:rPr>
              <w:t>1、提供ARP攻击分析视图，通过流量特征主动过滤疑似感染ARP病毒的主机列表，并在单独的分析视图中展现。</w:t>
            </w:r>
          </w:p>
          <w:p>
            <w:pPr>
              <w:rPr>
                <w:sz w:val="18"/>
                <w:szCs w:val="18"/>
              </w:rPr>
            </w:pPr>
            <w:r>
              <w:rPr>
                <w:sz w:val="18"/>
                <w:szCs w:val="18"/>
              </w:rPr>
              <w:t>2</w:t>
            </w:r>
            <w:r>
              <w:rPr>
                <w:rFonts w:hint="eastAsia"/>
                <w:sz w:val="18"/>
                <w:szCs w:val="18"/>
              </w:rPr>
              <w:t>、提供蠕虫病毒主机分析视图，自动判断存在感染蠕虫病毒的主机的网络行为特征并在单独的分析视图中展现。</w:t>
            </w:r>
          </w:p>
          <w:p>
            <w:pPr>
              <w:rPr>
                <w:sz w:val="18"/>
                <w:szCs w:val="18"/>
              </w:rPr>
            </w:pPr>
            <w:r>
              <w:rPr>
                <w:sz w:val="18"/>
                <w:szCs w:val="18"/>
              </w:rPr>
              <w:t>3</w:t>
            </w:r>
            <w:r>
              <w:rPr>
                <w:rFonts w:hint="eastAsia"/>
                <w:sz w:val="18"/>
                <w:szCs w:val="18"/>
              </w:rPr>
              <w:t>、支持自动判断存在DOS攻击或被攻击现象的主机的网络行为特征并在单独的分析视图中展现。</w:t>
            </w:r>
          </w:p>
          <w:p>
            <w:pPr>
              <w:rPr>
                <w:sz w:val="18"/>
                <w:szCs w:val="18"/>
              </w:rPr>
            </w:pPr>
            <w:r>
              <w:rPr>
                <w:sz w:val="18"/>
                <w:szCs w:val="18"/>
              </w:rPr>
              <w:t>4</w:t>
            </w:r>
            <w:r>
              <w:rPr>
                <w:rFonts w:hint="eastAsia"/>
                <w:sz w:val="18"/>
                <w:szCs w:val="18"/>
              </w:rPr>
              <w:t>、支持自动判断存在TCP端口扫描的主机的网络行为特征并在单独的分析视图中展现。</w:t>
            </w:r>
          </w:p>
          <w:p>
            <w:pPr>
              <w:rPr>
                <w:b/>
                <w:sz w:val="18"/>
                <w:szCs w:val="18"/>
              </w:rPr>
            </w:pPr>
            <w:r>
              <w:rPr>
                <w:sz w:val="18"/>
                <w:szCs w:val="18"/>
              </w:rPr>
              <w:t>5</w:t>
            </w:r>
            <w:r>
              <w:rPr>
                <w:rFonts w:hint="eastAsia"/>
                <w:sz w:val="18"/>
                <w:szCs w:val="18"/>
              </w:rPr>
              <w:t>、支持自动判断存在可疑的HTTP、POP3、SMTP会话的主机的网络行为特征并在单独的分析视图中展现。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应用日志</w:t>
            </w:r>
          </w:p>
          <w:p>
            <w:pPr>
              <w:rPr>
                <w:sz w:val="18"/>
                <w:szCs w:val="18"/>
              </w:rPr>
            </w:pPr>
            <w:r>
              <w:rPr>
                <w:rFonts w:hint="eastAsia"/>
                <w:sz w:val="18"/>
                <w:szCs w:val="18"/>
              </w:rPr>
              <w:t>1、提供对HTTP访问请求的日志记录功能，能记录所有的HTTP访问URL，并记录至日志文件中。</w:t>
            </w:r>
          </w:p>
          <w:p>
            <w:pPr>
              <w:rPr>
                <w:sz w:val="18"/>
                <w:szCs w:val="18"/>
              </w:rPr>
            </w:pPr>
            <w:r>
              <w:rPr>
                <w:sz w:val="18"/>
                <w:szCs w:val="18"/>
              </w:rPr>
              <w:t>2</w:t>
            </w:r>
            <w:r>
              <w:rPr>
                <w:rFonts w:hint="eastAsia"/>
                <w:sz w:val="18"/>
                <w:szCs w:val="18"/>
              </w:rPr>
              <w:t>、提供对DNS解析请求和响应的日志记录功能，能记录所有的DNS请求和响应日志，记录至日志文件。</w:t>
            </w:r>
          </w:p>
          <w:p>
            <w:pPr>
              <w:rPr>
                <w:sz w:val="18"/>
                <w:szCs w:val="18"/>
              </w:rPr>
            </w:pPr>
            <w:r>
              <w:rPr>
                <w:sz w:val="18"/>
                <w:szCs w:val="18"/>
              </w:rPr>
              <w:t>3</w:t>
            </w:r>
            <w:r>
              <w:rPr>
                <w:rFonts w:hint="eastAsia"/>
                <w:sz w:val="18"/>
                <w:szCs w:val="18"/>
              </w:rPr>
              <w:t>、提供对SMTP/POP3邮件发送接收的日志记录功能，能记录所有的邮件接收发送日志，并能还原保存相应的附件。</w:t>
            </w:r>
          </w:p>
          <w:p>
            <w:pPr>
              <w:rPr>
                <w:b/>
                <w:sz w:val="18"/>
                <w:szCs w:val="18"/>
              </w:rPr>
            </w:pPr>
            <w:r>
              <w:rPr>
                <w:sz w:val="18"/>
                <w:szCs w:val="18"/>
              </w:rPr>
              <w:t>4</w:t>
            </w:r>
            <w:r>
              <w:rPr>
                <w:rFonts w:hint="eastAsia"/>
                <w:sz w:val="18"/>
                <w:szCs w:val="18"/>
              </w:rPr>
              <w:t>、提供对MSN/Yahoo Messenger等即时通的通讯记录功能。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63" w:type="dxa"/>
            <w:vMerge w:val="continue"/>
            <w:vAlign w:val="center"/>
          </w:tcPr>
          <w:p>
            <w:pPr>
              <w:widowControl/>
              <w:spacing w:line="240" w:lineRule="exact"/>
              <w:rPr>
                <w:rFonts w:ascii="宋体" w:hAnsi="宋体" w:cs="宋体"/>
                <w:kern w:val="0"/>
                <w:sz w:val="18"/>
                <w:szCs w:val="18"/>
              </w:rPr>
            </w:pPr>
          </w:p>
        </w:tc>
        <w:tc>
          <w:tcPr>
            <w:tcW w:w="1080" w:type="dxa"/>
            <w:gridSpan w:val="2"/>
            <w:vMerge w:val="continue"/>
            <w:vAlign w:val="center"/>
          </w:tcPr>
          <w:p>
            <w:pPr>
              <w:widowControl/>
              <w:spacing w:line="240" w:lineRule="exact"/>
              <w:rPr>
                <w:rFonts w:ascii="宋体" w:hAnsi="宋体" w:cs="宋体"/>
                <w:kern w:val="0"/>
                <w:sz w:val="18"/>
                <w:szCs w:val="18"/>
              </w:rPr>
            </w:pPr>
          </w:p>
        </w:tc>
        <w:tc>
          <w:tcPr>
            <w:tcW w:w="8132" w:type="dxa"/>
            <w:gridSpan w:val="3"/>
            <w:vAlign w:val="center"/>
          </w:tcPr>
          <w:p>
            <w:pPr>
              <w:rPr>
                <w:b/>
                <w:sz w:val="18"/>
                <w:szCs w:val="18"/>
              </w:rPr>
            </w:pPr>
            <w:r>
              <w:rPr>
                <w:rFonts w:hint="eastAsia"/>
                <w:b/>
                <w:sz w:val="18"/>
                <w:szCs w:val="18"/>
              </w:rPr>
              <w:t>协议识别和解析要求</w:t>
            </w:r>
          </w:p>
          <w:p>
            <w:pPr>
              <w:rPr>
                <w:sz w:val="18"/>
                <w:szCs w:val="18"/>
              </w:rPr>
            </w:pPr>
            <w:r>
              <w:rPr>
                <w:rFonts w:hint="eastAsia"/>
                <w:sz w:val="18"/>
                <w:szCs w:val="18"/>
              </w:rPr>
              <w:t>1、提供对常见互联网协议的协议识别功能，至少能对350种以上的常见互联网协议进行识别。包括：</w:t>
            </w:r>
          </w:p>
          <w:p>
            <w:pPr>
              <w:rPr>
                <w:sz w:val="18"/>
                <w:szCs w:val="18"/>
              </w:rPr>
            </w:pPr>
            <w:r>
              <w:rPr>
                <w:sz w:val="18"/>
                <w:szCs w:val="18"/>
              </w:rPr>
              <w:t xml:space="preserve">AARP, AARP Prbe, AARP Request, AARP Response, ACNET, AFP, AH, AIM, ARP, ARP Request, ARP Response, Auditd, BFTP, BGP, BOOTP, Biff, BitTorrent, CDC, CDP, CFS, CFTP, CGMP, CIFS, CMIP-Agent, CMIP-Man, COPS, CRIP, CRTP, CRUDP, CTF, Cisco-fna, Cisco-sys, Cisco-tna, Citrx ICA, DCCP, DCP, DDP,DECnet, DHCP, DIAG, DNS, DNS Error, DNS Query, DSR, Daytime, Discard, EGP, EIGRP, EIGRP Hello, EIGRP Query, EIGRP Reply, EIGRP Update, ESP, Echo, Emfis-cntl, Emfis-data, Ethernet - Other, Ethernet 802.2, Ethernet 802.3, Ethernet II, Ethernet SNAP, Ethernet SNAP - Other, eMule, FC, FCoE, FCP, FTP, FTP Ctrl, DTP Data, Finger, GDP, GGP, GRE, GTP, Gopher, H.225, H.323, HMP, HSRP, HTTP, HTTP Proxy, HTTPS, Http-mgmt, IBM-app, ICMP, ICMP DestUnreach, ICMP Echo Reply, ICMP Echo Req, ICMP Redirect, ICMP Time Ex, ICMPv6, ICP, IDFP, IDPR, IDRP, IGAP, IGMP, IGRP, IMAP, IAMP3, IAMP4, IMAP4/SSL, IP, IP - Other, IP Fragment, IPX, IPv6, IRC, IRC/SSL, IRTP, ISL, ISMP, ISO-IP, ISO-TP0, ISO-TP4, Kerberos, L2F, L2TP, LDAP, LDAPS, LPD, La-maint, Login, Loopback, MGCP, MPLS, MPLS Etype2, MPM, MPM-snd, MPP, MSN, MSP, MSRDP, MSSQL, Mcidas, Mit-ml-dev, Mnet-discovery, Mobile IP, Msg-auth, NAMP, NARP, NBDGM, NBIPX, NBNS, NBSSN, NCP, NETBLT, NFS, NLSP, NMSP, NNTP, NNTP/SSL, NPP, NSRMP, NTP, Nameserver, NetBEUI, NetBIOS,  </w:t>
            </w:r>
          </w:p>
          <w:p>
            <w:pPr>
              <w:rPr>
                <w:rFonts w:ascii="宋体" w:hAnsi="宋体" w:cs="黑体"/>
                <w:bCs/>
                <w:kern w:val="0"/>
                <w:sz w:val="18"/>
                <w:szCs w:val="18"/>
              </w:rPr>
            </w:pPr>
            <w:r>
              <w:rPr>
                <w:rFonts w:hint="eastAsia"/>
                <w:sz w:val="18"/>
                <w:szCs w:val="18"/>
              </w:rPr>
              <w:t>提供对网络协议的解码分析能力，提供至少350种各种网络协议的解码分析能力。特别是如下协议的解码支持：MSN，QQ，Yahoo Messenger，BitTorrent，POP3，FTP，SMTP，HTTP，TELNET等。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9875" w:type="dxa"/>
            <w:gridSpan w:val="6"/>
            <w:shd w:val="clear" w:color="auto" w:fill="80C588" w:themeFill="background1" w:themeFillShade="BF"/>
            <w:vAlign w:val="center"/>
          </w:tcPr>
          <w:p>
            <w:pPr>
              <w:autoSpaceDE w:val="0"/>
              <w:autoSpaceDN w:val="0"/>
              <w:adjustRightInd w:val="0"/>
              <w:snapToGrid w:val="0"/>
              <w:spacing w:before="100" w:beforeAutospacing="1" w:line="360" w:lineRule="auto"/>
              <w:rPr>
                <w:rFonts w:ascii="宋体" w:hAnsi="宋体" w:cs="黑体"/>
                <w:b/>
                <w:bCs/>
                <w:kern w:val="0"/>
                <w:sz w:val="18"/>
                <w:szCs w:val="18"/>
              </w:rPr>
            </w:pPr>
            <w:r>
              <w:rPr>
                <w:rFonts w:hint="eastAsia" w:ascii="宋体" w:hAnsi="宋体"/>
                <w:b/>
                <w:szCs w:val="21"/>
              </w:rPr>
              <w:t>二、综合监控分析中心招标参数(设备数量：1台)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1" w:hRule="atLeast"/>
          <w:jc w:val="center"/>
        </w:trPr>
        <w:tc>
          <w:tcPr>
            <w:tcW w:w="903" w:type="dxa"/>
            <w:gridSpan w:val="2"/>
            <w:shd w:val="clear" w:color="auto" w:fill="auto"/>
            <w:vAlign w:val="center"/>
          </w:tcPr>
          <w:p>
            <w:pPr>
              <w:widowControl/>
              <w:spacing w:line="360" w:lineRule="auto"/>
              <w:jc w:val="center"/>
              <w:rPr>
                <w:rFonts w:ascii="宋体" w:hAnsi="宋体" w:cs="宋体"/>
                <w:b/>
                <w:kern w:val="0"/>
                <w:sz w:val="18"/>
                <w:szCs w:val="18"/>
              </w:rPr>
            </w:pPr>
            <w:r>
              <w:rPr>
                <w:rFonts w:hint="eastAsia" w:ascii="宋体" w:hAnsi="宋体" w:cs="宋体"/>
                <w:b/>
                <w:kern w:val="0"/>
                <w:sz w:val="18"/>
                <w:szCs w:val="18"/>
              </w:rPr>
              <w:t>序号</w:t>
            </w:r>
          </w:p>
        </w:tc>
        <w:tc>
          <w:tcPr>
            <w:tcW w:w="1135" w:type="dxa"/>
            <w:gridSpan w:val="2"/>
            <w:shd w:val="clear" w:color="auto" w:fill="auto"/>
            <w:vAlign w:val="center"/>
          </w:tcPr>
          <w:p>
            <w:pPr>
              <w:spacing w:line="240" w:lineRule="exact"/>
              <w:jc w:val="center"/>
              <w:rPr>
                <w:rFonts w:ascii="宋体" w:hAnsi="宋体"/>
                <w:b/>
                <w:sz w:val="18"/>
                <w:szCs w:val="18"/>
              </w:rPr>
            </w:pPr>
            <w:r>
              <w:rPr>
                <w:rFonts w:hint="eastAsia" w:ascii="宋体" w:hAnsi="宋体"/>
                <w:b/>
                <w:sz w:val="18"/>
                <w:szCs w:val="18"/>
              </w:rPr>
              <w:t>设备名称</w:t>
            </w:r>
          </w:p>
        </w:tc>
        <w:tc>
          <w:tcPr>
            <w:tcW w:w="7829" w:type="dxa"/>
            <w:shd w:val="clear" w:color="auto" w:fill="FFFFFF"/>
            <w:vAlign w:val="center"/>
          </w:tcPr>
          <w:p>
            <w:pPr>
              <w:autoSpaceDE w:val="0"/>
              <w:autoSpaceDN w:val="0"/>
              <w:adjustRightInd w:val="0"/>
              <w:snapToGrid w:val="0"/>
              <w:spacing w:before="100" w:beforeAutospacing="1" w:line="360" w:lineRule="auto"/>
              <w:jc w:val="center"/>
              <w:rPr>
                <w:rFonts w:ascii="宋体" w:hAnsi="宋体" w:cs="黑体"/>
                <w:bCs/>
                <w:kern w:val="0"/>
                <w:sz w:val="18"/>
                <w:szCs w:val="18"/>
              </w:rPr>
            </w:pPr>
            <w:r>
              <w:rPr>
                <w:rFonts w:hint="eastAsia" w:ascii="宋体" w:hAnsi="宋体" w:cs="宋体"/>
                <w:b/>
                <w:kern w:val="0"/>
                <w:sz w:val="18"/>
                <w:szCs w:val="18"/>
              </w:rPr>
              <w:t>技术指标及规格参数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1" w:hRule="atLeast"/>
          <w:jc w:val="center"/>
        </w:trPr>
        <w:tc>
          <w:tcPr>
            <w:tcW w:w="903" w:type="dxa"/>
            <w:gridSpan w:val="2"/>
            <w:vMerge w:val="restart"/>
            <w:shd w:val="clear" w:color="auto" w:fill="auto"/>
            <w:textDirection w:val="lrTbV"/>
            <w:vAlign w:val="center"/>
          </w:tcPr>
          <w:p>
            <w:pPr>
              <w:widowControl/>
              <w:spacing w:line="360" w:lineRule="auto"/>
              <w:rPr>
                <w:rFonts w:ascii="黑体" w:hAnsi="黑体" w:eastAsia="黑体" w:cs="宋体"/>
                <w:kern w:val="0"/>
                <w:sz w:val="18"/>
                <w:szCs w:val="18"/>
              </w:rPr>
            </w:pPr>
            <w:r>
              <w:rPr>
                <w:rFonts w:hint="eastAsia" w:ascii="黑体" w:hAnsi="黑体" w:eastAsia="黑体" w:cs="宋体"/>
                <w:kern w:val="0"/>
                <w:sz w:val="18"/>
                <w:szCs w:val="18"/>
              </w:rPr>
              <w:t>2</w:t>
            </w:r>
          </w:p>
        </w:tc>
        <w:tc>
          <w:tcPr>
            <w:tcW w:w="1135" w:type="dxa"/>
            <w:gridSpan w:val="2"/>
            <w:vMerge w:val="restart"/>
            <w:shd w:val="clear" w:color="auto" w:fill="auto"/>
            <w:vAlign w:val="center"/>
          </w:tcPr>
          <w:p>
            <w:pPr>
              <w:spacing w:line="240" w:lineRule="exact"/>
              <w:rPr>
                <w:rFonts w:ascii="黑体" w:hAnsi="黑体" w:eastAsia="黑体"/>
                <w:sz w:val="18"/>
                <w:szCs w:val="18"/>
              </w:rPr>
            </w:pPr>
            <w:r>
              <w:rPr>
                <w:rFonts w:hint="eastAsia" w:ascii="黑体" w:hAnsi="黑体" w:eastAsia="黑体"/>
                <w:sz w:val="18"/>
                <w:szCs w:val="18"/>
              </w:rPr>
              <w:t>综合监控分</w:t>
            </w:r>
          </w:p>
          <w:p>
            <w:pPr>
              <w:spacing w:line="240" w:lineRule="exact"/>
              <w:jc w:val="center"/>
              <w:rPr>
                <w:rFonts w:ascii="宋体" w:hAnsi="宋体"/>
                <w:sz w:val="18"/>
                <w:szCs w:val="18"/>
              </w:rPr>
            </w:pPr>
            <w:r>
              <w:rPr>
                <w:rFonts w:hint="eastAsia" w:ascii="黑体" w:hAnsi="黑体" w:eastAsia="黑体"/>
                <w:sz w:val="18"/>
                <w:szCs w:val="18"/>
              </w:rPr>
              <w:t>析中心</w:t>
            </w:r>
          </w:p>
        </w:tc>
        <w:tc>
          <w:tcPr>
            <w:tcW w:w="7829" w:type="dxa"/>
            <w:shd w:val="clear" w:color="auto" w:fill="FFFFFF"/>
            <w:vAlign w:val="center"/>
          </w:tcPr>
          <w:p>
            <w:pPr>
              <w:rPr>
                <w:b/>
                <w:sz w:val="18"/>
                <w:szCs w:val="18"/>
              </w:rPr>
            </w:pPr>
            <w:r>
              <w:rPr>
                <w:b/>
                <w:sz w:val="18"/>
                <w:szCs w:val="18"/>
              </w:rPr>
              <w:t>总体要求</w:t>
            </w:r>
            <w:r>
              <w:rPr>
                <w:rFonts w:hint="eastAsia"/>
                <w:b/>
                <w:sz w:val="18"/>
                <w:szCs w:val="18"/>
              </w:rPr>
              <w:t>：</w:t>
            </w:r>
          </w:p>
          <w:p>
            <w:pPr>
              <w:rPr>
                <w:sz w:val="18"/>
                <w:szCs w:val="18"/>
              </w:rPr>
            </w:pPr>
            <w:r>
              <w:rPr>
                <w:rFonts w:hint="eastAsia"/>
                <w:sz w:val="18"/>
                <w:szCs w:val="18"/>
              </w:rPr>
              <w:t>1、界面要求</w:t>
            </w:r>
          </w:p>
          <w:p>
            <w:pPr>
              <w:rPr>
                <w:sz w:val="18"/>
                <w:szCs w:val="18"/>
              </w:rPr>
            </w:pPr>
            <w:r>
              <w:rPr>
                <w:rFonts w:hint="eastAsia"/>
                <w:sz w:val="18"/>
                <w:szCs w:val="18"/>
              </w:rPr>
              <w:t>支持全中文界面和资料文档，要求提供全中文的分析界面，要求提供全中文的文档资料</w:t>
            </w:r>
          </w:p>
          <w:p>
            <w:pPr>
              <w:rPr>
                <w:sz w:val="18"/>
                <w:szCs w:val="18"/>
              </w:rPr>
            </w:pPr>
            <w:r>
              <w:rPr>
                <w:rFonts w:hint="eastAsia"/>
                <w:sz w:val="18"/>
                <w:szCs w:val="18"/>
              </w:rPr>
              <w:t>2、产品结构</w:t>
            </w:r>
          </w:p>
          <w:p>
            <w:pPr>
              <w:ind w:firstLine="180" w:firstLineChars="100"/>
              <w:rPr>
                <w:sz w:val="18"/>
                <w:szCs w:val="18"/>
              </w:rPr>
            </w:pPr>
            <w:r>
              <w:rPr>
                <w:rFonts w:hint="eastAsia" w:ascii="宋体" w:hAnsi="宋体" w:cs="宋体"/>
                <w:kern w:val="0"/>
                <w:sz w:val="18"/>
                <w:szCs w:val="18"/>
              </w:rPr>
              <w:t>★</w:t>
            </w:r>
            <w:r>
              <w:rPr>
                <w:rFonts w:hint="eastAsia"/>
                <w:sz w:val="18"/>
                <w:szCs w:val="18"/>
              </w:rPr>
              <w:t>标准机架式独立硬件设备，存储容量</w:t>
            </w:r>
            <w:r>
              <w:rPr>
                <w:sz w:val="18"/>
                <w:szCs w:val="18"/>
              </w:rPr>
              <w:t>8</w:t>
            </w:r>
            <w:r>
              <w:rPr>
                <w:rFonts w:hint="eastAsia"/>
                <w:sz w:val="18"/>
                <w:szCs w:val="18"/>
              </w:rPr>
              <w:t>TB；管理端口：2个千兆电口；支持RAID5存储，可热插拔；</w:t>
            </w:r>
          </w:p>
          <w:p>
            <w:pPr>
              <w:rPr>
                <w:rFonts w:ascii="宋体" w:hAnsi="宋体" w:cs="黑体"/>
                <w:bCs/>
                <w:kern w:val="0"/>
                <w:sz w:val="18"/>
                <w:szCs w:val="18"/>
              </w:rPr>
            </w:pPr>
            <w:r>
              <w:rPr>
                <w:rFonts w:hint="eastAsia"/>
                <w:sz w:val="18"/>
                <w:szCs w:val="18"/>
              </w:rPr>
              <w:t>3、</w:t>
            </w:r>
            <w:r>
              <w:rPr>
                <w:rFonts w:hint="eastAsia" w:ascii="宋体" w:hAnsi="宋体" w:cs="宋体"/>
                <w:kern w:val="0"/>
                <w:sz w:val="18"/>
                <w:szCs w:val="18"/>
              </w:rPr>
              <w:t>★</w:t>
            </w:r>
            <w:r>
              <w:rPr>
                <w:rFonts w:hint="eastAsia"/>
                <w:kern w:val="0"/>
                <w:sz w:val="18"/>
                <w:szCs w:val="18"/>
              </w:rPr>
              <w:t>必须满足省</w:t>
            </w:r>
            <w:r>
              <w:rPr>
                <w:kern w:val="0"/>
                <w:sz w:val="18"/>
                <w:szCs w:val="18"/>
              </w:rPr>
              <w:t>、市、县互联互通</w:t>
            </w:r>
            <w:r>
              <w:rPr>
                <w:rFonts w:hint="eastAsia"/>
                <w:kern w:val="0"/>
                <w:sz w:val="18"/>
                <w:szCs w:val="18"/>
              </w:rPr>
              <w:t>，</w:t>
            </w:r>
            <w:r>
              <w:rPr>
                <w:kern w:val="0"/>
                <w:sz w:val="18"/>
                <w:szCs w:val="18"/>
              </w:rPr>
              <w:t>将市县级</w:t>
            </w:r>
            <w:r>
              <w:rPr>
                <w:rFonts w:hint="eastAsia"/>
                <w:kern w:val="0"/>
                <w:sz w:val="18"/>
                <w:szCs w:val="18"/>
              </w:rPr>
              <w:t>采集</w:t>
            </w:r>
            <w:r>
              <w:rPr>
                <w:kern w:val="0"/>
                <w:sz w:val="18"/>
                <w:szCs w:val="18"/>
              </w:rPr>
              <w:t>数据反馈</w:t>
            </w:r>
            <w:r>
              <w:rPr>
                <w:rFonts w:hint="eastAsia"/>
                <w:kern w:val="0"/>
                <w:sz w:val="18"/>
                <w:szCs w:val="18"/>
              </w:rPr>
              <w:t>到上</w:t>
            </w:r>
            <w:r>
              <w:rPr>
                <w:kern w:val="0"/>
                <w:sz w:val="18"/>
                <w:szCs w:val="18"/>
              </w:rPr>
              <w:t>级平台，实现</w:t>
            </w:r>
            <w:r>
              <w:rPr>
                <w:rFonts w:hint="eastAsia"/>
                <w:kern w:val="0"/>
                <w:sz w:val="18"/>
                <w:szCs w:val="18"/>
              </w:rPr>
              <w:t>市</w:t>
            </w:r>
            <w:r>
              <w:rPr>
                <w:kern w:val="0"/>
                <w:sz w:val="18"/>
                <w:szCs w:val="18"/>
              </w:rPr>
              <w:t>级、省级</w:t>
            </w:r>
            <w:r>
              <w:rPr>
                <w:rFonts w:hint="eastAsia"/>
                <w:kern w:val="0"/>
                <w:sz w:val="18"/>
                <w:szCs w:val="18"/>
              </w:rPr>
              <w:t>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1" w:hRule="atLeast"/>
          <w:jc w:val="center"/>
        </w:trPr>
        <w:tc>
          <w:tcPr>
            <w:tcW w:w="903" w:type="dxa"/>
            <w:gridSpan w:val="2"/>
            <w:vMerge w:val="continue"/>
            <w:shd w:val="clear" w:color="auto" w:fill="auto"/>
            <w:vAlign w:val="center"/>
          </w:tcPr>
          <w:p>
            <w:pPr>
              <w:widowControl/>
              <w:spacing w:line="240" w:lineRule="exact"/>
              <w:rPr>
                <w:rFonts w:ascii="宋体" w:hAnsi="宋体" w:cs="宋体"/>
                <w:kern w:val="0"/>
                <w:sz w:val="18"/>
                <w:szCs w:val="18"/>
              </w:rPr>
            </w:pPr>
          </w:p>
        </w:tc>
        <w:tc>
          <w:tcPr>
            <w:tcW w:w="1135" w:type="dxa"/>
            <w:gridSpan w:val="2"/>
            <w:vMerge w:val="continue"/>
            <w:shd w:val="clear" w:color="auto" w:fill="auto"/>
            <w:vAlign w:val="center"/>
          </w:tcPr>
          <w:p>
            <w:pPr>
              <w:widowControl/>
              <w:spacing w:line="240" w:lineRule="exact"/>
              <w:rPr>
                <w:rFonts w:ascii="宋体" w:hAnsi="宋体" w:cs="宋体"/>
                <w:kern w:val="0"/>
                <w:sz w:val="18"/>
                <w:szCs w:val="18"/>
              </w:rPr>
            </w:pPr>
          </w:p>
        </w:tc>
        <w:tc>
          <w:tcPr>
            <w:tcW w:w="7829" w:type="dxa"/>
            <w:shd w:val="clear" w:color="auto" w:fill="FFFFFF"/>
            <w:vAlign w:val="center"/>
          </w:tcPr>
          <w:p>
            <w:pPr>
              <w:rPr>
                <w:b/>
                <w:sz w:val="18"/>
                <w:szCs w:val="18"/>
              </w:rPr>
            </w:pPr>
            <w:r>
              <w:rPr>
                <w:b/>
                <w:sz w:val="18"/>
                <w:szCs w:val="18"/>
              </w:rPr>
              <w:t>警报统计</w:t>
            </w:r>
          </w:p>
          <w:p>
            <w:pPr>
              <w:numPr>
                <w:ilvl w:val="0"/>
                <w:numId w:val="1"/>
              </w:numPr>
              <w:rPr>
                <w:sz w:val="18"/>
                <w:szCs w:val="18"/>
              </w:rPr>
            </w:pPr>
            <w:r>
              <w:rPr>
                <w:rFonts w:hint="eastAsia"/>
                <w:sz w:val="18"/>
                <w:szCs w:val="18"/>
              </w:rPr>
              <w:t>支持以列表和饼图的形式统计各类警报的数量和所占百分比。</w:t>
            </w:r>
          </w:p>
          <w:p>
            <w:pPr>
              <w:numPr>
                <w:ilvl w:val="0"/>
                <w:numId w:val="1"/>
              </w:numPr>
              <w:rPr>
                <w:sz w:val="18"/>
                <w:szCs w:val="18"/>
              </w:rPr>
            </w:pPr>
            <w:r>
              <w:rPr>
                <w:rFonts w:hint="eastAsia"/>
                <w:sz w:val="18"/>
                <w:szCs w:val="18"/>
              </w:rPr>
              <w:t>支持显示警报趋势图。</w:t>
            </w:r>
          </w:p>
          <w:p>
            <w:pPr>
              <w:numPr>
                <w:ilvl w:val="0"/>
                <w:numId w:val="1"/>
              </w:numPr>
              <w:rPr>
                <w:sz w:val="18"/>
                <w:szCs w:val="18"/>
              </w:rPr>
            </w:pPr>
            <w:r>
              <w:rPr>
                <w:rFonts w:hint="eastAsia"/>
                <w:sz w:val="18"/>
                <w:szCs w:val="18"/>
              </w:rPr>
              <w:t>支持根据链路组查看警报的区域分布情况。</w:t>
            </w:r>
          </w:p>
          <w:p>
            <w:pPr>
              <w:numPr>
                <w:ilvl w:val="0"/>
                <w:numId w:val="1"/>
              </w:numPr>
              <w:rPr>
                <w:sz w:val="18"/>
                <w:szCs w:val="18"/>
              </w:rPr>
            </w:pPr>
            <w:r>
              <w:rPr>
                <w:rFonts w:hint="eastAsia"/>
                <w:sz w:val="18"/>
                <w:szCs w:val="18"/>
              </w:rPr>
              <w:t>支持根据链路组进行警报挖掘。</w:t>
            </w:r>
          </w:p>
          <w:p>
            <w:pPr>
              <w:numPr>
                <w:ilvl w:val="0"/>
                <w:numId w:val="1"/>
              </w:numPr>
              <w:rPr>
                <w:sz w:val="18"/>
                <w:szCs w:val="18"/>
              </w:rPr>
            </w:pPr>
            <w:r>
              <w:rPr>
                <w:rFonts w:hint="eastAsia"/>
                <w:sz w:val="18"/>
                <w:szCs w:val="18"/>
              </w:rPr>
              <w:t>支持警报分类Top 10统计。</w:t>
            </w:r>
          </w:p>
          <w:p>
            <w:pPr>
              <w:numPr>
                <w:ilvl w:val="0"/>
                <w:numId w:val="1"/>
              </w:numPr>
              <w:rPr>
                <w:sz w:val="18"/>
                <w:szCs w:val="18"/>
              </w:rPr>
            </w:pPr>
            <w:r>
              <w:rPr>
                <w:rFonts w:hint="eastAsia"/>
                <w:sz w:val="18"/>
                <w:szCs w:val="18"/>
              </w:rPr>
              <w:t>支持警报IP Top 10统计。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57" w:hRule="atLeast"/>
          <w:jc w:val="center"/>
        </w:trPr>
        <w:tc>
          <w:tcPr>
            <w:tcW w:w="903" w:type="dxa"/>
            <w:gridSpan w:val="2"/>
            <w:vMerge w:val="continue"/>
            <w:shd w:val="clear" w:color="auto" w:fill="auto"/>
            <w:vAlign w:val="center"/>
          </w:tcPr>
          <w:p>
            <w:pPr>
              <w:widowControl/>
              <w:spacing w:line="240" w:lineRule="exact"/>
              <w:rPr>
                <w:rFonts w:ascii="宋体" w:hAnsi="宋体" w:cs="宋体"/>
                <w:kern w:val="0"/>
                <w:sz w:val="18"/>
                <w:szCs w:val="18"/>
              </w:rPr>
            </w:pPr>
          </w:p>
        </w:tc>
        <w:tc>
          <w:tcPr>
            <w:tcW w:w="1135" w:type="dxa"/>
            <w:gridSpan w:val="2"/>
            <w:vMerge w:val="continue"/>
            <w:shd w:val="clear" w:color="auto" w:fill="auto"/>
            <w:vAlign w:val="center"/>
          </w:tcPr>
          <w:p>
            <w:pPr>
              <w:widowControl/>
              <w:spacing w:line="240" w:lineRule="exact"/>
              <w:rPr>
                <w:rFonts w:ascii="宋体" w:hAnsi="宋体" w:cs="宋体"/>
                <w:kern w:val="0"/>
                <w:sz w:val="18"/>
                <w:szCs w:val="18"/>
              </w:rPr>
            </w:pPr>
          </w:p>
        </w:tc>
        <w:tc>
          <w:tcPr>
            <w:tcW w:w="7829" w:type="dxa"/>
            <w:shd w:val="clear" w:color="auto" w:fill="FFFFFF"/>
            <w:vAlign w:val="center"/>
          </w:tcPr>
          <w:p>
            <w:pPr>
              <w:rPr>
                <w:b/>
                <w:sz w:val="18"/>
                <w:szCs w:val="18"/>
              </w:rPr>
            </w:pPr>
            <w:r>
              <w:rPr>
                <w:rFonts w:hint="eastAsia"/>
                <w:b/>
                <w:sz w:val="18"/>
                <w:szCs w:val="18"/>
              </w:rPr>
              <w:t>警报查询</w:t>
            </w:r>
          </w:p>
          <w:p>
            <w:pPr>
              <w:rPr>
                <w:sz w:val="18"/>
                <w:szCs w:val="18"/>
              </w:rPr>
            </w:pPr>
            <w:r>
              <w:rPr>
                <w:rFonts w:hint="eastAsia"/>
                <w:sz w:val="18"/>
                <w:szCs w:val="18"/>
              </w:rPr>
              <w:t>1、支持警报查询，查询条件包括链路组、状态、等级、日期和关键字。</w:t>
            </w:r>
          </w:p>
          <w:p>
            <w:pPr>
              <w:rPr>
                <w:sz w:val="18"/>
                <w:szCs w:val="18"/>
              </w:rPr>
            </w:pPr>
            <w:r>
              <w:rPr>
                <w:rFonts w:hint="eastAsia"/>
                <w:sz w:val="18"/>
                <w:szCs w:val="18"/>
              </w:rPr>
              <w:t>2、支持警报导出为XLS或CSV格式。</w:t>
            </w:r>
          </w:p>
          <w:p>
            <w:pPr>
              <w:rPr>
                <w:sz w:val="18"/>
                <w:szCs w:val="18"/>
              </w:rPr>
            </w:pPr>
            <w:r>
              <w:rPr>
                <w:rFonts w:hint="eastAsia"/>
                <w:sz w:val="18"/>
                <w:szCs w:val="18"/>
              </w:rPr>
              <w:t>3、支持警报简报功能。</w:t>
            </w:r>
          </w:p>
          <w:p>
            <w:pPr>
              <w:rPr>
                <w:sz w:val="18"/>
                <w:szCs w:val="18"/>
              </w:rPr>
            </w:pPr>
            <w:r>
              <w:rPr>
                <w:rFonts w:hint="eastAsia"/>
                <w:sz w:val="18"/>
                <w:szCs w:val="18"/>
              </w:rPr>
              <w:t>4、支持从警报呼出控制台功能。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7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rFonts w:ascii="宋体" w:hAnsi="宋体" w:cs="黑体"/>
                <w:b/>
                <w:bCs/>
                <w:kern w:val="0"/>
                <w:sz w:val="18"/>
                <w:szCs w:val="18"/>
              </w:rPr>
            </w:pPr>
            <w:r>
              <w:rPr>
                <w:rFonts w:hint="eastAsia"/>
                <w:b/>
                <w:sz w:val="18"/>
                <w:szCs w:val="18"/>
              </w:rPr>
              <w:t>链路/链路组流量监控</w:t>
            </w:r>
          </w:p>
          <w:p>
            <w:pPr>
              <w:rPr>
                <w:sz w:val="18"/>
                <w:szCs w:val="18"/>
              </w:rPr>
            </w:pPr>
            <w:r>
              <w:rPr>
                <w:rFonts w:hint="eastAsia"/>
                <w:sz w:val="18"/>
                <w:szCs w:val="18"/>
              </w:rPr>
              <w:t>1、支持查看单条链路和链路组的流量信息。</w:t>
            </w:r>
          </w:p>
          <w:p>
            <w:pPr>
              <w:rPr>
                <w:sz w:val="18"/>
                <w:szCs w:val="18"/>
              </w:rPr>
            </w:pPr>
            <w:r>
              <w:rPr>
                <w:rFonts w:hint="eastAsia"/>
                <w:sz w:val="18"/>
                <w:szCs w:val="18"/>
              </w:rPr>
              <w:t>2、支持以柱状图的形式显示链路和链路组的流量信息。</w:t>
            </w:r>
          </w:p>
          <w:p>
            <w:pPr>
              <w:rPr>
                <w:sz w:val="18"/>
                <w:szCs w:val="18"/>
              </w:rPr>
            </w:pPr>
            <w:r>
              <w:rPr>
                <w:rFonts w:hint="eastAsia"/>
                <w:sz w:val="18"/>
                <w:szCs w:val="18"/>
              </w:rPr>
              <w:t>3、流量相关的字段包括每秒总流量、每秒上下行总流量、峰值流量、谷值流量、每秒上行流量、每秒下行流量、每秒数据包、每秒上行数据包、每秒下行数据包、每秒上行TCP同步包、每秒下行TCP同步包、每秒TCP确认包、每秒上行TCP确认包、每秒下行TCP确认包、每秒TCP复位包、每秒上行TCP复位包、每秒下行TCP复位包、每秒流量利用率、每秒上行流量利用率、每秒下行流量利用率、每秒未处理警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8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b/>
                <w:sz w:val="18"/>
                <w:szCs w:val="18"/>
              </w:rPr>
            </w:pPr>
            <w:r>
              <w:rPr>
                <w:rFonts w:hint="eastAsia"/>
                <w:b/>
                <w:sz w:val="18"/>
                <w:szCs w:val="18"/>
              </w:rPr>
              <w:t>链路流量监控</w:t>
            </w:r>
          </w:p>
          <w:p>
            <w:pPr>
              <w:rPr>
                <w:sz w:val="18"/>
                <w:szCs w:val="18"/>
              </w:rPr>
            </w:pPr>
            <w:r>
              <w:rPr>
                <w:rFonts w:hint="eastAsia"/>
                <w:sz w:val="18"/>
                <w:szCs w:val="18"/>
              </w:rPr>
              <w:t>1、</w:t>
            </w:r>
            <w:r>
              <w:rPr>
                <w:rFonts w:hint="eastAsia" w:ascii="宋体" w:hAnsi="宋体" w:cs="宋体"/>
                <w:kern w:val="0"/>
                <w:sz w:val="18"/>
                <w:szCs w:val="18"/>
              </w:rPr>
              <w:t>★</w:t>
            </w:r>
            <w:r>
              <w:rPr>
                <w:rFonts w:hint="eastAsia"/>
                <w:sz w:val="18"/>
                <w:szCs w:val="18"/>
              </w:rPr>
              <w:t>支持查看链路的流量趋势图，趋势图的数据类型包括流量、上行流量、下行流量、数据包、上行数据包和下行数据包。</w:t>
            </w:r>
          </w:p>
          <w:p>
            <w:pPr>
              <w:rPr>
                <w:sz w:val="18"/>
                <w:szCs w:val="18"/>
              </w:rPr>
            </w:pPr>
            <w:r>
              <w:rPr>
                <w:rFonts w:hint="eastAsia"/>
                <w:sz w:val="18"/>
                <w:szCs w:val="18"/>
              </w:rPr>
              <w:t>2、支持查看应用的流量趋势图，可以选择系统应用和自定义应用。</w:t>
            </w:r>
          </w:p>
          <w:p>
            <w:pPr>
              <w:rPr>
                <w:sz w:val="18"/>
                <w:szCs w:val="18"/>
              </w:rPr>
            </w:pPr>
            <w:r>
              <w:rPr>
                <w:rFonts w:hint="eastAsia"/>
                <w:sz w:val="18"/>
                <w:szCs w:val="18"/>
              </w:rPr>
              <w:t>3、支持查看链路的网络使用情况，包括流量、平均流量、利用率、数据包数、平均数据包数、TCP同步包数、TCP同步确认包数和TCP重置包数。</w:t>
            </w:r>
          </w:p>
          <w:p>
            <w:pPr>
              <w:rPr>
                <w:sz w:val="18"/>
                <w:szCs w:val="18"/>
              </w:rPr>
            </w:pPr>
            <w:r>
              <w:rPr>
                <w:rFonts w:hint="eastAsia"/>
                <w:sz w:val="18"/>
                <w:szCs w:val="18"/>
              </w:rPr>
              <w:t>4、支持查看链路的网段流量统计信息，字段包括网段名称、字节数、数据包数、段内字节数、段内数据包数、TCP同步包、段内TCP同步包、TCP同步确认包、段内TCP同步确认包和段内TCP重置包。</w:t>
            </w:r>
          </w:p>
          <w:p>
            <w:pPr>
              <w:rPr>
                <w:sz w:val="18"/>
                <w:szCs w:val="18"/>
              </w:rPr>
            </w:pPr>
            <w:r>
              <w:rPr>
                <w:rFonts w:hint="eastAsia"/>
                <w:sz w:val="18"/>
                <w:szCs w:val="18"/>
              </w:rPr>
              <w:t>5、支持查看链路的Top统计，包括Top网络应用、Top流量主机、Top数据包主机、Top发送同步包主机和Top同步包发收比主机。Top包括Top5、Top10和Top20。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8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b/>
                <w:sz w:val="18"/>
                <w:szCs w:val="18"/>
              </w:rPr>
            </w:pPr>
            <w:r>
              <w:rPr>
                <w:rFonts w:hint="eastAsia"/>
                <w:b/>
                <w:sz w:val="18"/>
                <w:szCs w:val="18"/>
              </w:rPr>
              <w:t>链路流量分析</w:t>
            </w:r>
          </w:p>
          <w:p>
            <w:pPr>
              <w:rPr>
                <w:sz w:val="18"/>
                <w:szCs w:val="18"/>
              </w:rPr>
            </w:pPr>
            <w:r>
              <w:rPr>
                <w:rFonts w:hint="eastAsia"/>
                <w:sz w:val="18"/>
                <w:szCs w:val="18"/>
              </w:rPr>
              <w:t>1、支持查看链路的历史流量趋势图，趋势图数据类型包括流量、数据包、流量发收比和数据包发收比。</w:t>
            </w:r>
          </w:p>
          <w:p>
            <w:pPr>
              <w:rPr>
                <w:sz w:val="18"/>
                <w:szCs w:val="18"/>
              </w:rPr>
            </w:pPr>
            <w:r>
              <w:rPr>
                <w:rFonts w:hint="eastAsia"/>
                <w:sz w:val="18"/>
                <w:szCs w:val="18"/>
              </w:rPr>
              <w:t>2、支持对主机进行分析，包括流量、数据包、流量发收比和TCP连接数。</w:t>
            </w:r>
          </w:p>
          <w:p>
            <w:pPr>
              <w:rPr>
                <w:sz w:val="18"/>
                <w:szCs w:val="18"/>
              </w:rPr>
            </w:pPr>
            <w:r>
              <w:rPr>
                <w:rFonts w:hint="eastAsia"/>
                <w:sz w:val="18"/>
                <w:szCs w:val="18"/>
              </w:rPr>
              <w:t>3、支持对链路应用进行分析，包括流量和数据包。</w:t>
            </w:r>
          </w:p>
          <w:p>
            <w:pPr>
              <w:rPr>
                <w:sz w:val="18"/>
                <w:szCs w:val="18"/>
              </w:rPr>
            </w:pPr>
            <w:r>
              <w:rPr>
                <w:rFonts w:hint="eastAsia"/>
                <w:sz w:val="18"/>
                <w:szCs w:val="18"/>
              </w:rPr>
              <w:t>4、支持对网络使用情况进行分析，包括总流量、平均流量、利用率、总数据包数、平均数据包数和总TCP同步包数。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8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b/>
                <w:sz w:val="18"/>
                <w:szCs w:val="18"/>
              </w:rPr>
            </w:pPr>
            <w:r>
              <w:rPr>
                <w:rFonts w:hint="eastAsia"/>
                <w:b/>
                <w:sz w:val="18"/>
                <w:szCs w:val="18"/>
              </w:rPr>
              <w:t>服务器管理</w:t>
            </w:r>
          </w:p>
          <w:p>
            <w:pPr>
              <w:rPr>
                <w:sz w:val="18"/>
                <w:szCs w:val="18"/>
              </w:rPr>
            </w:pPr>
            <w:r>
              <w:rPr>
                <w:rFonts w:hint="eastAsia"/>
                <w:sz w:val="18"/>
                <w:szCs w:val="18"/>
              </w:rPr>
              <w:t>1、支持为前端服务器创建账户信息，包括账户名称和密码。</w:t>
            </w:r>
          </w:p>
          <w:p>
            <w:pPr>
              <w:rPr>
                <w:sz w:val="18"/>
                <w:szCs w:val="18"/>
              </w:rPr>
            </w:pPr>
            <w:r>
              <w:rPr>
                <w:rFonts w:hint="eastAsia"/>
                <w:sz w:val="18"/>
                <w:szCs w:val="18"/>
              </w:rPr>
              <w:t>2、支持查看前端服务器的运行信息，包括服务器名、连接状态、更新时间、持续运行、CPU占用、可用内存、磁盘可用、登录密码、固件版本、登录次数（总计）、登录IP、登录时间、是否自动升级和创建时间。</w:t>
            </w:r>
          </w:p>
          <w:p>
            <w:pPr>
              <w:rPr>
                <w:sz w:val="18"/>
                <w:szCs w:val="18"/>
              </w:rPr>
            </w:pPr>
            <w:r>
              <w:rPr>
                <w:rFonts w:hint="eastAsia"/>
                <w:sz w:val="18"/>
                <w:szCs w:val="18"/>
              </w:rPr>
              <w:t>3、支持查看前端服务器的链路信息，包括服务器名称、链路名称、链路创建时间、组名称、链路带宽和链路ID。</w:t>
            </w:r>
          </w:p>
          <w:p>
            <w:pPr>
              <w:rPr>
                <w:sz w:val="18"/>
                <w:szCs w:val="18"/>
              </w:rPr>
            </w:pPr>
            <w:r>
              <w:rPr>
                <w:rFonts w:hint="eastAsia"/>
                <w:sz w:val="18"/>
                <w:szCs w:val="18"/>
              </w:rPr>
              <w:t>4、支持查看前端服务器链路的网卡信息，包括连接名称、MAC地址、IP地址和带宽。</w:t>
            </w:r>
          </w:p>
          <w:p>
            <w:pPr>
              <w:rPr>
                <w:sz w:val="18"/>
                <w:szCs w:val="18"/>
              </w:rPr>
            </w:pPr>
            <w:r>
              <w:rPr>
                <w:rFonts w:hint="eastAsia"/>
                <w:sz w:val="18"/>
                <w:szCs w:val="18"/>
              </w:rPr>
              <w:t>5、支持查看前端服务器的交互日志，包括时间、交互事件和状态。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8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b/>
                <w:sz w:val="18"/>
                <w:szCs w:val="18"/>
              </w:rPr>
            </w:pPr>
            <w:r>
              <w:rPr>
                <w:rFonts w:hint="eastAsia"/>
                <w:b/>
                <w:sz w:val="18"/>
                <w:szCs w:val="18"/>
              </w:rPr>
              <w:t>链路/链路组管理</w:t>
            </w:r>
          </w:p>
          <w:p>
            <w:pPr>
              <w:rPr>
                <w:sz w:val="18"/>
                <w:szCs w:val="18"/>
              </w:rPr>
            </w:pPr>
            <w:r>
              <w:rPr>
                <w:rFonts w:hint="eastAsia"/>
                <w:sz w:val="18"/>
                <w:szCs w:val="18"/>
              </w:rPr>
              <w:t>1、</w:t>
            </w:r>
            <w:r>
              <w:rPr>
                <w:rFonts w:hint="eastAsia" w:ascii="宋体" w:hAnsi="宋体" w:cs="宋体"/>
                <w:kern w:val="0"/>
                <w:sz w:val="18"/>
                <w:szCs w:val="18"/>
              </w:rPr>
              <w:t>★</w:t>
            </w:r>
            <w:r>
              <w:rPr>
                <w:rFonts w:hint="eastAsia"/>
                <w:sz w:val="18"/>
                <w:szCs w:val="18"/>
              </w:rPr>
              <w:t>支持查看所有链路的信息，包括服务器名称、链路名称、链路创建时间、组名称和状态。</w:t>
            </w:r>
          </w:p>
          <w:p>
            <w:pPr>
              <w:rPr>
                <w:sz w:val="18"/>
                <w:szCs w:val="18"/>
              </w:rPr>
            </w:pPr>
            <w:r>
              <w:rPr>
                <w:rFonts w:hint="eastAsia"/>
                <w:sz w:val="18"/>
                <w:szCs w:val="18"/>
              </w:rPr>
              <w:t>2、支持删除链路。</w:t>
            </w:r>
          </w:p>
          <w:p>
            <w:pPr>
              <w:rPr>
                <w:sz w:val="18"/>
                <w:szCs w:val="18"/>
              </w:rPr>
            </w:pPr>
            <w:r>
              <w:rPr>
                <w:rFonts w:hint="eastAsia"/>
                <w:sz w:val="18"/>
                <w:szCs w:val="18"/>
              </w:rPr>
              <w:t>3、支持添加、修改和删除链路组。</w:t>
            </w:r>
          </w:p>
          <w:p>
            <w:pPr>
              <w:rPr>
                <w:sz w:val="18"/>
                <w:szCs w:val="18"/>
              </w:rPr>
            </w:pPr>
            <w:r>
              <w:rPr>
                <w:rFonts w:hint="eastAsia"/>
                <w:sz w:val="18"/>
                <w:szCs w:val="18"/>
              </w:rPr>
              <w:t>4、支持查看所有链路组信息，包括链路组名称和描述。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8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b/>
                <w:sz w:val="18"/>
                <w:szCs w:val="18"/>
              </w:rPr>
            </w:pPr>
            <w:r>
              <w:rPr>
                <w:rFonts w:hint="eastAsia"/>
                <w:b/>
                <w:sz w:val="18"/>
                <w:szCs w:val="18"/>
              </w:rPr>
              <w:t>报表</w:t>
            </w:r>
          </w:p>
          <w:p>
            <w:pPr>
              <w:rPr>
                <w:sz w:val="18"/>
                <w:szCs w:val="18"/>
              </w:rPr>
            </w:pPr>
            <w:r>
              <w:rPr>
                <w:rFonts w:hint="eastAsia"/>
                <w:sz w:val="18"/>
                <w:szCs w:val="18"/>
              </w:rPr>
              <w:t>1、系统具有报表功能，支持日报表、周报表、月报表和年报表。</w:t>
            </w:r>
          </w:p>
          <w:p>
            <w:pPr>
              <w:rPr>
                <w:sz w:val="18"/>
                <w:szCs w:val="18"/>
              </w:rPr>
            </w:pPr>
            <w:r>
              <w:rPr>
                <w:rFonts w:hint="eastAsia"/>
                <w:sz w:val="18"/>
                <w:szCs w:val="18"/>
              </w:rPr>
              <w:t>2、支持警报报表和流量报表。</w:t>
            </w:r>
          </w:p>
          <w:p>
            <w:pPr>
              <w:rPr>
                <w:sz w:val="18"/>
                <w:szCs w:val="18"/>
              </w:rPr>
            </w:pPr>
            <w:r>
              <w:rPr>
                <w:rFonts w:hint="eastAsia"/>
                <w:sz w:val="18"/>
                <w:szCs w:val="18"/>
              </w:rPr>
              <w:t>3、支持报表调度计划，能够自动发送到指定电子邮件接收者。</w:t>
            </w:r>
          </w:p>
          <w:p>
            <w:pPr>
              <w:rPr>
                <w:sz w:val="18"/>
                <w:szCs w:val="18"/>
              </w:rPr>
            </w:pPr>
            <w:r>
              <w:rPr>
                <w:rFonts w:hint="eastAsia"/>
                <w:sz w:val="18"/>
                <w:szCs w:val="18"/>
              </w:rPr>
              <w:t>4、支持报表日志查看，可以看到报表的生成记录，包括报表类型、调度类型、报表编号、时间、日志内容和收件邮箱。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8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b/>
                <w:sz w:val="18"/>
                <w:szCs w:val="18"/>
              </w:rPr>
            </w:pPr>
            <w:r>
              <w:rPr>
                <w:rFonts w:hint="eastAsia"/>
                <w:b/>
                <w:sz w:val="18"/>
                <w:szCs w:val="18"/>
              </w:rPr>
              <w:t>用户权限管理</w:t>
            </w:r>
          </w:p>
          <w:p>
            <w:pPr>
              <w:rPr>
                <w:sz w:val="18"/>
                <w:szCs w:val="18"/>
              </w:rPr>
            </w:pPr>
            <w:r>
              <w:rPr>
                <w:rFonts w:hint="eastAsia"/>
                <w:sz w:val="18"/>
                <w:szCs w:val="18"/>
              </w:rPr>
              <w:t>1、支持添加、修改和删除用户。</w:t>
            </w:r>
          </w:p>
          <w:p>
            <w:pPr>
              <w:rPr>
                <w:sz w:val="18"/>
                <w:szCs w:val="18"/>
              </w:rPr>
            </w:pPr>
            <w:r>
              <w:rPr>
                <w:rFonts w:hint="eastAsia"/>
                <w:sz w:val="18"/>
                <w:szCs w:val="18"/>
              </w:rPr>
              <w:t>2、支持为用户指定用户角色和设置其可见的链路组。</w:t>
            </w:r>
          </w:p>
          <w:p>
            <w:pPr>
              <w:rPr>
                <w:sz w:val="18"/>
                <w:szCs w:val="18"/>
              </w:rPr>
            </w:pPr>
            <w:r>
              <w:rPr>
                <w:rFonts w:hint="eastAsia"/>
                <w:sz w:val="18"/>
                <w:szCs w:val="18"/>
              </w:rPr>
              <w:t>3、支持用户的快速查询。</w:t>
            </w:r>
          </w:p>
          <w:p>
            <w:pPr>
              <w:rPr>
                <w:sz w:val="18"/>
                <w:szCs w:val="18"/>
              </w:rPr>
            </w:pPr>
            <w:r>
              <w:rPr>
                <w:rFonts w:hint="eastAsia"/>
                <w:sz w:val="18"/>
                <w:szCs w:val="18"/>
              </w:rPr>
              <w:t>4、支持添加、修改和删除用户角色，每种用户角色具有不同的权限。</w:t>
            </w:r>
          </w:p>
          <w:p>
            <w:pPr>
              <w:rPr>
                <w:sz w:val="18"/>
                <w:szCs w:val="18"/>
              </w:rPr>
            </w:pPr>
            <w:r>
              <w:rPr>
                <w:rFonts w:hint="eastAsia"/>
                <w:sz w:val="18"/>
                <w:szCs w:val="18"/>
              </w:rPr>
              <w:t>5、可以设置权限的模块包括警报、流量监控、分析服务器列表、链路列表、链路组列表、报表、报表日志、用户列表、角色管理、审计日志、系统和服务。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8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b/>
                <w:sz w:val="18"/>
                <w:szCs w:val="18"/>
              </w:rPr>
            </w:pPr>
            <w:r>
              <w:rPr>
                <w:rFonts w:hint="eastAsia"/>
                <w:b/>
                <w:sz w:val="18"/>
                <w:szCs w:val="18"/>
              </w:rPr>
              <w:t>审计日志</w:t>
            </w:r>
          </w:p>
          <w:p>
            <w:pPr>
              <w:rPr>
                <w:sz w:val="18"/>
                <w:szCs w:val="18"/>
              </w:rPr>
            </w:pPr>
            <w:r>
              <w:rPr>
                <w:rFonts w:hint="eastAsia"/>
                <w:sz w:val="18"/>
                <w:szCs w:val="18"/>
              </w:rPr>
              <w:t>1、提供系统的所有操作日志信息。</w:t>
            </w:r>
          </w:p>
          <w:p>
            <w:pPr>
              <w:rPr>
                <w:sz w:val="18"/>
                <w:szCs w:val="18"/>
              </w:rPr>
            </w:pPr>
            <w:r>
              <w:rPr>
                <w:rFonts w:hint="eastAsia"/>
                <w:sz w:val="18"/>
                <w:szCs w:val="18"/>
              </w:rPr>
              <w:t>2、支持将日志导出为XLS和CSV两个格式。</w:t>
            </w:r>
          </w:p>
          <w:p>
            <w:pPr>
              <w:rPr>
                <w:sz w:val="18"/>
                <w:szCs w:val="18"/>
              </w:rPr>
            </w:pPr>
            <w:r>
              <w:rPr>
                <w:rFonts w:hint="eastAsia"/>
                <w:sz w:val="18"/>
                <w:szCs w:val="18"/>
              </w:rPr>
              <w:t>3、支持按用户和时间查询日志信息。</w:t>
            </w:r>
          </w:p>
          <w:p>
            <w:pPr>
              <w:rPr>
                <w:sz w:val="18"/>
                <w:szCs w:val="18"/>
              </w:rPr>
            </w:pPr>
            <w:r>
              <w:rPr>
                <w:rFonts w:hint="eastAsia"/>
                <w:sz w:val="18"/>
                <w:szCs w:val="18"/>
              </w:rPr>
              <w:t>4、日志信息中包括姓名、IP、时间、请求和响应。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80" w:hRule="atLeast"/>
          <w:jc w:val="center"/>
        </w:trPr>
        <w:tc>
          <w:tcPr>
            <w:tcW w:w="903" w:type="dxa"/>
            <w:gridSpan w:val="2"/>
            <w:vMerge w:val="continue"/>
            <w:vAlign w:val="center"/>
          </w:tcPr>
          <w:p>
            <w:pPr>
              <w:widowControl/>
              <w:spacing w:line="240" w:lineRule="exact"/>
              <w:rPr>
                <w:rFonts w:ascii="宋体" w:hAnsi="宋体" w:cs="宋体"/>
                <w:kern w:val="0"/>
                <w:sz w:val="18"/>
                <w:szCs w:val="18"/>
              </w:rPr>
            </w:pPr>
          </w:p>
        </w:tc>
        <w:tc>
          <w:tcPr>
            <w:tcW w:w="1135" w:type="dxa"/>
            <w:gridSpan w:val="2"/>
            <w:vMerge w:val="continue"/>
            <w:vAlign w:val="center"/>
          </w:tcPr>
          <w:p>
            <w:pPr>
              <w:widowControl/>
              <w:spacing w:line="240" w:lineRule="exact"/>
              <w:rPr>
                <w:rFonts w:ascii="宋体" w:hAnsi="宋体" w:cs="宋体"/>
                <w:kern w:val="0"/>
                <w:sz w:val="18"/>
                <w:szCs w:val="18"/>
              </w:rPr>
            </w:pPr>
          </w:p>
        </w:tc>
        <w:tc>
          <w:tcPr>
            <w:tcW w:w="7829" w:type="dxa"/>
            <w:vAlign w:val="center"/>
          </w:tcPr>
          <w:p>
            <w:pPr>
              <w:rPr>
                <w:b/>
                <w:sz w:val="18"/>
                <w:szCs w:val="18"/>
              </w:rPr>
            </w:pPr>
            <w:r>
              <w:rPr>
                <w:b/>
                <w:sz w:val="18"/>
                <w:szCs w:val="18"/>
              </w:rPr>
              <w:t>系统配置</w:t>
            </w:r>
          </w:p>
          <w:p>
            <w:pPr>
              <w:rPr>
                <w:sz w:val="18"/>
                <w:szCs w:val="18"/>
              </w:rPr>
            </w:pPr>
            <w:r>
              <w:rPr>
                <w:rFonts w:hint="eastAsia"/>
                <w:sz w:val="18"/>
                <w:szCs w:val="18"/>
              </w:rPr>
              <w:t>1、支持进行SMTP服务器设置</w:t>
            </w:r>
          </w:p>
          <w:p>
            <w:pPr>
              <w:rPr>
                <w:sz w:val="18"/>
                <w:szCs w:val="18"/>
              </w:rPr>
            </w:pPr>
            <w:r>
              <w:rPr>
                <w:rFonts w:hint="eastAsia"/>
                <w:sz w:val="18"/>
                <w:szCs w:val="18"/>
              </w:rPr>
              <w:t>2、支持进行数据保存周期的设置，可以分别设置审计日志和警报数据的保存天数。</w:t>
            </w:r>
          </w:p>
          <w:p>
            <w:pPr>
              <w:rPr>
                <w:b/>
                <w:sz w:val="18"/>
                <w:szCs w:val="18"/>
              </w:rPr>
            </w:pPr>
            <w:r>
              <w:rPr>
                <w:rFonts w:hint="eastAsia"/>
                <w:sz w:val="18"/>
                <w:szCs w:val="18"/>
              </w:rPr>
              <w:t>3、支持设置警告包的签报数量，取值范围为100-50000。</w:t>
            </w:r>
          </w:p>
        </w:tc>
      </w:tr>
    </w:tbl>
    <w:p>
      <w:pPr>
        <w:rPr>
          <w:rFonts w:asciiTheme="majorHAnsi" w:hAnsiTheme="majorHAnsi" w:eastAsiaTheme="majorEastAsia" w:cstheme="majorBidi"/>
          <w:sz w:val="32"/>
          <w:szCs w:val="32"/>
        </w:rPr>
      </w:pPr>
      <w:r>
        <w:br w:type="page"/>
      </w:r>
    </w:p>
    <w:p>
      <w:pPr>
        <w:pStyle w:val="2"/>
        <w:rPr>
          <w:lang w:val="zh-CN"/>
        </w:rPr>
      </w:pPr>
      <w:r>
        <w:rPr>
          <w:rFonts w:hint="eastAsia"/>
          <w:lang w:val="zh-CN"/>
        </w:rPr>
        <w:t>三、相关要求</w:t>
      </w:r>
    </w:p>
    <w:p>
      <w:pPr>
        <w:spacing w:line="360" w:lineRule="auto"/>
        <w:ind w:firstLine="424" w:firstLineChars="177"/>
        <w:rPr>
          <w:rFonts w:ascii="宋体" w:hAnsi="宋体" w:cs="宋体"/>
          <w:b/>
          <w:sz w:val="24"/>
          <w:lang w:val="zh-CN"/>
        </w:rPr>
      </w:pPr>
      <w:r>
        <w:rPr>
          <w:rFonts w:ascii="宋体" w:hAnsi="宋体" w:cs="宋体"/>
          <w:sz w:val="24"/>
          <w:lang w:val="zh-CN"/>
        </w:rPr>
        <w:t>1</w:t>
      </w:r>
      <w:r>
        <w:rPr>
          <w:rFonts w:hint="eastAsia" w:ascii="宋体" w:hAnsi="宋体" w:cs="宋体"/>
          <w:sz w:val="24"/>
          <w:lang w:val="zh-CN"/>
        </w:rPr>
        <w:t>、货物技术要求中“网络</w:t>
      </w:r>
      <w:r>
        <w:rPr>
          <w:rFonts w:ascii="宋体" w:hAnsi="宋体" w:cs="宋体"/>
          <w:sz w:val="24"/>
          <w:lang w:val="zh-CN"/>
        </w:rPr>
        <w:t>回溯分析设备”</w:t>
      </w:r>
      <w:r>
        <w:rPr>
          <w:rFonts w:hint="eastAsia" w:ascii="宋体" w:hAnsi="宋体" w:cs="宋体"/>
          <w:sz w:val="24"/>
          <w:lang w:val="zh-CN"/>
        </w:rPr>
        <w:t>、“综合监控</w:t>
      </w:r>
      <w:r>
        <w:rPr>
          <w:rFonts w:ascii="宋体" w:hAnsi="宋体" w:cs="宋体"/>
          <w:sz w:val="24"/>
          <w:lang w:val="zh-CN"/>
        </w:rPr>
        <w:t>分析中心</w:t>
      </w:r>
      <w:r>
        <w:rPr>
          <w:rFonts w:hint="eastAsia" w:ascii="宋体" w:hAnsi="宋体" w:cs="宋体"/>
          <w:sz w:val="24"/>
          <w:lang w:val="zh-CN"/>
        </w:rPr>
        <w:t>”产品须保证满足省、市、县互联互通，将市县级采集数据反馈到上级平台，实现市级、省级集中管理，</w:t>
      </w:r>
      <w:r>
        <w:rPr>
          <w:rFonts w:ascii="宋体" w:hAnsi="宋体" w:cs="宋体"/>
          <w:sz w:val="24"/>
          <w:lang w:val="zh-CN"/>
        </w:rPr>
        <w:t>投标厂商</w:t>
      </w:r>
      <w:r>
        <w:rPr>
          <w:rFonts w:hint="eastAsia" w:ascii="宋体" w:hAnsi="宋体" w:cs="宋体"/>
          <w:sz w:val="24"/>
          <w:lang w:val="zh-CN"/>
        </w:rPr>
        <w:t>需</w:t>
      </w:r>
      <w:r>
        <w:rPr>
          <w:rFonts w:ascii="宋体" w:hAnsi="宋体" w:cs="宋体"/>
          <w:sz w:val="24"/>
          <w:lang w:val="zh-CN"/>
        </w:rPr>
        <w:t>提供</w:t>
      </w:r>
      <w:r>
        <w:rPr>
          <w:rFonts w:hint="eastAsia" w:ascii="宋体" w:hAnsi="宋体" w:cs="宋体"/>
          <w:sz w:val="24"/>
          <w:lang w:val="zh-CN"/>
        </w:rPr>
        <w:t>能够</w:t>
      </w:r>
      <w:r>
        <w:rPr>
          <w:rFonts w:ascii="宋体" w:hAnsi="宋体" w:cs="宋体"/>
          <w:sz w:val="24"/>
          <w:lang w:val="zh-CN"/>
        </w:rPr>
        <w:t>实现互联互通</w:t>
      </w:r>
      <w:r>
        <w:rPr>
          <w:rFonts w:hint="eastAsia" w:ascii="宋体" w:hAnsi="宋体" w:cs="宋体"/>
          <w:sz w:val="24"/>
          <w:lang w:val="zh-CN"/>
        </w:rPr>
        <w:t>的有效证明</w:t>
      </w:r>
      <w:r>
        <w:rPr>
          <w:rFonts w:ascii="宋体" w:hAnsi="宋体" w:cs="宋体"/>
          <w:sz w:val="24"/>
          <w:lang w:val="zh-CN"/>
        </w:rPr>
        <w:t>材料</w:t>
      </w:r>
      <w:r>
        <w:rPr>
          <w:rFonts w:hint="eastAsia" w:ascii="宋体" w:hAnsi="宋体" w:cs="宋体"/>
          <w:sz w:val="24"/>
          <w:lang w:val="zh-CN"/>
        </w:rPr>
        <w:t>。</w:t>
      </w:r>
    </w:p>
    <w:p>
      <w:pPr>
        <w:spacing w:line="360" w:lineRule="auto"/>
        <w:ind w:firstLine="424" w:firstLineChars="177"/>
        <w:rPr>
          <w:rFonts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lang w:val="zh-CN"/>
        </w:rPr>
        <w:t>、投标人实施人员具有公安部颁发的信息安全等级保护安全建设专业技术人员证书；</w:t>
      </w:r>
    </w:p>
    <w:p>
      <w:pPr>
        <w:spacing w:line="360" w:lineRule="auto"/>
        <w:ind w:firstLine="424" w:firstLineChars="177"/>
        <w:rPr>
          <w:rFonts w:ascii="宋体" w:hAnsi="宋体" w:cs="宋体"/>
          <w:b/>
          <w:color w:val="000000"/>
          <w:sz w:val="24"/>
          <w:lang w:val="zh-CN"/>
        </w:rPr>
      </w:pPr>
      <w:r>
        <w:rPr>
          <w:rFonts w:ascii="宋体" w:hAnsi="宋体" w:cs="宋体"/>
          <w:color w:val="000000"/>
          <w:sz w:val="24"/>
        </w:rPr>
        <w:t>3</w:t>
      </w:r>
      <w:r>
        <w:rPr>
          <w:rFonts w:hint="eastAsia" w:ascii="宋体" w:hAnsi="宋体" w:cs="宋体"/>
          <w:color w:val="000000"/>
          <w:sz w:val="24"/>
          <w:lang w:val="zh-CN"/>
        </w:rPr>
        <w:t>、投标人投标文件中须明确所投产品的厂家、产地、品牌、型号、详细参数，</w:t>
      </w:r>
      <w:r>
        <w:rPr>
          <w:rFonts w:hint="eastAsia" w:ascii="宋体" w:hAnsi="宋体" w:cs="宋体"/>
          <w:b/>
          <w:color w:val="000000"/>
          <w:sz w:val="24"/>
          <w:lang w:val="zh-CN"/>
        </w:rPr>
        <w:t>否则为无效投标。</w:t>
      </w:r>
    </w:p>
    <w:p>
      <w:pPr>
        <w:spacing w:line="360" w:lineRule="auto"/>
        <w:ind w:firstLine="424" w:firstLineChars="177"/>
        <w:rPr>
          <w:rFonts w:ascii="宋体" w:hAnsi="宋体" w:cs="宋体"/>
          <w:color w:val="000000"/>
          <w:sz w:val="24"/>
          <w:lang w:val="zh-CN"/>
        </w:rPr>
      </w:pPr>
      <w:r>
        <w:rPr>
          <w:rFonts w:ascii="宋体" w:hAnsi="宋体" w:cs="宋体"/>
          <w:color w:val="000000"/>
          <w:sz w:val="24"/>
        </w:rPr>
        <w:t>4</w:t>
      </w:r>
      <w:r>
        <w:rPr>
          <w:rFonts w:hint="eastAsia" w:ascii="宋体" w:hAnsi="宋体" w:cs="宋体"/>
          <w:color w:val="000000"/>
          <w:sz w:val="24"/>
          <w:lang w:val="zh-CN"/>
        </w:rPr>
        <w:t>、投标人应就该项目完整投标，</w:t>
      </w:r>
      <w:r>
        <w:rPr>
          <w:rFonts w:hint="eastAsia" w:ascii="宋体" w:hAnsi="宋体" w:cs="宋体"/>
          <w:b/>
          <w:color w:val="000000"/>
          <w:sz w:val="24"/>
          <w:lang w:val="zh-CN"/>
        </w:rPr>
        <w:t>否则为无效投标。</w:t>
      </w:r>
    </w:p>
    <w:p>
      <w:pPr>
        <w:spacing w:line="360" w:lineRule="auto"/>
        <w:ind w:firstLine="424" w:firstLineChars="177"/>
        <w:rPr>
          <w:rFonts w:ascii="宋体" w:hAnsi="宋体" w:cs="宋体"/>
          <w:color w:val="000000"/>
          <w:sz w:val="24"/>
          <w:lang w:val="zh-CN"/>
        </w:rPr>
      </w:pPr>
      <w:r>
        <w:rPr>
          <w:rFonts w:ascii="宋体" w:hAnsi="宋体" w:cs="宋体"/>
          <w:color w:val="000000"/>
          <w:sz w:val="24"/>
        </w:rPr>
        <w:t>5</w:t>
      </w:r>
      <w:r>
        <w:rPr>
          <w:rFonts w:hint="eastAsia" w:ascii="宋体" w:hAnsi="宋体" w:cs="宋体"/>
          <w:color w:val="000000"/>
          <w:sz w:val="24"/>
          <w:lang w:val="zh-CN"/>
        </w:rPr>
        <w:t>、随机资料及附件齐全。</w:t>
      </w:r>
    </w:p>
    <w:p>
      <w:pPr>
        <w:spacing w:line="360" w:lineRule="auto"/>
        <w:ind w:firstLine="424" w:firstLineChars="177"/>
        <w:rPr>
          <w:rFonts w:ascii="宋体" w:hAnsi="宋体" w:cs="宋体"/>
          <w:color w:val="000000"/>
          <w:sz w:val="24"/>
          <w:lang w:val="zh-CN"/>
        </w:rPr>
      </w:pPr>
      <w:r>
        <w:rPr>
          <w:rFonts w:ascii="宋体" w:hAnsi="宋体" w:cs="宋体"/>
          <w:color w:val="000000"/>
          <w:sz w:val="24"/>
        </w:rPr>
        <w:t>6</w:t>
      </w:r>
      <w:r>
        <w:rPr>
          <w:rFonts w:hint="eastAsia" w:ascii="宋体" w:hAnsi="宋体" w:cs="宋体"/>
          <w:color w:val="000000"/>
          <w:sz w:val="24"/>
          <w:lang w:val="zh-CN"/>
        </w:rPr>
        <w:t>、设备必须符合国家质量检测标准和本招标文件规定标准的全新正品现货，随货物提供《产品合格证》及其它相关质量证明文件。</w:t>
      </w:r>
    </w:p>
    <w:p>
      <w:pPr>
        <w:spacing w:line="360" w:lineRule="auto"/>
        <w:ind w:firstLine="424" w:firstLineChars="177"/>
        <w:rPr>
          <w:rFonts w:ascii="宋体" w:hAnsi="宋体" w:cs="宋体"/>
          <w:color w:val="000000"/>
          <w:sz w:val="24"/>
          <w:lang w:val="zh-CN"/>
        </w:rPr>
      </w:pPr>
      <w:r>
        <w:rPr>
          <w:rFonts w:ascii="宋体" w:hAnsi="宋体" w:cs="宋体"/>
          <w:color w:val="000000"/>
          <w:sz w:val="24"/>
        </w:rPr>
        <w:t>7</w:t>
      </w:r>
      <w:r>
        <w:rPr>
          <w:rFonts w:hint="eastAsia" w:ascii="宋体" w:hAnsi="宋体" w:cs="宋体"/>
          <w:color w:val="000000"/>
          <w:sz w:val="24"/>
          <w:lang w:val="zh-CN"/>
        </w:rPr>
        <w:t>、专利权：投标人应保证用户在使用该货物或其任何一部分时不受第三方提出侵犯其专利权、商标权和工业设计权等的起诉。</w:t>
      </w:r>
    </w:p>
    <w:p>
      <w:pPr>
        <w:spacing w:line="360" w:lineRule="auto"/>
        <w:ind w:firstLine="424" w:firstLineChars="177"/>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24" w:firstLineChars="177"/>
        <w:rPr>
          <w:rFonts w:ascii="宋体" w:hAnsi="宋体" w:cs="宋体"/>
          <w:color w:val="000000"/>
          <w:sz w:val="24"/>
          <w:lang w:val="zh-CN"/>
        </w:rPr>
      </w:pPr>
      <w:r>
        <w:rPr>
          <w:rFonts w:ascii="宋体" w:hAnsi="宋体" w:cs="宋体"/>
          <w:color w:val="000000"/>
          <w:sz w:val="24"/>
        </w:rPr>
        <w:t>9</w:t>
      </w:r>
      <w:r>
        <w:rPr>
          <w:rFonts w:hint="eastAsia" w:ascii="宋体" w:hAnsi="宋体" w:cs="宋体"/>
          <w:color w:val="000000"/>
          <w:sz w:val="24"/>
          <w:lang w:val="zh-CN"/>
        </w:rPr>
        <w:t>、</w:t>
      </w:r>
      <w:r>
        <w:rPr>
          <w:rFonts w:hint="eastAsia" w:ascii="宋体" w:hAnsi="宋体" w:cs="宋体"/>
          <w:color w:val="000000"/>
          <w:sz w:val="24"/>
        </w:rPr>
        <w:t>投标人须明确维修点地址、负责人、联系人和联系电话，维修点具备什么样的维修能力等详细资料。</w:t>
      </w:r>
    </w:p>
    <w:p>
      <w:pPr>
        <w:spacing w:line="360" w:lineRule="auto"/>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r>
        <w:rPr>
          <w:rFonts w:hint="eastAsia" w:ascii="宋体" w:hAnsi="宋体" w:cs="宋体"/>
          <w:color w:val="000000"/>
          <w:sz w:val="24"/>
        </w:rPr>
        <w:t>、本项目为交钥匙工程（包括设备、材料、元件等购置、安装调试、验收、与其它施工单位协作所产生的费用等），如有招标文件中没有明确，而本项目必须的各种材料、设备、施工器械均应包括在本项目中，采购人不再另行进行支付有关款项。</w:t>
      </w:r>
    </w:p>
    <w:p>
      <w:pPr>
        <w:spacing w:line="360" w:lineRule="auto"/>
        <w:ind w:firstLine="424" w:firstLineChars="177"/>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w:t>
      </w:r>
      <w:r>
        <w:rPr>
          <w:rFonts w:ascii="宋体" w:hAnsi="宋体" w:cs="宋体"/>
          <w:color w:val="000000"/>
          <w:sz w:val="24"/>
        </w:rPr>
        <w:t>项目</w:t>
      </w:r>
      <w:r>
        <w:rPr>
          <w:rFonts w:hint="eastAsia" w:ascii="宋体" w:hAnsi="宋体" w:cs="宋体"/>
          <w:color w:val="000000"/>
          <w:sz w:val="24"/>
        </w:rPr>
        <w:t>交货期为30天</w:t>
      </w:r>
      <w:r>
        <w:rPr>
          <w:rFonts w:ascii="宋体" w:hAnsi="宋体" w:cs="宋体"/>
          <w:color w:val="000000"/>
          <w:sz w:val="24"/>
        </w:rPr>
        <w:t>，交货地点为采购人指定地点。</w:t>
      </w:r>
    </w:p>
    <w:p>
      <w:pPr>
        <w:spacing w:line="360" w:lineRule="auto"/>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2</w:t>
      </w:r>
      <w:r>
        <w:rPr>
          <w:rFonts w:hint="eastAsia" w:ascii="宋体" w:hAnsi="宋体" w:cs="宋体"/>
          <w:color w:val="000000"/>
          <w:sz w:val="24"/>
        </w:rPr>
        <w:t>、投标人应制订切实可行的实施计划，并严格按照交货期进行交货。</w:t>
      </w:r>
    </w:p>
    <w:p>
      <w:pPr>
        <w:spacing w:line="360" w:lineRule="auto"/>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3</w:t>
      </w:r>
      <w:r>
        <w:rPr>
          <w:rFonts w:hint="eastAsia" w:ascii="宋体" w:hAnsi="宋体" w:cs="宋体"/>
          <w:color w:val="000000"/>
          <w:sz w:val="24"/>
        </w:rPr>
        <w:t>、投标人应提供人员培训方案，并组织实施，内容包括（但不限于）安装调试、使用和运行管理、问题检测与修复等。</w:t>
      </w:r>
    </w:p>
    <w:p>
      <w:pPr>
        <w:spacing w:line="360" w:lineRule="auto"/>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r>
        <w:rPr>
          <w:rFonts w:hint="eastAsia" w:ascii="宋体" w:hAnsi="宋体" w:cs="宋体"/>
          <w:color w:val="000000"/>
          <w:sz w:val="24"/>
        </w:rPr>
        <w:t>、投标人必须成立合理的组织机构，建立健全保障项目顺利实施的各项管理制度和质量保证体系，安排足够的高素质人才参加本项目的建设。</w:t>
      </w:r>
    </w:p>
    <w:p>
      <w:pPr>
        <w:spacing w:line="360" w:lineRule="auto"/>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w:t>
      </w:r>
      <w:r>
        <w:rPr>
          <w:rFonts w:hint="eastAsia" w:ascii="宋体" w:hAnsi="宋体" w:cs="宋体"/>
          <w:color w:val="000000"/>
          <w:sz w:val="24"/>
        </w:rPr>
        <w:t>、在项目机构中应明确各岗位的职责、任职资格，确保工程顺利实施。根据本项目的业务性质，配备具有同类系统建设经验的项目经理、技术总监等人员承担本项目工作。</w:t>
      </w:r>
    </w:p>
    <w:p>
      <w:pPr>
        <w:spacing w:line="360" w:lineRule="auto"/>
        <w:ind w:firstLine="424" w:firstLineChars="177"/>
        <w:rPr>
          <w:rFonts w:ascii="宋体" w:hAnsi="宋体" w:cs="宋体"/>
          <w:color w:val="000000"/>
          <w:sz w:val="24"/>
        </w:rPr>
      </w:pPr>
      <w:r>
        <w:rPr>
          <w:rFonts w:ascii="宋体" w:hAnsi="宋体" w:cs="宋体"/>
          <w:color w:val="000000"/>
          <w:sz w:val="24"/>
        </w:rPr>
        <w:t>16</w:t>
      </w:r>
      <w:r>
        <w:rPr>
          <w:rFonts w:hint="eastAsia" w:ascii="宋体" w:hAnsi="宋体" w:cs="宋体"/>
          <w:color w:val="000000"/>
          <w:sz w:val="24"/>
        </w:rPr>
        <w:t>、付款方式</w:t>
      </w:r>
      <w:r>
        <w:rPr>
          <w:rFonts w:hint="eastAsia" w:ascii="宋体" w:hAnsi="宋体" w:cs="宋体"/>
          <w:b/>
          <w:color w:val="000000"/>
          <w:sz w:val="24"/>
        </w:rPr>
        <w:t>（不响应者为无效投标）</w:t>
      </w:r>
    </w:p>
    <w:p>
      <w:pPr>
        <w:spacing w:line="360" w:lineRule="auto"/>
        <w:ind w:firstLine="424" w:firstLineChars="177"/>
        <w:rPr>
          <w:rFonts w:ascii="宋体" w:hAnsi="宋体" w:cs="宋体"/>
          <w:color w:val="000000"/>
          <w:sz w:val="24"/>
          <w:lang w:val="zh-CN"/>
        </w:rPr>
      </w:pPr>
      <w:r>
        <w:rPr>
          <w:rFonts w:hint="eastAsia" w:ascii="宋体" w:hAnsi="宋体" w:cs="宋体"/>
          <w:color w:val="000000"/>
          <w:sz w:val="24"/>
          <w:lang w:val="zh-CN"/>
        </w:rPr>
        <w:t>经验收合格付合同总价款的9</w:t>
      </w:r>
      <w:r>
        <w:rPr>
          <w:rFonts w:ascii="宋体" w:hAnsi="宋体" w:cs="宋体"/>
          <w:color w:val="000000"/>
          <w:sz w:val="24"/>
          <w:lang w:val="zh-CN"/>
        </w:rPr>
        <w:t>5</w:t>
      </w:r>
      <w:r>
        <w:rPr>
          <w:rFonts w:hint="eastAsia" w:ascii="宋体" w:hAnsi="宋体" w:cs="宋体"/>
          <w:color w:val="000000"/>
          <w:sz w:val="24"/>
          <w:lang w:val="zh-CN"/>
        </w:rPr>
        <w:t>%，</w:t>
      </w:r>
      <w:r>
        <w:rPr>
          <w:rFonts w:ascii="宋体" w:hAnsi="宋体" w:cs="宋体"/>
          <w:color w:val="000000"/>
          <w:sz w:val="24"/>
          <w:lang w:val="zh-CN"/>
        </w:rPr>
        <w:t>5</w:t>
      </w:r>
      <w:r>
        <w:rPr>
          <w:rFonts w:hint="eastAsia" w:ascii="宋体" w:hAnsi="宋体" w:cs="宋体"/>
          <w:color w:val="000000"/>
          <w:sz w:val="24"/>
          <w:lang w:val="zh-CN"/>
        </w:rPr>
        <w:t>%免费质保期满一次付清。</w:t>
      </w:r>
    </w:p>
    <w:p>
      <w:pPr>
        <w:spacing w:line="360" w:lineRule="auto"/>
        <w:ind w:firstLine="424" w:firstLineChars="177"/>
        <w:rPr>
          <w:rFonts w:ascii="宋体" w:hAnsi="宋体" w:cs="宋体"/>
          <w:b/>
          <w:color w:val="000000"/>
          <w:sz w:val="24"/>
        </w:rPr>
      </w:pPr>
      <w:r>
        <w:rPr>
          <w:rFonts w:ascii="宋体" w:hAnsi="宋体" w:cs="宋体"/>
          <w:color w:val="000000"/>
          <w:sz w:val="24"/>
        </w:rPr>
        <w:t>17</w:t>
      </w:r>
      <w:r>
        <w:rPr>
          <w:rFonts w:hint="eastAsia" w:ascii="宋体" w:hAnsi="宋体" w:cs="宋体"/>
          <w:color w:val="000000"/>
          <w:sz w:val="24"/>
        </w:rPr>
        <w:t>、采购预算</w:t>
      </w:r>
      <w:r>
        <w:rPr>
          <w:rFonts w:hint="eastAsia" w:ascii="宋体" w:hAnsi="宋体" w:cs="宋体"/>
          <w:color w:val="000000"/>
          <w:sz w:val="24"/>
          <w:lang w:val="zh-CN"/>
        </w:rPr>
        <w:t>：93万元</w:t>
      </w:r>
      <w:r>
        <w:rPr>
          <w:rFonts w:hint="eastAsia" w:ascii="宋体" w:hAnsi="宋体" w:cs="宋体"/>
          <w:color w:val="000000"/>
          <w:sz w:val="24"/>
        </w:rPr>
        <w:t>，</w:t>
      </w:r>
      <w:r>
        <w:rPr>
          <w:rFonts w:hint="eastAsia" w:ascii="宋体" w:hAnsi="宋体" w:cs="宋体"/>
          <w:b/>
          <w:color w:val="000000"/>
          <w:sz w:val="24"/>
        </w:rPr>
        <w:t>超出者为无效投标。</w:t>
      </w:r>
    </w:p>
    <w:p>
      <w:pPr>
        <w:spacing w:line="360" w:lineRule="auto"/>
        <w:ind w:firstLine="426" w:firstLineChars="177"/>
        <w:rPr>
          <w:rFonts w:ascii="宋体" w:hAnsi="宋体" w:cs="宋体"/>
          <w:b/>
          <w:color w:val="000000"/>
          <w:sz w:val="24"/>
        </w:rPr>
      </w:pPr>
    </w:p>
    <w:p>
      <w:pPr>
        <w:pStyle w:val="2"/>
        <w:rPr>
          <w:lang w:val="zh-CN"/>
        </w:rPr>
      </w:pPr>
      <w:r>
        <w:rPr>
          <w:rFonts w:hint="eastAsia"/>
          <w:lang w:val="zh-CN"/>
        </w:rPr>
        <w:t>四、评分标准</w:t>
      </w:r>
    </w:p>
    <w:tbl>
      <w:tblPr>
        <w:tblStyle w:val="6"/>
        <w:tblW w:w="988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992"/>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tcPr>
          <w:p>
            <w:pPr>
              <w:widowControl/>
              <w:jc w:val="center"/>
              <w:rPr>
                <w:rFonts w:eastAsia="仿宋_GB2312"/>
                <w:kern w:val="0"/>
                <w:szCs w:val="21"/>
              </w:rPr>
            </w:pPr>
            <w:r>
              <w:rPr>
                <w:rFonts w:hint="eastAsia" w:ascii="仿宋_GB2312" w:hAnsi="仿宋_GB2312"/>
                <w:kern w:val="0"/>
                <w:szCs w:val="21"/>
              </w:rPr>
              <w:t>序号</w:t>
            </w:r>
          </w:p>
        </w:tc>
        <w:tc>
          <w:tcPr>
            <w:tcW w:w="1134" w:type="dxa"/>
          </w:tcPr>
          <w:p>
            <w:pPr>
              <w:widowControl/>
              <w:ind w:firstLine="23"/>
              <w:jc w:val="center"/>
              <w:rPr>
                <w:rFonts w:eastAsia="仿宋_GB2312"/>
                <w:kern w:val="0"/>
                <w:szCs w:val="21"/>
              </w:rPr>
            </w:pPr>
            <w:r>
              <w:rPr>
                <w:rFonts w:hint="eastAsia" w:ascii="仿宋_GB2312" w:hAnsi="仿宋_GB2312"/>
                <w:kern w:val="0"/>
                <w:szCs w:val="21"/>
              </w:rPr>
              <w:t>项目</w:t>
            </w:r>
          </w:p>
        </w:tc>
        <w:tc>
          <w:tcPr>
            <w:tcW w:w="992" w:type="dxa"/>
          </w:tcPr>
          <w:p>
            <w:pPr>
              <w:widowControl/>
              <w:jc w:val="center"/>
              <w:rPr>
                <w:rFonts w:eastAsia="仿宋_GB2312"/>
                <w:kern w:val="0"/>
                <w:szCs w:val="21"/>
              </w:rPr>
            </w:pPr>
            <w:r>
              <w:rPr>
                <w:rFonts w:hint="eastAsia" w:ascii="仿宋_GB2312" w:hAnsi="仿宋_GB2312"/>
                <w:kern w:val="0"/>
                <w:szCs w:val="21"/>
              </w:rPr>
              <w:t>标准</w:t>
            </w:r>
          </w:p>
        </w:tc>
        <w:tc>
          <w:tcPr>
            <w:tcW w:w="6912" w:type="dxa"/>
          </w:tcPr>
          <w:p>
            <w:pPr>
              <w:widowControl/>
              <w:jc w:val="center"/>
              <w:rPr>
                <w:rFonts w:eastAsia="仿宋_GB2312"/>
                <w:kern w:val="0"/>
                <w:szCs w:val="21"/>
              </w:rPr>
            </w:pPr>
            <w:r>
              <w:rPr>
                <w:rFonts w:hint="eastAsia" w:ascii="仿宋_GB2312" w:hAnsi="仿宋_GB2312"/>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51" w:type="dxa"/>
            <w:vMerge w:val="restart"/>
            <w:vAlign w:val="center"/>
          </w:tcPr>
          <w:p>
            <w:pPr>
              <w:widowControl/>
              <w:jc w:val="center"/>
              <w:rPr>
                <w:rFonts w:eastAsia="仿宋_GB2312"/>
                <w:kern w:val="0"/>
                <w:szCs w:val="21"/>
              </w:rPr>
            </w:pPr>
            <w:r>
              <w:rPr>
                <w:rFonts w:hint="eastAsia" w:ascii="仿宋_GB2312" w:hAnsi="仿宋_GB2312"/>
                <w:kern w:val="0"/>
                <w:szCs w:val="21"/>
              </w:rPr>
              <w:t>一</w:t>
            </w:r>
          </w:p>
        </w:tc>
        <w:tc>
          <w:tcPr>
            <w:tcW w:w="1134" w:type="dxa"/>
            <w:vMerge w:val="restart"/>
            <w:vAlign w:val="center"/>
          </w:tcPr>
          <w:p>
            <w:pPr>
              <w:widowControl/>
              <w:ind w:left="113" w:right="113" w:firstLine="23"/>
              <w:jc w:val="center"/>
              <w:rPr>
                <w:rFonts w:eastAsia="仿宋_GB2312"/>
                <w:kern w:val="0"/>
                <w:szCs w:val="21"/>
              </w:rPr>
            </w:pPr>
            <w:r>
              <w:rPr>
                <w:rFonts w:hint="eastAsia" w:ascii="仿宋_GB2312" w:hAnsi="仿宋_GB2312"/>
                <w:kern w:val="0"/>
                <w:szCs w:val="21"/>
              </w:rPr>
              <w:t>信誉及认证</w:t>
            </w:r>
          </w:p>
        </w:tc>
        <w:tc>
          <w:tcPr>
            <w:tcW w:w="992" w:type="dxa"/>
            <w:vMerge w:val="restart"/>
            <w:vAlign w:val="center"/>
          </w:tcPr>
          <w:p>
            <w:pPr>
              <w:widowControl/>
              <w:jc w:val="center"/>
              <w:rPr>
                <w:rFonts w:eastAsia="仿宋_GB2312"/>
                <w:kern w:val="0"/>
                <w:szCs w:val="21"/>
              </w:rPr>
            </w:pPr>
            <w:r>
              <w:rPr>
                <w:rFonts w:ascii="仿宋_GB2312" w:hAnsi="仿宋_GB2312"/>
                <w:kern w:val="0"/>
                <w:szCs w:val="21"/>
              </w:rPr>
              <w:t>15</w:t>
            </w:r>
            <w:r>
              <w:rPr>
                <w:rFonts w:hint="eastAsia" w:ascii="仿宋_GB2312" w:hAnsi="仿宋_GB2312"/>
                <w:kern w:val="0"/>
                <w:szCs w:val="21"/>
              </w:rPr>
              <w:t>分</w:t>
            </w:r>
          </w:p>
        </w:tc>
        <w:tc>
          <w:tcPr>
            <w:tcW w:w="6912" w:type="dxa"/>
          </w:tcPr>
          <w:p>
            <w:pPr>
              <w:widowControl/>
              <w:rPr>
                <w:rFonts w:ascii="仿宋_GB2312" w:hAnsi="仿宋_GB2312"/>
                <w:kern w:val="0"/>
                <w:szCs w:val="21"/>
              </w:rPr>
            </w:pPr>
            <w:r>
              <w:rPr>
                <w:rFonts w:hint="eastAsia" w:ascii="仿宋_GB2312" w:hAnsi="仿宋_GB2312"/>
                <w:kern w:val="0"/>
                <w:szCs w:val="21"/>
              </w:rPr>
              <w:t>投标人</w:t>
            </w:r>
            <w:r>
              <w:rPr>
                <w:rFonts w:hint="eastAsia" w:ascii="宋体" w:hAnsi="宋体"/>
                <w:kern w:val="0"/>
                <w:szCs w:val="21"/>
              </w:rPr>
              <w:t>具有信用AAA等级证书的得</w:t>
            </w:r>
            <w:r>
              <w:rPr>
                <w:rFonts w:ascii="宋体" w:hAnsi="宋体"/>
                <w:kern w:val="0"/>
                <w:szCs w:val="21"/>
              </w:rPr>
              <w:t>2</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continue"/>
            <w:vAlign w:val="center"/>
          </w:tcPr>
          <w:p>
            <w:pPr>
              <w:widowControl/>
              <w:jc w:val="left"/>
              <w:rPr>
                <w:rFonts w:eastAsia="仿宋_GB2312"/>
                <w:kern w:val="0"/>
                <w:szCs w:val="21"/>
              </w:rPr>
            </w:pPr>
          </w:p>
        </w:tc>
        <w:tc>
          <w:tcPr>
            <w:tcW w:w="1134" w:type="dxa"/>
            <w:vMerge w:val="continue"/>
            <w:vAlign w:val="center"/>
          </w:tcPr>
          <w:p>
            <w:pPr>
              <w:widowControl/>
              <w:jc w:val="left"/>
              <w:rPr>
                <w:rFonts w:eastAsia="仿宋_GB2312"/>
                <w:kern w:val="0"/>
                <w:szCs w:val="21"/>
              </w:rPr>
            </w:pPr>
          </w:p>
        </w:tc>
        <w:tc>
          <w:tcPr>
            <w:tcW w:w="992" w:type="dxa"/>
            <w:vMerge w:val="continue"/>
            <w:vAlign w:val="center"/>
          </w:tcPr>
          <w:p>
            <w:pPr>
              <w:widowControl/>
              <w:jc w:val="left"/>
              <w:rPr>
                <w:rFonts w:eastAsia="仿宋_GB2312"/>
                <w:kern w:val="0"/>
                <w:szCs w:val="21"/>
              </w:rPr>
            </w:pPr>
          </w:p>
        </w:tc>
        <w:tc>
          <w:tcPr>
            <w:tcW w:w="6912" w:type="dxa"/>
            <w:vAlign w:val="center"/>
          </w:tcPr>
          <w:p>
            <w:pPr>
              <w:widowControl/>
              <w:jc w:val="left"/>
              <w:rPr>
                <w:rFonts w:ascii="仿宋_GB2312" w:hAnsi="仿宋_GB2312" w:eastAsia="仿宋_GB2312"/>
                <w:kern w:val="0"/>
                <w:szCs w:val="21"/>
              </w:rPr>
            </w:pPr>
            <w:r>
              <w:rPr>
                <w:rFonts w:hint="eastAsia" w:ascii="宋体" w:hAnsi="宋体"/>
                <w:szCs w:val="21"/>
              </w:rPr>
              <w:t>投标人能提供</w:t>
            </w:r>
            <w:r>
              <w:rPr>
                <w:rFonts w:hint="eastAsia" w:ascii="宋体" w:hAnsi="宋体"/>
                <w:kern w:val="0"/>
                <w:szCs w:val="21"/>
              </w:rPr>
              <w:t>ISO/IEC20000-1:2005服务管理体系认证</w:t>
            </w:r>
            <w:r>
              <w:rPr>
                <w:rFonts w:hint="eastAsia" w:ascii="宋体" w:hAnsi="宋体"/>
                <w:szCs w:val="21"/>
              </w:rPr>
              <w:t>及</w:t>
            </w:r>
            <w:r>
              <w:rPr>
                <w:rFonts w:ascii="宋体" w:hAnsi="宋体"/>
                <w:szCs w:val="21"/>
              </w:rPr>
              <w:t>ISO/IEC27001</w:t>
            </w:r>
            <w:r>
              <w:rPr>
                <w:rFonts w:hint="eastAsia" w:ascii="宋体" w:hAnsi="宋体"/>
                <w:szCs w:val="21"/>
              </w:rPr>
              <w:t>信息安全管理认证体系证书的得</w:t>
            </w:r>
            <w:r>
              <w:rPr>
                <w:rFonts w:ascii="宋体" w:hAnsi="宋体"/>
                <w:szCs w:val="21"/>
              </w:rPr>
              <w:t>4</w:t>
            </w:r>
            <w:r>
              <w:rPr>
                <w:rFonts w:hint="eastAsia" w:ascii="宋体" w:hAnsi="宋体"/>
                <w:szCs w:val="21"/>
              </w:rPr>
              <w:t>分，</w:t>
            </w:r>
            <w:r>
              <w:rPr>
                <w:rFonts w:hint="eastAsia" w:ascii="仿宋_GB2312" w:hAnsi="仿宋_GB2312"/>
                <w:kern w:val="0"/>
                <w:szCs w:val="21"/>
              </w:rPr>
              <w:t>有其中一项得</w:t>
            </w:r>
            <w:r>
              <w:rPr>
                <w:rFonts w:hint="eastAsia"/>
                <w:kern w:val="0"/>
                <w:szCs w:val="21"/>
              </w:rPr>
              <w:t>2</w:t>
            </w:r>
            <w:r>
              <w:rPr>
                <w:rFonts w:hint="eastAsia" w:ascii="仿宋_GB2312" w:hAnsi="仿宋_GB2312"/>
                <w:kern w:val="0"/>
                <w:szCs w:val="21"/>
              </w:rPr>
              <w:t>分，没有不得分。</w:t>
            </w:r>
            <w:r>
              <w:rPr>
                <w:rFonts w:hint="eastAsia"/>
                <w:szCs w:val="21"/>
              </w:rPr>
              <w:t>须</w:t>
            </w:r>
            <w:r>
              <w:rPr>
                <w:szCs w:val="21"/>
              </w:rPr>
              <w:t>提供</w:t>
            </w:r>
            <w:r>
              <w:rPr>
                <w:rFonts w:hint="eastAsia"/>
                <w:szCs w:val="21"/>
              </w:rPr>
              <w:t>以上</w:t>
            </w:r>
            <w:r>
              <w:rPr>
                <w:szCs w:val="21"/>
              </w:rPr>
              <w:t>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continue"/>
            <w:vAlign w:val="center"/>
          </w:tcPr>
          <w:p>
            <w:pPr>
              <w:widowControl/>
              <w:jc w:val="left"/>
              <w:rPr>
                <w:rFonts w:eastAsia="仿宋_GB2312"/>
                <w:kern w:val="0"/>
                <w:szCs w:val="21"/>
              </w:rPr>
            </w:pPr>
          </w:p>
        </w:tc>
        <w:tc>
          <w:tcPr>
            <w:tcW w:w="1134" w:type="dxa"/>
            <w:vMerge w:val="continue"/>
            <w:vAlign w:val="center"/>
          </w:tcPr>
          <w:p>
            <w:pPr>
              <w:widowControl/>
              <w:jc w:val="left"/>
              <w:rPr>
                <w:rFonts w:eastAsia="仿宋_GB2312"/>
                <w:kern w:val="0"/>
                <w:szCs w:val="21"/>
              </w:rPr>
            </w:pPr>
          </w:p>
        </w:tc>
        <w:tc>
          <w:tcPr>
            <w:tcW w:w="992" w:type="dxa"/>
            <w:vMerge w:val="continue"/>
            <w:vAlign w:val="center"/>
          </w:tcPr>
          <w:p>
            <w:pPr>
              <w:widowControl/>
              <w:jc w:val="left"/>
              <w:rPr>
                <w:rFonts w:eastAsia="仿宋_GB2312"/>
                <w:kern w:val="0"/>
                <w:szCs w:val="21"/>
              </w:rPr>
            </w:pPr>
          </w:p>
        </w:tc>
        <w:tc>
          <w:tcPr>
            <w:tcW w:w="6912" w:type="dxa"/>
            <w:vAlign w:val="center"/>
          </w:tcPr>
          <w:p>
            <w:pPr>
              <w:widowControl/>
              <w:jc w:val="left"/>
              <w:rPr>
                <w:rFonts w:ascii="仿宋_GB2312" w:hAnsi="仿宋_GB2312"/>
                <w:kern w:val="0"/>
                <w:szCs w:val="21"/>
              </w:rPr>
            </w:pPr>
            <w:r>
              <w:rPr>
                <w:rFonts w:hint="eastAsia" w:ascii="仿宋_GB2312" w:hAnsi="仿宋_GB2312"/>
                <w:kern w:val="0"/>
                <w:szCs w:val="21"/>
              </w:rPr>
              <w:t>投标人能提供涉及国家秘密的计算机信息系统资质甲级证书（系统集成）资质的得4分，能提供乙级证书的得2分，没有不得分。</w:t>
            </w:r>
          </w:p>
          <w:p>
            <w:pPr>
              <w:widowControl/>
              <w:jc w:val="left"/>
              <w:rPr>
                <w:rFonts w:ascii="仿宋_GB2312" w:hAnsi="仿宋_GB2312"/>
                <w:kern w:val="0"/>
                <w:szCs w:val="21"/>
              </w:rPr>
            </w:pPr>
            <w:r>
              <w:rPr>
                <w:rFonts w:hint="eastAsia"/>
                <w:szCs w:val="21"/>
              </w:rPr>
              <w:t>须</w:t>
            </w:r>
            <w:r>
              <w:rPr>
                <w:szCs w:val="21"/>
              </w:rPr>
              <w:t>提供</w:t>
            </w:r>
            <w:r>
              <w:rPr>
                <w:rFonts w:hint="eastAsia"/>
                <w:szCs w:val="21"/>
              </w:rPr>
              <w:t>以上</w:t>
            </w:r>
            <w:r>
              <w:rPr>
                <w:szCs w:val="21"/>
              </w:rPr>
              <w:t>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continue"/>
            <w:vAlign w:val="center"/>
          </w:tcPr>
          <w:p>
            <w:pPr>
              <w:widowControl/>
              <w:jc w:val="left"/>
              <w:rPr>
                <w:rFonts w:eastAsia="仿宋_GB2312"/>
                <w:kern w:val="0"/>
                <w:szCs w:val="21"/>
              </w:rPr>
            </w:pPr>
          </w:p>
        </w:tc>
        <w:tc>
          <w:tcPr>
            <w:tcW w:w="1134" w:type="dxa"/>
            <w:vMerge w:val="continue"/>
            <w:vAlign w:val="center"/>
          </w:tcPr>
          <w:p>
            <w:pPr>
              <w:widowControl/>
              <w:jc w:val="left"/>
              <w:rPr>
                <w:rFonts w:eastAsia="仿宋_GB2312"/>
                <w:kern w:val="0"/>
                <w:szCs w:val="21"/>
              </w:rPr>
            </w:pPr>
          </w:p>
        </w:tc>
        <w:tc>
          <w:tcPr>
            <w:tcW w:w="992" w:type="dxa"/>
            <w:vMerge w:val="continue"/>
            <w:vAlign w:val="center"/>
          </w:tcPr>
          <w:p>
            <w:pPr>
              <w:widowControl/>
              <w:jc w:val="left"/>
              <w:rPr>
                <w:rFonts w:eastAsia="仿宋_GB2312"/>
                <w:kern w:val="0"/>
                <w:szCs w:val="21"/>
              </w:rPr>
            </w:pPr>
          </w:p>
        </w:tc>
        <w:tc>
          <w:tcPr>
            <w:tcW w:w="6912" w:type="dxa"/>
            <w:vAlign w:val="center"/>
          </w:tcPr>
          <w:p>
            <w:pPr>
              <w:widowControl/>
              <w:jc w:val="left"/>
              <w:rPr>
                <w:szCs w:val="21"/>
              </w:rPr>
            </w:pPr>
            <w:r>
              <w:rPr>
                <w:rFonts w:hint="eastAsia" w:ascii="宋体" w:hAnsi="宋体"/>
                <w:szCs w:val="21"/>
              </w:rPr>
              <w:t>投标人能提供</w:t>
            </w:r>
            <w:r>
              <w:rPr>
                <w:rFonts w:hint="eastAsia"/>
                <w:szCs w:val="21"/>
              </w:rPr>
              <w:t>信息安全服务资质证书（安全</w:t>
            </w:r>
            <w:r>
              <w:rPr>
                <w:szCs w:val="21"/>
              </w:rPr>
              <w:t>工程类一级）</w:t>
            </w:r>
            <w:r>
              <w:rPr>
                <w:rFonts w:hint="eastAsia"/>
                <w:szCs w:val="21"/>
              </w:rPr>
              <w:t>的得</w:t>
            </w:r>
            <w:r>
              <w:rPr>
                <w:szCs w:val="21"/>
              </w:rPr>
              <w:t>2</w:t>
            </w:r>
            <w:r>
              <w:rPr>
                <w:rFonts w:hint="eastAsia"/>
                <w:szCs w:val="21"/>
              </w:rPr>
              <w:t>分。</w:t>
            </w:r>
          </w:p>
          <w:p>
            <w:pPr>
              <w:widowControl/>
              <w:jc w:val="left"/>
              <w:rPr>
                <w:szCs w:val="21"/>
              </w:rPr>
            </w:pPr>
            <w:r>
              <w:rPr>
                <w:rFonts w:hint="eastAsia"/>
                <w:szCs w:val="21"/>
              </w:rPr>
              <w:t>投标人</w:t>
            </w:r>
            <w:r>
              <w:rPr>
                <w:szCs w:val="21"/>
              </w:rPr>
              <w:t>具有公安部颁发的</w:t>
            </w:r>
            <w:r>
              <w:rPr>
                <w:rFonts w:hint="eastAsia"/>
                <w:szCs w:val="21"/>
              </w:rPr>
              <w:t>信息安全等级保护安全建设服务机构能力评估合格证书得</w:t>
            </w:r>
            <w:r>
              <w:rPr>
                <w:szCs w:val="21"/>
              </w:rPr>
              <w:t>3</w:t>
            </w:r>
            <w:r>
              <w:rPr>
                <w:rFonts w:hint="eastAsia"/>
                <w:szCs w:val="21"/>
              </w:rPr>
              <w:t>分</w:t>
            </w:r>
            <w:r>
              <w:rPr>
                <w:rFonts w:hint="eastAsia" w:ascii="仿宋_GB2312" w:hAnsi="仿宋_GB2312"/>
                <w:kern w:val="0"/>
                <w:szCs w:val="21"/>
              </w:rPr>
              <w:t>，没有不得分</w:t>
            </w:r>
            <w:r>
              <w:rPr>
                <w:rFonts w:hint="eastAsia"/>
                <w:szCs w:val="21"/>
              </w:rPr>
              <w:t>。</w:t>
            </w:r>
          </w:p>
          <w:p>
            <w:pPr>
              <w:widowControl/>
              <w:jc w:val="left"/>
              <w:rPr>
                <w:rFonts w:ascii="仿宋_GB2312" w:hAnsi="仿宋_GB2312"/>
                <w:kern w:val="0"/>
                <w:szCs w:val="21"/>
              </w:rPr>
            </w:pPr>
            <w:r>
              <w:rPr>
                <w:rFonts w:hint="eastAsia"/>
                <w:szCs w:val="21"/>
              </w:rPr>
              <w:t>须</w:t>
            </w:r>
            <w:r>
              <w:rPr>
                <w:szCs w:val="21"/>
              </w:rPr>
              <w:t>提供</w:t>
            </w:r>
            <w:r>
              <w:rPr>
                <w:rFonts w:hint="eastAsia"/>
                <w:szCs w:val="21"/>
              </w:rPr>
              <w:t>以上</w:t>
            </w:r>
            <w:r>
              <w:rPr>
                <w:szCs w:val="21"/>
              </w:rPr>
              <w:t>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851" w:type="dxa"/>
            <w:vAlign w:val="center"/>
          </w:tcPr>
          <w:p>
            <w:pPr>
              <w:widowControl/>
              <w:jc w:val="center"/>
              <w:rPr>
                <w:rFonts w:eastAsia="仿宋_GB2312"/>
                <w:kern w:val="0"/>
                <w:szCs w:val="21"/>
              </w:rPr>
            </w:pPr>
            <w:r>
              <w:rPr>
                <w:rFonts w:hint="eastAsia" w:ascii="仿宋_GB2312" w:hAnsi="仿宋_GB2312"/>
                <w:kern w:val="0"/>
                <w:szCs w:val="21"/>
              </w:rPr>
              <w:t>二</w:t>
            </w:r>
          </w:p>
        </w:tc>
        <w:tc>
          <w:tcPr>
            <w:tcW w:w="1134" w:type="dxa"/>
            <w:vAlign w:val="center"/>
          </w:tcPr>
          <w:p>
            <w:pPr>
              <w:widowControl/>
              <w:ind w:firstLine="23"/>
              <w:jc w:val="center"/>
              <w:rPr>
                <w:rFonts w:eastAsia="仿宋_GB2312"/>
                <w:kern w:val="0"/>
                <w:szCs w:val="21"/>
              </w:rPr>
            </w:pPr>
            <w:r>
              <w:rPr>
                <w:rFonts w:hint="eastAsia" w:ascii="仿宋_GB2312" w:hAnsi="仿宋_GB2312"/>
                <w:kern w:val="0"/>
                <w:szCs w:val="21"/>
              </w:rPr>
              <w:t>业绩</w:t>
            </w:r>
          </w:p>
        </w:tc>
        <w:tc>
          <w:tcPr>
            <w:tcW w:w="992" w:type="dxa"/>
            <w:vAlign w:val="center"/>
          </w:tcPr>
          <w:p>
            <w:pPr>
              <w:widowControl/>
              <w:jc w:val="center"/>
              <w:rPr>
                <w:rFonts w:eastAsia="仿宋_GB2312"/>
                <w:kern w:val="0"/>
                <w:szCs w:val="21"/>
              </w:rPr>
            </w:pPr>
            <w:r>
              <w:rPr>
                <w:rFonts w:ascii="仿宋_GB2312" w:hAnsi="仿宋_GB2312"/>
                <w:kern w:val="0"/>
                <w:szCs w:val="21"/>
              </w:rPr>
              <w:t>10</w:t>
            </w:r>
            <w:r>
              <w:rPr>
                <w:rFonts w:hint="eastAsia" w:ascii="仿宋_GB2312" w:hAnsi="仿宋_GB2312"/>
                <w:kern w:val="0"/>
                <w:szCs w:val="21"/>
              </w:rPr>
              <w:t>分</w:t>
            </w:r>
          </w:p>
        </w:tc>
        <w:tc>
          <w:tcPr>
            <w:tcW w:w="6912" w:type="dxa"/>
          </w:tcPr>
          <w:p>
            <w:pPr>
              <w:widowControl/>
              <w:rPr>
                <w:rFonts w:eastAsia="仿宋_GB2312"/>
                <w:kern w:val="0"/>
                <w:szCs w:val="21"/>
              </w:rPr>
            </w:pPr>
            <w:r>
              <w:rPr>
                <w:rFonts w:hint="eastAsia" w:ascii="仿宋_GB2312" w:hAnsi="仿宋_GB2312"/>
                <w:kern w:val="0"/>
                <w:szCs w:val="21"/>
              </w:rPr>
              <w:t>投标人提供</w:t>
            </w:r>
            <w:r>
              <w:rPr>
                <w:kern w:val="0"/>
                <w:szCs w:val="21"/>
              </w:rPr>
              <w:t>20</w:t>
            </w:r>
            <w:r>
              <w:rPr>
                <w:rFonts w:hint="eastAsia"/>
                <w:kern w:val="0"/>
                <w:szCs w:val="21"/>
              </w:rPr>
              <w:t>1</w:t>
            </w:r>
            <w:r>
              <w:rPr>
                <w:kern w:val="0"/>
                <w:szCs w:val="21"/>
              </w:rPr>
              <w:t>5</w:t>
            </w:r>
            <w:r>
              <w:rPr>
                <w:rFonts w:hint="eastAsia" w:ascii="仿宋_GB2312" w:hAnsi="仿宋_GB2312"/>
                <w:kern w:val="0"/>
                <w:szCs w:val="21"/>
              </w:rPr>
              <w:t>年以来，政府采购招标中，具有安全</w:t>
            </w:r>
            <w:r>
              <w:rPr>
                <w:rFonts w:ascii="仿宋_GB2312" w:hAnsi="仿宋_GB2312"/>
                <w:kern w:val="0"/>
                <w:szCs w:val="21"/>
              </w:rPr>
              <w:t>系统建设相关</w:t>
            </w:r>
            <w:r>
              <w:rPr>
                <w:rFonts w:hint="eastAsia" w:ascii="仿宋_GB2312" w:hAnsi="仿宋_GB2312"/>
                <w:kern w:val="0"/>
                <w:szCs w:val="21"/>
              </w:rPr>
              <w:t>项目</w:t>
            </w:r>
            <w:r>
              <w:rPr>
                <w:rFonts w:ascii="仿宋_GB2312" w:hAnsi="仿宋_GB2312"/>
                <w:kern w:val="0"/>
                <w:szCs w:val="21"/>
              </w:rPr>
              <w:t>业绩</w:t>
            </w:r>
            <w:r>
              <w:rPr>
                <w:rFonts w:hint="eastAsia" w:ascii="仿宋_GB2312" w:hAnsi="仿宋_GB2312"/>
                <w:kern w:val="0"/>
                <w:szCs w:val="21"/>
              </w:rPr>
              <w:t>，中标金额9</w:t>
            </w:r>
            <w:r>
              <w:rPr>
                <w:kern w:val="0"/>
                <w:szCs w:val="21"/>
              </w:rPr>
              <w:t>0</w:t>
            </w:r>
            <w:r>
              <w:rPr>
                <w:rFonts w:hint="eastAsia"/>
                <w:kern w:val="0"/>
                <w:szCs w:val="21"/>
              </w:rPr>
              <w:t>-300</w:t>
            </w:r>
            <w:r>
              <w:rPr>
                <w:rFonts w:hint="eastAsia" w:ascii="仿宋_GB2312" w:hAnsi="仿宋_GB2312"/>
                <w:kern w:val="0"/>
                <w:szCs w:val="21"/>
              </w:rPr>
              <w:t>万元（含9</w:t>
            </w:r>
            <w:r>
              <w:rPr>
                <w:kern w:val="0"/>
                <w:szCs w:val="21"/>
              </w:rPr>
              <w:t>0</w:t>
            </w:r>
            <w:r>
              <w:rPr>
                <w:rFonts w:hint="eastAsia" w:ascii="仿宋_GB2312" w:hAnsi="仿宋_GB2312"/>
                <w:kern w:val="0"/>
                <w:szCs w:val="21"/>
              </w:rPr>
              <w:t>万元）的单个项目得</w:t>
            </w:r>
            <w:r>
              <w:rPr>
                <w:kern w:val="0"/>
                <w:szCs w:val="21"/>
              </w:rPr>
              <w:t>1</w:t>
            </w:r>
            <w:r>
              <w:rPr>
                <w:rFonts w:hint="eastAsia" w:ascii="仿宋_GB2312" w:hAnsi="仿宋_GB2312"/>
                <w:kern w:val="0"/>
                <w:szCs w:val="21"/>
              </w:rPr>
              <w:t>分；</w:t>
            </w:r>
            <w:r>
              <w:rPr>
                <w:kern w:val="0"/>
                <w:szCs w:val="21"/>
              </w:rPr>
              <w:t>3</w:t>
            </w:r>
            <w:r>
              <w:rPr>
                <w:rFonts w:hint="eastAsia"/>
                <w:kern w:val="0"/>
                <w:szCs w:val="21"/>
              </w:rPr>
              <w:t>0</w:t>
            </w:r>
            <w:r>
              <w:rPr>
                <w:kern w:val="0"/>
                <w:szCs w:val="21"/>
              </w:rPr>
              <w:t>0</w:t>
            </w:r>
            <w:r>
              <w:rPr>
                <w:rFonts w:hint="eastAsia" w:ascii="仿宋_GB2312" w:hAnsi="仿宋_GB2312"/>
                <w:kern w:val="0"/>
                <w:szCs w:val="21"/>
              </w:rPr>
              <w:t>万元（含</w:t>
            </w:r>
            <w:r>
              <w:rPr>
                <w:kern w:val="0"/>
                <w:szCs w:val="21"/>
              </w:rPr>
              <w:t>3</w:t>
            </w:r>
            <w:r>
              <w:rPr>
                <w:rFonts w:hint="eastAsia"/>
                <w:kern w:val="0"/>
                <w:szCs w:val="21"/>
              </w:rPr>
              <w:t>0</w:t>
            </w:r>
            <w:r>
              <w:rPr>
                <w:kern w:val="0"/>
                <w:szCs w:val="21"/>
              </w:rPr>
              <w:t>0</w:t>
            </w:r>
            <w:r>
              <w:rPr>
                <w:rFonts w:hint="eastAsia" w:ascii="仿宋_GB2312" w:hAnsi="仿宋_GB2312"/>
                <w:kern w:val="0"/>
                <w:szCs w:val="21"/>
              </w:rPr>
              <w:t>万元）以上的单个项目得</w:t>
            </w:r>
            <w:r>
              <w:rPr>
                <w:kern w:val="0"/>
                <w:szCs w:val="21"/>
              </w:rPr>
              <w:t>2</w:t>
            </w:r>
            <w:r>
              <w:rPr>
                <w:rFonts w:hint="eastAsia" w:ascii="仿宋_GB2312" w:hAnsi="仿宋_GB2312"/>
                <w:kern w:val="0"/>
                <w:szCs w:val="21"/>
              </w:rPr>
              <w:t>分。最高得分</w:t>
            </w:r>
            <w:r>
              <w:rPr>
                <w:kern w:val="0"/>
                <w:szCs w:val="21"/>
              </w:rPr>
              <w:t>10</w:t>
            </w:r>
            <w:r>
              <w:rPr>
                <w:rFonts w:hint="eastAsia" w:ascii="仿宋_GB2312" w:hAnsi="仿宋_GB2312"/>
                <w:kern w:val="0"/>
                <w:szCs w:val="21"/>
              </w:rPr>
              <w:t>分（同时</w:t>
            </w:r>
            <w:r>
              <w:rPr>
                <w:rFonts w:ascii="仿宋_GB2312" w:hAnsi="仿宋_GB2312"/>
                <w:kern w:val="0"/>
                <w:szCs w:val="21"/>
              </w:rPr>
              <w:t>提供</w:t>
            </w:r>
            <w:r>
              <w:rPr>
                <w:rFonts w:hint="eastAsia" w:ascii="仿宋_GB2312" w:hAnsi="仿宋_GB2312"/>
                <w:kern w:val="0"/>
                <w:szCs w:val="21"/>
              </w:rPr>
              <w:t>中标</w:t>
            </w:r>
            <w:r>
              <w:rPr>
                <w:rFonts w:ascii="仿宋_GB2312" w:hAnsi="仿宋_GB2312"/>
                <w:kern w:val="0"/>
                <w:szCs w:val="21"/>
              </w:rPr>
              <w:t>通知书、</w:t>
            </w:r>
            <w:r>
              <w:rPr>
                <w:rFonts w:hint="eastAsia" w:ascii="仿宋_GB2312" w:hAnsi="仿宋_GB2312"/>
                <w:kern w:val="0"/>
                <w:szCs w:val="21"/>
              </w:rPr>
              <w:t>与</w:t>
            </w:r>
            <w:r>
              <w:rPr>
                <w:rFonts w:ascii="仿宋_GB2312" w:hAnsi="仿宋_GB2312"/>
                <w:kern w:val="0"/>
                <w:szCs w:val="21"/>
              </w:rPr>
              <w:t>最终用户签订的合同</w:t>
            </w:r>
            <w:r>
              <w:rPr>
                <w:rFonts w:hint="eastAsia" w:ascii="仿宋_GB2312" w:hAnsi="仿宋_GB2312"/>
                <w:kern w:val="0"/>
                <w:szCs w:val="21"/>
              </w:rPr>
              <w:t>及</w:t>
            </w:r>
            <w:r>
              <w:rPr>
                <w:rFonts w:ascii="仿宋_GB2312" w:hAnsi="仿宋_GB2312"/>
                <w:kern w:val="0"/>
                <w:szCs w:val="21"/>
              </w:rPr>
              <w:t>验收报告</w:t>
            </w:r>
            <w:r>
              <w:rPr>
                <w:rFonts w:hint="eastAsia" w:ascii="仿宋_GB2312" w:hAnsi="仿宋_GB2312"/>
                <w:kern w:val="0"/>
                <w:szCs w:val="21"/>
              </w:rPr>
              <w:t>复印件，其中合同</w:t>
            </w:r>
            <w:r>
              <w:rPr>
                <w:rFonts w:ascii="仿宋_GB2312" w:hAnsi="仿宋_GB2312"/>
                <w:kern w:val="0"/>
                <w:szCs w:val="21"/>
              </w:rPr>
              <w:t>提供合同首页、盖章页、采购内容</w:t>
            </w:r>
            <w:r>
              <w:rPr>
                <w:rFonts w:hint="eastAsia" w:ascii="仿宋_GB2312" w:hAnsi="仿宋_GB2312"/>
                <w:kern w:val="0"/>
                <w:szCs w:val="21"/>
              </w:rPr>
              <w:t>页、</w:t>
            </w:r>
            <w:r>
              <w:rPr>
                <w:rFonts w:ascii="仿宋_GB2312" w:hAnsi="仿宋_GB2312"/>
                <w:kern w:val="0"/>
                <w:szCs w:val="21"/>
              </w:rPr>
              <w:t>金额页</w:t>
            </w:r>
            <w:r>
              <w:rPr>
                <w:rFonts w:hint="eastAsia" w:ascii="仿宋_GB2312" w:hAnsi="仿宋_GB2312"/>
                <w:kern w:val="0"/>
                <w:szCs w:val="21"/>
              </w:rPr>
              <w:t>复印件</w:t>
            </w:r>
            <w:r>
              <w:rPr>
                <w:rFonts w:ascii="仿宋_GB2312" w:hAnsi="仿宋_GB2312"/>
                <w:kern w:val="0"/>
                <w:szCs w:val="21"/>
              </w:rPr>
              <w:t>，并加盖投标人公章</w:t>
            </w:r>
            <w:r>
              <w:rPr>
                <w:szCs w:val="21"/>
              </w:rPr>
              <w:t>，否则不得分</w:t>
            </w:r>
            <w:r>
              <w:rPr>
                <w:rFonts w:hint="eastAsia" w:ascii="仿宋_GB2312" w:hAnsi="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restart"/>
            <w:vAlign w:val="center"/>
          </w:tcPr>
          <w:p>
            <w:pPr>
              <w:widowControl/>
              <w:jc w:val="center"/>
              <w:rPr>
                <w:rFonts w:eastAsia="仿宋_GB2312"/>
                <w:kern w:val="0"/>
                <w:szCs w:val="21"/>
              </w:rPr>
            </w:pPr>
            <w:r>
              <w:rPr>
                <w:rFonts w:hint="eastAsia" w:ascii="仿宋_GB2312" w:hAnsi="仿宋_GB2312"/>
                <w:kern w:val="0"/>
                <w:szCs w:val="21"/>
              </w:rPr>
              <w:t>三</w:t>
            </w:r>
          </w:p>
        </w:tc>
        <w:tc>
          <w:tcPr>
            <w:tcW w:w="1134" w:type="dxa"/>
            <w:vMerge w:val="restart"/>
            <w:vAlign w:val="center"/>
          </w:tcPr>
          <w:p>
            <w:pPr>
              <w:widowControl/>
              <w:ind w:firstLine="23"/>
              <w:jc w:val="center"/>
              <w:rPr>
                <w:rFonts w:eastAsia="仿宋_GB2312"/>
                <w:kern w:val="0"/>
                <w:szCs w:val="21"/>
              </w:rPr>
            </w:pPr>
            <w:r>
              <w:rPr>
                <w:rFonts w:hint="eastAsia" w:ascii="仿宋_GB2312" w:hAnsi="仿宋_GB2312"/>
                <w:kern w:val="0"/>
                <w:szCs w:val="21"/>
              </w:rPr>
              <w:t>实施</w:t>
            </w:r>
            <w:r>
              <w:rPr>
                <w:rFonts w:ascii="仿宋_GB2312" w:hAnsi="仿宋_GB2312"/>
                <w:kern w:val="0"/>
                <w:szCs w:val="21"/>
              </w:rPr>
              <w:t>及</w:t>
            </w:r>
            <w:r>
              <w:rPr>
                <w:rFonts w:hint="eastAsia" w:ascii="仿宋_GB2312" w:hAnsi="仿宋_GB2312"/>
                <w:kern w:val="0"/>
                <w:szCs w:val="21"/>
              </w:rPr>
              <w:t>售后服务</w:t>
            </w:r>
          </w:p>
        </w:tc>
        <w:tc>
          <w:tcPr>
            <w:tcW w:w="992" w:type="dxa"/>
            <w:vMerge w:val="restart"/>
            <w:vAlign w:val="center"/>
          </w:tcPr>
          <w:p>
            <w:pPr>
              <w:widowControl/>
              <w:jc w:val="center"/>
              <w:rPr>
                <w:rFonts w:eastAsia="仿宋_GB2312"/>
                <w:kern w:val="0"/>
                <w:szCs w:val="21"/>
              </w:rPr>
            </w:pPr>
            <w:r>
              <w:rPr>
                <w:rFonts w:ascii="仿宋_GB2312" w:hAnsi="仿宋_GB2312"/>
                <w:kern w:val="0"/>
                <w:szCs w:val="21"/>
              </w:rPr>
              <w:t>20</w:t>
            </w:r>
            <w:r>
              <w:rPr>
                <w:rFonts w:hint="eastAsia" w:ascii="仿宋_GB2312" w:hAnsi="仿宋_GB2312"/>
                <w:kern w:val="0"/>
                <w:szCs w:val="21"/>
              </w:rPr>
              <w:t>分</w:t>
            </w:r>
          </w:p>
        </w:tc>
        <w:tc>
          <w:tcPr>
            <w:tcW w:w="6912" w:type="dxa"/>
          </w:tcPr>
          <w:p>
            <w:pPr>
              <w:widowControl/>
              <w:rPr>
                <w:rFonts w:ascii="仿宋_GB2312" w:hAnsi="仿宋_GB2312"/>
                <w:kern w:val="0"/>
                <w:szCs w:val="21"/>
              </w:rPr>
            </w:pPr>
            <w:r>
              <w:rPr>
                <w:rFonts w:hint="eastAsia" w:ascii="仿宋_GB2312" w:hAnsi="仿宋_GB2312"/>
                <w:kern w:val="0"/>
                <w:szCs w:val="21"/>
              </w:rPr>
              <w:t>本项目</w:t>
            </w:r>
            <w:r>
              <w:rPr>
                <w:rFonts w:ascii="仿宋_GB2312" w:hAnsi="仿宋_GB2312"/>
                <w:kern w:val="0"/>
                <w:szCs w:val="21"/>
              </w:rPr>
              <w:t>实施人员具有</w:t>
            </w:r>
            <w:r>
              <w:rPr>
                <w:rFonts w:hint="eastAsia" w:ascii="仿宋_GB2312" w:hAnsi="仿宋_GB2312"/>
                <w:kern w:val="0"/>
                <w:szCs w:val="21"/>
              </w:rPr>
              <w:t>信息安全等级保护安全建设专业技术人员证书的，每份得1分，最多得</w:t>
            </w:r>
            <w:r>
              <w:rPr>
                <w:rFonts w:ascii="仿宋_GB2312" w:hAnsi="仿宋_GB2312"/>
                <w:kern w:val="0"/>
                <w:szCs w:val="21"/>
              </w:rPr>
              <w:t>3</w:t>
            </w:r>
            <w:r>
              <w:rPr>
                <w:rFonts w:hint="eastAsia" w:ascii="仿宋_GB2312" w:hAnsi="仿宋_GB2312"/>
                <w:kern w:val="0"/>
                <w:szCs w:val="21"/>
              </w:rPr>
              <w:t>分，投标</w:t>
            </w:r>
            <w:r>
              <w:rPr>
                <w:rFonts w:ascii="仿宋_GB2312" w:hAnsi="仿宋_GB2312"/>
                <w:kern w:val="0"/>
                <w:szCs w:val="21"/>
              </w:rPr>
              <w:t>文件</w:t>
            </w:r>
            <w:r>
              <w:rPr>
                <w:rFonts w:hint="eastAsia" w:ascii="仿宋_GB2312" w:hAnsi="仿宋_GB2312"/>
                <w:kern w:val="0"/>
                <w:szCs w:val="21"/>
              </w:rPr>
              <w:t>中提供</w:t>
            </w:r>
            <w:r>
              <w:rPr>
                <w:rFonts w:ascii="仿宋_GB2312" w:hAnsi="仿宋_GB2312"/>
                <w:kern w:val="0"/>
                <w:szCs w:val="21"/>
              </w:rPr>
              <w:t>证书复印件并加盖投标人公章</w:t>
            </w:r>
            <w:r>
              <w:rPr>
                <w:rFonts w:hint="eastAsia" w:ascii="仿宋_GB2312" w:hAnsi="仿宋_GB2312"/>
                <w:kern w:val="0"/>
                <w:szCs w:val="21"/>
              </w:rPr>
              <w:t>及人员对应社保缴纳证明否则不得分。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continue"/>
            <w:vAlign w:val="center"/>
          </w:tcPr>
          <w:p>
            <w:pPr>
              <w:widowControl/>
              <w:jc w:val="center"/>
              <w:rPr>
                <w:rFonts w:ascii="仿宋_GB2312" w:hAnsi="仿宋_GB2312"/>
                <w:kern w:val="0"/>
                <w:szCs w:val="21"/>
              </w:rPr>
            </w:pPr>
          </w:p>
        </w:tc>
        <w:tc>
          <w:tcPr>
            <w:tcW w:w="1134" w:type="dxa"/>
            <w:vMerge w:val="continue"/>
            <w:vAlign w:val="center"/>
          </w:tcPr>
          <w:p>
            <w:pPr>
              <w:widowControl/>
              <w:ind w:firstLine="23"/>
              <w:jc w:val="center"/>
              <w:rPr>
                <w:rFonts w:ascii="仿宋_GB2312" w:hAnsi="仿宋_GB2312"/>
                <w:kern w:val="0"/>
                <w:szCs w:val="21"/>
              </w:rPr>
            </w:pPr>
          </w:p>
        </w:tc>
        <w:tc>
          <w:tcPr>
            <w:tcW w:w="992" w:type="dxa"/>
            <w:vMerge w:val="continue"/>
            <w:vAlign w:val="center"/>
          </w:tcPr>
          <w:p>
            <w:pPr>
              <w:widowControl/>
              <w:jc w:val="center"/>
              <w:rPr>
                <w:rFonts w:ascii="仿宋_GB2312" w:hAnsi="仿宋_GB2312"/>
                <w:kern w:val="0"/>
                <w:szCs w:val="21"/>
              </w:rPr>
            </w:pPr>
          </w:p>
        </w:tc>
        <w:tc>
          <w:tcPr>
            <w:tcW w:w="6912" w:type="dxa"/>
          </w:tcPr>
          <w:p>
            <w:pPr>
              <w:widowControl/>
              <w:rPr>
                <w:rFonts w:ascii="仿宋_GB2312" w:hAnsi="仿宋_GB2312"/>
                <w:kern w:val="0"/>
                <w:szCs w:val="21"/>
              </w:rPr>
            </w:pPr>
            <w:r>
              <w:rPr>
                <w:rFonts w:hint="eastAsia" w:ascii="仿宋_GB2312" w:hAnsi="仿宋_GB2312"/>
                <w:kern w:val="0"/>
                <w:szCs w:val="21"/>
              </w:rPr>
              <w:t>投标人注册地在省内（包括投标公司或其分公司），</w:t>
            </w:r>
            <w:r>
              <w:rPr>
                <w:rFonts w:ascii="仿宋_GB2312" w:hAnsi="仿宋_GB2312"/>
                <w:kern w:val="0"/>
                <w:szCs w:val="21"/>
              </w:rPr>
              <w:t>提供</w:t>
            </w:r>
            <w:r>
              <w:rPr>
                <w:rFonts w:hint="eastAsia" w:ascii="仿宋_GB2312" w:hAnsi="仿宋_GB2312"/>
                <w:kern w:val="0"/>
                <w:szCs w:val="21"/>
              </w:rPr>
              <w:t>营业</w:t>
            </w:r>
            <w:r>
              <w:rPr>
                <w:rFonts w:ascii="仿宋_GB2312" w:hAnsi="仿宋_GB2312"/>
                <w:kern w:val="0"/>
                <w:szCs w:val="21"/>
              </w:rPr>
              <w:t>执照</w:t>
            </w:r>
            <w:r>
              <w:rPr>
                <w:rFonts w:hint="eastAsia" w:ascii="仿宋_GB2312" w:hAnsi="仿宋_GB2312"/>
                <w:kern w:val="0"/>
                <w:szCs w:val="21"/>
              </w:rPr>
              <w:t>证明得</w:t>
            </w:r>
            <w:r>
              <w:rPr>
                <w:rFonts w:ascii="仿宋_GB2312" w:hAnsi="仿宋_GB2312"/>
                <w:kern w:val="0"/>
                <w:szCs w:val="21"/>
              </w:rPr>
              <w:t>2</w:t>
            </w:r>
            <w:r>
              <w:rPr>
                <w:rFonts w:hint="eastAsia" w:ascii="仿宋_GB2312" w:hAnsi="仿宋_GB2312"/>
                <w:kern w:val="0"/>
                <w:szCs w:val="21"/>
              </w:rPr>
              <w:t>分</w:t>
            </w:r>
            <w:r>
              <w:rPr>
                <w:rFonts w:ascii="仿宋_GB2312" w:hAnsi="仿宋_GB2312"/>
                <w:kern w:val="0"/>
                <w:szCs w:val="21"/>
              </w:rPr>
              <w:t>；</w:t>
            </w:r>
            <w:r>
              <w:rPr>
                <w:rFonts w:hint="eastAsia" w:ascii="仿宋_GB2312" w:hAnsi="仿宋_GB2312"/>
                <w:kern w:val="0"/>
                <w:szCs w:val="21"/>
              </w:rPr>
              <w:t>针对</w:t>
            </w:r>
            <w:r>
              <w:rPr>
                <w:rFonts w:ascii="仿宋_GB2312" w:hAnsi="仿宋_GB2312"/>
                <w:kern w:val="0"/>
                <w:szCs w:val="21"/>
              </w:rPr>
              <w:t>本项目</w:t>
            </w:r>
            <w:r>
              <w:rPr>
                <w:rFonts w:hint="eastAsia" w:ascii="仿宋_GB2312" w:hAnsi="仿宋_GB2312"/>
                <w:kern w:val="0"/>
                <w:szCs w:val="21"/>
              </w:rPr>
              <w:t>服务</w:t>
            </w:r>
            <w:r>
              <w:rPr>
                <w:rFonts w:ascii="仿宋_GB2312" w:hAnsi="仿宋_GB2312"/>
                <w:kern w:val="0"/>
                <w:szCs w:val="21"/>
              </w:rPr>
              <w:t>团队</w:t>
            </w:r>
            <w:r>
              <w:rPr>
                <w:rFonts w:hint="eastAsia" w:ascii="仿宋_GB2312" w:hAnsi="仿宋_GB2312"/>
                <w:kern w:val="0"/>
                <w:szCs w:val="21"/>
              </w:rPr>
              <w:t>不少于</w:t>
            </w:r>
            <w:r>
              <w:rPr>
                <w:rFonts w:ascii="仿宋_GB2312" w:hAnsi="仿宋_GB2312"/>
                <w:kern w:val="0"/>
                <w:szCs w:val="21"/>
              </w:rPr>
              <w:t>3</w:t>
            </w:r>
            <w:r>
              <w:rPr>
                <w:rFonts w:hint="eastAsia" w:ascii="仿宋_GB2312" w:hAnsi="仿宋_GB2312"/>
                <w:kern w:val="0"/>
                <w:szCs w:val="21"/>
              </w:rPr>
              <w:t>人</w:t>
            </w:r>
            <w:r>
              <w:rPr>
                <w:rFonts w:ascii="仿宋_GB2312" w:hAnsi="仿宋_GB2312"/>
                <w:kern w:val="0"/>
                <w:szCs w:val="21"/>
              </w:rPr>
              <w:t>，安排</w:t>
            </w:r>
            <w:r>
              <w:rPr>
                <w:rFonts w:hint="eastAsia" w:ascii="仿宋_GB2312" w:hAnsi="仿宋_GB2312"/>
                <w:kern w:val="0"/>
                <w:szCs w:val="21"/>
              </w:rPr>
              <w:t>1人</w:t>
            </w:r>
            <w:r>
              <w:rPr>
                <w:rFonts w:ascii="仿宋_GB2312" w:hAnsi="仿宋_GB2312"/>
                <w:kern w:val="0"/>
                <w:szCs w:val="21"/>
              </w:rPr>
              <w:t>为</w:t>
            </w:r>
            <w:r>
              <w:rPr>
                <w:rFonts w:hint="eastAsia" w:ascii="仿宋_GB2312" w:hAnsi="仿宋_GB2312"/>
                <w:kern w:val="0"/>
                <w:szCs w:val="21"/>
              </w:rPr>
              <w:t>服务</w:t>
            </w:r>
            <w:r>
              <w:rPr>
                <w:rFonts w:ascii="仿宋_GB2312" w:hAnsi="仿宋_GB2312"/>
                <w:kern w:val="0"/>
                <w:szCs w:val="21"/>
              </w:rPr>
              <w:t>经理</w:t>
            </w:r>
            <w:r>
              <w:rPr>
                <w:rFonts w:hint="eastAsia" w:ascii="仿宋_GB2312" w:hAnsi="仿宋_GB2312"/>
                <w:kern w:val="0"/>
                <w:szCs w:val="21"/>
              </w:rPr>
              <w:t>，服务</w:t>
            </w:r>
            <w:r>
              <w:rPr>
                <w:rFonts w:ascii="仿宋_GB2312" w:hAnsi="仿宋_GB2312"/>
                <w:kern w:val="0"/>
                <w:szCs w:val="21"/>
              </w:rPr>
              <w:t>经理</w:t>
            </w:r>
            <w:r>
              <w:rPr>
                <w:rFonts w:hint="eastAsia" w:ascii="仿宋_GB2312" w:hAnsi="仿宋_GB2312"/>
                <w:kern w:val="0"/>
                <w:szCs w:val="21"/>
              </w:rPr>
              <w:t>具有ITSS信息技术服务标准认证、ITIL信息技术基础架构库认证、PMP项目管理专业人士资格认证、服务管理认证证书</w:t>
            </w:r>
            <w:r>
              <w:rPr>
                <w:rFonts w:ascii="仿宋_GB2312" w:hAnsi="仿宋_GB2312"/>
                <w:kern w:val="0"/>
                <w:szCs w:val="21"/>
              </w:rPr>
              <w:t>，</w:t>
            </w:r>
            <w:r>
              <w:rPr>
                <w:rFonts w:hint="eastAsia" w:ascii="仿宋_GB2312" w:hAnsi="仿宋_GB2312"/>
                <w:kern w:val="0"/>
                <w:szCs w:val="21"/>
              </w:rPr>
              <w:t>每提供一项加1分，最多加4分，投标</w:t>
            </w:r>
            <w:r>
              <w:rPr>
                <w:rFonts w:ascii="仿宋_GB2312" w:hAnsi="仿宋_GB2312"/>
                <w:kern w:val="0"/>
                <w:szCs w:val="21"/>
              </w:rPr>
              <w:t>文件</w:t>
            </w:r>
            <w:r>
              <w:rPr>
                <w:rFonts w:hint="eastAsia" w:ascii="仿宋_GB2312" w:hAnsi="仿宋_GB2312"/>
                <w:kern w:val="0"/>
                <w:szCs w:val="21"/>
              </w:rPr>
              <w:t>中提供</w:t>
            </w:r>
            <w:r>
              <w:rPr>
                <w:rFonts w:ascii="仿宋_GB2312" w:hAnsi="仿宋_GB2312"/>
                <w:kern w:val="0"/>
                <w:szCs w:val="21"/>
              </w:rPr>
              <w:t>证书复印件</w:t>
            </w:r>
            <w:r>
              <w:rPr>
                <w:rFonts w:hint="eastAsia" w:ascii="仿宋_GB2312" w:hAnsi="仿宋_GB2312"/>
                <w:kern w:val="0"/>
                <w:szCs w:val="21"/>
              </w:rPr>
              <w:t>及人员对应社保缴纳证明</w:t>
            </w:r>
            <w:r>
              <w:rPr>
                <w:rFonts w:ascii="仿宋_GB2312" w:hAnsi="仿宋_GB2312"/>
                <w:kern w:val="0"/>
                <w:szCs w:val="21"/>
              </w:rPr>
              <w:t>并加盖投标人公章</w:t>
            </w:r>
            <w:r>
              <w:rPr>
                <w:rFonts w:hint="eastAsia" w:ascii="仿宋_GB2312" w:hAnsi="仿宋_GB2312"/>
                <w:kern w:val="0"/>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continue"/>
            <w:vAlign w:val="center"/>
          </w:tcPr>
          <w:p>
            <w:pPr>
              <w:widowControl/>
              <w:jc w:val="center"/>
              <w:rPr>
                <w:rFonts w:ascii="仿宋_GB2312" w:hAnsi="仿宋_GB2312"/>
                <w:kern w:val="0"/>
                <w:szCs w:val="21"/>
              </w:rPr>
            </w:pPr>
          </w:p>
        </w:tc>
        <w:tc>
          <w:tcPr>
            <w:tcW w:w="1134" w:type="dxa"/>
            <w:vMerge w:val="continue"/>
            <w:vAlign w:val="center"/>
          </w:tcPr>
          <w:p>
            <w:pPr>
              <w:widowControl/>
              <w:ind w:firstLine="23"/>
              <w:jc w:val="center"/>
              <w:rPr>
                <w:rFonts w:ascii="仿宋_GB2312" w:hAnsi="仿宋_GB2312"/>
                <w:kern w:val="0"/>
                <w:szCs w:val="21"/>
              </w:rPr>
            </w:pPr>
          </w:p>
        </w:tc>
        <w:tc>
          <w:tcPr>
            <w:tcW w:w="992" w:type="dxa"/>
            <w:vMerge w:val="continue"/>
            <w:vAlign w:val="center"/>
          </w:tcPr>
          <w:p>
            <w:pPr>
              <w:widowControl/>
              <w:jc w:val="center"/>
              <w:rPr>
                <w:rFonts w:ascii="仿宋_GB2312" w:hAnsi="仿宋_GB2312"/>
                <w:kern w:val="0"/>
                <w:szCs w:val="21"/>
              </w:rPr>
            </w:pPr>
          </w:p>
        </w:tc>
        <w:tc>
          <w:tcPr>
            <w:tcW w:w="6912" w:type="dxa"/>
          </w:tcPr>
          <w:p>
            <w:pPr>
              <w:widowControl/>
              <w:rPr>
                <w:rFonts w:ascii="仿宋_GB2312" w:hAnsi="仿宋_GB2312"/>
                <w:kern w:val="0"/>
                <w:szCs w:val="21"/>
              </w:rPr>
            </w:pPr>
            <w:r>
              <w:rPr>
                <w:rFonts w:hint="eastAsia" w:ascii="仿宋_GB2312" w:hAnsi="仿宋_GB2312"/>
                <w:kern w:val="0"/>
                <w:szCs w:val="21"/>
              </w:rPr>
              <w:t>为本次</w:t>
            </w:r>
            <w:r>
              <w:rPr>
                <w:rFonts w:ascii="仿宋_GB2312" w:hAnsi="仿宋_GB2312"/>
                <w:kern w:val="0"/>
                <w:szCs w:val="21"/>
              </w:rPr>
              <w:t>采购</w:t>
            </w:r>
            <w:r>
              <w:rPr>
                <w:rFonts w:hint="eastAsia" w:ascii="仿宋_GB2312" w:hAnsi="仿宋_GB2312"/>
                <w:kern w:val="0"/>
                <w:szCs w:val="21"/>
              </w:rPr>
              <w:t>产品提供原厂三年</w:t>
            </w:r>
            <w:r>
              <w:rPr>
                <w:rFonts w:ascii="仿宋_GB2312" w:hAnsi="仿宋_GB2312"/>
                <w:kern w:val="0"/>
                <w:szCs w:val="21"/>
              </w:rPr>
              <w:t>售后服务，投标</w:t>
            </w:r>
            <w:r>
              <w:rPr>
                <w:rFonts w:hint="eastAsia" w:ascii="仿宋_GB2312" w:hAnsi="仿宋_GB2312"/>
                <w:kern w:val="0"/>
                <w:szCs w:val="21"/>
              </w:rPr>
              <w:t>文件中</w:t>
            </w:r>
            <w:r>
              <w:rPr>
                <w:rFonts w:ascii="仿宋_GB2312" w:hAnsi="仿宋_GB2312"/>
                <w:kern w:val="0"/>
                <w:szCs w:val="21"/>
              </w:rPr>
              <w:t>提供</w:t>
            </w:r>
            <w:r>
              <w:rPr>
                <w:rFonts w:hint="eastAsia" w:ascii="仿宋_GB2312" w:hAnsi="仿宋_GB2312"/>
                <w:kern w:val="0"/>
                <w:szCs w:val="21"/>
              </w:rPr>
              <w:t>产品原厂商加盖公章的售后服务文件得</w:t>
            </w:r>
            <w:r>
              <w:rPr>
                <w:rFonts w:ascii="仿宋_GB2312" w:hAnsi="仿宋_GB2312"/>
                <w:kern w:val="0"/>
                <w:szCs w:val="21"/>
              </w:rPr>
              <w:t>2</w:t>
            </w:r>
            <w:r>
              <w:rPr>
                <w:rFonts w:hint="eastAsia" w:ascii="仿宋_GB2312" w:hAnsi="仿宋_GB2312"/>
                <w:kern w:val="0"/>
                <w:szCs w:val="21"/>
              </w:rPr>
              <w:t>分，</w:t>
            </w:r>
            <w:r>
              <w:rPr>
                <w:rFonts w:ascii="仿宋_GB2312" w:hAnsi="仿宋_GB2312"/>
                <w:kern w:val="0"/>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continue"/>
            <w:vAlign w:val="center"/>
          </w:tcPr>
          <w:p>
            <w:pPr>
              <w:widowControl/>
              <w:jc w:val="center"/>
              <w:rPr>
                <w:rFonts w:ascii="仿宋_GB2312" w:hAnsi="仿宋_GB2312"/>
                <w:kern w:val="0"/>
                <w:szCs w:val="21"/>
              </w:rPr>
            </w:pPr>
          </w:p>
        </w:tc>
        <w:tc>
          <w:tcPr>
            <w:tcW w:w="1134" w:type="dxa"/>
            <w:vMerge w:val="continue"/>
            <w:vAlign w:val="center"/>
          </w:tcPr>
          <w:p>
            <w:pPr>
              <w:widowControl/>
              <w:ind w:firstLine="23"/>
              <w:jc w:val="center"/>
              <w:rPr>
                <w:rFonts w:ascii="仿宋_GB2312" w:hAnsi="仿宋_GB2312"/>
                <w:kern w:val="0"/>
                <w:szCs w:val="21"/>
              </w:rPr>
            </w:pPr>
          </w:p>
        </w:tc>
        <w:tc>
          <w:tcPr>
            <w:tcW w:w="992" w:type="dxa"/>
            <w:vMerge w:val="continue"/>
            <w:vAlign w:val="center"/>
          </w:tcPr>
          <w:p>
            <w:pPr>
              <w:widowControl/>
              <w:jc w:val="center"/>
              <w:rPr>
                <w:rFonts w:ascii="仿宋_GB2312" w:hAnsi="仿宋_GB2312"/>
                <w:kern w:val="0"/>
                <w:szCs w:val="21"/>
              </w:rPr>
            </w:pPr>
          </w:p>
        </w:tc>
        <w:tc>
          <w:tcPr>
            <w:tcW w:w="6912" w:type="dxa"/>
          </w:tcPr>
          <w:p>
            <w:pPr>
              <w:widowControl/>
              <w:rPr>
                <w:rFonts w:ascii="仿宋_GB2312" w:hAnsi="仿宋_GB2312"/>
                <w:kern w:val="0"/>
                <w:szCs w:val="21"/>
              </w:rPr>
            </w:pPr>
            <w:r>
              <w:rPr>
                <w:rFonts w:hint="eastAsia" w:ascii="仿宋_GB2312" w:hAnsi="仿宋_GB2312"/>
                <w:kern w:val="0"/>
                <w:szCs w:val="21"/>
              </w:rPr>
              <w:t>本次</w:t>
            </w:r>
            <w:r>
              <w:rPr>
                <w:rFonts w:ascii="仿宋_GB2312" w:hAnsi="仿宋_GB2312"/>
                <w:kern w:val="0"/>
                <w:szCs w:val="21"/>
              </w:rPr>
              <w:t>采购</w:t>
            </w:r>
            <w:r>
              <w:rPr>
                <w:rFonts w:hint="eastAsia" w:ascii="仿宋_GB2312" w:hAnsi="仿宋_GB2312"/>
                <w:kern w:val="0"/>
                <w:szCs w:val="21"/>
              </w:rPr>
              <w:t>“网络回溯分析设备”、“综合监控分析中心”产品须保证满足省、市、县互联互通，将市县级采集数据反馈到上级平台，实现市级、省级集中管理，投标文件中提供能够实现互联互通的有效证明材料得</w:t>
            </w:r>
            <w:r>
              <w:rPr>
                <w:rFonts w:ascii="仿宋_GB2312" w:hAnsi="仿宋_GB2312"/>
                <w:kern w:val="0"/>
                <w:szCs w:val="21"/>
              </w:rPr>
              <w:t>3</w:t>
            </w:r>
            <w:r>
              <w:rPr>
                <w:rFonts w:hint="eastAsia" w:ascii="仿宋_GB2312" w:hAnsi="仿宋_GB2312"/>
                <w:kern w:val="0"/>
                <w:szCs w:val="21"/>
              </w:rPr>
              <w:t>分</w:t>
            </w:r>
            <w:r>
              <w:rPr>
                <w:rFonts w:ascii="仿宋_GB2312" w:hAnsi="仿宋_GB2312"/>
                <w:kern w:val="0"/>
                <w:szCs w:val="21"/>
              </w:rPr>
              <w:t>，</w:t>
            </w:r>
            <w:r>
              <w:rPr>
                <w:rFonts w:hint="eastAsia" w:ascii="仿宋_GB2312" w:hAnsi="仿宋_GB2312"/>
                <w:kern w:val="0"/>
                <w:szCs w:val="21"/>
              </w:rPr>
              <w:t>否则</w:t>
            </w:r>
            <w:r>
              <w:rPr>
                <w:rFonts w:ascii="仿宋_GB2312" w:hAnsi="仿宋_GB2312"/>
                <w:kern w:val="0"/>
                <w:szCs w:val="21"/>
              </w:rPr>
              <w:t>不得分</w:t>
            </w:r>
            <w:r>
              <w:rPr>
                <w:rFonts w:hint="eastAsia" w:ascii="仿宋_GB2312" w:hAnsi="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continue"/>
            <w:vAlign w:val="center"/>
          </w:tcPr>
          <w:p>
            <w:pPr>
              <w:widowControl/>
              <w:jc w:val="left"/>
              <w:rPr>
                <w:rFonts w:eastAsia="仿宋_GB2312"/>
                <w:kern w:val="0"/>
                <w:szCs w:val="21"/>
              </w:rPr>
            </w:pPr>
          </w:p>
        </w:tc>
        <w:tc>
          <w:tcPr>
            <w:tcW w:w="1134" w:type="dxa"/>
            <w:vMerge w:val="continue"/>
            <w:vAlign w:val="center"/>
          </w:tcPr>
          <w:p>
            <w:pPr>
              <w:widowControl/>
              <w:jc w:val="left"/>
              <w:rPr>
                <w:rFonts w:eastAsia="仿宋_GB2312"/>
                <w:kern w:val="0"/>
                <w:szCs w:val="21"/>
              </w:rPr>
            </w:pPr>
          </w:p>
        </w:tc>
        <w:tc>
          <w:tcPr>
            <w:tcW w:w="992" w:type="dxa"/>
            <w:vMerge w:val="continue"/>
            <w:vAlign w:val="center"/>
          </w:tcPr>
          <w:p>
            <w:pPr>
              <w:widowControl/>
              <w:jc w:val="left"/>
              <w:rPr>
                <w:rFonts w:eastAsia="仿宋_GB2312"/>
                <w:kern w:val="0"/>
                <w:szCs w:val="21"/>
              </w:rPr>
            </w:pPr>
          </w:p>
        </w:tc>
        <w:tc>
          <w:tcPr>
            <w:tcW w:w="6912" w:type="dxa"/>
          </w:tcPr>
          <w:p>
            <w:pPr>
              <w:widowControl/>
              <w:rPr>
                <w:rFonts w:ascii="仿宋_GB2312" w:hAnsi="仿宋_GB2312" w:eastAsia="仿宋_GB2312"/>
                <w:kern w:val="0"/>
                <w:szCs w:val="21"/>
              </w:rPr>
            </w:pPr>
            <w:r>
              <w:rPr>
                <w:rFonts w:hint="eastAsia" w:ascii="仿宋_GB2312" w:hAnsi="仿宋_GB2312"/>
                <w:kern w:val="0"/>
                <w:szCs w:val="21"/>
              </w:rPr>
              <w:t>有人员技术培训计划的，根据计划的详细程度，评为：一般、良好、优秀，分别得分为</w:t>
            </w:r>
            <w:r>
              <w:rPr>
                <w:kern w:val="0"/>
                <w:szCs w:val="21"/>
              </w:rPr>
              <w:t>1</w:t>
            </w:r>
            <w:r>
              <w:rPr>
                <w:rFonts w:hint="eastAsia" w:ascii="仿宋_GB2312" w:hAnsi="仿宋_GB2312"/>
                <w:kern w:val="0"/>
                <w:szCs w:val="21"/>
              </w:rPr>
              <w:t>分、</w:t>
            </w:r>
            <w:r>
              <w:rPr>
                <w:kern w:val="0"/>
                <w:szCs w:val="21"/>
              </w:rPr>
              <w:t>2</w:t>
            </w:r>
            <w:r>
              <w:rPr>
                <w:rFonts w:hint="eastAsia" w:ascii="仿宋_GB2312" w:hAnsi="仿宋_GB2312"/>
                <w:kern w:val="0"/>
                <w:szCs w:val="21"/>
              </w:rPr>
              <w:t>分、</w:t>
            </w:r>
            <w:r>
              <w:rPr>
                <w:kern w:val="0"/>
                <w:szCs w:val="21"/>
              </w:rPr>
              <w:t>3</w:t>
            </w:r>
            <w:r>
              <w:rPr>
                <w:rFonts w:hint="eastAsia" w:ascii="仿宋_GB2312" w:hAnsi="仿宋_GB2312"/>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Merge w:val="continue"/>
            <w:vAlign w:val="center"/>
          </w:tcPr>
          <w:p>
            <w:pPr>
              <w:widowControl/>
              <w:jc w:val="left"/>
              <w:rPr>
                <w:rFonts w:eastAsia="仿宋_GB2312"/>
                <w:kern w:val="0"/>
                <w:szCs w:val="21"/>
              </w:rPr>
            </w:pPr>
          </w:p>
        </w:tc>
        <w:tc>
          <w:tcPr>
            <w:tcW w:w="1134" w:type="dxa"/>
            <w:vMerge w:val="continue"/>
            <w:vAlign w:val="center"/>
          </w:tcPr>
          <w:p>
            <w:pPr>
              <w:widowControl/>
              <w:jc w:val="left"/>
              <w:rPr>
                <w:rFonts w:eastAsia="仿宋_GB2312"/>
                <w:kern w:val="0"/>
                <w:szCs w:val="21"/>
              </w:rPr>
            </w:pPr>
          </w:p>
        </w:tc>
        <w:tc>
          <w:tcPr>
            <w:tcW w:w="992" w:type="dxa"/>
            <w:vMerge w:val="continue"/>
            <w:vAlign w:val="center"/>
          </w:tcPr>
          <w:p>
            <w:pPr>
              <w:widowControl/>
              <w:jc w:val="left"/>
              <w:rPr>
                <w:rFonts w:eastAsia="仿宋_GB2312"/>
                <w:kern w:val="0"/>
                <w:szCs w:val="21"/>
              </w:rPr>
            </w:pPr>
          </w:p>
        </w:tc>
        <w:tc>
          <w:tcPr>
            <w:tcW w:w="6912" w:type="dxa"/>
          </w:tcPr>
          <w:p>
            <w:pPr>
              <w:widowControl/>
              <w:rPr>
                <w:rFonts w:ascii="仿宋_GB2312" w:hAnsi="仿宋_GB2312" w:eastAsia="仿宋_GB2312"/>
                <w:kern w:val="0"/>
                <w:szCs w:val="21"/>
              </w:rPr>
            </w:pPr>
            <w:r>
              <w:rPr>
                <w:rFonts w:hint="eastAsia" w:ascii="仿宋_GB2312" w:hAnsi="仿宋_GB2312"/>
                <w:kern w:val="0"/>
                <w:szCs w:val="21"/>
              </w:rPr>
              <w:t>有工程实施计划的，工期进度安排得当，项目实施保障可靠，根据计划的详细程度，评为：一般、良好、优秀，分别得分为</w:t>
            </w:r>
            <w:r>
              <w:rPr>
                <w:kern w:val="0"/>
                <w:szCs w:val="21"/>
              </w:rPr>
              <w:t>1</w:t>
            </w:r>
            <w:r>
              <w:rPr>
                <w:rFonts w:hint="eastAsia" w:ascii="仿宋_GB2312" w:hAnsi="仿宋_GB2312"/>
                <w:kern w:val="0"/>
                <w:szCs w:val="21"/>
              </w:rPr>
              <w:t>分、</w:t>
            </w:r>
            <w:r>
              <w:rPr>
                <w:kern w:val="0"/>
                <w:szCs w:val="21"/>
              </w:rPr>
              <w:t>2</w:t>
            </w:r>
            <w:r>
              <w:rPr>
                <w:rFonts w:hint="eastAsia" w:ascii="仿宋_GB2312" w:hAnsi="仿宋_GB2312"/>
                <w:kern w:val="0"/>
                <w:szCs w:val="21"/>
              </w:rPr>
              <w:t>分、</w:t>
            </w:r>
            <w:r>
              <w:rPr>
                <w:kern w:val="0"/>
                <w:szCs w:val="21"/>
              </w:rPr>
              <w:t>3</w:t>
            </w:r>
            <w:r>
              <w:rPr>
                <w:rFonts w:hint="eastAsia" w:ascii="仿宋_GB2312" w:hAnsi="仿宋_GB2312"/>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widowControl/>
              <w:jc w:val="center"/>
              <w:rPr>
                <w:rFonts w:eastAsia="仿宋_GB2312"/>
                <w:kern w:val="0"/>
                <w:szCs w:val="21"/>
              </w:rPr>
            </w:pPr>
            <w:r>
              <w:rPr>
                <w:rFonts w:hint="eastAsia" w:ascii="仿宋_GB2312" w:hAnsi="仿宋_GB2312"/>
                <w:kern w:val="0"/>
                <w:szCs w:val="21"/>
              </w:rPr>
              <w:t>四</w:t>
            </w:r>
          </w:p>
        </w:tc>
        <w:tc>
          <w:tcPr>
            <w:tcW w:w="1134" w:type="dxa"/>
            <w:vAlign w:val="center"/>
          </w:tcPr>
          <w:p>
            <w:pPr>
              <w:widowControl/>
              <w:ind w:firstLine="23"/>
              <w:jc w:val="center"/>
              <w:rPr>
                <w:rFonts w:eastAsia="仿宋_GB2312"/>
                <w:kern w:val="0"/>
                <w:szCs w:val="21"/>
              </w:rPr>
            </w:pPr>
            <w:r>
              <w:rPr>
                <w:rFonts w:hint="eastAsia" w:ascii="仿宋_GB2312" w:hAnsi="仿宋_GB2312"/>
                <w:kern w:val="0"/>
                <w:szCs w:val="21"/>
              </w:rPr>
              <w:t>产品符合度</w:t>
            </w:r>
          </w:p>
        </w:tc>
        <w:tc>
          <w:tcPr>
            <w:tcW w:w="992" w:type="dxa"/>
            <w:vAlign w:val="center"/>
          </w:tcPr>
          <w:p>
            <w:pPr>
              <w:widowControl/>
              <w:jc w:val="center"/>
              <w:rPr>
                <w:rFonts w:eastAsia="仿宋_GB2312"/>
                <w:kern w:val="0"/>
                <w:szCs w:val="21"/>
              </w:rPr>
            </w:pPr>
            <w:r>
              <w:rPr>
                <w:rFonts w:hint="eastAsia" w:ascii="仿宋_GB2312" w:hAnsi="仿宋_GB2312"/>
                <w:kern w:val="0"/>
                <w:szCs w:val="21"/>
              </w:rPr>
              <w:t>15分</w:t>
            </w:r>
          </w:p>
        </w:tc>
        <w:tc>
          <w:tcPr>
            <w:tcW w:w="6912" w:type="dxa"/>
          </w:tcPr>
          <w:p>
            <w:pPr>
              <w:widowControl/>
              <w:ind w:left="125"/>
              <w:rPr>
                <w:rFonts w:eastAsia="仿宋_GB2312"/>
                <w:kern w:val="0"/>
                <w:szCs w:val="21"/>
                <w:vertAlign w:val="subscript"/>
              </w:rPr>
            </w:pPr>
            <w:r>
              <w:rPr>
                <w:rFonts w:hint="eastAsia" w:ascii="仿宋_GB2312" w:hAnsi="仿宋_GB2312"/>
                <w:kern w:val="0"/>
                <w:szCs w:val="21"/>
              </w:rPr>
              <w:t>投标产品的技术参数完全满足招标文件要求的得</w:t>
            </w:r>
            <w:r>
              <w:rPr>
                <w:rFonts w:ascii="仿宋_GB2312" w:hAnsi="仿宋_GB2312"/>
                <w:kern w:val="0"/>
                <w:szCs w:val="21"/>
              </w:rPr>
              <w:t>15</w:t>
            </w:r>
            <w:r>
              <w:rPr>
                <w:rFonts w:hint="eastAsia" w:ascii="仿宋_GB2312" w:hAnsi="仿宋_GB2312"/>
                <w:kern w:val="0"/>
                <w:szCs w:val="21"/>
              </w:rPr>
              <w:t>分；产品的技术参数每负偏差一项扣</w:t>
            </w:r>
            <w:r>
              <w:rPr>
                <w:kern w:val="0"/>
                <w:szCs w:val="21"/>
              </w:rPr>
              <w:t>2</w:t>
            </w:r>
            <w:r>
              <w:rPr>
                <w:rFonts w:hint="eastAsia" w:ascii="仿宋_GB2312" w:hAnsi="仿宋_GB2312"/>
                <w:kern w:val="0"/>
                <w:szCs w:val="21"/>
              </w:rPr>
              <w:t>分，带</w:t>
            </w:r>
            <w:r>
              <w:rPr>
                <w:rFonts w:hint="eastAsia" w:ascii="宋体" w:hAnsi="宋体" w:cs="宋体"/>
                <w:kern w:val="0"/>
                <w:sz w:val="18"/>
                <w:szCs w:val="18"/>
              </w:rPr>
              <w:t>★</w:t>
            </w:r>
            <w:r>
              <w:rPr>
                <w:rFonts w:hint="eastAsia" w:ascii="仿宋_GB2312" w:hAnsi="仿宋_GB2312"/>
                <w:kern w:val="0"/>
                <w:szCs w:val="21"/>
              </w:rPr>
              <w:t>号项每</w:t>
            </w:r>
            <w:r>
              <w:rPr>
                <w:rFonts w:ascii="仿宋_GB2312" w:hAnsi="仿宋_GB2312"/>
                <w:kern w:val="0"/>
                <w:szCs w:val="21"/>
              </w:rPr>
              <w:t>负偏差</w:t>
            </w:r>
            <w:r>
              <w:rPr>
                <w:rFonts w:hint="eastAsia" w:ascii="仿宋_GB2312" w:hAnsi="仿宋_GB2312"/>
                <w:kern w:val="0"/>
                <w:szCs w:val="21"/>
              </w:rPr>
              <w:t>一项扣4分。</w:t>
            </w:r>
            <w:r>
              <w:rPr>
                <w:rFonts w:eastAsia="仿宋_GB2312"/>
                <w:kern w:val="0"/>
                <w:szCs w:val="21"/>
                <w:vertAlign w:val="sub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widowControl/>
              <w:jc w:val="center"/>
              <w:rPr>
                <w:rFonts w:eastAsia="仿宋_GB2312"/>
                <w:kern w:val="0"/>
                <w:szCs w:val="21"/>
              </w:rPr>
            </w:pPr>
            <w:r>
              <w:rPr>
                <w:rFonts w:hint="eastAsia" w:ascii="仿宋_GB2312" w:hAnsi="仿宋_GB2312"/>
                <w:kern w:val="0"/>
                <w:szCs w:val="21"/>
              </w:rPr>
              <w:t>五</w:t>
            </w:r>
          </w:p>
        </w:tc>
        <w:tc>
          <w:tcPr>
            <w:tcW w:w="1134" w:type="dxa"/>
            <w:vAlign w:val="center"/>
          </w:tcPr>
          <w:p>
            <w:pPr>
              <w:widowControl/>
              <w:ind w:firstLine="23"/>
              <w:jc w:val="center"/>
              <w:rPr>
                <w:rFonts w:eastAsia="仿宋_GB2312"/>
                <w:kern w:val="0"/>
                <w:szCs w:val="21"/>
              </w:rPr>
            </w:pPr>
            <w:r>
              <w:rPr>
                <w:rFonts w:hint="eastAsia" w:ascii="仿宋_GB2312" w:hAnsi="仿宋_GB2312"/>
                <w:kern w:val="0"/>
                <w:szCs w:val="21"/>
              </w:rPr>
              <w:t>产品价格</w:t>
            </w:r>
          </w:p>
        </w:tc>
        <w:tc>
          <w:tcPr>
            <w:tcW w:w="992" w:type="dxa"/>
            <w:vAlign w:val="center"/>
          </w:tcPr>
          <w:p>
            <w:pPr>
              <w:widowControl/>
              <w:jc w:val="center"/>
              <w:rPr>
                <w:rFonts w:eastAsia="仿宋_GB2312"/>
                <w:kern w:val="0"/>
                <w:szCs w:val="21"/>
              </w:rPr>
            </w:pPr>
            <w:r>
              <w:rPr>
                <w:rFonts w:ascii="仿宋_GB2312" w:hAnsi="仿宋_GB2312"/>
                <w:kern w:val="0"/>
                <w:szCs w:val="21"/>
              </w:rPr>
              <w:t>4</w:t>
            </w:r>
            <w:r>
              <w:rPr>
                <w:rFonts w:hint="eastAsia" w:ascii="仿宋_GB2312" w:hAnsi="仿宋_GB2312"/>
                <w:kern w:val="0"/>
                <w:szCs w:val="21"/>
              </w:rPr>
              <w:t>0分</w:t>
            </w:r>
          </w:p>
        </w:tc>
        <w:tc>
          <w:tcPr>
            <w:tcW w:w="6912" w:type="dxa"/>
          </w:tcPr>
          <w:p>
            <w:pPr>
              <w:widowControl/>
              <w:ind w:firstLine="27"/>
              <w:rPr>
                <w:rFonts w:ascii="仿宋_GB2312" w:hAnsi="仿宋_GB2312"/>
                <w:kern w:val="0"/>
                <w:szCs w:val="21"/>
              </w:rPr>
            </w:pPr>
            <w:r>
              <w:rPr>
                <w:rFonts w:hint="eastAsia" w:ascii="仿宋_GB2312" w:hAnsi="仿宋_GB2312"/>
                <w:kern w:val="0"/>
                <w:szCs w:val="21"/>
              </w:rPr>
              <w:t>满足招标文件要求且投标价格最低的投标报价为评标基准价，其价格分为满分。其他投标人的价格分统一按照下列公式计算：</w:t>
            </w:r>
          </w:p>
          <w:p>
            <w:pPr>
              <w:widowControl/>
              <w:rPr>
                <w:rFonts w:ascii="仿宋_GB2312" w:hAnsi="仿宋_GB2312"/>
                <w:kern w:val="0"/>
                <w:szCs w:val="21"/>
              </w:rPr>
            </w:pPr>
            <w:r>
              <w:rPr>
                <w:rFonts w:hint="eastAsia" w:ascii="仿宋_GB2312" w:hAnsi="仿宋_GB2312"/>
                <w:kern w:val="0"/>
                <w:szCs w:val="21"/>
              </w:rPr>
              <w:t>投标报价得分=(评标基准价／投标报价)×</w:t>
            </w:r>
            <w:r>
              <w:rPr>
                <w:rFonts w:ascii="仿宋_GB2312" w:hAnsi="仿宋_GB2312"/>
                <w:kern w:val="0"/>
                <w:szCs w:val="21"/>
              </w:rPr>
              <w:t>4</w:t>
            </w:r>
            <w:r>
              <w:rPr>
                <w:rFonts w:hint="eastAsia" w:ascii="仿宋_GB2312" w:hAnsi="仿宋_GB2312"/>
                <w:kern w:val="0"/>
                <w:szCs w:val="21"/>
              </w:rPr>
              <w:t>0</w:t>
            </w:r>
          </w:p>
        </w:tc>
      </w:tr>
    </w:tbl>
    <w:p>
      <w:pPr>
        <w:widowControl/>
        <w:jc w:val="lef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49053"/>
    </w:sdtPr>
    <w:sdtContent>
      <w:p>
        <w:pPr>
          <w:pStyle w:val="3"/>
          <w:jc w:val="center"/>
        </w:pPr>
        <w:r>
          <w:fldChar w:fldCharType="begin"/>
        </w:r>
        <w:r>
          <w:instrText xml:space="preserve"> PAGE   \* MERGEFORMAT </w:instrText>
        </w:r>
        <w:r>
          <w:fldChar w:fldCharType="separate"/>
        </w:r>
        <w:r>
          <w:rPr>
            <w:lang w:val="zh-CN"/>
          </w:rPr>
          <w:t>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F4861"/>
    <w:multiLevelType w:val="multilevel"/>
    <w:tmpl w:val="7C8F48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1BD"/>
    <w:rsid w:val="00002FC9"/>
    <w:rsid w:val="0006320E"/>
    <w:rsid w:val="000A381D"/>
    <w:rsid w:val="001771C4"/>
    <w:rsid w:val="001A4409"/>
    <w:rsid w:val="001B567A"/>
    <w:rsid w:val="001C4291"/>
    <w:rsid w:val="001F3D41"/>
    <w:rsid w:val="00255FE9"/>
    <w:rsid w:val="002E45FA"/>
    <w:rsid w:val="003E77DA"/>
    <w:rsid w:val="004D3010"/>
    <w:rsid w:val="0051234C"/>
    <w:rsid w:val="00526E52"/>
    <w:rsid w:val="00561392"/>
    <w:rsid w:val="005C406B"/>
    <w:rsid w:val="006434E9"/>
    <w:rsid w:val="006B34E0"/>
    <w:rsid w:val="006F734A"/>
    <w:rsid w:val="00742B2B"/>
    <w:rsid w:val="007A3F74"/>
    <w:rsid w:val="007E2D8B"/>
    <w:rsid w:val="00855A10"/>
    <w:rsid w:val="0086162F"/>
    <w:rsid w:val="008A6BB0"/>
    <w:rsid w:val="008B0FB0"/>
    <w:rsid w:val="00902B26"/>
    <w:rsid w:val="009A5D9E"/>
    <w:rsid w:val="00A32103"/>
    <w:rsid w:val="00A731BD"/>
    <w:rsid w:val="00A76D45"/>
    <w:rsid w:val="00B12F7E"/>
    <w:rsid w:val="00B44311"/>
    <w:rsid w:val="00C16883"/>
    <w:rsid w:val="00CB4B1E"/>
    <w:rsid w:val="00CD7BD4"/>
    <w:rsid w:val="00D6309A"/>
    <w:rsid w:val="00D953F8"/>
    <w:rsid w:val="00E52A8F"/>
    <w:rsid w:val="00F1407A"/>
    <w:rsid w:val="00F233DC"/>
    <w:rsid w:val="00F37D64"/>
    <w:rsid w:val="00FF4650"/>
    <w:rsid w:val="294707F3"/>
    <w:rsid w:val="38DC6902"/>
    <w:rsid w:val="4EAD4DF4"/>
    <w:rsid w:val="585A5A8A"/>
    <w:rsid w:val="6FCA3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标题 2 Char"/>
    <w:basedOn w:val="5"/>
    <w:link w:val="2"/>
    <w:qFormat/>
    <w:uiPriority w:val="9"/>
    <w:rPr>
      <w:rFonts w:asciiTheme="majorHAnsi" w:hAnsiTheme="majorHAnsi" w:eastAsiaTheme="majorEastAsia" w:cstheme="majorBidi"/>
      <w:b/>
      <w:bCs/>
      <w:sz w:val="32"/>
      <w:szCs w:val="32"/>
    </w:rPr>
  </w:style>
  <w:style w:type="paragraph" w:customStyle="1" w:styleId="10">
    <w:name w:val="无间隔1"/>
    <w:qFormat/>
    <w:uiPriority w:val="1"/>
    <w:pPr>
      <w:widowControl w:val="0"/>
      <w:ind w:firstLine="200" w:firstLineChars="200"/>
      <w:jc w:val="both"/>
    </w:pPr>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1428</Words>
  <Characters>8146</Characters>
  <Lines>67</Lines>
  <Paragraphs>19</Paragraphs>
  <TotalTime>0</TotalTime>
  <ScaleCrop>false</ScaleCrop>
  <LinksUpToDate>false</LinksUpToDate>
  <CharactersWithSpaces>9555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2017-08-22T01:27:00Z</dcterms:created>
  <dc:creator>Sky123.Org</dc:creator>
  <cp:lastModifiedBy>许昌市公共资源交易中心:杨丹丹</cp:lastModifiedBy>
  <cp:lastPrinted>2017-09-01T00:44:00Z</cp:lastPrinted>
  <dcterms:modified xsi:type="dcterms:W3CDTF">2017-09-20T09:05:36Z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