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p>
    <w:p>
      <w:pPr>
        <w:pStyle w:val="9"/>
      </w:pPr>
    </w:p>
    <w:p>
      <w:pPr>
        <w:pStyle w:val="9"/>
        <w:jc w:val="center"/>
        <w:rPr>
          <w:rFonts w:hAnsi="宋体"/>
          <w:b/>
          <w:sz w:val="48"/>
          <w:szCs w:val="48"/>
        </w:rPr>
      </w:pPr>
      <w:r>
        <w:rPr>
          <w:rFonts w:hint="eastAsia" w:hAnsi="宋体"/>
          <w:b/>
          <w:sz w:val="48"/>
          <w:szCs w:val="48"/>
        </w:rPr>
        <w:t>许昌市东城区市政管理中心路灯及辅材</w:t>
      </w:r>
    </w:p>
    <w:p>
      <w:pPr>
        <w:pStyle w:val="9"/>
        <w:jc w:val="center"/>
        <w:rPr>
          <w:rFonts w:hAnsi="宋体"/>
          <w:b/>
          <w:sz w:val="48"/>
          <w:szCs w:val="48"/>
        </w:rPr>
      </w:pPr>
      <w:r>
        <w:rPr>
          <w:rFonts w:hint="eastAsia" w:hAnsi="宋体"/>
          <w:b/>
          <w:sz w:val="48"/>
          <w:szCs w:val="48"/>
        </w:rPr>
        <w:t>采购项目</w:t>
      </w:r>
    </w:p>
    <w:p>
      <w:pPr>
        <w:pStyle w:val="9"/>
        <w:jc w:val="center"/>
        <w:rPr>
          <w:rFonts w:hAnsi="宋体"/>
          <w:b/>
          <w:sz w:val="32"/>
          <w:szCs w:val="32"/>
        </w:rPr>
      </w:pPr>
    </w:p>
    <w:p>
      <w:pPr>
        <w:pStyle w:val="9"/>
        <w:jc w:val="center"/>
        <w:rPr>
          <w:rFonts w:hAnsi="宋体"/>
          <w:b/>
          <w:sz w:val="32"/>
          <w:szCs w:val="32"/>
        </w:rPr>
      </w:pPr>
    </w:p>
    <w:p>
      <w:pPr>
        <w:pStyle w:val="9"/>
        <w:jc w:val="center"/>
        <w:rPr>
          <w:rFonts w:hAnsi="宋体"/>
          <w:b/>
          <w:sz w:val="32"/>
          <w:szCs w:val="32"/>
        </w:rPr>
      </w:pPr>
    </w:p>
    <w:p>
      <w:pPr>
        <w:pStyle w:val="9"/>
        <w:rPr>
          <w:rFonts w:hAnsi="宋体"/>
          <w:b/>
          <w:sz w:val="32"/>
          <w:szCs w:val="32"/>
        </w:rPr>
      </w:pPr>
    </w:p>
    <w:p>
      <w:pPr>
        <w:pStyle w:val="9"/>
        <w:jc w:val="center"/>
        <w:rPr>
          <w:rFonts w:hAnsi="宋体"/>
          <w:b/>
          <w:sz w:val="32"/>
          <w:szCs w:val="32"/>
        </w:rPr>
      </w:pPr>
    </w:p>
    <w:p>
      <w:pPr>
        <w:pStyle w:val="9"/>
        <w:jc w:val="both"/>
        <w:rPr>
          <w:rFonts w:hAnsi="宋体"/>
          <w:b/>
          <w:sz w:val="32"/>
          <w:szCs w:val="32"/>
        </w:rPr>
      </w:pPr>
    </w:p>
    <w:p>
      <w:pPr>
        <w:pStyle w:val="9"/>
        <w:jc w:val="center"/>
        <w:rPr>
          <w:rFonts w:hAnsi="宋体"/>
          <w:b/>
          <w:sz w:val="32"/>
          <w:szCs w:val="32"/>
        </w:rPr>
      </w:pPr>
    </w:p>
    <w:p>
      <w:pPr>
        <w:pStyle w:val="9"/>
        <w:jc w:val="center"/>
        <w:rPr>
          <w:rFonts w:hAnsi="宋体"/>
          <w:b/>
          <w:sz w:val="32"/>
          <w:szCs w:val="32"/>
        </w:rPr>
      </w:pPr>
    </w:p>
    <w:p>
      <w:pPr>
        <w:pStyle w:val="9"/>
        <w:spacing w:line="360" w:lineRule="auto"/>
        <w:jc w:val="center"/>
        <w:rPr>
          <w:rFonts w:hAnsi="宋体"/>
          <w:b/>
          <w:sz w:val="44"/>
          <w:szCs w:val="44"/>
        </w:rPr>
      </w:pPr>
      <w:r>
        <w:rPr>
          <w:rFonts w:hint="eastAsia" w:hAnsi="宋体"/>
          <w:b/>
          <w:sz w:val="44"/>
          <w:szCs w:val="44"/>
        </w:rPr>
        <w:t xml:space="preserve"> 招 标 文 件</w:t>
      </w:r>
    </w:p>
    <w:p>
      <w:pPr>
        <w:pStyle w:val="9"/>
        <w:spacing w:line="360" w:lineRule="auto"/>
        <w:rPr>
          <w:rFonts w:hAnsi="宋体" w:cs="宋体"/>
          <w:b/>
          <w:bCs/>
          <w:sz w:val="28"/>
          <w:szCs w:val="28"/>
        </w:rPr>
      </w:pPr>
    </w:p>
    <w:p>
      <w:pPr>
        <w:pStyle w:val="9"/>
        <w:spacing w:line="360" w:lineRule="auto"/>
        <w:jc w:val="both"/>
        <w:rPr>
          <w:rFonts w:hAnsi="宋体" w:cs="宋体"/>
          <w:b/>
          <w:bCs/>
          <w:sz w:val="28"/>
          <w:szCs w:val="28"/>
        </w:rPr>
      </w:pPr>
    </w:p>
    <w:p>
      <w:pPr>
        <w:pStyle w:val="9"/>
        <w:spacing w:line="360" w:lineRule="auto"/>
        <w:jc w:val="both"/>
        <w:rPr>
          <w:rFonts w:hAnsi="宋体" w:cs="宋体"/>
          <w:b/>
          <w:bCs/>
          <w:sz w:val="28"/>
          <w:szCs w:val="28"/>
        </w:rPr>
      </w:pPr>
    </w:p>
    <w:p>
      <w:pPr>
        <w:pStyle w:val="9"/>
        <w:spacing w:line="360" w:lineRule="auto"/>
        <w:jc w:val="both"/>
        <w:rPr>
          <w:rFonts w:hAnsi="宋体"/>
          <w:b/>
          <w:sz w:val="28"/>
          <w:szCs w:val="28"/>
        </w:rPr>
      </w:pPr>
      <w:r>
        <w:rPr>
          <w:rFonts w:hint="eastAsia" w:hAnsi="宋体" w:cs="宋体"/>
          <w:b/>
          <w:bCs/>
          <w:sz w:val="28"/>
          <w:szCs w:val="28"/>
        </w:rPr>
        <w:t xml:space="preserve">                     项目编号：JZFCG-G2017037-1</w:t>
      </w:r>
    </w:p>
    <w:p>
      <w:pPr>
        <w:pStyle w:val="9"/>
        <w:rPr>
          <w:rFonts w:hAnsi="宋体"/>
          <w:b/>
          <w:sz w:val="32"/>
          <w:szCs w:val="32"/>
        </w:rPr>
      </w:pPr>
    </w:p>
    <w:p>
      <w:pPr>
        <w:pStyle w:val="9"/>
        <w:tabs>
          <w:tab w:val="left" w:pos="4725"/>
        </w:tabs>
        <w:rPr>
          <w:rFonts w:hAnsi="宋体"/>
          <w:b/>
          <w:sz w:val="32"/>
          <w:szCs w:val="32"/>
        </w:rPr>
      </w:pPr>
      <w:r>
        <w:rPr>
          <w:rFonts w:hint="eastAsia" w:hAnsi="宋体"/>
          <w:b/>
          <w:sz w:val="32"/>
          <w:szCs w:val="32"/>
        </w:rPr>
        <w:tab/>
      </w:r>
    </w:p>
    <w:p>
      <w:pPr>
        <w:pStyle w:val="9"/>
        <w:rPr>
          <w:rFonts w:hAnsi="宋体"/>
          <w:b/>
          <w:sz w:val="32"/>
          <w:szCs w:val="32"/>
        </w:rPr>
      </w:pPr>
    </w:p>
    <w:p>
      <w:pPr>
        <w:pStyle w:val="9"/>
        <w:jc w:val="both"/>
        <w:rPr>
          <w:rFonts w:hAnsi="宋体"/>
          <w:b/>
          <w:sz w:val="32"/>
          <w:szCs w:val="32"/>
        </w:rPr>
      </w:pPr>
    </w:p>
    <w:p>
      <w:pPr>
        <w:pStyle w:val="9"/>
        <w:jc w:val="center"/>
        <w:rPr>
          <w:rFonts w:hAnsi="宋体"/>
          <w:b/>
          <w:sz w:val="32"/>
          <w:szCs w:val="32"/>
        </w:rPr>
      </w:pPr>
    </w:p>
    <w:p>
      <w:pPr>
        <w:pStyle w:val="9"/>
      </w:pPr>
    </w:p>
    <w:p>
      <w:pPr>
        <w:pStyle w:val="9"/>
        <w:rPr>
          <w:rFonts w:hAnsi="宋体"/>
          <w:b/>
          <w:sz w:val="32"/>
          <w:szCs w:val="32"/>
        </w:rPr>
      </w:pPr>
    </w:p>
    <w:p>
      <w:pPr>
        <w:ind w:firstLine="948" w:firstLineChars="295"/>
        <w:rPr>
          <w:rFonts w:hAnsi="宋体"/>
          <w:b/>
          <w:sz w:val="32"/>
          <w:szCs w:val="32"/>
        </w:rPr>
      </w:pPr>
      <w:r>
        <w:rPr>
          <w:rFonts w:hint="eastAsia" w:hAnsi="宋体"/>
          <w:b/>
          <w:sz w:val="32"/>
          <w:szCs w:val="32"/>
        </w:rPr>
        <w:t>采 购 人：许昌市东城区市政管理中心</w:t>
      </w:r>
    </w:p>
    <w:p>
      <w:pPr>
        <w:pStyle w:val="9"/>
        <w:ind w:firstLine="948" w:firstLineChars="295"/>
        <w:jc w:val="both"/>
        <w:rPr>
          <w:rFonts w:hAnsi="宋体"/>
          <w:b/>
          <w:sz w:val="32"/>
          <w:szCs w:val="32"/>
        </w:rPr>
      </w:pPr>
      <w:r>
        <w:rPr>
          <w:rFonts w:hint="eastAsia" w:hAnsi="宋体"/>
          <w:b/>
          <w:sz w:val="32"/>
          <w:szCs w:val="32"/>
        </w:rPr>
        <w:t>地    址：东城区新兴路东段</w:t>
      </w:r>
    </w:p>
    <w:p>
      <w:pPr>
        <w:pStyle w:val="13"/>
        <w:spacing w:before="0" w:beforeAutospacing="0" w:after="0" w:afterAutospacing="0" w:line="460" w:lineRule="exact"/>
        <w:ind w:firstLine="948" w:firstLineChars="295"/>
        <w:jc w:val="both"/>
        <w:rPr>
          <w:b/>
          <w:kern w:val="2"/>
          <w:sz w:val="32"/>
          <w:szCs w:val="32"/>
        </w:rPr>
      </w:pPr>
      <w:r>
        <w:rPr>
          <w:rFonts w:hint="eastAsia"/>
          <w:b/>
          <w:sz w:val="32"/>
          <w:szCs w:val="32"/>
        </w:rPr>
        <w:t>代理公司：</w:t>
      </w:r>
      <w:r>
        <w:rPr>
          <w:rFonts w:hint="eastAsia"/>
          <w:b/>
          <w:kern w:val="2"/>
          <w:sz w:val="32"/>
          <w:szCs w:val="32"/>
        </w:rPr>
        <w:t>西安红城建设项目管理有限公司</w:t>
      </w:r>
    </w:p>
    <w:p>
      <w:pPr>
        <w:pStyle w:val="9"/>
        <w:rPr>
          <w:rFonts w:hAnsi="宋体"/>
          <w:b/>
          <w:sz w:val="32"/>
          <w:szCs w:val="32"/>
        </w:rPr>
      </w:pPr>
      <w:r>
        <w:rPr>
          <w:rFonts w:hint="eastAsia" w:hAnsi="宋体"/>
          <w:b/>
          <w:sz w:val="32"/>
          <w:szCs w:val="32"/>
        </w:rPr>
        <w:t xml:space="preserve">      地    址：</w:t>
      </w:r>
      <w:r>
        <w:rPr>
          <w:rFonts w:hint="eastAsia" w:ascii="Calibri" w:hAnsi="宋体"/>
          <w:b/>
          <w:sz w:val="32"/>
          <w:szCs w:val="32"/>
        </w:rPr>
        <w:t>郑州市金水区黄家庵东路6号楼1单元102号</w:t>
      </w:r>
    </w:p>
    <w:p>
      <w:pPr>
        <w:pStyle w:val="9"/>
        <w:jc w:val="center"/>
        <w:rPr>
          <w:rFonts w:hAnsi="宋体"/>
          <w:b/>
          <w:sz w:val="32"/>
          <w:szCs w:val="32"/>
        </w:rPr>
      </w:pPr>
    </w:p>
    <w:p>
      <w:pPr>
        <w:pStyle w:val="9"/>
        <w:ind w:firstLine="643" w:firstLineChars="200"/>
        <w:jc w:val="center"/>
        <w:rPr>
          <w:rFonts w:hAnsi="宋体"/>
          <w:b/>
          <w:sz w:val="32"/>
          <w:szCs w:val="32"/>
        </w:rPr>
      </w:pPr>
      <w:r>
        <w:rPr>
          <w:rFonts w:hint="eastAsia" w:hAnsi="宋体"/>
          <w:b/>
          <w:sz w:val="32"/>
          <w:szCs w:val="32"/>
        </w:rPr>
        <w:t>二〇一七年八月</w:t>
      </w:r>
    </w:p>
    <w:p>
      <w:pPr>
        <w:spacing w:line="700" w:lineRule="exact"/>
        <w:jc w:val="center"/>
        <w:rPr>
          <w:rFonts w:ascii="宋体" w:hAnsi="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871" w:right="1089" w:bottom="1440" w:left="1077" w:header="1247" w:footer="992" w:gutter="0"/>
          <w:pgNumType w:start="0"/>
          <w:cols w:space="720" w:num="1"/>
          <w:titlePg/>
          <w:docGrid w:linePitch="312" w:charSpace="0"/>
        </w:sectPr>
      </w:pPr>
    </w:p>
    <w:p>
      <w:pPr>
        <w:spacing w:line="700" w:lineRule="exact"/>
        <w:jc w:val="center"/>
        <w:rPr>
          <w:rFonts w:ascii="宋体" w:hAnsi="宋体"/>
          <w:b/>
          <w:sz w:val="32"/>
          <w:szCs w:val="32"/>
        </w:rPr>
      </w:pPr>
      <w:r>
        <w:rPr>
          <w:rFonts w:hint="eastAsia" w:ascii="宋体" w:hAnsi="宋体"/>
          <w:b/>
          <w:sz w:val="32"/>
          <w:szCs w:val="32"/>
        </w:rPr>
        <w:t>招标文件目录</w:t>
      </w:r>
    </w:p>
    <w:p>
      <w:pPr>
        <w:autoSpaceDE w:val="0"/>
        <w:autoSpaceDN w:val="0"/>
        <w:adjustRightInd w:val="0"/>
        <w:spacing w:line="600" w:lineRule="exact"/>
        <w:ind w:left="143" w:leftChars="68" w:firstLine="707" w:firstLineChars="221"/>
        <w:rPr>
          <w:rFonts w:ascii="宋体" w:hAnsi="宋体"/>
          <w:sz w:val="32"/>
          <w:szCs w:val="32"/>
        </w:rPr>
      </w:pPr>
    </w:p>
    <w:p>
      <w:pPr>
        <w:autoSpaceDE w:val="0"/>
        <w:autoSpaceDN w:val="0"/>
        <w:adjustRightInd w:val="0"/>
        <w:spacing w:line="600" w:lineRule="exact"/>
        <w:ind w:left="143" w:leftChars="68" w:firstLine="618" w:firstLineChars="221"/>
        <w:rPr>
          <w:rFonts w:ascii="宋体" w:hAnsi="宋体"/>
          <w:sz w:val="28"/>
          <w:szCs w:val="28"/>
        </w:rPr>
      </w:pPr>
      <w:r>
        <w:rPr>
          <w:rFonts w:hint="eastAsia" w:ascii="宋体" w:hAnsi="宋体"/>
          <w:sz w:val="28"/>
          <w:szCs w:val="28"/>
          <w:lang w:val="zh-CN"/>
        </w:rPr>
        <w:t>第一部分  投标邀请函</w:t>
      </w:r>
    </w:p>
    <w:p>
      <w:pPr>
        <w:autoSpaceDE w:val="0"/>
        <w:autoSpaceDN w:val="0"/>
        <w:adjustRightInd w:val="0"/>
        <w:spacing w:line="600" w:lineRule="exact"/>
        <w:ind w:left="143" w:leftChars="68" w:firstLine="618" w:firstLineChars="221"/>
        <w:rPr>
          <w:rFonts w:ascii="宋体" w:hAnsi="宋体"/>
          <w:sz w:val="28"/>
          <w:szCs w:val="28"/>
          <w:lang w:val="zh-CN"/>
        </w:rPr>
      </w:pPr>
      <w:r>
        <w:rPr>
          <w:rFonts w:hint="eastAsia" w:ascii="宋体" w:hAnsi="宋体"/>
          <w:sz w:val="28"/>
          <w:szCs w:val="28"/>
          <w:lang w:val="zh-CN"/>
        </w:rPr>
        <w:t>第二部分  采购需求及其它要求</w:t>
      </w:r>
    </w:p>
    <w:p>
      <w:pPr>
        <w:autoSpaceDE w:val="0"/>
        <w:autoSpaceDN w:val="0"/>
        <w:adjustRightInd w:val="0"/>
        <w:spacing w:line="600" w:lineRule="exact"/>
        <w:ind w:left="143" w:leftChars="68" w:firstLine="618" w:firstLineChars="221"/>
        <w:rPr>
          <w:rFonts w:ascii="宋体" w:hAnsi="宋体"/>
          <w:sz w:val="28"/>
          <w:szCs w:val="28"/>
        </w:rPr>
      </w:pPr>
      <w:r>
        <w:rPr>
          <w:rFonts w:hint="eastAsia" w:ascii="宋体" w:hAnsi="宋体"/>
          <w:sz w:val="28"/>
          <w:szCs w:val="28"/>
        </w:rPr>
        <w:t xml:space="preserve">第三部分  </w:t>
      </w:r>
      <w:r>
        <w:rPr>
          <w:rFonts w:hint="eastAsia" w:ascii="宋体" w:hAnsi="宋体"/>
          <w:sz w:val="28"/>
          <w:szCs w:val="28"/>
          <w:lang w:val="zh-CN"/>
        </w:rPr>
        <w:t>特别提示</w:t>
      </w:r>
    </w:p>
    <w:p>
      <w:pPr>
        <w:autoSpaceDE w:val="0"/>
        <w:autoSpaceDN w:val="0"/>
        <w:adjustRightInd w:val="0"/>
        <w:spacing w:line="600" w:lineRule="exact"/>
        <w:ind w:left="143" w:leftChars="68" w:firstLine="618" w:firstLineChars="221"/>
        <w:rPr>
          <w:rFonts w:ascii="宋体" w:hAnsi="宋体"/>
          <w:sz w:val="28"/>
          <w:szCs w:val="28"/>
        </w:rPr>
      </w:pPr>
      <w:r>
        <w:rPr>
          <w:rFonts w:hint="eastAsia" w:ascii="宋体" w:hAnsi="宋体"/>
          <w:sz w:val="28"/>
          <w:szCs w:val="28"/>
        </w:rPr>
        <w:t>第四部分  评标办法</w:t>
      </w:r>
    </w:p>
    <w:p>
      <w:pPr>
        <w:autoSpaceDE w:val="0"/>
        <w:autoSpaceDN w:val="0"/>
        <w:adjustRightInd w:val="0"/>
        <w:spacing w:line="600" w:lineRule="exact"/>
        <w:ind w:left="143" w:leftChars="68" w:firstLine="618" w:firstLineChars="221"/>
        <w:rPr>
          <w:rFonts w:ascii="宋体" w:hAnsi="宋体"/>
          <w:sz w:val="28"/>
          <w:szCs w:val="28"/>
          <w:lang w:val="zh-CN"/>
        </w:rPr>
      </w:pPr>
      <w:r>
        <w:rPr>
          <w:rFonts w:hint="eastAsia" w:ascii="宋体" w:hAnsi="宋体"/>
          <w:sz w:val="28"/>
          <w:szCs w:val="28"/>
        </w:rPr>
        <w:t xml:space="preserve">第五部分  </w:t>
      </w:r>
      <w:r>
        <w:rPr>
          <w:rFonts w:hint="eastAsia" w:ascii="宋体" w:hAnsi="宋体"/>
          <w:sz w:val="28"/>
          <w:szCs w:val="28"/>
          <w:lang w:val="zh-CN"/>
        </w:rPr>
        <w:t xml:space="preserve">投标须知 </w:t>
      </w:r>
    </w:p>
    <w:p>
      <w:pPr>
        <w:autoSpaceDE w:val="0"/>
        <w:autoSpaceDN w:val="0"/>
        <w:adjustRightInd w:val="0"/>
        <w:spacing w:line="600" w:lineRule="exact"/>
        <w:ind w:left="143" w:leftChars="68" w:firstLine="618" w:firstLineChars="221"/>
        <w:rPr>
          <w:rFonts w:ascii="宋体" w:hAnsi="宋体"/>
          <w:sz w:val="28"/>
          <w:szCs w:val="28"/>
        </w:rPr>
      </w:pPr>
      <w:r>
        <w:rPr>
          <w:rFonts w:hint="eastAsia" w:ascii="宋体" w:hAnsi="宋体"/>
          <w:sz w:val="28"/>
          <w:szCs w:val="28"/>
          <w:lang w:val="zh-CN"/>
        </w:rPr>
        <w:t xml:space="preserve">          前附表</w:t>
      </w:r>
    </w:p>
    <w:p>
      <w:pPr>
        <w:numPr>
          <w:ilvl w:val="0"/>
          <w:numId w:val="1"/>
        </w:numPr>
        <w:autoSpaceDE w:val="0"/>
        <w:autoSpaceDN w:val="0"/>
        <w:adjustRightInd w:val="0"/>
        <w:spacing w:line="600" w:lineRule="exact"/>
        <w:rPr>
          <w:rFonts w:ascii="宋体" w:hAnsi="宋体"/>
          <w:sz w:val="28"/>
          <w:szCs w:val="28"/>
        </w:rPr>
      </w:pPr>
      <w:r>
        <w:rPr>
          <w:rFonts w:hint="eastAsia" w:ascii="宋体" w:hAnsi="宋体"/>
          <w:sz w:val="28"/>
          <w:szCs w:val="28"/>
        </w:rPr>
        <w:t xml:space="preserve"> 说明和释义</w:t>
      </w:r>
    </w:p>
    <w:p>
      <w:pPr>
        <w:numPr>
          <w:ilvl w:val="0"/>
          <w:numId w:val="1"/>
        </w:numPr>
        <w:autoSpaceDE w:val="0"/>
        <w:autoSpaceDN w:val="0"/>
        <w:adjustRightInd w:val="0"/>
        <w:spacing w:line="600" w:lineRule="exact"/>
        <w:rPr>
          <w:rFonts w:ascii="宋体" w:hAnsi="宋体"/>
          <w:sz w:val="28"/>
          <w:szCs w:val="28"/>
        </w:rPr>
      </w:pPr>
      <w:r>
        <w:rPr>
          <w:rFonts w:hint="eastAsia" w:ascii="宋体" w:hAnsi="宋体"/>
          <w:sz w:val="28"/>
          <w:szCs w:val="28"/>
        </w:rPr>
        <w:t xml:space="preserve"> 招标文件说明</w:t>
      </w:r>
    </w:p>
    <w:p>
      <w:pPr>
        <w:numPr>
          <w:ilvl w:val="0"/>
          <w:numId w:val="1"/>
        </w:numPr>
        <w:autoSpaceDE w:val="0"/>
        <w:autoSpaceDN w:val="0"/>
        <w:adjustRightInd w:val="0"/>
        <w:spacing w:line="600" w:lineRule="exact"/>
        <w:rPr>
          <w:rFonts w:ascii="宋体" w:hAnsi="宋体"/>
          <w:sz w:val="28"/>
          <w:szCs w:val="28"/>
        </w:rPr>
      </w:pPr>
      <w:r>
        <w:rPr>
          <w:rFonts w:hint="eastAsia" w:ascii="宋体" w:hAnsi="宋体"/>
          <w:sz w:val="28"/>
          <w:szCs w:val="28"/>
        </w:rPr>
        <w:t xml:space="preserve"> 投标文件的编写和说明</w:t>
      </w:r>
    </w:p>
    <w:p>
      <w:pPr>
        <w:numPr>
          <w:ilvl w:val="0"/>
          <w:numId w:val="1"/>
        </w:numPr>
        <w:autoSpaceDE w:val="0"/>
        <w:autoSpaceDN w:val="0"/>
        <w:adjustRightInd w:val="0"/>
        <w:spacing w:line="600" w:lineRule="exact"/>
        <w:rPr>
          <w:rFonts w:ascii="宋体" w:hAnsi="宋体"/>
          <w:sz w:val="28"/>
          <w:szCs w:val="28"/>
        </w:rPr>
      </w:pPr>
      <w:r>
        <w:rPr>
          <w:rFonts w:hint="eastAsia" w:ascii="宋体" w:hAnsi="宋体"/>
          <w:sz w:val="28"/>
          <w:szCs w:val="28"/>
        </w:rPr>
        <w:t xml:space="preserve"> 投标文件的递交</w:t>
      </w:r>
    </w:p>
    <w:p>
      <w:pPr>
        <w:numPr>
          <w:ilvl w:val="0"/>
          <w:numId w:val="1"/>
        </w:numPr>
        <w:autoSpaceDE w:val="0"/>
        <w:autoSpaceDN w:val="0"/>
        <w:adjustRightInd w:val="0"/>
        <w:spacing w:line="600" w:lineRule="exact"/>
        <w:rPr>
          <w:rFonts w:ascii="宋体" w:hAnsi="宋体"/>
          <w:sz w:val="28"/>
          <w:szCs w:val="28"/>
        </w:rPr>
      </w:pPr>
      <w:r>
        <w:rPr>
          <w:rFonts w:hint="eastAsia" w:ascii="宋体" w:hAnsi="宋体"/>
          <w:sz w:val="28"/>
          <w:szCs w:val="28"/>
        </w:rPr>
        <w:t xml:space="preserve"> 开标和评标</w:t>
      </w:r>
    </w:p>
    <w:p>
      <w:pPr>
        <w:numPr>
          <w:ilvl w:val="0"/>
          <w:numId w:val="1"/>
        </w:numPr>
        <w:autoSpaceDE w:val="0"/>
        <w:autoSpaceDN w:val="0"/>
        <w:adjustRightInd w:val="0"/>
        <w:spacing w:line="600" w:lineRule="exact"/>
        <w:rPr>
          <w:rFonts w:ascii="宋体" w:hAnsi="宋体"/>
          <w:sz w:val="28"/>
          <w:szCs w:val="28"/>
        </w:rPr>
      </w:pPr>
      <w:r>
        <w:rPr>
          <w:rFonts w:hint="eastAsia" w:ascii="宋体" w:hAnsi="宋体"/>
          <w:sz w:val="28"/>
          <w:szCs w:val="28"/>
        </w:rPr>
        <w:t xml:space="preserve"> 授予合同</w:t>
      </w:r>
    </w:p>
    <w:p>
      <w:pPr>
        <w:autoSpaceDE w:val="0"/>
        <w:autoSpaceDN w:val="0"/>
        <w:adjustRightInd w:val="0"/>
        <w:spacing w:line="600" w:lineRule="exact"/>
        <w:ind w:left="143" w:leftChars="68" w:firstLine="618" w:firstLineChars="221"/>
        <w:rPr>
          <w:rFonts w:ascii="宋体" w:hAnsi="宋体"/>
          <w:sz w:val="28"/>
          <w:szCs w:val="28"/>
        </w:rPr>
      </w:pPr>
      <w:r>
        <w:rPr>
          <w:rFonts w:hint="eastAsia" w:ascii="宋体" w:hAnsi="宋体"/>
          <w:sz w:val="28"/>
          <w:szCs w:val="28"/>
          <w:lang w:val="zh-CN"/>
        </w:rPr>
        <w:t>第</w:t>
      </w:r>
      <w:r>
        <w:rPr>
          <w:rFonts w:hint="eastAsia" w:ascii="宋体" w:hAnsi="宋体"/>
          <w:sz w:val="28"/>
          <w:szCs w:val="28"/>
        </w:rPr>
        <w:t>六</w:t>
      </w:r>
      <w:r>
        <w:rPr>
          <w:rFonts w:hint="eastAsia" w:ascii="宋体" w:hAnsi="宋体"/>
          <w:sz w:val="28"/>
          <w:szCs w:val="28"/>
          <w:lang w:val="zh-CN"/>
        </w:rPr>
        <w:t xml:space="preserve">部分合同一般条款 </w:t>
      </w:r>
    </w:p>
    <w:p>
      <w:pPr>
        <w:autoSpaceDE w:val="0"/>
        <w:autoSpaceDN w:val="0"/>
        <w:adjustRightInd w:val="0"/>
        <w:spacing w:line="600" w:lineRule="exact"/>
        <w:ind w:left="143" w:leftChars="68" w:firstLine="618" w:firstLineChars="221"/>
        <w:rPr>
          <w:rFonts w:ascii="宋体" w:hAnsi="宋体"/>
          <w:sz w:val="28"/>
          <w:szCs w:val="28"/>
        </w:rPr>
      </w:pPr>
      <w:r>
        <w:rPr>
          <w:rFonts w:hint="eastAsia" w:ascii="宋体" w:hAnsi="宋体"/>
          <w:sz w:val="28"/>
          <w:szCs w:val="28"/>
          <w:lang w:val="zh-CN"/>
        </w:rPr>
        <w:t>第七部分  合同样本</w:t>
      </w:r>
    </w:p>
    <w:p>
      <w:pPr>
        <w:autoSpaceDE w:val="0"/>
        <w:autoSpaceDN w:val="0"/>
        <w:adjustRightInd w:val="0"/>
        <w:spacing w:line="600" w:lineRule="exact"/>
        <w:ind w:left="143" w:leftChars="68" w:firstLine="618" w:firstLineChars="221"/>
        <w:rPr>
          <w:rFonts w:ascii="宋体" w:hAnsi="宋体"/>
          <w:sz w:val="28"/>
          <w:szCs w:val="28"/>
        </w:rPr>
      </w:pPr>
      <w:r>
        <w:rPr>
          <w:rFonts w:hint="eastAsia" w:ascii="宋体" w:hAnsi="宋体"/>
          <w:sz w:val="28"/>
          <w:szCs w:val="28"/>
        </w:rPr>
        <w:t>第八部分  附件</w:t>
      </w:r>
    </w:p>
    <w:p>
      <w:pPr>
        <w:autoSpaceDE w:val="0"/>
        <w:autoSpaceDN w:val="0"/>
        <w:adjustRightInd w:val="0"/>
        <w:spacing w:line="600" w:lineRule="exact"/>
        <w:rPr>
          <w:rFonts w:ascii="宋体" w:hAnsi="宋体"/>
          <w:sz w:val="32"/>
          <w:szCs w:val="32"/>
        </w:rPr>
      </w:pPr>
    </w:p>
    <w:p>
      <w:pPr>
        <w:autoSpaceDE w:val="0"/>
        <w:autoSpaceDN w:val="0"/>
        <w:adjustRightInd w:val="0"/>
        <w:spacing w:line="600" w:lineRule="exact"/>
        <w:rPr>
          <w:rFonts w:ascii="宋体" w:hAnsi="宋体"/>
          <w:sz w:val="32"/>
          <w:szCs w:val="32"/>
        </w:rPr>
      </w:pPr>
    </w:p>
    <w:p>
      <w:pPr>
        <w:autoSpaceDE w:val="0"/>
        <w:autoSpaceDN w:val="0"/>
        <w:adjustRightInd w:val="0"/>
        <w:spacing w:line="600" w:lineRule="exact"/>
        <w:rPr>
          <w:rFonts w:ascii="宋体" w:hAnsi="宋体"/>
          <w:sz w:val="32"/>
          <w:szCs w:val="32"/>
        </w:rPr>
      </w:pPr>
    </w:p>
    <w:p>
      <w:pPr>
        <w:autoSpaceDE w:val="0"/>
        <w:autoSpaceDN w:val="0"/>
        <w:adjustRightInd w:val="0"/>
        <w:spacing w:line="600" w:lineRule="exact"/>
        <w:rPr>
          <w:rFonts w:ascii="宋体" w:hAnsi="宋体"/>
          <w:sz w:val="32"/>
          <w:szCs w:val="32"/>
        </w:rPr>
      </w:pPr>
    </w:p>
    <w:p/>
    <w:p/>
    <w:p>
      <w:pPr>
        <w:autoSpaceDE w:val="0"/>
        <w:autoSpaceDN w:val="0"/>
        <w:adjustRightInd w:val="0"/>
        <w:jc w:val="center"/>
        <w:rPr>
          <w:rFonts w:ascii="宋体" w:hAnsi="宋体"/>
          <w:b/>
          <w:bCs/>
          <w:sz w:val="36"/>
          <w:szCs w:val="36"/>
          <w:lang w:val="zh-CN"/>
        </w:rPr>
      </w:pPr>
      <w:r>
        <w:rPr>
          <w:rFonts w:hint="eastAsia" w:ascii="宋体" w:hAnsi="宋体"/>
          <w:b/>
          <w:bCs/>
          <w:sz w:val="36"/>
          <w:szCs w:val="36"/>
          <w:lang w:val="zh-CN"/>
        </w:rPr>
        <w:t>第一部分  投标邀请函</w:t>
      </w:r>
    </w:p>
    <w:p>
      <w:pPr>
        <w:spacing w:line="360" w:lineRule="auto"/>
        <w:ind w:firstLine="210" w:firstLineChars="100"/>
        <w:jc w:val="left"/>
        <w:rPr>
          <w:rFonts w:ascii="宋体" w:hAnsi="宋体"/>
          <w:kern w:val="0"/>
          <w:szCs w:val="21"/>
        </w:rPr>
      </w:pPr>
      <w:bookmarkStart w:id="0" w:name="_Toc270946199"/>
      <w:bookmarkStart w:id="1" w:name="_Toc267574132"/>
    </w:p>
    <w:p>
      <w:pPr>
        <w:pStyle w:val="9"/>
        <w:jc w:val="center"/>
        <w:rPr>
          <w:rFonts w:hAnsi="宋体"/>
          <w:b/>
          <w:bCs/>
          <w:sz w:val="24"/>
        </w:rPr>
      </w:pPr>
      <w:r>
        <w:rPr>
          <w:rFonts w:hint="eastAsia" w:hAnsi="宋体"/>
          <w:sz w:val="24"/>
        </w:rPr>
        <w:t>西安红城建设项目管理有限公司受许昌市东城区市政管理中心委托，就许昌市东城区市政管理中心路灯及辅材采购项目进行公开招标采购，现欢迎符合相关条件的供应商参加投标。</w:t>
      </w:r>
    </w:p>
    <w:p>
      <w:pPr>
        <w:spacing w:line="360" w:lineRule="auto"/>
        <w:ind w:firstLine="422" w:firstLineChars="175"/>
        <w:jc w:val="left"/>
        <w:rPr>
          <w:rFonts w:ascii="宋体" w:hAnsi="宋体"/>
          <w:b/>
          <w:bCs/>
          <w:kern w:val="0"/>
          <w:sz w:val="24"/>
        </w:rPr>
      </w:pPr>
      <w:r>
        <w:rPr>
          <w:rFonts w:hint="eastAsia" w:ascii="宋体" w:hAnsi="宋体"/>
          <w:b/>
          <w:bCs/>
          <w:kern w:val="0"/>
          <w:sz w:val="24"/>
        </w:rPr>
        <w:t>1. 项目名称及编号</w:t>
      </w:r>
    </w:p>
    <w:p>
      <w:pPr>
        <w:spacing w:line="360" w:lineRule="auto"/>
        <w:ind w:firstLine="420" w:firstLineChars="175"/>
        <w:jc w:val="left"/>
        <w:rPr>
          <w:rFonts w:ascii="宋体" w:hAnsi="宋体"/>
          <w:kern w:val="0"/>
          <w:sz w:val="24"/>
        </w:rPr>
      </w:pPr>
      <w:r>
        <w:rPr>
          <w:rFonts w:hint="eastAsia" w:ascii="宋体" w:hAnsi="宋体"/>
          <w:kern w:val="0"/>
          <w:sz w:val="24"/>
        </w:rPr>
        <w:t>1.1项目名称：许昌市东城区市政管理中心路灯及辅材采购项目</w:t>
      </w:r>
    </w:p>
    <w:p>
      <w:pPr>
        <w:spacing w:line="360" w:lineRule="auto"/>
        <w:ind w:firstLine="420" w:firstLineChars="175"/>
        <w:jc w:val="left"/>
        <w:rPr>
          <w:rFonts w:ascii="宋体" w:hAnsi="宋体"/>
          <w:kern w:val="0"/>
          <w:sz w:val="24"/>
        </w:rPr>
      </w:pPr>
      <w:r>
        <w:rPr>
          <w:rFonts w:hint="eastAsia" w:ascii="宋体" w:hAnsi="宋体"/>
          <w:kern w:val="0"/>
          <w:sz w:val="24"/>
        </w:rPr>
        <w:t xml:space="preserve">1.2项目编号：JZFCG-G2017037-1 </w:t>
      </w:r>
    </w:p>
    <w:p>
      <w:pPr>
        <w:spacing w:line="360" w:lineRule="auto"/>
        <w:ind w:firstLine="420" w:firstLineChars="175"/>
        <w:jc w:val="left"/>
        <w:rPr>
          <w:sz w:val="24"/>
        </w:rPr>
      </w:pPr>
      <w:r>
        <w:rPr>
          <w:rFonts w:hint="eastAsia" w:ascii="宋体" w:hAnsi="宋体"/>
          <w:kern w:val="0"/>
          <w:sz w:val="24"/>
        </w:rPr>
        <w:t>1.3预算金额：</w:t>
      </w:r>
      <w:r>
        <w:rPr>
          <w:rFonts w:hint="eastAsia"/>
          <w:b/>
          <w:bCs/>
          <w:sz w:val="24"/>
        </w:rPr>
        <w:t>4673906.13</w:t>
      </w:r>
      <w:r>
        <w:rPr>
          <w:rFonts w:hint="eastAsia" w:ascii="宋体" w:hAnsi="宋体"/>
          <w:kern w:val="0"/>
          <w:sz w:val="24"/>
        </w:rPr>
        <w:t>元</w:t>
      </w:r>
    </w:p>
    <w:p>
      <w:pPr>
        <w:spacing w:line="360" w:lineRule="auto"/>
        <w:ind w:firstLine="422" w:firstLineChars="175"/>
        <w:jc w:val="left"/>
        <w:rPr>
          <w:rFonts w:ascii="宋体" w:hAnsi="宋体" w:cs="宋体"/>
          <w:sz w:val="24"/>
        </w:rPr>
      </w:pPr>
      <w:r>
        <w:rPr>
          <w:rFonts w:hint="eastAsia" w:ascii="宋体" w:hAnsi="宋体" w:cs="宋体"/>
          <w:b/>
          <w:kern w:val="0"/>
          <w:sz w:val="24"/>
        </w:rPr>
        <w:t>2.采购内容</w:t>
      </w:r>
      <w:r>
        <w:rPr>
          <w:rFonts w:hint="eastAsia" w:ascii="宋体" w:hAnsi="宋体" w:cs="宋体"/>
          <w:kern w:val="0"/>
          <w:sz w:val="24"/>
        </w:rPr>
        <w:t>：</w:t>
      </w:r>
      <w:r>
        <w:rPr>
          <w:rFonts w:hint="eastAsia" w:ascii="宋体" w:hAnsi="宋体"/>
          <w:kern w:val="0"/>
          <w:sz w:val="24"/>
        </w:rPr>
        <w:t>LED照明灯、铜芯电缆及其他辅材等。</w:t>
      </w:r>
      <w:r>
        <w:rPr>
          <w:rFonts w:hint="eastAsia" w:ascii="宋体" w:hAnsi="宋体" w:cs="宋体"/>
          <w:sz w:val="24"/>
        </w:rPr>
        <w:t>（详见招标文件）</w:t>
      </w:r>
    </w:p>
    <w:p>
      <w:pPr>
        <w:spacing w:line="360" w:lineRule="auto"/>
        <w:ind w:firstLine="422" w:firstLineChars="175"/>
        <w:jc w:val="left"/>
        <w:rPr>
          <w:rFonts w:ascii="宋体" w:hAnsi="宋体"/>
          <w:b/>
          <w:bCs/>
          <w:kern w:val="0"/>
          <w:sz w:val="24"/>
        </w:rPr>
      </w:pPr>
      <w:r>
        <w:rPr>
          <w:rFonts w:hint="eastAsia" w:ascii="宋体" w:hAnsi="宋体"/>
          <w:b/>
          <w:bCs/>
          <w:kern w:val="0"/>
          <w:sz w:val="24"/>
        </w:rPr>
        <w:t>3．供应商资格要求</w:t>
      </w:r>
    </w:p>
    <w:p>
      <w:pPr>
        <w:spacing w:line="360" w:lineRule="auto"/>
        <w:ind w:firstLine="420" w:firstLineChars="175"/>
        <w:jc w:val="left"/>
        <w:rPr>
          <w:rFonts w:ascii="宋体" w:hAnsi="宋体"/>
          <w:bCs/>
          <w:kern w:val="0"/>
          <w:sz w:val="24"/>
        </w:rPr>
      </w:pPr>
      <w:r>
        <w:rPr>
          <w:rFonts w:hint="eastAsia" w:ascii="宋体" w:hAnsi="宋体"/>
          <w:bCs/>
          <w:kern w:val="0"/>
          <w:sz w:val="24"/>
        </w:rPr>
        <w:t>3.1 符合《中华人民共和国政府采购法》第二十二条之规定：</w:t>
      </w:r>
    </w:p>
    <w:p>
      <w:pPr>
        <w:adjustRightInd w:val="0"/>
        <w:snapToGrid w:val="0"/>
        <w:spacing w:line="360" w:lineRule="auto"/>
        <w:ind w:left="420" w:leftChars="200"/>
        <w:jc w:val="left"/>
        <w:rPr>
          <w:rFonts w:ascii="宋体" w:hAnsi="宋体" w:cs="宋体"/>
          <w:sz w:val="24"/>
        </w:rPr>
      </w:pPr>
      <w:r>
        <w:rPr>
          <w:rFonts w:hint="eastAsia" w:ascii="宋体" w:hAnsi="宋体" w:cs="宋体"/>
          <w:sz w:val="24"/>
        </w:rPr>
        <w:t>3.2具有相应经营范围。</w:t>
      </w:r>
    </w:p>
    <w:p>
      <w:pPr>
        <w:adjustRightInd w:val="0"/>
        <w:snapToGrid w:val="0"/>
        <w:spacing w:line="360" w:lineRule="auto"/>
        <w:ind w:left="420" w:leftChars="200"/>
        <w:jc w:val="left"/>
        <w:rPr>
          <w:rFonts w:ascii="宋体" w:hAnsi="宋体" w:cs="宋体"/>
          <w:sz w:val="24"/>
        </w:rPr>
      </w:pPr>
      <w:r>
        <w:rPr>
          <w:rFonts w:hint="eastAsia" w:ascii="宋体" w:hAnsi="宋体" w:cs="宋体"/>
          <w:sz w:val="24"/>
        </w:rPr>
        <w:t>3.3本项目不接受联合体投标。</w:t>
      </w:r>
    </w:p>
    <w:p>
      <w:pPr>
        <w:spacing w:line="360" w:lineRule="auto"/>
        <w:ind w:firstLine="477" w:firstLineChars="198"/>
        <w:jc w:val="left"/>
        <w:rPr>
          <w:rFonts w:ascii="宋体" w:hAnsi="宋体"/>
          <w:b/>
          <w:kern w:val="0"/>
          <w:sz w:val="24"/>
        </w:rPr>
      </w:pPr>
      <w:r>
        <w:rPr>
          <w:rFonts w:hint="eastAsia" w:ascii="宋体" w:hAnsi="宋体"/>
          <w:b/>
          <w:kern w:val="0"/>
          <w:sz w:val="24"/>
        </w:rPr>
        <w:t>4、报名和招标文件的获取</w:t>
      </w:r>
    </w:p>
    <w:p>
      <w:pPr>
        <w:spacing w:line="360" w:lineRule="auto"/>
        <w:ind w:firstLine="475" w:firstLineChars="198"/>
        <w:jc w:val="left"/>
        <w:rPr>
          <w:rFonts w:ascii="宋体" w:hAnsi="宋体"/>
          <w:bCs/>
          <w:kern w:val="0"/>
          <w:sz w:val="24"/>
        </w:rPr>
      </w:pPr>
      <w:r>
        <w:rPr>
          <w:rFonts w:hint="eastAsia" w:ascii="宋体" w:hAnsi="宋体"/>
          <w:bCs/>
          <w:kern w:val="0"/>
          <w:sz w:val="24"/>
        </w:rPr>
        <w:t>（一）网上下载招标文件</w:t>
      </w:r>
    </w:p>
    <w:p>
      <w:pPr>
        <w:spacing w:line="360" w:lineRule="auto"/>
        <w:ind w:firstLine="475" w:firstLineChars="198"/>
        <w:jc w:val="left"/>
        <w:rPr>
          <w:rFonts w:ascii="宋体" w:hAnsi="宋体"/>
          <w:bCs/>
          <w:kern w:val="0"/>
          <w:sz w:val="24"/>
        </w:rPr>
      </w:pPr>
      <w:r>
        <w:rPr>
          <w:rFonts w:hint="eastAsia" w:ascii="宋体" w:hAnsi="宋体"/>
          <w:bCs/>
          <w:kern w:val="0"/>
          <w:sz w:val="24"/>
        </w:rPr>
        <w:t>1、持CA数字认证证书，</w:t>
      </w:r>
    </w:p>
    <w:p>
      <w:pPr>
        <w:spacing w:line="360" w:lineRule="auto"/>
        <w:ind w:firstLine="475" w:firstLineChars="198"/>
        <w:jc w:val="left"/>
        <w:rPr>
          <w:rFonts w:ascii="宋体" w:hAnsi="宋体"/>
          <w:bCs/>
          <w:kern w:val="0"/>
          <w:sz w:val="24"/>
        </w:rPr>
      </w:pPr>
      <w:r>
        <w:rPr>
          <w:rFonts w:hint="eastAsia" w:ascii="宋体" w:hAnsi="宋体"/>
          <w:bCs/>
          <w:kern w:val="0"/>
          <w:sz w:val="24"/>
        </w:rPr>
        <w:t>登录</w:t>
      </w:r>
      <w:r>
        <w:fldChar w:fldCharType="begin"/>
      </w:r>
      <w:r>
        <w:instrText xml:space="preserve"> HYPERLINK "http://221.14.6.70:8088/ggzy/eps/public/RegistAllJcxx.html" </w:instrText>
      </w:r>
      <w:r>
        <w:fldChar w:fldCharType="separate"/>
      </w:r>
      <w:r>
        <w:rPr>
          <w:rFonts w:hint="eastAsia" w:ascii="宋体" w:hAnsi="宋体"/>
          <w:bCs/>
          <w:kern w:val="0"/>
          <w:sz w:val="24"/>
        </w:rPr>
        <w:t>http://221.14.6.70:8088/ggzy/eps/public/RegistAllJcxx.html</w:t>
      </w:r>
      <w:r>
        <w:rPr>
          <w:rFonts w:hint="eastAsia" w:ascii="宋体" w:hAnsi="宋体"/>
          <w:bCs/>
          <w:kern w:val="0"/>
          <w:sz w:val="24"/>
        </w:rPr>
        <w:fldChar w:fldCharType="end"/>
      </w:r>
      <w:r>
        <w:rPr>
          <w:rFonts w:hint="eastAsia" w:ascii="宋体" w:hAnsi="宋体"/>
          <w:bCs/>
          <w:kern w:val="0"/>
          <w:sz w:val="24"/>
        </w:rPr>
        <w:t>进行免费注册登记（详见全国公共资源交易平台（河南省·许昌市）“常见问题解答-诚信库网上注册相关资料下载”）；</w:t>
      </w:r>
    </w:p>
    <w:p>
      <w:pPr>
        <w:spacing w:line="360" w:lineRule="auto"/>
        <w:ind w:firstLine="475" w:firstLineChars="198"/>
        <w:jc w:val="left"/>
        <w:rPr>
          <w:rFonts w:ascii="宋体" w:hAnsi="宋体"/>
          <w:bCs/>
          <w:kern w:val="0"/>
          <w:sz w:val="24"/>
        </w:rPr>
      </w:pPr>
      <w:r>
        <w:rPr>
          <w:rFonts w:hint="eastAsia" w:ascii="宋体" w:hAnsi="宋体"/>
          <w:bCs/>
          <w:kern w:val="0"/>
          <w:sz w:val="24"/>
        </w:rPr>
        <w:t>2、在投标截止时间前登录</w:t>
      </w:r>
      <w:r>
        <w:fldChar w:fldCharType="begin"/>
      </w:r>
      <w:r>
        <w:instrText xml:space="preserve"> HYPERLINK "http://221.14.6.70:8088/ggzy/" </w:instrText>
      </w:r>
      <w:r>
        <w:fldChar w:fldCharType="separate"/>
      </w:r>
      <w:r>
        <w:rPr>
          <w:rFonts w:hint="eastAsia" w:ascii="宋体" w:hAnsi="宋体"/>
          <w:bCs/>
          <w:kern w:val="0"/>
          <w:sz w:val="24"/>
        </w:rPr>
        <w:t>http://221.14.6.70:8088/ggzy/</w:t>
      </w:r>
      <w:r>
        <w:rPr>
          <w:rFonts w:hint="eastAsia" w:ascii="宋体" w:hAnsi="宋体"/>
          <w:bCs/>
          <w:kern w:val="0"/>
          <w:sz w:val="24"/>
        </w:rPr>
        <w:fldChar w:fldCharType="end"/>
      </w:r>
      <w:r>
        <w:rPr>
          <w:rFonts w:hint="eastAsia" w:ascii="宋体" w:hAnsi="宋体"/>
          <w:bCs/>
          <w:kern w:val="0"/>
          <w:sz w:val="24"/>
        </w:rPr>
        <w:t>，自行下载招标文件（详见全国公共资源交易平台（河南省·许昌市）“常见问题解答-交易系统操作手册”）。</w:t>
      </w:r>
    </w:p>
    <w:p>
      <w:pPr>
        <w:spacing w:line="360" w:lineRule="auto"/>
        <w:ind w:left="479" w:leftChars="228"/>
        <w:jc w:val="left"/>
        <w:rPr>
          <w:rFonts w:ascii="宋体" w:hAnsi="宋体"/>
          <w:bCs/>
          <w:kern w:val="0"/>
          <w:sz w:val="24"/>
        </w:rPr>
      </w:pPr>
      <w:r>
        <w:rPr>
          <w:rFonts w:hint="eastAsia" w:ascii="宋体" w:hAnsi="宋体"/>
          <w:bCs/>
          <w:kern w:val="0"/>
          <w:sz w:val="24"/>
        </w:rPr>
        <w:t>（二）未通过全国公共资源交易平台（河南省·许昌市）下载招标文件的投标人，其递交的投标文件将拒收。</w:t>
      </w:r>
      <w:r>
        <w:rPr>
          <w:rFonts w:hint="eastAsia" w:ascii="宋体" w:hAnsi="宋体"/>
          <w:bCs/>
          <w:kern w:val="0"/>
          <w:sz w:val="24"/>
        </w:rPr>
        <w:br w:type="textWrapping"/>
      </w:r>
      <w:r>
        <w:rPr>
          <w:rFonts w:hint="eastAsia" w:ascii="宋体" w:hAnsi="宋体"/>
          <w:bCs/>
          <w:kern w:val="0"/>
          <w:sz w:val="24"/>
        </w:rPr>
        <w:t>（三）网上报名及招标文件下载时间：在投标文件递交截止时间前均可参与网上报名，下载招标文件。</w:t>
      </w:r>
      <w:r>
        <w:rPr>
          <w:rFonts w:hint="eastAsia" w:ascii="宋体" w:hAnsi="宋体"/>
          <w:bCs/>
          <w:kern w:val="0"/>
          <w:sz w:val="24"/>
        </w:rPr>
        <w:br w:type="textWrapping"/>
      </w:r>
      <w:r>
        <w:rPr>
          <w:rFonts w:hint="eastAsia" w:ascii="宋体" w:hAnsi="宋体"/>
          <w:bCs/>
          <w:kern w:val="0"/>
          <w:sz w:val="24"/>
        </w:rPr>
        <w:t>（四）招标文件售价：300元/套，供应商在递交投标文件时向采购代理机构交纳采购文件费用，售后不退。</w:t>
      </w:r>
    </w:p>
    <w:p>
      <w:pPr>
        <w:spacing w:line="360" w:lineRule="auto"/>
        <w:ind w:firstLine="477" w:firstLineChars="198"/>
        <w:jc w:val="left"/>
        <w:rPr>
          <w:rFonts w:ascii="宋体" w:hAnsi="宋体"/>
          <w:b/>
          <w:kern w:val="0"/>
          <w:sz w:val="24"/>
        </w:rPr>
      </w:pPr>
      <w:r>
        <w:rPr>
          <w:rFonts w:hint="eastAsia" w:ascii="宋体" w:hAnsi="宋体"/>
          <w:b/>
          <w:kern w:val="0"/>
          <w:sz w:val="24"/>
        </w:rPr>
        <w:t>5．投标文件递交</w:t>
      </w:r>
    </w:p>
    <w:p>
      <w:pPr>
        <w:spacing w:line="360" w:lineRule="auto"/>
        <w:ind w:firstLine="480" w:firstLineChars="200"/>
        <w:jc w:val="left"/>
        <w:rPr>
          <w:rFonts w:ascii="宋体" w:hAnsi="宋体"/>
          <w:kern w:val="0"/>
          <w:sz w:val="24"/>
        </w:rPr>
      </w:pPr>
      <w:r>
        <w:rPr>
          <w:rFonts w:hint="eastAsia" w:ascii="宋体" w:hAnsi="宋体"/>
          <w:kern w:val="0"/>
          <w:sz w:val="24"/>
        </w:rPr>
        <w:t>5.1本项目不组织统一现场踏勘，不组织召开投标预备会。</w:t>
      </w:r>
    </w:p>
    <w:p>
      <w:pPr>
        <w:spacing w:line="360" w:lineRule="auto"/>
        <w:ind w:firstLine="480" w:firstLineChars="200"/>
        <w:jc w:val="left"/>
        <w:rPr>
          <w:rFonts w:ascii="宋体" w:hAnsi="宋体"/>
          <w:kern w:val="0"/>
          <w:sz w:val="24"/>
        </w:rPr>
      </w:pPr>
      <w:r>
        <w:rPr>
          <w:rFonts w:hint="eastAsia" w:ascii="宋体" w:hAnsi="宋体"/>
          <w:kern w:val="0"/>
          <w:sz w:val="24"/>
        </w:rPr>
        <w:t>5.2投标文件递交截止时间及开标时间：2017年9月1日9时30分（北京时间），开标地点：</w:t>
      </w:r>
      <w:r>
        <w:rPr>
          <w:rFonts w:hint="eastAsia" w:ascii="宋体" w:hAnsi="宋体"/>
          <w:bCs/>
          <w:kern w:val="0"/>
          <w:sz w:val="24"/>
        </w:rPr>
        <w:t>全国公共资源交易平台（河南省·许昌市）开标五室</w:t>
      </w:r>
      <w:r>
        <w:rPr>
          <w:rFonts w:hint="eastAsia" w:ascii="宋体" w:hAnsi="宋体"/>
          <w:kern w:val="0"/>
          <w:sz w:val="24"/>
        </w:rPr>
        <w:t>（许昌市龙兴路竹林路交汇处公共资源大厦三楼）。</w:t>
      </w:r>
    </w:p>
    <w:p>
      <w:pPr>
        <w:spacing w:line="360" w:lineRule="auto"/>
        <w:ind w:firstLine="480" w:firstLineChars="200"/>
        <w:jc w:val="left"/>
        <w:rPr>
          <w:rFonts w:ascii="宋体" w:hAnsi="宋体"/>
          <w:b/>
          <w:kern w:val="0"/>
          <w:sz w:val="24"/>
        </w:rPr>
      </w:pPr>
      <w:r>
        <w:rPr>
          <w:rFonts w:hint="eastAsia" w:ascii="宋体" w:hAnsi="宋体"/>
          <w:kern w:val="0"/>
          <w:sz w:val="24"/>
        </w:rPr>
        <w:t>5.3逾期送达的或者未送达指定地点的投标文件，采购人不予受理。</w:t>
      </w:r>
    </w:p>
    <w:p>
      <w:pPr>
        <w:spacing w:line="360" w:lineRule="auto"/>
        <w:ind w:firstLine="477" w:firstLineChars="198"/>
        <w:jc w:val="left"/>
        <w:rPr>
          <w:rFonts w:ascii="宋体" w:hAnsi="宋体"/>
          <w:b/>
          <w:kern w:val="0"/>
          <w:sz w:val="24"/>
        </w:rPr>
      </w:pPr>
      <w:r>
        <w:rPr>
          <w:rFonts w:hint="eastAsia" w:ascii="宋体" w:hAnsi="宋体"/>
          <w:b/>
          <w:kern w:val="0"/>
          <w:sz w:val="24"/>
        </w:rPr>
        <w:t>6.发布公告的媒介</w:t>
      </w:r>
    </w:p>
    <w:p>
      <w:pPr>
        <w:spacing w:line="360" w:lineRule="auto"/>
        <w:ind w:firstLine="480" w:firstLineChars="200"/>
        <w:rPr>
          <w:rFonts w:ascii="宋体" w:hAnsi="宋体" w:cs="宋体"/>
          <w:sz w:val="24"/>
        </w:rPr>
      </w:pPr>
      <w:r>
        <w:rPr>
          <w:rFonts w:hint="eastAsia" w:ascii="宋体" w:hAnsi="宋体"/>
          <w:kern w:val="0"/>
          <w:sz w:val="24"/>
        </w:rPr>
        <w:t>本次招标公告同时在《</w:t>
      </w:r>
      <w:r>
        <w:rPr>
          <w:rFonts w:hint="eastAsia" w:ascii="宋体" w:hAnsi="宋体" w:cs="宋体"/>
          <w:color w:val="000000"/>
          <w:sz w:val="24"/>
          <w:shd w:val="clear" w:color="auto" w:fill="FFFFFF"/>
        </w:rPr>
        <w:t>中国采购与招标网</w:t>
      </w:r>
      <w:r>
        <w:rPr>
          <w:rFonts w:hint="eastAsia" w:ascii="宋体" w:hAnsi="宋体"/>
          <w:kern w:val="0"/>
          <w:sz w:val="24"/>
        </w:rPr>
        <w:t>》、《河南省政府采购网》、《</w:t>
      </w:r>
      <w:r>
        <w:rPr>
          <w:rFonts w:hint="eastAsia" w:ascii="宋体" w:hAnsi="宋体" w:cs="宋体"/>
          <w:color w:val="000000"/>
          <w:sz w:val="24"/>
          <w:shd w:val="clear" w:color="auto" w:fill="FFFFFF"/>
        </w:rPr>
        <w:t>河南招标采购综合网</w:t>
      </w:r>
      <w:r>
        <w:rPr>
          <w:rFonts w:hint="eastAsia" w:ascii="宋体" w:hAnsi="宋体"/>
          <w:kern w:val="0"/>
          <w:sz w:val="24"/>
        </w:rPr>
        <w:t>》和《</w:t>
      </w:r>
      <w:r>
        <w:rPr>
          <w:rFonts w:hint="eastAsia" w:ascii="宋体" w:hAnsi="宋体"/>
          <w:bCs/>
          <w:kern w:val="0"/>
          <w:sz w:val="24"/>
        </w:rPr>
        <w:t>全国公共资源交易平台（河南省·许昌市）</w:t>
      </w:r>
      <w:r>
        <w:rPr>
          <w:rFonts w:hint="eastAsia" w:ascii="宋体" w:hAnsi="宋体"/>
          <w:kern w:val="0"/>
          <w:sz w:val="24"/>
        </w:rPr>
        <w:t>》上发布。</w:t>
      </w:r>
    </w:p>
    <w:p>
      <w:pPr>
        <w:spacing w:line="360" w:lineRule="auto"/>
        <w:ind w:firstLine="422" w:firstLineChars="175"/>
        <w:jc w:val="left"/>
        <w:rPr>
          <w:rFonts w:ascii="宋体" w:hAnsi="宋体"/>
          <w:kern w:val="0"/>
          <w:sz w:val="24"/>
        </w:rPr>
      </w:pPr>
      <w:r>
        <w:rPr>
          <w:rFonts w:hint="eastAsia" w:ascii="宋体" w:hAnsi="宋体"/>
          <w:b/>
          <w:bCs/>
          <w:kern w:val="0"/>
          <w:sz w:val="24"/>
        </w:rPr>
        <w:t>7.联系方式</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招   标   人：许昌市东城区市政管理中心     </w:t>
      </w:r>
    </w:p>
    <w:p>
      <w:pPr>
        <w:spacing w:line="360" w:lineRule="auto"/>
        <w:ind w:firstLine="480" w:firstLineChars="200"/>
        <w:rPr>
          <w:rFonts w:ascii="宋体" w:hAnsi="宋体" w:cs="宋体"/>
          <w:sz w:val="24"/>
          <w:szCs w:val="32"/>
        </w:rPr>
      </w:pPr>
      <w:r>
        <w:rPr>
          <w:rFonts w:hint="eastAsia" w:ascii="宋体" w:hAnsi="宋体" w:cs="宋体"/>
          <w:sz w:val="24"/>
          <w:szCs w:val="32"/>
        </w:rPr>
        <w:t>地        址：许昌市新兴路东段</w:t>
      </w:r>
    </w:p>
    <w:p>
      <w:pPr>
        <w:spacing w:line="360" w:lineRule="auto"/>
        <w:ind w:firstLine="480" w:firstLineChars="200"/>
        <w:rPr>
          <w:rFonts w:ascii="宋体" w:hAnsi="宋体" w:cs="宋体"/>
          <w:sz w:val="24"/>
          <w:szCs w:val="32"/>
        </w:rPr>
      </w:pPr>
      <w:r>
        <w:rPr>
          <w:rFonts w:hint="eastAsia" w:ascii="宋体" w:hAnsi="宋体" w:cs="宋体"/>
          <w:sz w:val="24"/>
          <w:szCs w:val="32"/>
        </w:rPr>
        <w:t>联   系   人：李先生</w:t>
      </w:r>
    </w:p>
    <w:p>
      <w:pPr>
        <w:spacing w:line="360" w:lineRule="auto"/>
        <w:ind w:firstLine="480" w:firstLineChars="200"/>
        <w:rPr>
          <w:rFonts w:ascii="宋体" w:hAnsi="宋体" w:cs="宋体"/>
          <w:sz w:val="24"/>
          <w:szCs w:val="32"/>
        </w:rPr>
      </w:pPr>
      <w:r>
        <w:rPr>
          <w:rFonts w:hint="eastAsia" w:ascii="宋体" w:hAnsi="宋体" w:cs="宋体"/>
          <w:sz w:val="24"/>
          <w:szCs w:val="32"/>
        </w:rPr>
        <w:t>联 系 方 式 ：18639728212</w:t>
      </w:r>
    </w:p>
    <w:p>
      <w:pPr>
        <w:spacing w:line="360" w:lineRule="auto"/>
        <w:ind w:firstLine="480" w:firstLineChars="200"/>
        <w:rPr>
          <w:rFonts w:ascii="宋体" w:hAnsi="宋体" w:cs="宋体"/>
          <w:sz w:val="24"/>
          <w:szCs w:val="32"/>
        </w:rPr>
      </w:pPr>
      <w:r>
        <w:rPr>
          <w:rFonts w:hint="eastAsia" w:ascii="宋体" w:hAnsi="宋体" w:cs="宋体"/>
          <w:sz w:val="24"/>
          <w:szCs w:val="32"/>
        </w:rPr>
        <w:t>招标代理机构：西安红城建设项目管理有限公司</w:t>
      </w:r>
    </w:p>
    <w:p>
      <w:pPr>
        <w:spacing w:line="360" w:lineRule="auto"/>
        <w:ind w:firstLine="480" w:firstLineChars="200"/>
        <w:rPr>
          <w:rFonts w:ascii="宋体" w:hAnsi="宋体" w:cs="宋体"/>
          <w:sz w:val="24"/>
          <w:szCs w:val="32"/>
        </w:rPr>
      </w:pPr>
      <w:r>
        <w:rPr>
          <w:rFonts w:hint="eastAsia" w:ascii="宋体" w:hAnsi="宋体" w:cs="宋体"/>
          <w:sz w:val="24"/>
          <w:szCs w:val="32"/>
        </w:rPr>
        <w:t>地        址：郑州市金水区黄家庵东路6号楼1单元102号</w:t>
      </w:r>
    </w:p>
    <w:p>
      <w:pPr>
        <w:spacing w:line="360" w:lineRule="auto"/>
        <w:rPr>
          <w:rFonts w:ascii="宋体" w:hAnsi="宋体" w:cs="宋体"/>
          <w:sz w:val="24"/>
          <w:szCs w:val="32"/>
        </w:rPr>
      </w:pPr>
      <w:r>
        <w:rPr>
          <w:rFonts w:hint="eastAsia" w:ascii="宋体" w:hAnsi="宋体" w:cs="宋体"/>
          <w:sz w:val="24"/>
          <w:szCs w:val="32"/>
        </w:rPr>
        <w:t xml:space="preserve">    联   系   人：高先生</w:t>
      </w:r>
    </w:p>
    <w:p>
      <w:pPr>
        <w:spacing w:line="360" w:lineRule="auto"/>
        <w:ind w:firstLine="480" w:firstLineChars="200"/>
        <w:rPr>
          <w:rFonts w:ascii="宋体" w:hAnsi="宋体" w:cs="宋体"/>
          <w:sz w:val="24"/>
          <w:szCs w:val="32"/>
        </w:rPr>
      </w:pPr>
      <w:r>
        <w:rPr>
          <w:rFonts w:hint="eastAsia" w:ascii="宋体" w:hAnsi="宋体" w:cs="宋体"/>
          <w:sz w:val="24"/>
          <w:szCs w:val="32"/>
        </w:rPr>
        <w:t>联 系 方 式 ：0371—85962969</w:t>
      </w:r>
    </w:p>
    <w:p>
      <w:pPr>
        <w:spacing w:line="360" w:lineRule="auto"/>
        <w:ind w:firstLine="420" w:firstLineChars="175"/>
        <w:rPr>
          <w:rFonts w:ascii="宋体" w:hAnsi="宋体" w:cs="宋体"/>
          <w:sz w:val="24"/>
        </w:rPr>
      </w:pPr>
    </w:p>
    <w:p>
      <w:pPr>
        <w:spacing w:line="360" w:lineRule="auto"/>
        <w:ind w:firstLine="420" w:firstLineChars="175"/>
        <w:rPr>
          <w:rFonts w:ascii="宋体" w:hAnsi="宋体" w:cs="宋体"/>
          <w:sz w:val="24"/>
        </w:rPr>
      </w:pPr>
    </w:p>
    <w:p>
      <w:pPr>
        <w:spacing w:line="360" w:lineRule="auto"/>
        <w:ind w:firstLine="420" w:firstLineChars="175"/>
        <w:rPr>
          <w:rFonts w:ascii="宋体" w:hAnsi="宋体" w:cs="宋体"/>
          <w:sz w:val="24"/>
        </w:rPr>
      </w:pPr>
    </w:p>
    <w:p>
      <w:pPr>
        <w:spacing w:line="360" w:lineRule="auto"/>
        <w:ind w:firstLine="420" w:firstLineChars="175"/>
        <w:rPr>
          <w:rFonts w:ascii="宋体" w:hAnsi="宋体" w:cs="宋体"/>
          <w:sz w:val="24"/>
        </w:rPr>
      </w:pPr>
    </w:p>
    <w:p>
      <w:pPr>
        <w:spacing w:line="360" w:lineRule="auto"/>
        <w:ind w:firstLine="420" w:firstLineChars="175"/>
        <w:rPr>
          <w:rFonts w:ascii="宋体" w:hAnsi="宋体" w:cs="宋体"/>
          <w:sz w:val="24"/>
        </w:rPr>
      </w:pPr>
    </w:p>
    <w:p>
      <w:pPr>
        <w:spacing w:line="360" w:lineRule="auto"/>
        <w:ind w:firstLine="420" w:firstLineChars="175"/>
        <w:rPr>
          <w:rFonts w:ascii="宋体" w:hAnsi="宋体" w:cs="宋体"/>
          <w:sz w:val="24"/>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 xml:space="preserve">第二部分 </w:t>
      </w:r>
      <w:bookmarkEnd w:id="0"/>
      <w:bookmarkEnd w:id="1"/>
      <w:r>
        <w:rPr>
          <w:rFonts w:hint="eastAsia" w:ascii="宋体" w:hAnsi="宋体"/>
          <w:b/>
          <w:sz w:val="36"/>
          <w:szCs w:val="36"/>
        </w:rPr>
        <w:t>采购需求及其它要求</w:t>
      </w:r>
    </w:p>
    <w:p>
      <w:pPr>
        <w:ind w:firstLine="730" w:firstLineChars="202"/>
        <w:jc w:val="center"/>
        <w:rPr>
          <w:rFonts w:ascii="宋体" w:hAnsi="宋体"/>
          <w:b/>
          <w:sz w:val="24"/>
        </w:rPr>
      </w:pPr>
      <w:bookmarkStart w:id="2" w:name="_Toc106719288"/>
      <w:bookmarkStart w:id="3" w:name="_Toc106919041"/>
      <w:bookmarkStart w:id="4" w:name="_Toc261334949"/>
      <w:bookmarkStart w:id="5" w:name="_Toc267574133"/>
      <w:bookmarkStart w:id="6" w:name="_Toc270946200"/>
      <w:r>
        <w:rPr>
          <w:rFonts w:hint="eastAsia"/>
          <w:b/>
          <w:bCs/>
          <w:sz w:val="36"/>
          <w:szCs w:val="36"/>
        </w:rPr>
        <w:t>东城区政府采购货物要求</w:t>
      </w:r>
    </w:p>
    <w:bookmarkEnd w:id="2"/>
    <w:bookmarkEnd w:id="3"/>
    <w:bookmarkEnd w:id="4"/>
    <w:bookmarkEnd w:id="5"/>
    <w:bookmarkEnd w:id="6"/>
    <w:tbl>
      <w:tblPr>
        <w:tblStyle w:val="17"/>
        <w:tblW w:w="9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247"/>
        <w:gridCol w:w="6223"/>
        <w:gridCol w:w="81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 w:type="dxa"/>
            <w:vAlign w:val="center"/>
          </w:tcPr>
          <w:p>
            <w:pPr>
              <w:jc w:val="center"/>
              <w:rPr>
                <w:b/>
                <w:bCs/>
                <w:sz w:val="24"/>
              </w:rPr>
            </w:pPr>
            <w:r>
              <w:rPr>
                <w:rFonts w:hint="eastAsia"/>
                <w:b/>
                <w:bCs/>
                <w:sz w:val="24"/>
              </w:rPr>
              <w:t>序号</w:t>
            </w:r>
          </w:p>
        </w:tc>
        <w:tc>
          <w:tcPr>
            <w:tcW w:w="1247" w:type="dxa"/>
            <w:vAlign w:val="center"/>
          </w:tcPr>
          <w:p>
            <w:pPr>
              <w:jc w:val="center"/>
              <w:rPr>
                <w:b/>
                <w:bCs/>
                <w:sz w:val="24"/>
              </w:rPr>
            </w:pPr>
            <w:r>
              <w:rPr>
                <w:rFonts w:hint="eastAsia"/>
                <w:b/>
                <w:bCs/>
                <w:sz w:val="24"/>
              </w:rPr>
              <w:t>货物名称</w:t>
            </w:r>
          </w:p>
        </w:tc>
        <w:tc>
          <w:tcPr>
            <w:tcW w:w="6223" w:type="dxa"/>
            <w:vAlign w:val="center"/>
          </w:tcPr>
          <w:p>
            <w:pPr>
              <w:jc w:val="center"/>
              <w:rPr>
                <w:b/>
                <w:bCs/>
                <w:sz w:val="24"/>
              </w:rPr>
            </w:pPr>
            <w:r>
              <w:rPr>
                <w:rFonts w:hint="eastAsia"/>
                <w:b/>
                <w:bCs/>
                <w:sz w:val="24"/>
              </w:rPr>
              <w:t>规格、型号等特殊要求</w:t>
            </w:r>
          </w:p>
        </w:tc>
        <w:tc>
          <w:tcPr>
            <w:tcW w:w="810" w:type="dxa"/>
            <w:vAlign w:val="center"/>
          </w:tcPr>
          <w:p>
            <w:pPr>
              <w:jc w:val="center"/>
              <w:rPr>
                <w:b/>
                <w:bCs/>
                <w:sz w:val="24"/>
              </w:rPr>
            </w:pPr>
            <w:r>
              <w:rPr>
                <w:rFonts w:hint="eastAsia"/>
                <w:b/>
                <w:bCs/>
                <w:sz w:val="24"/>
              </w:rPr>
              <w:t>单位</w:t>
            </w:r>
          </w:p>
        </w:tc>
        <w:tc>
          <w:tcPr>
            <w:tcW w:w="750" w:type="dxa"/>
            <w:vAlign w:val="center"/>
          </w:tcPr>
          <w:p>
            <w:pPr>
              <w:jc w:val="center"/>
              <w:rPr>
                <w:b/>
                <w:bCs/>
                <w:sz w:val="24"/>
              </w:rPr>
            </w:pPr>
            <w:r>
              <w:rPr>
                <w:rFonts w:hint="eastAsia"/>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trPr>
        <w:tc>
          <w:tcPr>
            <w:tcW w:w="577" w:type="dxa"/>
            <w:vAlign w:val="center"/>
          </w:tcPr>
          <w:p>
            <w:pPr>
              <w:jc w:val="center"/>
              <w:rPr>
                <w:b/>
                <w:bCs/>
                <w:sz w:val="24"/>
              </w:rPr>
            </w:pPr>
            <w:r>
              <w:rPr>
                <w:rFonts w:hint="eastAsia"/>
                <w:b/>
                <w:bCs/>
                <w:sz w:val="24"/>
              </w:rPr>
              <w:t>1</w:t>
            </w:r>
          </w:p>
        </w:tc>
        <w:tc>
          <w:tcPr>
            <w:tcW w:w="1247" w:type="dxa"/>
            <w:vAlign w:val="center"/>
          </w:tcPr>
          <w:p>
            <w:pPr>
              <w:jc w:val="center"/>
              <w:rPr>
                <w:b/>
                <w:bCs/>
                <w:sz w:val="24"/>
              </w:rPr>
            </w:pPr>
            <w:r>
              <w:rPr>
                <w:rFonts w:hint="eastAsia"/>
                <w:b/>
                <w:bCs/>
                <w:sz w:val="24"/>
              </w:rPr>
              <w:t>LED照明灯①</w:t>
            </w:r>
          </w:p>
        </w:tc>
        <w:tc>
          <w:tcPr>
            <w:tcW w:w="6223" w:type="dxa"/>
            <w:vAlign w:val="center"/>
          </w:tcPr>
          <w:p>
            <w:pPr>
              <w:numPr>
                <w:ilvl w:val="0"/>
                <w:numId w:val="2"/>
              </w:numPr>
              <w:rPr>
                <w:b/>
                <w:bCs/>
                <w:sz w:val="24"/>
              </w:rPr>
            </w:pPr>
            <w:r>
              <w:rPr>
                <w:rFonts w:hint="eastAsia"/>
                <w:b/>
                <w:bCs/>
                <w:sz w:val="24"/>
              </w:rPr>
              <w:t>双臂双火路灯，主路150WLED灯头12米高，辅路70WLED灯头10米高</w:t>
            </w:r>
          </w:p>
          <w:p>
            <w:pPr>
              <w:numPr>
                <w:ilvl w:val="0"/>
                <w:numId w:val="2"/>
              </w:numPr>
              <w:rPr>
                <w:b/>
                <w:bCs/>
                <w:sz w:val="24"/>
              </w:rPr>
            </w:pPr>
            <w:r>
              <w:rPr>
                <w:rFonts w:hint="eastAsia"/>
                <w:b/>
                <w:bCs/>
                <w:sz w:val="24"/>
              </w:rPr>
              <w:t>灯杆主杆采用优质方钢Q235，热镀锌后白色喷塑处理，底部方钢尺寸为410mm*150 mm *1500 mm，法兰及钢板壁厚不低于4.0mm，主辅杆采用方钢尺寸壁厚不低于3.5mm，挑臂采用扇形，详见灯杆图形一。</w:t>
            </w:r>
          </w:p>
          <w:p>
            <w:pPr>
              <w:numPr>
                <w:ilvl w:val="0"/>
                <w:numId w:val="2"/>
              </w:numPr>
              <w:rPr>
                <w:b/>
                <w:bCs/>
                <w:sz w:val="24"/>
              </w:rPr>
            </w:pPr>
            <w:r>
              <w:rPr>
                <w:rFonts w:hint="eastAsia"/>
                <w:b/>
                <w:bCs/>
                <w:sz w:val="24"/>
              </w:rPr>
              <w:t>150WLED灯头，70WLED灯头光效不低于120LM/W，色温在4000K，要求整套灯具及灯具内零部件（光源芯片、浪涌保护器、驱动电源）必须为同一品牌产品，不接受组装产品。150W、70W灯具投射角度0°—90°任意调节。</w:t>
            </w:r>
          </w:p>
        </w:tc>
        <w:tc>
          <w:tcPr>
            <w:tcW w:w="810" w:type="dxa"/>
            <w:vAlign w:val="center"/>
          </w:tcPr>
          <w:p>
            <w:pPr>
              <w:rPr>
                <w:b/>
                <w:bCs/>
                <w:sz w:val="24"/>
              </w:rPr>
            </w:pPr>
          </w:p>
          <w:p>
            <w:pPr>
              <w:rPr>
                <w:b/>
                <w:bCs/>
                <w:sz w:val="24"/>
              </w:rPr>
            </w:pPr>
          </w:p>
          <w:p>
            <w:pPr>
              <w:ind w:firstLine="241" w:firstLineChars="100"/>
              <w:rPr>
                <w:b/>
                <w:bCs/>
                <w:sz w:val="24"/>
              </w:rPr>
            </w:pPr>
            <w:r>
              <w:rPr>
                <w:rFonts w:hint="eastAsia"/>
                <w:b/>
                <w:bCs/>
                <w:sz w:val="24"/>
              </w:rPr>
              <w:t>套</w:t>
            </w:r>
          </w:p>
        </w:tc>
        <w:tc>
          <w:tcPr>
            <w:tcW w:w="750" w:type="dxa"/>
            <w:vAlign w:val="center"/>
          </w:tcPr>
          <w:p>
            <w:pPr>
              <w:rPr>
                <w:b/>
                <w:bCs/>
                <w:sz w:val="24"/>
              </w:rPr>
            </w:pPr>
          </w:p>
          <w:p>
            <w:pPr>
              <w:rPr>
                <w:b/>
                <w:bCs/>
                <w:sz w:val="24"/>
              </w:rPr>
            </w:pPr>
          </w:p>
          <w:p>
            <w:pPr>
              <w:ind w:firstLine="241" w:firstLineChars="100"/>
              <w:rPr>
                <w:b/>
                <w:bCs/>
                <w:sz w:val="24"/>
              </w:rPr>
            </w:pPr>
            <w:r>
              <w:rPr>
                <w:rFonts w:hint="eastAsia"/>
                <w:b/>
                <w:bCs/>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2" w:hRule="atLeast"/>
        </w:trPr>
        <w:tc>
          <w:tcPr>
            <w:tcW w:w="577" w:type="dxa"/>
            <w:vAlign w:val="center"/>
          </w:tcPr>
          <w:p>
            <w:pPr>
              <w:jc w:val="center"/>
              <w:rPr>
                <w:b/>
                <w:bCs/>
                <w:sz w:val="24"/>
              </w:rPr>
            </w:pPr>
            <w:r>
              <w:rPr>
                <w:rFonts w:hint="eastAsia"/>
                <w:b/>
                <w:bCs/>
                <w:sz w:val="24"/>
              </w:rPr>
              <w:t>2</w:t>
            </w:r>
          </w:p>
        </w:tc>
        <w:tc>
          <w:tcPr>
            <w:tcW w:w="1247" w:type="dxa"/>
            <w:vAlign w:val="center"/>
          </w:tcPr>
          <w:p>
            <w:pPr>
              <w:jc w:val="center"/>
              <w:rPr>
                <w:b/>
                <w:bCs/>
                <w:sz w:val="24"/>
              </w:rPr>
            </w:pPr>
            <w:r>
              <w:rPr>
                <w:rFonts w:hint="eastAsia"/>
                <w:b/>
                <w:bCs/>
                <w:sz w:val="24"/>
              </w:rPr>
              <w:t>LED照明灯②</w:t>
            </w:r>
          </w:p>
        </w:tc>
        <w:tc>
          <w:tcPr>
            <w:tcW w:w="6223" w:type="dxa"/>
            <w:vAlign w:val="center"/>
          </w:tcPr>
          <w:p>
            <w:pPr>
              <w:numPr>
                <w:ilvl w:val="0"/>
                <w:numId w:val="3"/>
              </w:numPr>
              <w:rPr>
                <w:b/>
                <w:bCs/>
                <w:sz w:val="24"/>
              </w:rPr>
            </w:pPr>
            <w:r>
              <w:rPr>
                <w:rFonts w:hint="eastAsia"/>
                <w:b/>
                <w:bCs/>
                <w:sz w:val="24"/>
              </w:rPr>
              <w:t>双臂双火路灯，主路110WLED灯头12米高，辅路70WLED灯头10米高</w:t>
            </w:r>
          </w:p>
          <w:p>
            <w:pPr>
              <w:numPr>
                <w:ilvl w:val="0"/>
                <w:numId w:val="3"/>
              </w:numPr>
              <w:rPr>
                <w:b/>
                <w:bCs/>
                <w:sz w:val="24"/>
              </w:rPr>
            </w:pPr>
            <w:r>
              <w:rPr>
                <w:rFonts w:hint="eastAsia"/>
                <w:b/>
                <w:bCs/>
                <w:sz w:val="24"/>
              </w:rPr>
              <w:t>灯杆主杆采用优质方钢Q235，热镀锌后白色喷塑处理，底部方钢尺寸为410mm*150 mm *1500 mm，法兰及钢板壁厚不低于4.0mm，主辅杆采用方钢尺寸壁厚不低于3.5mm，挑臂采用扇形，详见灯杆图形一。</w:t>
            </w:r>
          </w:p>
          <w:p>
            <w:pPr>
              <w:rPr>
                <w:b/>
                <w:bCs/>
                <w:sz w:val="24"/>
              </w:rPr>
            </w:pPr>
            <w:r>
              <w:rPr>
                <w:rFonts w:hint="eastAsia"/>
                <w:b/>
                <w:bCs/>
                <w:sz w:val="24"/>
              </w:rPr>
              <w:t>3、110WLED灯头，70WLED灯头光效不低于120LM/W，色温在4000K, 要求整套灯具及灯具内零部件（光源芯片、浪涌保护器、驱动电源）必须为同一品牌产品，不接受组装产品。110W灯具具有节能调节模式（根据时间设定由全功率模式自动切换半功率模式），70W灯具投射角度0°—90°任意调节。</w:t>
            </w:r>
          </w:p>
        </w:tc>
        <w:tc>
          <w:tcPr>
            <w:tcW w:w="810" w:type="dxa"/>
            <w:vAlign w:val="center"/>
          </w:tcPr>
          <w:p>
            <w:pPr>
              <w:rPr>
                <w:b/>
                <w:bCs/>
                <w:sz w:val="24"/>
              </w:rPr>
            </w:pPr>
          </w:p>
          <w:p>
            <w:pPr>
              <w:rPr>
                <w:b/>
                <w:bCs/>
                <w:sz w:val="24"/>
              </w:rPr>
            </w:pPr>
          </w:p>
          <w:p>
            <w:pPr>
              <w:ind w:firstLine="241" w:firstLineChars="100"/>
              <w:rPr>
                <w:b/>
                <w:bCs/>
                <w:sz w:val="24"/>
              </w:rPr>
            </w:pPr>
            <w:r>
              <w:rPr>
                <w:rFonts w:hint="eastAsia"/>
                <w:b/>
                <w:bCs/>
                <w:sz w:val="24"/>
              </w:rPr>
              <w:t>套</w:t>
            </w:r>
          </w:p>
        </w:tc>
        <w:tc>
          <w:tcPr>
            <w:tcW w:w="750" w:type="dxa"/>
            <w:vAlign w:val="center"/>
          </w:tcPr>
          <w:p>
            <w:pPr>
              <w:rPr>
                <w:b/>
                <w:bCs/>
                <w:sz w:val="24"/>
              </w:rPr>
            </w:pPr>
          </w:p>
          <w:p>
            <w:pPr>
              <w:rPr>
                <w:b/>
                <w:bCs/>
                <w:sz w:val="24"/>
              </w:rPr>
            </w:pPr>
          </w:p>
          <w:p>
            <w:pPr>
              <w:rPr>
                <w:b/>
                <w:bCs/>
                <w:sz w:val="24"/>
              </w:rPr>
            </w:pPr>
            <w:r>
              <w:rPr>
                <w:rFonts w:hint="eastAsia"/>
                <w:b/>
                <w:bCs/>
                <w:sz w:val="24"/>
              </w:rPr>
              <w:t xml:space="preserve">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1" w:hRule="atLeast"/>
        </w:trPr>
        <w:tc>
          <w:tcPr>
            <w:tcW w:w="577" w:type="dxa"/>
            <w:vAlign w:val="center"/>
          </w:tcPr>
          <w:p>
            <w:pPr>
              <w:jc w:val="center"/>
              <w:rPr>
                <w:b/>
                <w:bCs/>
                <w:sz w:val="24"/>
              </w:rPr>
            </w:pPr>
            <w:r>
              <w:rPr>
                <w:rFonts w:hint="eastAsia"/>
                <w:b/>
                <w:bCs/>
                <w:sz w:val="24"/>
              </w:rPr>
              <w:t>3</w:t>
            </w:r>
          </w:p>
        </w:tc>
        <w:tc>
          <w:tcPr>
            <w:tcW w:w="1247" w:type="dxa"/>
            <w:vAlign w:val="center"/>
          </w:tcPr>
          <w:p>
            <w:pPr>
              <w:jc w:val="center"/>
              <w:rPr>
                <w:b/>
                <w:bCs/>
                <w:sz w:val="24"/>
              </w:rPr>
            </w:pPr>
            <w:r>
              <w:rPr>
                <w:rFonts w:hint="eastAsia"/>
                <w:b/>
                <w:bCs/>
                <w:sz w:val="24"/>
              </w:rPr>
              <w:t>LED照明灯③</w:t>
            </w:r>
          </w:p>
        </w:tc>
        <w:tc>
          <w:tcPr>
            <w:tcW w:w="6223" w:type="dxa"/>
            <w:vAlign w:val="center"/>
          </w:tcPr>
          <w:p>
            <w:pPr>
              <w:numPr>
                <w:ilvl w:val="0"/>
                <w:numId w:val="4"/>
              </w:numPr>
              <w:rPr>
                <w:b/>
                <w:bCs/>
                <w:sz w:val="24"/>
              </w:rPr>
            </w:pPr>
            <w:r>
              <w:rPr>
                <w:rFonts w:hint="eastAsia"/>
                <w:b/>
                <w:bCs/>
                <w:sz w:val="24"/>
              </w:rPr>
              <w:t>双臂双火路灯，主路110WLED灯头10米高，辅路50WLED灯头8米高</w:t>
            </w:r>
          </w:p>
          <w:p>
            <w:pPr>
              <w:numPr>
                <w:ilvl w:val="0"/>
                <w:numId w:val="4"/>
              </w:numPr>
              <w:rPr>
                <w:b/>
                <w:bCs/>
                <w:sz w:val="24"/>
              </w:rPr>
            </w:pPr>
            <w:r>
              <w:rPr>
                <w:rFonts w:hint="eastAsia"/>
                <w:b/>
                <w:bCs/>
                <w:sz w:val="24"/>
              </w:rPr>
              <w:t>灯杆主杆采用优质方钢Q235，热镀锌后白色喷塑处理，底部方钢尺寸为410mm*150 mm *1500 mm，法兰及钢板壁厚不低于4.0mm，主辅杆采用方钢尺寸壁厚不低于3.5mm，挑臂采用扇形，详见灯杆图形二。</w:t>
            </w:r>
          </w:p>
          <w:p>
            <w:pPr>
              <w:rPr>
                <w:b/>
                <w:bCs/>
                <w:sz w:val="24"/>
              </w:rPr>
            </w:pPr>
            <w:r>
              <w:rPr>
                <w:rFonts w:hint="eastAsia"/>
                <w:b/>
                <w:bCs/>
                <w:sz w:val="24"/>
              </w:rPr>
              <w:t>3、110WLED灯头，50WLED灯头光效不低于120LM/W，色温在4000K，要求整套灯具及灯具内零部件（光源芯片、浪涌保护器、驱动电源）必须为同一品牌产品，不接受组装产品。110W、50W灯具具有节能调节模式（根据时间设定由全功率模式自动切换半功率模式）</w:t>
            </w:r>
          </w:p>
        </w:tc>
        <w:tc>
          <w:tcPr>
            <w:tcW w:w="810" w:type="dxa"/>
            <w:vAlign w:val="center"/>
          </w:tcPr>
          <w:p>
            <w:pPr>
              <w:rPr>
                <w:b/>
                <w:bCs/>
                <w:sz w:val="24"/>
              </w:rPr>
            </w:pPr>
          </w:p>
          <w:p>
            <w:pPr>
              <w:rPr>
                <w:b/>
                <w:bCs/>
                <w:sz w:val="24"/>
              </w:rPr>
            </w:pPr>
          </w:p>
          <w:p>
            <w:pPr>
              <w:ind w:firstLine="241" w:firstLineChars="100"/>
              <w:rPr>
                <w:b/>
                <w:bCs/>
                <w:sz w:val="24"/>
              </w:rPr>
            </w:pPr>
            <w:r>
              <w:rPr>
                <w:rFonts w:hint="eastAsia"/>
                <w:b/>
                <w:bCs/>
                <w:sz w:val="24"/>
              </w:rPr>
              <w:t>套</w:t>
            </w:r>
          </w:p>
        </w:tc>
        <w:tc>
          <w:tcPr>
            <w:tcW w:w="750" w:type="dxa"/>
            <w:vAlign w:val="center"/>
          </w:tcPr>
          <w:p>
            <w:pPr>
              <w:rPr>
                <w:b/>
                <w:bCs/>
                <w:sz w:val="24"/>
              </w:rPr>
            </w:pPr>
          </w:p>
          <w:p>
            <w:pPr>
              <w:rPr>
                <w:b/>
                <w:bCs/>
                <w:sz w:val="24"/>
              </w:rPr>
            </w:pPr>
          </w:p>
          <w:p>
            <w:pPr>
              <w:ind w:firstLine="241" w:firstLineChars="100"/>
              <w:rPr>
                <w:b/>
                <w:bCs/>
                <w:sz w:val="24"/>
              </w:rPr>
            </w:pPr>
            <w:r>
              <w:rPr>
                <w:rFonts w:hint="eastAsia"/>
                <w:b/>
                <w:bCs/>
                <w:sz w:val="24"/>
              </w:rPr>
              <w:t xml:space="preserve">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7" w:type="dxa"/>
            <w:vAlign w:val="center"/>
          </w:tcPr>
          <w:p>
            <w:pPr>
              <w:jc w:val="center"/>
              <w:rPr>
                <w:b/>
                <w:bCs/>
                <w:sz w:val="24"/>
              </w:rPr>
            </w:pPr>
            <w:r>
              <w:rPr>
                <w:rFonts w:hint="eastAsia"/>
                <w:b/>
                <w:bCs/>
                <w:sz w:val="24"/>
              </w:rPr>
              <w:t>4</w:t>
            </w:r>
          </w:p>
        </w:tc>
        <w:tc>
          <w:tcPr>
            <w:tcW w:w="1247" w:type="dxa"/>
            <w:vAlign w:val="center"/>
          </w:tcPr>
          <w:p>
            <w:pPr>
              <w:jc w:val="center"/>
              <w:rPr>
                <w:b/>
                <w:bCs/>
                <w:sz w:val="24"/>
              </w:rPr>
            </w:pPr>
            <w:r>
              <w:rPr>
                <w:rFonts w:hint="eastAsia"/>
                <w:b/>
                <w:bCs/>
                <w:sz w:val="24"/>
              </w:rPr>
              <w:t>LED照明灯④</w:t>
            </w:r>
          </w:p>
        </w:tc>
        <w:tc>
          <w:tcPr>
            <w:tcW w:w="6223" w:type="dxa"/>
            <w:vAlign w:val="center"/>
          </w:tcPr>
          <w:p>
            <w:pPr>
              <w:rPr>
                <w:b/>
                <w:bCs/>
                <w:sz w:val="24"/>
              </w:rPr>
            </w:pPr>
            <w:r>
              <w:rPr>
                <w:rFonts w:hint="eastAsia"/>
                <w:b/>
                <w:bCs/>
                <w:sz w:val="24"/>
              </w:rPr>
              <w:t>1、双臂双火路灯，主路150WLED灯头10米高，辅路50WLED灯头8米高</w:t>
            </w:r>
          </w:p>
          <w:p>
            <w:pPr>
              <w:numPr>
                <w:ilvl w:val="0"/>
                <w:numId w:val="4"/>
              </w:numPr>
              <w:rPr>
                <w:b/>
                <w:bCs/>
                <w:sz w:val="24"/>
              </w:rPr>
            </w:pPr>
            <w:r>
              <w:rPr>
                <w:rFonts w:hint="eastAsia"/>
                <w:b/>
                <w:bCs/>
                <w:sz w:val="24"/>
              </w:rPr>
              <w:t>灯杆主杆采用优质方钢Q235，热镀锌后白色喷塑处理，底部方钢尺寸为410mm*150 mm *1500 mm，法兰及钢板壁厚不低于4.0mm，主辅杆采用方钢尺寸壁厚不低于3.5mm，挑臂采用扇形，详见灯杆图形二。</w:t>
            </w:r>
          </w:p>
          <w:p>
            <w:pPr>
              <w:rPr>
                <w:b/>
                <w:bCs/>
                <w:sz w:val="24"/>
              </w:rPr>
            </w:pPr>
            <w:r>
              <w:rPr>
                <w:rFonts w:hint="eastAsia"/>
                <w:b/>
                <w:bCs/>
                <w:sz w:val="24"/>
              </w:rPr>
              <w:t>3、150WLED灯头，50WLED灯头光效不低于120LM/W，色温在4000K，要求整套灯具及灯具内零部件（光源芯片、浪涌保护器、驱动电源）必须为同一品牌产品，不接受组装产品。150W、50W灯具具有节能调节模式（根据时间设定由全功率模式自动切换半功率模式）</w:t>
            </w:r>
          </w:p>
        </w:tc>
        <w:tc>
          <w:tcPr>
            <w:tcW w:w="810" w:type="dxa"/>
            <w:vAlign w:val="center"/>
          </w:tcPr>
          <w:p>
            <w:pPr>
              <w:rPr>
                <w:b/>
                <w:bCs/>
                <w:sz w:val="24"/>
              </w:rPr>
            </w:pPr>
          </w:p>
          <w:p>
            <w:pPr>
              <w:rPr>
                <w:b/>
                <w:bCs/>
                <w:sz w:val="24"/>
              </w:rPr>
            </w:pPr>
          </w:p>
          <w:p>
            <w:pPr>
              <w:ind w:firstLine="241" w:firstLineChars="100"/>
              <w:rPr>
                <w:b/>
                <w:bCs/>
                <w:sz w:val="24"/>
              </w:rPr>
            </w:pPr>
            <w:r>
              <w:rPr>
                <w:rFonts w:hint="eastAsia"/>
                <w:b/>
                <w:bCs/>
                <w:sz w:val="24"/>
              </w:rPr>
              <w:t>套</w:t>
            </w:r>
          </w:p>
        </w:tc>
        <w:tc>
          <w:tcPr>
            <w:tcW w:w="750" w:type="dxa"/>
            <w:vAlign w:val="center"/>
          </w:tcPr>
          <w:p>
            <w:pPr>
              <w:rPr>
                <w:b/>
                <w:bCs/>
                <w:sz w:val="24"/>
              </w:rPr>
            </w:pPr>
          </w:p>
          <w:p>
            <w:pPr>
              <w:rPr>
                <w:b/>
                <w:bCs/>
                <w:sz w:val="24"/>
              </w:rPr>
            </w:pPr>
          </w:p>
          <w:p>
            <w:pPr>
              <w:ind w:firstLine="241" w:firstLineChars="100"/>
              <w:rPr>
                <w:b/>
                <w:bCs/>
                <w:sz w:val="24"/>
              </w:rPr>
            </w:pPr>
            <w:r>
              <w:rPr>
                <w:rFonts w:hint="eastAsia"/>
                <w:b/>
                <w:bCs/>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577" w:type="dxa"/>
            <w:vAlign w:val="center"/>
          </w:tcPr>
          <w:p>
            <w:pPr>
              <w:jc w:val="center"/>
              <w:rPr>
                <w:b/>
                <w:bCs/>
                <w:sz w:val="24"/>
              </w:rPr>
            </w:pPr>
            <w:r>
              <w:rPr>
                <w:rFonts w:hint="eastAsia"/>
                <w:b/>
                <w:bCs/>
                <w:sz w:val="24"/>
              </w:rPr>
              <w:t>5</w:t>
            </w:r>
          </w:p>
        </w:tc>
        <w:tc>
          <w:tcPr>
            <w:tcW w:w="1247" w:type="dxa"/>
            <w:vAlign w:val="center"/>
          </w:tcPr>
          <w:p>
            <w:pPr>
              <w:jc w:val="center"/>
              <w:rPr>
                <w:b/>
                <w:bCs/>
                <w:sz w:val="24"/>
              </w:rPr>
            </w:pPr>
            <w:r>
              <w:rPr>
                <w:rFonts w:hint="eastAsia"/>
                <w:b/>
                <w:bCs/>
                <w:sz w:val="24"/>
              </w:rPr>
              <w:t>LED照明灯⑤</w:t>
            </w:r>
          </w:p>
        </w:tc>
        <w:tc>
          <w:tcPr>
            <w:tcW w:w="6223" w:type="dxa"/>
            <w:vAlign w:val="center"/>
          </w:tcPr>
          <w:p>
            <w:pPr>
              <w:numPr>
                <w:ilvl w:val="0"/>
                <w:numId w:val="5"/>
              </w:numPr>
              <w:rPr>
                <w:b/>
                <w:bCs/>
                <w:sz w:val="24"/>
              </w:rPr>
            </w:pPr>
            <w:r>
              <w:rPr>
                <w:rFonts w:hint="eastAsia"/>
                <w:b/>
                <w:bCs/>
                <w:sz w:val="24"/>
              </w:rPr>
              <w:t>单臂单火路灯， 180WLED灯头10米高。</w:t>
            </w:r>
          </w:p>
          <w:p>
            <w:pPr>
              <w:numPr>
                <w:ilvl w:val="0"/>
                <w:numId w:val="5"/>
              </w:numPr>
              <w:rPr>
                <w:b/>
                <w:bCs/>
                <w:sz w:val="24"/>
              </w:rPr>
            </w:pPr>
            <w:r>
              <w:rPr>
                <w:rFonts w:hint="eastAsia"/>
                <w:b/>
                <w:bCs/>
                <w:sz w:val="24"/>
              </w:rPr>
              <w:t>灯杆主杆采用优质Q235钢板经模压成型，热镀锌后黑色喷塑处理，底部圆钢尺寸为</w:t>
            </w:r>
            <w:r>
              <w:rPr>
                <w:rFonts w:hint="eastAsia" w:ascii="宋体" w:hAnsi="宋体"/>
                <w:b/>
                <w:bCs/>
                <w:sz w:val="24"/>
              </w:rPr>
              <w:t>Φ</w:t>
            </w:r>
            <w:r>
              <w:rPr>
                <w:rFonts w:hint="eastAsia"/>
                <w:b/>
                <w:bCs/>
                <w:sz w:val="24"/>
              </w:rPr>
              <w:t>180mm*2000 mm *</w:t>
            </w:r>
            <w:r>
              <w:rPr>
                <w:rFonts w:hint="eastAsia" w:ascii="宋体" w:hAnsi="宋体"/>
                <w:b/>
                <w:bCs/>
                <w:sz w:val="24"/>
              </w:rPr>
              <w:t>δ</w:t>
            </w:r>
            <w:r>
              <w:rPr>
                <w:rFonts w:hint="eastAsia"/>
                <w:b/>
                <w:bCs/>
                <w:sz w:val="24"/>
              </w:rPr>
              <w:t>4.0 mm，法兰及钢板壁厚不低于4.0mm，详见灯杆图形三。</w:t>
            </w:r>
          </w:p>
          <w:p>
            <w:pPr>
              <w:rPr>
                <w:b/>
                <w:bCs/>
                <w:sz w:val="24"/>
              </w:rPr>
            </w:pPr>
            <w:r>
              <w:rPr>
                <w:rFonts w:hint="eastAsia"/>
                <w:b/>
                <w:bCs/>
                <w:sz w:val="24"/>
              </w:rPr>
              <w:t>3、180WLED灯头光效不低于120LM/W，色温在4000K，要求整套灯具及灯具内零部件（光源芯片、浪涌保护器、驱动电源）必须为同一品牌产品，不接受组装产品。180W灯具投射角度0°—90°任意调节。</w:t>
            </w:r>
          </w:p>
        </w:tc>
        <w:tc>
          <w:tcPr>
            <w:tcW w:w="810" w:type="dxa"/>
            <w:vAlign w:val="center"/>
          </w:tcPr>
          <w:p>
            <w:pPr>
              <w:rPr>
                <w:b/>
                <w:bCs/>
                <w:sz w:val="24"/>
              </w:rPr>
            </w:pPr>
          </w:p>
          <w:p>
            <w:pPr>
              <w:rPr>
                <w:b/>
                <w:bCs/>
                <w:sz w:val="24"/>
              </w:rPr>
            </w:pPr>
          </w:p>
          <w:p>
            <w:pPr>
              <w:ind w:firstLine="241" w:firstLineChars="100"/>
              <w:rPr>
                <w:b/>
                <w:bCs/>
                <w:sz w:val="24"/>
              </w:rPr>
            </w:pPr>
            <w:r>
              <w:rPr>
                <w:rFonts w:hint="eastAsia"/>
                <w:b/>
                <w:bCs/>
                <w:sz w:val="24"/>
              </w:rPr>
              <w:t>套</w:t>
            </w:r>
          </w:p>
        </w:tc>
        <w:tc>
          <w:tcPr>
            <w:tcW w:w="750" w:type="dxa"/>
            <w:vAlign w:val="center"/>
          </w:tcPr>
          <w:p>
            <w:pPr>
              <w:rPr>
                <w:b/>
                <w:bCs/>
                <w:sz w:val="24"/>
              </w:rPr>
            </w:pPr>
          </w:p>
          <w:p>
            <w:pPr>
              <w:rPr>
                <w:b/>
                <w:bCs/>
                <w:sz w:val="24"/>
              </w:rPr>
            </w:pPr>
          </w:p>
          <w:p>
            <w:pPr>
              <w:ind w:firstLine="241" w:firstLineChars="100"/>
              <w:rPr>
                <w:b/>
                <w:bCs/>
                <w:sz w:val="24"/>
              </w:rPr>
            </w:pPr>
            <w:r>
              <w:rPr>
                <w:rFonts w:hint="eastAsia"/>
                <w:b/>
                <w:bCs/>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577" w:type="dxa"/>
            <w:vAlign w:val="center"/>
          </w:tcPr>
          <w:p>
            <w:pPr>
              <w:jc w:val="center"/>
              <w:rPr>
                <w:b/>
                <w:bCs/>
                <w:sz w:val="24"/>
              </w:rPr>
            </w:pPr>
            <w:r>
              <w:rPr>
                <w:rFonts w:hint="eastAsia"/>
                <w:b/>
                <w:bCs/>
                <w:sz w:val="24"/>
              </w:rPr>
              <w:t>6</w:t>
            </w:r>
          </w:p>
        </w:tc>
        <w:tc>
          <w:tcPr>
            <w:tcW w:w="1247" w:type="dxa"/>
            <w:vAlign w:val="center"/>
          </w:tcPr>
          <w:p>
            <w:pPr>
              <w:jc w:val="center"/>
              <w:rPr>
                <w:b/>
                <w:bCs/>
                <w:sz w:val="24"/>
              </w:rPr>
            </w:pPr>
            <w:r>
              <w:rPr>
                <w:rFonts w:hint="eastAsia"/>
                <w:b/>
                <w:bCs/>
                <w:sz w:val="24"/>
              </w:rPr>
              <w:t>LED照明灯⑥</w:t>
            </w:r>
          </w:p>
        </w:tc>
        <w:tc>
          <w:tcPr>
            <w:tcW w:w="6223" w:type="dxa"/>
            <w:vAlign w:val="center"/>
          </w:tcPr>
          <w:p>
            <w:pPr>
              <w:numPr>
                <w:ilvl w:val="0"/>
                <w:numId w:val="6"/>
              </w:numPr>
              <w:rPr>
                <w:b/>
                <w:bCs/>
                <w:sz w:val="24"/>
              </w:rPr>
            </w:pPr>
            <w:r>
              <w:rPr>
                <w:rFonts w:hint="eastAsia"/>
                <w:b/>
                <w:bCs/>
                <w:sz w:val="24"/>
              </w:rPr>
              <w:t>单臂单火路灯， 150WLED灯头10米高。</w:t>
            </w:r>
          </w:p>
          <w:p>
            <w:pPr>
              <w:numPr>
                <w:ilvl w:val="0"/>
                <w:numId w:val="6"/>
              </w:numPr>
              <w:rPr>
                <w:b/>
                <w:bCs/>
                <w:sz w:val="24"/>
              </w:rPr>
            </w:pPr>
            <w:r>
              <w:rPr>
                <w:rFonts w:hint="eastAsia"/>
                <w:b/>
                <w:bCs/>
                <w:sz w:val="24"/>
              </w:rPr>
              <w:t>灯杆主杆采用优质Q235钢板经模压成型，热镀锌后黑色喷塑处理，底部圆钢尺寸为</w:t>
            </w:r>
            <w:r>
              <w:rPr>
                <w:rFonts w:hint="eastAsia" w:ascii="宋体" w:hAnsi="宋体"/>
                <w:b/>
                <w:bCs/>
                <w:sz w:val="24"/>
              </w:rPr>
              <w:t>Φ</w:t>
            </w:r>
            <w:r>
              <w:rPr>
                <w:rFonts w:hint="eastAsia"/>
                <w:b/>
                <w:bCs/>
                <w:sz w:val="24"/>
              </w:rPr>
              <w:t>180mm*2000 mm *</w:t>
            </w:r>
            <w:r>
              <w:rPr>
                <w:rFonts w:hint="eastAsia" w:ascii="宋体" w:hAnsi="宋体"/>
                <w:b/>
                <w:bCs/>
                <w:sz w:val="24"/>
              </w:rPr>
              <w:t>δ</w:t>
            </w:r>
            <w:r>
              <w:rPr>
                <w:rFonts w:hint="eastAsia"/>
                <w:b/>
                <w:bCs/>
                <w:sz w:val="24"/>
              </w:rPr>
              <w:t>4.0 mm，法兰及钢板壁厚不低于4.0mm，详见灯杆图形三。</w:t>
            </w:r>
          </w:p>
          <w:p>
            <w:pPr>
              <w:rPr>
                <w:b/>
                <w:bCs/>
                <w:sz w:val="24"/>
              </w:rPr>
            </w:pPr>
            <w:r>
              <w:rPr>
                <w:rFonts w:hint="eastAsia"/>
                <w:b/>
                <w:bCs/>
                <w:sz w:val="24"/>
              </w:rPr>
              <w:t>3、150WLED灯头光效不低于120LM/W，色温在4000K，要求整套灯具及灯具内零部件（光源芯片、浪涌保护器、驱动电源）必须为同一品牌产品，不接受组装产品。150W灯具投射角度0°—90°任意调节。</w:t>
            </w:r>
          </w:p>
        </w:tc>
        <w:tc>
          <w:tcPr>
            <w:tcW w:w="810" w:type="dxa"/>
            <w:vAlign w:val="center"/>
          </w:tcPr>
          <w:p>
            <w:pPr>
              <w:rPr>
                <w:b/>
                <w:bCs/>
                <w:sz w:val="24"/>
              </w:rPr>
            </w:pPr>
          </w:p>
          <w:p>
            <w:pPr>
              <w:rPr>
                <w:b/>
                <w:bCs/>
                <w:sz w:val="24"/>
              </w:rPr>
            </w:pPr>
          </w:p>
          <w:p>
            <w:pPr>
              <w:ind w:firstLine="241" w:firstLineChars="100"/>
              <w:rPr>
                <w:b/>
                <w:bCs/>
                <w:sz w:val="24"/>
              </w:rPr>
            </w:pPr>
            <w:r>
              <w:rPr>
                <w:rFonts w:hint="eastAsia"/>
                <w:b/>
                <w:bCs/>
                <w:sz w:val="24"/>
              </w:rPr>
              <w:t>套</w:t>
            </w:r>
          </w:p>
        </w:tc>
        <w:tc>
          <w:tcPr>
            <w:tcW w:w="750" w:type="dxa"/>
            <w:vAlign w:val="center"/>
          </w:tcPr>
          <w:p>
            <w:pPr>
              <w:rPr>
                <w:b/>
                <w:bCs/>
                <w:sz w:val="24"/>
              </w:rPr>
            </w:pPr>
          </w:p>
          <w:p>
            <w:pPr>
              <w:rPr>
                <w:b/>
                <w:bCs/>
                <w:sz w:val="24"/>
              </w:rPr>
            </w:pPr>
          </w:p>
          <w:p>
            <w:pPr>
              <w:ind w:firstLine="241" w:firstLineChars="100"/>
              <w:rPr>
                <w:b/>
                <w:bCs/>
                <w:sz w:val="24"/>
              </w:rPr>
            </w:pPr>
            <w:r>
              <w:rPr>
                <w:rFonts w:hint="eastAsia"/>
                <w:b/>
                <w:bCs/>
                <w:sz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77" w:type="dxa"/>
            <w:vAlign w:val="center"/>
          </w:tcPr>
          <w:p>
            <w:pPr>
              <w:jc w:val="center"/>
              <w:rPr>
                <w:b/>
                <w:bCs/>
                <w:sz w:val="24"/>
              </w:rPr>
            </w:pPr>
            <w:r>
              <w:rPr>
                <w:rFonts w:hint="eastAsia"/>
                <w:b/>
                <w:bCs/>
                <w:sz w:val="24"/>
              </w:rPr>
              <w:t>7</w:t>
            </w:r>
          </w:p>
        </w:tc>
        <w:tc>
          <w:tcPr>
            <w:tcW w:w="1247" w:type="dxa"/>
            <w:vAlign w:val="center"/>
          </w:tcPr>
          <w:p>
            <w:pPr>
              <w:jc w:val="center"/>
              <w:rPr>
                <w:b/>
                <w:bCs/>
                <w:sz w:val="24"/>
              </w:rPr>
            </w:pPr>
            <w:r>
              <w:rPr>
                <w:rFonts w:hint="eastAsia"/>
                <w:b/>
                <w:bCs/>
                <w:sz w:val="24"/>
              </w:rPr>
              <w:t>铜芯护套线</w:t>
            </w:r>
          </w:p>
        </w:tc>
        <w:tc>
          <w:tcPr>
            <w:tcW w:w="6223" w:type="dxa"/>
            <w:vAlign w:val="center"/>
          </w:tcPr>
          <w:p>
            <w:pPr>
              <w:rPr>
                <w:b/>
                <w:bCs/>
                <w:sz w:val="24"/>
              </w:rPr>
            </w:pPr>
            <w:r>
              <w:rPr>
                <w:rFonts w:hint="eastAsia"/>
                <w:b/>
                <w:bCs/>
                <w:sz w:val="24"/>
              </w:rPr>
              <w:t>上灯线3*2.5mm2铜芯护套线</w:t>
            </w:r>
          </w:p>
        </w:tc>
        <w:tc>
          <w:tcPr>
            <w:tcW w:w="810" w:type="dxa"/>
            <w:vAlign w:val="center"/>
          </w:tcPr>
          <w:p>
            <w:pPr>
              <w:ind w:firstLine="241" w:firstLineChars="100"/>
              <w:rPr>
                <w:b/>
                <w:bCs/>
                <w:sz w:val="24"/>
              </w:rPr>
            </w:pPr>
            <w:r>
              <w:rPr>
                <w:rFonts w:hint="eastAsia"/>
                <w:b/>
                <w:bCs/>
                <w:sz w:val="24"/>
              </w:rPr>
              <w:t>米</w:t>
            </w:r>
          </w:p>
        </w:tc>
        <w:tc>
          <w:tcPr>
            <w:tcW w:w="750" w:type="dxa"/>
            <w:vAlign w:val="center"/>
          </w:tcPr>
          <w:p>
            <w:pPr>
              <w:rPr>
                <w:b/>
                <w:bCs/>
                <w:sz w:val="24"/>
              </w:rPr>
            </w:pPr>
            <w:r>
              <w:rPr>
                <w:rFonts w:hint="eastAsia"/>
                <w:b/>
                <w:bCs/>
                <w:sz w:val="24"/>
              </w:rPr>
              <w:t xml:space="preserve">  5328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77" w:type="dxa"/>
            <w:vAlign w:val="center"/>
          </w:tcPr>
          <w:p>
            <w:pPr>
              <w:jc w:val="center"/>
              <w:rPr>
                <w:b/>
                <w:bCs/>
                <w:sz w:val="24"/>
              </w:rPr>
            </w:pPr>
            <w:r>
              <w:rPr>
                <w:rFonts w:hint="eastAsia"/>
                <w:b/>
                <w:bCs/>
                <w:sz w:val="24"/>
              </w:rPr>
              <w:t>8</w:t>
            </w:r>
          </w:p>
        </w:tc>
        <w:tc>
          <w:tcPr>
            <w:tcW w:w="1247" w:type="dxa"/>
            <w:vAlign w:val="center"/>
          </w:tcPr>
          <w:p>
            <w:pPr>
              <w:jc w:val="center"/>
              <w:rPr>
                <w:b/>
                <w:bCs/>
                <w:sz w:val="24"/>
              </w:rPr>
            </w:pPr>
            <w:r>
              <w:rPr>
                <w:rFonts w:hint="eastAsia"/>
                <w:b/>
                <w:bCs/>
                <w:sz w:val="24"/>
              </w:rPr>
              <w:t>低压供电电缆</w:t>
            </w:r>
          </w:p>
        </w:tc>
        <w:tc>
          <w:tcPr>
            <w:tcW w:w="6223" w:type="dxa"/>
            <w:vAlign w:val="center"/>
          </w:tcPr>
          <w:p>
            <w:pPr>
              <w:rPr>
                <w:b/>
                <w:bCs/>
                <w:sz w:val="24"/>
              </w:rPr>
            </w:pPr>
            <w:r>
              <w:rPr>
                <w:rFonts w:hint="eastAsia"/>
                <w:b/>
                <w:bCs/>
                <w:sz w:val="24"/>
              </w:rPr>
              <w:t>铜芯电力电缆，YJV-0.6/1kV-5*16mm2</w:t>
            </w:r>
          </w:p>
        </w:tc>
        <w:tc>
          <w:tcPr>
            <w:tcW w:w="810" w:type="dxa"/>
            <w:vAlign w:val="center"/>
          </w:tcPr>
          <w:p>
            <w:pPr>
              <w:rPr>
                <w:b/>
                <w:bCs/>
                <w:sz w:val="24"/>
              </w:rPr>
            </w:pPr>
            <w:r>
              <w:rPr>
                <w:b/>
                <w:bCs/>
                <w:sz w:val="24"/>
              </w:rPr>
              <w:t>米</w:t>
            </w:r>
          </w:p>
        </w:tc>
        <w:tc>
          <w:tcPr>
            <w:tcW w:w="750" w:type="dxa"/>
            <w:vAlign w:val="center"/>
          </w:tcPr>
          <w:p>
            <w:pPr>
              <w:rPr>
                <w:b/>
                <w:bCs/>
                <w:sz w:val="24"/>
              </w:rPr>
            </w:pPr>
            <w:r>
              <w:rPr>
                <w:rFonts w:hint="eastAsia"/>
                <w:b/>
                <w:bCs/>
                <w:sz w:val="24"/>
              </w:rPr>
              <w:t xml:space="preserve">  6790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577" w:type="dxa"/>
            <w:vAlign w:val="center"/>
          </w:tcPr>
          <w:p>
            <w:pPr>
              <w:jc w:val="center"/>
              <w:rPr>
                <w:b/>
                <w:bCs/>
                <w:sz w:val="24"/>
              </w:rPr>
            </w:pPr>
            <w:r>
              <w:rPr>
                <w:rFonts w:hint="eastAsia"/>
                <w:b/>
                <w:bCs/>
                <w:sz w:val="24"/>
              </w:rPr>
              <w:t>9</w:t>
            </w:r>
          </w:p>
        </w:tc>
        <w:tc>
          <w:tcPr>
            <w:tcW w:w="1247" w:type="dxa"/>
            <w:vAlign w:val="center"/>
          </w:tcPr>
          <w:p>
            <w:pPr>
              <w:jc w:val="center"/>
              <w:rPr>
                <w:b/>
                <w:bCs/>
                <w:sz w:val="24"/>
              </w:rPr>
            </w:pPr>
            <w:r>
              <w:rPr>
                <w:rFonts w:hint="eastAsia"/>
                <w:b/>
                <w:bCs/>
                <w:sz w:val="24"/>
              </w:rPr>
              <w:t>低压供电电缆</w:t>
            </w:r>
          </w:p>
        </w:tc>
        <w:tc>
          <w:tcPr>
            <w:tcW w:w="6223" w:type="dxa"/>
            <w:vAlign w:val="center"/>
          </w:tcPr>
          <w:p>
            <w:pPr>
              <w:rPr>
                <w:b/>
                <w:bCs/>
                <w:sz w:val="24"/>
              </w:rPr>
            </w:pPr>
            <w:r>
              <w:rPr>
                <w:rFonts w:hint="eastAsia"/>
                <w:b/>
                <w:bCs/>
                <w:sz w:val="24"/>
              </w:rPr>
              <w:t>铝芯电力电缆，VLV-0.6/1kV-4*50mm2</w:t>
            </w:r>
          </w:p>
        </w:tc>
        <w:tc>
          <w:tcPr>
            <w:tcW w:w="810" w:type="dxa"/>
            <w:vAlign w:val="center"/>
          </w:tcPr>
          <w:p>
            <w:pPr>
              <w:rPr>
                <w:b/>
                <w:bCs/>
                <w:sz w:val="24"/>
              </w:rPr>
            </w:pPr>
            <w:r>
              <w:rPr>
                <w:rFonts w:hint="eastAsia"/>
                <w:b/>
                <w:bCs/>
                <w:sz w:val="24"/>
              </w:rPr>
              <w:t xml:space="preserve">  米</w:t>
            </w:r>
          </w:p>
        </w:tc>
        <w:tc>
          <w:tcPr>
            <w:tcW w:w="750" w:type="dxa"/>
            <w:vAlign w:val="center"/>
          </w:tcPr>
          <w:p>
            <w:pPr>
              <w:rPr>
                <w:b/>
                <w:bCs/>
                <w:sz w:val="24"/>
              </w:rPr>
            </w:pPr>
            <w:r>
              <w:rPr>
                <w:rFonts w:hint="eastAsia"/>
                <w:b/>
                <w:bCs/>
                <w:sz w:val="24"/>
              </w:rPr>
              <w:t xml:space="preserve">  3662</w:t>
            </w: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安装方式：根据《城市道路照明施工及验收规范CJJ089-2001》要求，基础地笼使用的钢筋规格、尺寸、直径、混凝土标号及基础开挖尺寸符合规范要求；埋地电缆埋深及回填符合规范要求，所使用的保护管采用PE管；路灯接地符合规范要求；路灯的安装调试符合规范要求</w:t>
      </w:r>
    </w:p>
    <w:p>
      <w:pPr>
        <w:spacing w:line="360" w:lineRule="auto"/>
        <w:rPr>
          <w:b/>
          <w:szCs w:val="21"/>
        </w:rPr>
      </w:pPr>
    </w:p>
    <w:p>
      <w:pPr>
        <w:adjustRightInd w:val="0"/>
        <w:spacing w:line="360" w:lineRule="auto"/>
        <w:rPr>
          <w:szCs w:val="21"/>
        </w:rPr>
      </w:pPr>
      <w:r>
        <w:rPr>
          <w:rFonts w:hint="eastAsia" w:ascii="宋体" w:hAnsi="宋体"/>
          <w:b/>
          <w:szCs w:val="21"/>
        </w:rPr>
        <w:t>其他要求:</w:t>
      </w:r>
    </w:p>
    <w:p>
      <w:pPr>
        <w:numPr>
          <w:ilvl w:val="0"/>
          <w:numId w:val="7"/>
        </w:numPr>
        <w:adjustRightInd w:val="0"/>
        <w:spacing w:line="360" w:lineRule="auto"/>
        <w:rPr>
          <w:rFonts w:ascii="宋体" w:hAnsi="宋体"/>
          <w:szCs w:val="21"/>
        </w:rPr>
      </w:pPr>
      <w:r>
        <w:rPr>
          <w:rFonts w:hint="eastAsia" w:ascii="宋体" w:hAnsi="宋体"/>
          <w:szCs w:val="21"/>
        </w:rPr>
        <w:t>投标人若为生产厂家，投标文件中须提供售后服务承诺书；投标人若为代理商，投标文件中须提供生产厂家针对本项目的专项授权证明及售后服务承诺书；</w:t>
      </w:r>
    </w:p>
    <w:p>
      <w:pPr>
        <w:adjustRightInd w:val="0"/>
        <w:spacing w:line="360" w:lineRule="auto"/>
        <w:rPr>
          <w:rFonts w:ascii="宋体" w:hAnsi="宋体"/>
          <w:szCs w:val="21"/>
        </w:rPr>
      </w:pPr>
      <w:r>
        <w:rPr>
          <w:rFonts w:hint="eastAsia" w:ascii="宋体" w:hAnsi="宋体"/>
          <w:szCs w:val="21"/>
        </w:rPr>
        <w:t>2、专利权：供应商应保证用户在使用该货物或其任何一部分时不受第三方提出侵犯其专利权、商标权和工业设计权等的起诉。</w:t>
      </w:r>
    </w:p>
    <w:p>
      <w:pPr>
        <w:adjustRightInd w:val="0"/>
        <w:spacing w:line="360" w:lineRule="auto"/>
        <w:rPr>
          <w:rFonts w:ascii="宋体" w:hAnsi="宋体"/>
          <w:szCs w:val="21"/>
        </w:rPr>
      </w:pPr>
      <w:r>
        <w:rPr>
          <w:rFonts w:hint="eastAsia" w:ascii="宋体" w:hAnsi="宋体"/>
          <w:szCs w:val="21"/>
        </w:rPr>
        <w:t>3、本项目</w:t>
      </w:r>
      <w:r>
        <w:rPr>
          <w:rFonts w:hint="eastAsia" w:ascii="Tahoma" w:hAnsi="Tahoma" w:eastAsia="Tahoma" w:cs="Tahoma"/>
          <w:szCs w:val="21"/>
        </w:rPr>
        <w:t>包括运输、伴随服务、设备、装卸、</w:t>
      </w:r>
      <w:r>
        <w:rPr>
          <w:rFonts w:hint="eastAsia" w:ascii="Tahoma" w:hAnsi="Tahoma" w:cs="Tahoma"/>
          <w:szCs w:val="21"/>
        </w:rPr>
        <w:t>安装、</w:t>
      </w:r>
      <w:r>
        <w:rPr>
          <w:rFonts w:hint="eastAsia" w:ascii="Tahoma" w:hAnsi="Tahoma" w:eastAsia="Tahoma" w:cs="Tahoma"/>
          <w:szCs w:val="21"/>
        </w:rPr>
        <w:t>税费等全部相关费用，以及其他交付使用方使用前的所有费用</w:t>
      </w:r>
      <w:r>
        <w:rPr>
          <w:rFonts w:hint="eastAsia" w:ascii="宋体" w:hAnsi="宋体"/>
          <w:szCs w:val="21"/>
        </w:rPr>
        <w:t>。</w:t>
      </w:r>
    </w:p>
    <w:p>
      <w:pPr>
        <w:adjustRightInd w:val="0"/>
        <w:spacing w:line="360" w:lineRule="auto"/>
        <w:rPr>
          <w:rFonts w:ascii="宋体" w:hAnsi="宋体"/>
          <w:szCs w:val="21"/>
        </w:rPr>
      </w:pPr>
      <w:r>
        <w:rPr>
          <w:rFonts w:hint="eastAsia" w:ascii="宋体" w:hAnsi="宋体"/>
          <w:szCs w:val="21"/>
        </w:rPr>
        <w:t>4、交货期：合同签订后20日历天。</w:t>
      </w:r>
    </w:p>
    <w:p>
      <w:pPr>
        <w:spacing w:line="360" w:lineRule="auto"/>
        <w:rPr>
          <w:rFonts w:ascii="宋体" w:hAnsi="宋体"/>
          <w:szCs w:val="21"/>
        </w:rPr>
      </w:pPr>
      <w:r>
        <w:rPr>
          <w:rFonts w:hint="eastAsia" w:ascii="宋体" w:hAnsi="宋体"/>
          <w:szCs w:val="21"/>
        </w:rPr>
        <w:t>5、质保期及服务:供应商须按国家有关规定明确免费保修期</w:t>
      </w:r>
      <w:r>
        <w:rPr>
          <w:rFonts w:hint="eastAsia" w:ascii="宋体" w:hAnsi="宋体"/>
          <w:b/>
          <w:szCs w:val="21"/>
        </w:rPr>
        <w:t>，</w:t>
      </w:r>
      <w:r>
        <w:rPr>
          <w:rFonts w:hint="eastAsia" w:ascii="宋体" w:hAnsi="宋体"/>
          <w:szCs w:val="21"/>
        </w:rPr>
        <w:t>同时应提出故障响应时间。须明确维修点地址、负责人、联系人和联系电话，否则为无效投标。保修期内提供24小时免费技术支持服务。自验收合格之日起，在保修范围内损坏而更换的部件质保期顺延。</w:t>
      </w:r>
    </w:p>
    <w:p>
      <w:pPr>
        <w:adjustRightInd w:val="0"/>
        <w:spacing w:line="360" w:lineRule="auto"/>
        <w:rPr>
          <w:rFonts w:ascii="宋体" w:hAnsi="宋体"/>
          <w:szCs w:val="21"/>
        </w:rPr>
      </w:pPr>
      <w:r>
        <w:rPr>
          <w:rFonts w:hint="eastAsia" w:ascii="宋体" w:hAnsi="宋体"/>
          <w:szCs w:val="21"/>
        </w:rPr>
        <w:t>6、本招标文件所列的技术要求为最低要求，必须满足，投标必须明确所投的产品的品牌、型号、详细参数及功能。所提供灯具零部件必须是同一品牌，投标文件中须附有加盖生产商公章的生厂商承诺函，并提供生产商固定电话供评标委员会查询，否则为无效投标。对招标文件中没有列出的而对本项目必不可少的其他要求，供应商必须给予实现，否则为无效投标。设备必须是符合国家质量检测标准的合格产品和本招标文件规定标准的全新正品现货（包括零部件）。</w:t>
      </w:r>
    </w:p>
    <w:p>
      <w:pPr>
        <w:spacing w:line="360" w:lineRule="auto"/>
        <w:rPr>
          <w:rFonts w:ascii="宋体" w:hAnsi="宋体" w:cs="宋体"/>
          <w:szCs w:val="21"/>
        </w:rPr>
      </w:pPr>
      <w:r>
        <w:rPr>
          <w:rFonts w:hint="eastAsia" w:ascii="宋体" w:hAnsi="宋体" w:cs="宋体"/>
          <w:b/>
          <w:szCs w:val="21"/>
        </w:rPr>
        <w:t>7、付款方式（不响应者为无效投标）:</w:t>
      </w:r>
      <w:r>
        <w:rPr>
          <w:rFonts w:hint="eastAsia" w:ascii="宋体" w:hAnsi="宋体" w:cs="宋体"/>
          <w:bCs/>
          <w:szCs w:val="21"/>
        </w:rPr>
        <w:t>货物安装调试完毕并通过验收后，支付合同价款的95%，质保期满后，支付剩余5%的合同价款。</w:t>
      </w:r>
    </w:p>
    <w:p>
      <w:pPr>
        <w:spacing w:line="360" w:lineRule="auto"/>
        <w:rPr>
          <w:rFonts w:ascii="宋体" w:hAnsi="宋体" w:cs="宋体"/>
          <w:b/>
          <w:bCs/>
          <w:szCs w:val="21"/>
        </w:rPr>
      </w:pPr>
      <w:r>
        <w:rPr>
          <w:rFonts w:hint="eastAsia" w:ascii="宋体" w:hAnsi="宋体" w:cs="宋体"/>
          <w:b/>
          <w:bCs/>
          <w:szCs w:val="21"/>
        </w:rPr>
        <w:t>8、预算金额：</w:t>
      </w:r>
      <w:r>
        <w:rPr>
          <w:rFonts w:hint="eastAsia"/>
          <w:b/>
          <w:bCs/>
          <w:szCs w:val="21"/>
        </w:rPr>
        <w:t>4673906.13</w:t>
      </w:r>
      <w:r>
        <w:rPr>
          <w:rFonts w:hint="eastAsia" w:ascii="宋体" w:hAnsi="宋体"/>
          <w:b/>
          <w:bCs/>
          <w:kern w:val="0"/>
          <w:szCs w:val="21"/>
        </w:rPr>
        <w:t>元</w:t>
      </w:r>
      <w:r>
        <w:rPr>
          <w:rFonts w:hint="eastAsia" w:ascii="宋体" w:hAnsi="宋体" w:cs="宋体"/>
          <w:b/>
          <w:bCs/>
          <w:szCs w:val="21"/>
        </w:rPr>
        <w:t>，超出者为无效投标。</w:t>
      </w:r>
    </w:p>
    <w:p>
      <w:pPr>
        <w:spacing w:line="360" w:lineRule="auto"/>
        <w:rPr>
          <w:rFonts w:ascii="宋体" w:hAnsi="宋体" w:cs="宋体"/>
          <w:b/>
          <w:bCs/>
          <w:szCs w:val="21"/>
        </w:rPr>
      </w:pPr>
    </w:p>
    <w:p>
      <w:pPr>
        <w:spacing w:line="360" w:lineRule="auto"/>
        <w:rPr>
          <w:rFonts w:ascii="宋体" w:hAnsi="宋体" w:cs="宋体"/>
          <w:b/>
          <w:bCs/>
        </w:rPr>
      </w:pPr>
    </w:p>
    <w:p>
      <w:pPr>
        <w:spacing w:line="360" w:lineRule="auto"/>
        <w:rPr>
          <w:rFonts w:ascii="宋体" w:hAnsi="宋体" w:cs="宋体"/>
          <w:b/>
          <w:bCs/>
        </w:rPr>
      </w:pPr>
    </w:p>
    <w:p>
      <w:pPr>
        <w:spacing w:line="360" w:lineRule="auto"/>
        <w:rPr>
          <w:rFonts w:ascii="宋体" w:hAnsi="宋体" w:cs="宋体"/>
          <w:b/>
          <w:bCs/>
        </w:rPr>
      </w:pPr>
    </w:p>
    <w:p>
      <w:pPr>
        <w:spacing w:line="360" w:lineRule="auto"/>
        <w:rPr>
          <w:rFonts w:ascii="宋体" w:hAnsi="宋体" w:cs="宋体"/>
          <w:b/>
          <w:bCs/>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sectPr>
          <w:footerReference r:id="rId9" w:type="default"/>
          <w:pgSz w:w="11906" w:h="16838"/>
          <w:pgMar w:top="1871" w:right="1089" w:bottom="1440" w:left="1077" w:header="1247" w:footer="992" w:gutter="0"/>
          <w:cols w:space="720" w:num="1"/>
          <w:docGrid w:linePitch="312" w:charSpace="0"/>
        </w:sectPr>
      </w:pPr>
    </w:p>
    <w:p>
      <w:pPr>
        <w:autoSpaceDE w:val="0"/>
        <w:autoSpaceDN w:val="0"/>
        <w:adjustRightInd w:val="0"/>
        <w:spacing w:line="324" w:lineRule="auto"/>
        <w:ind w:firstLine="1774" w:firstLineChars="845"/>
        <w:rPr>
          <w:rFonts w:ascii="宋体" w:hAnsi="宋体"/>
          <w:b/>
          <w:bCs/>
          <w:sz w:val="36"/>
          <w:szCs w:val="36"/>
        </w:rPr>
      </w:pPr>
      <w:r>
        <w:drawing>
          <wp:anchor distT="0" distB="0" distL="114300" distR="114300" simplePos="0" relativeHeight="251658240" behindDoc="0" locked="0" layoutInCell="1" allowOverlap="1">
            <wp:simplePos x="0" y="0"/>
            <wp:positionH relativeFrom="column">
              <wp:posOffset>5970270</wp:posOffset>
            </wp:positionH>
            <wp:positionV relativeFrom="paragraph">
              <wp:posOffset>101600</wp:posOffset>
            </wp:positionV>
            <wp:extent cx="1802130" cy="5102225"/>
            <wp:effectExtent l="19050" t="0" r="7620" b="0"/>
            <wp:wrapNone/>
            <wp:docPr id="28" name="图片 28" descr="10单臂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0单臂灯"/>
                    <pic:cNvPicPr>
                      <a:picLocks noChangeAspect="1" noChangeArrowheads="1"/>
                    </pic:cNvPicPr>
                  </pic:nvPicPr>
                  <pic:blipFill>
                    <a:blip r:embed="rId11" cstate="print"/>
                    <a:srcRect t="1270" b="1631"/>
                    <a:stretch>
                      <a:fillRect/>
                    </a:stretch>
                  </pic:blipFill>
                  <pic:spPr>
                    <a:xfrm>
                      <a:off x="0" y="0"/>
                      <a:ext cx="1802130" cy="5102225"/>
                    </a:xfrm>
                    <a:prstGeom prst="rect">
                      <a:avLst/>
                    </a:prstGeom>
                    <a:noFill/>
                    <a:ln w="9525" cmpd="sng">
                      <a:noFill/>
                      <a:miter lim="800000"/>
                      <a:headEnd/>
                      <a:tailEnd/>
                    </a:ln>
                    <a:effectLst/>
                  </pic:spPr>
                </pic:pic>
              </a:graphicData>
            </a:graphic>
          </wp:anchor>
        </w:drawing>
      </w:r>
      <w:r>
        <w:drawing>
          <wp:anchor distT="0" distB="0" distL="114300" distR="114300" simplePos="0" relativeHeight="251657216" behindDoc="0" locked="0" layoutInCell="1" allowOverlap="1">
            <wp:simplePos x="0" y="0"/>
            <wp:positionH relativeFrom="column">
              <wp:posOffset>-88900</wp:posOffset>
            </wp:positionH>
            <wp:positionV relativeFrom="paragraph">
              <wp:posOffset>173355</wp:posOffset>
            </wp:positionV>
            <wp:extent cx="2453640" cy="4905375"/>
            <wp:effectExtent l="19050" t="0" r="3810" b="0"/>
            <wp:wrapNone/>
            <wp:docPr id="26" name="图片 26" descr="12m灯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2m灯杆"/>
                    <pic:cNvPicPr>
                      <a:picLocks noChangeAspect="1" noChangeArrowheads="1"/>
                    </pic:cNvPicPr>
                  </pic:nvPicPr>
                  <pic:blipFill>
                    <a:blip r:embed="rId12" cstate="print"/>
                    <a:srcRect b="3377"/>
                    <a:stretch>
                      <a:fillRect/>
                    </a:stretch>
                  </pic:blipFill>
                  <pic:spPr>
                    <a:xfrm>
                      <a:off x="0" y="0"/>
                      <a:ext cx="2453640" cy="4905375"/>
                    </a:xfrm>
                    <a:prstGeom prst="rect">
                      <a:avLst/>
                    </a:prstGeom>
                    <a:noFill/>
                    <a:ln w="9525" cmpd="sng">
                      <a:noFill/>
                      <a:miter lim="800000"/>
                      <a:headEnd/>
                      <a:tailEnd/>
                    </a:ln>
                    <a:effectLst/>
                  </pic:spPr>
                </pic:pic>
              </a:graphicData>
            </a:graphic>
          </wp:anchor>
        </w:drawing>
      </w:r>
      <w:r>
        <w:drawing>
          <wp:anchor distT="0" distB="0" distL="114300" distR="114300" simplePos="0" relativeHeight="251658240" behindDoc="0" locked="0" layoutInCell="1" allowOverlap="1">
            <wp:simplePos x="0" y="0"/>
            <wp:positionH relativeFrom="column">
              <wp:posOffset>2832100</wp:posOffset>
            </wp:positionH>
            <wp:positionV relativeFrom="paragraph">
              <wp:posOffset>87630</wp:posOffset>
            </wp:positionV>
            <wp:extent cx="2647950" cy="5057775"/>
            <wp:effectExtent l="19050" t="0" r="0" b="0"/>
            <wp:wrapNone/>
            <wp:docPr id="27" name="图片 27" descr="10m灯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0m灯杆"/>
                    <pic:cNvPicPr>
                      <a:picLocks noChangeAspect="1" noChangeArrowheads="1"/>
                    </pic:cNvPicPr>
                  </pic:nvPicPr>
                  <pic:blipFill>
                    <a:blip r:embed="rId13" cstate="print"/>
                    <a:srcRect t="2473" b="3711"/>
                    <a:stretch>
                      <a:fillRect/>
                    </a:stretch>
                  </pic:blipFill>
                  <pic:spPr>
                    <a:xfrm>
                      <a:off x="0" y="0"/>
                      <a:ext cx="2647950" cy="5057775"/>
                    </a:xfrm>
                    <a:prstGeom prst="rect">
                      <a:avLst/>
                    </a:prstGeom>
                    <a:noFill/>
                    <a:ln w="9525" cmpd="sng">
                      <a:noFill/>
                      <a:miter lim="800000"/>
                      <a:headEnd/>
                      <a:tailEnd/>
                    </a:ln>
                    <a:effectLst/>
                  </pic:spPr>
                </pic:pic>
              </a:graphicData>
            </a:graphic>
          </wp:anchor>
        </w:drawing>
      </w: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rPr>
          <w:b/>
          <w:bCs/>
          <w:sz w:val="24"/>
        </w:rPr>
      </w:pPr>
    </w:p>
    <w:p>
      <w:pPr>
        <w:autoSpaceDE w:val="0"/>
        <w:autoSpaceDN w:val="0"/>
        <w:adjustRightInd w:val="0"/>
        <w:spacing w:line="324" w:lineRule="auto"/>
        <w:rPr>
          <w:rFonts w:ascii="宋体" w:hAnsi="宋体"/>
          <w:b/>
          <w:bCs/>
          <w:sz w:val="36"/>
          <w:szCs w:val="36"/>
        </w:rPr>
      </w:pPr>
      <w:r>
        <w:rPr>
          <w:rFonts w:hint="eastAsia"/>
          <w:b/>
          <w:bCs/>
          <w:sz w:val="24"/>
        </w:rPr>
        <w:t>图一  主12米辅10米高双臂灯杆图         图二  主10米辅8米高双臂灯杆图          图三  10米高单臂灯杆图</w:t>
      </w:r>
    </w:p>
    <w:p>
      <w:pPr>
        <w:autoSpaceDE w:val="0"/>
        <w:autoSpaceDN w:val="0"/>
        <w:adjustRightInd w:val="0"/>
        <w:spacing w:line="324" w:lineRule="auto"/>
        <w:ind w:firstLine="3054" w:firstLineChars="845"/>
        <w:rPr>
          <w:rFonts w:ascii="宋体" w:hAnsi="宋体"/>
          <w:b/>
          <w:bCs/>
          <w:sz w:val="36"/>
          <w:szCs w:val="36"/>
        </w:rPr>
        <w:sectPr>
          <w:pgSz w:w="16838" w:h="11906" w:orient="landscape"/>
          <w:pgMar w:top="1077" w:right="1871" w:bottom="1089" w:left="1440" w:header="1247" w:footer="992" w:gutter="0"/>
          <w:cols w:space="720" w:num="1"/>
          <w:docGrid w:linePitch="312" w:charSpace="0"/>
        </w:sectPr>
      </w:pPr>
    </w:p>
    <w:p>
      <w:pPr>
        <w:pStyle w:val="2"/>
        <w:spacing w:line="360" w:lineRule="auto"/>
        <w:jc w:val="center"/>
        <w:rPr>
          <w:sz w:val="32"/>
          <w:szCs w:val="32"/>
          <w:lang w:val="zh-CN"/>
        </w:rPr>
      </w:pPr>
      <w:r>
        <w:rPr>
          <w:rFonts w:hint="eastAsia"/>
          <w:sz w:val="36"/>
          <w:szCs w:val="36"/>
          <w:lang w:val="zh-CN"/>
        </w:rPr>
        <w:t>第三部分 特别提示</w:t>
      </w:r>
    </w:p>
    <w:p>
      <w:pPr>
        <w:autoSpaceDE w:val="0"/>
        <w:autoSpaceDN w:val="0"/>
        <w:adjustRightInd w:val="0"/>
        <w:spacing w:line="480" w:lineRule="auto"/>
        <w:ind w:firstLine="480"/>
        <w:rPr>
          <w:rFonts w:ascii="宋体" w:cs="宋体"/>
          <w:sz w:val="24"/>
          <w:lang w:val="zh-CN"/>
        </w:rPr>
      </w:pPr>
      <w:r>
        <w:rPr>
          <w:rFonts w:ascii="宋体" w:cs="宋体"/>
          <w:sz w:val="24"/>
        </w:rPr>
        <w:t>1</w:t>
      </w:r>
      <w:r>
        <w:rPr>
          <w:rFonts w:hint="eastAsia" w:ascii="宋体" w:cs="宋体"/>
          <w:sz w:val="24"/>
        </w:rPr>
        <w:t>、</w:t>
      </w:r>
      <w:r>
        <w:rPr>
          <w:rFonts w:hint="eastAsia" w:ascii="宋体" w:cs="宋体"/>
          <w:sz w:val="24"/>
          <w:lang w:val="zh-CN"/>
        </w:rPr>
        <w:t>投标文件中必须提供：法人营业执照、税务登记证副本（三证合一可只提供营业执照）、被授权人身份证复印件，且在评标时提供原件；法人授权书原件。</w:t>
      </w:r>
    </w:p>
    <w:p>
      <w:pPr>
        <w:autoSpaceDE w:val="0"/>
        <w:autoSpaceDN w:val="0"/>
        <w:adjustRightInd w:val="0"/>
        <w:spacing w:line="480" w:lineRule="auto"/>
        <w:ind w:firstLine="480" w:firstLineChars="200"/>
        <w:rPr>
          <w:rFonts w:ascii="宋体" w:cs="宋体"/>
          <w:sz w:val="24"/>
          <w:lang w:val="zh-CN"/>
        </w:rPr>
      </w:pPr>
      <w:r>
        <w:rPr>
          <w:rFonts w:ascii="宋体" w:cs="宋体"/>
          <w:sz w:val="24"/>
          <w:lang w:val="zh-CN"/>
        </w:rPr>
        <w:t>2</w:t>
      </w:r>
      <w:r>
        <w:rPr>
          <w:rFonts w:hint="eastAsia" w:ascii="宋体" w:cs="宋体"/>
          <w:sz w:val="24"/>
          <w:lang w:val="zh-CN"/>
        </w:rPr>
        <w:t>、如果供应商认为本次采购项目存在倾向性或排斥性内容，请在法定时间内详细举证，并通过全国公共资源交易平台（河南省·许昌市）提出询问和澄清，同时提供法人授权书及质疑问题的证明材料。</w:t>
      </w:r>
    </w:p>
    <w:p>
      <w:pPr>
        <w:autoSpaceDE w:val="0"/>
        <w:autoSpaceDN w:val="0"/>
        <w:adjustRightInd w:val="0"/>
        <w:spacing w:line="480" w:lineRule="auto"/>
        <w:ind w:firstLine="480"/>
        <w:rPr>
          <w:rFonts w:ascii="宋体" w:cs="宋体"/>
          <w:sz w:val="24"/>
          <w:lang w:val="zh-CN"/>
        </w:rPr>
      </w:pPr>
      <w:r>
        <w:rPr>
          <w:rFonts w:ascii="宋体" w:cs="宋体"/>
          <w:sz w:val="24"/>
          <w:lang w:val="zh-CN"/>
        </w:rPr>
        <w:t>3</w:t>
      </w:r>
      <w:r>
        <w:rPr>
          <w:rFonts w:hint="eastAsia" w:ascii="宋体" w:cs="宋体"/>
          <w:sz w:val="24"/>
          <w:lang w:val="zh-CN"/>
        </w:rPr>
        <w:t>、在下载招标文件期间，有可能会出现变更信息，请下载招标文件的供应商自行关注，否则自行承担相应责任。</w:t>
      </w:r>
    </w:p>
    <w:p>
      <w:pPr>
        <w:autoSpaceDE w:val="0"/>
        <w:autoSpaceDN w:val="0"/>
        <w:adjustRightInd w:val="0"/>
        <w:spacing w:line="480" w:lineRule="auto"/>
        <w:ind w:firstLine="480"/>
        <w:rPr>
          <w:rFonts w:ascii="宋体" w:cs="宋体"/>
          <w:sz w:val="24"/>
          <w:lang w:val="zh-CN"/>
        </w:rPr>
      </w:pPr>
      <w:r>
        <w:rPr>
          <w:rFonts w:ascii="宋体" w:cs="宋体"/>
          <w:sz w:val="24"/>
          <w:lang w:val="zh-CN"/>
        </w:rPr>
        <w:t>4</w:t>
      </w:r>
      <w:r>
        <w:rPr>
          <w:rFonts w:hint="eastAsia" w:ascii="宋体" w:cs="宋体"/>
          <w:sz w:val="24"/>
          <w:lang w:val="zh-CN"/>
        </w:rPr>
        <w:t>、在投标截止时间前提交</w:t>
      </w:r>
      <w:r>
        <w:rPr>
          <w:rFonts w:hint="eastAsia" w:ascii="宋体" w:cs="宋体"/>
          <w:sz w:val="24"/>
        </w:rPr>
        <w:t>玖</w:t>
      </w:r>
      <w:r>
        <w:rPr>
          <w:rFonts w:hint="eastAsia" w:ascii="宋体" w:cs="宋体"/>
          <w:sz w:val="24"/>
          <w:lang w:val="zh-CN"/>
        </w:rPr>
        <w:t>万</w:t>
      </w:r>
      <w:r>
        <w:rPr>
          <w:rFonts w:hint="eastAsia" w:ascii="宋体" w:cs="宋体"/>
          <w:sz w:val="24"/>
        </w:rPr>
        <w:t>叁仟</w:t>
      </w:r>
      <w:r>
        <w:rPr>
          <w:rFonts w:hint="eastAsia" w:ascii="宋体" w:cs="宋体"/>
          <w:sz w:val="24"/>
          <w:u w:val="single"/>
        </w:rPr>
        <w:t>元整（￥93000.00元）</w:t>
      </w:r>
      <w:r>
        <w:rPr>
          <w:rFonts w:hint="eastAsia" w:ascii="宋体" w:cs="宋体"/>
          <w:sz w:val="24"/>
          <w:lang w:val="zh-CN"/>
        </w:rPr>
        <w:t>投标保证金。</w:t>
      </w:r>
    </w:p>
    <w:p>
      <w:pPr>
        <w:autoSpaceDE w:val="0"/>
        <w:autoSpaceDN w:val="0"/>
        <w:adjustRightInd w:val="0"/>
        <w:spacing w:line="480" w:lineRule="auto"/>
        <w:ind w:firstLine="480"/>
        <w:rPr>
          <w:rFonts w:ascii="宋体" w:cs="宋体"/>
          <w:sz w:val="24"/>
          <w:lang w:val="zh-CN"/>
        </w:rPr>
      </w:pPr>
      <w:r>
        <w:rPr>
          <w:rFonts w:ascii="宋体" w:cs="宋体"/>
          <w:sz w:val="24"/>
          <w:lang w:val="zh-CN"/>
        </w:rPr>
        <w:t>5</w:t>
      </w:r>
      <w:r>
        <w:rPr>
          <w:rFonts w:hint="eastAsia" w:ascii="宋体" w:cs="宋体"/>
          <w:sz w:val="24"/>
          <w:lang w:val="zh-CN"/>
        </w:rPr>
        <w:t>、本项目投标报价是一次性的，招标人不接受开标后对投标报价的修改。</w:t>
      </w:r>
    </w:p>
    <w:p>
      <w:pPr>
        <w:autoSpaceDE w:val="0"/>
        <w:autoSpaceDN w:val="0"/>
        <w:adjustRightInd w:val="0"/>
        <w:spacing w:line="480" w:lineRule="auto"/>
        <w:ind w:firstLine="480"/>
        <w:rPr>
          <w:rFonts w:ascii="宋体" w:cs="宋体"/>
          <w:sz w:val="24"/>
          <w:lang w:val="zh-CN"/>
        </w:rPr>
      </w:pPr>
      <w:r>
        <w:rPr>
          <w:rFonts w:ascii="宋体" w:cs="宋体"/>
          <w:sz w:val="24"/>
          <w:lang w:val="zh-CN"/>
        </w:rPr>
        <w:t>6</w:t>
      </w:r>
      <w:r>
        <w:rPr>
          <w:rFonts w:hint="eastAsia" w:ascii="宋体" w:cs="宋体"/>
          <w:sz w:val="24"/>
          <w:lang w:val="zh-CN"/>
        </w:rPr>
        <w:t>、中标结果及相关信息请登陆：</w:t>
      </w:r>
      <w:r>
        <w:rPr>
          <w:rFonts w:hint="eastAsia" w:ascii="宋体" w:hAnsi="宋体" w:cs="宋体"/>
          <w:color w:val="000000"/>
          <w:sz w:val="24"/>
          <w:shd w:val="clear" w:color="auto" w:fill="FFFFFF"/>
        </w:rPr>
        <w:t>中国采购与招标网</w:t>
      </w:r>
      <w:r>
        <w:rPr>
          <w:rFonts w:hint="eastAsia" w:ascii="宋体" w:cs="宋体"/>
          <w:sz w:val="24"/>
          <w:lang w:val="zh-CN"/>
        </w:rPr>
        <w:t>、河南省政府采购网、</w:t>
      </w:r>
      <w:r>
        <w:rPr>
          <w:rFonts w:hint="eastAsia" w:ascii="宋体" w:hAnsi="宋体" w:cs="宋体"/>
          <w:color w:val="000000"/>
          <w:sz w:val="24"/>
          <w:shd w:val="clear" w:color="auto" w:fill="FFFFFF"/>
        </w:rPr>
        <w:t>河南招标采购综合网</w:t>
      </w:r>
      <w:r>
        <w:rPr>
          <w:rFonts w:hint="eastAsia" w:ascii="宋体" w:cs="宋体"/>
          <w:sz w:val="24"/>
          <w:lang w:val="zh-CN"/>
        </w:rPr>
        <w:t>、全国公共资源交易平台（河南省·许昌市）。</w:t>
      </w:r>
    </w:p>
    <w:p>
      <w:pPr>
        <w:autoSpaceDE w:val="0"/>
        <w:autoSpaceDN w:val="0"/>
        <w:adjustRightInd w:val="0"/>
        <w:spacing w:line="480" w:lineRule="auto"/>
        <w:ind w:firstLine="480"/>
        <w:rPr>
          <w:rFonts w:ascii="宋体" w:cs="宋体"/>
          <w:sz w:val="24"/>
          <w:lang w:val="zh-CN"/>
        </w:rPr>
      </w:pPr>
      <w:r>
        <w:rPr>
          <w:rFonts w:ascii="宋体" w:cs="宋体"/>
          <w:sz w:val="24"/>
          <w:lang w:val="zh-CN"/>
        </w:rPr>
        <w:t>7</w:t>
      </w:r>
      <w:r>
        <w:rPr>
          <w:rFonts w:hint="eastAsia" w:ascii="宋体" w:cs="宋体"/>
          <w:sz w:val="24"/>
          <w:lang w:val="zh-CN"/>
        </w:rPr>
        <w:t>、单位负责人为同一个人或者存在直接控股、管理关系的不同供应商，不得参加同一合同下的政府采购活动。</w:t>
      </w:r>
    </w:p>
    <w:p>
      <w:pPr>
        <w:autoSpaceDE w:val="0"/>
        <w:autoSpaceDN w:val="0"/>
        <w:adjustRightInd w:val="0"/>
        <w:spacing w:line="480" w:lineRule="auto"/>
        <w:ind w:firstLine="480"/>
        <w:rPr>
          <w:rFonts w:ascii="宋体" w:cs="宋体"/>
          <w:sz w:val="24"/>
          <w:lang w:val="zh-CN"/>
        </w:rPr>
      </w:pPr>
      <w:r>
        <w:rPr>
          <w:rFonts w:ascii="宋体" w:cs="宋体"/>
          <w:sz w:val="24"/>
          <w:lang w:val="zh-CN"/>
        </w:rPr>
        <w:t>8</w:t>
      </w:r>
      <w:r>
        <w:rPr>
          <w:rFonts w:hint="eastAsia" w:ascii="宋体" w:cs="宋体"/>
          <w:sz w:val="24"/>
          <w:lang w:val="zh-CN"/>
        </w:rPr>
        <w:t>、投标人如果中标不得转包，一经发现和证实，将取消其中标资格并承担由此造成的损失。</w:t>
      </w:r>
    </w:p>
    <w:p>
      <w:pPr>
        <w:autoSpaceDE w:val="0"/>
        <w:autoSpaceDN w:val="0"/>
        <w:adjustRightInd w:val="0"/>
        <w:spacing w:line="480" w:lineRule="auto"/>
        <w:ind w:firstLine="480"/>
        <w:rPr>
          <w:rFonts w:ascii="宋体" w:cs="宋体"/>
          <w:sz w:val="24"/>
          <w:lang w:val="zh-CN"/>
        </w:rPr>
      </w:pPr>
      <w:r>
        <w:rPr>
          <w:rFonts w:ascii="宋体" w:cs="宋体"/>
          <w:sz w:val="24"/>
        </w:rPr>
        <w:t>9</w:t>
      </w:r>
      <w:r>
        <w:rPr>
          <w:rFonts w:hint="eastAsia" w:ascii="宋体" w:cs="宋体"/>
          <w:sz w:val="24"/>
          <w:lang w:val="zh-CN"/>
        </w:rPr>
        <w:t>、评标委员会判断投标文件的响应性仅基于投标文件本身而不依靠外部证据。</w:t>
      </w:r>
    </w:p>
    <w:p>
      <w:pPr>
        <w:autoSpaceDE w:val="0"/>
        <w:autoSpaceDN w:val="0"/>
        <w:adjustRightInd w:val="0"/>
        <w:spacing w:line="480" w:lineRule="auto"/>
        <w:ind w:firstLine="480"/>
        <w:rPr>
          <w:rFonts w:ascii="宋体" w:cs="宋体"/>
          <w:sz w:val="24"/>
          <w:lang w:val="zh-CN"/>
        </w:rPr>
      </w:pPr>
      <w:r>
        <w:rPr>
          <w:rFonts w:ascii="宋体" w:cs="宋体"/>
          <w:sz w:val="24"/>
          <w:lang w:val="zh-CN"/>
        </w:rPr>
        <w:t>1</w:t>
      </w:r>
      <w:r>
        <w:rPr>
          <w:rFonts w:ascii="宋体" w:cs="宋体"/>
          <w:sz w:val="24"/>
        </w:rPr>
        <w:t>0</w:t>
      </w:r>
      <w:r>
        <w:rPr>
          <w:rFonts w:hint="eastAsia" w:ascii="宋体" w:cs="宋体"/>
          <w:sz w:val="24"/>
          <w:lang w:val="zh-CN"/>
        </w:rPr>
        <w:t>、投标文件属下列情况之一的应当在资格性、符合性检查时按照为无效投标处理：</w:t>
      </w:r>
    </w:p>
    <w:p>
      <w:pPr>
        <w:autoSpaceDE w:val="0"/>
        <w:autoSpaceDN w:val="0"/>
        <w:adjustRightInd w:val="0"/>
        <w:spacing w:line="480" w:lineRule="auto"/>
        <w:ind w:firstLine="480"/>
        <w:rPr>
          <w:rFonts w:ascii="宋体" w:cs="宋体"/>
          <w:sz w:val="24"/>
          <w:lang w:val="zh-CN"/>
        </w:rPr>
      </w:pPr>
      <w:r>
        <w:rPr>
          <w:rFonts w:ascii="宋体" w:cs="宋体"/>
          <w:sz w:val="24"/>
          <w:lang w:val="zh-CN"/>
        </w:rPr>
        <w:t>1</w:t>
      </w:r>
      <w:r>
        <w:rPr>
          <w:rFonts w:ascii="宋体" w:cs="宋体"/>
          <w:sz w:val="24"/>
        </w:rPr>
        <w:t>0</w:t>
      </w:r>
      <w:r>
        <w:rPr>
          <w:rFonts w:ascii="宋体" w:cs="宋体"/>
          <w:sz w:val="24"/>
          <w:lang w:val="zh-CN"/>
        </w:rPr>
        <w:t>.1</w:t>
      </w:r>
      <w:r>
        <w:rPr>
          <w:rFonts w:hint="eastAsia" w:ascii="宋体" w:cs="宋体"/>
          <w:sz w:val="24"/>
          <w:lang w:val="zh-CN"/>
        </w:rPr>
        <w:t>应交未交投标保证金的；</w:t>
      </w:r>
    </w:p>
    <w:p>
      <w:pPr>
        <w:autoSpaceDE w:val="0"/>
        <w:autoSpaceDN w:val="0"/>
        <w:adjustRightInd w:val="0"/>
        <w:spacing w:line="480" w:lineRule="auto"/>
        <w:ind w:firstLine="480"/>
        <w:rPr>
          <w:rFonts w:ascii="宋体" w:cs="宋体"/>
          <w:sz w:val="24"/>
          <w:lang w:val="zh-CN"/>
        </w:rPr>
      </w:pPr>
      <w:r>
        <w:rPr>
          <w:rFonts w:ascii="宋体" w:cs="宋体"/>
          <w:sz w:val="24"/>
          <w:lang w:val="zh-CN"/>
        </w:rPr>
        <w:t>1</w:t>
      </w:r>
      <w:r>
        <w:rPr>
          <w:rFonts w:ascii="宋体" w:cs="宋体"/>
          <w:sz w:val="24"/>
        </w:rPr>
        <w:t>0</w:t>
      </w:r>
      <w:r>
        <w:rPr>
          <w:rFonts w:ascii="宋体" w:cs="宋体"/>
          <w:sz w:val="24"/>
          <w:lang w:val="zh-CN"/>
        </w:rPr>
        <w:t xml:space="preserve">.2 </w:t>
      </w:r>
      <w:r>
        <w:rPr>
          <w:rFonts w:hint="eastAsia" w:ascii="宋体" w:cs="宋体"/>
          <w:sz w:val="24"/>
          <w:lang w:val="zh-CN"/>
        </w:rPr>
        <w:t>未按照招标文件规定要求密封、签署、盖章的；</w:t>
      </w:r>
    </w:p>
    <w:p>
      <w:pPr>
        <w:autoSpaceDE w:val="0"/>
        <w:autoSpaceDN w:val="0"/>
        <w:adjustRightInd w:val="0"/>
        <w:spacing w:line="480" w:lineRule="auto"/>
        <w:ind w:firstLine="480"/>
        <w:rPr>
          <w:rFonts w:ascii="宋体" w:cs="宋体"/>
          <w:sz w:val="24"/>
          <w:lang w:val="zh-CN"/>
        </w:rPr>
      </w:pPr>
      <w:r>
        <w:rPr>
          <w:rFonts w:ascii="宋体" w:cs="宋体"/>
          <w:sz w:val="24"/>
          <w:lang w:val="zh-CN"/>
        </w:rPr>
        <w:t>1</w:t>
      </w:r>
      <w:r>
        <w:rPr>
          <w:rFonts w:ascii="宋体" w:cs="宋体"/>
          <w:sz w:val="24"/>
        </w:rPr>
        <w:t>0</w:t>
      </w:r>
      <w:r>
        <w:rPr>
          <w:rFonts w:ascii="宋体" w:cs="宋体"/>
          <w:sz w:val="24"/>
          <w:lang w:val="zh-CN"/>
        </w:rPr>
        <w:t xml:space="preserve">.3 </w:t>
      </w:r>
      <w:r>
        <w:rPr>
          <w:rFonts w:hint="eastAsia" w:ascii="宋体" w:cs="宋体"/>
          <w:sz w:val="24"/>
          <w:lang w:val="zh-CN"/>
        </w:rPr>
        <w:t>不具备招标文件中规定资格要求的；</w:t>
      </w:r>
    </w:p>
    <w:p>
      <w:pPr>
        <w:autoSpaceDE w:val="0"/>
        <w:autoSpaceDN w:val="0"/>
        <w:adjustRightInd w:val="0"/>
        <w:spacing w:line="480" w:lineRule="auto"/>
        <w:ind w:firstLine="480"/>
        <w:rPr>
          <w:rFonts w:ascii="宋体" w:cs="宋体"/>
          <w:sz w:val="24"/>
          <w:lang w:val="zh-CN"/>
        </w:rPr>
      </w:pPr>
      <w:r>
        <w:rPr>
          <w:rFonts w:ascii="宋体" w:cs="宋体"/>
          <w:sz w:val="24"/>
          <w:lang w:val="zh-CN"/>
        </w:rPr>
        <w:t>1</w:t>
      </w:r>
      <w:r>
        <w:rPr>
          <w:rFonts w:ascii="宋体" w:cs="宋体"/>
          <w:sz w:val="24"/>
        </w:rPr>
        <w:t>0</w:t>
      </w:r>
      <w:r>
        <w:rPr>
          <w:rFonts w:ascii="宋体" w:cs="宋体"/>
          <w:sz w:val="24"/>
          <w:lang w:val="zh-CN"/>
        </w:rPr>
        <w:t>.</w:t>
      </w:r>
      <w:r>
        <w:rPr>
          <w:rFonts w:ascii="宋体" w:cs="宋体"/>
          <w:sz w:val="24"/>
        </w:rPr>
        <w:t>4</w:t>
      </w:r>
      <w:r>
        <w:rPr>
          <w:rFonts w:hint="eastAsia" w:ascii="宋体" w:cs="宋体"/>
          <w:sz w:val="24"/>
          <w:lang w:val="zh-CN"/>
        </w:rPr>
        <w:t>投标文件中没有提供法人营业执照、税务登记证副本（三证合一可只提供营业执照）及投标条件中相关证件的复印件、法人授权书原件、被授权人身份证复印件，评标时没有提供原件的；</w:t>
      </w:r>
    </w:p>
    <w:p>
      <w:pPr>
        <w:autoSpaceDE w:val="0"/>
        <w:autoSpaceDN w:val="0"/>
        <w:adjustRightInd w:val="0"/>
        <w:spacing w:line="480" w:lineRule="auto"/>
        <w:ind w:firstLine="480"/>
        <w:rPr>
          <w:rFonts w:ascii="宋体" w:cs="宋体"/>
          <w:sz w:val="24"/>
          <w:lang w:val="zh-CN"/>
        </w:rPr>
      </w:pPr>
      <w:r>
        <w:rPr>
          <w:rFonts w:ascii="宋体" w:cs="宋体"/>
          <w:sz w:val="24"/>
          <w:lang w:val="zh-CN"/>
        </w:rPr>
        <w:t>1</w:t>
      </w:r>
      <w:r>
        <w:rPr>
          <w:rFonts w:ascii="宋体" w:cs="宋体"/>
          <w:sz w:val="24"/>
        </w:rPr>
        <w:t>0</w:t>
      </w:r>
      <w:r>
        <w:rPr>
          <w:rFonts w:ascii="宋体" w:cs="宋体"/>
          <w:sz w:val="24"/>
          <w:lang w:val="zh-CN"/>
        </w:rPr>
        <w:t>.</w:t>
      </w:r>
      <w:r>
        <w:rPr>
          <w:rFonts w:ascii="宋体" w:cs="宋体"/>
          <w:sz w:val="24"/>
        </w:rPr>
        <w:t>5</w:t>
      </w:r>
      <w:r>
        <w:rPr>
          <w:rFonts w:hint="eastAsia" w:ascii="宋体" w:cs="宋体"/>
          <w:sz w:val="24"/>
          <w:lang w:val="zh-CN"/>
        </w:rPr>
        <w:t>不响应</w:t>
      </w:r>
      <w:r>
        <w:rPr>
          <w:rFonts w:hint="eastAsia" w:ascii="宋体" w:hAnsi="宋体"/>
          <w:bCs/>
          <w:sz w:val="24"/>
          <w:lang w:val="zh-CN"/>
        </w:rPr>
        <w:t>响应时间</w:t>
      </w:r>
      <w:r>
        <w:rPr>
          <w:rFonts w:hint="eastAsia" w:ascii="宋体" w:cs="宋体"/>
          <w:sz w:val="24"/>
          <w:lang w:val="zh-CN"/>
        </w:rPr>
        <w:t>的；</w:t>
      </w:r>
    </w:p>
    <w:p>
      <w:pPr>
        <w:autoSpaceDE w:val="0"/>
        <w:autoSpaceDN w:val="0"/>
        <w:adjustRightInd w:val="0"/>
        <w:spacing w:line="480" w:lineRule="auto"/>
        <w:ind w:firstLine="480"/>
        <w:rPr>
          <w:rFonts w:ascii="宋体" w:cs="宋体"/>
          <w:sz w:val="24"/>
          <w:lang w:val="zh-CN"/>
        </w:rPr>
      </w:pPr>
      <w:r>
        <w:rPr>
          <w:rFonts w:ascii="宋体" w:cs="宋体"/>
          <w:sz w:val="24"/>
          <w:lang w:val="zh-CN"/>
        </w:rPr>
        <w:t>1</w:t>
      </w:r>
      <w:r>
        <w:rPr>
          <w:rFonts w:ascii="宋体" w:cs="宋体"/>
          <w:sz w:val="24"/>
        </w:rPr>
        <w:t>0</w:t>
      </w:r>
      <w:r>
        <w:rPr>
          <w:rFonts w:ascii="宋体" w:cs="宋体"/>
          <w:sz w:val="24"/>
          <w:lang w:val="zh-CN"/>
        </w:rPr>
        <w:t>.</w:t>
      </w:r>
      <w:r>
        <w:rPr>
          <w:rFonts w:ascii="宋体" w:cs="宋体"/>
          <w:sz w:val="24"/>
        </w:rPr>
        <w:t>6</w:t>
      </w:r>
      <w:r>
        <w:rPr>
          <w:rFonts w:hint="eastAsia" w:ascii="宋体" w:cs="宋体"/>
          <w:sz w:val="24"/>
          <w:lang w:val="zh-CN"/>
        </w:rPr>
        <w:t>投标报价超出预算上限的；</w:t>
      </w:r>
    </w:p>
    <w:p>
      <w:pPr>
        <w:autoSpaceDE w:val="0"/>
        <w:autoSpaceDN w:val="0"/>
        <w:adjustRightInd w:val="0"/>
        <w:spacing w:line="480" w:lineRule="auto"/>
        <w:ind w:firstLine="480"/>
        <w:rPr>
          <w:rFonts w:ascii="宋体" w:cs="宋体"/>
          <w:sz w:val="24"/>
          <w:lang w:val="zh-CN"/>
        </w:rPr>
      </w:pPr>
      <w:r>
        <w:rPr>
          <w:rFonts w:ascii="宋体" w:cs="宋体"/>
          <w:sz w:val="24"/>
          <w:lang w:val="zh-CN"/>
        </w:rPr>
        <w:t>1</w:t>
      </w:r>
      <w:r>
        <w:rPr>
          <w:rFonts w:ascii="宋体" w:cs="宋体"/>
          <w:sz w:val="24"/>
        </w:rPr>
        <w:t>0</w:t>
      </w:r>
      <w:r>
        <w:rPr>
          <w:rFonts w:ascii="宋体" w:cs="宋体"/>
          <w:sz w:val="24"/>
          <w:lang w:val="zh-CN"/>
        </w:rPr>
        <w:t>.</w:t>
      </w:r>
      <w:r>
        <w:rPr>
          <w:rFonts w:ascii="宋体" w:cs="宋体"/>
          <w:sz w:val="24"/>
        </w:rPr>
        <w:t>7</w:t>
      </w:r>
      <w:r>
        <w:rPr>
          <w:rFonts w:hint="eastAsia" w:ascii="宋体" w:cs="宋体"/>
          <w:sz w:val="24"/>
          <w:lang w:val="zh-CN"/>
        </w:rPr>
        <w:t>出席代表与授权书中的代理人、身份证原件不相符的；</w:t>
      </w:r>
    </w:p>
    <w:p>
      <w:pPr>
        <w:autoSpaceDE w:val="0"/>
        <w:autoSpaceDN w:val="0"/>
        <w:adjustRightInd w:val="0"/>
        <w:spacing w:line="480" w:lineRule="auto"/>
        <w:ind w:firstLine="480"/>
        <w:rPr>
          <w:rFonts w:ascii="宋体" w:cs="宋体"/>
          <w:sz w:val="24"/>
          <w:lang w:val="zh-CN"/>
        </w:rPr>
      </w:pPr>
      <w:r>
        <w:rPr>
          <w:rFonts w:ascii="宋体" w:cs="宋体"/>
          <w:sz w:val="24"/>
          <w:lang w:val="zh-CN"/>
        </w:rPr>
        <w:t>1</w:t>
      </w:r>
      <w:r>
        <w:rPr>
          <w:rFonts w:ascii="宋体" w:cs="宋体"/>
          <w:sz w:val="24"/>
        </w:rPr>
        <w:t>0</w:t>
      </w:r>
      <w:r>
        <w:rPr>
          <w:rFonts w:ascii="宋体" w:cs="宋体"/>
          <w:sz w:val="24"/>
          <w:lang w:val="zh-CN"/>
        </w:rPr>
        <w:t>.</w:t>
      </w:r>
      <w:r>
        <w:rPr>
          <w:rFonts w:ascii="宋体" w:cs="宋体"/>
          <w:sz w:val="24"/>
        </w:rPr>
        <w:t>8</w:t>
      </w:r>
      <w:r>
        <w:rPr>
          <w:rFonts w:hint="eastAsia" w:ascii="宋体" w:cs="宋体"/>
          <w:sz w:val="24"/>
          <w:lang w:val="zh-CN"/>
        </w:rPr>
        <w:t>不符合法律、法规和招标文件中规定的其他实质性要求的。</w:t>
      </w:r>
    </w:p>
    <w:p>
      <w:pPr>
        <w:numPr>
          <w:ilvl w:val="0"/>
          <w:numId w:val="8"/>
        </w:numPr>
        <w:autoSpaceDE w:val="0"/>
        <w:autoSpaceDN w:val="0"/>
        <w:adjustRightInd w:val="0"/>
        <w:spacing w:line="480" w:lineRule="auto"/>
        <w:ind w:firstLine="480"/>
        <w:rPr>
          <w:rFonts w:ascii="宋体" w:cs="宋体"/>
          <w:sz w:val="24"/>
          <w:lang w:val="zh-CN"/>
        </w:rPr>
      </w:pPr>
      <w:r>
        <w:rPr>
          <w:rFonts w:hint="eastAsia" w:ascii="宋体" w:cs="宋体"/>
          <w:sz w:val="24"/>
          <w:lang w:val="zh-CN"/>
        </w:rPr>
        <w:t>各供应商在报价时，应充分考虑供货及售后服务所发生的费用，如果中标，不得再以任何理由要求追加费用。</w:t>
      </w:r>
    </w:p>
    <w:p>
      <w:pPr>
        <w:autoSpaceDE w:val="0"/>
        <w:autoSpaceDN w:val="0"/>
        <w:adjustRightInd w:val="0"/>
        <w:spacing w:line="360" w:lineRule="auto"/>
        <w:ind w:firstLine="480" w:firstLineChars="200"/>
        <w:rPr>
          <w:rFonts w:ascii="宋体" w:cs="宋体"/>
          <w:sz w:val="24"/>
          <w:lang w:val="zh-CN"/>
        </w:rPr>
      </w:pPr>
      <w:r>
        <w:rPr>
          <w:rFonts w:ascii="宋体" w:cs="宋体"/>
          <w:sz w:val="24"/>
          <w:lang w:val="zh-CN"/>
        </w:rPr>
        <w:t>1</w:t>
      </w:r>
      <w:r>
        <w:rPr>
          <w:rFonts w:ascii="宋体" w:cs="宋体"/>
          <w:sz w:val="24"/>
        </w:rPr>
        <w:t>2</w:t>
      </w:r>
      <w:r>
        <w:rPr>
          <w:rFonts w:hint="eastAsia" w:ascii="宋体" w:cs="宋体"/>
          <w:sz w:val="24"/>
          <w:lang w:val="zh-CN"/>
        </w:rPr>
        <w:t>、采购单位委派代表或采购单位委派的评标专家参加评审委员会的，须向采购代理机构出具授权函。</w:t>
      </w:r>
    </w:p>
    <w:p>
      <w:pPr>
        <w:autoSpaceDE w:val="0"/>
        <w:autoSpaceDN w:val="0"/>
        <w:adjustRightIn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3、本招标文件的最终解释权归</w:t>
      </w:r>
      <w:r>
        <w:rPr>
          <w:rFonts w:hint="eastAsia" w:ascii="宋体" w:cs="宋体"/>
          <w:sz w:val="24"/>
        </w:rPr>
        <w:t>采购人</w:t>
      </w:r>
      <w:r>
        <w:rPr>
          <w:rFonts w:hint="eastAsia" w:ascii="宋体" w:cs="宋体"/>
          <w:sz w:val="24"/>
          <w:lang w:val="zh-CN"/>
        </w:rPr>
        <w:t>所有</w:t>
      </w: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p>
    <w:p>
      <w:pPr>
        <w:autoSpaceDE w:val="0"/>
        <w:autoSpaceDN w:val="0"/>
        <w:adjustRightInd w:val="0"/>
        <w:spacing w:line="324" w:lineRule="auto"/>
        <w:ind w:firstLine="3054" w:firstLineChars="845"/>
        <w:rPr>
          <w:rFonts w:ascii="宋体" w:hAnsi="宋体"/>
          <w:b/>
          <w:bCs/>
          <w:sz w:val="36"/>
          <w:szCs w:val="36"/>
        </w:rPr>
      </w:pPr>
      <w:r>
        <w:rPr>
          <w:rFonts w:hint="eastAsia" w:ascii="宋体" w:hAnsi="宋体"/>
          <w:b/>
          <w:bCs/>
          <w:sz w:val="36"/>
          <w:szCs w:val="36"/>
        </w:rPr>
        <w:t>第四部分  评标办法</w:t>
      </w:r>
    </w:p>
    <w:p>
      <w:pPr>
        <w:spacing w:line="360" w:lineRule="auto"/>
        <w:ind w:firstLine="422" w:firstLineChars="200"/>
        <w:rPr>
          <w:rFonts w:ascii="宋体" w:hAnsi="宋体"/>
          <w:b/>
          <w:szCs w:val="21"/>
        </w:rPr>
      </w:pPr>
      <w:r>
        <w:rPr>
          <w:rFonts w:hint="eastAsia" w:ascii="宋体" w:hAnsi="宋体"/>
          <w:b/>
          <w:szCs w:val="21"/>
        </w:rPr>
        <w:t>一、投标文件的审查：</w:t>
      </w:r>
    </w:p>
    <w:tbl>
      <w:tblPr>
        <w:tblStyle w:val="17"/>
        <w:tblW w:w="99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2736"/>
        <w:gridCol w:w="5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exact"/>
        </w:trPr>
        <w:tc>
          <w:tcPr>
            <w:tcW w:w="1494" w:type="dxa"/>
            <w:tcMar>
              <w:left w:w="57" w:type="dxa"/>
              <w:right w:w="57" w:type="dxa"/>
            </w:tcMar>
            <w:vAlign w:val="center"/>
          </w:tcPr>
          <w:p>
            <w:pPr>
              <w:jc w:val="center"/>
              <w:rPr>
                <w:rFonts w:ascii="宋体" w:hAnsi="宋体" w:cs="Courier New"/>
                <w:b/>
                <w:szCs w:val="21"/>
              </w:rPr>
            </w:pPr>
            <w:r>
              <w:rPr>
                <w:rFonts w:hint="eastAsia" w:ascii="宋体" w:hAnsi="宋体" w:cs="Courier New"/>
                <w:b/>
                <w:szCs w:val="21"/>
              </w:rPr>
              <w:t>条款号</w:t>
            </w:r>
          </w:p>
        </w:tc>
        <w:tc>
          <w:tcPr>
            <w:tcW w:w="2736" w:type="dxa"/>
            <w:vAlign w:val="center"/>
          </w:tcPr>
          <w:p>
            <w:pPr>
              <w:jc w:val="center"/>
              <w:rPr>
                <w:rFonts w:ascii="宋体" w:hAnsi="宋体" w:cs="Courier New"/>
                <w:b/>
                <w:szCs w:val="21"/>
              </w:rPr>
            </w:pPr>
            <w:r>
              <w:rPr>
                <w:rFonts w:hint="eastAsia" w:ascii="宋体" w:hAnsi="宋体" w:cs="Courier New"/>
                <w:b/>
                <w:szCs w:val="21"/>
              </w:rPr>
              <w:t>评审因素</w:t>
            </w:r>
          </w:p>
        </w:tc>
        <w:tc>
          <w:tcPr>
            <w:tcW w:w="5710" w:type="dxa"/>
            <w:vAlign w:val="center"/>
          </w:tcPr>
          <w:p>
            <w:pPr>
              <w:jc w:val="center"/>
              <w:rPr>
                <w:rFonts w:ascii="宋体" w:hAnsi="宋体" w:cs="Courier New"/>
                <w:b/>
                <w:szCs w:val="21"/>
              </w:rPr>
            </w:pPr>
            <w:r>
              <w:rPr>
                <w:rFonts w:hint="eastAsia" w:ascii="宋体" w:hAnsi="宋体" w:cs="Courier New"/>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exact"/>
        </w:trPr>
        <w:tc>
          <w:tcPr>
            <w:tcW w:w="1494" w:type="dxa"/>
            <w:vMerge w:val="restart"/>
            <w:vAlign w:val="center"/>
          </w:tcPr>
          <w:p>
            <w:pPr>
              <w:jc w:val="center"/>
              <w:rPr>
                <w:rFonts w:ascii="宋体" w:hAnsi="宋体" w:cs="Courier New"/>
                <w:szCs w:val="21"/>
              </w:rPr>
            </w:pPr>
            <w:r>
              <w:rPr>
                <w:rFonts w:hint="eastAsia" w:ascii="宋体" w:hAnsi="宋体" w:cs="Courier New"/>
                <w:szCs w:val="21"/>
              </w:rPr>
              <w:t>资格性审查</w:t>
            </w:r>
          </w:p>
        </w:tc>
        <w:tc>
          <w:tcPr>
            <w:tcW w:w="2736" w:type="dxa"/>
            <w:vAlign w:val="center"/>
          </w:tcPr>
          <w:p>
            <w:pPr>
              <w:rPr>
                <w:rFonts w:ascii="宋体" w:hAnsi="宋体" w:cs="Courier New"/>
                <w:szCs w:val="21"/>
              </w:rPr>
            </w:pPr>
            <w:r>
              <w:rPr>
                <w:rFonts w:ascii="宋体" w:hAnsi="宋体" w:cs="Courier New"/>
                <w:szCs w:val="21"/>
              </w:rPr>
              <w:t>营业执照</w:t>
            </w:r>
          </w:p>
        </w:tc>
        <w:tc>
          <w:tcPr>
            <w:tcW w:w="5710" w:type="dxa"/>
            <w:vAlign w:val="center"/>
          </w:tcPr>
          <w:p>
            <w:pPr>
              <w:rPr>
                <w:rFonts w:ascii="宋体" w:hAnsi="宋体" w:cs="Courier New"/>
                <w:szCs w:val="21"/>
              </w:rPr>
            </w:pPr>
            <w:r>
              <w:rPr>
                <w:rFonts w:ascii="宋体" w:hAnsi="宋体" w:cs="Courier New"/>
                <w:szCs w:val="21"/>
              </w:rPr>
              <w:t>具备有效的营业执照</w:t>
            </w:r>
            <w:r>
              <w:rPr>
                <w:rFonts w:hint="eastAsia" w:ascii="宋体" w:hAnsi="宋体" w:cs="Courier New"/>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exact"/>
        </w:trPr>
        <w:tc>
          <w:tcPr>
            <w:tcW w:w="1494" w:type="dxa"/>
            <w:vMerge w:val="continue"/>
            <w:vAlign w:val="center"/>
          </w:tcPr>
          <w:p>
            <w:pPr>
              <w:jc w:val="center"/>
              <w:rPr>
                <w:rFonts w:ascii="宋体" w:hAnsi="宋体" w:cs="Courier New"/>
                <w:szCs w:val="21"/>
              </w:rPr>
            </w:pPr>
          </w:p>
        </w:tc>
        <w:tc>
          <w:tcPr>
            <w:tcW w:w="2736" w:type="dxa"/>
            <w:vAlign w:val="center"/>
          </w:tcPr>
          <w:p>
            <w:pPr>
              <w:rPr>
                <w:rFonts w:ascii="宋体" w:hAnsi="宋体" w:cs="Courier New"/>
                <w:szCs w:val="21"/>
              </w:rPr>
            </w:pPr>
            <w:r>
              <w:rPr>
                <w:rFonts w:hint="eastAsia" w:ascii="宋体" w:hAnsi="宋体" w:cs="Courier New"/>
                <w:szCs w:val="21"/>
              </w:rPr>
              <w:t>税务登记证</w:t>
            </w:r>
          </w:p>
        </w:tc>
        <w:tc>
          <w:tcPr>
            <w:tcW w:w="5710" w:type="dxa"/>
            <w:vAlign w:val="center"/>
          </w:tcPr>
          <w:p>
            <w:pPr>
              <w:rPr>
                <w:rFonts w:ascii="宋体" w:hAnsi="宋体" w:cs="Courier New"/>
                <w:szCs w:val="21"/>
              </w:rPr>
            </w:pPr>
            <w:r>
              <w:rPr>
                <w:rFonts w:ascii="宋体" w:hAnsi="宋体" w:cs="Courier New"/>
                <w:szCs w:val="21"/>
              </w:rPr>
              <w:t>具备有效的</w:t>
            </w:r>
            <w:r>
              <w:rPr>
                <w:rFonts w:hint="eastAsia" w:ascii="宋体" w:hAnsi="宋体" w:cs="Courier New"/>
                <w:szCs w:val="21"/>
              </w:rPr>
              <w:t>税务登记证、供应商名称</w:t>
            </w:r>
          </w:p>
          <w:p>
            <w:pPr>
              <w:rPr>
                <w:rFonts w:ascii="宋体" w:hAnsi="宋体" w:cs="Courier New"/>
                <w:szCs w:val="21"/>
              </w:rPr>
            </w:pPr>
            <w:r>
              <w:rPr>
                <w:rFonts w:hint="eastAsia" w:ascii="宋体" w:hAnsi="宋体" w:cs="Courier New"/>
                <w:szCs w:val="21"/>
              </w:rPr>
              <w:t>（三证合一可只提供营业执照）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exact"/>
        </w:trPr>
        <w:tc>
          <w:tcPr>
            <w:tcW w:w="1494" w:type="dxa"/>
            <w:vMerge w:val="continue"/>
            <w:vAlign w:val="center"/>
          </w:tcPr>
          <w:p>
            <w:pPr>
              <w:jc w:val="center"/>
              <w:rPr>
                <w:rFonts w:ascii="宋体" w:hAnsi="宋体" w:cs="Courier New"/>
                <w:szCs w:val="21"/>
              </w:rPr>
            </w:pPr>
          </w:p>
        </w:tc>
        <w:tc>
          <w:tcPr>
            <w:tcW w:w="2736" w:type="dxa"/>
            <w:vAlign w:val="center"/>
          </w:tcPr>
          <w:p>
            <w:pPr>
              <w:rPr>
                <w:rFonts w:ascii="宋体" w:hAnsi="宋体" w:cs="Courier New"/>
                <w:szCs w:val="21"/>
              </w:rPr>
            </w:pPr>
            <w:r>
              <w:rPr>
                <w:rFonts w:hint="eastAsia" w:ascii="宋体" w:hAnsi="宋体" w:cs="Courier New"/>
                <w:szCs w:val="21"/>
              </w:rPr>
              <w:t>资格要求</w:t>
            </w:r>
          </w:p>
        </w:tc>
        <w:tc>
          <w:tcPr>
            <w:tcW w:w="5710" w:type="dxa"/>
            <w:vAlign w:val="center"/>
          </w:tcPr>
          <w:p>
            <w:pPr>
              <w:rPr>
                <w:rFonts w:ascii="宋体" w:hAnsi="宋体"/>
                <w:szCs w:val="21"/>
              </w:rPr>
            </w:pPr>
            <w:r>
              <w:rPr>
                <w:rFonts w:hint="eastAsia" w:ascii="宋体" w:hAnsi="宋体"/>
                <w:szCs w:val="21"/>
              </w:rPr>
              <w:t>符合第一部分“</w:t>
            </w:r>
            <w:r>
              <w:rPr>
                <w:rFonts w:hint="eastAsia" w:ascii="宋体" w:hAnsi="宋体"/>
                <w:szCs w:val="21"/>
                <w:lang w:val="zh-CN"/>
              </w:rPr>
              <w:t>投标邀请函</w:t>
            </w:r>
            <w:r>
              <w:rPr>
                <w:rFonts w:hint="eastAsia" w:ascii="宋体" w:hAnsi="宋体"/>
                <w:szCs w:val="21"/>
              </w:rPr>
              <w:t>”第三条的要求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4" w:hRule="exact"/>
        </w:trPr>
        <w:tc>
          <w:tcPr>
            <w:tcW w:w="1494" w:type="dxa"/>
            <w:vMerge w:val="continue"/>
            <w:vAlign w:val="center"/>
          </w:tcPr>
          <w:p>
            <w:pPr>
              <w:jc w:val="center"/>
              <w:rPr>
                <w:rFonts w:ascii="宋体" w:hAnsi="宋体" w:cs="Courier New"/>
                <w:szCs w:val="21"/>
              </w:rPr>
            </w:pPr>
          </w:p>
        </w:tc>
        <w:tc>
          <w:tcPr>
            <w:tcW w:w="2736" w:type="dxa"/>
            <w:vAlign w:val="center"/>
          </w:tcPr>
          <w:p>
            <w:pPr>
              <w:rPr>
                <w:rFonts w:ascii="宋体" w:hAnsi="宋体" w:cs="Courier New"/>
                <w:szCs w:val="21"/>
              </w:rPr>
            </w:pPr>
            <w:r>
              <w:rPr>
                <w:rFonts w:hint="eastAsia" w:ascii="宋体" w:hAnsi="宋体" w:cs="Courier New"/>
                <w:szCs w:val="21"/>
              </w:rPr>
              <w:t>其他评审因素</w:t>
            </w:r>
          </w:p>
        </w:tc>
        <w:tc>
          <w:tcPr>
            <w:tcW w:w="5710" w:type="dxa"/>
            <w:vAlign w:val="center"/>
          </w:tcPr>
          <w:p>
            <w:pPr>
              <w:rPr>
                <w:rFonts w:ascii="宋体" w:cs="Courier New"/>
                <w:szCs w:val="21"/>
              </w:rPr>
            </w:pPr>
            <w:r>
              <w:rPr>
                <w:rFonts w:ascii="宋体" w:hAnsi="宋体" w:cs="Courier New"/>
                <w:szCs w:val="21"/>
              </w:rPr>
              <w:t>1.1</w:t>
            </w:r>
            <w:r>
              <w:rPr>
                <w:rFonts w:hint="eastAsia" w:ascii="宋体" w:hAnsi="宋体" w:cs="Courier New"/>
                <w:szCs w:val="21"/>
              </w:rPr>
              <w:t>应交未交投标保证金的；</w:t>
            </w:r>
          </w:p>
          <w:p>
            <w:pPr>
              <w:rPr>
                <w:rFonts w:ascii="宋体" w:cs="Courier New"/>
                <w:szCs w:val="21"/>
              </w:rPr>
            </w:pPr>
            <w:r>
              <w:rPr>
                <w:rFonts w:ascii="宋体" w:hAnsi="宋体" w:cs="Courier New"/>
                <w:szCs w:val="21"/>
              </w:rPr>
              <w:t>1.2</w:t>
            </w:r>
            <w:r>
              <w:rPr>
                <w:rFonts w:hint="eastAsia" w:ascii="宋体" w:hAnsi="宋体" w:cs="Courier New"/>
                <w:szCs w:val="21"/>
              </w:rPr>
              <w:t>未按照招标文件规定要求密封、签署、盖章的；</w:t>
            </w:r>
          </w:p>
          <w:p>
            <w:pPr>
              <w:rPr>
                <w:rFonts w:ascii="宋体" w:cs="Courier New"/>
                <w:szCs w:val="21"/>
              </w:rPr>
            </w:pPr>
            <w:r>
              <w:rPr>
                <w:rFonts w:ascii="宋体" w:hAnsi="宋体" w:cs="Courier New"/>
                <w:szCs w:val="21"/>
              </w:rPr>
              <w:t>1.3</w:t>
            </w:r>
            <w:r>
              <w:rPr>
                <w:rFonts w:hint="eastAsia" w:ascii="宋体" w:hAnsi="宋体" w:cs="Courier New"/>
                <w:szCs w:val="21"/>
              </w:rPr>
              <w:t>不具备招标文件中规定资格要求的；</w:t>
            </w:r>
          </w:p>
          <w:p>
            <w:pPr>
              <w:rPr>
                <w:rFonts w:ascii="宋体" w:cs="Courier New"/>
                <w:szCs w:val="21"/>
              </w:rPr>
            </w:pPr>
            <w:r>
              <w:rPr>
                <w:rFonts w:ascii="宋体" w:hAnsi="宋体" w:cs="Courier New"/>
                <w:szCs w:val="21"/>
              </w:rPr>
              <w:t>1.4</w:t>
            </w:r>
            <w:r>
              <w:rPr>
                <w:rFonts w:hint="eastAsia" w:ascii="宋体" w:hAnsi="宋体" w:cs="Courier New"/>
                <w:szCs w:val="21"/>
              </w:rPr>
              <w:t>投标文件中没有提供有效的法人营业执照、税务登记证副本及投标条件中相关证件复印件，法人授权书原件、被授权人身份证复印件，评标时没有提供原件的；</w:t>
            </w:r>
          </w:p>
          <w:p>
            <w:pPr>
              <w:rPr>
                <w:rFonts w:ascii="宋体" w:cs="Courier New"/>
                <w:szCs w:val="21"/>
              </w:rPr>
            </w:pPr>
            <w:r>
              <w:rPr>
                <w:rFonts w:ascii="宋体" w:hAnsi="宋体" w:cs="Courier New"/>
                <w:szCs w:val="21"/>
              </w:rPr>
              <w:t>1.5</w:t>
            </w:r>
            <w:r>
              <w:rPr>
                <w:rFonts w:hint="eastAsia" w:ascii="宋体" w:hAnsi="宋体" w:cs="Courier New"/>
                <w:szCs w:val="21"/>
              </w:rPr>
              <w:t>不响应招标文件中</w:t>
            </w:r>
            <w:r>
              <w:rPr>
                <w:rFonts w:hint="eastAsia" w:ascii="宋体" w:hAnsi="宋体" w:cs="Courier New"/>
                <w:szCs w:val="21"/>
                <w:lang w:val="zh-CN"/>
              </w:rPr>
              <w:t>响应时间</w:t>
            </w:r>
            <w:r>
              <w:rPr>
                <w:rFonts w:hint="eastAsia" w:ascii="宋体" w:hAnsi="宋体" w:cs="Courier New"/>
                <w:szCs w:val="21"/>
              </w:rPr>
              <w:t>的；</w:t>
            </w:r>
          </w:p>
          <w:p>
            <w:pPr>
              <w:rPr>
                <w:rFonts w:ascii="宋体" w:cs="Courier New"/>
                <w:szCs w:val="21"/>
              </w:rPr>
            </w:pPr>
            <w:r>
              <w:rPr>
                <w:rFonts w:ascii="宋体" w:hAnsi="宋体" w:cs="Courier New"/>
                <w:szCs w:val="21"/>
              </w:rPr>
              <w:t>1.6</w:t>
            </w:r>
            <w:r>
              <w:rPr>
                <w:rFonts w:hint="eastAsia" w:ascii="宋体" w:hAnsi="宋体" w:cs="Courier New"/>
                <w:szCs w:val="21"/>
              </w:rPr>
              <w:t>投标报价超出预算的；</w:t>
            </w:r>
          </w:p>
          <w:p>
            <w:pPr>
              <w:rPr>
                <w:rFonts w:ascii="宋体" w:cs="Courier New"/>
                <w:szCs w:val="21"/>
              </w:rPr>
            </w:pPr>
            <w:r>
              <w:rPr>
                <w:rFonts w:ascii="宋体" w:hAnsi="宋体" w:cs="Courier New"/>
                <w:szCs w:val="21"/>
              </w:rPr>
              <w:t>1.7</w:t>
            </w:r>
            <w:r>
              <w:rPr>
                <w:rFonts w:hint="eastAsia" w:ascii="宋体" w:hAnsi="宋体" w:cs="Courier New"/>
                <w:szCs w:val="21"/>
              </w:rPr>
              <w:t>出席代表与授权书中的代理人、身份证原件不相符的</w:t>
            </w:r>
          </w:p>
          <w:p>
            <w:pPr>
              <w:rPr>
                <w:rFonts w:ascii="宋体" w:hAnsi="宋体"/>
                <w:szCs w:val="21"/>
              </w:rPr>
            </w:pPr>
            <w:r>
              <w:rPr>
                <w:rFonts w:ascii="宋体" w:hAnsi="宋体" w:cs="Courier New"/>
                <w:szCs w:val="21"/>
              </w:rPr>
              <w:t>1.8</w:t>
            </w:r>
            <w:r>
              <w:rPr>
                <w:rFonts w:hint="eastAsia" w:ascii="宋体" w:hAnsi="宋体" w:cs="Courier New"/>
                <w:szCs w:val="21"/>
              </w:rPr>
              <w:t>不符合法律、法规和招标文件中规定的其他实质性要求的。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exact"/>
        </w:trPr>
        <w:tc>
          <w:tcPr>
            <w:tcW w:w="1494" w:type="dxa"/>
            <w:vMerge w:val="restart"/>
            <w:vAlign w:val="center"/>
          </w:tcPr>
          <w:p>
            <w:pPr>
              <w:jc w:val="center"/>
              <w:rPr>
                <w:rFonts w:ascii="宋体" w:hAnsi="宋体" w:cs="Courier New"/>
                <w:szCs w:val="21"/>
              </w:rPr>
            </w:pPr>
          </w:p>
          <w:p>
            <w:pPr>
              <w:jc w:val="center"/>
              <w:rPr>
                <w:rFonts w:ascii="宋体" w:hAnsi="Courier New" w:cs="Courier New"/>
                <w:szCs w:val="21"/>
              </w:rPr>
            </w:pPr>
            <w:r>
              <w:rPr>
                <w:rFonts w:hint="eastAsia" w:ascii="宋体" w:hAnsi="宋体" w:cs="Courier New"/>
                <w:szCs w:val="21"/>
              </w:rPr>
              <w:t>符合性审查</w:t>
            </w:r>
          </w:p>
        </w:tc>
        <w:tc>
          <w:tcPr>
            <w:tcW w:w="2736" w:type="dxa"/>
            <w:vAlign w:val="center"/>
          </w:tcPr>
          <w:p>
            <w:pPr>
              <w:rPr>
                <w:rFonts w:ascii="宋体" w:hAnsi="宋体" w:cs="Courier New"/>
                <w:b/>
                <w:bCs/>
                <w:szCs w:val="21"/>
              </w:rPr>
            </w:pPr>
            <w:r>
              <w:rPr>
                <w:rFonts w:ascii="宋体" w:hAnsi="宋体" w:cs="Courier New"/>
                <w:szCs w:val="21"/>
              </w:rPr>
              <w:t>投标文件格式</w:t>
            </w:r>
          </w:p>
        </w:tc>
        <w:tc>
          <w:tcPr>
            <w:tcW w:w="5710" w:type="dxa"/>
            <w:vAlign w:val="center"/>
          </w:tcPr>
          <w:p>
            <w:pPr>
              <w:rPr>
                <w:rFonts w:ascii="宋体" w:hAnsi="宋体" w:cs="Courier New"/>
                <w:b/>
                <w:bCs/>
                <w:szCs w:val="21"/>
              </w:rPr>
            </w:pPr>
            <w:r>
              <w:rPr>
                <w:rFonts w:ascii="宋体" w:hAnsi="宋体" w:cs="Courier New"/>
                <w:szCs w:val="21"/>
              </w:rPr>
              <w:t>符合第</w:t>
            </w:r>
            <w:r>
              <w:rPr>
                <w:rFonts w:hint="eastAsia" w:ascii="宋体" w:hAnsi="宋体" w:cs="Courier New"/>
                <w:szCs w:val="21"/>
              </w:rPr>
              <w:t>八部分“附件”</w:t>
            </w:r>
            <w:r>
              <w:rPr>
                <w:rFonts w:ascii="宋体" w:hAnsi="宋体" w:cs="Courier New"/>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494" w:type="dxa"/>
            <w:vMerge w:val="continue"/>
            <w:vAlign w:val="center"/>
          </w:tcPr>
          <w:p>
            <w:pPr>
              <w:jc w:val="center"/>
              <w:rPr>
                <w:rFonts w:ascii="宋体" w:hAnsi="宋体" w:cs="Courier New"/>
                <w:szCs w:val="21"/>
              </w:rPr>
            </w:pPr>
          </w:p>
        </w:tc>
        <w:tc>
          <w:tcPr>
            <w:tcW w:w="2736" w:type="dxa"/>
            <w:vAlign w:val="center"/>
          </w:tcPr>
          <w:p>
            <w:pPr>
              <w:jc w:val="left"/>
              <w:rPr>
                <w:rFonts w:ascii="宋体" w:hAnsi="宋体" w:cs="Courier New"/>
                <w:b/>
                <w:bCs/>
                <w:szCs w:val="21"/>
              </w:rPr>
            </w:pPr>
            <w:r>
              <w:rPr>
                <w:rFonts w:ascii="宋体" w:hAnsi="宋体" w:cs="Courier New"/>
                <w:szCs w:val="21"/>
              </w:rPr>
              <w:t>签字盖章</w:t>
            </w:r>
          </w:p>
        </w:tc>
        <w:tc>
          <w:tcPr>
            <w:tcW w:w="5710" w:type="dxa"/>
            <w:vAlign w:val="center"/>
          </w:tcPr>
          <w:p>
            <w:pPr>
              <w:rPr>
                <w:rFonts w:ascii="宋体" w:hAnsi="宋体" w:cs="Courier New"/>
                <w:b/>
                <w:bCs/>
                <w:szCs w:val="21"/>
              </w:rPr>
            </w:pPr>
            <w:r>
              <w:rPr>
                <w:rFonts w:hint="eastAsia" w:ascii="宋体" w:hAnsi="宋体" w:cs="Courier New"/>
                <w:szCs w:val="21"/>
              </w:rPr>
              <w:t>投标文件符合招标文件签字盖章要求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exact"/>
        </w:trPr>
        <w:tc>
          <w:tcPr>
            <w:tcW w:w="1494" w:type="dxa"/>
            <w:vMerge w:val="continue"/>
            <w:vAlign w:val="center"/>
          </w:tcPr>
          <w:p>
            <w:pPr>
              <w:jc w:val="center"/>
              <w:rPr>
                <w:rFonts w:ascii="宋体" w:hAnsi="宋体" w:cs="Courier New"/>
                <w:szCs w:val="21"/>
              </w:rPr>
            </w:pPr>
          </w:p>
        </w:tc>
        <w:tc>
          <w:tcPr>
            <w:tcW w:w="2736" w:type="dxa"/>
            <w:vAlign w:val="center"/>
          </w:tcPr>
          <w:p>
            <w:pPr>
              <w:rPr>
                <w:rFonts w:ascii="宋体" w:hAnsi="宋体" w:cs="Courier New"/>
                <w:b/>
                <w:bCs/>
                <w:szCs w:val="21"/>
              </w:rPr>
            </w:pPr>
            <w:r>
              <w:rPr>
                <w:rFonts w:ascii="宋体" w:hAnsi="宋体" w:cs="Courier New"/>
                <w:szCs w:val="21"/>
              </w:rPr>
              <w:t>投标保证金</w:t>
            </w:r>
          </w:p>
        </w:tc>
        <w:tc>
          <w:tcPr>
            <w:tcW w:w="5710" w:type="dxa"/>
            <w:vAlign w:val="center"/>
          </w:tcPr>
          <w:p>
            <w:pPr>
              <w:rPr>
                <w:rFonts w:ascii="宋体" w:hAnsi="宋体" w:cs="Courier New"/>
                <w:b/>
                <w:bCs/>
                <w:szCs w:val="21"/>
              </w:rPr>
            </w:pPr>
            <w:r>
              <w:rPr>
                <w:rFonts w:ascii="宋体" w:hAnsi="宋体" w:cs="Courier New"/>
                <w:szCs w:val="21"/>
              </w:rPr>
              <w:t>符合</w:t>
            </w:r>
            <w:r>
              <w:rPr>
                <w:rFonts w:hint="eastAsia" w:ascii="宋体" w:hAnsi="宋体" w:cs="Courier New"/>
                <w:szCs w:val="21"/>
              </w:rPr>
              <w:t>第五部分“前附表”投标保证金的要求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trPr>
        <w:tc>
          <w:tcPr>
            <w:tcW w:w="1494" w:type="dxa"/>
            <w:vMerge w:val="continue"/>
            <w:vAlign w:val="center"/>
          </w:tcPr>
          <w:p>
            <w:pPr>
              <w:jc w:val="center"/>
              <w:rPr>
                <w:rFonts w:ascii="宋体" w:hAnsi="宋体" w:cs="Courier New"/>
                <w:szCs w:val="21"/>
              </w:rPr>
            </w:pPr>
          </w:p>
        </w:tc>
        <w:tc>
          <w:tcPr>
            <w:tcW w:w="2736" w:type="dxa"/>
            <w:vAlign w:val="center"/>
          </w:tcPr>
          <w:p>
            <w:pPr>
              <w:rPr>
                <w:rFonts w:ascii="宋体" w:hAnsi="宋体" w:cs="Courier New"/>
                <w:b/>
                <w:bCs/>
                <w:szCs w:val="21"/>
              </w:rPr>
            </w:pPr>
            <w:r>
              <w:rPr>
                <w:rFonts w:hint="eastAsia" w:ascii="宋体" w:hAnsi="宋体" w:cs="Courier New"/>
                <w:szCs w:val="21"/>
              </w:rPr>
              <w:t>投标</w:t>
            </w:r>
            <w:r>
              <w:rPr>
                <w:rFonts w:ascii="宋体" w:hAnsi="宋体" w:cs="Courier New"/>
                <w:szCs w:val="21"/>
              </w:rPr>
              <w:t>报价</w:t>
            </w:r>
          </w:p>
        </w:tc>
        <w:tc>
          <w:tcPr>
            <w:tcW w:w="5710" w:type="dxa"/>
            <w:vAlign w:val="center"/>
          </w:tcPr>
          <w:p>
            <w:pPr>
              <w:rPr>
                <w:rFonts w:ascii="宋体" w:hAnsi="宋体" w:cs="Courier New"/>
                <w:b/>
                <w:bCs/>
                <w:szCs w:val="21"/>
              </w:rPr>
            </w:pPr>
            <w:r>
              <w:rPr>
                <w:rFonts w:hint="eastAsia" w:ascii="宋体" w:hAnsi="Courier New" w:cs="Courier New"/>
              </w:rPr>
              <w:t>低于（含等于）</w:t>
            </w:r>
            <w:r>
              <w:rPr>
                <w:rFonts w:hint="eastAsia" w:ascii="宋体" w:hAnsi="宋体" w:cs="Courier New"/>
                <w:szCs w:val="21"/>
              </w:rPr>
              <w:t>第五部分“前附表”</w:t>
            </w:r>
            <w:r>
              <w:rPr>
                <w:rFonts w:hint="eastAsia" w:ascii="宋体" w:hAnsi="Courier New" w:cs="Courier New"/>
              </w:rPr>
              <w:t>载明的预算金额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exact"/>
        </w:trPr>
        <w:tc>
          <w:tcPr>
            <w:tcW w:w="1494" w:type="dxa"/>
            <w:vMerge w:val="continue"/>
            <w:vAlign w:val="center"/>
          </w:tcPr>
          <w:p>
            <w:pPr>
              <w:jc w:val="center"/>
              <w:rPr>
                <w:rFonts w:ascii="宋体" w:hAnsi="宋体" w:cs="Courier New"/>
                <w:szCs w:val="21"/>
              </w:rPr>
            </w:pPr>
          </w:p>
        </w:tc>
        <w:tc>
          <w:tcPr>
            <w:tcW w:w="2736" w:type="dxa"/>
            <w:vAlign w:val="center"/>
          </w:tcPr>
          <w:p>
            <w:pPr>
              <w:rPr>
                <w:rFonts w:ascii="宋体" w:hAnsi="宋体" w:cs="Courier New"/>
                <w:b/>
                <w:bCs/>
                <w:szCs w:val="21"/>
              </w:rPr>
            </w:pPr>
            <w:r>
              <w:rPr>
                <w:rFonts w:hint="eastAsia" w:ascii="宋体" w:hAnsi="宋体" w:cs="Courier New"/>
                <w:szCs w:val="21"/>
              </w:rPr>
              <w:t>采购需求及其他要求</w:t>
            </w:r>
          </w:p>
        </w:tc>
        <w:tc>
          <w:tcPr>
            <w:tcW w:w="5710" w:type="dxa"/>
            <w:vAlign w:val="center"/>
          </w:tcPr>
          <w:p>
            <w:pPr>
              <w:rPr>
                <w:rFonts w:ascii="宋体" w:hAnsi="Courier New" w:cs="Courier New"/>
                <w:b/>
                <w:bCs/>
              </w:rPr>
            </w:pPr>
            <w:r>
              <w:rPr>
                <w:rFonts w:hint="eastAsia" w:ascii="宋体" w:hAnsi="Courier New" w:cs="Courier New"/>
              </w:rPr>
              <w:t>符合第二部分采购需求及其他要求规定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trPr>
        <w:tc>
          <w:tcPr>
            <w:tcW w:w="1494" w:type="dxa"/>
            <w:vMerge w:val="continue"/>
            <w:vAlign w:val="center"/>
          </w:tcPr>
          <w:p>
            <w:pPr>
              <w:jc w:val="center"/>
              <w:rPr>
                <w:rFonts w:ascii="宋体" w:hAnsi="宋体" w:cs="Courier New"/>
                <w:szCs w:val="21"/>
              </w:rPr>
            </w:pPr>
          </w:p>
        </w:tc>
        <w:tc>
          <w:tcPr>
            <w:tcW w:w="2736" w:type="dxa"/>
            <w:vAlign w:val="center"/>
          </w:tcPr>
          <w:p>
            <w:pPr>
              <w:rPr>
                <w:rFonts w:ascii="宋体" w:hAnsi="宋体" w:cs="Courier New"/>
                <w:b/>
                <w:bCs/>
                <w:szCs w:val="21"/>
              </w:rPr>
            </w:pPr>
            <w:r>
              <w:rPr>
                <w:rFonts w:hint="eastAsia" w:ascii="宋体" w:hAnsi="宋体" w:cs="Courier New"/>
                <w:szCs w:val="21"/>
              </w:rPr>
              <w:t>其他评审因素</w:t>
            </w:r>
          </w:p>
        </w:tc>
        <w:tc>
          <w:tcPr>
            <w:tcW w:w="5710" w:type="dxa"/>
            <w:vAlign w:val="center"/>
          </w:tcPr>
          <w:p>
            <w:pPr>
              <w:rPr>
                <w:rFonts w:ascii="宋体" w:hAnsi="宋体" w:cs="Courier New"/>
                <w:b/>
                <w:bCs/>
                <w:szCs w:val="21"/>
              </w:rPr>
            </w:pPr>
            <w:r>
              <w:rPr>
                <w:rFonts w:hint="eastAsia" w:ascii="宋体" w:hAnsi="宋体" w:cs="Courier New"/>
                <w:szCs w:val="21"/>
              </w:rPr>
              <w:t>/</w:t>
            </w:r>
          </w:p>
        </w:tc>
      </w:tr>
    </w:tbl>
    <w:p>
      <w:pPr>
        <w:autoSpaceDE w:val="0"/>
        <w:autoSpaceDN w:val="0"/>
        <w:adjustRightInd w:val="0"/>
        <w:spacing w:line="360" w:lineRule="auto"/>
        <w:ind w:firstLine="422" w:firstLineChars="200"/>
        <w:rPr>
          <w:rFonts w:ascii="宋体" w:hAnsi="宋体"/>
          <w:b/>
          <w:szCs w:val="21"/>
        </w:rPr>
      </w:pPr>
    </w:p>
    <w:p>
      <w:pPr>
        <w:autoSpaceDE w:val="0"/>
        <w:autoSpaceDN w:val="0"/>
        <w:adjustRightInd w:val="0"/>
        <w:spacing w:line="360" w:lineRule="auto"/>
        <w:ind w:firstLine="422" w:firstLineChars="200"/>
        <w:rPr>
          <w:rFonts w:ascii="宋体" w:hAnsi="宋体"/>
          <w:b/>
          <w:szCs w:val="21"/>
        </w:rPr>
      </w:pPr>
      <w:r>
        <w:rPr>
          <w:rFonts w:hint="eastAsia" w:ascii="宋体" w:hAnsi="宋体"/>
          <w:b/>
          <w:szCs w:val="21"/>
        </w:rPr>
        <w:t>二、本项目采用综合评分法，满分100分。</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 xml:space="preserve">所谓综合评分法，是指投标文件满足招标文件全部实质性要求，且按照评审因素的量化指标评审得分 </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最高的供应商为中标候选人的评标方法。</w:t>
      </w:r>
    </w:p>
    <w:p>
      <w:pPr>
        <w:autoSpaceDE w:val="0"/>
        <w:autoSpaceDN w:val="0"/>
        <w:adjustRightInd w:val="0"/>
        <w:spacing w:line="360" w:lineRule="auto"/>
        <w:ind w:firstLine="420"/>
        <w:rPr>
          <w:rFonts w:ascii="宋体" w:hAnsi="宋体"/>
          <w:szCs w:val="21"/>
        </w:rPr>
      </w:pPr>
      <w:r>
        <w:rPr>
          <w:rFonts w:hint="eastAsia" w:ascii="宋体" w:hAnsi="宋体"/>
          <w:szCs w:val="21"/>
        </w:rPr>
        <w:t>采用综合评标法的项目，按以下规则进行评审：</w:t>
      </w:r>
    </w:p>
    <w:p>
      <w:pPr>
        <w:autoSpaceDE w:val="0"/>
        <w:autoSpaceDN w:val="0"/>
        <w:adjustRightInd w:val="0"/>
        <w:spacing w:line="360" w:lineRule="auto"/>
        <w:ind w:left="420"/>
        <w:rPr>
          <w:rFonts w:ascii="宋体" w:hAnsi="宋体"/>
          <w:szCs w:val="21"/>
        </w:rPr>
      </w:pPr>
      <w:r>
        <w:rPr>
          <w:rFonts w:hint="eastAsia" w:ascii="宋体" w:hAnsi="宋体"/>
          <w:szCs w:val="21"/>
        </w:rPr>
        <w:t>1、评委对供应商各项打分相加后为专家评审分，全部专家评审分进行算术平均后的得分为投标供应商的最终得分，按得分由高到低进行排列。得分相同的，按投标报价由低到高顺序排列，得分且报价相同的，按货物技术指标优劣顺序排列。</w:t>
      </w:r>
    </w:p>
    <w:p>
      <w:pPr>
        <w:autoSpaceDE w:val="0"/>
        <w:autoSpaceDN w:val="0"/>
        <w:adjustRightInd w:val="0"/>
        <w:spacing w:line="360" w:lineRule="auto"/>
        <w:ind w:left="420"/>
        <w:rPr>
          <w:rFonts w:ascii="宋体" w:hAnsi="宋体"/>
          <w:szCs w:val="21"/>
        </w:rPr>
      </w:pPr>
      <w:r>
        <w:rPr>
          <w:rFonts w:hint="eastAsia" w:ascii="宋体" w:hAnsi="宋体"/>
          <w:szCs w:val="21"/>
        </w:rPr>
        <w:t>2、评标委员会根据全体评标成员签字的原始评标记录和评标结果，将候选中标供应商的排序名单提交给采购人，采购人按照评标委员会评标报告中推荐的中标候选供应商顺序确定中标供应商。</w:t>
      </w:r>
    </w:p>
    <w:tbl>
      <w:tblPr>
        <w:tblStyle w:val="17"/>
        <w:tblW w:w="9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8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9956" w:type="dxa"/>
            <w:gridSpan w:val="2"/>
            <w:vAlign w:val="center"/>
          </w:tcPr>
          <w:p>
            <w:pPr>
              <w:widowControl/>
              <w:spacing w:line="380" w:lineRule="exact"/>
              <w:jc w:val="center"/>
              <w:rPr>
                <w:rFonts w:ascii="宋体" w:hAnsi="宋体" w:cs="宋体"/>
                <w:szCs w:val="21"/>
              </w:rPr>
            </w:pPr>
            <w:r>
              <w:rPr>
                <w:rFonts w:hint="eastAsia" w:ascii="宋体" w:hAnsi="宋体" w:cs="宋体"/>
                <w:b/>
                <w:bCs/>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743" w:type="dxa"/>
            <w:vAlign w:val="center"/>
          </w:tcPr>
          <w:p>
            <w:pPr>
              <w:widowControl/>
              <w:spacing w:line="380" w:lineRule="exact"/>
              <w:jc w:val="center"/>
              <w:rPr>
                <w:rFonts w:ascii="宋体" w:hAnsi="宋体" w:cs="宋体"/>
                <w:szCs w:val="21"/>
              </w:rPr>
            </w:pPr>
            <w:r>
              <w:rPr>
                <w:rFonts w:hint="eastAsia" w:ascii="宋体" w:hAnsi="宋体" w:cs="宋体"/>
                <w:szCs w:val="21"/>
              </w:rPr>
              <w:t>评标标准</w:t>
            </w:r>
          </w:p>
        </w:tc>
        <w:tc>
          <w:tcPr>
            <w:tcW w:w="8213" w:type="dxa"/>
            <w:vAlign w:val="center"/>
          </w:tcPr>
          <w:p>
            <w:pPr>
              <w:widowControl/>
              <w:spacing w:line="380" w:lineRule="exact"/>
              <w:jc w:val="center"/>
              <w:rPr>
                <w:rFonts w:ascii="宋体" w:hAnsi="宋体" w:cs="宋体"/>
                <w:szCs w:val="21"/>
              </w:rPr>
            </w:pPr>
            <w:r>
              <w:rPr>
                <w:rFonts w:hint="eastAsia" w:ascii="宋体" w:hAnsi="宋体" w:cs="宋体"/>
                <w:szCs w:val="21"/>
              </w:rPr>
              <w:t>采用综合评分法，满分100分。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jc w:val="center"/>
        </w:trPr>
        <w:tc>
          <w:tcPr>
            <w:tcW w:w="1743" w:type="dxa"/>
            <w:vAlign w:val="center"/>
          </w:tcPr>
          <w:p>
            <w:pPr>
              <w:widowControl/>
              <w:spacing w:line="380" w:lineRule="exact"/>
              <w:jc w:val="center"/>
              <w:rPr>
                <w:rFonts w:ascii="宋体" w:hAnsi="宋体" w:cs="宋体"/>
                <w:kern w:val="0"/>
                <w:szCs w:val="21"/>
              </w:rPr>
            </w:pPr>
            <w:r>
              <w:rPr>
                <w:rFonts w:hint="eastAsia" w:ascii="宋体" w:hAnsi="宋体" w:cs="宋体"/>
                <w:kern w:val="0"/>
                <w:szCs w:val="21"/>
              </w:rPr>
              <w:t>投标报价</w:t>
            </w:r>
          </w:p>
          <w:p>
            <w:pPr>
              <w:widowControl/>
              <w:spacing w:line="380" w:lineRule="exact"/>
              <w:jc w:val="center"/>
              <w:rPr>
                <w:rFonts w:ascii="宋体" w:hAnsi="宋体" w:cs="宋体"/>
                <w:kern w:val="0"/>
                <w:szCs w:val="21"/>
              </w:rPr>
            </w:pPr>
            <w:r>
              <w:rPr>
                <w:rFonts w:hint="eastAsia" w:ascii="宋体" w:hAnsi="宋体" w:cs="宋体"/>
                <w:kern w:val="0"/>
                <w:szCs w:val="21"/>
              </w:rPr>
              <w:t>（40分）</w:t>
            </w:r>
          </w:p>
        </w:tc>
        <w:tc>
          <w:tcPr>
            <w:tcW w:w="8213" w:type="dxa"/>
            <w:vAlign w:val="center"/>
          </w:tcPr>
          <w:p>
            <w:pPr>
              <w:widowControl/>
              <w:spacing w:line="276" w:lineRule="auto"/>
              <w:jc w:val="left"/>
              <w:rPr>
                <w:rFonts w:ascii="宋体" w:hAnsi="宋体" w:cs="宋体"/>
                <w:kern w:val="0"/>
                <w:szCs w:val="21"/>
              </w:rPr>
            </w:pPr>
            <w:r>
              <w:rPr>
                <w:rFonts w:hint="eastAsia" w:ascii="宋体" w:hAnsi="宋体" w:cs="宋体"/>
                <w:kern w:val="0"/>
                <w:szCs w:val="21"/>
              </w:rPr>
              <w:t>价格分采用低价优先法计算，</w:t>
            </w:r>
            <w:r>
              <w:rPr>
                <w:rFonts w:hint="eastAsia" w:ascii="宋体" w:hAnsi="宋体" w:cs="宋体"/>
                <w:szCs w:val="21"/>
              </w:rPr>
              <w:t>即通过投标文件审查合格后的投标人报价</w:t>
            </w:r>
            <w:r>
              <w:rPr>
                <w:rFonts w:hint="eastAsia" w:ascii="宋体" w:hAnsi="宋体" w:cs="宋体"/>
                <w:kern w:val="0"/>
                <w:szCs w:val="21"/>
              </w:rPr>
              <w:t>为有效投标报价，有效投标报价中价格最低的报价为最低有效投标报价。</w:t>
            </w:r>
          </w:p>
          <w:p>
            <w:pPr>
              <w:widowControl/>
              <w:spacing w:line="276" w:lineRule="auto"/>
              <w:jc w:val="left"/>
              <w:rPr>
                <w:rFonts w:ascii="宋体" w:hAnsi="宋体" w:cs="宋体"/>
                <w:b/>
                <w:bCs/>
                <w:kern w:val="0"/>
                <w:szCs w:val="21"/>
              </w:rPr>
            </w:pPr>
            <w:r>
              <w:rPr>
                <w:rFonts w:hint="eastAsia" w:ascii="宋体" w:hAnsi="宋体" w:cs="宋体"/>
                <w:b/>
                <w:bCs/>
                <w:kern w:val="0"/>
                <w:szCs w:val="21"/>
              </w:rPr>
              <w:t>报价得分=最低有效报价/有效投标报价*40</w:t>
            </w:r>
          </w:p>
          <w:p>
            <w:pPr>
              <w:widowControl/>
              <w:spacing w:line="276" w:lineRule="auto"/>
              <w:jc w:val="left"/>
              <w:rPr>
                <w:rFonts w:ascii="宋体" w:hAnsi="宋体" w:cs="宋体"/>
                <w:kern w:val="0"/>
                <w:szCs w:val="21"/>
              </w:rPr>
            </w:pPr>
            <w:r>
              <w:rPr>
                <w:rFonts w:hint="eastAsia" w:ascii="宋体" w:hAnsi="宋体" w:cs="宋体"/>
                <w:kern w:val="0"/>
                <w:szCs w:val="21"/>
              </w:rPr>
              <w:t>注：计算结果保留小数点后两位。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6" w:hRule="atLeast"/>
          <w:jc w:val="center"/>
        </w:trPr>
        <w:tc>
          <w:tcPr>
            <w:tcW w:w="1743"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信誉</w:t>
            </w:r>
          </w:p>
          <w:p>
            <w:pPr>
              <w:widowControl/>
              <w:adjustRightInd w:val="0"/>
              <w:snapToGrid w:val="0"/>
              <w:jc w:val="center"/>
              <w:rPr>
                <w:rFonts w:ascii="宋体" w:hAnsi="宋体" w:cs="宋体"/>
                <w:kern w:val="0"/>
                <w:szCs w:val="21"/>
              </w:rPr>
            </w:pPr>
            <w:r>
              <w:rPr>
                <w:rFonts w:hint="eastAsia" w:ascii="宋体" w:hAnsi="宋体" w:cs="宋体"/>
                <w:kern w:val="0"/>
                <w:szCs w:val="21"/>
              </w:rPr>
              <w:t>（10分）</w:t>
            </w:r>
          </w:p>
        </w:tc>
        <w:tc>
          <w:tcPr>
            <w:tcW w:w="8213" w:type="dxa"/>
            <w:shd w:val="clear" w:color="auto" w:fill="auto"/>
            <w:vAlign w:val="center"/>
          </w:tcPr>
          <w:p>
            <w:pPr>
              <w:jc w:val="left"/>
              <w:rPr>
                <w:rFonts w:ascii="宋体" w:hAnsi="宋体" w:cs="Courier New"/>
                <w:szCs w:val="21"/>
              </w:rPr>
            </w:pPr>
            <w:r>
              <w:rPr>
                <w:rFonts w:hint="eastAsia" w:ascii="宋体" w:hAnsi="宋体" w:cs="Courier New"/>
                <w:szCs w:val="21"/>
              </w:rPr>
              <w:t>1.投标人提供LED电源能耗节能管理系统获得中华人民共和国国家版权局计算机软件著作权登记证书的得2分；须提供原件，否则不得分</w:t>
            </w:r>
          </w:p>
          <w:p>
            <w:pPr>
              <w:jc w:val="left"/>
              <w:rPr>
                <w:rFonts w:ascii="宋体" w:hAnsi="宋体" w:cs="Courier New"/>
                <w:szCs w:val="21"/>
              </w:rPr>
            </w:pPr>
            <w:r>
              <w:rPr>
                <w:rFonts w:hint="eastAsia" w:ascii="宋体" w:hAnsi="宋体" w:cs="Courier New"/>
                <w:szCs w:val="21"/>
              </w:rPr>
              <w:t>2.获得地市级及以上节能服务业，合同能源管理服务企业登记证书得2分、获得AAA级企业信用等级的得1分，获得ISO质量管理体系认证的的得1分须提供原件，否则不得分。</w:t>
            </w:r>
          </w:p>
          <w:p>
            <w:pPr>
              <w:jc w:val="left"/>
              <w:rPr>
                <w:rFonts w:ascii="宋体" w:hAnsi="宋体" w:cs="Courier New"/>
                <w:szCs w:val="21"/>
              </w:rPr>
            </w:pPr>
            <w:r>
              <w:rPr>
                <w:rFonts w:hint="eastAsia" w:ascii="宋体" w:hAnsi="宋体" w:cs="Courier New"/>
                <w:szCs w:val="21"/>
              </w:rPr>
              <w:t>3. 投标人投标的产品有国家灯具质量监督检验中心或者国家电光源质量监督检验中心出具的检测报告或者试验报告的得2分（需在投标文件中提供复印件）</w:t>
            </w:r>
          </w:p>
          <w:p>
            <w:pPr>
              <w:jc w:val="left"/>
              <w:rPr>
                <w:rFonts w:ascii="宋体" w:hAnsi="宋体" w:cs="Courier New"/>
                <w:szCs w:val="21"/>
              </w:rPr>
            </w:pPr>
            <w:r>
              <w:rPr>
                <w:rFonts w:hint="eastAsia" w:ascii="宋体" w:hAnsi="宋体" w:cs="Courier New"/>
                <w:szCs w:val="21"/>
                <w:lang w:val="en-US" w:eastAsia="zh-CN"/>
              </w:rPr>
              <w:t>4</w:t>
            </w:r>
            <w:r>
              <w:rPr>
                <w:rFonts w:hint="eastAsia" w:ascii="宋体" w:hAnsi="宋体" w:cs="Courier New"/>
                <w:szCs w:val="21"/>
              </w:rPr>
              <w:t>、投标人提供工商企业信用信息公示报告（国家企业信用信息公示系统http://www.gsxt.gov.cn包括基础信息、行政许可信息、行政处罚信息、列入经营异常名录信息、、列入严重违法失信企业名单（黑名单）信息）（加盖投标人公章），无不良信息者得1分，未提供或有不良信息者不得分,本项最高得1分（以网页截图为准）；</w:t>
            </w:r>
          </w:p>
          <w:p>
            <w:pPr>
              <w:jc w:val="left"/>
              <w:rPr>
                <w:rFonts w:ascii="宋体" w:hAnsi="宋体" w:cs="Courier New"/>
                <w:szCs w:val="21"/>
              </w:rPr>
            </w:pPr>
            <w:r>
              <w:rPr>
                <w:rFonts w:hint="eastAsia" w:ascii="宋体" w:hAnsi="宋体" w:cs="Courier New"/>
                <w:szCs w:val="21"/>
                <w:lang w:val="en-US" w:eastAsia="zh-CN"/>
              </w:rPr>
              <w:t>5</w:t>
            </w:r>
            <w:r>
              <w:rPr>
                <w:rFonts w:hint="eastAsia" w:ascii="宋体" w:hAnsi="宋体" w:cs="Courier New"/>
                <w:szCs w:val="21"/>
              </w:rPr>
              <w:t>、投标人提供企业所在地税务主管部门出具的纳税情况证明等信用情况（加盖企业所在地税务主管部门公章），无不良信息者得1分，未提供或有不良信息者不得分,本项最高得1分（以原件为准）。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743" w:type="dxa"/>
            <w:vAlign w:val="center"/>
          </w:tcPr>
          <w:p>
            <w:pPr>
              <w:spacing w:line="380" w:lineRule="exact"/>
              <w:jc w:val="center"/>
              <w:rPr>
                <w:rFonts w:ascii="宋体" w:hAnsi="宋体" w:cs="宋体"/>
                <w:kern w:val="0"/>
                <w:szCs w:val="21"/>
              </w:rPr>
            </w:pPr>
            <w:r>
              <w:rPr>
                <w:rFonts w:hint="eastAsia" w:ascii="宋体" w:hAnsi="宋体" w:cs="宋体"/>
                <w:kern w:val="0"/>
                <w:szCs w:val="21"/>
              </w:rPr>
              <w:t>投标人业绩</w:t>
            </w:r>
          </w:p>
          <w:p>
            <w:pPr>
              <w:spacing w:line="380" w:lineRule="exact"/>
              <w:jc w:val="center"/>
              <w:rPr>
                <w:rFonts w:ascii="宋体" w:hAnsi="宋体" w:cs="宋体"/>
                <w:kern w:val="0"/>
                <w:szCs w:val="21"/>
              </w:rPr>
            </w:pPr>
            <w:r>
              <w:rPr>
                <w:rFonts w:hint="eastAsia" w:ascii="宋体" w:hAnsi="宋体" w:cs="宋体"/>
                <w:kern w:val="0"/>
                <w:szCs w:val="21"/>
              </w:rPr>
              <w:t>（12分）</w:t>
            </w:r>
          </w:p>
        </w:tc>
        <w:tc>
          <w:tcPr>
            <w:tcW w:w="8213" w:type="dxa"/>
          </w:tcPr>
          <w:p>
            <w:pPr>
              <w:jc w:val="left"/>
              <w:rPr>
                <w:rFonts w:ascii="宋体" w:hAnsi="宋体" w:cs="Courier New"/>
                <w:szCs w:val="21"/>
              </w:rPr>
            </w:pPr>
            <w:r>
              <w:rPr>
                <w:rFonts w:hint="eastAsia" w:ascii="宋体" w:hAnsi="宋体" w:cs="Courier New"/>
                <w:szCs w:val="21"/>
              </w:rPr>
              <w:t>2014年1月1日以来完成类似项目业绩合同，合同金额在400万（含）以上，每项2分，最高12分。</w:t>
            </w:r>
          </w:p>
          <w:p>
            <w:pPr>
              <w:jc w:val="left"/>
              <w:rPr>
                <w:rFonts w:ascii="宋体" w:hAnsi="宋体" w:cs="Courier New"/>
                <w:szCs w:val="21"/>
              </w:rPr>
            </w:pPr>
            <w:r>
              <w:rPr>
                <w:rFonts w:hint="eastAsia" w:ascii="宋体" w:hAnsi="宋体" w:cs="Courier New"/>
                <w:szCs w:val="21"/>
              </w:rPr>
              <w:t>（须同时提供合同原件和该合同对应的完税凭证原件否则不得分）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1743" w:type="dxa"/>
            <w:vAlign w:val="center"/>
          </w:tcPr>
          <w:p>
            <w:pPr>
              <w:widowControl/>
              <w:spacing w:line="380" w:lineRule="exact"/>
              <w:jc w:val="center"/>
              <w:rPr>
                <w:rFonts w:ascii="宋体" w:hAnsi="宋体" w:cs="宋体"/>
                <w:kern w:val="0"/>
                <w:szCs w:val="21"/>
              </w:rPr>
            </w:pPr>
            <w:r>
              <w:rPr>
                <w:rFonts w:hint="eastAsia" w:ascii="宋体" w:hAnsi="宋体" w:cs="宋体"/>
                <w:kern w:val="0"/>
                <w:szCs w:val="21"/>
              </w:rPr>
              <w:t>售后服务</w:t>
            </w:r>
          </w:p>
          <w:p>
            <w:pPr>
              <w:widowControl/>
              <w:spacing w:line="380" w:lineRule="exact"/>
              <w:jc w:val="center"/>
              <w:rPr>
                <w:rFonts w:ascii="宋体" w:hAnsi="宋体" w:cs="宋体"/>
                <w:kern w:val="0"/>
                <w:szCs w:val="21"/>
              </w:rPr>
            </w:pPr>
            <w:r>
              <w:rPr>
                <w:rFonts w:hint="eastAsia" w:ascii="宋体" w:hAnsi="宋体" w:cs="宋体"/>
                <w:kern w:val="0"/>
                <w:szCs w:val="21"/>
              </w:rPr>
              <w:t>（15分）</w:t>
            </w:r>
          </w:p>
        </w:tc>
        <w:tc>
          <w:tcPr>
            <w:tcW w:w="8213" w:type="dxa"/>
            <w:vAlign w:val="center"/>
          </w:tcPr>
          <w:p>
            <w:pPr>
              <w:widowControl/>
              <w:spacing w:line="276" w:lineRule="auto"/>
              <w:rPr>
                <w:rFonts w:ascii="宋体" w:hAnsi="宋体" w:cs="宋体"/>
                <w:bCs/>
                <w:szCs w:val="21"/>
              </w:rPr>
            </w:pPr>
            <w:r>
              <w:rPr>
                <w:rFonts w:hint="eastAsia" w:ascii="宋体" w:hAnsi="宋体" w:cs="宋体"/>
                <w:bCs/>
                <w:szCs w:val="21"/>
              </w:rPr>
              <w:t>1、售后服务计划完整、可行，4分，否则酌情扣分。</w:t>
            </w:r>
          </w:p>
          <w:p>
            <w:pPr>
              <w:widowControl/>
              <w:spacing w:line="276" w:lineRule="auto"/>
              <w:rPr>
                <w:rFonts w:ascii="宋体" w:hAnsi="宋体" w:cs="宋体"/>
                <w:bCs/>
                <w:szCs w:val="21"/>
              </w:rPr>
            </w:pPr>
            <w:r>
              <w:rPr>
                <w:rFonts w:hint="eastAsia" w:ascii="宋体" w:hAnsi="宋体" w:cs="宋体"/>
                <w:bCs/>
                <w:szCs w:val="21"/>
              </w:rPr>
              <w:t>2、响应时间、解决问题时间，4分，否则酌情扣分。</w:t>
            </w:r>
          </w:p>
          <w:p>
            <w:pPr>
              <w:widowControl/>
              <w:spacing w:line="276" w:lineRule="auto"/>
              <w:rPr>
                <w:rFonts w:ascii="宋体" w:hAnsi="宋体" w:cs="宋体"/>
                <w:bCs/>
                <w:szCs w:val="21"/>
              </w:rPr>
            </w:pPr>
            <w:r>
              <w:rPr>
                <w:rFonts w:hint="eastAsia" w:ascii="宋体" w:hAnsi="宋体" w:cs="宋体"/>
                <w:bCs/>
                <w:szCs w:val="21"/>
              </w:rPr>
              <w:t>3、提供本地化服务的得4分。（需提供营业场所证明）</w:t>
            </w:r>
          </w:p>
          <w:p>
            <w:pPr>
              <w:widowControl/>
              <w:spacing w:line="276" w:lineRule="auto"/>
              <w:rPr>
                <w:rFonts w:ascii="宋体" w:hAnsi="宋体" w:cs="宋体"/>
                <w:bCs/>
                <w:szCs w:val="21"/>
              </w:rPr>
            </w:pPr>
            <w:r>
              <w:rPr>
                <w:rFonts w:hint="eastAsia" w:ascii="宋体" w:hAnsi="宋体" w:cs="宋体"/>
                <w:bCs/>
                <w:szCs w:val="21"/>
                <w:lang w:val="en-US" w:eastAsia="zh-CN"/>
              </w:rPr>
              <w:t>4</w:t>
            </w:r>
            <w:bookmarkStart w:id="381" w:name="_GoBack"/>
            <w:bookmarkEnd w:id="381"/>
            <w:r>
              <w:rPr>
                <w:rFonts w:hint="eastAsia" w:ascii="宋体" w:hAnsi="宋体" w:cs="宋体"/>
                <w:bCs/>
                <w:szCs w:val="21"/>
              </w:rPr>
              <w:t>、免费保修时间及方案，3分，否则酌情扣分。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1743" w:type="dxa"/>
            <w:vAlign w:val="center"/>
          </w:tcPr>
          <w:p>
            <w:pPr>
              <w:widowControl/>
              <w:spacing w:line="380" w:lineRule="exact"/>
              <w:jc w:val="center"/>
              <w:rPr>
                <w:rFonts w:ascii="宋体" w:hAnsi="宋体" w:cs="宋体"/>
                <w:kern w:val="0"/>
                <w:szCs w:val="21"/>
              </w:rPr>
            </w:pPr>
            <w:r>
              <w:rPr>
                <w:rFonts w:hint="eastAsia" w:ascii="宋体" w:hAnsi="宋体" w:cs="宋体"/>
                <w:kern w:val="0"/>
                <w:szCs w:val="21"/>
              </w:rPr>
              <w:t>投标文件规范</w:t>
            </w:r>
          </w:p>
          <w:p>
            <w:pPr>
              <w:widowControl/>
              <w:spacing w:line="380" w:lineRule="exact"/>
              <w:jc w:val="center"/>
              <w:rPr>
                <w:rFonts w:ascii="宋体" w:hAnsi="宋体" w:cs="宋体"/>
                <w:kern w:val="0"/>
                <w:szCs w:val="21"/>
              </w:rPr>
            </w:pPr>
            <w:r>
              <w:rPr>
                <w:rFonts w:hint="eastAsia" w:ascii="宋体" w:hAnsi="宋体" w:cs="宋体"/>
                <w:kern w:val="0"/>
                <w:szCs w:val="21"/>
              </w:rPr>
              <w:t>程度（3分）</w:t>
            </w:r>
          </w:p>
        </w:tc>
        <w:tc>
          <w:tcPr>
            <w:tcW w:w="8213" w:type="dxa"/>
          </w:tcPr>
          <w:p>
            <w:pPr>
              <w:widowControl/>
              <w:spacing w:line="380" w:lineRule="exact"/>
              <w:rPr>
                <w:rFonts w:ascii="宋体" w:hAnsi="宋体" w:cs="宋体"/>
                <w:bCs/>
                <w:szCs w:val="21"/>
              </w:rPr>
            </w:pPr>
            <w:r>
              <w:rPr>
                <w:rFonts w:hint="eastAsia" w:ascii="宋体" w:hAnsi="宋体" w:cs="宋体"/>
                <w:bCs/>
                <w:szCs w:val="21"/>
              </w:rPr>
              <w:t>装订规范、文字清晰、无差错、所提供资料准确完整的，3分。</w:t>
            </w:r>
          </w:p>
          <w:p>
            <w:pPr>
              <w:widowControl/>
              <w:spacing w:line="380" w:lineRule="exact"/>
              <w:rPr>
                <w:rFonts w:ascii="宋体" w:hAnsi="宋体" w:cs="宋体"/>
                <w:bCs/>
                <w:szCs w:val="21"/>
              </w:rPr>
            </w:pPr>
            <w:r>
              <w:rPr>
                <w:rFonts w:hint="eastAsia" w:ascii="宋体" w:hAnsi="宋体" w:cs="宋体"/>
                <w:bCs/>
                <w:szCs w:val="21"/>
              </w:rPr>
              <w:t>投标文件编制无目录和页码，排序混乱和缺篇少页的不得分。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5" w:hRule="atLeast"/>
          <w:jc w:val="center"/>
        </w:trPr>
        <w:tc>
          <w:tcPr>
            <w:tcW w:w="1743" w:type="dxa"/>
            <w:vAlign w:val="center"/>
          </w:tcPr>
          <w:p>
            <w:pPr>
              <w:pStyle w:val="40"/>
              <w:spacing w:line="500" w:lineRule="exact"/>
              <w:ind w:firstLine="0" w:firstLineChars="0"/>
              <w:jc w:val="center"/>
              <w:rPr>
                <w:rFonts w:ascii="宋体" w:hAnsi="宋体" w:cs="宋体"/>
                <w:color w:val="auto"/>
                <w:kern w:val="0"/>
              </w:rPr>
            </w:pPr>
            <w:r>
              <w:rPr>
                <w:rFonts w:hint="eastAsia" w:ascii="宋体" w:hAnsi="宋体" w:cs="宋体"/>
                <w:color w:val="auto"/>
                <w:kern w:val="0"/>
              </w:rPr>
              <w:t>对招标文件的响应程度</w:t>
            </w:r>
          </w:p>
          <w:p>
            <w:pPr>
              <w:pStyle w:val="40"/>
              <w:spacing w:line="500" w:lineRule="exact"/>
              <w:ind w:firstLine="0" w:firstLineChars="0"/>
              <w:jc w:val="center"/>
              <w:rPr>
                <w:rFonts w:ascii="宋体" w:hAnsi="宋体" w:cs="宋体"/>
                <w:color w:val="auto"/>
                <w:kern w:val="0"/>
              </w:rPr>
            </w:pPr>
            <w:r>
              <w:rPr>
                <w:rFonts w:hint="eastAsia" w:ascii="宋体" w:hAnsi="宋体" w:cs="宋体"/>
                <w:color w:val="auto"/>
                <w:kern w:val="0"/>
              </w:rPr>
              <w:t>（20分）</w:t>
            </w:r>
          </w:p>
        </w:tc>
        <w:tc>
          <w:tcPr>
            <w:tcW w:w="8213" w:type="dxa"/>
            <w:vAlign w:val="center"/>
          </w:tcPr>
          <w:p>
            <w:pPr>
              <w:widowControl/>
              <w:spacing w:line="380" w:lineRule="exact"/>
              <w:rPr>
                <w:rFonts w:ascii="宋体" w:hAnsi="宋体" w:cs="宋体"/>
                <w:bCs/>
                <w:szCs w:val="21"/>
              </w:rPr>
            </w:pPr>
            <w:r>
              <w:rPr>
                <w:rFonts w:hint="eastAsia" w:ascii="宋体" w:hAnsi="宋体" w:cs="宋体"/>
                <w:bCs/>
                <w:szCs w:val="21"/>
              </w:rPr>
              <w:t>1、不满足招标文件采购需求和技术指标有负偏离者,为无效投标。</w:t>
            </w:r>
          </w:p>
          <w:p>
            <w:pPr>
              <w:widowControl/>
              <w:spacing w:line="380" w:lineRule="exact"/>
              <w:rPr>
                <w:rFonts w:ascii="宋体" w:hAnsi="宋体" w:cs="宋体"/>
                <w:bCs/>
                <w:szCs w:val="21"/>
              </w:rPr>
            </w:pPr>
            <w:r>
              <w:rPr>
                <w:rFonts w:hint="eastAsia" w:ascii="宋体" w:hAnsi="宋体" w:cs="宋体"/>
                <w:bCs/>
                <w:szCs w:val="21"/>
              </w:rPr>
              <w:t>2、投标人所投产品的技术性能等综合评价进行打分，</w:t>
            </w:r>
            <w:bookmarkStart w:id="7" w:name="OLE_LINK1"/>
            <w:r>
              <w:rPr>
                <w:rFonts w:hint="eastAsia" w:ascii="宋体" w:hAnsi="宋体" w:cs="宋体"/>
                <w:bCs/>
                <w:szCs w:val="21"/>
              </w:rPr>
              <w:t>优：10分；良：7分；一般：4分；差：2分。</w:t>
            </w:r>
          </w:p>
          <w:bookmarkEnd w:id="7"/>
          <w:p>
            <w:pPr>
              <w:widowControl/>
              <w:spacing w:line="380" w:lineRule="exact"/>
              <w:rPr>
                <w:rFonts w:ascii="宋体" w:hAnsi="宋体" w:cs="宋体"/>
                <w:bCs/>
                <w:szCs w:val="21"/>
              </w:rPr>
            </w:pPr>
            <w:r>
              <w:rPr>
                <w:rFonts w:hint="eastAsia" w:ascii="宋体" w:hAnsi="宋体" w:cs="宋体"/>
                <w:bCs/>
                <w:szCs w:val="21"/>
              </w:rPr>
              <w:t>3、投标人所做技术方案的先进性、合理性、组织实施措施是否完善等方面进行综合评审，优：10分；良：7分；一般：4分；差：2分。</w:t>
            </w:r>
          </w:p>
        </w:tc>
      </w:tr>
    </w:tbl>
    <w:p>
      <w:pPr>
        <w:pStyle w:val="33"/>
        <w:snapToGrid/>
        <w:ind w:firstLine="0" w:firstLineChars="0"/>
        <w:jc w:val="left"/>
        <w:rPr>
          <w:rFonts w:ascii="宋体" w:hAnsi="宋体"/>
          <w:b/>
          <w:color w:val="auto"/>
        </w:rPr>
      </w:pPr>
      <w:r>
        <w:rPr>
          <w:rFonts w:hint="eastAsia" w:ascii="宋体" w:hAnsi="宋体"/>
          <w:b/>
          <w:color w:val="auto"/>
        </w:rPr>
        <w:t xml:space="preserve">    全体评标委员会成员对供应商评分的算术平均值即为该供应商最终评标得分，评分和计算结果均保留小数点后2位（采用四舍五入法）。</w:t>
      </w:r>
    </w:p>
    <w:p>
      <w:pPr>
        <w:numPr>
          <w:ilvl w:val="0"/>
          <w:numId w:val="9"/>
        </w:numPr>
        <w:spacing w:line="360" w:lineRule="auto"/>
        <w:ind w:firstLine="422" w:firstLineChars="200"/>
        <w:outlineLvl w:val="0"/>
        <w:rPr>
          <w:rFonts w:ascii="Arial" w:hAnsi="宋体" w:cs="Arial"/>
          <w:b/>
          <w:szCs w:val="21"/>
        </w:rPr>
      </w:pPr>
      <w:r>
        <w:rPr>
          <w:rFonts w:hint="eastAsia" w:ascii="Arial" w:hAnsi="宋体" w:cs="Arial"/>
          <w:b/>
          <w:szCs w:val="21"/>
        </w:rPr>
        <w:t>特别说明</w:t>
      </w:r>
    </w:p>
    <w:p>
      <w:pPr>
        <w:numPr>
          <w:ilvl w:val="0"/>
          <w:numId w:val="10"/>
        </w:numPr>
        <w:spacing w:line="360" w:lineRule="auto"/>
        <w:ind w:firstLine="422" w:firstLineChars="200"/>
        <w:rPr>
          <w:rFonts w:ascii="宋体" w:hAnsi="宋体" w:cs="Arial"/>
          <w:b/>
          <w:szCs w:val="21"/>
        </w:rPr>
      </w:pPr>
      <w:r>
        <w:rPr>
          <w:rFonts w:hint="eastAsia" w:ascii="宋体" w:hAnsi="宋体" w:cs="Arial"/>
          <w:b/>
          <w:szCs w:val="21"/>
        </w:rPr>
        <w:t>资格性审查材料除须在投标文件中提供复印件外，还须提供该证明文件原件查验，否则为无效投标。</w:t>
      </w:r>
    </w:p>
    <w:p>
      <w:pPr>
        <w:numPr>
          <w:ilvl w:val="0"/>
          <w:numId w:val="10"/>
        </w:numPr>
        <w:spacing w:line="360" w:lineRule="auto"/>
        <w:ind w:firstLine="422" w:firstLineChars="200"/>
        <w:rPr>
          <w:rFonts w:ascii="宋体" w:hAnsi="宋体" w:cs="Arial"/>
          <w:b/>
          <w:szCs w:val="21"/>
        </w:rPr>
      </w:pPr>
      <w:r>
        <w:rPr>
          <w:rFonts w:hint="eastAsia" w:ascii="宋体" w:hAnsi="宋体" w:cs="Arial"/>
          <w:b/>
          <w:szCs w:val="21"/>
        </w:rPr>
        <w:t>本评分标准中所要求提供的各种证明材料，投标文件中须提供复印件，且在评标时按要求提供与复印件一致的原件，否则不得分。</w:t>
      </w:r>
    </w:p>
    <w:p>
      <w:pPr>
        <w:spacing w:line="360" w:lineRule="auto"/>
        <w:ind w:firstLine="420" w:firstLineChars="200"/>
        <w:rPr>
          <w:rFonts w:ascii="宋体" w:hAnsi="宋体" w:cs="Arial"/>
          <w:szCs w:val="21"/>
        </w:rPr>
      </w:pPr>
      <w:r>
        <w:rPr>
          <w:rFonts w:hint="eastAsia" w:ascii="宋体" w:hAnsi="宋体" w:cs="Arial"/>
          <w:szCs w:val="21"/>
        </w:rPr>
        <w:t>3．上述原件需单独包装，外贴“供应商证明文件原件明细表”【详见附件】。上述原件属于投标文件的组成部分，在投标时应随投标文件同时递交，经评标委员会查验投标文件中的复印件与供应商所提供的原件一致无误后即刻退还给供应商。</w:t>
      </w:r>
    </w:p>
    <w:p>
      <w:pPr>
        <w:spacing w:line="360" w:lineRule="auto"/>
        <w:ind w:firstLine="420" w:firstLineChars="200"/>
        <w:rPr>
          <w:rFonts w:ascii="宋体" w:hAnsi="宋体" w:cs="Arial"/>
          <w:szCs w:val="21"/>
        </w:rPr>
      </w:pPr>
      <w:r>
        <w:rPr>
          <w:rFonts w:hint="eastAsia" w:ascii="宋体" w:hAnsi="宋体" w:cs="Arial"/>
          <w:szCs w:val="21"/>
        </w:rPr>
        <w:t>4.如果有其他特殊情况，将由评标委员会现场研究决定。</w:t>
      </w:r>
    </w:p>
    <w:p>
      <w:pPr>
        <w:spacing w:line="360" w:lineRule="auto"/>
        <w:ind w:firstLine="420" w:firstLineChars="200"/>
        <w:outlineLvl w:val="0"/>
        <w:rPr>
          <w:rFonts w:ascii="宋体" w:hAnsi="宋体" w:cs="Arial"/>
          <w:szCs w:val="21"/>
        </w:rPr>
      </w:pPr>
      <w:r>
        <w:rPr>
          <w:rFonts w:hint="eastAsia" w:ascii="宋体" w:hAnsi="宋体" w:cs="Arial"/>
          <w:szCs w:val="21"/>
        </w:rPr>
        <w:t>5.投标文件有下列情形之一的，按照无效投标处理</w:t>
      </w:r>
    </w:p>
    <w:p>
      <w:pPr>
        <w:spacing w:line="360" w:lineRule="auto"/>
        <w:ind w:firstLine="420" w:firstLineChars="200"/>
        <w:rPr>
          <w:rFonts w:ascii="宋体" w:hAnsi="宋体" w:cs="Arial"/>
          <w:szCs w:val="21"/>
        </w:rPr>
      </w:pPr>
      <w:r>
        <w:rPr>
          <w:rFonts w:hint="eastAsia" w:ascii="宋体" w:hAnsi="宋体" w:cs="Arial"/>
          <w:szCs w:val="21"/>
        </w:rPr>
        <w:t>（1）未提供招标文件本部分所要求的“资格性审查材料”和 “符合性审查材料”的；</w:t>
      </w:r>
    </w:p>
    <w:p>
      <w:pPr>
        <w:spacing w:line="360" w:lineRule="auto"/>
        <w:ind w:firstLine="420" w:firstLineChars="200"/>
        <w:outlineLvl w:val="0"/>
        <w:rPr>
          <w:rFonts w:ascii="宋体" w:hAnsi="宋体" w:cs="Arial"/>
          <w:szCs w:val="21"/>
        </w:rPr>
      </w:pPr>
      <w:r>
        <w:rPr>
          <w:rFonts w:hint="eastAsia" w:ascii="宋体" w:hAnsi="宋体" w:cs="Arial"/>
          <w:szCs w:val="21"/>
        </w:rPr>
        <w:t>（2）未响应招标文件规定质保期及售后服务的；</w:t>
      </w:r>
    </w:p>
    <w:p>
      <w:pPr>
        <w:spacing w:line="360" w:lineRule="auto"/>
        <w:ind w:firstLine="420" w:firstLineChars="200"/>
        <w:rPr>
          <w:rFonts w:ascii="宋体" w:hAnsi="宋体" w:cs="Arial"/>
          <w:szCs w:val="21"/>
        </w:rPr>
      </w:pPr>
      <w:r>
        <w:rPr>
          <w:rFonts w:hint="eastAsia" w:ascii="宋体" w:hAnsi="宋体" w:cs="Arial"/>
          <w:szCs w:val="21"/>
        </w:rPr>
        <w:t>（3）供应商的法定代表人（代表人）或其授权委托人未参加开标会议或未在开标签到表上签字确认的；</w:t>
      </w:r>
    </w:p>
    <w:p>
      <w:pPr>
        <w:spacing w:line="360" w:lineRule="auto"/>
        <w:ind w:firstLine="420" w:firstLineChars="200"/>
        <w:rPr>
          <w:rFonts w:ascii="宋体" w:hAnsi="宋体" w:cs="Arial"/>
          <w:szCs w:val="21"/>
        </w:rPr>
      </w:pPr>
      <w:r>
        <w:rPr>
          <w:rFonts w:hint="eastAsia" w:ascii="宋体" w:hAnsi="宋体" w:cs="Arial"/>
          <w:szCs w:val="21"/>
        </w:rPr>
        <w:t>（4）未按招标文件规定提供原件和复印件的；</w:t>
      </w:r>
    </w:p>
    <w:p>
      <w:pPr>
        <w:spacing w:line="360" w:lineRule="auto"/>
        <w:ind w:firstLine="420" w:firstLineChars="200"/>
        <w:rPr>
          <w:rFonts w:ascii="宋体" w:hAnsi="宋体" w:cs="Arial"/>
          <w:szCs w:val="21"/>
        </w:rPr>
      </w:pPr>
      <w:r>
        <w:rPr>
          <w:rFonts w:hint="eastAsia" w:ascii="宋体" w:hAnsi="宋体" w:cs="Arial"/>
          <w:szCs w:val="21"/>
        </w:rPr>
        <w:t>（5）投标文件附有不能接受的条件的；</w:t>
      </w:r>
    </w:p>
    <w:p>
      <w:pPr>
        <w:spacing w:line="360" w:lineRule="auto"/>
        <w:ind w:firstLine="420" w:firstLineChars="200"/>
        <w:rPr>
          <w:rFonts w:ascii="宋体" w:hAnsi="宋体" w:cs="Arial"/>
          <w:szCs w:val="21"/>
        </w:rPr>
      </w:pPr>
      <w:r>
        <w:rPr>
          <w:rFonts w:hint="eastAsia" w:ascii="宋体" w:hAnsi="宋体" w:cs="Arial"/>
          <w:szCs w:val="21"/>
        </w:rPr>
        <w:t>（6）没有就该项目完整投标的；</w:t>
      </w:r>
    </w:p>
    <w:p>
      <w:pPr>
        <w:spacing w:line="360" w:lineRule="auto"/>
        <w:ind w:firstLine="420" w:firstLineChars="200"/>
        <w:rPr>
          <w:rFonts w:ascii="宋体" w:hAnsi="宋体" w:cs="Arial"/>
          <w:szCs w:val="21"/>
        </w:rPr>
      </w:pPr>
      <w:r>
        <w:rPr>
          <w:rFonts w:hint="eastAsia" w:ascii="宋体" w:hAnsi="宋体" w:cs="Arial"/>
          <w:szCs w:val="21"/>
        </w:rPr>
        <w:t>（7）不符合法律、法规和招标文件规定的其他实质性要求的；</w:t>
      </w:r>
    </w:p>
    <w:p>
      <w:pPr>
        <w:spacing w:line="360" w:lineRule="auto"/>
        <w:ind w:firstLine="420" w:firstLineChars="200"/>
        <w:rPr>
          <w:rFonts w:ascii="宋体" w:hAnsi="宋体" w:cs="Arial"/>
          <w:szCs w:val="21"/>
        </w:rPr>
      </w:pPr>
      <w:r>
        <w:rPr>
          <w:rFonts w:hint="eastAsia" w:ascii="宋体" w:hAnsi="宋体" w:cs="Arial"/>
          <w:szCs w:val="21"/>
        </w:rPr>
        <w:t>（8）出现影响采购公正的违法、违规行为的。</w:t>
      </w:r>
    </w:p>
    <w:p>
      <w:pPr>
        <w:spacing w:line="360" w:lineRule="auto"/>
        <w:ind w:firstLine="422" w:firstLineChars="200"/>
        <w:rPr>
          <w:rFonts w:ascii="宋体" w:hAnsi="宋体" w:cs="宋体"/>
          <w:b/>
          <w:kern w:val="0"/>
          <w:szCs w:val="21"/>
        </w:rPr>
      </w:pPr>
      <w:r>
        <w:rPr>
          <w:rFonts w:hint="eastAsia" w:ascii="宋体" w:hAnsi="宋体" w:cs="Arial"/>
          <w:b/>
          <w:szCs w:val="21"/>
        </w:rPr>
        <w:t>6、</w:t>
      </w:r>
      <w:r>
        <w:rPr>
          <w:rFonts w:hint="eastAsia" w:ascii="宋体" w:hAnsi="宋体" w:cs="宋体"/>
          <w:b/>
          <w:kern w:val="0"/>
          <w:szCs w:val="21"/>
        </w:rPr>
        <w:t>根据《财政部司法部关于政府采购支持监狱企业发展有关问题的通知》（财库【2014】68号）以及《</w:t>
      </w:r>
      <w:r>
        <w:rPr>
          <w:rFonts w:ascii="宋体" w:hAnsi="宋体" w:cs="宋体"/>
          <w:b/>
          <w:kern w:val="0"/>
          <w:szCs w:val="21"/>
        </w:rPr>
        <w:t>政府</w:t>
      </w:r>
      <w:r>
        <w:rPr>
          <w:rFonts w:hint="eastAsia" w:ascii="宋体" w:hAnsi="宋体" w:cs="宋体"/>
          <w:b/>
          <w:kern w:val="0"/>
          <w:szCs w:val="21"/>
        </w:rPr>
        <w:t>采购</w:t>
      </w:r>
      <w:r>
        <w:rPr>
          <w:rFonts w:ascii="宋体" w:hAnsi="宋体" w:cs="宋体"/>
          <w:b/>
          <w:kern w:val="0"/>
          <w:szCs w:val="21"/>
        </w:rPr>
        <w:t>促进中小企业发展暂行办法</w:t>
      </w:r>
      <w:r>
        <w:rPr>
          <w:rFonts w:hint="eastAsia" w:ascii="宋体" w:hAnsi="宋体" w:cs="宋体"/>
          <w:b/>
          <w:kern w:val="0"/>
          <w:szCs w:val="21"/>
        </w:rPr>
        <w:t>》（财库【2011】181号）第</w:t>
      </w:r>
      <w:r>
        <w:rPr>
          <w:rFonts w:ascii="宋体" w:hAnsi="宋体" w:cs="宋体"/>
          <w:b/>
          <w:kern w:val="0"/>
          <w:szCs w:val="21"/>
        </w:rPr>
        <w:t>五</w:t>
      </w:r>
      <w:r>
        <w:rPr>
          <w:rFonts w:hint="eastAsia" w:ascii="宋体" w:hAnsi="宋体" w:cs="宋体"/>
          <w:b/>
          <w:kern w:val="0"/>
          <w:szCs w:val="21"/>
        </w:rPr>
        <w:t>条</w:t>
      </w:r>
      <w:r>
        <w:rPr>
          <w:rFonts w:ascii="宋体" w:hAnsi="宋体" w:cs="宋体"/>
          <w:b/>
          <w:kern w:val="0"/>
          <w:szCs w:val="21"/>
        </w:rPr>
        <w:t>规定</w:t>
      </w:r>
      <w:r>
        <w:rPr>
          <w:rFonts w:hint="eastAsia" w:ascii="宋体" w:hAnsi="宋体" w:cs="宋体"/>
          <w:b/>
          <w:kern w:val="0"/>
          <w:szCs w:val="21"/>
        </w:rPr>
        <w:t>，对</w:t>
      </w:r>
      <w:r>
        <w:rPr>
          <w:rFonts w:ascii="宋体" w:hAnsi="宋体" w:cs="宋体"/>
          <w:b/>
          <w:kern w:val="0"/>
          <w:szCs w:val="21"/>
        </w:rPr>
        <w:t>小型</w:t>
      </w:r>
      <w:r>
        <w:rPr>
          <w:rFonts w:hint="eastAsia" w:ascii="宋体" w:hAnsi="宋体" w:cs="宋体"/>
          <w:b/>
          <w:kern w:val="0"/>
          <w:szCs w:val="21"/>
        </w:rPr>
        <w:t>、</w:t>
      </w:r>
      <w:r>
        <w:rPr>
          <w:rFonts w:ascii="宋体" w:hAnsi="宋体" w:cs="宋体"/>
          <w:b/>
          <w:kern w:val="0"/>
          <w:szCs w:val="21"/>
        </w:rPr>
        <w:t>微型企业</w:t>
      </w:r>
      <w:r>
        <w:rPr>
          <w:rFonts w:hint="eastAsia" w:ascii="宋体" w:hAnsi="宋体" w:cs="宋体"/>
          <w:b/>
          <w:kern w:val="0"/>
          <w:szCs w:val="21"/>
        </w:rPr>
        <w:t>和监狱企业</w:t>
      </w:r>
      <w:r>
        <w:rPr>
          <w:rFonts w:ascii="宋体" w:hAnsi="宋体" w:cs="宋体"/>
          <w:b/>
          <w:kern w:val="0"/>
          <w:szCs w:val="21"/>
        </w:rPr>
        <w:t>产品</w:t>
      </w:r>
      <w:r>
        <w:rPr>
          <w:rFonts w:hint="eastAsia" w:ascii="宋体" w:hAnsi="宋体" w:cs="宋体"/>
          <w:b/>
          <w:kern w:val="0"/>
          <w:szCs w:val="21"/>
        </w:rPr>
        <w:t>的</w:t>
      </w:r>
      <w:r>
        <w:rPr>
          <w:rFonts w:ascii="宋体" w:hAnsi="宋体" w:cs="宋体"/>
          <w:b/>
          <w:kern w:val="0"/>
          <w:szCs w:val="21"/>
        </w:rPr>
        <w:t>价格给予</w:t>
      </w:r>
      <w:r>
        <w:rPr>
          <w:rFonts w:hint="eastAsia" w:ascii="宋体" w:hAnsi="宋体" w:cs="宋体"/>
          <w:b/>
          <w:kern w:val="0"/>
          <w:szCs w:val="21"/>
        </w:rPr>
        <w:t>6%的扣除，用扣除后的价格参与评审。投标人符合中小型企业的，须在投标文件中提供《中小企业声明函》，以及所投产品是小型微型企业产品的证明材料（对中小企业的认定由企业所在地的县级及以上中小企业主管部门负责）。投标人符合监狱企业条件的，应当提供由省级及以上监狱管理局、戒毒管理局（含新疆生产建设兵团）出具的属于监狱企业的证明文件。</w:t>
      </w:r>
    </w:p>
    <w:p>
      <w:pPr>
        <w:spacing w:line="360" w:lineRule="auto"/>
        <w:ind w:firstLine="422" w:firstLineChars="200"/>
        <w:rPr>
          <w:rFonts w:ascii="宋体" w:hAnsi="宋体" w:cs="宋体"/>
          <w:b/>
          <w:kern w:val="0"/>
          <w:szCs w:val="21"/>
        </w:rPr>
      </w:pPr>
      <w:r>
        <w:rPr>
          <w:rFonts w:hint="eastAsia" w:ascii="宋体" w:hAnsi="宋体" w:cs="宋体"/>
          <w:b/>
          <w:kern w:val="0"/>
          <w:szCs w:val="21"/>
        </w:rPr>
        <w:t>7、</w:t>
      </w:r>
      <w:r>
        <w:rPr>
          <w:rFonts w:ascii="宋体" w:hAnsi="宋体" w:cs="宋体"/>
          <w:b/>
          <w:kern w:val="0"/>
          <w:szCs w:val="21"/>
        </w:rPr>
        <w:t>根据《节能产品政府采购实施意见》财库字[2004]185号</w:t>
      </w:r>
      <w:r>
        <w:rPr>
          <w:rFonts w:hint="eastAsia" w:ascii="宋体" w:hAnsi="宋体" w:cs="宋体"/>
          <w:b/>
          <w:kern w:val="0"/>
          <w:szCs w:val="21"/>
        </w:rPr>
        <w:t>和《关于环境标志产品政府采购实施的意见》（财库[2006]90号）的规定，政府采购属于节能清单和环境标志清单中的产品时，在技术、服务等指标同等的条件下，应当优先采购节能清单和环境标志清单所列的节能和环境标志产品（投标人须在投标文件中提供所投产品属于节能清单和环境标志清单的证明材料）。</w:t>
      </w:r>
    </w:p>
    <w:p>
      <w:pPr>
        <w:spacing w:line="360" w:lineRule="auto"/>
        <w:ind w:firstLine="413" w:firstLineChars="196"/>
        <w:rPr>
          <w:rFonts w:ascii="宋体" w:hAnsi="宋体" w:cs="宋体"/>
          <w:b/>
          <w:kern w:val="0"/>
          <w:szCs w:val="21"/>
          <w:lang w:val="zh-CN"/>
        </w:rPr>
      </w:pPr>
      <w:r>
        <w:rPr>
          <w:rFonts w:hint="eastAsia" w:ascii="宋体" w:hAnsi="宋体" w:cs="宋体"/>
          <w:b/>
          <w:kern w:val="0"/>
          <w:szCs w:val="21"/>
        </w:rPr>
        <w:t>8、</w:t>
      </w:r>
      <w:r>
        <w:rPr>
          <w:rFonts w:hint="eastAsia" w:ascii="宋体" w:hAnsi="宋体" w:cs="宋体"/>
          <w:b/>
          <w:kern w:val="0"/>
          <w:szCs w:val="21"/>
          <w:lang w:val="zh-CN"/>
        </w:rPr>
        <w:t>供应商信用记录查询渠道</w:t>
      </w:r>
      <w:r>
        <w:rPr>
          <w:rFonts w:hint="eastAsia" w:ascii="宋体" w:hAnsi="宋体" w:cs="宋体"/>
          <w:b/>
          <w:kern w:val="0"/>
          <w:szCs w:val="21"/>
        </w:rPr>
        <w:t>：</w:t>
      </w:r>
      <w:r>
        <w:rPr>
          <w:rFonts w:hint="eastAsia" w:ascii="宋体" w:hAnsi="宋体" w:cs="宋体"/>
          <w:b/>
          <w:kern w:val="0"/>
          <w:szCs w:val="21"/>
          <w:lang w:val="zh-CN"/>
        </w:rPr>
        <w:t>通过</w:t>
      </w:r>
      <w:r>
        <w:rPr>
          <w:rFonts w:hint="eastAsia" w:ascii="宋体" w:hAnsi="宋体" w:cs="宋体"/>
          <w:b/>
          <w:kern w:val="0"/>
          <w:szCs w:val="21"/>
        </w:rPr>
        <w:t>“</w:t>
      </w:r>
      <w:r>
        <w:rPr>
          <w:rFonts w:hint="eastAsia" w:ascii="宋体" w:hAnsi="宋体" w:cs="宋体"/>
          <w:b/>
          <w:kern w:val="0"/>
          <w:szCs w:val="21"/>
          <w:lang w:val="zh-CN"/>
        </w:rPr>
        <w:t>信用中国</w:t>
      </w:r>
      <w:r>
        <w:rPr>
          <w:rFonts w:hint="eastAsia" w:ascii="宋体" w:hAnsi="宋体" w:cs="宋体"/>
          <w:b/>
          <w:kern w:val="0"/>
          <w:szCs w:val="21"/>
        </w:rPr>
        <w:t>”</w:t>
      </w:r>
      <w:r>
        <w:rPr>
          <w:rFonts w:hint="eastAsia" w:ascii="宋体" w:hAnsi="宋体" w:cs="宋体"/>
          <w:b/>
          <w:kern w:val="0"/>
          <w:szCs w:val="21"/>
          <w:lang w:val="zh-CN"/>
        </w:rPr>
        <w:t>网站</w:t>
      </w:r>
      <w:r>
        <w:rPr>
          <w:rFonts w:hint="eastAsia" w:ascii="宋体" w:hAnsi="宋体" w:cs="宋体"/>
          <w:b/>
          <w:kern w:val="0"/>
          <w:szCs w:val="21"/>
        </w:rPr>
        <w:t>（www.creditchina.gov.cn）</w:t>
      </w:r>
      <w:r>
        <w:rPr>
          <w:rFonts w:hint="eastAsia" w:ascii="宋体" w:hAnsi="宋体" w:cs="宋体"/>
          <w:b/>
          <w:kern w:val="0"/>
          <w:szCs w:val="21"/>
          <w:lang w:val="zh-CN"/>
        </w:rPr>
        <w:t>、中国政府采购网</w:t>
      </w:r>
      <w:r>
        <w:rPr>
          <w:rFonts w:hint="eastAsia" w:ascii="宋体" w:hAnsi="宋体" w:cs="宋体"/>
          <w:b/>
          <w:kern w:val="0"/>
          <w:szCs w:val="21"/>
        </w:rPr>
        <w:t>（www.ccgp.gov.cn）</w:t>
      </w:r>
      <w:r>
        <w:rPr>
          <w:rFonts w:hint="eastAsia" w:ascii="宋体" w:hAnsi="宋体" w:cs="宋体"/>
          <w:b/>
          <w:kern w:val="0"/>
          <w:szCs w:val="21"/>
          <w:lang w:val="zh-CN"/>
        </w:rPr>
        <w:t>等渠道查询相关主体信用记录</w:t>
      </w:r>
      <w:r>
        <w:rPr>
          <w:rFonts w:hint="eastAsia" w:ascii="宋体" w:hAnsi="宋体" w:cs="宋体"/>
          <w:b/>
          <w:kern w:val="0"/>
          <w:szCs w:val="21"/>
        </w:rPr>
        <w:t>，</w:t>
      </w:r>
      <w:r>
        <w:rPr>
          <w:rFonts w:hint="eastAsia" w:ascii="宋体" w:hAnsi="宋体" w:cs="宋体"/>
          <w:b/>
          <w:kern w:val="0"/>
          <w:szCs w:val="21"/>
          <w:lang w:val="zh-CN"/>
        </w:rPr>
        <w:t>相关主体信用信息</w:t>
      </w:r>
      <w:r>
        <w:rPr>
          <w:rFonts w:hint="eastAsia" w:ascii="宋体" w:hAnsi="宋体" w:cs="宋体"/>
          <w:b/>
          <w:kern w:val="0"/>
          <w:szCs w:val="21"/>
        </w:rPr>
        <w:t>，</w:t>
      </w:r>
      <w:r>
        <w:rPr>
          <w:rFonts w:hint="eastAsia" w:ascii="宋体" w:hAnsi="宋体" w:cs="宋体"/>
          <w:b/>
          <w:kern w:val="0"/>
          <w:szCs w:val="21"/>
          <w:lang w:val="zh-CN"/>
        </w:rPr>
        <w:t>不得用于政府采购以外事项。信用信息查询记录和证据以网页版截图为准，投标文件中须附复印件，评标时由评审小组现场核实，如存在弄虚作假行为，为无效投标。</w:t>
      </w:r>
    </w:p>
    <w:p>
      <w:pPr>
        <w:autoSpaceDE w:val="0"/>
        <w:autoSpaceDN w:val="0"/>
        <w:adjustRightInd w:val="0"/>
        <w:spacing w:line="600" w:lineRule="exact"/>
        <w:jc w:val="center"/>
        <w:rPr>
          <w:rFonts w:ascii="宋体" w:hAnsi="宋体"/>
          <w:b/>
          <w:bCs/>
          <w:sz w:val="36"/>
          <w:szCs w:val="36"/>
          <w:lang w:val="zh-CN"/>
        </w:rPr>
      </w:pPr>
    </w:p>
    <w:p>
      <w:pPr>
        <w:autoSpaceDE w:val="0"/>
        <w:autoSpaceDN w:val="0"/>
        <w:adjustRightInd w:val="0"/>
        <w:spacing w:line="600" w:lineRule="exact"/>
        <w:jc w:val="center"/>
        <w:rPr>
          <w:rFonts w:ascii="宋体" w:hAnsi="宋体"/>
          <w:b/>
          <w:bCs/>
          <w:sz w:val="36"/>
          <w:szCs w:val="36"/>
          <w:lang w:val="zh-CN"/>
        </w:rPr>
      </w:pPr>
    </w:p>
    <w:p>
      <w:pPr>
        <w:autoSpaceDE w:val="0"/>
        <w:autoSpaceDN w:val="0"/>
        <w:adjustRightInd w:val="0"/>
        <w:spacing w:line="600" w:lineRule="exact"/>
        <w:jc w:val="center"/>
        <w:rPr>
          <w:rFonts w:ascii="宋体" w:hAnsi="宋体"/>
          <w:b/>
          <w:bCs/>
          <w:sz w:val="36"/>
          <w:szCs w:val="36"/>
          <w:lang w:val="zh-CN"/>
        </w:rPr>
      </w:pPr>
      <w:r>
        <w:rPr>
          <w:rFonts w:hint="eastAsia" w:ascii="宋体" w:hAnsi="宋体"/>
          <w:b/>
          <w:bCs/>
          <w:sz w:val="36"/>
          <w:szCs w:val="36"/>
          <w:lang w:val="zh-CN"/>
        </w:rPr>
        <w:t>第</w:t>
      </w:r>
      <w:r>
        <w:rPr>
          <w:rFonts w:hint="eastAsia" w:ascii="宋体" w:hAnsi="宋体"/>
          <w:b/>
          <w:bCs/>
          <w:sz w:val="36"/>
          <w:szCs w:val="36"/>
        </w:rPr>
        <w:t>五</w:t>
      </w:r>
      <w:r>
        <w:rPr>
          <w:rFonts w:hint="eastAsia" w:ascii="宋体" w:hAnsi="宋体"/>
          <w:b/>
          <w:bCs/>
          <w:sz w:val="36"/>
          <w:szCs w:val="36"/>
          <w:lang w:val="zh-CN"/>
        </w:rPr>
        <w:t>部分供应商须知</w:t>
      </w:r>
    </w:p>
    <w:p>
      <w:pPr>
        <w:autoSpaceDE w:val="0"/>
        <w:autoSpaceDN w:val="0"/>
        <w:adjustRightInd w:val="0"/>
        <w:spacing w:line="600" w:lineRule="exact"/>
        <w:rPr>
          <w:rFonts w:ascii="宋体" w:hAnsi="宋体"/>
          <w:b/>
          <w:bCs/>
          <w:sz w:val="28"/>
          <w:szCs w:val="28"/>
          <w:lang w:val="zh-CN"/>
        </w:rPr>
      </w:pPr>
      <w:r>
        <w:rPr>
          <w:rFonts w:hint="eastAsia" w:ascii="宋体" w:hAnsi="宋体"/>
          <w:b/>
          <w:bCs/>
          <w:sz w:val="28"/>
          <w:szCs w:val="28"/>
          <w:lang w:val="zh-CN"/>
        </w:rPr>
        <w:t>供应商须知前附表：</w:t>
      </w:r>
    </w:p>
    <w:tbl>
      <w:tblPr>
        <w:tblStyle w:val="17"/>
        <w:tblW w:w="986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15"/>
        <w:gridCol w:w="804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4" w:hRule="atLeast"/>
          <w:jc w:val="center"/>
        </w:trPr>
        <w:tc>
          <w:tcPr>
            <w:tcW w:w="1815" w:type="dxa"/>
            <w:vAlign w:val="center"/>
          </w:tcPr>
          <w:p>
            <w:pPr>
              <w:widowControl/>
              <w:jc w:val="center"/>
              <w:rPr>
                <w:rFonts w:ascii="宋体" w:hAnsi="宋体" w:cs="宋体"/>
                <w:b/>
                <w:kern w:val="0"/>
                <w:szCs w:val="21"/>
              </w:rPr>
            </w:pPr>
            <w:r>
              <w:rPr>
                <w:rFonts w:ascii="宋体" w:hAnsi="宋体" w:cs="宋体"/>
                <w:b/>
                <w:kern w:val="0"/>
                <w:szCs w:val="21"/>
              </w:rPr>
              <w:t>项</w:t>
            </w:r>
            <w:r>
              <w:rPr>
                <w:rFonts w:hint="eastAsia" w:ascii="宋体" w:hAnsi="宋体" w:cs="宋体"/>
                <w:b/>
                <w:kern w:val="0"/>
                <w:szCs w:val="21"/>
              </w:rPr>
              <w:t>目</w:t>
            </w:r>
          </w:p>
        </w:tc>
        <w:tc>
          <w:tcPr>
            <w:tcW w:w="8049" w:type="dxa"/>
            <w:vAlign w:val="center"/>
          </w:tcPr>
          <w:p>
            <w:pPr>
              <w:widowControl/>
              <w:jc w:val="center"/>
              <w:rPr>
                <w:rFonts w:ascii="宋体" w:hAnsi="宋体" w:cs="宋体"/>
                <w:b/>
                <w:kern w:val="0"/>
                <w:szCs w:val="21"/>
              </w:rPr>
            </w:pPr>
            <w:r>
              <w:rPr>
                <w:rFonts w:ascii="宋体" w:hAnsi="宋体" w:cs="宋体"/>
                <w:b/>
                <w:kern w:val="0"/>
                <w:szCs w:val="21"/>
              </w:rPr>
              <w:t>内</w:t>
            </w:r>
            <w:r>
              <w:rPr>
                <w:rFonts w:hint="eastAsia" w:ascii="宋体" w:hAnsi="宋体" w:cs="宋体"/>
                <w:b/>
                <w:kern w:val="0"/>
                <w:szCs w:val="21"/>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jc w:val="center"/>
        </w:trPr>
        <w:tc>
          <w:tcPr>
            <w:tcW w:w="1815" w:type="dxa"/>
            <w:vAlign w:val="center"/>
          </w:tcPr>
          <w:p>
            <w:pPr>
              <w:jc w:val="center"/>
              <w:rPr>
                <w:rFonts w:ascii="宋体" w:hAnsi="宋体"/>
                <w:b/>
                <w:szCs w:val="21"/>
              </w:rPr>
            </w:pPr>
            <w:r>
              <w:rPr>
                <w:rFonts w:hint="eastAsia" w:ascii="宋体" w:hAnsi="宋体"/>
                <w:b/>
                <w:szCs w:val="21"/>
              </w:rPr>
              <w:t>采购内容</w:t>
            </w:r>
          </w:p>
        </w:tc>
        <w:tc>
          <w:tcPr>
            <w:tcW w:w="8049" w:type="dxa"/>
            <w:vAlign w:val="center"/>
          </w:tcPr>
          <w:p>
            <w:pPr>
              <w:jc w:val="left"/>
              <w:rPr>
                <w:rFonts w:ascii="宋体" w:hAnsi="宋体"/>
                <w:szCs w:val="21"/>
              </w:rPr>
            </w:pPr>
            <w:r>
              <w:rPr>
                <w:rFonts w:hint="eastAsia" w:ascii="宋体" w:hAnsi="宋体" w:cs="Courier New"/>
                <w:szCs w:val="21"/>
              </w:rPr>
              <w:t>详见第一部分</w:t>
            </w:r>
            <w:r>
              <w:rPr>
                <w:rFonts w:hint="eastAsia" w:ascii="宋体" w:hAnsi="宋体" w:cs="Courier New"/>
                <w:szCs w:val="21"/>
                <w:lang w:val="zh-CN"/>
              </w:rPr>
              <w:t>投标邀请函</w:t>
            </w:r>
            <w:r>
              <w:rPr>
                <w:rFonts w:hint="eastAsia" w:ascii="宋体" w:hAnsi="宋体" w:cs="Courier New"/>
                <w:szCs w:val="21"/>
              </w:rPr>
              <w:t>中第二条要求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jc w:val="center"/>
        </w:trPr>
        <w:tc>
          <w:tcPr>
            <w:tcW w:w="1815" w:type="dxa"/>
            <w:vAlign w:val="center"/>
          </w:tcPr>
          <w:p>
            <w:pPr>
              <w:jc w:val="center"/>
              <w:rPr>
                <w:rFonts w:ascii="宋体" w:hAnsi="宋体"/>
                <w:b/>
                <w:szCs w:val="21"/>
              </w:rPr>
            </w:pPr>
            <w:r>
              <w:rPr>
                <w:rFonts w:hint="eastAsia" w:ascii="宋体" w:hAnsi="宋体"/>
                <w:b/>
                <w:szCs w:val="21"/>
              </w:rPr>
              <w:t>采</w:t>
            </w:r>
            <w:r>
              <w:rPr>
                <w:rFonts w:ascii="宋体" w:hAnsi="宋体"/>
                <w:b/>
                <w:szCs w:val="21"/>
              </w:rPr>
              <w:t>购</w:t>
            </w:r>
            <w:r>
              <w:rPr>
                <w:rFonts w:hint="eastAsia" w:ascii="宋体" w:hAnsi="宋体"/>
                <w:b/>
                <w:szCs w:val="21"/>
              </w:rPr>
              <w:t>方式</w:t>
            </w:r>
          </w:p>
        </w:tc>
        <w:tc>
          <w:tcPr>
            <w:tcW w:w="8049" w:type="dxa"/>
            <w:vAlign w:val="center"/>
          </w:tcPr>
          <w:p>
            <w:pPr>
              <w:jc w:val="left"/>
              <w:rPr>
                <w:rFonts w:ascii="宋体" w:hAnsi="宋体"/>
                <w:szCs w:val="21"/>
              </w:rPr>
            </w:pPr>
            <w:r>
              <w:rPr>
                <w:rFonts w:hint="eastAsia" w:ascii="宋体" w:hAnsi="宋体"/>
                <w:szCs w:val="21"/>
              </w:rPr>
              <w:t>公</w:t>
            </w:r>
            <w:r>
              <w:rPr>
                <w:rFonts w:ascii="宋体" w:hAnsi="宋体"/>
                <w:szCs w:val="21"/>
              </w:rPr>
              <w:t>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9" w:hRule="atLeast"/>
          <w:jc w:val="center"/>
        </w:trPr>
        <w:tc>
          <w:tcPr>
            <w:tcW w:w="1815" w:type="dxa"/>
            <w:vAlign w:val="center"/>
          </w:tcPr>
          <w:p>
            <w:pPr>
              <w:jc w:val="center"/>
              <w:rPr>
                <w:rFonts w:ascii="宋体" w:hAnsi="宋体"/>
                <w:b/>
                <w:szCs w:val="21"/>
              </w:rPr>
            </w:pPr>
            <w:r>
              <w:rPr>
                <w:rFonts w:hint="eastAsia" w:ascii="宋体" w:hAnsi="宋体"/>
                <w:b/>
                <w:szCs w:val="21"/>
              </w:rPr>
              <w:t>合格供应商</w:t>
            </w:r>
          </w:p>
          <w:p>
            <w:pPr>
              <w:widowControl/>
              <w:jc w:val="center"/>
              <w:rPr>
                <w:rFonts w:ascii="宋体" w:hAnsi="宋体" w:cs="宋体"/>
                <w:b/>
                <w:kern w:val="0"/>
                <w:szCs w:val="21"/>
              </w:rPr>
            </w:pPr>
            <w:r>
              <w:rPr>
                <w:rFonts w:hint="eastAsia" w:ascii="宋体" w:hAnsi="宋体"/>
                <w:b/>
                <w:szCs w:val="21"/>
              </w:rPr>
              <w:t>的</w:t>
            </w:r>
            <w:r>
              <w:rPr>
                <w:rFonts w:ascii="宋体" w:hAnsi="宋体"/>
                <w:b/>
                <w:szCs w:val="21"/>
              </w:rPr>
              <w:t>资</w:t>
            </w:r>
            <w:r>
              <w:rPr>
                <w:rFonts w:hint="eastAsia" w:ascii="宋体" w:hAnsi="宋体"/>
                <w:b/>
                <w:szCs w:val="21"/>
              </w:rPr>
              <w:t>格</w:t>
            </w:r>
            <w:r>
              <w:rPr>
                <w:rFonts w:ascii="宋体" w:hAnsi="宋体"/>
                <w:b/>
                <w:szCs w:val="21"/>
              </w:rPr>
              <w:t>条</w:t>
            </w:r>
            <w:r>
              <w:rPr>
                <w:rFonts w:hint="eastAsia" w:ascii="宋体" w:hAnsi="宋体"/>
                <w:b/>
                <w:szCs w:val="21"/>
              </w:rPr>
              <w:t>件</w:t>
            </w:r>
          </w:p>
        </w:tc>
        <w:tc>
          <w:tcPr>
            <w:tcW w:w="8049" w:type="dxa"/>
            <w:vAlign w:val="center"/>
          </w:tcPr>
          <w:p>
            <w:pPr>
              <w:jc w:val="left"/>
              <w:rPr>
                <w:rFonts w:ascii="宋体" w:hAnsi="宋体"/>
                <w:szCs w:val="21"/>
              </w:rPr>
            </w:pPr>
            <w:r>
              <w:rPr>
                <w:rFonts w:ascii="宋体" w:hAnsi="宋体" w:cs="Courier New"/>
                <w:szCs w:val="21"/>
              </w:rPr>
              <w:t>符合</w:t>
            </w:r>
            <w:r>
              <w:rPr>
                <w:rFonts w:hint="eastAsia" w:ascii="宋体" w:hAnsi="宋体" w:cs="Courier New"/>
                <w:szCs w:val="21"/>
              </w:rPr>
              <w:t>第一部分</w:t>
            </w:r>
            <w:r>
              <w:rPr>
                <w:rFonts w:hint="eastAsia" w:ascii="宋体" w:hAnsi="宋体" w:cs="Courier New"/>
                <w:szCs w:val="21"/>
                <w:lang w:val="zh-CN"/>
              </w:rPr>
              <w:t>投标邀请函</w:t>
            </w:r>
            <w:r>
              <w:rPr>
                <w:rFonts w:hint="eastAsia" w:ascii="宋体" w:hAnsi="宋体" w:cs="Courier New"/>
                <w:szCs w:val="21"/>
              </w:rPr>
              <w:t>第三条要求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2" w:hRule="atLeast"/>
          <w:jc w:val="center"/>
        </w:trPr>
        <w:tc>
          <w:tcPr>
            <w:tcW w:w="1815" w:type="dxa"/>
            <w:vAlign w:val="center"/>
          </w:tcPr>
          <w:p>
            <w:pPr>
              <w:jc w:val="center"/>
              <w:rPr>
                <w:rFonts w:ascii="宋体" w:hAnsi="宋体"/>
                <w:b/>
                <w:szCs w:val="21"/>
              </w:rPr>
            </w:pPr>
            <w:r>
              <w:rPr>
                <w:rFonts w:ascii="宋体" w:hAnsi="宋体"/>
                <w:b/>
                <w:szCs w:val="21"/>
              </w:rPr>
              <w:t>资</w:t>
            </w:r>
            <w:r>
              <w:rPr>
                <w:rFonts w:hint="eastAsia" w:ascii="宋体" w:hAnsi="宋体"/>
                <w:b/>
                <w:szCs w:val="21"/>
              </w:rPr>
              <w:t>金</w:t>
            </w:r>
            <w:r>
              <w:rPr>
                <w:rFonts w:ascii="宋体" w:hAnsi="宋体"/>
                <w:b/>
                <w:szCs w:val="21"/>
              </w:rPr>
              <w:t>来</w:t>
            </w:r>
            <w:r>
              <w:rPr>
                <w:rFonts w:hint="eastAsia" w:ascii="宋体" w:hAnsi="宋体"/>
                <w:b/>
                <w:szCs w:val="21"/>
              </w:rPr>
              <w:t>源</w:t>
            </w:r>
          </w:p>
        </w:tc>
        <w:tc>
          <w:tcPr>
            <w:tcW w:w="8049" w:type="dxa"/>
            <w:vAlign w:val="center"/>
          </w:tcPr>
          <w:p>
            <w:pPr>
              <w:rPr>
                <w:rFonts w:ascii="宋体" w:hAnsi="宋体"/>
                <w:szCs w:val="21"/>
              </w:rPr>
            </w:pPr>
            <w:r>
              <w:rPr>
                <w:rFonts w:ascii="宋体" w:hAnsi="宋体"/>
                <w:szCs w:val="21"/>
              </w:rPr>
              <w:t>财政</w:t>
            </w:r>
            <w:r>
              <w:rPr>
                <w:rFonts w:hint="eastAsia" w:ascii="宋体" w:hAnsi="宋体"/>
                <w:szCs w:val="21"/>
              </w:rPr>
              <w:t>投资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2" w:hRule="atLeast"/>
          <w:jc w:val="center"/>
        </w:trPr>
        <w:tc>
          <w:tcPr>
            <w:tcW w:w="1815" w:type="dxa"/>
            <w:vAlign w:val="center"/>
          </w:tcPr>
          <w:p>
            <w:pPr>
              <w:jc w:val="center"/>
              <w:rPr>
                <w:rFonts w:ascii="宋体" w:hAnsi="宋体"/>
                <w:b/>
                <w:szCs w:val="21"/>
              </w:rPr>
            </w:pPr>
            <w:r>
              <w:rPr>
                <w:rFonts w:hint="eastAsia" w:ascii="宋体" w:hAnsi="宋体"/>
                <w:b/>
                <w:szCs w:val="21"/>
              </w:rPr>
              <w:t>预算金额</w:t>
            </w:r>
          </w:p>
        </w:tc>
        <w:tc>
          <w:tcPr>
            <w:tcW w:w="8049" w:type="dxa"/>
            <w:vAlign w:val="center"/>
          </w:tcPr>
          <w:p>
            <w:pPr>
              <w:rPr>
                <w:rFonts w:ascii="宋体" w:hAnsi="宋体"/>
                <w:szCs w:val="21"/>
              </w:rPr>
            </w:pPr>
            <w:r>
              <w:rPr>
                <w:rFonts w:hint="eastAsia"/>
                <w:b/>
                <w:bCs/>
                <w:sz w:val="24"/>
              </w:rPr>
              <w:t>4673906.13</w:t>
            </w:r>
            <w:r>
              <w:rPr>
                <w:rFonts w:hint="eastAsia" w:ascii="宋体" w:hAnsi="宋体"/>
                <w:b/>
                <w:bCs/>
                <w:szCs w:val="21"/>
              </w:rPr>
              <w:t>元，超出者为无效投标。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1815" w:type="dxa"/>
            <w:vAlign w:val="center"/>
          </w:tcPr>
          <w:p>
            <w:pPr>
              <w:jc w:val="center"/>
              <w:rPr>
                <w:rFonts w:ascii="宋体" w:hAnsi="宋体"/>
                <w:b/>
                <w:szCs w:val="21"/>
              </w:rPr>
            </w:pPr>
            <w:r>
              <w:rPr>
                <w:rFonts w:hint="eastAsia" w:ascii="宋体" w:hAnsi="宋体"/>
                <w:b/>
                <w:szCs w:val="21"/>
              </w:rPr>
              <w:t>交货期</w:t>
            </w:r>
          </w:p>
        </w:tc>
        <w:tc>
          <w:tcPr>
            <w:tcW w:w="8049" w:type="dxa"/>
            <w:vAlign w:val="center"/>
          </w:tcPr>
          <w:p>
            <w:pPr>
              <w:rPr>
                <w:rFonts w:ascii="宋体" w:hAnsi="宋体"/>
                <w:szCs w:val="21"/>
              </w:rPr>
            </w:pPr>
            <w:r>
              <w:rPr>
                <w:rFonts w:hint="eastAsia" w:ascii="宋体" w:hAnsi="宋体"/>
                <w:b/>
                <w:bCs/>
                <w:szCs w:val="21"/>
              </w:rPr>
              <w:t xml:space="preserve">最长不超过20天。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815" w:type="dxa"/>
            <w:vAlign w:val="center"/>
          </w:tcPr>
          <w:p>
            <w:pPr>
              <w:jc w:val="center"/>
              <w:rPr>
                <w:rFonts w:ascii="宋体" w:hAnsi="宋体"/>
                <w:b/>
                <w:szCs w:val="21"/>
              </w:rPr>
            </w:pPr>
            <w:r>
              <w:rPr>
                <w:rFonts w:hint="eastAsia" w:ascii="宋体" w:hAnsi="宋体"/>
                <w:b/>
                <w:szCs w:val="21"/>
              </w:rPr>
              <w:t>招</w:t>
            </w:r>
            <w:r>
              <w:rPr>
                <w:rFonts w:ascii="宋体" w:hAnsi="宋体"/>
                <w:b/>
                <w:szCs w:val="21"/>
              </w:rPr>
              <w:t>标</w:t>
            </w:r>
            <w:r>
              <w:rPr>
                <w:rFonts w:hint="eastAsia" w:ascii="宋体" w:hAnsi="宋体"/>
                <w:b/>
                <w:szCs w:val="21"/>
              </w:rPr>
              <w:t>文件</w:t>
            </w:r>
          </w:p>
        </w:tc>
        <w:tc>
          <w:tcPr>
            <w:tcW w:w="8049" w:type="dxa"/>
            <w:vAlign w:val="center"/>
          </w:tcPr>
          <w:p>
            <w:pPr>
              <w:rPr>
                <w:rFonts w:ascii="宋体" w:hAnsi="宋体"/>
                <w:szCs w:val="21"/>
              </w:rPr>
            </w:pPr>
            <w:r>
              <w:rPr>
                <w:rFonts w:hint="eastAsia" w:ascii="宋体" w:hAnsi="宋体"/>
                <w:szCs w:val="21"/>
              </w:rPr>
              <w:t>招标文件必须网上获取，不提供邮购和纸质版招标文件。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1815" w:type="dxa"/>
            <w:vAlign w:val="center"/>
          </w:tcPr>
          <w:p>
            <w:pPr>
              <w:jc w:val="center"/>
              <w:rPr>
                <w:rFonts w:ascii="宋体" w:hAnsi="宋体"/>
                <w:b/>
                <w:szCs w:val="21"/>
              </w:rPr>
            </w:pPr>
            <w:r>
              <w:rPr>
                <w:rFonts w:hint="eastAsia" w:ascii="宋体" w:hAnsi="宋体"/>
                <w:b/>
                <w:szCs w:val="21"/>
              </w:rPr>
              <w:t>投</w:t>
            </w:r>
            <w:r>
              <w:rPr>
                <w:rFonts w:ascii="宋体" w:hAnsi="宋体"/>
                <w:b/>
                <w:szCs w:val="21"/>
              </w:rPr>
              <w:t>标</w:t>
            </w:r>
            <w:r>
              <w:rPr>
                <w:rFonts w:hint="eastAsia" w:ascii="宋体" w:hAnsi="宋体"/>
                <w:b/>
                <w:szCs w:val="21"/>
              </w:rPr>
              <w:t>文件份</w:t>
            </w:r>
            <w:r>
              <w:rPr>
                <w:rFonts w:ascii="宋体" w:hAnsi="宋体"/>
                <w:b/>
                <w:szCs w:val="21"/>
              </w:rPr>
              <w:t>数</w:t>
            </w:r>
          </w:p>
        </w:tc>
        <w:tc>
          <w:tcPr>
            <w:tcW w:w="8049" w:type="dxa"/>
            <w:vAlign w:val="center"/>
          </w:tcPr>
          <w:p>
            <w:pPr>
              <w:rPr>
                <w:rFonts w:ascii="宋体" w:hAnsi="宋体"/>
                <w:szCs w:val="21"/>
              </w:rPr>
            </w:pPr>
            <w:r>
              <w:rPr>
                <w:rFonts w:hint="eastAsia" w:ascii="宋体" w:hAnsi="宋体"/>
                <w:szCs w:val="21"/>
              </w:rPr>
              <w:t>正本一份，副本四份，包含投标文件所有内容的电子版文件U盘一份（*.doc版本）。</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9" w:hRule="atLeast"/>
          <w:jc w:val="center"/>
        </w:trPr>
        <w:tc>
          <w:tcPr>
            <w:tcW w:w="1815" w:type="dxa"/>
            <w:vAlign w:val="center"/>
          </w:tcPr>
          <w:p>
            <w:pPr>
              <w:jc w:val="center"/>
              <w:rPr>
                <w:rFonts w:ascii="宋体" w:hAnsi="宋体"/>
                <w:b/>
                <w:szCs w:val="21"/>
              </w:rPr>
            </w:pPr>
            <w:r>
              <w:rPr>
                <w:rFonts w:hint="eastAsia" w:ascii="宋体" w:hAnsi="宋体"/>
                <w:b/>
                <w:szCs w:val="21"/>
              </w:rPr>
              <w:t>投</w:t>
            </w:r>
            <w:r>
              <w:rPr>
                <w:rFonts w:ascii="宋体" w:hAnsi="宋体"/>
                <w:b/>
                <w:szCs w:val="21"/>
              </w:rPr>
              <w:t>标</w:t>
            </w:r>
            <w:r>
              <w:rPr>
                <w:rFonts w:hint="eastAsia" w:ascii="宋体" w:hAnsi="宋体"/>
                <w:b/>
                <w:szCs w:val="21"/>
              </w:rPr>
              <w:t>文件封面</w:t>
            </w:r>
          </w:p>
        </w:tc>
        <w:tc>
          <w:tcPr>
            <w:tcW w:w="8049" w:type="dxa"/>
            <w:vAlign w:val="center"/>
          </w:tcPr>
          <w:p>
            <w:pPr>
              <w:rPr>
                <w:rFonts w:ascii="宋体" w:hAnsi="宋体" w:cs="仿宋_GB2312"/>
                <w:kern w:val="0"/>
                <w:szCs w:val="21"/>
              </w:rPr>
            </w:pPr>
            <w:r>
              <w:rPr>
                <w:rFonts w:hint="eastAsia" w:ascii="宋体" w:hAnsi="宋体"/>
                <w:bCs/>
                <w:szCs w:val="21"/>
              </w:rPr>
              <w:t>需标明：</w:t>
            </w:r>
            <w:r>
              <w:rPr>
                <w:rFonts w:hint="eastAsia" w:ascii="宋体" w:hAnsi="宋体"/>
                <w:b/>
                <w:szCs w:val="21"/>
              </w:rPr>
              <w:t>正本、副本、投标项目名称、标段</w:t>
            </w:r>
            <w:r>
              <w:rPr>
                <w:rFonts w:hint="eastAsia" w:ascii="宋体" w:hAnsi="宋体"/>
                <w:szCs w:val="21"/>
              </w:rPr>
              <w:t>（如有多个标段）</w:t>
            </w:r>
            <w:r>
              <w:rPr>
                <w:rFonts w:hint="eastAsia" w:ascii="宋体" w:hAnsi="宋体"/>
                <w:b/>
                <w:szCs w:val="21"/>
              </w:rPr>
              <w:t>、项目编号、投标单位名称、日期等字样。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9" w:hRule="atLeast"/>
          <w:jc w:val="center"/>
        </w:trPr>
        <w:tc>
          <w:tcPr>
            <w:tcW w:w="1815" w:type="dxa"/>
            <w:vAlign w:val="center"/>
          </w:tcPr>
          <w:p>
            <w:pPr>
              <w:autoSpaceDE w:val="0"/>
              <w:autoSpaceDN w:val="0"/>
              <w:adjustRightInd w:val="0"/>
              <w:spacing w:line="420" w:lineRule="exact"/>
              <w:jc w:val="center"/>
              <w:rPr>
                <w:rFonts w:ascii="宋体" w:hAnsi="宋体"/>
                <w:b/>
                <w:szCs w:val="21"/>
              </w:rPr>
            </w:pPr>
            <w:r>
              <w:rPr>
                <w:rFonts w:hint="eastAsia" w:ascii="宋体" w:hAnsi="宋体"/>
                <w:b/>
                <w:szCs w:val="21"/>
              </w:rPr>
              <w:t>封套上写明</w:t>
            </w:r>
          </w:p>
        </w:tc>
        <w:tc>
          <w:tcPr>
            <w:tcW w:w="8049" w:type="dxa"/>
            <w:vAlign w:val="center"/>
          </w:tcPr>
          <w:p>
            <w:pPr>
              <w:rPr>
                <w:rFonts w:ascii="宋体" w:hAnsi="宋体"/>
                <w:szCs w:val="21"/>
              </w:rPr>
            </w:pPr>
            <w:r>
              <w:rPr>
                <w:rFonts w:hint="eastAsia" w:ascii="宋体" w:hAnsi="宋体"/>
                <w:szCs w:val="21"/>
              </w:rPr>
              <w:t xml:space="preserve">招标人地址：许昌市新兴路东段 </w:t>
            </w:r>
          </w:p>
          <w:p>
            <w:pPr>
              <w:rPr>
                <w:rFonts w:ascii="宋体" w:hAnsi="宋体"/>
                <w:szCs w:val="21"/>
              </w:rPr>
            </w:pPr>
            <w:r>
              <w:rPr>
                <w:rFonts w:hint="eastAsia" w:ascii="宋体" w:hAnsi="宋体"/>
                <w:szCs w:val="21"/>
              </w:rPr>
              <w:t xml:space="preserve">招标人名称：许昌市东城区市政管理中心 </w:t>
            </w:r>
          </w:p>
          <w:p>
            <w:pPr>
              <w:rPr>
                <w:rFonts w:ascii="宋体" w:hAnsi="宋体"/>
                <w:szCs w:val="21"/>
              </w:rPr>
            </w:pPr>
            <w:r>
              <w:rPr>
                <w:rFonts w:hint="eastAsia" w:ascii="宋体" w:hAnsi="宋体"/>
                <w:szCs w:val="21"/>
              </w:rPr>
              <w:t xml:space="preserve">项目名称：            （标段）  </w:t>
            </w:r>
          </w:p>
          <w:p>
            <w:pPr>
              <w:rPr>
                <w:rFonts w:ascii="宋体" w:hAnsi="宋体"/>
                <w:szCs w:val="21"/>
              </w:rPr>
            </w:pPr>
            <w:r>
              <w:rPr>
                <w:rFonts w:hint="eastAsia" w:ascii="宋体" w:hAnsi="宋体"/>
                <w:szCs w:val="21"/>
              </w:rPr>
              <w:t>投标人名称：           （盖章）</w:t>
            </w:r>
          </w:p>
          <w:p>
            <w:pPr>
              <w:rPr>
                <w:rFonts w:ascii="宋体" w:hAnsi="宋体"/>
                <w:szCs w:val="21"/>
              </w:rPr>
            </w:pPr>
            <w:r>
              <w:rPr>
                <w:rFonts w:hint="eastAsia" w:ascii="宋体" w:hAnsi="宋体"/>
                <w:szCs w:val="21"/>
              </w:rPr>
              <w:t>投标文件在2017年9月1 日9时30 分前不得开启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jc w:val="center"/>
        </w:trPr>
        <w:tc>
          <w:tcPr>
            <w:tcW w:w="1815" w:type="dxa"/>
            <w:vAlign w:val="center"/>
          </w:tcPr>
          <w:p>
            <w:pPr>
              <w:jc w:val="center"/>
              <w:rPr>
                <w:rFonts w:ascii="宋体" w:hAnsi="宋体"/>
                <w:b/>
                <w:szCs w:val="21"/>
              </w:rPr>
            </w:pPr>
            <w:r>
              <w:rPr>
                <w:rFonts w:hint="eastAsia" w:ascii="宋体" w:hAnsi="宋体"/>
                <w:b/>
                <w:szCs w:val="21"/>
              </w:rPr>
              <w:t>投</w:t>
            </w:r>
            <w:r>
              <w:rPr>
                <w:rFonts w:ascii="宋体" w:hAnsi="宋体"/>
                <w:b/>
                <w:szCs w:val="21"/>
              </w:rPr>
              <w:t>标有</w:t>
            </w:r>
            <w:r>
              <w:rPr>
                <w:rFonts w:hint="eastAsia" w:ascii="宋体" w:hAnsi="宋体"/>
                <w:b/>
                <w:szCs w:val="21"/>
              </w:rPr>
              <w:t>效期</w:t>
            </w:r>
          </w:p>
        </w:tc>
        <w:tc>
          <w:tcPr>
            <w:tcW w:w="8049" w:type="dxa"/>
            <w:vAlign w:val="center"/>
          </w:tcPr>
          <w:p>
            <w:pPr>
              <w:rPr>
                <w:rFonts w:ascii="宋体" w:hAnsi="宋体"/>
                <w:szCs w:val="21"/>
              </w:rPr>
            </w:pPr>
            <w:r>
              <w:rPr>
                <w:rFonts w:hint="eastAsia" w:ascii="宋体" w:hAnsi="宋体" w:cs="仿宋_GB2312"/>
                <w:kern w:val="0"/>
                <w:szCs w:val="21"/>
              </w:rPr>
              <w:t>60日历天（从投标截止之日算起）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57" w:hRule="atLeast"/>
          <w:jc w:val="center"/>
        </w:trPr>
        <w:tc>
          <w:tcPr>
            <w:tcW w:w="1815" w:type="dxa"/>
            <w:vAlign w:val="center"/>
          </w:tcPr>
          <w:p>
            <w:pPr>
              <w:autoSpaceDE w:val="0"/>
              <w:autoSpaceDN w:val="0"/>
              <w:adjustRightInd w:val="0"/>
              <w:jc w:val="center"/>
              <w:rPr>
                <w:rFonts w:ascii="宋体" w:hAnsi="宋体" w:cs="仿宋_GB2312"/>
                <w:b/>
                <w:kern w:val="0"/>
                <w:szCs w:val="21"/>
              </w:rPr>
            </w:pPr>
            <w:r>
              <w:rPr>
                <w:rFonts w:hint="eastAsia" w:ascii="宋体" w:hAnsi="宋体" w:cs="仿宋_GB2312"/>
                <w:b/>
                <w:kern w:val="0"/>
                <w:szCs w:val="21"/>
              </w:rPr>
              <w:t>供应商对招标文件有异议的提出与受理</w:t>
            </w:r>
          </w:p>
        </w:tc>
        <w:tc>
          <w:tcPr>
            <w:tcW w:w="8049" w:type="dxa"/>
            <w:vAlign w:val="center"/>
          </w:tcPr>
          <w:p>
            <w:pPr>
              <w:autoSpaceDE w:val="0"/>
              <w:autoSpaceDN w:val="0"/>
              <w:adjustRightInd w:val="0"/>
              <w:spacing w:line="420" w:lineRule="exact"/>
              <w:rPr>
                <w:rFonts w:ascii="宋体" w:hAnsi="宋体" w:cs="黑体"/>
                <w:kern w:val="0"/>
                <w:szCs w:val="21"/>
              </w:rPr>
            </w:pPr>
            <w:r>
              <w:rPr>
                <w:rFonts w:hint="eastAsia"/>
              </w:rPr>
              <w:t>供应商对招标文件如有疑点，可要求澄清，应在开标截止时间前7天通过公共资源交易系统平台发出，如未提出异议，视为全面接受。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jc w:val="center"/>
        </w:trPr>
        <w:tc>
          <w:tcPr>
            <w:tcW w:w="1815" w:type="dxa"/>
            <w:vAlign w:val="center"/>
          </w:tcPr>
          <w:p>
            <w:pPr>
              <w:autoSpaceDE w:val="0"/>
              <w:autoSpaceDN w:val="0"/>
              <w:adjustRightInd w:val="0"/>
              <w:jc w:val="center"/>
              <w:rPr>
                <w:rFonts w:ascii="宋体" w:hAnsi="宋体" w:cs="仿宋_GB2312"/>
                <w:b/>
                <w:kern w:val="0"/>
                <w:szCs w:val="21"/>
              </w:rPr>
            </w:pPr>
            <w:r>
              <w:rPr>
                <w:rFonts w:hint="eastAsia" w:ascii="宋体" w:hAnsi="宋体"/>
                <w:b/>
              </w:rPr>
              <w:t>评标委员会组成</w:t>
            </w:r>
          </w:p>
        </w:tc>
        <w:tc>
          <w:tcPr>
            <w:tcW w:w="8049" w:type="dxa"/>
            <w:vAlign w:val="center"/>
          </w:tcPr>
          <w:p>
            <w:pPr>
              <w:autoSpaceDE w:val="0"/>
              <w:autoSpaceDN w:val="0"/>
              <w:adjustRightInd w:val="0"/>
              <w:spacing w:line="420" w:lineRule="exact"/>
            </w:pPr>
            <w:r>
              <w:rPr>
                <w:rFonts w:hint="eastAsia" w:ascii="宋体" w:hAnsi="宋体"/>
                <w:b/>
              </w:rPr>
              <w:t>评标委员会人数为五人（其中采购人代表为一人，专家人员为四人）。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815" w:type="dxa"/>
            <w:vAlign w:val="center"/>
          </w:tcPr>
          <w:p>
            <w:pPr>
              <w:jc w:val="center"/>
              <w:rPr>
                <w:rFonts w:ascii="宋体" w:hAnsi="宋体"/>
                <w:b/>
                <w:szCs w:val="21"/>
              </w:rPr>
            </w:pPr>
            <w:r>
              <w:rPr>
                <w:rFonts w:hint="eastAsia" w:ascii="宋体" w:hAnsi="宋体"/>
                <w:b/>
                <w:szCs w:val="21"/>
              </w:rPr>
              <w:t>投</w:t>
            </w:r>
            <w:r>
              <w:rPr>
                <w:rFonts w:ascii="宋体" w:hAnsi="宋体"/>
                <w:b/>
                <w:szCs w:val="21"/>
              </w:rPr>
              <w:t>标</w:t>
            </w:r>
            <w:r>
              <w:rPr>
                <w:rFonts w:hint="eastAsia" w:ascii="宋体" w:hAnsi="宋体"/>
                <w:b/>
                <w:szCs w:val="21"/>
              </w:rPr>
              <w:t>保</w:t>
            </w:r>
            <w:r>
              <w:rPr>
                <w:rFonts w:ascii="宋体" w:hAnsi="宋体"/>
                <w:b/>
                <w:szCs w:val="21"/>
              </w:rPr>
              <w:t>证金</w:t>
            </w:r>
          </w:p>
        </w:tc>
        <w:tc>
          <w:tcPr>
            <w:tcW w:w="8049" w:type="dxa"/>
            <w:vAlign w:val="center"/>
          </w:tcPr>
          <w:p>
            <w:pPr>
              <w:snapToGrid w:val="0"/>
              <w:spacing w:line="360" w:lineRule="auto"/>
              <w:rPr>
                <w:rFonts w:ascii="宋体" w:hAnsi="宋体"/>
                <w:szCs w:val="21"/>
              </w:rPr>
            </w:pPr>
            <w:r>
              <w:rPr>
                <w:rFonts w:hint="eastAsia" w:ascii="宋体" w:hAnsi="宋体"/>
                <w:b/>
                <w:szCs w:val="21"/>
              </w:rPr>
              <w:t>投标保证金</w:t>
            </w:r>
          </w:p>
          <w:p>
            <w:pPr>
              <w:snapToGrid w:val="0"/>
              <w:spacing w:line="360" w:lineRule="auto"/>
              <w:rPr>
                <w:rFonts w:ascii="宋体" w:hAnsi="宋体"/>
                <w:szCs w:val="21"/>
              </w:rPr>
            </w:pPr>
            <w:r>
              <w:rPr>
                <w:rFonts w:hint="eastAsia" w:ascii="宋体" w:hAnsi="宋体"/>
                <w:szCs w:val="21"/>
              </w:rPr>
              <w:t>1、投标保证金为投标文件的组成部分之一。</w:t>
            </w:r>
          </w:p>
          <w:p>
            <w:pPr>
              <w:snapToGrid w:val="0"/>
              <w:spacing w:line="360" w:lineRule="auto"/>
              <w:rPr>
                <w:rFonts w:ascii="宋体" w:hAnsi="宋体"/>
                <w:szCs w:val="21"/>
              </w:rPr>
            </w:pPr>
            <w:r>
              <w:rPr>
                <w:rFonts w:hint="eastAsia" w:ascii="宋体" w:hAnsi="宋体"/>
                <w:szCs w:val="21"/>
              </w:rPr>
              <w:t>2、投标人向招标人提交投标保证金：</w:t>
            </w:r>
            <w:r>
              <w:rPr>
                <w:rFonts w:hint="eastAsia" w:ascii="宋体" w:hAnsi="宋体"/>
                <w:b/>
                <w:bCs/>
                <w:szCs w:val="21"/>
                <w:u w:val="single"/>
              </w:rPr>
              <w:t>93000.00元</w:t>
            </w:r>
            <w:r>
              <w:rPr>
                <w:rFonts w:hint="eastAsia" w:ascii="宋体" w:hAnsi="宋体"/>
                <w:szCs w:val="21"/>
                <w:u w:val="single"/>
              </w:rPr>
              <w:t>。</w:t>
            </w:r>
          </w:p>
          <w:p>
            <w:pPr>
              <w:snapToGrid w:val="0"/>
              <w:spacing w:line="360" w:lineRule="auto"/>
              <w:rPr>
                <w:rFonts w:ascii="宋体" w:hAnsi="宋体"/>
                <w:szCs w:val="21"/>
              </w:rPr>
            </w:pPr>
            <w:r>
              <w:rPr>
                <w:rFonts w:hint="eastAsia" w:ascii="宋体" w:hAnsi="宋体"/>
                <w:szCs w:val="21"/>
              </w:rPr>
              <w:t>3、投标保证金用于保护本次招标人免受投标人的行为而引起的风险。</w:t>
            </w:r>
          </w:p>
          <w:p>
            <w:pPr>
              <w:snapToGrid w:val="0"/>
              <w:spacing w:line="360" w:lineRule="auto"/>
              <w:rPr>
                <w:rFonts w:ascii="宋体" w:hAnsi="宋体"/>
                <w:szCs w:val="21"/>
              </w:rPr>
            </w:pPr>
            <w:r>
              <w:rPr>
                <w:rFonts w:hint="eastAsia" w:ascii="宋体" w:hAnsi="宋体"/>
                <w:szCs w:val="21"/>
              </w:rPr>
              <w:t>4、提交投标保证金</w:t>
            </w:r>
          </w:p>
          <w:p>
            <w:pPr>
              <w:snapToGrid w:val="0"/>
              <w:spacing w:line="360" w:lineRule="auto"/>
              <w:rPr>
                <w:rFonts w:ascii="宋体" w:hAnsi="宋体"/>
                <w:szCs w:val="21"/>
              </w:rPr>
            </w:pPr>
            <w:r>
              <w:rPr>
                <w:rFonts w:hint="eastAsia" w:ascii="宋体" w:cs="宋体"/>
                <w:szCs w:val="21"/>
                <w:lang w:val="zh-CN"/>
              </w:rPr>
              <w:t>4.1投标保证金缴纳方式：</w:t>
            </w:r>
          </w:p>
          <w:p>
            <w:pPr>
              <w:snapToGrid w:val="0"/>
              <w:spacing w:line="360" w:lineRule="auto"/>
              <w:ind w:firstLine="420" w:firstLineChars="200"/>
              <w:rPr>
                <w:rFonts w:ascii="宋体" w:cs="宋体"/>
                <w:szCs w:val="21"/>
              </w:rPr>
            </w:pPr>
            <w:r>
              <w:rPr>
                <w:rFonts w:hint="eastAsia" w:ascii="宋体" w:cs="宋体"/>
                <w:szCs w:val="21"/>
                <w:lang w:val="zh-CN"/>
              </w:rPr>
              <w:t>投标人网上报名后</w:t>
            </w:r>
            <w:r>
              <w:rPr>
                <w:rFonts w:hint="eastAsia" w:ascii="宋体" w:cs="宋体"/>
                <w:szCs w:val="21"/>
              </w:rPr>
              <w:t>，</w:t>
            </w:r>
            <w:r>
              <w:rPr>
                <w:rFonts w:hint="eastAsia" w:ascii="宋体" w:cs="宋体"/>
                <w:szCs w:val="21"/>
                <w:lang w:val="zh-CN"/>
              </w:rPr>
              <w:t>登录</w:t>
            </w:r>
            <w:r>
              <w:rPr>
                <w:rFonts w:hint="eastAsia" w:ascii="宋体" w:cs="宋体"/>
                <w:szCs w:val="21"/>
              </w:rPr>
              <w:t>http://221.14.6.70:8088/ggzy</w:t>
            </w:r>
            <w:r>
              <w:rPr>
                <w:rFonts w:hint="eastAsia" w:ascii="宋体" w:cs="宋体"/>
                <w:szCs w:val="21"/>
                <w:lang w:val="zh-CN"/>
              </w:rPr>
              <w:t>系统</w:t>
            </w:r>
            <w:r>
              <w:rPr>
                <w:rFonts w:hint="eastAsia" w:ascii="宋体" w:cs="宋体"/>
                <w:szCs w:val="21"/>
              </w:rPr>
              <w:t>,</w:t>
            </w:r>
            <w:r>
              <w:rPr>
                <w:rFonts w:hint="eastAsia" w:ascii="宋体" w:cs="宋体"/>
                <w:szCs w:val="21"/>
                <w:lang w:val="zh-CN"/>
              </w:rPr>
              <w:t>依次点击</w:t>
            </w:r>
            <w:r>
              <w:rPr>
                <w:rFonts w:hint="eastAsia" w:ascii="宋体" w:cs="宋体"/>
                <w:szCs w:val="21"/>
              </w:rPr>
              <w:t>“</w:t>
            </w:r>
            <w:r>
              <w:rPr>
                <w:rFonts w:hint="eastAsia" w:ascii="宋体" w:cs="宋体"/>
                <w:szCs w:val="21"/>
                <w:lang w:val="zh-CN"/>
              </w:rPr>
              <w:t>会员向导</w:t>
            </w:r>
            <w:r>
              <w:rPr>
                <w:rFonts w:hint="eastAsia" w:ascii="宋体" w:cs="宋体"/>
                <w:szCs w:val="21"/>
              </w:rPr>
              <w:t>”→“</w:t>
            </w:r>
            <w:r>
              <w:rPr>
                <w:rFonts w:hint="eastAsia" w:ascii="宋体" w:cs="宋体"/>
                <w:szCs w:val="21"/>
                <w:lang w:val="zh-CN"/>
              </w:rPr>
              <w:t>参与投标</w:t>
            </w:r>
            <w:r>
              <w:rPr>
                <w:rFonts w:hint="eastAsia" w:ascii="宋体" w:cs="宋体"/>
                <w:szCs w:val="21"/>
              </w:rPr>
              <w:t>”→“</w:t>
            </w:r>
            <w:r>
              <w:rPr>
                <w:rFonts w:hint="eastAsia" w:ascii="宋体" w:cs="宋体"/>
                <w:szCs w:val="21"/>
                <w:lang w:val="zh-CN"/>
              </w:rPr>
              <w:t>费用缴纳说明</w:t>
            </w:r>
            <w:r>
              <w:rPr>
                <w:rFonts w:hint="eastAsia" w:ascii="宋体" w:cs="宋体"/>
                <w:szCs w:val="21"/>
              </w:rPr>
              <w:t>”→“</w:t>
            </w:r>
            <w:r>
              <w:rPr>
                <w:rFonts w:hint="eastAsia" w:ascii="宋体" w:cs="宋体"/>
                <w:szCs w:val="21"/>
                <w:lang w:val="zh-CN"/>
              </w:rPr>
              <w:t>保证金缴纳说明单</w:t>
            </w:r>
            <w:r>
              <w:rPr>
                <w:rFonts w:hint="eastAsia" w:ascii="宋体" w:cs="宋体"/>
                <w:szCs w:val="21"/>
              </w:rPr>
              <w:t>”，</w:t>
            </w:r>
            <w:r>
              <w:rPr>
                <w:rFonts w:hint="eastAsia" w:ascii="宋体" w:cs="宋体"/>
                <w:szCs w:val="21"/>
                <w:lang w:val="zh-CN"/>
              </w:rPr>
              <w:t>获取缴费说明单</w:t>
            </w:r>
            <w:r>
              <w:rPr>
                <w:rFonts w:hint="eastAsia" w:ascii="宋体" w:cs="宋体"/>
                <w:szCs w:val="21"/>
              </w:rPr>
              <w:t>，</w:t>
            </w:r>
            <w:r>
              <w:rPr>
                <w:rFonts w:hint="eastAsia" w:ascii="宋体" w:cs="宋体"/>
                <w:szCs w:val="21"/>
                <w:lang w:val="zh-CN"/>
              </w:rPr>
              <w:t>根据每个标段的缴纳说明单在缴纳截止时间前缴纳</w:t>
            </w:r>
            <w:r>
              <w:rPr>
                <w:rFonts w:hint="eastAsia" w:ascii="宋体" w:cs="宋体"/>
                <w:szCs w:val="21"/>
              </w:rPr>
              <w:t>；</w:t>
            </w:r>
            <w:r>
              <w:rPr>
                <w:rFonts w:hint="eastAsia" w:ascii="宋体" w:cs="宋体"/>
                <w:szCs w:val="21"/>
                <w:lang w:val="zh-CN"/>
              </w:rPr>
              <w:t>成功缴纳后重新登录前述系统</w:t>
            </w:r>
            <w:r>
              <w:rPr>
                <w:rFonts w:hint="eastAsia" w:ascii="宋体" w:cs="宋体"/>
                <w:szCs w:val="21"/>
              </w:rPr>
              <w:t>，</w:t>
            </w:r>
            <w:r>
              <w:rPr>
                <w:rFonts w:hint="eastAsia" w:ascii="宋体" w:cs="宋体"/>
                <w:szCs w:val="21"/>
                <w:lang w:val="zh-CN"/>
              </w:rPr>
              <w:t>依次点击</w:t>
            </w:r>
            <w:r>
              <w:rPr>
                <w:rFonts w:hint="eastAsia" w:ascii="宋体" w:cs="宋体"/>
                <w:szCs w:val="21"/>
              </w:rPr>
              <w:t>“</w:t>
            </w:r>
            <w:r>
              <w:rPr>
                <w:rFonts w:hint="eastAsia" w:ascii="宋体" w:cs="宋体"/>
                <w:szCs w:val="21"/>
                <w:lang w:val="zh-CN"/>
              </w:rPr>
              <w:t>会员向导</w:t>
            </w:r>
            <w:r>
              <w:rPr>
                <w:rFonts w:hint="eastAsia" w:ascii="宋体" w:cs="宋体"/>
                <w:szCs w:val="21"/>
              </w:rPr>
              <w:t>”→“</w:t>
            </w:r>
            <w:r>
              <w:rPr>
                <w:rFonts w:hint="eastAsia" w:ascii="宋体" w:cs="宋体"/>
                <w:szCs w:val="21"/>
                <w:lang w:val="zh-CN"/>
              </w:rPr>
              <w:t>参与投标</w:t>
            </w:r>
            <w:r>
              <w:rPr>
                <w:rFonts w:hint="eastAsia" w:ascii="宋体" w:cs="宋体"/>
                <w:szCs w:val="21"/>
              </w:rPr>
              <w:t>”→“</w:t>
            </w:r>
            <w:r>
              <w:rPr>
                <w:rFonts w:hint="eastAsia" w:ascii="宋体" w:cs="宋体"/>
                <w:szCs w:val="21"/>
                <w:lang w:val="zh-CN"/>
              </w:rPr>
              <w:t>保证金绑定</w:t>
            </w:r>
            <w:r>
              <w:rPr>
                <w:rFonts w:hint="eastAsia" w:ascii="宋体" w:cs="宋体"/>
                <w:szCs w:val="21"/>
              </w:rPr>
              <w:t>”→“</w:t>
            </w:r>
            <w:r>
              <w:rPr>
                <w:rFonts w:hint="eastAsia" w:ascii="宋体" w:cs="宋体"/>
                <w:szCs w:val="21"/>
                <w:lang w:val="zh-CN"/>
              </w:rPr>
              <w:t>绑定</w:t>
            </w:r>
            <w:r>
              <w:rPr>
                <w:rFonts w:hint="eastAsia" w:ascii="宋体" w:cs="宋体"/>
                <w:szCs w:val="21"/>
              </w:rPr>
              <w:t>”</w:t>
            </w:r>
            <w:r>
              <w:rPr>
                <w:rFonts w:hint="eastAsia" w:ascii="宋体" w:cs="宋体"/>
                <w:szCs w:val="21"/>
                <w:lang w:val="zh-CN"/>
              </w:rPr>
              <w:t>进行投标保证金绑定。</w:t>
            </w:r>
          </w:p>
          <w:p>
            <w:pPr>
              <w:snapToGrid w:val="0"/>
              <w:spacing w:line="360" w:lineRule="auto"/>
              <w:ind w:firstLine="420" w:firstLineChars="200"/>
              <w:rPr>
                <w:rFonts w:ascii="宋体" w:cs="宋体"/>
                <w:szCs w:val="21"/>
                <w:lang w:val="zh-CN"/>
              </w:rPr>
            </w:pPr>
            <w:r>
              <w:rPr>
                <w:rFonts w:hint="eastAsia" w:ascii="宋体" w:cs="宋体"/>
                <w:szCs w:val="21"/>
                <w:lang w:val="zh-CN"/>
              </w:rPr>
              <w:t>投标人可根据提示情况决定是否重新缴纳。</w:t>
            </w:r>
          </w:p>
          <w:p>
            <w:pPr>
              <w:snapToGrid w:val="0"/>
              <w:spacing w:line="360" w:lineRule="auto"/>
              <w:ind w:firstLine="420" w:firstLineChars="200"/>
              <w:rPr>
                <w:rFonts w:ascii="宋体" w:cs="宋体"/>
                <w:szCs w:val="21"/>
                <w:lang w:val="zh-CN"/>
              </w:rPr>
            </w:pPr>
            <w:r>
              <w:rPr>
                <w:rFonts w:hint="eastAsia" w:ascii="宋体" w:cs="宋体"/>
                <w:szCs w:val="21"/>
                <w:lang w:val="zh-CN"/>
              </w:rPr>
              <w:t>保证金缴纳绑定问题咨询电话:0374-2961598。</w:t>
            </w:r>
          </w:p>
          <w:p>
            <w:pPr>
              <w:snapToGrid w:val="0"/>
              <w:spacing w:line="360" w:lineRule="auto"/>
              <w:ind w:firstLine="420" w:firstLineChars="200"/>
              <w:rPr>
                <w:rFonts w:ascii="宋体" w:cs="宋体"/>
                <w:szCs w:val="21"/>
                <w:lang w:val="zh-CN"/>
              </w:rPr>
            </w:pPr>
            <w:r>
              <w:rPr>
                <w:rFonts w:hint="eastAsia" w:ascii="宋体" w:cs="宋体"/>
                <w:szCs w:val="21"/>
                <w:lang w:val="zh-CN"/>
              </w:rPr>
              <w:t>4.2投标人的投标保证金须于投标截止时间前从其公司注册银行账户转出，以收款人到账时间为准，在途资金无效。同时投标人应承担节假日银行系统不能支付的风险。（不接受现金方式缴纳）。</w:t>
            </w:r>
          </w:p>
          <w:p>
            <w:pPr>
              <w:snapToGrid w:val="0"/>
              <w:spacing w:line="360" w:lineRule="auto"/>
              <w:ind w:firstLine="420" w:firstLineChars="200"/>
              <w:rPr>
                <w:rFonts w:ascii="宋体" w:cs="宋体"/>
                <w:szCs w:val="21"/>
                <w:lang w:val="zh-CN"/>
              </w:rPr>
            </w:pPr>
            <w:r>
              <w:rPr>
                <w:rFonts w:hint="eastAsia" w:ascii="宋体" w:cs="宋体"/>
                <w:szCs w:val="21"/>
                <w:lang w:val="zh-CN"/>
              </w:rPr>
              <w:t>4.3要一次足额缴纳并成功绑定投标保证金，每个投标人每个项目每个标段只有唯一缴纳账号。</w:t>
            </w:r>
          </w:p>
          <w:p>
            <w:pPr>
              <w:snapToGrid w:val="0"/>
              <w:spacing w:line="360" w:lineRule="auto"/>
              <w:ind w:firstLine="420" w:firstLineChars="200"/>
              <w:rPr>
                <w:rFonts w:ascii="宋体" w:cs="宋体"/>
                <w:szCs w:val="21"/>
                <w:lang w:val="zh-CN"/>
              </w:rPr>
            </w:pPr>
            <w:r>
              <w:rPr>
                <w:rFonts w:hint="eastAsia" w:ascii="宋体" w:cs="宋体"/>
                <w:szCs w:val="21"/>
                <w:lang w:val="zh-CN"/>
              </w:rPr>
              <w:t>4.4投标人严格按照“保证金缴纳说明单”内容缴纳投标保证金，并将缴纳凭证“许昌公共资源交易中心保证金缴纳回执”附投标文件中。同时开标现场提供一份“许昌公共资源交易中心保证金缴纳回执”以备查询。</w:t>
            </w:r>
          </w:p>
          <w:p>
            <w:pPr>
              <w:snapToGrid w:val="0"/>
              <w:spacing w:line="360" w:lineRule="auto"/>
              <w:ind w:firstLine="420" w:firstLineChars="200"/>
              <w:rPr>
                <w:rFonts w:ascii="宋体" w:cs="宋体"/>
                <w:szCs w:val="21"/>
                <w:lang w:val="zh-CN"/>
              </w:rPr>
            </w:pPr>
            <w:r>
              <w:rPr>
                <w:rFonts w:hint="eastAsia" w:ascii="宋体" w:cs="宋体"/>
                <w:szCs w:val="21"/>
                <w:lang w:val="zh-CN"/>
              </w:rPr>
              <w:t>4.5 提交保证金截止时间与开标时间一致。</w:t>
            </w:r>
          </w:p>
          <w:p>
            <w:pPr>
              <w:snapToGrid w:val="0"/>
              <w:spacing w:line="360" w:lineRule="auto"/>
              <w:ind w:firstLine="420" w:firstLineChars="200"/>
              <w:rPr>
                <w:rFonts w:ascii="宋体" w:cs="宋体"/>
                <w:szCs w:val="21"/>
                <w:lang w:val="zh-CN"/>
              </w:rPr>
            </w:pPr>
            <w:r>
              <w:rPr>
                <w:rFonts w:hint="eastAsia" w:ascii="宋体" w:cs="宋体"/>
                <w:szCs w:val="21"/>
                <w:lang w:val="zh-CN"/>
              </w:rPr>
              <w:t>4.6投标人所提交的投标保证金仅限当次投标项目（标段）有效，不得重复替代使用。一个招标项目有多个标段或者有多个项目同时招标的，投标人必须按项目、标段分别提交投标保证金。</w:t>
            </w:r>
          </w:p>
          <w:p>
            <w:pPr>
              <w:snapToGrid w:val="0"/>
              <w:spacing w:line="360" w:lineRule="auto"/>
              <w:ind w:firstLine="420" w:firstLineChars="200"/>
              <w:rPr>
                <w:rFonts w:ascii="宋体" w:hAnsi="宋体"/>
                <w:szCs w:val="21"/>
              </w:rPr>
            </w:pPr>
            <w:r>
              <w:rPr>
                <w:rFonts w:hint="eastAsia" w:ascii="宋体" w:hAnsi="宋体"/>
                <w:szCs w:val="21"/>
              </w:rPr>
              <w:t>4.7中心不开具保证金收款收据。</w:t>
            </w:r>
          </w:p>
          <w:p>
            <w:pPr>
              <w:snapToGrid w:val="0"/>
              <w:spacing w:line="360" w:lineRule="auto"/>
              <w:jc w:val="left"/>
              <w:rPr>
                <w:rFonts w:ascii="宋体" w:cs="宋体"/>
                <w:szCs w:val="21"/>
                <w:lang w:val="zh-CN"/>
              </w:rPr>
            </w:pPr>
            <w:r>
              <w:rPr>
                <w:rFonts w:hint="eastAsia" w:ascii="宋体" w:cs="宋体"/>
                <w:szCs w:val="21"/>
                <w:lang w:val="zh-CN"/>
              </w:rPr>
              <w:t>5、退还投标保证金时，区别成交与否，按不同时序由银行按来款途径原账户。</w:t>
            </w:r>
          </w:p>
          <w:p>
            <w:pPr>
              <w:snapToGrid w:val="0"/>
              <w:spacing w:line="360" w:lineRule="auto"/>
              <w:ind w:firstLine="420" w:firstLineChars="200"/>
              <w:jc w:val="left"/>
              <w:rPr>
                <w:rFonts w:ascii="宋体" w:hAnsi="宋体"/>
                <w:szCs w:val="21"/>
              </w:rPr>
            </w:pPr>
            <w:r>
              <w:rPr>
                <w:rFonts w:hint="eastAsia" w:ascii="宋体" w:cs="宋体"/>
                <w:szCs w:val="21"/>
                <w:lang w:val="zh-CN"/>
              </w:rPr>
              <w:t>5.1 未中标的供应商的投标保证金，在中标通知书发出后5个工作日内退还投标保证金及银行同期活期存款利息。</w:t>
            </w:r>
          </w:p>
          <w:p>
            <w:pPr>
              <w:spacing w:line="360" w:lineRule="auto"/>
              <w:ind w:firstLine="420" w:firstLineChars="200"/>
              <w:rPr>
                <w:rFonts w:ascii="宋体" w:cs="宋体"/>
                <w:szCs w:val="21"/>
                <w:lang w:val="zh-CN"/>
              </w:rPr>
            </w:pPr>
            <w:r>
              <w:rPr>
                <w:rFonts w:hint="eastAsia" w:ascii="宋体" w:cs="宋体"/>
                <w:szCs w:val="21"/>
                <w:lang w:val="zh-CN"/>
              </w:rPr>
              <w:t>5.2中标的供应商的投标保证金，在签订合同之日起5个工作日内退还投标保证金及银行同期活期存款利息。</w:t>
            </w:r>
          </w:p>
          <w:p>
            <w:pPr>
              <w:spacing w:line="360" w:lineRule="auto"/>
              <w:ind w:firstLine="420" w:firstLineChars="200"/>
              <w:rPr>
                <w:rFonts w:ascii="宋体" w:cs="宋体"/>
                <w:szCs w:val="21"/>
                <w:lang w:val="zh-CN"/>
              </w:rPr>
            </w:pPr>
            <w:r>
              <w:rPr>
                <w:rFonts w:hint="eastAsia" w:ascii="宋体" w:hAnsi="宋体"/>
                <w:szCs w:val="21"/>
              </w:rPr>
              <w:t>以上事项，请投标人仔细研读，未按规定操作引起的无效投标，由投标人自行负责。</w:t>
            </w:r>
          </w:p>
          <w:p>
            <w:pPr>
              <w:spacing w:line="360" w:lineRule="auto"/>
              <w:rPr>
                <w:rFonts w:ascii="宋体" w:cs="宋体"/>
                <w:szCs w:val="21"/>
                <w:lang w:val="zh-CN"/>
              </w:rPr>
            </w:pPr>
            <w:r>
              <w:rPr>
                <w:rFonts w:hint="eastAsia" w:ascii="宋体" w:hAnsi="宋体"/>
                <w:szCs w:val="21"/>
              </w:rPr>
              <w:t>6、特殊情况处理</w:t>
            </w:r>
          </w:p>
          <w:p>
            <w:pPr>
              <w:spacing w:line="360" w:lineRule="auto"/>
              <w:ind w:firstLine="420" w:firstLineChars="200"/>
              <w:rPr>
                <w:rFonts w:ascii="宋体" w:cs="宋体"/>
                <w:szCs w:val="21"/>
                <w:lang w:val="zh-CN"/>
              </w:rPr>
            </w:pPr>
            <w:r>
              <w:rPr>
                <w:rFonts w:hint="eastAsia" w:ascii="宋体" w:hAnsi="宋体"/>
                <w:szCs w:val="21"/>
              </w:rPr>
              <w:t>6.1</w:t>
            </w:r>
            <w:r>
              <w:rPr>
                <w:rFonts w:hint="eastAsia" w:ascii="宋体" w:cs="宋体"/>
                <w:szCs w:val="21"/>
                <w:lang w:val="zh-CN"/>
              </w:rPr>
              <w:t>投标人投标过程中因账户开户银行、银行账号发生变化，不能按照来款途径原路返还投标保证金的，投标人须提供原账户开户银行相关证明及新开账户开户许可证，到中心五楼交易见证部办理退款手续。</w:t>
            </w:r>
          </w:p>
          <w:p>
            <w:pPr>
              <w:spacing w:line="360" w:lineRule="auto"/>
              <w:ind w:firstLine="420" w:firstLineChars="200"/>
              <w:rPr>
                <w:rFonts w:ascii="宋体" w:cs="宋体"/>
                <w:szCs w:val="21"/>
                <w:lang w:val="zh-CN"/>
              </w:rPr>
            </w:pPr>
            <w:r>
              <w:rPr>
                <w:rFonts w:hint="eastAsia" w:ascii="宋体" w:cs="宋体"/>
                <w:szCs w:val="21"/>
                <w:lang w:val="zh-CN"/>
              </w:rPr>
              <w:t>6.2因供应商自身原因无法及时退还投标保证金、滞留三年以上的，投标保证金上缴财政。</w:t>
            </w:r>
          </w:p>
          <w:p>
            <w:pPr>
              <w:snapToGrid w:val="0"/>
              <w:spacing w:line="360" w:lineRule="auto"/>
              <w:rPr>
                <w:rFonts w:ascii="宋体" w:hAnsi="宋体"/>
                <w:szCs w:val="21"/>
              </w:rPr>
            </w:pPr>
            <w:r>
              <w:rPr>
                <w:rFonts w:hint="eastAsia" w:ascii="宋体" w:cs="宋体"/>
                <w:szCs w:val="21"/>
                <w:lang w:val="zh-CN"/>
              </w:rPr>
              <w:t>7、发生以下情况投标保证金不予退还：</w:t>
            </w:r>
          </w:p>
          <w:p>
            <w:pPr>
              <w:snapToGrid w:val="0"/>
              <w:spacing w:line="360" w:lineRule="auto"/>
              <w:ind w:firstLine="482"/>
              <w:rPr>
                <w:rFonts w:ascii="宋体" w:hAnsi="宋体"/>
                <w:szCs w:val="21"/>
              </w:rPr>
            </w:pPr>
            <w:r>
              <w:rPr>
                <w:rFonts w:hint="eastAsia" w:ascii="宋体" w:cs="宋体"/>
                <w:szCs w:val="21"/>
                <w:lang w:val="zh-CN"/>
              </w:rPr>
              <w:t>7.1供应商在提交投标文件截止时间后撤回投标文件的；</w:t>
            </w:r>
          </w:p>
          <w:p>
            <w:pPr>
              <w:snapToGrid w:val="0"/>
              <w:spacing w:line="360" w:lineRule="auto"/>
              <w:ind w:firstLine="482"/>
              <w:rPr>
                <w:rFonts w:ascii="宋体" w:hAnsi="宋体"/>
                <w:szCs w:val="21"/>
              </w:rPr>
            </w:pPr>
            <w:r>
              <w:rPr>
                <w:rFonts w:hint="eastAsia" w:ascii="宋体" w:cs="宋体"/>
                <w:szCs w:val="21"/>
                <w:lang w:val="zh-CN"/>
              </w:rPr>
              <w:t>7.2 供应商在投标文件中提供虚假材料的；</w:t>
            </w:r>
          </w:p>
          <w:p>
            <w:pPr>
              <w:snapToGrid w:val="0"/>
              <w:spacing w:line="360" w:lineRule="auto"/>
              <w:ind w:firstLine="482"/>
              <w:rPr>
                <w:rFonts w:ascii="宋体" w:hAnsi="宋体"/>
                <w:szCs w:val="21"/>
              </w:rPr>
            </w:pPr>
            <w:r>
              <w:rPr>
                <w:rFonts w:hint="eastAsia" w:ascii="宋体" w:cs="宋体"/>
                <w:szCs w:val="21"/>
                <w:lang w:val="zh-CN"/>
              </w:rPr>
              <w:t>7.3 除因不可抗力或投标文件认可的情形以外，成交供应商不与采购人签订合同的；</w:t>
            </w:r>
          </w:p>
          <w:p>
            <w:pPr>
              <w:snapToGrid w:val="0"/>
              <w:spacing w:line="360" w:lineRule="auto"/>
              <w:ind w:firstLine="482"/>
              <w:rPr>
                <w:rFonts w:ascii="宋体" w:cs="宋体"/>
                <w:szCs w:val="21"/>
                <w:lang w:val="zh-CN"/>
              </w:rPr>
            </w:pPr>
            <w:r>
              <w:rPr>
                <w:rFonts w:hint="eastAsia" w:ascii="宋体" w:cs="宋体"/>
                <w:szCs w:val="21"/>
                <w:lang w:val="zh-CN"/>
              </w:rPr>
              <w:t>7.4 供应商与采购人、其他供应商或者采购代理机构恶意串通的；</w:t>
            </w:r>
          </w:p>
          <w:p>
            <w:pPr>
              <w:snapToGrid w:val="0"/>
              <w:spacing w:line="360" w:lineRule="auto"/>
              <w:ind w:firstLine="482"/>
              <w:rPr>
                <w:rFonts w:ascii="宋体" w:hAnsi="宋体"/>
              </w:rPr>
            </w:pPr>
            <w:r>
              <w:rPr>
                <w:rFonts w:hint="eastAsia" w:ascii="宋体" w:cs="宋体"/>
                <w:szCs w:val="21"/>
                <w:lang w:val="zh-CN"/>
              </w:rPr>
              <w:t>7.5 法律法规及招标文件规定的其他情形。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815" w:type="dxa"/>
            <w:vAlign w:val="center"/>
          </w:tcPr>
          <w:p>
            <w:pPr>
              <w:jc w:val="center"/>
              <w:rPr>
                <w:rFonts w:ascii="宋体" w:hAnsi="宋体"/>
                <w:b/>
                <w:szCs w:val="21"/>
              </w:rPr>
            </w:pPr>
            <w:r>
              <w:rPr>
                <w:rFonts w:hint="eastAsia" w:ascii="宋体" w:hAnsi="宋体"/>
                <w:b/>
                <w:szCs w:val="21"/>
              </w:rPr>
              <w:t>投标文件的拒收</w:t>
            </w:r>
          </w:p>
        </w:tc>
        <w:tc>
          <w:tcPr>
            <w:tcW w:w="8049" w:type="dxa"/>
            <w:vAlign w:val="center"/>
          </w:tcPr>
          <w:p>
            <w:pPr>
              <w:rPr>
                <w:rFonts w:ascii="宋体" w:hAnsi="宋体"/>
                <w:szCs w:val="21"/>
              </w:rPr>
            </w:pPr>
            <w:r>
              <w:rPr>
                <w:rFonts w:hint="eastAsia" w:ascii="宋体" w:hAnsi="宋体"/>
                <w:szCs w:val="21"/>
              </w:rPr>
              <w:t>1、逾期送达的或者未送达指定地点的投标文件；</w:t>
            </w:r>
          </w:p>
          <w:p>
            <w:pPr>
              <w:rPr>
                <w:rFonts w:ascii="宋体" w:hAnsi="宋体"/>
                <w:szCs w:val="21"/>
              </w:rPr>
            </w:pPr>
            <w:r>
              <w:rPr>
                <w:rFonts w:hint="eastAsia" w:ascii="宋体" w:hAnsi="宋体"/>
                <w:szCs w:val="21"/>
              </w:rPr>
              <w:t>2、投标文件未按招标文件要求密封的；</w:t>
            </w:r>
          </w:p>
          <w:p>
            <w:pPr>
              <w:rPr>
                <w:rFonts w:ascii="宋体" w:hAnsi="宋体"/>
                <w:szCs w:val="21"/>
              </w:rPr>
            </w:pPr>
            <w:r>
              <w:rPr>
                <w:rFonts w:hint="eastAsia" w:ascii="宋体" w:hAnsi="宋体"/>
                <w:szCs w:val="21"/>
              </w:rPr>
              <w:t>3、未按招标文件要求缴纳投标保证金的；</w:t>
            </w:r>
          </w:p>
          <w:p>
            <w:pPr>
              <w:rPr>
                <w:rFonts w:ascii="宋体" w:hAnsi="宋体"/>
                <w:szCs w:val="21"/>
              </w:rPr>
            </w:pPr>
            <w:r>
              <w:rPr>
                <w:rFonts w:hint="eastAsia" w:ascii="宋体" w:hAnsi="宋体"/>
                <w:szCs w:val="21"/>
              </w:rPr>
              <w:t>4、未按开标时法定代表人或授权委托人（持有效的授权委托书）未携带本人身份证到开标现场并签到的；</w:t>
            </w:r>
          </w:p>
          <w:p>
            <w:pPr>
              <w:rPr>
                <w:rFonts w:ascii="宋体" w:hAnsi="宋体"/>
                <w:szCs w:val="21"/>
              </w:rPr>
            </w:pPr>
            <w:r>
              <w:rPr>
                <w:rFonts w:hint="eastAsia" w:ascii="宋体" w:hAnsi="宋体"/>
                <w:szCs w:val="21"/>
              </w:rPr>
              <w:t>5、未按照规定支付招标文件费用的；</w:t>
            </w:r>
          </w:p>
          <w:p>
            <w:pPr>
              <w:rPr>
                <w:rFonts w:ascii="宋体" w:hAnsi="宋体"/>
                <w:szCs w:val="21"/>
                <w:lang w:val="zh-CN"/>
              </w:rPr>
            </w:pPr>
            <w:r>
              <w:rPr>
                <w:rFonts w:hint="eastAsia" w:ascii="宋体" w:hAnsi="宋体"/>
                <w:szCs w:val="21"/>
              </w:rPr>
              <w:t>6、未通过全国公共资源交易平台（河南省·许昌市）上下载招标文件的。</w:t>
            </w:r>
          </w:p>
        </w:tc>
      </w:tr>
    </w:tbl>
    <w:p>
      <w:bookmarkStart w:id="8" w:name="_Toc267574102"/>
      <w:bookmarkStart w:id="9" w:name="_Toc270946169"/>
    </w:p>
    <w:p>
      <w:pPr>
        <w:spacing w:line="360" w:lineRule="auto"/>
        <w:ind w:firstLine="422" w:firstLineChars="200"/>
        <w:rPr>
          <w:rFonts w:ascii="宋体" w:hAnsi="宋体"/>
          <w:szCs w:val="21"/>
        </w:rPr>
      </w:pPr>
      <w:r>
        <w:rPr>
          <w:rFonts w:hint="eastAsia" w:ascii="宋体" w:hAnsi="宋体"/>
          <w:b/>
          <w:szCs w:val="21"/>
        </w:rPr>
        <w:t>A 说明和释义</w:t>
      </w:r>
    </w:p>
    <w:p>
      <w:pPr>
        <w:autoSpaceDE w:val="0"/>
        <w:autoSpaceDN w:val="0"/>
        <w:adjustRightInd w:val="0"/>
        <w:spacing w:line="360" w:lineRule="auto"/>
        <w:ind w:firstLine="560"/>
        <w:jc w:val="left"/>
        <w:rPr>
          <w:rFonts w:ascii="宋体" w:hAnsi="宋体"/>
          <w:szCs w:val="21"/>
        </w:rPr>
      </w:pPr>
      <w:r>
        <w:rPr>
          <w:rFonts w:hint="eastAsia" w:ascii="宋体" w:hAnsi="宋体"/>
          <w:szCs w:val="21"/>
          <w:lang w:val="zh-CN"/>
        </w:rPr>
        <w:t>1.适用范围</w:t>
      </w:r>
    </w:p>
    <w:p>
      <w:pPr>
        <w:autoSpaceDE w:val="0"/>
        <w:autoSpaceDN w:val="0"/>
        <w:adjustRightInd w:val="0"/>
        <w:spacing w:line="360" w:lineRule="auto"/>
        <w:ind w:firstLine="560"/>
        <w:jc w:val="left"/>
        <w:rPr>
          <w:rFonts w:ascii="宋体" w:hAnsi="宋体"/>
          <w:szCs w:val="21"/>
        </w:rPr>
      </w:pPr>
      <w:r>
        <w:rPr>
          <w:rFonts w:hint="eastAsia" w:ascii="宋体" w:hAnsi="宋体"/>
          <w:szCs w:val="21"/>
          <w:lang w:val="zh-CN"/>
        </w:rPr>
        <w:t>本招标文件仅适用于本次招标项目。</w:t>
      </w:r>
    </w:p>
    <w:p>
      <w:pPr>
        <w:autoSpaceDE w:val="0"/>
        <w:autoSpaceDN w:val="0"/>
        <w:adjustRightInd w:val="0"/>
        <w:spacing w:line="360" w:lineRule="auto"/>
        <w:ind w:firstLine="560"/>
        <w:jc w:val="left"/>
        <w:rPr>
          <w:rFonts w:ascii="宋体" w:hAnsi="宋体"/>
          <w:szCs w:val="21"/>
        </w:rPr>
      </w:pPr>
      <w:r>
        <w:rPr>
          <w:rFonts w:hint="eastAsia" w:ascii="宋体" w:hAnsi="宋体"/>
          <w:szCs w:val="21"/>
          <w:lang w:val="zh-CN"/>
        </w:rPr>
        <w:t>2.定义</w:t>
      </w:r>
    </w:p>
    <w:p>
      <w:pPr>
        <w:autoSpaceDE w:val="0"/>
        <w:autoSpaceDN w:val="0"/>
        <w:adjustRightInd w:val="0"/>
        <w:spacing w:line="360" w:lineRule="auto"/>
        <w:ind w:firstLine="560"/>
        <w:rPr>
          <w:rFonts w:ascii="宋体" w:hAnsi="宋体"/>
          <w:szCs w:val="21"/>
          <w:lang w:val="zh-CN"/>
        </w:rPr>
      </w:pPr>
      <w:r>
        <w:rPr>
          <w:rFonts w:hint="eastAsia" w:ascii="宋体" w:hAnsi="宋体"/>
          <w:szCs w:val="21"/>
          <w:lang w:val="zh-CN"/>
        </w:rPr>
        <w:t>2.1“采购人”系指本项目采购的单位，受采购人委托组织本次招标的是西安红城建设项目管理有限公司。</w:t>
      </w:r>
    </w:p>
    <w:p>
      <w:pPr>
        <w:autoSpaceDE w:val="0"/>
        <w:autoSpaceDN w:val="0"/>
        <w:adjustRightInd w:val="0"/>
        <w:spacing w:line="360" w:lineRule="auto"/>
        <w:ind w:firstLine="560"/>
        <w:rPr>
          <w:rFonts w:ascii="宋体" w:hAnsi="宋体"/>
          <w:szCs w:val="21"/>
          <w:lang w:val="zh-CN"/>
        </w:rPr>
      </w:pPr>
      <w:r>
        <w:rPr>
          <w:rFonts w:hint="eastAsia" w:ascii="宋体" w:hAnsi="宋体"/>
          <w:szCs w:val="21"/>
        </w:rPr>
        <w:t>2.</w:t>
      </w:r>
      <w:r>
        <w:rPr>
          <w:rFonts w:hint="eastAsia" w:ascii="宋体" w:hAnsi="宋体"/>
          <w:szCs w:val="21"/>
          <w:lang w:val="zh-CN"/>
        </w:rPr>
        <w:t xml:space="preserve">2“供应商”系指向采购人提交投标文件的供应商（公司或企业）。    </w:t>
      </w:r>
    </w:p>
    <w:p>
      <w:pPr>
        <w:autoSpaceDE w:val="0"/>
        <w:autoSpaceDN w:val="0"/>
        <w:adjustRightInd w:val="0"/>
        <w:spacing w:line="360" w:lineRule="auto"/>
        <w:ind w:firstLine="560"/>
        <w:rPr>
          <w:rFonts w:ascii="宋体" w:hAnsi="宋体"/>
          <w:szCs w:val="21"/>
        </w:rPr>
      </w:pPr>
      <w:r>
        <w:rPr>
          <w:rFonts w:hint="eastAsia" w:ascii="宋体" w:hAnsi="宋体"/>
          <w:szCs w:val="21"/>
          <w:lang w:val="zh-CN"/>
        </w:rPr>
        <w:t>2.3“项目需求” 系指供应商按招标文件规定，须向采购方提供的货物或服务。</w:t>
      </w:r>
    </w:p>
    <w:p>
      <w:pPr>
        <w:autoSpaceDE w:val="0"/>
        <w:autoSpaceDN w:val="0"/>
        <w:adjustRightInd w:val="0"/>
        <w:spacing w:line="360" w:lineRule="auto"/>
        <w:ind w:firstLine="560"/>
        <w:rPr>
          <w:rFonts w:ascii="宋体" w:hAnsi="宋体"/>
          <w:szCs w:val="21"/>
        </w:rPr>
      </w:pPr>
      <w:r>
        <w:rPr>
          <w:rFonts w:hint="eastAsia" w:ascii="宋体" w:hAnsi="宋体"/>
          <w:szCs w:val="21"/>
          <w:lang w:val="zh-CN"/>
        </w:rPr>
        <w:t>3.合格的供应商：</w:t>
      </w:r>
    </w:p>
    <w:p>
      <w:pPr>
        <w:autoSpaceDE w:val="0"/>
        <w:autoSpaceDN w:val="0"/>
        <w:adjustRightInd w:val="0"/>
        <w:spacing w:line="360" w:lineRule="auto"/>
        <w:ind w:firstLine="560"/>
        <w:rPr>
          <w:rFonts w:ascii="宋体" w:hAnsi="宋体"/>
          <w:szCs w:val="21"/>
        </w:rPr>
      </w:pPr>
      <w:r>
        <w:rPr>
          <w:rFonts w:hint="eastAsia" w:ascii="宋体" w:hAnsi="宋体"/>
          <w:szCs w:val="21"/>
          <w:lang w:val="zh-CN"/>
        </w:rPr>
        <w:t>详见招标公告第3条。</w:t>
      </w:r>
    </w:p>
    <w:p>
      <w:pPr>
        <w:autoSpaceDE w:val="0"/>
        <w:autoSpaceDN w:val="0"/>
        <w:adjustRightInd w:val="0"/>
        <w:spacing w:line="360" w:lineRule="auto"/>
        <w:ind w:firstLine="482"/>
        <w:jc w:val="left"/>
        <w:rPr>
          <w:rFonts w:ascii="宋体" w:hAnsi="宋体"/>
          <w:szCs w:val="21"/>
        </w:rPr>
      </w:pPr>
      <w:r>
        <w:rPr>
          <w:rFonts w:hint="eastAsia" w:ascii="宋体" w:hAnsi="宋体"/>
          <w:szCs w:val="21"/>
          <w:lang w:val="zh-CN"/>
        </w:rPr>
        <w:t>4.投标费用</w:t>
      </w:r>
    </w:p>
    <w:p>
      <w:pPr>
        <w:autoSpaceDE w:val="0"/>
        <w:autoSpaceDN w:val="0"/>
        <w:adjustRightInd w:val="0"/>
        <w:spacing w:line="360" w:lineRule="auto"/>
        <w:ind w:firstLine="560"/>
        <w:rPr>
          <w:rFonts w:ascii="宋体" w:hAnsi="宋体"/>
          <w:szCs w:val="21"/>
          <w:lang w:val="zh-CN"/>
        </w:rPr>
      </w:pPr>
      <w:r>
        <w:rPr>
          <w:rFonts w:hint="eastAsia" w:ascii="宋体" w:hAnsi="宋体"/>
          <w:szCs w:val="21"/>
          <w:lang w:val="zh-CN"/>
        </w:rPr>
        <w:t>无论投标过程和结果如何，供应商自行承担与投标有关的全部费用。采购人在任何情况下均无义务和责任承担上述费用。</w:t>
      </w:r>
    </w:p>
    <w:p>
      <w:pPr>
        <w:spacing w:line="360" w:lineRule="auto"/>
        <w:ind w:firstLine="422" w:firstLineChars="200"/>
        <w:rPr>
          <w:rFonts w:ascii="宋体" w:hAnsi="宋体"/>
          <w:b/>
          <w:szCs w:val="21"/>
        </w:rPr>
      </w:pPr>
      <w:r>
        <w:rPr>
          <w:rFonts w:hint="eastAsia" w:ascii="宋体" w:hAnsi="宋体"/>
          <w:b/>
          <w:szCs w:val="21"/>
        </w:rPr>
        <w:t>B 招标文件说明</w:t>
      </w:r>
    </w:p>
    <w:p>
      <w:pPr>
        <w:autoSpaceDE w:val="0"/>
        <w:autoSpaceDN w:val="0"/>
        <w:adjustRightInd w:val="0"/>
        <w:spacing w:line="360" w:lineRule="auto"/>
        <w:ind w:left="461"/>
        <w:jc w:val="left"/>
        <w:rPr>
          <w:rFonts w:ascii="宋体" w:hAnsi="宋体"/>
          <w:kern w:val="0"/>
          <w:szCs w:val="21"/>
          <w:lang w:val="zh-CN"/>
        </w:rPr>
      </w:pPr>
      <w:r>
        <w:rPr>
          <w:rFonts w:hint="eastAsia" w:ascii="宋体" w:hAnsi="宋体"/>
          <w:szCs w:val="21"/>
          <w:lang w:val="zh-CN"/>
        </w:rPr>
        <w:t>5.</w:t>
      </w:r>
      <w:r>
        <w:rPr>
          <w:rFonts w:hint="eastAsia" w:ascii="宋体" w:hAnsi="宋体"/>
          <w:kern w:val="0"/>
          <w:szCs w:val="21"/>
          <w:lang w:val="zh-CN"/>
        </w:rPr>
        <w:t>招标文件的组成</w:t>
      </w:r>
    </w:p>
    <w:p>
      <w:pPr>
        <w:autoSpaceDE w:val="0"/>
        <w:autoSpaceDN w:val="0"/>
        <w:adjustRightInd w:val="0"/>
        <w:spacing w:line="360" w:lineRule="auto"/>
        <w:ind w:firstLine="420" w:firstLineChars="200"/>
        <w:jc w:val="left"/>
        <w:rPr>
          <w:rFonts w:ascii="宋体" w:hAnsi="宋体"/>
          <w:kern w:val="0"/>
          <w:szCs w:val="21"/>
          <w:lang w:val="zh-CN"/>
        </w:rPr>
      </w:pPr>
      <w:r>
        <w:rPr>
          <w:rFonts w:hint="eastAsia" w:ascii="宋体" w:hAnsi="宋体"/>
          <w:kern w:val="0"/>
          <w:szCs w:val="21"/>
          <w:lang w:val="zh-CN"/>
        </w:rPr>
        <w:t>5.1招标文件用以阐明采购所需的货物或服务，以及招标投标程序和合同条款。招标文件由下述部分组成：</w:t>
      </w:r>
    </w:p>
    <w:p>
      <w:pPr>
        <w:autoSpaceDE w:val="0"/>
        <w:autoSpaceDN w:val="0"/>
        <w:adjustRightInd w:val="0"/>
        <w:spacing w:line="360" w:lineRule="auto"/>
        <w:ind w:firstLine="420" w:firstLineChars="200"/>
        <w:jc w:val="left"/>
        <w:rPr>
          <w:rFonts w:ascii="宋体" w:hAnsi="宋体"/>
          <w:kern w:val="0"/>
          <w:szCs w:val="21"/>
          <w:lang w:val="zh-CN"/>
        </w:rPr>
      </w:pPr>
      <w:r>
        <w:rPr>
          <w:rFonts w:hint="eastAsia" w:ascii="宋体" w:hAnsi="宋体"/>
          <w:kern w:val="0"/>
          <w:szCs w:val="21"/>
          <w:lang w:val="zh-CN"/>
        </w:rPr>
        <w:t xml:space="preserve">5.1.1投标邀请函 </w:t>
      </w:r>
    </w:p>
    <w:p>
      <w:pPr>
        <w:autoSpaceDE w:val="0"/>
        <w:autoSpaceDN w:val="0"/>
        <w:adjustRightInd w:val="0"/>
        <w:spacing w:line="360" w:lineRule="auto"/>
        <w:ind w:firstLine="420" w:firstLineChars="200"/>
        <w:jc w:val="left"/>
        <w:rPr>
          <w:rFonts w:ascii="宋体" w:hAnsi="宋体"/>
          <w:kern w:val="0"/>
          <w:szCs w:val="21"/>
          <w:lang w:val="zh-CN"/>
        </w:rPr>
      </w:pPr>
      <w:r>
        <w:rPr>
          <w:rFonts w:hint="eastAsia" w:ascii="宋体" w:hAnsi="宋体"/>
          <w:kern w:val="0"/>
          <w:szCs w:val="21"/>
          <w:lang w:val="zh-CN"/>
        </w:rPr>
        <w:t>5.1.2采购需求及其它要求</w:t>
      </w:r>
    </w:p>
    <w:p>
      <w:pPr>
        <w:autoSpaceDE w:val="0"/>
        <w:autoSpaceDN w:val="0"/>
        <w:adjustRightInd w:val="0"/>
        <w:spacing w:line="360" w:lineRule="auto"/>
        <w:ind w:firstLine="420" w:firstLineChars="200"/>
        <w:jc w:val="left"/>
        <w:rPr>
          <w:rFonts w:ascii="宋体" w:hAnsi="宋体"/>
          <w:kern w:val="0"/>
          <w:szCs w:val="21"/>
          <w:lang w:val="zh-CN"/>
        </w:rPr>
      </w:pPr>
      <w:r>
        <w:rPr>
          <w:rFonts w:hint="eastAsia" w:ascii="宋体" w:hAnsi="宋体"/>
          <w:kern w:val="0"/>
          <w:szCs w:val="21"/>
          <w:lang w:val="zh-CN"/>
        </w:rPr>
        <w:t>5.1.3评标办法</w:t>
      </w:r>
    </w:p>
    <w:p>
      <w:pPr>
        <w:autoSpaceDE w:val="0"/>
        <w:autoSpaceDN w:val="0"/>
        <w:adjustRightInd w:val="0"/>
        <w:spacing w:line="360" w:lineRule="auto"/>
        <w:ind w:firstLine="420" w:firstLineChars="200"/>
        <w:jc w:val="left"/>
        <w:rPr>
          <w:rFonts w:ascii="宋体" w:hAnsi="宋体"/>
          <w:kern w:val="0"/>
          <w:szCs w:val="21"/>
          <w:lang w:val="zh-CN"/>
        </w:rPr>
      </w:pPr>
      <w:r>
        <w:rPr>
          <w:rFonts w:hint="eastAsia" w:ascii="宋体" w:hAnsi="宋体"/>
          <w:kern w:val="0"/>
          <w:szCs w:val="21"/>
          <w:lang w:val="zh-CN"/>
        </w:rPr>
        <w:t>5.1.4供应商须知</w:t>
      </w:r>
    </w:p>
    <w:p>
      <w:pPr>
        <w:autoSpaceDE w:val="0"/>
        <w:autoSpaceDN w:val="0"/>
        <w:adjustRightInd w:val="0"/>
        <w:spacing w:line="360" w:lineRule="auto"/>
        <w:ind w:firstLine="420" w:firstLineChars="200"/>
        <w:jc w:val="left"/>
        <w:rPr>
          <w:rFonts w:ascii="宋体" w:hAnsi="宋体"/>
          <w:kern w:val="0"/>
          <w:szCs w:val="21"/>
          <w:lang w:val="zh-CN"/>
        </w:rPr>
      </w:pPr>
      <w:r>
        <w:rPr>
          <w:rFonts w:hint="eastAsia" w:ascii="宋体" w:hAnsi="宋体"/>
          <w:kern w:val="0"/>
          <w:szCs w:val="21"/>
          <w:lang w:val="zh-CN"/>
        </w:rPr>
        <w:t>5.1.5合同一般条款</w:t>
      </w:r>
    </w:p>
    <w:p>
      <w:pPr>
        <w:autoSpaceDE w:val="0"/>
        <w:autoSpaceDN w:val="0"/>
        <w:adjustRightInd w:val="0"/>
        <w:spacing w:line="360" w:lineRule="auto"/>
        <w:ind w:firstLine="420" w:firstLineChars="200"/>
        <w:jc w:val="left"/>
        <w:rPr>
          <w:rFonts w:ascii="宋体" w:hAnsi="宋体"/>
          <w:kern w:val="0"/>
          <w:szCs w:val="21"/>
          <w:lang w:val="zh-CN"/>
        </w:rPr>
      </w:pPr>
      <w:r>
        <w:rPr>
          <w:rFonts w:hint="eastAsia" w:ascii="宋体" w:hAnsi="宋体"/>
          <w:kern w:val="0"/>
          <w:szCs w:val="21"/>
          <w:lang w:val="zh-CN"/>
        </w:rPr>
        <w:t>5.1.6合同特殊条款（针对该项目双方约定的主要内容）</w:t>
      </w:r>
    </w:p>
    <w:p>
      <w:pPr>
        <w:autoSpaceDE w:val="0"/>
        <w:autoSpaceDN w:val="0"/>
        <w:adjustRightInd w:val="0"/>
        <w:spacing w:line="360" w:lineRule="auto"/>
        <w:ind w:firstLine="420" w:firstLineChars="200"/>
        <w:jc w:val="left"/>
        <w:rPr>
          <w:rFonts w:ascii="宋体" w:hAnsi="宋体"/>
          <w:kern w:val="0"/>
          <w:szCs w:val="21"/>
          <w:lang w:val="zh-CN"/>
        </w:rPr>
      </w:pPr>
      <w:r>
        <w:rPr>
          <w:rFonts w:hint="eastAsia" w:ascii="宋体" w:hAnsi="宋体"/>
          <w:kern w:val="0"/>
          <w:szCs w:val="21"/>
          <w:lang w:val="zh-CN"/>
        </w:rPr>
        <w:t>5.1.7合同样本</w:t>
      </w:r>
    </w:p>
    <w:p>
      <w:pPr>
        <w:autoSpaceDE w:val="0"/>
        <w:autoSpaceDN w:val="0"/>
        <w:adjustRightInd w:val="0"/>
        <w:spacing w:line="360" w:lineRule="auto"/>
        <w:ind w:firstLine="420" w:firstLineChars="200"/>
        <w:jc w:val="left"/>
        <w:rPr>
          <w:rFonts w:ascii="宋体" w:hAnsi="宋体"/>
          <w:kern w:val="0"/>
          <w:szCs w:val="21"/>
          <w:lang w:val="zh-CN"/>
        </w:rPr>
      </w:pPr>
      <w:r>
        <w:rPr>
          <w:rFonts w:hint="eastAsia" w:ascii="宋体" w:hAnsi="宋体"/>
          <w:kern w:val="0"/>
          <w:szCs w:val="21"/>
          <w:lang w:val="zh-CN"/>
        </w:rPr>
        <w:t>5.1.8附件</w:t>
      </w:r>
    </w:p>
    <w:p>
      <w:pPr>
        <w:pStyle w:val="41"/>
        <w:snapToGrid/>
        <w:jc w:val="left"/>
        <w:rPr>
          <w:rFonts w:ascii="宋体" w:hAnsi="宋体"/>
          <w:color w:val="auto"/>
        </w:rPr>
      </w:pPr>
      <w:r>
        <w:rPr>
          <w:rFonts w:hint="eastAsia" w:ascii="宋体" w:hAnsi="宋体"/>
          <w:color w:val="auto"/>
        </w:rPr>
        <w:t>5.2供应商应清楚招标文件应该直接从全国公共资源交易平台（河南省·许昌市）获取，未通过全国公共资源交易平台（河南省·许昌市）下载招标文件的供应商，其递交的投标文件将拒收。</w:t>
      </w:r>
    </w:p>
    <w:p>
      <w:pPr>
        <w:pStyle w:val="41"/>
        <w:snapToGrid/>
        <w:jc w:val="left"/>
        <w:rPr>
          <w:rFonts w:ascii="宋体" w:hAnsi="宋体"/>
          <w:color w:val="auto"/>
        </w:rPr>
      </w:pPr>
      <w:r>
        <w:rPr>
          <w:rFonts w:hint="eastAsia" w:ascii="宋体" w:hAnsi="宋体"/>
          <w:color w:val="auto"/>
        </w:rPr>
        <w:t>5.3本招标文件以全国公共资源交易平台（河南省·许昌市）发出的电子版招标文件为准，不出售或提供纸质版招标文件。</w:t>
      </w:r>
    </w:p>
    <w:p>
      <w:pPr>
        <w:numPr>
          <w:ilvl w:val="0"/>
          <w:numId w:val="11"/>
        </w:numPr>
        <w:autoSpaceDE w:val="0"/>
        <w:autoSpaceDN w:val="0"/>
        <w:adjustRightInd w:val="0"/>
        <w:spacing w:line="360" w:lineRule="auto"/>
        <w:ind w:firstLine="420" w:firstLineChars="200"/>
        <w:rPr>
          <w:rFonts w:ascii="宋体" w:hAnsi="宋体"/>
          <w:szCs w:val="21"/>
          <w:lang w:val="zh-CN"/>
        </w:rPr>
      </w:pPr>
      <w:r>
        <w:rPr>
          <w:rFonts w:hint="eastAsia" w:ascii="宋体" w:hAnsi="宋体"/>
          <w:szCs w:val="21"/>
          <w:lang w:val="zh-CN"/>
        </w:rPr>
        <w:t>招标文件的澄清</w:t>
      </w:r>
    </w:p>
    <w:p>
      <w:pPr>
        <w:autoSpaceDE w:val="0"/>
        <w:autoSpaceDN w:val="0"/>
        <w:adjustRightInd w:val="0"/>
        <w:spacing w:line="360" w:lineRule="auto"/>
        <w:rPr>
          <w:rFonts w:ascii="宋体" w:hAnsi="宋体"/>
          <w:szCs w:val="21"/>
          <w:lang w:val="zh-CN"/>
        </w:rPr>
      </w:pPr>
      <w:r>
        <w:rPr>
          <w:rFonts w:hint="eastAsia" w:ascii="宋体" w:hAnsi="宋体"/>
          <w:szCs w:val="21"/>
          <w:lang w:val="zh-CN"/>
        </w:rPr>
        <w:t>供应商对招标文件如有疑点，可要求澄清，应在</w:t>
      </w:r>
      <w:r>
        <w:rPr>
          <w:rFonts w:hint="eastAsia" w:ascii="宋体" w:hAnsi="宋体"/>
          <w:szCs w:val="21"/>
        </w:rPr>
        <w:t>开标截止时间前7天</w:t>
      </w:r>
      <w:r>
        <w:rPr>
          <w:rFonts w:hint="eastAsia" w:ascii="宋体" w:hAnsi="宋体"/>
          <w:szCs w:val="21"/>
          <w:lang w:val="zh-CN"/>
        </w:rPr>
        <w:t>通过公共资源交易系统平台发出，如未提出异议，视为全面接受。</w:t>
      </w:r>
    </w:p>
    <w:p>
      <w:pPr>
        <w:autoSpaceDE w:val="0"/>
        <w:autoSpaceDN w:val="0"/>
        <w:adjustRightInd w:val="0"/>
        <w:spacing w:line="360" w:lineRule="auto"/>
        <w:ind w:firstLine="420" w:firstLineChars="200"/>
        <w:rPr>
          <w:rFonts w:ascii="宋体" w:hAnsi="宋体"/>
          <w:szCs w:val="21"/>
          <w:lang w:val="zh-CN"/>
        </w:rPr>
      </w:pPr>
      <w:r>
        <w:rPr>
          <w:rFonts w:hint="eastAsia" w:ascii="宋体" w:hAnsi="宋体"/>
          <w:szCs w:val="21"/>
          <w:lang w:val="zh-CN"/>
        </w:rPr>
        <w:t>7.招标文件的修改</w:t>
      </w:r>
    </w:p>
    <w:p>
      <w:pPr>
        <w:autoSpaceDE w:val="0"/>
        <w:autoSpaceDN w:val="0"/>
        <w:adjustRightInd w:val="0"/>
        <w:spacing w:line="360" w:lineRule="auto"/>
        <w:ind w:firstLine="420" w:firstLineChars="200"/>
        <w:rPr>
          <w:rFonts w:ascii="宋体" w:hAnsi="宋体"/>
          <w:szCs w:val="21"/>
          <w:lang w:val="zh-CN"/>
        </w:rPr>
      </w:pPr>
      <w:r>
        <w:rPr>
          <w:rFonts w:hint="eastAsia" w:ascii="宋体" w:hAnsi="宋体"/>
          <w:szCs w:val="21"/>
          <w:lang w:val="zh-CN"/>
        </w:rPr>
        <w:t>7.1在投标截止日期前，采购人可以通过公共资源交易系统电子平台修改招标文件，为使供应商在准备投标文件时有合理的时间考虑招标文件的修改，采购人可酌情推迟投标截止时间和开标时间。</w:t>
      </w:r>
    </w:p>
    <w:p>
      <w:pPr>
        <w:autoSpaceDE w:val="0"/>
        <w:autoSpaceDN w:val="0"/>
        <w:adjustRightInd w:val="0"/>
        <w:spacing w:line="360" w:lineRule="auto"/>
        <w:ind w:firstLine="420" w:firstLineChars="200"/>
        <w:rPr>
          <w:rFonts w:ascii="宋体" w:hAnsi="宋体"/>
          <w:szCs w:val="21"/>
          <w:lang w:val="zh-CN"/>
        </w:rPr>
      </w:pPr>
      <w:r>
        <w:rPr>
          <w:rFonts w:hint="eastAsia" w:ascii="宋体" w:hAnsi="宋体"/>
          <w:szCs w:val="21"/>
          <w:lang w:val="zh-CN"/>
        </w:rPr>
        <w:t>7.2所有澄清、答疑全部以公共资源交易系统平台发出为准，不再接受书面形式的递交。</w:t>
      </w:r>
    </w:p>
    <w:p>
      <w:pPr>
        <w:pStyle w:val="41"/>
        <w:snapToGrid/>
        <w:jc w:val="left"/>
        <w:rPr>
          <w:rFonts w:ascii="宋体" w:hAnsi="宋体"/>
          <w:color w:val="auto"/>
        </w:rPr>
      </w:pPr>
      <w:r>
        <w:rPr>
          <w:rFonts w:hint="eastAsia" w:ascii="宋体" w:hAnsi="宋体"/>
          <w:color w:val="auto"/>
        </w:rPr>
        <w:t>7.3招标文件的修改书将构成招标文件的一部分，对供应商有约束力。</w:t>
      </w:r>
    </w:p>
    <w:p>
      <w:pPr>
        <w:spacing w:line="360" w:lineRule="auto"/>
        <w:ind w:firstLine="422" w:firstLineChars="200"/>
        <w:rPr>
          <w:rFonts w:ascii="宋体" w:hAnsi="宋体"/>
          <w:b/>
          <w:szCs w:val="21"/>
        </w:rPr>
      </w:pPr>
      <w:r>
        <w:rPr>
          <w:rFonts w:hint="eastAsia" w:ascii="宋体" w:hAnsi="宋体"/>
          <w:b/>
          <w:szCs w:val="21"/>
        </w:rPr>
        <w:t>C投标文件的编写和说明</w:t>
      </w:r>
    </w:p>
    <w:p>
      <w:pPr>
        <w:autoSpaceDE w:val="0"/>
        <w:autoSpaceDN w:val="0"/>
        <w:adjustRightInd w:val="0"/>
        <w:spacing w:line="360" w:lineRule="auto"/>
        <w:ind w:firstLine="560"/>
        <w:rPr>
          <w:rFonts w:ascii="宋体" w:hAnsi="宋体"/>
          <w:szCs w:val="21"/>
        </w:rPr>
      </w:pPr>
      <w:r>
        <w:rPr>
          <w:rFonts w:hint="eastAsia" w:ascii="宋体" w:hAnsi="宋体"/>
          <w:szCs w:val="21"/>
          <w:lang w:val="zh-CN"/>
        </w:rPr>
        <w:t>供应商应仔细阅读招标文件的所有内容，按本文件的要求提供投标文件，并保证所提供的全部资料的真实性，以使其投标文件对本文件作出实质性响应，否则，其投标文件将被视为无效投标文件。</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8.投标文件书写、计量单位使用等</w:t>
      </w:r>
    </w:p>
    <w:p>
      <w:pPr>
        <w:autoSpaceDE w:val="0"/>
        <w:autoSpaceDN w:val="0"/>
        <w:adjustRightInd w:val="0"/>
        <w:spacing w:line="360" w:lineRule="auto"/>
        <w:ind w:firstLine="420" w:firstLineChars="200"/>
        <w:rPr>
          <w:rFonts w:ascii="宋体" w:hAnsi="宋体"/>
          <w:szCs w:val="21"/>
        </w:rPr>
      </w:pPr>
      <w:r>
        <w:rPr>
          <w:rFonts w:hint="eastAsia" w:ascii="宋体" w:hAnsi="宋体"/>
          <w:szCs w:val="21"/>
          <w:lang w:val="zh-CN"/>
        </w:rPr>
        <w:t>8.1投标文件及供应商与投标有关的来往通知、函件和文件均应使用中文。</w:t>
      </w:r>
    </w:p>
    <w:p>
      <w:pPr>
        <w:autoSpaceDE w:val="0"/>
        <w:autoSpaceDN w:val="0"/>
        <w:adjustRightInd w:val="0"/>
        <w:spacing w:line="360" w:lineRule="auto"/>
        <w:ind w:firstLine="420" w:firstLineChars="200"/>
        <w:rPr>
          <w:rFonts w:ascii="宋体" w:hAnsi="宋体"/>
          <w:szCs w:val="21"/>
          <w:lang w:val="zh-CN"/>
        </w:rPr>
      </w:pPr>
      <w:r>
        <w:rPr>
          <w:rFonts w:hint="eastAsia" w:ascii="宋体" w:hAnsi="宋体"/>
          <w:szCs w:val="21"/>
          <w:lang w:val="zh-CN"/>
        </w:rPr>
        <w:t>8.2除在招标文件的技术规格中另有规定外，计量单位应使用中华人民共和国法定计量单位（国际单位制和国家选定的其他计量单位）。</w:t>
      </w:r>
    </w:p>
    <w:p>
      <w:pPr>
        <w:autoSpaceDE w:val="0"/>
        <w:autoSpaceDN w:val="0"/>
        <w:adjustRightInd w:val="0"/>
        <w:spacing w:line="360" w:lineRule="auto"/>
        <w:ind w:firstLine="420" w:firstLineChars="200"/>
        <w:rPr>
          <w:rFonts w:ascii="宋体" w:hAnsi="宋体"/>
          <w:szCs w:val="21"/>
        </w:rPr>
      </w:pPr>
      <w:r>
        <w:rPr>
          <w:rFonts w:hint="eastAsia" w:ascii="宋体" w:hAnsi="宋体"/>
          <w:szCs w:val="21"/>
          <w:lang w:val="zh-CN"/>
        </w:rPr>
        <w:t>8.3供应商应按本文件中提供的文件格式、内容和要求制作投标文件。投标文件应</w:t>
      </w:r>
      <w:r>
        <w:rPr>
          <w:rFonts w:hint="eastAsia" w:ascii="宋体" w:hAnsi="宋体"/>
          <w:szCs w:val="21"/>
        </w:rPr>
        <w:t>胶装方式</w:t>
      </w:r>
      <w:r>
        <w:rPr>
          <w:rFonts w:hint="eastAsia" w:ascii="宋体" w:hAnsi="宋体"/>
          <w:szCs w:val="21"/>
          <w:lang w:val="zh-CN"/>
        </w:rPr>
        <w:t>装订成册。</w:t>
      </w:r>
    </w:p>
    <w:p>
      <w:pPr>
        <w:autoSpaceDE w:val="0"/>
        <w:autoSpaceDN w:val="0"/>
        <w:adjustRightInd w:val="0"/>
        <w:spacing w:line="360" w:lineRule="auto"/>
        <w:ind w:firstLine="420" w:firstLineChars="200"/>
        <w:rPr>
          <w:rFonts w:ascii="宋体" w:hAnsi="宋体"/>
          <w:szCs w:val="21"/>
        </w:rPr>
      </w:pPr>
      <w:r>
        <w:rPr>
          <w:rFonts w:hint="eastAsia" w:ascii="宋体" w:hAnsi="宋体"/>
          <w:szCs w:val="21"/>
          <w:lang w:val="zh-CN"/>
        </w:rPr>
        <w:t>9.投标文件的组成</w:t>
      </w:r>
    </w:p>
    <w:p>
      <w:pPr>
        <w:spacing w:line="360" w:lineRule="auto"/>
        <w:ind w:firstLine="420" w:firstLineChars="200"/>
        <w:rPr>
          <w:rFonts w:ascii="宋体" w:hAnsi="宋体"/>
          <w:szCs w:val="21"/>
        </w:rPr>
      </w:pPr>
      <w:r>
        <w:rPr>
          <w:rFonts w:hint="eastAsia" w:ascii="宋体" w:hAnsi="宋体"/>
          <w:szCs w:val="21"/>
        </w:rPr>
        <w:t>9.1见附件。</w:t>
      </w:r>
    </w:p>
    <w:p>
      <w:pPr>
        <w:spacing w:line="360" w:lineRule="auto"/>
        <w:ind w:firstLine="420" w:firstLineChars="200"/>
        <w:rPr>
          <w:rFonts w:ascii="宋体" w:hAnsi="宋体"/>
          <w:b/>
          <w:szCs w:val="21"/>
        </w:rPr>
      </w:pPr>
      <w:r>
        <w:rPr>
          <w:rFonts w:hint="eastAsia" w:ascii="宋体" w:hAnsi="宋体"/>
          <w:szCs w:val="21"/>
        </w:rPr>
        <w:t>9.2投标文件装订。</w:t>
      </w:r>
      <w:r>
        <w:rPr>
          <w:rFonts w:hint="eastAsia" w:ascii="宋体" w:hAnsi="宋体"/>
          <w:b/>
          <w:szCs w:val="21"/>
        </w:rPr>
        <w:t>供应商应按附件中投标文件的顺序和要求，以A4幅面胶封装订成册，编排目录和连续页码，并在封面上标明：正本、副本、投标项目名称、标段</w:t>
      </w:r>
      <w:r>
        <w:rPr>
          <w:rFonts w:hint="eastAsia" w:ascii="宋体" w:hAnsi="宋体"/>
          <w:szCs w:val="21"/>
        </w:rPr>
        <w:t>（如有多个标段）</w:t>
      </w:r>
      <w:r>
        <w:rPr>
          <w:rFonts w:hint="eastAsia" w:ascii="宋体" w:hAnsi="宋体"/>
          <w:b/>
          <w:szCs w:val="21"/>
        </w:rPr>
        <w:t>、项目编号、投标单位名称、日期等字样。</w:t>
      </w:r>
    </w:p>
    <w:p>
      <w:pPr>
        <w:spacing w:line="360" w:lineRule="auto"/>
        <w:ind w:firstLine="422" w:firstLineChars="200"/>
        <w:rPr>
          <w:rFonts w:ascii="宋体" w:hAnsi="宋体"/>
          <w:b/>
          <w:szCs w:val="21"/>
        </w:rPr>
      </w:pPr>
      <w:r>
        <w:rPr>
          <w:rFonts w:hint="eastAsia" w:ascii="宋体" w:hAnsi="宋体"/>
          <w:b/>
          <w:szCs w:val="21"/>
        </w:rPr>
        <w:t>9.3投标文件及提供的相关资料必须符合国家的法律、法规及有关政策规定。</w:t>
      </w:r>
    </w:p>
    <w:p>
      <w:pPr>
        <w:spacing w:line="360" w:lineRule="auto"/>
        <w:ind w:firstLine="420" w:firstLineChars="200"/>
        <w:rPr>
          <w:rFonts w:ascii="宋体" w:hAnsi="宋体"/>
          <w:szCs w:val="21"/>
        </w:rPr>
      </w:pPr>
      <w:r>
        <w:rPr>
          <w:rFonts w:hint="eastAsia" w:ascii="宋体" w:hAnsi="宋体"/>
          <w:szCs w:val="21"/>
        </w:rPr>
        <w:t>10.投标文件格式</w:t>
      </w:r>
    </w:p>
    <w:p>
      <w:pPr>
        <w:spacing w:line="360" w:lineRule="auto"/>
        <w:ind w:firstLine="420" w:firstLineChars="200"/>
        <w:rPr>
          <w:rFonts w:ascii="宋体" w:hAnsi="宋体"/>
          <w:szCs w:val="21"/>
        </w:rPr>
      </w:pPr>
      <w:r>
        <w:rPr>
          <w:rFonts w:hint="eastAsia" w:ascii="宋体" w:hAnsi="宋体"/>
          <w:szCs w:val="21"/>
        </w:rPr>
        <w:t>供应商应按招标文件中提供的投标文件格式填写，招标文件中</w:t>
      </w:r>
      <w:r>
        <w:rPr>
          <w:rFonts w:hint="eastAsia" w:ascii="新宋体" w:hAnsi="新宋体" w:eastAsia="新宋体"/>
          <w:szCs w:val="21"/>
        </w:rPr>
        <w:t>如有未提供格式的投标内容，供应商可自行提供。</w:t>
      </w:r>
    </w:p>
    <w:p>
      <w:pPr>
        <w:pStyle w:val="41"/>
        <w:snapToGrid/>
        <w:jc w:val="left"/>
        <w:rPr>
          <w:rFonts w:ascii="宋体" w:hAnsi="宋体"/>
          <w:color w:val="auto"/>
        </w:rPr>
      </w:pPr>
      <w:bookmarkStart w:id="10" w:name="_Toc127973004"/>
      <w:bookmarkStart w:id="11" w:name="_Toc137651705"/>
      <w:r>
        <w:rPr>
          <w:rFonts w:hint="eastAsia" w:ascii="宋体" w:hAnsi="宋体"/>
          <w:color w:val="auto"/>
        </w:rPr>
        <w:t>11.投标报价</w:t>
      </w:r>
      <w:bookmarkEnd w:id="10"/>
      <w:bookmarkEnd w:id="11"/>
    </w:p>
    <w:p>
      <w:pPr>
        <w:pStyle w:val="41"/>
        <w:snapToGrid/>
        <w:jc w:val="left"/>
        <w:rPr>
          <w:rFonts w:ascii="宋体" w:hAnsi="宋体"/>
          <w:color w:val="auto"/>
        </w:rPr>
      </w:pPr>
      <w:r>
        <w:rPr>
          <w:rFonts w:hint="eastAsia" w:ascii="宋体" w:hAnsi="宋体"/>
          <w:color w:val="auto"/>
        </w:rPr>
        <w:t>11.1根据招标文件第二章项目需求及其它要求规定的责任范围，供应商未单独列明的分项价格将视该项目的费用已包含在其他分项中，合同执行中不另行支付。</w:t>
      </w:r>
    </w:p>
    <w:p>
      <w:pPr>
        <w:pStyle w:val="41"/>
        <w:snapToGrid/>
        <w:rPr>
          <w:rFonts w:ascii="宋体" w:hAnsi="宋体"/>
          <w:color w:val="auto"/>
        </w:rPr>
      </w:pPr>
      <w:r>
        <w:rPr>
          <w:rFonts w:hint="eastAsia" w:ascii="宋体" w:hAnsi="宋体"/>
          <w:color w:val="auto"/>
        </w:rPr>
        <w:t>11.2开标一览表内容与投标文件中明细表内容不一致的，以开标一览表为准；大写金额和小写金额不一致的，以大写金额为准；总价金额与按单价汇总金额不一致的，以单价金额计算结果为准，但单价金额小数点有明显错误的除外；副本与正本不符的，以正本为准。</w:t>
      </w:r>
    </w:p>
    <w:p>
      <w:pPr>
        <w:pStyle w:val="41"/>
        <w:snapToGrid/>
        <w:rPr>
          <w:rFonts w:ascii="宋体" w:hAnsi="宋体"/>
          <w:color w:val="auto"/>
        </w:rPr>
      </w:pPr>
      <w:r>
        <w:rPr>
          <w:rFonts w:ascii="宋体" w:hAnsi="宋体"/>
          <w:color w:val="auto"/>
        </w:rPr>
        <w:t>11.</w:t>
      </w:r>
      <w:r>
        <w:rPr>
          <w:rFonts w:hint="eastAsia" w:ascii="宋体" w:hAnsi="宋体"/>
          <w:color w:val="auto"/>
        </w:rPr>
        <w:t>3供应商</w:t>
      </w:r>
      <w:r>
        <w:rPr>
          <w:rFonts w:ascii="宋体" w:hAnsi="宋体"/>
          <w:color w:val="auto"/>
        </w:rPr>
        <w:t>应完整地</w:t>
      </w:r>
      <w:r>
        <w:rPr>
          <w:rFonts w:hint="eastAsia" w:ascii="宋体" w:hAnsi="宋体"/>
          <w:color w:val="auto"/>
        </w:rPr>
        <w:t>按照</w:t>
      </w:r>
      <w:r>
        <w:rPr>
          <w:rFonts w:ascii="宋体" w:hAnsi="宋体"/>
          <w:color w:val="auto"/>
        </w:rPr>
        <w:t>招标文件中提供的</w:t>
      </w:r>
      <w:r>
        <w:rPr>
          <w:rFonts w:hint="eastAsia" w:ascii="宋体" w:hAnsi="宋体"/>
          <w:color w:val="auto"/>
        </w:rPr>
        <w:t>项目需求</w:t>
      </w:r>
      <w:r>
        <w:rPr>
          <w:rFonts w:ascii="宋体" w:hAnsi="宋体"/>
          <w:color w:val="auto"/>
        </w:rPr>
        <w:t>填写</w:t>
      </w:r>
      <w:r>
        <w:rPr>
          <w:rFonts w:hint="eastAsia" w:ascii="宋体" w:hAnsi="宋体"/>
          <w:color w:val="auto"/>
        </w:rPr>
        <w:t>投标分项报价</w:t>
      </w:r>
      <w:r>
        <w:rPr>
          <w:rFonts w:ascii="宋体" w:hAnsi="宋体"/>
          <w:color w:val="auto"/>
        </w:rPr>
        <w:t>表，不得随意增减内容。</w:t>
      </w:r>
    </w:p>
    <w:p>
      <w:pPr>
        <w:pStyle w:val="41"/>
        <w:snapToGrid/>
        <w:rPr>
          <w:rFonts w:ascii="宋体" w:hAnsi="宋体"/>
          <w:color w:val="auto"/>
        </w:rPr>
      </w:pPr>
      <w:r>
        <w:rPr>
          <w:rFonts w:hint="eastAsia" w:ascii="宋体" w:hAnsi="宋体"/>
          <w:color w:val="auto"/>
        </w:rPr>
        <w:t>11.4供应商对每种项目只允许有一个报价，采购人不接受任何有选择的报价。</w:t>
      </w:r>
    </w:p>
    <w:p>
      <w:pPr>
        <w:pStyle w:val="41"/>
        <w:snapToGrid/>
        <w:jc w:val="left"/>
        <w:rPr>
          <w:rFonts w:ascii="宋体" w:hAnsi="宋体"/>
          <w:color w:val="auto"/>
        </w:rPr>
      </w:pPr>
      <w:bookmarkStart w:id="12" w:name="_Toc127973005"/>
      <w:bookmarkStart w:id="13" w:name="_Toc137651706"/>
      <w:r>
        <w:rPr>
          <w:rFonts w:hint="eastAsia" w:ascii="宋体" w:hAnsi="宋体"/>
          <w:color w:val="auto"/>
        </w:rPr>
        <w:t>12.投标货币</w:t>
      </w:r>
      <w:bookmarkEnd w:id="12"/>
      <w:bookmarkEnd w:id="13"/>
    </w:p>
    <w:p>
      <w:pPr>
        <w:pStyle w:val="41"/>
        <w:snapToGrid/>
        <w:jc w:val="left"/>
        <w:rPr>
          <w:rFonts w:ascii="宋体" w:hAnsi="宋体"/>
          <w:color w:val="auto"/>
        </w:rPr>
      </w:pPr>
      <w:r>
        <w:rPr>
          <w:rFonts w:hint="eastAsia" w:ascii="宋体" w:hAnsi="宋体"/>
          <w:color w:val="auto"/>
        </w:rPr>
        <w:t>投标必须以人民币报价。</w:t>
      </w:r>
    </w:p>
    <w:p>
      <w:pPr>
        <w:pStyle w:val="41"/>
        <w:snapToGrid/>
        <w:jc w:val="left"/>
        <w:rPr>
          <w:rFonts w:ascii="宋体" w:hAnsi="宋体"/>
          <w:color w:val="auto"/>
        </w:rPr>
      </w:pPr>
      <w:bookmarkStart w:id="14" w:name="_Toc127973006"/>
      <w:bookmarkStart w:id="15" w:name="_Toc137651707"/>
      <w:r>
        <w:rPr>
          <w:rFonts w:hint="eastAsia" w:ascii="宋体" w:hAnsi="宋体"/>
          <w:color w:val="auto"/>
        </w:rPr>
        <w:t>13.证明供应商资格和能力的文件</w:t>
      </w:r>
      <w:bookmarkEnd w:id="14"/>
      <w:bookmarkEnd w:id="15"/>
    </w:p>
    <w:p>
      <w:pPr>
        <w:pStyle w:val="41"/>
        <w:snapToGrid/>
        <w:jc w:val="left"/>
        <w:rPr>
          <w:rFonts w:ascii="宋体" w:hAnsi="宋体"/>
          <w:color w:val="auto"/>
        </w:rPr>
      </w:pPr>
      <w:r>
        <w:rPr>
          <w:rFonts w:hint="eastAsia" w:ascii="宋体" w:hAnsi="宋体"/>
          <w:color w:val="auto"/>
        </w:rPr>
        <w:t>13.1供应商应按照招标文件附件规定的内容和格式提交证明其有资格参加投标和中标后有能力履行合同的文件，并作为其投标文件的一部分。</w:t>
      </w:r>
    </w:p>
    <w:p>
      <w:pPr>
        <w:pStyle w:val="41"/>
        <w:snapToGrid/>
        <w:jc w:val="left"/>
        <w:rPr>
          <w:rFonts w:ascii="宋体" w:hAnsi="宋体"/>
          <w:color w:val="auto"/>
        </w:rPr>
      </w:pPr>
      <w:r>
        <w:rPr>
          <w:rFonts w:hint="eastAsia" w:ascii="宋体" w:hAnsi="宋体"/>
          <w:color w:val="auto"/>
        </w:rPr>
        <w:t>13.2供应商提交的资格证明文件应包括但不限于招标文件附件所规定的相关内容。</w:t>
      </w:r>
    </w:p>
    <w:p>
      <w:pPr>
        <w:pStyle w:val="41"/>
        <w:snapToGrid/>
        <w:jc w:val="left"/>
        <w:rPr>
          <w:rFonts w:ascii="宋体" w:hAnsi="宋体"/>
          <w:color w:val="auto"/>
        </w:rPr>
      </w:pPr>
      <w:bookmarkStart w:id="16" w:name="_Toc127973008"/>
      <w:bookmarkStart w:id="17" w:name="_Toc137651709"/>
      <w:r>
        <w:rPr>
          <w:rFonts w:hint="eastAsia" w:ascii="宋体" w:hAnsi="宋体"/>
          <w:color w:val="auto"/>
        </w:rPr>
        <w:t>14.投标有效期</w:t>
      </w:r>
    </w:p>
    <w:p>
      <w:pPr>
        <w:pStyle w:val="41"/>
        <w:snapToGrid/>
        <w:jc w:val="left"/>
        <w:rPr>
          <w:rFonts w:ascii="宋体" w:hAnsi="宋体"/>
          <w:color w:val="auto"/>
        </w:rPr>
      </w:pPr>
      <w:r>
        <w:rPr>
          <w:rFonts w:hint="eastAsia" w:ascii="宋体" w:hAnsi="宋体"/>
          <w:color w:val="auto"/>
        </w:rPr>
        <w:t>14.1投标有效期见前附表。投标有效期不足的投标将视为无效投标。</w:t>
      </w:r>
    </w:p>
    <w:p>
      <w:pPr>
        <w:pStyle w:val="41"/>
        <w:snapToGrid/>
        <w:jc w:val="left"/>
        <w:rPr>
          <w:rFonts w:ascii="宋体" w:hAnsi="宋体"/>
          <w:color w:val="auto"/>
        </w:rPr>
      </w:pPr>
      <w:r>
        <w:rPr>
          <w:rFonts w:hint="eastAsia" w:ascii="宋体" w:hAnsi="宋体"/>
          <w:color w:val="auto"/>
        </w:rPr>
        <w:t>14.2采购人可以要求供应商延长投标有效期，这种要求与供应商答复均应以书面形式进行。供应商可拒绝采购人的这种要求，其投标保证金将被退还。接受投标有效期延长的供应商将不会被要求和允许修正其投标文件，而只会被要求相应地延长其投标保证金的有效期。有关投标保证金的退还与否的规定将在延长了的有效期内继续有效。</w:t>
      </w:r>
    </w:p>
    <w:bookmarkEnd w:id="16"/>
    <w:bookmarkEnd w:id="17"/>
    <w:p>
      <w:pPr>
        <w:pStyle w:val="33"/>
        <w:snapToGrid/>
        <w:jc w:val="left"/>
        <w:rPr>
          <w:rFonts w:ascii="宋体" w:hAnsi="宋体"/>
          <w:color w:val="auto"/>
        </w:rPr>
      </w:pPr>
      <w:r>
        <w:rPr>
          <w:rFonts w:hint="eastAsia" w:ascii="宋体" w:hAnsi="宋体"/>
          <w:color w:val="auto"/>
        </w:rPr>
        <w:t>15.投标保证金</w:t>
      </w:r>
    </w:p>
    <w:p>
      <w:pPr>
        <w:pStyle w:val="33"/>
        <w:snapToGrid/>
        <w:jc w:val="left"/>
        <w:rPr>
          <w:rFonts w:ascii="宋体" w:hAnsi="宋体"/>
          <w:color w:val="auto"/>
        </w:rPr>
      </w:pPr>
      <w:r>
        <w:rPr>
          <w:rFonts w:hint="eastAsia" w:ascii="宋体" w:hAnsi="宋体"/>
          <w:color w:val="auto"/>
        </w:rPr>
        <w:t>15.1投标保证金为投标文件的组成部分之一。</w:t>
      </w:r>
    </w:p>
    <w:p>
      <w:pPr>
        <w:pStyle w:val="33"/>
        <w:snapToGrid/>
        <w:jc w:val="left"/>
        <w:rPr>
          <w:rFonts w:ascii="宋体" w:hAnsi="宋体"/>
          <w:color w:val="auto"/>
        </w:rPr>
      </w:pPr>
      <w:r>
        <w:rPr>
          <w:rFonts w:hint="eastAsia" w:ascii="宋体" w:hAnsi="宋体"/>
          <w:color w:val="auto"/>
        </w:rPr>
        <w:t>15.2投标保证金用于保护本次招标免受因供应商的行为而引起的风险。</w:t>
      </w:r>
    </w:p>
    <w:p>
      <w:pPr>
        <w:pStyle w:val="33"/>
        <w:snapToGrid/>
        <w:jc w:val="left"/>
        <w:rPr>
          <w:rFonts w:ascii="宋体" w:hAnsi="宋体"/>
          <w:color w:val="auto"/>
        </w:rPr>
      </w:pPr>
      <w:r>
        <w:rPr>
          <w:rFonts w:hint="eastAsia" w:ascii="宋体" w:hAnsi="宋体"/>
          <w:color w:val="auto"/>
        </w:rPr>
        <w:t>15.3投标保证金币种应与投标报价币种相同，</w:t>
      </w:r>
      <w:r>
        <w:rPr>
          <w:rFonts w:hint="eastAsia" w:ascii="宋体" w:hAnsi="宋体"/>
          <w:b/>
          <w:bCs/>
          <w:color w:val="auto"/>
        </w:rPr>
        <w:t>投标保证金金额详见</w:t>
      </w:r>
      <w:r>
        <w:rPr>
          <w:rFonts w:hint="eastAsia" w:ascii="宋体" w:hAnsi="宋体"/>
          <w:b/>
          <w:color w:val="auto"/>
        </w:rPr>
        <w:t>供应商须知</w:t>
      </w:r>
      <w:r>
        <w:rPr>
          <w:rFonts w:hint="eastAsia" w:ascii="宋体" w:hAnsi="宋体"/>
          <w:b/>
          <w:bCs/>
          <w:color w:val="auto"/>
        </w:rPr>
        <w:t>前附表</w:t>
      </w:r>
      <w:r>
        <w:rPr>
          <w:rFonts w:hint="eastAsia" w:ascii="宋体" w:hAnsi="宋体"/>
          <w:color w:val="auto"/>
        </w:rPr>
        <w:t>。</w:t>
      </w:r>
    </w:p>
    <w:p>
      <w:pPr>
        <w:pStyle w:val="33"/>
        <w:snapToGrid/>
        <w:ind w:firstLine="422"/>
        <w:jc w:val="left"/>
        <w:rPr>
          <w:rFonts w:ascii="宋体" w:hAnsi="宋体"/>
          <w:b/>
          <w:color w:val="auto"/>
        </w:rPr>
      </w:pPr>
      <w:r>
        <w:rPr>
          <w:rFonts w:hint="eastAsia" w:ascii="宋体" w:hAnsi="宋体"/>
          <w:b/>
          <w:bCs/>
          <w:color w:val="auto"/>
        </w:rPr>
        <w:t>15.4投标保证金的退还详见前附表。</w:t>
      </w:r>
      <w:r>
        <w:rPr>
          <w:rFonts w:hint="eastAsia" w:ascii="宋体" w:hAnsi="宋体"/>
          <w:color w:val="auto"/>
        </w:rPr>
        <w:t> </w:t>
      </w:r>
      <w:r>
        <w:rPr>
          <w:rFonts w:hint="eastAsia" w:ascii="宋体" w:hAnsi="宋体"/>
          <w:color w:val="auto"/>
        </w:rPr>
        <w:br w:type="textWrapping"/>
      </w:r>
      <w:r>
        <w:rPr>
          <w:rFonts w:hint="eastAsia" w:ascii="宋体" w:hAnsi="宋体"/>
          <w:b/>
          <w:bCs/>
          <w:color w:val="auto"/>
        </w:rPr>
        <w:t>15.5</w:t>
      </w:r>
      <w:r>
        <w:rPr>
          <w:rFonts w:hint="eastAsia" w:ascii="宋体" w:hAnsi="宋体"/>
          <w:b/>
          <w:color w:val="auto"/>
        </w:rPr>
        <w:t>发生以下情况之一者投标保证金将不予退还：</w:t>
      </w:r>
    </w:p>
    <w:p>
      <w:pPr>
        <w:pStyle w:val="33"/>
        <w:snapToGrid/>
        <w:jc w:val="left"/>
        <w:rPr>
          <w:rFonts w:ascii="宋体" w:hAnsi="宋体"/>
          <w:color w:val="auto"/>
        </w:rPr>
      </w:pPr>
      <w:r>
        <w:rPr>
          <w:rFonts w:hint="eastAsia" w:ascii="宋体" w:hAnsi="宋体"/>
          <w:color w:val="auto"/>
        </w:rPr>
        <w:t>15.5.1供应商在投标有效期内撤回投标的；</w:t>
      </w:r>
    </w:p>
    <w:p>
      <w:pPr>
        <w:pStyle w:val="33"/>
        <w:snapToGrid/>
        <w:jc w:val="left"/>
        <w:rPr>
          <w:rFonts w:ascii="宋体" w:hAnsi="宋体"/>
          <w:color w:val="auto"/>
        </w:rPr>
      </w:pPr>
      <w:r>
        <w:rPr>
          <w:rFonts w:hint="eastAsia" w:ascii="宋体" w:hAnsi="宋体"/>
          <w:color w:val="auto"/>
        </w:rPr>
        <w:t>15.5.2如果供应商有以下情况发生的：</w:t>
      </w:r>
    </w:p>
    <w:p>
      <w:pPr>
        <w:pStyle w:val="33"/>
        <w:snapToGrid/>
        <w:jc w:val="left"/>
        <w:rPr>
          <w:rFonts w:ascii="宋体" w:hAnsi="宋体"/>
          <w:color w:val="auto"/>
        </w:rPr>
      </w:pPr>
      <w:r>
        <w:rPr>
          <w:rFonts w:hint="eastAsia" w:ascii="宋体" w:hAnsi="宋体"/>
          <w:color w:val="auto"/>
        </w:rPr>
        <w:t>15.5.2.1在中标通知书发出之日起30日内未与采购人签订合同的；</w:t>
      </w:r>
    </w:p>
    <w:p>
      <w:pPr>
        <w:pStyle w:val="41"/>
        <w:snapToGrid/>
        <w:jc w:val="left"/>
        <w:rPr>
          <w:rFonts w:ascii="宋体" w:hAnsi="宋体"/>
          <w:color w:val="auto"/>
        </w:rPr>
      </w:pPr>
      <w:r>
        <w:rPr>
          <w:rFonts w:hint="eastAsia" w:ascii="宋体" w:hAnsi="宋体"/>
          <w:color w:val="auto"/>
        </w:rPr>
        <w:t>15.5.2.2将中标项目转给他人，或者在投标文件中未说明，且未经采购人同意，将中标项目分包给他人的或拒绝履行合同义务的。</w:t>
      </w:r>
    </w:p>
    <w:p>
      <w:pPr>
        <w:pStyle w:val="41"/>
        <w:snapToGrid/>
        <w:jc w:val="left"/>
        <w:rPr>
          <w:rFonts w:ascii="宋体" w:hAnsi="宋体"/>
          <w:color w:val="auto"/>
        </w:rPr>
      </w:pPr>
      <w:bookmarkStart w:id="18" w:name="_Toc127973010"/>
      <w:bookmarkStart w:id="19" w:name="_Toc137651711"/>
      <w:r>
        <w:rPr>
          <w:rFonts w:hint="eastAsia" w:ascii="宋体" w:hAnsi="宋体"/>
          <w:color w:val="auto"/>
        </w:rPr>
        <w:t>16.投标文件的份数和签署</w:t>
      </w:r>
      <w:bookmarkEnd w:id="18"/>
      <w:bookmarkEnd w:id="19"/>
    </w:p>
    <w:p>
      <w:pPr>
        <w:pStyle w:val="41"/>
        <w:snapToGrid/>
        <w:jc w:val="left"/>
        <w:rPr>
          <w:rFonts w:ascii="宋体" w:hAnsi="宋体"/>
          <w:color w:val="auto"/>
        </w:rPr>
      </w:pPr>
      <w:r>
        <w:rPr>
          <w:rFonts w:hint="eastAsia" w:ascii="宋体" w:hAnsi="宋体"/>
          <w:color w:val="auto"/>
        </w:rPr>
        <w:t>16.1投标文件份数：</w:t>
      </w:r>
      <w:r>
        <w:rPr>
          <w:rFonts w:hint="eastAsia" w:ascii="宋体" w:hAnsi="宋体"/>
          <w:b/>
          <w:color w:val="auto"/>
        </w:rPr>
        <w:t>详见供应商须知前附表</w:t>
      </w:r>
      <w:r>
        <w:rPr>
          <w:rFonts w:hint="eastAsia" w:ascii="宋体" w:hAnsi="宋体"/>
          <w:color w:val="auto"/>
        </w:rPr>
        <w:t xml:space="preserve">。 </w:t>
      </w:r>
    </w:p>
    <w:p>
      <w:pPr>
        <w:pStyle w:val="41"/>
        <w:snapToGrid/>
        <w:jc w:val="left"/>
        <w:rPr>
          <w:rFonts w:ascii="宋体" w:hAnsi="宋体"/>
          <w:color w:val="auto"/>
        </w:rPr>
      </w:pPr>
      <w:r>
        <w:rPr>
          <w:rFonts w:hint="eastAsia" w:ascii="宋体" w:hAnsi="宋体"/>
          <w:color w:val="auto"/>
        </w:rPr>
        <w:t>16.2投标文件的正本需打印或用不褪色墨水书写，并由法定代表人或其授权代表在投标文件上按招标文件规定签字、盖章；投标文件的副本可采用正本的复印件。</w:t>
      </w:r>
    </w:p>
    <w:p>
      <w:pPr>
        <w:pStyle w:val="41"/>
        <w:snapToGrid/>
        <w:jc w:val="left"/>
        <w:rPr>
          <w:rFonts w:ascii="宋体" w:hAnsi="宋体"/>
          <w:color w:val="auto"/>
        </w:rPr>
      </w:pPr>
      <w:r>
        <w:rPr>
          <w:rFonts w:hint="eastAsia" w:ascii="宋体" w:hAnsi="宋体"/>
          <w:color w:val="auto"/>
        </w:rPr>
        <w:t>16.3任何行间插字、涂改和增删，必须由法定代表人或其授权代表在旁边签字生效。</w:t>
      </w:r>
    </w:p>
    <w:p>
      <w:pPr>
        <w:autoSpaceDE w:val="0"/>
        <w:autoSpaceDN w:val="0"/>
        <w:adjustRightInd w:val="0"/>
        <w:spacing w:line="360" w:lineRule="auto"/>
        <w:ind w:firstLine="316" w:firstLineChars="150"/>
        <w:rPr>
          <w:rFonts w:ascii="宋体" w:hAnsi="宋体"/>
          <w:b/>
          <w:bCs/>
          <w:szCs w:val="21"/>
        </w:rPr>
      </w:pPr>
      <w:r>
        <w:rPr>
          <w:rFonts w:hint="eastAsia" w:ascii="宋体" w:hAnsi="宋体"/>
          <w:b/>
          <w:bCs/>
          <w:szCs w:val="21"/>
          <w:lang w:val="zh-CN"/>
        </w:rPr>
        <w:t>D、投标文件的递交</w:t>
      </w:r>
    </w:p>
    <w:p>
      <w:pPr>
        <w:pStyle w:val="41"/>
        <w:snapToGrid/>
        <w:jc w:val="left"/>
        <w:rPr>
          <w:rFonts w:ascii="宋体" w:hAnsi="宋体"/>
          <w:color w:val="auto"/>
        </w:rPr>
      </w:pPr>
      <w:bookmarkStart w:id="20" w:name="_Toc137651713"/>
      <w:bookmarkStart w:id="21" w:name="_Toc127973012"/>
      <w:bookmarkStart w:id="22" w:name="_Toc137651714"/>
      <w:r>
        <w:rPr>
          <w:rFonts w:hint="eastAsia" w:ascii="宋体" w:hAnsi="宋体"/>
          <w:color w:val="auto"/>
        </w:rPr>
        <w:t>17.投标文件的密封和标记</w:t>
      </w:r>
      <w:bookmarkEnd w:id="20"/>
      <w:bookmarkEnd w:id="21"/>
    </w:p>
    <w:p>
      <w:pPr>
        <w:pStyle w:val="41"/>
        <w:jc w:val="left"/>
        <w:rPr>
          <w:rFonts w:ascii="宋体" w:hAnsi="宋体"/>
          <w:color w:val="auto"/>
        </w:rPr>
      </w:pPr>
      <w:r>
        <w:rPr>
          <w:rFonts w:hint="eastAsia" w:ascii="宋体" w:hAnsi="宋体"/>
          <w:color w:val="auto"/>
        </w:rPr>
        <w:t>17.1投标文件正本、副本和电子文本应单独密封，并加盖骑缝章。</w:t>
      </w:r>
    </w:p>
    <w:p>
      <w:pPr>
        <w:pStyle w:val="41"/>
        <w:jc w:val="left"/>
        <w:rPr>
          <w:rFonts w:ascii="宋体" w:hAnsi="宋体"/>
          <w:color w:val="auto"/>
        </w:rPr>
      </w:pPr>
      <w:r>
        <w:rPr>
          <w:rFonts w:hint="eastAsia" w:ascii="宋体" w:hAnsi="宋体"/>
          <w:color w:val="auto"/>
        </w:rPr>
        <w:t>17.2投标文件及电子版的封套上应写明的内容见</w:t>
      </w:r>
      <w:r>
        <w:rPr>
          <w:rFonts w:hint="eastAsia" w:ascii="宋体" w:hAnsi="宋体"/>
          <w:color w:val="auto"/>
          <w:lang w:val="zh-CN"/>
        </w:rPr>
        <w:t>供应商</w:t>
      </w:r>
      <w:r>
        <w:rPr>
          <w:rFonts w:hint="eastAsia" w:ascii="宋体" w:hAnsi="宋体"/>
          <w:color w:val="auto"/>
        </w:rPr>
        <w:t>须知前附表。</w:t>
      </w:r>
    </w:p>
    <w:p>
      <w:pPr>
        <w:pStyle w:val="41"/>
        <w:snapToGrid/>
        <w:jc w:val="left"/>
        <w:rPr>
          <w:rFonts w:ascii="宋体" w:hAnsi="宋体"/>
          <w:color w:val="auto"/>
        </w:rPr>
      </w:pPr>
      <w:r>
        <w:rPr>
          <w:rFonts w:hint="eastAsia" w:ascii="宋体" w:hAnsi="宋体"/>
          <w:color w:val="auto"/>
        </w:rPr>
        <w:t>17.3</w:t>
      </w:r>
      <w:r>
        <w:rPr>
          <w:rFonts w:ascii="宋体" w:hAnsi="宋体"/>
          <w:color w:val="auto"/>
        </w:rPr>
        <w:t>投标文件如果未按上述规定密封和标记，采购代理机构应当拒绝接收。</w:t>
      </w:r>
    </w:p>
    <w:p>
      <w:pPr>
        <w:pStyle w:val="41"/>
        <w:snapToGrid/>
        <w:jc w:val="left"/>
        <w:rPr>
          <w:rFonts w:ascii="宋体" w:hAnsi="宋体"/>
          <w:color w:val="auto"/>
        </w:rPr>
      </w:pPr>
      <w:r>
        <w:rPr>
          <w:rFonts w:hint="eastAsia" w:ascii="宋体" w:hAnsi="宋体"/>
          <w:color w:val="auto"/>
        </w:rPr>
        <w:t>18.递交投标文件的截止时间</w:t>
      </w:r>
      <w:bookmarkEnd w:id="22"/>
    </w:p>
    <w:p>
      <w:pPr>
        <w:pStyle w:val="41"/>
        <w:snapToGrid/>
        <w:jc w:val="left"/>
        <w:rPr>
          <w:rFonts w:ascii="宋体" w:hAnsi="宋体"/>
          <w:color w:val="auto"/>
        </w:rPr>
      </w:pPr>
      <w:r>
        <w:rPr>
          <w:rFonts w:hint="eastAsia" w:ascii="宋体" w:hAnsi="宋体"/>
          <w:color w:val="auto"/>
        </w:rPr>
        <w:t>18.1所有投标文件都必须在投标截止时间之前送达开标现场递交采购人。采购人不接收电报、电话、传真、邮件形式的投标。</w:t>
      </w:r>
    </w:p>
    <w:p>
      <w:pPr>
        <w:pStyle w:val="41"/>
        <w:snapToGrid/>
        <w:jc w:val="left"/>
        <w:rPr>
          <w:rFonts w:ascii="宋体" w:hAnsi="宋体"/>
          <w:color w:val="auto"/>
        </w:rPr>
      </w:pPr>
      <w:r>
        <w:rPr>
          <w:rFonts w:hint="eastAsia" w:ascii="宋体" w:hAnsi="宋体"/>
          <w:color w:val="auto"/>
        </w:rPr>
        <w:t>18.2因招标文件的修改推迟投标截止时间时，则按采购人修改后的投标截止时间递交。</w:t>
      </w:r>
    </w:p>
    <w:p>
      <w:pPr>
        <w:pStyle w:val="41"/>
        <w:snapToGrid/>
        <w:jc w:val="left"/>
        <w:rPr>
          <w:rFonts w:ascii="宋体" w:hAnsi="宋体"/>
          <w:color w:val="auto"/>
        </w:rPr>
      </w:pPr>
      <w:bookmarkStart w:id="23" w:name="_Toc127973014"/>
      <w:bookmarkStart w:id="24" w:name="_Toc137651715"/>
      <w:r>
        <w:rPr>
          <w:rFonts w:hint="eastAsia" w:ascii="宋体" w:hAnsi="宋体"/>
          <w:color w:val="auto"/>
        </w:rPr>
        <w:t>19.迟交的投标文件</w:t>
      </w:r>
      <w:bookmarkEnd w:id="23"/>
      <w:bookmarkEnd w:id="24"/>
    </w:p>
    <w:p>
      <w:pPr>
        <w:pStyle w:val="41"/>
        <w:snapToGrid/>
        <w:jc w:val="left"/>
        <w:rPr>
          <w:rFonts w:ascii="宋体" w:hAnsi="宋体"/>
          <w:color w:val="auto"/>
        </w:rPr>
      </w:pPr>
      <w:r>
        <w:rPr>
          <w:rFonts w:hint="eastAsia" w:ascii="宋体" w:hAnsi="宋体"/>
          <w:color w:val="auto"/>
        </w:rPr>
        <w:t>采购人将拒绝接收在投标截止时间后递交的投标文件。</w:t>
      </w:r>
    </w:p>
    <w:p>
      <w:pPr>
        <w:pStyle w:val="41"/>
        <w:snapToGrid/>
        <w:jc w:val="left"/>
        <w:rPr>
          <w:rFonts w:ascii="宋体" w:hAnsi="宋体"/>
          <w:color w:val="auto"/>
        </w:rPr>
      </w:pPr>
      <w:bookmarkStart w:id="25" w:name="_Toc137651716"/>
      <w:bookmarkStart w:id="26" w:name="_Toc127973015"/>
      <w:r>
        <w:rPr>
          <w:rFonts w:hint="eastAsia" w:ascii="宋体" w:hAnsi="宋体"/>
          <w:color w:val="auto"/>
        </w:rPr>
        <w:t>20.投标文件的补充、修改或撤回</w:t>
      </w:r>
      <w:bookmarkEnd w:id="25"/>
      <w:bookmarkEnd w:id="26"/>
    </w:p>
    <w:p>
      <w:pPr>
        <w:pStyle w:val="41"/>
        <w:snapToGrid/>
        <w:jc w:val="left"/>
        <w:rPr>
          <w:rFonts w:ascii="宋体" w:hAnsi="宋体"/>
          <w:color w:val="auto"/>
        </w:rPr>
      </w:pPr>
      <w:r>
        <w:rPr>
          <w:rFonts w:hint="eastAsia" w:ascii="宋体" w:hAnsi="宋体"/>
          <w:color w:val="auto"/>
        </w:rPr>
        <w:t>20.1供应商在递交投标文件后，可以补充、修改或撤回其投标，但供应商必须在规定的投标截止时间之前将补充、修改或撤回投标的书面通知递交采购人。</w:t>
      </w:r>
    </w:p>
    <w:p>
      <w:pPr>
        <w:pStyle w:val="41"/>
        <w:snapToGrid/>
        <w:jc w:val="left"/>
        <w:rPr>
          <w:rFonts w:ascii="宋体" w:hAnsi="宋体"/>
          <w:color w:val="auto"/>
        </w:rPr>
      </w:pPr>
      <w:r>
        <w:rPr>
          <w:rFonts w:hint="eastAsia" w:ascii="宋体" w:hAnsi="宋体"/>
          <w:color w:val="auto"/>
        </w:rPr>
        <w:t>20.2供应商的补充、修改或撤回通知应按本须知规定编制、密封、标记、签署和盖章。</w:t>
      </w:r>
    </w:p>
    <w:p>
      <w:pPr>
        <w:pStyle w:val="41"/>
        <w:snapToGrid/>
        <w:jc w:val="left"/>
        <w:rPr>
          <w:rFonts w:ascii="宋体" w:hAnsi="宋体"/>
          <w:color w:val="auto"/>
        </w:rPr>
      </w:pPr>
      <w:r>
        <w:rPr>
          <w:rFonts w:hint="eastAsia" w:ascii="宋体" w:hAnsi="宋体"/>
          <w:color w:val="auto"/>
        </w:rPr>
        <w:t>20.3投标有效期内，供应商不得撤回其投标，否则其投标保证金将按照本须知的规定不予退还。</w:t>
      </w:r>
    </w:p>
    <w:p>
      <w:pPr>
        <w:autoSpaceDE w:val="0"/>
        <w:autoSpaceDN w:val="0"/>
        <w:adjustRightInd w:val="0"/>
        <w:spacing w:line="360" w:lineRule="auto"/>
        <w:ind w:firstLine="316" w:firstLineChars="150"/>
        <w:rPr>
          <w:rFonts w:ascii="宋体" w:hAnsi="宋体"/>
          <w:b/>
          <w:bCs/>
          <w:szCs w:val="21"/>
        </w:rPr>
      </w:pPr>
      <w:r>
        <w:rPr>
          <w:rFonts w:hint="eastAsia" w:ascii="宋体" w:hAnsi="宋体"/>
          <w:b/>
          <w:bCs/>
          <w:szCs w:val="21"/>
          <w:lang w:val="zh-CN"/>
        </w:rPr>
        <w:t>E、开标和评标</w:t>
      </w:r>
    </w:p>
    <w:p>
      <w:pPr>
        <w:pStyle w:val="41"/>
        <w:snapToGrid/>
        <w:jc w:val="left"/>
        <w:rPr>
          <w:rFonts w:ascii="宋体" w:hAnsi="宋体"/>
          <w:color w:val="auto"/>
        </w:rPr>
      </w:pPr>
      <w:bookmarkStart w:id="27" w:name="_Toc127973017"/>
      <w:bookmarkStart w:id="28" w:name="_Toc137651718"/>
      <w:r>
        <w:rPr>
          <w:rFonts w:hint="eastAsia" w:ascii="宋体" w:hAnsi="宋体"/>
          <w:color w:val="auto"/>
        </w:rPr>
        <w:t>21.开标</w:t>
      </w:r>
      <w:bookmarkEnd w:id="27"/>
      <w:bookmarkEnd w:id="28"/>
    </w:p>
    <w:p>
      <w:pPr>
        <w:pStyle w:val="41"/>
        <w:snapToGrid/>
        <w:spacing w:line="480" w:lineRule="auto"/>
        <w:jc w:val="left"/>
        <w:rPr>
          <w:rFonts w:ascii="宋体" w:hAnsi="宋体"/>
          <w:color w:val="auto"/>
        </w:rPr>
      </w:pPr>
      <w:r>
        <w:rPr>
          <w:rFonts w:hint="eastAsia" w:ascii="宋体" w:hAnsi="宋体"/>
          <w:color w:val="auto"/>
        </w:rPr>
        <w:t>21.1招标方将在招标文件规定的时间和地点进行公开开标，供应商法定代表人或其授权代表应准时参加开标大会，并签名报到以证明其出席。</w:t>
      </w:r>
    </w:p>
    <w:p>
      <w:pPr>
        <w:pStyle w:val="41"/>
        <w:snapToGrid/>
        <w:spacing w:line="480" w:lineRule="auto"/>
        <w:jc w:val="left"/>
        <w:rPr>
          <w:rFonts w:ascii="宋体" w:hAnsi="宋体"/>
          <w:color w:val="auto"/>
        </w:rPr>
      </w:pPr>
      <w:r>
        <w:rPr>
          <w:rFonts w:hint="eastAsia" w:ascii="宋体" w:hAnsi="宋体"/>
          <w:color w:val="auto"/>
        </w:rPr>
        <w:t>21.2开标时将查验投标文件密封情况，确认无误后拆封唱标，唱正本“开标一览表”内容，招标方将以合适的方式记录唱标内容。</w:t>
      </w:r>
    </w:p>
    <w:p>
      <w:pPr>
        <w:pStyle w:val="41"/>
        <w:snapToGrid/>
        <w:spacing w:line="480" w:lineRule="auto"/>
        <w:jc w:val="left"/>
        <w:rPr>
          <w:rFonts w:ascii="宋体" w:hAnsi="宋体"/>
          <w:color w:val="auto"/>
        </w:rPr>
      </w:pPr>
      <w:r>
        <w:rPr>
          <w:rFonts w:hint="eastAsia" w:ascii="宋体" w:hAnsi="宋体"/>
          <w:color w:val="auto"/>
        </w:rPr>
        <w:t>21.3开标结束时，供应商应在开标记录表上签字确认开标记录内容；如果供应商对开标结果有意见，可以保留不签字的权利，但必须向开标现场的监督管理机构及采购人当场提出书面意见书，否则采购人有权认为供应商认可开标记录。</w:t>
      </w:r>
    </w:p>
    <w:p>
      <w:pPr>
        <w:pStyle w:val="41"/>
        <w:snapToGrid/>
        <w:jc w:val="left"/>
        <w:rPr>
          <w:rFonts w:ascii="宋体" w:hAnsi="宋体"/>
          <w:color w:val="auto"/>
        </w:rPr>
      </w:pPr>
      <w:bookmarkStart w:id="29" w:name="_Toc137651719"/>
      <w:r>
        <w:rPr>
          <w:rFonts w:hint="eastAsia" w:ascii="宋体" w:hAnsi="宋体"/>
          <w:color w:val="auto"/>
        </w:rPr>
        <w:t>22.评标委员会</w:t>
      </w:r>
      <w:bookmarkEnd w:id="29"/>
    </w:p>
    <w:p>
      <w:pPr>
        <w:pStyle w:val="41"/>
        <w:snapToGrid/>
        <w:jc w:val="left"/>
        <w:rPr>
          <w:rFonts w:ascii="宋体" w:hAnsi="宋体"/>
          <w:color w:val="auto"/>
        </w:rPr>
      </w:pPr>
      <w:r>
        <w:rPr>
          <w:rFonts w:hint="eastAsia" w:ascii="宋体" w:hAnsi="宋体"/>
          <w:color w:val="auto"/>
        </w:rPr>
        <w:t>采购人将根据该项目的性质和特点依法组建评标委员会，其成员由技术、市场、法律等方面专家和招标方的代表组成。</w:t>
      </w:r>
    </w:p>
    <w:p>
      <w:pPr>
        <w:pStyle w:val="41"/>
        <w:snapToGrid/>
        <w:ind w:firstLine="422"/>
        <w:jc w:val="left"/>
        <w:rPr>
          <w:rFonts w:ascii="宋体" w:hAnsi="宋体"/>
          <w:b/>
          <w:color w:val="auto"/>
        </w:rPr>
      </w:pPr>
      <w:r>
        <w:rPr>
          <w:rFonts w:hint="eastAsia" w:ascii="宋体" w:hAnsi="宋体"/>
          <w:b/>
          <w:bCs/>
          <w:color w:val="auto"/>
          <w:kern w:val="10"/>
        </w:rPr>
        <w:t>采购单位委派代表参加评审委员会的，须向采购代理机构出具授权函。除授权代表外，采购单位委派纪检监察人员进入电子监督室实施监督的，须向采购代理机构出具证明文件，且不得超过2人。</w:t>
      </w:r>
    </w:p>
    <w:p>
      <w:pPr>
        <w:pStyle w:val="41"/>
        <w:jc w:val="left"/>
        <w:rPr>
          <w:rFonts w:ascii="宋体" w:hAnsi="宋体"/>
          <w:color w:val="auto"/>
        </w:rPr>
      </w:pPr>
      <w:bookmarkStart w:id="30" w:name="_Toc137651720"/>
      <w:bookmarkStart w:id="31" w:name="_Toc127973018"/>
      <w:r>
        <w:rPr>
          <w:rFonts w:hint="eastAsia" w:ascii="宋体" w:hAnsi="宋体"/>
          <w:color w:val="auto"/>
        </w:rPr>
        <w:t>23. 投标文件的初审</w:t>
      </w:r>
    </w:p>
    <w:p>
      <w:pPr>
        <w:pStyle w:val="41"/>
        <w:jc w:val="left"/>
        <w:rPr>
          <w:rFonts w:ascii="宋体" w:hAnsi="宋体"/>
          <w:color w:val="auto"/>
        </w:rPr>
      </w:pPr>
      <w:r>
        <w:rPr>
          <w:rFonts w:hint="eastAsia" w:ascii="宋体" w:hAnsi="宋体"/>
          <w:color w:val="auto"/>
        </w:rPr>
        <w:t>23.1资格性审查。评标专家依据有关法律法规和招标文件的规定，审查每个供应商提交的资格证明文件是否齐全、完整、合法、有效。在评标过程中，评标专家有权要求供应商提供资格证明文件的原件以供审查，供应商应在评标专家规定的时限内提供。供应商拒不提供或者不能在规定时限内提供的，其投标将被作为无效投标处理。资格性审查条款详见第四部分“资格性审查要求”。</w:t>
      </w:r>
    </w:p>
    <w:p>
      <w:pPr>
        <w:pStyle w:val="41"/>
        <w:jc w:val="left"/>
        <w:rPr>
          <w:rFonts w:ascii="宋体" w:hAnsi="宋体"/>
          <w:color w:val="auto"/>
        </w:rPr>
      </w:pPr>
      <w:r>
        <w:rPr>
          <w:rFonts w:hint="eastAsia" w:ascii="宋体" w:hAnsi="宋体"/>
          <w:color w:val="auto"/>
        </w:rPr>
        <w:t>23.2符合性审查。评标专家依据有关法律法规和招标文件的规定，从投标文件的有效性、完整性和对招标文件的响应程度，审查投标文件是否对招标文件的实质性要求做出了响应。符合性审查条款详见招标文件第四部分“符合性审查要求”。</w:t>
      </w:r>
    </w:p>
    <w:p>
      <w:pPr>
        <w:pStyle w:val="41"/>
        <w:jc w:val="left"/>
        <w:rPr>
          <w:rFonts w:ascii="宋体" w:hAnsi="宋体"/>
          <w:color w:val="auto"/>
        </w:rPr>
      </w:pPr>
      <w:r>
        <w:rPr>
          <w:rFonts w:hint="eastAsia" w:ascii="宋体" w:hAnsi="宋体"/>
          <w:color w:val="auto"/>
        </w:rPr>
        <w:t>23.3 实质上响应的投标是指与招标文件的条款、条件和规格相符，没有重大偏离。所谓重大偏离是指投标货物的技术规格、数量和交货期限等明显不能满足招标文件的要求，或者实质上与招标文件不一致，而且限制了采购单位的权利或供应商的义务，如果纠正这些偏离将对其他实质上响应招标文件要求的供应商的竞争地位产生不公正的影响。</w:t>
      </w:r>
    </w:p>
    <w:p>
      <w:pPr>
        <w:pStyle w:val="41"/>
        <w:jc w:val="left"/>
        <w:rPr>
          <w:rFonts w:ascii="宋体" w:hAnsi="宋体"/>
          <w:color w:val="auto"/>
        </w:rPr>
      </w:pPr>
      <w:r>
        <w:rPr>
          <w:rFonts w:hint="eastAsia" w:ascii="宋体" w:hAnsi="宋体"/>
          <w:color w:val="auto"/>
        </w:rPr>
        <w:t>23.4 重大偏离不允许在开标后修正，但评标专家将允许修正投标中不构成重大偏离的地方，而且这些修正不会对其他实质上响应招标文件要求的供应商的竞争地位产生不公正的影响。</w:t>
      </w:r>
    </w:p>
    <w:p>
      <w:pPr>
        <w:pStyle w:val="41"/>
        <w:jc w:val="left"/>
        <w:rPr>
          <w:rFonts w:ascii="宋体" w:hAnsi="宋体"/>
          <w:color w:val="auto"/>
        </w:rPr>
      </w:pPr>
      <w:r>
        <w:rPr>
          <w:rFonts w:hint="eastAsia" w:ascii="宋体" w:hAnsi="宋体"/>
          <w:color w:val="auto"/>
        </w:rPr>
        <w:t>23.5 如果投标文件实质上没有响应招标文件的要求，将作为无效投标处理，供应商不得再对投标文件进行任何修正从而使其投标成为实质上响应的投标。</w:t>
      </w:r>
    </w:p>
    <w:p>
      <w:pPr>
        <w:pStyle w:val="41"/>
        <w:snapToGrid/>
        <w:jc w:val="left"/>
        <w:rPr>
          <w:rFonts w:ascii="宋体" w:hAnsi="宋体"/>
          <w:color w:val="auto"/>
        </w:rPr>
      </w:pPr>
      <w:r>
        <w:rPr>
          <w:rFonts w:hint="eastAsia" w:ascii="宋体" w:hAnsi="宋体"/>
          <w:color w:val="auto"/>
        </w:rPr>
        <w:t>24.投标文件的澄清</w:t>
      </w:r>
      <w:bookmarkEnd w:id="30"/>
      <w:bookmarkEnd w:id="31"/>
    </w:p>
    <w:p>
      <w:pPr>
        <w:pStyle w:val="41"/>
        <w:snapToGrid/>
        <w:jc w:val="left"/>
        <w:rPr>
          <w:rFonts w:ascii="宋体" w:hAnsi="宋体"/>
          <w:color w:val="auto"/>
        </w:rPr>
      </w:pPr>
      <w:r>
        <w:rPr>
          <w:rFonts w:hint="eastAsia" w:ascii="宋体" w:hAnsi="宋体"/>
          <w:color w:val="auto"/>
        </w:rPr>
        <w:t>24.1为了有助于对投标文件进行审查、评估和比较，评标委员会有权向供应商质疑，请供应商澄清其投标内容。供应商有责任按照采购人通知的时间、地点指派专人进行答疑和澄清。</w:t>
      </w:r>
    </w:p>
    <w:p>
      <w:pPr>
        <w:pStyle w:val="41"/>
        <w:snapToGrid/>
        <w:jc w:val="left"/>
        <w:rPr>
          <w:rFonts w:ascii="宋体" w:hAnsi="宋体"/>
          <w:color w:val="auto"/>
        </w:rPr>
      </w:pPr>
      <w:r>
        <w:rPr>
          <w:rFonts w:hint="eastAsia" w:ascii="宋体" w:hAnsi="宋体"/>
          <w:color w:val="auto"/>
        </w:rPr>
        <w:t>24.2重要澄清的答复应是书面的，但不得对投标内容进行实质性修改。</w:t>
      </w:r>
    </w:p>
    <w:p>
      <w:pPr>
        <w:pStyle w:val="41"/>
        <w:snapToGrid/>
        <w:jc w:val="left"/>
        <w:rPr>
          <w:rFonts w:ascii="宋体" w:hAnsi="宋体"/>
          <w:color w:val="auto"/>
        </w:rPr>
      </w:pPr>
      <w:r>
        <w:rPr>
          <w:rFonts w:hint="eastAsia" w:ascii="宋体" w:hAnsi="宋体"/>
          <w:color w:val="auto"/>
        </w:rPr>
        <w:t>24.3澄清文件是投标文件的组成部分，并取代投标文件中被澄清的部分。</w:t>
      </w:r>
    </w:p>
    <w:p>
      <w:pPr>
        <w:pStyle w:val="41"/>
        <w:snapToGrid/>
        <w:jc w:val="left"/>
        <w:rPr>
          <w:rFonts w:ascii="宋体" w:hAnsi="宋体"/>
          <w:color w:val="auto"/>
        </w:rPr>
      </w:pPr>
      <w:bookmarkStart w:id="32" w:name="_Toc137651721"/>
      <w:bookmarkStart w:id="33" w:name="_Toc127973019"/>
      <w:r>
        <w:rPr>
          <w:rFonts w:hint="eastAsia" w:ascii="宋体" w:hAnsi="宋体"/>
          <w:color w:val="auto"/>
        </w:rPr>
        <w:t>25.对投标文件的评</w:t>
      </w:r>
      <w:bookmarkEnd w:id="32"/>
      <w:bookmarkEnd w:id="33"/>
      <w:r>
        <w:rPr>
          <w:rFonts w:hint="eastAsia" w:ascii="宋体" w:hAnsi="宋体"/>
          <w:color w:val="auto"/>
        </w:rPr>
        <w:t>估和比较</w:t>
      </w:r>
    </w:p>
    <w:p>
      <w:pPr>
        <w:pStyle w:val="41"/>
        <w:snapToGrid/>
        <w:jc w:val="left"/>
        <w:rPr>
          <w:rFonts w:ascii="宋体" w:hAnsi="宋体"/>
          <w:color w:val="auto"/>
        </w:rPr>
      </w:pPr>
      <w:r>
        <w:rPr>
          <w:rFonts w:hint="eastAsia" w:ascii="宋体" w:hAnsi="宋体"/>
          <w:color w:val="auto"/>
        </w:rPr>
        <w:t>采购人及其组织的评标委员会将对实质性响应的投标文件进行评估和比较。</w:t>
      </w:r>
    </w:p>
    <w:p>
      <w:pPr>
        <w:pStyle w:val="41"/>
        <w:snapToGrid/>
        <w:jc w:val="left"/>
        <w:rPr>
          <w:rFonts w:ascii="宋体" w:hAnsi="宋体"/>
          <w:color w:val="auto"/>
        </w:rPr>
      </w:pPr>
      <w:r>
        <w:rPr>
          <w:rFonts w:hint="eastAsia" w:ascii="宋体" w:hAnsi="宋体"/>
          <w:color w:val="auto"/>
        </w:rPr>
        <w:t>26.评标原则、评标方法及评分标准</w:t>
      </w:r>
    </w:p>
    <w:p>
      <w:pPr>
        <w:pStyle w:val="41"/>
        <w:jc w:val="left"/>
        <w:rPr>
          <w:rFonts w:ascii="宋体" w:hAnsi="宋体"/>
          <w:color w:val="auto"/>
        </w:rPr>
      </w:pPr>
      <w:r>
        <w:rPr>
          <w:rFonts w:hint="eastAsia" w:ascii="宋体" w:hAnsi="宋体"/>
          <w:color w:val="auto"/>
        </w:rPr>
        <w:t>26.1评标专家按招标文件中规定的评标方法及评标标准，对资格性审查和符合性审查合格的投标文件进行比较和评价。</w:t>
      </w:r>
    </w:p>
    <w:p>
      <w:pPr>
        <w:pStyle w:val="41"/>
        <w:jc w:val="left"/>
        <w:rPr>
          <w:rFonts w:ascii="宋体" w:hAnsi="宋体"/>
          <w:color w:val="auto"/>
        </w:rPr>
      </w:pPr>
      <w:r>
        <w:rPr>
          <w:rFonts w:hint="eastAsia" w:ascii="宋体" w:hAnsi="宋体"/>
          <w:color w:val="auto"/>
        </w:rPr>
        <w:t>综合评分法，是指在最大限度地满足招标文件实质性要求前提下，按照招标文件中规定的各项因素进行综合评审后，以评标总得分最高的供应商作为中标供应商的评标方法。</w:t>
      </w:r>
    </w:p>
    <w:p>
      <w:pPr>
        <w:pStyle w:val="41"/>
        <w:jc w:val="left"/>
        <w:rPr>
          <w:rFonts w:ascii="宋体" w:hAnsi="宋体"/>
          <w:color w:val="auto"/>
        </w:rPr>
      </w:pPr>
      <w:r>
        <w:rPr>
          <w:rFonts w:hint="eastAsia" w:ascii="宋体" w:hAnsi="宋体"/>
          <w:color w:val="auto"/>
        </w:rPr>
        <w:t>26.2采用综合评分法的项目，按以下规则进行评审：</w:t>
      </w:r>
    </w:p>
    <w:p>
      <w:pPr>
        <w:pStyle w:val="41"/>
        <w:jc w:val="left"/>
        <w:rPr>
          <w:rFonts w:ascii="宋体" w:hAnsi="宋体"/>
          <w:color w:val="auto"/>
        </w:rPr>
      </w:pPr>
      <w:r>
        <w:rPr>
          <w:rFonts w:hint="eastAsia" w:ascii="宋体" w:hAnsi="宋体"/>
          <w:color w:val="auto"/>
        </w:rPr>
        <w:t>（1）评标专家根据招标文件规定的评标标准对每个有效投标文件进行打分，计算简单算术平均数的方法计算供应商的最终得分，最终得分按四舍五入的方式保留至小数点后二位。</w:t>
      </w:r>
    </w:p>
    <w:p>
      <w:pPr>
        <w:pStyle w:val="41"/>
        <w:jc w:val="left"/>
        <w:rPr>
          <w:rFonts w:ascii="宋体" w:hAnsi="宋体"/>
          <w:color w:val="auto"/>
        </w:rPr>
      </w:pPr>
      <w:r>
        <w:rPr>
          <w:rFonts w:hint="eastAsia" w:ascii="宋体" w:hAnsi="宋体"/>
          <w:color w:val="auto"/>
        </w:rPr>
        <w:t>（2）评标专家完成评标后，须向采购代理机构提交书面评标报告，评标委员会根据全体评标成员签字的原始评标记录和评标结果，按照供应商的得分，由高到低排序，向采购人推荐1-3名候选中标供应商，采购人按照评标委员会评审报告中推荐的中标候选供应商顺序确定中标供应商。</w:t>
      </w:r>
    </w:p>
    <w:p>
      <w:pPr>
        <w:pStyle w:val="41"/>
        <w:jc w:val="left"/>
        <w:rPr>
          <w:rFonts w:ascii="宋体" w:hAnsi="宋体"/>
          <w:color w:val="auto"/>
        </w:rPr>
      </w:pPr>
      <w:r>
        <w:rPr>
          <w:rFonts w:hint="eastAsia" w:ascii="宋体" w:hAnsi="宋体"/>
          <w:color w:val="auto"/>
        </w:rPr>
        <w:t>26.3 按上述评标方法，得分相同的，按投标报价由低到高顺序排列；得分且投标报价相同的，以技术优劣确定中标供应商；技术相同的，由评标专家投票确定中标候选供应商排序。</w:t>
      </w:r>
    </w:p>
    <w:p>
      <w:pPr>
        <w:pStyle w:val="41"/>
        <w:jc w:val="left"/>
        <w:rPr>
          <w:rFonts w:ascii="宋体" w:hAnsi="宋体"/>
          <w:color w:val="auto"/>
        </w:rPr>
      </w:pPr>
      <w:r>
        <w:rPr>
          <w:rFonts w:hint="eastAsia" w:ascii="宋体" w:hAnsi="宋体"/>
          <w:color w:val="auto"/>
        </w:rPr>
        <w:t>26.4 评标中遇到的其他问题，由评标专家集体研究决定。</w:t>
      </w:r>
    </w:p>
    <w:p>
      <w:pPr>
        <w:tabs>
          <w:tab w:val="left" w:pos="7669"/>
        </w:tabs>
        <w:autoSpaceDE w:val="0"/>
        <w:autoSpaceDN w:val="0"/>
        <w:adjustRightInd w:val="0"/>
        <w:spacing w:line="360" w:lineRule="auto"/>
        <w:ind w:firstLine="420" w:firstLineChars="200"/>
        <w:rPr>
          <w:rFonts w:ascii="宋体" w:hAnsi="宋体"/>
          <w:szCs w:val="21"/>
        </w:rPr>
      </w:pPr>
      <w:bookmarkStart w:id="34" w:name="_Toc127973020"/>
      <w:bookmarkStart w:id="35" w:name="_Toc137651722"/>
      <w:r>
        <w:rPr>
          <w:rFonts w:hint="eastAsia" w:ascii="宋体" w:hAnsi="宋体"/>
          <w:szCs w:val="21"/>
        </w:rPr>
        <w:t>27．保密</w:t>
      </w:r>
    </w:p>
    <w:p>
      <w:pPr>
        <w:tabs>
          <w:tab w:val="left" w:pos="7669"/>
        </w:tabs>
        <w:autoSpaceDE w:val="0"/>
        <w:autoSpaceDN w:val="0"/>
        <w:adjustRightInd w:val="0"/>
        <w:spacing w:line="360" w:lineRule="auto"/>
        <w:ind w:firstLine="420" w:firstLineChars="200"/>
        <w:rPr>
          <w:rFonts w:ascii="宋体" w:hAnsi="宋体"/>
          <w:szCs w:val="21"/>
        </w:rPr>
      </w:pPr>
      <w:r>
        <w:rPr>
          <w:rFonts w:hint="eastAsia" w:ascii="宋体" w:hAnsi="宋体"/>
          <w:szCs w:val="21"/>
        </w:rPr>
        <w:t>27.1有关投标文件的审查、澄清、评估和比较以及有关授予合同的意向的一切情况都不得透露给任一供应商或与上述评标工作无关的人员。</w:t>
      </w:r>
    </w:p>
    <w:p>
      <w:pPr>
        <w:tabs>
          <w:tab w:val="left" w:pos="7669"/>
        </w:tabs>
        <w:autoSpaceDE w:val="0"/>
        <w:autoSpaceDN w:val="0"/>
        <w:adjustRightInd w:val="0"/>
        <w:spacing w:line="360" w:lineRule="auto"/>
        <w:ind w:firstLine="420" w:firstLineChars="200"/>
        <w:rPr>
          <w:rFonts w:ascii="宋体" w:hAnsi="宋体"/>
          <w:szCs w:val="21"/>
        </w:rPr>
      </w:pPr>
      <w:r>
        <w:rPr>
          <w:rFonts w:hint="eastAsia" w:ascii="宋体" w:hAnsi="宋体"/>
          <w:szCs w:val="21"/>
        </w:rPr>
        <w:t>27.2供应商不得干扰采购人的评标活动，否则将废除其投标。</w:t>
      </w:r>
      <w:bookmarkEnd w:id="34"/>
      <w:bookmarkEnd w:id="35"/>
      <w:bookmarkStart w:id="36" w:name="_Toc129414326"/>
      <w:bookmarkStart w:id="37" w:name="_Toc179456529"/>
      <w:bookmarkStart w:id="38" w:name="_Toc181344320"/>
      <w:bookmarkStart w:id="39" w:name="_Toc137651724"/>
      <w:bookmarkStart w:id="40" w:name="_Toc127973023"/>
      <w:bookmarkStart w:id="41" w:name="_Toc181348131"/>
      <w:bookmarkStart w:id="42" w:name="_Toc270946167"/>
      <w:bookmarkStart w:id="43" w:name="_Toc267574100"/>
    </w:p>
    <w:p>
      <w:pPr>
        <w:tabs>
          <w:tab w:val="left" w:pos="7669"/>
        </w:tabs>
        <w:autoSpaceDE w:val="0"/>
        <w:autoSpaceDN w:val="0"/>
        <w:adjustRightInd w:val="0"/>
        <w:spacing w:line="360" w:lineRule="auto"/>
        <w:ind w:firstLine="422" w:firstLineChars="200"/>
        <w:rPr>
          <w:rFonts w:ascii="宋体" w:hAnsi="宋体"/>
          <w:b/>
          <w:szCs w:val="21"/>
        </w:rPr>
      </w:pPr>
      <w:r>
        <w:rPr>
          <w:rFonts w:hint="eastAsia" w:ascii="宋体" w:hAnsi="宋体"/>
          <w:b/>
          <w:szCs w:val="21"/>
        </w:rPr>
        <w:t>F、授予合同</w:t>
      </w:r>
      <w:bookmarkEnd w:id="36"/>
      <w:bookmarkEnd w:id="37"/>
      <w:bookmarkEnd w:id="38"/>
      <w:bookmarkEnd w:id="39"/>
      <w:bookmarkEnd w:id="40"/>
      <w:bookmarkEnd w:id="41"/>
      <w:bookmarkEnd w:id="42"/>
      <w:bookmarkEnd w:id="43"/>
    </w:p>
    <w:p>
      <w:pPr>
        <w:tabs>
          <w:tab w:val="left" w:pos="7669"/>
        </w:tabs>
        <w:autoSpaceDE w:val="0"/>
        <w:autoSpaceDN w:val="0"/>
        <w:adjustRightInd w:val="0"/>
        <w:spacing w:line="360" w:lineRule="auto"/>
        <w:ind w:firstLine="420" w:firstLineChars="200"/>
        <w:rPr>
          <w:rFonts w:ascii="宋体" w:hAnsi="宋体"/>
          <w:szCs w:val="21"/>
        </w:rPr>
      </w:pPr>
      <w:bookmarkStart w:id="44" w:name="_Toc137651725"/>
      <w:bookmarkStart w:id="45" w:name="_Toc127973025"/>
      <w:r>
        <w:rPr>
          <w:rFonts w:hint="eastAsia" w:ascii="宋体" w:hAnsi="宋体"/>
          <w:szCs w:val="21"/>
        </w:rPr>
        <w:t>28.定标准则</w:t>
      </w:r>
      <w:bookmarkEnd w:id="44"/>
      <w:bookmarkEnd w:id="45"/>
    </w:p>
    <w:p>
      <w:pPr>
        <w:tabs>
          <w:tab w:val="left" w:pos="7669"/>
        </w:tabs>
        <w:autoSpaceDE w:val="0"/>
        <w:autoSpaceDN w:val="0"/>
        <w:adjustRightInd w:val="0"/>
        <w:spacing w:line="360" w:lineRule="auto"/>
        <w:ind w:firstLine="420" w:firstLineChars="200"/>
        <w:rPr>
          <w:rFonts w:ascii="宋体" w:hAnsi="宋体"/>
          <w:szCs w:val="21"/>
        </w:rPr>
      </w:pPr>
      <w:r>
        <w:rPr>
          <w:rFonts w:hint="eastAsia" w:ascii="宋体" w:hAnsi="宋体"/>
          <w:szCs w:val="21"/>
        </w:rPr>
        <w:t>28.1严格按照招标文件的要求和条件进行评标，择优定标。</w:t>
      </w:r>
    </w:p>
    <w:p>
      <w:pPr>
        <w:tabs>
          <w:tab w:val="left" w:pos="7669"/>
        </w:tabs>
        <w:autoSpaceDE w:val="0"/>
        <w:autoSpaceDN w:val="0"/>
        <w:adjustRightInd w:val="0"/>
        <w:spacing w:line="360" w:lineRule="auto"/>
        <w:ind w:firstLine="420" w:firstLineChars="200"/>
        <w:rPr>
          <w:rFonts w:ascii="宋体" w:hAnsi="宋体"/>
          <w:szCs w:val="21"/>
        </w:rPr>
      </w:pPr>
      <w:r>
        <w:rPr>
          <w:rFonts w:hint="eastAsia" w:ascii="宋体" w:hAnsi="宋体"/>
          <w:szCs w:val="21"/>
        </w:rPr>
        <w:t>28.2最低报价不能作为中标的保证。</w:t>
      </w:r>
    </w:p>
    <w:p>
      <w:pPr>
        <w:tabs>
          <w:tab w:val="left" w:pos="7669"/>
        </w:tabs>
        <w:autoSpaceDE w:val="0"/>
        <w:autoSpaceDN w:val="0"/>
        <w:adjustRightInd w:val="0"/>
        <w:spacing w:line="360" w:lineRule="auto"/>
        <w:ind w:firstLine="420" w:firstLineChars="200"/>
        <w:rPr>
          <w:rFonts w:ascii="宋体" w:hAnsi="宋体"/>
          <w:szCs w:val="21"/>
        </w:rPr>
      </w:pPr>
      <w:r>
        <w:rPr>
          <w:rFonts w:hint="eastAsia" w:ascii="宋体" w:hAnsi="宋体"/>
          <w:szCs w:val="21"/>
        </w:rPr>
        <w:t>28.3本次招标，合同将授予由</w:t>
      </w:r>
      <w:r>
        <w:rPr>
          <w:rFonts w:hint="eastAsia" w:ascii="宋体" w:hAnsi="宋体"/>
        </w:rPr>
        <w:t>采购人按照评标委员会评审报告中推荐的中标候选供应商确定中标供应商</w:t>
      </w:r>
      <w:r>
        <w:rPr>
          <w:rFonts w:hint="eastAsia" w:ascii="宋体" w:hAnsi="宋体"/>
          <w:szCs w:val="21"/>
        </w:rPr>
        <w:t>。</w:t>
      </w:r>
    </w:p>
    <w:p>
      <w:pPr>
        <w:tabs>
          <w:tab w:val="left" w:pos="7669"/>
        </w:tabs>
        <w:autoSpaceDE w:val="0"/>
        <w:autoSpaceDN w:val="0"/>
        <w:adjustRightInd w:val="0"/>
        <w:spacing w:line="360" w:lineRule="auto"/>
        <w:ind w:firstLine="420" w:firstLineChars="200"/>
        <w:rPr>
          <w:rFonts w:ascii="宋体" w:hAnsi="宋体"/>
          <w:szCs w:val="21"/>
        </w:rPr>
      </w:pPr>
      <w:r>
        <w:rPr>
          <w:rFonts w:hint="eastAsia" w:ascii="宋体" w:hAnsi="宋体"/>
          <w:szCs w:val="21"/>
        </w:rPr>
        <w:t>29.资格最终审查</w:t>
      </w:r>
    </w:p>
    <w:p>
      <w:pPr>
        <w:tabs>
          <w:tab w:val="left" w:pos="7669"/>
        </w:tabs>
        <w:autoSpaceDE w:val="0"/>
        <w:autoSpaceDN w:val="0"/>
        <w:adjustRightInd w:val="0"/>
        <w:spacing w:line="360" w:lineRule="auto"/>
        <w:ind w:firstLine="420" w:firstLineChars="200"/>
        <w:rPr>
          <w:rFonts w:ascii="宋体" w:hAnsi="宋体"/>
          <w:szCs w:val="21"/>
        </w:rPr>
      </w:pPr>
      <w:r>
        <w:rPr>
          <w:rFonts w:hint="eastAsia" w:ascii="宋体" w:hAnsi="宋体"/>
          <w:szCs w:val="21"/>
        </w:rPr>
        <w:t>29.1评委会将审查供应商（拟中标单位）的财务、技术、管理能力及信誉，确定其是否能圆满地履行合同。</w:t>
      </w:r>
    </w:p>
    <w:p>
      <w:pPr>
        <w:tabs>
          <w:tab w:val="left" w:pos="7669"/>
        </w:tabs>
        <w:autoSpaceDE w:val="0"/>
        <w:autoSpaceDN w:val="0"/>
        <w:adjustRightInd w:val="0"/>
        <w:spacing w:line="360" w:lineRule="auto"/>
        <w:ind w:firstLine="420" w:firstLineChars="200"/>
        <w:rPr>
          <w:rFonts w:ascii="宋体" w:hAnsi="宋体"/>
          <w:szCs w:val="21"/>
        </w:rPr>
      </w:pPr>
      <w:r>
        <w:rPr>
          <w:rFonts w:hint="eastAsia" w:ascii="宋体" w:hAnsi="宋体"/>
          <w:szCs w:val="21"/>
        </w:rPr>
        <w:t>29.2如果确定该供应商不具备圆满履行合同的条件，评委会将对备选中标单位及依次类推的下一个供应商资格作出类似的审查，直至最终确定拟中标单位和备选中标单位。</w:t>
      </w:r>
    </w:p>
    <w:p>
      <w:pPr>
        <w:tabs>
          <w:tab w:val="left" w:pos="7669"/>
        </w:tabs>
        <w:autoSpaceDE w:val="0"/>
        <w:autoSpaceDN w:val="0"/>
        <w:adjustRightInd w:val="0"/>
        <w:spacing w:line="360" w:lineRule="auto"/>
        <w:ind w:firstLine="420" w:firstLineChars="200"/>
        <w:rPr>
          <w:rFonts w:ascii="宋体" w:hAnsi="宋体"/>
          <w:szCs w:val="21"/>
        </w:rPr>
      </w:pPr>
      <w:bookmarkStart w:id="46" w:name="_Toc137651728"/>
      <w:bookmarkStart w:id="47" w:name="_Toc127973028"/>
      <w:r>
        <w:rPr>
          <w:rFonts w:hint="eastAsia" w:ascii="宋体" w:hAnsi="宋体"/>
          <w:szCs w:val="21"/>
        </w:rPr>
        <w:t>30．接受和拒绝任何或所有投标的权力</w:t>
      </w:r>
    </w:p>
    <w:p>
      <w:pPr>
        <w:tabs>
          <w:tab w:val="left" w:pos="7669"/>
        </w:tabs>
        <w:autoSpaceDE w:val="0"/>
        <w:autoSpaceDN w:val="0"/>
        <w:adjustRightInd w:val="0"/>
        <w:spacing w:line="360" w:lineRule="auto"/>
        <w:ind w:firstLine="420" w:firstLineChars="200"/>
        <w:rPr>
          <w:rFonts w:ascii="宋体" w:hAnsi="宋体"/>
          <w:szCs w:val="21"/>
        </w:rPr>
      </w:pPr>
      <w:r>
        <w:rPr>
          <w:rFonts w:hint="eastAsia" w:ascii="宋体" w:hAnsi="宋体"/>
          <w:szCs w:val="21"/>
        </w:rPr>
        <w:t>采购人在授予合同之前仍有选择或拒绝任何或全部投标的权力，并对所采取的行为不作任何解释。</w:t>
      </w:r>
    </w:p>
    <w:p>
      <w:pPr>
        <w:tabs>
          <w:tab w:val="left" w:pos="7669"/>
        </w:tabs>
        <w:autoSpaceDE w:val="0"/>
        <w:autoSpaceDN w:val="0"/>
        <w:adjustRightInd w:val="0"/>
        <w:spacing w:line="360" w:lineRule="auto"/>
        <w:ind w:firstLine="420" w:firstLineChars="200"/>
        <w:rPr>
          <w:rFonts w:ascii="宋体" w:hAnsi="宋体"/>
          <w:szCs w:val="21"/>
        </w:rPr>
      </w:pPr>
      <w:r>
        <w:rPr>
          <w:rFonts w:hint="eastAsia" w:ascii="宋体" w:hAnsi="宋体"/>
          <w:szCs w:val="21"/>
        </w:rPr>
        <w:t>31.公示中标结果、发出中标通知书</w:t>
      </w:r>
    </w:p>
    <w:p>
      <w:pPr>
        <w:tabs>
          <w:tab w:val="left" w:pos="7669"/>
        </w:tabs>
        <w:autoSpaceDE w:val="0"/>
        <w:autoSpaceDN w:val="0"/>
        <w:adjustRightInd w:val="0"/>
        <w:spacing w:line="360" w:lineRule="auto"/>
        <w:ind w:firstLine="420" w:firstLineChars="200"/>
        <w:rPr>
          <w:rFonts w:ascii="宋体" w:hAnsi="宋体"/>
          <w:szCs w:val="21"/>
        </w:rPr>
      </w:pPr>
      <w:r>
        <w:rPr>
          <w:rFonts w:hint="eastAsia" w:ascii="宋体" w:hAnsi="宋体"/>
          <w:szCs w:val="21"/>
        </w:rPr>
        <w:t>31.1采购代理机构应当自评审结束之日起2个工作日内将评审报告送交采购人。采购人应当自收到评审报告之日起5个工作日内在评审报告推荐的中标或者成交候选人中按顺序确定中标或者成交供应商。</w:t>
      </w:r>
    </w:p>
    <w:p>
      <w:pPr>
        <w:tabs>
          <w:tab w:val="left" w:pos="7669"/>
        </w:tabs>
        <w:autoSpaceDE w:val="0"/>
        <w:autoSpaceDN w:val="0"/>
        <w:adjustRightInd w:val="0"/>
        <w:spacing w:line="360" w:lineRule="auto"/>
        <w:ind w:firstLine="420" w:firstLineChars="200"/>
        <w:rPr>
          <w:rFonts w:ascii="宋体" w:hAnsi="宋体"/>
          <w:szCs w:val="21"/>
        </w:rPr>
      </w:pPr>
      <w:r>
        <w:rPr>
          <w:rFonts w:hint="eastAsia" w:ascii="宋体" w:hAnsi="宋体"/>
          <w:szCs w:val="21"/>
        </w:rPr>
        <w:t>31.2采购人或者采购代理机构应当自中标、成交供应商确定之日起2个工作日内，发出中标、成交通知书。中标、成交通知书一经发出即发生法律效力。</w:t>
      </w:r>
    </w:p>
    <w:bookmarkEnd w:id="46"/>
    <w:bookmarkEnd w:id="47"/>
    <w:p>
      <w:pPr>
        <w:tabs>
          <w:tab w:val="left" w:pos="7669"/>
        </w:tabs>
        <w:autoSpaceDE w:val="0"/>
        <w:autoSpaceDN w:val="0"/>
        <w:adjustRightInd w:val="0"/>
        <w:spacing w:line="360" w:lineRule="auto"/>
        <w:ind w:firstLine="420" w:firstLineChars="200"/>
        <w:rPr>
          <w:rFonts w:ascii="宋体" w:hAnsi="宋体"/>
          <w:szCs w:val="21"/>
        </w:rPr>
      </w:pPr>
      <w:r>
        <w:rPr>
          <w:rFonts w:hint="eastAsia" w:ascii="宋体" w:hAnsi="宋体"/>
          <w:szCs w:val="21"/>
        </w:rPr>
        <w:t>32.授予合同时变更数量的权力</w:t>
      </w:r>
    </w:p>
    <w:p>
      <w:pPr>
        <w:tabs>
          <w:tab w:val="left" w:pos="7669"/>
        </w:tabs>
        <w:autoSpaceDE w:val="0"/>
        <w:autoSpaceDN w:val="0"/>
        <w:adjustRightInd w:val="0"/>
        <w:spacing w:line="360" w:lineRule="auto"/>
        <w:ind w:firstLine="420" w:firstLineChars="200"/>
        <w:rPr>
          <w:rFonts w:ascii="宋体" w:hAnsi="宋体"/>
          <w:szCs w:val="21"/>
        </w:rPr>
      </w:pPr>
      <w:r>
        <w:rPr>
          <w:rFonts w:hint="eastAsia" w:ascii="宋体" w:hAnsi="宋体"/>
          <w:szCs w:val="21"/>
        </w:rPr>
        <w:t>采购人在授予合同时，有权对本次采购项目中规定的货物数量予以适当增减以及拆包授予合同的权利（其幅度不得超出±10%）。供应商不得在此情况下对投标文件作出修改，如单价、交货期、售后服务等。</w:t>
      </w:r>
    </w:p>
    <w:p>
      <w:pPr>
        <w:tabs>
          <w:tab w:val="left" w:pos="7669"/>
        </w:tabs>
        <w:autoSpaceDE w:val="0"/>
        <w:autoSpaceDN w:val="0"/>
        <w:adjustRightInd w:val="0"/>
        <w:spacing w:line="360" w:lineRule="auto"/>
        <w:ind w:firstLine="420" w:firstLineChars="200"/>
        <w:rPr>
          <w:rFonts w:ascii="宋体" w:hAnsi="宋体"/>
          <w:szCs w:val="21"/>
        </w:rPr>
      </w:pPr>
      <w:r>
        <w:rPr>
          <w:rFonts w:hint="eastAsia" w:ascii="宋体" w:hAnsi="宋体"/>
          <w:szCs w:val="21"/>
        </w:rPr>
        <w:t>33.合同协议书的签署</w:t>
      </w:r>
    </w:p>
    <w:p>
      <w:pPr>
        <w:tabs>
          <w:tab w:val="left" w:pos="7669"/>
        </w:tabs>
        <w:autoSpaceDE w:val="0"/>
        <w:autoSpaceDN w:val="0"/>
        <w:adjustRightInd w:val="0"/>
        <w:spacing w:line="360" w:lineRule="auto"/>
        <w:ind w:firstLine="420" w:firstLineChars="200"/>
        <w:rPr>
          <w:rFonts w:ascii="宋体" w:hAnsi="宋体"/>
          <w:szCs w:val="21"/>
        </w:rPr>
      </w:pPr>
      <w:r>
        <w:rPr>
          <w:rFonts w:hint="eastAsia" w:ascii="宋体" w:hAnsi="宋体"/>
          <w:szCs w:val="21"/>
        </w:rPr>
        <w:t>33.1中标方按中标通知书指定的时间、地点与采购人按指定的协议书格式签订合同协议书。</w:t>
      </w:r>
    </w:p>
    <w:p>
      <w:pPr>
        <w:tabs>
          <w:tab w:val="left" w:pos="7669"/>
        </w:tabs>
        <w:autoSpaceDE w:val="0"/>
        <w:autoSpaceDN w:val="0"/>
        <w:adjustRightInd w:val="0"/>
        <w:spacing w:line="360" w:lineRule="auto"/>
        <w:ind w:firstLine="420" w:firstLineChars="200"/>
        <w:rPr>
          <w:rFonts w:ascii="宋体" w:hAnsi="宋体"/>
          <w:szCs w:val="21"/>
        </w:rPr>
      </w:pPr>
      <w:r>
        <w:rPr>
          <w:rFonts w:hint="eastAsia" w:ascii="宋体" w:hAnsi="宋体"/>
          <w:szCs w:val="21"/>
        </w:rPr>
        <w:t>33.2中标通知书、招标文件、中标方的投标文件及其澄清文件，均为签订合同协议书的依据。</w:t>
      </w:r>
    </w:p>
    <w:p>
      <w:pPr>
        <w:tabs>
          <w:tab w:val="left" w:pos="7669"/>
        </w:tabs>
        <w:autoSpaceDE w:val="0"/>
        <w:autoSpaceDN w:val="0"/>
        <w:adjustRightInd w:val="0"/>
        <w:spacing w:line="360" w:lineRule="auto"/>
        <w:ind w:firstLine="420" w:firstLineChars="200"/>
        <w:rPr>
          <w:rFonts w:ascii="宋体" w:hAnsi="宋体"/>
          <w:szCs w:val="21"/>
        </w:rPr>
      </w:pPr>
      <w:r>
        <w:rPr>
          <w:rFonts w:hint="eastAsia" w:ascii="宋体" w:hAnsi="宋体"/>
          <w:szCs w:val="21"/>
        </w:rPr>
        <w:t>34.本招标文件的最终解释权归采购人所有。</w:t>
      </w:r>
    </w:p>
    <w:p>
      <w:pPr>
        <w:jc w:val="center"/>
        <w:rPr>
          <w:rFonts w:ascii="宋体" w:hAnsi="宋体"/>
          <w:b/>
          <w:sz w:val="36"/>
          <w:szCs w:val="36"/>
        </w:rPr>
      </w:pPr>
      <w:r>
        <w:rPr>
          <w:rFonts w:hint="eastAsia" w:ascii="宋体" w:hAnsi="宋体"/>
          <w:b/>
          <w:sz w:val="36"/>
          <w:szCs w:val="36"/>
        </w:rPr>
        <w:t>第六部分 合同一般条款</w:t>
      </w:r>
      <w:bookmarkEnd w:id="8"/>
      <w:bookmarkEnd w:id="9"/>
      <w:bookmarkStart w:id="48" w:name="_Toc106161035"/>
      <w:bookmarkStart w:id="49" w:name="_Toc106161433"/>
      <w:bookmarkStart w:id="50" w:name="_Toc83781372"/>
      <w:bookmarkStart w:id="51" w:name="_Toc85602125"/>
      <w:bookmarkStart w:id="52" w:name="_Toc137651764"/>
      <w:bookmarkStart w:id="53" w:name="_Toc181348134"/>
      <w:bookmarkStart w:id="54" w:name="_Toc107723167"/>
      <w:bookmarkStart w:id="55" w:name="_Toc107821862"/>
      <w:bookmarkStart w:id="56" w:name="_Ref467378499"/>
      <w:bookmarkStart w:id="57" w:name="_Ref467378404"/>
      <w:bookmarkStart w:id="58" w:name="_Ref467379225"/>
      <w:bookmarkStart w:id="59" w:name="_Ref467378463"/>
      <w:bookmarkStart w:id="60" w:name="_Toc181344323"/>
      <w:bookmarkStart w:id="61" w:name="_Ref467379101"/>
      <w:bookmarkStart w:id="62" w:name="_Toc487900349"/>
      <w:bookmarkStart w:id="63" w:name="_Ref467379214"/>
      <w:bookmarkStart w:id="64" w:name="_Ref467379195"/>
      <w:bookmarkStart w:id="65" w:name="_Ref467379205"/>
      <w:bookmarkStart w:id="66" w:name="_Ref467379109"/>
      <w:bookmarkStart w:id="67" w:name="_Ref467379094"/>
      <w:bookmarkStart w:id="68" w:name="_Toc179456532"/>
      <w:bookmarkStart w:id="69" w:name="_Toc267574103"/>
      <w:bookmarkStart w:id="70" w:name="_Toc270946170"/>
    </w:p>
    <w:p>
      <w:pPr>
        <w:pStyle w:val="41"/>
        <w:snapToGrid/>
        <w:spacing w:line="500" w:lineRule="exact"/>
        <w:ind w:firstLine="422"/>
        <w:jc w:val="left"/>
        <w:rPr>
          <w:rFonts w:ascii="宋体" w:hAnsi="宋体"/>
          <w:b/>
          <w:color w:val="auto"/>
        </w:rPr>
      </w:pPr>
      <w:r>
        <w:rPr>
          <w:rFonts w:hint="eastAsia" w:ascii="宋体" w:hAnsi="宋体"/>
          <w:b/>
          <w:color w:val="auto"/>
        </w:rPr>
        <w:t>1.定义</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pStyle w:val="41"/>
        <w:snapToGrid/>
        <w:spacing w:line="500" w:lineRule="exact"/>
        <w:jc w:val="left"/>
        <w:rPr>
          <w:rFonts w:ascii="宋体" w:hAnsi="宋体"/>
          <w:color w:val="auto"/>
        </w:rPr>
      </w:pPr>
      <w:r>
        <w:rPr>
          <w:rFonts w:hint="eastAsia" w:ascii="宋体" w:hAnsi="宋体"/>
          <w:color w:val="auto"/>
        </w:rPr>
        <w:t>本合同中的下列术语应解释为：</w:t>
      </w:r>
    </w:p>
    <w:p>
      <w:pPr>
        <w:pStyle w:val="41"/>
        <w:numPr>
          <w:ilvl w:val="1"/>
          <w:numId w:val="12"/>
        </w:numPr>
        <w:ind w:left="0" w:firstLine="425" w:firstLineChars="0"/>
        <w:jc w:val="left"/>
        <w:rPr>
          <w:rFonts w:ascii="宋体" w:hAnsi="宋体"/>
          <w:color w:val="auto"/>
        </w:rPr>
      </w:pPr>
      <w:r>
        <w:rPr>
          <w:rFonts w:hint="eastAsia" w:ascii="宋体" w:hAnsi="宋体"/>
          <w:color w:val="auto"/>
        </w:rPr>
        <w:t>“合同”系指买卖双方签署的、合同格式中载明的买卖双方所达成的协议，包括所有的附件、附录和构成合同的其它文件。</w:t>
      </w:r>
    </w:p>
    <w:p>
      <w:pPr>
        <w:pStyle w:val="41"/>
        <w:numPr>
          <w:ilvl w:val="1"/>
          <w:numId w:val="12"/>
        </w:numPr>
        <w:ind w:left="0" w:firstLine="425" w:firstLineChars="0"/>
        <w:jc w:val="left"/>
        <w:rPr>
          <w:rFonts w:ascii="宋体" w:hAnsi="宋体"/>
          <w:color w:val="auto"/>
        </w:rPr>
      </w:pPr>
      <w:r>
        <w:rPr>
          <w:rFonts w:hint="eastAsia" w:ascii="宋体" w:hAnsi="宋体"/>
          <w:color w:val="auto"/>
        </w:rPr>
        <w:t>“合同价”系指根据合同约定，卖方在完全履行合同义务后买方应付给卖方的价格。</w:t>
      </w:r>
    </w:p>
    <w:p>
      <w:pPr>
        <w:pStyle w:val="41"/>
        <w:numPr>
          <w:ilvl w:val="1"/>
          <w:numId w:val="12"/>
        </w:numPr>
        <w:ind w:firstLineChars="0"/>
        <w:jc w:val="left"/>
        <w:rPr>
          <w:rFonts w:ascii="宋体" w:hAnsi="宋体"/>
          <w:color w:val="auto"/>
        </w:rPr>
      </w:pPr>
      <w:r>
        <w:rPr>
          <w:rFonts w:hint="eastAsia" w:ascii="宋体" w:hAnsi="宋体"/>
          <w:color w:val="auto"/>
        </w:rPr>
        <w:t>“技术要求”指的是招标文件中第二章货物需求和其它要求。</w:t>
      </w:r>
    </w:p>
    <w:p>
      <w:pPr>
        <w:pStyle w:val="41"/>
        <w:numPr>
          <w:ilvl w:val="1"/>
          <w:numId w:val="12"/>
        </w:numPr>
        <w:ind w:left="0" w:firstLine="425" w:firstLineChars="0"/>
        <w:jc w:val="left"/>
        <w:rPr>
          <w:rFonts w:ascii="宋体" w:hAnsi="宋体"/>
          <w:color w:val="auto"/>
        </w:rPr>
      </w:pPr>
      <w:r>
        <w:rPr>
          <w:rFonts w:hint="eastAsia" w:ascii="宋体" w:hAnsi="宋体"/>
          <w:color w:val="auto"/>
        </w:rPr>
        <w:t>“设备”系指卖方根据合同约定须向买方提供的一切设备、货物、仪器仪表、备件、工具、手册等其它相关资料。</w:t>
      </w:r>
    </w:p>
    <w:p>
      <w:pPr>
        <w:pStyle w:val="41"/>
        <w:numPr>
          <w:ilvl w:val="1"/>
          <w:numId w:val="12"/>
        </w:numPr>
        <w:ind w:left="0" w:firstLine="425" w:firstLineChars="0"/>
        <w:jc w:val="left"/>
        <w:rPr>
          <w:rFonts w:ascii="宋体" w:hAnsi="宋体"/>
          <w:color w:val="auto"/>
        </w:rPr>
      </w:pPr>
      <w:r>
        <w:rPr>
          <w:rFonts w:hint="eastAsia" w:ascii="宋体" w:hAnsi="宋体"/>
          <w:color w:val="auto"/>
        </w:rPr>
        <w:t>“服务”系指根据合同约定卖方承担与供货有关的辅助服务，如运输、保险及安装、调试、提供技术援助、培训和其他类似的服务。</w:t>
      </w:r>
    </w:p>
    <w:p>
      <w:pPr>
        <w:pStyle w:val="41"/>
        <w:numPr>
          <w:ilvl w:val="1"/>
          <w:numId w:val="12"/>
        </w:numPr>
        <w:ind w:firstLineChars="0"/>
        <w:jc w:val="left"/>
        <w:rPr>
          <w:rFonts w:ascii="宋体" w:hAnsi="宋体"/>
          <w:color w:val="auto"/>
        </w:rPr>
      </w:pPr>
      <w:r>
        <w:rPr>
          <w:rFonts w:hint="eastAsia" w:ascii="宋体" w:hAnsi="宋体"/>
          <w:color w:val="auto"/>
        </w:rPr>
        <w:t>“软件”指的是使得系统可以按照特定的方式进行运行或执行特定的操作的指令。</w:t>
      </w:r>
    </w:p>
    <w:p>
      <w:pPr>
        <w:pStyle w:val="41"/>
        <w:numPr>
          <w:ilvl w:val="1"/>
          <w:numId w:val="12"/>
        </w:numPr>
        <w:ind w:left="0" w:firstLine="425" w:firstLineChars="0"/>
        <w:jc w:val="left"/>
        <w:rPr>
          <w:rFonts w:ascii="宋体" w:hAnsi="宋体"/>
          <w:color w:val="auto"/>
        </w:rPr>
      </w:pPr>
      <w:r>
        <w:rPr>
          <w:rFonts w:hint="eastAsia" w:ascii="宋体" w:hAnsi="宋体"/>
          <w:color w:val="auto"/>
        </w:rPr>
        <w:t>“资料”指卖方在合同项下，向买方提供的所有印刷或打印的文件，通过任何方式（包括声像或文本）和任何媒介向买方提供的各种指令性和信息性的帮助，但不包括口头指导。</w:t>
      </w:r>
    </w:p>
    <w:p>
      <w:pPr>
        <w:pStyle w:val="41"/>
        <w:numPr>
          <w:ilvl w:val="1"/>
          <w:numId w:val="12"/>
        </w:numPr>
        <w:ind w:left="0" w:firstLine="425" w:firstLineChars="0"/>
        <w:jc w:val="left"/>
        <w:rPr>
          <w:rFonts w:ascii="宋体" w:hAnsi="宋体"/>
          <w:color w:val="auto"/>
        </w:rPr>
      </w:pPr>
      <w:r>
        <w:rPr>
          <w:rFonts w:hint="eastAsia" w:ascii="宋体" w:hAnsi="宋体"/>
          <w:color w:val="auto"/>
        </w:rPr>
        <w:t>“知识产权”指本合同涉及的任何及所有的著作权、商标权、专利权和其它智力成果的和专有的权利和利益。</w:t>
      </w:r>
    </w:p>
    <w:p>
      <w:pPr>
        <w:pStyle w:val="41"/>
        <w:numPr>
          <w:ilvl w:val="1"/>
          <w:numId w:val="12"/>
        </w:numPr>
        <w:ind w:firstLineChars="0"/>
        <w:jc w:val="left"/>
        <w:rPr>
          <w:rFonts w:ascii="宋体" w:hAnsi="宋体"/>
          <w:color w:val="auto"/>
        </w:rPr>
      </w:pPr>
      <w:bookmarkStart w:id="71" w:name="_Ref467378840"/>
      <w:r>
        <w:rPr>
          <w:rFonts w:hint="eastAsia" w:ascii="宋体" w:hAnsi="宋体"/>
          <w:color w:val="auto"/>
        </w:rPr>
        <w:t>“买方”系指采购人或购买标的物的单位。</w:t>
      </w:r>
      <w:bookmarkEnd w:id="71"/>
    </w:p>
    <w:p>
      <w:pPr>
        <w:pStyle w:val="41"/>
        <w:numPr>
          <w:ilvl w:val="1"/>
          <w:numId w:val="12"/>
        </w:numPr>
        <w:ind w:firstLineChars="0"/>
        <w:jc w:val="left"/>
        <w:rPr>
          <w:rFonts w:ascii="宋体" w:hAnsi="宋体"/>
          <w:color w:val="auto"/>
        </w:rPr>
      </w:pPr>
      <w:bookmarkStart w:id="72" w:name="_Ref467379400"/>
      <w:r>
        <w:rPr>
          <w:rFonts w:hint="eastAsia" w:ascii="宋体" w:hAnsi="宋体"/>
          <w:color w:val="auto"/>
        </w:rPr>
        <w:t>“卖方”系指根据合同约定提供设备及相关服务的供应商，即中标商。</w:t>
      </w:r>
      <w:bookmarkEnd w:id="72"/>
    </w:p>
    <w:p>
      <w:pPr>
        <w:pStyle w:val="41"/>
        <w:numPr>
          <w:ilvl w:val="1"/>
          <w:numId w:val="12"/>
        </w:numPr>
        <w:ind w:firstLineChars="0"/>
        <w:jc w:val="left"/>
        <w:rPr>
          <w:rFonts w:ascii="宋体" w:hAnsi="宋体"/>
          <w:color w:val="auto"/>
        </w:rPr>
      </w:pPr>
      <w:r>
        <w:rPr>
          <w:rFonts w:hint="eastAsia" w:ascii="宋体" w:hAnsi="宋体"/>
          <w:color w:val="auto"/>
        </w:rPr>
        <w:t>“采购人”系指本次买方单位。</w:t>
      </w:r>
    </w:p>
    <w:p>
      <w:pPr>
        <w:pStyle w:val="41"/>
        <w:numPr>
          <w:ilvl w:val="1"/>
          <w:numId w:val="12"/>
        </w:numPr>
        <w:ind w:firstLineChars="0"/>
        <w:jc w:val="left"/>
        <w:rPr>
          <w:rFonts w:ascii="宋体" w:hAnsi="宋体"/>
          <w:color w:val="auto"/>
        </w:rPr>
      </w:pPr>
      <w:bookmarkStart w:id="73" w:name="_Ref467379436"/>
      <w:r>
        <w:rPr>
          <w:rFonts w:hint="eastAsia" w:ascii="宋体" w:hAnsi="宋体"/>
          <w:color w:val="auto"/>
        </w:rPr>
        <w:t>“现场”系指合同约定设备将要运至和安装的地点。</w:t>
      </w:r>
      <w:bookmarkEnd w:id="73"/>
    </w:p>
    <w:p>
      <w:pPr>
        <w:pStyle w:val="41"/>
        <w:numPr>
          <w:ilvl w:val="1"/>
          <w:numId w:val="12"/>
        </w:numPr>
        <w:ind w:firstLineChars="0"/>
        <w:jc w:val="left"/>
        <w:rPr>
          <w:rFonts w:ascii="宋体" w:hAnsi="宋体"/>
          <w:color w:val="auto"/>
        </w:rPr>
      </w:pPr>
      <w:r>
        <w:rPr>
          <w:rFonts w:hint="eastAsia" w:ascii="宋体" w:hAnsi="宋体"/>
          <w:color w:val="auto"/>
        </w:rPr>
        <w:t>“交货”是指卖方按照合同规定，向买方提供设备。</w:t>
      </w:r>
    </w:p>
    <w:p>
      <w:pPr>
        <w:pStyle w:val="41"/>
        <w:numPr>
          <w:ilvl w:val="1"/>
          <w:numId w:val="12"/>
        </w:numPr>
        <w:ind w:left="0" w:firstLine="425" w:firstLineChars="0"/>
        <w:jc w:val="left"/>
        <w:rPr>
          <w:rFonts w:ascii="宋体" w:hAnsi="宋体"/>
          <w:color w:val="auto"/>
        </w:rPr>
      </w:pPr>
      <w:r>
        <w:rPr>
          <w:rFonts w:hint="eastAsia" w:ascii="宋体" w:hAnsi="宋体"/>
          <w:color w:val="auto"/>
        </w:rPr>
        <w:t>“安装”是指有关备件、材料和软件的安装工作，包括按照图纸将零部件放置在适当的位置并连接起来；安装服务同时还包括为服务器、个人计算机安装杀毒软件和防火墙软件并保证能正常自动升级。</w:t>
      </w:r>
    </w:p>
    <w:p>
      <w:pPr>
        <w:pStyle w:val="41"/>
        <w:numPr>
          <w:ilvl w:val="1"/>
          <w:numId w:val="12"/>
        </w:numPr>
        <w:ind w:left="0" w:firstLine="425" w:firstLineChars="0"/>
        <w:jc w:val="left"/>
        <w:rPr>
          <w:rFonts w:ascii="宋体" w:hAnsi="宋体"/>
          <w:color w:val="auto"/>
        </w:rPr>
      </w:pPr>
      <w:r>
        <w:rPr>
          <w:rFonts w:hint="eastAsia" w:ascii="宋体" w:hAnsi="宋体"/>
          <w:color w:val="auto"/>
        </w:rPr>
        <w:t>“调试”指卖方在完成了安装之后，为准备验收而进行的设备运转测试，详见合同附件的技术要求。</w:t>
      </w:r>
    </w:p>
    <w:p>
      <w:pPr>
        <w:pStyle w:val="41"/>
        <w:numPr>
          <w:ilvl w:val="1"/>
          <w:numId w:val="12"/>
        </w:numPr>
        <w:ind w:left="0" w:firstLine="425" w:firstLineChars="0"/>
        <w:jc w:val="left"/>
        <w:rPr>
          <w:rFonts w:ascii="宋体" w:hAnsi="宋体"/>
          <w:color w:val="auto"/>
        </w:rPr>
      </w:pPr>
      <w:r>
        <w:rPr>
          <w:rFonts w:hint="eastAsia" w:ascii="宋体" w:hAnsi="宋体"/>
          <w:color w:val="auto"/>
        </w:rPr>
        <w:t>“验收”系指合同双方依据强制性的国家技术质量规范和合同约定，确认合同项下的设备符合合同规定的活动。</w:t>
      </w:r>
    </w:p>
    <w:p>
      <w:pPr>
        <w:pStyle w:val="41"/>
        <w:numPr>
          <w:ilvl w:val="1"/>
          <w:numId w:val="12"/>
        </w:numPr>
        <w:ind w:firstLineChars="0"/>
        <w:jc w:val="left"/>
        <w:rPr>
          <w:rFonts w:ascii="宋体" w:hAnsi="宋体"/>
          <w:color w:val="auto"/>
        </w:rPr>
      </w:pPr>
      <w:r>
        <w:rPr>
          <w:rFonts w:hint="eastAsia" w:ascii="宋体" w:hAnsi="宋体"/>
          <w:color w:val="auto"/>
        </w:rPr>
        <w:t>“项目现场”指的是软件交付和安装的场所。</w:t>
      </w:r>
    </w:p>
    <w:p>
      <w:pPr>
        <w:pStyle w:val="41"/>
        <w:numPr>
          <w:ilvl w:val="1"/>
          <w:numId w:val="12"/>
        </w:numPr>
        <w:ind w:firstLineChars="0"/>
        <w:jc w:val="left"/>
        <w:rPr>
          <w:rFonts w:ascii="宋体" w:hAnsi="宋体"/>
          <w:color w:val="auto"/>
        </w:rPr>
      </w:pPr>
      <w:r>
        <w:rPr>
          <w:rFonts w:hint="eastAsia" w:ascii="宋体" w:hAnsi="宋体"/>
          <w:color w:val="auto"/>
        </w:rPr>
        <w:t>“天”指日历天数。</w:t>
      </w:r>
    </w:p>
    <w:p>
      <w:pPr>
        <w:pStyle w:val="41"/>
        <w:numPr>
          <w:ilvl w:val="1"/>
          <w:numId w:val="12"/>
        </w:numPr>
        <w:ind w:firstLineChars="0"/>
        <w:jc w:val="left"/>
        <w:rPr>
          <w:rFonts w:ascii="宋体" w:hAnsi="宋体"/>
          <w:color w:val="auto"/>
        </w:rPr>
      </w:pPr>
      <w:r>
        <w:rPr>
          <w:rFonts w:hint="eastAsia" w:ascii="宋体" w:hAnsi="宋体"/>
          <w:color w:val="auto"/>
        </w:rPr>
        <w:t>“周”指按中国习惯开始的连续七天。</w:t>
      </w:r>
    </w:p>
    <w:p>
      <w:pPr>
        <w:pStyle w:val="41"/>
        <w:numPr>
          <w:ilvl w:val="1"/>
          <w:numId w:val="12"/>
        </w:numPr>
        <w:ind w:firstLineChars="0"/>
        <w:jc w:val="left"/>
        <w:rPr>
          <w:rFonts w:ascii="宋体" w:hAnsi="宋体"/>
          <w:color w:val="auto"/>
        </w:rPr>
      </w:pPr>
      <w:r>
        <w:rPr>
          <w:rFonts w:hint="eastAsia" w:ascii="宋体" w:hAnsi="宋体"/>
          <w:color w:val="auto"/>
        </w:rPr>
        <w:t>“年”指连续的12个月。</w:t>
      </w:r>
    </w:p>
    <w:p>
      <w:pPr>
        <w:pStyle w:val="41"/>
        <w:numPr>
          <w:ilvl w:val="1"/>
          <w:numId w:val="12"/>
        </w:numPr>
        <w:ind w:left="0" w:firstLine="425" w:firstLineChars="0"/>
        <w:jc w:val="left"/>
        <w:rPr>
          <w:rFonts w:ascii="宋体" w:hAnsi="宋体"/>
          <w:color w:val="auto"/>
        </w:rPr>
      </w:pPr>
      <w:r>
        <w:rPr>
          <w:rFonts w:hint="eastAsia" w:ascii="宋体" w:hAnsi="宋体"/>
          <w:color w:val="auto"/>
        </w:rPr>
        <w:t>“保证期”是指自合同验收之日起一定时间内，卖方保证所供产品的适当和稳定运行，并负责消除存在的任何缺陷。</w:t>
      </w:r>
    </w:p>
    <w:p>
      <w:pPr>
        <w:pStyle w:val="41"/>
        <w:snapToGrid/>
        <w:ind w:firstLine="422"/>
        <w:jc w:val="left"/>
        <w:rPr>
          <w:rFonts w:ascii="宋体" w:hAnsi="宋体"/>
          <w:b/>
          <w:color w:val="auto"/>
        </w:rPr>
      </w:pPr>
      <w:bookmarkStart w:id="74" w:name="_Toc106161036"/>
      <w:bookmarkStart w:id="75" w:name="_Toc267574104"/>
      <w:bookmarkStart w:id="76" w:name="_Toc106161434"/>
      <w:bookmarkStart w:id="77" w:name="_Toc83781373"/>
      <w:bookmarkStart w:id="78" w:name="_Toc270946171"/>
      <w:bookmarkStart w:id="79" w:name="_Toc107821863"/>
      <w:bookmarkStart w:id="80" w:name="_Toc487900350"/>
      <w:bookmarkStart w:id="81" w:name="_Toc181348135"/>
      <w:bookmarkStart w:id="82" w:name="_Toc107723168"/>
      <w:bookmarkStart w:id="83" w:name="_Toc137651765"/>
      <w:bookmarkStart w:id="84" w:name="_Toc179456533"/>
      <w:bookmarkStart w:id="85" w:name="_Toc85602126"/>
      <w:bookmarkStart w:id="86" w:name="_Toc181344324"/>
      <w:r>
        <w:rPr>
          <w:rFonts w:hint="eastAsia" w:ascii="宋体" w:hAnsi="宋体"/>
          <w:b/>
          <w:color w:val="auto"/>
        </w:rPr>
        <w:t>2.技术规范</w:t>
      </w:r>
      <w:bookmarkEnd w:id="74"/>
      <w:bookmarkEnd w:id="75"/>
      <w:bookmarkEnd w:id="76"/>
      <w:bookmarkEnd w:id="77"/>
      <w:bookmarkEnd w:id="78"/>
      <w:bookmarkEnd w:id="79"/>
      <w:bookmarkEnd w:id="80"/>
      <w:bookmarkEnd w:id="81"/>
      <w:bookmarkEnd w:id="82"/>
      <w:bookmarkEnd w:id="83"/>
      <w:bookmarkEnd w:id="84"/>
      <w:bookmarkEnd w:id="85"/>
      <w:bookmarkEnd w:id="86"/>
    </w:p>
    <w:p>
      <w:pPr>
        <w:pStyle w:val="41"/>
        <w:snapToGrid/>
        <w:jc w:val="left"/>
        <w:rPr>
          <w:rFonts w:ascii="宋体" w:hAnsi="宋体"/>
          <w:color w:val="auto"/>
        </w:rPr>
      </w:pPr>
      <w:r>
        <w:rPr>
          <w:rFonts w:hint="eastAsia" w:ascii="宋体" w:hAnsi="宋体"/>
          <w:color w:val="auto"/>
        </w:rPr>
        <w:t>提交设备的技术规范应与招标文件规定的技术规范和技术规范附件（如果有的话）及其投标文件的技术规范偏离表（如果被买方接受的话）相一致。若技术规范中无相应说明，则以国家有关部门最新颁布的相应标准及规范为准。</w:t>
      </w:r>
    </w:p>
    <w:p>
      <w:pPr>
        <w:pStyle w:val="41"/>
        <w:snapToGrid/>
        <w:ind w:firstLine="422"/>
        <w:jc w:val="left"/>
        <w:rPr>
          <w:rFonts w:ascii="宋体" w:hAnsi="宋体"/>
          <w:b/>
          <w:color w:val="auto"/>
        </w:rPr>
      </w:pPr>
      <w:bookmarkStart w:id="87" w:name="_Toc137651766"/>
      <w:bookmarkStart w:id="88" w:name="_Toc107723169"/>
      <w:bookmarkStart w:id="89" w:name="_Toc106161037"/>
      <w:bookmarkStart w:id="90" w:name="_Toc85602127"/>
      <w:bookmarkStart w:id="91" w:name="_Toc267574105"/>
      <w:bookmarkStart w:id="92" w:name="_Toc270946172"/>
      <w:bookmarkStart w:id="93" w:name="_Toc83781374"/>
      <w:bookmarkStart w:id="94" w:name="_Toc181344325"/>
      <w:bookmarkStart w:id="95" w:name="_Toc179456534"/>
      <w:bookmarkStart w:id="96" w:name="_Toc181348136"/>
      <w:bookmarkStart w:id="97" w:name="_Toc487900351"/>
      <w:bookmarkStart w:id="98" w:name="_Toc107821864"/>
      <w:bookmarkStart w:id="99" w:name="_Toc106161435"/>
      <w:r>
        <w:rPr>
          <w:rFonts w:hint="eastAsia" w:ascii="宋体" w:hAnsi="宋体"/>
          <w:b/>
          <w:color w:val="auto"/>
        </w:rPr>
        <w:t>3.知识产权</w:t>
      </w:r>
      <w:bookmarkEnd w:id="87"/>
      <w:bookmarkEnd w:id="88"/>
      <w:bookmarkEnd w:id="89"/>
      <w:bookmarkEnd w:id="90"/>
      <w:bookmarkEnd w:id="91"/>
      <w:bookmarkEnd w:id="92"/>
      <w:bookmarkEnd w:id="93"/>
      <w:bookmarkEnd w:id="94"/>
      <w:bookmarkEnd w:id="95"/>
      <w:bookmarkEnd w:id="96"/>
      <w:bookmarkEnd w:id="97"/>
      <w:bookmarkEnd w:id="98"/>
      <w:bookmarkEnd w:id="99"/>
    </w:p>
    <w:p>
      <w:pPr>
        <w:pStyle w:val="41"/>
        <w:snapToGrid/>
        <w:jc w:val="left"/>
        <w:rPr>
          <w:rFonts w:ascii="宋体" w:hAnsi="宋体"/>
          <w:color w:val="auto"/>
        </w:rPr>
      </w:pPr>
      <w:r>
        <w:rPr>
          <w:rFonts w:hint="eastAsia" w:ascii="宋体" w:hAnsi="宋体"/>
          <w:color w:val="auto"/>
        </w:rPr>
        <w:t>3.1卖方应保证买方在使用该设备或其任何一部分时不受第三方提出的侵犯专利权、著作权、商标权和工业设计权等的起诉。如果任何第三方提出侵权指控，卖方须与第三方交涉并承担由此发生的一切责任、费用和经济赔偿。</w:t>
      </w:r>
    </w:p>
    <w:p>
      <w:pPr>
        <w:pStyle w:val="41"/>
        <w:snapToGrid/>
        <w:jc w:val="left"/>
        <w:rPr>
          <w:rFonts w:ascii="宋体" w:hAnsi="宋体"/>
          <w:color w:val="auto"/>
        </w:rPr>
      </w:pPr>
      <w:r>
        <w:rPr>
          <w:rFonts w:hint="eastAsia" w:ascii="宋体" w:hAnsi="宋体"/>
          <w:color w:val="auto"/>
        </w:rPr>
        <w:t>3.2如果买方在使用该设备或设备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pPr>
        <w:pStyle w:val="41"/>
        <w:snapToGrid/>
        <w:jc w:val="left"/>
        <w:rPr>
          <w:rFonts w:ascii="宋体" w:hAnsi="宋体"/>
          <w:color w:val="auto"/>
        </w:rPr>
      </w:pPr>
      <w:r>
        <w:rPr>
          <w:rFonts w:hint="eastAsia" w:ascii="宋体" w:hAnsi="宋体"/>
          <w:color w:val="auto"/>
        </w:rPr>
        <w:t>3.3如果买方发现任何第三方在买方被许可的范围内非法使用买方获得的知识产权，买方应毫不延迟地通知卖方。卖方应在收到买方通知后14日内采取适当行动以制止非法使用行为；否则，如果买方要求，卖方应授权买方根据中国法律规定对该第三方提起诉讼，并给买方尽可能的协助。</w:t>
      </w:r>
    </w:p>
    <w:p>
      <w:pPr>
        <w:pStyle w:val="41"/>
        <w:snapToGrid/>
        <w:ind w:firstLine="422"/>
        <w:jc w:val="left"/>
        <w:rPr>
          <w:rFonts w:ascii="宋体" w:hAnsi="宋体"/>
          <w:b/>
          <w:color w:val="auto"/>
        </w:rPr>
      </w:pPr>
      <w:bookmarkStart w:id="100" w:name="_Toc137651767"/>
      <w:bookmarkStart w:id="101" w:name="_Toc267574106"/>
      <w:bookmarkStart w:id="102" w:name="_Toc107723170"/>
      <w:bookmarkStart w:id="103" w:name="_Toc106161436"/>
      <w:bookmarkStart w:id="104" w:name="_Toc181348137"/>
      <w:bookmarkStart w:id="105" w:name="_Toc107821865"/>
      <w:bookmarkStart w:id="106" w:name="_Toc270946173"/>
      <w:bookmarkStart w:id="107" w:name="_Toc181344326"/>
      <w:bookmarkStart w:id="108" w:name="_Toc179456535"/>
      <w:bookmarkStart w:id="109" w:name="_Toc106161038"/>
      <w:r>
        <w:rPr>
          <w:rFonts w:hint="eastAsia" w:ascii="宋体" w:hAnsi="宋体"/>
          <w:b/>
          <w:color w:val="auto"/>
        </w:rPr>
        <w:t>4.伴随服务</w:t>
      </w:r>
      <w:bookmarkEnd w:id="100"/>
      <w:bookmarkEnd w:id="101"/>
      <w:bookmarkEnd w:id="102"/>
      <w:bookmarkEnd w:id="103"/>
      <w:bookmarkEnd w:id="104"/>
      <w:bookmarkEnd w:id="105"/>
      <w:bookmarkEnd w:id="106"/>
      <w:bookmarkEnd w:id="107"/>
      <w:bookmarkEnd w:id="108"/>
      <w:bookmarkEnd w:id="109"/>
    </w:p>
    <w:p>
      <w:pPr>
        <w:pStyle w:val="41"/>
        <w:snapToGrid/>
        <w:jc w:val="left"/>
        <w:rPr>
          <w:rFonts w:ascii="宋体" w:hAnsi="宋体"/>
          <w:color w:val="auto"/>
        </w:rPr>
      </w:pPr>
      <w:r>
        <w:rPr>
          <w:rFonts w:hint="eastAsia" w:ascii="宋体" w:hAnsi="宋体"/>
          <w:color w:val="auto"/>
        </w:rPr>
        <w:t>4.1卖方被要求按照规定，提供下列服务：</w:t>
      </w:r>
    </w:p>
    <w:p>
      <w:pPr>
        <w:pStyle w:val="41"/>
        <w:snapToGrid/>
        <w:jc w:val="left"/>
        <w:rPr>
          <w:rFonts w:ascii="宋体" w:hAnsi="宋体"/>
          <w:color w:val="auto"/>
        </w:rPr>
      </w:pPr>
      <w:r>
        <w:rPr>
          <w:rFonts w:hint="eastAsia" w:ascii="宋体" w:hAnsi="宋体"/>
          <w:color w:val="auto"/>
        </w:rPr>
        <w:t>4.1.1实施所供设备的搬运或入库；</w:t>
      </w:r>
    </w:p>
    <w:p>
      <w:pPr>
        <w:pStyle w:val="41"/>
        <w:snapToGrid/>
        <w:jc w:val="left"/>
        <w:rPr>
          <w:rFonts w:ascii="宋体" w:hAnsi="宋体"/>
          <w:color w:val="auto"/>
        </w:rPr>
      </w:pPr>
      <w:r>
        <w:rPr>
          <w:rFonts w:hint="eastAsia" w:ascii="宋体" w:hAnsi="宋体"/>
          <w:color w:val="auto"/>
        </w:rPr>
        <w:t>4.1.2实施所供设备的现场安装调试和试运行；</w:t>
      </w:r>
    </w:p>
    <w:p>
      <w:pPr>
        <w:pStyle w:val="41"/>
        <w:snapToGrid/>
        <w:jc w:val="left"/>
        <w:rPr>
          <w:rFonts w:ascii="宋体" w:hAnsi="宋体"/>
          <w:color w:val="auto"/>
        </w:rPr>
      </w:pPr>
      <w:r>
        <w:rPr>
          <w:rFonts w:hint="eastAsia" w:ascii="宋体" w:hAnsi="宋体"/>
          <w:color w:val="auto"/>
        </w:rPr>
        <w:t>4.1.3提供设备所需备件和专用工具；</w:t>
      </w:r>
    </w:p>
    <w:p>
      <w:pPr>
        <w:pStyle w:val="41"/>
        <w:snapToGrid/>
        <w:jc w:val="left"/>
        <w:rPr>
          <w:rFonts w:ascii="宋体" w:hAnsi="宋体"/>
          <w:color w:val="auto"/>
        </w:rPr>
      </w:pPr>
      <w:r>
        <w:rPr>
          <w:rFonts w:hint="eastAsia" w:ascii="宋体" w:hAnsi="宋体"/>
          <w:color w:val="auto"/>
        </w:rPr>
        <w:t>4.1.4为所供设备提供详细的技术文件；</w:t>
      </w:r>
    </w:p>
    <w:p>
      <w:pPr>
        <w:pStyle w:val="41"/>
        <w:snapToGrid/>
        <w:jc w:val="left"/>
        <w:rPr>
          <w:rFonts w:ascii="宋体" w:hAnsi="宋体"/>
          <w:color w:val="auto"/>
        </w:rPr>
      </w:pPr>
      <w:r>
        <w:rPr>
          <w:rFonts w:hint="eastAsia" w:ascii="宋体" w:hAnsi="宋体"/>
          <w:color w:val="auto"/>
        </w:rPr>
        <w:t>4.1.5在双方商定的一定期限内对所供设备提供维修和技术支持，但前提条件是该服务并不能免除卖方在合同保证期内所承担的义务和责任；</w:t>
      </w:r>
    </w:p>
    <w:p>
      <w:pPr>
        <w:pStyle w:val="41"/>
        <w:snapToGrid/>
        <w:jc w:val="left"/>
        <w:rPr>
          <w:rFonts w:ascii="宋体" w:hAnsi="宋体"/>
          <w:color w:val="auto"/>
        </w:rPr>
      </w:pPr>
      <w:r>
        <w:rPr>
          <w:rFonts w:hint="eastAsia" w:ascii="宋体" w:hAnsi="宋体"/>
          <w:color w:val="auto"/>
        </w:rPr>
        <w:t>4.1.6在指定地点对指定人员进行培训并提供相关培训教材；</w:t>
      </w:r>
    </w:p>
    <w:p>
      <w:pPr>
        <w:pStyle w:val="41"/>
        <w:snapToGrid/>
        <w:jc w:val="left"/>
        <w:rPr>
          <w:rFonts w:ascii="宋体" w:hAnsi="宋体"/>
          <w:color w:val="auto"/>
        </w:rPr>
      </w:pPr>
      <w:r>
        <w:rPr>
          <w:rFonts w:hint="eastAsia" w:ascii="宋体" w:hAnsi="宋体"/>
          <w:color w:val="auto"/>
        </w:rPr>
        <w:t>4.1.7对开箱时发现的破损，失效期设备或其他不合格包装设备及时更换。</w:t>
      </w:r>
    </w:p>
    <w:p>
      <w:pPr>
        <w:pStyle w:val="41"/>
        <w:snapToGrid/>
        <w:jc w:val="left"/>
        <w:rPr>
          <w:rFonts w:ascii="宋体" w:hAnsi="宋体"/>
          <w:color w:val="auto"/>
        </w:rPr>
      </w:pPr>
      <w:r>
        <w:rPr>
          <w:rFonts w:hint="eastAsia" w:ascii="宋体" w:hAnsi="宋体"/>
          <w:color w:val="auto"/>
        </w:rPr>
        <w:t>4.2卖方应提供招标文件规定的所有服务。为履行要求的伴随服务的报价应包括在合同价中。</w:t>
      </w:r>
    </w:p>
    <w:p>
      <w:pPr>
        <w:pStyle w:val="41"/>
        <w:snapToGrid/>
        <w:ind w:firstLine="422"/>
        <w:jc w:val="left"/>
        <w:rPr>
          <w:rFonts w:ascii="宋体" w:hAnsi="宋体"/>
          <w:b/>
          <w:color w:val="auto"/>
        </w:rPr>
      </w:pPr>
      <w:bookmarkStart w:id="110" w:name="_Toc181344327"/>
      <w:bookmarkStart w:id="111" w:name="_Toc137651768"/>
      <w:bookmarkStart w:id="112" w:name="_Toc106161437"/>
      <w:bookmarkStart w:id="113" w:name="_Toc106161039"/>
      <w:bookmarkStart w:id="114" w:name="_Toc107723171"/>
      <w:bookmarkStart w:id="115" w:name="_Toc267574107"/>
      <w:bookmarkStart w:id="116" w:name="_Toc179456536"/>
      <w:bookmarkStart w:id="117" w:name="_Toc270946174"/>
      <w:bookmarkStart w:id="118" w:name="_Toc181348138"/>
      <w:bookmarkStart w:id="119" w:name="_Toc107821866"/>
      <w:r>
        <w:rPr>
          <w:rFonts w:hint="eastAsia" w:ascii="宋体" w:hAnsi="宋体"/>
          <w:b/>
          <w:color w:val="auto"/>
        </w:rPr>
        <w:t>5.备件</w:t>
      </w:r>
      <w:bookmarkEnd w:id="110"/>
      <w:bookmarkEnd w:id="111"/>
      <w:bookmarkEnd w:id="112"/>
      <w:bookmarkEnd w:id="113"/>
      <w:bookmarkEnd w:id="114"/>
      <w:bookmarkEnd w:id="115"/>
      <w:bookmarkEnd w:id="116"/>
      <w:bookmarkEnd w:id="117"/>
      <w:bookmarkEnd w:id="118"/>
      <w:bookmarkEnd w:id="119"/>
    </w:p>
    <w:p>
      <w:pPr>
        <w:pStyle w:val="41"/>
        <w:snapToGrid/>
        <w:jc w:val="left"/>
        <w:rPr>
          <w:rFonts w:ascii="宋体" w:hAnsi="宋体"/>
          <w:color w:val="auto"/>
        </w:rPr>
      </w:pPr>
      <w:r>
        <w:rPr>
          <w:rFonts w:hint="eastAsia" w:ascii="宋体" w:hAnsi="宋体"/>
          <w:color w:val="auto"/>
        </w:rPr>
        <w:t>5.1卖方可能被要求提供下列与备件有关的材料、通知和资料：</w:t>
      </w:r>
    </w:p>
    <w:p>
      <w:pPr>
        <w:pStyle w:val="41"/>
        <w:snapToGrid/>
        <w:jc w:val="left"/>
        <w:rPr>
          <w:rFonts w:ascii="宋体" w:hAnsi="宋体"/>
          <w:color w:val="auto"/>
        </w:rPr>
      </w:pPr>
      <w:r>
        <w:rPr>
          <w:rFonts w:hint="eastAsia" w:ascii="宋体" w:hAnsi="宋体"/>
          <w:color w:val="auto"/>
        </w:rPr>
        <w:t>5.1.1买方从卖方选购备件，但前提条件是该选择并不能免除卖方在合同保证期内所承担的义务；</w:t>
      </w:r>
    </w:p>
    <w:p>
      <w:pPr>
        <w:pStyle w:val="41"/>
        <w:ind w:left="426" w:firstLine="0" w:firstLineChars="0"/>
        <w:jc w:val="left"/>
        <w:rPr>
          <w:rFonts w:ascii="宋体" w:hAnsi="宋体"/>
          <w:color w:val="auto"/>
        </w:rPr>
      </w:pPr>
      <w:r>
        <w:rPr>
          <w:rFonts w:hint="eastAsia" w:ascii="宋体" w:hAnsi="宋体"/>
          <w:color w:val="auto"/>
        </w:rPr>
        <w:t>5.2在备件停止生产的情况下：</w:t>
      </w:r>
    </w:p>
    <w:p>
      <w:pPr>
        <w:pStyle w:val="41"/>
        <w:ind w:left="426" w:firstLine="0" w:firstLineChars="0"/>
        <w:jc w:val="left"/>
        <w:rPr>
          <w:rFonts w:ascii="宋体" w:hAnsi="宋体"/>
          <w:color w:val="auto"/>
        </w:rPr>
      </w:pPr>
      <w:r>
        <w:rPr>
          <w:rFonts w:hint="eastAsia" w:ascii="宋体" w:hAnsi="宋体"/>
          <w:color w:val="auto"/>
        </w:rPr>
        <w:t>5.2.2事先将要停止生产的计划通知买方使买方有足够的时间招标所需的备件。</w:t>
      </w:r>
    </w:p>
    <w:p>
      <w:pPr>
        <w:pStyle w:val="41"/>
        <w:ind w:left="426" w:firstLine="0" w:firstLineChars="0"/>
        <w:jc w:val="left"/>
        <w:rPr>
          <w:rFonts w:ascii="宋体" w:hAnsi="宋体"/>
          <w:color w:val="auto"/>
        </w:rPr>
      </w:pPr>
      <w:r>
        <w:rPr>
          <w:rFonts w:hint="eastAsia" w:ascii="宋体" w:hAnsi="宋体"/>
          <w:color w:val="auto"/>
        </w:rPr>
        <w:t>5.2.3在停止生产后，如果买方要求，免费向买方提供备件的蓝图、图纸和规格。</w:t>
      </w:r>
    </w:p>
    <w:p>
      <w:pPr>
        <w:pStyle w:val="41"/>
        <w:ind w:left="426" w:firstLine="0" w:firstLineChars="0"/>
        <w:jc w:val="left"/>
        <w:rPr>
          <w:rFonts w:ascii="宋体" w:hAnsi="宋体"/>
          <w:color w:val="auto"/>
        </w:rPr>
      </w:pPr>
      <w:r>
        <w:rPr>
          <w:rFonts w:hint="eastAsia" w:ascii="宋体" w:hAnsi="宋体"/>
          <w:color w:val="auto"/>
        </w:rPr>
        <w:t>5.2.4卖方应按照招标文件规定提供所需的备件。</w:t>
      </w:r>
    </w:p>
    <w:p>
      <w:pPr>
        <w:pStyle w:val="41"/>
        <w:snapToGrid/>
        <w:ind w:firstLine="422"/>
        <w:jc w:val="left"/>
        <w:rPr>
          <w:rFonts w:ascii="宋体" w:hAnsi="宋体"/>
          <w:b/>
          <w:color w:val="auto"/>
        </w:rPr>
      </w:pPr>
      <w:bookmarkStart w:id="120" w:name="_Toc181344328"/>
      <w:bookmarkStart w:id="121" w:name="_Toc270946175"/>
      <w:bookmarkStart w:id="122" w:name="_Toc85602128"/>
      <w:bookmarkStart w:id="123" w:name="_Toc106161040"/>
      <w:bookmarkStart w:id="124" w:name="_Toc267574108"/>
      <w:bookmarkStart w:id="125" w:name="_Toc83781375"/>
      <w:bookmarkStart w:id="126" w:name="_Toc137651769"/>
      <w:bookmarkStart w:id="127" w:name="_Toc107723172"/>
      <w:bookmarkStart w:id="128" w:name="_Toc179456537"/>
      <w:bookmarkStart w:id="129" w:name="_Toc181348139"/>
      <w:bookmarkStart w:id="130" w:name="_Toc106161438"/>
      <w:bookmarkStart w:id="131" w:name="_Toc487900352"/>
      <w:bookmarkStart w:id="132" w:name="_Toc107821867"/>
      <w:r>
        <w:rPr>
          <w:rFonts w:hint="eastAsia" w:ascii="宋体" w:hAnsi="宋体"/>
          <w:b/>
          <w:color w:val="auto"/>
        </w:rPr>
        <w:t>6.包装要求</w:t>
      </w:r>
      <w:bookmarkEnd w:id="120"/>
      <w:bookmarkEnd w:id="121"/>
      <w:bookmarkEnd w:id="122"/>
      <w:bookmarkEnd w:id="123"/>
      <w:bookmarkEnd w:id="124"/>
      <w:bookmarkEnd w:id="125"/>
      <w:bookmarkEnd w:id="126"/>
      <w:bookmarkEnd w:id="127"/>
      <w:bookmarkEnd w:id="128"/>
      <w:bookmarkEnd w:id="129"/>
      <w:bookmarkEnd w:id="130"/>
      <w:bookmarkEnd w:id="131"/>
      <w:bookmarkEnd w:id="132"/>
    </w:p>
    <w:p>
      <w:pPr>
        <w:pStyle w:val="41"/>
        <w:snapToGrid/>
        <w:ind w:firstLine="422"/>
        <w:jc w:val="left"/>
        <w:rPr>
          <w:rFonts w:ascii="宋体" w:hAnsi="宋体"/>
          <w:color w:val="auto"/>
        </w:rPr>
      </w:pPr>
      <w:r>
        <w:rPr>
          <w:rFonts w:hint="eastAsia" w:ascii="宋体" w:hAnsi="宋体"/>
          <w:b/>
          <w:color w:val="auto"/>
        </w:rPr>
        <w:t>6.1</w:t>
      </w:r>
      <w:r>
        <w:rPr>
          <w:rFonts w:hint="eastAsia" w:ascii="宋体" w:hAnsi="宋体"/>
          <w:color w:val="auto"/>
        </w:rPr>
        <w:t>除合同另有约定外,卖方提供的全部设备,均应采用本行业通用的方式进行包装，且该包装应符合国家有关包装的法律、法规的规定。包装应适应于远距离运输、防潮、防震、防锈和防粗暴装卸，确保设备安全无损，运抵现场。由于包装不善所引起的设备锈蚀、损坏和丢失均由卖方承担。</w:t>
      </w:r>
    </w:p>
    <w:p>
      <w:pPr>
        <w:pStyle w:val="41"/>
        <w:snapToGrid/>
        <w:jc w:val="left"/>
        <w:rPr>
          <w:rFonts w:ascii="宋体" w:hAnsi="宋体"/>
          <w:color w:val="auto"/>
        </w:rPr>
      </w:pPr>
      <w:r>
        <w:rPr>
          <w:rFonts w:hint="eastAsia" w:ascii="宋体" w:hAnsi="宋体"/>
          <w:color w:val="auto"/>
        </w:rPr>
        <w:t>6.2每件包装箱内应附一份详细装箱单和质量合格证。</w:t>
      </w:r>
    </w:p>
    <w:p>
      <w:pPr>
        <w:pStyle w:val="41"/>
        <w:snapToGrid/>
        <w:ind w:firstLine="422"/>
        <w:jc w:val="left"/>
        <w:rPr>
          <w:rFonts w:ascii="宋体" w:hAnsi="宋体"/>
          <w:b/>
          <w:color w:val="auto"/>
        </w:rPr>
      </w:pPr>
      <w:bookmarkStart w:id="133" w:name="_Toc267574113"/>
      <w:bookmarkStart w:id="134" w:name="_Ref467379793"/>
      <w:bookmarkStart w:id="135" w:name="_Toc107821872"/>
      <w:bookmarkStart w:id="136" w:name="_Toc106161045"/>
      <w:bookmarkStart w:id="137" w:name="_Toc106161443"/>
      <w:bookmarkStart w:id="138" w:name="_Toc181348144"/>
      <w:bookmarkStart w:id="139" w:name="_Toc85602133"/>
      <w:bookmarkStart w:id="140" w:name="_Toc181344333"/>
      <w:bookmarkStart w:id="141" w:name="_Ref467379807"/>
      <w:bookmarkStart w:id="142" w:name="_Toc83781380"/>
      <w:bookmarkStart w:id="143" w:name="_Toc179456542"/>
      <w:bookmarkStart w:id="144" w:name="_Toc107723177"/>
      <w:bookmarkStart w:id="145" w:name="_Toc137651774"/>
      <w:bookmarkStart w:id="146" w:name="_Toc270946180"/>
      <w:bookmarkStart w:id="147" w:name="_Toc487900357"/>
      <w:r>
        <w:rPr>
          <w:rFonts w:hint="eastAsia" w:ascii="宋体" w:hAnsi="宋体"/>
          <w:b/>
          <w:color w:val="auto"/>
        </w:rPr>
        <w:t>7.付款条件</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pStyle w:val="41"/>
        <w:snapToGrid/>
        <w:ind w:firstLine="369" w:firstLineChars="175"/>
        <w:jc w:val="left"/>
        <w:rPr>
          <w:rFonts w:ascii="宋体" w:hAnsi="宋体"/>
          <w:b/>
          <w:color w:val="auto"/>
        </w:rPr>
      </w:pPr>
      <w:bookmarkStart w:id="148" w:name="_Toc487900358"/>
      <w:bookmarkStart w:id="149" w:name="_Toc181348145"/>
      <w:bookmarkStart w:id="150" w:name="_Toc181344334"/>
      <w:bookmarkStart w:id="151" w:name="_Toc137651775"/>
      <w:bookmarkStart w:id="152" w:name="_Toc107723178"/>
      <w:bookmarkStart w:id="153" w:name="_Ref467379863"/>
      <w:bookmarkStart w:id="154" w:name="_Toc106161444"/>
      <w:bookmarkStart w:id="155" w:name="_Toc179456543"/>
      <w:bookmarkStart w:id="156" w:name="_Toc106161046"/>
      <w:bookmarkStart w:id="157" w:name="_Ref467379852"/>
      <w:bookmarkStart w:id="158" w:name="_Toc85602134"/>
      <w:bookmarkStart w:id="159" w:name="_Ref467379923"/>
      <w:bookmarkStart w:id="160" w:name="_Toc107821873"/>
      <w:bookmarkStart w:id="161" w:name="_Toc83781381"/>
      <w:bookmarkStart w:id="162" w:name="_Toc181344337"/>
      <w:bookmarkStart w:id="163" w:name="_Toc106161049"/>
      <w:bookmarkStart w:id="164" w:name="_Toc83781384"/>
      <w:bookmarkStart w:id="165" w:name="_Toc85602137"/>
      <w:bookmarkStart w:id="166" w:name="_Toc137651778"/>
      <w:bookmarkStart w:id="167" w:name="_Toc107723181"/>
      <w:bookmarkStart w:id="168" w:name="_Toc106161447"/>
      <w:bookmarkStart w:id="169" w:name="_Toc107821876"/>
      <w:bookmarkStart w:id="170" w:name="_Toc487900361"/>
      <w:bookmarkStart w:id="171" w:name="_Toc179456546"/>
      <w:bookmarkStart w:id="172" w:name="_Toc270946184"/>
      <w:bookmarkStart w:id="173" w:name="_Toc181348148"/>
      <w:bookmarkStart w:id="174" w:name="_Toc267574117"/>
      <w:r>
        <w:rPr>
          <w:rFonts w:hint="eastAsia" w:ascii="宋体" w:hAnsi="宋体"/>
          <w:b/>
          <w:color w:val="auto"/>
        </w:rPr>
        <w:t>按照招标文件第二部分其他要求规定的付款方式执行。</w:t>
      </w:r>
    </w:p>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Pr>
        <w:pStyle w:val="41"/>
        <w:snapToGrid/>
        <w:ind w:firstLine="369" w:firstLineChars="175"/>
        <w:jc w:val="left"/>
        <w:rPr>
          <w:rFonts w:ascii="宋体" w:hAnsi="宋体"/>
          <w:b/>
          <w:color w:val="auto"/>
        </w:rPr>
      </w:pPr>
      <w:r>
        <w:rPr>
          <w:rFonts w:hint="eastAsia" w:ascii="宋体" w:hAnsi="宋体"/>
          <w:b/>
          <w:color w:val="auto"/>
        </w:rPr>
        <w:t>8.索赔</w:t>
      </w:r>
      <w:bookmarkEnd w:id="162"/>
      <w:bookmarkEnd w:id="163"/>
      <w:bookmarkEnd w:id="164"/>
      <w:bookmarkEnd w:id="165"/>
      <w:bookmarkEnd w:id="166"/>
      <w:bookmarkEnd w:id="167"/>
      <w:bookmarkEnd w:id="168"/>
      <w:bookmarkEnd w:id="169"/>
      <w:bookmarkEnd w:id="170"/>
      <w:bookmarkEnd w:id="171"/>
      <w:bookmarkEnd w:id="172"/>
      <w:bookmarkEnd w:id="173"/>
      <w:bookmarkEnd w:id="174"/>
    </w:p>
    <w:p>
      <w:pPr>
        <w:pStyle w:val="41"/>
        <w:snapToGrid/>
        <w:ind w:firstLine="422"/>
        <w:jc w:val="left"/>
        <w:rPr>
          <w:rFonts w:ascii="宋体" w:hAnsi="宋体"/>
          <w:color w:val="auto"/>
        </w:rPr>
      </w:pPr>
      <w:r>
        <w:rPr>
          <w:rFonts w:hint="eastAsia" w:ascii="宋体" w:hAnsi="宋体"/>
          <w:b/>
          <w:color w:val="auto"/>
        </w:rPr>
        <w:t>8.1</w:t>
      </w:r>
      <w:r>
        <w:rPr>
          <w:rFonts w:hint="eastAsia" w:ascii="宋体" w:hAnsi="宋体"/>
          <w:color w:val="auto"/>
        </w:rPr>
        <w:t>如果设备的质量、规格、数量、重量等与合同不符，或在规定的质量保证期内证实设备是有缺陷的，包括潜在的缺陷或使用不符合要求的材料，买方有权根据有资质的质检机构的检验结果向卖方提出索赔。但责任应由保险公司或运输部门承担的除外。</w:t>
      </w:r>
      <w:bookmarkStart w:id="175" w:name="_Ref467378076"/>
    </w:p>
    <w:p>
      <w:pPr>
        <w:pStyle w:val="41"/>
        <w:snapToGrid/>
        <w:jc w:val="left"/>
        <w:rPr>
          <w:rFonts w:ascii="宋体" w:hAnsi="宋体"/>
          <w:color w:val="auto"/>
        </w:rPr>
      </w:pPr>
      <w:r>
        <w:rPr>
          <w:rFonts w:hint="eastAsia" w:ascii="宋体" w:hAnsi="宋体"/>
          <w:color w:val="auto"/>
        </w:rPr>
        <w:t>8.2在根据合同规定的质量保证期和检验期内，如果卖方对买方提出的索赔负有责任，卖方应按照买方同意的下列一种或多种方式解决索赔事宜：</w:t>
      </w:r>
      <w:bookmarkEnd w:id="175"/>
    </w:p>
    <w:p>
      <w:pPr>
        <w:pStyle w:val="41"/>
        <w:snapToGrid/>
        <w:jc w:val="left"/>
        <w:rPr>
          <w:rFonts w:ascii="宋体" w:hAnsi="宋体"/>
          <w:color w:val="auto"/>
        </w:rPr>
      </w:pPr>
      <w:r>
        <w:rPr>
          <w:rFonts w:hint="eastAsia" w:ascii="宋体" w:hAnsi="宋体"/>
          <w:color w:val="auto"/>
        </w:rPr>
        <w:t>8.2.1在法定的退货期内，卖方应按合同规定将货款退还给买方，并承担由此发生的一切损失和费用，包括利息、银行手续费、运费、保险费、检验费、仓储费、装卸费以及为保护退回设备所需的其它必要费用。如已超过退货期，但卖方同意退货，可比照上述办法办理，或由双方协商处理。</w:t>
      </w:r>
    </w:p>
    <w:p>
      <w:pPr>
        <w:pStyle w:val="41"/>
        <w:snapToGrid/>
        <w:jc w:val="left"/>
        <w:rPr>
          <w:rFonts w:ascii="宋体" w:hAnsi="宋体"/>
          <w:color w:val="auto"/>
        </w:rPr>
      </w:pPr>
      <w:r>
        <w:rPr>
          <w:rFonts w:hint="eastAsia" w:ascii="宋体" w:hAnsi="宋体"/>
          <w:color w:val="auto"/>
        </w:rPr>
        <w:t>8.2.2根据设备低劣程度、损坏程度以及买方所遭受损失的数额，经买卖双方商定降低设备的价格，或由有权的部门评估，以降低后的价格或评估价格为准。</w:t>
      </w:r>
    </w:p>
    <w:p>
      <w:pPr>
        <w:pStyle w:val="41"/>
        <w:snapToGrid/>
        <w:jc w:val="left"/>
        <w:rPr>
          <w:rFonts w:ascii="宋体" w:hAnsi="宋体"/>
          <w:color w:val="auto"/>
        </w:rPr>
      </w:pPr>
      <w:r>
        <w:rPr>
          <w:rFonts w:hint="eastAsia" w:ascii="宋体" w:hAnsi="宋体"/>
          <w:color w:val="auto"/>
        </w:rPr>
        <w:t>8.2.3用符合规格、质量和性能要求的新零件、部件或设备来更换有缺陷的部分或/和修补缺陷部分，卖方应承担一切费用和风险并负担买方所发生的一切直接费用。同时，卖方应按合同规定，相应延长修补或更换件的质量保证期。</w:t>
      </w:r>
    </w:p>
    <w:p>
      <w:pPr>
        <w:pStyle w:val="41"/>
        <w:snapToGrid/>
        <w:jc w:val="left"/>
        <w:rPr>
          <w:rFonts w:ascii="宋体" w:hAnsi="宋体"/>
          <w:color w:val="auto"/>
        </w:rPr>
      </w:pPr>
      <w:r>
        <w:rPr>
          <w:rFonts w:hint="eastAsia" w:ascii="宋体" w:hAnsi="宋体"/>
          <w:color w:val="auto"/>
        </w:rPr>
        <w:t>8.2.4如果在买方发出索赔通知后7天内，卖方未作答复，上述索赔应视为已被卖方接受。如卖方未能在买方提出索赔通知后7天内或买方同意的更长时间内，按照本合同第15.2条规定的任何一种方法解决索赔事宜，买方将从合同款或从卖方开具的履约保证金保函中扣回索赔金额。如果这些金额不足以补偿索赔金额，买方有权向卖方提出不足部分的补偿。</w:t>
      </w:r>
    </w:p>
    <w:p>
      <w:pPr>
        <w:pStyle w:val="41"/>
        <w:snapToGrid/>
        <w:jc w:val="left"/>
        <w:rPr>
          <w:rFonts w:ascii="宋体" w:hAnsi="宋体"/>
          <w:color w:val="auto"/>
        </w:rPr>
      </w:pPr>
      <w:r>
        <w:rPr>
          <w:rFonts w:hint="eastAsia" w:ascii="宋体" w:hAnsi="宋体"/>
          <w:color w:val="auto"/>
        </w:rPr>
        <w:t>8.2.5如果卖方所提供的服务不符合合同规定，卖方将自负费用，对其进行改进、修正、更换、增补，以使其满足合同的要求。如果这种改进、修正、更换、增补仍不能满足合同的要求，买方将根据合同条款扣除卖方的履约保函。</w:t>
      </w:r>
      <w:bookmarkStart w:id="176" w:name="_Toc107723182"/>
      <w:bookmarkStart w:id="177" w:name="_Toc179456547"/>
      <w:bookmarkStart w:id="178" w:name="_Toc83781385"/>
      <w:bookmarkStart w:id="179" w:name="_Toc85602138"/>
      <w:bookmarkStart w:id="180" w:name="_Toc487900362"/>
      <w:bookmarkStart w:id="181" w:name="_Toc106161448"/>
      <w:bookmarkStart w:id="182" w:name="_Toc107821877"/>
      <w:bookmarkStart w:id="183" w:name="_Toc181348149"/>
      <w:bookmarkStart w:id="184" w:name="_Toc270946185"/>
      <w:bookmarkStart w:id="185" w:name="_Toc181344338"/>
      <w:bookmarkStart w:id="186" w:name="_Toc106161050"/>
      <w:bookmarkStart w:id="187" w:name="_Toc137651779"/>
      <w:bookmarkStart w:id="188" w:name="_Toc267574118"/>
    </w:p>
    <w:p>
      <w:pPr>
        <w:pStyle w:val="41"/>
        <w:snapToGrid/>
        <w:ind w:firstLine="422"/>
        <w:jc w:val="left"/>
        <w:rPr>
          <w:rFonts w:ascii="宋体" w:hAnsi="宋体"/>
          <w:b/>
          <w:color w:val="auto"/>
        </w:rPr>
      </w:pPr>
      <w:r>
        <w:rPr>
          <w:rFonts w:hint="eastAsia" w:ascii="宋体" w:hAnsi="宋体"/>
          <w:b/>
          <w:color w:val="auto"/>
        </w:rPr>
        <w:t>9.迟延交货</w:t>
      </w:r>
      <w:bookmarkEnd w:id="176"/>
      <w:bookmarkEnd w:id="177"/>
      <w:bookmarkEnd w:id="178"/>
      <w:bookmarkEnd w:id="179"/>
      <w:bookmarkEnd w:id="180"/>
      <w:bookmarkEnd w:id="181"/>
      <w:bookmarkEnd w:id="182"/>
      <w:bookmarkEnd w:id="183"/>
      <w:bookmarkEnd w:id="184"/>
      <w:bookmarkEnd w:id="185"/>
      <w:bookmarkEnd w:id="186"/>
      <w:bookmarkEnd w:id="187"/>
      <w:bookmarkEnd w:id="188"/>
    </w:p>
    <w:p>
      <w:pPr>
        <w:pStyle w:val="41"/>
        <w:snapToGrid/>
        <w:jc w:val="left"/>
        <w:rPr>
          <w:rFonts w:ascii="宋体" w:hAnsi="宋体"/>
          <w:color w:val="auto"/>
        </w:rPr>
      </w:pPr>
      <w:r>
        <w:rPr>
          <w:rFonts w:hint="eastAsia" w:ascii="宋体" w:hAnsi="宋体"/>
          <w:color w:val="auto"/>
        </w:rPr>
        <w:t>9.1卖方应按照合同中买方规定的时间交货和提供服务。</w:t>
      </w:r>
    </w:p>
    <w:p>
      <w:pPr>
        <w:pStyle w:val="41"/>
        <w:snapToGrid/>
        <w:jc w:val="left"/>
        <w:rPr>
          <w:rFonts w:ascii="宋体" w:hAnsi="宋体"/>
          <w:color w:val="auto"/>
        </w:rPr>
      </w:pPr>
      <w:r>
        <w:rPr>
          <w:rFonts w:hint="eastAsia" w:ascii="宋体" w:hAnsi="宋体"/>
          <w:color w:val="auto"/>
        </w:rPr>
        <w:t>9.2如果卖方无正当理由迟延交货，买方有权提出违约损失赔偿或解除合同。</w:t>
      </w:r>
    </w:p>
    <w:p>
      <w:pPr>
        <w:pStyle w:val="41"/>
        <w:snapToGrid/>
        <w:jc w:val="left"/>
        <w:rPr>
          <w:rFonts w:ascii="宋体" w:hAnsi="宋体"/>
          <w:color w:val="auto"/>
        </w:rPr>
      </w:pPr>
      <w:r>
        <w:rPr>
          <w:rFonts w:hint="eastAsia" w:ascii="宋体" w:hAnsi="宋体"/>
          <w:color w:val="auto"/>
        </w:rPr>
        <w:t>9.3在履行合同过程中，如果卖方遇到不能按时交货和提供服务的情况，应及时以书面形式将不能按时交货的理由、预期延误时间通知买方。买方收到卖方通知后，认为其理由正当的，可酌情延长交货时间。</w:t>
      </w:r>
    </w:p>
    <w:p>
      <w:pPr>
        <w:pStyle w:val="41"/>
        <w:snapToGrid/>
        <w:ind w:firstLine="422"/>
        <w:jc w:val="left"/>
        <w:rPr>
          <w:rFonts w:ascii="宋体" w:hAnsi="宋体"/>
          <w:b/>
          <w:color w:val="auto"/>
        </w:rPr>
      </w:pPr>
      <w:bookmarkStart w:id="189" w:name="_Toc181348150"/>
      <w:bookmarkStart w:id="190" w:name="_Toc106161449"/>
      <w:bookmarkStart w:id="191" w:name="_Toc106161051"/>
      <w:bookmarkStart w:id="192" w:name="_Toc85602139"/>
      <w:bookmarkStart w:id="193" w:name="_Toc107723183"/>
      <w:bookmarkStart w:id="194" w:name="_Toc83781386"/>
      <w:bookmarkStart w:id="195" w:name="_Toc487900363"/>
      <w:bookmarkStart w:id="196" w:name="_Toc179456548"/>
      <w:bookmarkStart w:id="197" w:name="_Toc107821878"/>
      <w:bookmarkStart w:id="198" w:name="_Toc137651780"/>
      <w:bookmarkStart w:id="199" w:name="_Toc270946186"/>
      <w:bookmarkStart w:id="200" w:name="_Toc267574119"/>
      <w:bookmarkStart w:id="201" w:name="_Toc181344339"/>
      <w:r>
        <w:rPr>
          <w:rFonts w:hint="eastAsia" w:ascii="宋体" w:hAnsi="宋体"/>
          <w:b/>
          <w:color w:val="auto"/>
        </w:rPr>
        <w:t>10.违约赔偿</w:t>
      </w:r>
      <w:bookmarkEnd w:id="189"/>
      <w:bookmarkEnd w:id="190"/>
      <w:bookmarkEnd w:id="191"/>
      <w:bookmarkEnd w:id="192"/>
      <w:bookmarkEnd w:id="193"/>
      <w:bookmarkEnd w:id="194"/>
      <w:bookmarkEnd w:id="195"/>
      <w:bookmarkEnd w:id="196"/>
      <w:bookmarkEnd w:id="197"/>
      <w:bookmarkEnd w:id="198"/>
      <w:bookmarkEnd w:id="199"/>
      <w:bookmarkEnd w:id="200"/>
      <w:bookmarkEnd w:id="201"/>
    </w:p>
    <w:p>
      <w:pPr>
        <w:pStyle w:val="41"/>
        <w:snapToGrid/>
        <w:jc w:val="left"/>
        <w:rPr>
          <w:rFonts w:ascii="宋体" w:hAnsi="宋体"/>
          <w:color w:val="auto"/>
        </w:rPr>
      </w:pPr>
      <w:r>
        <w:rPr>
          <w:rFonts w:hint="eastAsia" w:ascii="宋体" w:hAnsi="宋体"/>
          <w:color w:val="auto"/>
        </w:rPr>
        <w:t>除合同第18条规定外，如果卖方没有按照合同规定的时间交货和提供服务，买方可要求卖方支付违约金。违约金按每周迟交设备或未提供服务交货价的0.5%计收。但违约金的最高限额为迟交设备或没有提供服务的合同价的5%。一周按7天计算，不足7天按一周计算。如果达到最高限额，买方有权解除合同。</w:t>
      </w:r>
    </w:p>
    <w:p>
      <w:pPr>
        <w:pStyle w:val="41"/>
        <w:snapToGrid/>
        <w:ind w:firstLine="422"/>
        <w:jc w:val="left"/>
        <w:rPr>
          <w:rFonts w:ascii="宋体" w:hAnsi="宋体"/>
          <w:b/>
          <w:color w:val="auto"/>
        </w:rPr>
      </w:pPr>
      <w:bookmarkStart w:id="202" w:name="_Toc267574120"/>
      <w:bookmarkStart w:id="203" w:name="_Toc137651781"/>
      <w:bookmarkStart w:id="204" w:name="_Toc107821879"/>
      <w:bookmarkStart w:id="205" w:name="_Toc487900364"/>
      <w:bookmarkStart w:id="206" w:name="_Ref467378121"/>
      <w:bookmarkStart w:id="207" w:name="_Toc85602140"/>
      <w:bookmarkStart w:id="208" w:name="_Toc179456549"/>
      <w:bookmarkStart w:id="209" w:name="_Toc181344340"/>
      <w:bookmarkStart w:id="210" w:name="_Toc83781387"/>
      <w:bookmarkStart w:id="211" w:name="_Toc107723184"/>
      <w:bookmarkStart w:id="212" w:name="_Toc181348151"/>
      <w:bookmarkStart w:id="213" w:name="_Toc106161052"/>
      <w:bookmarkStart w:id="214" w:name="_Toc270946187"/>
      <w:bookmarkStart w:id="215" w:name="_Toc106161450"/>
      <w:r>
        <w:rPr>
          <w:rFonts w:hint="eastAsia" w:ascii="宋体" w:hAnsi="宋体"/>
          <w:b/>
          <w:color w:val="auto"/>
        </w:rPr>
        <w:t>11.不可抗力</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pStyle w:val="41"/>
        <w:ind w:firstLine="371" w:firstLineChars="177"/>
        <w:jc w:val="left"/>
        <w:rPr>
          <w:rFonts w:ascii="宋体" w:hAnsi="宋体"/>
          <w:color w:val="auto"/>
        </w:rPr>
      </w:pPr>
      <w:r>
        <w:rPr>
          <w:rFonts w:hint="eastAsia" w:ascii="宋体" w:hAnsi="宋体"/>
          <w:color w:val="auto"/>
        </w:rPr>
        <w:t>如果双方中任何一方遭遇法律规定的不可抗力，致使合同履行受阻时，履行合同的期限应予延长，延长的期限应相当于不可抗力所影响的时间。不可抗力事件系指买卖双方在缔结合同时所不能预见的，并且它的发生及其后果是无法避免和无法克服的事件，诸如战争、严重火灾、洪水、台风、地震等，以及双方同意的其他不可抗力事件。</w:t>
      </w:r>
    </w:p>
    <w:p>
      <w:pPr>
        <w:pStyle w:val="41"/>
        <w:ind w:firstLine="371" w:firstLineChars="177"/>
        <w:jc w:val="left"/>
        <w:rPr>
          <w:rFonts w:ascii="宋体" w:hAnsi="宋体"/>
          <w:color w:val="auto"/>
        </w:rPr>
      </w:pPr>
      <w:r>
        <w:rPr>
          <w:rFonts w:hint="eastAsia" w:ascii="宋体" w:hAnsi="宋体"/>
          <w:color w:val="auto"/>
        </w:rPr>
        <w:t>11.2受事故影响的一方应在不可抗力的事故发生后尽快书面形式通知另一方，并在事故发生后14天内，将有关部门出具的证明文件送达另一方。一旦不可抗力事件的影响持续60天以上，双方应通过友好协商在合理的时间内达成进一步履行合同的协议，买方也可考虑解除合同。</w:t>
      </w:r>
    </w:p>
    <w:p>
      <w:pPr>
        <w:pStyle w:val="41"/>
        <w:ind w:firstLine="371" w:firstLineChars="177"/>
        <w:jc w:val="left"/>
        <w:rPr>
          <w:rFonts w:ascii="宋体" w:hAnsi="宋体"/>
          <w:color w:val="auto"/>
        </w:rPr>
      </w:pPr>
      <w:r>
        <w:rPr>
          <w:rFonts w:hint="eastAsia" w:ascii="宋体" w:hAnsi="宋体"/>
          <w:color w:val="auto"/>
        </w:rPr>
        <w:t>11.3不可抗力使合同的某些内容有变更必要的，双方应通过协商在28日内达成进一步履行合同的协议，因不可抗力致使合同不能履行的，合同终止。</w:t>
      </w:r>
    </w:p>
    <w:p>
      <w:pPr>
        <w:pStyle w:val="41"/>
        <w:ind w:firstLine="373" w:firstLineChars="177"/>
        <w:jc w:val="left"/>
        <w:rPr>
          <w:rFonts w:ascii="宋体" w:hAnsi="宋体"/>
          <w:b/>
          <w:color w:val="auto"/>
        </w:rPr>
      </w:pPr>
      <w:bookmarkStart w:id="216" w:name="_Toc267574121"/>
      <w:bookmarkStart w:id="217" w:name="_Toc181344341"/>
      <w:bookmarkStart w:id="218" w:name="_Toc85602141"/>
      <w:bookmarkStart w:id="219" w:name="_Toc487900365"/>
      <w:bookmarkStart w:id="220" w:name="_Toc107723185"/>
      <w:bookmarkStart w:id="221" w:name="_Toc106161451"/>
      <w:bookmarkStart w:id="222" w:name="_Toc270946188"/>
      <w:bookmarkStart w:id="223" w:name="_Toc181348152"/>
      <w:bookmarkStart w:id="224" w:name="_Toc137651782"/>
      <w:bookmarkStart w:id="225" w:name="_Toc106161053"/>
      <w:bookmarkStart w:id="226" w:name="_Toc107821880"/>
      <w:bookmarkStart w:id="227" w:name="_Toc83781388"/>
      <w:bookmarkStart w:id="228" w:name="_Toc179456550"/>
      <w:r>
        <w:rPr>
          <w:rFonts w:hint="eastAsia" w:ascii="宋体" w:hAnsi="宋体"/>
          <w:b/>
          <w:color w:val="auto"/>
        </w:rPr>
        <w:t>12.税费</w:t>
      </w:r>
      <w:bookmarkEnd w:id="216"/>
      <w:bookmarkEnd w:id="217"/>
      <w:bookmarkEnd w:id="218"/>
      <w:bookmarkEnd w:id="219"/>
      <w:bookmarkEnd w:id="220"/>
      <w:bookmarkEnd w:id="221"/>
      <w:bookmarkEnd w:id="222"/>
      <w:bookmarkEnd w:id="223"/>
      <w:bookmarkEnd w:id="224"/>
      <w:bookmarkEnd w:id="225"/>
      <w:bookmarkEnd w:id="226"/>
      <w:bookmarkEnd w:id="227"/>
      <w:bookmarkEnd w:id="228"/>
    </w:p>
    <w:p>
      <w:pPr>
        <w:pStyle w:val="41"/>
        <w:ind w:firstLine="371" w:firstLineChars="177"/>
        <w:jc w:val="left"/>
        <w:rPr>
          <w:rFonts w:ascii="宋体" w:hAnsi="宋体"/>
          <w:color w:val="auto"/>
        </w:rPr>
      </w:pPr>
      <w:r>
        <w:rPr>
          <w:rFonts w:hint="eastAsia" w:ascii="宋体" w:hAnsi="宋体"/>
          <w:color w:val="auto"/>
        </w:rPr>
        <w:t>与本合同有关的一切税费均适用中华人民共和国法律的相关规定。</w:t>
      </w:r>
    </w:p>
    <w:p>
      <w:pPr>
        <w:pStyle w:val="41"/>
        <w:ind w:firstLine="373" w:firstLineChars="177"/>
        <w:jc w:val="left"/>
        <w:rPr>
          <w:rFonts w:ascii="宋体" w:hAnsi="宋体"/>
          <w:b/>
          <w:color w:val="auto"/>
        </w:rPr>
      </w:pPr>
      <w:bookmarkStart w:id="229" w:name="_Hlt487900425"/>
      <w:bookmarkEnd w:id="229"/>
      <w:bookmarkStart w:id="230" w:name="_Toc107723186"/>
      <w:bookmarkStart w:id="231" w:name="_Toc85602142"/>
      <w:bookmarkStart w:id="232" w:name="_Toc181344342"/>
      <w:bookmarkStart w:id="233" w:name="_Toc83781389"/>
      <w:bookmarkStart w:id="234" w:name="_Toc270946189"/>
      <w:bookmarkStart w:id="235" w:name="_Toc106161452"/>
      <w:bookmarkStart w:id="236" w:name="_Toc267574122"/>
      <w:bookmarkStart w:id="237" w:name="_Toc106161054"/>
      <w:bookmarkStart w:id="238" w:name="_Toc137651783"/>
      <w:bookmarkStart w:id="239" w:name="_Toc107821881"/>
      <w:bookmarkStart w:id="240" w:name="_Toc181348153"/>
      <w:bookmarkStart w:id="241" w:name="_Toc487900366"/>
      <w:bookmarkStart w:id="242" w:name="_Toc179456551"/>
      <w:r>
        <w:rPr>
          <w:rFonts w:hint="eastAsia" w:ascii="宋体" w:hAnsi="宋体"/>
          <w:b/>
          <w:color w:val="auto"/>
        </w:rPr>
        <w:t>13.仲裁</w:t>
      </w:r>
      <w:bookmarkEnd w:id="230"/>
      <w:bookmarkEnd w:id="231"/>
      <w:bookmarkEnd w:id="232"/>
      <w:bookmarkEnd w:id="233"/>
      <w:bookmarkEnd w:id="234"/>
      <w:bookmarkEnd w:id="235"/>
      <w:bookmarkEnd w:id="236"/>
      <w:bookmarkEnd w:id="237"/>
      <w:bookmarkEnd w:id="238"/>
      <w:bookmarkEnd w:id="239"/>
      <w:bookmarkEnd w:id="240"/>
      <w:bookmarkEnd w:id="241"/>
      <w:bookmarkEnd w:id="242"/>
    </w:p>
    <w:p>
      <w:pPr>
        <w:pStyle w:val="41"/>
        <w:ind w:firstLine="371" w:firstLineChars="177"/>
        <w:jc w:val="left"/>
        <w:rPr>
          <w:rFonts w:ascii="宋体" w:hAnsi="宋体"/>
          <w:color w:val="auto"/>
        </w:rPr>
      </w:pPr>
      <w:r>
        <w:rPr>
          <w:rFonts w:hint="eastAsia" w:ascii="宋体" w:hAnsi="宋体"/>
          <w:color w:val="auto"/>
        </w:rPr>
        <w:t>13.1买卖双方应通过友好协商，解决在执行本合同中所发生的或与本合同有关的一切争端。如果友好协商开始后60天还不能解决，任何一方均可申请仲裁委员会进行仲裁。</w:t>
      </w:r>
    </w:p>
    <w:p>
      <w:pPr>
        <w:pStyle w:val="41"/>
        <w:ind w:firstLine="371" w:firstLineChars="177"/>
        <w:jc w:val="left"/>
        <w:rPr>
          <w:rFonts w:ascii="宋体" w:hAnsi="宋体"/>
          <w:color w:val="auto"/>
        </w:rPr>
      </w:pPr>
      <w:r>
        <w:rPr>
          <w:rFonts w:hint="eastAsia" w:ascii="宋体" w:hAnsi="宋体"/>
          <w:color w:val="auto"/>
        </w:rPr>
        <w:t>13.2仲裁裁决应为最终裁决，对双方均具有约束力，当事人应当履行。当事人一方在规定时间内不履行仲裁机构的仲裁裁决的，另一方可以申请人民法院强制执行。</w:t>
      </w:r>
    </w:p>
    <w:p>
      <w:pPr>
        <w:pStyle w:val="41"/>
        <w:ind w:firstLine="371" w:firstLineChars="177"/>
        <w:jc w:val="left"/>
        <w:rPr>
          <w:rFonts w:ascii="宋体" w:hAnsi="宋体"/>
          <w:color w:val="auto"/>
        </w:rPr>
      </w:pPr>
      <w:r>
        <w:rPr>
          <w:rFonts w:hint="eastAsia" w:ascii="宋体" w:hAnsi="宋体"/>
          <w:color w:val="auto"/>
        </w:rPr>
        <w:t>13.3仲裁费除仲裁机构另有裁决外，应由败诉方负担。</w:t>
      </w:r>
    </w:p>
    <w:p>
      <w:pPr>
        <w:pStyle w:val="41"/>
        <w:ind w:firstLineChars="0"/>
        <w:jc w:val="left"/>
        <w:rPr>
          <w:rFonts w:ascii="宋体" w:hAnsi="宋体"/>
          <w:color w:val="auto"/>
        </w:rPr>
      </w:pPr>
      <w:r>
        <w:rPr>
          <w:rFonts w:hint="eastAsia" w:ascii="宋体" w:hAnsi="宋体"/>
          <w:color w:val="auto"/>
        </w:rPr>
        <w:t>13.4在仲裁期间，除正在进行仲裁的合同条款外，合同的其它部分应继续执行。</w:t>
      </w:r>
    </w:p>
    <w:p>
      <w:pPr>
        <w:pStyle w:val="41"/>
        <w:snapToGrid/>
        <w:ind w:firstLine="422"/>
        <w:jc w:val="left"/>
        <w:rPr>
          <w:rFonts w:ascii="宋体" w:hAnsi="宋体"/>
          <w:b/>
          <w:color w:val="auto"/>
        </w:rPr>
      </w:pPr>
      <w:bookmarkStart w:id="243" w:name="_Toc106161453"/>
      <w:bookmarkStart w:id="244" w:name="_Toc83781390"/>
      <w:bookmarkStart w:id="245" w:name="_Toc487900367"/>
      <w:bookmarkStart w:id="246" w:name="_Toc85602143"/>
      <w:bookmarkStart w:id="247" w:name="_Toc270946190"/>
      <w:bookmarkStart w:id="248" w:name="_Toc107821882"/>
      <w:bookmarkStart w:id="249" w:name="_Toc137651784"/>
      <w:bookmarkStart w:id="250" w:name="_Toc106161055"/>
      <w:bookmarkStart w:id="251" w:name="_Toc107723187"/>
      <w:bookmarkStart w:id="252" w:name="_Toc181344343"/>
      <w:bookmarkStart w:id="253" w:name="_Toc179456552"/>
      <w:bookmarkStart w:id="254" w:name="_Toc181348154"/>
      <w:bookmarkStart w:id="255" w:name="_Toc267574123"/>
      <w:r>
        <w:rPr>
          <w:rFonts w:hint="eastAsia" w:ascii="宋体" w:hAnsi="宋体"/>
          <w:b/>
          <w:color w:val="auto"/>
        </w:rPr>
        <w:t>14.违约解除合同</w:t>
      </w:r>
      <w:bookmarkEnd w:id="243"/>
      <w:bookmarkEnd w:id="244"/>
      <w:bookmarkEnd w:id="245"/>
      <w:bookmarkEnd w:id="246"/>
      <w:bookmarkEnd w:id="247"/>
      <w:bookmarkEnd w:id="248"/>
      <w:bookmarkEnd w:id="249"/>
      <w:bookmarkEnd w:id="250"/>
      <w:bookmarkEnd w:id="251"/>
      <w:bookmarkEnd w:id="252"/>
      <w:bookmarkEnd w:id="253"/>
      <w:bookmarkEnd w:id="254"/>
      <w:bookmarkEnd w:id="255"/>
      <w:bookmarkStart w:id="256" w:name="_Ref467378234"/>
    </w:p>
    <w:p>
      <w:pPr>
        <w:pStyle w:val="41"/>
        <w:snapToGrid/>
        <w:jc w:val="left"/>
        <w:rPr>
          <w:rFonts w:ascii="宋体" w:hAnsi="宋体"/>
          <w:color w:val="auto"/>
        </w:rPr>
      </w:pPr>
      <w:r>
        <w:rPr>
          <w:rFonts w:hint="eastAsia" w:ascii="宋体" w:hAnsi="宋体"/>
          <w:color w:val="auto"/>
        </w:rPr>
        <w:t>14.1</w:t>
      </w:r>
      <w:r>
        <w:rPr>
          <w:rFonts w:hint="eastAsia" w:ascii="宋体" w:hAnsi="宋体"/>
          <w:vanish/>
          <w:color w:val="auto"/>
        </w:rPr>
        <w:t>14.1</w:t>
      </w:r>
      <w:r>
        <w:rPr>
          <w:rFonts w:hint="eastAsia" w:ascii="宋体" w:hAnsi="宋体"/>
          <w:color w:val="auto"/>
        </w:rPr>
        <w:t>在卖方违约的情况下，买方可向卖方发出书面通知，部分或全部终止合同。同时保留向卖方追诉的权利。</w:t>
      </w:r>
      <w:bookmarkEnd w:id="256"/>
    </w:p>
    <w:p>
      <w:pPr>
        <w:pStyle w:val="41"/>
        <w:ind w:firstLineChars="0"/>
        <w:jc w:val="left"/>
        <w:rPr>
          <w:rFonts w:ascii="宋体" w:hAnsi="宋体"/>
          <w:color w:val="auto"/>
        </w:rPr>
      </w:pPr>
      <w:r>
        <w:rPr>
          <w:rFonts w:hint="eastAsia" w:ascii="宋体" w:hAnsi="宋体"/>
          <w:color w:val="auto"/>
        </w:rPr>
        <w:t>14.2卖方未能在合同规定的限期或买方同意延长的限期内，提供全部或部分设备的；</w:t>
      </w:r>
    </w:p>
    <w:p>
      <w:pPr>
        <w:pStyle w:val="41"/>
        <w:ind w:left="425" w:firstLine="0" w:firstLineChars="0"/>
        <w:jc w:val="left"/>
        <w:rPr>
          <w:rFonts w:ascii="宋体" w:hAnsi="宋体"/>
          <w:color w:val="auto"/>
        </w:rPr>
      </w:pPr>
      <w:r>
        <w:rPr>
          <w:rFonts w:hint="eastAsia" w:ascii="宋体" w:hAnsi="宋体"/>
          <w:color w:val="auto"/>
        </w:rPr>
        <w:t>14.3卖方未能履行合同规定的其它主要义务的；</w:t>
      </w:r>
    </w:p>
    <w:p>
      <w:pPr>
        <w:pStyle w:val="41"/>
        <w:numPr>
          <w:ilvl w:val="3"/>
          <w:numId w:val="13"/>
        </w:numPr>
        <w:tabs>
          <w:tab w:val="left" w:pos="0"/>
          <w:tab w:val="clear" w:pos="1555"/>
        </w:tabs>
        <w:ind w:left="0" w:firstLine="426" w:firstLineChars="0"/>
        <w:jc w:val="left"/>
        <w:rPr>
          <w:rFonts w:ascii="宋体" w:hAnsi="宋体"/>
          <w:color w:val="auto"/>
        </w:rPr>
      </w:pPr>
      <w:r>
        <w:rPr>
          <w:rFonts w:hint="eastAsia" w:ascii="宋体" w:hAnsi="宋体"/>
          <w:color w:val="auto"/>
        </w:rPr>
        <w:t>14.4买方认为卖方在本合同履行过程中有腐败和欺诈行为的。 “腐败行为”和“欺诈行为”定义如下:</w:t>
      </w:r>
    </w:p>
    <w:p>
      <w:pPr>
        <w:pStyle w:val="41"/>
        <w:numPr>
          <w:ilvl w:val="3"/>
          <w:numId w:val="13"/>
        </w:numPr>
        <w:tabs>
          <w:tab w:val="left" w:pos="0"/>
          <w:tab w:val="clear" w:pos="1555"/>
        </w:tabs>
        <w:ind w:left="0" w:firstLine="426" w:firstLineChars="0"/>
        <w:jc w:val="left"/>
        <w:rPr>
          <w:rFonts w:ascii="宋体" w:hAnsi="宋体"/>
          <w:color w:val="auto"/>
        </w:rPr>
      </w:pPr>
      <w:r>
        <w:rPr>
          <w:rFonts w:hint="eastAsia" w:ascii="宋体" w:hAnsi="宋体"/>
          <w:color w:val="auto"/>
        </w:rPr>
        <w:t>“腐败行为”是指提供、给予、接受或索取任何有价值的东西来影响买方在合同签订、履行过程中的行为。</w:t>
      </w:r>
    </w:p>
    <w:p>
      <w:pPr>
        <w:pStyle w:val="41"/>
        <w:numPr>
          <w:ilvl w:val="3"/>
          <w:numId w:val="13"/>
        </w:numPr>
        <w:tabs>
          <w:tab w:val="clear" w:pos="1555"/>
        </w:tabs>
        <w:ind w:left="0" w:firstLine="371" w:firstLineChars="177"/>
        <w:jc w:val="left"/>
        <w:rPr>
          <w:rFonts w:ascii="宋体" w:hAnsi="宋体"/>
          <w:color w:val="auto"/>
        </w:rPr>
      </w:pPr>
      <w:r>
        <w:rPr>
          <w:rFonts w:hint="eastAsia" w:ascii="宋体" w:hAnsi="宋体"/>
          <w:color w:val="auto"/>
        </w:rPr>
        <w:t>“欺诈行为”是指为了影响合同签订、履行过程中，以谎报事实的方法，损害买方的利益的行为。</w:t>
      </w:r>
    </w:p>
    <w:p>
      <w:pPr>
        <w:pStyle w:val="41"/>
        <w:ind w:firstLine="371" w:firstLineChars="177"/>
        <w:jc w:val="left"/>
        <w:rPr>
          <w:rFonts w:ascii="宋体" w:hAnsi="宋体"/>
          <w:color w:val="auto"/>
        </w:rPr>
      </w:pPr>
      <w:r>
        <w:rPr>
          <w:rFonts w:hint="eastAsia" w:ascii="宋体" w:hAnsi="宋体"/>
          <w:color w:val="auto"/>
        </w:rPr>
        <w:t>14.5在买方根据上述规定，全部或部分解除合同之后，应当遵循诚实信用原则，以买方同意的方式，购买与未交付的设备类似的设备或服务，卖方应承担买方购买类似设备或服务而产生的额外支出。部分解除合同的，卖方应继续履行合同中未解除的部分。</w:t>
      </w:r>
    </w:p>
    <w:p>
      <w:pPr>
        <w:pStyle w:val="41"/>
        <w:snapToGrid/>
        <w:ind w:firstLine="422"/>
        <w:jc w:val="left"/>
        <w:rPr>
          <w:rFonts w:ascii="宋体" w:hAnsi="宋体"/>
          <w:b/>
          <w:color w:val="auto"/>
        </w:rPr>
      </w:pPr>
      <w:bookmarkStart w:id="257" w:name="_Toc181344344"/>
      <w:bookmarkStart w:id="258" w:name="_Toc137651785"/>
      <w:bookmarkStart w:id="259" w:name="_Toc107821883"/>
      <w:bookmarkStart w:id="260" w:name="_Toc179456553"/>
      <w:bookmarkStart w:id="261" w:name="_Toc107723188"/>
      <w:bookmarkStart w:id="262" w:name="_Toc487900368"/>
      <w:bookmarkStart w:id="263" w:name="_Toc267574124"/>
      <w:bookmarkStart w:id="264" w:name="_Toc181348155"/>
      <w:bookmarkStart w:id="265" w:name="_Toc270946191"/>
      <w:bookmarkStart w:id="266" w:name="_Toc85602144"/>
      <w:bookmarkStart w:id="267" w:name="_Toc83781391"/>
      <w:bookmarkStart w:id="268" w:name="_Toc106161454"/>
      <w:bookmarkStart w:id="269" w:name="_Toc106161056"/>
      <w:r>
        <w:rPr>
          <w:rFonts w:hint="eastAsia" w:ascii="宋体" w:hAnsi="宋体"/>
          <w:b/>
          <w:color w:val="auto"/>
        </w:rPr>
        <w:t>15.破产终止合同</w:t>
      </w:r>
      <w:bookmarkEnd w:id="257"/>
      <w:bookmarkEnd w:id="258"/>
      <w:bookmarkEnd w:id="259"/>
      <w:bookmarkEnd w:id="260"/>
      <w:bookmarkEnd w:id="261"/>
      <w:bookmarkEnd w:id="262"/>
      <w:bookmarkEnd w:id="263"/>
      <w:bookmarkEnd w:id="264"/>
      <w:bookmarkEnd w:id="265"/>
      <w:bookmarkEnd w:id="266"/>
      <w:bookmarkEnd w:id="267"/>
      <w:bookmarkEnd w:id="268"/>
      <w:bookmarkEnd w:id="269"/>
    </w:p>
    <w:p>
      <w:pPr>
        <w:pStyle w:val="41"/>
        <w:snapToGrid/>
        <w:jc w:val="left"/>
        <w:rPr>
          <w:rFonts w:ascii="宋体" w:hAnsi="宋体"/>
          <w:color w:val="auto"/>
        </w:rPr>
      </w:pPr>
      <w:r>
        <w:rPr>
          <w:rFonts w:hint="eastAsia" w:ascii="宋体" w:hAnsi="宋体"/>
          <w:color w:val="auto"/>
        </w:rPr>
        <w:t>如果卖方破产或无清偿能力时，买方可在任何时候以书面通知卖方，提出终止合同而不给卖方补偿。该合同的终止将不损害或影响买方已经采取或将要采取的任何行动或补救措施的权利。</w:t>
      </w:r>
    </w:p>
    <w:p>
      <w:pPr>
        <w:pStyle w:val="41"/>
        <w:snapToGrid/>
        <w:ind w:firstLine="422"/>
        <w:jc w:val="left"/>
        <w:rPr>
          <w:rFonts w:ascii="宋体" w:hAnsi="宋体"/>
          <w:b/>
          <w:color w:val="auto"/>
        </w:rPr>
      </w:pPr>
      <w:bookmarkStart w:id="270" w:name="_Toc107821884"/>
      <w:bookmarkStart w:id="271" w:name="_Toc106161455"/>
      <w:bookmarkStart w:id="272" w:name="_Toc487900369"/>
      <w:bookmarkStart w:id="273" w:name="_Toc85602145"/>
      <w:bookmarkStart w:id="274" w:name="_Toc83781392"/>
      <w:bookmarkStart w:id="275" w:name="_Toc181344345"/>
      <w:bookmarkStart w:id="276" w:name="_Toc106161057"/>
      <w:bookmarkStart w:id="277" w:name="_Toc107723189"/>
      <w:bookmarkStart w:id="278" w:name="_Toc267574125"/>
      <w:bookmarkStart w:id="279" w:name="_Toc137651786"/>
      <w:bookmarkStart w:id="280" w:name="_Toc179456554"/>
      <w:bookmarkStart w:id="281" w:name="_Toc181348156"/>
      <w:bookmarkStart w:id="282" w:name="_Toc270946192"/>
      <w:r>
        <w:rPr>
          <w:rFonts w:hint="eastAsia" w:ascii="宋体" w:hAnsi="宋体"/>
          <w:b/>
          <w:color w:val="auto"/>
        </w:rPr>
        <w:t>16.转让</w:t>
      </w:r>
      <w:bookmarkEnd w:id="270"/>
      <w:bookmarkEnd w:id="271"/>
      <w:bookmarkEnd w:id="272"/>
      <w:bookmarkEnd w:id="273"/>
      <w:bookmarkEnd w:id="274"/>
      <w:bookmarkEnd w:id="275"/>
      <w:bookmarkEnd w:id="276"/>
      <w:bookmarkEnd w:id="277"/>
      <w:bookmarkEnd w:id="278"/>
      <w:bookmarkEnd w:id="279"/>
      <w:bookmarkEnd w:id="280"/>
      <w:bookmarkEnd w:id="281"/>
      <w:bookmarkEnd w:id="282"/>
    </w:p>
    <w:p>
      <w:pPr>
        <w:pStyle w:val="41"/>
        <w:snapToGrid/>
        <w:jc w:val="left"/>
        <w:rPr>
          <w:rFonts w:ascii="宋体" w:hAnsi="宋体"/>
          <w:color w:val="auto"/>
        </w:rPr>
      </w:pPr>
      <w:r>
        <w:rPr>
          <w:rFonts w:hint="eastAsia" w:ascii="宋体" w:hAnsi="宋体"/>
          <w:color w:val="auto"/>
        </w:rPr>
        <w:t>本合同项目不能转让。</w:t>
      </w:r>
    </w:p>
    <w:p>
      <w:pPr>
        <w:pStyle w:val="41"/>
        <w:snapToGrid/>
        <w:ind w:firstLine="422"/>
        <w:jc w:val="left"/>
        <w:rPr>
          <w:rFonts w:ascii="宋体" w:hAnsi="宋体"/>
          <w:b/>
          <w:color w:val="auto"/>
        </w:rPr>
      </w:pPr>
      <w:bookmarkStart w:id="283" w:name="_Toc106161058"/>
      <w:bookmarkStart w:id="284" w:name="_Toc267574126"/>
      <w:bookmarkStart w:id="285" w:name="_Toc179456555"/>
      <w:bookmarkStart w:id="286" w:name="_Toc181344346"/>
      <w:bookmarkStart w:id="287" w:name="_Toc270946193"/>
      <w:bookmarkStart w:id="288" w:name="_Toc181348157"/>
      <w:bookmarkStart w:id="289" w:name="_Toc83781393"/>
      <w:bookmarkStart w:id="290" w:name="_Toc487900370"/>
      <w:bookmarkStart w:id="291" w:name="_Toc85602146"/>
      <w:bookmarkStart w:id="292" w:name="_Toc137651787"/>
      <w:bookmarkStart w:id="293" w:name="_Toc107723190"/>
      <w:bookmarkStart w:id="294" w:name="_Toc106161456"/>
      <w:bookmarkStart w:id="295" w:name="_Toc107821885"/>
      <w:r>
        <w:rPr>
          <w:rFonts w:hint="eastAsia" w:ascii="宋体" w:hAnsi="宋体"/>
          <w:b/>
          <w:color w:val="auto"/>
        </w:rPr>
        <w:t>17.合同修改</w:t>
      </w:r>
      <w:bookmarkEnd w:id="283"/>
      <w:bookmarkEnd w:id="284"/>
      <w:bookmarkEnd w:id="285"/>
      <w:bookmarkEnd w:id="286"/>
      <w:bookmarkEnd w:id="287"/>
      <w:bookmarkEnd w:id="288"/>
      <w:bookmarkEnd w:id="289"/>
      <w:bookmarkEnd w:id="290"/>
      <w:bookmarkEnd w:id="291"/>
      <w:bookmarkEnd w:id="292"/>
      <w:bookmarkEnd w:id="293"/>
      <w:bookmarkEnd w:id="294"/>
      <w:bookmarkEnd w:id="295"/>
    </w:p>
    <w:p>
      <w:pPr>
        <w:pStyle w:val="41"/>
        <w:snapToGrid/>
        <w:jc w:val="left"/>
        <w:rPr>
          <w:rFonts w:ascii="宋体" w:hAnsi="宋体"/>
          <w:color w:val="auto"/>
        </w:rPr>
      </w:pPr>
      <w:r>
        <w:rPr>
          <w:rFonts w:hint="eastAsia" w:ascii="宋体" w:hAnsi="宋体"/>
          <w:color w:val="auto"/>
        </w:rPr>
        <w:t>买方和卖方都不得擅自变更本合同，但合同继续履行将损害国家和社会公共利益的除外。如必须对合同条款进行改动时，由双方当事人提出书面的合同修改意见，确认后签署。</w:t>
      </w:r>
    </w:p>
    <w:p>
      <w:pPr>
        <w:pStyle w:val="41"/>
        <w:snapToGrid/>
        <w:ind w:firstLine="422"/>
        <w:jc w:val="left"/>
        <w:rPr>
          <w:rFonts w:ascii="宋体" w:hAnsi="宋体"/>
          <w:b/>
          <w:color w:val="auto"/>
        </w:rPr>
      </w:pPr>
      <w:bookmarkStart w:id="296" w:name="_Toc83781394"/>
      <w:bookmarkStart w:id="297" w:name="_Toc487900371"/>
      <w:bookmarkStart w:id="298" w:name="_Toc137651788"/>
      <w:bookmarkStart w:id="299" w:name="_Toc106161059"/>
      <w:bookmarkStart w:id="300" w:name="_Toc270946194"/>
      <w:bookmarkStart w:id="301" w:name="_Toc267574127"/>
      <w:bookmarkStart w:id="302" w:name="_Toc85602147"/>
      <w:bookmarkStart w:id="303" w:name="_Toc107723191"/>
      <w:bookmarkStart w:id="304" w:name="_Toc106161457"/>
      <w:bookmarkStart w:id="305" w:name="_Toc107821886"/>
      <w:bookmarkStart w:id="306" w:name="_Toc181344347"/>
      <w:bookmarkStart w:id="307" w:name="_Toc179456556"/>
      <w:bookmarkStart w:id="308" w:name="_Toc181348158"/>
      <w:r>
        <w:rPr>
          <w:rFonts w:hint="eastAsia" w:ascii="宋体" w:hAnsi="宋体"/>
          <w:b/>
          <w:color w:val="auto"/>
        </w:rPr>
        <w:t>18.通知</w:t>
      </w:r>
      <w:bookmarkEnd w:id="296"/>
      <w:bookmarkEnd w:id="297"/>
      <w:bookmarkEnd w:id="298"/>
      <w:bookmarkEnd w:id="299"/>
      <w:bookmarkEnd w:id="300"/>
      <w:bookmarkEnd w:id="301"/>
      <w:bookmarkEnd w:id="302"/>
      <w:bookmarkEnd w:id="303"/>
      <w:bookmarkEnd w:id="304"/>
      <w:bookmarkEnd w:id="305"/>
      <w:bookmarkEnd w:id="306"/>
      <w:bookmarkEnd w:id="307"/>
      <w:bookmarkEnd w:id="308"/>
    </w:p>
    <w:p>
      <w:pPr>
        <w:pStyle w:val="41"/>
        <w:snapToGrid/>
        <w:jc w:val="left"/>
        <w:rPr>
          <w:rFonts w:ascii="宋体" w:hAnsi="宋体"/>
          <w:color w:val="auto"/>
        </w:rPr>
      </w:pPr>
      <w:r>
        <w:rPr>
          <w:rFonts w:hint="eastAsia" w:ascii="宋体" w:hAnsi="宋体"/>
          <w:color w:val="auto"/>
        </w:rPr>
        <w:t>18.1本合同任何一方给另一方的通知，都应以书面形式发送，而另一方也应以书面形式确认并发送到对方明确的地址。</w:t>
      </w:r>
    </w:p>
    <w:p>
      <w:pPr>
        <w:pStyle w:val="41"/>
        <w:snapToGrid/>
        <w:jc w:val="left"/>
        <w:rPr>
          <w:rFonts w:ascii="宋体" w:hAnsi="宋体"/>
          <w:color w:val="auto"/>
        </w:rPr>
      </w:pPr>
      <w:r>
        <w:rPr>
          <w:rFonts w:hint="eastAsia" w:ascii="宋体" w:hAnsi="宋体"/>
          <w:color w:val="auto"/>
        </w:rPr>
        <w:t>18.2通知以送到日期或通知书的生效日期为生效日期，两者中以晚的一个日期为准。</w:t>
      </w:r>
    </w:p>
    <w:p>
      <w:pPr>
        <w:pStyle w:val="41"/>
        <w:snapToGrid/>
        <w:ind w:firstLine="422"/>
        <w:jc w:val="left"/>
        <w:rPr>
          <w:rFonts w:ascii="宋体" w:hAnsi="宋体"/>
          <w:b/>
          <w:color w:val="auto"/>
        </w:rPr>
      </w:pPr>
      <w:bookmarkStart w:id="309" w:name="_Toc181348159"/>
      <w:bookmarkStart w:id="310" w:name="_Toc179456557"/>
      <w:bookmarkStart w:id="311" w:name="_Toc270946195"/>
      <w:bookmarkStart w:id="312" w:name="_Toc137651789"/>
      <w:bookmarkStart w:id="313" w:name="_Toc106161060"/>
      <w:bookmarkStart w:id="314" w:name="_Toc267574128"/>
      <w:bookmarkStart w:id="315" w:name="_Toc181344348"/>
      <w:bookmarkStart w:id="316" w:name="_Toc85602148"/>
      <w:bookmarkStart w:id="317" w:name="_Toc106161458"/>
      <w:bookmarkStart w:id="318" w:name="_Toc107723192"/>
      <w:bookmarkStart w:id="319" w:name="_Toc107821887"/>
      <w:r>
        <w:rPr>
          <w:rFonts w:hint="eastAsia" w:ascii="宋体" w:hAnsi="宋体"/>
          <w:b/>
          <w:color w:val="auto"/>
        </w:rPr>
        <w:t>19.标准</w:t>
      </w:r>
      <w:bookmarkEnd w:id="309"/>
      <w:bookmarkEnd w:id="310"/>
      <w:bookmarkEnd w:id="311"/>
      <w:bookmarkEnd w:id="312"/>
      <w:bookmarkEnd w:id="313"/>
      <w:bookmarkEnd w:id="314"/>
      <w:bookmarkEnd w:id="315"/>
      <w:bookmarkEnd w:id="316"/>
      <w:bookmarkEnd w:id="317"/>
      <w:bookmarkEnd w:id="318"/>
      <w:bookmarkEnd w:id="319"/>
    </w:p>
    <w:p>
      <w:pPr>
        <w:pStyle w:val="41"/>
        <w:snapToGrid/>
        <w:jc w:val="left"/>
        <w:rPr>
          <w:rFonts w:ascii="宋体" w:hAnsi="宋体"/>
          <w:color w:val="auto"/>
        </w:rPr>
      </w:pPr>
      <w:r>
        <w:rPr>
          <w:rFonts w:hint="eastAsia" w:ascii="宋体" w:hAnsi="宋体"/>
          <w:color w:val="auto"/>
        </w:rPr>
        <w:t>19.1本合同下交付的设备/服务应符合合同附件技术要求所述的标准。如果没有提及适用标准，则应符合设备/服务来源国适用的官方标准。这些标准必须是有关机构发布的最新版本的标准。</w:t>
      </w:r>
    </w:p>
    <w:p>
      <w:pPr>
        <w:pStyle w:val="41"/>
        <w:snapToGrid/>
        <w:jc w:val="left"/>
        <w:rPr>
          <w:rFonts w:ascii="宋体" w:hAnsi="宋体"/>
          <w:color w:val="auto"/>
        </w:rPr>
      </w:pPr>
      <w:r>
        <w:rPr>
          <w:rFonts w:hint="eastAsia" w:ascii="宋体" w:hAnsi="宋体"/>
          <w:color w:val="auto"/>
        </w:rPr>
        <w:t>19.2除技术规范中另有规定外,计量单位均使用国家法定计量单位。</w:t>
      </w:r>
    </w:p>
    <w:p>
      <w:pPr>
        <w:pStyle w:val="41"/>
        <w:snapToGrid/>
        <w:ind w:firstLine="422"/>
        <w:jc w:val="left"/>
        <w:rPr>
          <w:rFonts w:ascii="宋体" w:hAnsi="宋体"/>
          <w:b/>
          <w:color w:val="auto"/>
        </w:rPr>
      </w:pPr>
      <w:bookmarkStart w:id="320" w:name="_Toc270946196"/>
      <w:bookmarkStart w:id="321" w:name="_Toc267574129"/>
      <w:bookmarkStart w:id="322" w:name="_Toc181344349"/>
      <w:bookmarkStart w:id="323" w:name="_Toc487900373"/>
      <w:bookmarkStart w:id="324" w:name="_Toc107821888"/>
      <w:bookmarkStart w:id="325" w:name="_Toc179456558"/>
      <w:bookmarkStart w:id="326" w:name="_Toc106161459"/>
      <w:bookmarkStart w:id="327" w:name="_Toc137651790"/>
      <w:bookmarkStart w:id="328" w:name="_Toc181348160"/>
      <w:bookmarkStart w:id="329" w:name="_Toc107723193"/>
      <w:bookmarkStart w:id="330" w:name="_Toc85602149"/>
      <w:bookmarkStart w:id="331" w:name="_Toc83781396"/>
      <w:bookmarkStart w:id="332" w:name="_Toc106161061"/>
      <w:r>
        <w:rPr>
          <w:rFonts w:hint="eastAsia" w:ascii="宋体" w:hAnsi="宋体"/>
          <w:b/>
          <w:color w:val="auto"/>
        </w:rPr>
        <w:t>20.适用法律</w:t>
      </w:r>
      <w:bookmarkEnd w:id="320"/>
      <w:bookmarkEnd w:id="321"/>
      <w:bookmarkEnd w:id="322"/>
      <w:bookmarkEnd w:id="323"/>
      <w:bookmarkEnd w:id="324"/>
      <w:bookmarkEnd w:id="325"/>
      <w:bookmarkEnd w:id="326"/>
      <w:bookmarkEnd w:id="327"/>
      <w:bookmarkEnd w:id="328"/>
      <w:bookmarkEnd w:id="329"/>
      <w:bookmarkEnd w:id="330"/>
      <w:bookmarkEnd w:id="331"/>
      <w:bookmarkEnd w:id="332"/>
    </w:p>
    <w:p>
      <w:pPr>
        <w:pStyle w:val="41"/>
        <w:snapToGrid/>
        <w:jc w:val="left"/>
        <w:rPr>
          <w:rFonts w:ascii="宋体" w:hAnsi="宋体"/>
          <w:color w:val="auto"/>
        </w:rPr>
      </w:pPr>
      <w:r>
        <w:rPr>
          <w:rFonts w:hint="eastAsia" w:ascii="宋体" w:hAnsi="宋体"/>
          <w:color w:val="auto"/>
        </w:rPr>
        <w:t>本合同应按照中华人民共和国的法律进行解释。</w:t>
      </w:r>
    </w:p>
    <w:p>
      <w:pPr>
        <w:pStyle w:val="41"/>
        <w:snapToGrid/>
        <w:ind w:firstLine="422"/>
        <w:jc w:val="left"/>
        <w:rPr>
          <w:rFonts w:ascii="宋体" w:hAnsi="宋体"/>
          <w:b/>
          <w:color w:val="auto"/>
        </w:rPr>
      </w:pPr>
      <w:bookmarkStart w:id="333" w:name="_Toc487900374"/>
      <w:bookmarkStart w:id="334" w:name="_Toc137651791"/>
      <w:bookmarkStart w:id="335" w:name="_Toc83781397"/>
      <w:bookmarkStart w:id="336" w:name="_Toc85602150"/>
      <w:bookmarkStart w:id="337" w:name="_Toc267574130"/>
      <w:bookmarkStart w:id="338" w:name="_Toc106161460"/>
      <w:bookmarkStart w:id="339" w:name="_Toc270946197"/>
      <w:bookmarkStart w:id="340" w:name="_Toc181348161"/>
      <w:bookmarkStart w:id="341" w:name="_Toc106161062"/>
      <w:bookmarkStart w:id="342" w:name="_Toc107821889"/>
      <w:bookmarkStart w:id="343" w:name="_Toc181344350"/>
      <w:bookmarkStart w:id="344" w:name="_Toc179456559"/>
      <w:r>
        <w:rPr>
          <w:rFonts w:hint="eastAsia" w:ascii="宋体" w:hAnsi="宋体"/>
          <w:b/>
          <w:color w:val="auto"/>
        </w:rPr>
        <w:t>21.合同生效</w:t>
      </w:r>
      <w:bookmarkEnd w:id="333"/>
      <w:r>
        <w:rPr>
          <w:rFonts w:hint="eastAsia" w:ascii="宋体" w:hAnsi="宋体"/>
          <w:b/>
          <w:color w:val="auto"/>
        </w:rPr>
        <w:t>和其它</w:t>
      </w:r>
      <w:bookmarkEnd w:id="334"/>
      <w:bookmarkEnd w:id="335"/>
      <w:bookmarkEnd w:id="336"/>
      <w:bookmarkEnd w:id="337"/>
      <w:bookmarkEnd w:id="338"/>
      <w:bookmarkEnd w:id="339"/>
      <w:bookmarkEnd w:id="340"/>
      <w:bookmarkEnd w:id="341"/>
      <w:bookmarkEnd w:id="342"/>
      <w:bookmarkEnd w:id="343"/>
      <w:bookmarkEnd w:id="344"/>
    </w:p>
    <w:p>
      <w:pPr>
        <w:pStyle w:val="41"/>
        <w:snapToGrid/>
        <w:jc w:val="left"/>
        <w:rPr>
          <w:rFonts w:ascii="宋体" w:hAnsi="宋体"/>
          <w:color w:val="auto"/>
        </w:rPr>
      </w:pPr>
      <w:r>
        <w:rPr>
          <w:rFonts w:hint="eastAsia" w:ascii="宋体" w:hAnsi="宋体"/>
          <w:color w:val="auto"/>
        </w:rPr>
        <w:t>21.1招标合同内容的确定应以招标文件和投标文件为基础，不得违背其实质性内容。合同在双方签字盖章后开始生效。</w:t>
      </w:r>
    </w:p>
    <w:p>
      <w:pPr>
        <w:pStyle w:val="41"/>
        <w:snapToGrid/>
        <w:jc w:val="left"/>
        <w:rPr>
          <w:rFonts w:ascii="宋体" w:hAnsi="宋体"/>
          <w:color w:val="auto"/>
        </w:rPr>
      </w:pPr>
      <w:r>
        <w:rPr>
          <w:rFonts w:hint="eastAsia" w:ascii="宋体" w:hAnsi="宋体"/>
          <w:color w:val="auto"/>
        </w:rPr>
        <w:t>21.2在合同执行期间，卖方应按照买方工程进度要求提供服务。</w:t>
      </w:r>
    </w:p>
    <w:p>
      <w:pPr>
        <w:pStyle w:val="41"/>
        <w:snapToGrid/>
        <w:jc w:val="left"/>
        <w:rPr>
          <w:rFonts w:ascii="宋体" w:hAnsi="宋体"/>
          <w:color w:val="auto"/>
        </w:rPr>
      </w:pPr>
      <w:r>
        <w:rPr>
          <w:rFonts w:hint="eastAsia" w:ascii="宋体" w:hAnsi="宋体"/>
          <w:color w:val="auto"/>
        </w:rPr>
        <w:t>21.3在合同执行期间，卖方提供的服务若在市场上有降价或其他优惠活动时，买方有权享受同样的优惠，卖方不得拒绝。</w:t>
      </w:r>
    </w:p>
    <w:p>
      <w:pPr>
        <w:pStyle w:val="41"/>
        <w:snapToGrid/>
        <w:jc w:val="left"/>
        <w:rPr>
          <w:rFonts w:ascii="宋体" w:hAnsi="宋体"/>
          <w:color w:val="auto"/>
        </w:rPr>
      </w:pPr>
      <w:r>
        <w:rPr>
          <w:rFonts w:hint="eastAsia" w:ascii="宋体" w:hAnsi="宋体"/>
          <w:color w:val="auto"/>
        </w:rPr>
        <w:t>21.4买方有权对系统进行部分或全部优化，包括服务、数量、价格等方面的内容。</w:t>
      </w:r>
    </w:p>
    <w:p>
      <w:pPr>
        <w:pStyle w:val="41"/>
        <w:snapToGrid/>
        <w:jc w:val="left"/>
        <w:rPr>
          <w:rFonts w:ascii="宋体" w:hAnsi="宋体"/>
          <w:b/>
          <w:color w:val="auto"/>
          <w:sz w:val="36"/>
          <w:szCs w:val="36"/>
        </w:rPr>
      </w:pPr>
      <w:r>
        <w:rPr>
          <w:rFonts w:hint="eastAsia" w:ascii="宋体" w:hAnsi="宋体"/>
          <w:color w:val="auto"/>
        </w:rPr>
        <w:t>21.5合同一式份，具有同等法律效力。</w:t>
      </w:r>
    </w:p>
    <w:p>
      <w:pP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bookmarkStart w:id="345" w:name="_Toc181344351"/>
      <w:bookmarkStart w:id="346" w:name="_Toc181348162"/>
      <w:bookmarkStart w:id="347" w:name="_Toc270946198"/>
      <w:bookmarkStart w:id="348" w:name="_Toc179456560"/>
      <w:bookmarkStart w:id="349" w:name="_Toc267574131"/>
    </w:p>
    <w:p>
      <w:pPr>
        <w:jc w:val="center"/>
        <w:rPr>
          <w:rFonts w:ascii="宋体" w:hAnsi="宋体"/>
          <w:b/>
          <w:bCs/>
          <w:sz w:val="36"/>
          <w:szCs w:val="36"/>
        </w:rPr>
      </w:pPr>
      <w:r>
        <w:rPr>
          <w:rFonts w:hint="eastAsia" w:ascii="宋体" w:hAnsi="宋体"/>
          <w:b/>
          <w:sz w:val="36"/>
          <w:szCs w:val="36"/>
        </w:rPr>
        <w:t>第七部分 合同</w:t>
      </w:r>
      <w:bookmarkEnd w:id="345"/>
      <w:bookmarkEnd w:id="346"/>
      <w:bookmarkEnd w:id="347"/>
      <w:bookmarkEnd w:id="348"/>
      <w:bookmarkEnd w:id="349"/>
      <w:r>
        <w:rPr>
          <w:rFonts w:hint="eastAsia" w:ascii="宋体" w:hAnsi="宋体"/>
          <w:b/>
          <w:sz w:val="36"/>
          <w:szCs w:val="36"/>
        </w:rPr>
        <w:t>样本</w:t>
      </w:r>
    </w:p>
    <w:p>
      <w:pPr>
        <w:spacing w:line="360" w:lineRule="auto"/>
        <w:jc w:val="left"/>
        <w:rPr>
          <w:rFonts w:ascii="宋体" w:hAnsi="宋体"/>
          <w:szCs w:val="21"/>
        </w:rPr>
      </w:pPr>
      <w:r>
        <w:rPr>
          <w:rFonts w:hint="eastAsia" w:ascii="宋体" w:hAnsi="宋体"/>
          <w:szCs w:val="21"/>
        </w:rPr>
        <w:t>合同编号：</w:t>
      </w:r>
      <w:bookmarkStart w:id="350" w:name="_Hlt487972895"/>
      <w:bookmarkEnd w:id="350"/>
    </w:p>
    <w:p>
      <w:pPr>
        <w:spacing w:line="360" w:lineRule="auto"/>
        <w:jc w:val="left"/>
        <w:rPr>
          <w:rFonts w:ascii="宋体" w:hAnsi="宋体"/>
          <w:szCs w:val="21"/>
        </w:rPr>
      </w:pPr>
      <w:r>
        <w:rPr>
          <w:rFonts w:hint="eastAsia" w:ascii="宋体" w:hAnsi="宋体"/>
          <w:szCs w:val="21"/>
        </w:rPr>
        <w:t>甲方(采购方）：</w:t>
      </w:r>
    </w:p>
    <w:p>
      <w:pPr>
        <w:spacing w:line="360" w:lineRule="auto"/>
        <w:jc w:val="left"/>
        <w:rPr>
          <w:rFonts w:ascii="宋体" w:hAnsi="宋体"/>
          <w:szCs w:val="21"/>
        </w:rPr>
      </w:pPr>
      <w:r>
        <w:rPr>
          <w:rFonts w:hint="eastAsia" w:ascii="宋体" w:hAnsi="宋体"/>
          <w:szCs w:val="21"/>
        </w:rPr>
        <w:t>乙方（供应商）：</w:t>
      </w:r>
    </w:p>
    <w:p>
      <w:pPr>
        <w:spacing w:line="360" w:lineRule="auto"/>
        <w:ind w:firstLine="555"/>
        <w:jc w:val="left"/>
        <w:rPr>
          <w:rFonts w:ascii="宋体" w:hAnsi="宋体"/>
          <w:szCs w:val="21"/>
        </w:rPr>
      </w:pPr>
      <w:r>
        <w:rPr>
          <w:rFonts w:hint="eastAsia" w:ascii="宋体" w:hAnsi="宋体"/>
          <w:szCs w:val="21"/>
        </w:rPr>
        <w:t>甲、乙双方根据     年   月   日采购项目中标通知书和招投标文件，并经双方协商一致，在平等互利的基础上，达成以下合同条款：</w:t>
      </w:r>
    </w:p>
    <w:p>
      <w:pPr>
        <w:spacing w:line="360" w:lineRule="auto"/>
        <w:ind w:firstLine="555"/>
        <w:jc w:val="left"/>
        <w:rPr>
          <w:rFonts w:ascii="宋体" w:hAnsi="宋体"/>
          <w:szCs w:val="21"/>
        </w:rPr>
      </w:pPr>
      <w:r>
        <w:rPr>
          <w:rFonts w:hint="eastAsia" w:ascii="宋体" w:hAnsi="宋体"/>
          <w:szCs w:val="21"/>
        </w:rPr>
        <w:t>一、招标文件、投标文件、澄清文件及材料（如果有的话）、中标通知书、合同条款、补充协议（如果有的话）均为合同不可分割的部分。</w:t>
      </w:r>
    </w:p>
    <w:p>
      <w:pPr>
        <w:spacing w:line="360" w:lineRule="auto"/>
        <w:ind w:firstLine="555"/>
        <w:jc w:val="left"/>
        <w:rPr>
          <w:rFonts w:ascii="宋体" w:hAnsi="宋体"/>
          <w:szCs w:val="21"/>
        </w:rPr>
      </w:pPr>
      <w:r>
        <w:rPr>
          <w:rFonts w:hint="eastAsia" w:ascii="宋体" w:hAnsi="宋体"/>
          <w:szCs w:val="21"/>
        </w:rPr>
        <w:t>二、货物名称、数量、规格、型号、金额及交货期</w:t>
      </w:r>
    </w:p>
    <w:tbl>
      <w:tblPr>
        <w:tblStyle w:val="17"/>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409"/>
        <w:gridCol w:w="1418"/>
        <w:gridCol w:w="709"/>
        <w:gridCol w:w="715"/>
        <w:gridCol w:w="1269"/>
        <w:gridCol w:w="118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534" w:type="dxa"/>
            <w:vAlign w:val="center"/>
          </w:tcPr>
          <w:p>
            <w:pPr>
              <w:spacing w:line="560" w:lineRule="exact"/>
              <w:jc w:val="center"/>
              <w:rPr>
                <w:rFonts w:ascii="宋体" w:hAnsi="宋体"/>
                <w:szCs w:val="21"/>
              </w:rPr>
            </w:pPr>
            <w:r>
              <w:rPr>
                <w:rFonts w:hint="eastAsia" w:ascii="宋体" w:hAnsi="宋体"/>
                <w:szCs w:val="21"/>
              </w:rPr>
              <w:t>序号</w:t>
            </w:r>
          </w:p>
        </w:tc>
        <w:tc>
          <w:tcPr>
            <w:tcW w:w="2409" w:type="dxa"/>
            <w:vAlign w:val="center"/>
          </w:tcPr>
          <w:p>
            <w:pPr>
              <w:spacing w:line="560" w:lineRule="exact"/>
              <w:jc w:val="center"/>
              <w:rPr>
                <w:rFonts w:ascii="宋体" w:hAnsi="宋体"/>
                <w:szCs w:val="21"/>
              </w:rPr>
            </w:pPr>
            <w:r>
              <w:rPr>
                <w:rFonts w:hint="eastAsia" w:ascii="宋体" w:hAnsi="宋体"/>
                <w:szCs w:val="21"/>
              </w:rPr>
              <w:t>名称</w:t>
            </w:r>
          </w:p>
        </w:tc>
        <w:tc>
          <w:tcPr>
            <w:tcW w:w="1418" w:type="dxa"/>
            <w:vAlign w:val="center"/>
          </w:tcPr>
          <w:p>
            <w:pPr>
              <w:spacing w:line="560" w:lineRule="exact"/>
              <w:jc w:val="center"/>
              <w:rPr>
                <w:rFonts w:ascii="宋体" w:hAnsi="宋体"/>
                <w:szCs w:val="21"/>
              </w:rPr>
            </w:pPr>
            <w:r>
              <w:rPr>
                <w:rFonts w:hint="eastAsia" w:ascii="宋体" w:hAnsi="宋体"/>
                <w:szCs w:val="21"/>
              </w:rPr>
              <w:t>规格及型号</w:t>
            </w:r>
          </w:p>
        </w:tc>
        <w:tc>
          <w:tcPr>
            <w:tcW w:w="709" w:type="dxa"/>
            <w:vAlign w:val="center"/>
          </w:tcPr>
          <w:p>
            <w:pPr>
              <w:spacing w:line="560" w:lineRule="exact"/>
              <w:jc w:val="center"/>
              <w:rPr>
                <w:rFonts w:ascii="宋体" w:hAnsi="宋体"/>
                <w:szCs w:val="21"/>
              </w:rPr>
            </w:pPr>
            <w:r>
              <w:rPr>
                <w:rFonts w:hint="eastAsia" w:ascii="宋体" w:hAnsi="宋体"/>
                <w:szCs w:val="21"/>
              </w:rPr>
              <w:t>单位</w:t>
            </w:r>
          </w:p>
        </w:tc>
        <w:tc>
          <w:tcPr>
            <w:tcW w:w="715" w:type="dxa"/>
            <w:vAlign w:val="center"/>
          </w:tcPr>
          <w:p>
            <w:pPr>
              <w:spacing w:line="560" w:lineRule="exact"/>
              <w:jc w:val="center"/>
              <w:rPr>
                <w:rFonts w:ascii="宋体" w:hAnsi="宋体"/>
                <w:szCs w:val="21"/>
              </w:rPr>
            </w:pPr>
            <w:r>
              <w:rPr>
                <w:rFonts w:hint="eastAsia" w:ascii="宋体" w:hAnsi="宋体"/>
                <w:szCs w:val="21"/>
              </w:rPr>
              <w:t>数量</w:t>
            </w:r>
          </w:p>
        </w:tc>
        <w:tc>
          <w:tcPr>
            <w:tcW w:w="1269" w:type="dxa"/>
            <w:vAlign w:val="center"/>
          </w:tcPr>
          <w:p>
            <w:pPr>
              <w:spacing w:line="560" w:lineRule="exact"/>
              <w:jc w:val="center"/>
              <w:rPr>
                <w:rFonts w:ascii="宋体" w:hAnsi="宋体"/>
                <w:szCs w:val="21"/>
              </w:rPr>
            </w:pPr>
            <w:r>
              <w:rPr>
                <w:rFonts w:hint="eastAsia" w:ascii="宋体" w:hAnsi="宋体"/>
                <w:szCs w:val="21"/>
              </w:rPr>
              <w:t>单价</w:t>
            </w:r>
          </w:p>
        </w:tc>
        <w:tc>
          <w:tcPr>
            <w:tcW w:w="1180" w:type="dxa"/>
            <w:vAlign w:val="center"/>
          </w:tcPr>
          <w:p>
            <w:pPr>
              <w:spacing w:line="560" w:lineRule="exact"/>
              <w:jc w:val="center"/>
              <w:rPr>
                <w:rFonts w:ascii="宋体" w:hAnsi="宋体"/>
                <w:szCs w:val="21"/>
              </w:rPr>
            </w:pPr>
            <w:r>
              <w:rPr>
                <w:rFonts w:hint="eastAsia" w:ascii="宋体" w:hAnsi="宋体"/>
                <w:szCs w:val="21"/>
              </w:rPr>
              <w:t>总价</w:t>
            </w:r>
          </w:p>
        </w:tc>
        <w:tc>
          <w:tcPr>
            <w:tcW w:w="1130" w:type="dxa"/>
            <w:vAlign w:val="center"/>
          </w:tcPr>
          <w:p>
            <w:pPr>
              <w:spacing w:line="560" w:lineRule="exact"/>
              <w:jc w:val="center"/>
              <w:rPr>
                <w:rFonts w:ascii="宋体" w:hAnsi="宋体"/>
                <w:szCs w:val="21"/>
              </w:rPr>
            </w:pPr>
            <w:r>
              <w:rPr>
                <w:rFonts w:hint="eastAsia" w:ascii="宋体" w:hAnsi="宋体"/>
                <w:szCs w:val="21"/>
              </w:rPr>
              <w:t>交货期或工期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Align w:val="center"/>
          </w:tcPr>
          <w:p>
            <w:pPr>
              <w:spacing w:line="560" w:lineRule="exact"/>
              <w:jc w:val="center"/>
              <w:rPr>
                <w:rFonts w:ascii="宋体" w:hAnsi="宋体"/>
                <w:szCs w:val="21"/>
              </w:rPr>
            </w:pPr>
          </w:p>
        </w:tc>
        <w:tc>
          <w:tcPr>
            <w:tcW w:w="2409" w:type="dxa"/>
            <w:vAlign w:val="center"/>
          </w:tcPr>
          <w:p>
            <w:pPr>
              <w:spacing w:line="560" w:lineRule="exact"/>
              <w:jc w:val="center"/>
              <w:rPr>
                <w:rFonts w:ascii="宋体" w:hAnsi="宋体"/>
                <w:szCs w:val="21"/>
              </w:rPr>
            </w:pPr>
          </w:p>
        </w:tc>
        <w:tc>
          <w:tcPr>
            <w:tcW w:w="1418" w:type="dxa"/>
            <w:vAlign w:val="center"/>
          </w:tcPr>
          <w:p>
            <w:pPr>
              <w:spacing w:line="560" w:lineRule="exact"/>
              <w:jc w:val="center"/>
              <w:rPr>
                <w:rFonts w:ascii="宋体" w:hAnsi="宋体"/>
                <w:szCs w:val="21"/>
              </w:rPr>
            </w:pPr>
          </w:p>
        </w:tc>
        <w:tc>
          <w:tcPr>
            <w:tcW w:w="709" w:type="dxa"/>
            <w:vAlign w:val="center"/>
          </w:tcPr>
          <w:p>
            <w:pPr>
              <w:spacing w:line="560" w:lineRule="exact"/>
              <w:jc w:val="center"/>
              <w:rPr>
                <w:rFonts w:ascii="宋体" w:hAnsi="宋体"/>
                <w:szCs w:val="21"/>
              </w:rPr>
            </w:pPr>
          </w:p>
        </w:tc>
        <w:tc>
          <w:tcPr>
            <w:tcW w:w="715" w:type="dxa"/>
            <w:vAlign w:val="center"/>
          </w:tcPr>
          <w:p>
            <w:pPr>
              <w:spacing w:line="560" w:lineRule="exact"/>
              <w:jc w:val="center"/>
              <w:rPr>
                <w:rFonts w:ascii="宋体" w:hAnsi="宋体"/>
                <w:szCs w:val="21"/>
              </w:rPr>
            </w:pPr>
          </w:p>
        </w:tc>
        <w:tc>
          <w:tcPr>
            <w:tcW w:w="1269" w:type="dxa"/>
            <w:vAlign w:val="center"/>
          </w:tcPr>
          <w:p>
            <w:pPr>
              <w:spacing w:line="560" w:lineRule="exact"/>
              <w:jc w:val="center"/>
              <w:rPr>
                <w:rFonts w:ascii="宋体" w:hAnsi="宋体"/>
                <w:szCs w:val="21"/>
              </w:rPr>
            </w:pPr>
          </w:p>
        </w:tc>
        <w:tc>
          <w:tcPr>
            <w:tcW w:w="1180" w:type="dxa"/>
            <w:vAlign w:val="center"/>
          </w:tcPr>
          <w:p>
            <w:pPr>
              <w:spacing w:line="560" w:lineRule="exact"/>
              <w:jc w:val="center"/>
              <w:rPr>
                <w:rFonts w:ascii="宋体" w:hAnsi="宋体"/>
                <w:szCs w:val="21"/>
              </w:rPr>
            </w:pPr>
          </w:p>
        </w:tc>
        <w:tc>
          <w:tcPr>
            <w:tcW w:w="113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Align w:val="center"/>
          </w:tcPr>
          <w:p>
            <w:pPr>
              <w:spacing w:line="560" w:lineRule="exact"/>
              <w:jc w:val="center"/>
              <w:rPr>
                <w:rFonts w:ascii="宋体" w:hAnsi="宋体"/>
                <w:szCs w:val="21"/>
              </w:rPr>
            </w:pPr>
          </w:p>
        </w:tc>
        <w:tc>
          <w:tcPr>
            <w:tcW w:w="2409" w:type="dxa"/>
            <w:vAlign w:val="center"/>
          </w:tcPr>
          <w:p>
            <w:pPr>
              <w:spacing w:line="560" w:lineRule="exact"/>
              <w:jc w:val="center"/>
              <w:rPr>
                <w:rFonts w:ascii="宋体" w:hAnsi="宋体"/>
                <w:szCs w:val="21"/>
              </w:rPr>
            </w:pPr>
          </w:p>
        </w:tc>
        <w:tc>
          <w:tcPr>
            <w:tcW w:w="1418" w:type="dxa"/>
            <w:vAlign w:val="center"/>
          </w:tcPr>
          <w:p>
            <w:pPr>
              <w:spacing w:line="560" w:lineRule="exact"/>
              <w:jc w:val="center"/>
              <w:rPr>
                <w:rFonts w:ascii="宋体" w:hAnsi="宋体"/>
                <w:szCs w:val="21"/>
              </w:rPr>
            </w:pPr>
          </w:p>
        </w:tc>
        <w:tc>
          <w:tcPr>
            <w:tcW w:w="709" w:type="dxa"/>
            <w:vAlign w:val="center"/>
          </w:tcPr>
          <w:p>
            <w:pPr>
              <w:spacing w:line="560" w:lineRule="exact"/>
              <w:jc w:val="center"/>
              <w:rPr>
                <w:rFonts w:ascii="宋体" w:hAnsi="宋体"/>
                <w:szCs w:val="21"/>
              </w:rPr>
            </w:pPr>
          </w:p>
        </w:tc>
        <w:tc>
          <w:tcPr>
            <w:tcW w:w="715" w:type="dxa"/>
            <w:vAlign w:val="center"/>
          </w:tcPr>
          <w:p>
            <w:pPr>
              <w:spacing w:line="560" w:lineRule="exact"/>
              <w:jc w:val="center"/>
              <w:rPr>
                <w:rFonts w:ascii="宋体" w:hAnsi="宋体"/>
                <w:szCs w:val="21"/>
              </w:rPr>
            </w:pPr>
          </w:p>
        </w:tc>
        <w:tc>
          <w:tcPr>
            <w:tcW w:w="1269" w:type="dxa"/>
            <w:vAlign w:val="center"/>
          </w:tcPr>
          <w:p>
            <w:pPr>
              <w:spacing w:line="560" w:lineRule="exact"/>
              <w:jc w:val="center"/>
              <w:rPr>
                <w:rFonts w:ascii="宋体" w:hAnsi="宋体"/>
                <w:szCs w:val="21"/>
              </w:rPr>
            </w:pPr>
          </w:p>
        </w:tc>
        <w:tc>
          <w:tcPr>
            <w:tcW w:w="1180" w:type="dxa"/>
            <w:vAlign w:val="center"/>
          </w:tcPr>
          <w:p>
            <w:pPr>
              <w:spacing w:line="560" w:lineRule="exact"/>
              <w:jc w:val="center"/>
              <w:rPr>
                <w:rFonts w:ascii="宋体" w:hAnsi="宋体"/>
                <w:szCs w:val="21"/>
              </w:rPr>
            </w:pPr>
          </w:p>
        </w:tc>
        <w:tc>
          <w:tcPr>
            <w:tcW w:w="113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2943" w:type="dxa"/>
            <w:gridSpan w:val="2"/>
            <w:vAlign w:val="center"/>
          </w:tcPr>
          <w:p>
            <w:pPr>
              <w:spacing w:line="560" w:lineRule="exact"/>
              <w:jc w:val="center"/>
              <w:rPr>
                <w:rFonts w:ascii="宋体" w:hAnsi="宋体"/>
                <w:szCs w:val="21"/>
              </w:rPr>
            </w:pPr>
            <w:r>
              <w:rPr>
                <w:rFonts w:hint="eastAsia" w:ascii="宋体" w:hAnsi="宋体"/>
                <w:szCs w:val="21"/>
              </w:rPr>
              <w:t>合计</w:t>
            </w:r>
          </w:p>
        </w:tc>
        <w:tc>
          <w:tcPr>
            <w:tcW w:w="6421" w:type="dxa"/>
            <w:gridSpan w:val="6"/>
            <w:vAlign w:val="center"/>
          </w:tcPr>
          <w:p>
            <w:pPr>
              <w:spacing w:line="560" w:lineRule="exact"/>
              <w:rPr>
                <w:rFonts w:ascii="宋体" w:hAnsi="宋体"/>
                <w:szCs w:val="21"/>
              </w:rPr>
            </w:pPr>
            <w:r>
              <w:rPr>
                <w:rFonts w:hint="eastAsia" w:ascii="宋体" w:hAnsi="宋体"/>
                <w:szCs w:val="21"/>
              </w:rPr>
              <w:t>大写：                 小写：</w:t>
            </w:r>
          </w:p>
        </w:tc>
      </w:tr>
    </w:tbl>
    <w:p>
      <w:pPr>
        <w:spacing w:line="360" w:lineRule="auto"/>
        <w:ind w:firstLine="555"/>
        <w:jc w:val="left"/>
        <w:rPr>
          <w:rFonts w:ascii="宋体" w:hAnsi="宋体"/>
          <w:szCs w:val="21"/>
        </w:rPr>
      </w:pPr>
    </w:p>
    <w:p>
      <w:pPr>
        <w:spacing w:line="360" w:lineRule="auto"/>
        <w:ind w:firstLine="555"/>
        <w:jc w:val="left"/>
        <w:rPr>
          <w:rFonts w:ascii="宋体" w:hAnsi="宋体"/>
          <w:szCs w:val="21"/>
        </w:rPr>
      </w:pPr>
      <w:r>
        <w:rPr>
          <w:rFonts w:hint="eastAsia" w:ascii="宋体" w:hAnsi="宋体"/>
          <w:szCs w:val="21"/>
        </w:rPr>
        <w:t>三、设备质量要求及乙方对质量负责的条件和期限。</w:t>
      </w:r>
    </w:p>
    <w:p>
      <w:pPr>
        <w:spacing w:line="360" w:lineRule="auto"/>
        <w:ind w:firstLine="555"/>
        <w:jc w:val="left"/>
        <w:rPr>
          <w:rFonts w:ascii="宋体" w:hAnsi="宋体"/>
          <w:szCs w:val="21"/>
        </w:rPr>
      </w:pPr>
      <w:r>
        <w:rPr>
          <w:rFonts w:hint="eastAsia" w:ascii="宋体" w:hAnsi="宋体"/>
          <w:szCs w:val="21"/>
        </w:rPr>
        <w:t>1.乙方提供的货物必须是全新的且保证不是库存或积压品（包括零部件），符合国家、部委或地方相关标准以及该产品的出厂标准。</w:t>
      </w:r>
    </w:p>
    <w:p>
      <w:pPr>
        <w:spacing w:line="360" w:lineRule="auto"/>
        <w:ind w:firstLine="555"/>
        <w:jc w:val="left"/>
        <w:rPr>
          <w:rFonts w:ascii="宋体" w:hAnsi="宋体"/>
          <w:szCs w:val="21"/>
        </w:rPr>
      </w:pPr>
      <w:r>
        <w:rPr>
          <w:rFonts w:hint="eastAsia" w:ascii="宋体" w:hAnsi="宋体"/>
          <w:szCs w:val="21"/>
        </w:rPr>
        <w:t>2.乙方应在产品使用期限内，承担所提供的货物因自身质量原因产生的责任。</w:t>
      </w:r>
    </w:p>
    <w:p>
      <w:pPr>
        <w:spacing w:line="360" w:lineRule="auto"/>
        <w:ind w:firstLine="555"/>
        <w:jc w:val="left"/>
        <w:rPr>
          <w:rFonts w:ascii="宋体" w:hAnsi="宋体"/>
          <w:szCs w:val="21"/>
        </w:rPr>
      </w:pPr>
      <w:r>
        <w:rPr>
          <w:rFonts w:hint="eastAsia" w:ascii="宋体" w:hAnsi="宋体"/>
          <w:szCs w:val="21"/>
        </w:rPr>
        <w:t>四、交货时间、地点、方式：     年   月   日前，乙方负责将货物按甲方规定的地点交货、安装、调试完毕，并具备验收条件。</w:t>
      </w:r>
    </w:p>
    <w:p>
      <w:pPr>
        <w:spacing w:line="360" w:lineRule="auto"/>
        <w:ind w:firstLine="555"/>
        <w:jc w:val="left"/>
        <w:rPr>
          <w:rFonts w:ascii="宋体" w:hAnsi="宋体"/>
          <w:szCs w:val="21"/>
        </w:rPr>
      </w:pPr>
      <w:r>
        <w:rPr>
          <w:rFonts w:hint="eastAsia" w:ascii="宋体" w:hAnsi="宋体"/>
          <w:szCs w:val="21"/>
        </w:rPr>
        <w:t>五、货物标志、包装、运输：按招标文件办理。乙方将货物直接运至规定的地点，运费自理。</w:t>
      </w:r>
    </w:p>
    <w:p>
      <w:pPr>
        <w:spacing w:line="360" w:lineRule="auto"/>
        <w:ind w:firstLine="555"/>
        <w:jc w:val="left"/>
        <w:rPr>
          <w:rFonts w:ascii="宋体" w:hAnsi="宋体"/>
          <w:szCs w:val="21"/>
        </w:rPr>
      </w:pPr>
      <w:r>
        <w:rPr>
          <w:rFonts w:hint="eastAsia" w:ascii="宋体" w:hAnsi="宋体"/>
          <w:szCs w:val="21"/>
        </w:rPr>
        <w:t>六、技术资料及技术服务：乙方在交货时应执行招标文件中有关技术资料、技术服务的规定，向甲方交付技术资料并进行技术培训。</w:t>
      </w:r>
    </w:p>
    <w:p>
      <w:pPr>
        <w:spacing w:line="360" w:lineRule="auto"/>
        <w:ind w:firstLine="420" w:firstLineChars="200"/>
        <w:jc w:val="left"/>
        <w:rPr>
          <w:rFonts w:ascii="宋体" w:hAnsi="宋体"/>
          <w:szCs w:val="21"/>
        </w:rPr>
      </w:pPr>
      <w:r>
        <w:rPr>
          <w:rFonts w:hint="eastAsia" w:ascii="宋体" w:hAnsi="宋体"/>
          <w:szCs w:val="21"/>
        </w:rPr>
        <w:t xml:space="preserve"> 七、货物验运：验收标准按招标文件规定执行；甲方有权对乙方所交货物抽样检查。</w:t>
      </w:r>
    </w:p>
    <w:p>
      <w:pPr>
        <w:spacing w:line="360" w:lineRule="auto"/>
        <w:ind w:firstLine="420" w:firstLineChars="200"/>
        <w:jc w:val="left"/>
        <w:rPr>
          <w:rFonts w:ascii="宋体" w:hAnsi="宋体"/>
          <w:szCs w:val="21"/>
        </w:rPr>
      </w:pPr>
      <w:r>
        <w:rPr>
          <w:rFonts w:hint="eastAsia" w:ascii="宋体" w:hAnsi="宋体"/>
          <w:szCs w:val="21"/>
        </w:rPr>
        <w:t xml:space="preserve"> 八、售后服务：按招标文件及投标文件相应条款执行。</w:t>
      </w:r>
    </w:p>
    <w:p>
      <w:pPr>
        <w:spacing w:line="360" w:lineRule="auto"/>
        <w:ind w:firstLine="420" w:firstLineChars="200"/>
        <w:rPr>
          <w:rFonts w:ascii="宋体" w:hAnsi="宋体"/>
          <w:b/>
          <w:szCs w:val="21"/>
        </w:rPr>
      </w:pPr>
      <w:r>
        <w:rPr>
          <w:rFonts w:hint="eastAsia" w:ascii="宋体" w:hAnsi="宋体"/>
          <w:szCs w:val="21"/>
        </w:rPr>
        <w:t xml:space="preserve"> 九、结算方式：</w:t>
      </w:r>
    </w:p>
    <w:p>
      <w:pPr>
        <w:pStyle w:val="41"/>
        <w:spacing w:line="500" w:lineRule="exact"/>
        <w:jc w:val="left"/>
        <w:rPr>
          <w:rFonts w:ascii="宋体" w:hAnsi="宋体"/>
          <w:color w:val="auto"/>
        </w:rPr>
      </w:pPr>
      <w:r>
        <w:rPr>
          <w:rFonts w:hint="eastAsia" w:ascii="宋体" w:hAnsi="宋体"/>
          <w:color w:val="auto"/>
        </w:rPr>
        <w:t xml:space="preserve"> 十、法律责任</w:t>
      </w:r>
    </w:p>
    <w:p>
      <w:pPr>
        <w:adjustRightInd w:val="0"/>
        <w:snapToGrid w:val="0"/>
        <w:spacing w:line="500" w:lineRule="exact"/>
        <w:ind w:firstLine="555"/>
        <w:jc w:val="left"/>
        <w:rPr>
          <w:rFonts w:ascii="宋体" w:hAnsi="宋体"/>
          <w:szCs w:val="21"/>
        </w:rPr>
      </w:pPr>
      <w:r>
        <w:rPr>
          <w:rFonts w:hint="eastAsia" w:ascii="宋体" w:hAnsi="宋体"/>
          <w:szCs w:val="21"/>
        </w:rPr>
        <w:t>1. 乙方所交的货物品种、品牌、型号、规格、质量不符合招、投标文件及本合同规定，甲方有权拒收，乙方应在本合同规定的交货期内负责更换并承担因更换而支付的费用。因更换而造成的逾期交货，则按逾期交货处理。</w:t>
      </w:r>
    </w:p>
    <w:p>
      <w:pPr>
        <w:adjustRightInd w:val="0"/>
        <w:snapToGrid w:val="0"/>
        <w:spacing w:line="500" w:lineRule="exact"/>
        <w:ind w:firstLine="555"/>
        <w:jc w:val="left"/>
        <w:rPr>
          <w:rFonts w:ascii="宋体" w:hAnsi="宋体"/>
          <w:szCs w:val="21"/>
        </w:rPr>
      </w:pPr>
      <w:r>
        <w:rPr>
          <w:rFonts w:hint="eastAsia" w:ascii="宋体" w:hAnsi="宋体"/>
          <w:szCs w:val="21"/>
        </w:rPr>
        <w:t>2.乙方逾期交付货物，应向甲方每周支付逾期交货部分货款总值0.5%的违约金；在合同规定的交货期满15日仍未全部交货，按不能交货处理。仅支付已验收货物的货款，乙方应承担由此发生的全部费用。</w:t>
      </w:r>
    </w:p>
    <w:p>
      <w:pPr>
        <w:adjustRightInd w:val="0"/>
        <w:snapToGrid w:val="0"/>
        <w:spacing w:line="500" w:lineRule="exact"/>
        <w:ind w:firstLine="555"/>
        <w:jc w:val="left"/>
        <w:rPr>
          <w:rFonts w:ascii="宋体" w:hAnsi="宋体"/>
          <w:szCs w:val="21"/>
        </w:rPr>
      </w:pPr>
      <w:r>
        <w:rPr>
          <w:rFonts w:hint="eastAsia" w:ascii="宋体" w:hAnsi="宋体"/>
          <w:szCs w:val="21"/>
        </w:rPr>
        <w:t>3.乙方在本合同规定的交货期内不能交货，应向甲方支付全部合同金额5%的违约金，甲方有权终止合同。</w:t>
      </w:r>
    </w:p>
    <w:p>
      <w:pPr>
        <w:adjustRightInd w:val="0"/>
        <w:snapToGrid w:val="0"/>
        <w:spacing w:line="500" w:lineRule="exact"/>
        <w:ind w:firstLine="555"/>
        <w:jc w:val="left"/>
        <w:rPr>
          <w:rFonts w:ascii="宋体" w:hAnsi="宋体"/>
          <w:szCs w:val="21"/>
        </w:rPr>
      </w:pPr>
      <w:r>
        <w:rPr>
          <w:rFonts w:hint="eastAsia" w:ascii="宋体" w:hAnsi="宋体"/>
          <w:szCs w:val="21"/>
        </w:rPr>
        <w:t>4.甲方无正当理由拒收设备，应向乙方支付无正当理由拒收设备金额5%的违约金。</w:t>
      </w:r>
    </w:p>
    <w:p>
      <w:pPr>
        <w:adjustRightInd w:val="0"/>
        <w:snapToGrid w:val="0"/>
        <w:spacing w:line="500" w:lineRule="exact"/>
        <w:ind w:firstLine="555"/>
        <w:jc w:val="left"/>
        <w:rPr>
          <w:rFonts w:ascii="宋体" w:hAnsi="宋体"/>
          <w:szCs w:val="21"/>
        </w:rPr>
      </w:pPr>
      <w:r>
        <w:rPr>
          <w:rFonts w:hint="eastAsia" w:ascii="宋体" w:hAnsi="宋体"/>
          <w:szCs w:val="21"/>
        </w:rPr>
        <w:t>5.因乙方原因造成逾期付款，甲方不承担责任。</w:t>
      </w:r>
    </w:p>
    <w:p>
      <w:pPr>
        <w:adjustRightInd w:val="0"/>
        <w:snapToGrid w:val="0"/>
        <w:spacing w:line="500" w:lineRule="exact"/>
        <w:ind w:firstLine="555"/>
        <w:jc w:val="left"/>
        <w:rPr>
          <w:rFonts w:ascii="宋体" w:hAnsi="宋体"/>
          <w:szCs w:val="21"/>
        </w:rPr>
      </w:pPr>
      <w:r>
        <w:rPr>
          <w:rFonts w:hint="eastAsia" w:ascii="宋体" w:hAnsi="宋体"/>
          <w:szCs w:val="21"/>
        </w:rPr>
        <w:t>十一、质量鉴定：因质量问题发生争议，由许昌市技术监督局或其指定的机构进行质量鉴定，该鉴定结论是最终结论的，甲乙双方均应当接受鉴定结论。</w:t>
      </w:r>
    </w:p>
    <w:p>
      <w:pPr>
        <w:adjustRightInd w:val="0"/>
        <w:snapToGrid w:val="0"/>
        <w:spacing w:line="500" w:lineRule="exact"/>
        <w:ind w:firstLine="555"/>
        <w:jc w:val="left"/>
        <w:rPr>
          <w:rFonts w:ascii="宋体" w:hAnsi="宋体"/>
          <w:szCs w:val="21"/>
        </w:rPr>
      </w:pPr>
      <w:r>
        <w:rPr>
          <w:rFonts w:hint="eastAsia" w:ascii="宋体" w:hAnsi="宋体"/>
          <w:szCs w:val="21"/>
        </w:rPr>
        <w:t>十二、合同生效及其它：本合同经双方法定代表人或委托代理人签字并加盖公章后生效。本合同一式份。</w:t>
      </w:r>
    </w:p>
    <w:p>
      <w:pPr>
        <w:adjustRightInd w:val="0"/>
        <w:snapToGrid w:val="0"/>
        <w:spacing w:line="500" w:lineRule="exact"/>
        <w:ind w:firstLine="555"/>
        <w:jc w:val="left"/>
        <w:rPr>
          <w:rFonts w:ascii="宋体" w:hAnsi="宋体"/>
          <w:szCs w:val="21"/>
        </w:rPr>
      </w:pPr>
      <w:r>
        <w:rPr>
          <w:rFonts w:hint="eastAsia" w:ascii="宋体" w:hAnsi="宋体"/>
          <w:szCs w:val="21"/>
        </w:rPr>
        <w:t>甲方：                                乙方：</w:t>
      </w:r>
    </w:p>
    <w:p>
      <w:pPr>
        <w:adjustRightInd w:val="0"/>
        <w:snapToGrid w:val="0"/>
        <w:spacing w:line="500" w:lineRule="exact"/>
        <w:ind w:firstLine="555"/>
        <w:jc w:val="left"/>
        <w:rPr>
          <w:rFonts w:ascii="宋体" w:hAnsi="宋体"/>
          <w:szCs w:val="21"/>
        </w:rPr>
      </w:pPr>
      <w:r>
        <w:rPr>
          <w:rFonts w:hint="eastAsia" w:ascii="宋体" w:hAnsi="宋体"/>
          <w:szCs w:val="21"/>
        </w:rPr>
        <w:t>地址：                                地址：</w:t>
      </w:r>
    </w:p>
    <w:p>
      <w:pPr>
        <w:adjustRightInd w:val="0"/>
        <w:snapToGrid w:val="0"/>
        <w:spacing w:line="500" w:lineRule="exact"/>
        <w:ind w:firstLine="555"/>
        <w:jc w:val="left"/>
        <w:rPr>
          <w:rFonts w:ascii="宋体" w:hAnsi="宋体"/>
          <w:szCs w:val="21"/>
        </w:rPr>
      </w:pPr>
      <w:r>
        <w:rPr>
          <w:rFonts w:hint="eastAsia" w:ascii="宋体" w:hAnsi="宋体"/>
          <w:szCs w:val="21"/>
        </w:rPr>
        <w:t>法定代表人：                          法定代表人：</w:t>
      </w:r>
    </w:p>
    <w:p>
      <w:pPr>
        <w:adjustRightInd w:val="0"/>
        <w:snapToGrid w:val="0"/>
        <w:spacing w:line="500" w:lineRule="exact"/>
        <w:ind w:firstLine="555"/>
        <w:jc w:val="left"/>
        <w:rPr>
          <w:rFonts w:ascii="宋体" w:hAnsi="宋体"/>
          <w:szCs w:val="21"/>
        </w:rPr>
      </w:pPr>
      <w:r>
        <w:rPr>
          <w:rFonts w:hint="eastAsia" w:ascii="宋体" w:hAnsi="宋体"/>
          <w:szCs w:val="21"/>
        </w:rPr>
        <w:t>委托代理人：                          委托代理人：</w:t>
      </w:r>
    </w:p>
    <w:p>
      <w:pPr>
        <w:adjustRightInd w:val="0"/>
        <w:snapToGrid w:val="0"/>
        <w:spacing w:line="500" w:lineRule="exact"/>
        <w:ind w:firstLine="555"/>
        <w:jc w:val="left"/>
        <w:rPr>
          <w:rFonts w:ascii="宋体" w:hAnsi="宋体"/>
          <w:szCs w:val="21"/>
        </w:rPr>
      </w:pPr>
      <w:r>
        <w:rPr>
          <w:rFonts w:hint="eastAsia" w:ascii="宋体" w:hAnsi="宋体"/>
          <w:szCs w:val="21"/>
        </w:rPr>
        <w:t>电话：                                电话：</w:t>
      </w:r>
    </w:p>
    <w:p>
      <w:pPr>
        <w:adjustRightInd w:val="0"/>
        <w:snapToGrid w:val="0"/>
        <w:spacing w:line="500" w:lineRule="exact"/>
        <w:ind w:firstLine="555"/>
        <w:jc w:val="left"/>
        <w:rPr>
          <w:rFonts w:ascii="宋体" w:hAnsi="宋体"/>
          <w:szCs w:val="21"/>
        </w:rPr>
      </w:pPr>
      <w:r>
        <w:rPr>
          <w:rFonts w:hint="eastAsia" w:ascii="宋体" w:hAnsi="宋体"/>
          <w:szCs w:val="21"/>
        </w:rPr>
        <w:t>开户银行：                            开户银行：</w:t>
      </w:r>
    </w:p>
    <w:p>
      <w:pPr>
        <w:adjustRightInd w:val="0"/>
        <w:snapToGrid w:val="0"/>
        <w:spacing w:line="500" w:lineRule="exact"/>
        <w:ind w:firstLine="555"/>
        <w:jc w:val="left"/>
        <w:rPr>
          <w:rFonts w:ascii="宋体" w:hAnsi="宋体"/>
          <w:szCs w:val="21"/>
        </w:rPr>
      </w:pPr>
      <w:r>
        <w:rPr>
          <w:rFonts w:hint="eastAsia" w:ascii="宋体" w:hAnsi="宋体"/>
          <w:szCs w:val="21"/>
        </w:rPr>
        <w:t>账号：                                账号：</w:t>
      </w:r>
    </w:p>
    <w:p>
      <w:pPr>
        <w:adjustRightInd w:val="0"/>
        <w:snapToGrid w:val="0"/>
        <w:spacing w:line="500" w:lineRule="exact"/>
        <w:ind w:firstLine="555"/>
        <w:jc w:val="left"/>
        <w:rPr>
          <w:rFonts w:ascii="宋体" w:hAnsi="宋体"/>
          <w:szCs w:val="21"/>
        </w:rPr>
      </w:pPr>
      <w:r>
        <w:rPr>
          <w:rFonts w:hint="eastAsia" w:ascii="宋体" w:hAnsi="宋体"/>
          <w:szCs w:val="21"/>
        </w:rPr>
        <w:t>签定时间：</w:t>
      </w: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第八部分 附件</w:t>
      </w:r>
    </w:p>
    <w:p>
      <w:pPr>
        <w:jc w:val="center"/>
        <w:rPr>
          <w:rFonts w:ascii="宋体" w:hAnsi="宋体"/>
          <w:b/>
          <w:sz w:val="36"/>
          <w:szCs w:val="36"/>
        </w:rPr>
      </w:pPr>
    </w:p>
    <w:p>
      <w:pPr>
        <w:spacing w:line="360" w:lineRule="auto"/>
        <w:ind w:firstLine="555"/>
        <w:jc w:val="left"/>
        <w:rPr>
          <w:rFonts w:ascii="新宋体" w:hAnsi="新宋体" w:eastAsia="新宋体"/>
          <w:szCs w:val="21"/>
        </w:rPr>
      </w:pPr>
      <w:r>
        <w:rPr>
          <w:rFonts w:hint="eastAsia" w:ascii="新宋体" w:hAnsi="新宋体" w:eastAsia="新宋体"/>
          <w:szCs w:val="21"/>
        </w:rPr>
        <w:t>附件1.投标书</w:t>
      </w:r>
    </w:p>
    <w:p>
      <w:pPr>
        <w:spacing w:line="360" w:lineRule="auto"/>
        <w:ind w:firstLine="555"/>
        <w:jc w:val="left"/>
        <w:rPr>
          <w:rFonts w:ascii="新宋体" w:hAnsi="新宋体" w:eastAsia="新宋体"/>
          <w:szCs w:val="21"/>
        </w:rPr>
      </w:pPr>
      <w:r>
        <w:rPr>
          <w:rFonts w:hint="eastAsia" w:ascii="新宋体" w:hAnsi="新宋体" w:eastAsia="新宋体"/>
          <w:szCs w:val="21"/>
        </w:rPr>
        <w:t>附件2.开标一览表</w:t>
      </w:r>
    </w:p>
    <w:p>
      <w:pPr>
        <w:spacing w:line="360" w:lineRule="auto"/>
        <w:ind w:firstLine="555"/>
        <w:jc w:val="left"/>
        <w:rPr>
          <w:rFonts w:ascii="新宋体" w:hAnsi="新宋体" w:eastAsia="新宋体"/>
          <w:szCs w:val="21"/>
        </w:rPr>
      </w:pPr>
      <w:r>
        <w:rPr>
          <w:rFonts w:hint="eastAsia" w:ascii="新宋体" w:hAnsi="新宋体" w:eastAsia="新宋体"/>
          <w:szCs w:val="21"/>
        </w:rPr>
        <w:t>附件3.投标分项报价表</w:t>
      </w:r>
    </w:p>
    <w:p>
      <w:pPr>
        <w:spacing w:line="360" w:lineRule="auto"/>
        <w:ind w:firstLine="555"/>
        <w:jc w:val="left"/>
        <w:rPr>
          <w:rFonts w:ascii="新宋体" w:hAnsi="新宋体" w:eastAsia="新宋体"/>
          <w:szCs w:val="21"/>
        </w:rPr>
      </w:pPr>
      <w:r>
        <w:rPr>
          <w:rFonts w:hint="eastAsia" w:ascii="新宋体" w:hAnsi="新宋体" w:eastAsia="新宋体"/>
          <w:szCs w:val="21"/>
        </w:rPr>
        <w:t>附件4.投标保证金</w:t>
      </w:r>
    </w:p>
    <w:p>
      <w:pPr>
        <w:spacing w:line="360" w:lineRule="auto"/>
        <w:ind w:firstLine="555"/>
        <w:jc w:val="left"/>
        <w:rPr>
          <w:rFonts w:ascii="新宋体" w:hAnsi="新宋体" w:eastAsia="新宋体"/>
          <w:szCs w:val="21"/>
        </w:rPr>
      </w:pPr>
      <w:r>
        <w:rPr>
          <w:rFonts w:hint="eastAsia" w:ascii="新宋体" w:hAnsi="新宋体" w:eastAsia="新宋体"/>
          <w:szCs w:val="21"/>
        </w:rPr>
        <w:t>附件5.服务承诺及技术方案</w:t>
      </w:r>
    </w:p>
    <w:p>
      <w:pPr>
        <w:spacing w:line="360" w:lineRule="auto"/>
        <w:ind w:firstLine="555"/>
        <w:jc w:val="left"/>
        <w:rPr>
          <w:rFonts w:ascii="新宋体" w:hAnsi="新宋体" w:eastAsia="新宋体"/>
          <w:szCs w:val="21"/>
        </w:rPr>
      </w:pPr>
      <w:r>
        <w:rPr>
          <w:rFonts w:hint="eastAsia" w:ascii="新宋体" w:hAnsi="新宋体" w:eastAsia="新宋体"/>
          <w:szCs w:val="21"/>
        </w:rPr>
        <w:t>附件6.中标服务费承诺书</w:t>
      </w:r>
    </w:p>
    <w:p>
      <w:pPr>
        <w:spacing w:line="360" w:lineRule="auto"/>
        <w:ind w:firstLine="555"/>
        <w:jc w:val="left"/>
        <w:rPr>
          <w:rFonts w:ascii="新宋体" w:hAnsi="新宋体" w:eastAsia="新宋体"/>
          <w:szCs w:val="21"/>
        </w:rPr>
      </w:pPr>
      <w:r>
        <w:rPr>
          <w:rFonts w:hint="eastAsia" w:ascii="新宋体" w:hAnsi="新宋体" w:eastAsia="新宋体"/>
          <w:szCs w:val="21"/>
        </w:rPr>
        <w:t>附件7.反商业贿赂承诺书</w:t>
      </w:r>
    </w:p>
    <w:p>
      <w:pPr>
        <w:spacing w:line="360" w:lineRule="auto"/>
        <w:ind w:firstLine="555"/>
        <w:jc w:val="left"/>
        <w:rPr>
          <w:rFonts w:ascii="新宋体" w:hAnsi="新宋体" w:eastAsia="新宋体"/>
          <w:szCs w:val="21"/>
        </w:rPr>
      </w:pPr>
      <w:r>
        <w:rPr>
          <w:rFonts w:hint="eastAsia" w:ascii="新宋体" w:hAnsi="新宋体" w:eastAsia="新宋体"/>
          <w:szCs w:val="21"/>
        </w:rPr>
        <w:t>附件8.法定代表人授权书</w:t>
      </w:r>
    </w:p>
    <w:p>
      <w:pPr>
        <w:spacing w:line="360" w:lineRule="auto"/>
        <w:ind w:firstLine="555"/>
        <w:jc w:val="left"/>
        <w:rPr>
          <w:rFonts w:ascii="新宋体" w:hAnsi="新宋体" w:eastAsia="新宋体"/>
          <w:szCs w:val="21"/>
        </w:rPr>
      </w:pPr>
      <w:r>
        <w:rPr>
          <w:rFonts w:hint="eastAsia" w:ascii="新宋体" w:hAnsi="新宋体" w:eastAsia="新宋体"/>
          <w:szCs w:val="21"/>
        </w:rPr>
        <w:t>附件9.中小型企业声明函（如有证明材料则需填写，如无证明材料可删除此附件）</w:t>
      </w:r>
    </w:p>
    <w:p>
      <w:pPr>
        <w:spacing w:line="360" w:lineRule="auto"/>
        <w:ind w:firstLine="555"/>
        <w:jc w:val="left"/>
        <w:rPr>
          <w:rFonts w:ascii="新宋体" w:hAnsi="新宋体" w:eastAsia="新宋体"/>
          <w:szCs w:val="21"/>
        </w:rPr>
      </w:pPr>
      <w:r>
        <w:rPr>
          <w:rFonts w:hint="eastAsia" w:ascii="新宋体" w:hAnsi="新宋体" w:eastAsia="新宋体"/>
          <w:szCs w:val="21"/>
        </w:rPr>
        <w:t>附件10.供应商资格声明</w:t>
      </w:r>
    </w:p>
    <w:p>
      <w:pPr>
        <w:spacing w:line="360" w:lineRule="auto"/>
        <w:ind w:firstLine="555"/>
        <w:jc w:val="left"/>
        <w:rPr>
          <w:rFonts w:ascii="新宋体" w:hAnsi="新宋体" w:eastAsia="新宋体"/>
          <w:szCs w:val="21"/>
        </w:rPr>
      </w:pPr>
      <w:r>
        <w:rPr>
          <w:rFonts w:hint="eastAsia" w:ascii="新宋体" w:hAnsi="新宋体" w:eastAsia="新宋体"/>
          <w:szCs w:val="21"/>
        </w:rPr>
        <w:t>附件11.资格证明文件</w:t>
      </w:r>
    </w:p>
    <w:p>
      <w:pPr>
        <w:spacing w:line="360" w:lineRule="auto"/>
        <w:ind w:firstLine="555"/>
        <w:jc w:val="left"/>
        <w:rPr>
          <w:rFonts w:ascii="新宋体" w:hAnsi="新宋体" w:eastAsia="新宋体"/>
          <w:szCs w:val="21"/>
        </w:rPr>
      </w:pPr>
      <w:r>
        <w:rPr>
          <w:rFonts w:hint="eastAsia" w:ascii="新宋体" w:hAnsi="新宋体" w:eastAsia="新宋体"/>
          <w:szCs w:val="21"/>
        </w:rPr>
        <w:t>附件12.偏离表</w:t>
      </w:r>
    </w:p>
    <w:p>
      <w:pPr>
        <w:spacing w:line="360" w:lineRule="auto"/>
        <w:ind w:firstLine="555"/>
        <w:jc w:val="left"/>
        <w:rPr>
          <w:rFonts w:ascii="新宋体" w:hAnsi="新宋体" w:eastAsia="新宋体"/>
          <w:szCs w:val="21"/>
        </w:rPr>
      </w:pPr>
      <w:r>
        <w:rPr>
          <w:rFonts w:hint="eastAsia" w:ascii="新宋体" w:hAnsi="新宋体" w:eastAsia="新宋体"/>
          <w:szCs w:val="21"/>
        </w:rPr>
        <w:t>附件13.供应商证明文件原件明细表</w:t>
      </w:r>
    </w:p>
    <w:p>
      <w:pPr>
        <w:spacing w:line="360" w:lineRule="auto"/>
        <w:ind w:firstLine="555"/>
        <w:jc w:val="left"/>
        <w:rPr>
          <w:rFonts w:ascii="新宋体" w:hAnsi="新宋体" w:eastAsia="新宋体"/>
          <w:szCs w:val="21"/>
        </w:rPr>
      </w:pPr>
    </w:p>
    <w:p>
      <w:pPr>
        <w:spacing w:line="360" w:lineRule="auto"/>
        <w:ind w:firstLine="555"/>
        <w:jc w:val="left"/>
        <w:rPr>
          <w:rFonts w:ascii="新宋体" w:hAnsi="新宋体" w:eastAsia="新宋体"/>
          <w:szCs w:val="21"/>
        </w:rPr>
      </w:pPr>
      <w:r>
        <w:rPr>
          <w:rFonts w:hint="eastAsia" w:ascii="新宋体" w:hAnsi="新宋体" w:eastAsia="新宋体"/>
          <w:szCs w:val="21"/>
        </w:rPr>
        <w:t>说明：</w:t>
      </w:r>
    </w:p>
    <w:p>
      <w:pPr>
        <w:spacing w:line="360" w:lineRule="auto"/>
        <w:ind w:firstLine="555"/>
        <w:jc w:val="left"/>
        <w:rPr>
          <w:rFonts w:ascii="新宋体" w:hAnsi="新宋体" w:eastAsia="新宋体"/>
          <w:szCs w:val="21"/>
        </w:rPr>
      </w:pPr>
      <w:r>
        <w:rPr>
          <w:rFonts w:hint="eastAsia" w:ascii="新宋体" w:hAnsi="新宋体" w:eastAsia="新宋体"/>
          <w:szCs w:val="21"/>
        </w:rPr>
        <w:t>1.投标文件编制过程中应按本章提供的格式填报。</w:t>
      </w:r>
    </w:p>
    <w:p>
      <w:pPr>
        <w:spacing w:line="360" w:lineRule="auto"/>
        <w:ind w:firstLine="555"/>
        <w:jc w:val="left"/>
        <w:rPr>
          <w:rFonts w:ascii="新宋体" w:hAnsi="新宋体" w:eastAsia="新宋体"/>
          <w:szCs w:val="21"/>
        </w:rPr>
      </w:pPr>
      <w:r>
        <w:rPr>
          <w:rFonts w:hint="eastAsia" w:ascii="新宋体" w:hAnsi="新宋体" w:eastAsia="新宋体"/>
          <w:szCs w:val="21"/>
        </w:rPr>
        <w:t>2.本章提供的格式内容如在投标范围内不涉及，也应在表中注明。</w:t>
      </w:r>
    </w:p>
    <w:p>
      <w:pPr>
        <w:spacing w:line="360" w:lineRule="auto"/>
        <w:ind w:firstLine="555"/>
        <w:jc w:val="left"/>
        <w:rPr>
          <w:rFonts w:ascii="新宋体" w:hAnsi="新宋体" w:eastAsia="新宋体"/>
          <w:szCs w:val="21"/>
        </w:rPr>
      </w:pPr>
      <w:r>
        <w:rPr>
          <w:rFonts w:hint="eastAsia" w:ascii="新宋体" w:hAnsi="新宋体" w:eastAsia="新宋体"/>
          <w:szCs w:val="21"/>
        </w:rPr>
        <w:t>3.如有本章未提供格式的投标内容，供应商可自行提供。</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rPr>
          <w:b/>
          <w:szCs w:val="21"/>
        </w:rPr>
      </w:pPr>
      <w:bookmarkStart w:id="351" w:name="_Toc107821892"/>
      <w:bookmarkStart w:id="352" w:name="_Toc179456568"/>
      <w:bookmarkStart w:id="353" w:name="_Toc181344363"/>
      <w:bookmarkStart w:id="354" w:name="_Toc248025920"/>
      <w:bookmarkStart w:id="355" w:name="_Toc106161463"/>
      <w:bookmarkStart w:id="356" w:name="_Toc181348173"/>
      <w:bookmarkStart w:id="357" w:name="_Toc137651743"/>
      <w:bookmarkStart w:id="358" w:name="_Toc106161066"/>
      <w:bookmarkStart w:id="359" w:name="_Toc275431232"/>
      <w:r>
        <w:rPr>
          <w:rFonts w:hint="eastAsia"/>
          <w:b/>
          <w:szCs w:val="21"/>
        </w:rPr>
        <w:t>附</w:t>
      </w:r>
      <w:r>
        <w:rPr>
          <w:rFonts w:hint="eastAsia" w:ascii="宋体" w:hAnsi="宋体" w:cs="宋体"/>
          <w:b/>
          <w:szCs w:val="21"/>
        </w:rPr>
        <w:t>件1</w:t>
      </w:r>
      <w:bookmarkEnd w:id="351"/>
      <w:bookmarkEnd w:id="352"/>
      <w:bookmarkEnd w:id="353"/>
      <w:bookmarkEnd w:id="354"/>
      <w:bookmarkEnd w:id="355"/>
      <w:bookmarkEnd w:id="356"/>
      <w:bookmarkEnd w:id="357"/>
      <w:bookmarkEnd w:id="358"/>
      <w:r>
        <w:rPr>
          <w:rFonts w:hint="eastAsia" w:ascii="宋体" w:hAnsi="宋体" w:cs="宋体"/>
          <w:b/>
          <w:szCs w:val="21"/>
        </w:rPr>
        <w:t>.投</w:t>
      </w:r>
      <w:r>
        <w:rPr>
          <w:rFonts w:hint="eastAsia"/>
          <w:b/>
          <w:szCs w:val="21"/>
        </w:rPr>
        <w:t>标书</w:t>
      </w:r>
      <w:bookmarkEnd w:id="359"/>
    </w:p>
    <w:p>
      <w:pPr>
        <w:pStyle w:val="4"/>
      </w:pPr>
      <w:r>
        <w:rPr>
          <w:rFonts w:hint="eastAsia"/>
        </w:rPr>
        <w:t>投 标 书</w:t>
      </w:r>
    </w:p>
    <w:p>
      <w:pPr>
        <w:jc w:val="center"/>
        <w:rPr>
          <w:b/>
          <w:szCs w:val="21"/>
        </w:rPr>
      </w:pPr>
    </w:p>
    <w:p>
      <w:pPr>
        <w:rPr>
          <w:szCs w:val="21"/>
        </w:rPr>
      </w:pPr>
      <w:r>
        <w:rPr>
          <w:rFonts w:hint="eastAsia"/>
          <w:szCs w:val="21"/>
        </w:rPr>
        <w:t>致：</w:t>
      </w:r>
    </w:p>
    <w:p>
      <w:pPr>
        <w:rPr>
          <w:szCs w:val="21"/>
        </w:rPr>
      </w:pPr>
    </w:p>
    <w:p>
      <w:pPr>
        <w:spacing w:line="360" w:lineRule="auto"/>
        <w:ind w:firstLine="555"/>
        <w:jc w:val="left"/>
        <w:rPr>
          <w:rFonts w:ascii="新宋体" w:hAnsi="新宋体" w:eastAsia="新宋体"/>
          <w:szCs w:val="21"/>
        </w:rPr>
      </w:pPr>
      <w:r>
        <w:rPr>
          <w:rFonts w:hint="eastAsia" w:ascii="新宋体" w:hAnsi="新宋体" w:eastAsia="新宋体"/>
          <w:szCs w:val="21"/>
        </w:rPr>
        <w:t>根据贵方项目（项目编号：           ）招标公告及招标文件，签字代表</w:t>
      </w:r>
      <w:r>
        <w:rPr>
          <w:rFonts w:hint="eastAsia" w:ascii="新宋体" w:hAnsi="新宋体" w:eastAsia="新宋体"/>
          <w:szCs w:val="21"/>
          <w:u w:val="single"/>
        </w:rPr>
        <w:t xml:space="preserve"> （姓名、职务） </w:t>
      </w:r>
      <w:r>
        <w:rPr>
          <w:rFonts w:hint="eastAsia" w:ascii="新宋体" w:hAnsi="新宋体" w:eastAsia="新宋体"/>
          <w:szCs w:val="21"/>
        </w:rPr>
        <w:t>经正式授权并代表</w:t>
      </w:r>
      <w:r>
        <w:rPr>
          <w:rFonts w:hint="eastAsia" w:ascii="新宋体" w:hAnsi="新宋体" w:eastAsia="新宋体"/>
          <w:szCs w:val="21"/>
          <w:u w:val="single"/>
        </w:rPr>
        <w:t xml:space="preserve">      （供应商名称、地址）      </w:t>
      </w:r>
      <w:r>
        <w:rPr>
          <w:rFonts w:hint="eastAsia" w:ascii="新宋体" w:hAnsi="新宋体" w:eastAsia="新宋体"/>
          <w:szCs w:val="21"/>
        </w:rPr>
        <w:t>提交投标文件正本一份、副本肆份：</w:t>
      </w:r>
    </w:p>
    <w:p>
      <w:pPr>
        <w:spacing w:line="360" w:lineRule="auto"/>
        <w:ind w:firstLine="555"/>
        <w:jc w:val="left"/>
        <w:rPr>
          <w:rFonts w:ascii="新宋体" w:hAnsi="新宋体" w:eastAsia="新宋体"/>
          <w:szCs w:val="21"/>
        </w:rPr>
      </w:pPr>
      <w:r>
        <w:rPr>
          <w:rFonts w:hint="eastAsia" w:ascii="新宋体" w:hAnsi="新宋体" w:eastAsia="新宋体"/>
          <w:szCs w:val="21"/>
        </w:rPr>
        <w:t>全权代表宣布如下：</w:t>
      </w:r>
    </w:p>
    <w:p>
      <w:pPr>
        <w:spacing w:line="360" w:lineRule="auto"/>
        <w:ind w:firstLine="555"/>
        <w:jc w:val="left"/>
        <w:rPr>
          <w:rFonts w:ascii="新宋体" w:hAnsi="新宋体" w:eastAsia="新宋体"/>
          <w:szCs w:val="21"/>
        </w:rPr>
      </w:pPr>
      <w:r>
        <w:rPr>
          <w:rFonts w:hint="eastAsia" w:ascii="新宋体" w:hAnsi="新宋体" w:eastAsia="新宋体"/>
          <w:szCs w:val="21"/>
        </w:rPr>
        <w:t>1.投标总价为人民币（大写）。</w:t>
      </w:r>
    </w:p>
    <w:p>
      <w:pPr>
        <w:spacing w:line="360" w:lineRule="auto"/>
        <w:ind w:firstLine="555"/>
        <w:jc w:val="left"/>
        <w:rPr>
          <w:rFonts w:ascii="新宋体" w:hAnsi="新宋体" w:eastAsia="新宋体"/>
          <w:szCs w:val="21"/>
        </w:rPr>
      </w:pPr>
      <w:r>
        <w:rPr>
          <w:rFonts w:hint="eastAsia" w:ascii="新宋体" w:hAnsi="新宋体" w:eastAsia="新宋体"/>
          <w:szCs w:val="21"/>
        </w:rPr>
        <w:t>2.我方已详细审查全部招标文件，包括修改文件（如有的话）以及全部参考资料和有关附件，我方完全接受招标文件中所规定的合同条款及其他部分的全部内容。</w:t>
      </w:r>
    </w:p>
    <w:p>
      <w:pPr>
        <w:spacing w:line="360" w:lineRule="auto"/>
        <w:ind w:firstLine="555"/>
        <w:jc w:val="left"/>
        <w:rPr>
          <w:rFonts w:ascii="新宋体" w:hAnsi="新宋体" w:eastAsia="新宋体"/>
          <w:szCs w:val="21"/>
        </w:rPr>
      </w:pPr>
      <w:r>
        <w:rPr>
          <w:rFonts w:hint="eastAsia" w:ascii="新宋体" w:hAnsi="新宋体" w:eastAsia="新宋体"/>
          <w:szCs w:val="21"/>
        </w:rPr>
        <w:t>3.投标有效期为自投标截止时间起</w:t>
      </w:r>
      <w:r>
        <w:rPr>
          <w:rFonts w:hint="eastAsia" w:ascii="新宋体" w:hAnsi="新宋体" w:eastAsia="新宋体"/>
          <w:szCs w:val="21"/>
          <w:u w:val="single"/>
        </w:rPr>
        <w:t xml:space="preserve">  60  </w:t>
      </w:r>
      <w:r>
        <w:rPr>
          <w:rFonts w:hint="eastAsia" w:ascii="新宋体" w:hAnsi="新宋体" w:eastAsia="新宋体"/>
          <w:szCs w:val="21"/>
        </w:rPr>
        <w:t>个日历天；我公司承诺在日内完成该项目。</w:t>
      </w:r>
    </w:p>
    <w:p>
      <w:pPr>
        <w:spacing w:line="360" w:lineRule="auto"/>
        <w:ind w:firstLine="555"/>
        <w:jc w:val="left"/>
        <w:rPr>
          <w:rFonts w:ascii="新宋体" w:hAnsi="新宋体" w:eastAsia="新宋体"/>
          <w:szCs w:val="21"/>
        </w:rPr>
      </w:pPr>
      <w:r>
        <w:rPr>
          <w:rFonts w:hint="eastAsia" w:ascii="新宋体" w:hAnsi="新宋体" w:eastAsia="新宋体"/>
          <w:szCs w:val="21"/>
        </w:rPr>
        <w:t>4.如果在规定的开标时间后，我方在投标有效期内撤回投标，或在中标之后未能按照招标文件的要求与采购人及时签订合同，我方的投标保证金将被贵方没收。</w:t>
      </w:r>
    </w:p>
    <w:p>
      <w:pPr>
        <w:spacing w:line="360" w:lineRule="auto"/>
        <w:ind w:firstLine="555"/>
        <w:jc w:val="left"/>
        <w:rPr>
          <w:rFonts w:ascii="新宋体" w:hAnsi="新宋体" w:eastAsia="新宋体"/>
          <w:szCs w:val="21"/>
        </w:rPr>
      </w:pPr>
      <w:r>
        <w:rPr>
          <w:rFonts w:hint="eastAsia" w:ascii="新宋体" w:hAnsi="新宋体" w:eastAsia="新宋体"/>
          <w:szCs w:val="21"/>
        </w:rPr>
        <w:t>5.我方同意提供按照贵方可能要求的与投标有关的一切数据或资料，完全理解贵方不一定要接受最低价的投标或收到的任何投标。</w:t>
      </w:r>
    </w:p>
    <w:p>
      <w:pPr>
        <w:spacing w:line="360" w:lineRule="auto"/>
        <w:ind w:firstLine="555"/>
        <w:jc w:val="left"/>
        <w:rPr>
          <w:rFonts w:ascii="新宋体" w:hAnsi="新宋体" w:eastAsia="新宋体"/>
          <w:szCs w:val="21"/>
        </w:rPr>
      </w:pPr>
      <w:r>
        <w:rPr>
          <w:rFonts w:hint="eastAsia" w:ascii="新宋体" w:hAnsi="新宋体" w:eastAsia="新宋体"/>
          <w:szCs w:val="21"/>
        </w:rPr>
        <w:t>6.与本投标有关的一切正式往来通讯请寄：</w:t>
      </w:r>
    </w:p>
    <w:p>
      <w:pPr>
        <w:spacing w:line="360" w:lineRule="auto"/>
        <w:ind w:firstLine="420" w:firstLineChars="200"/>
        <w:jc w:val="left"/>
        <w:rPr>
          <w:rFonts w:ascii="新宋体" w:hAnsi="新宋体" w:eastAsia="新宋体"/>
          <w:szCs w:val="21"/>
        </w:rPr>
      </w:pPr>
      <w:r>
        <w:rPr>
          <w:rFonts w:hint="eastAsia" w:ascii="新宋体" w:hAnsi="新宋体" w:eastAsia="新宋体"/>
          <w:szCs w:val="21"/>
        </w:rPr>
        <w:t xml:space="preserve"> 地址：邮编：</w:t>
      </w:r>
    </w:p>
    <w:p>
      <w:pPr>
        <w:spacing w:line="360" w:lineRule="auto"/>
        <w:ind w:firstLine="555"/>
        <w:jc w:val="left"/>
        <w:rPr>
          <w:rFonts w:ascii="新宋体" w:hAnsi="新宋体" w:eastAsia="新宋体"/>
          <w:szCs w:val="21"/>
        </w:rPr>
      </w:pPr>
      <w:r>
        <w:rPr>
          <w:rFonts w:hint="eastAsia" w:ascii="新宋体" w:hAnsi="新宋体" w:eastAsia="新宋体"/>
          <w:szCs w:val="21"/>
        </w:rPr>
        <w:t>电话：传真：</w:t>
      </w:r>
    </w:p>
    <w:p>
      <w:pPr>
        <w:spacing w:line="360" w:lineRule="auto"/>
        <w:ind w:firstLine="555"/>
        <w:jc w:val="left"/>
        <w:rPr>
          <w:rFonts w:ascii="新宋体" w:hAnsi="新宋体" w:eastAsia="新宋体"/>
          <w:szCs w:val="21"/>
        </w:rPr>
      </w:pPr>
      <w:r>
        <w:rPr>
          <w:rFonts w:hint="eastAsia" w:ascii="新宋体" w:hAnsi="新宋体" w:eastAsia="新宋体"/>
          <w:szCs w:val="21"/>
        </w:rPr>
        <w:t>供应商名称：（公章）</w:t>
      </w:r>
    </w:p>
    <w:p>
      <w:pPr>
        <w:spacing w:line="360" w:lineRule="auto"/>
        <w:ind w:firstLine="555"/>
        <w:jc w:val="left"/>
        <w:rPr>
          <w:rFonts w:ascii="新宋体" w:hAnsi="新宋体" w:eastAsia="新宋体"/>
          <w:szCs w:val="21"/>
          <w:u w:val="single"/>
        </w:rPr>
      </w:pPr>
      <w:r>
        <w:rPr>
          <w:rFonts w:hint="eastAsia" w:ascii="新宋体" w:hAnsi="新宋体" w:eastAsia="新宋体"/>
          <w:szCs w:val="21"/>
        </w:rPr>
        <w:t>被授权委托人签字：</w:t>
      </w:r>
    </w:p>
    <w:p>
      <w:pPr>
        <w:spacing w:line="360" w:lineRule="auto"/>
        <w:ind w:firstLine="555"/>
        <w:jc w:val="left"/>
        <w:rPr>
          <w:rFonts w:ascii="新宋体" w:hAnsi="新宋体" w:eastAsia="新宋体"/>
          <w:szCs w:val="21"/>
        </w:rPr>
      </w:pPr>
      <w:r>
        <w:rPr>
          <w:rFonts w:hint="eastAsia" w:ascii="新宋体" w:hAnsi="新宋体" w:eastAsia="新宋体"/>
          <w:szCs w:val="21"/>
        </w:rPr>
        <w:t>投标日期：年月日</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560" w:lineRule="exact"/>
        <w:jc w:val="left"/>
        <w:rPr>
          <w:rFonts w:ascii="新宋体" w:hAnsi="新宋体" w:eastAsia="新宋体"/>
          <w:b/>
          <w:szCs w:val="21"/>
        </w:rPr>
      </w:pPr>
      <w:r>
        <w:rPr>
          <w:rFonts w:hint="eastAsia" w:ascii="新宋体" w:hAnsi="新宋体" w:eastAsia="新宋体"/>
          <w:b/>
          <w:szCs w:val="21"/>
        </w:rPr>
        <w:t>附件2.开标一览表</w:t>
      </w:r>
    </w:p>
    <w:p>
      <w:pPr>
        <w:pStyle w:val="4"/>
      </w:pPr>
      <w:r>
        <w:rPr>
          <w:rFonts w:hint="eastAsia"/>
        </w:rPr>
        <w:t>开标一览表</w:t>
      </w:r>
    </w:p>
    <w:p>
      <w:pPr>
        <w:spacing w:line="560" w:lineRule="exact"/>
        <w:jc w:val="left"/>
        <w:rPr>
          <w:rFonts w:ascii="新宋体" w:hAnsi="新宋体" w:eastAsia="新宋体"/>
          <w:szCs w:val="21"/>
        </w:rPr>
      </w:pPr>
      <w:r>
        <w:rPr>
          <w:rFonts w:hint="eastAsia" w:ascii="新宋体" w:hAnsi="新宋体" w:eastAsia="新宋体"/>
          <w:szCs w:val="21"/>
        </w:rPr>
        <w:t>项目编号：                                                       货币单位：元（人民币）</w:t>
      </w:r>
    </w:p>
    <w:tbl>
      <w:tblPr>
        <w:tblStyle w:val="17"/>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263" w:type="dxa"/>
            <w:vAlign w:val="center"/>
          </w:tcPr>
          <w:p>
            <w:pPr>
              <w:spacing w:line="560" w:lineRule="exact"/>
              <w:jc w:val="center"/>
              <w:rPr>
                <w:rFonts w:ascii="宋体" w:hAnsi="宋体" w:cs="宋体"/>
                <w:b/>
                <w:bCs/>
                <w:szCs w:val="21"/>
              </w:rPr>
            </w:pPr>
            <w:r>
              <w:rPr>
                <w:rFonts w:hint="eastAsia" w:ascii="宋体" w:hAnsi="宋体" w:cs="宋体"/>
                <w:b/>
                <w:bCs/>
                <w:szCs w:val="21"/>
              </w:rPr>
              <w:t>项目名称</w:t>
            </w:r>
          </w:p>
          <w:p>
            <w:pPr>
              <w:spacing w:line="560" w:lineRule="exact"/>
              <w:jc w:val="center"/>
              <w:rPr>
                <w:rFonts w:ascii="宋体" w:hAnsi="宋体" w:cs="宋体"/>
                <w:b/>
                <w:bCs/>
                <w:szCs w:val="21"/>
              </w:rPr>
            </w:pPr>
            <w:r>
              <w:rPr>
                <w:rFonts w:hint="eastAsia" w:ascii="宋体" w:hAnsi="宋体" w:cs="宋体"/>
                <w:b/>
                <w:bCs/>
                <w:szCs w:val="21"/>
              </w:rPr>
              <w:t>（标段号）</w:t>
            </w:r>
          </w:p>
        </w:tc>
        <w:tc>
          <w:tcPr>
            <w:tcW w:w="7693" w:type="dxa"/>
            <w:vAlign w:val="center"/>
          </w:tcPr>
          <w:p>
            <w:pPr>
              <w:spacing w:line="56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263" w:type="dxa"/>
            <w:vAlign w:val="center"/>
          </w:tcPr>
          <w:p>
            <w:pPr>
              <w:spacing w:line="560" w:lineRule="exact"/>
              <w:jc w:val="center"/>
              <w:rPr>
                <w:rFonts w:ascii="宋体" w:hAnsi="宋体" w:cs="宋体"/>
                <w:b/>
                <w:bCs/>
                <w:szCs w:val="21"/>
              </w:rPr>
            </w:pPr>
            <w:r>
              <w:rPr>
                <w:rFonts w:hint="eastAsia" w:ascii="宋体" w:hAnsi="宋体" w:cs="宋体"/>
                <w:b/>
                <w:bCs/>
                <w:szCs w:val="21"/>
              </w:rPr>
              <w:t>投标报价</w:t>
            </w:r>
          </w:p>
        </w:tc>
        <w:tc>
          <w:tcPr>
            <w:tcW w:w="7693" w:type="dxa"/>
            <w:vAlign w:val="center"/>
          </w:tcPr>
          <w:p>
            <w:pPr>
              <w:spacing w:line="560" w:lineRule="exact"/>
              <w:ind w:firstLine="555"/>
              <w:jc w:val="left"/>
              <w:rPr>
                <w:rFonts w:ascii="宋体" w:hAnsi="宋体" w:cs="宋体"/>
                <w:b/>
                <w:bCs/>
                <w:szCs w:val="21"/>
              </w:rPr>
            </w:pPr>
            <w:r>
              <w:rPr>
                <w:rFonts w:hint="eastAsia" w:ascii="宋体" w:hAnsi="宋体" w:cs="宋体"/>
                <w:b/>
                <w:bCs/>
                <w:szCs w:val="21"/>
              </w:rPr>
              <w:t xml:space="preserve">大写：          </w:t>
            </w:r>
          </w:p>
          <w:p>
            <w:pPr>
              <w:spacing w:line="560" w:lineRule="exact"/>
              <w:ind w:firstLine="555"/>
              <w:jc w:val="left"/>
              <w:rPr>
                <w:rFonts w:ascii="宋体" w:hAnsi="宋体" w:cs="宋体"/>
                <w:b/>
                <w:bCs/>
                <w:szCs w:val="21"/>
              </w:rPr>
            </w:pPr>
            <w:r>
              <w:rPr>
                <w:rFonts w:hint="eastAsia" w:ascii="宋体" w:hAnsi="宋体" w:cs="宋体"/>
                <w:b/>
                <w:bCs/>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2263" w:type="dxa"/>
            <w:vAlign w:val="center"/>
          </w:tcPr>
          <w:p>
            <w:pPr>
              <w:spacing w:line="560" w:lineRule="exact"/>
              <w:jc w:val="center"/>
              <w:rPr>
                <w:rFonts w:ascii="宋体" w:hAnsi="宋体" w:cs="宋体"/>
                <w:b/>
                <w:bCs/>
                <w:szCs w:val="21"/>
              </w:rPr>
            </w:pPr>
            <w:r>
              <w:rPr>
                <w:rFonts w:hint="eastAsia" w:ascii="宋体" w:hAnsi="宋体" w:cs="宋体"/>
                <w:b/>
                <w:bCs/>
                <w:szCs w:val="21"/>
              </w:rPr>
              <w:t>交货期</w:t>
            </w:r>
          </w:p>
        </w:tc>
        <w:tc>
          <w:tcPr>
            <w:tcW w:w="7693" w:type="dxa"/>
            <w:vAlign w:val="center"/>
          </w:tcPr>
          <w:p>
            <w:pPr>
              <w:spacing w:line="560" w:lineRule="exact"/>
              <w:ind w:firstLine="555"/>
              <w:jc w:val="lef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263" w:type="dxa"/>
            <w:vAlign w:val="center"/>
          </w:tcPr>
          <w:p>
            <w:pPr>
              <w:spacing w:line="560" w:lineRule="exact"/>
              <w:jc w:val="center"/>
              <w:rPr>
                <w:rFonts w:ascii="宋体" w:hAnsi="宋体" w:cs="宋体"/>
                <w:b/>
                <w:bCs/>
                <w:szCs w:val="21"/>
              </w:rPr>
            </w:pPr>
            <w:r>
              <w:rPr>
                <w:rFonts w:hint="eastAsia" w:ascii="宋体" w:hAnsi="宋体" w:cs="宋体"/>
                <w:b/>
                <w:bCs/>
                <w:szCs w:val="21"/>
              </w:rPr>
              <w:t>备  注</w:t>
            </w:r>
          </w:p>
        </w:tc>
        <w:tc>
          <w:tcPr>
            <w:tcW w:w="7693" w:type="dxa"/>
            <w:vAlign w:val="center"/>
          </w:tcPr>
          <w:p>
            <w:pPr>
              <w:spacing w:line="360" w:lineRule="auto"/>
              <w:ind w:firstLine="555"/>
              <w:rPr>
                <w:rFonts w:ascii="宋体" w:hAnsi="宋体" w:cs="宋体"/>
                <w:b/>
                <w:bCs/>
                <w:szCs w:val="21"/>
              </w:rPr>
            </w:pPr>
            <w:r>
              <w:rPr>
                <w:rFonts w:hint="eastAsia" w:ascii="宋体" w:hAnsi="宋体" w:cs="宋体"/>
                <w:szCs w:val="21"/>
              </w:rPr>
              <w:t>本报价包含货物成本、安装、运抵指定交货地点的各种费用、管理、服务、税金及其他所有成本费用的总和。</w:t>
            </w:r>
          </w:p>
        </w:tc>
      </w:tr>
    </w:tbl>
    <w:p>
      <w:pPr>
        <w:spacing w:line="560" w:lineRule="exact"/>
        <w:jc w:val="left"/>
        <w:rPr>
          <w:rFonts w:ascii="新宋体" w:hAnsi="新宋体" w:eastAsia="新宋体"/>
          <w:szCs w:val="21"/>
        </w:rPr>
      </w:pPr>
      <w:r>
        <w:rPr>
          <w:rFonts w:hint="eastAsia" w:ascii="新宋体" w:hAnsi="新宋体" w:eastAsia="新宋体"/>
          <w:szCs w:val="21"/>
        </w:rPr>
        <w:t xml:space="preserve">供应商名称：（加盖公章）        </w:t>
      </w:r>
    </w:p>
    <w:p>
      <w:pPr>
        <w:spacing w:line="560" w:lineRule="exact"/>
        <w:jc w:val="left"/>
        <w:rPr>
          <w:rFonts w:ascii="新宋体" w:hAnsi="新宋体" w:eastAsia="新宋体"/>
          <w:szCs w:val="21"/>
          <w:u w:val="single"/>
        </w:rPr>
      </w:pPr>
      <w:r>
        <w:rPr>
          <w:rFonts w:hint="eastAsia" w:ascii="新宋体" w:hAnsi="新宋体" w:eastAsia="新宋体"/>
          <w:szCs w:val="21"/>
        </w:rPr>
        <w:t>被授权委托人签字：</w:t>
      </w:r>
    </w:p>
    <w:p>
      <w:pPr>
        <w:spacing w:line="560" w:lineRule="exact"/>
        <w:jc w:val="left"/>
        <w:rPr>
          <w:rFonts w:ascii="新宋体" w:hAnsi="新宋体" w:eastAsia="新宋体"/>
          <w:b/>
          <w:szCs w:val="21"/>
        </w:rPr>
      </w:pPr>
      <w:r>
        <w:rPr>
          <w:rFonts w:hint="eastAsia" w:ascii="新宋体" w:hAnsi="新宋体" w:eastAsia="新宋体"/>
          <w:szCs w:val="21"/>
        </w:rPr>
        <w:t>日期：     年  月   日</w:t>
      </w:r>
    </w:p>
    <w:p>
      <w:pPr>
        <w:spacing w:line="560" w:lineRule="exact"/>
        <w:jc w:val="left"/>
        <w:rPr>
          <w:rFonts w:ascii="宋体" w:hAnsi="宋体" w:cs="宋体"/>
          <w:b/>
          <w:szCs w:val="21"/>
        </w:rPr>
      </w:pPr>
    </w:p>
    <w:p>
      <w:pPr>
        <w:spacing w:line="560" w:lineRule="exact"/>
        <w:jc w:val="left"/>
        <w:rPr>
          <w:rFonts w:ascii="宋体" w:hAnsi="宋体" w:cs="宋体"/>
          <w:b/>
          <w:szCs w:val="21"/>
        </w:rPr>
      </w:pPr>
    </w:p>
    <w:p>
      <w:pPr>
        <w:spacing w:line="560" w:lineRule="exact"/>
        <w:jc w:val="left"/>
        <w:rPr>
          <w:rFonts w:ascii="宋体" w:hAnsi="宋体" w:cs="宋体"/>
          <w:b/>
          <w:szCs w:val="21"/>
        </w:rPr>
      </w:pPr>
    </w:p>
    <w:p>
      <w:pPr>
        <w:spacing w:line="560" w:lineRule="exact"/>
        <w:jc w:val="left"/>
        <w:rPr>
          <w:rFonts w:ascii="宋体" w:hAnsi="宋体" w:cs="宋体"/>
          <w:b/>
          <w:szCs w:val="21"/>
        </w:rPr>
      </w:pPr>
    </w:p>
    <w:p>
      <w:pPr>
        <w:spacing w:line="560" w:lineRule="exact"/>
        <w:jc w:val="left"/>
        <w:rPr>
          <w:rFonts w:ascii="宋体" w:hAnsi="宋体" w:cs="宋体"/>
          <w:b/>
          <w:szCs w:val="21"/>
        </w:rPr>
      </w:pPr>
    </w:p>
    <w:p>
      <w:pPr>
        <w:spacing w:line="560" w:lineRule="exact"/>
        <w:jc w:val="left"/>
        <w:rPr>
          <w:rFonts w:ascii="宋体" w:hAnsi="宋体" w:cs="宋体"/>
          <w:b/>
          <w:szCs w:val="21"/>
        </w:rPr>
      </w:pPr>
    </w:p>
    <w:p>
      <w:pPr>
        <w:spacing w:line="560" w:lineRule="exact"/>
        <w:jc w:val="left"/>
        <w:rPr>
          <w:rFonts w:ascii="宋体" w:hAnsi="宋体" w:cs="宋体"/>
          <w:b/>
          <w:szCs w:val="21"/>
        </w:rPr>
      </w:pPr>
    </w:p>
    <w:p>
      <w:pPr>
        <w:spacing w:line="560" w:lineRule="exact"/>
        <w:jc w:val="left"/>
        <w:rPr>
          <w:rFonts w:ascii="宋体" w:hAnsi="宋体" w:cs="宋体"/>
          <w:b/>
          <w:szCs w:val="21"/>
        </w:rPr>
      </w:pPr>
    </w:p>
    <w:p>
      <w:pPr>
        <w:spacing w:line="560" w:lineRule="exact"/>
        <w:jc w:val="left"/>
        <w:rPr>
          <w:rFonts w:ascii="宋体" w:hAnsi="宋体" w:cs="宋体"/>
          <w:b/>
          <w:szCs w:val="21"/>
        </w:rPr>
      </w:pPr>
    </w:p>
    <w:p>
      <w:pPr>
        <w:spacing w:line="560" w:lineRule="exact"/>
        <w:jc w:val="left"/>
        <w:rPr>
          <w:rFonts w:ascii="宋体" w:hAnsi="宋体" w:cs="宋体"/>
          <w:b/>
          <w:szCs w:val="21"/>
        </w:rPr>
      </w:pPr>
    </w:p>
    <w:p>
      <w:pPr>
        <w:spacing w:line="560" w:lineRule="exact"/>
        <w:jc w:val="left"/>
        <w:rPr>
          <w:rFonts w:ascii="新宋体" w:hAnsi="新宋体" w:eastAsia="新宋体"/>
          <w:b/>
          <w:szCs w:val="21"/>
        </w:rPr>
      </w:pPr>
      <w:r>
        <w:rPr>
          <w:rFonts w:hint="eastAsia" w:ascii="新宋体" w:hAnsi="新宋体" w:eastAsia="新宋体"/>
          <w:b/>
          <w:szCs w:val="21"/>
        </w:rPr>
        <w:t>附件3</w:t>
      </w:r>
      <w:bookmarkStart w:id="360" w:name="_Toc275431238"/>
      <w:r>
        <w:rPr>
          <w:rFonts w:hint="eastAsia" w:ascii="新宋体" w:hAnsi="新宋体" w:eastAsia="新宋体"/>
          <w:b/>
          <w:szCs w:val="21"/>
        </w:rPr>
        <w:t>.投标分项报价—览表</w:t>
      </w:r>
    </w:p>
    <w:p>
      <w:pPr>
        <w:snapToGrid w:val="0"/>
        <w:spacing w:before="50" w:after="50"/>
        <w:jc w:val="center"/>
        <w:rPr>
          <w:rFonts w:ascii="宋体" w:hAnsi="宋体" w:cs="宋体"/>
          <w:szCs w:val="21"/>
        </w:rPr>
      </w:pPr>
      <w:r>
        <w:rPr>
          <w:rFonts w:hint="eastAsia" w:ascii="宋体" w:hAnsi="宋体" w:cs="宋体"/>
          <w:b/>
          <w:szCs w:val="21"/>
        </w:rPr>
        <w:t>投标报价明细表</w:t>
      </w:r>
    </w:p>
    <w:p>
      <w:pPr>
        <w:pStyle w:val="9"/>
        <w:snapToGrid w:val="0"/>
        <w:spacing w:before="295" w:after="295" w:line="400" w:lineRule="exact"/>
        <w:rPr>
          <w:rFonts w:hAnsi="宋体" w:cs="宋体"/>
          <w:szCs w:val="21"/>
        </w:rPr>
      </w:pPr>
      <w:r>
        <w:rPr>
          <w:rFonts w:hint="eastAsia" w:hAnsi="宋体" w:cs="宋体"/>
          <w:szCs w:val="21"/>
        </w:rPr>
        <w:t xml:space="preserve">                                                                       金额单位：人民币（元）</w:t>
      </w:r>
    </w:p>
    <w:tbl>
      <w:tblPr>
        <w:tblStyle w:val="17"/>
        <w:tblW w:w="9832" w:type="dxa"/>
        <w:jc w:val="center"/>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1"/>
        <w:gridCol w:w="1129"/>
        <w:gridCol w:w="4433"/>
        <w:gridCol w:w="930"/>
        <w:gridCol w:w="960"/>
        <w:gridCol w:w="915"/>
        <w:gridCol w:w="894"/>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9" w:hRule="atLeast"/>
          <w:jc w:val="center"/>
        </w:trPr>
        <w:tc>
          <w:tcPr>
            <w:tcW w:w="571" w:type="dxa"/>
            <w:vAlign w:val="center"/>
          </w:tcPr>
          <w:p>
            <w:pPr>
              <w:jc w:val="center"/>
              <w:rPr>
                <w:rFonts w:ascii="宋体" w:hAnsi="宋体" w:cs="宋体"/>
                <w:szCs w:val="21"/>
              </w:rPr>
            </w:pPr>
            <w:r>
              <w:rPr>
                <w:rFonts w:hint="eastAsia" w:ascii="宋体" w:hAnsi="宋体" w:cs="宋体"/>
                <w:szCs w:val="21"/>
              </w:rPr>
              <w:t>序号</w:t>
            </w:r>
          </w:p>
        </w:tc>
        <w:tc>
          <w:tcPr>
            <w:tcW w:w="1129" w:type="dxa"/>
            <w:vAlign w:val="center"/>
          </w:tcPr>
          <w:p>
            <w:pPr>
              <w:jc w:val="center"/>
              <w:rPr>
                <w:rFonts w:ascii="宋体" w:hAnsi="宋体" w:cs="宋体"/>
                <w:szCs w:val="21"/>
              </w:rPr>
            </w:pPr>
            <w:r>
              <w:rPr>
                <w:rFonts w:hint="eastAsia" w:ascii="宋体" w:hAnsi="宋体" w:cs="宋体"/>
                <w:szCs w:val="21"/>
              </w:rPr>
              <w:t>名称</w:t>
            </w:r>
          </w:p>
        </w:tc>
        <w:tc>
          <w:tcPr>
            <w:tcW w:w="4433" w:type="dxa"/>
            <w:vAlign w:val="center"/>
          </w:tcPr>
          <w:p>
            <w:pPr>
              <w:spacing w:line="400" w:lineRule="exact"/>
              <w:jc w:val="center"/>
              <w:rPr>
                <w:rFonts w:ascii="宋体" w:hAnsi="宋体" w:cs="宋体"/>
                <w:szCs w:val="21"/>
              </w:rPr>
            </w:pPr>
            <w:r>
              <w:rPr>
                <w:rFonts w:hint="eastAsia" w:ascii="宋体" w:hAnsi="宋体" w:cs="宋体"/>
                <w:szCs w:val="21"/>
              </w:rPr>
              <w:t>规格、型号、品牌</w:t>
            </w:r>
          </w:p>
        </w:tc>
        <w:tc>
          <w:tcPr>
            <w:tcW w:w="930" w:type="dxa"/>
            <w:vAlign w:val="center"/>
          </w:tcPr>
          <w:p>
            <w:pPr>
              <w:spacing w:line="400" w:lineRule="exact"/>
              <w:jc w:val="center"/>
              <w:rPr>
                <w:rFonts w:ascii="宋体" w:hAnsi="宋体" w:cs="宋体"/>
                <w:szCs w:val="21"/>
              </w:rPr>
            </w:pPr>
            <w:r>
              <w:rPr>
                <w:rFonts w:hint="eastAsia" w:ascii="宋体" w:hAnsi="宋体" w:cs="宋体"/>
                <w:szCs w:val="21"/>
              </w:rPr>
              <w:t>数量</w:t>
            </w:r>
          </w:p>
        </w:tc>
        <w:tc>
          <w:tcPr>
            <w:tcW w:w="960" w:type="dxa"/>
            <w:vAlign w:val="center"/>
          </w:tcPr>
          <w:p>
            <w:pPr>
              <w:spacing w:line="400" w:lineRule="exact"/>
              <w:jc w:val="center"/>
              <w:rPr>
                <w:rFonts w:ascii="宋体" w:hAnsi="宋体" w:cs="宋体"/>
                <w:szCs w:val="21"/>
              </w:rPr>
            </w:pPr>
            <w:r>
              <w:rPr>
                <w:rFonts w:hint="eastAsia" w:ascii="宋体" w:hAnsi="宋体" w:cs="宋体"/>
                <w:szCs w:val="21"/>
              </w:rPr>
              <w:t>单价</w:t>
            </w:r>
          </w:p>
        </w:tc>
        <w:tc>
          <w:tcPr>
            <w:tcW w:w="915" w:type="dxa"/>
            <w:vAlign w:val="center"/>
          </w:tcPr>
          <w:p>
            <w:pPr>
              <w:spacing w:line="400" w:lineRule="exact"/>
              <w:jc w:val="center"/>
              <w:rPr>
                <w:rFonts w:ascii="宋体" w:hAnsi="宋体" w:cs="宋体"/>
                <w:szCs w:val="21"/>
              </w:rPr>
            </w:pPr>
            <w:r>
              <w:rPr>
                <w:rFonts w:hint="eastAsia" w:ascii="宋体" w:hAnsi="宋体" w:cs="宋体"/>
                <w:szCs w:val="21"/>
              </w:rPr>
              <w:t>总价</w:t>
            </w:r>
          </w:p>
        </w:tc>
        <w:tc>
          <w:tcPr>
            <w:tcW w:w="894" w:type="dxa"/>
            <w:vAlign w:val="center"/>
          </w:tcPr>
          <w:p>
            <w:pPr>
              <w:spacing w:line="400" w:lineRule="exact"/>
              <w:rPr>
                <w:rFonts w:ascii="宋体" w:hAnsi="宋体" w:cs="宋体"/>
                <w:szCs w:val="21"/>
              </w:rPr>
            </w:pPr>
            <w:r>
              <w:rPr>
                <w:rFonts w:hint="eastAsia" w:ascii="宋体" w:hAnsi="宋体" w:cs="宋体"/>
                <w:szCs w:val="21"/>
              </w:rPr>
              <w:t xml:space="preserve">  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5" w:hRule="atLeast"/>
          <w:jc w:val="center"/>
        </w:trPr>
        <w:tc>
          <w:tcPr>
            <w:tcW w:w="571" w:type="dxa"/>
          </w:tcPr>
          <w:p>
            <w:pPr>
              <w:rPr>
                <w:rFonts w:ascii="宋体" w:hAnsi="宋体" w:cs="宋体"/>
                <w:sz w:val="18"/>
                <w:szCs w:val="18"/>
              </w:rPr>
            </w:pPr>
            <w:r>
              <w:rPr>
                <w:rFonts w:hint="eastAsia"/>
                <w:szCs w:val="21"/>
              </w:rPr>
              <w:t>1</w:t>
            </w:r>
          </w:p>
        </w:tc>
        <w:tc>
          <w:tcPr>
            <w:tcW w:w="1129" w:type="dxa"/>
            <w:vAlign w:val="center"/>
          </w:tcPr>
          <w:p>
            <w:pPr>
              <w:jc w:val="center"/>
              <w:rPr>
                <w:rFonts w:ascii="宋体" w:hAnsi="宋体" w:cs="宋体"/>
                <w:sz w:val="18"/>
                <w:szCs w:val="18"/>
              </w:rPr>
            </w:pPr>
            <w:r>
              <w:rPr>
                <w:rFonts w:hint="eastAsia"/>
                <w:b/>
                <w:bCs/>
                <w:sz w:val="24"/>
              </w:rPr>
              <w:t>LED照明灯①</w:t>
            </w:r>
          </w:p>
        </w:tc>
        <w:tc>
          <w:tcPr>
            <w:tcW w:w="4433" w:type="dxa"/>
            <w:vAlign w:val="center"/>
          </w:tcPr>
          <w:p>
            <w:pPr>
              <w:rPr>
                <w:b/>
                <w:bCs/>
                <w:sz w:val="24"/>
              </w:rPr>
            </w:pPr>
            <w:r>
              <w:rPr>
                <w:rFonts w:hint="eastAsia"/>
                <w:b/>
                <w:bCs/>
                <w:sz w:val="24"/>
              </w:rPr>
              <w:t>1、双臂双火路灯，主路150WLED灯头12米高，辅路70WLED灯头10米高</w:t>
            </w:r>
          </w:p>
          <w:p>
            <w:pPr>
              <w:rPr>
                <w:b/>
                <w:bCs/>
                <w:sz w:val="24"/>
              </w:rPr>
            </w:pPr>
            <w:r>
              <w:rPr>
                <w:rFonts w:hint="eastAsia"/>
                <w:b/>
                <w:bCs/>
                <w:sz w:val="24"/>
              </w:rPr>
              <w:t>2、灯杆主杆采用优质方钢Q235，热镀锌后白色喷塑处理，底部方钢尺寸为410mm*150 mm *1500 mm，法兰及钢板壁厚不低于4.0mm，主辅杆采用方钢尺寸壁厚不低于3.5mm，挑臂采用扇形，详见灯杆图形一。</w:t>
            </w:r>
          </w:p>
          <w:p>
            <w:pPr>
              <w:rPr>
                <w:rFonts w:ascii="宋体" w:hAnsi="宋体" w:cs="宋体"/>
                <w:sz w:val="18"/>
                <w:szCs w:val="18"/>
              </w:rPr>
            </w:pPr>
            <w:r>
              <w:rPr>
                <w:rFonts w:hint="eastAsia"/>
                <w:b/>
                <w:bCs/>
                <w:sz w:val="24"/>
              </w:rPr>
              <w:t>3、150WLED灯头，70WLED灯头光效不低于120LM/W，色温在4000K，要求整套灯具及灯具内零部件（光源芯片、浪涌保护器、驱动电源）必须为同一厂家品牌产品，不接受组装产品。150W、70W灯具投射角度0°—90°任意调节。</w:t>
            </w:r>
          </w:p>
        </w:tc>
        <w:tc>
          <w:tcPr>
            <w:tcW w:w="930" w:type="dxa"/>
            <w:vAlign w:val="center"/>
          </w:tcPr>
          <w:p>
            <w:pPr>
              <w:spacing w:line="400" w:lineRule="exact"/>
              <w:jc w:val="center"/>
              <w:rPr>
                <w:rFonts w:ascii="宋体" w:hAnsi="宋体" w:cs="宋体"/>
                <w:szCs w:val="21"/>
              </w:rPr>
            </w:pPr>
          </w:p>
        </w:tc>
        <w:tc>
          <w:tcPr>
            <w:tcW w:w="960" w:type="dxa"/>
            <w:vAlign w:val="center"/>
          </w:tcPr>
          <w:p>
            <w:pPr>
              <w:spacing w:line="400" w:lineRule="exact"/>
              <w:jc w:val="center"/>
              <w:rPr>
                <w:rFonts w:ascii="宋体" w:hAnsi="宋体" w:cs="宋体"/>
                <w:szCs w:val="21"/>
              </w:rPr>
            </w:pPr>
          </w:p>
        </w:tc>
        <w:tc>
          <w:tcPr>
            <w:tcW w:w="915" w:type="dxa"/>
            <w:vAlign w:val="center"/>
          </w:tcPr>
          <w:p>
            <w:pPr>
              <w:spacing w:line="400" w:lineRule="exact"/>
              <w:jc w:val="center"/>
              <w:rPr>
                <w:rFonts w:ascii="宋体" w:hAnsi="宋体" w:cs="宋体"/>
                <w:szCs w:val="21"/>
              </w:rPr>
            </w:pPr>
          </w:p>
        </w:tc>
        <w:tc>
          <w:tcPr>
            <w:tcW w:w="894" w:type="dxa"/>
            <w:vAlign w:val="center"/>
          </w:tcPr>
          <w:p>
            <w:pPr>
              <w:spacing w:line="400" w:lineRule="exact"/>
              <w:jc w:val="center"/>
              <w:rPr>
                <w:rFonts w:ascii="宋体" w:hAnsi="宋体" w:cs="宋体"/>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5" w:hRule="atLeast"/>
          <w:jc w:val="center"/>
        </w:trPr>
        <w:tc>
          <w:tcPr>
            <w:tcW w:w="571" w:type="dxa"/>
          </w:tcPr>
          <w:p>
            <w:pPr>
              <w:rPr>
                <w:rFonts w:ascii="宋体" w:hAnsi="宋体" w:cs="宋体"/>
                <w:sz w:val="18"/>
                <w:szCs w:val="18"/>
              </w:rPr>
            </w:pPr>
            <w:r>
              <w:rPr>
                <w:rFonts w:hint="eastAsia"/>
                <w:szCs w:val="21"/>
              </w:rPr>
              <w:t>2</w:t>
            </w:r>
          </w:p>
        </w:tc>
        <w:tc>
          <w:tcPr>
            <w:tcW w:w="1129" w:type="dxa"/>
            <w:vAlign w:val="center"/>
          </w:tcPr>
          <w:p>
            <w:pPr>
              <w:jc w:val="center"/>
              <w:rPr>
                <w:rFonts w:ascii="宋体" w:hAnsi="宋体" w:cs="宋体"/>
                <w:sz w:val="18"/>
                <w:szCs w:val="18"/>
              </w:rPr>
            </w:pPr>
            <w:r>
              <w:rPr>
                <w:rFonts w:hint="eastAsia"/>
                <w:b/>
                <w:bCs/>
                <w:sz w:val="24"/>
              </w:rPr>
              <w:t>LED照明灯②</w:t>
            </w:r>
          </w:p>
        </w:tc>
        <w:tc>
          <w:tcPr>
            <w:tcW w:w="4433" w:type="dxa"/>
            <w:vAlign w:val="center"/>
          </w:tcPr>
          <w:p>
            <w:pPr>
              <w:rPr>
                <w:b/>
                <w:bCs/>
                <w:sz w:val="24"/>
              </w:rPr>
            </w:pPr>
            <w:r>
              <w:rPr>
                <w:rFonts w:hint="eastAsia"/>
                <w:b/>
                <w:bCs/>
                <w:sz w:val="24"/>
              </w:rPr>
              <w:t>1、双臂双火路灯，主路110WLED灯头12米高，辅路70WLED灯头10米高</w:t>
            </w:r>
          </w:p>
          <w:p>
            <w:pPr>
              <w:rPr>
                <w:b/>
                <w:bCs/>
                <w:sz w:val="24"/>
              </w:rPr>
            </w:pPr>
            <w:r>
              <w:rPr>
                <w:rFonts w:hint="eastAsia"/>
                <w:b/>
                <w:bCs/>
                <w:sz w:val="24"/>
              </w:rPr>
              <w:t>2、灯杆主杆采用优质方钢Q235，热镀锌后白色喷塑处理，底部方钢尺寸为410mm*150 mm *1500 mm，法兰及钢板壁厚不低于4.0mm，主辅杆采用方钢尺寸壁厚不低于3.5mm，挑臂采用扇形，详见灯杆图形一。</w:t>
            </w:r>
          </w:p>
          <w:p>
            <w:pPr>
              <w:rPr>
                <w:rFonts w:ascii="宋体" w:hAnsi="宋体" w:cs="宋体"/>
                <w:sz w:val="18"/>
                <w:szCs w:val="18"/>
              </w:rPr>
            </w:pPr>
            <w:r>
              <w:rPr>
                <w:rFonts w:hint="eastAsia"/>
                <w:b/>
                <w:bCs/>
                <w:sz w:val="24"/>
              </w:rPr>
              <w:t>3、110WLED灯头，70WLED灯头光效不低于120LM/W，色温在4000K, 要求整套灯具及灯具内零部件（光源芯片、浪涌保护器、驱动电源）必须为同一厂家品牌产品，不接受组装产品。110W灯具具有节能调节模式（根据时间设定由全功率模式自动切换半功率模式），70W灯具投射角度0°—90°任意调节。</w:t>
            </w:r>
          </w:p>
        </w:tc>
        <w:tc>
          <w:tcPr>
            <w:tcW w:w="930" w:type="dxa"/>
            <w:vAlign w:val="center"/>
          </w:tcPr>
          <w:p>
            <w:pPr>
              <w:spacing w:line="400" w:lineRule="exact"/>
              <w:jc w:val="center"/>
              <w:rPr>
                <w:rFonts w:ascii="宋体" w:hAnsi="宋体" w:cs="宋体"/>
                <w:szCs w:val="21"/>
              </w:rPr>
            </w:pPr>
          </w:p>
        </w:tc>
        <w:tc>
          <w:tcPr>
            <w:tcW w:w="960" w:type="dxa"/>
            <w:vAlign w:val="center"/>
          </w:tcPr>
          <w:p>
            <w:pPr>
              <w:spacing w:line="400" w:lineRule="exact"/>
              <w:jc w:val="center"/>
              <w:rPr>
                <w:rFonts w:ascii="宋体" w:hAnsi="宋体" w:cs="宋体"/>
                <w:szCs w:val="21"/>
              </w:rPr>
            </w:pPr>
          </w:p>
        </w:tc>
        <w:tc>
          <w:tcPr>
            <w:tcW w:w="915" w:type="dxa"/>
            <w:vAlign w:val="center"/>
          </w:tcPr>
          <w:p>
            <w:pPr>
              <w:spacing w:line="400" w:lineRule="exact"/>
              <w:jc w:val="center"/>
              <w:rPr>
                <w:rFonts w:ascii="宋体" w:hAnsi="宋体" w:cs="宋体"/>
                <w:szCs w:val="21"/>
              </w:rPr>
            </w:pPr>
          </w:p>
        </w:tc>
        <w:tc>
          <w:tcPr>
            <w:tcW w:w="894" w:type="dxa"/>
            <w:vAlign w:val="center"/>
          </w:tcPr>
          <w:p>
            <w:pPr>
              <w:spacing w:line="400" w:lineRule="exact"/>
              <w:jc w:val="center"/>
              <w:rPr>
                <w:rFonts w:ascii="宋体" w:hAnsi="宋体" w:cs="宋体"/>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5" w:hRule="atLeast"/>
          <w:jc w:val="center"/>
        </w:trPr>
        <w:tc>
          <w:tcPr>
            <w:tcW w:w="571" w:type="dxa"/>
          </w:tcPr>
          <w:p>
            <w:pPr>
              <w:rPr>
                <w:rFonts w:ascii="宋体" w:hAnsi="宋体" w:cs="宋体"/>
                <w:sz w:val="18"/>
                <w:szCs w:val="18"/>
              </w:rPr>
            </w:pPr>
            <w:r>
              <w:rPr>
                <w:rFonts w:hint="eastAsia"/>
                <w:szCs w:val="21"/>
              </w:rPr>
              <w:t>3</w:t>
            </w:r>
          </w:p>
        </w:tc>
        <w:tc>
          <w:tcPr>
            <w:tcW w:w="1129" w:type="dxa"/>
            <w:vAlign w:val="center"/>
          </w:tcPr>
          <w:p>
            <w:pPr>
              <w:jc w:val="center"/>
              <w:rPr>
                <w:rFonts w:ascii="宋体" w:hAnsi="宋体" w:cs="宋体"/>
                <w:sz w:val="18"/>
                <w:szCs w:val="18"/>
              </w:rPr>
            </w:pPr>
            <w:r>
              <w:rPr>
                <w:rFonts w:hint="eastAsia"/>
                <w:b/>
                <w:bCs/>
                <w:sz w:val="24"/>
              </w:rPr>
              <w:t>LED照明灯③</w:t>
            </w:r>
          </w:p>
        </w:tc>
        <w:tc>
          <w:tcPr>
            <w:tcW w:w="4433" w:type="dxa"/>
            <w:vAlign w:val="center"/>
          </w:tcPr>
          <w:p>
            <w:pPr>
              <w:rPr>
                <w:b/>
                <w:bCs/>
                <w:sz w:val="24"/>
              </w:rPr>
            </w:pPr>
            <w:r>
              <w:rPr>
                <w:rFonts w:hint="eastAsia"/>
                <w:b/>
                <w:bCs/>
                <w:sz w:val="24"/>
              </w:rPr>
              <w:t>1、双臂双火路灯，主路110WLED灯头10米高，辅路50WLED灯头8米高</w:t>
            </w:r>
          </w:p>
          <w:p>
            <w:pPr>
              <w:rPr>
                <w:b/>
                <w:bCs/>
                <w:sz w:val="24"/>
              </w:rPr>
            </w:pPr>
            <w:r>
              <w:rPr>
                <w:rFonts w:hint="eastAsia"/>
                <w:b/>
                <w:bCs/>
                <w:sz w:val="24"/>
              </w:rPr>
              <w:t>2、灯杆主杆采用优质方钢Q235，热镀锌后白色喷塑处理，底部方钢尺寸为410mm*150 mm *1500 mm，法兰及钢板壁厚不低于4.0mm，主辅杆采用方钢尺寸壁厚不低于3.5mm，挑臂采用扇形，详见灯杆图形二。</w:t>
            </w:r>
          </w:p>
          <w:p>
            <w:pPr>
              <w:rPr>
                <w:rFonts w:ascii="宋体" w:hAnsi="宋体" w:cs="宋体"/>
                <w:sz w:val="18"/>
                <w:szCs w:val="18"/>
              </w:rPr>
            </w:pPr>
            <w:r>
              <w:rPr>
                <w:rFonts w:hint="eastAsia"/>
                <w:b/>
                <w:bCs/>
                <w:sz w:val="24"/>
              </w:rPr>
              <w:t>3、110WLED灯头，50WLED灯头光效不低于120LM/W，色温在4000K，要求整套灯具及灯具内零部件（光源芯片、浪涌保护器、驱动电源）必须为同一厂家品牌产品，不接受组装产品。110W、50W灯具具有节能调节模式（根据时间设定由全功率模式自动切换半功率模式）</w:t>
            </w:r>
          </w:p>
        </w:tc>
        <w:tc>
          <w:tcPr>
            <w:tcW w:w="930" w:type="dxa"/>
            <w:vAlign w:val="center"/>
          </w:tcPr>
          <w:p>
            <w:pPr>
              <w:spacing w:line="400" w:lineRule="exact"/>
              <w:jc w:val="center"/>
              <w:rPr>
                <w:rFonts w:ascii="宋体" w:hAnsi="宋体" w:cs="宋体"/>
                <w:szCs w:val="21"/>
              </w:rPr>
            </w:pPr>
          </w:p>
        </w:tc>
        <w:tc>
          <w:tcPr>
            <w:tcW w:w="960" w:type="dxa"/>
            <w:vAlign w:val="center"/>
          </w:tcPr>
          <w:p>
            <w:pPr>
              <w:spacing w:line="400" w:lineRule="exact"/>
              <w:jc w:val="center"/>
              <w:rPr>
                <w:rFonts w:ascii="宋体" w:hAnsi="宋体" w:cs="宋体"/>
                <w:szCs w:val="21"/>
              </w:rPr>
            </w:pPr>
          </w:p>
        </w:tc>
        <w:tc>
          <w:tcPr>
            <w:tcW w:w="915" w:type="dxa"/>
            <w:vAlign w:val="center"/>
          </w:tcPr>
          <w:p>
            <w:pPr>
              <w:spacing w:line="400" w:lineRule="exact"/>
              <w:jc w:val="center"/>
              <w:rPr>
                <w:rFonts w:ascii="宋体" w:hAnsi="宋体" w:cs="宋体"/>
                <w:szCs w:val="21"/>
              </w:rPr>
            </w:pPr>
          </w:p>
        </w:tc>
        <w:tc>
          <w:tcPr>
            <w:tcW w:w="894" w:type="dxa"/>
            <w:vAlign w:val="center"/>
          </w:tcPr>
          <w:p>
            <w:pPr>
              <w:spacing w:line="400" w:lineRule="exact"/>
              <w:jc w:val="center"/>
              <w:rPr>
                <w:rFonts w:ascii="宋体" w:hAnsi="宋体" w:cs="宋体"/>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6" w:hRule="atLeast"/>
          <w:jc w:val="center"/>
        </w:trPr>
        <w:tc>
          <w:tcPr>
            <w:tcW w:w="571" w:type="dxa"/>
          </w:tcPr>
          <w:p>
            <w:pPr>
              <w:rPr>
                <w:rFonts w:ascii="宋体" w:hAnsi="宋体" w:cs="宋体"/>
                <w:sz w:val="18"/>
                <w:szCs w:val="18"/>
              </w:rPr>
            </w:pPr>
            <w:r>
              <w:rPr>
                <w:rFonts w:hint="eastAsia"/>
                <w:szCs w:val="21"/>
              </w:rPr>
              <w:t>4</w:t>
            </w:r>
          </w:p>
        </w:tc>
        <w:tc>
          <w:tcPr>
            <w:tcW w:w="1129" w:type="dxa"/>
            <w:vAlign w:val="center"/>
          </w:tcPr>
          <w:p>
            <w:pPr>
              <w:jc w:val="center"/>
              <w:rPr>
                <w:rFonts w:ascii="宋体" w:hAnsi="宋体" w:cs="宋体"/>
                <w:sz w:val="18"/>
                <w:szCs w:val="18"/>
              </w:rPr>
            </w:pPr>
            <w:r>
              <w:rPr>
                <w:rFonts w:hint="eastAsia"/>
                <w:b/>
                <w:bCs/>
                <w:sz w:val="24"/>
              </w:rPr>
              <w:t>LED照明灯④</w:t>
            </w:r>
          </w:p>
        </w:tc>
        <w:tc>
          <w:tcPr>
            <w:tcW w:w="4433" w:type="dxa"/>
            <w:vAlign w:val="center"/>
          </w:tcPr>
          <w:p>
            <w:pPr>
              <w:rPr>
                <w:b/>
                <w:bCs/>
                <w:sz w:val="24"/>
              </w:rPr>
            </w:pPr>
            <w:r>
              <w:rPr>
                <w:rFonts w:hint="eastAsia"/>
                <w:b/>
                <w:bCs/>
                <w:sz w:val="24"/>
              </w:rPr>
              <w:t>1、双臂双火路灯，主路150WLED灯头10米高，辅路50WLED灯头8米高</w:t>
            </w:r>
          </w:p>
          <w:p>
            <w:pPr>
              <w:rPr>
                <w:b/>
                <w:bCs/>
                <w:sz w:val="24"/>
              </w:rPr>
            </w:pPr>
            <w:r>
              <w:rPr>
                <w:rFonts w:hint="eastAsia"/>
                <w:b/>
                <w:bCs/>
                <w:sz w:val="24"/>
              </w:rPr>
              <w:t>2、灯杆主杆采用优质方钢Q235，热镀锌后白色喷塑处理，底部方钢尺寸为410mm*150 mm *1500 mm，法兰及钢板壁厚不低于4.0mm，主辅杆采用方钢尺寸壁厚不低于3.5mm，挑臂采用扇形，详见灯杆图形二。</w:t>
            </w:r>
          </w:p>
          <w:p>
            <w:pPr>
              <w:rPr>
                <w:rFonts w:ascii="宋体" w:hAnsi="宋体" w:cs="宋体"/>
                <w:sz w:val="18"/>
                <w:szCs w:val="18"/>
              </w:rPr>
            </w:pPr>
            <w:r>
              <w:rPr>
                <w:rFonts w:hint="eastAsia"/>
                <w:b/>
                <w:bCs/>
                <w:sz w:val="24"/>
              </w:rPr>
              <w:t>3、150WLED灯头，50WLED灯头光效不低于120LM/W，色温在4000K，要求整套灯具及灯具内零部件（光源芯片、浪涌保护器、驱动电源）必须为同一厂家品牌产品，不接受组装产品。150W、50W灯具具有节能调节模式（根据时间设定由全功率模式自动切换半功率模式）</w:t>
            </w:r>
          </w:p>
        </w:tc>
        <w:tc>
          <w:tcPr>
            <w:tcW w:w="930" w:type="dxa"/>
            <w:vAlign w:val="center"/>
          </w:tcPr>
          <w:p>
            <w:pPr>
              <w:spacing w:line="400" w:lineRule="exact"/>
              <w:jc w:val="center"/>
              <w:rPr>
                <w:rFonts w:ascii="宋体" w:hAnsi="宋体" w:cs="宋体"/>
                <w:szCs w:val="21"/>
              </w:rPr>
            </w:pPr>
          </w:p>
        </w:tc>
        <w:tc>
          <w:tcPr>
            <w:tcW w:w="960" w:type="dxa"/>
            <w:vAlign w:val="center"/>
          </w:tcPr>
          <w:p>
            <w:pPr>
              <w:spacing w:line="400" w:lineRule="exact"/>
              <w:jc w:val="center"/>
              <w:rPr>
                <w:rFonts w:ascii="宋体" w:hAnsi="宋体" w:cs="宋体"/>
                <w:szCs w:val="21"/>
              </w:rPr>
            </w:pPr>
          </w:p>
        </w:tc>
        <w:tc>
          <w:tcPr>
            <w:tcW w:w="915" w:type="dxa"/>
            <w:vAlign w:val="center"/>
          </w:tcPr>
          <w:p>
            <w:pPr>
              <w:spacing w:line="400" w:lineRule="exact"/>
              <w:jc w:val="center"/>
              <w:rPr>
                <w:rFonts w:ascii="宋体" w:hAnsi="宋体" w:cs="宋体"/>
                <w:szCs w:val="21"/>
              </w:rPr>
            </w:pPr>
          </w:p>
        </w:tc>
        <w:tc>
          <w:tcPr>
            <w:tcW w:w="894" w:type="dxa"/>
            <w:vAlign w:val="center"/>
          </w:tcPr>
          <w:p>
            <w:pPr>
              <w:spacing w:line="400" w:lineRule="exact"/>
              <w:jc w:val="center"/>
              <w:rPr>
                <w:rFonts w:ascii="宋体" w:hAnsi="宋体" w:cs="宋体"/>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6" w:hRule="atLeast"/>
          <w:jc w:val="center"/>
        </w:trPr>
        <w:tc>
          <w:tcPr>
            <w:tcW w:w="571" w:type="dxa"/>
          </w:tcPr>
          <w:p>
            <w:pPr>
              <w:rPr>
                <w:rFonts w:ascii="宋体" w:hAnsi="宋体" w:cs="宋体"/>
                <w:sz w:val="18"/>
                <w:szCs w:val="18"/>
              </w:rPr>
            </w:pPr>
            <w:r>
              <w:rPr>
                <w:rFonts w:hint="eastAsia"/>
                <w:szCs w:val="21"/>
              </w:rPr>
              <w:t>5</w:t>
            </w:r>
          </w:p>
        </w:tc>
        <w:tc>
          <w:tcPr>
            <w:tcW w:w="1129" w:type="dxa"/>
            <w:vAlign w:val="center"/>
          </w:tcPr>
          <w:p>
            <w:pPr>
              <w:jc w:val="center"/>
              <w:rPr>
                <w:rFonts w:ascii="宋体" w:hAnsi="宋体" w:cs="宋体"/>
                <w:sz w:val="18"/>
                <w:szCs w:val="18"/>
              </w:rPr>
            </w:pPr>
            <w:r>
              <w:rPr>
                <w:rFonts w:hint="eastAsia"/>
                <w:b/>
                <w:bCs/>
                <w:sz w:val="24"/>
              </w:rPr>
              <w:t>LED照明灯⑤</w:t>
            </w:r>
          </w:p>
        </w:tc>
        <w:tc>
          <w:tcPr>
            <w:tcW w:w="4433" w:type="dxa"/>
            <w:vAlign w:val="center"/>
          </w:tcPr>
          <w:p>
            <w:pPr>
              <w:rPr>
                <w:b/>
                <w:bCs/>
                <w:sz w:val="24"/>
              </w:rPr>
            </w:pPr>
            <w:r>
              <w:rPr>
                <w:rFonts w:hint="eastAsia"/>
                <w:b/>
                <w:bCs/>
                <w:sz w:val="24"/>
              </w:rPr>
              <w:t>1、单臂单火路灯， 180WLED灯头10米高。</w:t>
            </w:r>
          </w:p>
          <w:p>
            <w:pPr>
              <w:rPr>
                <w:b/>
                <w:bCs/>
                <w:sz w:val="24"/>
              </w:rPr>
            </w:pPr>
            <w:r>
              <w:rPr>
                <w:rFonts w:hint="eastAsia"/>
                <w:b/>
                <w:bCs/>
                <w:sz w:val="24"/>
              </w:rPr>
              <w:t>2、灯杆主杆采用优质Q235钢板经模压成型，热镀锌后黑色喷塑处理，底部圆钢尺寸为</w:t>
            </w:r>
            <w:r>
              <w:rPr>
                <w:rFonts w:hint="eastAsia" w:ascii="宋体" w:hAnsi="宋体"/>
                <w:b/>
                <w:bCs/>
                <w:sz w:val="24"/>
              </w:rPr>
              <w:t>Φ</w:t>
            </w:r>
            <w:r>
              <w:rPr>
                <w:rFonts w:hint="eastAsia"/>
                <w:b/>
                <w:bCs/>
                <w:sz w:val="24"/>
              </w:rPr>
              <w:t>180mm*2000 mm *</w:t>
            </w:r>
            <w:r>
              <w:rPr>
                <w:rFonts w:hint="eastAsia" w:ascii="宋体" w:hAnsi="宋体"/>
                <w:b/>
                <w:bCs/>
                <w:sz w:val="24"/>
              </w:rPr>
              <w:t>δ</w:t>
            </w:r>
            <w:r>
              <w:rPr>
                <w:rFonts w:hint="eastAsia"/>
                <w:b/>
                <w:bCs/>
                <w:sz w:val="24"/>
              </w:rPr>
              <w:t>4.0 mm，法兰及钢板壁厚不低于4.0mm，详见灯杆图形三。</w:t>
            </w:r>
          </w:p>
          <w:p>
            <w:pPr>
              <w:rPr>
                <w:rFonts w:ascii="宋体" w:hAnsi="宋体" w:cs="宋体"/>
                <w:sz w:val="18"/>
                <w:szCs w:val="18"/>
              </w:rPr>
            </w:pPr>
            <w:r>
              <w:rPr>
                <w:rFonts w:hint="eastAsia"/>
                <w:b/>
                <w:bCs/>
                <w:sz w:val="24"/>
              </w:rPr>
              <w:t>3、180WLED灯头光效不低于120LM/W，色温在4000K，要求整套灯具及灯具内零部件（光源芯片、浪涌保护器、驱动电源）必须为同一厂家品牌产品，不接受组装产品。180W灯具投射角度0°—90°任意调节。</w:t>
            </w:r>
          </w:p>
        </w:tc>
        <w:tc>
          <w:tcPr>
            <w:tcW w:w="930" w:type="dxa"/>
          </w:tcPr>
          <w:p>
            <w:pPr>
              <w:spacing w:line="400" w:lineRule="exact"/>
              <w:jc w:val="center"/>
              <w:rPr>
                <w:rFonts w:ascii="宋体" w:hAnsi="宋体" w:cs="宋体"/>
                <w:szCs w:val="21"/>
              </w:rPr>
            </w:pPr>
          </w:p>
        </w:tc>
        <w:tc>
          <w:tcPr>
            <w:tcW w:w="960" w:type="dxa"/>
          </w:tcPr>
          <w:p>
            <w:pPr>
              <w:spacing w:line="400" w:lineRule="exact"/>
              <w:jc w:val="center"/>
              <w:rPr>
                <w:rFonts w:ascii="宋体" w:hAnsi="宋体" w:cs="宋体"/>
                <w:szCs w:val="21"/>
              </w:rPr>
            </w:pPr>
          </w:p>
        </w:tc>
        <w:tc>
          <w:tcPr>
            <w:tcW w:w="915" w:type="dxa"/>
          </w:tcPr>
          <w:p>
            <w:pPr>
              <w:spacing w:line="400" w:lineRule="exact"/>
              <w:jc w:val="center"/>
              <w:rPr>
                <w:rFonts w:ascii="宋体" w:hAnsi="宋体" w:cs="宋体"/>
                <w:szCs w:val="21"/>
              </w:rPr>
            </w:pPr>
          </w:p>
        </w:tc>
        <w:tc>
          <w:tcPr>
            <w:tcW w:w="894" w:type="dxa"/>
          </w:tcPr>
          <w:p>
            <w:pPr>
              <w:spacing w:line="400" w:lineRule="exact"/>
              <w:jc w:val="center"/>
              <w:rPr>
                <w:rFonts w:ascii="宋体" w:hAnsi="宋体" w:cs="宋体"/>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6" w:hRule="atLeast"/>
          <w:jc w:val="center"/>
        </w:trPr>
        <w:tc>
          <w:tcPr>
            <w:tcW w:w="571" w:type="dxa"/>
          </w:tcPr>
          <w:p>
            <w:pPr>
              <w:rPr>
                <w:rFonts w:ascii="宋体" w:hAnsi="宋体" w:cs="宋体"/>
                <w:sz w:val="18"/>
                <w:szCs w:val="18"/>
              </w:rPr>
            </w:pPr>
            <w:r>
              <w:rPr>
                <w:rFonts w:hint="eastAsia"/>
                <w:szCs w:val="21"/>
              </w:rPr>
              <w:t>6</w:t>
            </w:r>
          </w:p>
        </w:tc>
        <w:tc>
          <w:tcPr>
            <w:tcW w:w="1129" w:type="dxa"/>
            <w:vAlign w:val="center"/>
          </w:tcPr>
          <w:p>
            <w:pPr>
              <w:jc w:val="center"/>
              <w:rPr>
                <w:rFonts w:ascii="宋体" w:hAnsi="宋体" w:cs="宋体"/>
                <w:sz w:val="18"/>
                <w:szCs w:val="18"/>
              </w:rPr>
            </w:pPr>
            <w:r>
              <w:rPr>
                <w:rFonts w:hint="eastAsia"/>
                <w:b/>
                <w:bCs/>
                <w:sz w:val="24"/>
              </w:rPr>
              <w:t>LED照明灯⑥</w:t>
            </w:r>
          </w:p>
        </w:tc>
        <w:tc>
          <w:tcPr>
            <w:tcW w:w="4433" w:type="dxa"/>
            <w:vAlign w:val="center"/>
          </w:tcPr>
          <w:p>
            <w:pPr>
              <w:rPr>
                <w:b/>
                <w:bCs/>
                <w:sz w:val="24"/>
              </w:rPr>
            </w:pPr>
            <w:r>
              <w:rPr>
                <w:rFonts w:hint="eastAsia"/>
                <w:b/>
                <w:bCs/>
                <w:sz w:val="24"/>
              </w:rPr>
              <w:t>1、单臂单火路灯， 150WLED灯头10米高。</w:t>
            </w:r>
          </w:p>
          <w:p>
            <w:pPr>
              <w:rPr>
                <w:b/>
                <w:bCs/>
                <w:sz w:val="24"/>
              </w:rPr>
            </w:pPr>
            <w:r>
              <w:rPr>
                <w:rFonts w:hint="eastAsia"/>
                <w:b/>
                <w:bCs/>
                <w:sz w:val="24"/>
              </w:rPr>
              <w:t>2、灯杆主杆采用优质Q235钢板经模压成型，热镀锌后黑色喷塑处理，底部圆钢尺寸为</w:t>
            </w:r>
            <w:r>
              <w:rPr>
                <w:rFonts w:hint="eastAsia" w:ascii="宋体" w:hAnsi="宋体"/>
                <w:b/>
                <w:bCs/>
                <w:sz w:val="24"/>
              </w:rPr>
              <w:t>Φ</w:t>
            </w:r>
            <w:r>
              <w:rPr>
                <w:rFonts w:hint="eastAsia"/>
                <w:b/>
                <w:bCs/>
                <w:sz w:val="24"/>
              </w:rPr>
              <w:t>180mm*2000 mm *</w:t>
            </w:r>
            <w:r>
              <w:rPr>
                <w:rFonts w:hint="eastAsia" w:ascii="宋体" w:hAnsi="宋体"/>
                <w:b/>
                <w:bCs/>
                <w:sz w:val="24"/>
              </w:rPr>
              <w:t>δ</w:t>
            </w:r>
            <w:r>
              <w:rPr>
                <w:rFonts w:hint="eastAsia"/>
                <w:b/>
                <w:bCs/>
                <w:sz w:val="24"/>
              </w:rPr>
              <w:t>4.0 mm，法兰及钢板壁厚不低于4.0mm，详见灯杆图形三。</w:t>
            </w:r>
          </w:p>
          <w:p>
            <w:pPr>
              <w:rPr>
                <w:rFonts w:ascii="宋体" w:hAnsi="宋体" w:cs="宋体"/>
                <w:sz w:val="18"/>
                <w:szCs w:val="18"/>
              </w:rPr>
            </w:pPr>
            <w:r>
              <w:rPr>
                <w:rFonts w:hint="eastAsia"/>
                <w:b/>
                <w:bCs/>
                <w:sz w:val="24"/>
              </w:rPr>
              <w:t>3、150WLED灯头光效不低于120LM/W，色温在4000K，要求整套灯具及灯具内零部件（光源芯片、浪涌保护器、驱动电源）必须为同一厂家品牌产品，不接受组装产品。150W灯具投射角度0°—90°任意调节。</w:t>
            </w:r>
          </w:p>
        </w:tc>
        <w:tc>
          <w:tcPr>
            <w:tcW w:w="930" w:type="dxa"/>
          </w:tcPr>
          <w:p>
            <w:pPr>
              <w:spacing w:line="400" w:lineRule="exact"/>
              <w:jc w:val="center"/>
              <w:rPr>
                <w:rFonts w:ascii="宋体" w:hAnsi="宋体" w:cs="宋体"/>
                <w:szCs w:val="21"/>
              </w:rPr>
            </w:pPr>
          </w:p>
        </w:tc>
        <w:tc>
          <w:tcPr>
            <w:tcW w:w="960" w:type="dxa"/>
          </w:tcPr>
          <w:p>
            <w:pPr>
              <w:spacing w:line="400" w:lineRule="exact"/>
              <w:jc w:val="center"/>
              <w:rPr>
                <w:rFonts w:ascii="宋体" w:hAnsi="宋体" w:cs="宋体"/>
                <w:szCs w:val="21"/>
              </w:rPr>
            </w:pPr>
          </w:p>
        </w:tc>
        <w:tc>
          <w:tcPr>
            <w:tcW w:w="915" w:type="dxa"/>
          </w:tcPr>
          <w:p>
            <w:pPr>
              <w:spacing w:line="400" w:lineRule="exact"/>
              <w:jc w:val="center"/>
              <w:rPr>
                <w:rFonts w:ascii="宋体" w:hAnsi="宋体" w:cs="宋体"/>
                <w:szCs w:val="21"/>
              </w:rPr>
            </w:pPr>
          </w:p>
        </w:tc>
        <w:tc>
          <w:tcPr>
            <w:tcW w:w="894" w:type="dxa"/>
          </w:tcPr>
          <w:p>
            <w:pPr>
              <w:spacing w:line="400" w:lineRule="exact"/>
              <w:jc w:val="center"/>
              <w:rPr>
                <w:rFonts w:ascii="宋体" w:hAnsi="宋体" w:cs="宋体"/>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6" w:hRule="atLeast"/>
          <w:jc w:val="center"/>
        </w:trPr>
        <w:tc>
          <w:tcPr>
            <w:tcW w:w="571" w:type="dxa"/>
            <w:vAlign w:val="center"/>
          </w:tcPr>
          <w:p>
            <w:pPr>
              <w:jc w:val="center"/>
              <w:rPr>
                <w:szCs w:val="21"/>
              </w:rPr>
            </w:pPr>
            <w:r>
              <w:rPr>
                <w:rFonts w:hint="eastAsia"/>
                <w:b/>
                <w:bCs/>
                <w:sz w:val="24"/>
              </w:rPr>
              <w:t>7</w:t>
            </w:r>
          </w:p>
        </w:tc>
        <w:tc>
          <w:tcPr>
            <w:tcW w:w="1129" w:type="dxa"/>
            <w:vAlign w:val="center"/>
          </w:tcPr>
          <w:p>
            <w:pPr>
              <w:jc w:val="center"/>
              <w:rPr>
                <w:b/>
                <w:bCs/>
                <w:sz w:val="24"/>
              </w:rPr>
            </w:pPr>
            <w:r>
              <w:rPr>
                <w:rFonts w:hint="eastAsia"/>
                <w:b/>
                <w:bCs/>
                <w:sz w:val="24"/>
              </w:rPr>
              <w:t>铜芯护套线</w:t>
            </w:r>
          </w:p>
        </w:tc>
        <w:tc>
          <w:tcPr>
            <w:tcW w:w="4433" w:type="dxa"/>
            <w:vAlign w:val="center"/>
          </w:tcPr>
          <w:p>
            <w:pPr>
              <w:rPr>
                <w:b/>
                <w:bCs/>
                <w:sz w:val="24"/>
              </w:rPr>
            </w:pPr>
            <w:r>
              <w:rPr>
                <w:rFonts w:hint="eastAsia"/>
                <w:b/>
                <w:bCs/>
                <w:sz w:val="24"/>
              </w:rPr>
              <w:t>上灯线3*2.5mm2铜芯护套线</w:t>
            </w:r>
          </w:p>
        </w:tc>
        <w:tc>
          <w:tcPr>
            <w:tcW w:w="930" w:type="dxa"/>
          </w:tcPr>
          <w:p>
            <w:pPr>
              <w:spacing w:line="400" w:lineRule="exact"/>
              <w:jc w:val="center"/>
              <w:rPr>
                <w:rFonts w:ascii="宋体" w:hAnsi="宋体" w:cs="宋体"/>
                <w:szCs w:val="21"/>
              </w:rPr>
            </w:pPr>
          </w:p>
        </w:tc>
        <w:tc>
          <w:tcPr>
            <w:tcW w:w="960" w:type="dxa"/>
          </w:tcPr>
          <w:p>
            <w:pPr>
              <w:spacing w:line="400" w:lineRule="exact"/>
              <w:jc w:val="center"/>
              <w:rPr>
                <w:rFonts w:ascii="宋体" w:hAnsi="宋体" w:cs="宋体"/>
                <w:szCs w:val="21"/>
              </w:rPr>
            </w:pPr>
          </w:p>
        </w:tc>
        <w:tc>
          <w:tcPr>
            <w:tcW w:w="915" w:type="dxa"/>
          </w:tcPr>
          <w:p>
            <w:pPr>
              <w:spacing w:line="400" w:lineRule="exact"/>
              <w:jc w:val="center"/>
              <w:rPr>
                <w:rFonts w:ascii="宋体" w:hAnsi="宋体" w:cs="宋体"/>
                <w:szCs w:val="21"/>
              </w:rPr>
            </w:pPr>
          </w:p>
        </w:tc>
        <w:tc>
          <w:tcPr>
            <w:tcW w:w="894" w:type="dxa"/>
          </w:tcPr>
          <w:p>
            <w:pPr>
              <w:spacing w:line="400" w:lineRule="exact"/>
              <w:jc w:val="center"/>
              <w:rPr>
                <w:rFonts w:ascii="宋体" w:hAnsi="宋体" w:cs="宋体"/>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6" w:hRule="atLeast"/>
          <w:jc w:val="center"/>
        </w:trPr>
        <w:tc>
          <w:tcPr>
            <w:tcW w:w="571" w:type="dxa"/>
            <w:vAlign w:val="center"/>
          </w:tcPr>
          <w:p>
            <w:pPr>
              <w:jc w:val="center"/>
              <w:rPr>
                <w:szCs w:val="21"/>
              </w:rPr>
            </w:pPr>
            <w:r>
              <w:rPr>
                <w:rFonts w:hint="eastAsia"/>
                <w:b/>
                <w:bCs/>
                <w:sz w:val="24"/>
              </w:rPr>
              <w:t>8</w:t>
            </w:r>
          </w:p>
        </w:tc>
        <w:tc>
          <w:tcPr>
            <w:tcW w:w="1129" w:type="dxa"/>
            <w:vAlign w:val="center"/>
          </w:tcPr>
          <w:p>
            <w:pPr>
              <w:jc w:val="center"/>
              <w:rPr>
                <w:b/>
                <w:bCs/>
                <w:sz w:val="24"/>
              </w:rPr>
            </w:pPr>
            <w:r>
              <w:rPr>
                <w:rFonts w:hint="eastAsia"/>
                <w:b/>
                <w:bCs/>
                <w:sz w:val="24"/>
              </w:rPr>
              <w:t>低压供电电缆</w:t>
            </w:r>
          </w:p>
        </w:tc>
        <w:tc>
          <w:tcPr>
            <w:tcW w:w="4433" w:type="dxa"/>
            <w:vAlign w:val="center"/>
          </w:tcPr>
          <w:p>
            <w:pPr>
              <w:rPr>
                <w:b/>
                <w:bCs/>
                <w:sz w:val="24"/>
              </w:rPr>
            </w:pPr>
            <w:r>
              <w:rPr>
                <w:rFonts w:hint="eastAsia"/>
                <w:b/>
                <w:bCs/>
                <w:sz w:val="24"/>
              </w:rPr>
              <w:t>铜芯电力电缆，YJV-0.6/1kV-5*16mm2</w:t>
            </w:r>
          </w:p>
        </w:tc>
        <w:tc>
          <w:tcPr>
            <w:tcW w:w="930" w:type="dxa"/>
          </w:tcPr>
          <w:p>
            <w:pPr>
              <w:spacing w:line="400" w:lineRule="exact"/>
              <w:jc w:val="center"/>
              <w:rPr>
                <w:rFonts w:ascii="宋体" w:hAnsi="宋体" w:cs="宋体"/>
                <w:szCs w:val="21"/>
              </w:rPr>
            </w:pPr>
          </w:p>
        </w:tc>
        <w:tc>
          <w:tcPr>
            <w:tcW w:w="960" w:type="dxa"/>
          </w:tcPr>
          <w:p>
            <w:pPr>
              <w:spacing w:line="400" w:lineRule="exact"/>
              <w:jc w:val="center"/>
              <w:rPr>
                <w:rFonts w:ascii="宋体" w:hAnsi="宋体" w:cs="宋体"/>
                <w:szCs w:val="21"/>
              </w:rPr>
            </w:pPr>
          </w:p>
        </w:tc>
        <w:tc>
          <w:tcPr>
            <w:tcW w:w="915" w:type="dxa"/>
          </w:tcPr>
          <w:p>
            <w:pPr>
              <w:spacing w:line="400" w:lineRule="exact"/>
              <w:jc w:val="center"/>
              <w:rPr>
                <w:rFonts w:ascii="宋体" w:hAnsi="宋体" w:cs="宋体"/>
                <w:szCs w:val="21"/>
              </w:rPr>
            </w:pPr>
          </w:p>
        </w:tc>
        <w:tc>
          <w:tcPr>
            <w:tcW w:w="894" w:type="dxa"/>
          </w:tcPr>
          <w:p>
            <w:pPr>
              <w:spacing w:line="400" w:lineRule="exact"/>
              <w:jc w:val="center"/>
              <w:rPr>
                <w:rFonts w:ascii="宋体" w:hAnsi="宋体" w:cs="宋体"/>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6" w:hRule="atLeast"/>
          <w:jc w:val="center"/>
        </w:trPr>
        <w:tc>
          <w:tcPr>
            <w:tcW w:w="571" w:type="dxa"/>
            <w:vAlign w:val="center"/>
          </w:tcPr>
          <w:p>
            <w:pPr>
              <w:jc w:val="center"/>
              <w:rPr>
                <w:szCs w:val="21"/>
              </w:rPr>
            </w:pPr>
            <w:r>
              <w:rPr>
                <w:rFonts w:hint="eastAsia"/>
                <w:b/>
                <w:bCs/>
                <w:sz w:val="24"/>
              </w:rPr>
              <w:t>9</w:t>
            </w:r>
          </w:p>
        </w:tc>
        <w:tc>
          <w:tcPr>
            <w:tcW w:w="1129" w:type="dxa"/>
            <w:vAlign w:val="center"/>
          </w:tcPr>
          <w:p>
            <w:pPr>
              <w:jc w:val="center"/>
              <w:rPr>
                <w:b/>
                <w:bCs/>
                <w:sz w:val="24"/>
              </w:rPr>
            </w:pPr>
            <w:r>
              <w:rPr>
                <w:rFonts w:hint="eastAsia"/>
                <w:b/>
                <w:bCs/>
                <w:sz w:val="24"/>
              </w:rPr>
              <w:t>低压供电电缆</w:t>
            </w:r>
          </w:p>
        </w:tc>
        <w:tc>
          <w:tcPr>
            <w:tcW w:w="4433" w:type="dxa"/>
            <w:vAlign w:val="center"/>
          </w:tcPr>
          <w:p>
            <w:pPr>
              <w:rPr>
                <w:b/>
                <w:bCs/>
                <w:sz w:val="24"/>
              </w:rPr>
            </w:pPr>
            <w:r>
              <w:rPr>
                <w:rFonts w:hint="eastAsia"/>
                <w:b/>
                <w:bCs/>
                <w:sz w:val="24"/>
              </w:rPr>
              <w:t>铝芯电力电缆，VLV-0.6/1kV-4*50mm2</w:t>
            </w:r>
          </w:p>
        </w:tc>
        <w:tc>
          <w:tcPr>
            <w:tcW w:w="930" w:type="dxa"/>
          </w:tcPr>
          <w:p>
            <w:pPr>
              <w:spacing w:line="400" w:lineRule="exact"/>
              <w:jc w:val="center"/>
              <w:rPr>
                <w:rFonts w:ascii="宋体" w:hAnsi="宋体" w:cs="宋体"/>
                <w:szCs w:val="21"/>
              </w:rPr>
            </w:pPr>
          </w:p>
        </w:tc>
        <w:tc>
          <w:tcPr>
            <w:tcW w:w="960" w:type="dxa"/>
          </w:tcPr>
          <w:p>
            <w:pPr>
              <w:spacing w:line="400" w:lineRule="exact"/>
              <w:jc w:val="center"/>
              <w:rPr>
                <w:rFonts w:ascii="宋体" w:hAnsi="宋体" w:cs="宋体"/>
                <w:szCs w:val="21"/>
              </w:rPr>
            </w:pPr>
          </w:p>
        </w:tc>
        <w:tc>
          <w:tcPr>
            <w:tcW w:w="915" w:type="dxa"/>
          </w:tcPr>
          <w:p>
            <w:pPr>
              <w:spacing w:line="400" w:lineRule="exact"/>
              <w:jc w:val="center"/>
              <w:rPr>
                <w:rFonts w:ascii="宋体" w:hAnsi="宋体" w:cs="宋体"/>
                <w:szCs w:val="21"/>
              </w:rPr>
            </w:pPr>
          </w:p>
        </w:tc>
        <w:tc>
          <w:tcPr>
            <w:tcW w:w="894" w:type="dxa"/>
          </w:tcPr>
          <w:p>
            <w:pPr>
              <w:spacing w:line="400" w:lineRule="exact"/>
              <w:jc w:val="center"/>
              <w:rPr>
                <w:rFonts w:ascii="宋体" w:hAnsi="宋体" w:cs="宋体"/>
                <w:szCs w:val="21"/>
              </w:rPr>
            </w:pPr>
          </w:p>
        </w:tc>
      </w:tr>
    </w:tbl>
    <w:p>
      <w:pPr>
        <w:pStyle w:val="9"/>
        <w:snapToGrid w:val="0"/>
        <w:spacing w:before="295" w:after="295" w:line="400" w:lineRule="exact"/>
        <w:rPr>
          <w:rFonts w:hAnsi="宋体" w:cs="宋体"/>
          <w:szCs w:val="21"/>
          <w:highlight w:val="red"/>
        </w:rPr>
      </w:pPr>
      <w:r>
        <w:rPr>
          <w:rFonts w:hint="eastAsia" w:hAnsi="宋体" w:cs="宋体"/>
          <w:szCs w:val="21"/>
        </w:rPr>
        <w:t>注：单价应包含货物购置费、运输费、装卸费、安装及售后服务费、检验费及税金等全部相关费用。</w:t>
      </w:r>
    </w:p>
    <w:p>
      <w:pPr>
        <w:snapToGrid w:val="0"/>
        <w:spacing w:before="50" w:after="50"/>
        <w:ind w:left="-2" w:leftChars="-1" w:right="-817" w:rightChars="-389"/>
        <w:rPr>
          <w:rFonts w:ascii="宋体" w:hAnsi="宋体" w:cs="宋体"/>
          <w:szCs w:val="21"/>
        </w:rPr>
      </w:pPr>
      <w:r>
        <w:rPr>
          <w:rFonts w:hint="eastAsia" w:ascii="宋体" w:hAnsi="宋体" w:cs="宋体"/>
          <w:szCs w:val="21"/>
        </w:rPr>
        <w:t>法定代表人或授权代表（签字或盖章）：</w:t>
      </w:r>
    </w:p>
    <w:p>
      <w:pPr>
        <w:snapToGrid w:val="0"/>
        <w:spacing w:before="50" w:after="50"/>
        <w:ind w:left="-2" w:leftChars="-1" w:right="-817" w:rightChars="-389"/>
        <w:rPr>
          <w:rFonts w:ascii="宋体" w:hAnsi="宋体" w:cs="宋体"/>
          <w:szCs w:val="21"/>
        </w:rPr>
      </w:pPr>
    </w:p>
    <w:p>
      <w:pPr>
        <w:snapToGrid w:val="0"/>
        <w:spacing w:before="50" w:after="50"/>
        <w:ind w:left="-6" w:leftChars="-15" w:right="-817" w:rightChars="-389" w:hanging="25" w:hangingChars="12"/>
        <w:rPr>
          <w:rFonts w:ascii="宋体" w:hAnsi="宋体" w:cs="宋体"/>
          <w:szCs w:val="21"/>
        </w:rPr>
      </w:pPr>
      <w:r>
        <w:rPr>
          <w:rFonts w:hint="eastAsia" w:ascii="宋体" w:hAnsi="宋体" w:cs="宋体"/>
          <w:szCs w:val="21"/>
        </w:rPr>
        <w:t>投标人名称（盖章）：</w:t>
      </w:r>
    </w:p>
    <w:p>
      <w:pPr>
        <w:snapToGrid w:val="0"/>
        <w:spacing w:before="50" w:after="50"/>
        <w:ind w:left="-6" w:leftChars="-15" w:right="-817" w:rightChars="-389" w:hanging="25" w:hangingChars="12"/>
        <w:rPr>
          <w:rFonts w:ascii="宋体" w:hAnsi="宋体" w:cs="宋体"/>
          <w:szCs w:val="21"/>
        </w:rPr>
      </w:pPr>
    </w:p>
    <w:p>
      <w:pPr>
        <w:spacing w:line="360" w:lineRule="auto"/>
        <w:rPr>
          <w:rFonts w:ascii="宋体" w:hAnsi="宋体" w:cs="宋体"/>
          <w:szCs w:val="21"/>
        </w:rPr>
      </w:pPr>
      <w:r>
        <w:rPr>
          <w:rFonts w:hint="eastAsia" w:ascii="宋体" w:hAnsi="宋体" w:cs="宋体"/>
          <w:szCs w:val="21"/>
        </w:rPr>
        <w:t>日期：    年    月    日</w:t>
      </w: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b/>
          <w:bCs/>
        </w:rPr>
      </w:pPr>
    </w:p>
    <w:p>
      <w:pPr>
        <w:spacing w:line="360" w:lineRule="auto"/>
        <w:rPr>
          <w:rFonts w:ascii="新宋体" w:hAnsi="新宋体" w:eastAsia="新宋体"/>
          <w:b/>
          <w:bCs/>
        </w:rPr>
      </w:pPr>
      <w:r>
        <w:rPr>
          <w:rFonts w:hint="eastAsia" w:ascii="新宋体" w:hAnsi="新宋体" w:eastAsia="新宋体"/>
          <w:b/>
          <w:bCs/>
        </w:rPr>
        <w:t>附件4.投标保证金</w:t>
      </w:r>
    </w:p>
    <w:p/>
    <w:p>
      <w:pPr>
        <w:spacing w:line="360" w:lineRule="auto"/>
        <w:rPr>
          <w:rFonts w:ascii="新宋体" w:hAnsi="新宋体" w:eastAsia="新宋体"/>
          <w:b/>
          <w:bCs/>
        </w:rPr>
      </w:pPr>
      <w:r>
        <w:rPr>
          <w:rFonts w:hint="eastAsia" w:ascii="新宋体" w:hAnsi="新宋体" w:eastAsia="新宋体"/>
          <w:b/>
          <w:bCs/>
        </w:rPr>
        <w:t>………………………………………………………………………………………………………………</w:t>
      </w:r>
    </w:p>
    <w:p>
      <w:pPr>
        <w:pStyle w:val="9"/>
        <w:spacing w:line="400" w:lineRule="atLeast"/>
        <w:rPr>
          <w:rFonts w:ascii="新宋体" w:hAnsi="新宋体" w:eastAsia="新宋体"/>
          <w:b/>
          <w:bCs/>
        </w:rPr>
      </w:pPr>
      <w:r>
        <w:rPr>
          <w:rFonts w:hint="eastAsia" w:ascii="新宋体" w:hAnsi="新宋体" w:eastAsia="新宋体"/>
          <w:b/>
          <w:bCs/>
        </w:rPr>
        <w:t>注：附投标保证金有效证明资料。</w:t>
      </w:r>
    </w:p>
    <w:p>
      <w:pPr>
        <w:pStyle w:val="9"/>
        <w:spacing w:line="400" w:lineRule="atLeast"/>
        <w:rPr>
          <w:rFonts w:ascii="新宋体" w:hAnsi="新宋体" w:eastAsia="新宋体"/>
          <w:b/>
          <w:bCs/>
        </w:rPr>
      </w:pPr>
    </w:p>
    <w:p>
      <w:pPr>
        <w:pStyle w:val="9"/>
        <w:spacing w:line="400" w:lineRule="atLeast"/>
        <w:rPr>
          <w:rFonts w:ascii="新宋体" w:hAnsi="新宋体" w:eastAsia="新宋体"/>
          <w:b/>
          <w:bCs/>
        </w:rPr>
      </w:pPr>
    </w:p>
    <w:p>
      <w:pPr>
        <w:pStyle w:val="9"/>
        <w:spacing w:line="400" w:lineRule="atLeast"/>
        <w:rPr>
          <w:rFonts w:ascii="新宋体" w:hAnsi="新宋体" w:eastAsia="新宋体"/>
          <w:b/>
          <w:bCs/>
        </w:rPr>
      </w:pPr>
      <w:r>
        <w:rPr>
          <w:rFonts w:hint="eastAsia" w:ascii="新宋体" w:hAnsi="新宋体" w:eastAsia="新宋体"/>
          <w:b/>
          <w:bCs/>
        </w:rPr>
        <w:t>附件5.服务承诺及技术方案格式</w:t>
      </w:r>
      <w:bookmarkEnd w:id="360"/>
    </w:p>
    <w:p>
      <w:pPr>
        <w:rPr>
          <w:rFonts w:ascii="仿宋_GB2312" w:eastAsia="仿宋_GB2312"/>
          <w:szCs w:val="21"/>
        </w:rPr>
      </w:pPr>
    </w:p>
    <w:p>
      <w:pPr>
        <w:jc w:val="center"/>
        <w:rPr>
          <w:rFonts w:ascii="新宋体" w:hAnsi="新宋体" w:eastAsia="新宋体"/>
          <w:b/>
          <w:szCs w:val="21"/>
        </w:rPr>
      </w:pPr>
      <w:r>
        <w:rPr>
          <w:rFonts w:hint="eastAsia" w:ascii="新宋体" w:hAnsi="新宋体" w:eastAsia="新宋体"/>
          <w:b/>
          <w:szCs w:val="21"/>
        </w:rPr>
        <w:t>服务承诺格式</w:t>
      </w:r>
    </w:p>
    <w:p>
      <w:pPr>
        <w:spacing w:beforeLines="20" w:afterLines="20" w:line="360" w:lineRule="auto"/>
        <w:ind w:firstLine="2940" w:firstLineChars="1400"/>
        <w:rPr>
          <w:rFonts w:ascii="新宋体" w:hAnsi="新宋体" w:eastAsia="新宋体"/>
          <w:szCs w:val="21"/>
        </w:rPr>
      </w:pPr>
      <w:r>
        <w:rPr>
          <w:rFonts w:hint="eastAsia" w:ascii="新宋体" w:hAnsi="新宋体" w:eastAsia="新宋体"/>
          <w:szCs w:val="21"/>
        </w:rPr>
        <w:t>(供应商可自行制作格式)</w:t>
      </w:r>
    </w:p>
    <w:p>
      <w:pPr>
        <w:jc w:val="center"/>
        <w:rPr>
          <w:rFonts w:ascii="新宋体" w:hAnsi="新宋体" w:eastAsia="新宋体"/>
          <w:b/>
          <w:szCs w:val="21"/>
        </w:rPr>
      </w:pPr>
      <w:r>
        <w:rPr>
          <w:rFonts w:hint="eastAsia" w:ascii="新宋体" w:hAnsi="新宋体" w:eastAsia="新宋体"/>
          <w:b/>
          <w:bCs/>
        </w:rPr>
        <w:t>技术方案</w:t>
      </w:r>
      <w:r>
        <w:rPr>
          <w:rFonts w:hint="eastAsia" w:ascii="新宋体" w:hAnsi="新宋体" w:eastAsia="新宋体"/>
          <w:b/>
          <w:szCs w:val="21"/>
        </w:rPr>
        <w:t>格式</w:t>
      </w:r>
    </w:p>
    <w:p>
      <w:pPr>
        <w:spacing w:beforeLines="20" w:afterLines="20" w:line="360" w:lineRule="auto"/>
        <w:ind w:firstLine="2940" w:firstLineChars="1400"/>
        <w:rPr>
          <w:rFonts w:ascii="新宋体" w:hAnsi="新宋体" w:eastAsia="新宋体"/>
          <w:b/>
          <w:bCs/>
        </w:rPr>
      </w:pPr>
      <w:r>
        <w:rPr>
          <w:rFonts w:hint="eastAsia" w:ascii="新宋体" w:hAnsi="新宋体" w:eastAsia="新宋体"/>
          <w:szCs w:val="21"/>
        </w:rPr>
        <w:t>(供应商可自行制作格式</w:t>
      </w:r>
      <w:bookmarkStart w:id="361" w:name="_Toc275431239"/>
    </w:p>
    <w:p>
      <w:pPr>
        <w:pStyle w:val="9"/>
        <w:spacing w:line="400" w:lineRule="atLeast"/>
        <w:rPr>
          <w:rFonts w:ascii="新宋体" w:hAnsi="新宋体" w:eastAsia="新宋体"/>
          <w:b/>
          <w:bCs/>
        </w:rPr>
      </w:pPr>
      <w:r>
        <w:rPr>
          <w:rFonts w:hint="eastAsia" w:ascii="新宋体" w:hAnsi="新宋体" w:eastAsia="新宋体"/>
          <w:b/>
          <w:bCs/>
        </w:rPr>
        <w:t>附件6.中标服务费承诺书格式</w:t>
      </w:r>
      <w:bookmarkEnd w:id="361"/>
    </w:p>
    <w:p>
      <w:pPr>
        <w:pStyle w:val="9"/>
        <w:spacing w:line="400" w:lineRule="atLeast"/>
        <w:rPr>
          <w:rFonts w:ascii="新宋体" w:hAnsi="新宋体" w:eastAsia="新宋体"/>
          <w:b/>
          <w:bCs/>
        </w:rPr>
      </w:pPr>
    </w:p>
    <w:p>
      <w:pPr>
        <w:pStyle w:val="4"/>
      </w:pPr>
      <w:r>
        <w:rPr>
          <w:rFonts w:hint="eastAsia"/>
        </w:rPr>
        <w:t>中标服务费承诺书</w:t>
      </w: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致：</w:t>
      </w:r>
      <w:r>
        <w:rPr>
          <w:rFonts w:hint="eastAsia" w:ascii="宋体" w:hAnsi="宋体"/>
          <w:i/>
          <w:szCs w:val="21"/>
          <w:u w:val="single"/>
        </w:rPr>
        <w:t>（采购代理机构 ）</w:t>
      </w:r>
    </w:p>
    <w:p>
      <w:pPr>
        <w:spacing w:line="360" w:lineRule="auto"/>
        <w:rPr>
          <w:rFonts w:ascii="宋体" w:hAnsi="宋体"/>
          <w:szCs w:val="21"/>
        </w:rPr>
      </w:pPr>
    </w:p>
    <w:p>
      <w:pPr>
        <w:spacing w:line="360" w:lineRule="auto"/>
        <w:ind w:firstLine="480"/>
        <w:rPr>
          <w:rFonts w:ascii="宋体" w:hAnsi="宋体"/>
          <w:szCs w:val="21"/>
        </w:rPr>
      </w:pPr>
      <w:r>
        <w:rPr>
          <w:rFonts w:hint="eastAsia" w:ascii="宋体" w:hAnsi="宋体"/>
          <w:szCs w:val="21"/>
        </w:rPr>
        <w:t>我们在贵公司组织的</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rPr>
        <w:t>项目（工程）招标中若获中标（项目编号：           ），我们保证在领取《中标通知书》5日内，按招标文件的规定向贵公司一次性支付应该交纳的中标服务费用。</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承诺方法定名称：</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rPr>
        <w:t>（承诺方盖章）</w:t>
      </w:r>
    </w:p>
    <w:p>
      <w:pPr>
        <w:spacing w:line="36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r>
        <w:rPr>
          <w:rFonts w:hint="eastAsia" w:ascii="宋体" w:hAnsi="宋体"/>
          <w:szCs w:val="21"/>
        </w:rPr>
        <w:t>电话：</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r>
        <w:rPr>
          <w:rFonts w:hint="eastAsia" w:ascii="宋体" w:hAnsi="宋体"/>
          <w:szCs w:val="21"/>
        </w:rPr>
        <w:t>传真：</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rPr>
      </w:pPr>
      <w:r>
        <w:rPr>
          <w:rFonts w:hint="eastAsia" w:ascii="宋体" w:hAnsi="宋体"/>
          <w:szCs w:val="21"/>
        </w:rPr>
        <w:t>邮编：</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rPr>
      </w:pPr>
      <w:r>
        <w:rPr>
          <w:rFonts w:hint="eastAsia" w:ascii="宋体" w:hAnsi="宋体"/>
          <w:szCs w:val="21"/>
        </w:rPr>
        <w:t>承诺方授权代表签字：</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r>
        <w:rPr>
          <w:rFonts w:hint="eastAsia" w:ascii="宋体" w:hAnsi="宋体"/>
          <w:szCs w:val="21"/>
        </w:rPr>
        <w:t>承诺日期：</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　　</w:t>
      </w:r>
    </w:p>
    <w:p>
      <w:pPr>
        <w:pStyle w:val="9"/>
        <w:spacing w:line="360" w:lineRule="auto"/>
        <w:rPr>
          <w:rFonts w:hAnsi="宋体"/>
          <w:b/>
          <w:bCs/>
        </w:rPr>
      </w:pPr>
      <w:bookmarkStart w:id="362" w:name="_Toc270946251"/>
      <w:bookmarkStart w:id="363" w:name="_Toc267574184"/>
    </w:p>
    <w:p>
      <w:pPr>
        <w:pStyle w:val="9"/>
        <w:spacing w:line="360" w:lineRule="auto"/>
        <w:rPr>
          <w:rFonts w:hAnsi="宋体"/>
          <w:b/>
          <w:bCs/>
        </w:rPr>
      </w:pPr>
    </w:p>
    <w:p>
      <w:pPr>
        <w:pStyle w:val="9"/>
        <w:spacing w:line="360" w:lineRule="auto"/>
        <w:rPr>
          <w:rFonts w:hAnsi="宋体"/>
          <w:b/>
          <w:bCs/>
        </w:rPr>
      </w:pPr>
    </w:p>
    <w:p>
      <w:pPr>
        <w:pStyle w:val="9"/>
        <w:spacing w:line="360" w:lineRule="auto"/>
        <w:rPr>
          <w:rFonts w:hAnsi="宋体"/>
          <w:b/>
          <w:bCs/>
        </w:rPr>
      </w:pPr>
    </w:p>
    <w:p>
      <w:pPr>
        <w:pStyle w:val="9"/>
        <w:spacing w:line="360" w:lineRule="auto"/>
        <w:rPr>
          <w:rFonts w:hAnsi="宋体"/>
          <w:b/>
          <w:bCs/>
        </w:rPr>
      </w:pPr>
      <w:r>
        <w:rPr>
          <w:rFonts w:hint="eastAsia" w:hAnsi="宋体"/>
          <w:b/>
          <w:bCs/>
        </w:rPr>
        <w:t>附件7</w:t>
      </w:r>
      <w:bookmarkEnd w:id="362"/>
      <w:bookmarkEnd w:id="363"/>
      <w:r>
        <w:rPr>
          <w:rFonts w:hint="eastAsia" w:hAnsi="宋体"/>
          <w:b/>
          <w:bCs/>
        </w:rPr>
        <w:t>.反商业贿赂承诺书</w:t>
      </w:r>
    </w:p>
    <w:p>
      <w:pPr>
        <w:pStyle w:val="9"/>
        <w:spacing w:line="360" w:lineRule="auto"/>
        <w:rPr>
          <w:rFonts w:hAnsi="宋体"/>
          <w:b/>
          <w:bCs/>
        </w:rPr>
      </w:pPr>
    </w:p>
    <w:p>
      <w:pPr>
        <w:pStyle w:val="4"/>
      </w:pPr>
      <w:r>
        <w:rPr>
          <w:rFonts w:hint="eastAsia"/>
        </w:rPr>
        <w:t>反商业贿赂承诺书</w:t>
      </w:r>
    </w:p>
    <w:p>
      <w:pPr>
        <w:widowControl/>
        <w:spacing w:line="360" w:lineRule="auto"/>
        <w:rPr>
          <w:rFonts w:ascii="宋体" w:hAnsi="宋体"/>
          <w:szCs w:val="21"/>
        </w:rPr>
      </w:pPr>
      <w:r>
        <w:rPr>
          <w:rFonts w:hint="eastAsia" w:ascii="宋体" w:hAnsi="宋体"/>
          <w:szCs w:val="21"/>
        </w:rPr>
        <w:t xml:space="preserve">我公司承诺：  </w:t>
      </w:r>
    </w:p>
    <w:p>
      <w:pPr>
        <w:widowControl/>
        <w:spacing w:line="360" w:lineRule="auto"/>
        <w:ind w:firstLine="420" w:firstLineChars="200"/>
        <w:rPr>
          <w:rFonts w:ascii="宋体" w:hAnsi="宋体"/>
          <w:szCs w:val="21"/>
        </w:rPr>
      </w:pPr>
      <w:r>
        <w:rPr>
          <w:rFonts w:hint="eastAsia" w:ascii="宋体" w:hAnsi="宋体"/>
          <w:szCs w:val="21"/>
        </w:rPr>
        <w:t>在采购项目（项目编号：）招标活动中，我公司保证做到：</w:t>
      </w:r>
    </w:p>
    <w:p>
      <w:pPr>
        <w:spacing w:line="360" w:lineRule="auto"/>
        <w:ind w:firstLine="420" w:firstLineChars="200"/>
        <w:rPr>
          <w:rFonts w:ascii="宋体" w:hAnsi="宋体"/>
          <w:szCs w:val="21"/>
        </w:rPr>
      </w:pPr>
      <w:r>
        <w:rPr>
          <w:rFonts w:hint="eastAsia" w:ascii="宋体" w:hAnsi="宋体"/>
          <w:szCs w:val="21"/>
        </w:rPr>
        <w:t>一、公平竞争参加本次招标活动。</w:t>
      </w:r>
    </w:p>
    <w:p>
      <w:pPr>
        <w:spacing w:line="360" w:lineRule="auto"/>
        <w:ind w:firstLine="420" w:firstLineChars="200"/>
        <w:rPr>
          <w:rFonts w:ascii="宋体" w:hAnsi="宋体"/>
          <w:szCs w:val="21"/>
        </w:rPr>
      </w:pPr>
      <w:r>
        <w:rPr>
          <w:rFonts w:hint="eastAsia" w:ascii="宋体" w:hAnsi="宋体"/>
          <w:szCs w:val="21"/>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ind w:firstLine="420" w:firstLineChars="200"/>
        <w:rPr>
          <w:rFonts w:ascii="宋体" w:hAnsi="宋体"/>
          <w:szCs w:val="21"/>
        </w:rPr>
      </w:pPr>
      <w:r>
        <w:rPr>
          <w:rFonts w:hint="eastAsia" w:ascii="宋体" w:hAnsi="宋体"/>
          <w:szCs w:val="21"/>
        </w:rPr>
        <w:t>三、若出现上述行为，我公司及参与投标的工作人员愿意接受按照国家法律法规等有关规定给予的处罚。</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right="561" w:firstLine="4410" w:firstLineChars="2100"/>
        <w:rPr>
          <w:rFonts w:ascii="宋体" w:hAnsi="宋体"/>
          <w:szCs w:val="21"/>
        </w:rPr>
      </w:pPr>
      <w:r>
        <w:rPr>
          <w:rFonts w:hint="eastAsia" w:ascii="宋体" w:hAnsi="宋体"/>
          <w:szCs w:val="21"/>
        </w:rPr>
        <w:t>公司法人代表（签字）：</w:t>
      </w:r>
    </w:p>
    <w:p>
      <w:pPr>
        <w:spacing w:line="360" w:lineRule="auto"/>
        <w:ind w:right="561" w:firstLine="4410" w:firstLineChars="2100"/>
        <w:rPr>
          <w:rFonts w:ascii="宋体" w:hAnsi="宋体"/>
          <w:szCs w:val="21"/>
        </w:rPr>
      </w:pPr>
      <w:r>
        <w:rPr>
          <w:rFonts w:hint="eastAsia" w:ascii="新宋体" w:hAnsi="新宋体" w:eastAsia="新宋体"/>
          <w:szCs w:val="21"/>
        </w:rPr>
        <w:t>被授权委托人</w:t>
      </w:r>
      <w:r>
        <w:rPr>
          <w:rFonts w:hint="eastAsia" w:ascii="宋体" w:hAnsi="宋体"/>
          <w:szCs w:val="21"/>
        </w:rPr>
        <w:t>（签字）：</w:t>
      </w:r>
    </w:p>
    <w:p>
      <w:pPr>
        <w:spacing w:line="360" w:lineRule="auto"/>
        <w:ind w:right="560" w:firstLine="4620" w:firstLineChars="2200"/>
        <w:rPr>
          <w:rFonts w:ascii="宋体" w:hAnsi="宋体"/>
          <w:szCs w:val="21"/>
        </w:rPr>
      </w:pPr>
    </w:p>
    <w:p>
      <w:pPr>
        <w:spacing w:line="360" w:lineRule="auto"/>
        <w:ind w:right="560" w:firstLine="4620" w:firstLineChars="2200"/>
        <w:rPr>
          <w:rFonts w:ascii="宋体" w:hAnsi="宋体"/>
          <w:szCs w:val="21"/>
        </w:rPr>
      </w:pPr>
      <w:r>
        <w:rPr>
          <w:rFonts w:hint="eastAsia" w:ascii="宋体" w:hAnsi="宋体"/>
          <w:szCs w:val="21"/>
        </w:rPr>
        <w:t>（公章）：</w:t>
      </w:r>
    </w:p>
    <w:p>
      <w:pPr>
        <w:spacing w:line="360" w:lineRule="auto"/>
        <w:ind w:right="560" w:firstLine="4515" w:firstLineChars="2150"/>
        <w:rPr>
          <w:rFonts w:ascii="宋体" w:hAnsi="宋体"/>
          <w:szCs w:val="21"/>
        </w:rPr>
      </w:pPr>
      <w:r>
        <w:rPr>
          <w:rFonts w:hint="eastAsia" w:ascii="宋体" w:hAnsi="宋体"/>
          <w:szCs w:val="21"/>
        </w:rPr>
        <w:t xml:space="preserve">  年  月  日</w:t>
      </w:r>
    </w:p>
    <w:p>
      <w:pPr>
        <w:spacing w:beforeLines="20" w:afterLines="20" w:line="360" w:lineRule="auto"/>
        <w:ind w:firstLine="2940" w:firstLineChars="1400"/>
        <w:rPr>
          <w:rFonts w:ascii="宋体" w:hAnsi="宋体"/>
          <w:szCs w:val="21"/>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9"/>
        <w:spacing w:line="400" w:lineRule="atLeast"/>
        <w:rPr>
          <w:rFonts w:ascii="新宋体" w:hAnsi="新宋体" w:eastAsia="新宋体"/>
          <w:b/>
          <w:bCs/>
        </w:rPr>
      </w:pPr>
      <w:bookmarkStart w:id="364" w:name="_Toc275431244"/>
      <w:bookmarkStart w:id="365" w:name="_Toc181348189"/>
      <w:bookmarkStart w:id="366" w:name="_Toc248025937"/>
      <w:bookmarkStart w:id="367" w:name="_Toc181344379"/>
      <w:bookmarkStart w:id="368" w:name="_Toc137651754"/>
      <w:r>
        <w:rPr>
          <w:rFonts w:hint="eastAsia" w:ascii="新宋体" w:hAnsi="新宋体" w:eastAsia="新宋体"/>
          <w:b/>
          <w:bCs/>
        </w:rPr>
        <w:t>附件8</w:t>
      </w:r>
      <w:bookmarkEnd w:id="364"/>
      <w:bookmarkEnd w:id="365"/>
      <w:bookmarkEnd w:id="366"/>
      <w:bookmarkEnd w:id="367"/>
      <w:bookmarkStart w:id="369" w:name="_Toc275431245"/>
      <w:bookmarkStart w:id="370" w:name="_Toc181348190"/>
      <w:bookmarkStart w:id="371" w:name="_Toc181344380"/>
      <w:bookmarkStart w:id="372" w:name="_Toc248025938"/>
      <w:r>
        <w:rPr>
          <w:rFonts w:hint="eastAsia" w:ascii="新宋体" w:hAnsi="新宋体" w:eastAsia="新宋体"/>
          <w:b/>
          <w:bCs/>
        </w:rPr>
        <w:t>.法定代表人授权书</w:t>
      </w:r>
      <w:bookmarkEnd w:id="368"/>
      <w:bookmarkEnd w:id="369"/>
      <w:bookmarkEnd w:id="370"/>
      <w:bookmarkEnd w:id="371"/>
      <w:bookmarkEnd w:id="372"/>
    </w:p>
    <w:p>
      <w:pPr>
        <w:spacing w:line="360" w:lineRule="auto"/>
        <w:ind w:firstLine="420" w:firstLineChars="200"/>
        <w:rPr>
          <w:rFonts w:ascii="新宋体" w:hAnsi="新宋体" w:eastAsia="新宋体"/>
          <w:szCs w:val="21"/>
        </w:rPr>
      </w:pPr>
      <w:bookmarkStart w:id="373" w:name="_Hlt520343000"/>
      <w:bookmarkEnd w:id="373"/>
      <w:bookmarkStart w:id="374" w:name="_Hlt520271212"/>
      <w:bookmarkEnd w:id="374"/>
      <w:bookmarkStart w:id="375" w:name="_Hlt520273711"/>
      <w:bookmarkEnd w:id="375"/>
      <w:bookmarkStart w:id="376" w:name="_Hlt520274065"/>
      <w:bookmarkEnd w:id="376"/>
      <w:bookmarkStart w:id="377" w:name="_Hlt520350918"/>
      <w:bookmarkEnd w:id="377"/>
      <w:bookmarkStart w:id="378" w:name="_Hlt520343392"/>
      <w:bookmarkEnd w:id="378"/>
      <w:bookmarkStart w:id="379" w:name="_Hlt520274407"/>
      <w:bookmarkEnd w:id="379"/>
      <w:bookmarkStart w:id="380" w:name="_Hlt520274393"/>
      <w:bookmarkEnd w:id="380"/>
    </w:p>
    <w:p>
      <w:pPr>
        <w:spacing w:line="360" w:lineRule="auto"/>
        <w:ind w:firstLine="420" w:firstLineChars="200"/>
        <w:rPr>
          <w:rFonts w:ascii="新宋体" w:hAnsi="新宋体" w:eastAsia="新宋体"/>
          <w:szCs w:val="21"/>
        </w:rPr>
      </w:pPr>
      <w:r>
        <w:rPr>
          <w:rFonts w:hint="eastAsia" w:ascii="新宋体" w:hAnsi="新宋体" w:eastAsia="新宋体"/>
          <w:szCs w:val="21"/>
        </w:rPr>
        <w:t>如供应商代表不是供应商法定代表人，须持有《法定代表人授权书》。</w:t>
      </w:r>
    </w:p>
    <w:p>
      <w:pPr>
        <w:spacing w:line="360" w:lineRule="auto"/>
        <w:rPr>
          <w:rFonts w:ascii="仿宋_GB2312" w:eastAsia="仿宋_GB2312"/>
          <w:szCs w:val="21"/>
        </w:rPr>
      </w:pPr>
    </w:p>
    <w:p>
      <w:pPr>
        <w:pStyle w:val="4"/>
      </w:pPr>
      <w:r>
        <w:rPr>
          <w:rFonts w:hint="eastAsia"/>
        </w:rPr>
        <w:t>法定代表人授权书</w:t>
      </w:r>
    </w:p>
    <w:p>
      <w:pPr>
        <w:spacing w:line="360" w:lineRule="auto"/>
        <w:ind w:firstLine="420" w:firstLineChars="200"/>
        <w:rPr>
          <w:rFonts w:ascii="新宋体" w:hAnsi="新宋体" w:eastAsia="新宋体"/>
          <w:szCs w:val="21"/>
        </w:rPr>
      </w:pPr>
    </w:p>
    <w:p>
      <w:pPr>
        <w:spacing w:line="360" w:lineRule="auto"/>
        <w:ind w:firstLine="420" w:firstLineChars="200"/>
        <w:rPr>
          <w:rFonts w:ascii="新宋体" w:hAnsi="新宋体" w:eastAsia="新宋体"/>
          <w:szCs w:val="21"/>
        </w:rPr>
      </w:pPr>
      <w:r>
        <w:rPr>
          <w:rFonts w:hint="eastAsia" w:ascii="新宋体" w:hAnsi="新宋体" w:eastAsia="新宋体"/>
          <w:szCs w:val="21"/>
        </w:rPr>
        <w:t>本授权书声明：注册于</w:t>
      </w:r>
      <w:r>
        <w:rPr>
          <w:rFonts w:hint="eastAsia" w:ascii="新宋体" w:hAnsi="新宋体" w:eastAsia="新宋体"/>
          <w:szCs w:val="21"/>
          <w:u w:val="single"/>
        </w:rPr>
        <w:t xml:space="preserve"> （供应商注册地址） </w:t>
      </w:r>
      <w:r>
        <w:rPr>
          <w:rFonts w:hint="eastAsia" w:ascii="新宋体" w:hAnsi="新宋体" w:eastAsia="新宋体"/>
          <w:szCs w:val="21"/>
        </w:rPr>
        <w:t>的</w:t>
      </w:r>
      <w:r>
        <w:rPr>
          <w:rFonts w:hint="eastAsia" w:ascii="新宋体" w:hAnsi="新宋体" w:eastAsia="新宋体"/>
          <w:szCs w:val="21"/>
          <w:u w:val="single"/>
        </w:rPr>
        <w:t xml:space="preserve"> （供应商名称） </w:t>
      </w:r>
      <w:r>
        <w:rPr>
          <w:rFonts w:hint="eastAsia" w:ascii="新宋体" w:hAnsi="新宋体" w:eastAsia="新宋体"/>
          <w:szCs w:val="21"/>
        </w:rPr>
        <w:t>的在下面签字的</w:t>
      </w:r>
      <w:r>
        <w:rPr>
          <w:rFonts w:hint="eastAsia" w:ascii="新宋体" w:hAnsi="新宋体" w:eastAsia="新宋体"/>
          <w:szCs w:val="21"/>
          <w:u w:val="single"/>
        </w:rPr>
        <w:t xml:space="preserve"> （法定代表人姓名、职务） </w:t>
      </w:r>
      <w:r>
        <w:rPr>
          <w:rFonts w:hint="eastAsia" w:ascii="新宋体" w:hAnsi="新宋体" w:eastAsia="新宋体"/>
          <w:szCs w:val="21"/>
        </w:rPr>
        <w:t>代表本公司授权</w:t>
      </w:r>
      <w:r>
        <w:rPr>
          <w:rFonts w:hint="eastAsia" w:ascii="新宋体" w:hAnsi="新宋体" w:eastAsia="新宋体"/>
          <w:szCs w:val="21"/>
          <w:u w:val="single"/>
        </w:rPr>
        <w:t xml:space="preserve"> （被授权人单位名称） </w:t>
      </w:r>
      <w:r>
        <w:rPr>
          <w:rFonts w:hint="eastAsia" w:ascii="新宋体" w:hAnsi="新宋体" w:eastAsia="新宋体"/>
          <w:szCs w:val="21"/>
        </w:rPr>
        <w:t>的在下面签字的</w:t>
      </w:r>
      <w:r>
        <w:rPr>
          <w:rFonts w:hint="eastAsia" w:ascii="新宋体" w:hAnsi="新宋体" w:eastAsia="新宋体"/>
          <w:szCs w:val="21"/>
          <w:u w:val="single"/>
        </w:rPr>
        <w:t xml:space="preserve"> （被授权委托人的姓名、职务） </w:t>
      </w:r>
      <w:r>
        <w:rPr>
          <w:rFonts w:hint="eastAsia" w:ascii="新宋体" w:hAnsi="新宋体" w:eastAsia="新宋体"/>
          <w:szCs w:val="21"/>
        </w:rPr>
        <w:t>为本公司的合法代理人，就</w:t>
      </w:r>
      <w:r>
        <w:rPr>
          <w:rFonts w:hint="eastAsia" w:ascii="新宋体" w:hAnsi="新宋体" w:eastAsia="新宋体"/>
          <w:szCs w:val="21"/>
          <w:u w:val="single"/>
        </w:rPr>
        <w:t xml:space="preserve">  （项目名称）  </w:t>
      </w:r>
      <w:r>
        <w:rPr>
          <w:rFonts w:hint="eastAsia" w:ascii="新宋体" w:hAnsi="新宋体" w:eastAsia="新宋体"/>
          <w:szCs w:val="21"/>
        </w:rPr>
        <w:t>的招标投标，以本公司名义处理一切与之有关的事务。</w:t>
      </w:r>
      <w:r>
        <w:rPr>
          <w:rFonts w:hint="eastAsia" w:ascii="新宋体" w:hAnsi="新宋体" w:eastAsia="新宋体"/>
          <w:szCs w:val="21"/>
        </w:rPr>
        <w:cr/>
      </w:r>
      <w:r>
        <w:rPr>
          <w:rFonts w:hint="eastAsia" w:ascii="新宋体" w:hAnsi="新宋体" w:eastAsia="新宋体"/>
          <w:szCs w:val="21"/>
        </w:rPr>
        <w:t>　　本授权书于________年____月____日签字生效，特此声明。</w:t>
      </w:r>
      <w:r>
        <w:rPr>
          <w:rFonts w:hint="eastAsia" w:ascii="新宋体" w:hAnsi="新宋体" w:eastAsia="新宋体"/>
          <w:szCs w:val="21"/>
        </w:rPr>
        <w:cr/>
      </w:r>
      <w:r>
        <w:rPr>
          <w:rFonts w:hint="eastAsia" w:ascii="新宋体" w:hAnsi="新宋体" w:eastAsia="新宋体"/>
          <w:szCs w:val="21"/>
        </w:rPr>
        <w:cr/>
      </w:r>
      <w:r>
        <w:rPr>
          <w:rFonts w:hint="eastAsia" w:ascii="新宋体" w:hAnsi="新宋体" w:eastAsia="新宋体"/>
          <w:szCs w:val="21"/>
        </w:rPr>
        <w:cr/>
      </w:r>
      <w:r>
        <w:rPr>
          <w:rFonts w:hint="eastAsia" w:ascii="新宋体" w:hAnsi="新宋体" w:eastAsia="新宋体"/>
          <w:szCs w:val="21"/>
        </w:rPr>
        <w:t>法定代表人签字：_____________________________</w:t>
      </w:r>
    </w:p>
    <w:p>
      <w:pPr>
        <w:spacing w:line="360" w:lineRule="auto"/>
        <w:rPr>
          <w:rFonts w:ascii="新宋体" w:hAnsi="新宋体" w:eastAsia="新宋体"/>
          <w:szCs w:val="21"/>
        </w:rPr>
      </w:pPr>
      <w:r>
        <w:rPr>
          <w:rFonts w:hint="eastAsia" w:ascii="新宋体" w:hAnsi="新宋体" w:eastAsia="新宋体"/>
          <w:szCs w:val="21"/>
        </w:rPr>
        <w:cr/>
      </w:r>
      <w:r>
        <w:rPr>
          <w:rFonts w:hint="eastAsia" w:ascii="新宋体" w:hAnsi="新宋体" w:eastAsia="新宋体"/>
          <w:szCs w:val="21"/>
        </w:rPr>
        <w:t>被授权委托人签字：___________________________</w:t>
      </w:r>
    </w:p>
    <w:p>
      <w:pPr>
        <w:spacing w:line="360" w:lineRule="auto"/>
        <w:rPr>
          <w:rFonts w:ascii="新宋体" w:hAnsi="新宋体" w:eastAsia="新宋体"/>
          <w:szCs w:val="21"/>
        </w:rPr>
      </w:pPr>
      <w:r>
        <w:rPr>
          <w:rFonts w:hint="eastAsia" w:ascii="新宋体" w:hAnsi="新宋体" w:eastAsia="新宋体"/>
          <w:szCs w:val="21"/>
        </w:rPr>
        <w:cr/>
      </w:r>
      <w:r>
        <w:rPr>
          <w:rFonts w:hint="eastAsia" w:ascii="新宋体" w:hAnsi="新宋体" w:eastAsia="新宋体"/>
          <w:szCs w:val="21"/>
        </w:rPr>
        <w:t>供应商名称：_________________________________（加盖公章）</w:t>
      </w:r>
    </w:p>
    <w:p>
      <w:pPr>
        <w:spacing w:line="360" w:lineRule="auto"/>
        <w:rPr>
          <w:rFonts w:ascii="新宋体" w:hAnsi="新宋体" w:eastAsia="新宋体"/>
          <w:szCs w:val="21"/>
        </w:rPr>
      </w:pPr>
    </w:p>
    <w:p>
      <w:pPr>
        <w:spacing w:line="360" w:lineRule="auto"/>
        <w:rPr>
          <w:rFonts w:ascii="新宋体" w:hAnsi="新宋体" w:eastAsia="新宋体"/>
          <w:szCs w:val="21"/>
        </w:rPr>
      </w:pPr>
      <w:r>
        <w:rPr>
          <w:rFonts w:hint="eastAsia" w:ascii="新宋体" w:hAnsi="新宋体" w:eastAsia="新宋体"/>
          <w:szCs w:val="21"/>
        </w:rPr>
        <w:t>附：</w:t>
      </w:r>
    </w:p>
    <w:p>
      <w:pPr>
        <w:spacing w:line="360" w:lineRule="auto"/>
        <w:rPr>
          <w:rFonts w:ascii="新宋体" w:hAnsi="新宋体" w:eastAsia="新宋体"/>
          <w:szCs w:val="21"/>
        </w:rPr>
      </w:pPr>
      <w:r>
        <w:rPr>
          <w:rFonts w:hint="eastAsia" w:ascii="新宋体" w:hAnsi="新宋体" w:eastAsia="新宋体"/>
          <w:szCs w:val="21"/>
        </w:rPr>
        <w:t>被授权委托人姓名：___________________________</w:t>
      </w:r>
    </w:p>
    <w:p>
      <w:pPr>
        <w:spacing w:line="360" w:lineRule="auto"/>
        <w:rPr>
          <w:rFonts w:ascii="新宋体" w:hAnsi="新宋体" w:eastAsia="新宋体"/>
          <w:szCs w:val="21"/>
        </w:rPr>
      </w:pPr>
      <w:r>
        <w:rPr>
          <w:rFonts w:hint="eastAsia" w:ascii="新宋体" w:hAnsi="新宋体" w:eastAsia="新宋体"/>
          <w:szCs w:val="21"/>
        </w:rPr>
        <w:t>职　　　  务：__________________________________</w:t>
      </w:r>
    </w:p>
    <w:p>
      <w:pPr>
        <w:spacing w:line="360" w:lineRule="auto"/>
        <w:rPr>
          <w:rFonts w:ascii="新宋体" w:hAnsi="新宋体" w:eastAsia="新宋体"/>
          <w:szCs w:val="21"/>
        </w:rPr>
      </w:pPr>
      <w:r>
        <w:rPr>
          <w:rFonts w:hint="eastAsia" w:ascii="新宋体" w:hAnsi="新宋体" w:eastAsia="新宋体"/>
          <w:szCs w:val="21"/>
        </w:rPr>
        <w:t>详细通讯地址：__________________________________</w:t>
      </w:r>
    </w:p>
    <w:p>
      <w:pPr>
        <w:spacing w:line="360" w:lineRule="auto"/>
        <w:rPr>
          <w:rFonts w:ascii="新宋体" w:hAnsi="新宋体" w:eastAsia="新宋体"/>
          <w:szCs w:val="21"/>
        </w:rPr>
      </w:pPr>
      <w:r>
        <w:rPr>
          <w:rFonts w:hint="eastAsia" w:ascii="新宋体" w:hAnsi="新宋体" w:eastAsia="新宋体"/>
          <w:szCs w:val="21"/>
        </w:rPr>
        <w:t>邮 政  编 码：__________________________________</w:t>
      </w:r>
    </w:p>
    <w:p>
      <w:pPr>
        <w:spacing w:line="360" w:lineRule="auto"/>
        <w:rPr>
          <w:rFonts w:ascii="新宋体" w:hAnsi="新宋体" w:eastAsia="新宋体"/>
          <w:szCs w:val="21"/>
        </w:rPr>
      </w:pPr>
      <w:r>
        <w:rPr>
          <w:rFonts w:hint="eastAsia" w:ascii="新宋体" w:hAnsi="新宋体" w:eastAsia="新宋体"/>
          <w:szCs w:val="21"/>
        </w:rPr>
        <w:t>传　　　  真：__________________________________</w:t>
      </w:r>
    </w:p>
    <w:p>
      <w:pPr>
        <w:spacing w:line="360" w:lineRule="auto"/>
        <w:rPr>
          <w:rFonts w:ascii="新宋体" w:hAnsi="新宋体" w:eastAsia="新宋体"/>
          <w:szCs w:val="21"/>
        </w:rPr>
      </w:pPr>
      <w:r>
        <w:rPr>
          <w:rFonts w:hint="eastAsia" w:ascii="新宋体" w:hAnsi="新宋体" w:eastAsia="新宋体"/>
          <w:szCs w:val="21"/>
        </w:rPr>
        <w:t>电　　　  话：__________________________________</w:t>
      </w:r>
    </w:p>
    <w:p>
      <w:pPr>
        <w:spacing w:line="360" w:lineRule="auto"/>
        <w:rPr>
          <w:rFonts w:ascii="新宋体" w:hAnsi="新宋体" w:eastAsia="新宋体"/>
          <w:szCs w:val="21"/>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9"/>
        <w:spacing w:line="360" w:lineRule="auto"/>
        <w:jc w:val="both"/>
        <w:rPr>
          <w:rFonts w:hAnsi="宋体"/>
          <w:b/>
          <w:bCs/>
          <w:szCs w:val="21"/>
        </w:rPr>
      </w:pPr>
      <w:r>
        <w:rPr>
          <w:rFonts w:hint="eastAsia" w:hAnsi="宋体"/>
          <w:b/>
          <w:bCs/>
          <w:szCs w:val="21"/>
        </w:rPr>
        <w:t>附件9.中小型企业声明函：</w:t>
      </w:r>
    </w:p>
    <w:p>
      <w:pPr>
        <w:widowControl/>
        <w:spacing w:after="240" w:line="360" w:lineRule="auto"/>
        <w:ind w:left="-34" w:leftChars="-66" w:hanging="105" w:hangingChars="50"/>
        <w:rPr>
          <w:rFonts w:ascii="宋体" w:hAnsi="宋体" w:cs="宋体"/>
          <w:kern w:val="0"/>
          <w:szCs w:val="21"/>
        </w:rPr>
      </w:pPr>
      <w:r>
        <w:rPr>
          <w:rFonts w:ascii="宋体" w:hAnsi="宋体" w:cs="宋体"/>
          <w:kern w:val="0"/>
          <w:szCs w:val="21"/>
        </w:rPr>
        <w:t> </w:t>
      </w:r>
      <w:r>
        <w:rPr>
          <w:rFonts w:hint="eastAsia" w:ascii="新宋体" w:hAnsi="新宋体" w:eastAsia="新宋体"/>
          <w:szCs w:val="21"/>
        </w:rPr>
        <w:t>（如有证明材料则需填写，如无证明材料可删除此附件）</w:t>
      </w:r>
    </w:p>
    <w:p>
      <w:pPr>
        <w:pStyle w:val="4"/>
      </w:pPr>
      <w:r>
        <w:t>中小企业声明函</w:t>
      </w:r>
    </w:p>
    <w:p>
      <w:pPr>
        <w:widowControl/>
        <w:spacing w:after="240" w:line="360" w:lineRule="auto"/>
        <w:ind w:firstLine="315" w:firstLineChars="150"/>
        <w:rPr>
          <w:rFonts w:ascii="宋体" w:hAnsi="宋体" w:cs="宋体"/>
          <w:kern w:val="0"/>
          <w:szCs w:val="21"/>
        </w:rPr>
      </w:pPr>
      <w:r>
        <w:rPr>
          <w:rFonts w:ascii="宋体" w:hAnsi="宋体" w:cs="宋体"/>
          <w:kern w:val="0"/>
          <w:szCs w:val="21"/>
        </w:rPr>
        <w:t>本公司郑重声明，根据《政府采购促进中小企业发展暂行办法》（财库[2011]181号的规定，本公司为 </w:t>
      </w:r>
      <w:r>
        <w:rPr>
          <w:rFonts w:ascii="宋体" w:hAnsi="宋体" w:cs="宋体"/>
          <w:kern w:val="0"/>
          <w:szCs w:val="21"/>
          <w:u w:val="single"/>
        </w:rPr>
        <w:t>     （请填写：中型、小型、微型</w:t>
      </w:r>
      <w:r>
        <w:rPr>
          <w:rFonts w:hint="eastAsia" w:ascii="宋体" w:hAnsi="宋体" w:cs="宋体"/>
          <w:kern w:val="0"/>
          <w:szCs w:val="21"/>
          <w:u w:val="single"/>
        </w:rPr>
        <w:t>、监狱</w:t>
      </w:r>
      <w:r>
        <w:rPr>
          <w:rFonts w:ascii="宋体" w:hAnsi="宋体" w:cs="宋体"/>
          <w:kern w:val="0"/>
          <w:szCs w:val="21"/>
          <w:u w:val="single"/>
        </w:rPr>
        <w:t>）</w:t>
      </w:r>
      <w:r>
        <w:rPr>
          <w:rFonts w:ascii="宋体" w:hAnsi="宋体" w:cs="宋体"/>
          <w:kern w:val="0"/>
          <w:szCs w:val="21"/>
        </w:rPr>
        <w:t>企业。即，本公司同时满足以下条件：</w:t>
      </w:r>
    </w:p>
    <w:p>
      <w:pPr>
        <w:widowControl/>
        <w:numPr>
          <w:ilvl w:val="0"/>
          <w:numId w:val="14"/>
        </w:numPr>
        <w:spacing w:after="240" w:line="360" w:lineRule="auto"/>
        <w:ind w:firstLine="420" w:firstLineChars="200"/>
        <w:rPr>
          <w:rFonts w:ascii="宋体" w:hAnsi="宋体" w:cs="宋体"/>
          <w:kern w:val="0"/>
          <w:szCs w:val="21"/>
        </w:rPr>
      </w:pPr>
      <w:r>
        <w:rPr>
          <w:rFonts w:ascii="宋体" w:hAnsi="宋体" w:cs="宋体"/>
          <w:kern w:val="0"/>
          <w:szCs w:val="21"/>
        </w:rPr>
        <w:t>根据《工业和信息化部、国家统计局、国家发展和改革委员会、财政部关于印发中小企业划型标准规定的通知》（工信部联企业[2011]300号）规定的划分标准，本公司为</w:t>
      </w:r>
      <w:r>
        <w:rPr>
          <w:rFonts w:ascii="宋体" w:hAnsi="宋体" w:cs="宋体"/>
          <w:kern w:val="0"/>
          <w:szCs w:val="21"/>
          <w:u w:val="single"/>
        </w:rPr>
        <w:t>      （请填写：中型、小型、微型）</w:t>
      </w:r>
      <w:r>
        <w:rPr>
          <w:rFonts w:ascii="宋体" w:hAnsi="宋体" w:cs="宋体"/>
          <w:kern w:val="0"/>
          <w:szCs w:val="21"/>
        </w:rPr>
        <w:t>企业。</w:t>
      </w:r>
    </w:p>
    <w:p>
      <w:pPr>
        <w:widowControl/>
        <w:numPr>
          <w:ilvl w:val="0"/>
          <w:numId w:val="14"/>
        </w:numPr>
        <w:spacing w:after="240" w:line="360" w:lineRule="auto"/>
        <w:ind w:firstLine="420" w:firstLineChars="200"/>
        <w:rPr>
          <w:rFonts w:ascii="宋体" w:hAnsi="宋体" w:cs="宋体"/>
          <w:kern w:val="0"/>
          <w:szCs w:val="21"/>
        </w:rPr>
      </w:pPr>
      <w:r>
        <w:rPr>
          <w:rFonts w:ascii="宋体" w:hAnsi="宋体" w:cs="宋体"/>
          <w:kern w:val="0"/>
          <w:szCs w:val="21"/>
        </w:rPr>
        <w:t>本公司参加</w:t>
      </w:r>
      <w:r>
        <w:rPr>
          <w:rFonts w:ascii="宋体" w:hAnsi="宋体" w:cs="宋体"/>
          <w:kern w:val="0"/>
          <w:szCs w:val="21"/>
          <w:u w:val="single"/>
        </w:rPr>
        <w:t>             </w:t>
      </w:r>
      <w:r>
        <w:rPr>
          <w:rFonts w:ascii="宋体" w:hAnsi="宋体" w:cs="宋体"/>
          <w:kern w:val="0"/>
          <w:szCs w:val="21"/>
        </w:rPr>
        <w:t>单位的</w:t>
      </w:r>
      <w:r>
        <w:rPr>
          <w:rFonts w:ascii="宋体" w:hAnsi="宋体" w:cs="宋体"/>
          <w:kern w:val="0"/>
          <w:szCs w:val="21"/>
          <w:u w:val="single"/>
        </w:rPr>
        <w:t>        </w:t>
      </w:r>
      <w:r>
        <w:rPr>
          <w:rFonts w:ascii="宋体" w:hAnsi="宋体" w:cs="宋体"/>
          <w:kern w:val="0"/>
          <w:szCs w:val="21"/>
        </w:rPr>
        <w:t>项目采购活动提供本企业制造的货物，由本企业承担工程、提供服务，或者提供其他</w:t>
      </w:r>
      <w:r>
        <w:rPr>
          <w:rFonts w:ascii="宋体" w:hAnsi="宋体" w:cs="宋体"/>
          <w:kern w:val="0"/>
          <w:szCs w:val="21"/>
          <w:u w:val="single"/>
        </w:rPr>
        <w:t>      （请填写：中型、小型、微型</w:t>
      </w:r>
      <w:r>
        <w:rPr>
          <w:rFonts w:hint="eastAsia" w:ascii="宋体" w:hAnsi="宋体" w:cs="宋体"/>
          <w:kern w:val="0"/>
          <w:szCs w:val="21"/>
          <w:u w:val="single"/>
        </w:rPr>
        <w:t>、监狱</w:t>
      </w:r>
      <w:r>
        <w:rPr>
          <w:rFonts w:ascii="宋体" w:hAnsi="宋体" w:cs="宋体"/>
          <w:kern w:val="0"/>
          <w:szCs w:val="21"/>
          <w:u w:val="single"/>
        </w:rPr>
        <w:t>）</w:t>
      </w:r>
      <w:r>
        <w:rPr>
          <w:rFonts w:ascii="宋体" w:hAnsi="宋体" w:cs="宋体"/>
          <w:kern w:val="0"/>
          <w:szCs w:val="21"/>
        </w:rPr>
        <w:t>企业制造的货物。本条所称货物不包括使用大型企业注册商标的货物。</w:t>
      </w:r>
    </w:p>
    <w:p>
      <w:pPr>
        <w:widowControl/>
        <w:numPr>
          <w:ilvl w:val="0"/>
          <w:numId w:val="14"/>
        </w:numPr>
        <w:spacing w:after="240" w:line="360" w:lineRule="auto"/>
        <w:ind w:firstLine="420" w:firstLineChars="200"/>
        <w:rPr>
          <w:rFonts w:ascii="宋体" w:hAnsi="宋体" w:cs="宋体"/>
          <w:kern w:val="0"/>
          <w:szCs w:val="21"/>
        </w:rPr>
      </w:pPr>
      <w:r>
        <w:rPr>
          <w:rFonts w:ascii="宋体" w:hAnsi="宋体" w:cs="宋体"/>
          <w:kern w:val="0"/>
          <w:szCs w:val="21"/>
        </w:rPr>
        <w:t>本公司对上述声明的真实性负责。如有虚假，将依法承担相应责任。</w:t>
      </w:r>
    </w:p>
    <w:p>
      <w:pPr>
        <w:widowControl/>
        <w:spacing w:after="240" w:line="360" w:lineRule="auto"/>
        <w:rPr>
          <w:rFonts w:ascii="宋体" w:hAnsi="宋体" w:cs="宋体"/>
          <w:kern w:val="0"/>
          <w:szCs w:val="21"/>
        </w:rPr>
      </w:pPr>
    </w:p>
    <w:p>
      <w:pPr>
        <w:widowControl/>
        <w:spacing w:after="240" w:line="360" w:lineRule="auto"/>
        <w:ind w:firstLine="5460" w:firstLineChars="2600"/>
        <w:rPr>
          <w:rFonts w:ascii="宋体" w:hAnsi="宋体" w:cs="宋体"/>
          <w:kern w:val="0"/>
          <w:szCs w:val="21"/>
        </w:rPr>
      </w:pPr>
      <w:r>
        <w:rPr>
          <w:rFonts w:ascii="宋体" w:hAnsi="宋体" w:cs="宋体"/>
          <w:kern w:val="0"/>
          <w:szCs w:val="21"/>
        </w:rPr>
        <w:t>企业名称（盖章）   </w:t>
      </w:r>
    </w:p>
    <w:p>
      <w:pPr>
        <w:widowControl/>
        <w:spacing w:after="240" w:line="360" w:lineRule="auto"/>
        <w:ind w:firstLine="5460" w:firstLineChars="2600"/>
        <w:rPr>
          <w:rFonts w:ascii="宋体" w:hAnsi="宋体" w:cs="宋体"/>
          <w:kern w:val="0"/>
          <w:szCs w:val="21"/>
        </w:rPr>
      </w:pPr>
    </w:p>
    <w:p>
      <w:pPr>
        <w:widowControl/>
        <w:spacing w:after="240" w:line="360" w:lineRule="auto"/>
        <w:ind w:firstLine="5460" w:firstLineChars="2600"/>
        <w:rPr>
          <w:rFonts w:ascii="宋体" w:hAnsi="宋体" w:cs="宋体"/>
          <w:kern w:val="0"/>
          <w:szCs w:val="21"/>
        </w:rPr>
      </w:pPr>
      <w:r>
        <w:rPr>
          <w:rFonts w:ascii="宋体" w:hAnsi="宋体" w:cs="宋体"/>
          <w:kern w:val="0"/>
          <w:szCs w:val="21"/>
        </w:rPr>
        <w:t>日  期： </w:t>
      </w:r>
    </w:p>
    <w:p>
      <w:pPr>
        <w:pStyle w:val="9"/>
        <w:spacing w:line="400" w:lineRule="atLeast"/>
        <w:rPr>
          <w:rFonts w:ascii="新宋体" w:hAnsi="新宋体" w:eastAsia="新宋体"/>
          <w:b/>
          <w:bCs/>
        </w:rPr>
      </w:pPr>
    </w:p>
    <w:p>
      <w:pPr>
        <w:pStyle w:val="9"/>
        <w:spacing w:line="400" w:lineRule="atLeast"/>
        <w:rPr>
          <w:rFonts w:ascii="新宋体" w:hAnsi="新宋体" w:eastAsia="新宋体"/>
          <w:b/>
          <w:bCs/>
        </w:rPr>
      </w:pPr>
    </w:p>
    <w:p>
      <w:pPr>
        <w:pStyle w:val="9"/>
        <w:spacing w:line="400" w:lineRule="atLeast"/>
        <w:rPr>
          <w:rFonts w:ascii="新宋体" w:hAnsi="新宋体" w:eastAsia="新宋体"/>
          <w:b/>
          <w:bCs/>
        </w:rPr>
      </w:pPr>
    </w:p>
    <w:p>
      <w:pPr>
        <w:pStyle w:val="9"/>
        <w:spacing w:line="400" w:lineRule="atLeast"/>
        <w:rPr>
          <w:rFonts w:ascii="新宋体" w:hAnsi="新宋体" w:eastAsia="新宋体"/>
          <w:b/>
          <w:bCs/>
        </w:rPr>
      </w:pPr>
    </w:p>
    <w:p>
      <w:pPr>
        <w:pStyle w:val="9"/>
        <w:spacing w:line="400" w:lineRule="atLeast"/>
        <w:rPr>
          <w:rFonts w:ascii="新宋体" w:hAnsi="新宋体" w:eastAsia="新宋体"/>
          <w:b/>
          <w:bCs/>
        </w:rPr>
      </w:pPr>
    </w:p>
    <w:p>
      <w:pPr>
        <w:pStyle w:val="9"/>
        <w:spacing w:line="400" w:lineRule="atLeast"/>
        <w:rPr>
          <w:rFonts w:ascii="新宋体" w:hAnsi="新宋体" w:eastAsia="新宋体"/>
          <w:b/>
          <w:bCs/>
        </w:rPr>
      </w:pPr>
    </w:p>
    <w:p>
      <w:pPr>
        <w:pStyle w:val="9"/>
        <w:spacing w:line="400" w:lineRule="atLeast"/>
        <w:rPr>
          <w:rFonts w:ascii="新宋体" w:hAnsi="新宋体" w:eastAsia="新宋体"/>
          <w:b/>
          <w:bCs/>
        </w:rPr>
      </w:pPr>
    </w:p>
    <w:p>
      <w:pPr>
        <w:pStyle w:val="9"/>
        <w:spacing w:line="400" w:lineRule="atLeast"/>
        <w:rPr>
          <w:rFonts w:ascii="新宋体" w:hAnsi="新宋体" w:eastAsia="新宋体"/>
          <w:b/>
          <w:bCs/>
        </w:rPr>
      </w:pPr>
    </w:p>
    <w:p>
      <w:pPr>
        <w:pStyle w:val="9"/>
        <w:spacing w:line="400" w:lineRule="atLeast"/>
        <w:rPr>
          <w:rFonts w:ascii="新宋体" w:hAnsi="新宋体" w:eastAsia="新宋体"/>
          <w:b/>
          <w:bCs/>
        </w:rPr>
      </w:pPr>
    </w:p>
    <w:p>
      <w:pPr>
        <w:pStyle w:val="9"/>
        <w:spacing w:line="400" w:lineRule="atLeast"/>
        <w:rPr>
          <w:rFonts w:ascii="新宋体" w:hAnsi="新宋体" w:eastAsia="新宋体"/>
          <w:b/>
          <w:bCs/>
        </w:rPr>
      </w:pPr>
    </w:p>
    <w:p>
      <w:pPr>
        <w:pStyle w:val="9"/>
        <w:spacing w:line="400" w:lineRule="atLeast"/>
        <w:rPr>
          <w:rFonts w:ascii="新宋体" w:hAnsi="新宋体" w:eastAsia="新宋体"/>
          <w:b/>
          <w:bCs/>
        </w:rPr>
      </w:pPr>
    </w:p>
    <w:p>
      <w:pPr>
        <w:pStyle w:val="9"/>
        <w:spacing w:line="400" w:lineRule="atLeast"/>
        <w:rPr>
          <w:rFonts w:ascii="新宋体" w:hAnsi="新宋体" w:eastAsia="新宋体"/>
          <w:b/>
          <w:bCs/>
        </w:rPr>
      </w:pPr>
      <w:r>
        <w:rPr>
          <w:rFonts w:hint="eastAsia" w:ascii="新宋体" w:hAnsi="新宋体" w:eastAsia="新宋体"/>
          <w:b/>
          <w:bCs/>
        </w:rPr>
        <w:t>附件10.供应商资格声明</w:t>
      </w:r>
    </w:p>
    <w:p>
      <w:pPr>
        <w:spacing w:line="360" w:lineRule="auto"/>
        <w:jc w:val="center"/>
        <w:outlineLvl w:val="0"/>
        <w:rPr>
          <w:rFonts w:ascii="宋体" w:hAnsi="宋体"/>
          <w:b/>
          <w:szCs w:val="21"/>
        </w:rPr>
      </w:pPr>
    </w:p>
    <w:p>
      <w:pPr>
        <w:pStyle w:val="4"/>
      </w:pPr>
      <w:r>
        <w:rPr>
          <w:rFonts w:hint="eastAsia"/>
        </w:rPr>
        <w:t>关于资格的声明函</w:t>
      </w:r>
    </w:p>
    <w:p>
      <w:pPr>
        <w:spacing w:line="360" w:lineRule="auto"/>
        <w:outlineLvl w:val="0"/>
        <w:rPr>
          <w:rFonts w:ascii="宋体" w:hAnsi="宋体"/>
          <w:b/>
          <w:szCs w:val="21"/>
        </w:rPr>
      </w:pPr>
    </w:p>
    <w:p>
      <w:pPr>
        <w:spacing w:line="360" w:lineRule="auto"/>
        <w:rPr>
          <w:rFonts w:ascii="宋体" w:hAnsi="宋体"/>
          <w:szCs w:val="21"/>
        </w:rPr>
      </w:pPr>
      <w:r>
        <w:rPr>
          <w:rFonts w:hint="eastAsia" w:ascii="宋体" w:hAnsi="宋体"/>
          <w:szCs w:val="21"/>
        </w:rPr>
        <w:t>：</w:t>
      </w:r>
    </w:p>
    <w:p>
      <w:pPr>
        <w:spacing w:line="360" w:lineRule="auto"/>
        <w:ind w:firstLine="555"/>
        <w:rPr>
          <w:rFonts w:ascii="宋体" w:hAnsi="宋体"/>
          <w:szCs w:val="21"/>
        </w:rPr>
      </w:pPr>
      <w:r>
        <w:rPr>
          <w:rFonts w:hint="eastAsia" w:ascii="宋体" w:hAnsi="宋体"/>
          <w:szCs w:val="21"/>
        </w:rPr>
        <w:t>关于贵方项目编号为号，项目的投标邀请，本签字人愿意参加投标，提供采购项目需求中规定的货物，并声明提交的下列文件是准确和真实的。</w:t>
      </w:r>
    </w:p>
    <w:p>
      <w:pPr>
        <w:spacing w:line="360" w:lineRule="auto"/>
        <w:ind w:right="-11" w:firstLine="630"/>
        <w:rPr>
          <w:rFonts w:ascii="宋体" w:hAnsi="宋体"/>
          <w:szCs w:val="21"/>
        </w:rPr>
      </w:pPr>
      <w:r>
        <w:rPr>
          <w:rFonts w:hint="eastAsia" w:ascii="宋体" w:hAnsi="宋体"/>
          <w:szCs w:val="21"/>
        </w:rPr>
        <w:t>1、法人营业执照副本</w:t>
      </w:r>
    </w:p>
    <w:p>
      <w:pPr>
        <w:spacing w:line="360" w:lineRule="auto"/>
        <w:ind w:right="-11" w:firstLine="630"/>
        <w:rPr>
          <w:rFonts w:ascii="宋体" w:hAnsi="宋体"/>
          <w:szCs w:val="21"/>
        </w:rPr>
      </w:pPr>
      <w:r>
        <w:rPr>
          <w:rFonts w:hint="eastAsia" w:ascii="宋体" w:hAnsi="宋体"/>
          <w:szCs w:val="21"/>
        </w:rPr>
        <w:t>2、税务登记证副本</w:t>
      </w:r>
    </w:p>
    <w:p>
      <w:pPr>
        <w:spacing w:line="360" w:lineRule="auto"/>
        <w:ind w:right="-11" w:firstLine="630"/>
        <w:rPr>
          <w:rFonts w:ascii="宋体" w:hAnsi="宋体"/>
          <w:szCs w:val="21"/>
        </w:rPr>
      </w:pPr>
      <w:r>
        <w:rPr>
          <w:rFonts w:hint="eastAsia" w:ascii="宋体" w:hAnsi="宋体"/>
          <w:szCs w:val="21"/>
        </w:rPr>
        <w:t>3、相关证件</w:t>
      </w:r>
    </w:p>
    <w:p>
      <w:pPr>
        <w:spacing w:line="360" w:lineRule="auto"/>
        <w:ind w:right="-11" w:firstLine="630"/>
        <w:rPr>
          <w:rFonts w:ascii="宋体" w:hAnsi="宋体"/>
          <w:szCs w:val="21"/>
        </w:rPr>
      </w:pPr>
      <w:r>
        <w:rPr>
          <w:rFonts w:hint="eastAsia" w:ascii="宋体" w:hAnsi="宋体"/>
          <w:szCs w:val="21"/>
        </w:rPr>
        <w:t>4、法定代表人身份证复印件</w:t>
      </w:r>
    </w:p>
    <w:p>
      <w:pPr>
        <w:spacing w:line="360" w:lineRule="auto"/>
        <w:ind w:right="-11" w:firstLine="630"/>
        <w:rPr>
          <w:rFonts w:ascii="宋体" w:hAnsi="宋体"/>
          <w:szCs w:val="21"/>
        </w:rPr>
      </w:pPr>
      <w:r>
        <w:rPr>
          <w:rFonts w:hint="eastAsia" w:ascii="宋体" w:hAnsi="宋体"/>
          <w:szCs w:val="21"/>
        </w:rPr>
        <w:t>5、</w:t>
      </w:r>
      <w:r>
        <w:rPr>
          <w:rFonts w:hint="eastAsia" w:ascii="新宋体" w:hAnsi="新宋体" w:eastAsia="新宋体"/>
          <w:szCs w:val="21"/>
        </w:rPr>
        <w:t>被授权委托人</w:t>
      </w:r>
      <w:r>
        <w:rPr>
          <w:rFonts w:hint="eastAsia" w:ascii="宋体" w:hAnsi="宋体"/>
          <w:szCs w:val="21"/>
        </w:rPr>
        <w:t>身份证</w:t>
      </w:r>
    </w:p>
    <w:p>
      <w:pPr>
        <w:spacing w:line="360" w:lineRule="auto"/>
        <w:ind w:right="-11" w:firstLine="630"/>
        <w:rPr>
          <w:rFonts w:ascii="宋体" w:hAnsi="宋体"/>
          <w:szCs w:val="21"/>
        </w:rPr>
      </w:pPr>
      <w:r>
        <w:rPr>
          <w:rFonts w:hint="eastAsia" w:ascii="宋体" w:hAnsi="宋体"/>
          <w:szCs w:val="21"/>
        </w:rPr>
        <w:t>6、业绩证明文件</w:t>
      </w:r>
    </w:p>
    <w:p>
      <w:pPr>
        <w:spacing w:line="360" w:lineRule="auto"/>
        <w:ind w:right="-11" w:firstLine="630"/>
        <w:rPr>
          <w:rFonts w:ascii="宋体" w:hAnsi="宋体"/>
          <w:szCs w:val="21"/>
        </w:rPr>
      </w:pPr>
      <w:r>
        <w:rPr>
          <w:rFonts w:hint="eastAsia" w:ascii="宋体" w:hAnsi="宋体"/>
          <w:szCs w:val="21"/>
        </w:rPr>
        <w:t>7、法定代表人授权书和相关授权书</w:t>
      </w:r>
    </w:p>
    <w:p>
      <w:pPr>
        <w:spacing w:line="360" w:lineRule="auto"/>
        <w:ind w:right="-11" w:firstLine="630"/>
        <w:rPr>
          <w:rFonts w:ascii="宋体" w:hAnsi="宋体"/>
          <w:szCs w:val="21"/>
        </w:rPr>
      </w:pPr>
      <w:r>
        <w:rPr>
          <w:rFonts w:hint="eastAsia" w:ascii="宋体" w:hAnsi="宋体"/>
          <w:szCs w:val="21"/>
        </w:rPr>
        <w:t>8、其他有关资料、证明文件</w:t>
      </w:r>
    </w:p>
    <w:p>
      <w:pPr>
        <w:spacing w:line="360" w:lineRule="auto"/>
        <w:ind w:right="-11" w:firstLine="630"/>
        <w:rPr>
          <w:rFonts w:ascii="宋体" w:hAnsi="宋体"/>
          <w:szCs w:val="21"/>
        </w:rPr>
      </w:pPr>
      <w:r>
        <w:rPr>
          <w:rFonts w:hint="eastAsia" w:ascii="宋体" w:hAnsi="宋体"/>
          <w:szCs w:val="21"/>
        </w:rPr>
        <w:t>9、本签字人确认资格文件中的说明是真实的、准确的。</w:t>
      </w:r>
    </w:p>
    <w:p>
      <w:pPr>
        <w:spacing w:line="360" w:lineRule="auto"/>
        <w:ind w:right="-11" w:firstLine="630"/>
        <w:rPr>
          <w:rFonts w:ascii="宋体" w:hAnsi="宋体"/>
          <w:szCs w:val="21"/>
        </w:rPr>
      </w:pPr>
      <w:r>
        <w:rPr>
          <w:rFonts w:hint="eastAsia" w:ascii="宋体" w:hAnsi="宋体"/>
          <w:szCs w:val="21"/>
        </w:rPr>
        <w:t>10、我方理解，（采购人名称）对资格审查所做的决定，是最终的。（采购人名称）对任何投标者不承担任何责任，也无义务将其决定的原因通知供应商。</w:t>
      </w:r>
    </w:p>
    <w:p>
      <w:pPr>
        <w:spacing w:line="360" w:lineRule="auto"/>
        <w:ind w:right="-11" w:firstLine="630"/>
        <w:rPr>
          <w:rFonts w:ascii="宋体" w:hAnsi="宋体"/>
          <w:szCs w:val="21"/>
        </w:rPr>
      </w:pPr>
    </w:p>
    <w:p>
      <w:pPr>
        <w:spacing w:line="360" w:lineRule="auto"/>
        <w:ind w:right="-11" w:firstLine="630"/>
        <w:rPr>
          <w:rFonts w:ascii="宋体" w:hAnsi="宋体"/>
          <w:szCs w:val="21"/>
        </w:rPr>
      </w:pPr>
    </w:p>
    <w:p>
      <w:pPr>
        <w:spacing w:line="360" w:lineRule="auto"/>
        <w:ind w:right="-11" w:firstLine="630"/>
        <w:rPr>
          <w:rFonts w:ascii="宋体" w:hAnsi="宋体"/>
          <w:szCs w:val="21"/>
        </w:rPr>
      </w:pPr>
      <w:r>
        <w:rPr>
          <w:rFonts w:hint="eastAsia" w:ascii="宋体" w:hAnsi="宋体"/>
          <w:szCs w:val="21"/>
        </w:rPr>
        <w:t>单位名称：（签章）                  法定代表人（签字）：</w:t>
      </w:r>
    </w:p>
    <w:p>
      <w:pPr>
        <w:spacing w:line="360" w:lineRule="auto"/>
        <w:ind w:right="-11" w:firstLine="630"/>
        <w:rPr>
          <w:rFonts w:ascii="宋体" w:hAnsi="宋体"/>
          <w:szCs w:val="21"/>
        </w:rPr>
      </w:pPr>
      <w:r>
        <w:rPr>
          <w:rFonts w:hint="eastAsia" w:ascii="宋体" w:hAnsi="宋体"/>
          <w:szCs w:val="21"/>
        </w:rPr>
        <w:t>地址：                              邮政编码：</w:t>
      </w:r>
    </w:p>
    <w:p>
      <w:pPr>
        <w:spacing w:line="360" w:lineRule="auto"/>
        <w:ind w:right="-11" w:firstLine="630"/>
        <w:rPr>
          <w:rFonts w:ascii="宋体" w:hAnsi="宋体"/>
          <w:szCs w:val="21"/>
        </w:rPr>
      </w:pPr>
      <w:r>
        <w:rPr>
          <w:rFonts w:hint="eastAsia" w:ascii="宋体" w:hAnsi="宋体"/>
          <w:szCs w:val="21"/>
        </w:rPr>
        <w:t>被授权委托人（签字）：</w:t>
      </w:r>
    </w:p>
    <w:p>
      <w:pPr>
        <w:spacing w:line="360" w:lineRule="auto"/>
        <w:ind w:right="-11" w:firstLine="630"/>
        <w:rPr>
          <w:rFonts w:ascii="宋体" w:hAnsi="宋体"/>
          <w:szCs w:val="21"/>
        </w:rPr>
      </w:pPr>
      <w:r>
        <w:rPr>
          <w:rFonts w:hint="eastAsia" w:ascii="宋体" w:hAnsi="宋体"/>
          <w:szCs w:val="21"/>
        </w:rPr>
        <w:t xml:space="preserve">电话：                              传真： </w:t>
      </w:r>
    </w:p>
    <w:p>
      <w:pPr>
        <w:pStyle w:val="9"/>
        <w:spacing w:line="400" w:lineRule="atLeast"/>
      </w:pPr>
      <w:r>
        <w:rPr>
          <w:rFonts w:hint="eastAsia" w:hAnsi="宋体"/>
        </w:rPr>
        <w:t xml:space="preserve">      日期：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
    <w:p>
      <w:pPr>
        <w:spacing w:line="360" w:lineRule="auto"/>
        <w:outlineLvl w:val="0"/>
        <w:rPr>
          <w:rFonts w:ascii="宋体" w:hAnsi="宋体"/>
          <w:b/>
          <w:szCs w:val="21"/>
        </w:rPr>
      </w:pPr>
      <w:r>
        <w:rPr>
          <w:rFonts w:hint="eastAsia" w:ascii="宋体" w:hAnsi="宋体"/>
          <w:b/>
          <w:szCs w:val="21"/>
        </w:rPr>
        <w:t>附件11.资格证明</w:t>
      </w:r>
    </w:p>
    <w:p>
      <w:pPr>
        <w:spacing w:line="360" w:lineRule="auto"/>
        <w:jc w:val="center"/>
        <w:rPr>
          <w:rFonts w:ascii="宋体" w:hAnsi="宋体"/>
          <w:b/>
          <w:szCs w:val="21"/>
        </w:rPr>
      </w:pPr>
    </w:p>
    <w:p>
      <w:pPr>
        <w:pStyle w:val="4"/>
      </w:pPr>
      <w:r>
        <w:rPr>
          <w:rFonts w:hint="eastAsia"/>
        </w:rPr>
        <w:t>资格证明文件</w:t>
      </w:r>
    </w:p>
    <w:p>
      <w:pPr>
        <w:spacing w:line="360" w:lineRule="auto"/>
        <w:rPr>
          <w:rFonts w:ascii="宋体" w:hAnsi="宋体"/>
          <w:b/>
          <w:szCs w:val="21"/>
        </w:rPr>
      </w:pPr>
    </w:p>
    <w:p>
      <w:pPr>
        <w:spacing w:line="360" w:lineRule="auto"/>
        <w:ind w:right="-11" w:firstLine="630"/>
        <w:rPr>
          <w:rFonts w:ascii="宋体" w:hAnsi="宋体"/>
          <w:szCs w:val="21"/>
        </w:rPr>
      </w:pPr>
      <w:r>
        <w:rPr>
          <w:rFonts w:hint="eastAsia" w:ascii="宋体" w:hAnsi="宋体"/>
          <w:szCs w:val="21"/>
        </w:rPr>
        <w:t>1、法人营业执照副本复印件</w:t>
      </w:r>
    </w:p>
    <w:p>
      <w:pPr>
        <w:spacing w:line="360" w:lineRule="auto"/>
        <w:ind w:right="-11" w:firstLine="630"/>
        <w:rPr>
          <w:rFonts w:ascii="宋体" w:hAnsi="宋体"/>
          <w:szCs w:val="21"/>
        </w:rPr>
      </w:pPr>
      <w:r>
        <w:rPr>
          <w:rFonts w:hint="eastAsia" w:ascii="宋体" w:hAnsi="宋体"/>
          <w:szCs w:val="21"/>
        </w:rPr>
        <w:t>2、相关证件复印件</w:t>
      </w:r>
    </w:p>
    <w:p>
      <w:pPr>
        <w:spacing w:line="360" w:lineRule="auto"/>
        <w:ind w:right="-11" w:firstLine="630"/>
        <w:rPr>
          <w:rFonts w:ascii="宋体" w:hAnsi="宋体"/>
          <w:szCs w:val="21"/>
        </w:rPr>
      </w:pPr>
      <w:r>
        <w:rPr>
          <w:rFonts w:hint="eastAsia" w:ascii="宋体" w:hAnsi="宋体"/>
          <w:szCs w:val="21"/>
        </w:rPr>
        <w:t>3、法定代表人身份证复印件</w:t>
      </w:r>
    </w:p>
    <w:p>
      <w:pPr>
        <w:spacing w:line="360" w:lineRule="auto"/>
        <w:ind w:right="-11" w:firstLine="630"/>
        <w:rPr>
          <w:rFonts w:ascii="宋体" w:hAnsi="宋体"/>
          <w:szCs w:val="21"/>
        </w:rPr>
      </w:pPr>
      <w:r>
        <w:rPr>
          <w:rFonts w:hint="eastAsia" w:ascii="宋体" w:hAnsi="宋体"/>
          <w:szCs w:val="21"/>
        </w:rPr>
        <w:t>4、</w:t>
      </w:r>
      <w:r>
        <w:rPr>
          <w:rFonts w:hint="eastAsia" w:ascii="新宋体" w:hAnsi="新宋体" w:eastAsia="新宋体"/>
          <w:szCs w:val="21"/>
        </w:rPr>
        <w:t>被授权委托人</w:t>
      </w:r>
      <w:r>
        <w:rPr>
          <w:rFonts w:hint="eastAsia" w:ascii="宋体" w:hAnsi="宋体"/>
          <w:szCs w:val="21"/>
        </w:rPr>
        <w:t>身份证复印件</w:t>
      </w:r>
    </w:p>
    <w:p>
      <w:pPr>
        <w:spacing w:line="360" w:lineRule="auto"/>
        <w:ind w:right="-11" w:firstLine="630"/>
        <w:rPr>
          <w:rFonts w:ascii="宋体" w:hAnsi="宋体"/>
          <w:szCs w:val="21"/>
        </w:rPr>
      </w:pPr>
      <w:r>
        <w:rPr>
          <w:rFonts w:hint="eastAsia" w:ascii="宋体" w:hAnsi="宋体"/>
          <w:szCs w:val="21"/>
        </w:rPr>
        <w:t>5、业绩证明文件复印件</w:t>
      </w:r>
    </w:p>
    <w:p>
      <w:pPr>
        <w:spacing w:line="360" w:lineRule="auto"/>
        <w:ind w:right="-11" w:firstLine="630"/>
        <w:rPr>
          <w:rFonts w:ascii="宋体" w:hAnsi="宋体"/>
          <w:szCs w:val="21"/>
        </w:rPr>
      </w:pPr>
      <w:r>
        <w:rPr>
          <w:rFonts w:hint="eastAsia" w:ascii="宋体" w:hAnsi="宋体"/>
          <w:szCs w:val="21"/>
        </w:rPr>
        <w:t>6、供应商信用信息查询记录网页版截图</w:t>
      </w:r>
    </w:p>
    <w:p>
      <w:pPr>
        <w:spacing w:line="360" w:lineRule="auto"/>
        <w:ind w:right="-11" w:firstLine="630"/>
        <w:rPr>
          <w:rFonts w:ascii="宋体" w:hAnsi="宋体"/>
          <w:szCs w:val="21"/>
        </w:rPr>
      </w:pPr>
      <w:r>
        <w:rPr>
          <w:rFonts w:hint="eastAsia" w:ascii="宋体" w:hAnsi="宋体"/>
          <w:szCs w:val="21"/>
        </w:rPr>
        <w:t>7、其他有关资料、证明文件原件或复印件</w:t>
      </w:r>
    </w:p>
    <w:p>
      <w:pPr>
        <w:pStyle w:val="9"/>
        <w:spacing w:line="400" w:lineRule="atLeast"/>
        <w:rPr>
          <w:rFonts w:ascii="新宋体" w:hAnsi="新宋体" w:eastAsia="新宋体"/>
          <w:b/>
        </w:rPr>
      </w:pPr>
    </w:p>
    <w:p>
      <w:pPr>
        <w:rPr>
          <w:szCs w:val="21"/>
        </w:rPr>
      </w:pPr>
    </w:p>
    <w:p>
      <w:pPr>
        <w:rPr>
          <w:szCs w:val="21"/>
        </w:rPr>
      </w:pPr>
    </w:p>
    <w:p>
      <w:pPr>
        <w:rPr>
          <w:szCs w:val="21"/>
        </w:rPr>
      </w:pPr>
    </w:p>
    <w:p>
      <w:pPr>
        <w:spacing w:line="360" w:lineRule="auto"/>
        <w:outlineLvl w:val="0"/>
        <w:rPr>
          <w:rFonts w:ascii="宋体" w:hAnsi="宋体"/>
          <w:b/>
          <w:szCs w:val="21"/>
        </w:rPr>
      </w:pPr>
      <w:r>
        <w:rPr>
          <w:rFonts w:hint="eastAsia" w:ascii="宋体" w:hAnsi="宋体"/>
          <w:b/>
          <w:szCs w:val="21"/>
        </w:rPr>
        <w:t>附件12.偏离表</w:t>
      </w:r>
    </w:p>
    <w:p>
      <w:pPr>
        <w:spacing w:line="360" w:lineRule="auto"/>
        <w:rPr>
          <w:rFonts w:ascii="新宋体" w:hAnsi="新宋体" w:eastAsia="新宋体"/>
          <w:b/>
          <w:szCs w:val="21"/>
        </w:rPr>
      </w:pPr>
    </w:p>
    <w:p>
      <w:pPr>
        <w:spacing w:line="360" w:lineRule="auto"/>
        <w:rPr>
          <w:rFonts w:ascii="新宋体" w:hAnsi="新宋体" w:eastAsia="新宋体"/>
          <w:bCs/>
          <w:szCs w:val="21"/>
        </w:rPr>
      </w:pPr>
      <w:r>
        <w:rPr>
          <w:rFonts w:hint="eastAsia" w:ascii="新宋体" w:hAnsi="新宋体" w:eastAsia="新宋体"/>
          <w:bCs/>
          <w:szCs w:val="21"/>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Cs w:val="21"/>
        </w:rPr>
      </w:pPr>
      <w:r>
        <w:rPr>
          <w:rFonts w:hint="eastAsia" w:ascii="宋体" w:hAnsi="宋体"/>
          <w:b/>
          <w:szCs w:val="21"/>
        </w:rPr>
        <w:t>附件13.供应商证明文件原件明细表</w:t>
      </w:r>
    </w:p>
    <w:p>
      <w:pPr>
        <w:pStyle w:val="4"/>
      </w:pPr>
      <w:r>
        <w:rPr>
          <w:rFonts w:hint="eastAsia"/>
        </w:rPr>
        <w:t>供应商证明文件原件明细表</w:t>
      </w:r>
    </w:p>
    <w:tbl>
      <w:tblPr>
        <w:tblStyle w:val="17"/>
        <w:tblW w:w="9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220"/>
        <w:gridCol w:w="144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szCs w:val="21"/>
              </w:rPr>
            </w:pPr>
            <w:r>
              <w:rPr>
                <w:rFonts w:hint="eastAsia" w:ascii="宋体" w:hAnsi="宋体"/>
                <w:szCs w:val="21"/>
              </w:rPr>
              <w:t>序号</w:t>
            </w:r>
          </w:p>
        </w:tc>
        <w:tc>
          <w:tcPr>
            <w:tcW w:w="5220" w:type="dxa"/>
            <w:vAlign w:val="center"/>
          </w:tcPr>
          <w:p>
            <w:pPr>
              <w:jc w:val="center"/>
              <w:rPr>
                <w:rFonts w:ascii="宋体" w:hAnsi="宋体"/>
                <w:szCs w:val="21"/>
              </w:rPr>
            </w:pPr>
            <w:r>
              <w:rPr>
                <w:rFonts w:hint="eastAsia" w:ascii="宋体" w:hAnsi="宋体"/>
                <w:szCs w:val="21"/>
              </w:rPr>
              <w:t>证明文件原件名称</w:t>
            </w:r>
          </w:p>
        </w:tc>
        <w:tc>
          <w:tcPr>
            <w:tcW w:w="1440" w:type="dxa"/>
            <w:vAlign w:val="center"/>
          </w:tcPr>
          <w:p>
            <w:pPr>
              <w:jc w:val="center"/>
              <w:rPr>
                <w:rFonts w:ascii="宋体" w:hAnsi="宋体"/>
                <w:szCs w:val="21"/>
              </w:rPr>
            </w:pPr>
            <w:r>
              <w:rPr>
                <w:rFonts w:hint="eastAsia" w:ascii="宋体" w:hAnsi="宋体"/>
                <w:szCs w:val="21"/>
              </w:rPr>
              <w:t>份数</w:t>
            </w:r>
          </w:p>
        </w:tc>
        <w:tc>
          <w:tcPr>
            <w:tcW w:w="1507" w:type="dxa"/>
            <w:vAlign w:val="center"/>
          </w:tcPr>
          <w:p>
            <w:pPr>
              <w:jc w:val="center"/>
              <w:rPr>
                <w:rFonts w:ascii="宋体" w:hAnsi="宋体"/>
                <w:szCs w:val="21"/>
              </w:rPr>
            </w:pPr>
            <w:r>
              <w:rPr>
                <w:rFonts w:hint="eastAsia" w:ascii="宋体" w:hAnsi="宋体"/>
                <w:szCs w:val="21"/>
              </w:rPr>
              <w:t>每份页数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szCs w:val="21"/>
              </w:rPr>
            </w:pPr>
            <w:r>
              <w:rPr>
                <w:rFonts w:hint="eastAsia" w:ascii="宋体" w:hAnsi="宋体"/>
                <w:szCs w:val="21"/>
              </w:rPr>
              <w:t>1</w:t>
            </w:r>
          </w:p>
        </w:tc>
        <w:tc>
          <w:tcPr>
            <w:tcW w:w="52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150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szCs w:val="21"/>
              </w:rPr>
            </w:pPr>
            <w:r>
              <w:rPr>
                <w:rFonts w:hint="eastAsia" w:ascii="宋体" w:hAnsi="宋体"/>
                <w:szCs w:val="21"/>
              </w:rPr>
              <w:t>2</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szCs w:val="21"/>
              </w:rPr>
            </w:pPr>
            <w:r>
              <w:rPr>
                <w:rFonts w:hint="eastAsia" w:ascii="宋体" w:hAnsi="宋体"/>
                <w:szCs w:val="21"/>
              </w:rPr>
              <w:t>3</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szCs w:val="21"/>
              </w:rPr>
            </w:pPr>
            <w:r>
              <w:rPr>
                <w:rFonts w:hint="eastAsia" w:ascii="宋体" w:hAnsi="宋体"/>
                <w:szCs w:val="21"/>
              </w:rPr>
              <w:t>4</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szCs w:val="21"/>
              </w:rPr>
            </w:pPr>
            <w:r>
              <w:rPr>
                <w:rFonts w:hint="eastAsia" w:ascii="宋体" w:hAnsi="宋体"/>
                <w:szCs w:val="21"/>
              </w:rPr>
              <w:t>5</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szCs w:val="21"/>
              </w:rPr>
            </w:pPr>
            <w:r>
              <w:rPr>
                <w:rFonts w:hint="eastAsia" w:ascii="宋体" w:hAnsi="宋体"/>
                <w:szCs w:val="21"/>
              </w:rPr>
              <w:t>6</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szCs w:val="21"/>
              </w:rPr>
            </w:pPr>
            <w:r>
              <w:rPr>
                <w:rFonts w:hint="eastAsia" w:ascii="宋体" w:hAnsi="宋体"/>
                <w:szCs w:val="21"/>
              </w:rPr>
              <w:t>7</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szCs w:val="21"/>
              </w:rPr>
            </w:pPr>
            <w:r>
              <w:rPr>
                <w:rFonts w:hint="eastAsia" w:ascii="宋体" w:hAnsi="宋体"/>
                <w:szCs w:val="21"/>
              </w:rPr>
              <w:t>8</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szCs w:val="21"/>
              </w:rPr>
            </w:pPr>
            <w:r>
              <w:rPr>
                <w:rFonts w:hint="eastAsia" w:ascii="宋体" w:hAnsi="宋体"/>
                <w:szCs w:val="21"/>
              </w:rPr>
              <w:t>9</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szCs w:val="21"/>
              </w:rPr>
            </w:pPr>
            <w:r>
              <w:rPr>
                <w:rFonts w:hint="eastAsia" w:ascii="宋体" w:hAnsi="宋体"/>
                <w:szCs w:val="21"/>
              </w:rPr>
              <w:t>10</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szCs w:val="21"/>
              </w:rPr>
            </w:pPr>
            <w:r>
              <w:rPr>
                <w:rFonts w:hint="eastAsia" w:ascii="宋体" w:hAnsi="宋体"/>
                <w:szCs w:val="21"/>
              </w:rPr>
              <w:t>11</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szCs w:val="21"/>
              </w:rPr>
            </w:pPr>
            <w:r>
              <w:rPr>
                <w:rFonts w:hint="eastAsia" w:ascii="宋体" w:hAnsi="宋体"/>
                <w:szCs w:val="21"/>
              </w:rPr>
              <w:t>…</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bl>
    <w:p>
      <w:pPr>
        <w:spacing w:beforeLines="50" w:afterLines="50" w:line="320" w:lineRule="exact"/>
        <w:rPr>
          <w:rFonts w:ascii="宋体" w:hAnsi="宋体" w:cs="Arial"/>
          <w:sz w:val="24"/>
        </w:rPr>
      </w:pPr>
    </w:p>
    <w:p>
      <w:pPr>
        <w:spacing w:beforeLines="50" w:afterLines="50" w:line="320" w:lineRule="exact"/>
        <w:ind w:left="210" w:leftChars="100"/>
        <w:rPr>
          <w:rFonts w:ascii="宋体" w:hAnsi="宋体" w:cs="Arial"/>
          <w:szCs w:val="21"/>
          <w:u w:val="single"/>
        </w:rPr>
      </w:pPr>
      <w:r>
        <w:rPr>
          <w:rFonts w:hint="eastAsia" w:ascii="宋体" w:hAnsi="宋体" w:cs="Arial"/>
          <w:szCs w:val="21"/>
        </w:rPr>
        <w:t>供应商名</w:t>
      </w:r>
      <w:r>
        <w:rPr>
          <w:rFonts w:ascii="宋体" w:hAnsi="宋体" w:cs="Arial"/>
          <w:szCs w:val="21"/>
        </w:rPr>
        <w:t>称</w:t>
      </w:r>
      <w:r>
        <w:rPr>
          <w:rFonts w:hint="eastAsia" w:ascii="宋体" w:hAnsi="宋体" w:cs="Arial"/>
          <w:szCs w:val="21"/>
        </w:rPr>
        <w:t>（并加</w:t>
      </w:r>
      <w:r>
        <w:rPr>
          <w:rFonts w:ascii="宋体" w:hAnsi="宋体" w:cs="Arial"/>
          <w:szCs w:val="21"/>
        </w:rPr>
        <w:t>盖</w:t>
      </w:r>
      <w:r>
        <w:rPr>
          <w:rFonts w:hint="eastAsia" w:ascii="宋体" w:hAnsi="宋体" w:cs="Arial"/>
          <w:szCs w:val="21"/>
        </w:rPr>
        <w:t>公章）：</w:t>
      </w:r>
    </w:p>
    <w:p>
      <w:pPr>
        <w:pStyle w:val="6"/>
        <w:spacing w:before="60" w:afterLines="50" w:line="320" w:lineRule="exact"/>
        <w:ind w:left="210" w:leftChars="100" w:firstLine="0"/>
        <w:rPr>
          <w:rFonts w:ascii="宋体" w:hAnsi="宋体" w:cs="Arial"/>
          <w:szCs w:val="21"/>
          <w:u w:val="single"/>
        </w:rPr>
      </w:pPr>
      <w:r>
        <w:rPr>
          <w:rFonts w:hint="eastAsia" w:ascii="宋体" w:hAnsi="宋体" w:cs="Arial"/>
          <w:szCs w:val="21"/>
        </w:rPr>
        <w:t>法定代表人或其授</w:t>
      </w:r>
      <w:r>
        <w:rPr>
          <w:rFonts w:ascii="宋体" w:hAnsi="宋体" w:cs="Arial"/>
          <w:szCs w:val="21"/>
        </w:rPr>
        <w:t>权</w:t>
      </w:r>
      <w:r>
        <w:rPr>
          <w:rFonts w:hint="eastAsia" w:ascii="宋体" w:hAnsi="宋体" w:cs="Arial"/>
          <w:szCs w:val="21"/>
        </w:rPr>
        <w:t>委托人（签字）：</w:t>
      </w:r>
    </w:p>
    <w:p>
      <w:pPr>
        <w:pStyle w:val="6"/>
        <w:spacing w:before="60" w:afterLines="50" w:line="320" w:lineRule="exact"/>
        <w:ind w:left="210" w:leftChars="100" w:firstLine="0"/>
        <w:rPr>
          <w:rFonts w:ascii="宋体" w:hAnsi="宋体" w:cs="Arial"/>
          <w:szCs w:val="21"/>
          <w:u w:val="single"/>
        </w:rPr>
      </w:pPr>
      <w:r>
        <w:rPr>
          <w:rFonts w:hint="eastAsia" w:ascii="宋体" w:hAnsi="宋体" w:cs="Arial"/>
          <w:szCs w:val="21"/>
        </w:rPr>
        <w:t>联系方式：</w:t>
      </w:r>
    </w:p>
    <w:p>
      <w:pPr>
        <w:pStyle w:val="6"/>
        <w:spacing w:before="60" w:afterLines="50" w:line="320" w:lineRule="exact"/>
        <w:ind w:left="210" w:leftChars="100" w:firstLine="0"/>
        <w:rPr>
          <w:rFonts w:ascii="宋体" w:hAnsi="宋体" w:cs="Arial"/>
          <w:szCs w:val="21"/>
        </w:rPr>
      </w:pPr>
      <w:r>
        <w:rPr>
          <w:rFonts w:ascii="宋体" w:hAnsi="宋体" w:cs="Arial"/>
          <w:szCs w:val="21"/>
        </w:rPr>
        <w:t>签</w:t>
      </w:r>
      <w:r>
        <w:rPr>
          <w:rFonts w:hint="eastAsia" w:ascii="宋体" w:hAnsi="宋体" w:cs="Arial"/>
          <w:szCs w:val="21"/>
        </w:rPr>
        <w:t>署日期：年月日</w:t>
      </w:r>
    </w:p>
    <w:p>
      <w:pPr>
        <w:spacing w:line="480" w:lineRule="exact"/>
        <w:ind w:left="1260" w:leftChars="100" w:hanging="1050" w:hangingChars="500"/>
        <w:rPr>
          <w:rFonts w:ascii="宋体" w:hAnsi="宋体"/>
          <w:szCs w:val="21"/>
        </w:rPr>
      </w:pPr>
    </w:p>
    <w:p>
      <w:pPr>
        <w:spacing w:line="480" w:lineRule="exact"/>
        <w:ind w:left="1264" w:leftChars="100" w:hanging="1054" w:hangingChars="500"/>
        <w:rPr>
          <w:b/>
          <w:szCs w:val="21"/>
        </w:rPr>
      </w:pPr>
      <w:r>
        <w:rPr>
          <w:rFonts w:hint="eastAsia" w:ascii="宋体" w:hAnsi="宋体"/>
          <w:b/>
          <w:szCs w:val="21"/>
        </w:rPr>
        <w:t>使用说明：请将此表粘贴于证明文件原件包外。</w:t>
      </w:r>
    </w:p>
    <w:sectPr>
      <w:pgSz w:w="11906" w:h="16838"/>
      <w:pgMar w:top="1871" w:right="1089" w:bottom="1440" w:left="1077" w:header="1247"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楷体_GB2312" w:eastAsia="楷体_GB2312"/>
        <w:b/>
        <w:i/>
      </w:rPr>
    </w:pPr>
    <w:r>
      <w:pict>
        <v:shape id="_x0000_s4103" o:spid="_x0000_s410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4" w:space="1"/>
      </w:pBdr>
      <w:jc w:val="right"/>
    </w:pPr>
    <w:r>
      <w:rPr>
        <w:rFonts w:hint="eastAsia" w:ascii="楷体_GB2312" w:eastAsia="楷体_GB2312"/>
        <w:b/>
        <w:i/>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upperLetter"/>
      <w:lvlText w:val="%1."/>
      <w:lvlJc w:val="left"/>
      <w:pPr>
        <w:tabs>
          <w:tab w:val="left" w:pos="1980"/>
        </w:tabs>
        <w:ind w:left="1980" w:hanging="420"/>
      </w:pPr>
      <w:rPr>
        <w:rFonts w:hint="default"/>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00000027"/>
    <w:multiLevelType w:val="multilevel"/>
    <w:tmpl w:val="00000027"/>
    <w:lvl w:ilvl="0" w:tentative="0">
      <w:start w:val="1"/>
      <w:numFmt w:val="decimal"/>
      <w:lvlText w:val="%1"/>
      <w:lvlJc w:val="left"/>
      <w:pPr>
        <w:ind w:left="425" w:hanging="425"/>
      </w:pPr>
      <w:rPr>
        <w:rFonts w:hint="eastAsia"/>
        <w:sz w:val="28"/>
        <w:szCs w:val="28"/>
      </w:rPr>
    </w:lvl>
    <w:lvl w:ilvl="1" w:tentative="0">
      <w:start w:val="1"/>
      <w:numFmt w:val="decimal"/>
      <w:suff w:val="space"/>
      <w:lvlText w:val="%1.%2"/>
      <w:lvlJc w:val="left"/>
      <w:pPr>
        <w:ind w:left="850" w:hanging="425"/>
      </w:pPr>
      <w:rPr>
        <w:rFonts w:hint="eastAsia" w:ascii="宋体" w:hAnsi="宋体" w:eastAsia="宋体"/>
        <w:sz w:val="28"/>
        <w:szCs w:val="28"/>
        <w:lang w:eastAsia="zh-CN"/>
      </w:rPr>
    </w:lvl>
    <w:lvl w:ilvl="2" w:tentative="0">
      <w:start w:val="1"/>
      <w:numFmt w:val="decimal"/>
      <w:suff w:val="space"/>
      <w:lvlText w:val="%1.%2.%3"/>
      <w:lvlJc w:val="left"/>
      <w:pPr>
        <w:ind w:left="1135" w:hanging="425"/>
      </w:pPr>
      <w:rPr>
        <w:rFonts w:hint="eastAsia" w:ascii="宋体" w:hAnsi="宋体" w:eastAsia="宋体"/>
        <w:sz w:val="24"/>
        <w:szCs w:val="24"/>
      </w:rPr>
    </w:lvl>
    <w:lvl w:ilvl="3" w:tentative="0">
      <w:start w:val="1"/>
      <w:numFmt w:val="bullet"/>
      <w:lvlText w:val=""/>
      <w:lvlJc w:val="left"/>
      <w:pPr>
        <w:tabs>
          <w:tab w:val="left" w:pos="1555"/>
        </w:tabs>
        <w:ind w:left="1555" w:hanging="420"/>
      </w:pPr>
      <w:rPr>
        <w:rFonts w:hint="default" w:ascii="Wingdings" w:hAnsi="Wingdings"/>
        <w:sz w:val="28"/>
        <w:szCs w:val="28"/>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2">
    <w:nsid w:val="0000002C"/>
    <w:multiLevelType w:val="multilevel"/>
    <w:tmpl w:val="0000002C"/>
    <w:lvl w:ilvl="0" w:tentative="0">
      <w:start w:val="1"/>
      <w:numFmt w:val="decimal"/>
      <w:lvlText w:val="%1"/>
      <w:lvlJc w:val="left"/>
      <w:pPr>
        <w:ind w:left="425" w:hanging="425"/>
      </w:pPr>
      <w:rPr>
        <w:rFonts w:hint="eastAsia"/>
        <w:sz w:val="28"/>
        <w:szCs w:val="28"/>
      </w:rPr>
    </w:lvl>
    <w:lvl w:ilvl="1" w:tentative="0">
      <w:start w:val="1"/>
      <w:numFmt w:val="decimal"/>
      <w:suff w:val="space"/>
      <w:lvlText w:val="%1.%2"/>
      <w:lvlJc w:val="left"/>
      <w:pPr>
        <w:ind w:left="851" w:hanging="425"/>
      </w:pPr>
      <w:rPr>
        <w:rFonts w:hint="eastAsia" w:ascii="新宋体" w:hAnsi="新宋体" w:eastAsia="新宋体"/>
        <w:sz w:val="21"/>
        <w:szCs w:val="28"/>
        <w:lang w:eastAsia="zh-CN"/>
      </w:rPr>
    </w:lvl>
    <w:lvl w:ilvl="2" w:tentative="0">
      <w:start w:val="1"/>
      <w:numFmt w:val="decimal"/>
      <w:suff w:val="space"/>
      <w:lvlText w:val="%1.%2.%3"/>
      <w:lvlJc w:val="left"/>
      <w:pPr>
        <w:ind w:left="1135" w:hanging="425"/>
      </w:pPr>
      <w:rPr>
        <w:rFonts w:hint="eastAsia" w:ascii="宋体" w:hAnsi="宋体" w:eastAsia="宋体"/>
        <w:sz w:val="24"/>
        <w:szCs w:val="24"/>
      </w:rPr>
    </w:lvl>
    <w:lvl w:ilvl="3" w:tentative="0">
      <w:start w:val="1"/>
      <w:numFmt w:val="decimal"/>
      <w:lvlText w:val="%1.%2.%3.%4"/>
      <w:lvlJc w:val="left"/>
      <w:pPr>
        <w:ind w:left="156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3">
    <w:nsid w:val="076266D0"/>
    <w:multiLevelType w:val="multilevel"/>
    <w:tmpl w:val="076266D0"/>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6962D5"/>
    <w:multiLevelType w:val="multilevel"/>
    <w:tmpl w:val="166962D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30C4114"/>
    <w:multiLevelType w:val="multilevel"/>
    <w:tmpl w:val="230C41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4DB666F"/>
    <w:multiLevelType w:val="multilevel"/>
    <w:tmpl w:val="34DB666F"/>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24FF4D"/>
    <w:multiLevelType w:val="singleLevel"/>
    <w:tmpl w:val="5524FF4D"/>
    <w:lvl w:ilvl="0" w:tentative="0">
      <w:start w:val="1"/>
      <w:numFmt w:val="decimal"/>
      <w:suff w:val="nothing"/>
      <w:lvlText w:val="%1．"/>
      <w:lvlJc w:val="left"/>
    </w:lvl>
  </w:abstractNum>
  <w:abstractNum w:abstractNumId="8">
    <w:nsid w:val="5604261C"/>
    <w:multiLevelType w:val="multilevel"/>
    <w:tmpl w:val="5604261C"/>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55332A"/>
    <w:multiLevelType w:val="singleLevel"/>
    <w:tmpl w:val="5655332A"/>
    <w:lvl w:ilvl="0" w:tentative="0">
      <w:start w:val="3"/>
      <w:numFmt w:val="chineseCounting"/>
      <w:suff w:val="nothing"/>
      <w:lvlText w:val="%1、"/>
      <w:lvlJc w:val="left"/>
    </w:lvl>
  </w:abstractNum>
  <w:abstractNum w:abstractNumId="10">
    <w:nsid w:val="5656B77D"/>
    <w:multiLevelType w:val="singleLevel"/>
    <w:tmpl w:val="5656B77D"/>
    <w:lvl w:ilvl="0" w:tentative="0">
      <w:start w:val="1"/>
      <w:numFmt w:val="decimal"/>
      <w:suff w:val="nothing"/>
      <w:lvlText w:val="%1."/>
      <w:lvlJc w:val="left"/>
    </w:lvl>
  </w:abstractNum>
  <w:abstractNum w:abstractNumId="11">
    <w:nsid w:val="56C58610"/>
    <w:multiLevelType w:val="singleLevel"/>
    <w:tmpl w:val="56C58610"/>
    <w:lvl w:ilvl="0" w:tentative="0">
      <w:start w:val="6"/>
      <w:numFmt w:val="decimal"/>
      <w:suff w:val="nothing"/>
      <w:lvlText w:val="%1."/>
      <w:lvlJc w:val="left"/>
    </w:lvl>
  </w:abstractNum>
  <w:abstractNum w:abstractNumId="12">
    <w:nsid w:val="578C4E52"/>
    <w:multiLevelType w:val="singleLevel"/>
    <w:tmpl w:val="578C4E52"/>
    <w:lvl w:ilvl="0" w:tentative="0">
      <w:start w:val="11"/>
      <w:numFmt w:val="decimal"/>
      <w:suff w:val="nothing"/>
      <w:lvlText w:val="%1、"/>
      <w:lvlJc w:val="left"/>
      <w:rPr>
        <w:rFonts w:cs="Times New Roman"/>
      </w:rPr>
    </w:lvl>
  </w:abstractNum>
  <w:abstractNum w:abstractNumId="13">
    <w:nsid w:val="74E1383D"/>
    <w:multiLevelType w:val="multilevel"/>
    <w:tmpl w:val="74E1383D"/>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3"/>
  </w:num>
  <w:num w:numId="4">
    <w:abstractNumId w:val="8"/>
  </w:num>
  <w:num w:numId="5">
    <w:abstractNumId w:val="13"/>
  </w:num>
  <w:num w:numId="6">
    <w:abstractNumId w:val="6"/>
  </w:num>
  <w:num w:numId="7">
    <w:abstractNumId w:val="5"/>
  </w:num>
  <w:num w:numId="8">
    <w:abstractNumId w:val="12"/>
  </w:num>
  <w:num w:numId="9">
    <w:abstractNumId w:val="9"/>
  </w:num>
  <w:num w:numId="10">
    <w:abstractNumId w:val="10"/>
  </w:num>
  <w:num w:numId="11">
    <w:abstractNumId w:val="11"/>
  </w:num>
  <w:num w:numId="12">
    <w:abstractNumId w:val="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2,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1B3"/>
    <w:rsid w:val="00003627"/>
    <w:rsid w:val="00006283"/>
    <w:rsid w:val="000110F1"/>
    <w:rsid w:val="00016DCE"/>
    <w:rsid w:val="00017B58"/>
    <w:rsid w:val="00023A56"/>
    <w:rsid w:val="00032547"/>
    <w:rsid w:val="00034EBA"/>
    <w:rsid w:val="00043BDF"/>
    <w:rsid w:val="000453E0"/>
    <w:rsid w:val="000506F0"/>
    <w:rsid w:val="00054C51"/>
    <w:rsid w:val="00056F3F"/>
    <w:rsid w:val="00061AC3"/>
    <w:rsid w:val="00071BCD"/>
    <w:rsid w:val="00072072"/>
    <w:rsid w:val="000724A3"/>
    <w:rsid w:val="00074E50"/>
    <w:rsid w:val="00081034"/>
    <w:rsid w:val="0008329A"/>
    <w:rsid w:val="00084945"/>
    <w:rsid w:val="00085A69"/>
    <w:rsid w:val="00085EFF"/>
    <w:rsid w:val="0008736A"/>
    <w:rsid w:val="00092108"/>
    <w:rsid w:val="000A5317"/>
    <w:rsid w:val="000B125E"/>
    <w:rsid w:val="000B38AF"/>
    <w:rsid w:val="000B39C1"/>
    <w:rsid w:val="000B4332"/>
    <w:rsid w:val="000B4A67"/>
    <w:rsid w:val="000B7C98"/>
    <w:rsid w:val="000C3786"/>
    <w:rsid w:val="000C5CEA"/>
    <w:rsid w:val="000C7CE4"/>
    <w:rsid w:val="000D2DC0"/>
    <w:rsid w:val="000D31EA"/>
    <w:rsid w:val="000D3455"/>
    <w:rsid w:val="000D4CBA"/>
    <w:rsid w:val="000E28B2"/>
    <w:rsid w:val="000E45FD"/>
    <w:rsid w:val="00100F42"/>
    <w:rsid w:val="001015E6"/>
    <w:rsid w:val="001020DA"/>
    <w:rsid w:val="00106B98"/>
    <w:rsid w:val="00106D51"/>
    <w:rsid w:val="00111DEE"/>
    <w:rsid w:val="00113811"/>
    <w:rsid w:val="001141B1"/>
    <w:rsid w:val="00120949"/>
    <w:rsid w:val="00120A8D"/>
    <w:rsid w:val="00130947"/>
    <w:rsid w:val="00130F41"/>
    <w:rsid w:val="001319D8"/>
    <w:rsid w:val="00134E82"/>
    <w:rsid w:val="00135DD2"/>
    <w:rsid w:val="00136991"/>
    <w:rsid w:val="00140B8B"/>
    <w:rsid w:val="001519CB"/>
    <w:rsid w:val="00154D40"/>
    <w:rsid w:val="0015610F"/>
    <w:rsid w:val="00156DFB"/>
    <w:rsid w:val="00156FB0"/>
    <w:rsid w:val="001601E5"/>
    <w:rsid w:val="00163066"/>
    <w:rsid w:val="00164C0A"/>
    <w:rsid w:val="00164E3F"/>
    <w:rsid w:val="001656AA"/>
    <w:rsid w:val="00165B46"/>
    <w:rsid w:val="00167371"/>
    <w:rsid w:val="00172A27"/>
    <w:rsid w:val="00173950"/>
    <w:rsid w:val="00173D15"/>
    <w:rsid w:val="00175B3A"/>
    <w:rsid w:val="001772AB"/>
    <w:rsid w:val="001837A6"/>
    <w:rsid w:val="00183C4B"/>
    <w:rsid w:val="001852A4"/>
    <w:rsid w:val="001858B5"/>
    <w:rsid w:val="00186EA5"/>
    <w:rsid w:val="0019279D"/>
    <w:rsid w:val="001933BE"/>
    <w:rsid w:val="001943F6"/>
    <w:rsid w:val="001944B3"/>
    <w:rsid w:val="00196F04"/>
    <w:rsid w:val="001A3950"/>
    <w:rsid w:val="001A415E"/>
    <w:rsid w:val="001A56CA"/>
    <w:rsid w:val="001B7BE8"/>
    <w:rsid w:val="001C1CF4"/>
    <w:rsid w:val="001C4F5E"/>
    <w:rsid w:val="001C5128"/>
    <w:rsid w:val="001D3983"/>
    <w:rsid w:val="001D3B5D"/>
    <w:rsid w:val="001D682F"/>
    <w:rsid w:val="001D79CF"/>
    <w:rsid w:val="001E1444"/>
    <w:rsid w:val="001E17A3"/>
    <w:rsid w:val="001E7101"/>
    <w:rsid w:val="001E78E9"/>
    <w:rsid w:val="001F5C64"/>
    <w:rsid w:val="00201487"/>
    <w:rsid w:val="002064FA"/>
    <w:rsid w:val="00207158"/>
    <w:rsid w:val="00213EFA"/>
    <w:rsid w:val="00214949"/>
    <w:rsid w:val="002179A9"/>
    <w:rsid w:val="00222902"/>
    <w:rsid w:val="00223791"/>
    <w:rsid w:val="002270A9"/>
    <w:rsid w:val="0023506A"/>
    <w:rsid w:val="002362A7"/>
    <w:rsid w:val="002414CB"/>
    <w:rsid w:val="002432EA"/>
    <w:rsid w:val="002447E8"/>
    <w:rsid w:val="00244A0B"/>
    <w:rsid w:val="002467A4"/>
    <w:rsid w:val="00254EFA"/>
    <w:rsid w:val="002567EF"/>
    <w:rsid w:val="00260AB6"/>
    <w:rsid w:val="00262BB8"/>
    <w:rsid w:val="002633EC"/>
    <w:rsid w:val="00264527"/>
    <w:rsid w:val="00264794"/>
    <w:rsid w:val="00271E30"/>
    <w:rsid w:val="00272D51"/>
    <w:rsid w:val="00280328"/>
    <w:rsid w:val="00283E8A"/>
    <w:rsid w:val="0029026F"/>
    <w:rsid w:val="00292EC2"/>
    <w:rsid w:val="0029401B"/>
    <w:rsid w:val="002A1CD0"/>
    <w:rsid w:val="002A7EB2"/>
    <w:rsid w:val="002B2667"/>
    <w:rsid w:val="002B6691"/>
    <w:rsid w:val="002C0952"/>
    <w:rsid w:val="002C2266"/>
    <w:rsid w:val="002C4BE9"/>
    <w:rsid w:val="002D3A48"/>
    <w:rsid w:val="002D4D2D"/>
    <w:rsid w:val="002D59D9"/>
    <w:rsid w:val="002E52A0"/>
    <w:rsid w:val="002F5DA1"/>
    <w:rsid w:val="00304520"/>
    <w:rsid w:val="00305D3F"/>
    <w:rsid w:val="00312088"/>
    <w:rsid w:val="003124C0"/>
    <w:rsid w:val="00316063"/>
    <w:rsid w:val="0032134C"/>
    <w:rsid w:val="00322339"/>
    <w:rsid w:val="00325979"/>
    <w:rsid w:val="00325CDF"/>
    <w:rsid w:val="0033168C"/>
    <w:rsid w:val="00333570"/>
    <w:rsid w:val="00335155"/>
    <w:rsid w:val="0033590B"/>
    <w:rsid w:val="00336618"/>
    <w:rsid w:val="00336663"/>
    <w:rsid w:val="00351D05"/>
    <w:rsid w:val="00353AD7"/>
    <w:rsid w:val="00355A21"/>
    <w:rsid w:val="0036121A"/>
    <w:rsid w:val="00366014"/>
    <w:rsid w:val="003703B4"/>
    <w:rsid w:val="003718DA"/>
    <w:rsid w:val="00372031"/>
    <w:rsid w:val="00374E32"/>
    <w:rsid w:val="0037769F"/>
    <w:rsid w:val="003857F5"/>
    <w:rsid w:val="003935AC"/>
    <w:rsid w:val="00394939"/>
    <w:rsid w:val="003A0AA9"/>
    <w:rsid w:val="003A17CA"/>
    <w:rsid w:val="003A1824"/>
    <w:rsid w:val="003A3600"/>
    <w:rsid w:val="003A78E3"/>
    <w:rsid w:val="003A7956"/>
    <w:rsid w:val="003B278D"/>
    <w:rsid w:val="003C3560"/>
    <w:rsid w:val="003C3AE2"/>
    <w:rsid w:val="003C3D6A"/>
    <w:rsid w:val="003D2D5F"/>
    <w:rsid w:val="003D3B0C"/>
    <w:rsid w:val="003D51DC"/>
    <w:rsid w:val="003D5980"/>
    <w:rsid w:val="003E0E45"/>
    <w:rsid w:val="003E10A3"/>
    <w:rsid w:val="003E2743"/>
    <w:rsid w:val="003E61B6"/>
    <w:rsid w:val="003E6FF5"/>
    <w:rsid w:val="003F0F38"/>
    <w:rsid w:val="003F2FFF"/>
    <w:rsid w:val="004011CE"/>
    <w:rsid w:val="00401838"/>
    <w:rsid w:val="004064D6"/>
    <w:rsid w:val="004218BC"/>
    <w:rsid w:val="00423A98"/>
    <w:rsid w:val="004305D1"/>
    <w:rsid w:val="00431B44"/>
    <w:rsid w:val="004321ED"/>
    <w:rsid w:val="004328BA"/>
    <w:rsid w:val="004333DF"/>
    <w:rsid w:val="0044178A"/>
    <w:rsid w:val="00441A43"/>
    <w:rsid w:val="00443D36"/>
    <w:rsid w:val="00444DE3"/>
    <w:rsid w:val="004468D0"/>
    <w:rsid w:val="0044698C"/>
    <w:rsid w:val="00447B6A"/>
    <w:rsid w:val="00450E6C"/>
    <w:rsid w:val="004653D4"/>
    <w:rsid w:val="0047404D"/>
    <w:rsid w:val="004837DC"/>
    <w:rsid w:val="004901F7"/>
    <w:rsid w:val="00492F4C"/>
    <w:rsid w:val="004A1016"/>
    <w:rsid w:val="004A312A"/>
    <w:rsid w:val="004A3239"/>
    <w:rsid w:val="004A7EF8"/>
    <w:rsid w:val="004C5974"/>
    <w:rsid w:val="004D0B9B"/>
    <w:rsid w:val="004D1250"/>
    <w:rsid w:val="004D1A58"/>
    <w:rsid w:val="004D3F13"/>
    <w:rsid w:val="004E5916"/>
    <w:rsid w:val="004F0B13"/>
    <w:rsid w:val="004F2E67"/>
    <w:rsid w:val="004F6195"/>
    <w:rsid w:val="004F626E"/>
    <w:rsid w:val="004F6E4C"/>
    <w:rsid w:val="0050291B"/>
    <w:rsid w:val="00506E4B"/>
    <w:rsid w:val="00507693"/>
    <w:rsid w:val="00510BA7"/>
    <w:rsid w:val="0051126B"/>
    <w:rsid w:val="005119D8"/>
    <w:rsid w:val="00511B32"/>
    <w:rsid w:val="0051412A"/>
    <w:rsid w:val="005141B0"/>
    <w:rsid w:val="005241DE"/>
    <w:rsid w:val="00540D96"/>
    <w:rsid w:val="00541ACD"/>
    <w:rsid w:val="00541D9A"/>
    <w:rsid w:val="005441FE"/>
    <w:rsid w:val="005475CF"/>
    <w:rsid w:val="00551D83"/>
    <w:rsid w:val="00555455"/>
    <w:rsid w:val="00562C2A"/>
    <w:rsid w:val="00566FCE"/>
    <w:rsid w:val="00567078"/>
    <w:rsid w:val="00572915"/>
    <w:rsid w:val="0057736D"/>
    <w:rsid w:val="005774CC"/>
    <w:rsid w:val="00577E4A"/>
    <w:rsid w:val="005821FB"/>
    <w:rsid w:val="005822A5"/>
    <w:rsid w:val="005850AA"/>
    <w:rsid w:val="0058779C"/>
    <w:rsid w:val="005909A3"/>
    <w:rsid w:val="005945A5"/>
    <w:rsid w:val="0059468E"/>
    <w:rsid w:val="005A08FF"/>
    <w:rsid w:val="005A0D5E"/>
    <w:rsid w:val="005A49FC"/>
    <w:rsid w:val="005A6795"/>
    <w:rsid w:val="005A6B61"/>
    <w:rsid w:val="005B1664"/>
    <w:rsid w:val="005B2EA5"/>
    <w:rsid w:val="005B53CC"/>
    <w:rsid w:val="005B5DC7"/>
    <w:rsid w:val="005C72E2"/>
    <w:rsid w:val="005D124B"/>
    <w:rsid w:val="005D4909"/>
    <w:rsid w:val="005D638D"/>
    <w:rsid w:val="005D63F7"/>
    <w:rsid w:val="005D76EA"/>
    <w:rsid w:val="005E294F"/>
    <w:rsid w:val="005E559E"/>
    <w:rsid w:val="005E5B75"/>
    <w:rsid w:val="005E7FF5"/>
    <w:rsid w:val="005F19DB"/>
    <w:rsid w:val="005F62B8"/>
    <w:rsid w:val="00601A8B"/>
    <w:rsid w:val="006079C8"/>
    <w:rsid w:val="006108C2"/>
    <w:rsid w:val="00613638"/>
    <w:rsid w:val="0061747B"/>
    <w:rsid w:val="00621723"/>
    <w:rsid w:val="006230D8"/>
    <w:rsid w:val="00623C31"/>
    <w:rsid w:val="0062410C"/>
    <w:rsid w:val="00630734"/>
    <w:rsid w:val="0063480D"/>
    <w:rsid w:val="006350CB"/>
    <w:rsid w:val="0063650E"/>
    <w:rsid w:val="00643D63"/>
    <w:rsid w:val="00652CDC"/>
    <w:rsid w:val="006572FF"/>
    <w:rsid w:val="006722FB"/>
    <w:rsid w:val="006750F4"/>
    <w:rsid w:val="00675324"/>
    <w:rsid w:val="00680885"/>
    <w:rsid w:val="0068130C"/>
    <w:rsid w:val="0068252A"/>
    <w:rsid w:val="006864B0"/>
    <w:rsid w:val="00697C82"/>
    <w:rsid w:val="006A4AE0"/>
    <w:rsid w:val="006B3B13"/>
    <w:rsid w:val="006C06BB"/>
    <w:rsid w:val="006C0FA5"/>
    <w:rsid w:val="006C4C74"/>
    <w:rsid w:val="006C562F"/>
    <w:rsid w:val="006D12A2"/>
    <w:rsid w:val="006D385E"/>
    <w:rsid w:val="006D3F9D"/>
    <w:rsid w:val="006E25FC"/>
    <w:rsid w:val="006E330F"/>
    <w:rsid w:val="006E3BEC"/>
    <w:rsid w:val="006F3D68"/>
    <w:rsid w:val="006F3DFB"/>
    <w:rsid w:val="00701AE1"/>
    <w:rsid w:val="00701C6C"/>
    <w:rsid w:val="007023BD"/>
    <w:rsid w:val="00704025"/>
    <w:rsid w:val="00710175"/>
    <w:rsid w:val="0071075D"/>
    <w:rsid w:val="007109E6"/>
    <w:rsid w:val="00710BCC"/>
    <w:rsid w:val="00716162"/>
    <w:rsid w:val="0071712E"/>
    <w:rsid w:val="007209C1"/>
    <w:rsid w:val="0072396D"/>
    <w:rsid w:val="0072757C"/>
    <w:rsid w:val="00730CBA"/>
    <w:rsid w:val="00734FA9"/>
    <w:rsid w:val="0073781D"/>
    <w:rsid w:val="00740282"/>
    <w:rsid w:val="00746E0F"/>
    <w:rsid w:val="0075436C"/>
    <w:rsid w:val="00754BD8"/>
    <w:rsid w:val="00765B38"/>
    <w:rsid w:val="00765E20"/>
    <w:rsid w:val="00767B08"/>
    <w:rsid w:val="00771C50"/>
    <w:rsid w:val="00775299"/>
    <w:rsid w:val="007768C1"/>
    <w:rsid w:val="00777751"/>
    <w:rsid w:val="007831B2"/>
    <w:rsid w:val="00785A21"/>
    <w:rsid w:val="0079366D"/>
    <w:rsid w:val="007A0729"/>
    <w:rsid w:val="007A0900"/>
    <w:rsid w:val="007A3009"/>
    <w:rsid w:val="007A5C2B"/>
    <w:rsid w:val="007B0689"/>
    <w:rsid w:val="007B5156"/>
    <w:rsid w:val="007B71BB"/>
    <w:rsid w:val="007D44C8"/>
    <w:rsid w:val="007F6E74"/>
    <w:rsid w:val="00802F1D"/>
    <w:rsid w:val="00803F2E"/>
    <w:rsid w:val="00804960"/>
    <w:rsid w:val="00806DC6"/>
    <w:rsid w:val="00807AE6"/>
    <w:rsid w:val="00813AC9"/>
    <w:rsid w:val="00813B7C"/>
    <w:rsid w:val="00824C50"/>
    <w:rsid w:val="00831812"/>
    <w:rsid w:val="0083268B"/>
    <w:rsid w:val="00833A9E"/>
    <w:rsid w:val="00837253"/>
    <w:rsid w:val="008426D5"/>
    <w:rsid w:val="00847E15"/>
    <w:rsid w:val="00847E35"/>
    <w:rsid w:val="00850722"/>
    <w:rsid w:val="008549E1"/>
    <w:rsid w:val="00862D3F"/>
    <w:rsid w:val="00867F65"/>
    <w:rsid w:val="00870849"/>
    <w:rsid w:val="008710CE"/>
    <w:rsid w:val="00880431"/>
    <w:rsid w:val="00893DBC"/>
    <w:rsid w:val="008A13A8"/>
    <w:rsid w:val="008A33B7"/>
    <w:rsid w:val="008A6387"/>
    <w:rsid w:val="008B408B"/>
    <w:rsid w:val="008C5152"/>
    <w:rsid w:val="008E4260"/>
    <w:rsid w:val="008E6EB6"/>
    <w:rsid w:val="008E7234"/>
    <w:rsid w:val="008E79A1"/>
    <w:rsid w:val="008F1C73"/>
    <w:rsid w:val="008F2572"/>
    <w:rsid w:val="008F3C7E"/>
    <w:rsid w:val="00900263"/>
    <w:rsid w:val="0090122A"/>
    <w:rsid w:val="009012A0"/>
    <w:rsid w:val="00902FE8"/>
    <w:rsid w:val="00904CB7"/>
    <w:rsid w:val="00912E4C"/>
    <w:rsid w:val="00912EFF"/>
    <w:rsid w:val="00917A5A"/>
    <w:rsid w:val="009274A0"/>
    <w:rsid w:val="009378F6"/>
    <w:rsid w:val="00942125"/>
    <w:rsid w:val="00942DF8"/>
    <w:rsid w:val="0094404D"/>
    <w:rsid w:val="009443F5"/>
    <w:rsid w:val="00952054"/>
    <w:rsid w:val="00953872"/>
    <w:rsid w:val="00961FD5"/>
    <w:rsid w:val="00963CB6"/>
    <w:rsid w:val="009669C5"/>
    <w:rsid w:val="00966AE5"/>
    <w:rsid w:val="0097093A"/>
    <w:rsid w:val="009724AF"/>
    <w:rsid w:val="00972D48"/>
    <w:rsid w:val="00974702"/>
    <w:rsid w:val="009821A4"/>
    <w:rsid w:val="00994670"/>
    <w:rsid w:val="0099593C"/>
    <w:rsid w:val="00996515"/>
    <w:rsid w:val="009A2472"/>
    <w:rsid w:val="009A3A56"/>
    <w:rsid w:val="009A6789"/>
    <w:rsid w:val="009A6E44"/>
    <w:rsid w:val="009B3F2B"/>
    <w:rsid w:val="009B6D5C"/>
    <w:rsid w:val="009B78CD"/>
    <w:rsid w:val="009C21D1"/>
    <w:rsid w:val="009C5966"/>
    <w:rsid w:val="009C66AB"/>
    <w:rsid w:val="009C706C"/>
    <w:rsid w:val="009D0DF0"/>
    <w:rsid w:val="009D3501"/>
    <w:rsid w:val="009D4A9D"/>
    <w:rsid w:val="009E5D12"/>
    <w:rsid w:val="009E686C"/>
    <w:rsid w:val="009F27A7"/>
    <w:rsid w:val="009F42C1"/>
    <w:rsid w:val="009F4CDB"/>
    <w:rsid w:val="00A0440F"/>
    <w:rsid w:val="00A058A0"/>
    <w:rsid w:val="00A058A4"/>
    <w:rsid w:val="00A24979"/>
    <w:rsid w:val="00A270E5"/>
    <w:rsid w:val="00A34177"/>
    <w:rsid w:val="00A40083"/>
    <w:rsid w:val="00A40EFE"/>
    <w:rsid w:val="00A44D5C"/>
    <w:rsid w:val="00A46E9D"/>
    <w:rsid w:val="00A47CC6"/>
    <w:rsid w:val="00A5132E"/>
    <w:rsid w:val="00A518B1"/>
    <w:rsid w:val="00A51CAE"/>
    <w:rsid w:val="00A53F37"/>
    <w:rsid w:val="00A53F5A"/>
    <w:rsid w:val="00A56A79"/>
    <w:rsid w:val="00A56C08"/>
    <w:rsid w:val="00A64C77"/>
    <w:rsid w:val="00A67ED5"/>
    <w:rsid w:val="00A708A4"/>
    <w:rsid w:val="00A72D9F"/>
    <w:rsid w:val="00A76091"/>
    <w:rsid w:val="00A76A6A"/>
    <w:rsid w:val="00A76F36"/>
    <w:rsid w:val="00A77084"/>
    <w:rsid w:val="00A823F3"/>
    <w:rsid w:val="00A82C11"/>
    <w:rsid w:val="00A84D0F"/>
    <w:rsid w:val="00A85F09"/>
    <w:rsid w:val="00A954BF"/>
    <w:rsid w:val="00AA1346"/>
    <w:rsid w:val="00AA584D"/>
    <w:rsid w:val="00AA70DB"/>
    <w:rsid w:val="00AC0E05"/>
    <w:rsid w:val="00AC6587"/>
    <w:rsid w:val="00AD0358"/>
    <w:rsid w:val="00AD44C1"/>
    <w:rsid w:val="00AD5243"/>
    <w:rsid w:val="00AD685D"/>
    <w:rsid w:val="00AE0053"/>
    <w:rsid w:val="00AE0E5C"/>
    <w:rsid w:val="00AE2A78"/>
    <w:rsid w:val="00AE4BAA"/>
    <w:rsid w:val="00AF4E02"/>
    <w:rsid w:val="00B010BA"/>
    <w:rsid w:val="00B014D2"/>
    <w:rsid w:val="00B106B7"/>
    <w:rsid w:val="00B127FD"/>
    <w:rsid w:val="00B12E7E"/>
    <w:rsid w:val="00B1305A"/>
    <w:rsid w:val="00B13652"/>
    <w:rsid w:val="00B13A4D"/>
    <w:rsid w:val="00B151BA"/>
    <w:rsid w:val="00B2092C"/>
    <w:rsid w:val="00B26E95"/>
    <w:rsid w:val="00B32BDD"/>
    <w:rsid w:val="00B3469A"/>
    <w:rsid w:val="00B40B7B"/>
    <w:rsid w:val="00B418F7"/>
    <w:rsid w:val="00B4572F"/>
    <w:rsid w:val="00B45C88"/>
    <w:rsid w:val="00B47200"/>
    <w:rsid w:val="00B501B4"/>
    <w:rsid w:val="00B5733F"/>
    <w:rsid w:val="00B60818"/>
    <w:rsid w:val="00B67AFB"/>
    <w:rsid w:val="00B711C7"/>
    <w:rsid w:val="00B722C3"/>
    <w:rsid w:val="00B72892"/>
    <w:rsid w:val="00B73039"/>
    <w:rsid w:val="00B75A91"/>
    <w:rsid w:val="00B820E3"/>
    <w:rsid w:val="00B91375"/>
    <w:rsid w:val="00B94549"/>
    <w:rsid w:val="00B94862"/>
    <w:rsid w:val="00B96586"/>
    <w:rsid w:val="00BA03F7"/>
    <w:rsid w:val="00BA0770"/>
    <w:rsid w:val="00BB0363"/>
    <w:rsid w:val="00BB1F61"/>
    <w:rsid w:val="00BB5616"/>
    <w:rsid w:val="00BB7F82"/>
    <w:rsid w:val="00BC27DA"/>
    <w:rsid w:val="00BC3369"/>
    <w:rsid w:val="00BC40D7"/>
    <w:rsid w:val="00BE470D"/>
    <w:rsid w:val="00BE5D32"/>
    <w:rsid w:val="00BE5F89"/>
    <w:rsid w:val="00BF0BFD"/>
    <w:rsid w:val="00BF7780"/>
    <w:rsid w:val="00C03017"/>
    <w:rsid w:val="00C0392B"/>
    <w:rsid w:val="00C06754"/>
    <w:rsid w:val="00C076BF"/>
    <w:rsid w:val="00C104FF"/>
    <w:rsid w:val="00C10BBF"/>
    <w:rsid w:val="00C118F8"/>
    <w:rsid w:val="00C13086"/>
    <w:rsid w:val="00C13646"/>
    <w:rsid w:val="00C140AD"/>
    <w:rsid w:val="00C17194"/>
    <w:rsid w:val="00C2003F"/>
    <w:rsid w:val="00C32089"/>
    <w:rsid w:val="00C34783"/>
    <w:rsid w:val="00C45CCB"/>
    <w:rsid w:val="00C52F53"/>
    <w:rsid w:val="00C5716D"/>
    <w:rsid w:val="00C573AC"/>
    <w:rsid w:val="00C614FD"/>
    <w:rsid w:val="00C7105B"/>
    <w:rsid w:val="00C75C51"/>
    <w:rsid w:val="00C76AAC"/>
    <w:rsid w:val="00C83B95"/>
    <w:rsid w:val="00C8515B"/>
    <w:rsid w:val="00C85208"/>
    <w:rsid w:val="00C931D1"/>
    <w:rsid w:val="00C9664F"/>
    <w:rsid w:val="00C970AB"/>
    <w:rsid w:val="00C97FB3"/>
    <w:rsid w:val="00CA1065"/>
    <w:rsid w:val="00CA1A16"/>
    <w:rsid w:val="00CA4D62"/>
    <w:rsid w:val="00CB21A0"/>
    <w:rsid w:val="00CB24E9"/>
    <w:rsid w:val="00CD0B94"/>
    <w:rsid w:val="00CD128A"/>
    <w:rsid w:val="00CD1516"/>
    <w:rsid w:val="00CD4E60"/>
    <w:rsid w:val="00CD64C5"/>
    <w:rsid w:val="00CE4920"/>
    <w:rsid w:val="00CE521B"/>
    <w:rsid w:val="00CE5F4C"/>
    <w:rsid w:val="00CF1D22"/>
    <w:rsid w:val="00CF7CA9"/>
    <w:rsid w:val="00D007A0"/>
    <w:rsid w:val="00D04F48"/>
    <w:rsid w:val="00D06EA1"/>
    <w:rsid w:val="00D07A17"/>
    <w:rsid w:val="00D15325"/>
    <w:rsid w:val="00D16B28"/>
    <w:rsid w:val="00D177FC"/>
    <w:rsid w:val="00D2038B"/>
    <w:rsid w:val="00D24C87"/>
    <w:rsid w:val="00D2513D"/>
    <w:rsid w:val="00D25709"/>
    <w:rsid w:val="00D30AF6"/>
    <w:rsid w:val="00D3105F"/>
    <w:rsid w:val="00D34F50"/>
    <w:rsid w:val="00D36741"/>
    <w:rsid w:val="00D36C50"/>
    <w:rsid w:val="00D37CD9"/>
    <w:rsid w:val="00D4080F"/>
    <w:rsid w:val="00D454F3"/>
    <w:rsid w:val="00D46D70"/>
    <w:rsid w:val="00D523AF"/>
    <w:rsid w:val="00D5340A"/>
    <w:rsid w:val="00D53895"/>
    <w:rsid w:val="00D65CDC"/>
    <w:rsid w:val="00D734D1"/>
    <w:rsid w:val="00D77F63"/>
    <w:rsid w:val="00D83411"/>
    <w:rsid w:val="00D874B0"/>
    <w:rsid w:val="00D96E21"/>
    <w:rsid w:val="00DA392C"/>
    <w:rsid w:val="00DA427B"/>
    <w:rsid w:val="00DA4B45"/>
    <w:rsid w:val="00DB5BAC"/>
    <w:rsid w:val="00DC2375"/>
    <w:rsid w:val="00DC31B3"/>
    <w:rsid w:val="00DC3320"/>
    <w:rsid w:val="00DC56F5"/>
    <w:rsid w:val="00DD02E5"/>
    <w:rsid w:val="00DD20CE"/>
    <w:rsid w:val="00DD4120"/>
    <w:rsid w:val="00DD5977"/>
    <w:rsid w:val="00DD6E73"/>
    <w:rsid w:val="00DD71D9"/>
    <w:rsid w:val="00DE0B20"/>
    <w:rsid w:val="00DF38C6"/>
    <w:rsid w:val="00DF61AB"/>
    <w:rsid w:val="00E01198"/>
    <w:rsid w:val="00E040A3"/>
    <w:rsid w:val="00E1257A"/>
    <w:rsid w:val="00E14713"/>
    <w:rsid w:val="00E21071"/>
    <w:rsid w:val="00E26E7E"/>
    <w:rsid w:val="00E3005D"/>
    <w:rsid w:val="00E52883"/>
    <w:rsid w:val="00E561F2"/>
    <w:rsid w:val="00E570C0"/>
    <w:rsid w:val="00E63748"/>
    <w:rsid w:val="00E6459C"/>
    <w:rsid w:val="00E70EBD"/>
    <w:rsid w:val="00E77261"/>
    <w:rsid w:val="00E870B1"/>
    <w:rsid w:val="00E905B9"/>
    <w:rsid w:val="00E90EE9"/>
    <w:rsid w:val="00E91988"/>
    <w:rsid w:val="00E93283"/>
    <w:rsid w:val="00E95944"/>
    <w:rsid w:val="00E96F9A"/>
    <w:rsid w:val="00EA1D39"/>
    <w:rsid w:val="00EA28FB"/>
    <w:rsid w:val="00EA3C7F"/>
    <w:rsid w:val="00EA6D90"/>
    <w:rsid w:val="00EA7F6F"/>
    <w:rsid w:val="00EB0F39"/>
    <w:rsid w:val="00EB38BD"/>
    <w:rsid w:val="00EB670A"/>
    <w:rsid w:val="00EC2AAE"/>
    <w:rsid w:val="00EC540E"/>
    <w:rsid w:val="00ED226D"/>
    <w:rsid w:val="00ED2F93"/>
    <w:rsid w:val="00ED422B"/>
    <w:rsid w:val="00ED469A"/>
    <w:rsid w:val="00EE4DDE"/>
    <w:rsid w:val="00EE4F62"/>
    <w:rsid w:val="00EE5C80"/>
    <w:rsid w:val="00EE6226"/>
    <w:rsid w:val="00EF4EC1"/>
    <w:rsid w:val="00EF5B8B"/>
    <w:rsid w:val="00EF751E"/>
    <w:rsid w:val="00F0269C"/>
    <w:rsid w:val="00F077F6"/>
    <w:rsid w:val="00F1298A"/>
    <w:rsid w:val="00F141C3"/>
    <w:rsid w:val="00F216AA"/>
    <w:rsid w:val="00F24536"/>
    <w:rsid w:val="00F26A1F"/>
    <w:rsid w:val="00F32A52"/>
    <w:rsid w:val="00F33D8E"/>
    <w:rsid w:val="00F4040E"/>
    <w:rsid w:val="00F439A6"/>
    <w:rsid w:val="00F43C73"/>
    <w:rsid w:val="00F47AE7"/>
    <w:rsid w:val="00F513F8"/>
    <w:rsid w:val="00F52CCF"/>
    <w:rsid w:val="00F52F69"/>
    <w:rsid w:val="00F53023"/>
    <w:rsid w:val="00F542D5"/>
    <w:rsid w:val="00F5613E"/>
    <w:rsid w:val="00F66D5B"/>
    <w:rsid w:val="00F76922"/>
    <w:rsid w:val="00F779AA"/>
    <w:rsid w:val="00F8007B"/>
    <w:rsid w:val="00F83387"/>
    <w:rsid w:val="00F85D55"/>
    <w:rsid w:val="00F907ED"/>
    <w:rsid w:val="00F9451C"/>
    <w:rsid w:val="00FA0CFF"/>
    <w:rsid w:val="00FB0B1A"/>
    <w:rsid w:val="00FB2271"/>
    <w:rsid w:val="00FC3D4C"/>
    <w:rsid w:val="00FC7271"/>
    <w:rsid w:val="00FD26C2"/>
    <w:rsid w:val="00FD487C"/>
    <w:rsid w:val="00FD7162"/>
    <w:rsid w:val="00FD76C1"/>
    <w:rsid w:val="00FE00A9"/>
    <w:rsid w:val="00FE212A"/>
    <w:rsid w:val="00FE37F2"/>
    <w:rsid w:val="00FF1B7B"/>
    <w:rsid w:val="00FF5E77"/>
    <w:rsid w:val="010356B7"/>
    <w:rsid w:val="01145951"/>
    <w:rsid w:val="01156E59"/>
    <w:rsid w:val="011C07DF"/>
    <w:rsid w:val="012441F3"/>
    <w:rsid w:val="013F7A9A"/>
    <w:rsid w:val="0153673B"/>
    <w:rsid w:val="01790173"/>
    <w:rsid w:val="01A34362"/>
    <w:rsid w:val="01B874AB"/>
    <w:rsid w:val="01C50FF8"/>
    <w:rsid w:val="01D14F6F"/>
    <w:rsid w:val="01D202BB"/>
    <w:rsid w:val="01DE31B6"/>
    <w:rsid w:val="01E305A8"/>
    <w:rsid w:val="01EF43BB"/>
    <w:rsid w:val="01F01E3C"/>
    <w:rsid w:val="01F166B0"/>
    <w:rsid w:val="02101FB1"/>
    <w:rsid w:val="0219322F"/>
    <w:rsid w:val="022C0DD7"/>
    <w:rsid w:val="023B5A17"/>
    <w:rsid w:val="023B6A38"/>
    <w:rsid w:val="023D1F3B"/>
    <w:rsid w:val="0252229D"/>
    <w:rsid w:val="025340DF"/>
    <w:rsid w:val="02927447"/>
    <w:rsid w:val="02A75D67"/>
    <w:rsid w:val="02A837E9"/>
    <w:rsid w:val="02AA6CEC"/>
    <w:rsid w:val="02B475FB"/>
    <w:rsid w:val="02FD0CF5"/>
    <w:rsid w:val="030616FC"/>
    <w:rsid w:val="03074E87"/>
    <w:rsid w:val="030D350D"/>
    <w:rsid w:val="03207FB0"/>
    <w:rsid w:val="032C5FC0"/>
    <w:rsid w:val="036B1328"/>
    <w:rsid w:val="036F7D2F"/>
    <w:rsid w:val="0395216D"/>
    <w:rsid w:val="039B78F9"/>
    <w:rsid w:val="03AD5615"/>
    <w:rsid w:val="03B709A5"/>
    <w:rsid w:val="03E66A74"/>
    <w:rsid w:val="03FD0897"/>
    <w:rsid w:val="045115C3"/>
    <w:rsid w:val="04837BF7"/>
    <w:rsid w:val="049F3CA4"/>
    <w:rsid w:val="04A26E27"/>
    <w:rsid w:val="04A46199"/>
    <w:rsid w:val="04AD0A3B"/>
    <w:rsid w:val="04C32BDF"/>
    <w:rsid w:val="04C44DDD"/>
    <w:rsid w:val="04C5285F"/>
    <w:rsid w:val="04DB0285"/>
    <w:rsid w:val="04EE19FB"/>
    <w:rsid w:val="0506494D"/>
    <w:rsid w:val="05197D6A"/>
    <w:rsid w:val="053959E1"/>
    <w:rsid w:val="05603880"/>
    <w:rsid w:val="05660C7D"/>
    <w:rsid w:val="0575093E"/>
    <w:rsid w:val="05895A18"/>
    <w:rsid w:val="059B3F2E"/>
    <w:rsid w:val="05A37547"/>
    <w:rsid w:val="05AA16E0"/>
    <w:rsid w:val="05BF1E57"/>
    <w:rsid w:val="05FB28DB"/>
    <w:rsid w:val="05FC63DC"/>
    <w:rsid w:val="06093766"/>
    <w:rsid w:val="06172F03"/>
    <w:rsid w:val="061E70D0"/>
    <w:rsid w:val="06217FDC"/>
    <w:rsid w:val="062A342B"/>
    <w:rsid w:val="06550DE9"/>
    <w:rsid w:val="06891246"/>
    <w:rsid w:val="06AE1485"/>
    <w:rsid w:val="06C24B42"/>
    <w:rsid w:val="06F408F5"/>
    <w:rsid w:val="07083337"/>
    <w:rsid w:val="0709089A"/>
    <w:rsid w:val="07096AB6"/>
    <w:rsid w:val="071D3B2B"/>
    <w:rsid w:val="072239C3"/>
    <w:rsid w:val="072D47B8"/>
    <w:rsid w:val="07394226"/>
    <w:rsid w:val="073F3924"/>
    <w:rsid w:val="0747516F"/>
    <w:rsid w:val="0759609B"/>
    <w:rsid w:val="076653B1"/>
    <w:rsid w:val="077A2CF7"/>
    <w:rsid w:val="07B96D8E"/>
    <w:rsid w:val="07E92107"/>
    <w:rsid w:val="08013D0E"/>
    <w:rsid w:val="083D5414"/>
    <w:rsid w:val="08600E4C"/>
    <w:rsid w:val="086168CD"/>
    <w:rsid w:val="089538A4"/>
    <w:rsid w:val="08A81240"/>
    <w:rsid w:val="08D25907"/>
    <w:rsid w:val="08E76A69"/>
    <w:rsid w:val="08EA5FA1"/>
    <w:rsid w:val="08EF3860"/>
    <w:rsid w:val="090A12E5"/>
    <w:rsid w:val="0937562C"/>
    <w:rsid w:val="09405F3B"/>
    <w:rsid w:val="094C512F"/>
    <w:rsid w:val="096606D2"/>
    <w:rsid w:val="0967129A"/>
    <w:rsid w:val="096C2283"/>
    <w:rsid w:val="09745731"/>
    <w:rsid w:val="09926C3F"/>
    <w:rsid w:val="09B82702"/>
    <w:rsid w:val="09B86E7F"/>
    <w:rsid w:val="09BC1108"/>
    <w:rsid w:val="09BE460B"/>
    <w:rsid w:val="09C71698"/>
    <w:rsid w:val="09D624DF"/>
    <w:rsid w:val="09DA28B7"/>
    <w:rsid w:val="09FB2F2A"/>
    <w:rsid w:val="0A0A3406"/>
    <w:rsid w:val="0A0B6909"/>
    <w:rsid w:val="0A1B49A5"/>
    <w:rsid w:val="0A247833"/>
    <w:rsid w:val="0A2E5BC4"/>
    <w:rsid w:val="0A6307F3"/>
    <w:rsid w:val="0A8607D1"/>
    <w:rsid w:val="0AA8200A"/>
    <w:rsid w:val="0AAD44BA"/>
    <w:rsid w:val="0AB74823"/>
    <w:rsid w:val="0AD22E4F"/>
    <w:rsid w:val="0ADB5CDD"/>
    <w:rsid w:val="0B02141F"/>
    <w:rsid w:val="0B2A58CF"/>
    <w:rsid w:val="0B3B6FFB"/>
    <w:rsid w:val="0B565626"/>
    <w:rsid w:val="0B5F5F36"/>
    <w:rsid w:val="0B6039B7"/>
    <w:rsid w:val="0B78105E"/>
    <w:rsid w:val="0B7E0D77"/>
    <w:rsid w:val="0BBE57F0"/>
    <w:rsid w:val="0BC9632E"/>
    <w:rsid w:val="0BCD226D"/>
    <w:rsid w:val="0BD02D72"/>
    <w:rsid w:val="0C0F6688"/>
    <w:rsid w:val="0C522046"/>
    <w:rsid w:val="0C537AC8"/>
    <w:rsid w:val="0C616DDD"/>
    <w:rsid w:val="0CA507CB"/>
    <w:rsid w:val="0CF5184F"/>
    <w:rsid w:val="0CFC4A5D"/>
    <w:rsid w:val="0CFF6D63"/>
    <w:rsid w:val="0D154B12"/>
    <w:rsid w:val="0D1C3B00"/>
    <w:rsid w:val="0D212C6A"/>
    <w:rsid w:val="0D3216B4"/>
    <w:rsid w:val="0D39103F"/>
    <w:rsid w:val="0D494B5D"/>
    <w:rsid w:val="0D4F6425"/>
    <w:rsid w:val="0D5F347D"/>
    <w:rsid w:val="0D631E83"/>
    <w:rsid w:val="0D650C0A"/>
    <w:rsid w:val="0D835E22"/>
    <w:rsid w:val="0D8B3047"/>
    <w:rsid w:val="0D904F77"/>
    <w:rsid w:val="0DBB5D95"/>
    <w:rsid w:val="0DD56FA2"/>
    <w:rsid w:val="0DFD2082"/>
    <w:rsid w:val="0E004E0A"/>
    <w:rsid w:val="0E443AC5"/>
    <w:rsid w:val="0E5A499A"/>
    <w:rsid w:val="0E5B4619"/>
    <w:rsid w:val="0E794494"/>
    <w:rsid w:val="0E7957DC"/>
    <w:rsid w:val="0E904AD6"/>
    <w:rsid w:val="0EAC483D"/>
    <w:rsid w:val="0EC07BC1"/>
    <w:rsid w:val="0ECC4532"/>
    <w:rsid w:val="0EE80D86"/>
    <w:rsid w:val="0EF56D96"/>
    <w:rsid w:val="0EF9087D"/>
    <w:rsid w:val="0F083839"/>
    <w:rsid w:val="0F0C5363"/>
    <w:rsid w:val="0F0D443D"/>
    <w:rsid w:val="0F2A2409"/>
    <w:rsid w:val="0F7066E0"/>
    <w:rsid w:val="0F9D3D2C"/>
    <w:rsid w:val="0FB24E42"/>
    <w:rsid w:val="0FBB6B5F"/>
    <w:rsid w:val="0FC4616A"/>
    <w:rsid w:val="0FF96E07"/>
    <w:rsid w:val="101C207C"/>
    <w:rsid w:val="103C4B2F"/>
    <w:rsid w:val="10407685"/>
    <w:rsid w:val="10455F1C"/>
    <w:rsid w:val="104A00C9"/>
    <w:rsid w:val="10514AD4"/>
    <w:rsid w:val="105C2E66"/>
    <w:rsid w:val="1060186C"/>
    <w:rsid w:val="107810A1"/>
    <w:rsid w:val="107910CA"/>
    <w:rsid w:val="10A945F0"/>
    <w:rsid w:val="10D80231"/>
    <w:rsid w:val="10DE213A"/>
    <w:rsid w:val="10F111F5"/>
    <w:rsid w:val="10F81BBE"/>
    <w:rsid w:val="110C5CCC"/>
    <w:rsid w:val="110D4C40"/>
    <w:rsid w:val="11187609"/>
    <w:rsid w:val="112C7CBB"/>
    <w:rsid w:val="114762E6"/>
    <w:rsid w:val="1153597C"/>
    <w:rsid w:val="11893747"/>
    <w:rsid w:val="11A3317D"/>
    <w:rsid w:val="11B40E99"/>
    <w:rsid w:val="11B90BA4"/>
    <w:rsid w:val="12257ED3"/>
    <w:rsid w:val="12321767"/>
    <w:rsid w:val="123B7E78"/>
    <w:rsid w:val="12426B8F"/>
    <w:rsid w:val="12470D26"/>
    <w:rsid w:val="124A1F33"/>
    <w:rsid w:val="12E2673D"/>
    <w:rsid w:val="130E15C4"/>
    <w:rsid w:val="138008A4"/>
    <w:rsid w:val="13920429"/>
    <w:rsid w:val="13A825CD"/>
    <w:rsid w:val="13C1037E"/>
    <w:rsid w:val="13DD6965"/>
    <w:rsid w:val="13EC3FBB"/>
    <w:rsid w:val="13FD2E17"/>
    <w:rsid w:val="141F4B90"/>
    <w:rsid w:val="142976A3"/>
    <w:rsid w:val="143F1847"/>
    <w:rsid w:val="144D2225"/>
    <w:rsid w:val="145118A2"/>
    <w:rsid w:val="14525616"/>
    <w:rsid w:val="14550167"/>
    <w:rsid w:val="145F42FA"/>
    <w:rsid w:val="14694C0A"/>
    <w:rsid w:val="14702016"/>
    <w:rsid w:val="14732F9B"/>
    <w:rsid w:val="14831037"/>
    <w:rsid w:val="1488210C"/>
    <w:rsid w:val="14A105E7"/>
    <w:rsid w:val="14B243CA"/>
    <w:rsid w:val="14C2659D"/>
    <w:rsid w:val="14D408C6"/>
    <w:rsid w:val="14DC5ECF"/>
    <w:rsid w:val="14F447EE"/>
    <w:rsid w:val="14F61972"/>
    <w:rsid w:val="15185CA7"/>
    <w:rsid w:val="15382E35"/>
    <w:rsid w:val="1549557C"/>
    <w:rsid w:val="154A777B"/>
    <w:rsid w:val="155407FE"/>
    <w:rsid w:val="15832179"/>
    <w:rsid w:val="158F4D29"/>
    <w:rsid w:val="15947DFD"/>
    <w:rsid w:val="15AA3B8B"/>
    <w:rsid w:val="15B20BF7"/>
    <w:rsid w:val="15D363DA"/>
    <w:rsid w:val="15D84E0D"/>
    <w:rsid w:val="15E553FB"/>
    <w:rsid w:val="15EA1883"/>
    <w:rsid w:val="15EC1502"/>
    <w:rsid w:val="162F4575"/>
    <w:rsid w:val="1634517A"/>
    <w:rsid w:val="1636067D"/>
    <w:rsid w:val="16504203"/>
    <w:rsid w:val="1651252C"/>
    <w:rsid w:val="166203F0"/>
    <w:rsid w:val="167C6BF3"/>
    <w:rsid w:val="167E710D"/>
    <w:rsid w:val="167F7B1E"/>
    <w:rsid w:val="168D490F"/>
    <w:rsid w:val="169A69AD"/>
    <w:rsid w:val="16A53E25"/>
    <w:rsid w:val="16A871D6"/>
    <w:rsid w:val="16A909BC"/>
    <w:rsid w:val="16AB60BD"/>
    <w:rsid w:val="16B25A48"/>
    <w:rsid w:val="16CB0939"/>
    <w:rsid w:val="16DB2490"/>
    <w:rsid w:val="16E62A1F"/>
    <w:rsid w:val="16E92993"/>
    <w:rsid w:val="16EE7E2B"/>
    <w:rsid w:val="16FF5B47"/>
    <w:rsid w:val="17057A51"/>
    <w:rsid w:val="170B5939"/>
    <w:rsid w:val="174D14CA"/>
    <w:rsid w:val="17697775"/>
    <w:rsid w:val="176E7480"/>
    <w:rsid w:val="17CA4E56"/>
    <w:rsid w:val="17D2687B"/>
    <w:rsid w:val="17DD5536"/>
    <w:rsid w:val="17E13F3C"/>
    <w:rsid w:val="17F3301F"/>
    <w:rsid w:val="17F915E3"/>
    <w:rsid w:val="180608F8"/>
    <w:rsid w:val="1808061E"/>
    <w:rsid w:val="180D29AA"/>
    <w:rsid w:val="18322712"/>
    <w:rsid w:val="18422CDC"/>
    <w:rsid w:val="18695E95"/>
    <w:rsid w:val="18960101"/>
    <w:rsid w:val="18DA1F55"/>
    <w:rsid w:val="18FB5333"/>
    <w:rsid w:val="19420680"/>
    <w:rsid w:val="194A350E"/>
    <w:rsid w:val="195E21AF"/>
    <w:rsid w:val="19613133"/>
    <w:rsid w:val="197468D1"/>
    <w:rsid w:val="19794F57"/>
    <w:rsid w:val="19815BE6"/>
    <w:rsid w:val="199A5858"/>
    <w:rsid w:val="19A91329"/>
    <w:rsid w:val="19CD49E1"/>
    <w:rsid w:val="19DA08BB"/>
    <w:rsid w:val="19E67B09"/>
    <w:rsid w:val="19ED4F15"/>
    <w:rsid w:val="19F0293E"/>
    <w:rsid w:val="1A013CE7"/>
    <w:rsid w:val="1A0E6ACF"/>
    <w:rsid w:val="1A244950"/>
    <w:rsid w:val="1A2B22F1"/>
    <w:rsid w:val="1A325A0A"/>
    <w:rsid w:val="1A337C08"/>
    <w:rsid w:val="1A380347"/>
    <w:rsid w:val="1A563640"/>
    <w:rsid w:val="1A7F2286"/>
    <w:rsid w:val="1A896419"/>
    <w:rsid w:val="1A9B2DF3"/>
    <w:rsid w:val="1AD324A7"/>
    <w:rsid w:val="1AD62C95"/>
    <w:rsid w:val="1ADF35A4"/>
    <w:rsid w:val="1AEC06BC"/>
    <w:rsid w:val="1B00735C"/>
    <w:rsid w:val="1B0A0042"/>
    <w:rsid w:val="1B195A24"/>
    <w:rsid w:val="1B28721C"/>
    <w:rsid w:val="1B3C173F"/>
    <w:rsid w:val="1B410C79"/>
    <w:rsid w:val="1B4C1B76"/>
    <w:rsid w:val="1B4E745B"/>
    <w:rsid w:val="1B515E62"/>
    <w:rsid w:val="1B65127F"/>
    <w:rsid w:val="1B680005"/>
    <w:rsid w:val="1B7D6926"/>
    <w:rsid w:val="1B8F55D1"/>
    <w:rsid w:val="1B9752D1"/>
    <w:rsid w:val="1BA1184C"/>
    <w:rsid w:val="1BB73608"/>
    <w:rsid w:val="1BBA338E"/>
    <w:rsid w:val="1BCE322D"/>
    <w:rsid w:val="1BFF39FC"/>
    <w:rsid w:val="1C0A3827"/>
    <w:rsid w:val="1C21436B"/>
    <w:rsid w:val="1C27133D"/>
    <w:rsid w:val="1C3555E9"/>
    <w:rsid w:val="1C3A035E"/>
    <w:rsid w:val="1C4C797F"/>
    <w:rsid w:val="1C5046FF"/>
    <w:rsid w:val="1C775C44"/>
    <w:rsid w:val="1CCA43C9"/>
    <w:rsid w:val="1CF01CE1"/>
    <w:rsid w:val="1CFB303C"/>
    <w:rsid w:val="1D1979CC"/>
    <w:rsid w:val="1D1B61DA"/>
    <w:rsid w:val="1D1E212C"/>
    <w:rsid w:val="1D231D7A"/>
    <w:rsid w:val="1D330575"/>
    <w:rsid w:val="1D484C98"/>
    <w:rsid w:val="1D5E26BE"/>
    <w:rsid w:val="1D5F0140"/>
    <w:rsid w:val="1D5F17F8"/>
    <w:rsid w:val="1D774F38"/>
    <w:rsid w:val="1D8A5E74"/>
    <w:rsid w:val="1D962818"/>
    <w:rsid w:val="1DA37930"/>
    <w:rsid w:val="1DB6620F"/>
    <w:rsid w:val="1DBD545D"/>
    <w:rsid w:val="1DC6276A"/>
    <w:rsid w:val="1DCE2972"/>
    <w:rsid w:val="1DD63602"/>
    <w:rsid w:val="1DDE78AD"/>
    <w:rsid w:val="1DE06110"/>
    <w:rsid w:val="1DE8297F"/>
    <w:rsid w:val="1DF11C2D"/>
    <w:rsid w:val="1E011EC8"/>
    <w:rsid w:val="1E0972D4"/>
    <w:rsid w:val="1E1259E5"/>
    <w:rsid w:val="1E1E1DD1"/>
    <w:rsid w:val="1E3D42AB"/>
    <w:rsid w:val="1E40742E"/>
    <w:rsid w:val="1E420733"/>
    <w:rsid w:val="1E443C36"/>
    <w:rsid w:val="1E467139"/>
    <w:rsid w:val="1E4922BC"/>
    <w:rsid w:val="1E620C67"/>
    <w:rsid w:val="1E826F9E"/>
    <w:rsid w:val="1EC619F0"/>
    <w:rsid w:val="1EE45D3E"/>
    <w:rsid w:val="1EFC3F14"/>
    <w:rsid w:val="1F003FE9"/>
    <w:rsid w:val="1F05769C"/>
    <w:rsid w:val="1F096E77"/>
    <w:rsid w:val="1F0C367F"/>
    <w:rsid w:val="1F203817"/>
    <w:rsid w:val="1F350AD5"/>
    <w:rsid w:val="1F3F7351"/>
    <w:rsid w:val="1F4549C1"/>
    <w:rsid w:val="1F4E1B6A"/>
    <w:rsid w:val="1F585CFC"/>
    <w:rsid w:val="1F614FF3"/>
    <w:rsid w:val="1F645E3C"/>
    <w:rsid w:val="1F6A149A"/>
    <w:rsid w:val="1F8232BD"/>
    <w:rsid w:val="1F8664B6"/>
    <w:rsid w:val="1F8C021D"/>
    <w:rsid w:val="1F9138D8"/>
    <w:rsid w:val="1FBD24D9"/>
    <w:rsid w:val="1FCC17C4"/>
    <w:rsid w:val="1FE47ADF"/>
    <w:rsid w:val="1FE936A5"/>
    <w:rsid w:val="2008261D"/>
    <w:rsid w:val="2014062E"/>
    <w:rsid w:val="20190339"/>
    <w:rsid w:val="203D7274"/>
    <w:rsid w:val="204579A5"/>
    <w:rsid w:val="207E7B65"/>
    <w:rsid w:val="208F7F77"/>
    <w:rsid w:val="20C965AB"/>
    <w:rsid w:val="20D970F2"/>
    <w:rsid w:val="20E8770D"/>
    <w:rsid w:val="20E9190B"/>
    <w:rsid w:val="20EF5E0F"/>
    <w:rsid w:val="20F22548"/>
    <w:rsid w:val="20F5319F"/>
    <w:rsid w:val="210B5908"/>
    <w:rsid w:val="21155C52"/>
    <w:rsid w:val="2134098A"/>
    <w:rsid w:val="214C3BAE"/>
    <w:rsid w:val="21726AF5"/>
    <w:rsid w:val="21962D28"/>
    <w:rsid w:val="219E0135"/>
    <w:rsid w:val="21B172AA"/>
    <w:rsid w:val="21E33D8C"/>
    <w:rsid w:val="21E96A45"/>
    <w:rsid w:val="21EB1F9B"/>
    <w:rsid w:val="21EC3E7C"/>
    <w:rsid w:val="220D1A6D"/>
    <w:rsid w:val="223947CB"/>
    <w:rsid w:val="223B15E3"/>
    <w:rsid w:val="22453DC6"/>
    <w:rsid w:val="22472B4C"/>
    <w:rsid w:val="224A024D"/>
    <w:rsid w:val="22593BA9"/>
    <w:rsid w:val="229A0378"/>
    <w:rsid w:val="229D2256"/>
    <w:rsid w:val="22A805E7"/>
    <w:rsid w:val="22BD47E1"/>
    <w:rsid w:val="22D12AB0"/>
    <w:rsid w:val="22ED32DA"/>
    <w:rsid w:val="22F506E6"/>
    <w:rsid w:val="22FD3574"/>
    <w:rsid w:val="233F7861"/>
    <w:rsid w:val="2342569B"/>
    <w:rsid w:val="23520A80"/>
    <w:rsid w:val="23547806"/>
    <w:rsid w:val="235E4892"/>
    <w:rsid w:val="239C2BCA"/>
    <w:rsid w:val="23AC2413"/>
    <w:rsid w:val="23B452A1"/>
    <w:rsid w:val="243313F3"/>
    <w:rsid w:val="243F7403"/>
    <w:rsid w:val="24435D0B"/>
    <w:rsid w:val="247A6082"/>
    <w:rsid w:val="24844675"/>
    <w:rsid w:val="2491720E"/>
    <w:rsid w:val="24BA6557"/>
    <w:rsid w:val="24D740FF"/>
    <w:rsid w:val="24E45993"/>
    <w:rsid w:val="24E56C98"/>
    <w:rsid w:val="24EB0BA1"/>
    <w:rsid w:val="24FC303A"/>
    <w:rsid w:val="250A5BD3"/>
    <w:rsid w:val="250C10D6"/>
    <w:rsid w:val="25156162"/>
    <w:rsid w:val="254237AE"/>
    <w:rsid w:val="2549193D"/>
    <w:rsid w:val="254A0BBB"/>
    <w:rsid w:val="25540240"/>
    <w:rsid w:val="255631E8"/>
    <w:rsid w:val="25577ED0"/>
    <w:rsid w:val="255A5BBE"/>
    <w:rsid w:val="255E30DE"/>
    <w:rsid w:val="256C77A7"/>
    <w:rsid w:val="257229DB"/>
    <w:rsid w:val="25881A8D"/>
    <w:rsid w:val="259A1C3E"/>
    <w:rsid w:val="259A331F"/>
    <w:rsid w:val="25A34ACC"/>
    <w:rsid w:val="25AB795A"/>
    <w:rsid w:val="25B82135"/>
    <w:rsid w:val="25BF77EF"/>
    <w:rsid w:val="25E40DB9"/>
    <w:rsid w:val="25E5616C"/>
    <w:rsid w:val="25E82338"/>
    <w:rsid w:val="260F4DCA"/>
    <w:rsid w:val="261B6D15"/>
    <w:rsid w:val="26461D57"/>
    <w:rsid w:val="267A52CE"/>
    <w:rsid w:val="26857819"/>
    <w:rsid w:val="268F3433"/>
    <w:rsid w:val="269F5C69"/>
    <w:rsid w:val="26A66869"/>
    <w:rsid w:val="26A73075"/>
    <w:rsid w:val="26AC4F7F"/>
    <w:rsid w:val="26CD6B38"/>
    <w:rsid w:val="26DD4BCE"/>
    <w:rsid w:val="26E25459"/>
    <w:rsid w:val="27295BCD"/>
    <w:rsid w:val="273F7D71"/>
    <w:rsid w:val="274676FC"/>
    <w:rsid w:val="274E2589"/>
    <w:rsid w:val="27532294"/>
    <w:rsid w:val="276E64B0"/>
    <w:rsid w:val="27777ECB"/>
    <w:rsid w:val="27A52F98"/>
    <w:rsid w:val="27AA7420"/>
    <w:rsid w:val="27DB3472"/>
    <w:rsid w:val="280136B2"/>
    <w:rsid w:val="28486025"/>
    <w:rsid w:val="28703966"/>
    <w:rsid w:val="287967EE"/>
    <w:rsid w:val="28B436C6"/>
    <w:rsid w:val="28BE53B0"/>
    <w:rsid w:val="28C66186"/>
    <w:rsid w:val="28E326C6"/>
    <w:rsid w:val="28E67652"/>
    <w:rsid w:val="28E831DB"/>
    <w:rsid w:val="28F95E48"/>
    <w:rsid w:val="29290B96"/>
    <w:rsid w:val="294739C9"/>
    <w:rsid w:val="294F2B9B"/>
    <w:rsid w:val="298C126C"/>
    <w:rsid w:val="29A2755B"/>
    <w:rsid w:val="29B61A7F"/>
    <w:rsid w:val="29DA5136"/>
    <w:rsid w:val="29F03D1D"/>
    <w:rsid w:val="2A074D01"/>
    <w:rsid w:val="2A5B478B"/>
    <w:rsid w:val="2A606694"/>
    <w:rsid w:val="2A687324"/>
    <w:rsid w:val="2A7263DB"/>
    <w:rsid w:val="2A7F36C6"/>
    <w:rsid w:val="2A932366"/>
    <w:rsid w:val="2A9632EB"/>
    <w:rsid w:val="2AD256CE"/>
    <w:rsid w:val="2ADC1861"/>
    <w:rsid w:val="2AF62148"/>
    <w:rsid w:val="2B1414F5"/>
    <w:rsid w:val="2B24484A"/>
    <w:rsid w:val="2B563729"/>
    <w:rsid w:val="2B567EA6"/>
    <w:rsid w:val="2B6E2174"/>
    <w:rsid w:val="2B9A7696"/>
    <w:rsid w:val="2BA8442D"/>
    <w:rsid w:val="2BBB564C"/>
    <w:rsid w:val="2BC06143"/>
    <w:rsid w:val="2C0F50D6"/>
    <w:rsid w:val="2C344739"/>
    <w:rsid w:val="2C4677AE"/>
    <w:rsid w:val="2C5F60C1"/>
    <w:rsid w:val="2C6D2EF1"/>
    <w:rsid w:val="2C840918"/>
    <w:rsid w:val="2C8D61CB"/>
    <w:rsid w:val="2C99729C"/>
    <w:rsid w:val="2C9A2ABC"/>
    <w:rsid w:val="2CA724B0"/>
    <w:rsid w:val="2CC04EFA"/>
    <w:rsid w:val="2CE05FC7"/>
    <w:rsid w:val="2CF976D9"/>
    <w:rsid w:val="2D031AB1"/>
    <w:rsid w:val="2D1026FA"/>
    <w:rsid w:val="2D2626A0"/>
    <w:rsid w:val="2D5366B0"/>
    <w:rsid w:val="2D645A08"/>
    <w:rsid w:val="2D6B1B0F"/>
    <w:rsid w:val="2DAB47FB"/>
    <w:rsid w:val="2DB15B07"/>
    <w:rsid w:val="2E126E25"/>
    <w:rsid w:val="2E3A4766"/>
    <w:rsid w:val="2E3C4452"/>
    <w:rsid w:val="2E40086E"/>
    <w:rsid w:val="2E444323"/>
    <w:rsid w:val="2E445076"/>
    <w:rsid w:val="2E591798"/>
    <w:rsid w:val="2E5B7251"/>
    <w:rsid w:val="2E732342"/>
    <w:rsid w:val="2E747DC3"/>
    <w:rsid w:val="2E8A1F67"/>
    <w:rsid w:val="2E8E096D"/>
    <w:rsid w:val="2E9F6689"/>
    <w:rsid w:val="2EB03544"/>
    <w:rsid w:val="2EB1445C"/>
    <w:rsid w:val="2EBD14BC"/>
    <w:rsid w:val="2F123144"/>
    <w:rsid w:val="2F3C308F"/>
    <w:rsid w:val="2F546AC6"/>
    <w:rsid w:val="2F626925"/>
    <w:rsid w:val="2FB73804"/>
    <w:rsid w:val="2FB77156"/>
    <w:rsid w:val="2FC32F68"/>
    <w:rsid w:val="2FE349DE"/>
    <w:rsid w:val="2FF859C1"/>
    <w:rsid w:val="300A5F50"/>
    <w:rsid w:val="3011494D"/>
    <w:rsid w:val="301452F1"/>
    <w:rsid w:val="30201103"/>
    <w:rsid w:val="304325BD"/>
    <w:rsid w:val="306C5186"/>
    <w:rsid w:val="307B2717"/>
    <w:rsid w:val="307E4669"/>
    <w:rsid w:val="3092233C"/>
    <w:rsid w:val="3099554A"/>
    <w:rsid w:val="30A438DB"/>
    <w:rsid w:val="30B67078"/>
    <w:rsid w:val="30F139DA"/>
    <w:rsid w:val="30FF15EC"/>
    <w:rsid w:val="31660530"/>
    <w:rsid w:val="317C39F5"/>
    <w:rsid w:val="31A27F7B"/>
    <w:rsid w:val="31C04CA8"/>
    <w:rsid w:val="31C73FB0"/>
    <w:rsid w:val="31D84BD1"/>
    <w:rsid w:val="31EF007A"/>
    <w:rsid w:val="31FF5759"/>
    <w:rsid w:val="320944A7"/>
    <w:rsid w:val="321E5346"/>
    <w:rsid w:val="32291158"/>
    <w:rsid w:val="325050D5"/>
    <w:rsid w:val="326A10AF"/>
    <w:rsid w:val="326C674A"/>
    <w:rsid w:val="3271734E"/>
    <w:rsid w:val="328714F2"/>
    <w:rsid w:val="32874D75"/>
    <w:rsid w:val="32932D86"/>
    <w:rsid w:val="32BE744E"/>
    <w:rsid w:val="32DB07CF"/>
    <w:rsid w:val="32F440A4"/>
    <w:rsid w:val="33104042"/>
    <w:rsid w:val="33196863"/>
    <w:rsid w:val="331D2CEA"/>
    <w:rsid w:val="33293B48"/>
    <w:rsid w:val="3330327B"/>
    <w:rsid w:val="334F6D3D"/>
    <w:rsid w:val="33757C07"/>
    <w:rsid w:val="339010D2"/>
    <w:rsid w:val="33977131"/>
    <w:rsid w:val="33984BB2"/>
    <w:rsid w:val="33A5774B"/>
    <w:rsid w:val="33AE1989"/>
    <w:rsid w:val="33B92B69"/>
    <w:rsid w:val="33C36CFB"/>
    <w:rsid w:val="33CE44C9"/>
    <w:rsid w:val="33D33712"/>
    <w:rsid w:val="3410749B"/>
    <w:rsid w:val="34126A7A"/>
    <w:rsid w:val="34153282"/>
    <w:rsid w:val="34242218"/>
    <w:rsid w:val="342C2EA8"/>
    <w:rsid w:val="342F05A9"/>
    <w:rsid w:val="34455FD0"/>
    <w:rsid w:val="345352E6"/>
    <w:rsid w:val="345F4E02"/>
    <w:rsid w:val="34841D7A"/>
    <w:rsid w:val="34964AD5"/>
    <w:rsid w:val="349E4F8D"/>
    <w:rsid w:val="34C907A7"/>
    <w:rsid w:val="34DA42C5"/>
    <w:rsid w:val="34E03C50"/>
    <w:rsid w:val="34EB675E"/>
    <w:rsid w:val="34F315EC"/>
    <w:rsid w:val="35037688"/>
    <w:rsid w:val="35083B0F"/>
    <w:rsid w:val="3515466F"/>
    <w:rsid w:val="35490E35"/>
    <w:rsid w:val="35656A7D"/>
    <w:rsid w:val="356A1E84"/>
    <w:rsid w:val="356B7893"/>
    <w:rsid w:val="35881380"/>
    <w:rsid w:val="35960FF6"/>
    <w:rsid w:val="35BE7DBB"/>
    <w:rsid w:val="35D850E1"/>
    <w:rsid w:val="35DD4DEC"/>
    <w:rsid w:val="35FF0824"/>
    <w:rsid w:val="360D33BD"/>
    <w:rsid w:val="365F7944"/>
    <w:rsid w:val="3661111B"/>
    <w:rsid w:val="366317C5"/>
    <w:rsid w:val="3673236F"/>
    <w:rsid w:val="36791434"/>
    <w:rsid w:val="367D10F2"/>
    <w:rsid w:val="3684230E"/>
    <w:rsid w:val="368C170D"/>
    <w:rsid w:val="36A3465E"/>
    <w:rsid w:val="36D72A86"/>
    <w:rsid w:val="36E807A2"/>
    <w:rsid w:val="36EB1F43"/>
    <w:rsid w:val="36FC153D"/>
    <w:rsid w:val="370757D3"/>
    <w:rsid w:val="370D0E09"/>
    <w:rsid w:val="37342E1F"/>
    <w:rsid w:val="374F144B"/>
    <w:rsid w:val="375D04B2"/>
    <w:rsid w:val="378F5AB8"/>
    <w:rsid w:val="379A3E49"/>
    <w:rsid w:val="379B6047"/>
    <w:rsid w:val="37BB657C"/>
    <w:rsid w:val="37D1071F"/>
    <w:rsid w:val="37D33C62"/>
    <w:rsid w:val="37D474A6"/>
    <w:rsid w:val="380E3E07"/>
    <w:rsid w:val="3810117A"/>
    <w:rsid w:val="381714F0"/>
    <w:rsid w:val="385F290D"/>
    <w:rsid w:val="3888024E"/>
    <w:rsid w:val="388F565A"/>
    <w:rsid w:val="38917C7C"/>
    <w:rsid w:val="38A65280"/>
    <w:rsid w:val="38DA66EA"/>
    <w:rsid w:val="38DB4455"/>
    <w:rsid w:val="38F00B77"/>
    <w:rsid w:val="390234EC"/>
    <w:rsid w:val="39226CD9"/>
    <w:rsid w:val="394079FC"/>
    <w:rsid w:val="39494261"/>
    <w:rsid w:val="396D067F"/>
    <w:rsid w:val="398A3E49"/>
    <w:rsid w:val="398E1CFA"/>
    <w:rsid w:val="39910700"/>
    <w:rsid w:val="39AD25AF"/>
    <w:rsid w:val="39B51BBA"/>
    <w:rsid w:val="39C9237A"/>
    <w:rsid w:val="39CE4CE2"/>
    <w:rsid w:val="39E070F3"/>
    <w:rsid w:val="39EF6510"/>
    <w:rsid w:val="3A063F42"/>
    <w:rsid w:val="3A1763DB"/>
    <w:rsid w:val="3A1B0664"/>
    <w:rsid w:val="3A29236E"/>
    <w:rsid w:val="3A2C4741"/>
    <w:rsid w:val="3A2C5981"/>
    <w:rsid w:val="3A550B1F"/>
    <w:rsid w:val="3A6C716A"/>
    <w:rsid w:val="3A825A8A"/>
    <w:rsid w:val="3A8B419B"/>
    <w:rsid w:val="3AA526BB"/>
    <w:rsid w:val="3AC6527A"/>
    <w:rsid w:val="3ACC2A06"/>
    <w:rsid w:val="3B0C59EE"/>
    <w:rsid w:val="3B1368D7"/>
    <w:rsid w:val="3B160B78"/>
    <w:rsid w:val="3B530361"/>
    <w:rsid w:val="3B6A7A02"/>
    <w:rsid w:val="3BBD2320"/>
    <w:rsid w:val="3BC869EC"/>
    <w:rsid w:val="3BE0242D"/>
    <w:rsid w:val="3C3F4AE6"/>
    <w:rsid w:val="3C5B1C82"/>
    <w:rsid w:val="3C6444CD"/>
    <w:rsid w:val="3C710B39"/>
    <w:rsid w:val="3C874EDB"/>
    <w:rsid w:val="3C8B16E3"/>
    <w:rsid w:val="3CA67D0E"/>
    <w:rsid w:val="3CD11E57"/>
    <w:rsid w:val="3CDB178C"/>
    <w:rsid w:val="3D280299"/>
    <w:rsid w:val="3D462CEC"/>
    <w:rsid w:val="3D9C29BD"/>
    <w:rsid w:val="3DC810EA"/>
    <w:rsid w:val="3DC94434"/>
    <w:rsid w:val="3DDF4C78"/>
    <w:rsid w:val="3DE8161F"/>
    <w:rsid w:val="3DF1367F"/>
    <w:rsid w:val="3DFA2BBE"/>
    <w:rsid w:val="3E076650"/>
    <w:rsid w:val="3E3810FE"/>
    <w:rsid w:val="3E390124"/>
    <w:rsid w:val="3E575070"/>
    <w:rsid w:val="3E592BD7"/>
    <w:rsid w:val="3E5E705F"/>
    <w:rsid w:val="3E617FE4"/>
    <w:rsid w:val="3E802A97"/>
    <w:rsid w:val="3E8E5630"/>
    <w:rsid w:val="3EA477D4"/>
    <w:rsid w:val="3ECF3E9B"/>
    <w:rsid w:val="3EEF43D0"/>
    <w:rsid w:val="3EF178D3"/>
    <w:rsid w:val="3EF40857"/>
    <w:rsid w:val="3EF94CDF"/>
    <w:rsid w:val="3EFD36E5"/>
    <w:rsid w:val="3F14330B"/>
    <w:rsid w:val="3F45408B"/>
    <w:rsid w:val="3F4F4911"/>
    <w:rsid w:val="3F625608"/>
    <w:rsid w:val="3F734D69"/>
    <w:rsid w:val="3F8832C9"/>
    <w:rsid w:val="3F9B6A67"/>
    <w:rsid w:val="3F9D634C"/>
    <w:rsid w:val="3FA702FB"/>
    <w:rsid w:val="3FC578AB"/>
    <w:rsid w:val="3FCA3D33"/>
    <w:rsid w:val="3FCE2739"/>
    <w:rsid w:val="3FF7137F"/>
    <w:rsid w:val="40142AB6"/>
    <w:rsid w:val="401818B4"/>
    <w:rsid w:val="40295C9C"/>
    <w:rsid w:val="40370218"/>
    <w:rsid w:val="40456F00"/>
    <w:rsid w:val="4056719A"/>
    <w:rsid w:val="405F332D"/>
    <w:rsid w:val="406A5E3B"/>
    <w:rsid w:val="407035C7"/>
    <w:rsid w:val="40830E74"/>
    <w:rsid w:val="40A32BB6"/>
    <w:rsid w:val="40C916D7"/>
    <w:rsid w:val="40C93485"/>
    <w:rsid w:val="40D97773"/>
    <w:rsid w:val="40E81F8C"/>
    <w:rsid w:val="40FD7411"/>
    <w:rsid w:val="411551BF"/>
    <w:rsid w:val="41313685"/>
    <w:rsid w:val="414A46E0"/>
    <w:rsid w:val="415B6A48"/>
    <w:rsid w:val="41807F36"/>
    <w:rsid w:val="41AA67C7"/>
    <w:rsid w:val="41AD51CD"/>
    <w:rsid w:val="41B3295A"/>
    <w:rsid w:val="41B370D6"/>
    <w:rsid w:val="41B94863"/>
    <w:rsid w:val="41FC55B0"/>
    <w:rsid w:val="420D0A6A"/>
    <w:rsid w:val="42291763"/>
    <w:rsid w:val="42363E2C"/>
    <w:rsid w:val="423B6EF8"/>
    <w:rsid w:val="424234C2"/>
    <w:rsid w:val="42722F9A"/>
    <w:rsid w:val="42872932"/>
    <w:rsid w:val="42ED0CAB"/>
    <w:rsid w:val="42F768FB"/>
    <w:rsid w:val="431F6D09"/>
    <w:rsid w:val="43507DFC"/>
    <w:rsid w:val="4360726F"/>
    <w:rsid w:val="437E519A"/>
    <w:rsid w:val="438E56E3"/>
    <w:rsid w:val="43A31E05"/>
    <w:rsid w:val="43BD29AF"/>
    <w:rsid w:val="43BF1735"/>
    <w:rsid w:val="43C46E91"/>
    <w:rsid w:val="43CA4243"/>
    <w:rsid w:val="43EB53AD"/>
    <w:rsid w:val="43EE3D42"/>
    <w:rsid w:val="43FA6097"/>
    <w:rsid w:val="43FF6C9B"/>
    <w:rsid w:val="44162144"/>
    <w:rsid w:val="44235BD6"/>
    <w:rsid w:val="443E6A78"/>
    <w:rsid w:val="445144E3"/>
    <w:rsid w:val="445441A7"/>
    <w:rsid w:val="44615777"/>
    <w:rsid w:val="44705CD5"/>
    <w:rsid w:val="447574E8"/>
    <w:rsid w:val="4483116E"/>
    <w:rsid w:val="44AF103D"/>
    <w:rsid w:val="44D35D7A"/>
    <w:rsid w:val="44D90ACE"/>
    <w:rsid w:val="44F7544F"/>
    <w:rsid w:val="451E70F3"/>
    <w:rsid w:val="451F03F8"/>
    <w:rsid w:val="45256A7E"/>
    <w:rsid w:val="4568626D"/>
    <w:rsid w:val="45696221"/>
    <w:rsid w:val="457B554C"/>
    <w:rsid w:val="45851E22"/>
    <w:rsid w:val="458610A1"/>
    <w:rsid w:val="459403B6"/>
    <w:rsid w:val="45B77A6B"/>
    <w:rsid w:val="45C046FE"/>
    <w:rsid w:val="45E45CA1"/>
    <w:rsid w:val="460F447D"/>
    <w:rsid w:val="46184D8C"/>
    <w:rsid w:val="462E6F30"/>
    <w:rsid w:val="46415F51"/>
    <w:rsid w:val="466B6D95"/>
    <w:rsid w:val="467A73AF"/>
    <w:rsid w:val="468B5686"/>
    <w:rsid w:val="4698695F"/>
    <w:rsid w:val="46A50D18"/>
    <w:rsid w:val="46BB416A"/>
    <w:rsid w:val="46D73EC6"/>
    <w:rsid w:val="46DE3850"/>
    <w:rsid w:val="46F2397D"/>
    <w:rsid w:val="46FD0882"/>
    <w:rsid w:val="47065CB9"/>
    <w:rsid w:val="470C691E"/>
    <w:rsid w:val="4716198A"/>
    <w:rsid w:val="471D6BB8"/>
    <w:rsid w:val="472971FF"/>
    <w:rsid w:val="474146E4"/>
    <w:rsid w:val="47466617"/>
    <w:rsid w:val="47521611"/>
    <w:rsid w:val="475352AF"/>
    <w:rsid w:val="47562215"/>
    <w:rsid w:val="475D737A"/>
    <w:rsid w:val="47757FCC"/>
    <w:rsid w:val="477E256B"/>
    <w:rsid w:val="47B44193"/>
    <w:rsid w:val="47E9088B"/>
    <w:rsid w:val="47F830A4"/>
    <w:rsid w:val="481C455D"/>
    <w:rsid w:val="48233EE8"/>
    <w:rsid w:val="482C0F74"/>
    <w:rsid w:val="48405A16"/>
    <w:rsid w:val="48595EA0"/>
    <w:rsid w:val="48624CD1"/>
    <w:rsid w:val="48823F01"/>
    <w:rsid w:val="488B2612"/>
    <w:rsid w:val="488B60E4"/>
    <w:rsid w:val="48975258"/>
    <w:rsid w:val="48A37CB9"/>
    <w:rsid w:val="48AE0243"/>
    <w:rsid w:val="48C82477"/>
    <w:rsid w:val="48E83576"/>
    <w:rsid w:val="48ED6E34"/>
    <w:rsid w:val="48FA7720"/>
    <w:rsid w:val="490A2C1D"/>
    <w:rsid w:val="49200B69"/>
    <w:rsid w:val="49290019"/>
    <w:rsid w:val="494876B8"/>
    <w:rsid w:val="494A394A"/>
    <w:rsid w:val="49582C60"/>
    <w:rsid w:val="496557F9"/>
    <w:rsid w:val="49774A2F"/>
    <w:rsid w:val="49965FC8"/>
    <w:rsid w:val="49C354F0"/>
    <w:rsid w:val="49C6701B"/>
    <w:rsid w:val="49C8201A"/>
    <w:rsid w:val="49E8254F"/>
    <w:rsid w:val="49F41BE5"/>
    <w:rsid w:val="49F84D68"/>
    <w:rsid w:val="49FE14FC"/>
    <w:rsid w:val="4A154318"/>
    <w:rsid w:val="4A287AB5"/>
    <w:rsid w:val="4A3E54DC"/>
    <w:rsid w:val="4A531BFE"/>
    <w:rsid w:val="4A555101"/>
    <w:rsid w:val="4A562B83"/>
    <w:rsid w:val="4A7111AE"/>
    <w:rsid w:val="4A852FE3"/>
    <w:rsid w:val="4AA049BF"/>
    <w:rsid w:val="4AAE752E"/>
    <w:rsid w:val="4ACA50C0"/>
    <w:rsid w:val="4ADA535A"/>
    <w:rsid w:val="4AE5116D"/>
    <w:rsid w:val="4AEB3076"/>
    <w:rsid w:val="4AF30483"/>
    <w:rsid w:val="4B0C6E2E"/>
    <w:rsid w:val="4B0E2331"/>
    <w:rsid w:val="4B266D54"/>
    <w:rsid w:val="4B303B6B"/>
    <w:rsid w:val="4B376E8E"/>
    <w:rsid w:val="4B48598E"/>
    <w:rsid w:val="4B4A7DCD"/>
    <w:rsid w:val="4B500D7F"/>
    <w:rsid w:val="4B5876A2"/>
    <w:rsid w:val="4B5C462F"/>
    <w:rsid w:val="4B5D20B0"/>
    <w:rsid w:val="4B745559"/>
    <w:rsid w:val="4B7B0767"/>
    <w:rsid w:val="4B8C0A01"/>
    <w:rsid w:val="4B9B367F"/>
    <w:rsid w:val="4BC30F7D"/>
    <w:rsid w:val="4BC352D8"/>
    <w:rsid w:val="4BCA04E6"/>
    <w:rsid w:val="4BEB76F0"/>
    <w:rsid w:val="4C3B1A9E"/>
    <w:rsid w:val="4C4658B1"/>
    <w:rsid w:val="4C4F47B9"/>
    <w:rsid w:val="4C5F09D9"/>
    <w:rsid w:val="4C7624CB"/>
    <w:rsid w:val="4C8D6025"/>
    <w:rsid w:val="4CB064C6"/>
    <w:rsid w:val="4CD767CB"/>
    <w:rsid w:val="4CE40AA6"/>
    <w:rsid w:val="4D0F2AD2"/>
    <w:rsid w:val="4D3403E8"/>
    <w:rsid w:val="4D4E5043"/>
    <w:rsid w:val="4D7B7EAC"/>
    <w:rsid w:val="4D99745C"/>
    <w:rsid w:val="4DA222EA"/>
    <w:rsid w:val="4DB72290"/>
    <w:rsid w:val="4DB73E54"/>
    <w:rsid w:val="4E1600AB"/>
    <w:rsid w:val="4E2E79DE"/>
    <w:rsid w:val="4E6027FA"/>
    <w:rsid w:val="4E6B3056"/>
    <w:rsid w:val="4E6D0ABA"/>
    <w:rsid w:val="4E6E3FBD"/>
    <w:rsid w:val="4E832C5D"/>
    <w:rsid w:val="4EBC62BA"/>
    <w:rsid w:val="4EE90083"/>
    <w:rsid w:val="4EFE0EB0"/>
    <w:rsid w:val="4F051E3F"/>
    <w:rsid w:val="4F0E2841"/>
    <w:rsid w:val="4F537AB2"/>
    <w:rsid w:val="4F752DBA"/>
    <w:rsid w:val="4F951821"/>
    <w:rsid w:val="4F9D33AA"/>
    <w:rsid w:val="4FB73F54"/>
    <w:rsid w:val="4FD56D87"/>
    <w:rsid w:val="4FE13E9E"/>
    <w:rsid w:val="4FEC69AC"/>
    <w:rsid w:val="4FF550BD"/>
    <w:rsid w:val="4FF80240"/>
    <w:rsid w:val="501D29FE"/>
    <w:rsid w:val="50332267"/>
    <w:rsid w:val="506143EC"/>
    <w:rsid w:val="506640F7"/>
    <w:rsid w:val="5072387C"/>
    <w:rsid w:val="50791A93"/>
    <w:rsid w:val="50812723"/>
    <w:rsid w:val="508D302E"/>
    <w:rsid w:val="508E3FB7"/>
    <w:rsid w:val="50AF1F6D"/>
    <w:rsid w:val="50D5692A"/>
    <w:rsid w:val="50D64029"/>
    <w:rsid w:val="50E15FBF"/>
    <w:rsid w:val="50FA10E8"/>
    <w:rsid w:val="510055ED"/>
    <w:rsid w:val="51053A93"/>
    <w:rsid w:val="51351C3D"/>
    <w:rsid w:val="515C5909"/>
    <w:rsid w:val="515E0E0C"/>
    <w:rsid w:val="51727AAD"/>
    <w:rsid w:val="517D38BF"/>
    <w:rsid w:val="518F7C84"/>
    <w:rsid w:val="5197226B"/>
    <w:rsid w:val="519F5927"/>
    <w:rsid w:val="51BC33A4"/>
    <w:rsid w:val="51C27CB0"/>
    <w:rsid w:val="51C67537"/>
    <w:rsid w:val="51F94E95"/>
    <w:rsid w:val="521A11BF"/>
    <w:rsid w:val="521D59C7"/>
    <w:rsid w:val="52257550"/>
    <w:rsid w:val="52383FF3"/>
    <w:rsid w:val="524774A8"/>
    <w:rsid w:val="524D2C93"/>
    <w:rsid w:val="525D6C40"/>
    <w:rsid w:val="526151B7"/>
    <w:rsid w:val="527D1264"/>
    <w:rsid w:val="5285086E"/>
    <w:rsid w:val="52A1014A"/>
    <w:rsid w:val="52A720A8"/>
    <w:rsid w:val="52B007B9"/>
    <w:rsid w:val="52C703DE"/>
    <w:rsid w:val="52CD57E7"/>
    <w:rsid w:val="52CF3BE3"/>
    <w:rsid w:val="52E02C4B"/>
    <w:rsid w:val="52E71DED"/>
    <w:rsid w:val="52E96395"/>
    <w:rsid w:val="530968C9"/>
    <w:rsid w:val="530A36FA"/>
    <w:rsid w:val="5313386E"/>
    <w:rsid w:val="53186EE4"/>
    <w:rsid w:val="53191EB1"/>
    <w:rsid w:val="531D191B"/>
    <w:rsid w:val="53213F70"/>
    <w:rsid w:val="53273C7B"/>
    <w:rsid w:val="53350A12"/>
    <w:rsid w:val="53391617"/>
    <w:rsid w:val="535266F5"/>
    <w:rsid w:val="53547C42"/>
    <w:rsid w:val="537317C2"/>
    <w:rsid w:val="537D787B"/>
    <w:rsid w:val="53AA0E1B"/>
    <w:rsid w:val="53EF36C4"/>
    <w:rsid w:val="53FE716F"/>
    <w:rsid w:val="541C548D"/>
    <w:rsid w:val="54776664"/>
    <w:rsid w:val="549433AE"/>
    <w:rsid w:val="54B26C85"/>
    <w:rsid w:val="54BB1B13"/>
    <w:rsid w:val="54CA68AA"/>
    <w:rsid w:val="54E83FB9"/>
    <w:rsid w:val="54E9135D"/>
    <w:rsid w:val="55163126"/>
    <w:rsid w:val="55401D6C"/>
    <w:rsid w:val="556A2BB0"/>
    <w:rsid w:val="557A0C4C"/>
    <w:rsid w:val="5590756D"/>
    <w:rsid w:val="55943EA0"/>
    <w:rsid w:val="559B1181"/>
    <w:rsid w:val="55B13325"/>
    <w:rsid w:val="55C2160F"/>
    <w:rsid w:val="55EA7FAC"/>
    <w:rsid w:val="55FF7BC8"/>
    <w:rsid w:val="56097C53"/>
    <w:rsid w:val="562E29A5"/>
    <w:rsid w:val="56455D97"/>
    <w:rsid w:val="565E0888"/>
    <w:rsid w:val="567E3972"/>
    <w:rsid w:val="56993687"/>
    <w:rsid w:val="569F6AEC"/>
    <w:rsid w:val="56A44EA9"/>
    <w:rsid w:val="56B860D6"/>
    <w:rsid w:val="56EC136C"/>
    <w:rsid w:val="57720D87"/>
    <w:rsid w:val="57722F85"/>
    <w:rsid w:val="578135A0"/>
    <w:rsid w:val="57B85C78"/>
    <w:rsid w:val="57D15816"/>
    <w:rsid w:val="58375A97"/>
    <w:rsid w:val="583A3EDE"/>
    <w:rsid w:val="584B2FF3"/>
    <w:rsid w:val="585F1909"/>
    <w:rsid w:val="586B0604"/>
    <w:rsid w:val="586E66A0"/>
    <w:rsid w:val="58780D95"/>
    <w:rsid w:val="588440C7"/>
    <w:rsid w:val="588F6E09"/>
    <w:rsid w:val="58986D86"/>
    <w:rsid w:val="58A3357C"/>
    <w:rsid w:val="58A46B7A"/>
    <w:rsid w:val="58AF38B9"/>
    <w:rsid w:val="58B06210"/>
    <w:rsid w:val="58B8581B"/>
    <w:rsid w:val="58B97037"/>
    <w:rsid w:val="58C106A9"/>
    <w:rsid w:val="58C91339"/>
    <w:rsid w:val="58D52BCD"/>
    <w:rsid w:val="58E26FF7"/>
    <w:rsid w:val="58E4128C"/>
    <w:rsid w:val="58EB14ED"/>
    <w:rsid w:val="59040F41"/>
    <w:rsid w:val="59070A11"/>
    <w:rsid w:val="591F1D47"/>
    <w:rsid w:val="593276E3"/>
    <w:rsid w:val="59E54F88"/>
    <w:rsid w:val="59EA4C93"/>
    <w:rsid w:val="5A094718"/>
    <w:rsid w:val="5A153559"/>
    <w:rsid w:val="5A494CAD"/>
    <w:rsid w:val="5A5449E1"/>
    <w:rsid w:val="5A5907CA"/>
    <w:rsid w:val="5A7744F7"/>
    <w:rsid w:val="5A7E3E82"/>
    <w:rsid w:val="5A862593"/>
    <w:rsid w:val="5A870015"/>
    <w:rsid w:val="5A880037"/>
    <w:rsid w:val="5A8D0219"/>
    <w:rsid w:val="5AA721AA"/>
    <w:rsid w:val="5AA75C25"/>
    <w:rsid w:val="5ABF3430"/>
    <w:rsid w:val="5ACF620B"/>
    <w:rsid w:val="5AEF0CBE"/>
    <w:rsid w:val="5B076D7F"/>
    <w:rsid w:val="5B0972E9"/>
    <w:rsid w:val="5B1E485F"/>
    <w:rsid w:val="5B3326AC"/>
    <w:rsid w:val="5B392037"/>
    <w:rsid w:val="5B724814"/>
    <w:rsid w:val="5B872136"/>
    <w:rsid w:val="5B895639"/>
    <w:rsid w:val="5B8B02B6"/>
    <w:rsid w:val="5BAB659C"/>
    <w:rsid w:val="5BAC6AF2"/>
    <w:rsid w:val="5BAE1FF5"/>
    <w:rsid w:val="5BB64F6F"/>
    <w:rsid w:val="5BCE346D"/>
    <w:rsid w:val="5BD347B4"/>
    <w:rsid w:val="5BEC315F"/>
    <w:rsid w:val="5BED0BE1"/>
    <w:rsid w:val="5BF668D3"/>
    <w:rsid w:val="5C037501"/>
    <w:rsid w:val="5C0B6063"/>
    <w:rsid w:val="5C0C5C12"/>
    <w:rsid w:val="5C201030"/>
    <w:rsid w:val="5C420B42"/>
    <w:rsid w:val="5C6340A3"/>
    <w:rsid w:val="5C6D5292"/>
    <w:rsid w:val="5C6F4632"/>
    <w:rsid w:val="5C7B1749"/>
    <w:rsid w:val="5C7B6690"/>
    <w:rsid w:val="5C851B09"/>
    <w:rsid w:val="5CA2653F"/>
    <w:rsid w:val="5CB903F2"/>
    <w:rsid w:val="5CDE1F32"/>
    <w:rsid w:val="5D7D6D6E"/>
    <w:rsid w:val="5D8A6083"/>
    <w:rsid w:val="5D8C1586"/>
    <w:rsid w:val="5D8D4886"/>
    <w:rsid w:val="5D980609"/>
    <w:rsid w:val="5DB321DD"/>
    <w:rsid w:val="5DBA71A3"/>
    <w:rsid w:val="5DD21CFB"/>
    <w:rsid w:val="5DD94F09"/>
    <w:rsid w:val="5DE60883"/>
    <w:rsid w:val="5DED6128"/>
    <w:rsid w:val="5E0324CA"/>
    <w:rsid w:val="5E261785"/>
    <w:rsid w:val="5E354064"/>
    <w:rsid w:val="5E413634"/>
    <w:rsid w:val="5E4D3BC3"/>
    <w:rsid w:val="5E9F583A"/>
    <w:rsid w:val="5EB1716B"/>
    <w:rsid w:val="5ECB4491"/>
    <w:rsid w:val="5ED41D17"/>
    <w:rsid w:val="5F01496B"/>
    <w:rsid w:val="5F204B4B"/>
    <w:rsid w:val="5F2E6734"/>
    <w:rsid w:val="5F34185A"/>
    <w:rsid w:val="5F3E47D0"/>
    <w:rsid w:val="5F5A62FF"/>
    <w:rsid w:val="5F5D7DE7"/>
    <w:rsid w:val="5F846E1A"/>
    <w:rsid w:val="5F8F32D6"/>
    <w:rsid w:val="5FA650F9"/>
    <w:rsid w:val="5FBB761D"/>
    <w:rsid w:val="5FBC15DA"/>
    <w:rsid w:val="5FD06BCB"/>
    <w:rsid w:val="5FE53CE4"/>
    <w:rsid w:val="5FF13D35"/>
    <w:rsid w:val="5FF351F8"/>
    <w:rsid w:val="60140FB0"/>
    <w:rsid w:val="601531AE"/>
    <w:rsid w:val="603D2175"/>
    <w:rsid w:val="6044384C"/>
    <w:rsid w:val="60730FCA"/>
    <w:rsid w:val="60746A4B"/>
    <w:rsid w:val="607F4DDC"/>
    <w:rsid w:val="60860D78"/>
    <w:rsid w:val="609B15B9"/>
    <w:rsid w:val="609F56D6"/>
    <w:rsid w:val="60BD26C3"/>
    <w:rsid w:val="60CF5E60"/>
    <w:rsid w:val="60D34866"/>
    <w:rsid w:val="60F32B9D"/>
    <w:rsid w:val="60FC0034"/>
    <w:rsid w:val="6137458B"/>
    <w:rsid w:val="61486F6F"/>
    <w:rsid w:val="614F1C31"/>
    <w:rsid w:val="61583CE7"/>
    <w:rsid w:val="616131D1"/>
    <w:rsid w:val="61811507"/>
    <w:rsid w:val="618C531A"/>
    <w:rsid w:val="618E28AC"/>
    <w:rsid w:val="61954924"/>
    <w:rsid w:val="61A34F3F"/>
    <w:rsid w:val="61AE4926"/>
    <w:rsid w:val="61C7650A"/>
    <w:rsid w:val="61E81A51"/>
    <w:rsid w:val="620174D7"/>
    <w:rsid w:val="620B3285"/>
    <w:rsid w:val="62290E36"/>
    <w:rsid w:val="6259789B"/>
    <w:rsid w:val="625B2072"/>
    <w:rsid w:val="625B4F45"/>
    <w:rsid w:val="626B1104"/>
    <w:rsid w:val="626D6146"/>
    <w:rsid w:val="62865532"/>
    <w:rsid w:val="62870A35"/>
    <w:rsid w:val="62936FD7"/>
    <w:rsid w:val="62960BBC"/>
    <w:rsid w:val="629A41D2"/>
    <w:rsid w:val="629C6AAD"/>
    <w:rsid w:val="62A608AE"/>
    <w:rsid w:val="62B32B7E"/>
    <w:rsid w:val="62B94A87"/>
    <w:rsid w:val="62BC7FB1"/>
    <w:rsid w:val="62CE5926"/>
    <w:rsid w:val="62D452B1"/>
    <w:rsid w:val="62E411C7"/>
    <w:rsid w:val="63153B1C"/>
    <w:rsid w:val="63195DA5"/>
    <w:rsid w:val="632D22A7"/>
    <w:rsid w:val="633330CC"/>
    <w:rsid w:val="634E7DC3"/>
    <w:rsid w:val="635B4871"/>
    <w:rsid w:val="6378701C"/>
    <w:rsid w:val="638A62E7"/>
    <w:rsid w:val="63932E06"/>
    <w:rsid w:val="63C24F39"/>
    <w:rsid w:val="63F242C8"/>
    <w:rsid w:val="63FA32D5"/>
    <w:rsid w:val="63FF5AFD"/>
    <w:rsid w:val="64056CA7"/>
    <w:rsid w:val="6412273A"/>
    <w:rsid w:val="6415203B"/>
    <w:rsid w:val="64160892"/>
    <w:rsid w:val="641C68CD"/>
    <w:rsid w:val="642B10E5"/>
    <w:rsid w:val="64303028"/>
    <w:rsid w:val="64374EF8"/>
    <w:rsid w:val="64580CB0"/>
    <w:rsid w:val="648065F1"/>
    <w:rsid w:val="649172A6"/>
    <w:rsid w:val="649A719B"/>
    <w:rsid w:val="64C54EEF"/>
    <w:rsid w:val="64CE08EF"/>
    <w:rsid w:val="64D65CFB"/>
    <w:rsid w:val="64DA7F84"/>
    <w:rsid w:val="64EF46A6"/>
    <w:rsid w:val="64F46BDC"/>
    <w:rsid w:val="651F1017"/>
    <w:rsid w:val="65274C0C"/>
    <w:rsid w:val="65333E96"/>
    <w:rsid w:val="654A7CA6"/>
    <w:rsid w:val="65503446"/>
    <w:rsid w:val="65AA1556"/>
    <w:rsid w:val="65AF3460"/>
    <w:rsid w:val="65DC302A"/>
    <w:rsid w:val="65E713BB"/>
    <w:rsid w:val="65EF4249"/>
    <w:rsid w:val="660B02F6"/>
    <w:rsid w:val="66123504"/>
    <w:rsid w:val="66130F86"/>
    <w:rsid w:val="66282936"/>
    <w:rsid w:val="66293129"/>
    <w:rsid w:val="665E0ACF"/>
    <w:rsid w:val="66736A21"/>
    <w:rsid w:val="66834ABD"/>
    <w:rsid w:val="66846CB5"/>
    <w:rsid w:val="66865A41"/>
    <w:rsid w:val="668A1EC9"/>
    <w:rsid w:val="66A42A73"/>
    <w:rsid w:val="66CB0734"/>
    <w:rsid w:val="66CB4EB1"/>
    <w:rsid w:val="66E97CE4"/>
    <w:rsid w:val="6712626B"/>
    <w:rsid w:val="67132F70"/>
    <w:rsid w:val="671B3B96"/>
    <w:rsid w:val="672C3AC4"/>
    <w:rsid w:val="674412F8"/>
    <w:rsid w:val="67456AC2"/>
    <w:rsid w:val="67554E15"/>
    <w:rsid w:val="677F14DD"/>
    <w:rsid w:val="6794237B"/>
    <w:rsid w:val="67A24F14"/>
    <w:rsid w:val="67BB2081"/>
    <w:rsid w:val="67BB22A2"/>
    <w:rsid w:val="67D30F67"/>
    <w:rsid w:val="67D740EA"/>
    <w:rsid w:val="67E027FB"/>
    <w:rsid w:val="67E31201"/>
    <w:rsid w:val="67E573A6"/>
    <w:rsid w:val="680829A7"/>
    <w:rsid w:val="68251C6A"/>
    <w:rsid w:val="68347D07"/>
    <w:rsid w:val="68382E89"/>
    <w:rsid w:val="68596C41"/>
    <w:rsid w:val="687C5055"/>
    <w:rsid w:val="68846A1E"/>
    <w:rsid w:val="689841A8"/>
    <w:rsid w:val="689C2BAE"/>
    <w:rsid w:val="689C6431"/>
    <w:rsid w:val="68AA3317"/>
    <w:rsid w:val="68CD337D"/>
    <w:rsid w:val="68D6620B"/>
    <w:rsid w:val="68DA0494"/>
    <w:rsid w:val="68E258A1"/>
    <w:rsid w:val="690B7976"/>
    <w:rsid w:val="690E3D8F"/>
    <w:rsid w:val="69305620"/>
    <w:rsid w:val="69350C12"/>
    <w:rsid w:val="69492AD2"/>
    <w:rsid w:val="694B28C9"/>
    <w:rsid w:val="69506CD3"/>
    <w:rsid w:val="69962DC6"/>
    <w:rsid w:val="699F275D"/>
    <w:rsid w:val="69CF7AA8"/>
    <w:rsid w:val="69E6489B"/>
    <w:rsid w:val="6A166B97"/>
    <w:rsid w:val="6A2A10BB"/>
    <w:rsid w:val="6A4D0376"/>
    <w:rsid w:val="6A4E5DF8"/>
    <w:rsid w:val="6A584189"/>
    <w:rsid w:val="6A66349E"/>
    <w:rsid w:val="6A68266C"/>
    <w:rsid w:val="6A73405E"/>
    <w:rsid w:val="6A7574C6"/>
    <w:rsid w:val="6A7D02CF"/>
    <w:rsid w:val="6A9B2674"/>
    <w:rsid w:val="6ABC642B"/>
    <w:rsid w:val="6AD97137"/>
    <w:rsid w:val="6AE47788"/>
    <w:rsid w:val="6AEE26DF"/>
    <w:rsid w:val="6AEE77F9"/>
    <w:rsid w:val="6B026BA0"/>
    <w:rsid w:val="6B277CD9"/>
    <w:rsid w:val="6B3D5FE0"/>
    <w:rsid w:val="6B6E5D51"/>
    <w:rsid w:val="6B703951"/>
    <w:rsid w:val="6B7071D4"/>
    <w:rsid w:val="6BCF2A70"/>
    <w:rsid w:val="6BD20FA8"/>
    <w:rsid w:val="6BE2040C"/>
    <w:rsid w:val="6BE4390F"/>
    <w:rsid w:val="6BEB558E"/>
    <w:rsid w:val="6BEC1D6E"/>
    <w:rsid w:val="6BFE2E33"/>
    <w:rsid w:val="6C6D256F"/>
    <w:rsid w:val="6C7269F6"/>
    <w:rsid w:val="6C9A6B3A"/>
    <w:rsid w:val="6C9E1BC2"/>
    <w:rsid w:val="6CA74CD2"/>
    <w:rsid w:val="6CA94952"/>
    <w:rsid w:val="6CB07B60"/>
    <w:rsid w:val="6CB51A69"/>
    <w:rsid w:val="6CC03CFB"/>
    <w:rsid w:val="6CC92C88"/>
    <w:rsid w:val="6CCA01A1"/>
    <w:rsid w:val="6CD50C99"/>
    <w:rsid w:val="6CD7419C"/>
    <w:rsid w:val="6CE01E94"/>
    <w:rsid w:val="6CE412B4"/>
    <w:rsid w:val="6D0417E8"/>
    <w:rsid w:val="6D0D4676"/>
    <w:rsid w:val="6D247B1F"/>
    <w:rsid w:val="6D3A643F"/>
    <w:rsid w:val="6D4D5460"/>
    <w:rsid w:val="6D566453"/>
    <w:rsid w:val="6D6A4E73"/>
    <w:rsid w:val="6D706919"/>
    <w:rsid w:val="6D7F36B1"/>
    <w:rsid w:val="6D8C29C6"/>
    <w:rsid w:val="6D923245"/>
    <w:rsid w:val="6DA04EA6"/>
    <w:rsid w:val="6DA170E8"/>
    <w:rsid w:val="6DCC7033"/>
    <w:rsid w:val="6DFD7802"/>
    <w:rsid w:val="6E1206A1"/>
    <w:rsid w:val="6E20323A"/>
    <w:rsid w:val="6E686EB1"/>
    <w:rsid w:val="6E7F6AD7"/>
    <w:rsid w:val="6E866461"/>
    <w:rsid w:val="6ED57AC9"/>
    <w:rsid w:val="6EDC43B3"/>
    <w:rsid w:val="6EE132F8"/>
    <w:rsid w:val="6EEB2CB3"/>
    <w:rsid w:val="6F062233"/>
    <w:rsid w:val="6F181253"/>
    <w:rsid w:val="6F277E38"/>
    <w:rsid w:val="6F2D3684"/>
    <w:rsid w:val="6F460A9E"/>
    <w:rsid w:val="6F4769B7"/>
    <w:rsid w:val="6F494086"/>
    <w:rsid w:val="6F784AF0"/>
    <w:rsid w:val="6F8A4A0A"/>
    <w:rsid w:val="6F8D3411"/>
    <w:rsid w:val="6F9D5E99"/>
    <w:rsid w:val="6FAD1FD2"/>
    <w:rsid w:val="6FEB4795"/>
    <w:rsid w:val="6FEE0892"/>
    <w:rsid w:val="6FEF67D6"/>
    <w:rsid w:val="6FF90541"/>
    <w:rsid w:val="70007ECC"/>
    <w:rsid w:val="70077857"/>
    <w:rsid w:val="700852D9"/>
    <w:rsid w:val="700F548B"/>
    <w:rsid w:val="7030429F"/>
    <w:rsid w:val="703D35B4"/>
    <w:rsid w:val="70404539"/>
    <w:rsid w:val="706E4D45"/>
    <w:rsid w:val="7088492D"/>
    <w:rsid w:val="708D1612"/>
    <w:rsid w:val="70A73FCD"/>
    <w:rsid w:val="70AA6167"/>
    <w:rsid w:val="70DE290B"/>
    <w:rsid w:val="711641F1"/>
    <w:rsid w:val="7118679B"/>
    <w:rsid w:val="712C0560"/>
    <w:rsid w:val="71613A07"/>
    <w:rsid w:val="716E3926"/>
    <w:rsid w:val="71874850"/>
    <w:rsid w:val="71A51882"/>
    <w:rsid w:val="71A8287C"/>
    <w:rsid w:val="71B82AA1"/>
    <w:rsid w:val="71C730BB"/>
    <w:rsid w:val="71C92D3B"/>
    <w:rsid w:val="71E103E2"/>
    <w:rsid w:val="71F260FE"/>
    <w:rsid w:val="71F95A89"/>
    <w:rsid w:val="720A6EC2"/>
    <w:rsid w:val="721B72C2"/>
    <w:rsid w:val="721C40C6"/>
    <w:rsid w:val="723B55F8"/>
    <w:rsid w:val="72531CCB"/>
    <w:rsid w:val="72804A68"/>
    <w:rsid w:val="729873F7"/>
    <w:rsid w:val="72D2576C"/>
    <w:rsid w:val="72DB30EB"/>
    <w:rsid w:val="72F96CB0"/>
    <w:rsid w:val="73245576"/>
    <w:rsid w:val="733740AE"/>
    <w:rsid w:val="733E031E"/>
    <w:rsid w:val="735D69D5"/>
    <w:rsid w:val="735E4456"/>
    <w:rsid w:val="735F1ED8"/>
    <w:rsid w:val="737B3A06"/>
    <w:rsid w:val="73830806"/>
    <w:rsid w:val="7393362B"/>
    <w:rsid w:val="73992FB6"/>
    <w:rsid w:val="739D19BD"/>
    <w:rsid w:val="73AB0CD2"/>
    <w:rsid w:val="73D24031"/>
    <w:rsid w:val="73D71DFA"/>
    <w:rsid w:val="73E70B37"/>
    <w:rsid w:val="73EF5F44"/>
    <w:rsid w:val="73FD2CDB"/>
    <w:rsid w:val="74312230"/>
    <w:rsid w:val="743B05C1"/>
    <w:rsid w:val="744630C9"/>
    <w:rsid w:val="744D62DD"/>
    <w:rsid w:val="74574045"/>
    <w:rsid w:val="746A588D"/>
    <w:rsid w:val="746F6492"/>
    <w:rsid w:val="74A61BE0"/>
    <w:rsid w:val="74C936A8"/>
    <w:rsid w:val="74CA3328"/>
    <w:rsid w:val="74D93943"/>
    <w:rsid w:val="74DA5B41"/>
    <w:rsid w:val="74FA4839"/>
    <w:rsid w:val="75011284"/>
    <w:rsid w:val="75044BE3"/>
    <w:rsid w:val="75180EA9"/>
    <w:rsid w:val="752758D7"/>
    <w:rsid w:val="75357D77"/>
    <w:rsid w:val="753A5419"/>
    <w:rsid w:val="7541701C"/>
    <w:rsid w:val="754A4EFB"/>
    <w:rsid w:val="75625E25"/>
    <w:rsid w:val="756338A7"/>
    <w:rsid w:val="75641328"/>
    <w:rsid w:val="756D227E"/>
    <w:rsid w:val="757B457E"/>
    <w:rsid w:val="75984C7A"/>
    <w:rsid w:val="75A1338B"/>
    <w:rsid w:val="75A20E0D"/>
    <w:rsid w:val="75C64243"/>
    <w:rsid w:val="75D96D69"/>
    <w:rsid w:val="764E37ED"/>
    <w:rsid w:val="76571BB5"/>
    <w:rsid w:val="765D5CBD"/>
    <w:rsid w:val="766944DE"/>
    <w:rsid w:val="767720EA"/>
    <w:rsid w:val="767A306F"/>
    <w:rsid w:val="7695359A"/>
    <w:rsid w:val="76AC12BF"/>
    <w:rsid w:val="76BE582E"/>
    <w:rsid w:val="76C92DEE"/>
    <w:rsid w:val="76DB1E0E"/>
    <w:rsid w:val="76F00AAF"/>
    <w:rsid w:val="76FC33B0"/>
    <w:rsid w:val="76FE1E5E"/>
    <w:rsid w:val="771A18F3"/>
    <w:rsid w:val="77255706"/>
    <w:rsid w:val="773659A0"/>
    <w:rsid w:val="773A233A"/>
    <w:rsid w:val="777F291C"/>
    <w:rsid w:val="77AE7BE8"/>
    <w:rsid w:val="77B92EA4"/>
    <w:rsid w:val="77C3210C"/>
    <w:rsid w:val="77C63091"/>
    <w:rsid w:val="77D13620"/>
    <w:rsid w:val="77D2335C"/>
    <w:rsid w:val="780A11FC"/>
    <w:rsid w:val="78237BA7"/>
    <w:rsid w:val="7843209E"/>
    <w:rsid w:val="78646412"/>
    <w:rsid w:val="7869031C"/>
    <w:rsid w:val="786E47A3"/>
    <w:rsid w:val="78A56E7C"/>
    <w:rsid w:val="78D16A46"/>
    <w:rsid w:val="78E04B81"/>
    <w:rsid w:val="78E21122"/>
    <w:rsid w:val="78E34762"/>
    <w:rsid w:val="79032A98"/>
    <w:rsid w:val="791871BB"/>
    <w:rsid w:val="791F3116"/>
    <w:rsid w:val="7936676B"/>
    <w:rsid w:val="79664D3B"/>
    <w:rsid w:val="796D68C4"/>
    <w:rsid w:val="79802062"/>
    <w:rsid w:val="798D4BFB"/>
    <w:rsid w:val="798E04F5"/>
    <w:rsid w:val="799022FC"/>
    <w:rsid w:val="79987709"/>
    <w:rsid w:val="79A2131D"/>
    <w:rsid w:val="79A25A9A"/>
    <w:rsid w:val="79A63509"/>
    <w:rsid w:val="79AF2BB1"/>
    <w:rsid w:val="79CD2161"/>
    <w:rsid w:val="79E17AD9"/>
    <w:rsid w:val="79F83B85"/>
    <w:rsid w:val="7A105AF3"/>
    <w:rsid w:val="7A236DE9"/>
    <w:rsid w:val="7A253E75"/>
    <w:rsid w:val="7A5336BF"/>
    <w:rsid w:val="7A7C6A82"/>
    <w:rsid w:val="7B1012AA"/>
    <w:rsid w:val="7B253A17"/>
    <w:rsid w:val="7B2E0AA4"/>
    <w:rsid w:val="7B303FA7"/>
    <w:rsid w:val="7B741218"/>
    <w:rsid w:val="7B85318F"/>
    <w:rsid w:val="7B9A2EDC"/>
    <w:rsid w:val="7BB57A83"/>
    <w:rsid w:val="7BC36D99"/>
    <w:rsid w:val="7BC77A04"/>
    <w:rsid w:val="7BCB7A29"/>
    <w:rsid w:val="7BCD2F2C"/>
    <w:rsid w:val="7BDC3439"/>
    <w:rsid w:val="7C157714"/>
    <w:rsid w:val="7C1B2CAB"/>
    <w:rsid w:val="7C2E3ECA"/>
    <w:rsid w:val="7C4E38BA"/>
    <w:rsid w:val="7C62561D"/>
    <w:rsid w:val="7C63262F"/>
    <w:rsid w:val="7C8F3A4E"/>
    <w:rsid w:val="7C962DE6"/>
    <w:rsid w:val="7CAC259A"/>
    <w:rsid w:val="7CCB6E8A"/>
    <w:rsid w:val="7CD633DE"/>
    <w:rsid w:val="7CFF45A2"/>
    <w:rsid w:val="7D0B5E36"/>
    <w:rsid w:val="7D13564C"/>
    <w:rsid w:val="7D2A6CFD"/>
    <w:rsid w:val="7D684ECB"/>
    <w:rsid w:val="7D6F22D8"/>
    <w:rsid w:val="7D7C3B6C"/>
    <w:rsid w:val="7DB569BE"/>
    <w:rsid w:val="7DCD2671"/>
    <w:rsid w:val="7DF0452C"/>
    <w:rsid w:val="7DF172EC"/>
    <w:rsid w:val="7DFB79B8"/>
    <w:rsid w:val="7E004A10"/>
    <w:rsid w:val="7E290968"/>
    <w:rsid w:val="7E481FBB"/>
    <w:rsid w:val="7E52793F"/>
    <w:rsid w:val="7E5747D4"/>
    <w:rsid w:val="7E8F5FB2"/>
    <w:rsid w:val="7E947EBC"/>
    <w:rsid w:val="7E9954D0"/>
    <w:rsid w:val="7EA11750"/>
    <w:rsid w:val="7EA75857"/>
    <w:rsid w:val="7EBD57FD"/>
    <w:rsid w:val="7EC971AE"/>
    <w:rsid w:val="7EDF0949"/>
    <w:rsid w:val="7EEA4F70"/>
    <w:rsid w:val="7EF533D8"/>
    <w:rsid w:val="7EF768DB"/>
    <w:rsid w:val="7F051474"/>
    <w:rsid w:val="7F0D6881"/>
    <w:rsid w:val="7F0F262E"/>
    <w:rsid w:val="7F1331E0"/>
    <w:rsid w:val="7F1A4AA3"/>
    <w:rsid w:val="7F2A02B7"/>
    <w:rsid w:val="7F392BC8"/>
    <w:rsid w:val="7F5A6980"/>
    <w:rsid w:val="7F5F42FF"/>
    <w:rsid w:val="7F8477C4"/>
    <w:rsid w:val="7F8970EF"/>
    <w:rsid w:val="7F93455B"/>
    <w:rsid w:val="7F9D7069"/>
    <w:rsid w:val="7F9F256C"/>
    <w:rsid w:val="7FA60A4F"/>
    <w:rsid w:val="7FC0554E"/>
    <w:rsid w:val="7FCF0B3D"/>
    <w:rsid w:val="7FD05D7E"/>
    <w:rsid w:val="7FD32DC6"/>
    <w:rsid w:val="7FD37543"/>
    <w:rsid w:val="7FF048F5"/>
    <w:rsid w:val="7FF3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0" w:after="20" w:line="415" w:lineRule="auto"/>
      <w:jc w:val="center"/>
      <w:outlineLvl w:val="2"/>
    </w:pPr>
    <w:rPr>
      <w:b/>
      <w:bCs/>
      <w:sz w:val="32"/>
      <w:szCs w:val="32"/>
    </w:rPr>
  </w:style>
  <w:style w:type="paragraph" w:styleId="5">
    <w:name w:val="heading 4"/>
    <w:basedOn w:val="1"/>
    <w:next w:val="1"/>
    <w:link w:val="31"/>
    <w:qFormat/>
    <w:uiPriority w:val="0"/>
    <w:pPr>
      <w:keepNext/>
      <w:keepLines/>
      <w:spacing w:before="280" w:after="290" w:line="374" w:lineRule="auto"/>
      <w:outlineLvl w:val="3"/>
    </w:pPr>
    <w:rPr>
      <w:rFonts w:ascii="Arial" w:hAnsi="Arial" w:eastAsia="黑体"/>
      <w:b/>
      <w:bCs/>
      <w:sz w:val="28"/>
      <w:szCs w:val="28"/>
    </w:rPr>
  </w:style>
  <w:style w:type="character" w:default="1" w:styleId="14">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29"/>
    <w:qFormat/>
    <w:uiPriority w:val="0"/>
    <w:pPr>
      <w:ind w:firstLine="420"/>
    </w:pPr>
    <w:rPr>
      <w:szCs w:val="20"/>
    </w:rPr>
  </w:style>
  <w:style w:type="paragraph" w:styleId="7">
    <w:name w:val="annotation text"/>
    <w:basedOn w:val="1"/>
    <w:semiHidden/>
    <w:qFormat/>
    <w:uiPriority w:val="0"/>
    <w:pPr>
      <w:jc w:val="left"/>
    </w:pPr>
  </w:style>
  <w:style w:type="paragraph" w:styleId="8">
    <w:name w:val="Body Text"/>
    <w:basedOn w:val="1"/>
    <w:qFormat/>
    <w:uiPriority w:val="0"/>
    <w:pPr>
      <w:spacing w:after="120"/>
    </w:pPr>
  </w:style>
  <w:style w:type="paragraph" w:styleId="9">
    <w:name w:val="Plain Text"/>
    <w:basedOn w:val="1"/>
    <w:link w:val="20"/>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0">
    <w:name w:val="Balloon Text"/>
    <w:basedOn w:val="1"/>
    <w:link w:val="25"/>
    <w:qFormat/>
    <w:uiPriority w:val="99"/>
    <w:rPr>
      <w:rFonts w:ascii="Calibri" w:hAnsi="Calibri"/>
      <w:sz w:val="18"/>
      <w:szCs w:val="18"/>
    </w:rPr>
  </w:style>
  <w:style w:type="paragraph" w:styleId="11">
    <w:name w:val="footer"/>
    <w:basedOn w:val="1"/>
    <w:link w:val="30"/>
    <w:qFormat/>
    <w:uiPriority w:val="99"/>
    <w:pPr>
      <w:tabs>
        <w:tab w:val="center" w:pos="4153"/>
        <w:tab w:val="right" w:pos="8306"/>
      </w:tabs>
      <w:snapToGrid w:val="0"/>
      <w:jc w:val="left"/>
    </w:pPr>
    <w:rPr>
      <w:sz w:val="18"/>
      <w:szCs w:val="18"/>
    </w:rPr>
  </w:style>
  <w:style w:type="paragraph" w:styleId="12">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FollowedHyperlink"/>
    <w:qFormat/>
    <w:uiPriority w:val="0"/>
    <w:rPr>
      <w:color w:val="595959"/>
      <w:u w:val="none"/>
    </w:rPr>
  </w:style>
  <w:style w:type="character" w:styleId="16">
    <w:name w:val="Hyperlink"/>
    <w:qFormat/>
    <w:uiPriority w:val="0"/>
    <w:rPr>
      <w:color w:val="000000"/>
      <w:u w:val="none"/>
    </w:rPr>
  </w:style>
  <w:style w:type="table" w:styleId="18">
    <w:name w:val="Table Grid"/>
    <w:basedOn w:val="17"/>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标题 2 Char"/>
    <w:link w:val="3"/>
    <w:qFormat/>
    <w:uiPriority w:val="0"/>
    <w:rPr>
      <w:rFonts w:ascii="Arial" w:hAnsi="Arial" w:eastAsia="黑体"/>
      <w:b/>
      <w:bCs/>
      <w:kern w:val="2"/>
      <w:sz w:val="32"/>
      <w:szCs w:val="32"/>
      <w:lang w:val="en-US" w:eastAsia="zh-CN" w:bidi="ar-SA"/>
    </w:rPr>
  </w:style>
  <w:style w:type="character" w:customStyle="1" w:styleId="20">
    <w:name w:val="纯文本 Char"/>
    <w:link w:val="9"/>
    <w:qFormat/>
    <w:uiPriority w:val="0"/>
    <w:rPr>
      <w:rFonts w:ascii="宋体" w:hAnsi="Courier New" w:eastAsia="宋体"/>
      <w:sz w:val="21"/>
      <w:lang w:val="en-US" w:eastAsia="zh-CN" w:bidi="ar-SA"/>
    </w:rPr>
  </w:style>
  <w:style w:type="character" w:customStyle="1" w:styleId="21">
    <w:name w:val="页眉 Char"/>
    <w:link w:val="12"/>
    <w:qFormat/>
    <w:locked/>
    <w:uiPriority w:val="99"/>
    <w:rPr>
      <w:kern w:val="2"/>
      <w:sz w:val="18"/>
      <w:szCs w:val="18"/>
    </w:rPr>
  </w:style>
  <w:style w:type="character" w:customStyle="1" w:styleId="22">
    <w:name w:val="标题 1 Char"/>
    <w:link w:val="2"/>
    <w:qFormat/>
    <w:uiPriority w:val="0"/>
    <w:rPr>
      <w:rFonts w:eastAsia="宋体"/>
      <w:b/>
      <w:bCs/>
      <w:kern w:val="44"/>
      <w:sz w:val="44"/>
      <w:szCs w:val="44"/>
      <w:lang w:val="en-US" w:eastAsia="zh-CN" w:bidi="ar-SA"/>
    </w:rPr>
  </w:style>
  <w:style w:type="character" w:customStyle="1" w:styleId="23">
    <w:name w:val="RDD正文 Char Char"/>
    <w:link w:val="24"/>
    <w:qFormat/>
    <w:uiPriority w:val="0"/>
    <w:rPr>
      <w:rFonts w:ascii="宋体" w:hAnsi="宋体" w:eastAsia="宋体"/>
      <w:kern w:val="2"/>
      <w:sz w:val="28"/>
      <w:szCs w:val="24"/>
      <w:lang w:bidi="ar-SA"/>
    </w:rPr>
  </w:style>
  <w:style w:type="paragraph" w:customStyle="1" w:styleId="24">
    <w:name w:val="RDD正文"/>
    <w:basedOn w:val="1"/>
    <w:link w:val="23"/>
    <w:qFormat/>
    <w:uiPriority w:val="0"/>
    <w:pPr>
      <w:adjustRightInd w:val="0"/>
      <w:snapToGrid w:val="0"/>
      <w:spacing w:line="480" w:lineRule="auto"/>
      <w:ind w:firstLine="480" w:firstLineChars="200"/>
    </w:pPr>
    <w:rPr>
      <w:rFonts w:ascii="宋体" w:hAnsi="宋体"/>
      <w:sz w:val="28"/>
    </w:rPr>
  </w:style>
  <w:style w:type="character" w:customStyle="1" w:styleId="25">
    <w:name w:val="批注框文本 Char"/>
    <w:link w:val="10"/>
    <w:qFormat/>
    <w:uiPriority w:val="99"/>
    <w:rPr>
      <w:rFonts w:ascii="Calibri" w:hAnsi="Calibri"/>
      <w:kern w:val="2"/>
      <w:sz w:val="18"/>
      <w:szCs w:val="18"/>
    </w:rPr>
  </w:style>
  <w:style w:type="character" w:customStyle="1" w:styleId="26">
    <w:name w:val="font11"/>
    <w:qFormat/>
    <w:uiPriority w:val="0"/>
    <w:rPr>
      <w:rFonts w:hint="eastAsia" w:ascii="宋体" w:hAnsi="宋体" w:eastAsia="宋体" w:cs="宋体"/>
      <w:color w:val="000000"/>
      <w:sz w:val="20"/>
      <w:szCs w:val="20"/>
      <w:u w:val="none"/>
    </w:rPr>
  </w:style>
  <w:style w:type="character" w:customStyle="1" w:styleId="27">
    <w:name w:val="样式1 Char Char"/>
    <w:link w:val="28"/>
    <w:qFormat/>
    <w:uiPriority w:val="0"/>
    <w:rPr>
      <w:rFonts w:eastAsia="宋体"/>
      <w:kern w:val="2"/>
      <w:sz w:val="21"/>
      <w:szCs w:val="24"/>
      <w:lang w:val="en-US" w:eastAsia="zh-CN" w:bidi="ar-SA"/>
    </w:rPr>
  </w:style>
  <w:style w:type="paragraph" w:customStyle="1" w:styleId="28">
    <w:name w:val="样式1"/>
    <w:basedOn w:val="1"/>
    <w:link w:val="27"/>
    <w:qFormat/>
    <w:uiPriority w:val="0"/>
    <w:pPr>
      <w:tabs>
        <w:tab w:val="left" w:leader="hyphen" w:pos="8400"/>
      </w:tabs>
    </w:pPr>
  </w:style>
  <w:style w:type="character" w:customStyle="1" w:styleId="29">
    <w:name w:val="正文缩进 Char"/>
    <w:link w:val="6"/>
    <w:qFormat/>
    <w:uiPriority w:val="0"/>
    <w:rPr>
      <w:rFonts w:eastAsia="宋体"/>
      <w:kern w:val="2"/>
      <w:sz w:val="21"/>
      <w:lang w:val="en-US" w:eastAsia="zh-CN" w:bidi="ar-SA"/>
    </w:rPr>
  </w:style>
  <w:style w:type="character" w:customStyle="1" w:styleId="30">
    <w:name w:val="页脚 Char"/>
    <w:link w:val="11"/>
    <w:qFormat/>
    <w:uiPriority w:val="99"/>
    <w:rPr>
      <w:rFonts w:eastAsia="宋体"/>
      <w:kern w:val="2"/>
      <w:sz w:val="18"/>
      <w:szCs w:val="18"/>
      <w:lang w:val="en-US" w:eastAsia="zh-CN" w:bidi="ar-SA"/>
    </w:rPr>
  </w:style>
  <w:style w:type="character" w:customStyle="1" w:styleId="31">
    <w:name w:val="标题 4 Char"/>
    <w:link w:val="5"/>
    <w:qFormat/>
    <w:uiPriority w:val="0"/>
    <w:rPr>
      <w:rFonts w:ascii="Arial" w:hAnsi="Arial" w:eastAsia="黑体"/>
      <w:b/>
      <w:bCs/>
      <w:kern w:val="2"/>
      <w:sz w:val="28"/>
      <w:szCs w:val="28"/>
      <w:lang w:val="en-US" w:eastAsia="zh-CN" w:bidi="ar-SA"/>
    </w:rPr>
  </w:style>
  <w:style w:type="paragraph" w:customStyle="1" w:styleId="32">
    <w:name w:val="文档正文"/>
    <w:basedOn w:val="1"/>
    <w:qFormat/>
    <w:uiPriority w:val="0"/>
    <w:pPr>
      <w:tabs>
        <w:tab w:val="left" w:pos="5460"/>
        <w:tab w:val="left" w:pos="8770"/>
      </w:tabs>
      <w:adjustRightInd w:val="0"/>
      <w:spacing w:line="360" w:lineRule="auto"/>
      <w:ind w:right="210" w:rightChars="100" w:firstLine="420" w:firstLineChars="200"/>
      <w:textAlignment w:val="baseline"/>
    </w:pPr>
    <w:rPr>
      <w:rFonts w:ascii="宋体" w:hAnsi="宋体"/>
      <w:kern w:val="0"/>
      <w:szCs w:val="21"/>
    </w:rPr>
  </w:style>
  <w:style w:type="paragraph" w:customStyle="1" w:styleId="33">
    <w:name w:val="_Style 1"/>
    <w:basedOn w:val="1"/>
    <w:qFormat/>
    <w:uiPriority w:val="99"/>
    <w:pPr>
      <w:adjustRightInd w:val="0"/>
      <w:snapToGrid w:val="0"/>
      <w:spacing w:line="360" w:lineRule="auto"/>
      <w:ind w:firstLine="420" w:firstLineChars="200"/>
    </w:pPr>
    <w:rPr>
      <w:color w:val="000000"/>
      <w:szCs w:val="21"/>
    </w:rPr>
  </w:style>
  <w:style w:type="paragraph" w:customStyle="1" w:styleId="34">
    <w:name w:val="_Style 4"/>
    <w:basedOn w:val="1"/>
    <w:qFormat/>
    <w:uiPriority w:val="99"/>
    <w:pPr>
      <w:ind w:firstLine="420" w:firstLineChars="200"/>
    </w:pPr>
    <w:rPr>
      <w:rFonts w:ascii="Calibri" w:hAnsi="Calibri"/>
    </w:rPr>
  </w:style>
  <w:style w:type="paragraph" w:customStyle="1" w:styleId="35">
    <w:name w:val="p15"/>
    <w:basedOn w:val="1"/>
    <w:qFormat/>
    <w:uiPriority w:val="0"/>
    <w:pPr>
      <w:widowControl/>
      <w:pBdr>
        <w:bottom w:val="single" w:color="000000" w:sz="6" w:space="1"/>
      </w:pBdr>
      <w:jc w:val="center"/>
    </w:pPr>
    <w:rPr>
      <w:kern w:val="0"/>
      <w:sz w:val="18"/>
      <w:szCs w:val="18"/>
    </w:rPr>
  </w:style>
  <w:style w:type="paragraph" w:customStyle="1" w:styleId="3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Char Char"/>
    <w:basedOn w:val="1"/>
    <w:qFormat/>
    <w:uiPriority w:val="0"/>
  </w:style>
  <w:style w:type="paragraph" w:customStyle="1" w:styleId="38">
    <w:name w:val="lineh"/>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_Style 2"/>
    <w:basedOn w:val="1"/>
    <w:qFormat/>
    <w:uiPriority w:val="99"/>
    <w:pPr>
      <w:adjustRightInd w:val="0"/>
      <w:snapToGrid w:val="0"/>
      <w:spacing w:line="360" w:lineRule="auto"/>
      <w:ind w:firstLine="420" w:firstLineChars="200"/>
    </w:pPr>
    <w:rPr>
      <w:color w:val="000000"/>
      <w:szCs w:val="21"/>
    </w:rPr>
  </w:style>
  <w:style w:type="paragraph" w:customStyle="1" w:styleId="41">
    <w:name w:val="_Style 21"/>
    <w:basedOn w:val="1"/>
    <w:qFormat/>
    <w:uiPriority w:val="99"/>
    <w:pPr>
      <w:adjustRightInd w:val="0"/>
      <w:snapToGrid w:val="0"/>
      <w:spacing w:line="360" w:lineRule="auto"/>
      <w:ind w:firstLine="420" w:firstLineChars="200"/>
    </w:pPr>
    <w:rPr>
      <w:color w:val="000000"/>
      <w:szCs w:val="21"/>
    </w:rPr>
  </w:style>
  <w:style w:type="paragraph" w:customStyle="1" w:styleId="42">
    <w:name w:val="1 Char"/>
    <w:basedOn w:val="1"/>
    <w:qFormat/>
    <w:uiPriority w:val="99"/>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4027</Words>
  <Characters>22959</Characters>
  <Lines>191</Lines>
  <Paragraphs>53</Paragraphs>
  <ScaleCrop>false</ScaleCrop>
  <LinksUpToDate>false</LinksUpToDate>
  <CharactersWithSpaces>26933</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2017-08-04T07:19:00Z</dcterms:created>
  <dc:creator>User</dc:creator>
  <cp:lastModifiedBy>西安红城建设项目管理有限公司:西安红城建设项目管理有限公司</cp:lastModifiedBy>
  <cp:lastPrinted>2017-08-09T08:56:00Z</cp:lastPrinted>
  <dcterms:modified xsi:type="dcterms:W3CDTF">2017-08-10T07:17:28Z</dcterms:modified>
  <dc:title>许昌市城市景观风貌规划及城市色彩规划项目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