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336" w:type="dxa"/>
        <w:tblInd w:w="0" w:type="dxa"/>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360"/>
        <w:gridCol w:w="1175"/>
        <w:gridCol w:w="2933"/>
        <w:gridCol w:w="733"/>
        <w:gridCol w:w="900"/>
        <w:gridCol w:w="1217"/>
        <w:gridCol w:w="1018"/>
      </w:tblGrid>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PrEx>
        <w:trPr>
          <w:trHeight w:val="285" w:hRule="atLeast"/>
        </w:trPr>
        <w:tc>
          <w:tcPr>
            <w:tcW w:w="360" w:type="dxa"/>
            <w:tcBorders>
              <w:tl2br w:val="nil"/>
              <w:tr2bl w:val="nil"/>
            </w:tcBorders>
            <w:shd w:val="clear" w:color="auto" w:fill="auto"/>
            <w:vAlign w:val="center"/>
          </w:tcPr>
          <w:p>
            <w:pPr>
              <w:jc w:val="center"/>
              <w:rPr>
                <w:b/>
                <w:bCs/>
              </w:rPr>
            </w:pPr>
            <w:r>
              <w:rPr>
                <w:rFonts w:hint="eastAsia"/>
                <w:b/>
                <w:bCs/>
              </w:rPr>
              <w:t>序号</w:t>
            </w:r>
          </w:p>
        </w:tc>
        <w:tc>
          <w:tcPr>
            <w:tcW w:w="1175" w:type="dxa"/>
            <w:tcBorders>
              <w:tl2br w:val="nil"/>
              <w:tr2bl w:val="nil"/>
            </w:tcBorders>
            <w:shd w:val="clear" w:color="auto" w:fill="auto"/>
            <w:vAlign w:val="center"/>
          </w:tcPr>
          <w:p>
            <w:pPr>
              <w:jc w:val="center"/>
              <w:rPr>
                <w:b/>
                <w:bCs/>
              </w:rPr>
            </w:pPr>
            <w:r>
              <w:rPr>
                <w:rFonts w:hint="eastAsia"/>
                <w:b/>
                <w:bCs/>
              </w:rPr>
              <w:t>名称</w:t>
            </w:r>
          </w:p>
        </w:tc>
        <w:tc>
          <w:tcPr>
            <w:tcW w:w="2933" w:type="dxa"/>
            <w:tcBorders>
              <w:tl2br w:val="nil"/>
              <w:tr2bl w:val="nil"/>
            </w:tcBorders>
            <w:shd w:val="clear" w:color="auto" w:fill="auto"/>
            <w:vAlign w:val="center"/>
          </w:tcPr>
          <w:p>
            <w:pPr>
              <w:jc w:val="center"/>
              <w:rPr>
                <w:b/>
                <w:bCs/>
              </w:rPr>
            </w:pPr>
            <w:bookmarkStart w:id="0" w:name="_GoBack"/>
            <w:bookmarkEnd w:id="0"/>
            <w:r>
              <w:rPr>
                <w:rFonts w:hint="eastAsia"/>
                <w:b/>
                <w:bCs/>
              </w:rPr>
              <w:t>描述</w:t>
            </w:r>
          </w:p>
        </w:tc>
        <w:tc>
          <w:tcPr>
            <w:tcW w:w="733" w:type="dxa"/>
            <w:tcBorders>
              <w:tl2br w:val="nil"/>
              <w:tr2bl w:val="nil"/>
            </w:tcBorders>
            <w:shd w:val="clear" w:color="auto" w:fill="auto"/>
            <w:vAlign w:val="center"/>
          </w:tcPr>
          <w:p>
            <w:pPr>
              <w:jc w:val="center"/>
              <w:rPr>
                <w:b/>
                <w:bCs/>
              </w:rPr>
            </w:pPr>
            <w:r>
              <w:rPr>
                <w:rFonts w:hint="eastAsia"/>
                <w:b/>
                <w:bCs/>
              </w:rPr>
              <w:t>单位</w:t>
            </w:r>
          </w:p>
        </w:tc>
        <w:tc>
          <w:tcPr>
            <w:tcW w:w="900" w:type="dxa"/>
            <w:tcBorders>
              <w:tl2br w:val="nil"/>
              <w:tr2bl w:val="nil"/>
            </w:tcBorders>
            <w:shd w:val="clear" w:color="auto" w:fill="auto"/>
            <w:vAlign w:val="center"/>
          </w:tcPr>
          <w:p>
            <w:pPr>
              <w:jc w:val="center"/>
              <w:rPr>
                <w:b/>
                <w:bCs/>
              </w:rPr>
            </w:pPr>
            <w:r>
              <w:rPr>
                <w:rFonts w:hint="eastAsia"/>
                <w:b/>
                <w:bCs/>
              </w:rPr>
              <w:t>数量</w:t>
            </w:r>
          </w:p>
        </w:tc>
        <w:tc>
          <w:tcPr>
            <w:tcW w:w="1217" w:type="dxa"/>
            <w:tcBorders>
              <w:tl2br w:val="nil"/>
              <w:tr2bl w:val="nil"/>
            </w:tcBorders>
            <w:shd w:val="clear" w:color="auto" w:fill="auto"/>
            <w:vAlign w:val="center"/>
          </w:tcPr>
          <w:p>
            <w:pPr>
              <w:jc w:val="center"/>
              <w:rPr>
                <w:b/>
                <w:bCs/>
              </w:rPr>
            </w:pPr>
            <w:r>
              <w:rPr>
                <w:rFonts w:hint="eastAsia"/>
                <w:b/>
                <w:bCs/>
              </w:rPr>
              <w:t>单价</w:t>
            </w:r>
          </w:p>
        </w:tc>
        <w:tc>
          <w:tcPr>
            <w:tcW w:w="1018" w:type="dxa"/>
            <w:tcBorders>
              <w:tl2br w:val="nil"/>
              <w:tr2bl w:val="nil"/>
            </w:tcBorders>
            <w:shd w:val="clear" w:color="auto" w:fill="auto"/>
            <w:vAlign w:val="center"/>
          </w:tcPr>
          <w:p>
            <w:pPr>
              <w:jc w:val="center"/>
              <w:rPr>
                <w:b/>
                <w:bCs/>
              </w:rPr>
            </w:pPr>
            <w:r>
              <w:rPr>
                <w:rFonts w:hint="eastAsia"/>
                <w:b/>
                <w:bCs/>
              </w:rPr>
              <w:t>总价</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960" w:hRule="atLeast"/>
        </w:trPr>
        <w:tc>
          <w:tcPr>
            <w:tcW w:w="360" w:type="dxa"/>
            <w:tcBorders>
              <w:tl2br w:val="nil"/>
              <w:tr2bl w:val="nil"/>
            </w:tcBorders>
            <w:shd w:val="clear" w:color="auto" w:fill="auto"/>
            <w:vAlign w:val="center"/>
          </w:tcPr>
          <w:p>
            <w:r>
              <w:t>1</w:t>
            </w:r>
          </w:p>
        </w:tc>
        <w:tc>
          <w:tcPr>
            <w:tcW w:w="1175" w:type="dxa"/>
            <w:tcBorders>
              <w:tl2br w:val="nil"/>
              <w:tr2bl w:val="nil"/>
            </w:tcBorders>
            <w:shd w:val="clear" w:color="auto" w:fill="auto"/>
            <w:vAlign w:val="center"/>
          </w:tcPr>
          <w:p>
            <w:r>
              <w:rPr>
                <w:rFonts w:hint="eastAsia"/>
              </w:rPr>
              <w:t>历史库存档案、新收卷宗档案数字化服务</w:t>
            </w:r>
          </w:p>
        </w:tc>
        <w:tc>
          <w:tcPr>
            <w:tcW w:w="2933" w:type="dxa"/>
            <w:tcBorders>
              <w:tl2br w:val="nil"/>
              <w:tr2bl w:val="nil"/>
            </w:tcBorders>
            <w:shd w:val="clear" w:color="auto" w:fill="auto"/>
          </w:tcPr>
          <w:p>
            <w:r>
              <w:rPr>
                <w:rFonts w:hint="eastAsia"/>
              </w:rPr>
              <w:t>我公司制定有效措施确保数字化制作过程中档案卷宗的安全，确保按时完成本次项目，本项目是对魏都区人民法院库存历史卷宗和新收卷宗进行集中数字化处理，处理过程应严格按照最高人民法院和省法院有关标准和要求开展数字化工作，确保数字化成果的质量、数据的统一规范、档案实体与信息的安全。本次档案数字化扫描包括刑事,民事,行政,执行，赔偿等历史卷宗和新收未归档卷宗档案,纸张大小包含(A1,A2,A3,A4,B5等),扫描要求封皮封底备考表全部扫描,封皮信息、卷内目录及关键字要求全部著录并挂接到河南省法院档案管理系统。具体内容详见后附章节。</w:t>
            </w:r>
          </w:p>
        </w:tc>
        <w:tc>
          <w:tcPr>
            <w:tcW w:w="733" w:type="dxa"/>
            <w:tcBorders>
              <w:tl2br w:val="nil"/>
              <w:tr2bl w:val="nil"/>
            </w:tcBorders>
            <w:shd w:val="clear" w:color="auto" w:fill="auto"/>
            <w:vAlign w:val="center"/>
          </w:tcPr>
          <w:p>
            <w:r>
              <w:rPr>
                <w:rFonts w:hint="eastAsia"/>
              </w:rPr>
              <w:t>页</w:t>
            </w:r>
          </w:p>
        </w:tc>
        <w:tc>
          <w:tcPr>
            <w:tcW w:w="900" w:type="dxa"/>
            <w:tcBorders>
              <w:tl2br w:val="nil"/>
              <w:tr2bl w:val="nil"/>
            </w:tcBorders>
            <w:shd w:val="clear" w:color="auto" w:fill="auto"/>
            <w:vAlign w:val="center"/>
          </w:tcPr>
          <w:p>
            <w:r>
              <w:rPr>
                <w:rFonts w:hint="eastAsia"/>
              </w:rPr>
              <w:t>5500000</w:t>
            </w:r>
          </w:p>
        </w:tc>
        <w:tc>
          <w:tcPr>
            <w:tcW w:w="1217" w:type="dxa"/>
            <w:tcBorders>
              <w:tl2br w:val="nil"/>
              <w:tr2bl w:val="nil"/>
            </w:tcBorders>
            <w:shd w:val="clear" w:color="auto" w:fill="auto"/>
            <w:vAlign w:val="center"/>
          </w:tcPr>
          <w:p>
            <w:r>
              <w:rPr>
                <w:rFonts w:hint="eastAsia"/>
              </w:rPr>
              <w:t>0.4952</w:t>
            </w:r>
          </w:p>
        </w:tc>
        <w:tc>
          <w:tcPr>
            <w:tcW w:w="1018" w:type="dxa"/>
            <w:tcBorders>
              <w:tl2br w:val="nil"/>
              <w:tr2bl w:val="nil"/>
            </w:tcBorders>
            <w:shd w:val="clear" w:color="auto" w:fill="auto"/>
            <w:vAlign w:val="center"/>
          </w:tcPr>
          <w:p>
            <w:r>
              <w:rPr>
                <w:rFonts w:hint="eastAsia"/>
              </w:rPr>
              <w:t>2723600</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2055" w:hRule="atLeast"/>
        </w:trPr>
        <w:tc>
          <w:tcPr>
            <w:tcW w:w="360" w:type="dxa"/>
            <w:tcBorders>
              <w:tl2br w:val="nil"/>
              <w:tr2bl w:val="nil"/>
            </w:tcBorders>
            <w:shd w:val="clear" w:color="auto" w:fill="auto"/>
            <w:vAlign w:val="center"/>
          </w:tcPr>
          <w:p>
            <w:r>
              <w:t>2</w:t>
            </w:r>
          </w:p>
        </w:tc>
        <w:tc>
          <w:tcPr>
            <w:tcW w:w="1175" w:type="dxa"/>
            <w:tcBorders>
              <w:tl2br w:val="nil"/>
              <w:tr2bl w:val="nil"/>
            </w:tcBorders>
            <w:shd w:val="clear" w:color="auto" w:fill="auto"/>
            <w:vAlign w:val="center"/>
          </w:tcPr>
          <w:p>
            <w:r>
              <w:rPr>
                <w:rFonts w:hint="eastAsia"/>
              </w:rPr>
              <w:t>本地档案数据备份、技术开发服务</w:t>
            </w:r>
          </w:p>
        </w:tc>
        <w:tc>
          <w:tcPr>
            <w:tcW w:w="2933" w:type="dxa"/>
            <w:tcBorders>
              <w:tl2br w:val="nil"/>
              <w:tr2bl w:val="nil"/>
            </w:tcBorders>
            <w:shd w:val="clear" w:color="auto" w:fill="auto"/>
          </w:tcPr>
          <w:p>
            <w:r>
              <w:rPr>
                <w:rFonts w:hint="eastAsia"/>
              </w:rPr>
              <w:t>我公司为本项目提供本地档案数据备份服务，实现远程、本地数据的双活，同步更新。并对原档案备份存储设备浪潮存储服务器进行磁盘容量扩容，满足本次数字化数据生产、同步备份需要。</w:t>
            </w:r>
            <w:r>
              <w:rPr>
                <w:rFonts w:hint="eastAsia"/>
              </w:rPr>
              <w:br w:type="textWrapping"/>
            </w:r>
            <w:r>
              <w:rPr>
                <w:rFonts w:hint="eastAsia"/>
              </w:rPr>
              <w:t>我公司提供</w:t>
            </w:r>
            <w:r>
              <w:t>2</w:t>
            </w:r>
            <w:r>
              <w:rPr>
                <w:rFonts w:hint="default"/>
              </w:rPr>
              <w:t>个</w:t>
            </w:r>
            <w:r>
              <w:t>2TB</w:t>
            </w:r>
            <w:r>
              <w:rPr>
                <w:rFonts w:hint="default"/>
              </w:rPr>
              <w:t>专业级浪潮服务器硬盘，类型：</w:t>
            </w:r>
            <w:r>
              <w:t>SATA</w:t>
            </w:r>
            <w:r>
              <w:rPr>
                <w:rFonts w:hint="default"/>
              </w:rPr>
              <w:t>，支持热插拔，缓存</w:t>
            </w:r>
            <w:r>
              <w:t>512M</w:t>
            </w:r>
            <w:r>
              <w:rPr>
                <w:rFonts w:hint="default"/>
              </w:rPr>
              <w:t>，转速</w:t>
            </w:r>
            <w:r>
              <w:t>7200</w:t>
            </w:r>
            <w:r>
              <w:rPr>
                <w:rFonts w:hint="default"/>
              </w:rPr>
              <w:t>转。为确保扩容时原有数据安全，本地档案数据备份系统数据与全省法院档案管理系统数据存储结构一致，符合</w:t>
            </w:r>
            <w:r>
              <w:t>15“</w:t>
            </w:r>
            <w:r>
              <w:rPr>
                <w:rFonts w:hint="default"/>
              </w:rPr>
              <w:t>法标</w:t>
            </w:r>
            <w:r>
              <w:t>”</w:t>
            </w:r>
            <w:r>
              <w:rPr>
                <w:rFonts w:hint="default"/>
              </w:rPr>
              <w:t>，确保档案故障时本地可进行快速切换、恢复和提供本地访问。</w:t>
            </w:r>
            <w:r>
              <w:br w:type="textWrapping"/>
            </w:r>
            <w:r>
              <w:rPr>
                <w:rFonts w:hint="default"/>
              </w:rPr>
              <w:t>我公司确保档案数据符合全省法院数据交换标准</w:t>
            </w:r>
            <w:r>
              <w:t>,</w:t>
            </w:r>
            <w:r>
              <w:rPr>
                <w:rFonts w:hint="default"/>
              </w:rPr>
              <w:t>实现档案数据于交</w:t>
            </w:r>
            <w:r>
              <w:t>换数据、审判数据的对接。</w:t>
            </w:r>
            <w:r>
              <w:rPr>
                <w:rFonts w:hint="eastAsia"/>
              </w:rPr>
              <w:t>我司承诺保质保量按时本次档案数字化处理项目，承诺扫描数据全部通过河南省法院档案管理系统质检，档案数据备份系统故障，保证恢复全部档案数据；承诺扫描数据全部著录挂接到河南法院档案管理系统,并通过用户质检和河南法院档案管理系统质检。</w:t>
            </w:r>
          </w:p>
        </w:tc>
        <w:tc>
          <w:tcPr>
            <w:tcW w:w="733" w:type="dxa"/>
            <w:tcBorders>
              <w:tl2br w:val="nil"/>
              <w:tr2bl w:val="nil"/>
            </w:tcBorders>
            <w:shd w:val="clear" w:color="auto" w:fill="auto"/>
            <w:vAlign w:val="center"/>
          </w:tcPr>
          <w:p>
            <w:r>
              <w:rPr>
                <w:rFonts w:hint="eastAsia"/>
              </w:rPr>
              <w:t>项</w:t>
            </w:r>
          </w:p>
        </w:tc>
        <w:tc>
          <w:tcPr>
            <w:tcW w:w="900" w:type="dxa"/>
            <w:tcBorders>
              <w:tl2br w:val="nil"/>
              <w:tr2bl w:val="nil"/>
            </w:tcBorders>
            <w:shd w:val="clear" w:color="auto" w:fill="auto"/>
            <w:vAlign w:val="center"/>
          </w:tcPr>
          <w:p>
            <w:r>
              <w:rPr>
                <w:rFonts w:hint="eastAsia"/>
              </w:rPr>
              <w:t>1</w:t>
            </w:r>
          </w:p>
        </w:tc>
        <w:tc>
          <w:tcPr>
            <w:tcW w:w="1217" w:type="dxa"/>
            <w:tcBorders>
              <w:tl2br w:val="nil"/>
              <w:tr2bl w:val="nil"/>
            </w:tcBorders>
            <w:shd w:val="clear" w:color="auto" w:fill="auto"/>
            <w:vAlign w:val="center"/>
          </w:tcPr>
          <w:p>
            <w:r>
              <w:rPr>
                <w:rFonts w:hint="eastAsia"/>
              </w:rPr>
              <w:t>11000</w:t>
            </w:r>
          </w:p>
        </w:tc>
        <w:tc>
          <w:tcPr>
            <w:tcW w:w="1018" w:type="dxa"/>
            <w:tcBorders>
              <w:tl2br w:val="nil"/>
              <w:tr2bl w:val="nil"/>
            </w:tcBorders>
            <w:shd w:val="clear" w:color="auto" w:fill="auto"/>
            <w:vAlign w:val="center"/>
          </w:tcPr>
          <w:p>
            <w:r>
              <w:rPr>
                <w:rFonts w:hint="eastAsia"/>
              </w:rPr>
              <w:t>11000</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15" w:type="dxa"/>
            <w:left w:w="15" w:type="dxa"/>
            <w:bottom w:w="15" w:type="dxa"/>
            <w:right w:w="15" w:type="dxa"/>
          </w:tblCellMar>
        </w:tblPrEx>
        <w:trPr>
          <w:trHeight w:val="643" w:hRule="atLeast"/>
        </w:trPr>
        <w:tc>
          <w:tcPr>
            <w:tcW w:w="1535" w:type="dxa"/>
            <w:gridSpan w:val="2"/>
            <w:tcBorders>
              <w:tl2br w:val="nil"/>
              <w:tr2bl w:val="nil"/>
            </w:tcBorders>
            <w:shd w:val="clear" w:color="auto" w:fill="auto"/>
            <w:vAlign w:val="center"/>
          </w:tcPr>
          <w:p>
            <w:r>
              <w:rPr>
                <w:rFonts w:hint="eastAsia"/>
              </w:rPr>
              <w:t>合</w:t>
            </w:r>
            <w:r>
              <w:t xml:space="preserve">  计</w:t>
            </w:r>
          </w:p>
        </w:tc>
        <w:tc>
          <w:tcPr>
            <w:tcW w:w="6801" w:type="dxa"/>
            <w:gridSpan w:val="5"/>
            <w:tcBorders>
              <w:tl2br w:val="nil"/>
              <w:tr2bl w:val="nil"/>
            </w:tcBorders>
            <w:shd w:val="clear" w:color="auto" w:fill="auto"/>
            <w:vAlign w:val="center"/>
          </w:tcPr>
          <w:p>
            <w:r>
              <w:rPr>
                <w:rFonts w:hint="eastAsia"/>
              </w:rPr>
              <w:t>大写：人民币贰佰柒拾叁万肆仟陆佰元整  小写：2734600.00元</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roman"/>
    <w:pitch w:val="default"/>
    <w:sig w:usb0="E0002AFF" w:usb1="C0007843" w:usb2="00000009" w:usb3="00000000" w:csb0="400001FF" w:csb1="FFFF0000"/>
  </w:font>
  <w:font w:name="Book Antiqua">
    <w:altName w:val="Segoe Print"/>
    <w:panose1 w:val="02040602050305030304"/>
    <w:charset w:val="00"/>
    <w:family w:val="roman"/>
    <w:pitch w:val="default"/>
    <w:sig w:usb0="00000000" w:usb1="00000000" w:usb2="00000000" w:usb3="00000000" w:csb0="0000009F" w:csb1="00000000"/>
  </w:font>
  <w:font w:name="Abadi MT Condensed Light">
    <w:altName w:val="Segoe Print"/>
    <w:panose1 w:val="00000000000000000000"/>
    <w:charset w:val="00"/>
    <w:family w:val="swiss"/>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Footlight MT Light">
    <w:altName w:val="Segoe Print"/>
    <w:panose1 w:val="0204060206030A020304"/>
    <w:charset w:val="00"/>
    <w:family w:val="roman"/>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0" w:usb3="00000000" w:csb0="00000001" w:csb1="00000000"/>
  </w:font>
  <w:font w:name="华文仿宋">
    <w:altName w:val="仿宋"/>
    <w:panose1 w:val="02010600040101010101"/>
    <w:charset w:val="86"/>
    <w:family w:val="auto"/>
    <w:pitch w:val="default"/>
    <w:sig w:usb0="00000000" w:usb1="00000000" w:usb2="00000010" w:usb3="00000000" w:csb0="0004009F" w:csb1="00000000"/>
  </w:font>
  <w:font w:name="华文细黑">
    <w:altName w:val="微软雅黑"/>
    <w:panose1 w:val="02010600040101010101"/>
    <w:charset w:val="86"/>
    <w:family w:val="auto"/>
    <w:pitch w:val="default"/>
    <w:sig w:usb0="00000000" w:usb1="00000000" w:usb2="00000010" w:usb3="00000000" w:csb0="0004009F" w:csb1="00000000"/>
  </w:font>
  <w:font w:name="楷体_GB2312">
    <w:altName w:val="楷体"/>
    <w:panose1 w:val="02010609030101010101"/>
    <w:charset w:val="86"/>
    <w:family w:val="modern"/>
    <w:pitch w:val="default"/>
    <w:sig w:usb0="00000000" w:usb1="00000000" w:usb2="00000010" w:usb3="00000000" w:csb0="00040000" w:csb1="00000000"/>
  </w:font>
  <w:font w:name="Century Gothic">
    <w:altName w:val="Segoe Print"/>
    <w:panose1 w:val="020B0502020202020204"/>
    <w:charset w:val="00"/>
    <w:family w:val="swiss"/>
    <w:pitch w:val="default"/>
    <w:sig w:usb0="00000000" w:usb1="00000000" w:usb2="00000000" w:usb3="00000000" w:csb0="0000009F" w:csb1="00000000"/>
  </w:font>
  <w:font w:name="FZHei-B01S">
    <w:altName w:val="宋体"/>
    <w:panose1 w:val="00000000000000000000"/>
    <w:charset w:val="86"/>
    <w:family w:val="swiss"/>
    <w:pitch w:val="default"/>
    <w:sig w:usb0="00000000" w:usb1="00000000" w:usb2="00000010" w:usb3="00000000" w:csb0="00040000" w:csb1="00000000"/>
  </w:font>
  <w:font w:name="DFKai-SB">
    <w:panose1 w:val="03000509000000000000"/>
    <w:charset w:val="88"/>
    <w:family w:val="auto"/>
    <w:pitch w:val="default"/>
    <w:sig w:usb0="00000003" w:usb1="082E0000" w:usb2="00000016" w:usb3="00000000" w:csb0="00100001" w:csb1="00000000"/>
  </w:font>
  <w:font w:name="Univers (W1)">
    <w:altName w:val="Arial"/>
    <w:panose1 w:val="00000000000000000000"/>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Wingdings">
    <w:panose1 w:val="05000000000000000000"/>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华文细黑">
    <w:altName w:val="微软雅黑"/>
    <w:panose1 w:val="00000000000000000000"/>
    <w:charset w:val="00"/>
    <w:family w:val="auto"/>
    <w:pitch w:val="default"/>
    <w:sig w:usb0="00000000" w:usb1="00000000" w:usb2="00000000" w:usb3="00000000" w:csb0="00000000" w:csb1="00000000"/>
  </w:font>
  <w:font w:name="_x000B__x000C_">
    <w:altName w:val="Times New Roman"/>
    <w:panose1 w:val="00000000000000000000"/>
    <w:charset w:val="00"/>
    <w:family w:val="roman"/>
    <w:pitch w:val="default"/>
    <w:sig w:usb0="00000000" w:usb1="00000000" w:usb2="00000000" w:usb3="00000000" w:csb0="00040001" w:csb1="00000000"/>
  </w:font>
  <w:font w:name="新宋体">
    <w:panose1 w:val="02010609030101010101"/>
    <w:charset w:val="86"/>
    <w:family w:val="auto"/>
    <w:pitch w:val="default"/>
    <w:sig w:usb0="00000003" w:usb1="288F0000" w:usb2="00000006" w:usb3="00000000" w:csb0="00040001" w:csb1="00000000"/>
  </w:font>
  <w:font w:name="Calibri Light">
    <w:altName w:val="Calibri"/>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E9043"/>
    <w:multiLevelType w:val="multilevel"/>
    <w:tmpl w:val="599E9043"/>
    <w:lvl w:ilvl="0" w:tentative="0">
      <w:start w:val="1"/>
      <w:numFmt w:val="decimal"/>
      <w:pStyle w:val="2"/>
      <w:suff w:val="space"/>
      <w:lvlText w:val="%1."/>
      <w:lvlJc w:val="left"/>
      <w:pPr>
        <w:tabs>
          <w:tab w:val="left" w:pos="420"/>
        </w:tabs>
        <w:ind w:left="425" w:leftChars="0" w:hanging="425" w:firstLineChars="0"/>
      </w:pPr>
      <w:rPr>
        <w:rFonts w:hint="default"/>
        <w:sz w:val="44"/>
      </w:rPr>
    </w:lvl>
    <w:lvl w:ilvl="1" w:tentative="0">
      <w:start w:val="1"/>
      <w:numFmt w:val="decimal"/>
      <w:lvlText w:val="%1.%2."/>
      <w:lvlJc w:val="left"/>
      <w:pPr>
        <w:ind w:left="567" w:leftChars="0" w:hanging="567" w:firstLineChars="0"/>
      </w:pPr>
      <w:rPr>
        <w:rFonts w:hint="default"/>
      </w:rPr>
    </w:lvl>
    <w:lvl w:ilvl="2" w:tentative="0">
      <w:start w:val="1"/>
      <w:numFmt w:val="decimal"/>
      <w:lvlText w:val="%1.%2.%3."/>
      <w:lvlJc w:val="left"/>
      <w:pPr>
        <w:ind w:left="709" w:leftChars="0" w:hanging="709" w:firstLineChars="0"/>
      </w:pPr>
      <w:rPr>
        <w:rFonts w:hint="default"/>
      </w:rPr>
    </w:lvl>
    <w:lvl w:ilvl="3" w:tentative="0">
      <w:start w:val="1"/>
      <w:numFmt w:val="decimal"/>
      <w:lvlText w:val="%1.%2.%3.%4."/>
      <w:lvlJc w:val="left"/>
      <w:pPr>
        <w:ind w:left="850" w:leftChars="0" w:hanging="850" w:firstLineChars="0"/>
      </w:pPr>
      <w:rPr>
        <w:rFonts w:hint="default"/>
      </w:rPr>
    </w:lvl>
    <w:lvl w:ilvl="4" w:tentative="0">
      <w:start w:val="1"/>
      <w:numFmt w:val="decimal"/>
      <w:lvlText w:val="%1.%2.%3.%4.%5."/>
      <w:lvlJc w:val="left"/>
      <w:pPr>
        <w:ind w:left="991" w:leftChars="0" w:hanging="991" w:firstLineChars="0"/>
      </w:pPr>
      <w:rPr>
        <w:rFonts w:hint="default"/>
      </w:rPr>
    </w:lvl>
    <w:lvl w:ilvl="5" w:tentative="0">
      <w:start w:val="1"/>
      <w:numFmt w:val="decimal"/>
      <w:lvlText w:val="%1.%2.%3.%4.%5.%6."/>
      <w:lvlJc w:val="left"/>
      <w:pPr>
        <w:ind w:left="1134" w:leftChars="0" w:hanging="1134" w:firstLineChars="0"/>
      </w:pPr>
      <w:rPr>
        <w:rFonts w:hint="default"/>
      </w:rPr>
    </w:lvl>
    <w:lvl w:ilvl="6" w:tentative="0">
      <w:start w:val="1"/>
      <w:numFmt w:val="decimal"/>
      <w:lvlText w:val="%1.%2.%3.%4.%5.%6.%7."/>
      <w:lvlJc w:val="left"/>
      <w:pPr>
        <w:ind w:left="1275" w:leftChars="0" w:hanging="1275" w:firstLineChars="0"/>
      </w:pPr>
      <w:rPr>
        <w:rFonts w:hint="default"/>
      </w:rPr>
    </w:lvl>
    <w:lvl w:ilvl="7" w:tentative="0">
      <w:start w:val="1"/>
      <w:numFmt w:val="decimal"/>
      <w:lvlText w:val="%1.%2.%3.%4.%5.%6.%7.%8."/>
      <w:lvlJc w:val="left"/>
      <w:pPr>
        <w:ind w:left="1418" w:leftChars="0" w:hanging="1418" w:firstLineChars="0"/>
      </w:pPr>
      <w:rPr>
        <w:rFonts w:hint="default"/>
      </w:rPr>
    </w:lvl>
    <w:lvl w:ilvl="8" w:tentative="0">
      <w:start w:val="1"/>
      <w:numFmt w:val="decimal"/>
      <w:lvlText w:val="%1.%2.%3.%4.%5.%6.%7.%8.%9."/>
      <w:lvlJc w:val="left"/>
      <w:pPr>
        <w:ind w:left="1558" w:leftChars="0" w:hanging="1558"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43298C"/>
    <w:rsid w:val="587066CE"/>
    <w:rsid w:val="5F43298C"/>
    <w:rsid w:val="74E85A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5"/>
    <w:qFormat/>
    <w:uiPriority w:val="0"/>
    <w:pPr>
      <w:keepNext/>
      <w:keepLines/>
      <w:numPr>
        <w:ilvl w:val="0"/>
        <w:numId w:val="1"/>
      </w:numPr>
      <w:tabs>
        <w:tab w:val="left" w:pos="10497"/>
        <w:tab w:val="clear" w:pos="420"/>
      </w:tabs>
      <w:spacing w:before="340" w:after="330" w:line="576" w:lineRule="auto"/>
      <w:ind w:left="10497" w:right="100" w:rightChars="100" w:firstLine="0" w:firstLineChars="0"/>
      <w:jc w:val="left"/>
      <w:outlineLvl w:val="0"/>
    </w:pPr>
    <w:rPr>
      <w:rFonts w:ascii="Times New Roman" w:hAnsi="Times New Roman" w:eastAsia="宋体"/>
      <w:b/>
      <w:kern w:val="44"/>
      <w:sz w:val="32"/>
      <w:szCs w:val="32"/>
    </w:rPr>
  </w:style>
  <w:style w:type="character" w:default="1" w:styleId="3">
    <w:name w:val="Default Paragraph Font"/>
    <w:unhideWhenUsed/>
    <w:uiPriority w:val="1"/>
  </w:style>
  <w:style w:type="table" w:default="1" w:styleId="4">
    <w:name w:val="Normal Table"/>
    <w:semiHidden/>
    <w:qFormat/>
    <w:uiPriority w:val="0"/>
    <w:tblPr>
      <w:tblLayout w:type="fixed"/>
      <w:tblCellMar>
        <w:top w:w="0" w:type="dxa"/>
        <w:left w:w="108" w:type="dxa"/>
        <w:bottom w:w="0" w:type="dxa"/>
        <w:right w:w="108" w:type="dxa"/>
      </w:tblCellMar>
    </w:tblPr>
  </w:style>
  <w:style w:type="character" w:customStyle="1" w:styleId="5">
    <w:name w:val="标题 1 Char"/>
    <w:basedOn w:val="3"/>
    <w:link w:val="2"/>
    <w:qFormat/>
    <w:locked/>
    <w:uiPriority w:val="0"/>
    <w:rPr>
      <w:rFonts w:ascii="Times New Roman" w:hAnsi="Times New Roman" w:eastAsia="宋体"/>
      <w:b/>
      <w:kern w:val="44"/>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2017-08-30T00:57:00Z</dcterms:created>
  <dc:creator>lg</dc:creator>
  <cp:lastModifiedBy>lg</cp:lastModifiedBy>
  <dcterms:modified xsi:type="dcterms:W3CDTF">2017-08-30T00:58:29Z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